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2D76" w14:textId="70B6EBAC" w:rsidR="006D06D6" w:rsidRPr="00B40A77" w:rsidRDefault="00E560D8" w:rsidP="00A3442A">
      <w:pPr>
        <w:spacing w:before="240" w:after="60"/>
        <w:jc w:val="center"/>
        <w:rPr>
          <w:b/>
          <w:color w:val="000000" w:themeColor="text1"/>
          <w:kern w:val="52"/>
          <w:sz w:val="52"/>
          <w:szCs w:val="52"/>
        </w:rPr>
      </w:pPr>
      <w:bookmarkStart w:id="0" w:name="_Hlk67401618"/>
      <w:bookmarkStart w:id="1" w:name="_Hlk30678872"/>
      <w:r w:rsidRPr="00B40A77">
        <w:rPr>
          <w:b/>
          <w:color w:val="000000" w:themeColor="text1"/>
          <w:kern w:val="52"/>
          <w:sz w:val="52"/>
          <w:szCs w:val="52"/>
        </w:rPr>
        <w:t>JOINT</w:t>
      </w:r>
      <w:r w:rsidR="00CA23CD" w:rsidRPr="00B40A77">
        <w:rPr>
          <w:b/>
          <w:color w:val="000000" w:themeColor="text1"/>
          <w:kern w:val="52"/>
          <w:sz w:val="52"/>
          <w:szCs w:val="52"/>
        </w:rPr>
        <w:t xml:space="preserve"> CRIMINAL RULES 202</w:t>
      </w:r>
      <w:r w:rsidR="00595864" w:rsidRPr="00B40A77">
        <w:rPr>
          <w:b/>
          <w:color w:val="000000" w:themeColor="text1"/>
          <w:kern w:val="52"/>
          <w:sz w:val="52"/>
          <w:szCs w:val="52"/>
        </w:rPr>
        <w:t>2</w:t>
      </w:r>
    </w:p>
    <w:p w14:paraId="54D9D052" w14:textId="1F4B001B" w:rsidR="00DA39E2" w:rsidRPr="00B40A77" w:rsidRDefault="009942F1" w:rsidP="00B850C6">
      <w:pPr>
        <w:spacing w:before="240" w:after="60"/>
        <w:jc w:val="center"/>
        <w:rPr>
          <w:b/>
          <w:color w:val="000000" w:themeColor="text1"/>
          <w:kern w:val="52"/>
          <w:sz w:val="52"/>
          <w:szCs w:val="52"/>
        </w:rPr>
      </w:pPr>
      <w:r w:rsidRPr="00B40A77">
        <w:rPr>
          <w:b/>
          <w:color w:val="000000" w:themeColor="text1"/>
          <w:kern w:val="52"/>
          <w:sz w:val="52"/>
          <w:szCs w:val="52"/>
        </w:rPr>
        <w:t>SOUTH AUSTRALIA</w:t>
      </w:r>
    </w:p>
    <w:p w14:paraId="1B4FCE46" w14:textId="77777777" w:rsidR="00A3442A" w:rsidRPr="00B40A77" w:rsidRDefault="00A3442A" w:rsidP="00B850C6">
      <w:pPr>
        <w:spacing w:before="240" w:after="60"/>
        <w:jc w:val="center"/>
        <w:rPr>
          <w:b/>
          <w:color w:val="000000" w:themeColor="text1"/>
          <w:kern w:val="52"/>
          <w:sz w:val="52"/>
          <w:szCs w:val="52"/>
        </w:rPr>
      </w:pPr>
    </w:p>
    <w:p w14:paraId="42D27ED7" w14:textId="6164420D" w:rsidR="00281AD0" w:rsidRPr="00B40A77" w:rsidRDefault="00AA7151" w:rsidP="00D4308B">
      <w:pPr>
        <w:suppressAutoHyphens/>
        <w:spacing w:line="240" w:lineRule="exact"/>
        <w:jc w:val="center"/>
        <w:rPr>
          <w:b/>
          <w:bCs/>
          <w:color w:val="000000" w:themeColor="text1"/>
          <w:spacing w:val="-2"/>
          <w:sz w:val="24"/>
          <w:szCs w:val="24"/>
          <w:lang w:val="en-GB"/>
        </w:rPr>
      </w:pPr>
      <w:r w:rsidRPr="00B40A77">
        <w:rPr>
          <w:b/>
          <w:bCs/>
          <w:color w:val="000000" w:themeColor="text1"/>
          <w:spacing w:val="-2"/>
          <w:sz w:val="24"/>
          <w:szCs w:val="24"/>
          <w:lang w:val="en-GB"/>
        </w:rPr>
        <w:t>The Joint Criminal Rules 2022 that c</w:t>
      </w:r>
      <w:r w:rsidR="00D4308B" w:rsidRPr="00B40A77">
        <w:rPr>
          <w:b/>
          <w:bCs/>
          <w:color w:val="000000" w:themeColor="text1"/>
          <w:spacing w:val="-2"/>
          <w:sz w:val="24"/>
          <w:szCs w:val="24"/>
          <w:lang w:val="en-GB"/>
        </w:rPr>
        <w:t>ame into operation on 29 August 2022 (</w:t>
      </w:r>
      <w:r w:rsidR="00D4308B" w:rsidRPr="00B40A77">
        <w:rPr>
          <w:b/>
          <w:i/>
          <w:color w:val="000000" w:themeColor="text1"/>
          <w:sz w:val="24"/>
          <w:szCs w:val="24"/>
        </w:rPr>
        <w:t>South Australian Government Gazette</w:t>
      </w:r>
      <w:r w:rsidR="00D4308B" w:rsidRPr="00B40A77">
        <w:rPr>
          <w:b/>
          <w:color w:val="000000" w:themeColor="text1"/>
          <w:sz w:val="24"/>
          <w:szCs w:val="24"/>
        </w:rPr>
        <w:t xml:space="preserve"> 26 August 2022, page</w:t>
      </w:r>
      <w:r w:rsidR="002575F2" w:rsidRPr="00B40A77">
        <w:rPr>
          <w:b/>
          <w:color w:val="000000" w:themeColor="text1"/>
          <w:sz w:val="24"/>
          <w:szCs w:val="24"/>
        </w:rPr>
        <w:t>s 2750-4055</w:t>
      </w:r>
      <w:r w:rsidR="00D4308B" w:rsidRPr="00B40A77">
        <w:rPr>
          <w:b/>
          <w:color w:val="000000" w:themeColor="text1"/>
          <w:sz w:val="24"/>
          <w:szCs w:val="24"/>
        </w:rPr>
        <w:t>)</w:t>
      </w:r>
      <w:r w:rsidRPr="00B40A77">
        <w:rPr>
          <w:b/>
          <w:color w:val="000000" w:themeColor="text1"/>
          <w:sz w:val="24"/>
          <w:szCs w:val="24"/>
        </w:rPr>
        <w:t xml:space="preserve"> have been varied by Joint Criminal Amending Rules:</w:t>
      </w:r>
    </w:p>
    <w:p w14:paraId="2F95E429" w14:textId="5E46D8B1" w:rsidR="00D4308B" w:rsidRPr="00B40A77" w:rsidRDefault="00D4308B" w:rsidP="00281AD0">
      <w:pPr>
        <w:suppressAutoHyphens/>
        <w:spacing w:line="240" w:lineRule="exact"/>
        <w:rPr>
          <w:color w:val="000000" w:themeColor="text1"/>
          <w:spacing w:val="-2"/>
          <w:szCs w:val="23"/>
          <w:lang w:val="en-GB"/>
        </w:rPr>
      </w:pPr>
    </w:p>
    <w:tbl>
      <w:tblPr>
        <w:tblW w:w="8363" w:type="dxa"/>
        <w:tblInd w:w="421" w:type="dxa"/>
        <w:tblLayout w:type="fixed"/>
        <w:tblLook w:val="04A0" w:firstRow="1" w:lastRow="0" w:firstColumn="1" w:lastColumn="0" w:noHBand="0" w:noVBand="1"/>
      </w:tblPr>
      <w:tblGrid>
        <w:gridCol w:w="992"/>
        <w:gridCol w:w="2126"/>
        <w:gridCol w:w="2977"/>
        <w:gridCol w:w="2268"/>
      </w:tblGrid>
      <w:tr w:rsidR="00B40A77" w:rsidRPr="00B40A77" w14:paraId="4E317A21" w14:textId="77777777" w:rsidTr="00AA7151">
        <w:tc>
          <w:tcPr>
            <w:tcW w:w="992" w:type="dxa"/>
          </w:tcPr>
          <w:p w14:paraId="45420BBB" w14:textId="77777777" w:rsidR="00AA7151" w:rsidRPr="00B40A77" w:rsidRDefault="00AA7151" w:rsidP="00AA7151">
            <w:pPr>
              <w:tabs>
                <w:tab w:val="left" w:pos="3119"/>
                <w:tab w:val="left" w:pos="6237"/>
              </w:tabs>
              <w:suppressAutoHyphens/>
              <w:spacing w:before="0" w:after="0" w:line="240" w:lineRule="exact"/>
              <w:rPr>
                <w:i/>
                <w:color w:val="000000" w:themeColor="text1"/>
                <w:spacing w:val="-2"/>
                <w:sz w:val="22"/>
                <w:lang w:val="en-GB"/>
              </w:rPr>
            </w:pPr>
            <w:r w:rsidRPr="00B40A77">
              <w:rPr>
                <w:i/>
                <w:color w:val="000000" w:themeColor="text1"/>
                <w:spacing w:val="-2"/>
                <w:sz w:val="22"/>
                <w:lang w:val="en-GB"/>
              </w:rPr>
              <w:t>No.</w:t>
            </w:r>
          </w:p>
        </w:tc>
        <w:tc>
          <w:tcPr>
            <w:tcW w:w="2126" w:type="dxa"/>
          </w:tcPr>
          <w:p w14:paraId="11C8E080" w14:textId="77777777" w:rsidR="00AA7151" w:rsidRPr="00B40A77" w:rsidRDefault="00AA7151" w:rsidP="00AA7151">
            <w:pPr>
              <w:tabs>
                <w:tab w:val="left" w:pos="3119"/>
                <w:tab w:val="left" w:pos="6237"/>
              </w:tabs>
              <w:suppressAutoHyphens/>
              <w:spacing w:before="0" w:after="0" w:line="240" w:lineRule="exact"/>
              <w:rPr>
                <w:i/>
                <w:iCs/>
                <w:color w:val="000000" w:themeColor="text1"/>
                <w:spacing w:val="-2"/>
                <w:sz w:val="22"/>
                <w:lang w:val="en-GB"/>
              </w:rPr>
            </w:pPr>
            <w:r w:rsidRPr="00B40A77">
              <w:rPr>
                <w:i/>
                <w:iCs/>
                <w:color w:val="000000" w:themeColor="text1"/>
                <w:spacing w:val="-2"/>
                <w:sz w:val="22"/>
                <w:lang w:val="en-GB"/>
              </w:rPr>
              <w:t>Date</w:t>
            </w:r>
          </w:p>
        </w:tc>
        <w:tc>
          <w:tcPr>
            <w:tcW w:w="2977" w:type="dxa"/>
            <w:hideMark/>
          </w:tcPr>
          <w:p w14:paraId="625940A0" w14:textId="77777777" w:rsidR="00AA7151" w:rsidRPr="00B40A77" w:rsidRDefault="00AA7151" w:rsidP="00AA7151">
            <w:pPr>
              <w:tabs>
                <w:tab w:val="left" w:pos="3119"/>
                <w:tab w:val="left" w:pos="6237"/>
              </w:tabs>
              <w:suppressAutoHyphens/>
              <w:spacing w:before="0" w:after="0" w:line="240" w:lineRule="exact"/>
              <w:rPr>
                <w:i/>
                <w:iCs/>
                <w:color w:val="000000" w:themeColor="text1"/>
                <w:spacing w:val="-2"/>
                <w:sz w:val="22"/>
                <w:lang w:val="en-GB"/>
              </w:rPr>
            </w:pPr>
            <w:r w:rsidRPr="00B40A77">
              <w:rPr>
                <w:i/>
                <w:iCs/>
                <w:color w:val="000000" w:themeColor="text1"/>
                <w:spacing w:val="-2"/>
                <w:sz w:val="22"/>
              </w:rPr>
              <w:t>Gazette</w:t>
            </w:r>
          </w:p>
        </w:tc>
        <w:tc>
          <w:tcPr>
            <w:tcW w:w="2268" w:type="dxa"/>
            <w:hideMark/>
          </w:tcPr>
          <w:p w14:paraId="151127D3" w14:textId="77777777" w:rsidR="00AA7151" w:rsidRPr="00B40A77" w:rsidRDefault="00AA7151" w:rsidP="00AA7151">
            <w:pPr>
              <w:tabs>
                <w:tab w:val="left" w:pos="3119"/>
                <w:tab w:val="left" w:pos="6237"/>
              </w:tabs>
              <w:suppressAutoHyphens/>
              <w:spacing w:before="0" w:after="0" w:line="240" w:lineRule="exact"/>
              <w:rPr>
                <w:i/>
                <w:iCs/>
                <w:color w:val="000000" w:themeColor="text1"/>
                <w:spacing w:val="-2"/>
                <w:sz w:val="22"/>
                <w:lang w:val="en-GB"/>
              </w:rPr>
            </w:pPr>
            <w:r w:rsidRPr="00B40A77">
              <w:rPr>
                <w:i/>
                <w:iCs/>
                <w:color w:val="000000" w:themeColor="text1"/>
                <w:spacing w:val="-2"/>
                <w:sz w:val="22"/>
              </w:rPr>
              <w:t>Date of operation</w:t>
            </w:r>
          </w:p>
        </w:tc>
      </w:tr>
      <w:tr w:rsidR="00B40A77" w:rsidRPr="00B40A77" w14:paraId="3684944C" w14:textId="77777777" w:rsidTr="00AA7151">
        <w:tc>
          <w:tcPr>
            <w:tcW w:w="992" w:type="dxa"/>
            <w:hideMark/>
          </w:tcPr>
          <w:p w14:paraId="5B2731D5" w14:textId="77777777" w:rsidR="00AA7151" w:rsidRPr="00B40A77" w:rsidRDefault="00AA7151" w:rsidP="00AA7151">
            <w:pPr>
              <w:tabs>
                <w:tab w:val="left" w:pos="709"/>
                <w:tab w:val="left" w:pos="3119"/>
                <w:tab w:val="left" w:pos="6237"/>
              </w:tabs>
              <w:suppressAutoHyphens/>
              <w:spacing w:before="0" w:after="0" w:line="240" w:lineRule="exact"/>
              <w:rPr>
                <w:color w:val="000000" w:themeColor="text1"/>
                <w:spacing w:val="-2"/>
                <w:lang w:val="en-GB"/>
              </w:rPr>
            </w:pPr>
            <w:r w:rsidRPr="00B40A77">
              <w:rPr>
                <w:color w:val="000000" w:themeColor="text1"/>
                <w:spacing w:val="-2"/>
              </w:rPr>
              <w:t>1</w:t>
            </w:r>
          </w:p>
        </w:tc>
        <w:tc>
          <w:tcPr>
            <w:tcW w:w="2126" w:type="dxa"/>
            <w:hideMark/>
          </w:tcPr>
          <w:p w14:paraId="09AF9D29" w14:textId="07A67FC0" w:rsidR="00AA7151" w:rsidRPr="00B40A77" w:rsidRDefault="00AA7151" w:rsidP="00AA7151">
            <w:pPr>
              <w:tabs>
                <w:tab w:val="left" w:pos="709"/>
                <w:tab w:val="left" w:pos="3119"/>
                <w:tab w:val="left" w:pos="6237"/>
              </w:tabs>
              <w:suppressAutoHyphens/>
              <w:spacing w:before="0" w:after="0" w:line="240" w:lineRule="exact"/>
              <w:rPr>
                <w:color w:val="000000" w:themeColor="text1"/>
                <w:spacing w:val="-2"/>
                <w:lang w:val="en-GB"/>
              </w:rPr>
            </w:pPr>
            <w:r w:rsidRPr="00B40A77">
              <w:rPr>
                <w:color w:val="000000" w:themeColor="text1"/>
                <w:spacing w:val="-2"/>
                <w:lang w:val="en-GB"/>
              </w:rPr>
              <w:t>13 December 2022</w:t>
            </w:r>
          </w:p>
        </w:tc>
        <w:tc>
          <w:tcPr>
            <w:tcW w:w="2977" w:type="dxa"/>
            <w:hideMark/>
          </w:tcPr>
          <w:p w14:paraId="312CED23" w14:textId="778F52E1" w:rsidR="00AA7151" w:rsidRPr="00B40A77" w:rsidRDefault="00CB68F8" w:rsidP="00AA7151">
            <w:pPr>
              <w:tabs>
                <w:tab w:val="left" w:pos="709"/>
                <w:tab w:val="left" w:pos="3119"/>
                <w:tab w:val="left" w:pos="6237"/>
              </w:tabs>
              <w:suppressAutoHyphens/>
              <w:spacing w:before="0" w:after="0" w:line="240" w:lineRule="exact"/>
              <w:rPr>
                <w:color w:val="000000" w:themeColor="text1"/>
                <w:spacing w:val="-2"/>
                <w:lang w:val="en-GB"/>
              </w:rPr>
            </w:pPr>
            <w:r w:rsidRPr="00B40A77">
              <w:rPr>
                <w:color w:val="000000" w:themeColor="text1"/>
                <w:spacing w:val="-2"/>
              </w:rPr>
              <w:t>22 December 2022</w:t>
            </w:r>
            <w:r w:rsidR="00AA7151" w:rsidRPr="00B40A77">
              <w:rPr>
                <w:color w:val="000000" w:themeColor="text1"/>
                <w:spacing w:val="-2"/>
              </w:rPr>
              <w:t xml:space="preserve">, p. </w:t>
            </w:r>
            <w:r w:rsidR="00854678" w:rsidRPr="00B40A77">
              <w:rPr>
                <w:color w:val="000000" w:themeColor="text1"/>
                <w:spacing w:val="-2"/>
              </w:rPr>
              <w:t>6946</w:t>
            </w:r>
          </w:p>
        </w:tc>
        <w:tc>
          <w:tcPr>
            <w:tcW w:w="2268" w:type="dxa"/>
            <w:hideMark/>
          </w:tcPr>
          <w:p w14:paraId="239216E2" w14:textId="2B71C84A" w:rsidR="00AA7151" w:rsidRPr="00B40A77" w:rsidRDefault="00CB68F8" w:rsidP="00AA7151">
            <w:pPr>
              <w:tabs>
                <w:tab w:val="left" w:pos="709"/>
                <w:tab w:val="left" w:pos="3119"/>
                <w:tab w:val="left" w:pos="6237"/>
              </w:tabs>
              <w:suppressAutoHyphens/>
              <w:spacing w:before="0" w:after="0" w:line="240" w:lineRule="exact"/>
              <w:rPr>
                <w:color w:val="000000" w:themeColor="text1"/>
                <w:spacing w:val="-2"/>
                <w:lang w:val="en-GB"/>
              </w:rPr>
            </w:pPr>
            <w:r w:rsidRPr="00B40A77">
              <w:rPr>
                <w:color w:val="000000" w:themeColor="text1"/>
                <w:spacing w:val="-2"/>
              </w:rPr>
              <w:t>3 January 2023</w:t>
            </w:r>
          </w:p>
        </w:tc>
      </w:tr>
      <w:tr w:rsidR="00AA7151" w:rsidRPr="008627C6" w14:paraId="2B480821" w14:textId="77777777" w:rsidTr="00AA7151">
        <w:tc>
          <w:tcPr>
            <w:tcW w:w="992" w:type="dxa"/>
          </w:tcPr>
          <w:p w14:paraId="173A0A4B" w14:textId="2484D5E5" w:rsidR="00AA7151" w:rsidRPr="008627C6" w:rsidRDefault="00AC4898" w:rsidP="00AA7151">
            <w:pPr>
              <w:tabs>
                <w:tab w:val="left" w:pos="709"/>
                <w:tab w:val="left" w:pos="3119"/>
                <w:tab w:val="left" w:pos="6237"/>
              </w:tabs>
              <w:suppressAutoHyphens/>
              <w:spacing w:before="0" w:after="0" w:line="240" w:lineRule="exact"/>
              <w:rPr>
                <w:bCs/>
                <w:color w:val="000000" w:themeColor="text1"/>
                <w:spacing w:val="-2"/>
              </w:rPr>
            </w:pPr>
            <w:r w:rsidRPr="008627C6">
              <w:rPr>
                <w:bCs/>
                <w:color w:val="000000" w:themeColor="text1"/>
                <w:spacing w:val="-2"/>
              </w:rPr>
              <w:t>2</w:t>
            </w:r>
          </w:p>
        </w:tc>
        <w:tc>
          <w:tcPr>
            <w:tcW w:w="2126" w:type="dxa"/>
          </w:tcPr>
          <w:p w14:paraId="28A99B31" w14:textId="7E24829F" w:rsidR="00AA7151" w:rsidRPr="008627C6" w:rsidRDefault="001A1386" w:rsidP="00AA7151">
            <w:pPr>
              <w:tabs>
                <w:tab w:val="left" w:pos="709"/>
                <w:tab w:val="left" w:pos="3119"/>
                <w:tab w:val="left" w:pos="6237"/>
              </w:tabs>
              <w:suppressAutoHyphens/>
              <w:spacing w:before="0" w:after="0" w:line="240" w:lineRule="exact"/>
              <w:rPr>
                <w:bCs/>
                <w:color w:val="000000" w:themeColor="text1"/>
                <w:spacing w:val="-2"/>
                <w:lang w:val="en-GB"/>
              </w:rPr>
            </w:pPr>
            <w:r w:rsidRPr="008627C6">
              <w:rPr>
                <w:bCs/>
                <w:color w:val="000000" w:themeColor="text1"/>
                <w:spacing w:val="-2"/>
                <w:lang w:val="en-GB"/>
              </w:rPr>
              <w:t xml:space="preserve">6 </w:t>
            </w:r>
            <w:r w:rsidR="00AC4898" w:rsidRPr="008627C6">
              <w:rPr>
                <w:bCs/>
                <w:color w:val="000000" w:themeColor="text1"/>
                <w:spacing w:val="-2"/>
                <w:lang w:val="en-GB"/>
              </w:rPr>
              <w:t>June 2023</w:t>
            </w:r>
          </w:p>
        </w:tc>
        <w:tc>
          <w:tcPr>
            <w:tcW w:w="2977" w:type="dxa"/>
          </w:tcPr>
          <w:p w14:paraId="0DB36645" w14:textId="45203A61" w:rsidR="00AA7151" w:rsidRPr="008627C6" w:rsidRDefault="001A1386" w:rsidP="00AA7151">
            <w:pPr>
              <w:tabs>
                <w:tab w:val="left" w:pos="709"/>
                <w:tab w:val="left" w:pos="3119"/>
                <w:tab w:val="left" w:pos="6237"/>
              </w:tabs>
              <w:suppressAutoHyphens/>
              <w:spacing w:before="0" w:after="0" w:line="240" w:lineRule="exact"/>
              <w:rPr>
                <w:bCs/>
                <w:color w:val="000000" w:themeColor="text1"/>
                <w:spacing w:val="-2"/>
              </w:rPr>
            </w:pPr>
            <w:r w:rsidRPr="008627C6">
              <w:rPr>
                <w:bCs/>
                <w:color w:val="000000" w:themeColor="text1"/>
                <w:spacing w:val="-2"/>
              </w:rPr>
              <w:t>22</w:t>
            </w:r>
            <w:r w:rsidR="00AC4898" w:rsidRPr="008627C6">
              <w:rPr>
                <w:bCs/>
                <w:color w:val="000000" w:themeColor="text1"/>
                <w:spacing w:val="-2"/>
              </w:rPr>
              <w:t xml:space="preserve"> June 2023, p. </w:t>
            </w:r>
            <w:r w:rsidRPr="008627C6">
              <w:rPr>
                <w:bCs/>
                <w:color w:val="000000" w:themeColor="text1"/>
                <w:spacing w:val="-2"/>
              </w:rPr>
              <w:t>1874</w:t>
            </w:r>
          </w:p>
        </w:tc>
        <w:tc>
          <w:tcPr>
            <w:tcW w:w="2268" w:type="dxa"/>
          </w:tcPr>
          <w:p w14:paraId="366712C6" w14:textId="0F7206FC" w:rsidR="00AA7151" w:rsidRPr="008627C6" w:rsidRDefault="00AC4898" w:rsidP="00AA7151">
            <w:pPr>
              <w:tabs>
                <w:tab w:val="left" w:pos="709"/>
                <w:tab w:val="left" w:pos="3119"/>
                <w:tab w:val="left" w:pos="6237"/>
              </w:tabs>
              <w:suppressAutoHyphens/>
              <w:spacing w:before="0" w:after="0" w:line="240" w:lineRule="exact"/>
              <w:rPr>
                <w:bCs/>
                <w:color w:val="000000" w:themeColor="text1"/>
                <w:spacing w:val="-2"/>
              </w:rPr>
            </w:pPr>
            <w:r w:rsidRPr="008627C6">
              <w:rPr>
                <w:bCs/>
                <w:color w:val="000000" w:themeColor="text1"/>
                <w:spacing w:val="-2"/>
              </w:rPr>
              <w:t>3 July 2023</w:t>
            </w:r>
          </w:p>
        </w:tc>
      </w:tr>
      <w:tr w:rsidR="008627C6" w:rsidRPr="00B96CEF" w14:paraId="0841DF7B" w14:textId="77777777" w:rsidTr="00AA7151">
        <w:tc>
          <w:tcPr>
            <w:tcW w:w="992" w:type="dxa"/>
          </w:tcPr>
          <w:p w14:paraId="4539F961" w14:textId="04B7BF0E" w:rsidR="008627C6" w:rsidRPr="00B96CEF" w:rsidRDefault="008627C6" w:rsidP="00AA7151">
            <w:pPr>
              <w:tabs>
                <w:tab w:val="left" w:pos="709"/>
                <w:tab w:val="left" w:pos="3119"/>
                <w:tab w:val="left" w:pos="6237"/>
              </w:tabs>
              <w:suppressAutoHyphens/>
              <w:spacing w:before="0" w:after="0" w:line="240" w:lineRule="exact"/>
              <w:rPr>
                <w:bCs/>
                <w:color w:val="000000" w:themeColor="text1"/>
                <w:spacing w:val="-2"/>
              </w:rPr>
            </w:pPr>
            <w:r w:rsidRPr="00B96CEF">
              <w:rPr>
                <w:bCs/>
                <w:color w:val="000000" w:themeColor="text1"/>
                <w:spacing w:val="-2"/>
              </w:rPr>
              <w:t>3</w:t>
            </w:r>
          </w:p>
        </w:tc>
        <w:tc>
          <w:tcPr>
            <w:tcW w:w="2126" w:type="dxa"/>
          </w:tcPr>
          <w:p w14:paraId="5C20D65A" w14:textId="06DF315D" w:rsidR="008627C6" w:rsidRPr="00B96CEF" w:rsidRDefault="008637CF" w:rsidP="00AA7151">
            <w:pPr>
              <w:tabs>
                <w:tab w:val="left" w:pos="709"/>
                <w:tab w:val="left" w:pos="3119"/>
                <w:tab w:val="left" w:pos="6237"/>
              </w:tabs>
              <w:suppressAutoHyphens/>
              <w:spacing w:before="0" w:after="0" w:line="240" w:lineRule="exact"/>
              <w:rPr>
                <w:bCs/>
                <w:color w:val="000000" w:themeColor="text1"/>
                <w:spacing w:val="-2"/>
                <w:lang w:val="en-GB"/>
              </w:rPr>
            </w:pPr>
            <w:r w:rsidRPr="00B96CEF">
              <w:rPr>
                <w:bCs/>
                <w:color w:val="000000" w:themeColor="text1"/>
                <w:spacing w:val="-2"/>
                <w:lang w:val="en-GB"/>
              </w:rPr>
              <w:t>11</w:t>
            </w:r>
            <w:r w:rsidR="008627C6" w:rsidRPr="00B96CEF">
              <w:rPr>
                <w:bCs/>
                <w:color w:val="000000" w:themeColor="text1"/>
                <w:spacing w:val="-2"/>
                <w:lang w:val="en-GB"/>
              </w:rPr>
              <w:t xml:space="preserve"> December 2023</w:t>
            </w:r>
          </w:p>
        </w:tc>
        <w:tc>
          <w:tcPr>
            <w:tcW w:w="2977" w:type="dxa"/>
          </w:tcPr>
          <w:p w14:paraId="72CC2BE9" w14:textId="12CF65CA" w:rsidR="008627C6" w:rsidRPr="00B96CEF" w:rsidRDefault="008637CF" w:rsidP="00AA7151">
            <w:pPr>
              <w:tabs>
                <w:tab w:val="left" w:pos="709"/>
                <w:tab w:val="left" w:pos="3119"/>
                <w:tab w:val="left" w:pos="6237"/>
              </w:tabs>
              <w:suppressAutoHyphens/>
              <w:spacing w:before="0" w:after="0" w:line="240" w:lineRule="exact"/>
              <w:rPr>
                <w:bCs/>
                <w:color w:val="000000" w:themeColor="text1"/>
                <w:spacing w:val="-2"/>
              </w:rPr>
            </w:pPr>
            <w:r w:rsidRPr="00B96CEF">
              <w:rPr>
                <w:bCs/>
                <w:color w:val="000000" w:themeColor="text1"/>
                <w:spacing w:val="-2"/>
              </w:rPr>
              <w:t>22</w:t>
            </w:r>
            <w:r w:rsidR="008627C6" w:rsidRPr="00B96CEF">
              <w:rPr>
                <w:bCs/>
                <w:color w:val="000000" w:themeColor="text1"/>
                <w:spacing w:val="-2"/>
              </w:rPr>
              <w:t xml:space="preserve"> December 2023</w:t>
            </w:r>
            <w:r w:rsidR="001C0011" w:rsidRPr="00B96CEF">
              <w:rPr>
                <w:bCs/>
                <w:color w:val="000000" w:themeColor="text1"/>
                <w:spacing w:val="-2"/>
              </w:rPr>
              <w:t>, p. 4212</w:t>
            </w:r>
          </w:p>
        </w:tc>
        <w:tc>
          <w:tcPr>
            <w:tcW w:w="2268" w:type="dxa"/>
          </w:tcPr>
          <w:p w14:paraId="1DBD7518" w14:textId="774E450A" w:rsidR="008627C6" w:rsidRPr="00B96CEF" w:rsidRDefault="008627C6" w:rsidP="00AA7151">
            <w:pPr>
              <w:tabs>
                <w:tab w:val="left" w:pos="709"/>
                <w:tab w:val="left" w:pos="3119"/>
                <w:tab w:val="left" w:pos="6237"/>
              </w:tabs>
              <w:suppressAutoHyphens/>
              <w:spacing w:before="0" w:after="0" w:line="240" w:lineRule="exact"/>
              <w:rPr>
                <w:bCs/>
                <w:color w:val="000000" w:themeColor="text1"/>
                <w:spacing w:val="-2"/>
              </w:rPr>
            </w:pPr>
            <w:r w:rsidRPr="00B96CEF">
              <w:rPr>
                <w:bCs/>
                <w:color w:val="000000" w:themeColor="text1"/>
                <w:spacing w:val="-2"/>
              </w:rPr>
              <w:t>1 January 2024</w:t>
            </w:r>
          </w:p>
        </w:tc>
      </w:tr>
      <w:tr w:rsidR="00B96CEF" w:rsidRPr="002E1545" w14:paraId="51740C42" w14:textId="77777777" w:rsidTr="00AA7151">
        <w:tc>
          <w:tcPr>
            <w:tcW w:w="992" w:type="dxa"/>
          </w:tcPr>
          <w:p w14:paraId="70F84CBC" w14:textId="77777777" w:rsidR="00B96CEF" w:rsidRPr="002E1545" w:rsidRDefault="00B96CEF"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4</w:t>
            </w:r>
          </w:p>
          <w:p w14:paraId="3D1F6716" w14:textId="4D1C6EFE" w:rsidR="00F23957" w:rsidRPr="002E1545" w:rsidRDefault="00F23957"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5</w:t>
            </w:r>
          </w:p>
        </w:tc>
        <w:tc>
          <w:tcPr>
            <w:tcW w:w="2126" w:type="dxa"/>
          </w:tcPr>
          <w:p w14:paraId="4CE625A9" w14:textId="77777777" w:rsidR="00B96CEF" w:rsidRPr="002E1545" w:rsidRDefault="003B042F" w:rsidP="00AA7151">
            <w:pPr>
              <w:tabs>
                <w:tab w:val="left" w:pos="709"/>
                <w:tab w:val="left" w:pos="3119"/>
                <w:tab w:val="left" w:pos="6237"/>
              </w:tabs>
              <w:suppressAutoHyphens/>
              <w:spacing w:before="0" w:after="0" w:line="240" w:lineRule="exact"/>
              <w:rPr>
                <w:bCs/>
                <w:color w:val="000000" w:themeColor="text1"/>
                <w:spacing w:val="-2"/>
                <w:lang w:val="en-GB"/>
              </w:rPr>
            </w:pPr>
            <w:r w:rsidRPr="002E1545">
              <w:rPr>
                <w:bCs/>
                <w:color w:val="000000" w:themeColor="text1"/>
                <w:spacing w:val="-2"/>
                <w:lang w:val="en-GB"/>
              </w:rPr>
              <w:t xml:space="preserve">7 </w:t>
            </w:r>
            <w:r w:rsidR="00BB0C85" w:rsidRPr="002E1545">
              <w:rPr>
                <w:bCs/>
                <w:color w:val="000000" w:themeColor="text1"/>
                <w:spacing w:val="-2"/>
                <w:lang w:val="en-GB"/>
              </w:rPr>
              <w:t>August 2024</w:t>
            </w:r>
          </w:p>
          <w:p w14:paraId="78C286B6" w14:textId="3406B7DE" w:rsidR="00F23957" w:rsidRPr="002E1545" w:rsidRDefault="00F23957" w:rsidP="00AA7151">
            <w:pPr>
              <w:tabs>
                <w:tab w:val="left" w:pos="709"/>
                <w:tab w:val="left" w:pos="3119"/>
                <w:tab w:val="left" w:pos="6237"/>
              </w:tabs>
              <w:suppressAutoHyphens/>
              <w:spacing w:before="0" w:after="0" w:line="240" w:lineRule="exact"/>
              <w:rPr>
                <w:bCs/>
                <w:color w:val="000000" w:themeColor="text1"/>
                <w:spacing w:val="-2"/>
                <w:lang w:val="en-GB"/>
              </w:rPr>
            </w:pPr>
            <w:r w:rsidRPr="002E1545">
              <w:rPr>
                <w:bCs/>
                <w:color w:val="000000" w:themeColor="text1"/>
                <w:spacing w:val="-2"/>
                <w:lang w:val="en-GB"/>
              </w:rPr>
              <w:t>6 December 2024</w:t>
            </w:r>
          </w:p>
        </w:tc>
        <w:tc>
          <w:tcPr>
            <w:tcW w:w="2977" w:type="dxa"/>
          </w:tcPr>
          <w:p w14:paraId="07C5DF84" w14:textId="77777777" w:rsidR="00B96CEF" w:rsidRPr="002E1545" w:rsidRDefault="003B042F"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21</w:t>
            </w:r>
            <w:r w:rsidR="00BB0C85" w:rsidRPr="002E1545">
              <w:rPr>
                <w:bCs/>
                <w:color w:val="000000" w:themeColor="text1"/>
                <w:spacing w:val="-2"/>
              </w:rPr>
              <w:t xml:space="preserve"> August 2024, p. </w:t>
            </w:r>
            <w:r w:rsidR="00676339" w:rsidRPr="002E1545">
              <w:rPr>
                <w:bCs/>
                <w:color w:val="000000" w:themeColor="text1"/>
                <w:spacing w:val="-2"/>
              </w:rPr>
              <w:t>2472</w:t>
            </w:r>
          </w:p>
          <w:p w14:paraId="59B6FE82" w14:textId="3D9001A4" w:rsidR="00F23957" w:rsidRPr="002E1545" w:rsidRDefault="00F23957"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12 December 2024, p.</w:t>
            </w:r>
            <w:r w:rsidR="00740982" w:rsidRPr="002E1545">
              <w:rPr>
                <w:bCs/>
                <w:color w:val="000000" w:themeColor="text1"/>
                <w:spacing w:val="-2"/>
              </w:rPr>
              <w:t xml:space="preserve"> </w:t>
            </w:r>
            <w:r w:rsidR="00A61B39" w:rsidRPr="002E1545">
              <w:rPr>
                <w:bCs/>
                <w:color w:val="000000" w:themeColor="text1"/>
                <w:spacing w:val="-2"/>
              </w:rPr>
              <w:t>4673</w:t>
            </w:r>
          </w:p>
        </w:tc>
        <w:tc>
          <w:tcPr>
            <w:tcW w:w="2268" w:type="dxa"/>
          </w:tcPr>
          <w:p w14:paraId="60C99A9A" w14:textId="77777777" w:rsidR="00B96CEF" w:rsidRPr="002E1545" w:rsidRDefault="00BB0C85"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26 August 2024</w:t>
            </w:r>
          </w:p>
          <w:p w14:paraId="5C4EADF2" w14:textId="47A1741D" w:rsidR="00F23957" w:rsidRPr="002E1545" w:rsidRDefault="00F23957" w:rsidP="00AA7151">
            <w:pPr>
              <w:tabs>
                <w:tab w:val="left" w:pos="709"/>
                <w:tab w:val="left" w:pos="3119"/>
                <w:tab w:val="left" w:pos="6237"/>
              </w:tabs>
              <w:suppressAutoHyphens/>
              <w:spacing w:before="0" w:after="0" w:line="240" w:lineRule="exact"/>
              <w:rPr>
                <w:bCs/>
                <w:color w:val="000000" w:themeColor="text1"/>
                <w:spacing w:val="-2"/>
              </w:rPr>
            </w:pPr>
            <w:r w:rsidRPr="002E1545">
              <w:rPr>
                <w:bCs/>
                <w:color w:val="000000" w:themeColor="text1"/>
                <w:spacing w:val="-2"/>
              </w:rPr>
              <w:t>16 December 2024</w:t>
            </w:r>
          </w:p>
        </w:tc>
      </w:tr>
      <w:tr w:rsidR="002E1545" w:rsidRPr="00BB0C85" w14:paraId="416C6490" w14:textId="77777777" w:rsidTr="00AA7151">
        <w:tc>
          <w:tcPr>
            <w:tcW w:w="992" w:type="dxa"/>
          </w:tcPr>
          <w:p w14:paraId="0B56D610" w14:textId="17A67F4F" w:rsidR="002E1545" w:rsidRPr="00F23957" w:rsidRDefault="002E1545" w:rsidP="00AA7151">
            <w:pPr>
              <w:tabs>
                <w:tab w:val="left" w:pos="709"/>
                <w:tab w:val="left" w:pos="3119"/>
                <w:tab w:val="left" w:pos="6237"/>
              </w:tabs>
              <w:suppressAutoHyphens/>
              <w:spacing w:before="0" w:after="0" w:line="240" w:lineRule="exact"/>
              <w:rPr>
                <w:bCs/>
                <w:color w:val="000000" w:themeColor="text1"/>
                <w:spacing w:val="-2"/>
              </w:rPr>
            </w:pPr>
            <w:r>
              <w:rPr>
                <w:bCs/>
                <w:color w:val="000000" w:themeColor="text1"/>
                <w:spacing w:val="-2"/>
              </w:rPr>
              <w:t>6</w:t>
            </w:r>
          </w:p>
        </w:tc>
        <w:tc>
          <w:tcPr>
            <w:tcW w:w="2126" w:type="dxa"/>
          </w:tcPr>
          <w:p w14:paraId="1D5EEAB2" w14:textId="7572A5D0" w:rsidR="002E1545" w:rsidRPr="00F23957" w:rsidRDefault="002E1545" w:rsidP="00AA7151">
            <w:pPr>
              <w:tabs>
                <w:tab w:val="left" w:pos="709"/>
                <w:tab w:val="left" w:pos="3119"/>
                <w:tab w:val="left" w:pos="6237"/>
              </w:tabs>
              <w:suppressAutoHyphens/>
              <w:spacing w:before="0" w:after="0" w:line="240" w:lineRule="exact"/>
              <w:rPr>
                <w:bCs/>
                <w:color w:val="000000" w:themeColor="text1"/>
                <w:spacing w:val="-2"/>
                <w:lang w:val="en-GB"/>
              </w:rPr>
            </w:pPr>
            <w:r>
              <w:rPr>
                <w:bCs/>
                <w:color w:val="000000" w:themeColor="text1"/>
                <w:spacing w:val="-2"/>
                <w:lang w:val="en-GB"/>
              </w:rPr>
              <w:t>26 March 2025</w:t>
            </w:r>
          </w:p>
        </w:tc>
        <w:tc>
          <w:tcPr>
            <w:tcW w:w="2977" w:type="dxa"/>
          </w:tcPr>
          <w:p w14:paraId="5D5E820F" w14:textId="4ED795C5" w:rsidR="002E1545" w:rsidRPr="00F23957" w:rsidRDefault="002E1545" w:rsidP="00AA7151">
            <w:pPr>
              <w:tabs>
                <w:tab w:val="left" w:pos="709"/>
                <w:tab w:val="left" w:pos="3119"/>
                <w:tab w:val="left" w:pos="6237"/>
              </w:tabs>
              <w:suppressAutoHyphens/>
              <w:spacing w:before="0" w:after="0" w:line="240" w:lineRule="exact"/>
              <w:rPr>
                <w:bCs/>
                <w:color w:val="000000" w:themeColor="text1"/>
                <w:spacing w:val="-2"/>
              </w:rPr>
            </w:pPr>
            <w:r>
              <w:rPr>
                <w:bCs/>
                <w:color w:val="000000" w:themeColor="text1"/>
                <w:spacing w:val="-2"/>
              </w:rPr>
              <w:t>3 April 2025, p.</w:t>
            </w:r>
            <w:r w:rsidR="00AA43AA">
              <w:rPr>
                <w:bCs/>
                <w:color w:val="000000" w:themeColor="text1"/>
                <w:spacing w:val="-2"/>
              </w:rPr>
              <w:t xml:space="preserve"> 688</w:t>
            </w:r>
          </w:p>
        </w:tc>
        <w:tc>
          <w:tcPr>
            <w:tcW w:w="2268" w:type="dxa"/>
          </w:tcPr>
          <w:p w14:paraId="0DB059A9" w14:textId="014E69E3" w:rsidR="002E1545" w:rsidRPr="00F23957" w:rsidRDefault="002E1545" w:rsidP="00AA7151">
            <w:pPr>
              <w:tabs>
                <w:tab w:val="left" w:pos="709"/>
                <w:tab w:val="left" w:pos="3119"/>
                <w:tab w:val="left" w:pos="6237"/>
              </w:tabs>
              <w:suppressAutoHyphens/>
              <w:spacing w:before="0" w:after="0" w:line="240" w:lineRule="exact"/>
              <w:rPr>
                <w:bCs/>
                <w:color w:val="000000" w:themeColor="text1"/>
                <w:spacing w:val="-2"/>
              </w:rPr>
            </w:pPr>
            <w:r>
              <w:rPr>
                <w:bCs/>
                <w:color w:val="000000" w:themeColor="text1"/>
                <w:spacing w:val="-2"/>
              </w:rPr>
              <w:t>3 April 2025</w:t>
            </w:r>
          </w:p>
        </w:tc>
      </w:tr>
      <w:tr w:rsidR="002E1545" w:rsidRPr="00AA43AA" w14:paraId="35625011" w14:textId="77777777" w:rsidTr="00AA7151">
        <w:tc>
          <w:tcPr>
            <w:tcW w:w="992" w:type="dxa"/>
          </w:tcPr>
          <w:p w14:paraId="4F53817E" w14:textId="696EB916" w:rsidR="002E1545" w:rsidRPr="00AA43AA" w:rsidRDefault="002E1545" w:rsidP="00AA7151">
            <w:pPr>
              <w:tabs>
                <w:tab w:val="left" w:pos="709"/>
                <w:tab w:val="left" w:pos="3119"/>
                <w:tab w:val="left" w:pos="6237"/>
              </w:tabs>
              <w:suppressAutoHyphens/>
              <w:spacing w:before="0" w:after="0" w:line="240" w:lineRule="exact"/>
              <w:rPr>
                <w:b/>
                <w:color w:val="000000" w:themeColor="text1"/>
                <w:spacing w:val="-2"/>
              </w:rPr>
            </w:pPr>
            <w:r w:rsidRPr="00AA43AA">
              <w:rPr>
                <w:b/>
                <w:color w:val="000000" w:themeColor="text1"/>
                <w:spacing w:val="-2"/>
              </w:rPr>
              <w:t>7</w:t>
            </w:r>
          </w:p>
        </w:tc>
        <w:tc>
          <w:tcPr>
            <w:tcW w:w="2126" w:type="dxa"/>
          </w:tcPr>
          <w:p w14:paraId="519B9338" w14:textId="60DBE1E6" w:rsidR="002E1545" w:rsidRPr="00AA43AA" w:rsidRDefault="00AA43AA" w:rsidP="00AA7151">
            <w:pPr>
              <w:tabs>
                <w:tab w:val="left" w:pos="709"/>
                <w:tab w:val="left" w:pos="3119"/>
                <w:tab w:val="left" w:pos="6237"/>
              </w:tabs>
              <w:suppressAutoHyphens/>
              <w:spacing w:before="0" w:after="0" w:line="240" w:lineRule="exact"/>
              <w:rPr>
                <w:b/>
                <w:color w:val="000000" w:themeColor="text1"/>
                <w:spacing w:val="-2"/>
                <w:lang w:val="en-GB"/>
              </w:rPr>
            </w:pPr>
            <w:r w:rsidRPr="00AA43AA">
              <w:rPr>
                <w:b/>
                <w:color w:val="000000" w:themeColor="text1"/>
                <w:spacing w:val="-2"/>
                <w:lang w:val="en-GB"/>
              </w:rPr>
              <w:t>10 April 2025</w:t>
            </w:r>
          </w:p>
        </w:tc>
        <w:tc>
          <w:tcPr>
            <w:tcW w:w="2977" w:type="dxa"/>
          </w:tcPr>
          <w:p w14:paraId="586B9A04" w14:textId="5E21ABDE" w:rsidR="002E1545" w:rsidRPr="00AA43AA" w:rsidRDefault="002E1545" w:rsidP="00AA7151">
            <w:pPr>
              <w:tabs>
                <w:tab w:val="left" w:pos="709"/>
                <w:tab w:val="left" w:pos="3119"/>
                <w:tab w:val="left" w:pos="6237"/>
              </w:tabs>
              <w:suppressAutoHyphens/>
              <w:spacing w:before="0" w:after="0" w:line="240" w:lineRule="exact"/>
              <w:rPr>
                <w:b/>
                <w:color w:val="000000" w:themeColor="text1"/>
                <w:spacing w:val="-2"/>
              </w:rPr>
            </w:pPr>
            <w:r w:rsidRPr="00AA43AA">
              <w:rPr>
                <w:b/>
                <w:color w:val="000000" w:themeColor="text1"/>
                <w:spacing w:val="-2"/>
              </w:rPr>
              <w:t>24 April 2025, p.</w:t>
            </w:r>
            <w:r w:rsidR="00AA43AA">
              <w:rPr>
                <w:b/>
                <w:color w:val="000000" w:themeColor="text1"/>
                <w:spacing w:val="-2"/>
              </w:rPr>
              <w:t xml:space="preserve"> 790</w:t>
            </w:r>
          </w:p>
        </w:tc>
        <w:tc>
          <w:tcPr>
            <w:tcW w:w="2268" w:type="dxa"/>
          </w:tcPr>
          <w:p w14:paraId="33008104" w14:textId="254B552E" w:rsidR="002E1545" w:rsidRPr="00AA43AA" w:rsidRDefault="002E1545" w:rsidP="00AA7151">
            <w:pPr>
              <w:tabs>
                <w:tab w:val="left" w:pos="709"/>
                <w:tab w:val="left" w:pos="3119"/>
                <w:tab w:val="left" w:pos="6237"/>
              </w:tabs>
              <w:suppressAutoHyphens/>
              <w:spacing w:before="0" w:after="0" w:line="240" w:lineRule="exact"/>
              <w:rPr>
                <w:b/>
                <w:color w:val="000000" w:themeColor="text1"/>
                <w:spacing w:val="-2"/>
              </w:rPr>
            </w:pPr>
            <w:r w:rsidRPr="00AA43AA">
              <w:rPr>
                <w:b/>
                <w:color w:val="000000" w:themeColor="text1"/>
                <w:spacing w:val="-2"/>
              </w:rPr>
              <w:t>28 April 2025</w:t>
            </w:r>
          </w:p>
        </w:tc>
      </w:tr>
    </w:tbl>
    <w:p w14:paraId="62900722" w14:textId="77777777" w:rsidR="00AA7151" w:rsidRPr="00B40A77" w:rsidRDefault="00AA7151" w:rsidP="00281AD0">
      <w:pPr>
        <w:suppressAutoHyphens/>
        <w:spacing w:line="240" w:lineRule="exact"/>
        <w:rPr>
          <w:color w:val="000000" w:themeColor="text1"/>
          <w:spacing w:val="-2"/>
          <w:szCs w:val="23"/>
          <w:lang w:val="en-GB"/>
        </w:rPr>
      </w:pPr>
    </w:p>
    <w:p w14:paraId="2497F60E" w14:textId="77777777" w:rsidR="00393EB4" w:rsidRPr="00B40A77" w:rsidRDefault="00393EB4" w:rsidP="00281AD0">
      <w:pPr>
        <w:spacing w:before="240" w:after="60"/>
        <w:jc w:val="both"/>
        <w:rPr>
          <w:rFonts w:eastAsia="Calibri" w:cs="Times New Roman"/>
          <w:b/>
          <w:color w:val="000000" w:themeColor="text1"/>
          <w:kern w:val="52"/>
          <w:sz w:val="24"/>
          <w:szCs w:val="24"/>
        </w:rPr>
      </w:pPr>
      <w:r w:rsidRPr="00B40A77">
        <w:rPr>
          <w:rFonts w:eastAsia="Calibri" w:cs="Times New Roman"/>
          <w:b/>
          <w:color w:val="000000" w:themeColor="text1"/>
          <w:kern w:val="52"/>
          <w:sz w:val="24"/>
          <w:szCs w:val="24"/>
        </w:rPr>
        <w:t xml:space="preserve">The Chief Justice of the Supreme Court, the Chief Judge of the District Court, the Senior Judge of the Environment Resources and Environment Court, the Judge of the Youth Court and the Chief Magistrate of the Magistrates Court make the following Joint Criminal Rules 2022 under the </w:t>
      </w:r>
      <w:r w:rsidRPr="00B40A77">
        <w:rPr>
          <w:rFonts w:eastAsia="Calibri" w:cs="Times New Roman"/>
          <w:b/>
          <w:i/>
          <w:color w:val="000000" w:themeColor="text1"/>
          <w:kern w:val="52"/>
          <w:sz w:val="24"/>
          <w:szCs w:val="24"/>
        </w:rPr>
        <w:t>Supreme Court Act 1935</w:t>
      </w:r>
      <w:r w:rsidRPr="00B40A77">
        <w:rPr>
          <w:rFonts w:eastAsia="Calibri" w:cs="Times New Roman"/>
          <w:b/>
          <w:color w:val="000000" w:themeColor="text1"/>
          <w:kern w:val="52"/>
          <w:sz w:val="24"/>
          <w:szCs w:val="24"/>
        </w:rPr>
        <w:t xml:space="preserve">, the </w:t>
      </w:r>
      <w:r w:rsidRPr="00B40A77">
        <w:rPr>
          <w:rFonts w:eastAsia="Calibri" w:cs="Times New Roman"/>
          <w:b/>
          <w:i/>
          <w:color w:val="000000" w:themeColor="text1"/>
          <w:kern w:val="52"/>
          <w:sz w:val="24"/>
          <w:szCs w:val="24"/>
        </w:rPr>
        <w:t xml:space="preserve">District Court Act 1991, </w:t>
      </w:r>
      <w:r w:rsidRPr="00B40A77">
        <w:rPr>
          <w:rFonts w:eastAsia="Calibri" w:cs="Times New Roman"/>
          <w:b/>
          <w:color w:val="000000" w:themeColor="text1"/>
          <w:kern w:val="52"/>
          <w:sz w:val="24"/>
          <w:szCs w:val="24"/>
        </w:rPr>
        <w:t>the</w:t>
      </w:r>
      <w:r w:rsidRPr="00B40A77">
        <w:rPr>
          <w:rFonts w:eastAsia="Calibri" w:cs="Times New Roman"/>
          <w:b/>
          <w:i/>
          <w:color w:val="000000" w:themeColor="text1"/>
          <w:kern w:val="52"/>
          <w:sz w:val="24"/>
          <w:szCs w:val="24"/>
        </w:rPr>
        <w:t xml:space="preserve"> Environment Resources and Development Court Act 1993</w:t>
      </w:r>
      <w:r w:rsidRPr="00B40A77">
        <w:rPr>
          <w:rFonts w:eastAsia="Calibri" w:cs="Times New Roman"/>
          <w:b/>
          <w:color w:val="000000" w:themeColor="text1"/>
          <w:kern w:val="52"/>
          <w:sz w:val="24"/>
          <w:szCs w:val="24"/>
        </w:rPr>
        <w:t xml:space="preserve">, the </w:t>
      </w:r>
      <w:r w:rsidRPr="00B40A77">
        <w:rPr>
          <w:rFonts w:eastAsia="Calibri" w:cs="Times New Roman"/>
          <w:b/>
          <w:i/>
          <w:color w:val="000000" w:themeColor="text1"/>
          <w:kern w:val="52"/>
          <w:sz w:val="24"/>
          <w:szCs w:val="24"/>
        </w:rPr>
        <w:t>Youth Court Act 1993</w:t>
      </w:r>
      <w:r w:rsidRPr="00B40A77">
        <w:rPr>
          <w:rFonts w:eastAsia="Calibri" w:cs="Times New Roman"/>
          <w:b/>
          <w:color w:val="000000" w:themeColor="text1"/>
          <w:kern w:val="52"/>
          <w:sz w:val="24"/>
          <w:szCs w:val="24"/>
        </w:rPr>
        <w:t xml:space="preserve"> and the </w:t>
      </w:r>
      <w:r w:rsidRPr="00B40A77">
        <w:rPr>
          <w:rFonts w:eastAsia="Calibri" w:cs="Times New Roman"/>
          <w:b/>
          <w:i/>
          <w:color w:val="000000" w:themeColor="text1"/>
          <w:kern w:val="52"/>
          <w:sz w:val="24"/>
          <w:szCs w:val="24"/>
        </w:rPr>
        <w:t xml:space="preserve">Magistrates Court Act 1991, </w:t>
      </w:r>
      <w:r w:rsidRPr="00B40A77">
        <w:rPr>
          <w:rFonts w:eastAsia="Calibri" w:cs="Times New Roman"/>
          <w:b/>
          <w:iCs/>
          <w:color w:val="000000" w:themeColor="text1"/>
          <w:kern w:val="52"/>
          <w:sz w:val="24"/>
          <w:szCs w:val="24"/>
        </w:rPr>
        <w:t>and all other enabling powers</w:t>
      </w:r>
      <w:r w:rsidRPr="00B40A77">
        <w:rPr>
          <w:rFonts w:eastAsia="Calibri" w:cs="Times New Roman"/>
          <w:b/>
          <w:bCs/>
          <w:iCs/>
          <w:color w:val="000000" w:themeColor="text1"/>
          <w:kern w:val="52"/>
          <w:sz w:val="24"/>
          <w:szCs w:val="24"/>
        </w:rPr>
        <w:t>.</w:t>
      </w:r>
    </w:p>
    <w:p w14:paraId="21C9D7BD" w14:textId="77777777" w:rsidR="00C93900" w:rsidRPr="00B40A77" w:rsidRDefault="00C93900">
      <w:pPr>
        <w:spacing w:before="0" w:after="160" w:line="259" w:lineRule="auto"/>
        <w:rPr>
          <w:color w:val="000000" w:themeColor="text1"/>
          <w:sz w:val="40"/>
        </w:rPr>
      </w:pPr>
    </w:p>
    <w:p w14:paraId="457C874B" w14:textId="0A70BB30" w:rsidR="00C93900" w:rsidRPr="00B40A77" w:rsidRDefault="00C93900">
      <w:pPr>
        <w:spacing w:before="0" w:after="160" w:line="259" w:lineRule="auto"/>
        <w:rPr>
          <w:color w:val="000000" w:themeColor="text1"/>
          <w:sz w:val="40"/>
        </w:rPr>
        <w:sectPr w:rsidR="00C93900" w:rsidRPr="00B40A77" w:rsidSect="00C93900">
          <w:headerReference w:type="even" r:id="rId11"/>
          <w:headerReference w:type="default" r:id="rId12"/>
          <w:footerReference w:type="even" r:id="rId13"/>
          <w:footerReference w:type="default" r:id="rId14"/>
          <w:footerReference w:type="first" r:id="rId15"/>
          <w:pgSz w:w="11906" w:h="16838" w:code="9"/>
          <w:pgMar w:top="1440" w:right="1440" w:bottom="1440" w:left="1440" w:header="709" w:footer="709" w:gutter="0"/>
          <w:pgNumType w:fmt="lowerRoman"/>
          <w:cols w:space="708"/>
          <w:vAlign w:val="center"/>
          <w:titlePg/>
          <w:docGrid w:linePitch="360"/>
        </w:sectPr>
      </w:pPr>
    </w:p>
    <w:bookmarkEnd w:id="0"/>
    <w:p w14:paraId="0FA12BC9" w14:textId="77777777" w:rsidR="00DA39E2" w:rsidRPr="00B40A77" w:rsidRDefault="00DA39E2" w:rsidP="00173536">
      <w:pPr>
        <w:keepNext/>
        <w:rPr>
          <w:b/>
          <w:color w:val="000000" w:themeColor="text1"/>
          <w:sz w:val="32"/>
          <w:szCs w:val="32"/>
        </w:rPr>
      </w:pPr>
      <w:r w:rsidRPr="00B40A77">
        <w:rPr>
          <w:b/>
          <w:color w:val="000000" w:themeColor="text1"/>
          <w:sz w:val="32"/>
          <w:szCs w:val="32"/>
        </w:rPr>
        <w:lastRenderedPageBreak/>
        <w:t>Table of Contents</w:t>
      </w:r>
      <w:r w:rsidR="00A8758E" w:rsidRPr="00B40A77">
        <w:rPr>
          <w:color w:val="000000" w:themeColor="text1"/>
          <w:lang w:val="en-US"/>
        </w:rPr>
        <w:t>—</w:t>
      </w:r>
    </w:p>
    <w:p w14:paraId="35197A2F" w14:textId="77777777" w:rsidR="00DA39E2" w:rsidRPr="00B40A77" w:rsidRDefault="000911D2" w:rsidP="00173536">
      <w:pPr>
        <w:pStyle w:val="NoteHeader"/>
        <w:keepNext/>
        <w:ind w:left="284"/>
        <w:rPr>
          <w:color w:val="000000" w:themeColor="text1"/>
          <w:lang w:val="en-US"/>
        </w:rPr>
      </w:pPr>
      <w:r w:rsidRPr="00B40A77">
        <w:rPr>
          <w:color w:val="000000" w:themeColor="text1"/>
        </w:rPr>
        <w:t>N</w:t>
      </w:r>
      <w:r w:rsidR="00DA39E2" w:rsidRPr="00B40A77">
        <w:rPr>
          <w:color w:val="000000" w:themeColor="text1"/>
        </w:rPr>
        <w:t>ote</w:t>
      </w:r>
      <w:r w:rsidR="00DA39E2" w:rsidRPr="00B40A77">
        <w:rPr>
          <w:color w:val="000000" w:themeColor="text1"/>
          <w:lang w:val="en-US"/>
        </w:rPr>
        <w:t>—</w:t>
      </w:r>
    </w:p>
    <w:p w14:paraId="2D711E52" w14:textId="798607AC" w:rsidR="00DA39E2" w:rsidRPr="00B40A77" w:rsidRDefault="00107FC9" w:rsidP="00C352AB">
      <w:pPr>
        <w:pStyle w:val="NoteText"/>
        <w:ind w:left="568"/>
        <w:rPr>
          <w:color w:val="000000" w:themeColor="text1"/>
          <w:lang w:val="en-US"/>
        </w:rPr>
      </w:pPr>
      <w:r w:rsidRPr="00B40A77">
        <w:rPr>
          <w:color w:val="000000" w:themeColor="text1"/>
          <w:lang w:val="en-US"/>
        </w:rPr>
        <w:t>The numbering convention adopted in these Rules provides for a gap in the numbering of rules between chapters</w:t>
      </w:r>
      <w:r w:rsidR="00681026" w:rsidRPr="00B40A77">
        <w:rPr>
          <w:color w:val="000000" w:themeColor="text1"/>
          <w:lang w:val="en-US"/>
        </w:rPr>
        <w:t>. The rule numbering in e</w:t>
      </w:r>
      <w:r w:rsidRPr="00B40A77">
        <w:rPr>
          <w:color w:val="000000" w:themeColor="text1"/>
          <w:lang w:val="en-US"/>
        </w:rPr>
        <w:t>ach chapter be</w:t>
      </w:r>
      <w:r w:rsidR="00681026" w:rsidRPr="00B40A77">
        <w:rPr>
          <w:color w:val="000000" w:themeColor="text1"/>
          <w:lang w:val="en-US"/>
        </w:rPr>
        <w:t>gin</w:t>
      </w:r>
      <w:r w:rsidRPr="00B40A77">
        <w:rPr>
          <w:color w:val="000000" w:themeColor="text1"/>
          <w:lang w:val="en-US"/>
        </w:rPr>
        <w:t xml:space="preserve">s with a new </w:t>
      </w:r>
      <w:r w:rsidR="00681026" w:rsidRPr="00B40A77">
        <w:rPr>
          <w:color w:val="000000" w:themeColor="text1"/>
          <w:lang w:val="en-US"/>
        </w:rPr>
        <w:t>factor of ten</w:t>
      </w:r>
      <w:r w:rsidRPr="00B40A77">
        <w:rPr>
          <w:color w:val="000000" w:themeColor="text1"/>
          <w:lang w:val="en-US"/>
        </w:rPr>
        <w:t>.</w:t>
      </w:r>
      <w:r w:rsidR="00020E32" w:rsidRPr="00B40A77">
        <w:rPr>
          <w:color w:val="000000" w:themeColor="text1"/>
          <w:lang w:val="en-US"/>
        </w:rPr>
        <w:t xml:space="preserve"> For example, the </w:t>
      </w:r>
      <w:r w:rsidR="006B0205" w:rsidRPr="00B40A77">
        <w:rPr>
          <w:color w:val="000000" w:themeColor="text1"/>
          <w:lang w:val="en-US"/>
        </w:rPr>
        <w:t>last rule in Chapter</w:t>
      </w:r>
      <w:r w:rsidR="00582B40" w:rsidRPr="00B40A77">
        <w:rPr>
          <w:color w:val="000000" w:themeColor="text1"/>
          <w:lang w:val="en-US"/>
        </w:rPr>
        <w:t> </w:t>
      </w:r>
      <w:r w:rsidR="006B0205" w:rsidRPr="00B40A77">
        <w:rPr>
          <w:color w:val="000000" w:themeColor="text1"/>
          <w:lang w:val="en-US"/>
        </w:rPr>
        <w:t>1 is rule</w:t>
      </w:r>
      <w:r w:rsidR="00582B40" w:rsidRPr="00B40A77">
        <w:rPr>
          <w:color w:val="000000" w:themeColor="text1"/>
          <w:lang w:val="en-US"/>
        </w:rPr>
        <w:t> </w:t>
      </w:r>
      <w:r w:rsidR="006B0205" w:rsidRPr="00B40A77">
        <w:rPr>
          <w:color w:val="000000" w:themeColor="text1"/>
          <w:lang w:val="en-US"/>
        </w:rPr>
        <w:t>3</w:t>
      </w:r>
      <w:r w:rsidR="00020E32" w:rsidRPr="00B40A77">
        <w:rPr>
          <w:color w:val="000000" w:themeColor="text1"/>
          <w:lang w:val="en-US"/>
        </w:rPr>
        <w:t xml:space="preserve"> but the fi</w:t>
      </w:r>
      <w:r w:rsidR="009C483D" w:rsidRPr="00B40A77">
        <w:rPr>
          <w:color w:val="000000" w:themeColor="text1"/>
          <w:lang w:val="en-US"/>
        </w:rPr>
        <w:t>rst rule in Chapter</w:t>
      </w:r>
      <w:r w:rsidR="00582B40" w:rsidRPr="00B40A77">
        <w:rPr>
          <w:color w:val="000000" w:themeColor="text1"/>
          <w:lang w:val="en-US"/>
        </w:rPr>
        <w:t> </w:t>
      </w:r>
      <w:r w:rsidR="009C483D" w:rsidRPr="00B40A77">
        <w:rPr>
          <w:color w:val="000000" w:themeColor="text1"/>
          <w:lang w:val="en-US"/>
        </w:rPr>
        <w:t>2 is rule</w:t>
      </w:r>
      <w:r w:rsidR="00582B40" w:rsidRPr="00B40A77">
        <w:rPr>
          <w:color w:val="000000" w:themeColor="text1"/>
          <w:lang w:val="en-US"/>
        </w:rPr>
        <w:t> </w:t>
      </w:r>
      <w:r w:rsidR="009C483D" w:rsidRPr="00B40A77">
        <w:rPr>
          <w:color w:val="000000" w:themeColor="text1"/>
          <w:lang w:val="en-US"/>
        </w:rPr>
        <w:t>11</w:t>
      </w:r>
      <w:r w:rsidR="00020E32" w:rsidRPr="00B40A77">
        <w:rPr>
          <w:color w:val="000000" w:themeColor="text1"/>
          <w:lang w:val="en-US"/>
        </w:rPr>
        <w:t>.</w:t>
      </w:r>
    </w:p>
    <w:p w14:paraId="7B590A71" w14:textId="2130085C" w:rsidR="003B042F" w:rsidRDefault="004057D2">
      <w:pPr>
        <w:pStyle w:val="TOC1"/>
        <w:rPr>
          <w:rFonts w:asciiTheme="minorHAnsi" w:eastAsiaTheme="minorEastAsia" w:hAnsiTheme="minorHAnsi" w:cstheme="minorBidi"/>
          <w:b w:val="0"/>
          <w:bCs w:val="0"/>
          <w:noProof/>
          <w:color w:val="auto"/>
          <w:sz w:val="22"/>
          <w:szCs w:val="22"/>
          <w:lang w:val="en-AU" w:eastAsia="en-AU"/>
        </w:rPr>
      </w:pPr>
      <w:r w:rsidRPr="00B40A77">
        <w:rPr>
          <w:color w:val="000000" w:themeColor="text1"/>
          <w:szCs w:val="26"/>
        </w:rPr>
        <w:fldChar w:fldCharType="begin"/>
      </w:r>
      <w:r w:rsidRPr="00B40A77">
        <w:rPr>
          <w:color w:val="000000" w:themeColor="text1"/>
          <w:szCs w:val="26"/>
        </w:rPr>
        <w:instrText xml:space="preserve"> TOC \o "3-4" \h \z \t "Heading 1,1,Heading 2,2" </w:instrText>
      </w:r>
      <w:r w:rsidRPr="00B40A77">
        <w:rPr>
          <w:color w:val="000000" w:themeColor="text1"/>
          <w:szCs w:val="26"/>
        </w:rPr>
        <w:fldChar w:fldCharType="separate"/>
      </w:r>
      <w:hyperlink w:anchor="_Toc175238718" w:history="1">
        <w:r w:rsidR="003B042F" w:rsidRPr="005871B3">
          <w:rPr>
            <w:rStyle w:val="Hyperlink"/>
            <w:noProof/>
          </w:rPr>
          <w:t>Chapter 1—Preliminary</w:t>
        </w:r>
        <w:r w:rsidR="003B042F">
          <w:rPr>
            <w:noProof/>
            <w:webHidden/>
          </w:rPr>
          <w:tab/>
        </w:r>
        <w:r w:rsidR="003B042F">
          <w:rPr>
            <w:noProof/>
            <w:webHidden/>
          </w:rPr>
          <w:fldChar w:fldCharType="begin"/>
        </w:r>
        <w:r w:rsidR="003B042F">
          <w:rPr>
            <w:noProof/>
            <w:webHidden/>
          </w:rPr>
          <w:instrText xml:space="preserve"> PAGEREF _Toc175238718 \h </w:instrText>
        </w:r>
        <w:r w:rsidR="003B042F">
          <w:rPr>
            <w:noProof/>
            <w:webHidden/>
          </w:rPr>
        </w:r>
        <w:r w:rsidR="003B042F">
          <w:rPr>
            <w:noProof/>
            <w:webHidden/>
          </w:rPr>
          <w:fldChar w:fldCharType="separate"/>
        </w:r>
        <w:r w:rsidR="00FD06AB">
          <w:rPr>
            <w:noProof/>
            <w:webHidden/>
          </w:rPr>
          <w:t>19</w:t>
        </w:r>
        <w:r w:rsidR="003B042F">
          <w:rPr>
            <w:noProof/>
            <w:webHidden/>
          </w:rPr>
          <w:fldChar w:fldCharType="end"/>
        </w:r>
      </w:hyperlink>
    </w:p>
    <w:p w14:paraId="21F28125" w14:textId="595BFCA2"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19" w:history="1">
        <w:r w:rsidRPr="005871B3">
          <w:rPr>
            <w:rStyle w:val="Hyperlink"/>
            <w:noProof/>
          </w:rPr>
          <w:t>Part 1—Introduction</w:t>
        </w:r>
        <w:r>
          <w:rPr>
            <w:noProof/>
            <w:webHidden/>
          </w:rPr>
          <w:tab/>
        </w:r>
        <w:r>
          <w:rPr>
            <w:noProof/>
            <w:webHidden/>
          </w:rPr>
          <w:fldChar w:fldCharType="begin"/>
        </w:r>
        <w:r>
          <w:rPr>
            <w:noProof/>
            <w:webHidden/>
          </w:rPr>
          <w:instrText xml:space="preserve"> PAGEREF _Toc175238719 \h </w:instrText>
        </w:r>
        <w:r>
          <w:rPr>
            <w:noProof/>
            <w:webHidden/>
          </w:rPr>
        </w:r>
        <w:r>
          <w:rPr>
            <w:noProof/>
            <w:webHidden/>
          </w:rPr>
          <w:fldChar w:fldCharType="separate"/>
        </w:r>
        <w:r w:rsidR="00FD06AB">
          <w:rPr>
            <w:noProof/>
            <w:webHidden/>
          </w:rPr>
          <w:t>19</w:t>
        </w:r>
        <w:r>
          <w:rPr>
            <w:noProof/>
            <w:webHidden/>
          </w:rPr>
          <w:fldChar w:fldCharType="end"/>
        </w:r>
      </w:hyperlink>
    </w:p>
    <w:p w14:paraId="6F513816" w14:textId="13E4AEBB" w:rsidR="003B042F" w:rsidRDefault="003B042F">
      <w:pPr>
        <w:pStyle w:val="TOC4"/>
        <w:rPr>
          <w:rFonts w:asciiTheme="minorHAnsi" w:eastAsiaTheme="minorEastAsia" w:hAnsiTheme="minorHAnsi"/>
          <w:noProof/>
          <w:sz w:val="22"/>
          <w:lang w:eastAsia="en-AU"/>
        </w:rPr>
      </w:pPr>
      <w:hyperlink w:anchor="_Toc175238720" w:history="1">
        <w:r w:rsidRPr="005871B3">
          <w:rPr>
            <w:rStyle w:val="Hyperlink"/>
            <w:noProof/>
          </w:rPr>
          <w:t>1.1—Title</w:t>
        </w:r>
        <w:r>
          <w:rPr>
            <w:noProof/>
            <w:webHidden/>
          </w:rPr>
          <w:tab/>
        </w:r>
        <w:r>
          <w:rPr>
            <w:noProof/>
            <w:webHidden/>
          </w:rPr>
          <w:fldChar w:fldCharType="begin"/>
        </w:r>
        <w:r>
          <w:rPr>
            <w:noProof/>
            <w:webHidden/>
          </w:rPr>
          <w:instrText xml:space="preserve"> PAGEREF _Toc175238720 \h </w:instrText>
        </w:r>
        <w:r>
          <w:rPr>
            <w:noProof/>
            <w:webHidden/>
          </w:rPr>
        </w:r>
        <w:r>
          <w:rPr>
            <w:noProof/>
            <w:webHidden/>
          </w:rPr>
          <w:fldChar w:fldCharType="separate"/>
        </w:r>
        <w:r w:rsidR="00FD06AB">
          <w:rPr>
            <w:noProof/>
            <w:webHidden/>
          </w:rPr>
          <w:t>19</w:t>
        </w:r>
        <w:r>
          <w:rPr>
            <w:noProof/>
            <w:webHidden/>
          </w:rPr>
          <w:fldChar w:fldCharType="end"/>
        </w:r>
      </w:hyperlink>
    </w:p>
    <w:p w14:paraId="19E1A76B" w14:textId="49AB1D74" w:rsidR="003B042F" w:rsidRDefault="003B042F">
      <w:pPr>
        <w:pStyle w:val="TOC4"/>
        <w:rPr>
          <w:rFonts w:asciiTheme="minorHAnsi" w:eastAsiaTheme="minorEastAsia" w:hAnsiTheme="minorHAnsi"/>
          <w:noProof/>
          <w:sz w:val="22"/>
          <w:lang w:eastAsia="en-AU"/>
        </w:rPr>
      </w:pPr>
      <w:hyperlink w:anchor="_Toc175238721" w:history="1">
        <w:r w:rsidRPr="005871B3">
          <w:rPr>
            <w:rStyle w:val="Hyperlink"/>
            <w:noProof/>
          </w:rPr>
          <w:t>1.2—Commencement</w:t>
        </w:r>
        <w:r>
          <w:rPr>
            <w:noProof/>
            <w:webHidden/>
          </w:rPr>
          <w:tab/>
        </w:r>
        <w:r>
          <w:rPr>
            <w:noProof/>
            <w:webHidden/>
          </w:rPr>
          <w:fldChar w:fldCharType="begin"/>
        </w:r>
        <w:r>
          <w:rPr>
            <w:noProof/>
            <w:webHidden/>
          </w:rPr>
          <w:instrText xml:space="preserve"> PAGEREF _Toc175238721 \h </w:instrText>
        </w:r>
        <w:r>
          <w:rPr>
            <w:noProof/>
            <w:webHidden/>
          </w:rPr>
        </w:r>
        <w:r>
          <w:rPr>
            <w:noProof/>
            <w:webHidden/>
          </w:rPr>
          <w:fldChar w:fldCharType="separate"/>
        </w:r>
        <w:r w:rsidR="00FD06AB">
          <w:rPr>
            <w:noProof/>
            <w:webHidden/>
          </w:rPr>
          <w:t>19</w:t>
        </w:r>
        <w:r>
          <w:rPr>
            <w:noProof/>
            <w:webHidden/>
          </w:rPr>
          <w:fldChar w:fldCharType="end"/>
        </w:r>
      </w:hyperlink>
    </w:p>
    <w:p w14:paraId="00E07E6E" w14:textId="41D215EC" w:rsidR="003B042F" w:rsidRDefault="003B042F">
      <w:pPr>
        <w:pStyle w:val="TOC4"/>
        <w:rPr>
          <w:rFonts w:asciiTheme="minorHAnsi" w:eastAsiaTheme="minorEastAsia" w:hAnsiTheme="minorHAnsi"/>
          <w:noProof/>
          <w:sz w:val="22"/>
          <w:lang w:eastAsia="en-AU"/>
        </w:rPr>
      </w:pPr>
      <w:hyperlink w:anchor="_Toc175238722" w:history="1">
        <w:r w:rsidRPr="005871B3">
          <w:rPr>
            <w:rStyle w:val="Hyperlink"/>
            <w:noProof/>
          </w:rPr>
          <w:t>1.3—Repeal</w:t>
        </w:r>
        <w:r>
          <w:rPr>
            <w:noProof/>
            <w:webHidden/>
          </w:rPr>
          <w:tab/>
        </w:r>
        <w:r>
          <w:rPr>
            <w:noProof/>
            <w:webHidden/>
          </w:rPr>
          <w:fldChar w:fldCharType="begin"/>
        </w:r>
        <w:r>
          <w:rPr>
            <w:noProof/>
            <w:webHidden/>
          </w:rPr>
          <w:instrText xml:space="preserve"> PAGEREF _Toc175238722 \h </w:instrText>
        </w:r>
        <w:r>
          <w:rPr>
            <w:noProof/>
            <w:webHidden/>
          </w:rPr>
        </w:r>
        <w:r>
          <w:rPr>
            <w:noProof/>
            <w:webHidden/>
          </w:rPr>
          <w:fldChar w:fldCharType="separate"/>
        </w:r>
        <w:r w:rsidR="00FD06AB">
          <w:rPr>
            <w:noProof/>
            <w:webHidden/>
          </w:rPr>
          <w:t>19</w:t>
        </w:r>
        <w:r>
          <w:rPr>
            <w:noProof/>
            <w:webHidden/>
          </w:rPr>
          <w:fldChar w:fldCharType="end"/>
        </w:r>
      </w:hyperlink>
    </w:p>
    <w:p w14:paraId="3F5EEB2C" w14:textId="17AE80C8" w:rsidR="003B042F" w:rsidRDefault="003B042F">
      <w:pPr>
        <w:pStyle w:val="TOC4"/>
        <w:rPr>
          <w:rFonts w:asciiTheme="minorHAnsi" w:eastAsiaTheme="minorEastAsia" w:hAnsiTheme="minorHAnsi"/>
          <w:noProof/>
          <w:sz w:val="22"/>
          <w:lang w:eastAsia="en-AU"/>
        </w:rPr>
      </w:pPr>
      <w:hyperlink w:anchor="_Toc175238723" w:history="1">
        <w:r w:rsidRPr="005871B3">
          <w:rPr>
            <w:rStyle w:val="Hyperlink"/>
            <w:noProof/>
          </w:rPr>
          <w:t>1.4—Transition</w:t>
        </w:r>
        <w:r>
          <w:rPr>
            <w:noProof/>
            <w:webHidden/>
          </w:rPr>
          <w:tab/>
        </w:r>
        <w:r>
          <w:rPr>
            <w:noProof/>
            <w:webHidden/>
          </w:rPr>
          <w:fldChar w:fldCharType="begin"/>
        </w:r>
        <w:r>
          <w:rPr>
            <w:noProof/>
            <w:webHidden/>
          </w:rPr>
          <w:instrText xml:space="preserve"> PAGEREF _Toc175238723 \h </w:instrText>
        </w:r>
        <w:r>
          <w:rPr>
            <w:noProof/>
            <w:webHidden/>
          </w:rPr>
        </w:r>
        <w:r>
          <w:rPr>
            <w:noProof/>
            <w:webHidden/>
          </w:rPr>
          <w:fldChar w:fldCharType="separate"/>
        </w:r>
        <w:r w:rsidR="00FD06AB">
          <w:rPr>
            <w:noProof/>
            <w:webHidden/>
          </w:rPr>
          <w:t>19</w:t>
        </w:r>
        <w:r>
          <w:rPr>
            <w:noProof/>
            <w:webHidden/>
          </w:rPr>
          <w:fldChar w:fldCharType="end"/>
        </w:r>
      </w:hyperlink>
    </w:p>
    <w:p w14:paraId="3770CD14" w14:textId="3E37C805" w:rsidR="003B042F" w:rsidRDefault="003B042F">
      <w:pPr>
        <w:pStyle w:val="TOC4"/>
        <w:rPr>
          <w:rFonts w:asciiTheme="minorHAnsi" w:eastAsiaTheme="minorEastAsia" w:hAnsiTheme="minorHAnsi"/>
          <w:noProof/>
          <w:sz w:val="22"/>
          <w:lang w:eastAsia="en-AU"/>
        </w:rPr>
      </w:pPr>
      <w:hyperlink w:anchor="_Toc175238724" w:history="1">
        <w:r w:rsidRPr="005871B3">
          <w:rPr>
            <w:rStyle w:val="Hyperlink"/>
            <w:noProof/>
          </w:rPr>
          <w:t>1.5—Object</w:t>
        </w:r>
        <w:r>
          <w:rPr>
            <w:noProof/>
            <w:webHidden/>
          </w:rPr>
          <w:tab/>
        </w:r>
        <w:r>
          <w:rPr>
            <w:noProof/>
            <w:webHidden/>
          </w:rPr>
          <w:fldChar w:fldCharType="begin"/>
        </w:r>
        <w:r>
          <w:rPr>
            <w:noProof/>
            <w:webHidden/>
          </w:rPr>
          <w:instrText xml:space="preserve"> PAGEREF _Toc175238724 \h </w:instrText>
        </w:r>
        <w:r>
          <w:rPr>
            <w:noProof/>
            <w:webHidden/>
          </w:rPr>
        </w:r>
        <w:r>
          <w:rPr>
            <w:noProof/>
            <w:webHidden/>
          </w:rPr>
          <w:fldChar w:fldCharType="separate"/>
        </w:r>
        <w:r w:rsidR="00FD06AB">
          <w:rPr>
            <w:noProof/>
            <w:webHidden/>
          </w:rPr>
          <w:t>20</w:t>
        </w:r>
        <w:r>
          <w:rPr>
            <w:noProof/>
            <w:webHidden/>
          </w:rPr>
          <w:fldChar w:fldCharType="end"/>
        </w:r>
      </w:hyperlink>
    </w:p>
    <w:p w14:paraId="7D785240" w14:textId="34A2574F" w:rsidR="003B042F" w:rsidRDefault="003B042F">
      <w:pPr>
        <w:pStyle w:val="TOC4"/>
        <w:rPr>
          <w:rFonts w:asciiTheme="minorHAnsi" w:eastAsiaTheme="minorEastAsia" w:hAnsiTheme="minorHAnsi"/>
          <w:noProof/>
          <w:sz w:val="22"/>
          <w:lang w:eastAsia="en-AU"/>
        </w:rPr>
      </w:pPr>
      <w:hyperlink w:anchor="_Toc175238725" w:history="1">
        <w:r w:rsidRPr="005871B3">
          <w:rPr>
            <w:rStyle w:val="Hyperlink"/>
            <w:noProof/>
          </w:rPr>
          <w:t>1.6—Application of Rules</w:t>
        </w:r>
        <w:r>
          <w:rPr>
            <w:noProof/>
            <w:webHidden/>
          </w:rPr>
          <w:tab/>
        </w:r>
        <w:r>
          <w:rPr>
            <w:noProof/>
            <w:webHidden/>
          </w:rPr>
          <w:fldChar w:fldCharType="begin"/>
        </w:r>
        <w:r>
          <w:rPr>
            <w:noProof/>
            <w:webHidden/>
          </w:rPr>
          <w:instrText xml:space="preserve"> PAGEREF _Toc175238725 \h </w:instrText>
        </w:r>
        <w:r>
          <w:rPr>
            <w:noProof/>
            <w:webHidden/>
          </w:rPr>
        </w:r>
        <w:r>
          <w:rPr>
            <w:noProof/>
            <w:webHidden/>
          </w:rPr>
          <w:fldChar w:fldCharType="separate"/>
        </w:r>
        <w:r w:rsidR="00FD06AB">
          <w:rPr>
            <w:noProof/>
            <w:webHidden/>
          </w:rPr>
          <w:t>20</w:t>
        </w:r>
        <w:r>
          <w:rPr>
            <w:noProof/>
            <w:webHidden/>
          </w:rPr>
          <w:fldChar w:fldCharType="end"/>
        </w:r>
      </w:hyperlink>
    </w:p>
    <w:p w14:paraId="0BF8673A" w14:textId="30196AC7"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26" w:history="1">
        <w:r w:rsidRPr="005871B3">
          <w:rPr>
            <w:rStyle w:val="Hyperlink"/>
            <w:noProof/>
          </w:rPr>
          <w:t>Part 2—Interpretation</w:t>
        </w:r>
        <w:r>
          <w:rPr>
            <w:noProof/>
            <w:webHidden/>
          </w:rPr>
          <w:tab/>
        </w:r>
        <w:r>
          <w:rPr>
            <w:noProof/>
            <w:webHidden/>
          </w:rPr>
          <w:fldChar w:fldCharType="begin"/>
        </w:r>
        <w:r>
          <w:rPr>
            <w:noProof/>
            <w:webHidden/>
          </w:rPr>
          <w:instrText xml:space="preserve"> PAGEREF _Toc175238726 \h </w:instrText>
        </w:r>
        <w:r>
          <w:rPr>
            <w:noProof/>
            <w:webHidden/>
          </w:rPr>
        </w:r>
        <w:r>
          <w:rPr>
            <w:noProof/>
            <w:webHidden/>
          </w:rPr>
          <w:fldChar w:fldCharType="separate"/>
        </w:r>
        <w:r w:rsidR="00FD06AB">
          <w:rPr>
            <w:noProof/>
            <w:webHidden/>
          </w:rPr>
          <w:t>20</w:t>
        </w:r>
        <w:r>
          <w:rPr>
            <w:noProof/>
            <w:webHidden/>
          </w:rPr>
          <w:fldChar w:fldCharType="end"/>
        </w:r>
      </w:hyperlink>
    </w:p>
    <w:p w14:paraId="539CC6DA" w14:textId="6982005A" w:rsidR="003B042F" w:rsidRDefault="003B042F">
      <w:pPr>
        <w:pStyle w:val="TOC4"/>
        <w:rPr>
          <w:rFonts w:asciiTheme="minorHAnsi" w:eastAsiaTheme="minorEastAsia" w:hAnsiTheme="minorHAnsi"/>
          <w:noProof/>
          <w:sz w:val="22"/>
          <w:lang w:eastAsia="en-AU"/>
        </w:rPr>
      </w:pPr>
      <w:hyperlink w:anchor="_Toc175238727" w:history="1">
        <w:r w:rsidRPr="005871B3">
          <w:rPr>
            <w:rStyle w:val="Hyperlink"/>
            <w:noProof/>
          </w:rPr>
          <w:t>2.1—Definitions</w:t>
        </w:r>
        <w:r>
          <w:rPr>
            <w:noProof/>
            <w:webHidden/>
          </w:rPr>
          <w:tab/>
        </w:r>
        <w:r>
          <w:rPr>
            <w:noProof/>
            <w:webHidden/>
          </w:rPr>
          <w:fldChar w:fldCharType="begin"/>
        </w:r>
        <w:r>
          <w:rPr>
            <w:noProof/>
            <w:webHidden/>
          </w:rPr>
          <w:instrText xml:space="preserve"> PAGEREF _Toc175238727 \h </w:instrText>
        </w:r>
        <w:r>
          <w:rPr>
            <w:noProof/>
            <w:webHidden/>
          </w:rPr>
        </w:r>
        <w:r>
          <w:rPr>
            <w:noProof/>
            <w:webHidden/>
          </w:rPr>
          <w:fldChar w:fldCharType="separate"/>
        </w:r>
        <w:r w:rsidR="00FD06AB">
          <w:rPr>
            <w:noProof/>
            <w:webHidden/>
          </w:rPr>
          <w:t>20</w:t>
        </w:r>
        <w:r>
          <w:rPr>
            <w:noProof/>
            <w:webHidden/>
          </w:rPr>
          <w:fldChar w:fldCharType="end"/>
        </w:r>
      </w:hyperlink>
    </w:p>
    <w:p w14:paraId="40858E89" w14:textId="32625F93" w:rsidR="003B042F" w:rsidRDefault="003B042F">
      <w:pPr>
        <w:pStyle w:val="TOC4"/>
        <w:rPr>
          <w:rFonts w:asciiTheme="minorHAnsi" w:eastAsiaTheme="minorEastAsia" w:hAnsiTheme="minorHAnsi"/>
          <w:noProof/>
          <w:sz w:val="22"/>
          <w:lang w:eastAsia="en-AU"/>
        </w:rPr>
      </w:pPr>
      <w:hyperlink w:anchor="_Toc175238728" w:history="1">
        <w:r w:rsidRPr="005871B3">
          <w:rPr>
            <w:rStyle w:val="Hyperlink"/>
            <w:noProof/>
          </w:rPr>
          <w:t>2.2—Calculation of time</w:t>
        </w:r>
        <w:r>
          <w:rPr>
            <w:noProof/>
            <w:webHidden/>
          </w:rPr>
          <w:tab/>
        </w:r>
        <w:r>
          <w:rPr>
            <w:noProof/>
            <w:webHidden/>
          </w:rPr>
          <w:fldChar w:fldCharType="begin"/>
        </w:r>
        <w:r>
          <w:rPr>
            <w:noProof/>
            <w:webHidden/>
          </w:rPr>
          <w:instrText xml:space="preserve"> PAGEREF _Toc175238728 \h </w:instrText>
        </w:r>
        <w:r>
          <w:rPr>
            <w:noProof/>
            <w:webHidden/>
          </w:rPr>
        </w:r>
        <w:r>
          <w:rPr>
            <w:noProof/>
            <w:webHidden/>
          </w:rPr>
          <w:fldChar w:fldCharType="separate"/>
        </w:r>
        <w:r w:rsidR="00FD06AB">
          <w:rPr>
            <w:noProof/>
            <w:webHidden/>
          </w:rPr>
          <w:t>32</w:t>
        </w:r>
        <w:r>
          <w:rPr>
            <w:noProof/>
            <w:webHidden/>
          </w:rPr>
          <w:fldChar w:fldCharType="end"/>
        </w:r>
      </w:hyperlink>
    </w:p>
    <w:p w14:paraId="5EB9E27A" w14:textId="32204BDF" w:rsidR="003B042F" w:rsidRDefault="003B042F">
      <w:pPr>
        <w:pStyle w:val="TOC4"/>
        <w:rPr>
          <w:rFonts w:asciiTheme="minorHAnsi" w:eastAsiaTheme="minorEastAsia" w:hAnsiTheme="minorHAnsi"/>
          <w:noProof/>
          <w:sz w:val="22"/>
          <w:lang w:eastAsia="en-AU"/>
        </w:rPr>
      </w:pPr>
      <w:hyperlink w:anchor="_Toc175238729" w:history="1">
        <w:r w:rsidRPr="005871B3">
          <w:rPr>
            <w:rStyle w:val="Hyperlink"/>
            <w:noProof/>
          </w:rPr>
          <w:t>2.3—Interpretation</w:t>
        </w:r>
        <w:r>
          <w:rPr>
            <w:noProof/>
            <w:webHidden/>
          </w:rPr>
          <w:tab/>
        </w:r>
        <w:r>
          <w:rPr>
            <w:noProof/>
            <w:webHidden/>
          </w:rPr>
          <w:fldChar w:fldCharType="begin"/>
        </w:r>
        <w:r>
          <w:rPr>
            <w:noProof/>
            <w:webHidden/>
          </w:rPr>
          <w:instrText xml:space="preserve"> PAGEREF _Toc175238729 \h </w:instrText>
        </w:r>
        <w:r>
          <w:rPr>
            <w:noProof/>
            <w:webHidden/>
          </w:rPr>
        </w:r>
        <w:r>
          <w:rPr>
            <w:noProof/>
            <w:webHidden/>
          </w:rPr>
          <w:fldChar w:fldCharType="separate"/>
        </w:r>
        <w:r w:rsidR="00FD06AB">
          <w:rPr>
            <w:noProof/>
            <w:webHidden/>
          </w:rPr>
          <w:t>33</w:t>
        </w:r>
        <w:r>
          <w:rPr>
            <w:noProof/>
            <w:webHidden/>
          </w:rPr>
          <w:fldChar w:fldCharType="end"/>
        </w:r>
      </w:hyperlink>
    </w:p>
    <w:p w14:paraId="1C3251D1" w14:textId="00ABAC6D" w:rsidR="003B042F" w:rsidRDefault="003B042F">
      <w:pPr>
        <w:pStyle w:val="TOC4"/>
        <w:rPr>
          <w:rFonts w:asciiTheme="minorHAnsi" w:eastAsiaTheme="minorEastAsia" w:hAnsiTheme="minorHAnsi"/>
          <w:noProof/>
          <w:sz w:val="22"/>
          <w:lang w:eastAsia="en-AU"/>
        </w:rPr>
      </w:pPr>
      <w:hyperlink w:anchor="_Toc175238730" w:history="1">
        <w:r w:rsidRPr="005871B3">
          <w:rPr>
            <w:rStyle w:val="Hyperlink"/>
            <w:noProof/>
          </w:rPr>
          <w:t>2.4—Statutory equivalent language</w:t>
        </w:r>
        <w:r>
          <w:rPr>
            <w:noProof/>
            <w:webHidden/>
          </w:rPr>
          <w:tab/>
        </w:r>
        <w:r>
          <w:rPr>
            <w:noProof/>
            <w:webHidden/>
          </w:rPr>
          <w:fldChar w:fldCharType="begin"/>
        </w:r>
        <w:r>
          <w:rPr>
            <w:noProof/>
            <w:webHidden/>
          </w:rPr>
          <w:instrText xml:space="preserve"> PAGEREF _Toc175238730 \h </w:instrText>
        </w:r>
        <w:r>
          <w:rPr>
            <w:noProof/>
            <w:webHidden/>
          </w:rPr>
        </w:r>
        <w:r>
          <w:rPr>
            <w:noProof/>
            <w:webHidden/>
          </w:rPr>
          <w:fldChar w:fldCharType="separate"/>
        </w:r>
        <w:r w:rsidR="00FD06AB">
          <w:rPr>
            <w:noProof/>
            <w:webHidden/>
          </w:rPr>
          <w:t>33</w:t>
        </w:r>
        <w:r>
          <w:rPr>
            <w:noProof/>
            <w:webHidden/>
          </w:rPr>
          <w:fldChar w:fldCharType="end"/>
        </w:r>
      </w:hyperlink>
    </w:p>
    <w:p w14:paraId="51797D31" w14:textId="5CF458DC"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31" w:history="1">
        <w:r w:rsidRPr="005871B3">
          <w:rPr>
            <w:rStyle w:val="Hyperlink"/>
            <w:noProof/>
          </w:rPr>
          <w:t>Part 3—Power of Chief Judicial Officer to vary rules</w:t>
        </w:r>
        <w:r>
          <w:rPr>
            <w:noProof/>
            <w:webHidden/>
          </w:rPr>
          <w:tab/>
        </w:r>
        <w:r>
          <w:rPr>
            <w:noProof/>
            <w:webHidden/>
          </w:rPr>
          <w:fldChar w:fldCharType="begin"/>
        </w:r>
        <w:r>
          <w:rPr>
            <w:noProof/>
            <w:webHidden/>
          </w:rPr>
          <w:instrText xml:space="preserve"> PAGEREF _Toc175238731 \h </w:instrText>
        </w:r>
        <w:r>
          <w:rPr>
            <w:noProof/>
            <w:webHidden/>
          </w:rPr>
        </w:r>
        <w:r>
          <w:rPr>
            <w:noProof/>
            <w:webHidden/>
          </w:rPr>
          <w:fldChar w:fldCharType="separate"/>
        </w:r>
        <w:r w:rsidR="00FD06AB">
          <w:rPr>
            <w:noProof/>
            <w:webHidden/>
          </w:rPr>
          <w:t>34</w:t>
        </w:r>
        <w:r>
          <w:rPr>
            <w:noProof/>
            <w:webHidden/>
          </w:rPr>
          <w:fldChar w:fldCharType="end"/>
        </w:r>
      </w:hyperlink>
    </w:p>
    <w:p w14:paraId="3CC49878" w14:textId="50D40D71" w:rsidR="003B042F" w:rsidRDefault="003B042F">
      <w:pPr>
        <w:pStyle w:val="TOC4"/>
        <w:rPr>
          <w:rFonts w:asciiTheme="minorHAnsi" w:eastAsiaTheme="minorEastAsia" w:hAnsiTheme="minorHAnsi"/>
          <w:noProof/>
          <w:sz w:val="22"/>
          <w:lang w:eastAsia="en-AU"/>
        </w:rPr>
      </w:pPr>
      <w:hyperlink w:anchor="_Toc175238732" w:history="1">
        <w:r w:rsidRPr="005871B3">
          <w:rPr>
            <w:rStyle w:val="Hyperlink"/>
            <w:noProof/>
          </w:rPr>
          <w:t>3.1—Emergency power</w:t>
        </w:r>
        <w:r>
          <w:rPr>
            <w:noProof/>
            <w:webHidden/>
          </w:rPr>
          <w:tab/>
        </w:r>
        <w:r>
          <w:rPr>
            <w:noProof/>
            <w:webHidden/>
          </w:rPr>
          <w:fldChar w:fldCharType="begin"/>
        </w:r>
        <w:r>
          <w:rPr>
            <w:noProof/>
            <w:webHidden/>
          </w:rPr>
          <w:instrText xml:space="preserve"> PAGEREF _Toc175238732 \h </w:instrText>
        </w:r>
        <w:r>
          <w:rPr>
            <w:noProof/>
            <w:webHidden/>
          </w:rPr>
        </w:r>
        <w:r>
          <w:rPr>
            <w:noProof/>
            <w:webHidden/>
          </w:rPr>
          <w:fldChar w:fldCharType="separate"/>
        </w:r>
        <w:r w:rsidR="00FD06AB">
          <w:rPr>
            <w:noProof/>
            <w:webHidden/>
          </w:rPr>
          <w:t>34</w:t>
        </w:r>
        <w:r>
          <w:rPr>
            <w:noProof/>
            <w:webHidden/>
          </w:rPr>
          <w:fldChar w:fldCharType="end"/>
        </w:r>
      </w:hyperlink>
    </w:p>
    <w:p w14:paraId="5D19FB00" w14:textId="195487A8"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8733" w:history="1">
        <w:r w:rsidRPr="005871B3">
          <w:rPr>
            <w:rStyle w:val="Hyperlink"/>
            <w:noProof/>
          </w:rPr>
          <w:t>Chapter 2—General</w:t>
        </w:r>
        <w:r>
          <w:rPr>
            <w:noProof/>
            <w:webHidden/>
          </w:rPr>
          <w:tab/>
        </w:r>
        <w:r>
          <w:rPr>
            <w:noProof/>
            <w:webHidden/>
          </w:rPr>
          <w:fldChar w:fldCharType="begin"/>
        </w:r>
        <w:r>
          <w:rPr>
            <w:noProof/>
            <w:webHidden/>
          </w:rPr>
          <w:instrText xml:space="preserve"> PAGEREF _Toc175238733 \h </w:instrText>
        </w:r>
        <w:r>
          <w:rPr>
            <w:noProof/>
            <w:webHidden/>
          </w:rPr>
        </w:r>
        <w:r>
          <w:rPr>
            <w:noProof/>
            <w:webHidden/>
          </w:rPr>
          <w:fldChar w:fldCharType="separate"/>
        </w:r>
        <w:r w:rsidR="00FD06AB">
          <w:rPr>
            <w:noProof/>
            <w:webHidden/>
          </w:rPr>
          <w:t>35</w:t>
        </w:r>
        <w:r>
          <w:rPr>
            <w:noProof/>
            <w:webHidden/>
          </w:rPr>
          <w:fldChar w:fldCharType="end"/>
        </w:r>
      </w:hyperlink>
    </w:p>
    <w:p w14:paraId="48BF0CCF" w14:textId="1C1D210A"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34" w:history="1">
        <w:r w:rsidRPr="005871B3">
          <w:rPr>
            <w:rStyle w:val="Hyperlink"/>
            <w:noProof/>
          </w:rPr>
          <w:t>Part 1—The Court</w:t>
        </w:r>
        <w:r>
          <w:rPr>
            <w:noProof/>
            <w:webHidden/>
          </w:rPr>
          <w:tab/>
        </w:r>
        <w:r>
          <w:rPr>
            <w:noProof/>
            <w:webHidden/>
          </w:rPr>
          <w:fldChar w:fldCharType="begin"/>
        </w:r>
        <w:r>
          <w:rPr>
            <w:noProof/>
            <w:webHidden/>
          </w:rPr>
          <w:instrText xml:space="preserve"> PAGEREF _Toc175238734 \h </w:instrText>
        </w:r>
        <w:r>
          <w:rPr>
            <w:noProof/>
            <w:webHidden/>
          </w:rPr>
        </w:r>
        <w:r>
          <w:rPr>
            <w:noProof/>
            <w:webHidden/>
          </w:rPr>
          <w:fldChar w:fldCharType="separate"/>
        </w:r>
        <w:r w:rsidR="00FD06AB">
          <w:rPr>
            <w:noProof/>
            <w:webHidden/>
          </w:rPr>
          <w:t>35</w:t>
        </w:r>
        <w:r>
          <w:rPr>
            <w:noProof/>
            <w:webHidden/>
          </w:rPr>
          <w:fldChar w:fldCharType="end"/>
        </w:r>
      </w:hyperlink>
    </w:p>
    <w:p w14:paraId="645B4AEC" w14:textId="3DD3B62C" w:rsidR="003B042F" w:rsidRDefault="003B042F">
      <w:pPr>
        <w:pStyle w:val="TOC3"/>
        <w:rPr>
          <w:rFonts w:asciiTheme="minorHAnsi" w:eastAsiaTheme="minorEastAsia" w:hAnsiTheme="minorHAnsi"/>
          <w:b w:val="0"/>
          <w:noProof/>
          <w:sz w:val="22"/>
          <w:lang w:eastAsia="en-AU"/>
        </w:rPr>
      </w:pPr>
      <w:hyperlink w:anchor="_Toc175238735" w:history="1">
        <w:r w:rsidRPr="005871B3">
          <w:rPr>
            <w:rStyle w:val="Hyperlink"/>
            <w:noProof/>
          </w:rPr>
          <w:t>Division 1—Jurisdiction</w:t>
        </w:r>
        <w:r>
          <w:rPr>
            <w:noProof/>
            <w:webHidden/>
          </w:rPr>
          <w:tab/>
        </w:r>
        <w:r>
          <w:rPr>
            <w:noProof/>
            <w:webHidden/>
          </w:rPr>
          <w:fldChar w:fldCharType="begin"/>
        </w:r>
        <w:r>
          <w:rPr>
            <w:noProof/>
            <w:webHidden/>
          </w:rPr>
          <w:instrText xml:space="preserve"> PAGEREF _Toc175238735 \h </w:instrText>
        </w:r>
        <w:r>
          <w:rPr>
            <w:noProof/>
            <w:webHidden/>
          </w:rPr>
        </w:r>
        <w:r>
          <w:rPr>
            <w:noProof/>
            <w:webHidden/>
          </w:rPr>
          <w:fldChar w:fldCharType="separate"/>
        </w:r>
        <w:r w:rsidR="00FD06AB">
          <w:rPr>
            <w:noProof/>
            <w:webHidden/>
          </w:rPr>
          <w:t>35</w:t>
        </w:r>
        <w:r>
          <w:rPr>
            <w:noProof/>
            <w:webHidden/>
          </w:rPr>
          <w:fldChar w:fldCharType="end"/>
        </w:r>
      </w:hyperlink>
    </w:p>
    <w:p w14:paraId="1D5624E4" w14:textId="7627687F" w:rsidR="003B042F" w:rsidRDefault="003B042F">
      <w:pPr>
        <w:pStyle w:val="TOC4"/>
        <w:rPr>
          <w:rFonts w:asciiTheme="minorHAnsi" w:eastAsiaTheme="minorEastAsia" w:hAnsiTheme="minorHAnsi"/>
          <w:noProof/>
          <w:sz w:val="22"/>
          <w:lang w:eastAsia="en-AU"/>
        </w:rPr>
      </w:pPr>
      <w:hyperlink w:anchor="_Toc175238736" w:history="1">
        <w:r w:rsidRPr="005871B3">
          <w:rPr>
            <w:rStyle w:val="Hyperlink"/>
            <w:noProof/>
          </w:rPr>
          <w:t>11.1—Original jurisdiction—Supreme Court</w:t>
        </w:r>
        <w:r>
          <w:rPr>
            <w:noProof/>
            <w:webHidden/>
          </w:rPr>
          <w:tab/>
        </w:r>
        <w:r>
          <w:rPr>
            <w:noProof/>
            <w:webHidden/>
          </w:rPr>
          <w:fldChar w:fldCharType="begin"/>
        </w:r>
        <w:r>
          <w:rPr>
            <w:noProof/>
            <w:webHidden/>
          </w:rPr>
          <w:instrText xml:space="preserve"> PAGEREF _Toc175238736 \h </w:instrText>
        </w:r>
        <w:r>
          <w:rPr>
            <w:noProof/>
            <w:webHidden/>
          </w:rPr>
        </w:r>
        <w:r>
          <w:rPr>
            <w:noProof/>
            <w:webHidden/>
          </w:rPr>
          <w:fldChar w:fldCharType="separate"/>
        </w:r>
        <w:r w:rsidR="00FD06AB">
          <w:rPr>
            <w:noProof/>
            <w:webHidden/>
          </w:rPr>
          <w:t>35</w:t>
        </w:r>
        <w:r>
          <w:rPr>
            <w:noProof/>
            <w:webHidden/>
          </w:rPr>
          <w:fldChar w:fldCharType="end"/>
        </w:r>
      </w:hyperlink>
    </w:p>
    <w:p w14:paraId="0CD1FA8D" w14:textId="278F1A6E" w:rsidR="003B042F" w:rsidRDefault="003B042F">
      <w:pPr>
        <w:pStyle w:val="TOC4"/>
        <w:rPr>
          <w:rFonts w:asciiTheme="minorHAnsi" w:eastAsiaTheme="minorEastAsia" w:hAnsiTheme="minorHAnsi"/>
          <w:noProof/>
          <w:sz w:val="22"/>
          <w:lang w:eastAsia="en-AU"/>
        </w:rPr>
      </w:pPr>
      <w:hyperlink w:anchor="_Toc175238737" w:history="1">
        <w:r w:rsidRPr="005871B3">
          <w:rPr>
            <w:rStyle w:val="Hyperlink"/>
            <w:noProof/>
          </w:rPr>
          <w:t>11.2—Original jurisdiction—District Court</w:t>
        </w:r>
        <w:r>
          <w:rPr>
            <w:noProof/>
            <w:webHidden/>
          </w:rPr>
          <w:tab/>
        </w:r>
        <w:r>
          <w:rPr>
            <w:noProof/>
            <w:webHidden/>
          </w:rPr>
          <w:fldChar w:fldCharType="begin"/>
        </w:r>
        <w:r>
          <w:rPr>
            <w:noProof/>
            <w:webHidden/>
          </w:rPr>
          <w:instrText xml:space="preserve"> PAGEREF _Toc175238737 \h </w:instrText>
        </w:r>
        <w:r>
          <w:rPr>
            <w:noProof/>
            <w:webHidden/>
          </w:rPr>
        </w:r>
        <w:r>
          <w:rPr>
            <w:noProof/>
            <w:webHidden/>
          </w:rPr>
          <w:fldChar w:fldCharType="separate"/>
        </w:r>
        <w:r w:rsidR="00FD06AB">
          <w:rPr>
            <w:noProof/>
            <w:webHidden/>
          </w:rPr>
          <w:t>35</w:t>
        </w:r>
        <w:r>
          <w:rPr>
            <w:noProof/>
            <w:webHidden/>
          </w:rPr>
          <w:fldChar w:fldCharType="end"/>
        </w:r>
      </w:hyperlink>
    </w:p>
    <w:p w14:paraId="6E859DC8" w14:textId="66CEA562" w:rsidR="003B042F" w:rsidRDefault="003B042F">
      <w:pPr>
        <w:pStyle w:val="TOC4"/>
        <w:rPr>
          <w:rFonts w:asciiTheme="minorHAnsi" w:eastAsiaTheme="minorEastAsia" w:hAnsiTheme="minorHAnsi"/>
          <w:noProof/>
          <w:sz w:val="22"/>
          <w:lang w:eastAsia="en-AU"/>
        </w:rPr>
      </w:pPr>
      <w:hyperlink w:anchor="_Toc175238738" w:history="1">
        <w:r w:rsidRPr="005871B3">
          <w:rPr>
            <w:rStyle w:val="Hyperlink"/>
            <w:noProof/>
          </w:rPr>
          <w:t>11.3—Original jurisdiction—Environment Resources and Development Court</w:t>
        </w:r>
        <w:r>
          <w:rPr>
            <w:noProof/>
            <w:webHidden/>
          </w:rPr>
          <w:tab/>
        </w:r>
        <w:r>
          <w:rPr>
            <w:noProof/>
            <w:webHidden/>
          </w:rPr>
          <w:fldChar w:fldCharType="begin"/>
        </w:r>
        <w:r>
          <w:rPr>
            <w:noProof/>
            <w:webHidden/>
          </w:rPr>
          <w:instrText xml:space="preserve"> PAGEREF _Toc175238738 \h </w:instrText>
        </w:r>
        <w:r>
          <w:rPr>
            <w:noProof/>
            <w:webHidden/>
          </w:rPr>
        </w:r>
        <w:r>
          <w:rPr>
            <w:noProof/>
            <w:webHidden/>
          </w:rPr>
          <w:fldChar w:fldCharType="separate"/>
        </w:r>
        <w:r w:rsidR="00FD06AB">
          <w:rPr>
            <w:noProof/>
            <w:webHidden/>
          </w:rPr>
          <w:t>35</w:t>
        </w:r>
        <w:r>
          <w:rPr>
            <w:noProof/>
            <w:webHidden/>
          </w:rPr>
          <w:fldChar w:fldCharType="end"/>
        </w:r>
      </w:hyperlink>
    </w:p>
    <w:p w14:paraId="1702E217" w14:textId="6DD86EF8" w:rsidR="003B042F" w:rsidRDefault="003B042F">
      <w:pPr>
        <w:pStyle w:val="TOC4"/>
        <w:rPr>
          <w:rFonts w:asciiTheme="minorHAnsi" w:eastAsiaTheme="minorEastAsia" w:hAnsiTheme="minorHAnsi"/>
          <w:noProof/>
          <w:sz w:val="22"/>
          <w:lang w:eastAsia="en-AU"/>
        </w:rPr>
      </w:pPr>
      <w:hyperlink w:anchor="_Toc175238739" w:history="1">
        <w:r w:rsidRPr="005871B3">
          <w:rPr>
            <w:rStyle w:val="Hyperlink"/>
            <w:noProof/>
          </w:rPr>
          <w:t>11.4—Original jurisdiction—Youth Court</w:t>
        </w:r>
        <w:r>
          <w:rPr>
            <w:noProof/>
            <w:webHidden/>
          </w:rPr>
          <w:tab/>
        </w:r>
        <w:r>
          <w:rPr>
            <w:noProof/>
            <w:webHidden/>
          </w:rPr>
          <w:fldChar w:fldCharType="begin"/>
        </w:r>
        <w:r>
          <w:rPr>
            <w:noProof/>
            <w:webHidden/>
          </w:rPr>
          <w:instrText xml:space="preserve"> PAGEREF _Toc175238739 \h </w:instrText>
        </w:r>
        <w:r>
          <w:rPr>
            <w:noProof/>
            <w:webHidden/>
          </w:rPr>
        </w:r>
        <w:r>
          <w:rPr>
            <w:noProof/>
            <w:webHidden/>
          </w:rPr>
          <w:fldChar w:fldCharType="separate"/>
        </w:r>
        <w:r w:rsidR="00FD06AB">
          <w:rPr>
            <w:noProof/>
            <w:webHidden/>
          </w:rPr>
          <w:t>35</w:t>
        </w:r>
        <w:r>
          <w:rPr>
            <w:noProof/>
            <w:webHidden/>
          </w:rPr>
          <w:fldChar w:fldCharType="end"/>
        </w:r>
      </w:hyperlink>
    </w:p>
    <w:p w14:paraId="64A85D80" w14:textId="07F6FDD7" w:rsidR="003B042F" w:rsidRDefault="003B042F">
      <w:pPr>
        <w:pStyle w:val="TOC4"/>
        <w:rPr>
          <w:rFonts w:asciiTheme="minorHAnsi" w:eastAsiaTheme="minorEastAsia" w:hAnsiTheme="minorHAnsi"/>
          <w:noProof/>
          <w:sz w:val="22"/>
          <w:lang w:eastAsia="en-AU"/>
        </w:rPr>
      </w:pPr>
      <w:hyperlink w:anchor="_Toc175238740" w:history="1">
        <w:r w:rsidRPr="005871B3">
          <w:rPr>
            <w:rStyle w:val="Hyperlink"/>
            <w:noProof/>
          </w:rPr>
          <w:t>11.5—Original jurisdiction—Magistrates Court</w:t>
        </w:r>
        <w:r>
          <w:rPr>
            <w:noProof/>
            <w:webHidden/>
          </w:rPr>
          <w:tab/>
        </w:r>
        <w:r>
          <w:rPr>
            <w:noProof/>
            <w:webHidden/>
          </w:rPr>
          <w:fldChar w:fldCharType="begin"/>
        </w:r>
        <w:r>
          <w:rPr>
            <w:noProof/>
            <w:webHidden/>
          </w:rPr>
          <w:instrText xml:space="preserve"> PAGEREF _Toc175238740 \h </w:instrText>
        </w:r>
        <w:r>
          <w:rPr>
            <w:noProof/>
            <w:webHidden/>
          </w:rPr>
        </w:r>
        <w:r>
          <w:rPr>
            <w:noProof/>
            <w:webHidden/>
          </w:rPr>
          <w:fldChar w:fldCharType="separate"/>
        </w:r>
        <w:r w:rsidR="00FD06AB">
          <w:rPr>
            <w:noProof/>
            <w:webHidden/>
          </w:rPr>
          <w:t>36</w:t>
        </w:r>
        <w:r>
          <w:rPr>
            <w:noProof/>
            <w:webHidden/>
          </w:rPr>
          <w:fldChar w:fldCharType="end"/>
        </w:r>
      </w:hyperlink>
    </w:p>
    <w:p w14:paraId="2A17ECD7" w14:textId="03F7B3B1" w:rsidR="003B042F" w:rsidRDefault="003B042F">
      <w:pPr>
        <w:pStyle w:val="TOC3"/>
        <w:rPr>
          <w:rFonts w:asciiTheme="minorHAnsi" w:eastAsiaTheme="minorEastAsia" w:hAnsiTheme="minorHAnsi"/>
          <w:b w:val="0"/>
          <w:noProof/>
          <w:sz w:val="22"/>
          <w:lang w:eastAsia="en-AU"/>
        </w:rPr>
      </w:pPr>
      <w:hyperlink w:anchor="_Toc175238741" w:history="1">
        <w:r w:rsidRPr="005871B3">
          <w:rPr>
            <w:rStyle w:val="Hyperlink"/>
            <w:noProof/>
          </w:rPr>
          <w:t>Division 2—Judicial powers</w:t>
        </w:r>
        <w:r>
          <w:rPr>
            <w:noProof/>
            <w:webHidden/>
          </w:rPr>
          <w:tab/>
        </w:r>
        <w:r>
          <w:rPr>
            <w:noProof/>
            <w:webHidden/>
          </w:rPr>
          <w:fldChar w:fldCharType="begin"/>
        </w:r>
        <w:r>
          <w:rPr>
            <w:noProof/>
            <w:webHidden/>
          </w:rPr>
          <w:instrText xml:space="preserve"> PAGEREF _Toc175238741 \h </w:instrText>
        </w:r>
        <w:r>
          <w:rPr>
            <w:noProof/>
            <w:webHidden/>
          </w:rPr>
        </w:r>
        <w:r>
          <w:rPr>
            <w:noProof/>
            <w:webHidden/>
          </w:rPr>
          <w:fldChar w:fldCharType="separate"/>
        </w:r>
        <w:r w:rsidR="00FD06AB">
          <w:rPr>
            <w:noProof/>
            <w:webHidden/>
          </w:rPr>
          <w:t>37</w:t>
        </w:r>
        <w:r>
          <w:rPr>
            <w:noProof/>
            <w:webHidden/>
          </w:rPr>
          <w:fldChar w:fldCharType="end"/>
        </w:r>
      </w:hyperlink>
    </w:p>
    <w:p w14:paraId="72E5B8D0" w14:textId="52525D2F" w:rsidR="003B042F" w:rsidRDefault="003B042F">
      <w:pPr>
        <w:pStyle w:val="TOC4"/>
        <w:rPr>
          <w:rFonts w:asciiTheme="minorHAnsi" w:eastAsiaTheme="minorEastAsia" w:hAnsiTheme="minorHAnsi"/>
          <w:noProof/>
          <w:sz w:val="22"/>
          <w:lang w:eastAsia="en-AU"/>
        </w:rPr>
      </w:pPr>
      <w:hyperlink w:anchor="_Toc175238742" w:history="1">
        <w:r w:rsidRPr="005871B3">
          <w:rPr>
            <w:rStyle w:val="Hyperlink"/>
            <w:noProof/>
          </w:rPr>
          <w:t>12.1—General powers</w:t>
        </w:r>
        <w:r>
          <w:rPr>
            <w:noProof/>
            <w:webHidden/>
          </w:rPr>
          <w:tab/>
        </w:r>
        <w:r>
          <w:rPr>
            <w:noProof/>
            <w:webHidden/>
          </w:rPr>
          <w:fldChar w:fldCharType="begin"/>
        </w:r>
        <w:r>
          <w:rPr>
            <w:noProof/>
            <w:webHidden/>
          </w:rPr>
          <w:instrText xml:space="preserve"> PAGEREF _Toc175238742 \h </w:instrText>
        </w:r>
        <w:r>
          <w:rPr>
            <w:noProof/>
            <w:webHidden/>
          </w:rPr>
        </w:r>
        <w:r>
          <w:rPr>
            <w:noProof/>
            <w:webHidden/>
          </w:rPr>
          <w:fldChar w:fldCharType="separate"/>
        </w:r>
        <w:r w:rsidR="00FD06AB">
          <w:rPr>
            <w:noProof/>
            <w:webHidden/>
          </w:rPr>
          <w:t>37</w:t>
        </w:r>
        <w:r>
          <w:rPr>
            <w:noProof/>
            <w:webHidden/>
          </w:rPr>
          <w:fldChar w:fldCharType="end"/>
        </w:r>
      </w:hyperlink>
    </w:p>
    <w:p w14:paraId="71EFF30E" w14:textId="3936DFF3" w:rsidR="003B042F" w:rsidRDefault="003B042F">
      <w:pPr>
        <w:pStyle w:val="TOC3"/>
        <w:rPr>
          <w:rFonts w:asciiTheme="minorHAnsi" w:eastAsiaTheme="minorEastAsia" w:hAnsiTheme="minorHAnsi"/>
          <w:b w:val="0"/>
          <w:noProof/>
          <w:sz w:val="22"/>
          <w:lang w:eastAsia="en-AU"/>
        </w:rPr>
      </w:pPr>
      <w:hyperlink w:anchor="_Toc175238743" w:history="1">
        <w:r w:rsidRPr="005871B3">
          <w:rPr>
            <w:rStyle w:val="Hyperlink"/>
            <w:noProof/>
          </w:rPr>
          <w:t>Division 3—Divisions</w:t>
        </w:r>
        <w:r>
          <w:rPr>
            <w:noProof/>
            <w:webHidden/>
          </w:rPr>
          <w:tab/>
        </w:r>
        <w:r>
          <w:rPr>
            <w:noProof/>
            <w:webHidden/>
          </w:rPr>
          <w:fldChar w:fldCharType="begin"/>
        </w:r>
        <w:r>
          <w:rPr>
            <w:noProof/>
            <w:webHidden/>
          </w:rPr>
          <w:instrText xml:space="preserve"> PAGEREF _Toc175238743 \h </w:instrText>
        </w:r>
        <w:r>
          <w:rPr>
            <w:noProof/>
            <w:webHidden/>
          </w:rPr>
        </w:r>
        <w:r>
          <w:rPr>
            <w:noProof/>
            <w:webHidden/>
          </w:rPr>
          <w:fldChar w:fldCharType="separate"/>
        </w:r>
        <w:r w:rsidR="00FD06AB">
          <w:rPr>
            <w:noProof/>
            <w:webHidden/>
          </w:rPr>
          <w:t>37</w:t>
        </w:r>
        <w:r>
          <w:rPr>
            <w:noProof/>
            <w:webHidden/>
          </w:rPr>
          <w:fldChar w:fldCharType="end"/>
        </w:r>
      </w:hyperlink>
    </w:p>
    <w:p w14:paraId="1D4C44B8" w14:textId="19181A7B" w:rsidR="003B042F" w:rsidRDefault="003B042F">
      <w:pPr>
        <w:pStyle w:val="TOC4"/>
        <w:rPr>
          <w:rFonts w:asciiTheme="minorHAnsi" w:eastAsiaTheme="minorEastAsia" w:hAnsiTheme="minorHAnsi"/>
          <w:noProof/>
          <w:sz w:val="22"/>
          <w:lang w:eastAsia="en-AU"/>
        </w:rPr>
      </w:pPr>
      <w:hyperlink w:anchor="_Toc175238744" w:history="1">
        <w:r w:rsidRPr="005871B3">
          <w:rPr>
            <w:rStyle w:val="Hyperlink"/>
            <w:noProof/>
          </w:rPr>
          <w:t>13.1—Supreme Court</w:t>
        </w:r>
        <w:r>
          <w:rPr>
            <w:noProof/>
            <w:webHidden/>
          </w:rPr>
          <w:tab/>
        </w:r>
        <w:r>
          <w:rPr>
            <w:noProof/>
            <w:webHidden/>
          </w:rPr>
          <w:fldChar w:fldCharType="begin"/>
        </w:r>
        <w:r>
          <w:rPr>
            <w:noProof/>
            <w:webHidden/>
          </w:rPr>
          <w:instrText xml:space="preserve"> PAGEREF _Toc175238744 \h </w:instrText>
        </w:r>
        <w:r>
          <w:rPr>
            <w:noProof/>
            <w:webHidden/>
          </w:rPr>
        </w:r>
        <w:r>
          <w:rPr>
            <w:noProof/>
            <w:webHidden/>
          </w:rPr>
          <w:fldChar w:fldCharType="separate"/>
        </w:r>
        <w:r w:rsidR="00FD06AB">
          <w:rPr>
            <w:noProof/>
            <w:webHidden/>
          </w:rPr>
          <w:t>37</w:t>
        </w:r>
        <w:r>
          <w:rPr>
            <w:noProof/>
            <w:webHidden/>
          </w:rPr>
          <w:fldChar w:fldCharType="end"/>
        </w:r>
      </w:hyperlink>
    </w:p>
    <w:p w14:paraId="11F4F83A" w14:textId="7D5B2EB9" w:rsidR="003B042F" w:rsidRDefault="003B042F">
      <w:pPr>
        <w:pStyle w:val="TOC4"/>
        <w:rPr>
          <w:rFonts w:asciiTheme="minorHAnsi" w:eastAsiaTheme="minorEastAsia" w:hAnsiTheme="minorHAnsi"/>
          <w:noProof/>
          <w:sz w:val="22"/>
          <w:lang w:eastAsia="en-AU"/>
        </w:rPr>
      </w:pPr>
      <w:hyperlink w:anchor="_Toc175238745" w:history="1">
        <w:r w:rsidRPr="005871B3">
          <w:rPr>
            <w:rStyle w:val="Hyperlink"/>
            <w:noProof/>
          </w:rPr>
          <w:t>13.2—District Court</w:t>
        </w:r>
        <w:r>
          <w:rPr>
            <w:noProof/>
            <w:webHidden/>
          </w:rPr>
          <w:tab/>
        </w:r>
        <w:r>
          <w:rPr>
            <w:noProof/>
            <w:webHidden/>
          </w:rPr>
          <w:fldChar w:fldCharType="begin"/>
        </w:r>
        <w:r>
          <w:rPr>
            <w:noProof/>
            <w:webHidden/>
          </w:rPr>
          <w:instrText xml:space="preserve"> PAGEREF _Toc175238745 \h </w:instrText>
        </w:r>
        <w:r>
          <w:rPr>
            <w:noProof/>
            <w:webHidden/>
          </w:rPr>
        </w:r>
        <w:r>
          <w:rPr>
            <w:noProof/>
            <w:webHidden/>
          </w:rPr>
          <w:fldChar w:fldCharType="separate"/>
        </w:r>
        <w:r w:rsidR="00FD06AB">
          <w:rPr>
            <w:noProof/>
            <w:webHidden/>
          </w:rPr>
          <w:t>38</w:t>
        </w:r>
        <w:r>
          <w:rPr>
            <w:noProof/>
            <w:webHidden/>
          </w:rPr>
          <w:fldChar w:fldCharType="end"/>
        </w:r>
      </w:hyperlink>
    </w:p>
    <w:p w14:paraId="7DE37114" w14:textId="11755D24" w:rsidR="003B042F" w:rsidRDefault="003B042F">
      <w:pPr>
        <w:pStyle w:val="TOC4"/>
        <w:rPr>
          <w:rFonts w:asciiTheme="minorHAnsi" w:eastAsiaTheme="minorEastAsia" w:hAnsiTheme="minorHAnsi"/>
          <w:noProof/>
          <w:sz w:val="22"/>
          <w:lang w:eastAsia="en-AU"/>
        </w:rPr>
      </w:pPr>
      <w:hyperlink w:anchor="_Toc175238746" w:history="1">
        <w:r w:rsidRPr="005871B3">
          <w:rPr>
            <w:rStyle w:val="Hyperlink"/>
            <w:noProof/>
          </w:rPr>
          <w:t>13.3—Magistrates Court</w:t>
        </w:r>
        <w:r>
          <w:rPr>
            <w:noProof/>
            <w:webHidden/>
          </w:rPr>
          <w:tab/>
        </w:r>
        <w:r>
          <w:rPr>
            <w:noProof/>
            <w:webHidden/>
          </w:rPr>
          <w:fldChar w:fldCharType="begin"/>
        </w:r>
        <w:r>
          <w:rPr>
            <w:noProof/>
            <w:webHidden/>
          </w:rPr>
          <w:instrText xml:space="preserve"> PAGEREF _Toc175238746 \h </w:instrText>
        </w:r>
        <w:r>
          <w:rPr>
            <w:noProof/>
            <w:webHidden/>
          </w:rPr>
        </w:r>
        <w:r>
          <w:rPr>
            <w:noProof/>
            <w:webHidden/>
          </w:rPr>
          <w:fldChar w:fldCharType="separate"/>
        </w:r>
        <w:r w:rsidR="00FD06AB">
          <w:rPr>
            <w:noProof/>
            <w:webHidden/>
          </w:rPr>
          <w:t>38</w:t>
        </w:r>
        <w:r>
          <w:rPr>
            <w:noProof/>
            <w:webHidden/>
          </w:rPr>
          <w:fldChar w:fldCharType="end"/>
        </w:r>
      </w:hyperlink>
    </w:p>
    <w:p w14:paraId="19760C52" w14:textId="6107D43E" w:rsidR="003B042F" w:rsidRDefault="003B042F">
      <w:pPr>
        <w:pStyle w:val="TOC3"/>
        <w:rPr>
          <w:rFonts w:asciiTheme="minorHAnsi" w:eastAsiaTheme="minorEastAsia" w:hAnsiTheme="minorHAnsi"/>
          <w:b w:val="0"/>
          <w:noProof/>
          <w:sz w:val="22"/>
          <w:lang w:eastAsia="en-AU"/>
        </w:rPr>
      </w:pPr>
      <w:hyperlink w:anchor="_Toc175238747" w:history="1">
        <w:r w:rsidRPr="005871B3">
          <w:rPr>
            <w:rStyle w:val="Hyperlink"/>
            <w:noProof/>
          </w:rPr>
          <w:t>Division 4—Lists</w:t>
        </w:r>
        <w:r>
          <w:rPr>
            <w:noProof/>
            <w:webHidden/>
          </w:rPr>
          <w:tab/>
        </w:r>
        <w:r>
          <w:rPr>
            <w:noProof/>
            <w:webHidden/>
          </w:rPr>
          <w:fldChar w:fldCharType="begin"/>
        </w:r>
        <w:r>
          <w:rPr>
            <w:noProof/>
            <w:webHidden/>
          </w:rPr>
          <w:instrText xml:space="preserve"> PAGEREF _Toc175238747 \h </w:instrText>
        </w:r>
        <w:r>
          <w:rPr>
            <w:noProof/>
            <w:webHidden/>
          </w:rPr>
        </w:r>
        <w:r>
          <w:rPr>
            <w:noProof/>
            <w:webHidden/>
          </w:rPr>
          <w:fldChar w:fldCharType="separate"/>
        </w:r>
        <w:r w:rsidR="00FD06AB">
          <w:rPr>
            <w:noProof/>
            <w:webHidden/>
          </w:rPr>
          <w:t>38</w:t>
        </w:r>
        <w:r>
          <w:rPr>
            <w:noProof/>
            <w:webHidden/>
          </w:rPr>
          <w:fldChar w:fldCharType="end"/>
        </w:r>
      </w:hyperlink>
    </w:p>
    <w:p w14:paraId="60C36999" w14:textId="6262F8B3" w:rsidR="003B042F" w:rsidRDefault="003B042F">
      <w:pPr>
        <w:pStyle w:val="TOC4"/>
        <w:rPr>
          <w:rFonts w:asciiTheme="minorHAnsi" w:eastAsiaTheme="minorEastAsia" w:hAnsiTheme="minorHAnsi"/>
          <w:noProof/>
          <w:sz w:val="22"/>
          <w:lang w:eastAsia="en-AU"/>
        </w:rPr>
      </w:pPr>
      <w:hyperlink w:anchor="_Toc175238748" w:history="1">
        <w:r w:rsidRPr="005871B3">
          <w:rPr>
            <w:rStyle w:val="Hyperlink"/>
            <w:noProof/>
          </w:rPr>
          <w:t>14.1—Establishment of lists</w:t>
        </w:r>
        <w:r>
          <w:rPr>
            <w:noProof/>
            <w:webHidden/>
          </w:rPr>
          <w:tab/>
        </w:r>
        <w:r>
          <w:rPr>
            <w:noProof/>
            <w:webHidden/>
          </w:rPr>
          <w:fldChar w:fldCharType="begin"/>
        </w:r>
        <w:r>
          <w:rPr>
            <w:noProof/>
            <w:webHidden/>
          </w:rPr>
          <w:instrText xml:space="preserve"> PAGEREF _Toc175238748 \h </w:instrText>
        </w:r>
        <w:r>
          <w:rPr>
            <w:noProof/>
            <w:webHidden/>
          </w:rPr>
        </w:r>
        <w:r>
          <w:rPr>
            <w:noProof/>
            <w:webHidden/>
          </w:rPr>
          <w:fldChar w:fldCharType="separate"/>
        </w:r>
        <w:r w:rsidR="00FD06AB">
          <w:rPr>
            <w:noProof/>
            <w:webHidden/>
          </w:rPr>
          <w:t>38</w:t>
        </w:r>
        <w:r>
          <w:rPr>
            <w:noProof/>
            <w:webHidden/>
          </w:rPr>
          <w:fldChar w:fldCharType="end"/>
        </w:r>
      </w:hyperlink>
    </w:p>
    <w:p w14:paraId="43B6FB2F" w14:textId="37BDC9DC" w:rsidR="003B042F" w:rsidRDefault="003B042F">
      <w:pPr>
        <w:pStyle w:val="TOC4"/>
        <w:rPr>
          <w:rFonts w:asciiTheme="minorHAnsi" w:eastAsiaTheme="minorEastAsia" w:hAnsiTheme="minorHAnsi"/>
          <w:noProof/>
          <w:sz w:val="22"/>
          <w:lang w:eastAsia="en-AU"/>
        </w:rPr>
      </w:pPr>
      <w:hyperlink w:anchor="_Toc175238749" w:history="1">
        <w:r w:rsidRPr="005871B3">
          <w:rPr>
            <w:rStyle w:val="Hyperlink"/>
            <w:noProof/>
          </w:rPr>
          <w:t>14.2—Management of proceedings</w:t>
        </w:r>
        <w:r>
          <w:rPr>
            <w:noProof/>
            <w:webHidden/>
          </w:rPr>
          <w:tab/>
        </w:r>
        <w:r>
          <w:rPr>
            <w:noProof/>
            <w:webHidden/>
          </w:rPr>
          <w:fldChar w:fldCharType="begin"/>
        </w:r>
        <w:r>
          <w:rPr>
            <w:noProof/>
            <w:webHidden/>
          </w:rPr>
          <w:instrText xml:space="preserve"> PAGEREF _Toc175238749 \h </w:instrText>
        </w:r>
        <w:r>
          <w:rPr>
            <w:noProof/>
            <w:webHidden/>
          </w:rPr>
        </w:r>
        <w:r>
          <w:rPr>
            <w:noProof/>
            <w:webHidden/>
          </w:rPr>
          <w:fldChar w:fldCharType="separate"/>
        </w:r>
        <w:r w:rsidR="00FD06AB">
          <w:rPr>
            <w:noProof/>
            <w:webHidden/>
          </w:rPr>
          <w:t>38</w:t>
        </w:r>
        <w:r>
          <w:rPr>
            <w:noProof/>
            <w:webHidden/>
          </w:rPr>
          <w:fldChar w:fldCharType="end"/>
        </w:r>
      </w:hyperlink>
    </w:p>
    <w:p w14:paraId="5DCF036D" w14:textId="206226D5" w:rsidR="003B042F" w:rsidRDefault="003B042F">
      <w:pPr>
        <w:pStyle w:val="TOC4"/>
        <w:rPr>
          <w:rFonts w:asciiTheme="minorHAnsi" w:eastAsiaTheme="minorEastAsia" w:hAnsiTheme="minorHAnsi"/>
          <w:noProof/>
          <w:sz w:val="22"/>
          <w:lang w:eastAsia="en-AU"/>
        </w:rPr>
      </w:pPr>
      <w:hyperlink w:anchor="_Toc175238750" w:history="1">
        <w:r w:rsidRPr="005871B3">
          <w:rPr>
            <w:rStyle w:val="Hyperlink"/>
            <w:noProof/>
          </w:rPr>
          <w:t>14.3—Supreme Court</w:t>
        </w:r>
        <w:r>
          <w:rPr>
            <w:noProof/>
            <w:webHidden/>
          </w:rPr>
          <w:tab/>
        </w:r>
        <w:r>
          <w:rPr>
            <w:noProof/>
            <w:webHidden/>
          </w:rPr>
          <w:fldChar w:fldCharType="begin"/>
        </w:r>
        <w:r>
          <w:rPr>
            <w:noProof/>
            <w:webHidden/>
          </w:rPr>
          <w:instrText xml:space="preserve"> PAGEREF _Toc175238750 \h </w:instrText>
        </w:r>
        <w:r>
          <w:rPr>
            <w:noProof/>
            <w:webHidden/>
          </w:rPr>
        </w:r>
        <w:r>
          <w:rPr>
            <w:noProof/>
            <w:webHidden/>
          </w:rPr>
          <w:fldChar w:fldCharType="separate"/>
        </w:r>
        <w:r w:rsidR="00FD06AB">
          <w:rPr>
            <w:noProof/>
            <w:webHidden/>
          </w:rPr>
          <w:t>38</w:t>
        </w:r>
        <w:r>
          <w:rPr>
            <w:noProof/>
            <w:webHidden/>
          </w:rPr>
          <w:fldChar w:fldCharType="end"/>
        </w:r>
      </w:hyperlink>
    </w:p>
    <w:p w14:paraId="69C36621" w14:textId="5A5BD80B" w:rsidR="003B042F" w:rsidRDefault="003B042F">
      <w:pPr>
        <w:pStyle w:val="TOC4"/>
        <w:rPr>
          <w:rFonts w:asciiTheme="minorHAnsi" w:eastAsiaTheme="minorEastAsia" w:hAnsiTheme="minorHAnsi"/>
          <w:noProof/>
          <w:sz w:val="22"/>
          <w:lang w:eastAsia="en-AU"/>
        </w:rPr>
      </w:pPr>
      <w:hyperlink w:anchor="_Toc175238751" w:history="1">
        <w:r w:rsidRPr="005871B3">
          <w:rPr>
            <w:rStyle w:val="Hyperlink"/>
            <w:noProof/>
          </w:rPr>
          <w:t>14.4—District Court</w:t>
        </w:r>
        <w:r>
          <w:rPr>
            <w:noProof/>
            <w:webHidden/>
          </w:rPr>
          <w:tab/>
        </w:r>
        <w:r>
          <w:rPr>
            <w:noProof/>
            <w:webHidden/>
          </w:rPr>
          <w:fldChar w:fldCharType="begin"/>
        </w:r>
        <w:r>
          <w:rPr>
            <w:noProof/>
            <w:webHidden/>
          </w:rPr>
          <w:instrText xml:space="preserve"> PAGEREF _Toc175238751 \h </w:instrText>
        </w:r>
        <w:r>
          <w:rPr>
            <w:noProof/>
            <w:webHidden/>
          </w:rPr>
        </w:r>
        <w:r>
          <w:rPr>
            <w:noProof/>
            <w:webHidden/>
          </w:rPr>
          <w:fldChar w:fldCharType="separate"/>
        </w:r>
        <w:r w:rsidR="00FD06AB">
          <w:rPr>
            <w:noProof/>
            <w:webHidden/>
          </w:rPr>
          <w:t>39</w:t>
        </w:r>
        <w:r>
          <w:rPr>
            <w:noProof/>
            <w:webHidden/>
          </w:rPr>
          <w:fldChar w:fldCharType="end"/>
        </w:r>
      </w:hyperlink>
    </w:p>
    <w:p w14:paraId="0831F1A9" w14:textId="01694131" w:rsidR="003B042F" w:rsidRDefault="003B042F">
      <w:pPr>
        <w:pStyle w:val="TOC4"/>
        <w:rPr>
          <w:rFonts w:asciiTheme="minorHAnsi" w:eastAsiaTheme="minorEastAsia" w:hAnsiTheme="minorHAnsi"/>
          <w:noProof/>
          <w:sz w:val="22"/>
          <w:lang w:eastAsia="en-AU"/>
        </w:rPr>
      </w:pPr>
      <w:hyperlink w:anchor="_Toc175238752" w:history="1">
        <w:r w:rsidRPr="005871B3">
          <w:rPr>
            <w:rStyle w:val="Hyperlink"/>
            <w:noProof/>
          </w:rPr>
          <w:t>14.5—Youth Court</w:t>
        </w:r>
        <w:r>
          <w:rPr>
            <w:noProof/>
            <w:webHidden/>
          </w:rPr>
          <w:tab/>
        </w:r>
        <w:r>
          <w:rPr>
            <w:noProof/>
            <w:webHidden/>
          </w:rPr>
          <w:fldChar w:fldCharType="begin"/>
        </w:r>
        <w:r>
          <w:rPr>
            <w:noProof/>
            <w:webHidden/>
          </w:rPr>
          <w:instrText xml:space="preserve"> PAGEREF _Toc175238752 \h </w:instrText>
        </w:r>
        <w:r>
          <w:rPr>
            <w:noProof/>
            <w:webHidden/>
          </w:rPr>
        </w:r>
        <w:r>
          <w:rPr>
            <w:noProof/>
            <w:webHidden/>
          </w:rPr>
          <w:fldChar w:fldCharType="separate"/>
        </w:r>
        <w:r w:rsidR="00FD06AB">
          <w:rPr>
            <w:noProof/>
            <w:webHidden/>
          </w:rPr>
          <w:t>39</w:t>
        </w:r>
        <w:r>
          <w:rPr>
            <w:noProof/>
            <w:webHidden/>
          </w:rPr>
          <w:fldChar w:fldCharType="end"/>
        </w:r>
      </w:hyperlink>
    </w:p>
    <w:p w14:paraId="7F10828F" w14:textId="38F9109B" w:rsidR="003B042F" w:rsidRDefault="003B042F">
      <w:pPr>
        <w:pStyle w:val="TOC4"/>
        <w:rPr>
          <w:rFonts w:asciiTheme="minorHAnsi" w:eastAsiaTheme="minorEastAsia" w:hAnsiTheme="minorHAnsi"/>
          <w:noProof/>
          <w:sz w:val="22"/>
          <w:lang w:eastAsia="en-AU"/>
        </w:rPr>
      </w:pPr>
      <w:hyperlink w:anchor="_Toc175238753" w:history="1">
        <w:r w:rsidRPr="005871B3">
          <w:rPr>
            <w:rStyle w:val="Hyperlink"/>
            <w:noProof/>
          </w:rPr>
          <w:t>14.6—Magistrates Court</w:t>
        </w:r>
        <w:r>
          <w:rPr>
            <w:noProof/>
            <w:webHidden/>
          </w:rPr>
          <w:tab/>
        </w:r>
        <w:r>
          <w:rPr>
            <w:noProof/>
            <w:webHidden/>
          </w:rPr>
          <w:fldChar w:fldCharType="begin"/>
        </w:r>
        <w:r>
          <w:rPr>
            <w:noProof/>
            <w:webHidden/>
          </w:rPr>
          <w:instrText xml:space="preserve"> PAGEREF _Toc175238753 \h </w:instrText>
        </w:r>
        <w:r>
          <w:rPr>
            <w:noProof/>
            <w:webHidden/>
          </w:rPr>
        </w:r>
        <w:r>
          <w:rPr>
            <w:noProof/>
            <w:webHidden/>
          </w:rPr>
          <w:fldChar w:fldCharType="separate"/>
        </w:r>
        <w:r w:rsidR="00FD06AB">
          <w:rPr>
            <w:noProof/>
            <w:webHidden/>
          </w:rPr>
          <w:t>40</w:t>
        </w:r>
        <w:r>
          <w:rPr>
            <w:noProof/>
            <w:webHidden/>
          </w:rPr>
          <w:fldChar w:fldCharType="end"/>
        </w:r>
      </w:hyperlink>
    </w:p>
    <w:p w14:paraId="376DA18F" w14:textId="5F946B30" w:rsidR="003B042F" w:rsidRDefault="003B042F">
      <w:pPr>
        <w:pStyle w:val="TOC3"/>
        <w:rPr>
          <w:rFonts w:asciiTheme="minorHAnsi" w:eastAsiaTheme="minorEastAsia" w:hAnsiTheme="minorHAnsi"/>
          <w:b w:val="0"/>
          <w:noProof/>
          <w:sz w:val="22"/>
          <w:lang w:eastAsia="en-AU"/>
        </w:rPr>
      </w:pPr>
      <w:hyperlink w:anchor="_Toc175238754" w:history="1">
        <w:r w:rsidRPr="005871B3">
          <w:rPr>
            <w:rStyle w:val="Hyperlink"/>
            <w:noProof/>
          </w:rPr>
          <w:t>Division 5—Sittings</w:t>
        </w:r>
        <w:r>
          <w:rPr>
            <w:noProof/>
            <w:webHidden/>
          </w:rPr>
          <w:tab/>
        </w:r>
        <w:r>
          <w:rPr>
            <w:noProof/>
            <w:webHidden/>
          </w:rPr>
          <w:fldChar w:fldCharType="begin"/>
        </w:r>
        <w:r>
          <w:rPr>
            <w:noProof/>
            <w:webHidden/>
          </w:rPr>
          <w:instrText xml:space="preserve"> PAGEREF _Toc175238754 \h </w:instrText>
        </w:r>
        <w:r>
          <w:rPr>
            <w:noProof/>
            <w:webHidden/>
          </w:rPr>
        </w:r>
        <w:r>
          <w:rPr>
            <w:noProof/>
            <w:webHidden/>
          </w:rPr>
          <w:fldChar w:fldCharType="separate"/>
        </w:r>
        <w:r w:rsidR="00FD06AB">
          <w:rPr>
            <w:noProof/>
            <w:webHidden/>
          </w:rPr>
          <w:t>40</w:t>
        </w:r>
        <w:r>
          <w:rPr>
            <w:noProof/>
            <w:webHidden/>
          </w:rPr>
          <w:fldChar w:fldCharType="end"/>
        </w:r>
      </w:hyperlink>
    </w:p>
    <w:p w14:paraId="03DBBD4D" w14:textId="6309239A" w:rsidR="003B042F" w:rsidRDefault="003B042F">
      <w:pPr>
        <w:pStyle w:val="TOC4"/>
        <w:rPr>
          <w:rFonts w:asciiTheme="minorHAnsi" w:eastAsiaTheme="minorEastAsia" w:hAnsiTheme="minorHAnsi"/>
          <w:noProof/>
          <w:sz w:val="22"/>
          <w:lang w:eastAsia="en-AU"/>
        </w:rPr>
      </w:pPr>
      <w:hyperlink w:anchor="_Toc175238755" w:history="1">
        <w:r w:rsidRPr="005871B3">
          <w:rPr>
            <w:rStyle w:val="Hyperlink"/>
            <w:noProof/>
          </w:rPr>
          <w:t>15.1—Sittings</w:t>
        </w:r>
        <w:r>
          <w:rPr>
            <w:noProof/>
            <w:webHidden/>
          </w:rPr>
          <w:tab/>
        </w:r>
        <w:r>
          <w:rPr>
            <w:noProof/>
            <w:webHidden/>
          </w:rPr>
          <w:fldChar w:fldCharType="begin"/>
        </w:r>
        <w:r>
          <w:rPr>
            <w:noProof/>
            <w:webHidden/>
          </w:rPr>
          <w:instrText xml:space="preserve"> PAGEREF _Toc175238755 \h </w:instrText>
        </w:r>
        <w:r>
          <w:rPr>
            <w:noProof/>
            <w:webHidden/>
          </w:rPr>
        </w:r>
        <w:r>
          <w:rPr>
            <w:noProof/>
            <w:webHidden/>
          </w:rPr>
          <w:fldChar w:fldCharType="separate"/>
        </w:r>
        <w:r w:rsidR="00FD06AB">
          <w:rPr>
            <w:noProof/>
            <w:webHidden/>
          </w:rPr>
          <w:t>40</w:t>
        </w:r>
        <w:r>
          <w:rPr>
            <w:noProof/>
            <w:webHidden/>
          </w:rPr>
          <w:fldChar w:fldCharType="end"/>
        </w:r>
      </w:hyperlink>
    </w:p>
    <w:p w14:paraId="1FF9D7FD" w14:textId="6FA7E84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56" w:history="1">
        <w:r w:rsidRPr="005871B3">
          <w:rPr>
            <w:rStyle w:val="Hyperlink"/>
            <w:noProof/>
          </w:rPr>
          <w:t>Part 2—Administration of the Court</w:t>
        </w:r>
        <w:r>
          <w:rPr>
            <w:noProof/>
            <w:webHidden/>
          </w:rPr>
          <w:tab/>
        </w:r>
        <w:r>
          <w:rPr>
            <w:noProof/>
            <w:webHidden/>
          </w:rPr>
          <w:fldChar w:fldCharType="begin"/>
        </w:r>
        <w:r>
          <w:rPr>
            <w:noProof/>
            <w:webHidden/>
          </w:rPr>
          <w:instrText xml:space="preserve"> PAGEREF _Toc175238756 \h </w:instrText>
        </w:r>
        <w:r>
          <w:rPr>
            <w:noProof/>
            <w:webHidden/>
          </w:rPr>
        </w:r>
        <w:r>
          <w:rPr>
            <w:noProof/>
            <w:webHidden/>
          </w:rPr>
          <w:fldChar w:fldCharType="separate"/>
        </w:r>
        <w:r w:rsidR="00FD06AB">
          <w:rPr>
            <w:noProof/>
            <w:webHidden/>
          </w:rPr>
          <w:t>41</w:t>
        </w:r>
        <w:r>
          <w:rPr>
            <w:noProof/>
            <w:webHidden/>
          </w:rPr>
          <w:fldChar w:fldCharType="end"/>
        </w:r>
      </w:hyperlink>
    </w:p>
    <w:p w14:paraId="4EDFD469" w14:textId="4414AA2A" w:rsidR="003B042F" w:rsidRDefault="003B042F">
      <w:pPr>
        <w:pStyle w:val="TOC3"/>
        <w:rPr>
          <w:rFonts w:asciiTheme="minorHAnsi" w:eastAsiaTheme="minorEastAsia" w:hAnsiTheme="minorHAnsi"/>
          <w:b w:val="0"/>
          <w:noProof/>
          <w:sz w:val="22"/>
          <w:lang w:eastAsia="en-AU"/>
        </w:rPr>
      </w:pPr>
      <w:hyperlink w:anchor="_Toc175238757" w:history="1">
        <w:r w:rsidRPr="005871B3">
          <w:rPr>
            <w:rStyle w:val="Hyperlink"/>
            <w:noProof/>
          </w:rPr>
          <w:t>Division 1—General</w:t>
        </w:r>
        <w:r>
          <w:rPr>
            <w:noProof/>
            <w:webHidden/>
          </w:rPr>
          <w:tab/>
        </w:r>
        <w:r>
          <w:rPr>
            <w:noProof/>
            <w:webHidden/>
          </w:rPr>
          <w:fldChar w:fldCharType="begin"/>
        </w:r>
        <w:r>
          <w:rPr>
            <w:noProof/>
            <w:webHidden/>
          </w:rPr>
          <w:instrText xml:space="preserve"> PAGEREF _Toc175238757 \h </w:instrText>
        </w:r>
        <w:r>
          <w:rPr>
            <w:noProof/>
            <w:webHidden/>
          </w:rPr>
        </w:r>
        <w:r>
          <w:rPr>
            <w:noProof/>
            <w:webHidden/>
          </w:rPr>
          <w:fldChar w:fldCharType="separate"/>
        </w:r>
        <w:r w:rsidR="00FD06AB">
          <w:rPr>
            <w:noProof/>
            <w:webHidden/>
          </w:rPr>
          <w:t>41</w:t>
        </w:r>
        <w:r>
          <w:rPr>
            <w:noProof/>
            <w:webHidden/>
          </w:rPr>
          <w:fldChar w:fldCharType="end"/>
        </w:r>
      </w:hyperlink>
    </w:p>
    <w:p w14:paraId="7BE48F44" w14:textId="534FE67D" w:rsidR="003B042F" w:rsidRDefault="003B042F">
      <w:pPr>
        <w:pStyle w:val="TOC4"/>
        <w:rPr>
          <w:rFonts w:asciiTheme="minorHAnsi" w:eastAsiaTheme="minorEastAsia" w:hAnsiTheme="minorHAnsi"/>
          <w:noProof/>
          <w:sz w:val="22"/>
          <w:lang w:eastAsia="en-AU"/>
        </w:rPr>
      </w:pPr>
      <w:hyperlink w:anchor="_Toc175238758" w:history="1">
        <w:r w:rsidRPr="005871B3">
          <w:rPr>
            <w:rStyle w:val="Hyperlink"/>
            <w:noProof/>
          </w:rPr>
          <w:t>16.1—Chief Judicial Officer</w:t>
        </w:r>
        <w:r>
          <w:rPr>
            <w:noProof/>
            <w:webHidden/>
          </w:rPr>
          <w:tab/>
        </w:r>
        <w:r>
          <w:rPr>
            <w:noProof/>
            <w:webHidden/>
          </w:rPr>
          <w:fldChar w:fldCharType="begin"/>
        </w:r>
        <w:r>
          <w:rPr>
            <w:noProof/>
            <w:webHidden/>
          </w:rPr>
          <w:instrText xml:space="preserve"> PAGEREF _Toc175238758 \h </w:instrText>
        </w:r>
        <w:r>
          <w:rPr>
            <w:noProof/>
            <w:webHidden/>
          </w:rPr>
        </w:r>
        <w:r>
          <w:rPr>
            <w:noProof/>
            <w:webHidden/>
          </w:rPr>
          <w:fldChar w:fldCharType="separate"/>
        </w:r>
        <w:r w:rsidR="00FD06AB">
          <w:rPr>
            <w:noProof/>
            <w:webHidden/>
          </w:rPr>
          <w:t>41</w:t>
        </w:r>
        <w:r>
          <w:rPr>
            <w:noProof/>
            <w:webHidden/>
          </w:rPr>
          <w:fldChar w:fldCharType="end"/>
        </w:r>
      </w:hyperlink>
    </w:p>
    <w:p w14:paraId="0A591CB7" w14:textId="25AA4643" w:rsidR="003B042F" w:rsidRDefault="003B042F">
      <w:pPr>
        <w:pStyle w:val="TOC4"/>
        <w:rPr>
          <w:rFonts w:asciiTheme="minorHAnsi" w:eastAsiaTheme="minorEastAsia" w:hAnsiTheme="minorHAnsi"/>
          <w:noProof/>
          <w:sz w:val="22"/>
          <w:lang w:eastAsia="en-AU"/>
        </w:rPr>
      </w:pPr>
      <w:hyperlink w:anchor="_Toc175238759" w:history="1">
        <w:r w:rsidRPr="005871B3">
          <w:rPr>
            <w:rStyle w:val="Hyperlink"/>
            <w:noProof/>
          </w:rPr>
          <w:t>16.2—Registrar</w:t>
        </w:r>
        <w:r>
          <w:rPr>
            <w:noProof/>
            <w:webHidden/>
          </w:rPr>
          <w:tab/>
        </w:r>
        <w:r>
          <w:rPr>
            <w:noProof/>
            <w:webHidden/>
          </w:rPr>
          <w:fldChar w:fldCharType="begin"/>
        </w:r>
        <w:r>
          <w:rPr>
            <w:noProof/>
            <w:webHidden/>
          </w:rPr>
          <w:instrText xml:space="preserve"> PAGEREF _Toc175238759 \h </w:instrText>
        </w:r>
        <w:r>
          <w:rPr>
            <w:noProof/>
            <w:webHidden/>
          </w:rPr>
        </w:r>
        <w:r>
          <w:rPr>
            <w:noProof/>
            <w:webHidden/>
          </w:rPr>
          <w:fldChar w:fldCharType="separate"/>
        </w:r>
        <w:r w:rsidR="00FD06AB">
          <w:rPr>
            <w:noProof/>
            <w:webHidden/>
          </w:rPr>
          <w:t>41</w:t>
        </w:r>
        <w:r>
          <w:rPr>
            <w:noProof/>
            <w:webHidden/>
          </w:rPr>
          <w:fldChar w:fldCharType="end"/>
        </w:r>
      </w:hyperlink>
    </w:p>
    <w:p w14:paraId="17AF5972" w14:textId="564E91EA" w:rsidR="003B042F" w:rsidRDefault="003B042F">
      <w:pPr>
        <w:pStyle w:val="TOC4"/>
        <w:rPr>
          <w:rFonts w:asciiTheme="minorHAnsi" w:eastAsiaTheme="minorEastAsia" w:hAnsiTheme="minorHAnsi"/>
          <w:noProof/>
          <w:sz w:val="22"/>
          <w:lang w:eastAsia="en-AU"/>
        </w:rPr>
      </w:pPr>
      <w:hyperlink w:anchor="_Toc175238760" w:history="1">
        <w:r w:rsidRPr="005871B3">
          <w:rPr>
            <w:rStyle w:val="Hyperlink"/>
            <w:noProof/>
          </w:rPr>
          <w:t>16.3—Seek directions</w:t>
        </w:r>
        <w:r>
          <w:rPr>
            <w:noProof/>
            <w:webHidden/>
          </w:rPr>
          <w:tab/>
        </w:r>
        <w:r>
          <w:rPr>
            <w:noProof/>
            <w:webHidden/>
          </w:rPr>
          <w:fldChar w:fldCharType="begin"/>
        </w:r>
        <w:r>
          <w:rPr>
            <w:noProof/>
            <w:webHidden/>
          </w:rPr>
          <w:instrText xml:space="preserve"> PAGEREF _Toc175238760 \h </w:instrText>
        </w:r>
        <w:r>
          <w:rPr>
            <w:noProof/>
            <w:webHidden/>
          </w:rPr>
        </w:r>
        <w:r>
          <w:rPr>
            <w:noProof/>
            <w:webHidden/>
          </w:rPr>
          <w:fldChar w:fldCharType="separate"/>
        </w:r>
        <w:r w:rsidR="00FD06AB">
          <w:rPr>
            <w:noProof/>
            <w:webHidden/>
          </w:rPr>
          <w:t>42</w:t>
        </w:r>
        <w:r>
          <w:rPr>
            <w:noProof/>
            <w:webHidden/>
          </w:rPr>
          <w:fldChar w:fldCharType="end"/>
        </w:r>
      </w:hyperlink>
    </w:p>
    <w:p w14:paraId="3D073066" w14:textId="0CCEC8D8" w:rsidR="003B042F" w:rsidRDefault="003B042F">
      <w:pPr>
        <w:pStyle w:val="TOC4"/>
        <w:rPr>
          <w:rFonts w:asciiTheme="minorHAnsi" w:eastAsiaTheme="minorEastAsia" w:hAnsiTheme="minorHAnsi"/>
          <w:noProof/>
          <w:sz w:val="22"/>
          <w:lang w:eastAsia="en-AU"/>
        </w:rPr>
      </w:pPr>
      <w:hyperlink w:anchor="_Toc175238761" w:history="1">
        <w:r w:rsidRPr="005871B3">
          <w:rPr>
            <w:rStyle w:val="Hyperlink"/>
            <w:noProof/>
          </w:rPr>
          <w:t>16.4—Review of exercise of administrative function</w:t>
        </w:r>
        <w:r>
          <w:rPr>
            <w:noProof/>
            <w:webHidden/>
          </w:rPr>
          <w:tab/>
        </w:r>
        <w:r>
          <w:rPr>
            <w:noProof/>
            <w:webHidden/>
          </w:rPr>
          <w:fldChar w:fldCharType="begin"/>
        </w:r>
        <w:r>
          <w:rPr>
            <w:noProof/>
            <w:webHidden/>
          </w:rPr>
          <w:instrText xml:space="preserve"> PAGEREF _Toc175238761 \h </w:instrText>
        </w:r>
        <w:r>
          <w:rPr>
            <w:noProof/>
            <w:webHidden/>
          </w:rPr>
        </w:r>
        <w:r>
          <w:rPr>
            <w:noProof/>
            <w:webHidden/>
          </w:rPr>
          <w:fldChar w:fldCharType="separate"/>
        </w:r>
        <w:r w:rsidR="00FD06AB">
          <w:rPr>
            <w:noProof/>
            <w:webHidden/>
          </w:rPr>
          <w:t>42</w:t>
        </w:r>
        <w:r>
          <w:rPr>
            <w:noProof/>
            <w:webHidden/>
          </w:rPr>
          <w:fldChar w:fldCharType="end"/>
        </w:r>
      </w:hyperlink>
    </w:p>
    <w:p w14:paraId="57D8858E" w14:textId="19E5B86D" w:rsidR="003B042F" w:rsidRDefault="003B042F">
      <w:pPr>
        <w:pStyle w:val="TOC3"/>
        <w:rPr>
          <w:rFonts w:asciiTheme="minorHAnsi" w:eastAsiaTheme="minorEastAsia" w:hAnsiTheme="minorHAnsi"/>
          <w:b w:val="0"/>
          <w:noProof/>
          <w:sz w:val="22"/>
          <w:lang w:eastAsia="en-AU"/>
        </w:rPr>
      </w:pPr>
      <w:hyperlink w:anchor="_Toc175238762" w:history="1">
        <w:r w:rsidRPr="005871B3">
          <w:rPr>
            <w:rStyle w:val="Hyperlink"/>
            <w:noProof/>
          </w:rPr>
          <w:t>Division 2—Registry</w:t>
        </w:r>
        <w:r>
          <w:rPr>
            <w:noProof/>
            <w:webHidden/>
          </w:rPr>
          <w:tab/>
        </w:r>
        <w:r>
          <w:rPr>
            <w:noProof/>
            <w:webHidden/>
          </w:rPr>
          <w:fldChar w:fldCharType="begin"/>
        </w:r>
        <w:r>
          <w:rPr>
            <w:noProof/>
            <w:webHidden/>
          </w:rPr>
          <w:instrText xml:space="preserve"> PAGEREF _Toc175238762 \h </w:instrText>
        </w:r>
        <w:r>
          <w:rPr>
            <w:noProof/>
            <w:webHidden/>
          </w:rPr>
        </w:r>
        <w:r>
          <w:rPr>
            <w:noProof/>
            <w:webHidden/>
          </w:rPr>
          <w:fldChar w:fldCharType="separate"/>
        </w:r>
        <w:r w:rsidR="00FD06AB">
          <w:rPr>
            <w:noProof/>
            <w:webHidden/>
          </w:rPr>
          <w:t>43</w:t>
        </w:r>
        <w:r>
          <w:rPr>
            <w:noProof/>
            <w:webHidden/>
          </w:rPr>
          <w:fldChar w:fldCharType="end"/>
        </w:r>
      </w:hyperlink>
    </w:p>
    <w:p w14:paraId="288883E3" w14:textId="7CF0477F" w:rsidR="003B042F" w:rsidRDefault="003B042F">
      <w:pPr>
        <w:pStyle w:val="TOC4"/>
        <w:rPr>
          <w:rFonts w:asciiTheme="minorHAnsi" w:eastAsiaTheme="minorEastAsia" w:hAnsiTheme="minorHAnsi"/>
          <w:noProof/>
          <w:sz w:val="22"/>
          <w:lang w:eastAsia="en-AU"/>
        </w:rPr>
      </w:pPr>
      <w:hyperlink w:anchor="_Toc175238763" w:history="1">
        <w:r w:rsidRPr="005871B3">
          <w:rPr>
            <w:rStyle w:val="Hyperlink"/>
            <w:noProof/>
          </w:rPr>
          <w:t>17.1—Registry hours</w:t>
        </w:r>
        <w:r>
          <w:rPr>
            <w:noProof/>
            <w:webHidden/>
          </w:rPr>
          <w:tab/>
        </w:r>
        <w:r>
          <w:rPr>
            <w:noProof/>
            <w:webHidden/>
          </w:rPr>
          <w:fldChar w:fldCharType="begin"/>
        </w:r>
        <w:r>
          <w:rPr>
            <w:noProof/>
            <w:webHidden/>
          </w:rPr>
          <w:instrText xml:space="preserve"> PAGEREF _Toc175238763 \h </w:instrText>
        </w:r>
        <w:r>
          <w:rPr>
            <w:noProof/>
            <w:webHidden/>
          </w:rPr>
        </w:r>
        <w:r>
          <w:rPr>
            <w:noProof/>
            <w:webHidden/>
          </w:rPr>
          <w:fldChar w:fldCharType="separate"/>
        </w:r>
        <w:r w:rsidR="00FD06AB">
          <w:rPr>
            <w:noProof/>
            <w:webHidden/>
          </w:rPr>
          <w:t>43</w:t>
        </w:r>
        <w:r>
          <w:rPr>
            <w:noProof/>
            <w:webHidden/>
          </w:rPr>
          <w:fldChar w:fldCharType="end"/>
        </w:r>
      </w:hyperlink>
    </w:p>
    <w:p w14:paraId="18385324" w14:textId="2EFF2B55" w:rsidR="003B042F" w:rsidRDefault="003B042F">
      <w:pPr>
        <w:pStyle w:val="TOC3"/>
        <w:rPr>
          <w:rFonts w:asciiTheme="minorHAnsi" w:eastAsiaTheme="minorEastAsia" w:hAnsiTheme="minorHAnsi"/>
          <w:b w:val="0"/>
          <w:noProof/>
          <w:sz w:val="22"/>
          <w:lang w:eastAsia="en-AU"/>
        </w:rPr>
      </w:pPr>
      <w:hyperlink w:anchor="_Toc175238764" w:history="1">
        <w:r w:rsidRPr="005871B3">
          <w:rPr>
            <w:rStyle w:val="Hyperlink"/>
            <w:noProof/>
          </w:rPr>
          <w:t>Division 3—Access to court documents</w:t>
        </w:r>
        <w:r>
          <w:rPr>
            <w:noProof/>
            <w:webHidden/>
          </w:rPr>
          <w:tab/>
        </w:r>
        <w:r>
          <w:rPr>
            <w:noProof/>
            <w:webHidden/>
          </w:rPr>
          <w:fldChar w:fldCharType="begin"/>
        </w:r>
        <w:r>
          <w:rPr>
            <w:noProof/>
            <w:webHidden/>
          </w:rPr>
          <w:instrText xml:space="preserve"> PAGEREF _Toc175238764 \h </w:instrText>
        </w:r>
        <w:r>
          <w:rPr>
            <w:noProof/>
            <w:webHidden/>
          </w:rPr>
        </w:r>
        <w:r>
          <w:rPr>
            <w:noProof/>
            <w:webHidden/>
          </w:rPr>
          <w:fldChar w:fldCharType="separate"/>
        </w:r>
        <w:r w:rsidR="00FD06AB">
          <w:rPr>
            <w:noProof/>
            <w:webHidden/>
          </w:rPr>
          <w:t>43</w:t>
        </w:r>
        <w:r>
          <w:rPr>
            <w:noProof/>
            <w:webHidden/>
          </w:rPr>
          <w:fldChar w:fldCharType="end"/>
        </w:r>
      </w:hyperlink>
    </w:p>
    <w:p w14:paraId="43DA3DFB" w14:textId="1E178249" w:rsidR="003B042F" w:rsidRDefault="003B042F">
      <w:pPr>
        <w:pStyle w:val="TOC4"/>
        <w:rPr>
          <w:rFonts w:asciiTheme="minorHAnsi" w:eastAsiaTheme="minorEastAsia" w:hAnsiTheme="minorHAnsi"/>
          <w:noProof/>
          <w:sz w:val="22"/>
          <w:lang w:eastAsia="en-AU"/>
        </w:rPr>
      </w:pPr>
      <w:hyperlink w:anchor="_Toc175238765" w:history="1">
        <w:r w:rsidRPr="005871B3">
          <w:rPr>
            <w:rStyle w:val="Hyperlink"/>
            <w:noProof/>
          </w:rPr>
          <w:t>18.1—Document access</w:t>
        </w:r>
        <w:r>
          <w:rPr>
            <w:noProof/>
            <w:webHidden/>
          </w:rPr>
          <w:tab/>
        </w:r>
        <w:r>
          <w:rPr>
            <w:noProof/>
            <w:webHidden/>
          </w:rPr>
          <w:fldChar w:fldCharType="begin"/>
        </w:r>
        <w:r>
          <w:rPr>
            <w:noProof/>
            <w:webHidden/>
          </w:rPr>
          <w:instrText xml:space="preserve"> PAGEREF _Toc175238765 \h </w:instrText>
        </w:r>
        <w:r>
          <w:rPr>
            <w:noProof/>
            <w:webHidden/>
          </w:rPr>
        </w:r>
        <w:r>
          <w:rPr>
            <w:noProof/>
            <w:webHidden/>
          </w:rPr>
          <w:fldChar w:fldCharType="separate"/>
        </w:r>
        <w:r w:rsidR="00FD06AB">
          <w:rPr>
            <w:noProof/>
            <w:webHidden/>
          </w:rPr>
          <w:t>43</w:t>
        </w:r>
        <w:r>
          <w:rPr>
            <w:noProof/>
            <w:webHidden/>
          </w:rPr>
          <w:fldChar w:fldCharType="end"/>
        </w:r>
      </w:hyperlink>
    </w:p>
    <w:p w14:paraId="26889EFA" w14:textId="7027DD43" w:rsidR="003B042F" w:rsidRDefault="003B042F">
      <w:pPr>
        <w:pStyle w:val="TOC4"/>
        <w:rPr>
          <w:rFonts w:asciiTheme="minorHAnsi" w:eastAsiaTheme="minorEastAsia" w:hAnsiTheme="minorHAnsi"/>
          <w:noProof/>
          <w:sz w:val="22"/>
          <w:lang w:eastAsia="en-AU"/>
        </w:rPr>
      </w:pPr>
      <w:hyperlink w:anchor="_Toc175238766" w:history="1">
        <w:r w:rsidRPr="005871B3">
          <w:rPr>
            <w:rStyle w:val="Hyperlink"/>
            <w:noProof/>
          </w:rPr>
          <w:t>18.2—Production of court records</w:t>
        </w:r>
        <w:r>
          <w:rPr>
            <w:noProof/>
            <w:webHidden/>
          </w:rPr>
          <w:tab/>
        </w:r>
        <w:r>
          <w:rPr>
            <w:noProof/>
            <w:webHidden/>
          </w:rPr>
          <w:fldChar w:fldCharType="begin"/>
        </w:r>
        <w:r>
          <w:rPr>
            <w:noProof/>
            <w:webHidden/>
          </w:rPr>
          <w:instrText xml:space="preserve"> PAGEREF _Toc175238766 \h </w:instrText>
        </w:r>
        <w:r>
          <w:rPr>
            <w:noProof/>
            <w:webHidden/>
          </w:rPr>
        </w:r>
        <w:r>
          <w:rPr>
            <w:noProof/>
            <w:webHidden/>
          </w:rPr>
          <w:fldChar w:fldCharType="separate"/>
        </w:r>
        <w:r w:rsidR="00FD06AB">
          <w:rPr>
            <w:noProof/>
            <w:webHidden/>
          </w:rPr>
          <w:t>43</w:t>
        </w:r>
        <w:r>
          <w:rPr>
            <w:noProof/>
            <w:webHidden/>
          </w:rPr>
          <w:fldChar w:fldCharType="end"/>
        </w:r>
      </w:hyperlink>
    </w:p>
    <w:p w14:paraId="624799A9" w14:textId="3AA35903" w:rsidR="003B042F" w:rsidRDefault="003B042F">
      <w:pPr>
        <w:pStyle w:val="TOC3"/>
        <w:rPr>
          <w:rFonts w:asciiTheme="minorHAnsi" w:eastAsiaTheme="minorEastAsia" w:hAnsiTheme="minorHAnsi"/>
          <w:b w:val="0"/>
          <w:noProof/>
          <w:sz w:val="22"/>
          <w:lang w:eastAsia="en-AU"/>
        </w:rPr>
      </w:pPr>
      <w:hyperlink w:anchor="_Toc175238767" w:history="1">
        <w:r w:rsidRPr="005871B3">
          <w:rPr>
            <w:rStyle w:val="Hyperlink"/>
            <w:noProof/>
          </w:rPr>
          <w:t>Division 4—Court fees</w:t>
        </w:r>
        <w:r>
          <w:rPr>
            <w:noProof/>
            <w:webHidden/>
          </w:rPr>
          <w:tab/>
        </w:r>
        <w:r>
          <w:rPr>
            <w:noProof/>
            <w:webHidden/>
          </w:rPr>
          <w:fldChar w:fldCharType="begin"/>
        </w:r>
        <w:r>
          <w:rPr>
            <w:noProof/>
            <w:webHidden/>
          </w:rPr>
          <w:instrText xml:space="preserve"> PAGEREF _Toc175238767 \h </w:instrText>
        </w:r>
        <w:r>
          <w:rPr>
            <w:noProof/>
            <w:webHidden/>
          </w:rPr>
        </w:r>
        <w:r>
          <w:rPr>
            <w:noProof/>
            <w:webHidden/>
          </w:rPr>
          <w:fldChar w:fldCharType="separate"/>
        </w:r>
        <w:r w:rsidR="00FD06AB">
          <w:rPr>
            <w:noProof/>
            <w:webHidden/>
          </w:rPr>
          <w:t>44</w:t>
        </w:r>
        <w:r>
          <w:rPr>
            <w:noProof/>
            <w:webHidden/>
          </w:rPr>
          <w:fldChar w:fldCharType="end"/>
        </w:r>
      </w:hyperlink>
    </w:p>
    <w:p w14:paraId="6FDED51D" w14:textId="6ED64093" w:rsidR="003B042F" w:rsidRDefault="003B042F">
      <w:pPr>
        <w:pStyle w:val="TOC4"/>
        <w:rPr>
          <w:rFonts w:asciiTheme="minorHAnsi" w:eastAsiaTheme="minorEastAsia" w:hAnsiTheme="minorHAnsi"/>
          <w:noProof/>
          <w:sz w:val="22"/>
          <w:lang w:eastAsia="en-AU"/>
        </w:rPr>
      </w:pPr>
      <w:hyperlink w:anchor="_Toc175238768" w:history="1">
        <w:r w:rsidRPr="005871B3">
          <w:rPr>
            <w:rStyle w:val="Hyperlink"/>
            <w:noProof/>
          </w:rPr>
          <w:t>19.1—Remission or reduction</w:t>
        </w:r>
        <w:r>
          <w:rPr>
            <w:noProof/>
            <w:webHidden/>
          </w:rPr>
          <w:tab/>
        </w:r>
        <w:r>
          <w:rPr>
            <w:noProof/>
            <w:webHidden/>
          </w:rPr>
          <w:fldChar w:fldCharType="begin"/>
        </w:r>
        <w:r>
          <w:rPr>
            <w:noProof/>
            <w:webHidden/>
          </w:rPr>
          <w:instrText xml:space="preserve"> PAGEREF _Toc175238768 \h </w:instrText>
        </w:r>
        <w:r>
          <w:rPr>
            <w:noProof/>
            <w:webHidden/>
          </w:rPr>
        </w:r>
        <w:r>
          <w:rPr>
            <w:noProof/>
            <w:webHidden/>
          </w:rPr>
          <w:fldChar w:fldCharType="separate"/>
        </w:r>
        <w:r w:rsidR="00FD06AB">
          <w:rPr>
            <w:noProof/>
            <w:webHidden/>
          </w:rPr>
          <w:t>44</w:t>
        </w:r>
        <w:r>
          <w:rPr>
            <w:noProof/>
            <w:webHidden/>
          </w:rPr>
          <w:fldChar w:fldCharType="end"/>
        </w:r>
      </w:hyperlink>
    </w:p>
    <w:p w14:paraId="52A2A8E1" w14:textId="1BF2C768" w:rsidR="003B042F" w:rsidRDefault="003B042F">
      <w:pPr>
        <w:pStyle w:val="TOC4"/>
        <w:rPr>
          <w:rFonts w:asciiTheme="minorHAnsi" w:eastAsiaTheme="minorEastAsia" w:hAnsiTheme="minorHAnsi"/>
          <w:noProof/>
          <w:sz w:val="22"/>
          <w:lang w:eastAsia="en-AU"/>
        </w:rPr>
      </w:pPr>
      <w:hyperlink w:anchor="_Toc175238769" w:history="1">
        <w:r w:rsidRPr="005871B3">
          <w:rPr>
            <w:rStyle w:val="Hyperlink"/>
            <w:noProof/>
          </w:rPr>
          <w:t>19.2—Summary recovery</w:t>
        </w:r>
        <w:r>
          <w:rPr>
            <w:noProof/>
            <w:webHidden/>
          </w:rPr>
          <w:tab/>
        </w:r>
        <w:r>
          <w:rPr>
            <w:noProof/>
            <w:webHidden/>
          </w:rPr>
          <w:fldChar w:fldCharType="begin"/>
        </w:r>
        <w:r>
          <w:rPr>
            <w:noProof/>
            <w:webHidden/>
          </w:rPr>
          <w:instrText xml:space="preserve"> PAGEREF _Toc175238769 \h </w:instrText>
        </w:r>
        <w:r>
          <w:rPr>
            <w:noProof/>
            <w:webHidden/>
          </w:rPr>
        </w:r>
        <w:r>
          <w:rPr>
            <w:noProof/>
            <w:webHidden/>
          </w:rPr>
          <w:fldChar w:fldCharType="separate"/>
        </w:r>
        <w:r w:rsidR="00FD06AB">
          <w:rPr>
            <w:noProof/>
            <w:webHidden/>
          </w:rPr>
          <w:t>44</w:t>
        </w:r>
        <w:r>
          <w:rPr>
            <w:noProof/>
            <w:webHidden/>
          </w:rPr>
          <w:fldChar w:fldCharType="end"/>
        </w:r>
      </w:hyperlink>
    </w:p>
    <w:p w14:paraId="45359695" w14:textId="525CEFE0" w:rsidR="003B042F" w:rsidRDefault="003B042F">
      <w:pPr>
        <w:pStyle w:val="TOC3"/>
        <w:rPr>
          <w:rFonts w:asciiTheme="minorHAnsi" w:eastAsiaTheme="minorEastAsia" w:hAnsiTheme="minorHAnsi"/>
          <w:b w:val="0"/>
          <w:noProof/>
          <w:sz w:val="22"/>
          <w:lang w:eastAsia="en-AU"/>
        </w:rPr>
      </w:pPr>
      <w:hyperlink w:anchor="_Toc175238770" w:history="1">
        <w:r w:rsidRPr="005871B3">
          <w:rPr>
            <w:rStyle w:val="Hyperlink"/>
            <w:noProof/>
          </w:rPr>
          <w:t>Division 5—Notices from the Court</w:t>
        </w:r>
        <w:r>
          <w:rPr>
            <w:noProof/>
            <w:webHidden/>
          </w:rPr>
          <w:tab/>
        </w:r>
        <w:r>
          <w:rPr>
            <w:noProof/>
            <w:webHidden/>
          </w:rPr>
          <w:fldChar w:fldCharType="begin"/>
        </w:r>
        <w:r>
          <w:rPr>
            <w:noProof/>
            <w:webHidden/>
          </w:rPr>
          <w:instrText xml:space="preserve"> PAGEREF _Toc175238770 \h </w:instrText>
        </w:r>
        <w:r>
          <w:rPr>
            <w:noProof/>
            <w:webHidden/>
          </w:rPr>
        </w:r>
        <w:r>
          <w:rPr>
            <w:noProof/>
            <w:webHidden/>
          </w:rPr>
          <w:fldChar w:fldCharType="separate"/>
        </w:r>
        <w:r w:rsidR="00FD06AB">
          <w:rPr>
            <w:noProof/>
            <w:webHidden/>
          </w:rPr>
          <w:t>44</w:t>
        </w:r>
        <w:r>
          <w:rPr>
            <w:noProof/>
            <w:webHidden/>
          </w:rPr>
          <w:fldChar w:fldCharType="end"/>
        </w:r>
      </w:hyperlink>
    </w:p>
    <w:p w14:paraId="33DE999D" w14:textId="78EAE261" w:rsidR="003B042F" w:rsidRDefault="003B042F">
      <w:pPr>
        <w:pStyle w:val="TOC4"/>
        <w:rPr>
          <w:rFonts w:asciiTheme="minorHAnsi" w:eastAsiaTheme="minorEastAsia" w:hAnsiTheme="minorHAnsi"/>
          <w:noProof/>
          <w:sz w:val="22"/>
          <w:lang w:eastAsia="en-AU"/>
        </w:rPr>
      </w:pPr>
      <w:hyperlink w:anchor="_Toc175238771" w:history="1">
        <w:r w:rsidRPr="005871B3">
          <w:rPr>
            <w:rStyle w:val="Hyperlink"/>
            <w:noProof/>
          </w:rPr>
          <w:t>20.1—Notices</w:t>
        </w:r>
        <w:r>
          <w:rPr>
            <w:noProof/>
            <w:webHidden/>
          </w:rPr>
          <w:tab/>
        </w:r>
        <w:r>
          <w:rPr>
            <w:noProof/>
            <w:webHidden/>
          </w:rPr>
          <w:fldChar w:fldCharType="begin"/>
        </w:r>
        <w:r>
          <w:rPr>
            <w:noProof/>
            <w:webHidden/>
          </w:rPr>
          <w:instrText xml:space="preserve"> PAGEREF _Toc175238771 \h </w:instrText>
        </w:r>
        <w:r>
          <w:rPr>
            <w:noProof/>
            <w:webHidden/>
          </w:rPr>
        </w:r>
        <w:r>
          <w:rPr>
            <w:noProof/>
            <w:webHidden/>
          </w:rPr>
          <w:fldChar w:fldCharType="separate"/>
        </w:r>
        <w:r w:rsidR="00FD06AB">
          <w:rPr>
            <w:noProof/>
            <w:webHidden/>
          </w:rPr>
          <w:t>44</w:t>
        </w:r>
        <w:r>
          <w:rPr>
            <w:noProof/>
            <w:webHidden/>
          </w:rPr>
          <w:fldChar w:fldCharType="end"/>
        </w:r>
      </w:hyperlink>
    </w:p>
    <w:p w14:paraId="7DB7DA72" w14:textId="01A0190A" w:rsidR="003B042F" w:rsidRDefault="003B042F">
      <w:pPr>
        <w:pStyle w:val="TOC3"/>
        <w:rPr>
          <w:rFonts w:asciiTheme="minorHAnsi" w:eastAsiaTheme="minorEastAsia" w:hAnsiTheme="minorHAnsi"/>
          <w:b w:val="0"/>
          <w:noProof/>
          <w:sz w:val="22"/>
          <w:lang w:eastAsia="en-AU"/>
        </w:rPr>
      </w:pPr>
      <w:hyperlink w:anchor="_Toc175238772" w:history="1">
        <w:r w:rsidRPr="005871B3">
          <w:rPr>
            <w:rStyle w:val="Hyperlink"/>
            <w:noProof/>
          </w:rPr>
          <w:t>Division 6—Advisors, elders and experts: Lower Courts</w:t>
        </w:r>
        <w:r>
          <w:rPr>
            <w:noProof/>
            <w:webHidden/>
          </w:rPr>
          <w:tab/>
        </w:r>
        <w:r>
          <w:rPr>
            <w:noProof/>
            <w:webHidden/>
          </w:rPr>
          <w:fldChar w:fldCharType="begin"/>
        </w:r>
        <w:r>
          <w:rPr>
            <w:noProof/>
            <w:webHidden/>
          </w:rPr>
          <w:instrText xml:space="preserve"> PAGEREF _Toc175238772 \h </w:instrText>
        </w:r>
        <w:r>
          <w:rPr>
            <w:noProof/>
            <w:webHidden/>
          </w:rPr>
        </w:r>
        <w:r>
          <w:rPr>
            <w:noProof/>
            <w:webHidden/>
          </w:rPr>
          <w:fldChar w:fldCharType="separate"/>
        </w:r>
        <w:r w:rsidR="00FD06AB">
          <w:rPr>
            <w:noProof/>
            <w:webHidden/>
          </w:rPr>
          <w:t>45</w:t>
        </w:r>
        <w:r>
          <w:rPr>
            <w:noProof/>
            <w:webHidden/>
          </w:rPr>
          <w:fldChar w:fldCharType="end"/>
        </w:r>
      </w:hyperlink>
    </w:p>
    <w:p w14:paraId="11445362" w14:textId="2CC8B6C4" w:rsidR="003B042F" w:rsidRDefault="003B042F">
      <w:pPr>
        <w:pStyle w:val="TOC4"/>
        <w:rPr>
          <w:rFonts w:asciiTheme="minorHAnsi" w:eastAsiaTheme="minorEastAsia" w:hAnsiTheme="minorHAnsi"/>
          <w:noProof/>
          <w:sz w:val="22"/>
          <w:lang w:eastAsia="en-AU"/>
        </w:rPr>
      </w:pPr>
      <w:hyperlink w:anchor="_Toc175238773" w:history="1">
        <w:r w:rsidRPr="005871B3">
          <w:rPr>
            <w:rStyle w:val="Hyperlink"/>
            <w:noProof/>
          </w:rPr>
          <w:t>21.1—Appointment and remuneration</w:t>
        </w:r>
        <w:r>
          <w:rPr>
            <w:noProof/>
            <w:webHidden/>
          </w:rPr>
          <w:tab/>
        </w:r>
        <w:r>
          <w:rPr>
            <w:noProof/>
            <w:webHidden/>
          </w:rPr>
          <w:fldChar w:fldCharType="begin"/>
        </w:r>
        <w:r>
          <w:rPr>
            <w:noProof/>
            <w:webHidden/>
          </w:rPr>
          <w:instrText xml:space="preserve"> PAGEREF _Toc175238773 \h </w:instrText>
        </w:r>
        <w:r>
          <w:rPr>
            <w:noProof/>
            <w:webHidden/>
          </w:rPr>
        </w:r>
        <w:r>
          <w:rPr>
            <w:noProof/>
            <w:webHidden/>
          </w:rPr>
          <w:fldChar w:fldCharType="separate"/>
        </w:r>
        <w:r w:rsidR="00FD06AB">
          <w:rPr>
            <w:noProof/>
            <w:webHidden/>
          </w:rPr>
          <w:t>45</w:t>
        </w:r>
        <w:r>
          <w:rPr>
            <w:noProof/>
            <w:webHidden/>
          </w:rPr>
          <w:fldChar w:fldCharType="end"/>
        </w:r>
      </w:hyperlink>
    </w:p>
    <w:p w14:paraId="053F95C5" w14:textId="5E8E2127"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74" w:history="1">
        <w:r w:rsidRPr="005871B3">
          <w:rPr>
            <w:rStyle w:val="Hyperlink"/>
            <w:noProof/>
          </w:rPr>
          <w:t>Part 3—Electronic court management system</w:t>
        </w:r>
        <w:r>
          <w:rPr>
            <w:noProof/>
            <w:webHidden/>
          </w:rPr>
          <w:tab/>
        </w:r>
        <w:r>
          <w:rPr>
            <w:noProof/>
            <w:webHidden/>
          </w:rPr>
          <w:fldChar w:fldCharType="begin"/>
        </w:r>
        <w:r>
          <w:rPr>
            <w:noProof/>
            <w:webHidden/>
          </w:rPr>
          <w:instrText xml:space="preserve"> PAGEREF _Toc175238774 \h </w:instrText>
        </w:r>
        <w:r>
          <w:rPr>
            <w:noProof/>
            <w:webHidden/>
          </w:rPr>
        </w:r>
        <w:r>
          <w:rPr>
            <w:noProof/>
            <w:webHidden/>
          </w:rPr>
          <w:fldChar w:fldCharType="separate"/>
        </w:r>
        <w:r w:rsidR="00FD06AB">
          <w:rPr>
            <w:noProof/>
            <w:webHidden/>
          </w:rPr>
          <w:t>45</w:t>
        </w:r>
        <w:r>
          <w:rPr>
            <w:noProof/>
            <w:webHidden/>
          </w:rPr>
          <w:fldChar w:fldCharType="end"/>
        </w:r>
      </w:hyperlink>
    </w:p>
    <w:p w14:paraId="73615EC3" w14:textId="0255701C" w:rsidR="003B042F" w:rsidRDefault="003B042F">
      <w:pPr>
        <w:pStyle w:val="TOC4"/>
        <w:rPr>
          <w:rFonts w:asciiTheme="minorHAnsi" w:eastAsiaTheme="minorEastAsia" w:hAnsiTheme="minorHAnsi"/>
          <w:noProof/>
          <w:sz w:val="22"/>
          <w:lang w:eastAsia="en-AU"/>
        </w:rPr>
      </w:pPr>
      <w:hyperlink w:anchor="_Toc175238775" w:history="1">
        <w:r w:rsidRPr="005871B3">
          <w:rPr>
            <w:rStyle w:val="Hyperlink"/>
            <w:noProof/>
          </w:rPr>
          <w:t>22.1—Establishment and operation</w:t>
        </w:r>
        <w:r>
          <w:rPr>
            <w:noProof/>
            <w:webHidden/>
          </w:rPr>
          <w:tab/>
        </w:r>
        <w:r>
          <w:rPr>
            <w:noProof/>
            <w:webHidden/>
          </w:rPr>
          <w:fldChar w:fldCharType="begin"/>
        </w:r>
        <w:r>
          <w:rPr>
            <w:noProof/>
            <w:webHidden/>
          </w:rPr>
          <w:instrText xml:space="preserve"> PAGEREF _Toc175238775 \h </w:instrText>
        </w:r>
        <w:r>
          <w:rPr>
            <w:noProof/>
            <w:webHidden/>
          </w:rPr>
        </w:r>
        <w:r>
          <w:rPr>
            <w:noProof/>
            <w:webHidden/>
          </w:rPr>
          <w:fldChar w:fldCharType="separate"/>
        </w:r>
        <w:r w:rsidR="00FD06AB">
          <w:rPr>
            <w:noProof/>
            <w:webHidden/>
          </w:rPr>
          <w:t>45</w:t>
        </w:r>
        <w:r>
          <w:rPr>
            <w:noProof/>
            <w:webHidden/>
          </w:rPr>
          <w:fldChar w:fldCharType="end"/>
        </w:r>
      </w:hyperlink>
    </w:p>
    <w:p w14:paraId="797D4184" w14:textId="6A8D58AB" w:rsidR="003B042F" w:rsidRDefault="003B042F">
      <w:pPr>
        <w:pStyle w:val="TOC4"/>
        <w:rPr>
          <w:rFonts w:asciiTheme="minorHAnsi" w:eastAsiaTheme="minorEastAsia" w:hAnsiTheme="minorHAnsi"/>
          <w:noProof/>
          <w:sz w:val="22"/>
          <w:lang w:eastAsia="en-AU"/>
        </w:rPr>
      </w:pPr>
      <w:hyperlink w:anchor="_Toc175238776" w:history="1">
        <w:r w:rsidRPr="005871B3">
          <w:rPr>
            <w:rStyle w:val="Hyperlink"/>
            <w:noProof/>
          </w:rPr>
          <w:t>22.2—Registered users</w:t>
        </w:r>
        <w:r>
          <w:rPr>
            <w:noProof/>
            <w:webHidden/>
          </w:rPr>
          <w:tab/>
        </w:r>
        <w:r>
          <w:rPr>
            <w:noProof/>
            <w:webHidden/>
          </w:rPr>
          <w:fldChar w:fldCharType="begin"/>
        </w:r>
        <w:r>
          <w:rPr>
            <w:noProof/>
            <w:webHidden/>
          </w:rPr>
          <w:instrText xml:space="preserve"> PAGEREF _Toc175238776 \h </w:instrText>
        </w:r>
        <w:r>
          <w:rPr>
            <w:noProof/>
            <w:webHidden/>
          </w:rPr>
        </w:r>
        <w:r>
          <w:rPr>
            <w:noProof/>
            <w:webHidden/>
          </w:rPr>
          <w:fldChar w:fldCharType="separate"/>
        </w:r>
        <w:r w:rsidR="00FD06AB">
          <w:rPr>
            <w:noProof/>
            <w:webHidden/>
          </w:rPr>
          <w:t>46</w:t>
        </w:r>
        <w:r>
          <w:rPr>
            <w:noProof/>
            <w:webHidden/>
          </w:rPr>
          <w:fldChar w:fldCharType="end"/>
        </w:r>
      </w:hyperlink>
    </w:p>
    <w:p w14:paraId="55476DB2" w14:textId="5AE28737" w:rsidR="003B042F" w:rsidRDefault="003B042F">
      <w:pPr>
        <w:pStyle w:val="TOC4"/>
        <w:rPr>
          <w:rFonts w:asciiTheme="minorHAnsi" w:eastAsiaTheme="minorEastAsia" w:hAnsiTheme="minorHAnsi"/>
          <w:noProof/>
          <w:sz w:val="22"/>
          <w:lang w:eastAsia="en-AU"/>
        </w:rPr>
      </w:pPr>
      <w:hyperlink w:anchor="_Toc175238777" w:history="1">
        <w:r w:rsidRPr="005871B3">
          <w:rPr>
            <w:rStyle w:val="Hyperlink"/>
            <w:noProof/>
          </w:rPr>
          <w:t>22.3—Originals of documents uploaded into Electronic System</w:t>
        </w:r>
        <w:r>
          <w:rPr>
            <w:noProof/>
            <w:webHidden/>
          </w:rPr>
          <w:tab/>
        </w:r>
        <w:r>
          <w:rPr>
            <w:noProof/>
            <w:webHidden/>
          </w:rPr>
          <w:fldChar w:fldCharType="begin"/>
        </w:r>
        <w:r>
          <w:rPr>
            <w:noProof/>
            <w:webHidden/>
          </w:rPr>
          <w:instrText xml:space="preserve"> PAGEREF _Toc175238777 \h </w:instrText>
        </w:r>
        <w:r>
          <w:rPr>
            <w:noProof/>
            <w:webHidden/>
          </w:rPr>
        </w:r>
        <w:r>
          <w:rPr>
            <w:noProof/>
            <w:webHidden/>
          </w:rPr>
          <w:fldChar w:fldCharType="separate"/>
        </w:r>
        <w:r w:rsidR="00FD06AB">
          <w:rPr>
            <w:noProof/>
            <w:webHidden/>
          </w:rPr>
          <w:t>46</w:t>
        </w:r>
        <w:r>
          <w:rPr>
            <w:noProof/>
            <w:webHidden/>
          </w:rPr>
          <w:fldChar w:fldCharType="end"/>
        </w:r>
      </w:hyperlink>
    </w:p>
    <w:p w14:paraId="30483289" w14:textId="69C3160C" w:rsidR="003B042F" w:rsidRDefault="003B042F">
      <w:pPr>
        <w:pStyle w:val="TOC4"/>
        <w:rPr>
          <w:rFonts w:asciiTheme="minorHAnsi" w:eastAsiaTheme="minorEastAsia" w:hAnsiTheme="minorHAnsi"/>
          <w:noProof/>
          <w:sz w:val="22"/>
          <w:lang w:eastAsia="en-AU"/>
        </w:rPr>
      </w:pPr>
      <w:hyperlink w:anchor="_Toc175238778" w:history="1">
        <w:r w:rsidRPr="005871B3">
          <w:rPr>
            <w:rStyle w:val="Hyperlink"/>
            <w:noProof/>
          </w:rPr>
          <w:t>22.4—Official record of the Court</w:t>
        </w:r>
        <w:r>
          <w:rPr>
            <w:noProof/>
            <w:webHidden/>
          </w:rPr>
          <w:tab/>
        </w:r>
        <w:r>
          <w:rPr>
            <w:noProof/>
            <w:webHidden/>
          </w:rPr>
          <w:fldChar w:fldCharType="begin"/>
        </w:r>
        <w:r>
          <w:rPr>
            <w:noProof/>
            <w:webHidden/>
          </w:rPr>
          <w:instrText xml:space="preserve"> PAGEREF _Toc175238778 \h </w:instrText>
        </w:r>
        <w:r>
          <w:rPr>
            <w:noProof/>
            <w:webHidden/>
          </w:rPr>
        </w:r>
        <w:r>
          <w:rPr>
            <w:noProof/>
            <w:webHidden/>
          </w:rPr>
          <w:fldChar w:fldCharType="separate"/>
        </w:r>
        <w:r w:rsidR="00FD06AB">
          <w:rPr>
            <w:noProof/>
            <w:webHidden/>
          </w:rPr>
          <w:t>47</w:t>
        </w:r>
        <w:r>
          <w:rPr>
            <w:noProof/>
            <w:webHidden/>
          </w:rPr>
          <w:fldChar w:fldCharType="end"/>
        </w:r>
      </w:hyperlink>
    </w:p>
    <w:p w14:paraId="5CC788AF" w14:textId="1C5D31B0"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779" w:history="1">
        <w:r w:rsidRPr="005871B3">
          <w:rPr>
            <w:rStyle w:val="Hyperlink"/>
            <w:noProof/>
          </w:rPr>
          <w:t>Part 4—Parties and representation</w:t>
        </w:r>
        <w:r>
          <w:rPr>
            <w:noProof/>
            <w:webHidden/>
          </w:rPr>
          <w:tab/>
        </w:r>
        <w:r>
          <w:rPr>
            <w:noProof/>
            <w:webHidden/>
          </w:rPr>
          <w:fldChar w:fldCharType="begin"/>
        </w:r>
        <w:r>
          <w:rPr>
            <w:noProof/>
            <w:webHidden/>
          </w:rPr>
          <w:instrText xml:space="preserve"> PAGEREF _Toc175238779 \h </w:instrText>
        </w:r>
        <w:r>
          <w:rPr>
            <w:noProof/>
            <w:webHidden/>
          </w:rPr>
        </w:r>
        <w:r>
          <w:rPr>
            <w:noProof/>
            <w:webHidden/>
          </w:rPr>
          <w:fldChar w:fldCharType="separate"/>
        </w:r>
        <w:r w:rsidR="00FD06AB">
          <w:rPr>
            <w:noProof/>
            <w:webHidden/>
          </w:rPr>
          <w:t>47</w:t>
        </w:r>
        <w:r>
          <w:rPr>
            <w:noProof/>
            <w:webHidden/>
          </w:rPr>
          <w:fldChar w:fldCharType="end"/>
        </w:r>
      </w:hyperlink>
    </w:p>
    <w:p w14:paraId="6DD39663" w14:textId="66BE1113" w:rsidR="003B042F" w:rsidRDefault="003B042F">
      <w:pPr>
        <w:pStyle w:val="TOC3"/>
        <w:rPr>
          <w:rFonts w:asciiTheme="minorHAnsi" w:eastAsiaTheme="minorEastAsia" w:hAnsiTheme="minorHAnsi"/>
          <w:b w:val="0"/>
          <w:noProof/>
          <w:sz w:val="22"/>
          <w:lang w:eastAsia="en-AU"/>
        </w:rPr>
      </w:pPr>
      <w:hyperlink w:anchor="_Toc175238780" w:history="1">
        <w:r w:rsidRPr="005871B3">
          <w:rPr>
            <w:rStyle w:val="Hyperlink"/>
            <w:noProof/>
          </w:rPr>
          <w:t>Division 1—Parties</w:t>
        </w:r>
        <w:r>
          <w:rPr>
            <w:noProof/>
            <w:webHidden/>
          </w:rPr>
          <w:tab/>
        </w:r>
        <w:r>
          <w:rPr>
            <w:noProof/>
            <w:webHidden/>
          </w:rPr>
          <w:fldChar w:fldCharType="begin"/>
        </w:r>
        <w:r>
          <w:rPr>
            <w:noProof/>
            <w:webHidden/>
          </w:rPr>
          <w:instrText xml:space="preserve"> PAGEREF _Toc175238780 \h </w:instrText>
        </w:r>
        <w:r>
          <w:rPr>
            <w:noProof/>
            <w:webHidden/>
          </w:rPr>
        </w:r>
        <w:r>
          <w:rPr>
            <w:noProof/>
            <w:webHidden/>
          </w:rPr>
          <w:fldChar w:fldCharType="separate"/>
        </w:r>
        <w:r w:rsidR="00FD06AB">
          <w:rPr>
            <w:noProof/>
            <w:webHidden/>
          </w:rPr>
          <w:t>47</w:t>
        </w:r>
        <w:r>
          <w:rPr>
            <w:noProof/>
            <w:webHidden/>
          </w:rPr>
          <w:fldChar w:fldCharType="end"/>
        </w:r>
      </w:hyperlink>
    </w:p>
    <w:p w14:paraId="693D349F" w14:textId="736CF289" w:rsidR="003B042F" w:rsidRDefault="003B042F">
      <w:pPr>
        <w:pStyle w:val="TOC4"/>
        <w:rPr>
          <w:rFonts w:asciiTheme="minorHAnsi" w:eastAsiaTheme="minorEastAsia" w:hAnsiTheme="minorHAnsi"/>
          <w:noProof/>
          <w:sz w:val="22"/>
          <w:lang w:eastAsia="en-AU"/>
        </w:rPr>
      </w:pPr>
      <w:hyperlink w:anchor="_Toc175238781" w:history="1">
        <w:r w:rsidRPr="005871B3">
          <w:rPr>
            <w:rStyle w:val="Hyperlink"/>
            <w:noProof/>
          </w:rPr>
          <w:t>23.1—Party types</w:t>
        </w:r>
        <w:r>
          <w:rPr>
            <w:noProof/>
            <w:webHidden/>
          </w:rPr>
          <w:tab/>
        </w:r>
        <w:r>
          <w:rPr>
            <w:noProof/>
            <w:webHidden/>
          </w:rPr>
          <w:fldChar w:fldCharType="begin"/>
        </w:r>
        <w:r>
          <w:rPr>
            <w:noProof/>
            <w:webHidden/>
          </w:rPr>
          <w:instrText xml:space="preserve"> PAGEREF _Toc175238781 \h </w:instrText>
        </w:r>
        <w:r>
          <w:rPr>
            <w:noProof/>
            <w:webHidden/>
          </w:rPr>
        </w:r>
        <w:r>
          <w:rPr>
            <w:noProof/>
            <w:webHidden/>
          </w:rPr>
          <w:fldChar w:fldCharType="separate"/>
        </w:r>
        <w:r w:rsidR="00FD06AB">
          <w:rPr>
            <w:noProof/>
            <w:webHidden/>
          </w:rPr>
          <w:t>47</w:t>
        </w:r>
        <w:r>
          <w:rPr>
            <w:noProof/>
            <w:webHidden/>
          </w:rPr>
          <w:fldChar w:fldCharType="end"/>
        </w:r>
      </w:hyperlink>
    </w:p>
    <w:p w14:paraId="6C189DE3" w14:textId="0A56D4F8" w:rsidR="003B042F" w:rsidRDefault="003B042F">
      <w:pPr>
        <w:pStyle w:val="TOC4"/>
        <w:rPr>
          <w:rFonts w:asciiTheme="minorHAnsi" w:eastAsiaTheme="minorEastAsia" w:hAnsiTheme="minorHAnsi"/>
          <w:noProof/>
          <w:sz w:val="22"/>
          <w:lang w:eastAsia="en-AU"/>
        </w:rPr>
      </w:pPr>
      <w:hyperlink w:anchor="_Toc175238782" w:history="1">
        <w:r w:rsidRPr="005871B3">
          <w:rPr>
            <w:rStyle w:val="Hyperlink"/>
            <w:noProof/>
          </w:rPr>
          <w:t>23.2—Identity of informant in Lower Courts</w:t>
        </w:r>
        <w:r>
          <w:rPr>
            <w:noProof/>
            <w:webHidden/>
          </w:rPr>
          <w:tab/>
        </w:r>
        <w:r>
          <w:rPr>
            <w:noProof/>
            <w:webHidden/>
          </w:rPr>
          <w:fldChar w:fldCharType="begin"/>
        </w:r>
        <w:r>
          <w:rPr>
            <w:noProof/>
            <w:webHidden/>
          </w:rPr>
          <w:instrText xml:space="preserve"> PAGEREF _Toc175238782 \h </w:instrText>
        </w:r>
        <w:r>
          <w:rPr>
            <w:noProof/>
            <w:webHidden/>
          </w:rPr>
        </w:r>
        <w:r>
          <w:rPr>
            <w:noProof/>
            <w:webHidden/>
          </w:rPr>
          <w:fldChar w:fldCharType="separate"/>
        </w:r>
        <w:r w:rsidR="00FD06AB">
          <w:rPr>
            <w:noProof/>
            <w:webHidden/>
          </w:rPr>
          <w:t>48</w:t>
        </w:r>
        <w:r>
          <w:rPr>
            <w:noProof/>
            <w:webHidden/>
          </w:rPr>
          <w:fldChar w:fldCharType="end"/>
        </w:r>
      </w:hyperlink>
    </w:p>
    <w:p w14:paraId="076DFD69" w14:textId="4AD4EC25" w:rsidR="003B042F" w:rsidRDefault="003B042F">
      <w:pPr>
        <w:pStyle w:val="TOC4"/>
        <w:rPr>
          <w:rFonts w:asciiTheme="minorHAnsi" w:eastAsiaTheme="minorEastAsia" w:hAnsiTheme="minorHAnsi"/>
          <w:noProof/>
          <w:sz w:val="22"/>
          <w:lang w:eastAsia="en-AU"/>
        </w:rPr>
      </w:pPr>
      <w:hyperlink w:anchor="_Toc175238783" w:history="1">
        <w:r w:rsidRPr="005871B3">
          <w:rPr>
            <w:rStyle w:val="Hyperlink"/>
            <w:noProof/>
          </w:rPr>
          <w:t>23.3—Change of parties</w:t>
        </w:r>
        <w:r>
          <w:rPr>
            <w:noProof/>
            <w:webHidden/>
          </w:rPr>
          <w:tab/>
        </w:r>
        <w:r>
          <w:rPr>
            <w:noProof/>
            <w:webHidden/>
          </w:rPr>
          <w:fldChar w:fldCharType="begin"/>
        </w:r>
        <w:r>
          <w:rPr>
            <w:noProof/>
            <w:webHidden/>
          </w:rPr>
          <w:instrText xml:space="preserve"> PAGEREF _Toc175238783 \h </w:instrText>
        </w:r>
        <w:r>
          <w:rPr>
            <w:noProof/>
            <w:webHidden/>
          </w:rPr>
        </w:r>
        <w:r>
          <w:rPr>
            <w:noProof/>
            <w:webHidden/>
          </w:rPr>
          <w:fldChar w:fldCharType="separate"/>
        </w:r>
        <w:r w:rsidR="00FD06AB">
          <w:rPr>
            <w:noProof/>
            <w:webHidden/>
          </w:rPr>
          <w:t>48</w:t>
        </w:r>
        <w:r>
          <w:rPr>
            <w:noProof/>
            <w:webHidden/>
          </w:rPr>
          <w:fldChar w:fldCharType="end"/>
        </w:r>
      </w:hyperlink>
    </w:p>
    <w:p w14:paraId="219F6702" w14:textId="35BFDB37" w:rsidR="003B042F" w:rsidRDefault="003B042F">
      <w:pPr>
        <w:pStyle w:val="TOC3"/>
        <w:rPr>
          <w:rFonts w:asciiTheme="minorHAnsi" w:eastAsiaTheme="minorEastAsia" w:hAnsiTheme="minorHAnsi"/>
          <w:b w:val="0"/>
          <w:noProof/>
          <w:sz w:val="22"/>
          <w:lang w:eastAsia="en-AU"/>
        </w:rPr>
      </w:pPr>
      <w:hyperlink w:anchor="_Toc175238784" w:history="1">
        <w:r w:rsidRPr="005871B3">
          <w:rPr>
            <w:rStyle w:val="Hyperlink"/>
            <w:noProof/>
          </w:rPr>
          <w:t>Division 2—Representation: lawyers</w:t>
        </w:r>
        <w:r>
          <w:rPr>
            <w:noProof/>
            <w:webHidden/>
          </w:rPr>
          <w:tab/>
        </w:r>
        <w:r>
          <w:rPr>
            <w:noProof/>
            <w:webHidden/>
          </w:rPr>
          <w:fldChar w:fldCharType="begin"/>
        </w:r>
        <w:r>
          <w:rPr>
            <w:noProof/>
            <w:webHidden/>
          </w:rPr>
          <w:instrText xml:space="preserve"> PAGEREF _Toc175238784 \h </w:instrText>
        </w:r>
        <w:r>
          <w:rPr>
            <w:noProof/>
            <w:webHidden/>
          </w:rPr>
        </w:r>
        <w:r>
          <w:rPr>
            <w:noProof/>
            <w:webHidden/>
          </w:rPr>
          <w:fldChar w:fldCharType="separate"/>
        </w:r>
        <w:r w:rsidR="00FD06AB">
          <w:rPr>
            <w:noProof/>
            <w:webHidden/>
          </w:rPr>
          <w:t>49</w:t>
        </w:r>
        <w:r>
          <w:rPr>
            <w:noProof/>
            <w:webHidden/>
          </w:rPr>
          <w:fldChar w:fldCharType="end"/>
        </w:r>
      </w:hyperlink>
    </w:p>
    <w:p w14:paraId="7B3F849A" w14:textId="4D0DE070" w:rsidR="003B042F" w:rsidRDefault="003B042F">
      <w:pPr>
        <w:pStyle w:val="TOC4"/>
        <w:rPr>
          <w:rFonts w:asciiTheme="minorHAnsi" w:eastAsiaTheme="minorEastAsia" w:hAnsiTheme="minorHAnsi"/>
          <w:noProof/>
          <w:sz w:val="22"/>
          <w:lang w:eastAsia="en-AU"/>
        </w:rPr>
      </w:pPr>
      <w:hyperlink w:anchor="_Toc175238785" w:history="1">
        <w:r w:rsidRPr="005871B3">
          <w:rPr>
            <w:rStyle w:val="Hyperlink"/>
            <w:noProof/>
          </w:rPr>
          <w:t>24.1—Right of representation of parties</w:t>
        </w:r>
        <w:r>
          <w:rPr>
            <w:noProof/>
            <w:webHidden/>
          </w:rPr>
          <w:tab/>
        </w:r>
        <w:r>
          <w:rPr>
            <w:noProof/>
            <w:webHidden/>
          </w:rPr>
          <w:fldChar w:fldCharType="begin"/>
        </w:r>
        <w:r>
          <w:rPr>
            <w:noProof/>
            <w:webHidden/>
          </w:rPr>
          <w:instrText xml:space="preserve"> PAGEREF _Toc175238785 \h </w:instrText>
        </w:r>
        <w:r>
          <w:rPr>
            <w:noProof/>
            <w:webHidden/>
          </w:rPr>
        </w:r>
        <w:r>
          <w:rPr>
            <w:noProof/>
            <w:webHidden/>
          </w:rPr>
          <w:fldChar w:fldCharType="separate"/>
        </w:r>
        <w:r w:rsidR="00FD06AB">
          <w:rPr>
            <w:noProof/>
            <w:webHidden/>
          </w:rPr>
          <w:t>49</w:t>
        </w:r>
        <w:r>
          <w:rPr>
            <w:noProof/>
            <w:webHidden/>
          </w:rPr>
          <w:fldChar w:fldCharType="end"/>
        </w:r>
      </w:hyperlink>
    </w:p>
    <w:p w14:paraId="4ECEEFB8" w14:textId="3CB97E3D" w:rsidR="003B042F" w:rsidRDefault="003B042F">
      <w:pPr>
        <w:pStyle w:val="TOC4"/>
        <w:rPr>
          <w:rFonts w:asciiTheme="minorHAnsi" w:eastAsiaTheme="minorEastAsia" w:hAnsiTheme="minorHAnsi"/>
          <w:noProof/>
          <w:sz w:val="22"/>
          <w:lang w:eastAsia="en-AU"/>
        </w:rPr>
      </w:pPr>
      <w:hyperlink w:anchor="_Toc175238786" w:history="1">
        <w:r w:rsidRPr="005871B3">
          <w:rPr>
            <w:rStyle w:val="Hyperlink"/>
            <w:noProof/>
          </w:rPr>
          <w:t>24.2—Law firm acting for party</w:t>
        </w:r>
        <w:r>
          <w:rPr>
            <w:noProof/>
            <w:webHidden/>
          </w:rPr>
          <w:tab/>
        </w:r>
        <w:r>
          <w:rPr>
            <w:noProof/>
            <w:webHidden/>
          </w:rPr>
          <w:fldChar w:fldCharType="begin"/>
        </w:r>
        <w:r>
          <w:rPr>
            <w:noProof/>
            <w:webHidden/>
          </w:rPr>
          <w:instrText xml:space="preserve"> PAGEREF _Toc175238786 \h </w:instrText>
        </w:r>
        <w:r>
          <w:rPr>
            <w:noProof/>
            <w:webHidden/>
          </w:rPr>
        </w:r>
        <w:r>
          <w:rPr>
            <w:noProof/>
            <w:webHidden/>
          </w:rPr>
          <w:fldChar w:fldCharType="separate"/>
        </w:r>
        <w:r w:rsidR="00FD06AB">
          <w:rPr>
            <w:noProof/>
            <w:webHidden/>
          </w:rPr>
          <w:t>49</w:t>
        </w:r>
        <w:r>
          <w:rPr>
            <w:noProof/>
            <w:webHidden/>
          </w:rPr>
          <w:fldChar w:fldCharType="end"/>
        </w:r>
      </w:hyperlink>
    </w:p>
    <w:p w14:paraId="73CF55B5" w14:textId="53C1CFB4" w:rsidR="003B042F" w:rsidRDefault="003B042F">
      <w:pPr>
        <w:pStyle w:val="TOC4"/>
        <w:rPr>
          <w:rFonts w:asciiTheme="minorHAnsi" w:eastAsiaTheme="minorEastAsia" w:hAnsiTheme="minorHAnsi"/>
          <w:noProof/>
          <w:sz w:val="22"/>
          <w:lang w:eastAsia="en-AU"/>
        </w:rPr>
      </w:pPr>
      <w:hyperlink w:anchor="_Toc175238787" w:history="1">
        <w:r w:rsidRPr="005871B3">
          <w:rPr>
            <w:rStyle w:val="Hyperlink"/>
            <w:noProof/>
          </w:rPr>
          <w:t>24.3—Responsible solicitor acting for party</w:t>
        </w:r>
        <w:r>
          <w:rPr>
            <w:noProof/>
            <w:webHidden/>
          </w:rPr>
          <w:tab/>
        </w:r>
        <w:r>
          <w:rPr>
            <w:noProof/>
            <w:webHidden/>
          </w:rPr>
          <w:fldChar w:fldCharType="begin"/>
        </w:r>
        <w:r>
          <w:rPr>
            <w:noProof/>
            <w:webHidden/>
          </w:rPr>
          <w:instrText xml:space="preserve"> PAGEREF _Toc175238787 \h </w:instrText>
        </w:r>
        <w:r>
          <w:rPr>
            <w:noProof/>
            <w:webHidden/>
          </w:rPr>
        </w:r>
        <w:r>
          <w:rPr>
            <w:noProof/>
            <w:webHidden/>
          </w:rPr>
          <w:fldChar w:fldCharType="separate"/>
        </w:r>
        <w:r w:rsidR="00FD06AB">
          <w:rPr>
            <w:noProof/>
            <w:webHidden/>
          </w:rPr>
          <w:t>50</w:t>
        </w:r>
        <w:r>
          <w:rPr>
            <w:noProof/>
            <w:webHidden/>
          </w:rPr>
          <w:fldChar w:fldCharType="end"/>
        </w:r>
      </w:hyperlink>
    </w:p>
    <w:p w14:paraId="74180839" w14:textId="2B4B3DB4" w:rsidR="003B042F" w:rsidRDefault="003B042F">
      <w:pPr>
        <w:pStyle w:val="TOC4"/>
        <w:rPr>
          <w:rFonts w:asciiTheme="minorHAnsi" w:eastAsiaTheme="minorEastAsia" w:hAnsiTheme="minorHAnsi"/>
          <w:noProof/>
          <w:sz w:val="22"/>
          <w:lang w:eastAsia="en-AU"/>
        </w:rPr>
      </w:pPr>
      <w:hyperlink w:anchor="_Toc175238788" w:history="1">
        <w:r w:rsidRPr="005871B3">
          <w:rPr>
            <w:rStyle w:val="Hyperlink"/>
            <w:noProof/>
          </w:rPr>
          <w:t>24.4—Counsel for party</w:t>
        </w:r>
        <w:r>
          <w:rPr>
            <w:noProof/>
            <w:webHidden/>
          </w:rPr>
          <w:tab/>
        </w:r>
        <w:r>
          <w:rPr>
            <w:noProof/>
            <w:webHidden/>
          </w:rPr>
          <w:fldChar w:fldCharType="begin"/>
        </w:r>
        <w:r>
          <w:rPr>
            <w:noProof/>
            <w:webHidden/>
          </w:rPr>
          <w:instrText xml:space="preserve"> PAGEREF _Toc175238788 \h </w:instrText>
        </w:r>
        <w:r>
          <w:rPr>
            <w:noProof/>
            <w:webHidden/>
          </w:rPr>
        </w:r>
        <w:r>
          <w:rPr>
            <w:noProof/>
            <w:webHidden/>
          </w:rPr>
          <w:fldChar w:fldCharType="separate"/>
        </w:r>
        <w:r w:rsidR="00FD06AB">
          <w:rPr>
            <w:noProof/>
            <w:webHidden/>
          </w:rPr>
          <w:t>50</w:t>
        </w:r>
        <w:r>
          <w:rPr>
            <w:noProof/>
            <w:webHidden/>
          </w:rPr>
          <w:fldChar w:fldCharType="end"/>
        </w:r>
      </w:hyperlink>
    </w:p>
    <w:p w14:paraId="59005C21" w14:textId="6BEA7869" w:rsidR="003B042F" w:rsidRDefault="003B042F">
      <w:pPr>
        <w:pStyle w:val="TOC3"/>
        <w:rPr>
          <w:rFonts w:asciiTheme="minorHAnsi" w:eastAsiaTheme="minorEastAsia" w:hAnsiTheme="minorHAnsi"/>
          <w:b w:val="0"/>
          <w:noProof/>
          <w:sz w:val="22"/>
          <w:lang w:eastAsia="en-AU"/>
        </w:rPr>
      </w:pPr>
      <w:hyperlink w:anchor="_Toc175238789" w:history="1">
        <w:r w:rsidRPr="005871B3">
          <w:rPr>
            <w:rStyle w:val="Hyperlink"/>
            <w:noProof/>
          </w:rPr>
          <w:t>Division 3—Representation: police prosecution</w:t>
        </w:r>
        <w:r>
          <w:rPr>
            <w:noProof/>
            <w:webHidden/>
          </w:rPr>
          <w:tab/>
        </w:r>
        <w:r>
          <w:rPr>
            <w:noProof/>
            <w:webHidden/>
          </w:rPr>
          <w:fldChar w:fldCharType="begin"/>
        </w:r>
        <w:r>
          <w:rPr>
            <w:noProof/>
            <w:webHidden/>
          </w:rPr>
          <w:instrText xml:space="preserve"> PAGEREF _Toc175238789 \h </w:instrText>
        </w:r>
        <w:r>
          <w:rPr>
            <w:noProof/>
            <w:webHidden/>
          </w:rPr>
        </w:r>
        <w:r>
          <w:rPr>
            <w:noProof/>
            <w:webHidden/>
          </w:rPr>
          <w:fldChar w:fldCharType="separate"/>
        </w:r>
        <w:r w:rsidR="00FD06AB">
          <w:rPr>
            <w:noProof/>
            <w:webHidden/>
          </w:rPr>
          <w:t>50</w:t>
        </w:r>
        <w:r>
          <w:rPr>
            <w:noProof/>
            <w:webHidden/>
          </w:rPr>
          <w:fldChar w:fldCharType="end"/>
        </w:r>
      </w:hyperlink>
    </w:p>
    <w:p w14:paraId="7DDB4DB4" w14:textId="1231C4F0" w:rsidR="003B042F" w:rsidRDefault="003B042F">
      <w:pPr>
        <w:pStyle w:val="TOC4"/>
        <w:rPr>
          <w:rFonts w:asciiTheme="minorHAnsi" w:eastAsiaTheme="minorEastAsia" w:hAnsiTheme="minorHAnsi"/>
          <w:noProof/>
          <w:sz w:val="22"/>
          <w:lang w:eastAsia="en-AU"/>
        </w:rPr>
      </w:pPr>
      <w:hyperlink w:anchor="_Toc175238790" w:history="1">
        <w:r w:rsidRPr="005871B3">
          <w:rPr>
            <w:rStyle w:val="Hyperlink"/>
            <w:noProof/>
          </w:rPr>
          <w:t>25.1—Right of representation of Commissioner</w:t>
        </w:r>
        <w:r>
          <w:rPr>
            <w:noProof/>
            <w:webHidden/>
          </w:rPr>
          <w:tab/>
        </w:r>
        <w:r>
          <w:rPr>
            <w:noProof/>
            <w:webHidden/>
          </w:rPr>
          <w:fldChar w:fldCharType="begin"/>
        </w:r>
        <w:r>
          <w:rPr>
            <w:noProof/>
            <w:webHidden/>
          </w:rPr>
          <w:instrText xml:space="preserve"> PAGEREF _Toc175238790 \h </w:instrText>
        </w:r>
        <w:r>
          <w:rPr>
            <w:noProof/>
            <w:webHidden/>
          </w:rPr>
        </w:r>
        <w:r>
          <w:rPr>
            <w:noProof/>
            <w:webHidden/>
          </w:rPr>
          <w:fldChar w:fldCharType="separate"/>
        </w:r>
        <w:r w:rsidR="00FD06AB">
          <w:rPr>
            <w:noProof/>
            <w:webHidden/>
          </w:rPr>
          <w:t>51</w:t>
        </w:r>
        <w:r>
          <w:rPr>
            <w:noProof/>
            <w:webHidden/>
          </w:rPr>
          <w:fldChar w:fldCharType="end"/>
        </w:r>
      </w:hyperlink>
    </w:p>
    <w:p w14:paraId="6140EBEC" w14:textId="7BAB2554" w:rsidR="003B042F" w:rsidRDefault="003B042F">
      <w:pPr>
        <w:pStyle w:val="TOC4"/>
        <w:rPr>
          <w:rFonts w:asciiTheme="minorHAnsi" w:eastAsiaTheme="minorEastAsia" w:hAnsiTheme="minorHAnsi"/>
          <w:noProof/>
          <w:sz w:val="22"/>
          <w:lang w:eastAsia="en-AU"/>
        </w:rPr>
      </w:pPr>
      <w:hyperlink w:anchor="_Toc175238791" w:history="1">
        <w:r w:rsidRPr="005871B3">
          <w:rPr>
            <w:rStyle w:val="Hyperlink"/>
            <w:noProof/>
          </w:rPr>
          <w:t>25.2—SAPOL Prosecution Branch acting for Commissioner</w:t>
        </w:r>
        <w:r>
          <w:rPr>
            <w:noProof/>
            <w:webHidden/>
          </w:rPr>
          <w:tab/>
        </w:r>
        <w:r>
          <w:rPr>
            <w:noProof/>
            <w:webHidden/>
          </w:rPr>
          <w:fldChar w:fldCharType="begin"/>
        </w:r>
        <w:r>
          <w:rPr>
            <w:noProof/>
            <w:webHidden/>
          </w:rPr>
          <w:instrText xml:space="preserve"> PAGEREF _Toc175238791 \h </w:instrText>
        </w:r>
        <w:r>
          <w:rPr>
            <w:noProof/>
            <w:webHidden/>
          </w:rPr>
        </w:r>
        <w:r>
          <w:rPr>
            <w:noProof/>
            <w:webHidden/>
          </w:rPr>
          <w:fldChar w:fldCharType="separate"/>
        </w:r>
        <w:r w:rsidR="00FD06AB">
          <w:rPr>
            <w:noProof/>
            <w:webHidden/>
          </w:rPr>
          <w:t>51</w:t>
        </w:r>
        <w:r>
          <w:rPr>
            <w:noProof/>
            <w:webHidden/>
          </w:rPr>
          <w:fldChar w:fldCharType="end"/>
        </w:r>
      </w:hyperlink>
    </w:p>
    <w:p w14:paraId="12A7AE8E" w14:textId="4AB73A37" w:rsidR="003B042F" w:rsidRDefault="003B042F">
      <w:pPr>
        <w:pStyle w:val="TOC4"/>
        <w:rPr>
          <w:rFonts w:asciiTheme="minorHAnsi" w:eastAsiaTheme="minorEastAsia" w:hAnsiTheme="minorHAnsi"/>
          <w:noProof/>
          <w:sz w:val="22"/>
          <w:lang w:eastAsia="en-AU"/>
        </w:rPr>
      </w:pPr>
      <w:hyperlink w:anchor="_Toc175238792" w:history="1">
        <w:r w:rsidRPr="005871B3">
          <w:rPr>
            <w:rStyle w:val="Hyperlink"/>
            <w:noProof/>
          </w:rPr>
          <w:t>25.3—Responsible solicitor</w:t>
        </w:r>
        <w:r>
          <w:rPr>
            <w:noProof/>
            <w:webHidden/>
          </w:rPr>
          <w:tab/>
        </w:r>
        <w:r>
          <w:rPr>
            <w:noProof/>
            <w:webHidden/>
          </w:rPr>
          <w:fldChar w:fldCharType="begin"/>
        </w:r>
        <w:r>
          <w:rPr>
            <w:noProof/>
            <w:webHidden/>
          </w:rPr>
          <w:instrText xml:space="preserve"> PAGEREF _Toc175238792 \h </w:instrText>
        </w:r>
        <w:r>
          <w:rPr>
            <w:noProof/>
            <w:webHidden/>
          </w:rPr>
        </w:r>
        <w:r>
          <w:rPr>
            <w:noProof/>
            <w:webHidden/>
          </w:rPr>
          <w:fldChar w:fldCharType="separate"/>
        </w:r>
        <w:r w:rsidR="00FD06AB">
          <w:rPr>
            <w:noProof/>
            <w:webHidden/>
          </w:rPr>
          <w:t>51</w:t>
        </w:r>
        <w:r>
          <w:rPr>
            <w:noProof/>
            <w:webHidden/>
          </w:rPr>
          <w:fldChar w:fldCharType="end"/>
        </w:r>
      </w:hyperlink>
    </w:p>
    <w:p w14:paraId="45E02DB1" w14:textId="472DC323" w:rsidR="003B042F" w:rsidRDefault="003B042F">
      <w:pPr>
        <w:pStyle w:val="TOC4"/>
        <w:rPr>
          <w:rFonts w:asciiTheme="minorHAnsi" w:eastAsiaTheme="minorEastAsia" w:hAnsiTheme="minorHAnsi"/>
          <w:noProof/>
          <w:sz w:val="22"/>
          <w:lang w:eastAsia="en-AU"/>
        </w:rPr>
      </w:pPr>
      <w:hyperlink w:anchor="_Toc175238793" w:history="1">
        <w:r w:rsidRPr="005871B3">
          <w:rPr>
            <w:rStyle w:val="Hyperlink"/>
            <w:noProof/>
          </w:rPr>
          <w:t>25.4—Counsel for Commissioner</w:t>
        </w:r>
        <w:r>
          <w:rPr>
            <w:noProof/>
            <w:webHidden/>
          </w:rPr>
          <w:tab/>
        </w:r>
        <w:r>
          <w:rPr>
            <w:noProof/>
            <w:webHidden/>
          </w:rPr>
          <w:fldChar w:fldCharType="begin"/>
        </w:r>
        <w:r>
          <w:rPr>
            <w:noProof/>
            <w:webHidden/>
          </w:rPr>
          <w:instrText xml:space="preserve"> PAGEREF _Toc175238793 \h </w:instrText>
        </w:r>
        <w:r>
          <w:rPr>
            <w:noProof/>
            <w:webHidden/>
          </w:rPr>
        </w:r>
        <w:r>
          <w:rPr>
            <w:noProof/>
            <w:webHidden/>
          </w:rPr>
          <w:fldChar w:fldCharType="separate"/>
        </w:r>
        <w:r w:rsidR="00FD06AB">
          <w:rPr>
            <w:noProof/>
            <w:webHidden/>
          </w:rPr>
          <w:t>51</w:t>
        </w:r>
        <w:r>
          <w:rPr>
            <w:noProof/>
            <w:webHidden/>
          </w:rPr>
          <w:fldChar w:fldCharType="end"/>
        </w:r>
      </w:hyperlink>
    </w:p>
    <w:p w14:paraId="4445AA4E" w14:textId="47B9FCD0" w:rsidR="003B042F" w:rsidRDefault="003B042F">
      <w:pPr>
        <w:pStyle w:val="TOC4"/>
        <w:rPr>
          <w:rFonts w:asciiTheme="minorHAnsi" w:eastAsiaTheme="minorEastAsia" w:hAnsiTheme="minorHAnsi"/>
          <w:noProof/>
          <w:sz w:val="22"/>
          <w:lang w:eastAsia="en-AU"/>
        </w:rPr>
      </w:pPr>
      <w:hyperlink w:anchor="_Toc175238794" w:history="1">
        <w:r w:rsidRPr="005871B3">
          <w:rPr>
            <w:rStyle w:val="Hyperlink"/>
            <w:noProof/>
          </w:rPr>
          <w:t>25.5—Commissioner bound by conduct of Prosecution Services Branch</w:t>
        </w:r>
        <w:r>
          <w:rPr>
            <w:noProof/>
            <w:webHidden/>
          </w:rPr>
          <w:tab/>
        </w:r>
        <w:r>
          <w:rPr>
            <w:noProof/>
            <w:webHidden/>
          </w:rPr>
          <w:fldChar w:fldCharType="begin"/>
        </w:r>
        <w:r>
          <w:rPr>
            <w:noProof/>
            <w:webHidden/>
          </w:rPr>
          <w:instrText xml:space="preserve"> PAGEREF _Toc175238794 \h </w:instrText>
        </w:r>
        <w:r>
          <w:rPr>
            <w:noProof/>
            <w:webHidden/>
          </w:rPr>
        </w:r>
        <w:r>
          <w:rPr>
            <w:noProof/>
            <w:webHidden/>
          </w:rPr>
          <w:fldChar w:fldCharType="separate"/>
        </w:r>
        <w:r w:rsidR="00FD06AB">
          <w:rPr>
            <w:noProof/>
            <w:webHidden/>
          </w:rPr>
          <w:t>51</w:t>
        </w:r>
        <w:r>
          <w:rPr>
            <w:noProof/>
            <w:webHidden/>
          </w:rPr>
          <w:fldChar w:fldCharType="end"/>
        </w:r>
      </w:hyperlink>
    </w:p>
    <w:p w14:paraId="3FA3455B" w14:textId="2569BF6C" w:rsidR="003B042F" w:rsidRDefault="003B042F">
      <w:pPr>
        <w:pStyle w:val="TOC4"/>
        <w:rPr>
          <w:rFonts w:asciiTheme="minorHAnsi" w:eastAsiaTheme="minorEastAsia" w:hAnsiTheme="minorHAnsi"/>
          <w:noProof/>
          <w:sz w:val="22"/>
          <w:lang w:eastAsia="en-AU"/>
        </w:rPr>
      </w:pPr>
      <w:hyperlink w:anchor="_Toc175238795" w:history="1">
        <w:r w:rsidRPr="005871B3">
          <w:rPr>
            <w:rStyle w:val="Hyperlink"/>
            <w:noProof/>
          </w:rPr>
          <w:t>25.6—Duties to the Court</w:t>
        </w:r>
        <w:r>
          <w:rPr>
            <w:noProof/>
            <w:webHidden/>
          </w:rPr>
          <w:tab/>
        </w:r>
        <w:r>
          <w:rPr>
            <w:noProof/>
            <w:webHidden/>
          </w:rPr>
          <w:fldChar w:fldCharType="begin"/>
        </w:r>
        <w:r>
          <w:rPr>
            <w:noProof/>
            <w:webHidden/>
          </w:rPr>
          <w:instrText xml:space="preserve"> PAGEREF _Toc175238795 \h </w:instrText>
        </w:r>
        <w:r>
          <w:rPr>
            <w:noProof/>
            <w:webHidden/>
          </w:rPr>
        </w:r>
        <w:r>
          <w:rPr>
            <w:noProof/>
            <w:webHidden/>
          </w:rPr>
          <w:fldChar w:fldCharType="separate"/>
        </w:r>
        <w:r w:rsidR="00FD06AB">
          <w:rPr>
            <w:noProof/>
            <w:webHidden/>
          </w:rPr>
          <w:t>51</w:t>
        </w:r>
        <w:r>
          <w:rPr>
            <w:noProof/>
            <w:webHidden/>
          </w:rPr>
          <w:fldChar w:fldCharType="end"/>
        </w:r>
      </w:hyperlink>
    </w:p>
    <w:p w14:paraId="75A897C9" w14:textId="336F8F71" w:rsidR="003B042F" w:rsidRDefault="003B042F">
      <w:pPr>
        <w:pStyle w:val="TOC3"/>
        <w:rPr>
          <w:rFonts w:asciiTheme="minorHAnsi" w:eastAsiaTheme="minorEastAsia" w:hAnsiTheme="minorHAnsi"/>
          <w:b w:val="0"/>
          <w:noProof/>
          <w:sz w:val="22"/>
          <w:lang w:eastAsia="en-AU"/>
        </w:rPr>
      </w:pPr>
      <w:hyperlink w:anchor="_Toc175238796" w:history="1">
        <w:r w:rsidRPr="005871B3">
          <w:rPr>
            <w:rStyle w:val="Hyperlink"/>
            <w:noProof/>
          </w:rPr>
          <w:t>Division 4— Representation: non-lawyers</w:t>
        </w:r>
        <w:r>
          <w:rPr>
            <w:noProof/>
            <w:webHidden/>
          </w:rPr>
          <w:tab/>
        </w:r>
        <w:r>
          <w:rPr>
            <w:noProof/>
            <w:webHidden/>
          </w:rPr>
          <w:fldChar w:fldCharType="begin"/>
        </w:r>
        <w:r>
          <w:rPr>
            <w:noProof/>
            <w:webHidden/>
          </w:rPr>
          <w:instrText xml:space="preserve"> PAGEREF _Toc175238796 \h </w:instrText>
        </w:r>
        <w:r>
          <w:rPr>
            <w:noProof/>
            <w:webHidden/>
          </w:rPr>
        </w:r>
        <w:r>
          <w:rPr>
            <w:noProof/>
            <w:webHidden/>
          </w:rPr>
          <w:fldChar w:fldCharType="separate"/>
        </w:r>
        <w:r w:rsidR="00FD06AB">
          <w:rPr>
            <w:noProof/>
            <w:webHidden/>
          </w:rPr>
          <w:t>52</w:t>
        </w:r>
        <w:r>
          <w:rPr>
            <w:noProof/>
            <w:webHidden/>
          </w:rPr>
          <w:fldChar w:fldCharType="end"/>
        </w:r>
      </w:hyperlink>
    </w:p>
    <w:p w14:paraId="5FD3F127" w14:textId="50792FE5" w:rsidR="003B042F" w:rsidRDefault="003B042F">
      <w:pPr>
        <w:pStyle w:val="TOC4"/>
        <w:rPr>
          <w:rFonts w:asciiTheme="minorHAnsi" w:eastAsiaTheme="minorEastAsia" w:hAnsiTheme="minorHAnsi"/>
          <w:noProof/>
          <w:sz w:val="22"/>
          <w:lang w:eastAsia="en-AU"/>
        </w:rPr>
      </w:pPr>
      <w:hyperlink w:anchor="_Toc175238797" w:history="1">
        <w:r w:rsidRPr="005871B3">
          <w:rPr>
            <w:rStyle w:val="Hyperlink"/>
            <w:noProof/>
          </w:rPr>
          <w:t>26.1—No right of representation by non-lawyer</w:t>
        </w:r>
        <w:r>
          <w:rPr>
            <w:noProof/>
            <w:webHidden/>
          </w:rPr>
          <w:tab/>
        </w:r>
        <w:r>
          <w:rPr>
            <w:noProof/>
            <w:webHidden/>
          </w:rPr>
          <w:fldChar w:fldCharType="begin"/>
        </w:r>
        <w:r>
          <w:rPr>
            <w:noProof/>
            <w:webHidden/>
          </w:rPr>
          <w:instrText xml:space="preserve"> PAGEREF _Toc175238797 \h </w:instrText>
        </w:r>
        <w:r>
          <w:rPr>
            <w:noProof/>
            <w:webHidden/>
          </w:rPr>
        </w:r>
        <w:r>
          <w:rPr>
            <w:noProof/>
            <w:webHidden/>
          </w:rPr>
          <w:fldChar w:fldCharType="separate"/>
        </w:r>
        <w:r w:rsidR="00FD06AB">
          <w:rPr>
            <w:noProof/>
            <w:webHidden/>
          </w:rPr>
          <w:t>52</w:t>
        </w:r>
        <w:r>
          <w:rPr>
            <w:noProof/>
            <w:webHidden/>
          </w:rPr>
          <w:fldChar w:fldCharType="end"/>
        </w:r>
      </w:hyperlink>
    </w:p>
    <w:p w14:paraId="60D75E2D" w14:textId="371A6029" w:rsidR="003B042F" w:rsidRDefault="003B042F">
      <w:pPr>
        <w:pStyle w:val="TOC3"/>
        <w:rPr>
          <w:rFonts w:asciiTheme="minorHAnsi" w:eastAsiaTheme="minorEastAsia" w:hAnsiTheme="minorHAnsi"/>
          <w:b w:val="0"/>
          <w:noProof/>
          <w:sz w:val="22"/>
          <w:lang w:eastAsia="en-AU"/>
        </w:rPr>
      </w:pPr>
      <w:hyperlink w:anchor="_Toc175238798" w:history="1">
        <w:r w:rsidRPr="005871B3">
          <w:rPr>
            <w:rStyle w:val="Hyperlink"/>
            <w:noProof/>
          </w:rPr>
          <w:t>Division 5—Obligations of parties and lawyers</w:t>
        </w:r>
        <w:r>
          <w:rPr>
            <w:noProof/>
            <w:webHidden/>
          </w:rPr>
          <w:tab/>
        </w:r>
        <w:r>
          <w:rPr>
            <w:noProof/>
            <w:webHidden/>
          </w:rPr>
          <w:fldChar w:fldCharType="begin"/>
        </w:r>
        <w:r>
          <w:rPr>
            <w:noProof/>
            <w:webHidden/>
          </w:rPr>
          <w:instrText xml:space="preserve"> PAGEREF _Toc175238798 \h </w:instrText>
        </w:r>
        <w:r>
          <w:rPr>
            <w:noProof/>
            <w:webHidden/>
          </w:rPr>
        </w:r>
        <w:r>
          <w:rPr>
            <w:noProof/>
            <w:webHidden/>
          </w:rPr>
          <w:fldChar w:fldCharType="separate"/>
        </w:r>
        <w:r w:rsidR="00FD06AB">
          <w:rPr>
            <w:noProof/>
            <w:webHidden/>
          </w:rPr>
          <w:t>52</w:t>
        </w:r>
        <w:r>
          <w:rPr>
            <w:noProof/>
            <w:webHidden/>
          </w:rPr>
          <w:fldChar w:fldCharType="end"/>
        </w:r>
      </w:hyperlink>
    </w:p>
    <w:p w14:paraId="4144CB99" w14:textId="1DEE7444" w:rsidR="003B042F" w:rsidRDefault="003B042F">
      <w:pPr>
        <w:pStyle w:val="TOC4"/>
        <w:rPr>
          <w:rFonts w:asciiTheme="minorHAnsi" w:eastAsiaTheme="minorEastAsia" w:hAnsiTheme="minorHAnsi"/>
          <w:noProof/>
          <w:sz w:val="22"/>
          <w:lang w:eastAsia="en-AU"/>
        </w:rPr>
      </w:pPr>
      <w:hyperlink w:anchor="_Toc175238799" w:history="1">
        <w:r w:rsidRPr="005871B3">
          <w:rPr>
            <w:rStyle w:val="Hyperlink"/>
            <w:noProof/>
          </w:rPr>
          <w:t>27.1—Overarching obligations</w:t>
        </w:r>
        <w:r>
          <w:rPr>
            <w:noProof/>
            <w:webHidden/>
          </w:rPr>
          <w:tab/>
        </w:r>
        <w:r>
          <w:rPr>
            <w:noProof/>
            <w:webHidden/>
          </w:rPr>
          <w:fldChar w:fldCharType="begin"/>
        </w:r>
        <w:r>
          <w:rPr>
            <w:noProof/>
            <w:webHidden/>
          </w:rPr>
          <w:instrText xml:space="preserve"> PAGEREF _Toc175238799 \h </w:instrText>
        </w:r>
        <w:r>
          <w:rPr>
            <w:noProof/>
            <w:webHidden/>
          </w:rPr>
        </w:r>
        <w:r>
          <w:rPr>
            <w:noProof/>
            <w:webHidden/>
          </w:rPr>
          <w:fldChar w:fldCharType="separate"/>
        </w:r>
        <w:r w:rsidR="00FD06AB">
          <w:rPr>
            <w:noProof/>
            <w:webHidden/>
          </w:rPr>
          <w:t>52</w:t>
        </w:r>
        <w:r>
          <w:rPr>
            <w:noProof/>
            <w:webHidden/>
          </w:rPr>
          <w:fldChar w:fldCharType="end"/>
        </w:r>
      </w:hyperlink>
    </w:p>
    <w:p w14:paraId="074391F7" w14:textId="731BFBB8" w:rsidR="003B042F" w:rsidRDefault="003B042F">
      <w:pPr>
        <w:pStyle w:val="TOC4"/>
        <w:rPr>
          <w:rFonts w:asciiTheme="minorHAnsi" w:eastAsiaTheme="minorEastAsia" w:hAnsiTheme="minorHAnsi"/>
          <w:noProof/>
          <w:sz w:val="22"/>
          <w:lang w:eastAsia="en-AU"/>
        </w:rPr>
      </w:pPr>
      <w:hyperlink w:anchor="_Toc175238800" w:history="1">
        <w:r w:rsidRPr="005871B3">
          <w:rPr>
            <w:rStyle w:val="Hyperlink"/>
            <w:noProof/>
          </w:rPr>
          <w:t>27.2—Breach of obligations</w:t>
        </w:r>
        <w:r>
          <w:rPr>
            <w:noProof/>
            <w:webHidden/>
          </w:rPr>
          <w:tab/>
        </w:r>
        <w:r>
          <w:rPr>
            <w:noProof/>
            <w:webHidden/>
          </w:rPr>
          <w:fldChar w:fldCharType="begin"/>
        </w:r>
        <w:r>
          <w:rPr>
            <w:noProof/>
            <w:webHidden/>
          </w:rPr>
          <w:instrText xml:space="preserve"> PAGEREF _Toc175238800 \h </w:instrText>
        </w:r>
        <w:r>
          <w:rPr>
            <w:noProof/>
            <w:webHidden/>
          </w:rPr>
        </w:r>
        <w:r>
          <w:rPr>
            <w:noProof/>
            <w:webHidden/>
          </w:rPr>
          <w:fldChar w:fldCharType="separate"/>
        </w:r>
        <w:r w:rsidR="00FD06AB">
          <w:rPr>
            <w:noProof/>
            <w:webHidden/>
          </w:rPr>
          <w:t>53</w:t>
        </w:r>
        <w:r>
          <w:rPr>
            <w:noProof/>
            <w:webHidden/>
          </w:rPr>
          <w:fldChar w:fldCharType="end"/>
        </w:r>
      </w:hyperlink>
    </w:p>
    <w:p w14:paraId="46435AFD" w14:textId="4E0A4AEA" w:rsidR="003B042F" w:rsidRDefault="003B042F">
      <w:pPr>
        <w:pStyle w:val="TOC4"/>
        <w:rPr>
          <w:rFonts w:asciiTheme="minorHAnsi" w:eastAsiaTheme="minorEastAsia" w:hAnsiTheme="minorHAnsi"/>
          <w:noProof/>
          <w:sz w:val="22"/>
          <w:lang w:eastAsia="en-AU"/>
        </w:rPr>
      </w:pPr>
      <w:hyperlink w:anchor="_Toc175238801" w:history="1">
        <w:r w:rsidRPr="005871B3">
          <w:rPr>
            <w:rStyle w:val="Hyperlink"/>
            <w:noProof/>
          </w:rPr>
          <w:t>27.3—Communications with the Court</w:t>
        </w:r>
        <w:r>
          <w:rPr>
            <w:noProof/>
            <w:webHidden/>
          </w:rPr>
          <w:tab/>
        </w:r>
        <w:r>
          <w:rPr>
            <w:noProof/>
            <w:webHidden/>
          </w:rPr>
          <w:fldChar w:fldCharType="begin"/>
        </w:r>
        <w:r>
          <w:rPr>
            <w:noProof/>
            <w:webHidden/>
          </w:rPr>
          <w:instrText xml:space="preserve"> PAGEREF _Toc175238801 \h </w:instrText>
        </w:r>
        <w:r>
          <w:rPr>
            <w:noProof/>
            <w:webHidden/>
          </w:rPr>
        </w:r>
        <w:r>
          <w:rPr>
            <w:noProof/>
            <w:webHidden/>
          </w:rPr>
          <w:fldChar w:fldCharType="separate"/>
        </w:r>
        <w:r w:rsidR="00FD06AB">
          <w:rPr>
            <w:noProof/>
            <w:webHidden/>
          </w:rPr>
          <w:t>53</w:t>
        </w:r>
        <w:r>
          <w:rPr>
            <w:noProof/>
            <w:webHidden/>
          </w:rPr>
          <w:fldChar w:fldCharType="end"/>
        </w:r>
      </w:hyperlink>
    </w:p>
    <w:p w14:paraId="210686D6" w14:textId="2E40C469"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802" w:history="1">
        <w:r w:rsidRPr="005871B3">
          <w:rPr>
            <w:rStyle w:val="Hyperlink"/>
            <w:noProof/>
          </w:rPr>
          <w:t>Part 5—Documents</w:t>
        </w:r>
        <w:r>
          <w:rPr>
            <w:noProof/>
            <w:webHidden/>
          </w:rPr>
          <w:tab/>
        </w:r>
        <w:r>
          <w:rPr>
            <w:noProof/>
            <w:webHidden/>
          </w:rPr>
          <w:fldChar w:fldCharType="begin"/>
        </w:r>
        <w:r>
          <w:rPr>
            <w:noProof/>
            <w:webHidden/>
          </w:rPr>
          <w:instrText xml:space="preserve"> PAGEREF _Toc175238802 \h </w:instrText>
        </w:r>
        <w:r>
          <w:rPr>
            <w:noProof/>
            <w:webHidden/>
          </w:rPr>
        </w:r>
        <w:r>
          <w:rPr>
            <w:noProof/>
            <w:webHidden/>
          </w:rPr>
          <w:fldChar w:fldCharType="separate"/>
        </w:r>
        <w:r w:rsidR="00FD06AB">
          <w:rPr>
            <w:noProof/>
            <w:webHidden/>
          </w:rPr>
          <w:t>54</w:t>
        </w:r>
        <w:r>
          <w:rPr>
            <w:noProof/>
            <w:webHidden/>
          </w:rPr>
          <w:fldChar w:fldCharType="end"/>
        </w:r>
      </w:hyperlink>
    </w:p>
    <w:p w14:paraId="126F7AF0" w14:textId="0C1EC9D0" w:rsidR="003B042F" w:rsidRDefault="003B042F">
      <w:pPr>
        <w:pStyle w:val="TOC3"/>
        <w:rPr>
          <w:rFonts w:asciiTheme="minorHAnsi" w:eastAsiaTheme="minorEastAsia" w:hAnsiTheme="minorHAnsi"/>
          <w:b w:val="0"/>
          <w:noProof/>
          <w:sz w:val="22"/>
          <w:lang w:eastAsia="en-AU"/>
        </w:rPr>
      </w:pPr>
      <w:hyperlink w:anchor="_Toc175238803" w:history="1">
        <w:r w:rsidRPr="005871B3">
          <w:rPr>
            <w:rStyle w:val="Hyperlink"/>
            <w:noProof/>
          </w:rPr>
          <w:t>Division 1—Document form and content</w:t>
        </w:r>
        <w:r>
          <w:rPr>
            <w:noProof/>
            <w:webHidden/>
          </w:rPr>
          <w:tab/>
        </w:r>
        <w:r>
          <w:rPr>
            <w:noProof/>
            <w:webHidden/>
          </w:rPr>
          <w:fldChar w:fldCharType="begin"/>
        </w:r>
        <w:r>
          <w:rPr>
            <w:noProof/>
            <w:webHidden/>
          </w:rPr>
          <w:instrText xml:space="preserve"> PAGEREF _Toc175238803 \h </w:instrText>
        </w:r>
        <w:r>
          <w:rPr>
            <w:noProof/>
            <w:webHidden/>
          </w:rPr>
        </w:r>
        <w:r>
          <w:rPr>
            <w:noProof/>
            <w:webHidden/>
          </w:rPr>
          <w:fldChar w:fldCharType="separate"/>
        </w:r>
        <w:r w:rsidR="00FD06AB">
          <w:rPr>
            <w:noProof/>
            <w:webHidden/>
          </w:rPr>
          <w:t>54</w:t>
        </w:r>
        <w:r>
          <w:rPr>
            <w:noProof/>
            <w:webHidden/>
          </w:rPr>
          <w:fldChar w:fldCharType="end"/>
        </w:r>
      </w:hyperlink>
    </w:p>
    <w:p w14:paraId="59CC0FB2" w14:textId="35A5C2E8" w:rsidR="003B042F" w:rsidRDefault="003B042F">
      <w:pPr>
        <w:pStyle w:val="TOC3"/>
        <w:rPr>
          <w:rFonts w:asciiTheme="minorHAnsi" w:eastAsiaTheme="minorEastAsia" w:hAnsiTheme="minorHAnsi"/>
          <w:b w:val="0"/>
          <w:noProof/>
          <w:sz w:val="22"/>
          <w:lang w:eastAsia="en-AU"/>
        </w:rPr>
      </w:pPr>
      <w:hyperlink w:anchor="_Toc175238804" w:history="1">
        <w:r w:rsidRPr="005871B3">
          <w:rPr>
            <w:rStyle w:val="Hyperlink"/>
            <w:noProof/>
          </w:rPr>
          <w:t>Subdivision 1—General</w:t>
        </w:r>
        <w:r>
          <w:rPr>
            <w:noProof/>
            <w:webHidden/>
          </w:rPr>
          <w:tab/>
        </w:r>
        <w:r>
          <w:rPr>
            <w:noProof/>
            <w:webHidden/>
          </w:rPr>
          <w:fldChar w:fldCharType="begin"/>
        </w:r>
        <w:r>
          <w:rPr>
            <w:noProof/>
            <w:webHidden/>
          </w:rPr>
          <w:instrText xml:space="preserve"> PAGEREF _Toc175238804 \h </w:instrText>
        </w:r>
        <w:r>
          <w:rPr>
            <w:noProof/>
            <w:webHidden/>
          </w:rPr>
        </w:r>
        <w:r>
          <w:rPr>
            <w:noProof/>
            <w:webHidden/>
          </w:rPr>
          <w:fldChar w:fldCharType="separate"/>
        </w:r>
        <w:r w:rsidR="00FD06AB">
          <w:rPr>
            <w:noProof/>
            <w:webHidden/>
          </w:rPr>
          <w:t>54</w:t>
        </w:r>
        <w:r>
          <w:rPr>
            <w:noProof/>
            <w:webHidden/>
          </w:rPr>
          <w:fldChar w:fldCharType="end"/>
        </w:r>
      </w:hyperlink>
    </w:p>
    <w:p w14:paraId="0482F696" w14:textId="46D2D5BB" w:rsidR="003B042F" w:rsidRDefault="003B042F">
      <w:pPr>
        <w:pStyle w:val="TOC4"/>
        <w:rPr>
          <w:rFonts w:asciiTheme="minorHAnsi" w:eastAsiaTheme="minorEastAsia" w:hAnsiTheme="minorHAnsi"/>
          <w:noProof/>
          <w:sz w:val="22"/>
          <w:lang w:eastAsia="en-AU"/>
        </w:rPr>
      </w:pPr>
      <w:hyperlink w:anchor="_Toc175238805" w:history="1">
        <w:r w:rsidRPr="005871B3">
          <w:rPr>
            <w:rStyle w:val="Hyperlink"/>
            <w:noProof/>
          </w:rPr>
          <w:t>28.1—Definitions</w:t>
        </w:r>
        <w:r>
          <w:rPr>
            <w:noProof/>
            <w:webHidden/>
          </w:rPr>
          <w:tab/>
        </w:r>
        <w:r>
          <w:rPr>
            <w:noProof/>
            <w:webHidden/>
          </w:rPr>
          <w:fldChar w:fldCharType="begin"/>
        </w:r>
        <w:r>
          <w:rPr>
            <w:noProof/>
            <w:webHidden/>
          </w:rPr>
          <w:instrText xml:space="preserve"> PAGEREF _Toc175238805 \h </w:instrText>
        </w:r>
        <w:r>
          <w:rPr>
            <w:noProof/>
            <w:webHidden/>
          </w:rPr>
        </w:r>
        <w:r>
          <w:rPr>
            <w:noProof/>
            <w:webHidden/>
          </w:rPr>
          <w:fldChar w:fldCharType="separate"/>
        </w:r>
        <w:r w:rsidR="00FD06AB">
          <w:rPr>
            <w:noProof/>
            <w:webHidden/>
          </w:rPr>
          <w:t>54</w:t>
        </w:r>
        <w:r>
          <w:rPr>
            <w:noProof/>
            <w:webHidden/>
          </w:rPr>
          <w:fldChar w:fldCharType="end"/>
        </w:r>
      </w:hyperlink>
    </w:p>
    <w:p w14:paraId="2F3A8095" w14:textId="3923EF60" w:rsidR="003B042F" w:rsidRDefault="003B042F">
      <w:pPr>
        <w:pStyle w:val="TOC4"/>
        <w:rPr>
          <w:rFonts w:asciiTheme="minorHAnsi" w:eastAsiaTheme="minorEastAsia" w:hAnsiTheme="minorHAnsi"/>
          <w:noProof/>
          <w:sz w:val="22"/>
          <w:lang w:eastAsia="en-AU"/>
        </w:rPr>
      </w:pPr>
      <w:hyperlink w:anchor="_Toc175238806" w:history="1">
        <w:r w:rsidRPr="005871B3">
          <w:rPr>
            <w:rStyle w:val="Hyperlink"/>
            <w:noProof/>
          </w:rPr>
          <w:t>28.2—Prescribed formats and layout of filed documents</w:t>
        </w:r>
        <w:r>
          <w:rPr>
            <w:noProof/>
            <w:webHidden/>
          </w:rPr>
          <w:tab/>
        </w:r>
        <w:r>
          <w:rPr>
            <w:noProof/>
            <w:webHidden/>
          </w:rPr>
          <w:fldChar w:fldCharType="begin"/>
        </w:r>
        <w:r>
          <w:rPr>
            <w:noProof/>
            <w:webHidden/>
          </w:rPr>
          <w:instrText xml:space="preserve"> PAGEREF _Toc175238806 \h </w:instrText>
        </w:r>
        <w:r>
          <w:rPr>
            <w:noProof/>
            <w:webHidden/>
          </w:rPr>
        </w:r>
        <w:r>
          <w:rPr>
            <w:noProof/>
            <w:webHidden/>
          </w:rPr>
          <w:fldChar w:fldCharType="separate"/>
        </w:r>
        <w:r w:rsidR="00FD06AB">
          <w:rPr>
            <w:noProof/>
            <w:webHidden/>
          </w:rPr>
          <w:t>54</w:t>
        </w:r>
        <w:r>
          <w:rPr>
            <w:noProof/>
            <w:webHidden/>
          </w:rPr>
          <w:fldChar w:fldCharType="end"/>
        </w:r>
      </w:hyperlink>
    </w:p>
    <w:p w14:paraId="72638E6C" w14:textId="359BA5C6" w:rsidR="003B042F" w:rsidRDefault="003B042F">
      <w:pPr>
        <w:pStyle w:val="TOC4"/>
        <w:rPr>
          <w:rFonts w:asciiTheme="minorHAnsi" w:eastAsiaTheme="minorEastAsia" w:hAnsiTheme="minorHAnsi"/>
          <w:noProof/>
          <w:sz w:val="22"/>
          <w:lang w:eastAsia="en-AU"/>
        </w:rPr>
      </w:pPr>
      <w:hyperlink w:anchor="_Toc175238807" w:history="1">
        <w:r w:rsidRPr="005871B3">
          <w:rPr>
            <w:rStyle w:val="Hyperlink"/>
            <w:noProof/>
          </w:rPr>
          <w:t>28.3—Prescribed forms</w:t>
        </w:r>
        <w:r>
          <w:rPr>
            <w:noProof/>
            <w:webHidden/>
          </w:rPr>
          <w:tab/>
        </w:r>
        <w:r>
          <w:rPr>
            <w:noProof/>
            <w:webHidden/>
          </w:rPr>
          <w:fldChar w:fldCharType="begin"/>
        </w:r>
        <w:r>
          <w:rPr>
            <w:noProof/>
            <w:webHidden/>
          </w:rPr>
          <w:instrText xml:space="preserve"> PAGEREF _Toc175238807 \h </w:instrText>
        </w:r>
        <w:r>
          <w:rPr>
            <w:noProof/>
            <w:webHidden/>
          </w:rPr>
        </w:r>
        <w:r>
          <w:rPr>
            <w:noProof/>
            <w:webHidden/>
          </w:rPr>
          <w:fldChar w:fldCharType="separate"/>
        </w:r>
        <w:r w:rsidR="00FD06AB">
          <w:rPr>
            <w:noProof/>
            <w:webHidden/>
          </w:rPr>
          <w:t>54</w:t>
        </w:r>
        <w:r>
          <w:rPr>
            <w:noProof/>
            <w:webHidden/>
          </w:rPr>
          <w:fldChar w:fldCharType="end"/>
        </w:r>
      </w:hyperlink>
    </w:p>
    <w:p w14:paraId="705BAB36" w14:textId="61B41404" w:rsidR="003B042F" w:rsidRDefault="003B042F">
      <w:pPr>
        <w:pStyle w:val="TOC4"/>
        <w:rPr>
          <w:rFonts w:asciiTheme="minorHAnsi" w:eastAsiaTheme="minorEastAsia" w:hAnsiTheme="minorHAnsi"/>
          <w:noProof/>
          <w:sz w:val="22"/>
          <w:lang w:eastAsia="en-AU"/>
        </w:rPr>
      </w:pPr>
      <w:hyperlink w:anchor="_Toc175238808" w:history="1">
        <w:r w:rsidRPr="005871B3">
          <w:rPr>
            <w:rStyle w:val="Hyperlink"/>
            <w:noProof/>
          </w:rPr>
          <w:t>28.4—Publication of prescribed requirements</w:t>
        </w:r>
        <w:r>
          <w:rPr>
            <w:noProof/>
            <w:webHidden/>
          </w:rPr>
          <w:tab/>
        </w:r>
        <w:r>
          <w:rPr>
            <w:noProof/>
            <w:webHidden/>
          </w:rPr>
          <w:fldChar w:fldCharType="begin"/>
        </w:r>
        <w:r>
          <w:rPr>
            <w:noProof/>
            <w:webHidden/>
          </w:rPr>
          <w:instrText xml:space="preserve"> PAGEREF _Toc175238808 \h </w:instrText>
        </w:r>
        <w:r>
          <w:rPr>
            <w:noProof/>
            <w:webHidden/>
          </w:rPr>
        </w:r>
        <w:r>
          <w:rPr>
            <w:noProof/>
            <w:webHidden/>
          </w:rPr>
          <w:fldChar w:fldCharType="separate"/>
        </w:r>
        <w:r w:rsidR="00FD06AB">
          <w:rPr>
            <w:noProof/>
            <w:webHidden/>
          </w:rPr>
          <w:t>55</w:t>
        </w:r>
        <w:r>
          <w:rPr>
            <w:noProof/>
            <w:webHidden/>
          </w:rPr>
          <w:fldChar w:fldCharType="end"/>
        </w:r>
      </w:hyperlink>
    </w:p>
    <w:p w14:paraId="07C418B4" w14:textId="0664E531" w:rsidR="003B042F" w:rsidRDefault="003B042F">
      <w:pPr>
        <w:pStyle w:val="TOC4"/>
        <w:rPr>
          <w:rFonts w:asciiTheme="minorHAnsi" w:eastAsiaTheme="minorEastAsia" w:hAnsiTheme="minorHAnsi"/>
          <w:noProof/>
          <w:sz w:val="22"/>
          <w:lang w:eastAsia="en-AU"/>
        </w:rPr>
      </w:pPr>
      <w:hyperlink w:anchor="_Toc175238809" w:history="1">
        <w:r w:rsidRPr="005871B3">
          <w:rPr>
            <w:rStyle w:val="Hyperlink"/>
            <w:noProof/>
          </w:rPr>
          <w:t>28.5—Compliance with prescribed requirements</w:t>
        </w:r>
        <w:r>
          <w:rPr>
            <w:noProof/>
            <w:webHidden/>
          </w:rPr>
          <w:tab/>
        </w:r>
        <w:r>
          <w:rPr>
            <w:noProof/>
            <w:webHidden/>
          </w:rPr>
          <w:fldChar w:fldCharType="begin"/>
        </w:r>
        <w:r>
          <w:rPr>
            <w:noProof/>
            <w:webHidden/>
          </w:rPr>
          <w:instrText xml:space="preserve"> PAGEREF _Toc175238809 \h </w:instrText>
        </w:r>
        <w:r>
          <w:rPr>
            <w:noProof/>
            <w:webHidden/>
          </w:rPr>
        </w:r>
        <w:r>
          <w:rPr>
            <w:noProof/>
            <w:webHidden/>
          </w:rPr>
          <w:fldChar w:fldCharType="separate"/>
        </w:r>
        <w:r w:rsidR="00FD06AB">
          <w:rPr>
            <w:noProof/>
            <w:webHidden/>
          </w:rPr>
          <w:t>55</w:t>
        </w:r>
        <w:r>
          <w:rPr>
            <w:noProof/>
            <w:webHidden/>
          </w:rPr>
          <w:fldChar w:fldCharType="end"/>
        </w:r>
      </w:hyperlink>
    </w:p>
    <w:p w14:paraId="08F45C07" w14:textId="4B0D61A6" w:rsidR="003B042F" w:rsidRDefault="003B042F">
      <w:pPr>
        <w:pStyle w:val="TOC4"/>
        <w:rPr>
          <w:rFonts w:asciiTheme="minorHAnsi" w:eastAsiaTheme="minorEastAsia" w:hAnsiTheme="minorHAnsi"/>
          <w:noProof/>
          <w:sz w:val="22"/>
          <w:lang w:eastAsia="en-AU"/>
        </w:rPr>
      </w:pPr>
      <w:hyperlink w:anchor="_Toc175238810" w:history="1">
        <w:r w:rsidRPr="005871B3">
          <w:rPr>
            <w:rStyle w:val="Hyperlink"/>
            <w:noProof/>
          </w:rPr>
          <w:t>28.6—Document drawn or settled by counsel</w:t>
        </w:r>
        <w:r>
          <w:rPr>
            <w:noProof/>
            <w:webHidden/>
          </w:rPr>
          <w:tab/>
        </w:r>
        <w:r>
          <w:rPr>
            <w:noProof/>
            <w:webHidden/>
          </w:rPr>
          <w:fldChar w:fldCharType="begin"/>
        </w:r>
        <w:r>
          <w:rPr>
            <w:noProof/>
            <w:webHidden/>
          </w:rPr>
          <w:instrText xml:space="preserve"> PAGEREF _Toc175238810 \h </w:instrText>
        </w:r>
        <w:r>
          <w:rPr>
            <w:noProof/>
            <w:webHidden/>
          </w:rPr>
        </w:r>
        <w:r>
          <w:rPr>
            <w:noProof/>
            <w:webHidden/>
          </w:rPr>
          <w:fldChar w:fldCharType="separate"/>
        </w:r>
        <w:r w:rsidR="00FD06AB">
          <w:rPr>
            <w:noProof/>
            <w:webHidden/>
          </w:rPr>
          <w:t>55</w:t>
        </w:r>
        <w:r>
          <w:rPr>
            <w:noProof/>
            <w:webHidden/>
          </w:rPr>
          <w:fldChar w:fldCharType="end"/>
        </w:r>
      </w:hyperlink>
    </w:p>
    <w:p w14:paraId="217B3995" w14:textId="41BCF2DE" w:rsidR="003B042F" w:rsidRDefault="003B042F">
      <w:pPr>
        <w:pStyle w:val="TOC3"/>
        <w:rPr>
          <w:rFonts w:asciiTheme="minorHAnsi" w:eastAsiaTheme="minorEastAsia" w:hAnsiTheme="minorHAnsi"/>
          <w:b w:val="0"/>
          <w:noProof/>
          <w:sz w:val="22"/>
          <w:lang w:eastAsia="en-AU"/>
        </w:rPr>
      </w:pPr>
      <w:hyperlink w:anchor="_Toc175238811" w:history="1">
        <w:r w:rsidRPr="005871B3">
          <w:rPr>
            <w:rStyle w:val="Hyperlink"/>
            <w:noProof/>
          </w:rPr>
          <w:t>Subdivision 2—Affidavits</w:t>
        </w:r>
        <w:r>
          <w:rPr>
            <w:noProof/>
            <w:webHidden/>
          </w:rPr>
          <w:tab/>
        </w:r>
        <w:r>
          <w:rPr>
            <w:noProof/>
            <w:webHidden/>
          </w:rPr>
          <w:fldChar w:fldCharType="begin"/>
        </w:r>
        <w:r>
          <w:rPr>
            <w:noProof/>
            <w:webHidden/>
          </w:rPr>
          <w:instrText xml:space="preserve"> PAGEREF _Toc175238811 \h </w:instrText>
        </w:r>
        <w:r>
          <w:rPr>
            <w:noProof/>
            <w:webHidden/>
          </w:rPr>
        </w:r>
        <w:r>
          <w:rPr>
            <w:noProof/>
            <w:webHidden/>
          </w:rPr>
          <w:fldChar w:fldCharType="separate"/>
        </w:r>
        <w:r w:rsidR="00FD06AB">
          <w:rPr>
            <w:noProof/>
            <w:webHidden/>
          </w:rPr>
          <w:t>55</w:t>
        </w:r>
        <w:r>
          <w:rPr>
            <w:noProof/>
            <w:webHidden/>
          </w:rPr>
          <w:fldChar w:fldCharType="end"/>
        </w:r>
      </w:hyperlink>
    </w:p>
    <w:p w14:paraId="0F5CD615" w14:textId="7DA331B7" w:rsidR="003B042F" w:rsidRDefault="003B042F">
      <w:pPr>
        <w:pStyle w:val="TOC4"/>
        <w:rPr>
          <w:rFonts w:asciiTheme="minorHAnsi" w:eastAsiaTheme="minorEastAsia" w:hAnsiTheme="minorHAnsi"/>
          <w:noProof/>
          <w:sz w:val="22"/>
          <w:lang w:eastAsia="en-AU"/>
        </w:rPr>
      </w:pPr>
      <w:hyperlink w:anchor="_Toc175238812" w:history="1">
        <w:r w:rsidRPr="005871B3">
          <w:rPr>
            <w:rStyle w:val="Hyperlink"/>
            <w:noProof/>
          </w:rPr>
          <w:t>28.7—Form and content</w:t>
        </w:r>
        <w:r>
          <w:rPr>
            <w:noProof/>
            <w:webHidden/>
          </w:rPr>
          <w:tab/>
        </w:r>
        <w:r>
          <w:rPr>
            <w:noProof/>
            <w:webHidden/>
          </w:rPr>
          <w:fldChar w:fldCharType="begin"/>
        </w:r>
        <w:r>
          <w:rPr>
            <w:noProof/>
            <w:webHidden/>
          </w:rPr>
          <w:instrText xml:space="preserve"> PAGEREF _Toc175238812 \h </w:instrText>
        </w:r>
        <w:r>
          <w:rPr>
            <w:noProof/>
            <w:webHidden/>
          </w:rPr>
        </w:r>
        <w:r>
          <w:rPr>
            <w:noProof/>
            <w:webHidden/>
          </w:rPr>
          <w:fldChar w:fldCharType="separate"/>
        </w:r>
        <w:r w:rsidR="00FD06AB">
          <w:rPr>
            <w:noProof/>
            <w:webHidden/>
          </w:rPr>
          <w:t>55</w:t>
        </w:r>
        <w:r>
          <w:rPr>
            <w:noProof/>
            <w:webHidden/>
          </w:rPr>
          <w:fldChar w:fldCharType="end"/>
        </w:r>
      </w:hyperlink>
    </w:p>
    <w:p w14:paraId="778DAC02" w14:textId="294C3364" w:rsidR="003B042F" w:rsidRDefault="003B042F">
      <w:pPr>
        <w:pStyle w:val="TOC4"/>
        <w:rPr>
          <w:rFonts w:asciiTheme="minorHAnsi" w:eastAsiaTheme="minorEastAsia" w:hAnsiTheme="minorHAnsi"/>
          <w:noProof/>
          <w:sz w:val="22"/>
          <w:lang w:eastAsia="en-AU"/>
        </w:rPr>
      </w:pPr>
      <w:hyperlink w:anchor="_Toc175238813" w:history="1">
        <w:r w:rsidRPr="005871B3">
          <w:rPr>
            <w:rStyle w:val="Hyperlink"/>
            <w:noProof/>
          </w:rPr>
          <w:t>28.8—Composition</w:t>
        </w:r>
        <w:r>
          <w:rPr>
            <w:noProof/>
            <w:webHidden/>
          </w:rPr>
          <w:tab/>
        </w:r>
        <w:r>
          <w:rPr>
            <w:noProof/>
            <w:webHidden/>
          </w:rPr>
          <w:fldChar w:fldCharType="begin"/>
        </w:r>
        <w:r>
          <w:rPr>
            <w:noProof/>
            <w:webHidden/>
          </w:rPr>
          <w:instrText xml:space="preserve"> PAGEREF _Toc175238813 \h </w:instrText>
        </w:r>
        <w:r>
          <w:rPr>
            <w:noProof/>
            <w:webHidden/>
          </w:rPr>
        </w:r>
        <w:r>
          <w:rPr>
            <w:noProof/>
            <w:webHidden/>
          </w:rPr>
          <w:fldChar w:fldCharType="separate"/>
        </w:r>
        <w:r w:rsidR="00FD06AB">
          <w:rPr>
            <w:noProof/>
            <w:webHidden/>
          </w:rPr>
          <w:t>57</w:t>
        </w:r>
        <w:r>
          <w:rPr>
            <w:noProof/>
            <w:webHidden/>
          </w:rPr>
          <w:fldChar w:fldCharType="end"/>
        </w:r>
      </w:hyperlink>
    </w:p>
    <w:p w14:paraId="110CB467" w14:textId="4E27B20E" w:rsidR="003B042F" w:rsidRDefault="003B042F">
      <w:pPr>
        <w:pStyle w:val="TOC4"/>
        <w:rPr>
          <w:rFonts w:asciiTheme="minorHAnsi" w:eastAsiaTheme="minorEastAsia" w:hAnsiTheme="minorHAnsi"/>
          <w:noProof/>
          <w:sz w:val="22"/>
          <w:lang w:eastAsia="en-AU"/>
        </w:rPr>
      </w:pPr>
      <w:hyperlink w:anchor="_Toc175238814" w:history="1">
        <w:r w:rsidRPr="005871B3">
          <w:rPr>
            <w:rStyle w:val="Hyperlink"/>
            <w:noProof/>
          </w:rPr>
          <w:t>28.9—Attesting witness</w:t>
        </w:r>
        <w:r>
          <w:rPr>
            <w:noProof/>
            <w:webHidden/>
          </w:rPr>
          <w:tab/>
        </w:r>
        <w:r>
          <w:rPr>
            <w:noProof/>
            <w:webHidden/>
          </w:rPr>
          <w:fldChar w:fldCharType="begin"/>
        </w:r>
        <w:r>
          <w:rPr>
            <w:noProof/>
            <w:webHidden/>
          </w:rPr>
          <w:instrText xml:space="preserve"> PAGEREF _Toc175238814 \h </w:instrText>
        </w:r>
        <w:r>
          <w:rPr>
            <w:noProof/>
            <w:webHidden/>
          </w:rPr>
        </w:r>
        <w:r>
          <w:rPr>
            <w:noProof/>
            <w:webHidden/>
          </w:rPr>
          <w:fldChar w:fldCharType="separate"/>
        </w:r>
        <w:r w:rsidR="00FD06AB">
          <w:rPr>
            <w:noProof/>
            <w:webHidden/>
          </w:rPr>
          <w:t>57</w:t>
        </w:r>
        <w:r>
          <w:rPr>
            <w:noProof/>
            <w:webHidden/>
          </w:rPr>
          <w:fldChar w:fldCharType="end"/>
        </w:r>
      </w:hyperlink>
    </w:p>
    <w:p w14:paraId="2F7187A5" w14:textId="232FE9FA" w:rsidR="003B042F" w:rsidRDefault="003B042F">
      <w:pPr>
        <w:pStyle w:val="TOC4"/>
        <w:rPr>
          <w:rFonts w:asciiTheme="minorHAnsi" w:eastAsiaTheme="minorEastAsia" w:hAnsiTheme="minorHAnsi"/>
          <w:noProof/>
          <w:sz w:val="22"/>
          <w:lang w:eastAsia="en-AU"/>
        </w:rPr>
      </w:pPr>
      <w:hyperlink w:anchor="_Toc175238815" w:history="1">
        <w:r w:rsidRPr="005871B3">
          <w:rPr>
            <w:rStyle w:val="Hyperlink"/>
            <w:noProof/>
          </w:rPr>
          <w:t>28.10—Original of affidavit uploaded into Electronic System</w:t>
        </w:r>
        <w:r>
          <w:rPr>
            <w:noProof/>
            <w:webHidden/>
          </w:rPr>
          <w:tab/>
        </w:r>
        <w:r>
          <w:rPr>
            <w:noProof/>
            <w:webHidden/>
          </w:rPr>
          <w:fldChar w:fldCharType="begin"/>
        </w:r>
        <w:r>
          <w:rPr>
            <w:noProof/>
            <w:webHidden/>
          </w:rPr>
          <w:instrText xml:space="preserve"> PAGEREF _Toc175238815 \h </w:instrText>
        </w:r>
        <w:r>
          <w:rPr>
            <w:noProof/>
            <w:webHidden/>
          </w:rPr>
        </w:r>
        <w:r>
          <w:rPr>
            <w:noProof/>
            <w:webHidden/>
          </w:rPr>
          <w:fldChar w:fldCharType="separate"/>
        </w:r>
        <w:r w:rsidR="00FD06AB">
          <w:rPr>
            <w:noProof/>
            <w:webHidden/>
          </w:rPr>
          <w:t>57</w:t>
        </w:r>
        <w:r>
          <w:rPr>
            <w:noProof/>
            <w:webHidden/>
          </w:rPr>
          <w:fldChar w:fldCharType="end"/>
        </w:r>
      </w:hyperlink>
    </w:p>
    <w:p w14:paraId="316D8F92" w14:textId="4678198A" w:rsidR="003B042F" w:rsidRDefault="003B042F">
      <w:pPr>
        <w:pStyle w:val="TOC3"/>
        <w:rPr>
          <w:rFonts w:asciiTheme="minorHAnsi" w:eastAsiaTheme="minorEastAsia" w:hAnsiTheme="minorHAnsi"/>
          <w:b w:val="0"/>
          <w:noProof/>
          <w:sz w:val="22"/>
          <w:lang w:eastAsia="en-AU"/>
        </w:rPr>
      </w:pPr>
      <w:hyperlink w:anchor="_Toc175238816" w:history="1">
        <w:r w:rsidRPr="005871B3">
          <w:rPr>
            <w:rStyle w:val="Hyperlink"/>
            <w:noProof/>
          </w:rPr>
          <w:t>Subdivision 3—Sensitive material</w:t>
        </w:r>
        <w:r>
          <w:rPr>
            <w:noProof/>
            <w:webHidden/>
          </w:rPr>
          <w:tab/>
        </w:r>
        <w:r>
          <w:rPr>
            <w:noProof/>
            <w:webHidden/>
          </w:rPr>
          <w:fldChar w:fldCharType="begin"/>
        </w:r>
        <w:r>
          <w:rPr>
            <w:noProof/>
            <w:webHidden/>
          </w:rPr>
          <w:instrText xml:space="preserve"> PAGEREF _Toc175238816 \h </w:instrText>
        </w:r>
        <w:r>
          <w:rPr>
            <w:noProof/>
            <w:webHidden/>
          </w:rPr>
        </w:r>
        <w:r>
          <w:rPr>
            <w:noProof/>
            <w:webHidden/>
          </w:rPr>
          <w:fldChar w:fldCharType="separate"/>
        </w:r>
        <w:r w:rsidR="00FD06AB">
          <w:rPr>
            <w:noProof/>
            <w:webHidden/>
          </w:rPr>
          <w:t>58</w:t>
        </w:r>
        <w:r>
          <w:rPr>
            <w:noProof/>
            <w:webHidden/>
          </w:rPr>
          <w:fldChar w:fldCharType="end"/>
        </w:r>
      </w:hyperlink>
    </w:p>
    <w:p w14:paraId="5329AA95" w14:textId="14AF6D97" w:rsidR="003B042F" w:rsidRDefault="003B042F">
      <w:pPr>
        <w:pStyle w:val="TOC4"/>
        <w:rPr>
          <w:rFonts w:asciiTheme="minorHAnsi" w:eastAsiaTheme="minorEastAsia" w:hAnsiTheme="minorHAnsi"/>
          <w:noProof/>
          <w:sz w:val="22"/>
          <w:lang w:eastAsia="en-AU"/>
        </w:rPr>
      </w:pPr>
      <w:hyperlink w:anchor="_Toc175238817" w:history="1">
        <w:r w:rsidRPr="005871B3">
          <w:rPr>
            <w:rStyle w:val="Hyperlink"/>
            <w:noProof/>
          </w:rPr>
          <w:t>28.11—Production of sensitive material</w:t>
        </w:r>
        <w:r>
          <w:rPr>
            <w:noProof/>
            <w:webHidden/>
          </w:rPr>
          <w:tab/>
        </w:r>
        <w:r>
          <w:rPr>
            <w:noProof/>
            <w:webHidden/>
          </w:rPr>
          <w:fldChar w:fldCharType="begin"/>
        </w:r>
        <w:r>
          <w:rPr>
            <w:noProof/>
            <w:webHidden/>
          </w:rPr>
          <w:instrText xml:space="preserve"> PAGEREF _Toc175238817 \h </w:instrText>
        </w:r>
        <w:r>
          <w:rPr>
            <w:noProof/>
            <w:webHidden/>
          </w:rPr>
        </w:r>
        <w:r>
          <w:rPr>
            <w:noProof/>
            <w:webHidden/>
          </w:rPr>
          <w:fldChar w:fldCharType="separate"/>
        </w:r>
        <w:r w:rsidR="00FD06AB">
          <w:rPr>
            <w:noProof/>
            <w:webHidden/>
          </w:rPr>
          <w:t>58</w:t>
        </w:r>
        <w:r>
          <w:rPr>
            <w:noProof/>
            <w:webHidden/>
          </w:rPr>
          <w:fldChar w:fldCharType="end"/>
        </w:r>
      </w:hyperlink>
    </w:p>
    <w:p w14:paraId="0081E81B" w14:textId="49DBE4B5" w:rsidR="003B042F" w:rsidRDefault="003B042F">
      <w:pPr>
        <w:pStyle w:val="TOC4"/>
        <w:rPr>
          <w:rFonts w:asciiTheme="minorHAnsi" w:eastAsiaTheme="minorEastAsia" w:hAnsiTheme="minorHAnsi"/>
          <w:noProof/>
          <w:sz w:val="22"/>
          <w:lang w:eastAsia="en-AU"/>
        </w:rPr>
      </w:pPr>
      <w:hyperlink w:anchor="_Toc175238818" w:history="1">
        <w:r w:rsidRPr="005871B3">
          <w:rPr>
            <w:rStyle w:val="Hyperlink"/>
            <w:noProof/>
          </w:rPr>
          <w:t>28.12—Filing of sensitive material</w:t>
        </w:r>
        <w:r>
          <w:rPr>
            <w:noProof/>
            <w:webHidden/>
          </w:rPr>
          <w:tab/>
        </w:r>
        <w:r>
          <w:rPr>
            <w:noProof/>
            <w:webHidden/>
          </w:rPr>
          <w:fldChar w:fldCharType="begin"/>
        </w:r>
        <w:r>
          <w:rPr>
            <w:noProof/>
            <w:webHidden/>
          </w:rPr>
          <w:instrText xml:space="preserve"> PAGEREF _Toc175238818 \h </w:instrText>
        </w:r>
        <w:r>
          <w:rPr>
            <w:noProof/>
            <w:webHidden/>
          </w:rPr>
        </w:r>
        <w:r>
          <w:rPr>
            <w:noProof/>
            <w:webHidden/>
          </w:rPr>
          <w:fldChar w:fldCharType="separate"/>
        </w:r>
        <w:r w:rsidR="00FD06AB">
          <w:rPr>
            <w:noProof/>
            <w:webHidden/>
          </w:rPr>
          <w:t>58</w:t>
        </w:r>
        <w:r>
          <w:rPr>
            <w:noProof/>
            <w:webHidden/>
          </w:rPr>
          <w:fldChar w:fldCharType="end"/>
        </w:r>
      </w:hyperlink>
    </w:p>
    <w:p w14:paraId="12B1FC59" w14:textId="56712AB8" w:rsidR="003B042F" w:rsidRDefault="003B042F">
      <w:pPr>
        <w:pStyle w:val="TOC4"/>
        <w:rPr>
          <w:rFonts w:asciiTheme="minorHAnsi" w:eastAsiaTheme="minorEastAsia" w:hAnsiTheme="minorHAnsi"/>
          <w:noProof/>
          <w:sz w:val="22"/>
          <w:lang w:eastAsia="en-AU"/>
        </w:rPr>
      </w:pPr>
      <w:hyperlink w:anchor="_Toc175238819" w:history="1">
        <w:r w:rsidRPr="005871B3">
          <w:rPr>
            <w:rStyle w:val="Hyperlink"/>
            <w:noProof/>
          </w:rPr>
          <w:t>28.13—Other production of sensitive material</w:t>
        </w:r>
        <w:r>
          <w:rPr>
            <w:noProof/>
            <w:webHidden/>
          </w:rPr>
          <w:tab/>
        </w:r>
        <w:r>
          <w:rPr>
            <w:noProof/>
            <w:webHidden/>
          </w:rPr>
          <w:fldChar w:fldCharType="begin"/>
        </w:r>
        <w:r>
          <w:rPr>
            <w:noProof/>
            <w:webHidden/>
          </w:rPr>
          <w:instrText xml:space="preserve"> PAGEREF _Toc175238819 \h </w:instrText>
        </w:r>
        <w:r>
          <w:rPr>
            <w:noProof/>
            <w:webHidden/>
          </w:rPr>
        </w:r>
        <w:r>
          <w:rPr>
            <w:noProof/>
            <w:webHidden/>
          </w:rPr>
          <w:fldChar w:fldCharType="separate"/>
        </w:r>
        <w:r w:rsidR="00FD06AB">
          <w:rPr>
            <w:noProof/>
            <w:webHidden/>
          </w:rPr>
          <w:t>59</w:t>
        </w:r>
        <w:r>
          <w:rPr>
            <w:noProof/>
            <w:webHidden/>
          </w:rPr>
          <w:fldChar w:fldCharType="end"/>
        </w:r>
      </w:hyperlink>
    </w:p>
    <w:p w14:paraId="512AA013" w14:textId="3D40D8A3" w:rsidR="003B042F" w:rsidRDefault="003B042F">
      <w:pPr>
        <w:pStyle w:val="TOC4"/>
        <w:rPr>
          <w:rFonts w:asciiTheme="minorHAnsi" w:eastAsiaTheme="minorEastAsia" w:hAnsiTheme="minorHAnsi"/>
          <w:noProof/>
          <w:sz w:val="22"/>
          <w:lang w:eastAsia="en-AU"/>
        </w:rPr>
      </w:pPr>
      <w:hyperlink w:anchor="_Toc175238820" w:history="1">
        <w:r w:rsidRPr="005871B3">
          <w:rPr>
            <w:rStyle w:val="Hyperlink"/>
            <w:noProof/>
          </w:rPr>
          <w:t>28.14—Access to sensitive material</w:t>
        </w:r>
        <w:r>
          <w:rPr>
            <w:noProof/>
            <w:webHidden/>
          </w:rPr>
          <w:tab/>
        </w:r>
        <w:r>
          <w:rPr>
            <w:noProof/>
            <w:webHidden/>
          </w:rPr>
          <w:fldChar w:fldCharType="begin"/>
        </w:r>
        <w:r>
          <w:rPr>
            <w:noProof/>
            <w:webHidden/>
          </w:rPr>
          <w:instrText xml:space="preserve"> PAGEREF _Toc175238820 \h </w:instrText>
        </w:r>
        <w:r>
          <w:rPr>
            <w:noProof/>
            <w:webHidden/>
          </w:rPr>
        </w:r>
        <w:r>
          <w:rPr>
            <w:noProof/>
            <w:webHidden/>
          </w:rPr>
          <w:fldChar w:fldCharType="separate"/>
        </w:r>
        <w:r w:rsidR="00FD06AB">
          <w:rPr>
            <w:noProof/>
            <w:webHidden/>
          </w:rPr>
          <w:t>60</w:t>
        </w:r>
        <w:r>
          <w:rPr>
            <w:noProof/>
            <w:webHidden/>
          </w:rPr>
          <w:fldChar w:fldCharType="end"/>
        </w:r>
      </w:hyperlink>
    </w:p>
    <w:p w14:paraId="6B4BD1A7" w14:textId="2100BCB0" w:rsidR="003B042F" w:rsidRDefault="003B042F">
      <w:pPr>
        <w:pStyle w:val="TOC3"/>
        <w:rPr>
          <w:rFonts w:asciiTheme="minorHAnsi" w:eastAsiaTheme="minorEastAsia" w:hAnsiTheme="minorHAnsi"/>
          <w:b w:val="0"/>
          <w:noProof/>
          <w:sz w:val="22"/>
          <w:lang w:eastAsia="en-AU"/>
        </w:rPr>
      </w:pPr>
      <w:hyperlink w:anchor="_Toc175238821" w:history="1">
        <w:r w:rsidRPr="005871B3">
          <w:rPr>
            <w:rStyle w:val="Hyperlink"/>
            <w:noProof/>
          </w:rPr>
          <w:t>Division 2—Filing of documents</w:t>
        </w:r>
        <w:r>
          <w:rPr>
            <w:noProof/>
            <w:webHidden/>
          </w:rPr>
          <w:tab/>
        </w:r>
        <w:r>
          <w:rPr>
            <w:noProof/>
            <w:webHidden/>
          </w:rPr>
          <w:fldChar w:fldCharType="begin"/>
        </w:r>
        <w:r>
          <w:rPr>
            <w:noProof/>
            <w:webHidden/>
          </w:rPr>
          <w:instrText xml:space="preserve"> PAGEREF _Toc175238821 \h </w:instrText>
        </w:r>
        <w:r>
          <w:rPr>
            <w:noProof/>
            <w:webHidden/>
          </w:rPr>
        </w:r>
        <w:r>
          <w:rPr>
            <w:noProof/>
            <w:webHidden/>
          </w:rPr>
          <w:fldChar w:fldCharType="separate"/>
        </w:r>
        <w:r w:rsidR="00FD06AB">
          <w:rPr>
            <w:noProof/>
            <w:webHidden/>
          </w:rPr>
          <w:t>60</w:t>
        </w:r>
        <w:r>
          <w:rPr>
            <w:noProof/>
            <w:webHidden/>
          </w:rPr>
          <w:fldChar w:fldCharType="end"/>
        </w:r>
      </w:hyperlink>
    </w:p>
    <w:p w14:paraId="56B6E69B" w14:textId="022C0162" w:rsidR="003B042F" w:rsidRDefault="003B042F">
      <w:pPr>
        <w:pStyle w:val="TOC4"/>
        <w:rPr>
          <w:rFonts w:asciiTheme="minorHAnsi" w:eastAsiaTheme="minorEastAsia" w:hAnsiTheme="minorHAnsi"/>
          <w:noProof/>
          <w:sz w:val="22"/>
          <w:lang w:eastAsia="en-AU"/>
        </w:rPr>
      </w:pPr>
      <w:hyperlink w:anchor="_Toc175238822" w:history="1">
        <w:r w:rsidRPr="005871B3">
          <w:rPr>
            <w:rStyle w:val="Hyperlink"/>
            <w:noProof/>
          </w:rPr>
          <w:t>29.1—Filing of documents</w:t>
        </w:r>
        <w:r>
          <w:rPr>
            <w:noProof/>
            <w:webHidden/>
          </w:rPr>
          <w:tab/>
        </w:r>
        <w:r>
          <w:rPr>
            <w:noProof/>
            <w:webHidden/>
          </w:rPr>
          <w:fldChar w:fldCharType="begin"/>
        </w:r>
        <w:r>
          <w:rPr>
            <w:noProof/>
            <w:webHidden/>
          </w:rPr>
          <w:instrText xml:space="preserve"> PAGEREF _Toc175238822 \h </w:instrText>
        </w:r>
        <w:r>
          <w:rPr>
            <w:noProof/>
            <w:webHidden/>
          </w:rPr>
        </w:r>
        <w:r>
          <w:rPr>
            <w:noProof/>
            <w:webHidden/>
          </w:rPr>
          <w:fldChar w:fldCharType="separate"/>
        </w:r>
        <w:r w:rsidR="00FD06AB">
          <w:rPr>
            <w:noProof/>
            <w:webHidden/>
          </w:rPr>
          <w:t>60</w:t>
        </w:r>
        <w:r>
          <w:rPr>
            <w:noProof/>
            <w:webHidden/>
          </w:rPr>
          <w:fldChar w:fldCharType="end"/>
        </w:r>
      </w:hyperlink>
    </w:p>
    <w:p w14:paraId="41B9BAB9" w14:textId="76B93D05" w:rsidR="003B042F" w:rsidRDefault="003B042F">
      <w:pPr>
        <w:pStyle w:val="TOC4"/>
        <w:rPr>
          <w:rFonts w:asciiTheme="minorHAnsi" w:eastAsiaTheme="minorEastAsia" w:hAnsiTheme="minorHAnsi"/>
          <w:noProof/>
          <w:sz w:val="22"/>
          <w:lang w:eastAsia="en-AU"/>
        </w:rPr>
      </w:pPr>
      <w:hyperlink w:anchor="_Toc175238823" w:history="1">
        <w:r w:rsidRPr="005871B3">
          <w:rPr>
            <w:rStyle w:val="Hyperlink"/>
            <w:noProof/>
          </w:rPr>
          <w:t>29.2—Filing of documents on restricted access basis</w:t>
        </w:r>
        <w:r>
          <w:rPr>
            <w:noProof/>
            <w:webHidden/>
          </w:rPr>
          <w:tab/>
        </w:r>
        <w:r>
          <w:rPr>
            <w:noProof/>
            <w:webHidden/>
          </w:rPr>
          <w:fldChar w:fldCharType="begin"/>
        </w:r>
        <w:r>
          <w:rPr>
            <w:noProof/>
            <w:webHidden/>
          </w:rPr>
          <w:instrText xml:space="preserve"> PAGEREF _Toc175238823 \h </w:instrText>
        </w:r>
        <w:r>
          <w:rPr>
            <w:noProof/>
            <w:webHidden/>
          </w:rPr>
        </w:r>
        <w:r>
          <w:rPr>
            <w:noProof/>
            <w:webHidden/>
          </w:rPr>
          <w:fldChar w:fldCharType="separate"/>
        </w:r>
        <w:r w:rsidR="00FD06AB">
          <w:rPr>
            <w:noProof/>
            <w:webHidden/>
          </w:rPr>
          <w:t>61</w:t>
        </w:r>
        <w:r>
          <w:rPr>
            <w:noProof/>
            <w:webHidden/>
          </w:rPr>
          <w:fldChar w:fldCharType="end"/>
        </w:r>
      </w:hyperlink>
    </w:p>
    <w:p w14:paraId="0D3D3310" w14:textId="764B3375" w:rsidR="003B042F" w:rsidRDefault="003B042F">
      <w:pPr>
        <w:pStyle w:val="TOC4"/>
        <w:rPr>
          <w:rFonts w:asciiTheme="minorHAnsi" w:eastAsiaTheme="minorEastAsia" w:hAnsiTheme="minorHAnsi"/>
          <w:noProof/>
          <w:sz w:val="22"/>
          <w:lang w:eastAsia="en-AU"/>
        </w:rPr>
      </w:pPr>
      <w:hyperlink w:anchor="_Toc175238824" w:history="1">
        <w:r w:rsidRPr="005871B3">
          <w:rPr>
            <w:rStyle w:val="Hyperlink"/>
            <w:noProof/>
          </w:rPr>
          <w:t>29.3—Rejection of document for filing</w:t>
        </w:r>
        <w:r>
          <w:rPr>
            <w:noProof/>
            <w:webHidden/>
          </w:rPr>
          <w:tab/>
        </w:r>
        <w:r>
          <w:rPr>
            <w:noProof/>
            <w:webHidden/>
          </w:rPr>
          <w:fldChar w:fldCharType="begin"/>
        </w:r>
        <w:r>
          <w:rPr>
            <w:noProof/>
            <w:webHidden/>
          </w:rPr>
          <w:instrText xml:space="preserve"> PAGEREF _Toc175238824 \h </w:instrText>
        </w:r>
        <w:r>
          <w:rPr>
            <w:noProof/>
            <w:webHidden/>
          </w:rPr>
        </w:r>
        <w:r>
          <w:rPr>
            <w:noProof/>
            <w:webHidden/>
          </w:rPr>
          <w:fldChar w:fldCharType="separate"/>
        </w:r>
        <w:r w:rsidR="00FD06AB">
          <w:rPr>
            <w:noProof/>
            <w:webHidden/>
          </w:rPr>
          <w:t>62</w:t>
        </w:r>
        <w:r>
          <w:rPr>
            <w:noProof/>
            <w:webHidden/>
          </w:rPr>
          <w:fldChar w:fldCharType="end"/>
        </w:r>
      </w:hyperlink>
    </w:p>
    <w:p w14:paraId="7FDC96D8" w14:textId="6DC89F9A" w:rsidR="003B042F" w:rsidRDefault="003B042F">
      <w:pPr>
        <w:pStyle w:val="TOC4"/>
        <w:rPr>
          <w:rFonts w:asciiTheme="minorHAnsi" w:eastAsiaTheme="minorEastAsia" w:hAnsiTheme="minorHAnsi"/>
          <w:noProof/>
          <w:sz w:val="22"/>
          <w:lang w:eastAsia="en-AU"/>
        </w:rPr>
      </w:pPr>
      <w:hyperlink w:anchor="_Toc175238825" w:history="1">
        <w:r w:rsidRPr="005871B3">
          <w:rPr>
            <w:rStyle w:val="Hyperlink"/>
            <w:noProof/>
          </w:rPr>
          <w:t>29.4—Documents not filed</w:t>
        </w:r>
        <w:r>
          <w:rPr>
            <w:noProof/>
            <w:webHidden/>
          </w:rPr>
          <w:tab/>
        </w:r>
        <w:r>
          <w:rPr>
            <w:noProof/>
            <w:webHidden/>
          </w:rPr>
          <w:fldChar w:fldCharType="begin"/>
        </w:r>
        <w:r>
          <w:rPr>
            <w:noProof/>
            <w:webHidden/>
          </w:rPr>
          <w:instrText xml:space="preserve"> PAGEREF _Toc175238825 \h </w:instrText>
        </w:r>
        <w:r>
          <w:rPr>
            <w:noProof/>
            <w:webHidden/>
          </w:rPr>
        </w:r>
        <w:r>
          <w:rPr>
            <w:noProof/>
            <w:webHidden/>
          </w:rPr>
          <w:fldChar w:fldCharType="separate"/>
        </w:r>
        <w:r w:rsidR="00FD06AB">
          <w:rPr>
            <w:noProof/>
            <w:webHidden/>
          </w:rPr>
          <w:t>63</w:t>
        </w:r>
        <w:r>
          <w:rPr>
            <w:noProof/>
            <w:webHidden/>
          </w:rPr>
          <w:fldChar w:fldCharType="end"/>
        </w:r>
      </w:hyperlink>
    </w:p>
    <w:p w14:paraId="4C93D8D9" w14:textId="41EB4BB0" w:rsidR="003B042F" w:rsidRDefault="003B042F">
      <w:pPr>
        <w:pStyle w:val="TOC4"/>
        <w:rPr>
          <w:rFonts w:asciiTheme="minorHAnsi" w:eastAsiaTheme="minorEastAsia" w:hAnsiTheme="minorHAnsi"/>
          <w:noProof/>
          <w:sz w:val="22"/>
          <w:lang w:eastAsia="en-AU"/>
        </w:rPr>
      </w:pPr>
      <w:hyperlink w:anchor="_Toc175238826" w:history="1">
        <w:r w:rsidRPr="005871B3">
          <w:rPr>
            <w:rStyle w:val="Hyperlink"/>
            <w:noProof/>
          </w:rPr>
          <w:t>29.5—Directions by Court</w:t>
        </w:r>
        <w:r>
          <w:rPr>
            <w:noProof/>
            <w:webHidden/>
          </w:rPr>
          <w:tab/>
        </w:r>
        <w:r>
          <w:rPr>
            <w:noProof/>
            <w:webHidden/>
          </w:rPr>
          <w:fldChar w:fldCharType="begin"/>
        </w:r>
        <w:r>
          <w:rPr>
            <w:noProof/>
            <w:webHidden/>
          </w:rPr>
          <w:instrText xml:space="preserve"> PAGEREF _Toc175238826 \h </w:instrText>
        </w:r>
        <w:r>
          <w:rPr>
            <w:noProof/>
            <w:webHidden/>
          </w:rPr>
        </w:r>
        <w:r>
          <w:rPr>
            <w:noProof/>
            <w:webHidden/>
          </w:rPr>
          <w:fldChar w:fldCharType="separate"/>
        </w:r>
        <w:r w:rsidR="00FD06AB">
          <w:rPr>
            <w:noProof/>
            <w:webHidden/>
          </w:rPr>
          <w:t>63</w:t>
        </w:r>
        <w:r>
          <w:rPr>
            <w:noProof/>
            <w:webHidden/>
          </w:rPr>
          <w:fldChar w:fldCharType="end"/>
        </w:r>
      </w:hyperlink>
    </w:p>
    <w:p w14:paraId="5EF2EAC0" w14:textId="39254EA5" w:rsidR="003B042F" w:rsidRDefault="003B042F">
      <w:pPr>
        <w:pStyle w:val="TOC3"/>
        <w:rPr>
          <w:rFonts w:asciiTheme="minorHAnsi" w:eastAsiaTheme="minorEastAsia" w:hAnsiTheme="minorHAnsi"/>
          <w:b w:val="0"/>
          <w:noProof/>
          <w:sz w:val="22"/>
          <w:lang w:eastAsia="en-AU"/>
        </w:rPr>
      </w:pPr>
      <w:hyperlink w:anchor="_Toc175238827" w:history="1">
        <w:r w:rsidRPr="005871B3">
          <w:rPr>
            <w:rStyle w:val="Hyperlink"/>
            <w:noProof/>
          </w:rPr>
          <w:t>Division 3—Amendment or strike out of filed documents</w:t>
        </w:r>
        <w:r>
          <w:rPr>
            <w:noProof/>
            <w:webHidden/>
          </w:rPr>
          <w:tab/>
        </w:r>
        <w:r>
          <w:rPr>
            <w:noProof/>
            <w:webHidden/>
          </w:rPr>
          <w:fldChar w:fldCharType="begin"/>
        </w:r>
        <w:r>
          <w:rPr>
            <w:noProof/>
            <w:webHidden/>
          </w:rPr>
          <w:instrText xml:space="preserve"> PAGEREF _Toc175238827 \h </w:instrText>
        </w:r>
        <w:r>
          <w:rPr>
            <w:noProof/>
            <w:webHidden/>
          </w:rPr>
        </w:r>
        <w:r>
          <w:rPr>
            <w:noProof/>
            <w:webHidden/>
          </w:rPr>
          <w:fldChar w:fldCharType="separate"/>
        </w:r>
        <w:r w:rsidR="00FD06AB">
          <w:rPr>
            <w:noProof/>
            <w:webHidden/>
          </w:rPr>
          <w:t>63</w:t>
        </w:r>
        <w:r>
          <w:rPr>
            <w:noProof/>
            <w:webHidden/>
          </w:rPr>
          <w:fldChar w:fldCharType="end"/>
        </w:r>
      </w:hyperlink>
    </w:p>
    <w:p w14:paraId="2824B380" w14:textId="2616343F" w:rsidR="003B042F" w:rsidRDefault="003B042F">
      <w:pPr>
        <w:pStyle w:val="TOC4"/>
        <w:rPr>
          <w:rFonts w:asciiTheme="minorHAnsi" w:eastAsiaTheme="minorEastAsia" w:hAnsiTheme="minorHAnsi"/>
          <w:noProof/>
          <w:sz w:val="22"/>
          <w:lang w:eastAsia="en-AU"/>
        </w:rPr>
      </w:pPr>
      <w:hyperlink w:anchor="_Toc175238828" w:history="1">
        <w:r w:rsidRPr="005871B3">
          <w:rPr>
            <w:rStyle w:val="Hyperlink"/>
            <w:noProof/>
          </w:rPr>
          <w:t>30.1—Entitlement to amend filed documents</w:t>
        </w:r>
        <w:r>
          <w:rPr>
            <w:noProof/>
            <w:webHidden/>
          </w:rPr>
          <w:tab/>
        </w:r>
        <w:r>
          <w:rPr>
            <w:noProof/>
            <w:webHidden/>
          </w:rPr>
          <w:fldChar w:fldCharType="begin"/>
        </w:r>
        <w:r>
          <w:rPr>
            <w:noProof/>
            <w:webHidden/>
          </w:rPr>
          <w:instrText xml:space="preserve"> PAGEREF _Toc175238828 \h </w:instrText>
        </w:r>
        <w:r>
          <w:rPr>
            <w:noProof/>
            <w:webHidden/>
          </w:rPr>
        </w:r>
        <w:r>
          <w:rPr>
            <w:noProof/>
            <w:webHidden/>
          </w:rPr>
          <w:fldChar w:fldCharType="separate"/>
        </w:r>
        <w:r w:rsidR="00FD06AB">
          <w:rPr>
            <w:noProof/>
            <w:webHidden/>
          </w:rPr>
          <w:t>63</w:t>
        </w:r>
        <w:r>
          <w:rPr>
            <w:noProof/>
            <w:webHidden/>
          </w:rPr>
          <w:fldChar w:fldCharType="end"/>
        </w:r>
      </w:hyperlink>
    </w:p>
    <w:p w14:paraId="2306F09F" w14:textId="53B824CD" w:rsidR="003B042F" w:rsidRDefault="003B042F">
      <w:pPr>
        <w:pStyle w:val="TOC4"/>
        <w:rPr>
          <w:rFonts w:asciiTheme="minorHAnsi" w:eastAsiaTheme="minorEastAsia" w:hAnsiTheme="minorHAnsi"/>
          <w:noProof/>
          <w:sz w:val="22"/>
          <w:lang w:eastAsia="en-AU"/>
        </w:rPr>
      </w:pPr>
      <w:hyperlink w:anchor="_Toc175238829" w:history="1">
        <w:r w:rsidRPr="005871B3">
          <w:rPr>
            <w:rStyle w:val="Hyperlink"/>
            <w:noProof/>
          </w:rPr>
          <w:t>30.2—Manner of amendment</w:t>
        </w:r>
        <w:r>
          <w:rPr>
            <w:noProof/>
            <w:webHidden/>
          </w:rPr>
          <w:tab/>
        </w:r>
        <w:r>
          <w:rPr>
            <w:noProof/>
            <w:webHidden/>
          </w:rPr>
          <w:fldChar w:fldCharType="begin"/>
        </w:r>
        <w:r>
          <w:rPr>
            <w:noProof/>
            <w:webHidden/>
          </w:rPr>
          <w:instrText xml:space="preserve"> PAGEREF _Toc175238829 \h </w:instrText>
        </w:r>
        <w:r>
          <w:rPr>
            <w:noProof/>
            <w:webHidden/>
          </w:rPr>
        </w:r>
        <w:r>
          <w:rPr>
            <w:noProof/>
            <w:webHidden/>
          </w:rPr>
          <w:fldChar w:fldCharType="separate"/>
        </w:r>
        <w:r w:rsidR="00FD06AB">
          <w:rPr>
            <w:noProof/>
            <w:webHidden/>
          </w:rPr>
          <w:t>63</w:t>
        </w:r>
        <w:r>
          <w:rPr>
            <w:noProof/>
            <w:webHidden/>
          </w:rPr>
          <w:fldChar w:fldCharType="end"/>
        </w:r>
      </w:hyperlink>
    </w:p>
    <w:p w14:paraId="5C49C34D" w14:textId="7C7354B6" w:rsidR="003B042F" w:rsidRDefault="003B042F">
      <w:pPr>
        <w:pStyle w:val="TOC4"/>
        <w:rPr>
          <w:rFonts w:asciiTheme="minorHAnsi" w:eastAsiaTheme="minorEastAsia" w:hAnsiTheme="minorHAnsi"/>
          <w:noProof/>
          <w:sz w:val="22"/>
          <w:lang w:eastAsia="en-AU"/>
        </w:rPr>
      </w:pPr>
      <w:hyperlink w:anchor="_Toc175238830" w:history="1">
        <w:r w:rsidRPr="005871B3">
          <w:rPr>
            <w:rStyle w:val="Hyperlink"/>
            <w:noProof/>
          </w:rPr>
          <w:t>30.3—Strike out of filed documents</w:t>
        </w:r>
        <w:r>
          <w:rPr>
            <w:noProof/>
            <w:webHidden/>
          </w:rPr>
          <w:tab/>
        </w:r>
        <w:r>
          <w:rPr>
            <w:noProof/>
            <w:webHidden/>
          </w:rPr>
          <w:fldChar w:fldCharType="begin"/>
        </w:r>
        <w:r>
          <w:rPr>
            <w:noProof/>
            <w:webHidden/>
          </w:rPr>
          <w:instrText xml:space="preserve"> PAGEREF _Toc175238830 \h </w:instrText>
        </w:r>
        <w:r>
          <w:rPr>
            <w:noProof/>
            <w:webHidden/>
          </w:rPr>
        </w:r>
        <w:r>
          <w:rPr>
            <w:noProof/>
            <w:webHidden/>
          </w:rPr>
          <w:fldChar w:fldCharType="separate"/>
        </w:r>
        <w:r w:rsidR="00FD06AB">
          <w:rPr>
            <w:noProof/>
            <w:webHidden/>
          </w:rPr>
          <w:t>64</w:t>
        </w:r>
        <w:r>
          <w:rPr>
            <w:noProof/>
            <w:webHidden/>
          </w:rPr>
          <w:fldChar w:fldCharType="end"/>
        </w:r>
      </w:hyperlink>
    </w:p>
    <w:p w14:paraId="14D63C03" w14:textId="7C9267CE" w:rsidR="003B042F" w:rsidRDefault="003B042F">
      <w:pPr>
        <w:pStyle w:val="TOC3"/>
        <w:rPr>
          <w:rFonts w:asciiTheme="minorHAnsi" w:eastAsiaTheme="minorEastAsia" w:hAnsiTheme="minorHAnsi"/>
          <w:b w:val="0"/>
          <w:noProof/>
          <w:sz w:val="22"/>
          <w:lang w:eastAsia="en-AU"/>
        </w:rPr>
      </w:pPr>
      <w:hyperlink w:anchor="_Toc175238831" w:history="1">
        <w:r w:rsidRPr="005871B3">
          <w:rPr>
            <w:rStyle w:val="Hyperlink"/>
            <w:noProof/>
          </w:rPr>
          <w:t>Division 4—Issue of court documents</w:t>
        </w:r>
        <w:r>
          <w:rPr>
            <w:noProof/>
            <w:webHidden/>
          </w:rPr>
          <w:tab/>
        </w:r>
        <w:r>
          <w:rPr>
            <w:noProof/>
            <w:webHidden/>
          </w:rPr>
          <w:fldChar w:fldCharType="begin"/>
        </w:r>
        <w:r>
          <w:rPr>
            <w:noProof/>
            <w:webHidden/>
          </w:rPr>
          <w:instrText xml:space="preserve"> PAGEREF _Toc175238831 \h </w:instrText>
        </w:r>
        <w:r>
          <w:rPr>
            <w:noProof/>
            <w:webHidden/>
          </w:rPr>
        </w:r>
        <w:r>
          <w:rPr>
            <w:noProof/>
            <w:webHidden/>
          </w:rPr>
          <w:fldChar w:fldCharType="separate"/>
        </w:r>
        <w:r w:rsidR="00FD06AB">
          <w:rPr>
            <w:noProof/>
            <w:webHidden/>
          </w:rPr>
          <w:t>64</w:t>
        </w:r>
        <w:r>
          <w:rPr>
            <w:noProof/>
            <w:webHidden/>
          </w:rPr>
          <w:fldChar w:fldCharType="end"/>
        </w:r>
      </w:hyperlink>
    </w:p>
    <w:p w14:paraId="79C90D29" w14:textId="3BCE2B1A" w:rsidR="003B042F" w:rsidRDefault="003B042F">
      <w:pPr>
        <w:pStyle w:val="TOC4"/>
        <w:rPr>
          <w:rFonts w:asciiTheme="minorHAnsi" w:eastAsiaTheme="minorEastAsia" w:hAnsiTheme="minorHAnsi"/>
          <w:noProof/>
          <w:sz w:val="22"/>
          <w:lang w:eastAsia="en-AU"/>
        </w:rPr>
      </w:pPr>
      <w:hyperlink w:anchor="_Toc175238832" w:history="1">
        <w:r w:rsidRPr="005871B3">
          <w:rPr>
            <w:rStyle w:val="Hyperlink"/>
            <w:noProof/>
          </w:rPr>
          <w:t>31.1—Issue of court documents</w:t>
        </w:r>
        <w:r>
          <w:rPr>
            <w:noProof/>
            <w:webHidden/>
          </w:rPr>
          <w:tab/>
        </w:r>
        <w:r>
          <w:rPr>
            <w:noProof/>
            <w:webHidden/>
          </w:rPr>
          <w:fldChar w:fldCharType="begin"/>
        </w:r>
        <w:r>
          <w:rPr>
            <w:noProof/>
            <w:webHidden/>
          </w:rPr>
          <w:instrText xml:space="preserve"> PAGEREF _Toc175238832 \h </w:instrText>
        </w:r>
        <w:r>
          <w:rPr>
            <w:noProof/>
            <w:webHidden/>
          </w:rPr>
        </w:r>
        <w:r>
          <w:rPr>
            <w:noProof/>
            <w:webHidden/>
          </w:rPr>
          <w:fldChar w:fldCharType="separate"/>
        </w:r>
        <w:r w:rsidR="00FD06AB">
          <w:rPr>
            <w:noProof/>
            <w:webHidden/>
          </w:rPr>
          <w:t>64</w:t>
        </w:r>
        <w:r>
          <w:rPr>
            <w:noProof/>
            <w:webHidden/>
          </w:rPr>
          <w:fldChar w:fldCharType="end"/>
        </w:r>
      </w:hyperlink>
    </w:p>
    <w:p w14:paraId="310AE870" w14:textId="2DD7F4AA"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833" w:history="1">
        <w:r w:rsidRPr="005871B3">
          <w:rPr>
            <w:rStyle w:val="Hyperlink"/>
            <w:noProof/>
          </w:rPr>
          <w:t>Part 6—Service of documents</w:t>
        </w:r>
        <w:r>
          <w:rPr>
            <w:noProof/>
            <w:webHidden/>
          </w:rPr>
          <w:tab/>
        </w:r>
        <w:r>
          <w:rPr>
            <w:noProof/>
            <w:webHidden/>
          </w:rPr>
          <w:fldChar w:fldCharType="begin"/>
        </w:r>
        <w:r>
          <w:rPr>
            <w:noProof/>
            <w:webHidden/>
          </w:rPr>
          <w:instrText xml:space="preserve"> PAGEREF _Toc175238833 \h </w:instrText>
        </w:r>
        <w:r>
          <w:rPr>
            <w:noProof/>
            <w:webHidden/>
          </w:rPr>
        </w:r>
        <w:r>
          <w:rPr>
            <w:noProof/>
            <w:webHidden/>
          </w:rPr>
          <w:fldChar w:fldCharType="separate"/>
        </w:r>
        <w:r w:rsidR="00FD06AB">
          <w:rPr>
            <w:noProof/>
            <w:webHidden/>
          </w:rPr>
          <w:t>65</w:t>
        </w:r>
        <w:r>
          <w:rPr>
            <w:noProof/>
            <w:webHidden/>
          </w:rPr>
          <w:fldChar w:fldCharType="end"/>
        </w:r>
      </w:hyperlink>
    </w:p>
    <w:p w14:paraId="0A83E4FC" w14:textId="20C14984" w:rsidR="003B042F" w:rsidRDefault="003B042F">
      <w:pPr>
        <w:pStyle w:val="TOC3"/>
        <w:rPr>
          <w:rFonts w:asciiTheme="minorHAnsi" w:eastAsiaTheme="minorEastAsia" w:hAnsiTheme="minorHAnsi"/>
          <w:b w:val="0"/>
          <w:noProof/>
          <w:sz w:val="22"/>
          <w:lang w:eastAsia="en-AU"/>
        </w:rPr>
      </w:pPr>
      <w:hyperlink w:anchor="_Toc175238834" w:history="1">
        <w:r w:rsidRPr="005871B3">
          <w:rPr>
            <w:rStyle w:val="Hyperlink"/>
            <w:noProof/>
          </w:rPr>
          <w:t>Division 1—Obligation to serve</w:t>
        </w:r>
        <w:r>
          <w:rPr>
            <w:noProof/>
            <w:webHidden/>
          </w:rPr>
          <w:tab/>
        </w:r>
        <w:r>
          <w:rPr>
            <w:noProof/>
            <w:webHidden/>
          </w:rPr>
          <w:fldChar w:fldCharType="begin"/>
        </w:r>
        <w:r>
          <w:rPr>
            <w:noProof/>
            <w:webHidden/>
          </w:rPr>
          <w:instrText xml:space="preserve"> PAGEREF _Toc175238834 \h </w:instrText>
        </w:r>
        <w:r>
          <w:rPr>
            <w:noProof/>
            <w:webHidden/>
          </w:rPr>
        </w:r>
        <w:r>
          <w:rPr>
            <w:noProof/>
            <w:webHidden/>
          </w:rPr>
          <w:fldChar w:fldCharType="separate"/>
        </w:r>
        <w:r w:rsidR="00FD06AB">
          <w:rPr>
            <w:noProof/>
            <w:webHidden/>
          </w:rPr>
          <w:t>65</w:t>
        </w:r>
        <w:r>
          <w:rPr>
            <w:noProof/>
            <w:webHidden/>
          </w:rPr>
          <w:fldChar w:fldCharType="end"/>
        </w:r>
      </w:hyperlink>
    </w:p>
    <w:p w14:paraId="00F4584A" w14:textId="2DA4A1AA" w:rsidR="003B042F" w:rsidRDefault="003B042F">
      <w:pPr>
        <w:pStyle w:val="TOC4"/>
        <w:rPr>
          <w:rFonts w:asciiTheme="minorHAnsi" w:eastAsiaTheme="minorEastAsia" w:hAnsiTheme="minorHAnsi"/>
          <w:noProof/>
          <w:sz w:val="22"/>
          <w:lang w:eastAsia="en-AU"/>
        </w:rPr>
      </w:pPr>
      <w:hyperlink w:anchor="_Toc175238835" w:history="1">
        <w:r w:rsidRPr="005871B3">
          <w:rPr>
            <w:rStyle w:val="Hyperlink"/>
            <w:noProof/>
          </w:rPr>
          <w:t>32.1—Service of filed documents on other parties</w:t>
        </w:r>
        <w:r>
          <w:rPr>
            <w:noProof/>
            <w:webHidden/>
          </w:rPr>
          <w:tab/>
        </w:r>
        <w:r>
          <w:rPr>
            <w:noProof/>
            <w:webHidden/>
          </w:rPr>
          <w:fldChar w:fldCharType="begin"/>
        </w:r>
        <w:r>
          <w:rPr>
            <w:noProof/>
            <w:webHidden/>
          </w:rPr>
          <w:instrText xml:space="preserve"> PAGEREF _Toc175238835 \h </w:instrText>
        </w:r>
        <w:r>
          <w:rPr>
            <w:noProof/>
            <w:webHidden/>
          </w:rPr>
        </w:r>
        <w:r>
          <w:rPr>
            <w:noProof/>
            <w:webHidden/>
          </w:rPr>
          <w:fldChar w:fldCharType="separate"/>
        </w:r>
        <w:r w:rsidR="00FD06AB">
          <w:rPr>
            <w:noProof/>
            <w:webHidden/>
          </w:rPr>
          <w:t>65</w:t>
        </w:r>
        <w:r>
          <w:rPr>
            <w:noProof/>
            <w:webHidden/>
          </w:rPr>
          <w:fldChar w:fldCharType="end"/>
        </w:r>
      </w:hyperlink>
    </w:p>
    <w:p w14:paraId="38EBBFF6" w14:textId="256DB2B1" w:rsidR="003B042F" w:rsidRDefault="003B042F">
      <w:pPr>
        <w:pStyle w:val="TOC4"/>
        <w:rPr>
          <w:rFonts w:asciiTheme="minorHAnsi" w:eastAsiaTheme="minorEastAsia" w:hAnsiTheme="minorHAnsi"/>
          <w:noProof/>
          <w:sz w:val="22"/>
          <w:lang w:eastAsia="en-AU"/>
        </w:rPr>
      </w:pPr>
      <w:hyperlink w:anchor="_Toc175238836" w:history="1">
        <w:r w:rsidRPr="005871B3">
          <w:rPr>
            <w:rStyle w:val="Hyperlink"/>
            <w:noProof/>
          </w:rPr>
          <w:t>32.2—Ineffective service</w:t>
        </w:r>
        <w:r>
          <w:rPr>
            <w:noProof/>
            <w:webHidden/>
          </w:rPr>
          <w:tab/>
        </w:r>
        <w:r>
          <w:rPr>
            <w:noProof/>
            <w:webHidden/>
          </w:rPr>
          <w:fldChar w:fldCharType="begin"/>
        </w:r>
        <w:r>
          <w:rPr>
            <w:noProof/>
            <w:webHidden/>
          </w:rPr>
          <w:instrText xml:space="preserve"> PAGEREF _Toc175238836 \h </w:instrText>
        </w:r>
        <w:r>
          <w:rPr>
            <w:noProof/>
            <w:webHidden/>
          </w:rPr>
        </w:r>
        <w:r>
          <w:rPr>
            <w:noProof/>
            <w:webHidden/>
          </w:rPr>
          <w:fldChar w:fldCharType="separate"/>
        </w:r>
        <w:r w:rsidR="00FD06AB">
          <w:rPr>
            <w:noProof/>
            <w:webHidden/>
          </w:rPr>
          <w:t>65</w:t>
        </w:r>
        <w:r>
          <w:rPr>
            <w:noProof/>
            <w:webHidden/>
          </w:rPr>
          <w:fldChar w:fldCharType="end"/>
        </w:r>
      </w:hyperlink>
    </w:p>
    <w:p w14:paraId="4730193C" w14:textId="7AD7FF07" w:rsidR="003B042F" w:rsidRDefault="003B042F">
      <w:pPr>
        <w:pStyle w:val="TOC3"/>
        <w:rPr>
          <w:rFonts w:asciiTheme="minorHAnsi" w:eastAsiaTheme="minorEastAsia" w:hAnsiTheme="minorHAnsi"/>
          <w:b w:val="0"/>
          <w:noProof/>
          <w:sz w:val="22"/>
          <w:lang w:eastAsia="en-AU"/>
        </w:rPr>
      </w:pPr>
      <w:hyperlink w:anchor="_Toc175238837" w:history="1">
        <w:r w:rsidRPr="005871B3">
          <w:rPr>
            <w:rStyle w:val="Hyperlink"/>
            <w:noProof/>
          </w:rPr>
          <w:t>Division 2—Types of service</w:t>
        </w:r>
        <w:r>
          <w:rPr>
            <w:noProof/>
            <w:webHidden/>
          </w:rPr>
          <w:tab/>
        </w:r>
        <w:r>
          <w:rPr>
            <w:noProof/>
            <w:webHidden/>
          </w:rPr>
          <w:fldChar w:fldCharType="begin"/>
        </w:r>
        <w:r>
          <w:rPr>
            <w:noProof/>
            <w:webHidden/>
          </w:rPr>
          <w:instrText xml:space="preserve"> PAGEREF _Toc175238837 \h </w:instrText>
        </w:r>
        <w:r>
          <w:rPr>
            <w:noProof/>
            <w:webHidden/>
          </w:rPr>
        </w:r>
        <w:r>
          <w:rPr>
            <w:noProof/>
            <w:webHidden/>
          </w:rPr>
          <w:fldChar w:fldCharType="separate"/>
        </w:r>
        <w:r w:rsidR="00FD06AB">
          <w:rPr>
            <w:noProof/>
            <w:webHidden/>
          </w:rPr>
          <w:t>65</w:t>
        </w:r>
        <w:r>
          <w:rPr>
            <w:noProof/>
            <w:webHidden/>
          </w:rPr>
          <w:fldChar w:fldCharType="end"/>
        </w:r>
      </w:hyperlink>
    </w:p>
    <w:p w14:paraId="1B44E213" w14:textId="2FAF921A" w:rsidR="003B042F" w:rsidRDefault="003B042F">
      <w:pPr>
        <w:pStyle w:val="TOC4"/>
        <w:rPr>
          <w:rFonts w:asciiTheme="minorHAnsi" w:eastAsiaTheme="minorEastAsia" w:hAnsiTheme="minorHAnsi"/>
          <w:noProof/>
          <w:sz w:val="22"/>
          <w:lang w:eastAsia="en-AU"/>
        </w:rPr>
      </w:pPr>
      <w:hyperlink w:anchor="_Toc175238838" w:history="1">
        <w:r w:rsidRPr="005871B3">
          <w:rPr>
            <w:rStyle w:val="Hyperlink"/>
            <w:noProof/>
          </w:rPr>
          <w:t>33.1—Personal service</w:t>
        </w:r>
        <w:r>
          <w:rPr>
            <w:noProof/>
            <w:webHidden/>
          </w:rPr>
          <w:tab/>
        </w:r>
        <w:r>
          <w:rPr>
            <w:noProof/>
            <w:webHidden/>
          </w:rPr>
          <w:fldChar w:fldCharType="begin"/>
        </w:r>
        <w:r>
          <w:rPr>
            <w:noProof/>
            <w:webHidden/>
          </w:rPr>
          <w:instrText xml:space="preserve"> PAGEREF _Toc175238838 \h </w:instrText>
        </w:r>
        <w:r>
          <w:rPr>
            <w:noProof/>
            <w:webHidden/>
          </w:rPr>
        </w:r>
        <w:r>
          <w:rPr>
            <w:noProof/>
            <w:webHidden/>
          </w:rPr>
          <w:fldChar w:fldCharType="separate"/>
        </w:r>
        <w:r w:rsidR="00FD06AB">
          <w:rPr>
            <w:noProof/>
            <w:webHidden/>
          </w:rPr>
          <w:t>65</w:t>
        </w:r>
        <w:r>
          <w:rPr>
            <w:noProof/>
            <w:webHidden/>
          </w:rPr>
          <w:fldChar w:fldCharType="end"/>
        </w:r>
      </w:hyperlink>
    </w:p>
    <w:p w14:paraId="3CA1AD1F" w14:textId="68DA7652" w:rsidR="003B042F" w:rsidRDefault="003B042F">
      <w:pPr>
        <w:pStyle w:val="TOC4"/>
        <w:rPr>
          <w:rFonts w:asciiTheme="minorHAnsi" w:eastAsiaTheme="minorEastAsia" w:hAnsiTheme="minorHAnsi"/>
          <w:noProof/>
          <w:sz w:val="22"/>
          <w:lang w:eastAsia="en-AU"/>
        </w:rPr>
      </w:pPr>
      <w:hyperlink w:anchor="_Toc175238839" w:history="1">
        <w:r w:rsidRPr="005871B3">
          <w:rPr>
            <w:rStyle w:val="Hyperlink"/>
            <w:noProof/>
          </w:rPr>
          <w:t>33.2—Delivery service</w:t>
        </w:r>
        <w:r>
          <w:rPr>
            <w:noProof/>
            <w:webHidden/>
          </w:rPr>
          <w:tab/>
        </w:r>
        <w:r>
          <w:rPr>
            <w:noProof/>
            <w:webHidden/>
          </w:rPr>
          <w:fldChar w:fldCharType="begin"/>
        </w:r>
        <w:r>
          <w:rPr>
            <w:noProof/>
            <w:webHidden/>
          </w:rPr>
          <w:instrText xml:space="preserve"> PAGEREF _Toc175238839 \h </w:instrText>
        </w:r>
        <w:r>
          <w:rPr>
            <w:noProof/>
            <w:webHidden/>
          </w:rPr>
        </w:r>
        <w:r>
          <w:rPr>
            <w:noProof/>
            <w:webHidden/>
          </w:rPr>
          <w:fldChar w:fldCharType="separate"/>
        </w:r>
        <w:r w:rsidR="00FD06AB">
          <w:rPr>
            <w:noProof/>
            <w:webHidden/>
          </w:rPr>
          <w:t>66</w:t>
        </w:r>
        <w:r>
          <w:rPr>
            <w:noProof/>
            <w:webHidden/>
          </w:rPr>
          <w:fldChar w:fldCharType="end"/>
        </w:r>
      </w:hyperlink>
    </w:p>
    <w:p w14:paraId="217B5D46" w14:textId="58536A2C" w:rsidR="003B042F" w:rsidRDefault="003B042F">
      <w:pPr>
        <w:pStyle w:val="TOC4"/>
        <w:rPr>
          <w:rFonts w:asciiTheme="minorHAnsi" w:eastAsiaTheme="minorEastAsia" w:hAnsiTheme="minorHAnsi"/>
          <w:noProof/>
          <w:sz w:val="22"/>
          <w:lang w:eastAsia="en-AU"/>
        </w:rPr>
      </w:pPr>
      <w:hyperlink w:anchor="_Toc175238840" w:history="1">
        <w:r w:rsidRPr="005871B3">
          <w:rPr>
            <w:rStyle w:val="Hyperlink"/>
            <w:noProof/>
          </w:rPr>
          <w:t>33.3—Email service</w:t>
        </w:r>
        <w:r>
          <w:rPr>
            <w:noProof/>
            <w:webHidden/>
          </w:rPr>
          <w:tab/>
        </w:r>
        <w:r>
          <w:rPr>
            <w:noProof/>
            <w:webHidden/>
          </w:rPr>
          <w:fldChar w:fldCharType="begin"/>
        </w:r>
        <w:r>
          <w:rPr>
            <w:noProof/>
            <w:webHidden/>
          </w:rPr>
          <w:instrText xml:space="preserve"> PAGEREF _Toc175238840 \h </w:instrText>
        </w:r>
        <w:r>
          <w:rPr>
            <w:noProof/>
            <w:webHidden/>
          </w:rPr>
        </w:r>
        <w:r>
          <w:rPr>
            <w:noProof/>
            <w:webHidden/>
          </w:rPr>
          <w:fldChar w:fldCharType="separate"/>
        </w:r>
        <w:r w:rsidR="00FD06AB">
          <w:rPr>
            <w:noProof/>
            <w:webHidden/>
          </w:rPr>
          <w:t>66</w:t>
        </w:r>
        <w:r>
          <w:rPr>
            <w:noProof/>
            <w:webHidden/>
          </w:rPr>
          <w:fldChar w:fldCharType="end"/>
        </w:r>
      </w:hyperlink>
    </w:p>
    <w:p w14:paraId="14B60632" w14:textId="5A49A5BC" w:rsidR="003B042F" w:rsidRDefault="003B042F">
      <w:pPr>
        <w:pStyle w:val="TOC4"/>
        <w:rPr>
          <w:rFonts w:asciiTheme="minorHAnsi" w:eastAsiaTheme="minorEastAsia" w:hAnsiTheme="minorHAnsi"/>
          <w:noProof/>
          <w:sz w:val="22"/>
          <w:lang w:eastAsia="en-AU"/>
        </w:rPr>
      </w:pPr>
      <w:hyperlink w:anchor="_Toc175238841" w:history="1">
        <w:r w:rsidRPr="005871B3">
          <w:rPr>
            <w:rStyle w:val="Hyperlink"/>
            <w:noProof/>
          </w:rPr>
          <w:t>33.4—Post service</w:t>
        </w:r>
        <w:r>
          <w:rPr>
            <w:noProof/>
            <w:webHidden/>
          </w:rPr>
          <w:tab/>
        </w:r>
        <w:r>
          <w:rPr>
            <w:noProof/>
            <w:webHidden/>
          </w:rPr>
          <w:fldChar w:fldCharType="begin"/>
        </w:r>
        <w:r>
          <w:rPr>
            <w:noProof/>
            <w:webHidden/>
          </w:rPr>
          <w:instrText xml:space="preserve"> PAGEREF _Toc175238841 \h </w:instrText>
        </w:r>
        <w:r>
          <w:rPr>
            <w:noProof/>
            <w:webHidden/>
          </w:rPr>
        </w:r>
        <w:r>
          <w:rPr>
            <w:noProof/>
            <w:webHidden/>
          </w:rPr>
          <w:fldChar w:fldCharType="separate"/>
        </w:r>
        <w:r w:rsidR="00FD06AB">
          <w:rPr>
            <w:noProof/>
            <w:webHidden/>
          </w:rPr>
          <w:t>66</w:t>
        </w:r>
        <w:r>
          <w:rPr>
            <w:noProof/>
            <w:webHidden/>
          </w:rPr>
          <w:fldChar w:fldCharType="end"/>
        </w:r>
      </w:hyperlink>
    </w:p>
    <w:p w14:paraId="261875BF" w14:textId="6FAE724B" w:rsidR="003B042F" w:rsidRDefault="003B042F">
      <w:pPr>
        <w:pStyle w:val="TOC4"/>
        <w:rPr>
          <w:rFonts w:asciiTheme="minorHAnsi" w:eastAsiaTheme="minorEastAsia" w:hAnsiTheme="minorHAnsi"/>
          <w:noProof/>
          <w:sz w:val="22"/>
          <w:lang w:eastAsia="en-AU"/>
        </w:rPr>
      </w:pPr>
      <w:hyperlink w:anchor="_Toc175238842" w:history="1">
        <w:r w:rsidRPr="005871B3">
          <w:rPr>
            <w:rStyle w:val="Hyperlink"/>
            <w:noProof/>
          </w:rPr>
          <w:t>33.5—Electronic service</w:t>
        </w:r>
        <w:r>
          <w:rPr>
            <w:noProof/>
            <w:webHidden/>
          </w:rPr>
          <w:tab/>
        </w:r>
        <w:r>
          <w:rPr>
            <w:noProof/>
            <w:webHidden/>
          </w:rPr>
          <w:fldChar w:fldCharType="begin"/>
        </w:r>
        <w:r>
          <w:rPr>
            <w:noProof/>
            <w:webHidden/>
          </w:rPr>
          <w:instrText xml:space="preserve"> PAGEREF _Toc175238842 \h </w:instrText>
        </w:r>
        <w:r>
          <w:rPr>
            <w:noProof/>
            <w:webHidden/>
          </w:rPr>
        </w:r>
        <w:r>
          <w:rPr>
            <w:noProof/>
            <w:webHidden/>
          </w:rPr>
          <w:fldChar w:fldCharType="separate"/>
        </w:r>
        <w:r w:rsidR="00FD06AB">
          <w:rPr>
            <w:noProof/>
            <w:webHidden/>
          </w:rPr>
          <w:t>67</w:t>
        </w:r>
        <w:r>
          <w:rPr>
            <w:noProof/>
            <w:webHidden/>
          </w:rPr>
          <w:fldChar w:fldCharType="end"/>
        </w:r>
      </w:hyperlink>
    </w:p>
    <w:p w14:paraId="1369E21A" w14:textId="14F62EB3" w:rsidR="003B042F" w:rsidRDefault="003B042F">
      <w:pPr>
        <w:pStyle w:val="TOC4"/>
        <w:rPr>
          <w:rFonts w:asciiTheme="minorHAnsi" w:eastAsiaTheme="minorEastAsia" w:hAnsiTheme="minorHAnsi"/>
          <w:noProof/>
          <w:sz w:val="22"/>
          <w:lang w:eastAsia="en-AU"/>
        </w:rPr>
      </w:pPr>
      <w:hyperlink w:anchor="_Toc175238843" w:history="1">
        <w:r w:rsidRPr="005871B3">
          <w:rPr>
            <w:rStyle w:val="Hyperlink"/>
            <w:noProof/>
          </w:rPr>
          <w:t>33.6—Portal service</w:t>
        </w:r>
        <w:r>
          <w:rPr>
            <w:noProof/>
            <w:webHidden/>
          </w:rPr>
          <w:tab/>
        </w:r>
        <w:r>
          <w:rPr>
            <w:noProof/>
            <w:webHidden/>
          </w:rPr>
          <w:fldChar w:fldCharType="begin"/>
        </w:r>
        <w:r>
          <w:rPr>
            <w:noProof/>
            <w:webHidden/>
          </w:rPr>
          <w:instrText xml:space="preserve"> PAGEREF _Toc175238843 \h </w:instrText>
        </w:r>
        <w:r>
          <w:rPr>
            <w:noProof/>
            <w:webHidden/>
          </w:rPr>
        </w:r>
        <w:r>
          <w:rPr>
            <w:noProof/>
            <w:webHidden/>
          </w:rPr>
          <w:fldChar w:fldCharType="separate"/>
        </w:r>
        <w:r w:rsidR="00FD06AB">
          <w:rPr>
            <w:noProof/>
            <w:webHidden/>
          </w:rPr>
          <w:t>68</w:t>
        </w:r>
        <w:r>
          <w:rPr>
            <w:noProof/>
            <w:webHidden/>
          </w:rPr>
          <w:fldChar w:fldCharType="end"/>
        </w:r>
      </w:hyperlink>
    </w:p>
    <w:p w14:paraId="6013BE62" w14:textId="5DA89225" w:rsidR="003B042F" w:rsidRDefault="003B042F">
      <w:pPr>
        <w:pStyle w:val="TOC4"/>
        <w:rPr>
          <w:rFonts w:asciiTheme="minorHAnsi" w:eastAsiaTheme="minorEastAsia" w:hAnsiTheme="minorHAnsi"/>
          <w:noProof/>
          <w:sz w:val="22"/>
          <w:lang w:eastAsia="en-AU"/>
        </w:rPr>
      </w:pPr>
      <w:hyperlink w:anchor="_Toc175238844" w:history="1">
        <w:r w:rsidRPr="005871B3">
          <w:rPr>
            <w:rStyle w:val="Hyperlink"/>
            <w:noProof/>
          </w:rPr>
          <w:t>33.7—Original service</w:t>
        </w:r>
        <w:r>
          <w:rPr>
            <w:noProof/>
            <w:webHidden/>
          </w:rPr>
          <w:tab/>
        </w:r>
        <w:r>
          <w:rPr>
            <w:noProof/>
            <w:webHidden/>
          </w:rPr>
          <w:fldChar w:fldCharType="begin"/>
        </w:r>
        <w:r>
          <w:rPr>
            <w:noProof/>
            <w:webHidden/>
          </w:rPr>
          <w:instrText xml:space="preserve"> PAGEREF _Toc175238844 \h </w:instrText>
        </w:r>
        <w:r>
          <w:rPr>
            <w:noProof/>
            <w:webHidden/>
          </w:rPr>
        </w:r>
        <w:r>
          <w:rPr>
            <w:noProof/>
            <w:webHidden/>
          </w:rPr>
          <w:fldChar w:fldCharType="separate"/>
        </w:r>
        <w:r w:rsidR="00FD06AB">
          <w:rPr>
            <w:noProof/>
            <w:webHidden/>
          </w:rPr>
          <w:t>69</w:t>
        </w:r>
        <w:r>
          <w:rPr>
            <w:noProof/>
            <w:webHidden/>
          </w:rPr>
          <w:fldChar w:fldCharType="end"/>
        </w:r>
      </w:hyperlink>
    </w:p>
    <w:p w14:paraId="707BA59E" w14:textId="1ABD22BB" w:rsidR="003B042F" w:rsidRDefault="003B042F">
      <w:pPr>
        <w:pStyle w:val="TOC4"/>
        <w:rPr>
          <w:rFonts w:asciiTheme="minorHAnsi" w:eastAsiaTheme="minorEastAsia" w:hAnsiTheme="minorHAnsi"/>
          <w:noProof/>
          <w:sz w:val="22"/>
          <w:lang w:eastAsia="en-AU"/>
        </w:rPr>
      </w:pPr>
      <w:hyperlink w:anchor="_Toc175238845" w:history="1">
        <w:r w:rsidRPr="005871B3">
          <w:rPr>
            <w:rStyle w:val="Hyperlink"/>
            <w:noProof/>
          </w:rPr>
          <w:t>33.8—Time of service</w:t>
        </w:r>
        <w:r>
          <w:rPr>
            <w:noProof/>
            <w:webHidden/>
          </w:rPr>
          <w:tab/>
        </w:r>
        <w:r>
          <w:rPr>
            <w:noProof/>
            <w:webHidden/>
          </w:rPr>
          <w:fldChar w:fldCharType="begin"/>
        </w:r>
        <w:r>
          <w:rPr>
            <w:noProof/>
            <w:webHidden/>
          </w:rPr>
          <w:instrText xml:space="preserve"> PAGEREF _Toc175238845 \h </w:instrText>
        </w:r>
        <w:r>
          <w:rPr>
            <w:noProof/>
            <w:webHidden/>
          </w:rPr>
        </w:r>
        <w:r>
          <w:rPr>
            <w:noProof/>
            <w:webHidden/>
          </w:rPr>
          <w:fldChar w:fldCharType="separate"/>
        </w:r>
        <w:r w:rsidR="00FD06AB">
          <w:rPr>
            <w:noProof/>
            <w:webHidden/>
          </w:rPr>
          <w:t>69</w:t>
        </w:r>
        <w:r>
          <w:rPr>
            <w:noProof/>
            <w:webHidden/>
          </w:rPr>
          <w:fldChar w:fldCharType="end"/>
        </w:r>
      </w:hyperlink>
    </w:p>
    <w:p w14:paraId="528D8D71" w14:textId="05057D27" w:rsidR="003B042F" w:rsidRDefault="003B042F">
      <w:pPr>
        <w:pStyle w:val="TOC3"/>
        <w:rPr>
          <w:rFonts w:asciiTheme="minorHAnsi" w:eastAsiaTheme="minorEastAsia" w:hAnsiTheme="minorHAnsi"/>
          <w:b w:val="0"/>
          <w:noProof/>
          <w:sz w:val="22"/>
          <w:lang w:eastAsia="en-AU"/>
        </w:rPr>
      </w:pPr>
      <w:hyperlink w:anchor="_Toc175238846" w:history="1">
        <w:r w:rsidRPr="005871B3">
          <w:rPr>
            <w:rStyle w:val="Hyperlink"/>
            <w:noProof/>
          </w:rPr>
          <w:t>Division 3—Service requirements</w:t>
        </w:r>
        <w:r>
          <w:rPr>
            <w:noProof/>
            <w:webHidden/>
          </w:rPr>
          <w:tab/>
        </w:r>
        <w:r>
          <w:rPr>
            <w:noProof/>
            <w:webHidden/>
          </w:rPr>
          <w:fldChar w:fldCharType="begin"/>
        </w:r>
        <w:r>
          <w:rPr>
            <w:noProof/>
            <w:webHidden/>
          </w:rPr>
          <w:instrText xml:space="preserve"> PAGEREF _Toc175238846 \h </w:instrText>
        </w:r>
        <w:r>
          <w:rPr>
            <w:noProof/>
            <w:webHidden/>
          </w:rPr>
        </w:r>
        <w:r>
          <w:rPr>
            <w:noProof/>
            <w:webHidden/>
          </w:rPr>
          <w:fldChar w:fldCharType="separate"/>
        </w:r>
        <w:r w:rsidR="00FD06AB">
          <w:rPr>
            <w:noProof/>
            <w:webHidden/>
          </w:rPr>
          <w:t>69</w:t>
        </w:r>
        <w:r>
          <w:rPr>
            <w:noProof/>
            <w:webHidden/>
          </w:rPr>
          <w:fldChar w:fldCharType="end"/>
        </w:r>
      </w:hyperlink>
    </w:p>
    <w:p w14:paraId="1B780963" w14:textId="7501F9C1" w:rsidR="003B042F" w:rsidRDefault="003B042F">
      <w:pPr>
        <w:pStyle w:val="TOC4"/>
        <w:rPr>
          <w:rFonts w:asciiTheme="minorHAnsi" w:eastAsiaTheme="minorEastAsia" w:hAnsiTheme="minorHAnsi"/>
          <w:noProof/>
          <w:sz w:val="22"/>
          <w:lang w:eastAsia="en-AU"/>
        </w:rPr>
      </w:pPr>
      <w:hyperlink w:anchor="_Toc175238847" w:history="1">
        <w:r w:rsidRPr="005871B3">
          <w:rPr>
            <w:rStyle w:val="Hyperlink"/>
            <w:noProof/>
          </w:rPr>
          <w:t>34.1—Information</w:t>
        </w:r>
        <w:r>
          <w:rPr>
            <w:noProof/>
            <w:webHidden/>
          </w:rPr>
          <w:tab/>
        </w:r>
        <w:r>
          <w:rPr>
            <w:noProof/>
            <w:webHidden/>
          </w:rPr>
          <w:fldChar w:fldCharType="begin"/>
        </w:r>
        <w:r>
          <w:rPr>
            <w:noProof/>
            <w:webHidden/>
          </w:rPr>
          <w:instrText xml:space="preserve"> PAGEREF _Toc175238847 \h </w:instrText>
        </w:r>
        <w:r>
          <w:rPr>
            <w:noProof/>
            <w:webHidden/>
          </w:rPr>
        </w:r>
        <w:r>
          <w:rPr>
            <w:noProof/>
            <w:webHidden/>
          </w:rPr>
          <w:fldChar w:fldCharType="separate"/>
        </w:r>
        <w:r w:rsidR="00FD06AB">
          <w:rPr>
            <w:noProof/>
            <w:webHidden/>
          </w:rPr>
          <w:t>69</w:t>
        </w:r>
        <w:r>
          <w:rPr>
            <w:noProof/>
            <w:webHidden/>
          </w:rPr>
          <w:fldChar w:fldCharType="end"/>
        </w:r>
      </w:hyperlink>
    </w:p>
    <w:p w14:paraId="670CCC91" w14:textId="4BC8DD3D" w:rsidR="003B042F" w:rsidRDefault="003B042F">
      <w:pPr>
        <w:pStyle w:val="TOC4"/>
        <w:rPr>
          <w:rFonts w:asciiTheme="minorHAnsi" w:eastAsiaTheme="minorEastAsia" w:hAnsiTheme="minorHAnsi"/>
          <w:noProof/>
          <w:sz w:val="22"/>
          <w:lang w:eastAsia="en-AU"/>
        </w:rPr>
      </w:pPr>
      <w:hyperlink w:anchor="_Toc175238848" w:history="1">
        <w:r w:rsidRPr="005871B3">
          <w:rPr>
            <w:rStyle w:val="Hyperlink"/>
            <w:noProof/>
          </w:rPr>
          <w:t>34.2—Subpoena</w:t>
        </w:r>
        <w:r>
          <w:rPr>
            <w:noProof/>
            <w:webHidden/>
          </w:rPr>
          <w:tab/>
        </w:r>
        <w:r>
          <w:rPr>
            <w:noProof/>
            <w:webHidden/>
          </w:rPr>
          <w:fldChar w:fldCharType="begin"/>
        </w:r>
        <w:r>
          <w:rPr>
            <w:noProof/>
            <w:webHidden/>
          </w:rPr>
          <w:instrText xml:space="preserve"> PAGEREF _Toc175238848 \h </w:instrText>
        </w:r>
        <w:r>
          <w:rPr>
            <w:noProof/>
            <w:webHidden/>
          </w:rPr>
        </w:r>
        <w:r>
          <w:rPr>
            <w:noProof/>
            <w:webHidden/>
          </w:rPr>
          <w:fldChar w:fldCharType="separate"/>
        </w:r>
        <w:r w:rsidR="00FD06AB">
          <w:rPr>
            <w:noProof/>
            <w:webHidden/>
          </w:rPr>
          <w:t>69</w:t>
        </w:r>
        <w:r>
          <w:rPr>
            <w:noProof/>
            <w:webHidden/>
          </w:rPr>
          <w:fldChar w:fldCharType="end"/>
        </w:r>
      </w:hyperlink>
    </w:p>
    <w:p w14:paraId="7110B9F4" w14:textId="67629CBA" w:rsidR="003B042F" w:rsidRDefault="003B042F">
      <w:pPr>
        <w:pStyle w:val="TOC4"/>
        <w:rPr>
          <w:rFonts w:asciiTheme="minorHAnsi" w:eastAsiaTheme="minorEastAsia" w:hAnsiTheme="minorHAnsi"/>
          <w:noProof/>
          <w:sz w:val="22"/>
          <w:lang w:eastAsia="en-AU"/>
        </w:rPr>
      </w:pPr>
      <w:hyperlink w:anchor="_Toc175238849" w:history="1">
        <w:r w:rsidRPr="005871B3">
          <w:rPr>
            <w:rStyle w:val="Hyperlink"/>
            <w:noProof/>
          </w:rPr>
          <w:t>34.3—Other documents</w:t>
        </w:r>
        <w:r>
          <w:rPr>
            <w:noProof/>
            <w:webHidden/>
          </w:rPr>
          <w:tab/>
        </w:r>
        <w:r>
          <w:rPr>
            <w:noProof/>
            <w:webHidden/>
          </w:rPr>
          <w:fldChar w:fldCharType="begin"/>
        </w:r>
        <w:r>
          <w:rPr>
            <w:noProof/>
            <w:webHidden/>
          </w:rPr>
          <w:instrText xml:space="preserve"> PAGEREF _Toc175238849 \h </w:instrText>
        </w:r>
        <w:r>
          <w:rPr>
            <w:noProof/>
            <w:webHidden/>
          </w:rPr>
        </w:r>
        <w:r>
          <w:rPr>
            <w:noProof/>
            <w:webHidden/>
          </w:rPr>
          <w:fldChar w:fldCharType="separate"/>
        </w:r>
        <w:r w:rsidR="00FD06AB">
          <w:rPr>
            <w:noProof/>
            <w:webHidden/>
          </w:rPr>
          <w:t>69</w:t>
        </w:r>
        <w:r>
          <w:rPr>
            <w:noProof/>
            <w:webHidden/>
          </w:rPr>
          <w:fldChar w:fldCharType="end"/>
        </w:r>
      </w:hyperlink>
    </w:p>
    <w:p w14:paraId="29BAB955" w14:textId="6496E08D" w:rsidR="003B042F" w:rsidRDefault="003B042F">
      <w:pPr>
        <w:pStyle w:val="TOC3"/>
        <w:rPr>
          <w:rFonts w:asciiTheme="minorHAnsi" w:eastAsiaTheme="minorEastAsia" w:hAnsiTheme="minorHAnsi"/>
          <w:b w:val="0"/>
          <w:noProof/>
          <w:sz w:val="22"/>
          <w:lang w:eastAsia="en-AU"/>
        </w:rPr>
      </w:pPr>
      <w:hyperlink w:anchor="_Toc175238850" w:history="1">
        <w:r w:rsidRPr="005871B3">
          <w:rPr>
            <w:rStyle w:val="Hyperlink"/>
            <w:noProof/>
          </w:rPr>
          <w:t>Division 4—Address for service</w:t>
        </w:r>
        <w:r>
          <w:rPr>
            <w:noProof/>
            <w:webHidden/>
          </w:rPr>
          <w:tab/>
        </w:r>
        <w:r>
          <w:rPr>
            <w:noProof/>
            <w:webHidden/>
          </w:rPr>
          <w:fldChar w:fldCharType="begin"/>
        </w:r>
        <w:r>
          <w:rPr>
            <w:noProof/>
            <w:webHidden/>
          </w:rPr>
          <w:instrText xml:space="preserve"> PAGEREF _Toc175238850 \h </w:instrText>
        </w:r>
        <w:r>
          <w:rPr>
            <w:noProof/>
            <w:webHidden/>
          </w:rPr>
        </w:r>
        <w:r>
          <w:rPr>
            <w:noProof/>
            <w:webHidden/>
          </w:rPr>
          <w:fldChar w:fldCharType="separate"/>
        </w:r>
        <w:r w:rsidR="00FD06AB">
          <w:rPr>
            <w:noProof/>
            <w:webHidden/>
          </w:rPr>
          <w:t>69</w:t>
        </w:r>
        <w:r>
          <w:rPr>
            <w:noProof/>
            <w:webHidden/>
          </w:rPr>
          <w:fldChar w:fldCharType="end"/>
        </w:r>
      </w:hyperlink>
    </w:p>
    <w:p w14:paraId="7B64B6BC" w14:textId="04648E1A" w:rsidR="003B042F" w:rsidRDefault="003B042F">
      <w:pPr>
        <w:pStyle w:val="TOC3"/>
        <w:rPr>
          <w:rFonts w:asciiTheme="minorHAnsi" w:eastAsiaTheme="minorEastAsia" w:hAnsiTheme="minorHAnsi"/>
          <w:b w:val="0"/>
          <w:noProof/>
          <w:sz w:val="22"/>
          <w:lang w:eastAsia="en-AU"/>
        </w:rPr>
      </w:pPr>
      <w:hyperlink w:anchor="_Toc175238851" w:history="1">
        <w:r w:rsidRPr="005871B3">
          <w:rPr>
            <w:rStyle w:val="Hyperlink"/>
            <w:noProof/>
          </w:rPr>
          <w:t>Subdivision 1—Obligation to provide address for service</w:t>
        </w:r>
        <w:r>
          <w:rPr>
            <w:noProof/>
            <w:webHidden/>
          </w:rPr>
          <w:tab/>
        </w:r>
        <w:r>
          <w:rPr>
            <w:noProof/>
            <w:webHidden/>
          </w:rPr>
          <w:fldChar w:fldCharType="begin"/>
        </w:r>
        <w:r>
          <w:rPr>
            <w:noProof/>
            <w:webHidden/>
          </w:rPr>
          <w:instrText xml:space="preserve"> PAGEREF _Toc175238851 \h </w:instrText>
        </w:r>
        <w:r>
          <w:rPr>
            <w:noProof/>
            <w:webHidden/>
          </w:rPr>
        </w:r>
        <w:r>
          <w:rPr>
            <w:noProof/>
            <w:webHidden/>
          </w:rPr>
          <w:fldChar w:fldCharType="separate"/>
        </w:r>
        <w:r w:rsidR="00FD06AB">
          <w:rPr>
            <w:noProof/>
            <w:webHidden/>
          </w:rPr>
          <w:t>69</w:t>
        </w:r>
        <w:r>
          <w:rPr>
            <w:noProof/>
            <w:webHidden/>
          </w:rPr>
          <w:fldChar w:fldCharType="end"/>
        </w:r>
      </w:hyperlink>
    </w:p>
    <w:p w14:paraId="61C347BA" w14:textId="09711B53" w:rsidR="003B042F" w:rsidRDefault="003B042F">
      <w:pPr>
        <w:pStyle w:val="TOC4"/>
        <w:rPr>
          <w:rFonts w:asciiTheme="minorHAnsi" w:eastAsiaTheme="minorEastAsia" w:hAnsiTheme="minorHAnsi"/>
          <w:noProof/>
          <w:sz w:val="22"/>
          <w:lang w:eastAsia="en-AU"/>
        </w:rPr>
      </w:pPr>
      <w:hyperlink w:anchor="_Toc175238852" w:history="1">
        <w:r w:rsidRPr="005871B3">
          <w:rPr>
            <w:rStyle w:val="Hyperlink"/>
            <w:noProof/>
          </w:rPr>
          <w:t>35.1—Obligation to provide address for service</w:t>
        </w:r>
        <w:r>
          <w:rPr>
            <w:noProof/>
            <w:webHidden/>
          </w:rPr>
          <w:tab/>
        </w:r>
        <w:r>
          <w:rPr>
            <w:noProof/>
            <w:webHidden/>
          </w:rPr>
          <w:fldChar w:fldCharType="begin"/>
        </w:r>
        <w:r>
          <w:rPr>
            <w:noProof/>
            <w:webHidden/>
          </w:rPr>
          <w:instrText xml:space="preserve"> PAGEREF _Toc175238852 \h </w:instrText>
        </w:r>
        <w:r>
          <w:rPr>
            <w:noProof/>
            <w:webHidden/>
          </w:rPr>
        </w:r>
        <w:r>
          <w:rPr>
            <w:noProof/>
            <w:webHidden/>
          </w:rPr>
          <w:fldChar w:fldCharType="separate"/>
        </w:r>
        <w:r w:rsidR="00FD06AB">
          <w:rPr>
            <w:noProof/>
            <w:webHidden/>
          </w:rPr>
          <w:t>69</w:t>
        </w:r>
        <w:r>
          <w:rPr>
            <w:noProof/>
            <w:webHidden/>
          </w:rPr>
          <w:fldChar w:fldCharType="end"/>
        </w:r>
      </w:hyperlink>
    </w:p>
    <w:p w14:paraId="1BA3871C" w14:textId="3BF6F607" w:rsidR="003B042F" w:rsidRDefault="003B042F">
      <w:pPr>
        <w:pStyle w:val="TOC4"/>
        <w:rPr>
          <w:rFonts w:asciiTheme="minorHAnsi" w:eastAsiaTheme="minorEastAsia" w:hAnsiTheme="minorHAnsi"/>
          <w:noProof/>
          <w:sz w:val="22"/>
          <w:lang w:eastAsia="en-AU"/>
        </w:rPr>
      </w:pPr>
      <w:hyperlink w:anchor="_Toc175238853" w:history="1">
        <w:r w:rsidRPr="005871B3">
          <w:rPr>
            <w:rStyle w:val="Hyperlink"/>
            <w:noProof/>
          </w:rPr>
          <w:t>35.2—Content of address for service</w:t>
        </w:r>
        <w:r>
          <w:rPr>
            <w:noProof/>
            <w:webHidden/>
          </w:rPr>
          <w:tab/>
        </w:r>
        <w:r>
          <w:rPr>
            <w:noProof/>
            <w:webHidden/>
          </w:rPr>
          <w:fldChar w:fldCharType="begin"/>
        </w:r>
        <w:r>
          <w:rPr>
            <w:noProof/>
            <w:webHidden/>
          </w:rPr>
          <w:instrText xml:space="preserve"> PAGEREF _Toc175238853 \h </w:instrText>
        </w:r>
        <w:r>
          <w:rPr>
            <w:noProof/>
            <w:webHidden/>
          </w:rPr>
        </w:r>
        <w:r>
          <w:rPr>
            <w:noProof/>
            <w:webHidden/>
          </w:rPr>
          <w:fldChar w:fldCharType="separate"/>
        </w:r>
        <w:r w:rsidR="00FD06AB">
          <w:rPr>
            <w:noProof/>
            <w:webHidden/>
          </w:rPr>
          <w:t>70</w:t>
        </w:r>
        <w:r>
          <w:rPr>
            <w:noProof/>
            <w:webHidden/>
          </w:rPr>
          <w:fldChar w:fldCharType="end"/>
        </w:r>
      </w:hyperlink>
    </w:p>
    <w:p w14:paraId="6B82FD29" w14:textId="6EC91830" w:rsidR="003B042F" w:rsidRDefault="003B042F">
      <w:pPr>
        <w:pStyle w:val="TOC4"/>
        <w:rPr>
          <w:rFonts w:asciiTheme="minorHAnsi" w:eastAsiaTheme="minorEastAsia" w:hAnsiTheme="minorHAnsi"/>
          <w:noProof/>
          <w:sz w:val="22"/>
          <w:lang w:eastAsia="en-AU"/>
        </w:rPr>
      </w:pPr>
      <w:hyperlink w:anchor="_Toc175238854" w:history="1">
        <w:r w:rsidRPr="005871B3">
          <w:rPr>
            <w:rStyle w:val="Hyperlink"/>
            <w:noProof/>
          </w:rPr>
          <w:t>35.3—Continuation of address for service</w:t>
        </w:r>
        <w:r>
          <w:rPr>
            <w:noProof/>
            <w:webHidden/>
          </w:rPr>
          <w:tab/>
        </w:r>
        <w:r>
          <w:rPr>
            <w:noProof/>
            <w:webHidden/>
          </w:rPr>
          <w:fldChar w:fldCharType="begin"/>
        </w:r>
        <w:r>
          <w:rPr>
            <w:noProof/>
            <w:webHidden/>
          </w:rPr>
          <w:instrText xml:space="preserve"> PAGEREF _Toc175238854 \h </w:instrText>
        </w:r>
        <w:r>
          <w:rPr>
            <w:noProof/>
            <w:webHidden/>
          </w:rPr>
        </w:r>
        <w:r>
          <w:rPr>
            <w:noProof/>
            <w:webHidden/>
          </w:rPr>
          <w:fldChar w:fldCharType="separate"/>
        </w:r>
        <w:r w:rsidR="00FD06AB">
          <w:rPr>
            <w:noProof/>
            <w:webHidden/>
          </w:rPr>
          <w:t>71</w:t>
        </w:r>
        <w:r>
          <w:rPr>
            <w:noProof/>
            <w:webHidden/>
          </w:rPr>
          <w:fldChar w:fldCharType="end"/>
        </w:r>
      </w:hyperlink>
    </w:p>
    <w:p w14:paraId="1B36EC62" w14:textId="4B518AD8" w:rsidR="003B042F" w:rsidRDefault="003B042F">
      <w:pPr>
        <w:pStyle w:val="TOC4"/>
        <w:rPr>
          <w:rFonts w:asciiTheme="minorHAnsi" w:eastAsiaTheme="minorEastAsia" w:hAnsiTheme="minorHAnsi"/>
          <w:noProof/>
          <w:sz w:val="22"/>
          <w:lang w:eastAsia="en-AU"/>
        </w:rPr>
      </w:pPr>
      <w:hyperlink w:anchor="_Toc175238855" w:history="1">
        <w:r w:rsidRPr="005871B3">
          <w:rPr>
            <w:rStyle w:val="Hyperlink"/>
            <w:noProof/>
          </w:rPr>
          <w:t>35.4—Change of address for service</w:t>
        </w:r>
        <w:r>
          <w:rPr>
            <w:noProof/>
            <w:webHidden/>
          </w:rPr>
          <w:tab/>
        </w:r>
        <w:r>
          <w:rPr>
            <w:noProof/>
            <w:webHidden/>
          </w:rPr>
          <w:fldChar w:fldCharType="begin"/>
        </w:r>
        <w:r>
          <w:rPr>
            <w:noProof/>
            <w:webHidden/>
          </w:rPr>
          <w:instrText xml:space="preserve"> PAGEREF _Toc175238855 \h </w:instrText>
        </w:r>
        <w:r>
          <w:rPr>
            <w:noProof/>
            <w:webHidden/>
          </w:rPr>
        </w:r>
        <w:r>
          <w:rPr>
            <w:noProof/>
            <w:webHidden/>
          </w:rPr>
          <w:fldChar w:fldCharType="separate"/>
        </w:r>
        <w:r w:rsidR="00FD06AB">
          <w:rPr>
            <w:noProof/>
            <w:webHidden/>
          </w:rPr>
          <w:t>71</w:t>
        </w:r>
        <w:r>
          <w:rPr>
            <w:noProof/>
            <w:webHidden/>
          </w:rPr>
          <w:fldChar w:fldCharType="end"/>
        </w:r>
      </w:hyperlink>
    </w:p>
    <w:p w14:paraId="25172107" w14:textId="7A7014E1" w:rsidR="003B042F" w:rsidRDefault="003B042F">
      <w:pPr>
        <w:pStyle w:val="TOC3"/>
        <w:rPr>
          <w:rFonts w:asciiTheme="minorHAnsi" w:eastAsiaTheme="minorEastAsia" w:hAnsiTheme="minorHAnsi"/>
          <w:b w:val="0"/>
          <w:noProof/>
          <w:sz w:val="22"/>
          <w:lang w:eastAsia="en-AU"/>
        </w:rPr>
      </w:pPr>
      <w:hyperlink w:anchor="_Toc175238856" w:history="1">
        <w:r w:rsidRPr="005871B3">
          <w:rPr>
            <w:rStyle w:val="Hyperlink"/>
            <w:noProof/>
          </w:rPr>
          <w:t>Subdivision 2—Service at address for service</w:t>
        </w:r>
        <w:r>
          <w:rPr>
            <w:noProof/>
            <w:webHidden/>
          </w:rPr>
          <w:tab/>
        </w:r>
        <w:r>
          <w:rPr>
            <w:noProof/>
            <w:webHidden/>
          </w:rPr>
          <w:fldChar w:fldCharType="begin"/>
        </w:r>
        <w:r>
          <w:rPr>
            <w:noProof/>
            <w:webHidden/>
          </w:rPr>
          <w:instrText xml:space="preserve"> PAGEREF _Toc175238856 \h </w:instrText>
        </w:r>
        <w:r>
          <w:rPr>
            <w:noProof/>
            <w:webHidden/>
          </w:rPr>
        </w:r>
        <w:r>
          <w:rPr>
            <w:noProof/>
            <w:webHidden/>
          </w:rPr>
          <w:fldChar w:fldCharType="separate"/>
        </w:r>
        <w:r w:rsidR="00FD06AB">
          <w:rPr>
            <w:noProof/>
            <w:webHidden/>
          </w:rPr>
          <w:t>72</w:t>
        </w:r>
        <w:r>
          <w:rPr>
            <w:noProof/>
            <w:webHidden/>
          </w:rPr>
          <w:fldChar w:fldCharType="end"/>
        </w:r>
      </w:hyperlink>
    </w:p>
    <w:p w14:paraId="035AD094" w14:textId="37257D94" w:rsidR="003B042F" w:rsidRDefault="003B042F">
      <w:pPr>
        <w:pStyle w:val="TOC4"/>
        <w:rPr>
          <w:rFonts w:asciiTheme="minorHAnsi" w:eastAsiaTheme="minorEastAsia" w:hAnsiTheme="minorHAnsi"/>
          <w:noProof/>
          <w:sz w:val="22"/>
          <w:lang w:eastAsia="en-AU"/>
        </w:rPr>
      </w:pPr>
      <w:hyperlink w:anchor="_Toc175238857" w:history="1">
        <w:r w:rsidRPr="005871B3">
          <w:rPr>
            <w:rStyle w:val="Hyperlink"/>
            <w:noProof/>
          </w:rPr>
          <w:t>35.5—Service at address for service</w:t>
        </w:r>
        <w:r>
          <w:rPr>
            <w:noProof/>
            <w:webHidden/>
          </w:rPr>
          <w:tab/>
        </w:r>
        <w:r>
          <w:rPr>
            <w:noProof/>
            <w:webHidden/>
          </w:rPr>
          <w:fldChar w:fldCharType="begin"/>
        </w:r>
        <w:r>
          <w:rPr>
            <w:noProof/>
            <w:webHidden/>
          </w:rPr>
          <w:instrText xml:space="preserve"> PAGEREF _Toc175238857 \h </w:instrText>
        </w:r>
        <w:r>
          <w:rPr>
            <w:noProof/>
            <w:webHidden/>
          </w:rPr>
        </w:r>
        <w:r>
          <w:rPr>
            <w:noProof/>
            <w:webHidden/>
          </w:rPr>
          <w:fldChar w:fldCharType="separate"/>
        </w:r>
        <w:r w:rsidR="00FD06AB">
          <w:rPr>
            <w:noProof/>
            <w:webHidden/>
          </w:rPr>
          <w:t>72</w:t>
        </w:r>
        <w:r>
          <w:rPr>
            <w:noProof/>
            <w:webHidden/>
          </w:rPr>
          <w:fldChar w:fldCharType="end"/>
        </w:r>
      </w:hyperlink>
    </w:p>
    <w:p w14:paraId="4E0078BC" w14:textId="63780052" w:rsidR="003B042F" w:rsidRDefault="003B042F">
      <w:pPr>
        <w:pStyle w:val="TOC4"/>
        <w:rPr>
          <w:rFonts w:asciiTheme="minorHAnsi" w:eastAsiaTheme="minorEastAsia" w:hAnsiTheme="minorHAnsi"/>
          <w:noProof/>
          <w:sz w:val="22"/>
          <w:lang w:eastAsia="en-AU"/>
        </w:rPr>
      </w:pPr>
      <w:hyperlink w:anchor="_Toc175238858" w:history="1">
        <w:r w:rsidRPr="005871B3">
          <w:rPr>
            <w:rStyle w:val="Hyperlink"/>
            <w:noProof/>
          </w:rPr>
          <w:t>35.6—Issue by Court of documents to address for service</w:t>
        </w:r>
        <w:r>
          <w:rPr>
            <w:noProof/>
            <w:webHidden/>
          </w:rPr>
          <w:tab/>
        </w:r>
        <w:r>
          <w:rPr>
            <w:noProof/>
            <w:webHidden/>
          </w:rPr>
          <w:fldChar w:fldCharType="begin"/>
        </w:r>
        <w:r>
          <w:rPr>
            <w:noProof/>
            <w:webHidden/>
          </w:rPr>
          <w:instrText xml:space="preserve"> PAGEREF _Toc175238858 \h </w:instrText>
        </w:r>
        <w:r>
          <w:rPr>
            <w:noProof/>
            <w:webHidden/>
          </w:rPr>
        </w:r>
        <w:r>
          <w:rPr>
            <w:noProof/>
            <w:webHidden/>
          </w:rPr>
          <w:fldChar w:fldCharType="separate"/>
        </w:r>
        <w:r w:rsidR="00FD06AB">
          <w:rPr>
            <w:noProof/>
            <w:webHidden/>
          </w:rPr>
          <w:t>72</w:t>
        </w:r>
        <w:r>
          <w:rPr>
            <w:noProof/>
            <w:webHidden/>
          </w:rPr>
          <w:fldChar w:fldCharType="end"/>
        </w:r>
      </w:hyperlink>
    </w:p>
    <w:p w14:paraId="03249C44" w14:textId="60B07DA6" w:rsidR="003B042F" w:rsidRDefault="003B042F">
      <w:pPr>
        <w:pStyle w:val="TOC3"/>
        <w:rPr>
          <w:rFonts w:asciiTheme="minorHAnsi" w:eastAsiaTheme="minorEastAsia" w:hAnsiTheme="minorHAnsi"/>
          <w:b w:val="0"/>
          <w:noProof/>
          <w:sz w:val="22"/>
          <w:lang w:eastAsia="en-AU"/>
        </w:rPr>
      </w:pPr>
      <w:hyperlink w:anchor="_Toc175238859" w:history="1">
        <w:r w:rsidRPr="005871B3">
          <w:rPr>
            <w:rStyle w:val="Hyperlink"/>
            <w:noProof/>
          </w:rPr>
          <w:t>Division 5—Proof of service</w:t>
        </w:r>
        <w:r>
          <w:rPr>
            <w:noProof/>
            <w:webHidden/>
          </w:rPr>
          <w:tab/>
        </w:r>
        <w:r>
          <w:rPr>
            <w:noProof/>
            <w:webHidden/>
          </w:rPr>
          <w:fldChar w:fldCharType="begin"/>
        </w:r>
        <w:r>
          <w:rPr>
            <w:noProof/>
            <w:webHidden/>
          </w:rPr>
          <w:instrText xml:space="preserve"> PAGEREF _Toc175238859 \h </w:instrText>
        </w:r>
        <w:r>
          <w:rPr>
            <w:noProof/>
            <w:webHidden/>
          </w:rPr>
        </w:r>
        <w:r>
          <w:rPr>
            <w:noProof/>
            <w:webHidden/>
          </w:rPr>
          <w:fldChar w:fldCharType="separate"/>
        </w:r>
        <w:r w:rsidR="00FD06AB">
          <w:rPr>
            <w:noProof/>
            <w:webHidden/>
          </w:rPr>
          <w:t>72</w:t>
        </w:r>
        <w:r>
          <w:rPr>
            <w:noProof/>
            <w:webHidden/>
          </w:rPr>
          <w:fldChar w:fldCharType="end"/>
        </w:r>
      </w:hyperlink>
    </w:p>
    <w:p w14:paraId="2E8B999F" w14:textId="0DB397CB" w:rsidR="003B042F" w:rsidRDefault="003B042F">
      <w:pPr>
        <w:pStyle w:val="TOC4"/>
        <w:rPr>
          <w:rFonts w:asciiTheme="minorHAnsi" w:eastAsiaTheme="minorEastAsia" w:hAnsiTheme="minorHAnsi"/>
          <w:noProof/>
          <w:sz w:val="22"/>
          <w:lang w:eastAsia="en-AU"/>
        </w:rPr>
      </w:pPr>
      <w:hyperlink w:anchor="_Toc175238860" w:history="1">
        <w:r w:rsidRPr="005871B3">
          <w:rPr>
            <w:rStyle w:val="Hyperlink"/>
            <w:noProof/>
          </w:rPr>
          <w:t>36.1—Method of proof of service</w:t>
        </w:r>
        <w:r>
          <w:rPr>
            <w:noProof/>
            <w:webHidden/>
          </w:rPr>
          <w:tab/>
        </w:r>
        <w:r>
          <w:rPr>
            <w:noProof/>
            <w:webHidden/>
          </w:rPr>
          <w:fldChar w:fldCharType="begin"/>
        </w:r>
        <w:r>
          <w:rPr>
            <w:noProof/>
            <w:webHidden/>
          </w:rPr>
          <w:instrText xml:space="preserve"> PAGEREF _Toc175238860 \h </w:instrText>
        </w:r>
        <w:r>
          <w:rPr>
            <w:noProof/>
            <w:webHidden/>
          </w:rPr>
        </w:r>
        <w:r>
          <w:rPr>
            <w:noProof/>
            <w:webHidden/>
          </w:rPr>
          <w:fldChar w:fldCharType="separate"/>
        </w:r>
        <w:r w:rsidR="00FD06AB">
          <w:rPr>
            <w:noProof/>
            <w:webHidden/>
          </w:rPr>
          <w:t>72</w:t>
        </w:r>
        <w:r>
          <w:rPr>
            <w:noProof/>
            <w:webHidden/>
          </w:rPr>
          <w:fldChar w:fldCharType="end"/>
        </w:r>
      </w:hyperlink>
    </w:p>
    <w:p w14:paraId="3C913617" w14:textId="64824F99" w:rsidR="003B042F" w:rsidRDefault="003B042F">
      <w:pPr>
        <w:pStyle w:val="TOC4"/>
        <w:rPr>
          <w:rFonts w:asciiTheme="minorHAnsi" w:eastAsiaTheme="minorEastAsia" w:hAnsiTheme="minorHAnsi"/>
          <w:noProof/>
          <w:sz w:val="22"/>
          <w:lang w:eastAsia="en-AU"/>
        </w:rPr>
      </w:pPr>
      <w:hyperlink w:anchor="_Toc175238861" w:history="1">
        <w:r w:rsidRPr="005871B3">
          <w:rPr>
            <w:rStyle w:val="Hyperlink"/>
            <w:noProof/>
          </w:rPr>
          <w:t>36.2—Requirements for affidavit or certificate of proof of service</w:t>
        </w:r>
        <w:r>
          <w:rPr>
            <w:noProof/>
            <w:webHidden/>
          </w:rPr>
          <w:tab/>
        </w:r>
        <w:r>
          <w:rPr>
            <w:noProof/>
            <w:webHidden/>
          </w:rPr>
          <w:fldChar w:fldCharType="begin"/>
        </w:r>
        <w:r>
          <w:rPr>
            <w:noProof/>
            <w:webHidden/>
          </w:rPr>
          <w:instrText xml:space="preserve"> PAGEREF _Toc175238861 \h </w:instrText>
        </w:r>
        <w:r>
          <w:rPr>
            <w:noProof/>
            <w:webHidden/>
          </w:rPr>
        </w:r>
        <w:r>
          <w:rPr>
            <w:noProof/>
            <w:webHidden/>
          </w:rPr>
          <w:fldChar w:fldCharType="separate"/>
        </w:r>
        <w:r w:rsidR="00FD06AB">
          <w:rPr>
            <w:noProof/>
            <w:webHidden/>
          </w:rPr>
          <w:t>73</w:t>
        </w:r>
        <w:r>
          <w:rPr>
            <w:noProof/>
            <w:webHidden/>
          </w:rPr>
          <w:fldChar w:fldCharType="end"/>
        </w:r>
      </w:hyperlink>
    </w:p>
    <w:p w14:paraId="29D4EC38" w14:textId="58B636F8" w:rsidR="003B042F" w:rsidRDefault="003B042F">
      <w:pPr>
        <w:pStyle w:val="TOC4"/>
        <w:rPr>
          <w:rFonts w:asciiTheme="minorHAnsi" w:eastAsiaTheme="minorEastAsia" w:hAnsiTheme="minorHAnsi"/>
          <w:noProof/>
          <w:sz w:val="22"/>
          <w:lang w:eastAsia="en-AU"/>
        </w:rPr>
      </w:pPr>
      <w:hyperlink w:anchor="_Toc175238862" w:history="1">
        <w:r w:rsidRPr="005871B3">
          <w:rPr>
            <w:rStyle w:val="Hyperlink"/>
            <w:noProof/>
          </w:rPr>
          <w:t>36.3—Attempted service report</w:t>
        </w:r>
        <w:r>
          <w:rPr>
            <w:noProof/>
            <w:webHidden/>
          </w:rPr>
          <w:tab/>
        </w:r>
        <w:r>
          <w:rPr>
            <w:noProof/>
            <w:webHidden/>
          </w:rPr>
          <w:fldChar w:fldCharType="begin"/>
        </w:r>
        <w:r>
          <w:rPr>
            <w:noProof/>
            <w:webHidden/>
          </w:rPr>
          <w:instrText xml:space="preserve"> PAGEREF _Toc175238862 \h </w:instrText>
        </w:r>
        <w:r>
          <w:rPr>
            <w:noProof/>
            <w:webHidden/>
          </w:rPr>
        </w:r>
        <w:r>
          <w:rPr>
            <w:noProof/>
            <w:webHidden/>
          </w:rPr>
          <w:fldChar w:fldCharType="separate"/>
        </w:r>
        <w:r w:rsidR="00FD06AB">
          <w:rPr>
            <w:noProof/>
            <w:webHidden/>
          </w:rPr>
          <w:t>73</w:t>
        </w:r>
        <w:r>
          <w:rPr>
            <w:noProof/>
            <w:webHidden/>
          </w:rPr>
          <w:fldChar w:fldCharType="end"/>
        </w:r>
      </w:hyperlink>
    </w:p>
    <w:p w14:paraId="6876EE58" w14:textId="64456B3F"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863" w:history="1">
        <w:r w:rsidRPr="005871B3">
          <w:rPr>
            <w:rStyle w:val="Hyperlink"/>
            <w:noProof/>
          </w:rPr>
          <w:t>Part 7—Hearings, applications and orders</w:t>
        </w:r>
        <w:r>
          <w:rPr>
            <w:noProof/>
            <w:webHidden/>
          </w:rPr>
          <w:tab/>
        </w:r>
        <w:r>
          <w:rPr>
            <w:noProof/>
            <w:webHidden/>
          </w:rPr>
          <w:fldChar w:fldCharType="begin"/>
        </w:r>
        <w:r>
          <w:rPr>
            <w:noProof/>
            <w:webHidden/>
          </w:rPr>
          <w:instrText xml:space="preserve"> PAGEREF _Toc175238863 \h </w:instrText>
        </w:r>
        <w:r>
          <w:rPr>
            <w:noProof/>
            <w:webHidden/>
          </w:rPr>
        </w:r>
        <w:r>
          <w:rPr>
            <w:noProof/>
            <w:webHidden/>
          </w:rPr>
          <w:fldChar w:fldCharType="separate"/>
        </w:r>
        <w:r w:rsidR="00FD06AB">
          <w:rPr>
            <w:noProof/>
            <w:webHidden/>
          </w:rPr>
          <w:t>73</w:t>
        </w:r>
        <w:r>
          <w:rPr>
            <w:noProof/>
            <w:webHidden/>
          </w:rPr>
          <w:fldChar w:fldCharType="end"/>
        </w:r>
      </w:hyperlink>
    </w:p>
    <w:p w14:paraId="35A2832E" w14:textId="1421AF30" w:rsidR="003B042F" w:rsidRDefault="003B042F">
      <w:pPr>
        <w:pStyle w:val="TOC3"/>
        <w:rPr>
          <w:rFonts w:asciiTheme="minorHAnsi" w:eastAsiaTheme="minorEastAsia" w:hAnsiTheme="minorHAnsi"/>
          <w:b w:val="0"/>
          <w:noProof/>
          <w:sz w:val="22"/>
          <w:lang w:eastAsia="en-AU"/>
        </w:rPr>
      </w:pPr>
      <w:hyperlink w:anchor="_Toc175238864" w:history="1">
        <w:r w:rsidRPr="005871B3">
          <w:rPr>
            <w:rStyle w:val="Hyperlink"/>
            <w:noProof/>
          </w:rPr>
          <w:t>Division 1—Application of Part</w:t>
        </w:r>
        <w:r>
          <w:rPr>
            <w:noProof/>
            <w:webHidden/>
          </w:rPr>
          <w:tab/>
        </w:r>
        <w:r>
          <w:rPr>
            <w:noProof/>
            <w:webHidden/>
          </w:rPr>
          <w:fldChar w:fldCharType="begin"/>
        </w:r>
        <w:r>
          <w:rPr>
            <w:noProof/>
            <w:webHidden/>
          </w:rPr>
          <w:instrText xml:space="preserve"> PAGEREF _Toc175238864 \h </w:instrText>
        </w:r>
        <w:r>
          <w:rPr>
            <w:noProof/>
            <w:webHidden/>
          </w:rPr>
        </w:r>
        <w:r>
          <w:rPr>
            <w:noProof/>
            <w:webHidden/>
          </w:rPr>
          <w:fldChar w:fldCharType="separate"/>
        </w:r>
        <w:r w:rsidR="00FD06AB">
          <w:rPr>
            <w:noProof/>
            <w:webHidden/>
          </w:rPr>
          <w:t>73</w:t>
        </w:r>
        <w:r>
          <w:rPr>
            <w:noProof/>
            <w:webHidden/>
          </w:rPr>
          <w:fldChar w:fldCharType="end"/>
        </w:r>
      </w:hyperlink>
    </w:p>
    <w:p w14:paraId="368F540D" w14:textId="260BF978" w:rsidR="003B042F" w:rsidRDefault="003B042F">
      <w:pPr>
        <w:pStyle w:val="TOC4"/>
        <w:rPr>
          <w:rFonts w:asciiTheme="minorHAnsi" w:eastAsiaTheme="minorEastAsia" w:hAnsiTheme="minorHAnsi"/>
          <w:noProof/>
          <w:sz w:val="22"/>
          <w:lang w:eastAsia="en-AU"/>
        </w:rPr>
      </w:pPr>
      <w:hyperlink w:anchor="_Toc175238865" w:history="1">
        <w:r w:rsidRPr="005871B3">
          <w:rPr>
            <w:rStyle w:val="Hyperlink"/>
            <w:noProof/>
          </w:rPr>
          <w:t>37.1—Application of Part</w:t>
        </w:r>
        <w:r>
          <w:rPr>
            <w:noProof/>
            <w:webHidden/>
          </w:rPr>
          <w:tab/>
        </w:r>
        <w:r>
          <w:rPr>
            <w:noProof/>
            <w:webHidden/>
          </w:rPr>
          <w:fldChar w:fldCharType="begin"/>
        </w:r>
        <w:r>
          <w:rPr>
            <w:noProof/>
            <w:webHidden/>
          </w:rPr>
          <w:instrText xml:space="preserve"> PAGEREF _Toc175238865 \h </w:instrText>
        </w:r>
        <w:r>
          <w:rPr>
            <w:noProof/>
            <w:webHidden/>
          </w:rPr>
        </w:r>
        <w:r>
          <w:rPr>
            <w:noProof/>
            <w:webHidden/>
          </w:rPr>
          <w:fldChar w:fldCharType="separate"/>
        </w:r>
        <w:r w:rsidR="00FD06AB">
          <w:rPr>
            <w:noProof/>
            <w:webHidden/>
          </w:rPr>
          <w:t>73</w:t>
        </w:r>
        <w:r>
          <w:rPr>
            <w:noProof/>
            <w:webHidden/>
          </w:rPr>
          <w:fldChar w:fldCharType="end"/>
        </w:r>
      </w:hyperlink>
    </w:p>
    <w:p w14:paraId="3398567B" w14:textId="05ABDBB1" w:rsidR="003B042F" w:rsidRDefault="003B042F">
      <w:pPr>
        <w:pStyle w:val="TOC3"/>
        <w:rPr>
          <w:rFonts w:asciiTheme="minorHAnsi" w:eastAsiaTheme="minorEastAsia" w:hAnsiTheme="minorHAnsi"/>
          <w:b w:val="0"/>
          <w:noProof/>
          <w:sz w:val="22"/>
          <w:lang w:eastAsia="en-AU"/>
        </w:rPr>
      </w:pPr>
      <w:hyperlink w:anchor="_Toc175238866" w:history="1">
        <w:r w:rsidRPr="005871B3">
          <w:rPr>
            <w:rStyle w:val="Hyperlink"/>
            <w:noProof/>
          </w:rPr>
          <w:t>Division 2—Hearings</w:t>
        </w:r>
        <w:r>
          <w:rPr>
            <w:noProof/>
            <w:webHidden/>
          </w:rPr>
          <w:tab/>
        </w:r>
        <w:r>
          <w:rPr>
            <w:noProof/>
            <w:webHidden/>
          </w:rPr>
          <w:fldChar w:fldCharType="begin"/>
        </w:r>
        <w:r>
          <w:rPr>
            <w:noProof/>
            <w:webHidden/>
          </w:rPr>
          <w:instrText xml:space="preserve"> PAGEREF _Toc175238866 \h </w:instrText>
        </w:r>
        <w:r>
          <w:rPr>
            <w:noProof/>
            <w:webHidden/>
          </w:rPr>
        </w:r>
        <w:r>
          <w:rPr>
            <w:noProof/>
            <w:webHidden/>
          </w:rPr>
          <w:fldChar w:fldCharType="separate"/>
        </w:r>
        <w:r w:rsidR="00FD06AB">
          <w:rPr>
            <w:noProof/>
            <w:webHidden/>
          </w:rPr>
          <w:t>73</w:t>
        </w:r>
        <w:r>
          <w:rPr>
            <w:noProof/>
            <w:webHidden/>
          </w:rPr>
          <w:fldChar w:fldCharType="end"/>
        </w:r>
      </w:hyperlink>
    </w:p>
    <w:p w14:paraId="763A8BC4" w14:textId="02DA9EDA" w:rsidR="003B042F" w:rsidRDefault="003B042F">
      <w:pPr>
        <w:pStyle w:val="TOC3"/>
        <w:rPr>
          <w:rFonts w:asciiTheme="minorHAnsi" w:eastAsiaTheme="minorEastAsia" w:hAnsiTheme="minorHAnsi"/>
          <w:b w:val="0"/>
          <w:noProof/>
          <w:sz w:val="22"/>
          <w:lang w:eastAsia="en-AU"/>
        </w:rPr>
      </w:pPr>
      <w:hyperlink w:anchor="_Toc175238867" w:history="1">
        <w:r w:rsidRPr="005871B3">
          <w:rPr>
            <w:rStyle w:val="Hyperlink"/>
            <w:noProof/>
          </w:rPr>
          <w:t>Subdivision 1—Powers of court</w:t>
        </w:r>
        <w:r>
          <w:rPr>
            <w:noProof/>
            <w:webHidden/>
          </w:rPr>
          <w:tab/>
        </w:r>
        <w:r>
          <w:rPr>
            <w:noProof/>
            <w:webHidden/>
          </w:rPr>
          <w:fldChar w:fldCharType="begin"/>
        </w:r>
        <w:r>
          <w:rPr>
            <w:noProof/>
            <w:webHidden/>
          </w:rPr>
          <w:instrText xml:space="preserve"> PAGEREF _Toc175238867 \h </w:instrText>
        </w:r>
        <w:r>
          <w:rPr>
            <w:noProof/>
            <w:webHidden/>
          </w:rPr>
        </w:r>
        <w:r>
          <w:rPr>
            <w:noProof/>
            <w:webHidden/>
          </w:rPr>
          <w:fldChar w:fldCharType="separate"/>
        </w:r>
        <w:r w:rsidR="00FD06AB">
          <w:rPr>
            <w:noProof/>
            <w:webHidden/>
          </w:rPr>
          <w:t>73</w:t>
        </w:r>
        <w:r>
          <w:rPr>
            <w:noProof/>
            <w:webHidden/>
          </w:rPr>
          <w:fldChar w:fldCharType="end"/>
        </w:r>
      </w:hyperlink>
    </w:p>
    <w:p w14:paraId="3F10CB4D" w14:textId="3AFEE1E3" w:rsidR="003B042F" w:rsidRDefault="003B042F">
      <w:pPr>
        <w:pStyle w:val="TOC4"/>
        <w:rPr>
          <w:rFonts w:asciiTheme="minorHAnsi" w:eastAsiaTheme="minorEastAsia" w:hAnsiTheme="minorHAnsi"/>
          <w:noProof/>
          <w:sz w:val="22"/>
          <w:lang w:eastAsia="en-AU"/>
        </w:rPr>
      </w:pPr>
      <w:hyperlink w:anchor="_Toc175238868" w:history="1">
        <w:r w:rsidRPr="005871B3">
          <w:rPr>
            <w:rStyle w:val="Hyperlink"/>
            <w:noProof/>
          </w:rPr>
          <w:t>38.1—Powers of the Court at hearings</w:t>
        </w:r>
        <w:r>
          <w:rPr>
            <w:noProof/>
            <w:webHidden/>
          </w:rPr>
          <w:tab/>
        </w:r>
        <w:r>
          <w:rPr>
            <w:noProof/>
            <w:webHidden/>
          </w:rPr>
          <w:fldChar w:fldCharType="begin"/>
        </w:r>
        <w:r>
          <w:rPr>
            <w:noProof/>
            <w:webHidden/>
          </w:rPr>
          <w:instrText xml:space="preserve"> PAGEREF _Toc175238868 \h </w:instrText>
        </w:r>
        <w:r>
          <w:rPr>
            <w:noProof/>
            <w:webHidden/>
          </w:rPr>
        </w:r>
        <w:r>
          <w:rPr>
            <w:noProof/>
            <w:webHidden/>
          </w:rPr>
          <w:fldChar w:fldCharType="separate"/>
        </w:r>
        <w:r w:rsidR="00FD06AB">
          <w:rPr>
            <w:noProof/>
            <w:webHidden/>
          </w:rPr>
          <w:t>73</w:t>
        </w:r>
        <w:r>
          <w:rPr>
            <w:noProof/>
            <w:webHidden/>
          </w:rPr>
          <w:fldChar w:fldCharType="end"/>
        </w:r>
      </w:hyperlink>
    </w:p>
    <w:p w14:paraId="02540E6F" w14:textId="4B354931" w:rsidR="003B042F" w:rsidRDefault="003B042F">
      <w:pPr>
        <w:pStyle w:val="TOC3"/>
        <w:rPr>
          <w:rFonts w:asciiTheme="minorHAnsi" w:eastAsiaTheme="minorEastAsia" w:hAnsiTheme="minorHAnsi"/>
          <w:b w:val="0"/>
          <w:noProof/>
          <w:sz w:val="22"/>
          <w:lang w:eastAsia="en-AU"/>
        </w:rPr>
      </w:pPr>
      <w:hyperlink w:anchor="_Toc175238869" w:history="1">
        <w:r w:rsidRPr="005871B3">
          <w:rPr>
            <w:rStyle w:val="Hyperlink"/>
            <w:noProof/>
          </w:rPr>
          <w:t>Subdivision 2—Attendance of parties and public</w:t>
        </w:r>
        <w:r>
          <w:rPr>
            <w:noProof/>
            <w:webHidden/>
          </w:rPr>
          <w:tab/>
        </w:r>
        <w:r>
          <w:rPr>
            <w:noProof/>
            <w:webHidden/>
          </w:rPr>
          <w:fldChar w:fldCharType="begin"/>
        </w:r>
        <w:r>
          <w:rPr>
            <w:noProof/>
            <w:webHidden/>
          </w:rPr>
          <w:instrText xml:space="preserve"> PAGEREF _Toc175238869 \h </w:instrText>
        </w:r>
        <w:r>
          <w:rPr>
            <w:noProof/>
            <w:webHidden/>
          </w:rPr>
        </w:r>
        <w:r>
          <w:rPr>
            <w:noProof/>
            <w:webHidden/>
          </w:rPr>
          <w:fldChar w:fldCharType="separate"/>
        </w:r>
        <w:r w:rsidR="00FD06AB">
          <w:rPr>
            <w:noProof/>
            <w:webHidden/>
          </w:rPr>
          <w:t>74</w:t>
        </w:r>
        <w:r>
          <w:rPr>
            <w:noProof/>
            <w:webHidden/>
          </w:rPr>
          <w:fldChar w:fldCharType="end"/>
        </w:r>
      </w:hyperlink>
    </w:p>
    <w:p w14:paraId="6DBA7A69" w14:textId="4BEC9E35" w:rsidR="003B042F" w:rsidRDefault="003B042F">
      <w:pPr>
        <w:pStyle w:val="TOC4"/>
        <w:rPr>
          <w:rFonts w:asciiTheme="minorHAnsi" w:eastAsiaTheme="minorEastAsia" w:hAnsiTheme="minorHAnsi"/>
          <w:noProof/>
          <w:sz w:val="22"/>
          <w:lang w:eastAsia="en-AU"/>
        </w:rPr>
      </w:pPr>
      <w:hyperlink w:anchor="_Toc175238870" w:history="1">
        <w:r w:rsidRPr="005871B3">
          <w:rPr>
            <w:rStyle w:val="Hyperlink"/>
            <w:noProof/>
          </w:rPr>
          <w:t>38.2—Hearings ordinarily in presence of parties</w:t>
        </w:r>
        <w:r>
          <w:rPr>
            <w:noProof/>
            <w:webHidden/>
          </w:rPr>
          <w:tab/>
        </w:r>
        <w:r>
          <w:rPr>
            <w:noProof/>
            <w:webHidden/>
          </w:rPr>
          <w:fldChar w:fldCharType="begin"/>
        </w:r>
        <w:r>
          <w:rPr>
            <w:noProof/>
            <w:webHidden/>
          </w:rPr>
          <w:instrText xml:space="preserve"> PAGEREF _Toc175238870 \h </w:instrText>
        </w:r>
        <w:r>
          <w:rPr>
            <w:noProof/>
            <w:webHidden/>
          </w:rPr>
        </w:r>
        <w:r>
          <w:rPr>
            <w:noProof/>
            <w:webHidden/>
          </w:rPr>
          <w:fldChar w:fldCharType="separate"/>
        </w:r>
        <w:r w:rsidR="00FD06AB">
          <w:rPr>
            <w:noProof/>
            <w:webHidden/>
          </w:rPr>
          <w:t>74</w:t>
        </w:r>
        <w:r>
          <w:rPr>
            <w:noProof/>
            <w:webHidden/>
          </w:rPr>
          <w:fldChar w:fldCharType="end"/>
        </w:r>
      </w:hyperlink>
    </w:p>
    <w:p w14:paraId="25F6EFEE" w14:textId="360624B6" w:rsidR="003B042F" w:rsidRDefault="003B042F">
      <w:pPr>
        <w:pStyle w:val="TOC4"/>
        <w:rPr>
          <w:rFonts w:asciiTheme="minorHAnsi" w:eastAsiaTheme="minorEastAsia" w:hAnsiTheme="minorHAnsi"/>
          <w:noProof/>
          <w:sz w:val="22"/>
          <w:lang w:eastAsia="en-AU"/>
        </w:rPr>
      </w:pPr>
      <w:hyperlink w:anchor="_Toc175238871" w:history="1">
        <w:r w:rsidRPr="005871B3">
          <w:rPr>
            <w:rStyle w:val="Hyperlink"/>
            <w:noProof/>
          </w:rPr>
          <w:t>38.3—Appearance of defendant or youth in custody by audio visual link</w:t>
        </w:r>
        <w:r>
          <w:rPr>
            <w:noProof/>
            <w:webHidden/>
          </w:rPr>
          <w:tab/>
        </w:r>
        <w:r>
          <w:rPr>
            <w:noProof/>
            <w:webHidden/>
          </w:rPr>
          <w:fldChar w:fldCharType="begin"/>
        </w:r>
        <w:r>
          <w:rPr>
            <w:noProof/>
            <w:webHidden/>
          </w:rPr>
          <w:instrText xml:space="preserve"> PAGEREF _Toc175238871 \h </w:instrText>
        </w:r>
        <w:r>
          <w:rPr>
            <w:noProof/>
            <w:webHidden/>
          </w:rPr>
        </w:r>
        <w:r>
          <w:rPr>
            <w:noProof/>
            <w:webHidden/>
          </w:rPr>
          <w:fldChar w:fldCharType="separate"/>
        </w:r>
        <w:r w:rsidR="00FD06AB">
          <w:rPr>
            <w:noProof/>
            <w:webHidden/>
          </w:rPr>
          <w:t>75</w:t>
        </w:r>
        <w:r>
          <w:rPr>
            <w:noProof/>
            <w:webHidden/>
          </w:rPr>
          <w:fldChar w:fldCharType="end"/>
        </w:r>
      </w:hyperlink>
    </w:p>
    <w:p w14:paraId="0D5F4984" w14:textId="3D12AC2F" w:rsidR="003B042F" w:rsidRDefault="003B042F">
      <w:pPr>
        <w:pStyle w:val="TOC4"/>
        <w:rPr>
          <w:rFonts w:asciiTheme="minorHAnsi" w:eastAsiaTheme="minorEastAsia" w:hAnsiTheme="minorHAnsi"/>
          <w:noProof/>
          <w:sz w:val="22"/>
          <w:lang w:eastAsia="en-AU"/>
        </w:rPr>
      </w:pPr>
      <w:hyperlink w:anchor="_Toc175238872" w:history="1">
        <w:r w:rsidRPr="005871B3">
          <w:rPr>
            <w:rStyle w:val="Hyperlink"/>
            <w:noProof/>
          </w:rPr>
          <w:t>38.4—Appearance of defendant or youth in custody physically</w:t>
        </w:r>
        <w:r>
          <w:rPr>
            <w:noProof/>
            <w:webHidden/>
          </w:rPr>
          <w:tab/>
        </w:r>
        <w:r>
          <w:rPr>
            <w:noProof/>
            <w:webHidden/>
          </w:rPr>
          <w:fldChar w:fldCharType="begin"/>
        </w:r>
        <w:r>
          <w:rPr>
            <w:noProof/>
            <w:webHidden/>
          </w:rPr>
          <w:instrText xml:space="preserve"> PAGEREF _Toc175238872 \h </w:instrText>
        </w:r>
        <w:r>
          <w:rPr>
            <w:noProof/>
            <w:webHidden/>
          </w:rPr>
        </w:r>
        <w:r>
          <w:rPr>
            <w:noProof/>
            <w:webHidden/>
          </w:rPr>
          <w:fldChar w:fldCharType="separate"/>
        </w:r>
        <w:r w:rsidR="00FD06AB">
          <w:rPr>
            <w:noProof/>
            <w:webHidden/>
          </w:rPr>
          <w:t>75</w:t>
        </w:r>
        <w:r>
          <w:rPr>
            <w:noProof/>
            <w:webHidden/>
          </w:rPr>
          <w:fldChar w:fldCharType="end"/>
        </w:r>
      </w:hyperlink>
    </w:p>
    <w:p w14:paraId="1B940E71" w14:textId="76681CDB" w:rsidR="003B042F" w:rsidRDefault="003B042F">
      <w:pPr>
        <w:pStyle w:val="TOC4"/>
        <w:rPr>
          <w:rFonts w:asciiTheme="minorHAnsi" w:eastAsiaTheme="minorEastAsia" w:hAnsiTheme="minorHAnsi"/>
          <w:noProof/>
          <w:sz w:val="22"/>
          <w:lang w:eastAsia="en-AU"/>
        </w:rPr>
      </w:pPr>
      <w:hyperlink w:anchor="_Toc175238873" w:history="1">
        <w:r w:rsidRPr="005871B3">
          <w:rPr>
            <w:rStyle w:val="Hyperlink"/>
            <w:noProof/>
          </w:rPr>
          <w:t>38.5—Appearance by audio link or audio visual link</w:t>
        </w:r>
        <w:r>
          <w:rPr>
            <w:noProof/>
            <w:webHidden/>
          </w:rPr>
          <w:tab/>
        </w:r>
        <w:r>
          <w:rPr>
            <w:noProof/>
            <w:webHidden/>
          </w:rPr>
          <w:fldChar w:fldCharType="begin"/>
        </w:r>
        <w:r>
          <w:rPr>
            <w:noProof/>
            <w:webHidden/>
          </w:rPr>
          <w:instrText xml:space="preserve"> PAGEREF _Toc175238873 \h </w:instrText>
        </w:r>
        <w:r>
          <w:rPr>
            <w:noProof/>
            <w:webHidden/>
          </w:rPr>
        </w:r>
        <w:r>
          <w:rPr>
            <w:noProof/>
            <w:webHidden/>
          </w:rPr>
          <w:fldChar w:fldCharType="separate"/>
        </w:r>
        <w:r w:rsidR="00FD06AB">
          <w:rPr>
            <w:noProof/>
            <w:webHidden/>
          </w:rPr>
          <w:t>75</w:t>
        </w:r>
        <w:r>
          <w:rPr>
            <w:noProof/>
            <w:webHidden/>
          </w:rPr>
          <w:fldChar w:fldCharType="end"/>
        </w:r>
      </w:hyperlink>
    </w:p>
    <w:p w14:paraId="19FAD574" w14:textId="01220973" w:rsidR="003B042F" w:rsidRDefault="003B042F">
      <w:pPr>
        <w:pStyle w:val="TOC4"/>
        <w:rPr>
          <w:rFonts w:asciiTheme="minorHAnsi" w:eastAsiaTheme="minorEastAsia" w:hAnsiTheme="minorHAnsi"/>
          <w:noProof/>
          <w:sz w:val="22"/>
          <w:lang w:eastAsia="en-AU"/>
        </w:rPr>
      </w:pPr>
      <w:hyperlink w:anchor="_Toc175238874" w:history="1">
        <w:r w:rsidRPr="005871B3">
          <w:rPr>
            <w:rStyle w:val="Hyperlink"/>
            <w:noProof/>
          </w:rPr>
          <w:t>38.6—Hearings ordinarily in court in public</w:t>
        </w:r>
        <w:r>
          <w:rPr>
            <w:noProof/>
            <w:webHidden/>
          </w:rPr>
          <w:tab/>
        </w:r>
        <w:r>
          <w:rPr>
            <w:noProof/>
            <w:webHidden/>
          </w:rPr>
          <w:fldChar w:fldCharType="begin"/>
        </w:r>
        <w:r>
          <w:rPr>
            <w:noProof/>
            <w:webHidden/>
          </w:rPr>
          <w:instrText xml:space="preserve"> PAGEREF _Toc175238874 \h </w:instrText>
        </w:r>
        <w:r>
          <w:rPr>
            <w:noProof/>
            <w:webHidden/>
          </w:rPr>
        </w:r>
        <w:r>
          <w:rPr>
            <w:noProof/>
            <w:webHidden/>
          </w:rPr>
          <w:fldChar w:fldCharType="separate"/>
        </w:r>
        <w:r w:rsidR="00FD06AB">
          <w:rPr>
            <w:noProof/>
            <w:webHidden/>
          </w:rPr>
          <w:t>77</w:t>
        </w:r>
        <w:r>
          <w:rPr>
            <w:noProof/>
            <w:webHidden/>
          </w:rPr>
          <w:fldChar w:fldCharType="end"/>
        </w:r>
      </w:hyperlink>
    </w:p>
    <w:p w14:paraId="46DB72CC" w14:textId="21081C36" w:rsidR="003B042F" w:rsidRDefault="003B042F">
      <w:pPr>
        <w:pStyle w:val="TOC4"/>
        <w:rPr>
          <w:rFonts w:asciiTheme="minorHAnsi" w:eastAsiaTheme="minorEastAsia" w:hAnsiTheme="minorHAnsi"/>
          <w:noProof/>
          <w:sz w:val="22"/>
          <w:lang w:eastAsia="en-AU"/>
        </w:rPr>
      </w:pPr>
      <w:hyperlink w:anchor="_Toc175238875" w:history="1">
        <w:r w:rsidRPr="005871B3">
          <w:rPr>
            <w:rStyle w:val="Hyperlink"/>
            <w:noProof/>
          </w:rPr>
          <w:t>38.7—Exclusion of persons from the court</w:t>
        </w:r>
        <w:r>
          <w:rPr>
            <w:noProof/>
            <w:webHidden/>
          </w:rPr>
          <w:tab/>
        </w:r>
        <w:r>
          <w:rPr>
            <w:noProof/>
            <w:webHidden/>
          </w:rPr>
          <w:fldChar w:fldCharType="begin"/>
        </w:r>
        <w:r>
          <w:rPr>
            <w:noProof/>
            <w:webHidden/>
          </w:rPr>
          <w:instrText xml:space="preserve"> PAGEREF _Toc175238875 \h </w:instrText>
        </w:r>
        <w:r>
          <w:rPr>
            <w:noProof/>
            <w:webHidden/>
          </w:rPr>
        </w:r>
        <w:r>
          <w:rPr>
            <w:noProof/>
            <w:webHidden/>
          </w:rPr>
          <w:fldChar w:fldCharType="separate"/>
        </w:r>
        <w:r w:rsidR="00FD06AB">
          <w:rPr>
            <w:noProof/>
            <w:webHidden/>
          </w:rPr>
          <w:t>77</w:t>
        </w:r>
        <w:r>
          <w:rPr>
            <w:noProof/>
            <w:webHidden/>
          </w:rPr>
          <w:fldChar w:fldCharType="end"/>
        </w:r>
      </w:hyperlink>
    </w:p>
    <w:p w14:paraId="6BCFC3AA" w14:textId="5BD0A707" w:rsidR="003B042F" w:rsidRDefault="003B042F">
      <w:pPr>
        <w:pStyle w:val="TOC3"/>
        <w:rPr>
          <w:rFonts w:asciiTheme="minorHAnsi" w:eastAsiaTheme="minorEastAsia" w:hAnsiTheme="minorHAnsi"/>
          <w:b w:val="0"/>
          <w:noProof/>
          <w:sz w:val="22"/>
          <w:lang w:eastAsia="en-AU"/>
        </w:rPr>
      </w:pPr>
      <w:hyperlink w:anchor="_Toc175238876" w:history="1">
        <w:r w:rsidRPr="005871B3">
          <w:rPr>
            <w:rStyle w:val="Hyperlink"/>
            <w:noProof/>
          </w:rPr>
          <w:t>Subdivision 3—Production of prisoner before Court</w:t>
        </w:r>
        <w:r>
          <w:rPr>
            <w:noProof/>
            <w:webHidden/>
          </w:rPr>
          <w:tab/>
        </w:r>
        <w:r>
          <w:rPr>
            <w:noProof/>
            <w:webHidden/>
          </w:rPr>
          <w:fldChar w:fldCharType="begin"/>
        </w:r>
        <w:r>
          <w:rPr>
            <w:noProof/>
            <w:webHidden/>
          </w:rPr>
          <w:instrText xml:space="preserve"> PAGEREF _Toc175238876 \h </w:instrText>
        </w:r>
        <w:r>
          <w:rPr>
            <w:noProof/>
            <w:webHidden/>
          </w:rPr>
        </w:r>
        <w:r>
          <w:rPr>
            <w:noProof/>
            <w:webHidden/>
          </w:rPr>
          <w:fldChar w:fldCharType="separate"/>
        </w:r>
        <w:r w:rsidR="00FD06AB">
          <w:rPr>
            <w:noProof/>
            <w:webHidden/>
          </w:rPr>
          <w:t>77</w:t>
        </w:r>
        <w:r>
          <w:rPr>
            <w:noProof/>
            <w:webHidden/>
          </w:rPr>
          <w:fldChar w:fldCharType="end"/>
        </w:r>
      </w:hyperlink>
    </w:p>
    <w:p w14:paraId="1C923C82" w14:textId="3A4A8FB2" w:rsidR="003B042F" w:rsidRDefault="003B042F">
      <w:pPr>
        <w:pStyle w:val="TOC4"/>
        <w:rPr>
          <w:rFonts w:asciiTheme="minorHAnsi" w:eastAsiaTheme="minorEastAsia" w:hAnsiTheme="minorHAnsi"/>
          <w:noProof/>
          <w:sz w:val="22"/>
          <w:lang w:eastAsia="en-AU"/>
        </w:rPr>
      </w:pPr>
      <w:hyperlink w:anchor="_Toc175238877" w:history="1">
        <w:r w:rsidRPr="005871B3">
          <w:rPr>
            <w:rStyle w:val="Hyperlink"/>
            <w:noProof/>
          </w:rPr>
          <w:t>38.8—Warrant or summons to produce prisoner</w:t>
        </w:r>
        <w:r>
          <w:rPr>
            <w:noProof/>
            <w:webHidden/>
          </w:rPr>
          <w:tab/>
        </w:r>
        <w:r>
          <w:rPr>
            <w:noProof/>
            <w:webHidden/>
          </w:rPr>
          <w:fldChar w:fldCharType="begin"/>
        </w:r>
        <w:r>
          <w:rPr>
            <w:noProof/>
            <w:webHidden/>
          </w:rPr>
          <w:instrText xml:space="preserve"> PAGEREF _Toc175238877 \h </w:instrText>
        </w:r>
        <w:r>
          <w:rPr>
            <w:noProof/>
            <w:webHidden/>
          </w:rPr>
        </w:r>
        <w:r>
          <w:rPr>
            <w:noProof/>
            <w:webHidden/>
          </w:rPr>
          <w:fldChar w:fldCharType="separate"/>
        </w:r>
        <w:r w:rsidR="00FD06AB">
          <w:rPr>
            <w:noProof/>
            <w:webHidden/>
          </w:rPr>
          <w:t>77</w:t>
        </w:r>
        <w:r>
          <w:rPr>
            <w:noProof/>
            <w:webHidden/>
          </w:rPr>
          <w:fldChar w:fldCharType="end"/>
        </w:r>
      </w:hyperlink>
    </w:p>
    <w:p w14:paraId="3128027F" w14:textId="587A1027" w:rsidR="003B042F" w:rsidRDefault="003B042F">
      <w:pPr>
        <w:pStyle w:val="TOC3"/>
        <w:rPr>
          <w:rFonts w:asciiTheme="minorHAnsi" w:eastAsiaTheme="minorEastAsia" w:hAnsiTheme="minorHAnsi"/>
          <w:b w:val="0"/>
          <w:noProof/>
          <w:sz w:val="22"/>
          <w:lang w:eastAsia="en-AU"/>
        </w:rPr>
      </w:pPr>
      <w:hyperlink w:anchor="_Toc175238878" w:history="1">
        <w:r w:rsidRPr="005871B3">
          <w:rPr>
            <w:rStyle w:val="Hyperlink"/>
            <w:noProof/>
          </w:rPr>
          <w:t>Subdivision 4—Summaries of argument, written submissions and lists of authorities</w:t>
        </w:r>
        <w:r>
          <w:rPr>
            <w:noProof/>
            <w:webHidden/>
          </w:rPr>
          <w:tab/>
        </w:r>
        <w:r>
          <w:rPr>
            <w:noProof/>
            <w:webHidden/>
          </w:rPr>
          <w:fldChar w:fldCharType="begin"/>
        </w:r>
        <w:r>
          <w:rPr>
            <w:noProof/>
            <w:webHidden/>
          </w:rPr>
          <w:instrText xml:space="preserve"> PAGEREF _Toc175238878 \h </w:instrText>
        </w:r>
        <w:r>
          <w:rPr>
            <w:noProof/>
            <w:webHidden/>
          </w:rPr>
        </w:r>
        <w:r>
          <w:rPr>
            <w:noProof/>
            <w:webHidden/>
          </w:rPr>
          <w:fldChar w:fldCharType="separate"/>
        </w:r>
        <w:r w:rsidR="00FD06AB">
          <w:rPr>
            <w:noProof/>
            <w:webHidden/>
          </w:rPr>
          <w:t>78</w:t>
        </w:r>
        <w:r>
          <w:rPr>
            <w:noProof/>
            <w:webHidden/>
          </w:rPr>
          <w:fldChar w:fldCharType="end"/>
        </w:r>
      </w:hyperlink>
    </w:p>
    <w:p w14:paraId="66F48F9C" w14:textId="3FFDF4F7" w:rsidR="003B042F" w:rsidRDefault="003B042F">
      <w:pPr>
        <w:pStyle w:val="TOC4"/>
        <w:rPr>
          <w:rFonts w:asciiTheme="minorHAnsi" w:eastAsiaTheme="minorEastAsia" w:hAnsiTheme="minorHAnsi"/>
          <w:noProof/>
          <w:sz w:val="22"/>
          <w:lang w:eastAsia="en-AU"/>
        </w:rPr>
      </w:pPr>
      <w:hyperlink w:anchor="_Toc175238879" w:history="1">
        <w:r w:rsidRPr="005871B3">
          <w:rPr>
            <w:rStyle w:val="Hyperlink"/>
            <w:noProof/>
          </w:rPr>
          <w:t>38.9—Summary of argument and written submissions</w:t>
        </w:r>
        <w:r>
          <w:rPr>
            <w:noProof/>
            <w:webHidden/>
          </w:rPr>
          <w:tab/>
        </w:r>
        <w:r>
          <w:rPr>
            <w:noProof/>
            <w:webHidden/>
          </w:rPr>
          <w:fldChar w:fldCharType="begin"/>
        </w:r>
        <w:r>
          <w:rPr>
            <w:noProof/>
            <w:webHidden/>
          </w:rPr>
          <w:instrText xml:space="preserve"> PAGEREF _Toc175238879 \h </w:instrText>
        </w:r>
        <w:r>
          <w:rPr>
            <w:noProof/>
            <w:webHidden/>
          </w:rPr>
        </w:r>
        <w:r>
          <w:rPr>
            <w:noProof/>
            <w:webHidden/>
          </w:rPr>
          <w:fldChar w:fldCharType="separate"/>
        </w:r>
        <w:r w:rsidR="00FD06AB">
          <w:rPr>
            <w:noProof/>
            <w:webHidden/>
          </w:rPr>
          <w:t>78</w:t>
        </w:r>
        <w:r>
          <w:rPr>
            <w:noProof/>
            <w:webHidden/>
          </w:rPr>
          <w:fldChar w:fldCharType="end"/>
        </w:r>
      </w:hyperlink>
    </w:p>
    <w:p w14:paraId="4F364CD5" w14:textId="28072D33" w:rsidR="003B042F" w:rsidRDefault="003B042F">
      <w:pPr>
        <w:pStyle w:val="TOC4"/>
        <w:rPr>
          <w:rFonts w:asciiTheme="minorHAnsi" w:eastAsiaTheme="minorEastAsia" w:hAnsiTheme="minorHAnsi"/>
          <w:noProof/>
          <w:sz w:val="22"/>
          <w:lang w:eastAsia="en-AU"/>
        </w:rPr>
      </w:pPr>
      <w:hyperlink w:anchor="_Toc175238880" w:history="1">
        <w:r w:rsidRPr="005871B3">
          <w:rPr>
            <w:rStyle w:val="Hyperlink"/>
            <w:noProof/>
          </w:rPr>
          <w:t>38.10—List of authorities</w:t>
        </w:r>
        <w:r>
          <w:rPr>
            <w:noProof/>
            <w:webHidden/>
          </w:rPr>
          <w:tab/>
        </w:r>
        <w:r>
          <w:rPr>
            <w:noProof/>
            <w:webHidden/>
          </w:rPr>
          <w:fldChar w:fldCharType="begin"/>
        </w:r>
        <w:r>
          <w:rPr>
            <w:noProof/>
            <w:webHidden/>
          </w:rPr>
          <w:instrText xml:space="preserve"> PAGEREF _Toc175238880 \h </w:instrText>
        </w:r>
        <w:r>
          <w:rPr>
            <w:noProof/>
            <w:webHidden/>
          </w:rPr>
        </w:r>
        <w:r>
          <w:rPr>
            <w:noProof/>
            <w:webHidden/>
          </w:rPr>
          <w:fldChar w:fldCharType="separate"/>
        </w:r>
        <w:r w:rsidR="00FD06AB">
          <w:rPr>
            <w:noProof/>
            <w:webHidden/>
          </w:rPr>
          <w:t>78</w:t>
        </w:r>
        <w:r>
          <w:rPr>
            <w:noProof/>
            <w:webHidden/>
          </w:rPr>
          <w:fldChar w:fldCharType="end"/>
        </w:r>
      </w:hyperlink>
    </w:p>
    <w:p w14:paraId="712E5633" w14:textId="461F6539" w:rsidR="003B042F" w:rsidRDefault="003B042F">
      <w:pPr>
        <w:pStyle w:val="TOC3"/>
        <w:rPr>
          <w:rFonts w:asciiTheme="minorHAnsi" w:eastAsiaTheme="minorEastAsia" w:hAnsiTheme="minorHAnsi"/>
          <w:b w:val="0"/>
          <w:noProof/>
          <w:sz w:val="22"/>
          <w:lang w:eastAsia="en-AU"/>
        </w:rPr>
      </w:pPr>
      <w:hyperlink w:anchor="_Toc175238881" w:history="1">
        <w:r w:rsidRPr="005871B3">
          <w:rPr>
            <w:rStyle w:val="Hyperlink"/>
            <w:noProof/>
          </w:rPr>
          <w:t>Subdivision 5—Conduct in court</w:t>
        </w:r>
        <w:r>
          <w:rPr>
            <w:noProof/>
            <w:webHidden/>
          </w:rPr>
          <w:tab/>
        </w:r>
        <w:r>
          <w:rPr>
            <w:noProof/>
            <w:webHidden/>
          </w:rPr>
          <w:fldChar w:fldCharType="begin"/>
        </w:r>
        <w:r>
          <w:rPr>
            <w:noProof/>
            <w:webHidden/>
          </w:rPr>
          <w:instrText xml:space="preserve"> PAGEREF _Toc175238881 \h </w:instrText>
        </w:r>
        <w:r>
          <w:rPr>
            <w:noProof/>
            <w:webHidden/>
          </w:rPr>
        </w:r>
        <w:r>
          <w:rPr>
            <w:noProof/>
            <w:webHidden/>
          </w:rPr>
          <w:fldChar w:fldCharType="separate"/>
        </w:r>
        <w:r w:rsidR="00FD06AB">
          <w:rPr>
            <w:noProof/>
            <w:webHidden/>
          </w:rPr>
          <w:t>78</w:t>
        </w:r>
        <w:r>
          <w:rPr>
            <w:noProof/>
            <w:webHidden/>
          </w:rPr>
          <w:fldChar w:fldCharType="end"/>
        </w:r>
      </w:hyperlink>
    </w:p>
    <w:p w14:paraId="19ADE607" w14:textId="33728A80" w:rsidR="003B042F" w:rsidRDefault="003B042F">
      <w:pPr>
        <w:pStyle w:val="TOC4"/>
        <w:rPr>
          <w:rFonts w:asciiTheme="minorHAnsi" w:eastAsiaTheme="minorEastAsia" w:hAnsiTheme="minorHAnsi"/>
          <w:noProof/>
          <w:sz w:val="22"/>
          <w:lang w:eastAsia="en-AU"/>
        </w:rPr>
      </w:pPr>
      <w:hyperlink w:anchor="_Toc175238882" w:history="1">
        <w:r w:rsidRPr="005871B3">
          <w:rPr>
            <w:rStyle w:val="Hyperlink"/>
            <w:noProof/>
          </w:rPr>
          <w:t>38.11—Recording events in court</w:t>
        </w:r>
        <w:r>
          <w:rPr>
            <w:noProof/>
            <w:webHidden/>
          </w:rPr>
          <w:tab/>
        </w:r>
        <w:r>
          <w:rPr>
            <w:noProof/>
            <w:webHidden/>
          </w:rPr>
          <w:fldChar w:fldCharType="begin"/>
        </w:r>
        <w:r>
          <w:rPr>
            <w:noProof/>
            <w:webHidden/>
          </w:rPr>
          <w:instrText xml:space="preserve"> PAGEREF _Toc175238882 \h </w:instrText>
        </w:r>
        <w:r>
          <w:rPr>
            <w:noProof/>
            <w:webHidden/>
          </w:rPr>
        </w:r>
        <w:r>
          <w:rPr>
            <w:noProof/>
            <w:webHidden/>
          </w:rPr>
          <w:fldChar w:fldCharType="separate"/>
        </w:r>
        <w:r w:rsidR="00FD06AB">
          <w:rPr>
            <w:noProof/>
            <w:webHidden/>
          </w:rPr>
          <w:t>78</w:t>
        </w:r>
        <w:r>
          <w:rPr>
            <w:noProof/>
            <w:webHidden/>
          </w:rPr>
          <w:fldChar w:fldCharType="end"/>
        </w:r>
      </w:hyperlink>
    </w:p>
    <w:p w14:paraId="3F5E6BFE" w14:textId="2207D9EB" w:rsidR="003B042F" w:rsidRDefault="003B042F">
      <w:pPr>
        <w:pStyle w:val="TOC4"/>
        <w:rPr>
          <w:rFonts w:asciiTheme="minorHAnsi" w:eastAsiaTheme="minorEastAsia" w:hAnsiTheme="minorHAnsi"/>
          <w:noProof/>
          <w:sz w:val="22"/>
          <w:lang w:eastAsia="en-AU"/>
        </w:rPr>
      </w:pPr>
      <w:hyperlink w:anchor="_Toc175238883" w:history="1">
        <w:r w:rsidRPr="005871B3">
          <w:rPr>
            <w:rStyle w:val="Hyperlink"/>
            <w:noProof/>
          </w:rPr>
          <w:t>38.12—Electronic communications in court</w:t>
        </w:r>
        <w:r>
          <w:rPr>
            <w:noProof/>
            <w:webHidden/>
          </w:rPr>
          <w:tab/>
        </w:r>
        <w:r>
          <w:rPr>
            <w:noProof/>
            <w:webHidden/>
          </w:rPr>
          <w:fldChar w:fldCharType="begin"/>
        </w:r>
        <w:r>
          <w:rPr>
            <w:noProof/>
            <w:webHidden/>
          </w:rPr>
          <w:instrText xml:space="preserve"> PAGEREF _Toc175238883 \h </w:instrText>
        </w:r>
        <w:r>
          <w:rPr>
            <w:noProof/>
            <w:webHidden/>
          </w:rPr>
        </w:r>
        <w:r>
          <w:rPr>
            <w:noProof/>
            <w:webHidden/>
          </w:rPr>
          <w:fldChar w:fldCharType="separate"/>
        </w:r>
        <w:r w:rsidR="00FD06AB">
          <w:rPr>
            <w:noProof/>
            <w:webHidden/>
          </w:rPr>
          <w:t>79</w:t>
        </w:r>
        <w:r>
          <w:rPr>
            <w:noProof/>
            <w:webHidden/>
          </w:rPr>
          <w:fldChar w:fldCharType="end"/>
        </w:r>
      </w:hyperlink>
    </w:p>
    <w:p w14:paraId="2461B3C3" w14:textId="03CF2C93" w:rsidR="003B042F" w:rsidRDefault="003B042F">
      <w:pPr>
        <w:pStyle w:val="TOC4"/>
        <w:rPr>
          <w:rFonts w:asciiTheme="minorHAnsi" w:eastAsiaTheme="minorEastAsia" w:hAnsiTheme="minorHAnsi"/>
          <w:noProof/>
          <w:sz w:val="22"/>
          <w:lang w:eastAsia="en-AU"/>
        </w:rPr>
      </w:pPr>
      <w:hyperlink w:anchor="_Toc175238884" w:history="1">
        <w:r w:rsidRPr="005871B3">
          <w:rPr>
            <w:rStyle w:val="Hyperlink"/>
            <w:noProof/>
          </w:rPr>
          <w:t>38.13—Attire</w:t>
        </w:r>
        <w:r>
          <w:rPr>
            <w:noProof/>
            <w:webHidden/>
          </w:rPr>
          <w:tab/>
        </w:r>
        <w:r>
          <w:rPr>
            <w:noProof/>
            <w:webHidden/>
          </w:rPr>
          <w:fldChar w:fldCharType="begin"/>
        </w:r>
        <w:r>
          <w:rPr>
            <w:noProof/>
            <w:webHidden/>
          </w:rPr>
          <w:instrText xml:space="preserve"> PAGEREF _Toc175238884 \h </w:instrText>
        </w:r>
        <w:r>
          <w:rPr>
            <w:noProof/>
            <w:webHidden/>
          </w:rPr>
        </w:r>
        <w:r>
          <w:rPr>
            <w:noProof/>
            <w:webHidden/>
          </w:rPr>
          <w:fldChar w:fldCharType="separate"/>
        </w:r>
        <w:r w:rsidR="00FD06AB">
          <w:rPr>
            <w:noProof/>
            <w:webHidden/>
          </w:rPr>
          <w:t>80</w:t>
        </w:r>
        <w:r>
          <w:rPr>
            <w:noProof/>
            <w:webHidden/>
          </w:rPr>
          <w:fldChar w:fldCharType="end"/>
        </w:r>
      </w:hyperlink>
    </w:p>
    <w:p w14:paraId="5339F410" w14:textId="64F7D71D" w:rsidR="003B042F" w:rsidRDefault="003B042F">
      <w:pPr>
        <w:pStyle w:val="TOC4"/>
        <w:rPr>
          <w:rFonts w:asciiTheme="minorHAnsi" w:eastAsiaTheme="minorEastAsia" w:hAnsiTheme="minorHAnsi"/>
          <w:noProof/>
          <w:sz w:val="22"/>
          <w:lang w:eastAsia="en-AU"/>
        </w:rPr>
      </w:pPr>
      <w:hyperlink w:anchor="_Toc175238885" w:history="1">
        <w:r w:rsidRPr="005871B3">
          <w:rPr>
            <w:rStyle w:val="Hyperlink"/>
            <w:noProof/>
          </w:rPr>
          <w:t>38</w:t>
        </w:r>
        <w:r w:rsidRPr="005871B3">
          <w:rPr>
            <w:rStyle w:val="Hyperlink"/>
            <w:noProof/>
            <w:lang w:val="en-GB"/>
          </w:rPr>
          <w:t>.14—Interpreters in court</w:t>
        </w:r>
        <w:r>
          <w:rPr>
            <w:noProof/>
            <w:webHidden/>
          </w:rPr>
          <w:tab/>
        </w:r>
        <w:r>
          <w:rPr>
            <w:noProof/>
            <w:webHidden/>
          </w:rPr>
          <w:fldChar w:fldCharType="begin"/>
        </w:r>
        <w:r>
          <w:rPr>
            <w:noProof/>
            <w:webHidden/>
          </w:rPr>
          <w:instrText xml:space="preserve"> PAGEREF _Toc175238885 \h </w:instrText>
        </w:r>
        <w:r>
          <w:rPr>
            <w:noProof/>
            <w:webHidden/>
          </w:rPr>
        </w:r>
        <w:r>
          <w:rPr>
            <w:noProof/>
            <w:webHidden/>
          </w:rPr>
          <w:fldChar w:fldCharType="separate"/>
        </w:r>
        <w:r w:rsidR="00FD06AB">
          <w:rPr>
            <w:noProof/>
            <w:webHidden/>
          </w:rPr>
          <w:t>80</w:t>
        </w:r>
        <w:r>
          <w:rPr>
            <w:noProof/>
            <w:webHidden/>
          </w:rPr>
          <w:fldChar w:fldCharType="end"/>
        </w:r>
      </w:hyperlink>
    </w:p>
    <w:p w14:paraId="7154FACD" w14:textId="29B40F8C" w:rsidR="003B042F" w:rsidRDefault="003B042F">
      <w:pPr>
        <w:pStyle w:val="TOC4"/>
        <w:rPr>
          <w:rFonts w:asciiTheme="minorHAnsi" w:eastAsiaTheme="minorEastAsia" w:hAnsiTheme="minorHAnsi"/>
          <w:noProof/>
          <w:sz w:val="22"/>
          <w:lang w:eastAsia="en-AU"/>
        </w:rPr>
      </w:pPr>
      <w:hyperlink w:anchor="_Toc175238886" w:history="1">
        <w:r w:rsidRPr="005871B3">
          <w:rPr>
            <w:rStyle w:val="Hyperlink"/>
            <w:noProof/>
          </w:rPr>
          <w:t>38.15—Facilities in court</w:t>
        </w:r>
        <w:r>
          <w:rPr>
            <w:noProof/>
            <w:webHidden/>
          </w:rPr>
          <w:tab/>
        </w:r>
        <w:r>
          <w:rPr>
            <w:noProof/>
            <w:webHidden/>
          </w:rPr>
          <w:fldChar w:fldCharType="begin"/>
        </w:r>
        <w:r>
          <w:rPr>
            <w:noProof/>
            <w:webHidden/>
          </w:rPr>
          <w:instrText xml:space="preserve"> PAGEREF _Toc175238886 \h </w:instrText>
        </w:r>
        <w:r>
          <w:rPr>
            <w:noProof/>
            <w:webHidden/>
          </w:rPr>
        </w:r>
        <w:r>
          <w:rPr>
            <w:noProof/>
            <w:webHidden/>
          </w:rPr>
          <w:fldChar w:fldCharType="separate"/>
        </w:r>
        <w:r w:rsidR="00FD06AB">
          <w:rPr>
            <w:noProof/>
            <w:webHidden/>
          </w:rPr>
          <w:t>80</w:t>
        </w:r>
        <w:r>
          <w:rPr>
            <w:noProof/>
            <w:webHidden/>
          </w:rPr>
          <w:fldChar w:fldCharType="end"/>
        </w:r>
      </w:hyperlink>
    </w:p>
    <w:p w14:paraId="64268760" w14:textId="54FE6D84" w:rsidR="003B042F" w:rsidRDefault="003B042F">
      <w:pPr>
        <w:pStyle w:val="TOC4"/>
        <w:rPr>
          <w:rFonts w:asciiTheme="minorHAnsi" w:eastAsiaTheme="minorEastAsia" w:hAnsiTheme="minorHAnsi"/>
          <w:noProof/>
          <w:sz w:val="22"/>
          <w:lang w:eastAsia="en-AU"/>
        </w:rPr>
      </w:pPr>
      <w:hyperlink w:anchor="_Toc175238887" w:history="1">
        <w:r w:rsidRPr="005871B3">
          <w:rPr>
            <w:rStyle w:val="Hyperlink"/>
            <w:noProof/>
          </w:rPr>
          <w:t>38</w:t>
        </w:r>
        <w:r w:rsidRPr="005871B3">
          <w:rPr>
            <w:rStyle w:val="Hyperlink"/>
            <w:noProof/>
            <w:lang w:val="en-GB"/>
          </w:rPr>
          <w:t>.16—Information for court reporters</w:t>
        </w:r>
        <w:r>
          <w:rPr>
            <w:noProof/>
            <w:webHidden/>
          </w:rPr>
          <w:tab/>
        </w:r>
        <w:r>
          <w:rPr>
            <w:noProof/>
            <w:webHidden/>
          </w:rPr>
          <w:fldChar w:fldCharType="begin"/>
        </w:r>
        <w:r>
          <w:rPr>
            <w:noProof/>
            <w:webHidden/>
          </w:rPr>
          <w:instrText xml:space="preserve"> PAGEREF _Toc175238887 \h </w:instrText>
        </w:r>
        <w:r>
          <w:rPr>
            <w:noProof/>
            <w:webHidden/>
          </w:rPr>
        </w:r>
        <w:r>
          <w:rPr>
            <w:noProof/>
            <w:webHidden/>
          </w:rPr>
          <w:fldChar w:fldCharType="separate"/>
        </w:r>
        <w:r w:rsidR="00FD06AB">
          <w:rPr>
            <w:noProof/>
            <w:webHidden/>
          </w:rPr>
          <w:t>80</w:t>
        </w:r>
        <w:r>
          <w:rPr>
            <w:noProof/>
            <w:webHidden/>
          </w:rPr>
          <w:fldChar w:fldCharType="end"/>
        </w:r>
      </w:hyperlink>
    </w:p>
    <w:p w14:paraId="35246649" w14:textId="3516B92D" w:rsidR="003B042F" w:rsidRDefault="003B042F">
      <w:pPr>
        <w:pStyle w:val="TOC4"/>
        <w:rPr>
          <w:rFonts w:asciiTheme="minorHAnsi" w:eastAsiaTheme="minorEastAsia" w:hAnsiTheme="minorHAnsi"/>
          <w:noProof/>
          <w:sz w:val="22"/>
          <w:lang w:eastAsia="en-AU"/>
        </w:rPr>
      </w:pPr>
      <w:hyperlink w:anchor="_Toc175238888" w:history="1">
        <w:r w:rsidRPr="005871B3">
          <w:rPr>
            <w:rStyle w:val="Hyperlink"/>
            <w:noProof/>
          </w:rPr>
          <w:t>38.17— Requirement to produce hard copies</w:t>
        </w:r>
        <w:r>
          <w:rPr>
            <w:noProof/>
            <w:webHidden/>
          </w:rPr>
          <w:tab/>
        </w:r>
        <w:r>
          <w:rPr>
            <w:noProof/>
            <w:webHidden/>
          </w:rPr>
          <w:fldChar w:fldCharType="begin"/>
        </w:r>
        <w:r>
          <w:rPr>
            <w:noProof/>
            <w:webHidden/>
          </w:rPr>
          <w:instrText xml:space="preserve"> PAGEREF _Toc175238888 \h </w:instrText>
        </w:r>
        <w:r>
          <w:rPr>
            <w:noProof/>
            <w:webHidden/>
          </w:rPr>
        </w:r>
        <w:r>
          <w:rPr>
            <w:noProof/>
            <w:webHidden/>
          </w:rPr>
          <w:fldChar w:fldCharType="separate"/>
        </w:r>
        <w:r w:rsidR="00FD06AB">
          <w:rPr>
            <w:noProof/>
            <w:webHidden/>
          </w:rPr>
          <w:t>81</w:t>
        </w:r>
        <w:r>
          <w:rPr>
            <w:noProof/>
            <w:webHidden/>
          </w:rPr>
          <w:fldChar w:fldCharType="end"/>
        </w:r>
      </w:hyperlink>
    </w:p>
    <w:p w14:paraId="5074D463" w14:textId="535FDC71" w:rsidR="003B042F" w:rsidRDefault="003B042F">
      <w:pPr>
        <w:pStyle w:val="TOC3"/>
        <w:rPr>
          <w:rFonts w:asciiTheme="minorHAnsi" w:eastAsiaTheme="minorEastAsia" w:hAnsiTheme="minorHAnsi"/>
          <w:b w:val="0"/>
          <w:noProof/>
          <w:sz w:val="22"/>
          <w:lang w:eastAsia="en-AU"/>
        </w:rPr>
      </w:pPr>
      <w:hyperlink w:anchor="_Toc175238889" w:history="1">
        <w:r w:rsidRPr="005871B3">
          <w:rPr>
            <w:rStyle w:val="Hyperlink"/>
            <w:noProof/>
          </w:rPr>
          <w:t>Division 3—Applications</w:t>
        </w:r>
        <w:r>
          <w:rPr>
            <w:noProof/>
            <w:webHidden/>
          </w:rPr>
          <w:tab/>
        </w:r>
        <w:r>
          <w:rPr>
            <w:noProof/>
            <w:webHidden/>
          </w:rPr>
          <w:fldChar w:fldCharType="begin"/>
        </w:r>
        <w:r>
          <w:rPr>
            <w:noProof/>
            <w:webHidden/>
          </w:rPr>
          <w:instrText xml:space="preserve"> PAGEREF _Toc175238889 \h </w:instrText>
        </w:r>
        <w:r>
          <w:rPr>
            <w:noProof/>
            <w:webHidden/>
          </w:rPr>
        </w:r>
        <w:r>
          <w:rPr>
            <w:noProof/>
            <w:webHidden/>
          </w:rPr>
          <w:fldChar w:fldCharType="separate"/>
        </w:r>
        <w:r w:rsidR="00FD06AB">
          <w:rPr>
            <w:noProof/>
            <w:webHidden/>
          </w:rPr>
          <w:t>81</w:t>
        </w:r>
        <w:r>
          <w:rPr>
            <w:noProof/>
            <w:webHidden/>
          </w:rPr>
          <w:fldChar w:fldCharType="end"/>
        </w:r>
      </w:hyperlink>
    </w:p>
    <w:p w14:paraId="2D04B9F3" w14:textId="3F7A6AD9" w:rsidR="003B042F" w:rsidRDefault="003B042F">
      <w:pPr>
        <w:pStyle w:val="TOC4"/>
        <w:rPr>
          <w:rFonts w:asciiTheme="minorHAnsi" w:eastAsiaTheme="minorEastAsia" w:hAnsiTheme="minorHAnsi"/>
          <w:noProof/>
          <w:sz w:val="22"/>
          <w:lang w:eastAsia="en-AU"/>
        </w:rPr>
      </w:pPr>
      <w:hyperlink w:anchor="_Toc175238890" w:history="1">
        <w:r w:rsidRPr="005871B3">
          <w:rPr>
            <w:rStyle w:val="Hyperlink"/>
            <w:noProof/>
          </w:rPr>
          <w:t>39.1—Written application</w:t>
        </w:r>
        <w:r>
          <w:rPr>
            <w:noProof/>
            <w:webHidden/>
          </w:rPr>
          <w:tab/>
        </w:r>
        <w:r>
          <w:rPr>
            <w:noProof/>
            <w:webHidden/>
          </w:rPr>
          <w:fldChar w:fldCharType="begin"/>
        </w:r>
        <w:r>
          <w:rPr>
            <w:noProof/>
            <w:webHidden/>
          </w:rPr>
          <w:instrText xml:space="preserve"> PAGEREF _Toc175238890 \h </w:instrText>
        </w:r>
        <w:r>
          <w:rPr>
            <w:noProof/>
            <w:webHidden/>
          </w:rPr>
        </w:r>
        <w:r>
          <w:rPr>
            <w:noProof/>
            <w:webHidden/>
          </w:rPr>
          <w:fldChar w:fldCharType="separate"/>
        </w:r>
        <w:r w:rsidR="00FD06AB">
          <w:rPr>
            <w:noProof/>
            <w:webHidden/>
          </w:rPr>
          <w:t>81</w:t>
        </w:r>
        <w:r>
          <w:rPr>
            <w:noProof/>
            <w:webHidden/>
          </w:rPr>
          <w:fldChar w:fldCharType="end"/>
        </w:r>
      </w:hyperlink>
    </w:p>
    <w:p w14:paraId="295E6CE8" w14:textId="018DD3D6" w:rsidR="003B042F" w:rsidRDefault="003B042F">
      <w:pPr>
        <w:pStyle w:val="TOC4"/>
        <w:rPr>
          <w:rFonts w:asciiTheme="minorHAnsi" w:eastAsiaTheme="minorEastAsia" w:hAnsiTheme="minorHAnsi"/>
          <w:noProof/>
          <w:sz w:val="22"/>
          <w:lang w:eastAsia="en-AU"/>
        </w:rPr>
      </w:pPr>
      <w:hyperlink w:anchor="_Toc175238891" w:history="1">
        <w:r w:rsidRPr="005871B3">
          <w:rPr>
            <w:rStyle w:val="Hyperlink"/>
            <w:noProof/>
          </w:rPr>
          <w:t>39.2—Oral application</w:t>
        </w:r>
        <w:r>
          <w:rPr>
            <w:noProof/>
            <w:webHidden/>
          </w:rPr>
          <w:tab/>
        </w:r>
        <w:r>
          <w:rPr>
            <w:noProof/>
            <w:webHidden/>
          </w:rPr>
          <w:fldChar w:fldCharType="begin"/>
        </w:r>
        <w:r>
          <w:rPr>
            <w:noProof/>
            <w:webHidden/>
          </w:rPr>
          <w:instrText xml:space="preserve"> PAGEREF _Toc175238891 \h </w:instrText>
        </w:r>
        <w:r>
          <w:rPr>
            <w:noProof/>
            <w:webHidden/>
          </w:rPr>
        </w:r>
        <w:r>
          <w:rPr>
            <w:noProof/>
            <w:webHidden/>
          </w:rPr>
          <w:fldChar w:fldCharType="separate"/>
        </w:r>
        <w:r w:rsidR="00FD06AB">
          <w:rPr>
            <w:noProof/>
            <w:webHidden/>
          </w:rPr>
          <w:t>83</w:t>
        </w:r>
        <w:r>
          <w:rPr>
            <w:noProof/>
            <w:webHidden/>
          </w:rPr>
          <w:fldChar w:fldCharType="end"/>
        </w:r>
      </w:hyperlink>
    </w:p>
    <w:p w14:paraId="2684BAA7" w14:textId="7995F391" w:rsidR="003B042F" w:rsidRDefault="003B042F">
      <w:pPr>
        <w:pStyle w:val="TOC4"/>
        <w:rPr>
          <w:rFonts w:asciiTheme="minorHAnsi" w:eastAsiaTheme="minorEastAsia" w:hAnsiTheme="minorHAnsi"/>
          <w:noProof/>
          <w:sz w:val="22"/>
          <w:lang w:eastAsia="en-AU"/>
        </w:rPr>
      </w:pPr>
      <w:hyperlink w:anchor="_Toc175238892" w:history="1">
        <w:r w:rsidRPr="005871B3">
          <w:rPr>
            <w:rStyle w:val="Hyperlink"/>
            <w:noProof/>
          </w:rPr>
          <w:t>39.3—Draft orders and consents to orders</w:t>
        </w:r>
        <w:r>
          <w:rPr>
            <w:noProof/>
            <w:webHidden/>
          </w:rPr>
          <w:tab/>
        </w:r>
        <w:r>
          <w:rPr>
            <w:noProof/>
            <w:webHidden/>
          </w:rPr>
          <w:fldChar w:fldCharType="begin"/>
        </w:r>
        <w:r>
          <w:rPr>
            <w:noProof/>
            <w:webHidden/>
          </w:rPr>
          <w:instrText xml:space="preserve"> PAGEREF _Toc175238892 \h </w:instrText>
        </w:r>
        <w:r>
          <w:rPr>
            <w:noProof/>
            <w:webHidden/>
          </w:rPr>
        </w:r>
        <w:r>
          <w:rPr>
            <w:noProof/>
            <w:webHidden/>
          </w:rPr>
          <w:fldChar w:fldCharType="separate"/>
        </w:r>
        <w:r w:rsidR="00FD06AB">
          <w:rPr>
            <w:noProof/>
            <w:webHidden/>
          </w:rPr>
          <w:t>83</w:t>
        </w:r>
        <w:r>
          <w:rPr>
            <w:noProof/>
            <w:webHidden/>
          </w:rPr>
          <w:fldChar w:fldCharType="end"/>
        </w:r>
      </w:hyperlink>
    </w:p>
    <w:p w14:paraId="4CF95F40" w14:textId="141B22A0" w:rsidR="003B042F" w:rsidRDefault="003B042F">
      <w:pPr>
        <w:pStyle w:val="TOC4"/>
        <w:rPr>
          <w:rFonts w:asciiTheme="minorHAnsi" w:eastAsiaTheme="minorEastAsia" w:hAnsiTheme="minorHAnsi"/>
          <w:noProof/>
          <w:sz w:val="22"/>
          <w:lang w:eastAsia="en-AU"/>
        </w:rPr>
      </w:pPr>
      <w:hyperlink w:anchor="_Toc175238893" w:history="1">
        <w:r w:rsidRPr="005871B3">
          <w:rPr>
            <w:rStyle w:val="Hyperlink"/>
            <w:noProof/>
          </w:rPr>
          <w:t>39.4—Subpoena</w:t>
        </w:r>
        <w:r>
          <w:rPr>
            <w:noProof/>
            <w:webHidden/>
          </w:rPr>
          <w:tab/>
        </w:r>
        <w:r>
          <w:rPr>
            <w:noProof/>
            <w:webHidden/>
          </w:rPr>
          <w:fldChar w:fldCharType="begin"/>
        </w:r>
        <w:r>
          <w:rPr>
            <w:noProof/>
            <w:webHidden/>
          </w:rPr>
          <w:instrText xml:space="preserve"> PAGEREF _Toc175238893 \h </w:instrText>
        </w:r>
        <w:r>
          <w:rPr>
            <w:noProof/>
            <w:webHidden/>
          </w:rPr>
        </w:r>
        <w:r>
          <w:rPr>
            <w:noProof/>
            <w:webHidden/>
          </w:rPr>
          <w:fldChar w:fldCharType="separate"/>
        </w:r>
        <w:r w:rsidR="00FD06AB">
          <w:rPr>
            <w:noProof/>
            <w:webHidden/>
          </w:rPr>
          <w:t>83</w:t>
        </w:r>
        <w:r>
          <w:rPr>
            <w:noProof/>
            <w:webHidden/>
          </w:rPr>
          <w:fldChar w:fldCharType="end"/>
        </w:r>
      </w:hyperlink>
    </w:p>
    <w:p w14:paraId="15C7F823" w14:textId="1C5AE4C7" w:rsidR="003B042F" w:rsidRDefault="003B042F">
      <w:pPr>
        <w:pStyle w:val="TOC3"/>
        <w:rPr>
          <w:rFonts w:asciiTheme="minorHAnsi" w:eastAsiaTheme="minorEastAsia" w:hAnsiTheme="minorHAnsi"/>
          <w:b w:val="0"/>
          <w:noProof/>
          <w:sz w:val="22"/>
          <w:lang w:eastAsia="en-AU"/>
        </w:rPr>
      </w:pPr>
      <w:hyperlink w:anchor="_Toc175238894" w:history="1">
        <w:r w:rsidRPr="005871B3">
          <w:rPr>
            <w:rStyle w:val="Hyperlink"/>
            <w:noProof/>
          </w:rPr>
          <w:t>Division 4—Orders</w:t>
        </w:r>
        <w:r>
          <w:rPr>
            <w:noProof/>
            <w:webHidden/>
          </w:rPr>
          <w:tab/>
        </w:r>
        <w:r>
          <w:rPr>
            <w:noProof/>
            <w:webHidden/>
          </w:rPr>
          <w:fldChar w:fldCharType="begin"/>
        </w:r>
        <w:r>
          <w:rPr>
            <w:noProof/>
            <w:webHidden/>
          </w:rPr>
          <w:instrText xml:space="preserve"> PAGEREF _Toc175238894 \h </w:instrText>
        </w:r>
        <w:r>
          <w:rPr>
            <w:noProof/>
            <w:webHidden/>
          </w:rPr>
        </w:r>
        <w:r>
          <w:rPr>
            <w:noProof/>
            <w:webHidden/>
          </w:rPr>
          <w:fldChar w:fldCharType="separate"/>
        </w:r>
        <w:r w:rsidR="00FD06AB">
          <w:rPr>
            <w:noProof/>
            <w:webHidden/>
          </w:rPr>
          <w:t>83</w:t>
        </w:r>
        <w:r>
          <w:rPr>
            <w:noProof/>
            <w:webHidden/>
          </w:rPr>
          <w:fldChar w:fldCharType="end"/>
        </w:r>
      </w:hyperlink>
    </w:p>
    <w:p w14:paraId="3387210B" w14:textId="4658C637" w:rsidR="003B042F" w:rsidRDefault="003B042F">
      <w:pPr>
        <w:pStyle w:val="TOC3"/>
        <w:rPr>
          <w:rFonts w:asciiTheme="minorHAnsi" w:eastAsiaTheme="minorEastAsia" w:hAnsiTheme="minorHAnsi"/>
          <w:b w:val="0"/>
          <w:noProof/>
          <w:sz w:val="22"/>
          <w:lang w:eastAsia="en-AU"/>
        </w:rPr>
      </w:pPr>
      <w:hyperlink w:anchor="_Toc175238895" w:history="1">
        <w:r w:rsidRPr="005871B3">
          <w:rPr>
            <w:rStyle w:val="Hyperlink"/>
            <w:noProof/>
          </w:rPr>
          <w:t>Subdivision 1—General</w:t>
        </w:r>
        <w:r>
          <w:rPr>
            <w:noProof/>
            <w:webHidden/>
          </w:rPr>
          <w:tab/>
        </w:r>
        <w:r>
          <w:rPr>
            <w:noProof/>
            <w:webHidden/>
          </w:rPr>
          <w:fldChar w:fldCharType="begin"/>
        </w:r>
        <w:r>
          <w:rPr>
            <w:noProof/>
            <w:webHidden/>
          </w:rPr>
          <w:instrText xml:space="preserve"> PAGEREF _Toc175238895 \h </w:instrText>
        </w:r>
        <w:r>
          <w:rPr>
            <w:noProof/>
            <w:webHidden/>
          </w:rPr>
        </w:r>
        <w:r>
          <w:rPr>
            <w:noProof/>
            <w:webHidden/>
          </w:rPr>
          <w:fldChar w:fldCharType="separate"/>
        </w:r>
        <w:r w:rsidR="00FD06AB">
          <w:rPr>
            <w:noProof/>
            <w:webHidden/>
          </w:rPr>
          <w:t>83</w:t>
        </w:r>
        <w:r>
          <w:rPr>
            <w:noProof/>
            <w:webHidden/>
          </w:rPr>
          <w:fldChar w:fldCharType="end"/>
        </w:r>
      </w:hyperlink>
    </w:p>
    <w:p w14:paraId="620B8407" w14:textId="15770010" w:rsidR="003B042F" w:rsidRDefault="003B042F">
      <w:pPr>
        <w:pStyle w:val="TOC4"/>
        <w:rPr>
          <w:rFonts w:asciiTheme="minorHAnsi" w:eastAsiaTheme="minorEastAsia" w:hAnsiTheme="minorHAnsi"/>
          <w:noProof/>
          <w:sz w:val="22"/>
          <w:lang w:eastAsia="en-AU"/>
        </w:rPr>
      </w:pPr>
      <w:hyperlink w:anchor="_Toc175238896" w:history="1">
        <w:r w:rsidRPr="005871B3">
          <w:rPr>
            <w:rStyle w:val="Hyperlink"/>
            <w:noProof/>
          </w:rPr>
          <w:t>40.1—Orders not in presence of parties</w:t>
        </w:r>
        <w:r>
          <w:rPr>
            <w:noProof/>
            <w:webHidden/>
          </w:rPr>
          <w:tab/>
        </w:r>
        <w:r>
          <w:rPr>
            <w:noProof/>
            <w:webHidden/>
          </w:rPr>
          <w:fldChar w:fldCharType="begin"/>
        </w:r>
        <w:r>
          <w:rPr>
            <w:noProof/>
            <w:webHidden/>
          </w:rPr>
          <w:instrText xml:space="preserve"> PAGEREF _Toc175238896 \h </w:instrText>
        </w:r>
        <w:r>
          <w:rPr>
            <w:noProof/>
            <w:webHidden/>
          </w:rPr>
        </w:r>
        <w:r>
          <w:rPr>
            <w:noProof/>
            <w:webHidden/>
          </w:rPr>
          <w:fldChar w:fldCharType="separate"/>
        </w:r>
        <w:r w:rsidR="00FD06AB">
          <w:rPr>
            <w:noProof/>
            <w:webHidden/>
          </w:rPr>
          <w:t>83</w:t>
        </w:r>
        <w:r>
          <w:rPr>
            <w:noProof/>
            <w:webHidden/>
          </w:rPr>
          <w:fldChar w:fldCharType="end"/>
        </w:r>
      </w:hyperlink>
    </w:p>
    <w:p w14:paraId="6ED4E2FF" w14:textId="666D92E0" w:rsidR="003B042F" w:rsidRDefault="003B042F">
      <w:pPr>
        <w:pStyle w:val="TOC4"/>
        <w:rPr>
          <w:rFonts w:asciiTheme="minorHAnsi" w:eastAsiaTheme="minorEastAsia" w:hAnsiTheme="minorHAnsi"/>
          <w:noProof/>
          <w:sz w:val="22"/>
          <w:lang w:eastAsia="en-AU"/>
        </w:rPr>
      </w:pPr>
      <w:hyperlink w:anchor="_Toc175238897" w:history="1">
        <w:r w:rsidRPr="005871B3">
          <w:rPr>
            <w:rStyle w:val="Hyperlink"/>
            <w:noProof/>
          </w:rPr>
          <w:t>40.2—Pronouncement and record of order by Court</w:t>
        </w:r>
        <w:r>
          <w:rPr>
            <w:noProof/>
            <w:webHidden/>
          </w:rPr>
          <w:tab/>
        </w:r>
        <w:r>
          <w:rPr>
            <w:noProof/>
            <w:webHidden/>
          </w:rPr>
          <w:fldChar w:fldCharType="begin"/>
        </w:r>
        <w:r>
          <w:rPr>
            <w:noProof/>
            <w:webHidden/>
          </w:rPr>
          <w:instrText xml:space="preserve"> PAGEREF _Toc175238897 \h </w:instrText>
        </w:r>
        <w:r>
          <w:rPr>
            <w:noProof/>
            <w:webHidden/>
          </w:rPr>
        </w:r>
        <w:r>
          <w:rPr>
            <w:noProof/>
            <w:webHidden/>
          </w:rPr>
          <w:fldChar w:fldCharType="separate"/>
        </w:r>
        <w:r w:rsidR="00FD06AB">
          <w:rPr>
            <w:noProof/>
            <w:webHidden/>
          </w:rPr>
          <w:t>84</w:t>
        </w:r>
        <w:r>
          <w:rPr>
            <w:noProof/>
            <w:webHidden/>
          </w:rPr>
          <w:fldChar w:fldCharType="end"/>
        </w:r>
      </w:hyperlink>
    </w:p>
    <w:p w14:paraId="78154466" w14:textId="20BEECF6" w:rsidR="003B042F" w:rsidRDefault="003B042F">
      <w:pPr>
        <w:pStyle w:val="TOC4"/>
        <w:rPr>
          <w:rFonts w:asciiTheme="minorHAnsi" w:eastAsiaTheme="minorEastAsia" w:hAnsiTheme="minorHAnsi"/>
          <w:noProof/>
          <w:sz w:val="22"/>
          <w:lang w:eastAsia="en-AU"/>
        </w:rPr>
      </w:pPr>
      <w:hyperlink w:anchor="_Toc175238898" w:history="1">
        <w:r w:rsidRPr="005871B3">
          <w:rPr>
            <w:rStyle w:val="Hyperlink"/>
            <w:noProof/>
          </w:rPr>
          <w:t>40.3—Subsequent variation of order</w:t>
        </w:r>
        <w:r>
          <w:rPr>
            <w:noProof/>
            <w:webHidden/>
          </w:rPr>
          <w:tab/>
        </w:r>
        <w:r>
          <w:rPr>
            <w:noProof/>
            <w:webHidden/>
          </w:rPr>
          <w:fldChar w:fldCharType="begin"/>
        </w:r>
        <w:r>
          <w:rPr>
            <w:noProof/>
            <w:webHidden/>
          </w:rPr>
          <w:instrText xml:space="preserve"> PAGEREF _Toc175238898 \h </w:instrText>
        </w:r>
        <w:r>
          <w:rPr>
            <w:noProof/>
            <w:webHidden/>
          </w:rPr>
        </w:r>
        <w:r>
          <w:rPr>
            <w:noProof/>
            <w:webHidden/>
          </w:rPr>
          <w:fldChar w:fldCharType="separate"/>
        </w:r>
        <w:r w:rsidR="00FD06AB">
          <w:rPr>
            <w:noProof/>
            <w:webHidden/>
          </w:rPr>
          <w:t>84</w:t>
        </w:r>
        <w:r>
          <w:rPr>
            <w:noProof/>
            <w:webHidden/>
          </w:rPr>
          <w:fldChar w:fldCharType="end"/>
        </w:r>
      </w:hyperlink>
    </w:p>
    <w:p w14:paraId="62EDEF52" w14:textId="17A5F5A4" w:rsidR="003B042F" w:rsidRDefault="003B042F">
      <w:pPr>
        <w:pStyle w:val="TOC4"/>
        <w:rPr>
          <w:rFonts w:asciiTheme="minorHAnsi" w:eastAsiaTheme="minorEastAsia" w:hAnsiTheme="minorHAnsi"/>
          <w:noProof/>
          <w:sz w:val="22"/>
          <w:lang w:eastAsia="en-AU"/>
        </w:rPr>
      </w:pPr>
      <w:hyperlink w:anchor="_Toc175238899" w:history="1">
        <w:r w:rsidRPr="005871B3">
          <w:rPr>
            <w:rStyle w:val="Hyperlink"/>
            <w:noProof/>
          </w:rPr>
          <w:t>40.4—Entry of formal order</w:t>
        </w:r>
        <w:r>
          <w:rPr>
            <w:noProof/>
            <w:webHidden/>
          </w:rPr>
          <w:tab/>
        </w:r>
        <w:r>
          <w:rPr>
            <w:noProof/>
            <w:webHidden/>
          </w:rPr>
          <w:fldChar w:fldCharType="begin"/>
        </w:r>
        <w:r>
          <w:rPr>
            <w:noProof/>
            <w:webHidden/>
          </w:rPr>
          <w:instrText xml:space="preserve"> PAGEREF _Toc175238899 \h </w:instrText>
        </w:r>
        <w:r>
          <w:rPr>
            <w:noProof/>
            <w:webHidden/>
          </w:rPr>
        </w:r>
        <w:r>
          <w:rPr>
            <w:noProof/>
            <w:webHidden/>
          </w:rPr>
          <w:fldChar w:fldCharType="separate"/>
        </w:r>
        <w:r w:rsidR="00FD06AB">
          <w:rPr>
            <w:noProof/>
            <w:webHidden/>
          </w:rPr>
          <w:t>85</w:t>
        </w:r>
        <w:r>
          <w:rPr>
            <w:noProof/>
            <w:webHidden/>
          </w:rPr>
          <w:fldChar w:fldCharType="end"/>
        </w:r>
      </w:hyperlink>
    </w:p>
    <w:p w14:paraId="5D02F6C7" w14:textId="6406FF19" w:rsidR="003B042F" w:rsidRDefault="003B042F">
      <w:pPr>
        <w:pStyle w:val="TOC3"/>
        <w:rPr>
          <w:rFonts w:asciiTheme="minorHAnsi" w:eastAsiaTheme="minorEastAsia" w:hAnsiTheme="minorHAnsi"/>
          <w:b w:val="0"/>
          <w:noProof/>
          <w:sz w:val="22"/>
          <w:lang w:eastAsia="en-AU"/>
        </w:rPr>
      </w:pPr>
      <w:hyperlink w:anchor="_Toc175238900" w:history="1">
        <w:r w:rsidRPr="005871B3">
          <w:rPr>
            <w:rStyle w:val="Hyperlink"/>
            <w:noProof/>
          </w:rPr>
          <w:t>Subdivision 2—Specific orders</w:t>
        </w:r>
        <w:r>
          <w:rPr>
            <w:noProof/>
            <w:webHidden/>
          </w:rPr>
          <w:tab/>
        </w:r>
        <w:r>
          <w:rPr>
            <w:noProof/>
            <w:webHidden/>
          </w:rPr>
          <w:fldChar w:fldCharType="begin"/>
        </w:r>
        <w:r>
          <w:rPr>
            <w:noProof/>
            <w:webHidden/>
          </w:rPr>
          <w:instrText xml:space="preserve"> PAGEREF _Toc175238900 \h </w:instrText>
        </w:r>
        <w:r>
          <w:rPr>
            <w:noProof/>
            <w:webHidden/>
          </w:rPr>
        </w:r>
        <w:r>
          <w:rPr>
            <w:noProof/>
            <w:webHidden/>
          </w:rPr>
          <w:fldChar w:fldCharType="separate"/>
        </w:r>
        <w:r w:rsidR="00FD06AB">
          <w:rPr>
            <w:noProof/>
            <w:webHidden/>
          </w:rPr>
          <w:t>85</w:t>
        </w:r>
        <w:r>
          <w:rPr>
            <w:noProof/>
            <w:webHidden/>
          </w:rPr>
          <w:fldChar w:fldCharType="end"/>
        </w:r>
      </w:hyperlink>
    </w:p>
    <w:p w14:paraId="55C20FE7" w14:textId="5F5432B1" w:rsidR="003B042F" w:rsidRDefault="003B042F">
      <w:pPr>
        <w:pStyle w:val="TOC4"/>
        <w:rPr>
          <w:rFonts w:asciiTheme="minorHAnsi" w:eastAsiaTheme="minorEastAsia" w:hAnsiTheme="minorHAnsi"/>
          <w:noProof/>
          <w:sz w:val="22"/>
          <w:lang w:eastAsia="en-AU"/>
        </w:rPr>
      </w:pPr>
      <w:hyperlink w:anchor="_Toc175238901" w:history="1">
        <w:r w:rsidRPr="005871B3">
          <w:rPr>
            <w:rStyle w:val="Hyperlink"/>
            <w:noProof/>
          </w:rPr>
          <w:t>40.5—Order authorising publication of complainant’s name</w:t>
        </w:r>
        <w:r>
          <w:rPr>
            <w:noProof/>
            <w:webHidden/>
          </w:rPr>
          <w:tab/>
        </w:r>
        <w:r>
          <w:rPr>
            <w:noProof/>
            <w:webHidden/>
          </w:rPr>
          <w:fldChar w:fldCharType="begin"/>
        </w:r>
        <w:r>
          <w:rPr>
            <w:noProof/>
            <w:webHidden/>
          </w:rPr>
          <w:instrText xml:space="preserve"> PAGEREF _Toc175238901 \h </w:instrText>
        </w:r>
        <w:r>
          <w:rPr>
            <w:noProof/>
            <w:webHidden/>
          </w:rPr>
        </w:r>
        <w:r>
          <w:rPr>
            <w:noProof/>
            <w:webHidden/>
          </w:rPr>
          <w:fldChar w:fldCharType="separate"/>
        </w:r>
        <w:r w:rsidR="00FD06AB">
          <w:rPr>
            <w:noProof/>
            <w:webHidden/>
          </w:rPr>
          <w:t>85</w:t>
        </w:r>
        <w:r>
          <w:rPr>
            <w:noProof/>
            <w:webHidden/>
          </w:rPr>
          <w:fldChar w:fldCharType="end"/>
        </w:r>
      </w:hyperlink>
    </w:p>
    <w:p w14:paraId="10E8E212" w14:textId="248DABBF" w:rsidR="003B042F" w:rsidRDefault="003B042F">
      <w:pPr>
        <w:pStyle w:val="TOC4"/>
        <w:rPr>
          <w:rFonts w:asciiTheme="minorHAnsi" w:eastAsiaTheme="minorEastAsia" w:hAnsiTheme="minorHAnsi"/>
          <w:noProof/>
          <w:sz w:val="22"/>
          <w:lang w:eastAsia="en-AU"/>
        </w:rPr>
      </w:pPr>
      <w:hyperlink w:anchor="_Toc175238902" w:history="1">
        <w:r w:rsidRPr="005871B3">
          <w:rPr>
            <w:rStyle w:val="Hyperlink"/>
            <w:noProof/>
          </w:rPr>
          <w:t>40.6—Order requiring compliance with positive or negative requirements</w:t>
        </w:r>
        <w:r>
          <w:rPr>
            <w:noProof/>
            <w:webHidden/>
          </w:rPr>
          <w:tab/>
        </w:r>
        <w:r>
          <w:rPr>
            <w:noProof/>
            <w:webHidden/>
          </w:rPr>
          <w:fldChar w:fldCharType="begin"/>
        </w:r>
        <w:r>
          <w:rPr>
            <w:noProof/>
            <w:webHidden/>
          </w:rPr>
          <w:instrText xml:space="preserve"> PAGEREF _Toc175238902 \h </w:instrText>
        </w:r>
        <w:r>
          <w:rPr>
            <w:noProof/>
            <w:webHidden/>
          </w:rPr>
        </w:r>
        <w:r>
          <w:rPr>
            <w:noProof/>
            <w:webHidden/>
          </w:rPr>
          <w:fldChar w:fldCharType="separate"/>
        </w:r>
        <w:r w:rsidR="00FD06AB">
          <w:rPr>
            <w:noProof/>
            <w:webHidden/>
          </w:rPr>
          <w:t>85</w:t>
        </w:r>
        <w:r>
          <w:rPr>
            <w:noProof/>
            <w:webHidden/>
          </w:rPr>
          <w:fldChar w:fldCharType="end"/>
        </w:r>
      </w:hyperlink>
    </w:p>
    <w:p w14:paraId="51357526" w14:textId="7E5214DD" w:rsidR="003B042F" w:rsidRDefault="003B042F">
      <w:pPr>
        <w:pStyle w:val="TOC4"/>
        <w:rPr>
          <w:rFonts w:asciiTheme="minorHAnsi" w:eastAsiaTheme="minorEastAsia" w:hAnsiTheme="minorHAnsi"/>
          <w:noProof/>
          <w:sz w:val="22"/>
          <w:lang w:eastAsia="en-AU"/>
        </w:rPr>
      </w:pPr>
      <w:hyperlink w:anchor="_Toc175238903" w:history="1">
        <w:r w:rsidRPr="005871B3">
          <w:rPr>
            <w:rStyle w:val="Hyperlink"/>
            <w:noProof/>
          </w:rPr>
          <w:t>40.7—Firearms prohibition order</w:t>
        </w:r>
        <w:r>
          <w:rPr>
            <w:noProof/>
            <w:webHidden/>
          </w:rPr>
          <w:tab/>
        </w:r>
        <w:r>
          <w:rPr>
            <w:noProof/>
            <w:webHidden/>
          </w:rPr>
          <w:fldChar w:fldCharType="begin"/>
        </w:r>
        <w:r>
          <w:rPr>
            <w:noProof/>
            <w:webHidden/>
          </w:rPr>
          <w:instrText xml:space="preserve"> PAGEREF _Toc175238903 \h </w:instrText>
        </w:r>
        <w:r>
          <w:rPr>
            <w:noProof/>
            <w:webHidden/>
          </w:rPr>
        </w:r>
        <w:r>
          <w:rPr>
            <w:noProof/>
            <w:webHidden/>
          </w:rPr>
          <w:fldChar w:fldCharType="separate"/>
        </w:r>
        <w:r w:rsidR="00FD06AB">
          <w:rPr>
            <w:noProof/>
            <w:webHidden/>
          </w:rPr>
          <w:t>85</w:t>
        </w:r>
        <w:r>
          <w:rPr>
            <w:noProof/>
            <w:webHidden/>
          </w:rPr>
          <w:fldChar w:fldCharType="end"/>
        </w:r>
      </w:hyperlink>
    </w:p>
    <w:p w14:paraId="0ADC1DE1" w14:textId="04BE3BDA"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04" w:history="1">
        <w:r w:rsidRPr="005871B3">
          <w:rPr>
            <w:rStyle w:val="Hyperlink"/>
            <w:noProof/>
          </w:rPr>
          <w:t>Part 8—Remand: bail and custody</w:t>
        </w:r>
        <w:r>
          <w:rPr>
            <w:noProof/>
            <w:webHidden/>
          </w:rPr>
          <w:tab/>
        </w:r>
        <w:r>
          <w:rPr>
            <w:noProof/>
            <w:webHidden/>
          </w:rPr>
          <w:fldChar w:fldCharType="begin"/>
        </w:r>
        <w:r>
          <w:rPr>
            <w:noProof/>
            <w:webHidden/>
          </w:rPr>
          <w:instrText xml:space="preserve"> PAGEREF _Toc175238904 \h </w:instrText>
        </w:r>
        <w:r>
          <w:rPr>
            <w:noProof/>
            <w:webHidden/>
          </w:rPr>
        </w:r>
        <w:r>
          <w:rPr>
            <w:noProof/>
            <w:webHidden/>
          </w:rPr>
          <w:fldChar w:fldCharType="separate"/>
        </w:r>
        <w:r w:rsidR="00FD06AB">
          <w:rPr>
            <w:noProof/>
            <w:webHidden/>
          </w:rPr>
          <w:t>86</w:t>
        </w:r>
        <w:r>
          <w:rPr>
            <w:noProof/>
            <w:webHidden/>
          </w:rPr>
          <w:fldChar w:fldCharType="end"/>
        </w:r>
      </w:hyperlink>
    </w:p>
    <w:p w14:paraId="397309DE" w14:textId="688F197D" w:rsidR="003B042F" w:rsidRDefault="003B042F">
      <w:pPr>
        <w:pStyle w:val="TOC3"/>
        <w:rPr>
          <w:rFonts w:asciiTheme="minorHAnsi" w:eastAsiaTheme="minorEastAsia" w:hAnsiTheme="minorHAnsi"/>
          <w:b w:val="0"/>
          <w:noProof/>
          <w:sz w:val="22"/>
          <w:lang w:eastAsia="en-AU"/>
        </w:rPr>
      </w:pPr>
      <w:hyperlink w:anchor="_Toc175238905" w:history="1">
        <w:r w:rsidRPr="005871B3">
          <w:rPr>
            <w:rStyle w:val="Hyperlink"/>
            <w:noProof/>
          </w:rPr>
          <w:t>Division 1—Bail</w:t>
        </w:r>
        <w:r>
          <w:rPr>
            <w:noProof/>
            <w:webHidden/>
          </w:rPr>
          <w:tab/>
        </w:r>
        <w:r>
          <w:rPr>
            <w:noProof/>
            <w:webHidden/>
          </w:rPr>
          <w:fldChar w:fldCharType="begin"/>
        </w:r>
        <w:r>
          <w:rPr>
            <w:noProof/>
            <w:webHidden/>
          </w:rPr>
          <w:instrText xml:space="preserve"> PAGEREF _Toc175238905 \h </w:instrText>
        </w:r>
        <w:r>
          <w:rPr>
            <w:noProof/>
            <w:webHidden/>
          </w:rPr>
        </w:r>
        <w:r>
          <w:rPr>
            <w:noProof/>
            <w:webHidden/>
          </w:rPr>
          <w:fldChar w:fldCharType="separate"/>
        </w:r>
        <w:r w:rsidR="00FD06AB">
          <w:rPr>
            <w:noProof/>
            <w:webHidden/>
          </w:rPr>
          <w:t>86</w:t>
        </w:r>
        <w:r>
          <w:rPr>
            <w:noProof/>
            <w:webHidden/>
          </w:rPr>
          <w:fldChar w:fldCharType="end"/>
        </w:r>
      </w:hyperlink>
    </w:p>
    <w:p w14:paraId="0D4E6E48" w14:textId="0C62F512" w:rsidR="003B042F" w:rsidRDefault="003B042F">
      <w:pPr>
        <w:pStyle w:val="TOC4"/>
        <w:rPr>
          <w:rFonts w:asciiTheme="minorHAnsi" w:eastAsiaTheme="minorEastAsia" w:hAnsiTheme="minorHAnsi"/>
          <w:noProof/>
          <w:sz w:val="22"/>
          <w:lang w:eastAsia="en-AU"/>
        </w:rPr>
      </w:pPr>
      <w:hyperlink w:anchor="_Toc175238906" w:history="1">
        <w:r w:rsidRPr="005871B3">
          <w:rPr>
            <w:rStyle w:val="Hyperlink"/>
            <w:noProof/>
          </w:rPr>
          <w:t>41.1—Eligibility to make bail application</w:t>
        </w:r>
        <w:r>
          <w:rPr>
            <w:noProof/>
            <w:webHidden/>
          </w:rPr>
          <w:tab/>
        </w:r>
        <w:r>
          <w:rPr>
            <w:noProof/>
            <w:webHidden/>
          </w:rPr>
          <w:fldChar w:fldCharType="begin"/>
        </w:r>
        <w:r>
          <w:rPr>
            <w:noProof/>
            <w:webHidden/>
          </w:rPr>
          <w:instrText xml:space="preserve"> PAGEREF _Toc175238906 \h </w:instrText>
        </w:r>
        <w:r>
          <w:rPr>
            <w:noProof/>
            <w:webHidden/>
          </w:rPr>
        </w:r>
        <w:r>
          <w:rPr>
            <w:noProof/>
            <w:webHidden/>
          </w:rPr>
          <w:fldChar w:fldCharType="separate"/>
        </w:r>
        <w:r w:rsidR="00FD06AB">
          <w:rPr>
            <w:noProof/>
            <w:webHidden/>
          </w:rPr>
          <w:t>86</w:t>
        </w:r>
        <w:r>
          <w:rPr>
            <w:noProof/>
            <w:webHidden/>
          </w:rPr>
          <w:fldChar w:fldCharType="end"/>
        </w:r>
      </w:hyperlink>
    </w:p>
    <w:p w14:paraId="14E97176" w14:textId="4B68811E" w:rsidR="003B042F" w:rsidRDefault="003B042F">
      <w:pPr>
        <w:pStyle w:val="TOC4"/>
        <w:rPr>
          <w:rFonts w:asciiTheme="minorHAnsi" w:eastAsiaTheme="minorEastAsia" w:hAnsiTheme="minorHAnsi"/>
          <w:noProof/>
          <w:sz w:val="22"/>
          <w:lang w:eastAsia="en-AU"/>
        </w:rPr>
      </w:pPr>
      <w:hyperlink w:anchor="_Toc175238907" w:history="1">
        <w:r w:rsidRPr="005871B3">
          <w:rPr>
            <w:rStyle w:val="Hyperlink"/>
            <w:noProof/>
          </w:rPr>
          <w:t>41.2—Telephone reviews under section 15: Magistrates Court and Youth Court</w:t>
        </w:r>
        <w:r>
          <w:rPr>
            <w:noProof/>
            <w:webHidden/>
          </w:rPr>
          <w:tab/>
        </w:r>
        <w:r>
          <w:rPr>
            <w:noProof/>
            <w:webHidden/>
          </w:rPr>
          <w:fldChar w:fldCharType="begin"/>
        </w:r>
        <w:r>
          <w:rPr>
            <w:noProof/>
            <w:webHidden/>
          </w:rPr>
          <w:instrText xml:space="preserve"> PAGEREF _Toc175238907 \h </w:instrText>
        </w:r>
        <w:r>
          <w:rPr>
            <w:noProof/>
            <w:webHidden/>
          </w:rPr>
        </w:r>
        <w:r>
          <w:rPr>
            <w:noProof/>
            <w:webHidden/>
          </w:rPr>
          <w:fldChar w:fldCharType="separate"/>
        </w:r>
        <w:r w:rsidR="00FD06AB">
          <w:rPr>
            <w:noProof/>
            <w:webHidden/>
          </w:rPr>
          <w:t>86</w:t>
        </w:r>
        <w:r>
          <w:rPr>
            <w:noProof/>
            <w:webHidden/>
          </w:rPr>
          <w:fldChar w:fldCharType="end"/>
        </w:r>
      </w:hyperlink>
    </w:p>
    <w:p w14:paraId="5AB28346" w14:textId="1F7FBD72" w:rsidR="003B042F" w:rsidRDefault="003B042F">
      <w:pPr>
        <w:pStyle w:val="TOC4"/>
        <w:rPr>
          <w:rFonts w:asciiTheme="minorHAnsi" w:eastAsiaTheme="minorEastAsia" w:hAnsiTheme="minorHAnsi"/>
          <w:noProof/>
          <w:sz w:val="22"/>
          <w:lang w:eastAsia="en-AU"/>
        </w:rPr>
      </w:pPr>
      <w:hyperlink w:anchor="_Toc175238908" w:history="1">
        <w:r w:rsidRPr="005871B3">
          <w:rPr>
            <w:rStyle w:val="Hyperlink"/>
            <w:noProof/>
          </w:rPr>
          <w:t>41.3—Making bail application</w:t>
        </w:r>
        <w:r>
          <w:rPr>
            <w:noProof/>
            <w:webHidden/>
          </w:rPr>
          <w:tab/>
        </w:r>
        <w:r>
          <w:rPr>
            <w:noProof/>
            <w:webHidden/>
          </w:rPr>
          <w:fldChar w:fldCharType="begin"/>
        </w:r>
        <w:r>
          <w:rPr>
            <w:noProof/>
            <w:webHidden/>
          </w:rPr>
          <w:instrText xml:space="preserve"> PAGEREF _Toc175238908 \h </w:instrText>
        </w:r>
        <w:r>
          <w:rPr>
            <w:noProof/>
            <w:webHidden/>
          </w:rPr>
        </w:r>
        <w:r>
          <w:rPr>
            <w:noProof/>
            <w:webHidden/>
          </w:rPr>
          <w:fldChar w:fldCharType="separate"/>
        </w:r>
        <w:r w:rsidR="00FD06AB">
          <w:rPr>
            <w:noProof/>
            <w:webHidden/>
          </w:rPr>
          <w:t>87</w:t>
        </w:r>
        <w:r>
          <w:rPr>
            <w:noProof/>
            <w:webHidden/>
          </w:rPr>
          <w:fldChar w:fldCharType="end"/>
        </w:r>
      </w:hyperlink>
    </w:p>
    <w:p w14:paraId="0D62F23E" w14:textId="700623A9" w:rsidR="003B042F" w:rsidRDefault="003B042F">
      <w:pPr>
        <w:pStyle w:val="TOC4"/>
        <w:rPr>
          <w:rFonts w:asciiTheme="minorHAnsi" w:eastAsiaTheme="minorEastAsia" w:hAnsiTheme="minorHAnsi"/>
          <w:noProof/>
          <w:sz w:val="22"/>
          <w:lang w:eastAsia="en-AU"/>
        </w:rPr>
      </w:pPr>
      <w:hyperlink w:anchor="_Toc175238909" w:history="1">
        <w:r w:rsidRPr="005871B3">
          <w:rPr>
            <w:rStyle w:val="Hyperlink"/>
            <w:noProof/>
          </w:rPr>
          <w:t>41.4—Prosecution response to bail application</w:t>
        </w:r>
        <w:r>
          <w:rPr>
            <w:noProof/>
            <w:webHidden/>
          </w:rPr>
          <w:tab/>
        </w:r>
        <w:r>
          <w:rPr>
            <w:noProof/>
            <w:webHidden/>
          </w:rPr>
          <w:fldChar w:fldCharType="begin"/>
        </w:r>
        <w:r>
          <w:rPr>
            <w:noProof/>
            <w:webHidden/>
          </w:rPr>
          <w:instrText xml:space="preserve"> PAGEREF _Toc175238909 \h </w:instrText>
        </w:r>
        <w:r>
          <w:rPr>
            <w:noProof/>
            <w:webHidden/>
          </w:rPr>
        </w:r>
        <w:r>
          <w:rPr>
            <w:noProof/>
            <w:webHidden/>
          </w:rPr>
          <w:fldChar w:fldCharType="separate"/>
        </w:r>
        <w:r w:rsidR="00FD06AB">
          <w:rPr>
            <w:noProof/>
            <w:webHidden/>
          </w:rPr>
          <w:t>87</w:t>
        </w:r>
        <w:r>
          <w:rPr>
            <w:noProof/>
            <w:webHidden/>
          </w:rPr>
          <w:fldChar w:fldCharType="end"/>
        </w:r>
      </w:hyperlink>
    </w:p>
    <w:p w14:paraId="27F3F7E3" w14:textId="40DF85B5" w:rsidR="003B042F" w:rsidRDefault="003B042F">
      <w:pPr>
        <w:pStyle w:val="TOC4"/>
        <w:rPr>
          <w:rFonts w:asciiTheme="minorHAnsi" w:eastAsiaTheme="minorEastAsia" w:hAnsiTheme="minorHAnsi"/>
          <w:noProof/>
          <w:sz w:val="22"/>
          <w:lang w:eastAsia="en-AU"/>
        </w:rPr>
      </w:pPr>
      <w:hyperlink w:anchor="_Toc175238910" w:history="1">
        <w:r w:rsidRPr="005871B3">
          <w:rPr>
            <w:rStyle w:val="Hyperlink"/>
            <w:noProof/>
          </w:rPr>
          <w:t>41.5—Request for reports</w:t>
        </w:r>
        <w:r>
          <w:rPr>
            <w:noProof/>
            <w:webHidden/>
          </w:rPr>
          <w:tab/>
        </w:r>
        <w:r>
          <w:rPr>
            <w:noProof/>
            <w:webHidden/>
          </w:rPr>
          <w:fldChar w:fldCharType="begin"/>
        </w:r>
        <w:r>
          <w:rPr>
            <w:noProof/>
            <w:webHidden/>
          </w:rPr>
          <w:instrText xml:space="preserve"> PAGEREF _Toc175238910 \h </w:instrText>
        </w:r>
        <w:r>
          <w:rPr>
            <w:noProof/>
            <w:webHidden/>
          </w:rPr>
        </w:r>
        <w:r>
          <w:rPr>
            <w:noProof/>
            <w:webHidden/>
          </w:rPr>
          <w:fldChar w:fldCharType="separate"/>
        </w:r>
        <w:r w:rsidR="00FD06AB">
          <w:rPr>
            <w:noProof/>
            <w:webHidden/>
          </w:rPr>
          <w:t>88</w:t>
        </w:r>
        <w:r>
          <w:rPr>
            <w:noProof/>
            <w:webHidden/>
          </w:rPr>
          <w:fldChar w:fldCharType="end"/>
        </w:r>
      </w:hyperlink>
    </w:p>
    <w:p w14:paraId="55797E41" w14:textId="16DF5FF0" w:rsidR="003B042F" w:rsidRDefault="003B042F">
      <w:pPr>
        <w:pStyle w:val="TOC4"/>
        <w:rPr>
          <w:rFonts w:asciiTheme="minorHAnsi" w:eastAsiaTheme="minorEastAsia" w:hAnsiTheme="minorHAnsi"/>
          <w:noProof/>
          <w:sz w:val="22"/>
          <w:lang w:eastAsia="en-AU"/>
        </w:rPr>
      </w:pPr>
      <w:hyperlink w:anchor="_Toc175238911" w:history="1">
        <w:r w:rsidRPr="005871B3">
          <w:rPr>
            <w:rStyle w:val="Hyperlink"/>
            <w:noProof/>
          </w:rPr>
          <w:t>41.6—Orders relating to bail</w:t>
        </w:r>
        <w:r>
          <w:rPr>
            <w:noProof/>
            <w:webHidden/>
          </w:rPr>
          <w:tab/>
        </w:r>
        <w:r>
          <w:rPr>
            <w:noProof/>
            <w:webHidden/>
          </w:rPr>
          <w:fldChar w:fldCharType="begin"/>
        </w:r>
        <w:r>
          <w:rPr>
            <w:noProof/>
            <w:webHidden/>
          </w:rPr>
          <w:instrText xml:space="preserve"> PAGEREF _Toc175238911 \h </w:instrText>
        </w:r>
        <w:r>
          <w:rPr>
            <w:noProof/>
            <w:webHidden/>
          </w:rPr>
        </w:r>
        <w:r>
          <w:rPr>
            <w:noProof/>
            <w:webHidden/>
          </w:rPr>
          <w:fldChar w:fldCharType="separate"/>
        </w:r>
        <w:r w:rsidR="00FD06AB">
          <w:rPr>
            <w:noProof/>
            <w:webHidden/>
          </w:rPr>
          <w:t>88</w:t>
        </w:r>
        <w:r>
          <w:rPr>
            <w:noProof/>
            <w:webHidden/>
          </w:rPr>
          <w:fldChar w:fldCharType="end"/>
        </w:r>
      </w:hyperlink>
    </w:p>
    <w:p w14:paraId="30ED65B2" w14:textId="759A38A8" w:rsidR="003B042F" w:rsidRDefault="003B042F">
      <w:pPr>
        <w:pStyle w:val="TOC4"/>
        <w:rPr>
          <w:rFonts w:asciiTheme="minorHAnsi" w:eastAsiaTheme="minorEastAsia" w:hAnsiTheme="minorHAnsi"/>
          <w:noProof/>
          <w:sz w:val="22"/>
          <w:lang w:eastAsia="en-AU"/>
        </w:rPr>
      </w:pPr>
      <w:hyperlink w:anchor="_Toc175238912" w:history="1">
        <w:r w:rsidRPr="005871B3">
          <w:rPr>
            <w:rStyle w:val="Hyperlink"/>
            <w:noProof/>
          </w:rPr>
          <w:t>41.7—Bail agreements, variations and guarantees</w:t>
        </w:r>
        <w:r>
          <w:rPr>
            <w:noProof/>
            <w:webHidden/>
          </w:rPr>
          <w:tab/>
        </w:r>
        <w:r>
          <w:rPr>
            <w:noProof/>
            <w:webHidden/>
          </w:rPr>
          <w:fldChar w:fldCharType="begin"/>
        </w:r>
        <w:r>
          <w:rPr>
            <w:noProof/>
            <w:webHidden/>
          </w:rPr>
          <w:instrText xml:space="preserve"> PAGEREF _Toc175238912 \h </w:instrText>
        </w:r>
        <w:r>
          <w:rPr>
            <w:noProof/>
            <w:webHidden/>
          </w:rPr>
        </w:r>
        <w:r>
          <w:rPr>
            <w:noProof/>
            <w:webHidden/>
          </w:rPr>
          <w:fldChar w:fldCharType="separate"/>
        </w:r>
        <w:r w:rsidR="00FD06AB">
          <w:rPr>
            <w:noProof/>
            <w:webHidden/>
          </w:rPr>
          <w:t>88</w:t>
        </w:r>
        <w:r>
          <w:rPr>
            <w:noProof/>
            <w:webHidden/>
          </w:rPr>
          <w:fldChar w:fldCharType="end"/>
        </w:r>
      </w:hyperlink>
    </w:p>
    <w:p w14:paraId="1E632E97" w14:textId="1D497260" w:rsidR="003B042F" w:rsidRDefault="003B042F">
      <w:pPr>
        <w:pStyle w:val="TOC4"/>
        <w:rPr>
          <w:rFonts w:asciiTheme="minorHAnsi" w:eastAsiaTheme="minorEastAsia" w:hAnsiTheme="minorHAnsi"/>
          <w:noProof/>
          <w:sz w:val="22"/>
          <w:lang w:eastAsia="en-AU"/>
        </w:rPr>
      </w:pPr>
      <w:hyperlink w:anchor="_Toc175238913" w:history="1">
        <w:r w:rsidRPr="005871B3">
          <w:rPr>
            <w:rStyle w:val="Hyperlink"/>
            <w:noProof/>
          </w:rPr>
          <w:t>41.8—Warrant of apprehension</w:t>
        </w:r>
        <w:r>
          <w:rPr>
            <w:noProof/>
            <w:webHidden/>
          </w:rPr>
          <w:tab/>
        </w:r>
        <w:r>
          <w:rPr>
            <w:noProof/>
            <w:webHidden/>
          </w:rPr>
          <w:fldChar w:fldCharType="begin"/>
        </w:r>
        <w:r>
          <w:rPr>
            <w:noProof/>
            <w:webHidden/>
          </w:rPr>
          <w:instrText xml:space="preserve"> PAGEREF _Toc175238913 \h </w:instrText>
        </w:r>
        <w:r>
          <w:rPr>
            <w:noProof/>
            <w:webHidden/>
          </w:rPr>
        </w:r>
        <w:r>
          <w:rPr>
            <w:noProof/>
            <w:webHidden/>
          </w:rPr>
          <w:fldChar w:fldCharType="separate"/>
        </w:r>
        <w:r w:rsidR="00FD06AB">
          <w:rPr>
            <w:noProof/>
            <w:webHidden/>
          </w:rPr>
          <w:t>89</w:t>
        </w:r>
        <w:r>
          <w:rPr>
            <w:noProof/>
            <w:webHidden/>
          </w:rPr>
          <w:fldChar w:fldCharType="end"/>
        </w:r>
      </w:hyperlink>
    </w:p>
    <w:p w14:paraId="5DFF10EC" w14:textId="40A4DBE0" w:rsidR="003B042F" w:rsidRDefault="003B042F">
      <w:pPr>
        <w:pStyle w:val="TOC4"/>
        <w:rPr>
          <w:rFonts w:asciiTheme="minorHAnsi" w:eastAsiaTheme="minorEastAsia" w:hAnsiTheme="minorHAnsi"/>
          <w:noProof/>
          <w:sz w:val="22"/>
          <w:lang w:eastAsia="en-AU"/>
        </w:rPr>
      </w:pPr>
      <w:hyperlink w:anchor="_Toc175238914" w:history="1">
        <w:r w:rsidRPr="005871B3">
          <w:rPr>
            <w:rStyle w:val="Hyperlink"/>
            <w:noProof/>
          </w:rPr>
          <w:t>41.9—Bail forfeiture rescission or reduction</w:t>
        </w:r>
        <w:r>
          <w:rPr>
            <w:noProof/>
            <w:webHidden/>
          </w:rPr>
          <w:tab/>
        </w:r>
        <w:r>
          <w:rPr>
            <w:noProof/>
            <w:webHidden/>
          </w:rPr>
          <w:fldChar w:fldCharType="begin"/>
        </w:r>
        <w:r>
          <w:rPr>
            <w:noProof/>
            <w:webHidden/>
          </w:rPr>
          <w:instrText xml:space="preserve"> PAGEREF _Toc175238914 \h </w:instrText>
        </w:r>
        <w:r>
          <w:rPr>
            <w:noProof/>
            <w:webHidden/>
          </w:rPr>
        </w:r>
        <w:r>
          <w:rPr>
            <w:noProof/>
            <w:webHidden/>
          </w:rPr>
          <w:fldChar w:fldCharType="separate"/>
        </w:r>
        <w:r w:rsidR="00FD06AB">
          <w:rPr>
            <w:noProof/>
            <w:webHidden/>
          </w:rPr>
          <w:t>89</w:t>
        </w:r>
        <w:r>
          <w:rPr>
            <w:noProof/>
            <w:webHidden/>
          </w:rPr>
          <w:fldChar w:fldCharType="end"/>
        </w:r>
      </w:hyperlink>
    </w:p>
    <w:p w14:paraId="1D39252C" w14:textId="38CDDA5B" w:rsidR="003B042F" w:rsidRDefault="003B042F">
      <w:pPr>
        <w:pStyle w:val="TOC4"/>
        <w:rPr>
          <w:rFonts w:asciiTheme="minorHAnsi" w:eastAsiaTheme="minorEastAsia" w:hAnsiTheme="minorHAnsi"/>
          <w:noProof/>
          <w:sz w:val="22"/>
          <w:lang w:eastAsia="en-AU"/>
        </w:rPr>
      </w:pPr>
      <w:hyperlink w:anchor="_Toc175238915" w:history="1">
        <w:r w:rsidRPr="005871B3">
          <w:rPr>
            <w:rStyle w:val="Hyperlink"/>
            <w:noProof/>
          </w:rPr>
          <w:t>41.10—Intervention orders</w:t>
        </w:r>
        <w:r>
          <w:rPr>
            <w:noProof/>
            <w:webHidden/>
          </w:rPr>
          <w:tab/>
        </w:r>
        <w:r>
          <w:rPr>
            <w:noProof/>
            <w:webHidden/>
          </w:rPr>
          <w:fldChar w:fldCharType="begin"/>
        </w:r>
        <w:r>
          <w:rPr>
            <w:noProof/>
            <w:webHidden/>
          </w:rPr>
          <w:instrText xml:space="preserve"> PAGEREF _Toc175238915 \h </w:instrText>
        </w:r>
        <w:r>
          <w:rPr>
            <w:noProof/>
            <w:webHidden/>
          </w:rPr>
        </w:r>
        <w:r>
          <w:rPr>
            <w:noProof/>
            <w:webHidden/>
          </w:rPr>
          <w:fldChar w:fldCharType="separate"/>
        </w:r>
        <w:r w:rsidR="00FD06AB">
          <w:rPr>
            <w:noProof/>
            <w:webHidden/>
          </w:rPr>
          <w:t>89</w:t>
        </w:r>
        <w:r>
          <w:rPr>
            <w:noProof/>
            <w:webHidden/>
          </w:rPr>
          <w:fldChar w:fldCharType="end"/>
        </w:r>
      </w:hyperlink>
    </w:p>
    <w:p w14:paraId="3453D0FE" w14:textId="18F13FF3" w:rsidR="003B042F" w:rsidRDefault="003B042F">
      <w:pPr>
        <w:pStyle w:val="TOC3"/>
        <w:rPr>
          <w:rFonts w:asciiTheme="minorHAnsi" w:eastAsiaTheme="minorEastAsia" w:hAnsiTheme="minorHAnsi"/>
          <w:b w:val="0"/>
          <w:noProof/>
          <w:sz w:val="22"/>
          <w:lang w:eastAsia="en-AU"/>
        </w:rPr>
      </w:pPr>
      <w:hyperlink w:anchor="_Toc175238916" w:history="1">
        <w:r w:rsidRPr="005871B3">
          <w:rPr>
            <w:rStyle w:val="Hyperlink"/>
            <w:noProof/>
          </w:rPr>
          <w:t>Division 2—Remand in custody</w:t>
        </w:r>
        <w:r>
          <w:rPr>
            <w:noProof/>
            <w:webHidden/>
          </w:rPr>
          <w:tab/>
        </w:r>
        <w:r>
          <w:rPr>
            <w:noProof/>
            <w:webHidden/>
          </w:rPr>
          <w:fldChar w:fldCharType="begin"/>
        </w:r>
        <w:r>
          <w:rPr>
            <w:noProof/>
            <w:webHidden/>
          </w:rPr>
          <w:instrText xml:space="preserve"> PAGEREF _Toc175238916 \h </w:instrText>
        </w:r>
        <w:r>
          <w:rPr>
            <w:noProof/>
            <w:webHidden/>
          </w:rPr>
        </w:r>
        <w:r>
          <w:rPr>
            <w:noProof/>
            <w:webHidden/>
          </w:rPr>
          <w:fldChar w:fldCharType="separate"/>
        </w:r>
        <w:r w:rsidR="00FD06AB">
          <w:rPr>
            <w:noProof/>
            <w:webHidden/>
          </w:rPr>
          <w:t>90</w:t>
        </w:r>
        <w:r>
          <w:rPr>
            <w:noProof/>
            <w:webHidden/>
          </w:rPr>
          <w:fldChar w:fldCharType="end"/>
        </w:r>
      </w:hyperlink>
    </w:p>
    <w:p w14:paraId="0E85691B" w14:textId="793112CA" w:rsidR="003B042F" w:rsidRDefault="003B042F">
      <w:pPr>
        <w:pStyle w:val="TOC4"/>
        <w:rPr>
          <w:rFonts w:asciiTheme="minorHAnsi" w:eastAsiaTheme="minorEastAsia" w:hAnsiTheme="minorHAnsi"/>
          <w:noProof/>
          <w:sz w:val="22"/>
          <w:lang w:eastAsia="en-AU"/>
        </w:rPr>
      </w:pPr>
      <w:hyperlink w:anchor="_Toc175238917" w:history="1">
        <w:r w:rsidRPr="005871B3">
          <w:rPr>
            <w:rStyle w:val="Hyperlink"/>
            <w:noProof/>
          </w:rPr>
          <w:t>42.1—Definitions</w:t>
        </w:r>
        <w:r>
          <w:rPr>
            <w:noProof/>
            <w:webHidden/>
          </w:rPr>
          <w:tab/>
        </w:r>
        <w:r>
          <w:rPr>
            <w:noProof/>
            <w:webHidden/>
          </w:rPr>
          <w:fldChar w:fldCharType="begin"/>
        </w:r>
        <w:r>
          <w:rPr>
            <w:noProof/>
            <w:webHidden/>
          </w:rPr>
          <w:instrText xml:space="preserve"> PAGEREF _Toc175238917 \h </w:instrText>
        </w:r>
        <w:r>
          <w:rPr>
            <w:noProof/>
            <w:webHidden/>
          </w:rPr>
        </w:r>
        <w:r>
          <w:rPr>
            <w:noProof/>
            <w:webHidden/>
          </w:rPr>
          <w:fldChar w:fldCharType="separate"/>
        </w:r>
        <w:r w:rsidR="00FD06AB">
          <w:rPr>
            <w:noProof/>
            <w:webHidden/>
          </w:rPr>
          <w:t>90</w:t>
        </w:r>
        <w:r>
          <w:rPr>
            <w:noProof/>
            <w:webHidden/>
          </w:rPr>
          <w:fldChar w:fldCharType="end"/>
        </w:r>
      </w:hyperlink>
    </w:p>
    <w:p w14:paraId="2F1DF991" w14:textId="351B888D" w:rsidR="003B042F" w:rsidRDefault="003B042F">
      <w:pPr>
        <w:pStyle w:val="TOC4"/>
        <w:rPr>
          <w:rFonts w:asciiTheme="minorHAnsi" w:eastAsiaTheme="minorEastAsia" w:hAnsiTheme="minorHAnsi"/>
          <w:noProof/>
          <w:sz w:val="22"/>
          <w:lang w:eastAsia="en-AU"/>
        </w:rPr>
      </w:pPr>
      <w:hyperlink w:anchor="_Toc175238918" w:history="1">
        <w:r w:rsidRPr="005871B3">
          <w:rPr>
            <w:rStyle w:val="Hyperlink"/>
            <w:noProof/>
          </w:rPr>
          <w:t>42.2—Warrant of remand/mandate</w:t>
        </w:r>
        <w:r>
          <w:rPr>
            <w:noProof/>
            <w:webHidden/>
          </w:rPr>
          <w:tab/>
        </w:r>
        <w:r>
          <w:rPr>
            <w:noProof/>
            <w:webHidden/>
          </w:rPr>
          <w:fldChar w:fldCharType="begin"/>
        </w:r>
        <w:r>
          <w:rPr>
            <w:noProof/>
            <w:webHidden/>
          </w:rPr>
          <w:instrText xml:space="preserve"> PAGEREF _Toc175238918 \h </w:instrText>
        </w:r>
        <w:r>
          <w:rPr>
            <w:noProof/>
            <w:webHidden/>
          </w:rPr>
        </w:r>
        <w:r>
          <w:rPr>
            <w:noProof/>
            <w:webHidden/>
          </w:rPr>
          <w:fldChar w:fldCharType="separate"/>
        </w:r>
        <w:r w:rsidR="00FD06AB">
          <w:rPr>
            <w:noProof/>
            <w:webHidden/>
          </w:rPr>
          <w:t>90</w:t>
        </w:r>
        <w:r>
          <w:rPr>
            <w:noProof/>
            <w:webHidden/>
          </w:rPr>
          <w:fldChar w:fldCharType="end"/>
        </w:r>
      </w:hyperlink>
    </w:p>
    <w:p w14:paraId="2BFBF177" w14:textId="7F2254D1" w:rsidR="003B042F" w:rsidRDefault="003B042F">
      <w:pPr>
        <w:pStyle w:val="TOC4"/>
        <w:rPr>
          <w:rFonts w:asciiTheme="minorHAnsi" w:eastAsiaTheme="minorEastAsia" w:hAnsiTheme="minorHAnsi"/>
          <w:noProof/>
          <w:sz w:val="22"/>
          <w:lang w:eastAsia="en-AU"/>
        </w:rPr>
      </w:pPr>
      <w:hyperlink w:anchor="_Toc175238919" w:history="1">
        <w:r w:rsidRPr="005871B3">
          <w:rPr>
            <w:rStyle w:val="Hyperlink"/>
            <w:noProof/>
          </w:rPr>
          <w:t>42.3—Warrant of interim detention</w:t>
        </w:r>
        <w:r>
          <w:rPr>
            <w:noProof/>
            <w:webHidden/>
          </w:rPr>
          <w:tab/>
        </w:r>
        <w:r>
          <w:rPr>
            <w:noProof/>
            <w:webHidden/>
          </w:rPr>
          <w:fldChar w:fldCharType="begin"/>
        </w:r>
        <w:r>
          <w:rPr>
            <w:noProof/>
            <w:webHidden/>
          </w:rPr>
          <w:instrText xml:space="preserve"> PAGEREF _Toc175238919 \h </w:instrText>
        </w:r>
        <w:r>
          <w:rPr>
            <w:noProof/>
            <w:webHidden/>
          </w:rPr>
        </w:r>
        <w:r>
          <w:rPr>
            <w:noProof/>
            <w:webHidden/>
          </w:rPr>
          <w:fldChar w:fldCharType="separate"/>
        </w:r>
        <w:r w:rsidR="00FD06AB">
          <w:rPr>
            <w:noProof/>
            <w:webHidden/>
          </w:rPr>
          <w:t>90</w:t>
        </w:r>
        <w:r>
          <w:rPr>
            <w:noProof/>
            <w:webHidden/>
          </w:rPr>
          <w:fldChar w:fldCharType="end"/>
        </w:r>
      </w:hyperlink>
    </w:p>
    <w:p w14:paraId="7B6B2823" w14:textId="65C530EC"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20" w:history="1">
        <w:r w:rsidRPr="005871B3">
          <w:rPr>
            <w:rStyle w:val="Hyperlink"/>
            <w:noProof/>
          </w:rPr>
          <w:t>Part 9—Pleas</w:t>
        </w:r>
        <w:r>
          <w:rPr>
            <w:noProof/>
            <w:webHidden/>
          </w:rPr>
          <w:tab/>
        </w:r>
        <w:r>
          <w:rPr>
            <w:noProof/>
            <w:webHidden/>
          </w:rPr>
          <w:fldChar w:fldCharType="begin"/>
        </w:r>
        <w:r>
          <w:rPr>
            <w:noProof/>
            <w:webHidden/>
          </w:rPr>
          <w:instrText xml:space="preserve"> PAGEREF _Toc175238920 \h </w:instrText>
        </w:r>
        <w:r>
          <w:rPr>
            <w:noProof/>
            <w:webHidden/>
          </w:rPr>
        </w:r>
        <w:r>
          <w:rPr>
            <w:noProof/>
            <w:webHidden/>
          </w:rPr>
          <w:fldChar w:fldCharType="separate"/>
        </w:r>
        <w:r w:rsidR="00FD06AB">
          <w:rPr>
            <w:noProof/>
            <w:webHidden/>
          </w:rPr>
          <w:t>91</w:t>
        </w:r>
        <w:r>
          <w:rPr>
            <w:noProof/>
            <w:webHidden/>
          </w:rPr>
          <w:fldChar w:fldCharType="end"/>
        </w:r>
      </w:hyperlink>
    </w:p>
    <w:p w14:paraId="58EFB29C" w14:textId="7141567E" w:rsidR="003B042F" w:rsidRDefault="003B042F">
      <w:pPr>
        <w:pStyle w:val="TOC4"/>
        <w:rPr>
          <w:rFonts w:asciiTheme="minorHAnsi" w:eastAsiaTheme="minorEastAsia" w:hAnsiTheme="minorHAnsi"/>
          <w:noProof/>
          <w:sz w:val="22"/>
          <w:lang w:eastAsia="en-AU"/>
        </w:rPr>
      </w:pPr>
      <w:hyperlink w:anchor="_Toc175238921" w:history="1">
        <w:r w:rsidRPr="005871B3">
          <w:rPr>
            <w:rStyle w:val="Hyperlink"/>
            <w:noProof/>
          </w:rPr>
          <w:t>43.1—Entry of plea in court</w:t>
        </w:r>
        <w:r>
          <w:rPr>
            <w:noProof/>
            <w:webHidden/>
          </w:rPr>
          <w:tab/>
        </w:r>
        <w:r>
          <w:rPr>
            <w:noProof/>
            <w:webHidden/>
          </w:rPr>
          <w:fldChar w:fldCharType="begin"/>
        </w:r>
        <w:r>
          <w:rPr>
            <w:noProof/>
            <w:webHidden/>
          </w:rPr>
          <w:instrText xml:space="preserve"> PAGEREF _Toc175238921 \h </w:instrText>
        </w:r>
        <w:r>
          <w:rPr>
            <w:noProof/>
            <w:webHidden/>
          </w:rPr>
        </w:r>
        <w:r>
          <w:rPr>
            <w:noProof/>
            <w:webHidden/>
          </w:rPr>
          <w:fldChar w:fldCharType="separate"/>
        </w:r>
        <w:r w:rsidR="00FD06AB">
          <w:rPr>
            <w:noProof/>
            <w:webHidden/>
          </w:rPr>
          <w:t>91</w:t>
        </w:r>
        <w:r>
          <w:rPr>
            <w:noProof/>
            <w:webHidden/>
          </w:rPr>
          <w:fldChar w:fldCharType="end"/>
        </w:r>
      </w:hyperlink>
    </w:p>
    <w:p w14:paraId="7EA3FA16" w14:textId="024B3EEA" w:rsidR="003B042F" w:rsidRDefault="003B042F">
      <w:pPr>
        <w:pStyle w:val="TOC4"/>
        <w:rPr>
          <w:rFonts w:asciiTheme="minorHAnsi" w:eastAsiaTheme="minorEastAsia" w:hAnsiTheme="minorHAnsi"/>
          <w:noProof/>
          <w:sz w:val="22"/>
          <w:lang w:eastAsia="en-AU"/>
        </w:rPr>
      </w:pPr>
      <w:hyperlink w:anchor="_Toc175238922" w:history="1">
        <w:r w:rsidRPr="005871B3">
          <w:rPr>
            <w:rStyle w:val="Hyperlink"/>
            <w:noProof/>
          </w:rPr>
          <w:t>43.2—Calling matter on for entry of guilty plea</w:t>
        </w:r>
        <w:r>
          <w:rPr>
            <w:noProof/>
            <w:webHidden/>
          </w:rPr>
          <w:tab/>
        </w:r>
        <w:r>
          <w:rPr>
            <w:noProof/>
            <w:webHidden/>
          </w:rPr>
          <w:fldChar w:fldCharType="begin"/>
        </w:r>
        <w:r>
          <w:rPr>
            <w:noProof/>
            <w:webHidden/>
          </w:rPr>
          <w:instrText xml:space="preserve"> PAGEREF _Toc175238922 \h </w:instrText>
        </w:r>
        <w:r>
          <w:rPr>
            <w:noProof/>
            <w:webHidden/>
          </w:rPr>
        </w:r>
        <w:r>
          <w:rPr>
            <w:noProof/>
            <w:webHidden/>
          </w:rPr>
          <w:fldChar w:fldCharType="separate"/>
        </w:r>
        <w:r w:rsidR="00FD06AB">
          <w:rPr>
            <w:noProof/>
            <w:webHidden/>
          </w:rPr>
          <w:t>91</w:t>
        </w:r>
        <w:r>
          <w:rPr>
            <w:noProof/>
            <w:webHidden/>
          </w:rPr>
          <w:fldChar w:fldCharType="end"/>
        </w:r>
      </w:hyperlink>
    </w:p>
    <w:p w14:paraId="73BE2203" w14:textId="307C30ED" w:rsidR="003B042F" w:rsidRDefault="003B042F">
      <w:pPr>
        <w:pStyle w:val="TOC4"/>
        <w:rPr>
          <w:rFonts w:asciiTheme="minorHAnsi" w:eastAsiaTheme="minorEastAsia" w:hAnsiTheme="minorHAnsi"/>
          <w:noProof/>
          <w:sz w:val="22"/>
          <w:lang w:eastAsia="en-AU"/>
        </w:rPr>
      </w:pPr>
      <w:hyperlink w:anchor="_Toc175238923" w:history="1">
        <w:r w:rsidRPr="005871B3">
          <w:rPr>
            <w:rStyle w:val="Hyperlink"/>
            <w:noProof/>
          </w:rPr>
          <w:t>43.3—Acceptance of guilty plea</w:t>
        </w:r>
        <w:r>
          <w:rPr>
            <w:noProof/>
            <w:webHidden/>
          </w:rPr>
          <w:tab/>
        </w:r>
        <w:r>
          <w:rPr>
            <w:noProof/>
            <w:webHidden/>
          </w:rPr>
          <w:fldChar w:fldCharType="begin"/>
        </w:r>
        <w:r>
          <w:rPr>
            <w:noProof/>
            <w:webHidden/>
          </w:rPr>
          <w:instrText xml:space="preserve"> PAGEREF _Toc175238923 \h </w:instrText>
        </w:r>
        <w:r>
          <w:rPr>
            <w:noProof/>
            <w:webHidden/>
          </w:rPr>
        </w:r>
        <w:r>
          <w:rPr>
            <w:noProof/>
            <w:webHidden/>
          </w:rPr>
          <w:fldChar w:fldCharType="separate"/>
        </w:r>
        <w:r w:rsidR="00FD06AB">
          <w:rPr>
            <w:noProof/>
            <w:webHidden/>
          </w:rPr>
          <w:t>91</w:t>
        </w:r>
        <w:r>
          <w:rPr>
            <w:noProof/>
            <w:webHidden/>
          </w:rPr>
          <w:fldChar w:fldCharType="end"/>
        </w:r>
      </w:hyperlink>
    </w:p>
    <w:p w14:paraId="602BCF63" w14:textId="397CADA1" w:rsidR="003B042F" w:rsidRDefault="003B042F">
      <w:pPr>
        <w:pStyle w:val="TOC4"/>
        <w:rPr>
          <w:rFonts w:asciiTheme="minorHAnsi" w:eastAsiaTheme="minorEastAsia" w:hAnsiTheme="minorHAnsi"/>
          <w:noProof/>
          <w:sz w:val="22"/>
          <w:lang w:eastAsia="en-AU"/>
        </w:rPr>
      </w:pPr>
      <w:hyperlink w:anchor="_Toc175238924" w:history="1">
        <w:r w:rsidRPr="005871B3">
          <w:rPr>
            <w:rStyle w:val="Hyperlink"/>
            <w:noProof/>
          </w:rPr>
          <w:t>43.4—Withdrawal of guilty plea</w:t>
        </w:r>
        <w:r>
          <w:rPr>
            <w:noProof/>
            <w:webHidden/>
          </w:rPr>
          <w:tab/>
        </w:r>
        <w:r>
          <w:rPr>
            <w:noProof/>
            <w:webHidden/>
          </w:rPr>
          <w:fldChar w:fldCharType="begin"/>
        </w:r>
        <w:r>
          <w:rPr>
            <w:noProof/>
            <w:webHidden/>
          </w:rPr>
          <w:instrText xml:space="preserve"> PAGEREF _Toc175238924 \h </w:instrText>
        </w:r>
        <w:r>
          <w:rPr>
            <w:noProof/>
            <w:webHidden/>
          </w:rPr>
        </w:r>
        <w:r>
          <w:rPr>
            <w:noProof/>
            <w:webHidden/>
          </w:rPr>
          <w:fldChar w:fldCharType="separate"/>
        </w:r>
        <w:r w:rsidR="00FD06AB">
          <w:rPr>
            <w:noProof/>
            <w:webHidden/>
          </w:rPr>
          <w:t>91</w:t>
        </w:r>
        <w:r>
          <w:rPr>
            <w:noProof/>
            <w:webHidden/>
          </w:rPr>
          <w:fldChar w:fldCharType="end"/>
        </w:r>
      </w:hyperlink>
    </w:p>
    <w:p w14:paraId="0BC00460" w14:textId="34E53ED6"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25" w:history="1">
        <w:r w:rsidRPr="005871B3">
          <w:rPr>
            <w:rStyle w:val="Hyperlink"/>
            <w:noProof/>
          </w:rPr>
          <w:t>Part 10—Consolidation, division and transfer of proceedings</w:t>
        </w:r>
        <w:r>
          <w:rPr>
            <w:noProof/>
            <w:webHidden/>
          </w:rPr>
          <w:tab/>
        </w:r>
        <w:r>
          <w:rPr>
            <w:noProof/>
            <w:webHidden/>
          </w:rPr>
          <w:fldChar w:fldCharType="begin"/>
        </w:r>
        <w:r>
          <w:rPr>
            <w:noProof/>
            <w:webHidden/>
          </w:rPr>
          <w:instrText xml:space="preserve"> PAGEREF _Toc175238925 \h </w:instrText>
        </w:r>
        <w:r>
          <w:rPr>
            <w:noProof/>
            <w:webHidden/>
          </w:rPr>
        </w:r>
        <w:r>
          <w:rPr>
            <w:noProof/>
            <w:webHidden/>
          </w:rPr>
          <w:fldChar w:fldCharType="separate"/>
        </w:r>
        <w:r w:rsidR="00FD06AB">
          <w:rPr>
            <w:noProof/>
            <w:webHidden/>
          </w:rPr>
          <w:t>92</w:t>
        </w:r>
        <w:r>
          <w:rPr>
            <w:noProof/>
            <w:webHidden/>
          </w:rPr>
          <w:fldChar w:fldCharType="end"/>
        </w:r>
      </w:hyperlink>
    </w:p>
    <w:p w14:paraId="60749091" w14:textId="2E08F394" w:rsidR="003B042F" w:rsidRDefault="003B042F">
      <w:pPr>
        <w:pStyle w:val="TOC3"/>
        <w:rPr>
          <w:rFonts w:asciiTheme="minorHAnsi" w:eastAsiaTheme="minorEastAsia" w:hAnsiTheme="minorHAnsi"/>
          <w:b w:val="0"/>
          <w:noProof/>
          <w:sz w:val="22"/>
          <w:lang w:eastAsia="en-AU"/>
        </w:rPr>
      </w:pPr>
      <w:hyperlink w:anchor="_Toc175238926" w:history="1">
        <w:r w:rsidRPr="005871B3">
          <w:rPr>
            <w:rStyle w:val="Hyperlink"/>
            <w:noProof/>
          </w:rPr>
          <w:t>Division 1—Consolidation and division</w:t>
        </w:r>
        <w:r>
          <w:rPr>
            <w:noProof/>
            <w:webHidden/>
          </w:rPr>
          <w:tab/>
        </w:r>
        <w:r>
          <w:rPr>
            <w:noProof/>
            <w:webHidden/>
          </w:rPr>
          <w:fldChar w:fldCharType="begin"/>
        </w:r>
        <w:r>
          <w:rPr>
            <w:noProof/>
            <w:webHidden/>
          </w:rPr>
          <w:instrText xml:space="preserve"> PAGEREF _Toc175238926 \h </w:instrText>
        </w:r>
        <w:r>
          <w:rPr>
            <w:noProof/>
            <w:webHidden/>
          </w:rPr>
        </w:r>
        <w:r>
          <w:rPr>
            <w:noProof/>
            <w:webHidden/>
          </w:rPr>
          <w:fldChar w:fldCharType="separate"/>
        </w:r>
        <w:r w:rsidR="00FD06AB">
          <w:rPr>
            <w:noProof/>
            <w:webHidden/>
          </w:rPr>
          <w:t>92</w:t>
        </w:r>
        <w:r>
          <w:rPr>
            <w:noProof/>
            <w:webHidden/>
          </w:rPr>
          <w:fldChar w:fldCharType="end"/>
        </w:r>
      </w:hyperlink>
    </w:p>
    <w:p w14:paraId="72DB05A1" w14:textId="3538FA4B" w:rsidR="003B042F" w:rsidRDefault="003B042F">
      <w:pPr>
        <w:pStyle w:val="TOC4"/>
        <w:rPr>
          <w:rFonts w:asciiTheme="minorHAnsi" w:eastAsiaTheme="minorEastAsia" w:hAnsiTheme="minorHAnsi"/>
          <w:noProof/>
          <w:sz w:val="22"/>
          <w:lang w:eastAsia="en-AU"/>
        </w:rPr>
      </w:pPr>
      <w:hyperlink w:anchor="_Toc175238927" w:history="1">
        <w:r w:rsidRPr="005871B3">
          <w:rPr>
            <w:rStyle w:val="Hyperlink"/>
            <w:noProof/>
          </w:rPr>
          <w:t>44.1—Consolidation</w:t>
        </w:r>
        <w:r>
          <w:rPr>
            <w:noProof/>
            <w:webHidden/>
          </w:rPr>
          <w:tab/>
        </w:r>
        <w:r>
          <w:rPr>
            <w:noProof/>
            <w:webHidden/>
          </w:rPr>
          <w:fldChar w:fldCharType="begin"/>
        </w:r>
        <w:r>
          <w:rPr>
            <w:noProof/>
            <w:webHidden/>
          </w:rPr>
          <w:instrText xml:space="preserve"> PAGEREF _Toc175238927 \h </w:instrText>
        </w:r>
        <w:r>
          <w:rPr>
            <w:noProof/>
            <w:webHidden/>
          </w:rPr>
        </w:r>
        <w:r>
          <w:rPr>
            <w:noProof/>
            <w:webHidden/>
          </w:rPr>
          <w:fldChar w:fldCharType="separate"/>
        </w:r>
        <w:r w:rsidR="00FD06AB">
          <w:rPr>
            <w:noProof/>
            <w:webHidden/>
          </w:rPr>
          <w:t>92</w:t>
        </w:r>
        <w:r>
          <w:rPr>
            <w:noProof/>
            <w:webHidden/>
          </w:rPr>
          <w:fldChar w:fldCharType="end"/>
        </w:r>
      </w:hyperlink>
    </w:p>
    <w:p w14:paraId="5773F476" w14:textId="6796F681" w:rsidR="003B042F" w:rsidRDefault="003B042F">
      <w:pPr>
        <w:pStyle w:val="TOC4"/>
        <w:rPr>
          <w:rFonts w:asciiTheme="minorHAnsi" w:eastAsiaTheme="minorEastAsia" w:hAnsiTheme="minorHAnsi"/>
          <w:noProof/>
          <w:sz w:val="22"/>
          <w:lang w:eastAsia="en-AU"/>
        </w:rPr>
      </w:pPr>
      <w:hyperlink w:anchor="_Toc175238928" w:history="1">
        <w:r w:rsidRPr="005871B3">
          <w:rPr>
            <w:rStyle w:val="Hyperlink"/>
            <w:noProof/>
          </w:rPr>
          <w:t>44.2—Division</w:t>
        </w:r>
        <w:r>
          <w:rPr>
            <w:noProof/>
            <w:webHidden/>
          </w:rPr>
          <w:tab/>
        </w:r>
        <w:r>
          <w:rPr>
            <w:noProof/>
            <w:webHidden/>
          </w:rPr>
          <w:fldChar w:fldCharType="begin"/>
        </w:r>
        <w:r>
          <w:rPr>
            <w:noProof/>
            <w:webHidden/>
          </w:rPr>
          <w:instrText xml:space="preserve"> PAGEREF _Toc175238928 \h </w:instrText>
        </w:r>
        <w:r>
          <w:rPr>
            <w:noProof/>
            <w:webHidden/>
          </w:rPr>
        </w:r>
        <w:r>
          <w:rPr>
            <w:noProof/>
            <w:webHidden/>
          </w:rPr>
          <w:fldChar w:fldCharType="separate"/>
        </w:r>
        <w:r w:rsidR="00FD06AB">
          <w:rPr>
            <w:noProof/>
            <w:webHidden/>
          </w:rPr>
          <w:t>92</w:t>
        </w:r>
        <w:r>
          <w:rPr>
            <w:noProof/>
            <w:webHidden/>
          </w:rPr>
          <w:fldChar w:fldCharType="end"/>
        </w:r>
      </w:hyperlink>
    </w:p>
    <w:p w14:paraId="16764031" w14:textId="14F06C18" w:rsidR="003B042F" w:rsidRDefault="003B042F">
      <w:pPr>
        <w:pStyle w:val="TOC3"/>
        <w:rPr>
          <w:rFonts w:asciiTheme="minorHAnsi" w:eastAsiaTheme="minorEastAsia" w:hAnsiTheme="minorHAnsi"/>
          <w:b w:val="0"/>
          <w:noProof/>
          <w:sz w:val="22"/>
          <w:lang w:eastAsia="en-AU"/>
        </w:rPr>
      </w:pPr>
      <w:hyperlink w:anchor="_Toc175238929" w:history="1">
        <w:r w:rsidRPr="005871B3">
          <w:rPr>
            <w:rStyle w:val="Hyperlink"/>
            <w:noProof/>
          </w:rPr>
          <w:t>Division 2—Transfer between courts</w:t>
        </w:r>
        <w:r>
          <w:rPr>
            <w:noProof/>
            <w:webHidden/>
          </w:rPr>
          <w:tab/>
        </w:r>
        <w:r>
          <w:rPr>
            <w:noProof/>
            <w:webHidden/>
          </w:rPr>
          <w:fldChar w:fldCharType="begin"/>
        </w:r>
        <w:r>
          <w:rPr>
            <w:noProof/>
            <w:webHidden/>
          </w:rPr>
          <w:instrText xml:space="preserve"> PAGEREF _Toc175238929 \h </w:instrText>
        </w:r>
        <w:r>
          <w:rPr>
            <w:noProof/>
            <w:webHidden/>
          </w:rPr>
        </w:r>
        <w:r>
          <w:rPr>
            <w:noProof/>
            <w:webHidden/>
          </w:rPr>
          <w:fldChar w:fldCharType="separate"/>
        </w:r>
        <w:r w:rsidR="00FD06AB">
          <w:rPr>
            <w:noProof/>
            <w:webHidden/>
          </w:rPr>
          <w:t>92</w:t>
        </w:r>
        <w:r>
          <w:rPr>
            <w:noProof/>
            <w:webHidden/>
          </w:rPr>
          <w:fldChar w:fldCharType="end"/>
        </w:r>
      </w:hyperlink>
    </w:p>
    <w:p w14:paraId="51894BCD" w14:textId="5FCE7793" w:rsidR="003B042F" w:rsidRDefault="003B042F">
      <w:pPr>
        <w:pStyle w:val="TOC4"/>
        <w:rPr>
          <w:rFonts w:asciiTheme="minorHAnsi" w:eastAsiaTheme="minorEastAsia" w:hAnsiTheme="minorHAnsi"/>
          <w:noProof/>
          <w:sz w:val="22"/>
          <w:lang w:eastAsia="en-AU"/>
        </w:rPr>
      </w:pPr>
      <w:hyperlink w:anchor="_Toc175238930" w:history="1">
        <w:r w:rsidRPr="005871B3">
          <w:rPr>
            <w:rStyle w:val="Hyperlink"/>
            <w:noProof/>
          </w:rPr>
          <w:t>45.1—Supreme Court</w:t>
        </w:r>
        <w:r>
          <w:rPr>
            <w:noProof/>
            <w:webHidden/>
          </w:rPr>
          <w:tab/>
        </w:r>
        <w:r>
          <w:rPr>
            <w:noProof/>
            <w:webHidden/>
          </w:rPr>
          <w:fldChar w:fldCharType="begin"/>
        </w:r>
        <w:r>
          <w:rPr>
            <w:noProof/>
            <w:webHidden/>
          </w:rPr>
          <w:instrText xml:space="preserve"> PAGEREF _Toc175238930 \h </w:instrText>
        </w:r>
        <w:r>
          <w:rPr>
            <w:noProof/>
            <w:webHidden/>
          </w:rPr>
        </w:r>
        <w:r>
          <w:rPr>
            <w:noProof/>
            <w:webHidden/>
          </w:rPr>
          <w:fldChar w:fldCharType="separate"/>
        </w:r>
        <w:r w:rsidR="00FD06AB">
          <w:rPr>
            <w:noProof/>
            <w:webHidden/>
          </w:rPr>
          <w:t>92</w:t>
        </w:r>
        <w:r>
          <w:rPr>
            <w:noProof/>
            <w:webHidden/>
          </w:rPr>
          <w:fldChar w:fldCharType="end"/>
        </w:r>
      </w:hyperlink>
    </w:p>
    <w:p w14:paraId="1B2DD390" w14:textId="189094FC" w:rsidR="003B042F" w:rsidRDefault="003B042F">
      <w:pPr>
        <w:pStyle w:val="TOC4"/>
        <w:rPr>
          <w:rFonts w:asciiTheme="minorHAnsi" w:eastAsiaTheme="minorEastAsia" w:hAnsiTheme="minorHAnsi"/>
          <w:noProof/>
          <w:sz w:val="22"/>
          <w:lang w:eastAsia="en-AU"/>
        </w:rPr>
      </w:pPr>
      <w:hyperlink w:anchor="_Toc175238931" w:history="1">
        <w:r w:rsidRPr="005871B3">
          <w:rPr>
            <w:rStyle w:val="Hyperlink"/>
            <w:noProof/>
          </w:rPr>
          <w:t>45.2—District Court</w:t>
        </w:r>
        <w:r>
          <w:rPr>
            <w:noProof/>
            <w:webHidden/>
          </w:rPr>
          <w:tab/>
        </w:r>
        <w:r>
          <w:rPr>
            <w:noProof/>
            <w:webHidden/>
          </w:rPr>
          <w:fldChar w:fldCharType="begin"/>
        </w:r>
        <w:r>
          <w:rPr>
            <w:noProof/>
            <w:webHidden/>
          </w:rPr>
          <w:instrText xml:space="preserve"> PAGEREF _Toc175238931 \h </w:instrText>
        </w:r>
        <w:r>
          <w:rPr>
            <w:noProof/>
            <w:webHidden/>
          </w:rPr>
        </w:r>
        <w:r>
          <w:rPr>
            <w:noProof/>
            <w:webHidden/>
          </w:rPr>
          <w:fldChar w:fldCharType="separate"/>
        </w:r>
        <w:r w:rsidR="00FD06AB">
          <w:rPr>
            <w:noProof/>
            <w:webHidden/>
          </w:rPr>
          <w:t>92</w:t>
        </w:r>
        <w:r>
          <w:rPr>
            <w:noProof/>
            <w:webHidden/>
          </w:rPr>
          <w:fldChar w:fldCharType="end"/>
        </w:r>
      </w:hyperlink>
    </w:p>
    <w:p w14:paraId="4819F7DB" w14:textId="6F6A491B" w:rsidR="003B042F" w:rsidRDefault="003B042F">
      <w:pPr>
        <w:pStyle w:val="TOC4"/>
        <w:rPr>
          <w:rFonts w:asciiTheme="minorHAnsi" w:eastAsiaTheme="minorEastAsia" w:hAnsiTheme="minorHAnsi"/>
          <w:noProof/>
          <w:sz w:val="22"/>
          <w:lang w:eastAsia="en-AU"/>
        </w:rPr>
      </w:pPr>
      <w:hyperlink w:anchor="_Toc175238932" w:history="1">
        <w:r w:rsidRPr="005871B3">
          <w:rPr>
            <w:rStyle w:val="Hyperlink"/>
            <w:noProof/>
          </w:rPr>
          <w:t>45.3—Magistrates Court</w:t>
        </w:r>
        <w:r>
          <w:rPr>
            <w:noProof/>
            <w:webHidden/>
          </w:rPr>
          <w:tab/>
        </w:r>
        <w:r>
          <w:rPr>
            <w:noProof/>
            <w:webHidden/>
          </w:rPr>
          <w:fldChar w:fldCharType="begin"/>
        </w:r>
        <w:r>
          <w:rPr>
            <w:noProof/>
            <w:webHidden/>
          </w:rPr>
          <w:instrText xml:space="preserve"> PAGEREF _Toc175238932 \h </w:instrText>
        </w:r>
        <w:r>
          <w:rPr>
            <w:noProof/>
            <w:webHidden/>
          </w:rPr>
        </w:r>
        <w:r>
          <w:rPr>
            <w:noProof/>
            <w:webHidden/>
          </w:rPr>
          <w:fldChar w:fldCharType="separate"/>
        </w:r>
        <w:r w:rsidR="00FD06AB">
          <w:rPr>
            <w:noProof/>
            <w:webHidden/>
          </w:rPr>
          <w:t>93</w:t>
        </w:r>
        <w:r>
          <w:rPr>
            <w:noProof/>
            <w:webHidden/>
          </w:rPr>
          <w:fldChar w:fldCharType="end"/>
        </w:r>
      </w:hyperlink>
    </w:p>
    <w:p w14:paraId="27465D68" w14:textId="5D3D216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33" w:history="1">
        <w:r w:rsidRPr="005871B3">
          <w:rPr>
            <w:rStyle w:val="Hyperlink"/>
            <w:noProof/>
          </w:rPr>
          <w:t>Part 11—Experts</w:t>
        </w:r>
        <w:r>
          <w:rPr>
            <w:noProof/>
            <w:webHidden/>
          </w:rPr>
          <w:tab/>
        </w:r>
        <w:r>
          <w:rPr>
            <w:noProof/>
            <w:webHidden/>
          </w:rPr>
          <w:fldChar w:fldCharType="begin"/>
        </w:r>
        <w:r>
          <w:rPr>
            <w:noProof/>
            <w:webHidden/>
          </w:rPr>
          <w:instrText xml:space="preserve"> PAGEREF _Toc175238933 \h </w:instrText>
        </w:r>
        <w:r>
          <w:rPr>
            <w:noProof/>
            <w:webHidden/>
          </w:rPr>
        </w:r>
        <w:r>
          <w:rPr>
            <w:noProof/>
            <w:webHidden/>
          </w:rPr>
          <w:fldChar w:fldCharType="separate"/>
        </w:r>
        <w:r w:rsidR="00FD06AB">
          <w:rPr>
            <w:noProof/>
            <w:webHidden/>
          </w:rPr>
          <w:t>93</w:t>
        </w:r>
        <w:r>
          <w:rPr>
            <w:noProof/>
            <w:webHidden/>
          </w:rPr>
          <w:fldChar w:fldCharType="end"/>
        </w:r>
      </w:hyperlink>
    </w:p>
    <w:p w14:paraId="517A383F" w14:textId="431587EE" w:rsidR="003B042F" w:rsidRDefault="003B042F">
      <w:pPr>
        <w:pStyle w:val="TOC3"/>
        <w:rPr>
          <w:rFonts w:asciiTheme="minorHAnsi" w:eastAsiaTheme="minorEastAsia" w:hAnsiTheme="minorHAnsi"/>
          <w:b w:val="0"/>
          <w:noProof/>
          <w:sz w:val="22"/>
          <w:lang w:eastAsia="en-AU"/>
        </w:rPr>
      </w:pPr>
      <w:hyperlink w:anchor="_Toc175238934" w:history="1">
        <w:r w:rsidRPr="005871B3">
          <w:rPr>
            <w:rStyle w:val="Hyperlink"/>
            <w:noProof/>
          </w:rPr>
          <w:t>Division 1—Expert code of conduct</w:t>
        </w:r>
        <w:r>
          <w:rPr>
            <w:noProof/>
            <w:webHidden/>
          </w:rPr>
          <w:tab/>
        </w:r>
        <w:r>
          <w:rPr>
            <w:noProof/>
            <w:webHidden/>
          </w:rPr>
          <w:fldChar w:fldCharType="begin"/>
        </w:r>
        <w:r>
          <w:rPr>
            <w:noProof/>
            <w:webHidden/>
          </w:rPr>
          <w:instrText xml:space="preserve"> PAGEREF _Toc175238934 \h </w:instrText>
        </w:r>
        <w:r>
          <w:rPr>
            <w:noProof/>
            <w:webHidden/>
          </w:rPr>
        </w:r>
        <w:r>
          <w:rPr>
            <w:noProof/>
            <w:webHidden/>
          </w:rPr>
          <w:fldChar w:fldCharType="separate"/>
        </w:r>
        <w:r w:rsidR="00FD06AB">
          <w:rPr>
            <w:noProof/>
            <w:webHidden/>
          </w:rPr>
          <w:t>93</w:t>
        </w:r>
        <w:r>
          <w:rPr>
            <w:noProof/>
            <w:webHidden/>
          </w:rPr>
          <w:fldChar w:fldCharType="end"/>
        </w:r>
      </w:hyperlink>
    </w:p>
    <w:p w14:paraId="58CC9E14" w14:textId="7B521294" w:rsidR="003B042F" w:rsidRDefault="003B042F">
      <w:pPr>
        <w:pStyle w:val="TOC4"/>
        <w:rPr>
          <w:rFonts w:asciiTheme="minorHAnsi" w:eastAsiaTheme="minorEastAsia" w:hAnsiTheme="minorHAnsi"/>
          <w:noProof/>
          <w:sz w:val="22"/>
          <w:lang w:eastAsia="en-AU"/>
        </w:rPr>
      </w:pPr>
      <w:hyperlink w:anchor="_Toc175238935" w:history="1">
        <w:r w:rsidRPr="005871B3">
          <w:rPr>
            <w:rStyle w:val="Hyperlink"/>
            <w:noProof/>
          </w:rPr>
          <w:t>46.1—General duties to Court</w:t>
        </w:r>
        <w:r>
          <w:rPr>
            <w:noProof/>
            <w:webHidden/>
          </w:rPr>
          <w:tab/>
        </w:r>
        <w:r>
          <w:rPr>
            <w:noProof/>
            <w:webHidden/>
          </w:rPr>
          <w:fldChar w:fldCharType="begin"/>
        </w:r>
        <w:r>
          <w:rPr>
            <w:noProof/>
            <w:webHidden/>
          </w:rPr>
          <w:instrText xml:space="preserve"> PAGEREF _Toc175238935 \h </w:instrText>
        </w:r>
        <w:r>
          <w:rPr>
            <w:noProof/>
            <w:webHidden/>
          </w:rPr>
        </w:r>
        <w:r>
          <w:rPr>
            <w:noProof/>
            <w:webHidden/>
          </w:rPr>
          <w:fldChar w:fldCharType="separate"/>
        </w:r>
        <w:r w:rsidR="00FD06AB">
          <w:rPr>
            <w:noProof/>
            <w:webHidden/>
          </w:rPr>
          <w:t>93</w:t>
        </w:r>
        <w:r>
          <w:rPr>
            <w:noProof/>
            <w:webHidden/>
          </w:rPr>
          <w:fldChar w:fldCharType="end"/>
        </w:r>
      </w:hyperlink>
    </w:p>
    <w:p w14:paraId="3CD95343" w14:textId="06872C42" w:rsidR="003B042F" w:rsidRDefault="003B042F">
      <w:pPr>
        <w:pStyle w:val="TOC4"/>
        <w:rPr>
          <w:rFonts w:asciiTheme="minorHAnsi" w:eastAsiaTheme="minorEastAsia" w:hAnsiTheme="minorHAnsi"/>
          <w:noProof/>
          <w:sz w:val="22"/>
          <w:lang w:eastAsia="en-AU"/>
        </w:rPr>
      </w:pPr>
      <w:hyperlink w:anchor="_Toc175238936" w:history="1">
        <w:r w:rsidRPr="005871B3">
          <w:rPr>
            <w:rStyle w:val="Hyperlink"/>
            <w:noProof/>
          </w:rPr>
          <w:t>46.2—Content of report</w:t>
        </w:r>
        <w:r>
          <w:rPr>
            <w:noProof/>
            <w:webHidden/>
          </w:rPr>
          <w:tab/>
        </w:r>
        <w:r>
          <w:rPr>
            <w:noProof/>
            <w:webHidden/>
          </w:rPr>
          <w:fldChar w:fldCharType="begin"/>
        </w:r>
        <w:r>
          <w:rPr>
            <w:noProof/>
            <w:webHidden/>
          </w:rPr>
          <w:instrText xml:space="preserve"> PAGEREF _Toc175238936 \h </w:instrText>
        </w:r>
        <w:r>
          <w:rPr>
            <w:noProof/>
            <w:webHidden/>
          </w:rPr>
        </w:r>
        <w:r>
          <w:rPr>
            <w:noProof/>
            <w:webHidden/>
          </w:rPr>
          <w:fldChar w:fldCharType="separate"/>
        </w:r>
        <w:r w:rsidR="00FD06AB">
          <w:rPr>
            <w:noProof/>
            <w:webHidden/>
          </w:rPr>
          <w:t>93</w:t>
        </w:r>
        <w:r>
          <w:rPr>
            <w:noProof/>
            <w:webHidden/>
          </w:rPr>
          <w:fldChar w:fldCharType="end"/>
        </w:r>
      </w:hyperlink>
    </w:p>
    <w:p w14:paraId="785BFDB0" w14:textId="0CCAB5C6" w:rsidR="003B042F" w:rsidRDefault="003B042F">
      <w:pPr>
        <w:pStyle w:val="TOC4"/>
        <w:rPr>
          <w:rFonts w:asciiTheme="minorHAnsi" w:eastAsiaTheme="minorEastAsia" w:hAnsiTheme="minorHAnsi"/>
          <w:noProof/>
          <w:sz w:val="22"/>
          <w:lang w:eastAsia="en-AU"/>
        </w:rPr>
      </w:pPr>
      <w:hyperlink w:anchor="_Toc175238937" w:history="1">
        <w:r w:rsidRPr="005871B3">
          <w:rPr>
            <w:rStyle w:val="Hyperlink"/>
            <w:noProof/>
          </w:rPr>
          <w:t>46.3—Change of opinion</w:t>
        </w:r>
        <w:r>
          <w:rPr>
            <w:noProof/>
            <w:webHidden/>
          </w:rPr>
          <w:tab/>
        </w:r>
        <w:r>
          <w:rPr>
            <w:noProof/>
            <w:webHidden/>
          </w:rPr>
          <w:fldChar w:fldCharType="begin"/>
        </w:r>
        <w:r>
          <w:rPr>
            <w:noProof/>
            <w:webHidden/>
          </w:rPr>
          <w:instrText xml:space="preserve"> PAGEREF _Toc175238937 \h </w:instrText>
        </w:r>
        <w:r>
          <w:rPr>
            <w:noProof/>
            <w:webHidden/>
          </w:rPr>
        </w:r>
        <w:r>
          <w:rPr>
            <w:noProof/>
            <w:webHidden/>
          </w:rPr>
          <w:fldChar w:fldCharType="separate"/>
        </w:r>
        <w:r w:rsidR="00FD06AB">
          <w:rPr>
            <w:noProof/>
            <w:webHidden/>
          </w:rPr>
          <w:t>93</w:t>
        </w:r>
        <w:r>
          <w:rPr>
            <w:noProof/>
            <w:webHidden/>
          </w:rPr>
          <w:fldChar w:fldCharType="end"/>
        </w:r>
      </w:hyperlink>
    </w:p>
    <w:p w14:paraId="7C204CA8" w14:textId="003BF4C7" w:rsidR="003B042F" w:rsidRDefault="003B042F">
      <w:pPr>
        <w:pStyle w:val="TOC4"/>
        <w:rPr>
          <w:rFonts w:asciiTheme="minorHAnsi" w:eastAsiaTheme="minorEastAsia" w:hAnsiTheme="minorHAnsi"/>
          <w:noProof/>
          <w:sz w:val="22"/>
          <w:lang w:eastAsia="en-AU"/>
        </w:rPr>
      </w:pPr>
      <w:hyperlink w:anchor="_Toc175238938" w:history="1">
        <w:r w:rsidRPr="005871B3">
          <w:rPr>
            <w:rStyle w:val="Hyperlink"/>
            <w:noProof/>
          </w:rPr>
          <w:t>46.4—Conferral with prior expert</w:t>
        </w:r>
        <w:r>
          <w:rPr>
            <w:noProof/>
            <w:webHidden/>
          </w:rPr>
          <w:tab/>
        </w:r>
        <w:r>
          <w:rPr>
            <w:noProof/>
            <w:webHidden/>
          </w:rPr>
          <w:fldChar w:fldCharType="begin"/>
        </w:r>
        <w:r>
          <w:rPr>
            <w:noProof/>
            <w:webHidden/>
          </w:rPr>
          <w:instrText xml:space="preserve"> PAGEREF _Toc175238938 \h </w:instrText>
        </w:r>
        <w:r>
          <w:rPr>
            <w:noProof/>
            <w:webHidden/>
          </w:rPr>
        </w:r>
        <w:r>
          <w:rPr>
            <w:noProof/>
            <w:webHidden/>
          </w:rPr>
          <w:fldChar w:fldCharType="separate"/>
        </w:r>
        <w:r w:rsidR="00FD06AB">
          <w:rPr>
            <w:noProof/>
            <w:webHidden/>
          </w:rPr>
          <w:t>93</w:t>
        </w:r>
        <w:r>
          <w:rPr>
            <w:noProof/>
            <w:webHidden/>
          </w:rPr>
          <w:fldChar w:fldCharType="end"/>
        </w:r>
      </w:hyperlink>
    </w:p>
    <w:p w14:paraId="7E29D5D1" w14:textId="47DED8BF" w:rsidR="003B042F" w:rsidRDefault="003B042F">
      <w:pPr>
        <w:pStyle w:val="TOC3"/>
        <w:rPr>
          <w:rFonts w:asciiTheme="minorHAnsi" w:eastAsiaTheme="minorEastAsia" w:hAnsiTheme="minorHAnsi"/>
          <w:b w:val="0"/>
          <w:noProof/>
          <w:sz w:val="22"/>
          <w:lang w:eastAsia="en-AU"/>
        </w:rPr>
      </w:pPr>
      <w:hyperlink w:anchor="_Toc175238939" w:history="1">
        <w:r w:rsidRPr="005871B3">
          <w:rPr>
            <w:rStyle w:val="Hyperlink"/>
            <w:noProof/>
          </w:rPr>
          <w:t>Division 2—Content of expert report</w:t>
        </w:r>
        <w:r>
          <w:rPr>
            <w:noProof/>
            <w:webHidden/>
          </w:rPr>
          <w:tab/>
        </w:r>
        <w:r>
          <w:rPr>
            <w:noProof/>
            <w:webHidden/>
          </w:rPr>
          <w:fldChar w:fldCharType="begin"/>
        </w:r>
        <w:r>
          <w:rPr>
            <w:noProof/>
            <w:webHidden/>
          </w:rPr>
          <w:instrText xml:space="preserve"> PAGEREF _Toc175238939 \h </w:instrText>
        </w:r>
        <w:r>
          <w:rPr>
            <w:noProof/>
            <w:webHidden/>
          </w:rPr>
        </w:r>
        <w:r>
          <w:rPr>
            <w:noProof/>
            <w:webHidden/>
          </w:rPr>
          <w:fldChar w:fldCharType="separate"/>
        </w:r>
        <w:r w:rsidR="00FD06AB">
          <w:rPr>
            <w:noProof/>
            <w:webHidden/>
          </w:rPr>
          <w:t>93</w:t>
        </w:r>
        <w:r>
          <w:rPr>
            <w:noProof/>
            <w:webHidden/>
          </w:rPr>
          <w:fldChar w:fldCharType="end"/>
        </w:r>
      </w:hyperlink>
    </w:p>
    <w:p w14:paraId="25FCBED2" w14:textId="3F349925" w:rsidR="003B042F" w:rsidRDefault="003B042F">
      <w:pPr>
        <w:pStyle w:val="TOC4"/>
        <w:rPr>
          <w:rFonts w:asciiTheme="minorHAnsi" w:eastAsiaTheme="minorEastAsia" w:hAnsiTheme="minorHAnsi"/>
          <w:noProof/>
          <w:sz w:val="22"/>
          <w:lang w:eastAsia="en-AU"/>
        </w:rPr>
      </w:pPr>
      <w:hyperlink w:anchor="_Toc175238940" w:history="1">
        <w:r w:rsidRPr="005871B3">
          <w:rPr>
            <w:rStyle w:val="Hyperlink"/>
            <w:noProof/>
          </w:rPr>
          <w:t>47.1—Content of report</w:t>
        </w:r>
        <w:r>
          <w:rPr>
            <w:noProof/>
            <w:webHidden/>
          </w:rPr>
          <w:tab/>
        </w:r>
        <w:r>
          <w:rPr>
            <w:noProof/>
            <w:webHidden/>
          </w:rPr>
          <w:fldChar w:fldCharType="begin"/>
        </w:r>
        <w:r>
          <w:rPr>
            <w:noProof/>
            <w:webHidden/>
          </w:rPr>
          <w:instrText xml:space="preserve"> PAGEREF _Toc175238940 \h </w:instrText>
        </w:r>
        <w:r>
          <w:rPr>
            <w:noProof/>
            <w:webHidden/>
          </w:rPr>
        </w:r>
        <w:r>
          <w:rPr>
            <w:noProof/>
            <w:webHidden/>
          </w:rPr>
          <w:fldChar w:fldCharType="separate"/>
        </w:r>
        <w:r w:rsidR="00FD06AB">
          <w:rPr>
            <w:noProof/>
            <w:webHidden/>
          </w:rPr>
          <w:t>93</w:t>
        </w:r>
        <w:r>
          <w:rPr>
            <w:noProof/>
            <w:webHidden/>
          </w:rPr>
          <w:fldChar w:fldCharType="end"/>
        </w:r>
      </w:hyperlink>
    </w:p>
    <w:p w14:paraId="6C31368F" w14:textId="45BB0836" w:rsidR="003B042F" w:rsidRDefault="003B042F">
      <w:pPr>
        <w:pStyle w:val="TOC4"/>
        <w:rPr>
          <w:rFonts w:asciiTheme="minorHAnsi" w:eastAsiaTheme="minorEastAsia" w:hAnsiTheme="minorHAnsi"/>
          <w:noProof/>
          <w:sz w:val="22"/>
          <w:lang w:eastAsia="en-AU"/>
        </w:rPr>
      </w:pPr>
      <w:hyperlink w:anchor="_Toc175238941" w:history="1">
        <w:r w:rsidRPr="005871B3">
          <w:rPr>
            <w:rStyle w:val="Hyperlink"/>
            <w:noProof/>
          </w:rPr>
          <w:t>47.2—Supplementary report</w:t>
        </w:r>
        <w:r>
          <w:rPr>
            <w:noProof/>
            <w:webHidden/>
          </w:rPr>
          <w:tab/>
        </w:r>
        <w:r>
          <w:rPr>
            <w:noProof/>
            <w:webHidden/>
          </w:rPr>
          <w:fldChar w:fldCharType="begin"/>
        </w:r>
        <w:r>
          <w:rPr>
            <w:noProof/>
            <w:webHidden/>
          </w:rPr>
          <w:instrText xml:space="preserve"> PAGEREF _Toc175238941 \h </w:instrText>
        </w:r>
        <w:r>
          <w:rPr>
            <w:noProof/>
            <w:webHidden/>
          </w:rPr>
        </w:r>
        <w:r>
          <w:rPr>
            <w:noProof/>
            <w:webHidden/>
          </w:rPr>
          <w:fldChar w:fldCharType="separate"/>
        </w:r>
        <w:r w:rsidR="00FD06AB">
          <w:rPr>
            <w:noProof/>
            <w:webHidden/>
          </w:rPr>
          <w:t>94</w:t>
        </w:r>
        <w:r>
          <w:rPr>
            <w:noProof/>
            <w:webHidden/>
          </w:rPr>
          <w:fldChar w:fldCharType="end"/>
        </w:r>
      </w:hyperlink>
    </w:p>
    <w:p w14:paraId="3706F599" w14:textId="59B175A4"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42" w:history="1">
        <w:r w:rsidRPr="005871B3">
          <w:rPr>
            <w:rStyle w:val="Hyperlink"/>
            <w:noProof/>
          </w:rPr>
          <w:t>Part 12—Contempt</w:t>
        </w:r>
        <w:r>
          <w:rPr>
            <w:noProof/>
            <w:webHidden/>
          </w:rPr>
          <w:tab/>
        </w:r>
        <w:r>
          <w:rPr>
            <w:noProof/>
            <w:webHidden/>
          </w:rPr>
          <w:fldChar w:fldCharType="begin"/>
        </w:r>
        <w:r>
          <w:rPr>
            <w:noProof/>
            <w:webHidden/>
          </w:rPr>
          <w:instrText xml:space="preserve"> PAGEREF _Toc175238942 \h </w:instrText>
        </w:r>
        <w:r>
          <w:rPr>
            <w:noProof/>
            <w:webHidden/>
          </w:rPr>
        </w:r>
        <w:r>
          <w:rPr>
            <w:noProof/>
            <w:webHidden/>
          </w:rPr>
          <w:fldChar w:fldCharType="separate"/>
        </w:r>
        <w:r w:rsidR="00FD06AB">
          <w:rPr>
            <w:noProof/>
            <w:webHidden/>
          </w:rPr>
          <w:t>94</w:t>
        </w:r>
        <w:r>
          <w:rPr>
            <w:noProof/>
            <w:webHidden/>
          </w:rPr>
          <w:fldChar w:fldCharType="end"/>
        </w:r>
      </w:hyperlink>
    </w:p>
    <w:p w14:paraId="2108CCEB" w14:textId="42AA38BF" w:rsidR="003B042F" w:rsidRDefault="003B042F">
      <w:pPr>
        <w:pStyle w:val="TOC3"/>
        <w:rPr>
          <w:rFonts w:asciiTheme="minorHAnsi" w:eastAsiaTheme="minorEastAsia" w:hAnsiTheme="minorHAnsi"/>
          <w:b w:val="0"/>
          <w:noProof/>
          <w:sz w:val="22"/>
          <w:lang w:eastAsia="en-AU"/>
        </w:rPr>
      </w:pPr>
      <w:hyperlink w:anchor="_Toc175238943" w:history="1">
        <w:r w:rsidRPr="005871B3">
          <w:rPr>
            <w:rStyle w:val="Hyperlink"/>
            <w:noProof/>
          </w:rPr>
          <w:t>Division 1—Introduction</w:t>
        </w:r>
        <w:r>
          <w:rPr>
            <w:noProof/>
            <w:webHidden/>
          </w:rPr>
          <w:tab/>
        </w:r>
        <w:r>
          <w:rPr>
            <w:noProof/>
            <w:webHidden/>
          </w:rPr>
          <w:fldChar w:fldCharType="begin"/>
        </w:r>
        <w:r>
          <w:rPr>
            <w:noProof/>
            <w:webHidden/>
          </w:rPr>
          <w:instrText xml:space="preserve"> PAGEREF _Toc175238943 \h </w:instrText>
        </w:r>
        <w:r>
          <w:rPr>
            <w:noProof/>
            <w:webHidden/>
          </w:rPr>
        </w:r>
        <w:r>
          <w:rPr>
            <w:noProof/>
            <w:webHidden/>
          </w:rPr>
          <w:fldChar w:fldCharType="separate"/>
        </w:r>
        <w:r w:rsidR="00FD06AB">
          <w:rPr>
            <w:noProof/>
            <w:webHidden/>
          </w:rPr>
          <w:t>94</w:t>
        </w:r>
        <w:r>
          <w:rPr>
            <w:noProof/>
            <w:webHidden/>
          </w:rPr>
          <w:fldChar w:fldCharType="end"/>
        </w:r>
      </w:hyperlink>
    </w:p>
    <w:p w14:paraId="69AA2125" w14:textId="6D6220FF" w:rsidR="003B042F" w:rsidRDefault="003B042F">
      <w:pPr>
        <w:pStyle w:val="TOC4"/>
        <w:rPr>
          <w:rFonts w:asciiTheme="minorHAnsi" w:eastAsiaTheme="minorEastAsia" w:hAnsiTheme="minorHAnsi"/>
          <w:noProof/>
          <w:sz w:val="22"/>
          <w:lang w:eastAsia="en-AU"/>
        </w:rPr>
      </w:pPr>
      <w:hyperlink w:anchor="_Toc175238944" w:history="1">
        <w:r w:rsidRPr="005871B3">
          <w:rPr>
            <w:rStyle w:val="Hyperlink"/>
            <w:noProof/>
          </w:rPr>
          <w:t>48.1—Definitions</w:t>
        </w:r>
        <w:r>
          <w:rPr>
            <w:noProof/>
            <w:webHidden/>
          </w:rPr>
          <w:tab/>
        </w:r>
        <w:r>
          <w:rPr>
            <w:noProof/>
            <w:webHidden/>
          </w:rPr>
          <w:fldChar w:fldCharType="begin"/>
        </w:r>
        <w:r>
          <w:rPr>
            <w:noProof/>
            <w:webHidden/>
          </w:rPr>
          <w:instrText xml:space="preserve"> PAGEREF _Toc175238944 \h </w:instrText>
        </w:r>
        <w:r>
          <w:rPr>
            <w:noProof/>
            <w:webHidden/>
          </w:rPr>
        </w:r>
        <w:r>
          <w:rPr>
            <w:noProof/>
            <w:webHidden/>
          </w:rPr>
          <w:fldChar w:fldCharType="separate"/>
        </w:r>
        <w:r w:rsidR="00FD06AB">
          <w:rPr>
            <w:noProof/>
            <w:webHidden/>
          </w:rPr>
          <w:t>94</w:t>
        </w:r>
        <w:r>
          <w:rPr>
            <w:noProof/>
            <w:webHidden/>
          </w:rPr>
          <w:fldChar w:fldCharType="end"/>
        </w:r>
      </w:hyperlink>
    </w:p>
    <w:p w14:paraId="3EC6771C" w14:textId="48FB58EC" w:rsidR="003B042F" w:rsidRDefault="003B042F">
      <w:pPr>
        <w:pStyle w:val="TOC3"/>
        <w:rPr>
          <w:rFonts w:asciiTheme="minorHAnsi" w:eastAsiaTheme="minorEastAsia" w:hAnsiTheme="minorHAnsi"/>
          <w:b w:val="0"/>
          <w:noProof/>
          <w:sz w:val="22"/>
          <w:lang w:eastAsia="en-AU"/>
        </w:rPr>
      </w:pPr>
      <w:hyperlink w:anchor="_Toc175238945" w:history="1">
        <w:r w:rsidRPr="005871B3">
          <w:rPr>
            <w:rStyle w:val="Hyperlink"/>
            <w:noProof/>
          </w:rPr>
          <w:t>Division 2—Court initiated proceeding</w:t>
        </w:r>
        <w:r>
          <w:rPr>
            <w:noProof/>
            <w:webHidden/>
          </w:rPr>
          <w:tab/>
        </w:r>
        <w:r>
          <w:rPr>
            <w:noProof/>
            <w:webHidden/>
          </w:rPr>
          <w:fldChar w:fldCharType="begin"/>
        </w:r>
        <w:r>
          <w:rPr>
            <w:noProof/>
            <w:webHidden/>
          </w:rPr>
          <w:instrText xml:space="preserve"> PAGEREF _Toc175238945 \h </w:instrText>
        </w:r>
        <w:r>
          <w:rPr>
            <w:noProof/>
            <w:webHidden/>
          </w:rPr>
        </w:r>
        <w:r>
          <w:rPr>
            <w:noProof/>
            <w:webHidden/>
          </w:rPr>
          <w:fldChar w:fldCharType="separate"/>
        </w:r>
        <w:r w:rsidR="00FD06AB">
          <w:rPr>
            <w:noProof/>
            <w:webHidden/>
          </w:rPr>
          <w:t>94</w:t>
        </w:r>
        <w:r>
          <w:rPr>
            <w:noProof/>
            <w:webHidden/>
          </w:rPr>
          <w:fldChar w:fldCharType="end"/>
        </w:r>
      </w:hyperlink>
    </w:p>
    <w:p w14:paraId="5ED451E0" w14:textId="2B2374ED" w:rsidR="003B042F" w:rsidRDefault="003B042F">
      <w:pPr>
        <w:pStyle w:val="TOC4"/>
        <w:rPr>
          <w:rFonts w:asciiTheme="minorHAnsi" w:eastAsiaTheme="minorEastAsia" w:hAnsiTheme="minorHAnsi"/>
          <w:noProof/>
          <w:sz w:val="22"/>
          <w:lang w:eastAsia="en-AU"/>
        </w:rPr>
      </w:pPr>
      <w:hyperlink w:anchor="_Toc175238946" w:history="1">
        <w:r w:rsidRPr="005871B3">
          <w:rPr>
            <w:rStyle w:val="Hyperlink"/>
            <w:noProof/>
          </w:rPr>
          <w:t>49.1—Initiation</w:t>
        </w:r>
        <w:r>
          <w:rPr>
            <w:noProof/>
            <w:webHidden/>
          </w:rPr>
          <w:tab/>
        </w:r>
        <w:r>
          <w:rPr>
            <w:noProof/>
            <w:webHidden/>
          </w:rPr>
          <w:fldChar w:fldCharType="begin"/>
        </w:r>
        <w:r>
          <w:rPr>
            <w:noProof/>
            <w:webHidden/>
          </w:rPr>
          <w:instrText xml:space="preserve"> PAGEREF _Toc175238946 \h </w:instrText>
        </w:r>
        <w:r>
          <w:rPr>
            <w:noProof/>
            <w:webHidden/>
          </w:rPr>
        </w:r>
        <w:r>
          <w:rPr>
            <w:noProof/>
            <w:webHidden/>
          </w:rPr>
          <w:fldChar w:fldCharType="separate"/>
        </w:r>
        <w:r w:rsidR="00FD06AB">
          <w:rPr>
            <w:noProof/>
            <w:webHidden/>
          </w:rPr>
          <w:t>94</w:t>
        </w:r>
        <w:r>
          <w:rPr>
            <w:noProof/>
            <w:webHidden/>
          </w:rPr>
          <w:fldChar w:fldCharType="end"/>
        </w:r>
      </w:hyperlink>
    </w:p>
    <w:p w14:paraId="1255DD03" w14:textId="3FABF5A3" w:rsidR="003B042F" w:rsidRDefault="003B042F">
      <w:pPr>
        <w:pStyle w:val="TOC4"/>
        <w:rPr>
          <w:rFonts w:asciiTheme="minorHAnsi" w:eastAsiaTheme="minorEastAsia" w:hAnsiTheme="minorHAnsi"/>
          <w:noProof/>
          <w:sz w:val="22"/>
          <w:lang w:eastAsia="en-AU"/>
        </w:rPr>
      </w:pPr>
      <w:hyperlink w:anchor="_Toc175238947" w:history="1">
        <w:r w:rsidRPr="005871B3">
          <w:rPr>
            <w:rStyle w:val="Hyperlink"/>
            <w:noProof/>
          </w:rPr>
          <w:t>49.2—Formulation of charge</w:t>
        </w:r>
        <w:r>
          <w:rPr>
            <w:noProof/>
            <w:webHidden/>
          </w:rPr>
          <w:tab/>
        </w:r>
        <w:r>
          <w:rPr>
            <w:noProof/>
            <w:webHidden/>
          </w:rPr>
          <w:fldChar w:fldCharType="begin"/>
        </w:r>
        <w:r>
          <w:rPr>
            <w:noProof/>
            <w:webHidden/>
          </w:rPr>
          <w:instrText xml:space="preserve"> PAGEREF _Toc175238947 \h </w:instrText>
        </w:r>
        <w:r>
          <w:rPr>
            <w:noProof/>
            <w:webHidden/>
          </w:rPr>
        </w:r>
        <w:r>
          <w:rPr>
            <w:noProof/>
            <w:webHidden/>
          </w:rPr>
          <w:fldChar w:fldCharType="separate"/>
        </w:r>
        <w:r w:rsidR="00FD06AB">
          <w:rPr>
            <w:noProof/>
            <w:webHidden/>
          </w:rPr>
          <w:t>95</w:t>
        </w:r>
        <w:r>
          <w:rPr>
            <w:noProof/>
            <w:webHidden/>
          </w:rPr>
          <w:fldChar w:fldCharType="end"/>
        </w:r>
      </w:hyperlink>
    </w:p>
    <w:p w14:paraId="030C7F61" w14:textId="3D920C8D" w:rsidR="003B042F" w:rsidRDefault="003B042F">
      <w:pPr>
        <w:pStyle w:val="TOC3"/>
        <w:rPr>
          <w:rFonts w:asciiTheme="minorHAnsi" w:eastAsiaTheme="minorEastAsia" w:hAnsiTheme="minorHAnsi"/>
          <w:b w:val="0"/>
          <w:noProof/>
          <w:sz w:val="22"/>
          <w:lang w:eastAsia="en-AU"/>
        </w:rPr>
      </w:pPr>
      <w:hyperlink w:anchor="_Toc175238948" w:history="1">
        <w:r w:rsidRPr="005871B3">
          <w:rPr>
            <w:rStyle w:val="Hyperlink"/>
            <w:noProof/>
          </w:rPr>
          <w:t>Division 3—Party initiated proceeding</w:t>
        </w:r>
        <w:r>
          <w:rPr>
            <w:noProof/>
            <w:webHidden/>
          </w:rPr>
          <w:tab/>
        </w:r>
        <w:r>
          <w:rPr>
            <w:noProof/>
            <w:webHidden/>
          </w:rPr>
          <w:fldChar w:fldCharType="begin"/>
        </w:r>
        <w:r>
          <w:rPr>
            <w:noProof/>
            <w:webHidden/>
          </w:rPr>
          <w:instrText xml:space="preserve"> PAGEREF _Toc175238948 \h </w:instrText>
        </w:r>
        <w:r>
          <w:rPr>
            <w:noProof/>
            <w:webHidden/>
          </w:rPr>
        </w:r>
        <w:r>
          <w:rPr>
            <w:noProof/>
            <w:webHidden/>
          </w:rPr>
          <w:fldChar w:fldCharType="separate"/>
        </w:r>
        <w:r w:rsidR="00FD06AB">
          <w:rPr>
            <w:noProof/>
            <w:webHidden/>
          </w:rPr>
          <w:t>95</w:t>
        </w:r>
        <w:r>
          <w:rPr>
            <w:noProof/>
            <w:webHidden/>
          </w:rPr>
          <w:fldChar w:fldCharType="end"/>
        </w:r>
      </w:hyperlink>
    </w:p>
    <w:p w14:paraId="117F6410" w14:textId="1F399D9C" w:rsidR="003B042F" w:rsidRDefault="003B042F">
      <w:pPr>
        <w:pStyle w:val="TOC4"/>
        <w:rPr>
          <w:rFonts w:asciiTheme="minorHAnsi" w:eastAsiaTheme="minorEastAsia" w:hAnsiTheme="minorHAnsi"/>
          <w:noProof/>
          <w:sz w:val="22"/>
          <w:lang w:eastAsia="en-AU"/>
        </w:rPr>
      </w:pPr>
      <w:hyperlink w:anchor="_Toc175238949" w:history="1">
        <w:r w:rsidRPr="005871B3">
          <w:rPr>
            <w:rStyle w:val="Hyperlink"/>
            <w:noProof/>
          </w:rPr>
          <w:t>50.1—Application by party</w:t>
        </w:r>
        <w:r>
          <w:rPr>
            <w:noProof/>
            <w:webHidden/>
          </w:rPr>
          <w:tab/>
        </w:r>
        <w:r>
          <w:rPr>
            <w:noProof/>
            <w:webHidden/>
          </w:rPr>
          <w:fldChar w:fldCharType="begin"/>
        </w:r>
        <w:r>
          <w:rPr>
            <w:noProof/>
            <w:webHidden/>
          </w:rPr>
          <w:instrText xml:space="preserve"> PAGEREF _Toc175238949 \h </w:instrText>
        </w:r>
        <w:r>
          <w:rPr>
            <w:noProof/>
            <w:webHidden/>
          </w:rPr>
        </w:r>
        <w:r>
          <w:rPr>
            <w:noProof/>
            <w:webHidden/>
          </w:rPr>
          <w:fldChar w:fldCharType="separate"/>
        </w:r>
        <w:r w:rsidR="00FD06AB">
          <w:rPr>
            <w:noProof/>
            <w:webHidden/>
          </w:rPr>
          <w:t>95</w:t>
        </w:r>
        <w:r>
          <w:rPr>
            <w:noProof/>
            <w:webHidden/>
          </w:rPr>
          <w:fldChar w:fldCharType="end"/>
        </w:r>
      </w:hyperlink>
    </w:p>
    <w:p w14:paraId="5F2E79A7" w14:textId="03987D7B" w:rsidR="003B042F" w:rsidRDefault="003B042F">
      <w:pPr>
        <w:pStyle w:val="TOC3"/>
        <w:rPr>
          <w:rFonts w:asciiTheme="minorHAnsi" w:eastAsiaTheme="minorEastAsia" w:hAnsiTheme="minorHAnsi"/>
          <w:b w:val="0"/>
          <w:noProof/>
          <w:sz w:val="22"/>
          <w:lang w:eastAsia="en-AU"/>
        </w:rPr>
      </w:pPr>
      <w:hyperlink w:anchor="_Toc175238950" w:history="1">
        <w:r w:rsidRPr="005871B3">
          <w:rPr>
            <w:rStyle w:val="Hyperlink"/>
            <w:noProof/>
          </w:rPr>
          <w:t>Division 4—Hearing and determination of charge</w:t>
        </w:r>
        <w:r>
          <w:rPr>
            <w:noProof/>
            <w:webHidden/>
          </w:rPr>
          <w:tab/>
        </w:r>
        <w:r>
          <w:rPr>
            <w:noProof/>
            <w:webHidden/>
          </w:rPr>
          <w:fldChar w:fldCharType="begin"/>
        </w:r>
        <w:r>
          <w:rPr>
            <w:noProof/>
            <w:webHidden/>
          </w:rPr>
          <w:instrText xml:space="preserve"> PAGEREF _Toc175238950 \h </w:instrText>
        </w:r>
        <w:r>
          <w:rPr>
            <w:noProof/>
            <w:webHidden/>
          </w:rPr>
        </w:r>
        <w:r>
          <w:rPr>
            <w:noProof/>
            <w:webHidden/>
          </w:rPr>
          <w:fldChar w:fldCharType="separate"/>
        </w:r>
        <w:r w:rsidR="00FD06AB">
          <w:rPr>
            <w:noProof/>
            <w:webHidden/>
          </w:rPr>
          <w:t>96</w:t>
        </w:r>
        <w:r>
          <w:rPr>
            <w:noProof/>
            <w:webHidden/>
          </w:rPr>
          <w:fldChar w:fldCharType="end"/>
        </w:r>
      </w:hyperlink>
    </w:p>
    <w:p w14:paraId="14FDE339" w14:textId="3BB9E33C" w:rsidR="003B042F" w:rsidRDefault="003B042F">
      <w:pPr>
        <w:pStyle w:val="TOC4"/>
        <w:rPr>
          <w:rFonts w:asciiTheme="minorHAnsi" w:eastAsiaTheme="minorEastAsia" w:hAnsiTheme="minorHAnsi"/>
          <w:noProof/>
          <w:sz w:val="22"/>
          <w:lang w:eastAsia="en-AU"/>
        </w:rPr>
      </w:pPr>
      <w:hyperlink w:anchor="_Toc175238951" w:history="1">
        <w:r w:rsidRPr="005871B3">
          <w:rPr>
            <w:rStyle w:val="Hyperlink"/>
            <w:noProof/>
          </w:rPr>
          <w:t>51.1—Prosecution by Registrar</w:t>
        </w:r>
        <w:r>
          <w:rPr>
            <w:noProof/>
            <w:webHidden/>
          </w:rPr>
          <w:tab/>
        </w:r>
        <w:r>
          <w:rPr>
            <w:noProof/>
            <w:webHidden/>
          </w:rPr>
          <w:fldChar w:fldCharType="begin"/>
        </w:r>
        <w:r>
          <w:rPr>
            <w:noProof/>
            <w:webHidden/>
          </w:rPr>
          <w:instrText xml:space="preserve"> PAGEREF _Toc175238951 \h </w:instrText>
        </w:r>
        <w:r>
          <w:rPr>
            <w:noProof/>
            <w:webHidden/>
          </w:rPr>
        </w:r>
        <w:r>
          <w:rPr>
            <w:noProof/>
            <w:webHidden/>
          </w:rPr>
          <w:fldChar w:fldCharType="separate"/>
        </w:r>
        <w:r w:rsidR="00FD06AB">
          <w:rPr>
            <w:noProof/>
            <w:webHidden/>
          </w:rPr>
          <w:t>96</w:t>
        </w:r>
        <w:r>
          <w:rPr>
            <w:noProof/>
            <w:webHidden/>
          </w:rPr>
          <w:fldChar w:fldCharType="end"/>
        </w:r>
      </w:hyperlink>
    </w:p>
    <w:p w14:paraId="6B02B63B" w14:textId="300B3375" w:rsidR="003B042F" w:rsidRDefault="003B042F">
      <w:pPr>
        <w:pStyle w:val="TOC4"/>
        <w:rPr>
          <w:rFonts w:asciiTheme="minorHAnsi" w:eastAsiaTheme="minorEastAsia" w:hAnsiTheme="minorHAnsi"/>
          <w:noProof/>
          <w:sz w:val="22"/>
          <w:lang w:eastAsia="en-AU"/>
        </w:rPr>
      </w:pPr>
      <w:hyperlink w:anchor="_Toc175238952" w:history="1">
        <w:r w:rsidRPr="005871B3">
          <w:rPr>
            <w:rStyle w:val="Hyperlink"/>
            <w:noProof/>
          </w:rPr>
          <w:t>51.2—Hearing and determination</w:t>
        </w:r>
        <w:r>
          <w:rPr>
            <w:noProof/>
            <w:webHidden/>
          </w:rPr>
          <w:tab/>
        </w:r>
        <w:r>
          <w:rPr>
            <w:noProof/>
            <w:webHidden/>
          </w:rPr>
          <w:fldChar w:fldCharType="begin"/>
        </w:r>
        <w:r>
          <w:rPr>
            <w:noProof/>
            <w:webHidden/>
          </w:rPr>
          <w:instrText xml:space="preserve"> PAGEREF _Toc175238952 \h </w:instrText>
        </w:r>
        <w:r>
          <w:rPr>
            <w:noProof/>
            <w:webHidden/>
          </w:rPr>
        </w:r>
        <w:r>
          <w:rPr>
            <w:noProof/>
            <w:webHidden/>
          </w:rPr>
          <w:fldChar w:fldCharType="separate"/>
        </w:r>
        <w:r w:rsidR="00FD06AB">
          <w:rPr>
            <w:noProof/>
            <w:webHidden/>
          </w:rPr>
          <w:t>96</w:t>
        </w:r>
        <w:r>
          <w:rPr>
            <w:noProof/>
            <w:webHidden/>
          </w:rPr>
          <w:fldChar w:fldCharType="end"/>
        </w:r>
      </w:hyperlink>
    </w:p>
    <w:p w14:paraId="6215DBEF" w14:textId="7EF70B1B" w:rsidR="003B042F" w:rsidRDefault="003B042F">
      <w:pPr>
        <w:pStyle w:val="TOC4"/>
        <w:rPr>
          <w:rFonts w:asciiTheme="minorHAnsi" w:eastAsiaTheme="minorEastAsia" w:hAnsiTheme="minorHAnsi"/>
          <w:noProof/>
          <w:sz w:val="22"/>
          <w:lang w:eastAsia="en-AU"/>
        </w:rPr>
      </w:pPr>
      <w:hyperlink w:anchor="_Toc175238953" w:history="1">
        <w:r w:rsidRPr="005871B3">
          <w:rPr>
            <w:rStyle w:val="Hyperlink"/>
            <w:noProof/>
          </w:rPr>
          <w:t>51.3—Penalty</w:t>
        </w:r>
        <w:r>
          <w:rPr>
            <w:noProof/>
            <w:webHidden/>
          </w:rPr>
          <w:tab/>
        </w:r>
        <w:r>
          <w:rPr>
            <w:noProof/>
            <w:webHidden/>
          </w:rPr>
          <w:fldChar w:fldCharType="begin"/>
        </w:r>
        <w:r>
          <w:rPr>
            <w:noProof/>
            <w:webHidden/>
          </w:rPr>
          <w:instrText xml:space="preserve"> PAGEREF _Toc175238953 \h </w:instrText>
        </w:r>
        <w:r>
          <w:rPr>
            <w:noProof/>
            <w:webHidden/>
          </w:rPr>
        </w:r>
        <w:r>
          <w:rPr>
            <w:noProof/>
            <w:webHidden/>
          </w:rPr>
          <w:fldChar w:fldCharType="separate"/>
        </w:r>
        <w:r w:rsidR="00FD06AB">
          <w:rPr>
            <w:noProof/>
            <w:webHidden/>
          </w:rPr>
          <w:t>96</w:t>
        </w:r>
        <w:r>
          <w:rPr>
            <w:noProof/>
            <w:webHidden/>
          </w:rPr>
          <w:fldChar w:fldCharType="end"/>
        </w:r>
      </w:hyperlink>
    </w:p>
    <w:p w14:paraId="7BA34C3E" w14:textId="41BB3137" w:rsidR="003B042F" w:rsidRDefault="003B042F">
      <w:pPr>
        <w:pStyle w:val="TOC4"/>
        <w:rPr>
          <w:rFonts w:asciiTheme="minorHAnsi" w:eastAsiaTheme="minorEastAsia" w:hAnsiTheme="minorHAnsi"/>
          <w:noProof/>
          <w:sz w:val="22"/>
          <w:lang w:eastAsia="en-AU"/>
        </w:rPr>
      </w:pPr>
      <w:hyperlink w:anchor="_Toc175238954" w:history="1">
        <w:r w:rsidRPr="005871B3">
          <w:rPr>
            <w:rStyle w:val="Hyperlink"/>
            <w:noProof/>
          </w:rPr>
          <w:t>51.4—Subsequent proceedings</w:t>
        </w:r>
        <w:r>
          <w:rPr>
            <w:noProof/>
            <w:webHidden/>
          </w:rPr>
          <w:tab/>
        </w:r>
        <w:r>
          <w:rPr>
            <w:noProof/>
            <w:webHidden/>
          </w:rPr>
          <w:fldChar w:fldCharType="begin"/>
        </w:r>
        <w:r>
          <w:rPr>
            <w:noProof/>
            <w:webHidden/>
          </w:rPr>
          <w:instrText xml:space="preserve"> PAGEREF _Toc175238954 \h </w:instrText>
        </w:r>
        <w:r>
          <w:rPr>
            <w:noProof/>
            <w:webHidden/>
          </w:rPr>
        </w:r>
        <w:r>
          <w:rPr>
            <w:noProof/>
            <w:webHidden/>
          </w:rPr>
          <w:fldChar w:fldCharType="separate"/>
        </w:r>
        <w:r w:rsidR="00FD06AB">
          <w:rPr>
            <w:noProof/>
            <w:webHidden/>
          </w:rPr>
          <w:t>97</w:t>
        </w:r>
        <w:r>
          <w:rPr>
            <w:noProof/>
            <w:webHidden/>
          </w:rPr>
          <w:fldChar w:fldCharType="end"/>
        </w:r>
      </w:hyperlink>
    </w:p>
    <w:p w14:paraId="42B0E05B" w14:textId="6FAE51BF"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8955" w:history="1">
        <w:r w:rsidRPr="005871B3">
          <w:rPr>
            <w:rStyle w:val="Hyperlink"/>
            <w:noProof/>
          </w:rPr>
          <w:t>Chapter 3—Proceedings in Lower Courts</w:t>
        </w:r>
        <w:r>
          <w:rPr>
            <w:noProof/>
            <w:webHidden/>
          </w:rPr>
          <w:tab/>
        </w:r>
        <w:r>
          <w:rPr>
            <w:noProof/>
            <w:webHidden/>
          </w:rPr>
          <w:fldChar w:fldCharType="begin"/>
        </w:r>
        <w:r>
          <w:rPr>
            <w:noProof/>
            <w:webHidden/>
          </w:rPr>
          <w:instrText xml:space="preserve"> PAGEREF _Toc175238955 \h </w:instrText>
        </w:r>
        <w:r>
          <w:rPr>
            <w:noProof/>
            <w:webHidden/>
          </w:rPr>
        </w:r>
        <w:r>
          <w:rPr>
            <w:noProof/>
            <w:webHidden/>
          </w:rPr>
          <w:fldChar w:fldCharType="separate"/>
        </w:r>
        <w:r w:rsidR="00FD06AB">
          <w:rPr>
            <w:noProof/>
            <w:webHidden/>
          </w:rPr>
          <w:t>98</w:t>
        </w:r>
        <w:r>
          <w:rPr>
            <w:noProof/>
            <w:webHidden/>
          </w:rPr>
          <w:fldChar w:fldCharType="end"/>
        </w:r>
      </w:hyperlink>
    </w:p>
    <w:p w14:paraId="169BEA63" w14:textId="7436D4A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56" w:history="1">
        <w:r w:rsidRPr="005871B3">
          <w:rPr>
            <w:rStyle w:val="Hyperlink"/>
            <w:noProof/>
          </w:rPr>
          <w:t>Part 1—Scope of Chapter</w:t>
        </w:r>
        <w:r>
          <w:rPr>
            <w:noProof/>
            <w:webHidden/>
          </w:rPr>
          <w:tab/>
        </w:r>
        <w:r>
          <w:rPr>
            <w:noProof/>
            <w:webHidden/>
          </w:rPr>
          <w:fldChar w:fldCharType="begin"/>
        </w:r>
        <w:r>
          <w:rPr>
            <w:noProof/>
            <w:webHidden/>
          </w:rPr>
          <w:instrText xml:space="preserve"> PAGEREF _Toc175238956 \h </w:instrText>
        </w:r>
        <w:r>
          <w:rPr>
            <w:noProof/>
            <w:webHidden/>
          </w:rPr>
        </w:r>
        <w:r>
          <w:rPr>
            <w:noProof/>
            <w:webHidden/>
          </w:rPr>
          <w:fldChar w:fldCharType="separate"/>
        </w:r>
        <w:r w:rsidR="00FD06AB">
          <w:rPr>
            <w:noProof/>
            <w:webHidden/>
          </w:rPr>
          <w:t>98</w:t>
        </w:r>
        <w:r>
          <w:rPr>
            <w:noProof/>
            <w:webHidden/>
          </w:rPr>
          <w:fldChar w:fldCharType="end"/>
        </w:r>
      </w:hyperlink>
    </w:p>
    <w:p w14:paraId="767B9DF2" w14:textId="231706E3" w:rsidR="003B042F" w:rsidRDefault="003B042F">
      <w:pPr>
        <w:pStyle w:val="TOC4"/>
        <w:rPr>
          <w:rFonts w:asciiTheme="minorHAnsi" w:eastAsiaTheme="minorEastAsia" w:hAnsiTheme="minorHAnsi"/>
          <w:noProof/>
          <w:sz w:val="22"/>
          <w:lang w:eastAsia="en-AU"/>
        </w:rPr>
      </w:pPr>
      <w:hyperlink w:anchor="_Toc175238957" w:history="1">
        <w:r w:rsidRPr="005871B3">
          <w:rPr>
            <w:rStyle w:val="Hyperlink"/>
            <w:noProof/>
          </w:rPr>
          <w:t>61.1—Scope</w:t>
        </w:r>
        <w:r>
          <w:rPr>
            <w:noProof/>
            <w:webHidden/>
          </w:rPr>
          <w:tab/>
        </w:r>
        <w:r>
          <w:rPr>
            <w:noProof/>
            <w:webHidden/>
          </w:rPr>
          <w:fldChar w:fldCharType="begin"/>
        </w:r>
        <w:r>
          <w:rPr>
            <w:noProof/>
            <w:webHidden/>
          </w:rPr>
          <w:instrText xml:space="preserve"> PAGEREF _Toc175238957 \h </w:instrText>
        </w:r>
        <w:r>
          <w:rPr>
            <w:noProof/>
            <w:webHidden/>
          </w:rPr>
        </w:r>
        <w:r>
          <w:rPr>
            <w:noProof/>
            <w:webHidden/>
          </w:rPr>
          <w:fldChar w:fldCharType="separate"/>
        </w:r>
        <w:r w:rsidR="00FD06AB">
          <w:rPr>
            <w:noProof/>
            <w:webHidden/>
          </w:rPr>
          <w:t>98</w:t>
        </w:r>
        <w:r>
          <w:rPr>
            <w:noProof/>
            <w:webHidden/>
          </w:rPr>
          <w:fldChar w:fldCharType="end"/>
        </w:r>
      </w:hyperlink>
    </w:p>
    <w:p w14:paraId="7F673FC7" w14:textId="71481B0C"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58" w:history="1">
        <w:r w:rsidRPr="005871B3">
          <w:rPr>
            <w:rStyle w:val="Hyperlink"/>
            <w:noProof/>
          </w:rPr>
          <w:t>Part 2—Commencement and service of proceeding</w:t>
        </w:r>
        <w:r>
          <w:rPr>
            <w:noProof/>
            <w:webHidden/>
          </w:rPr>
          <w:tab/>
        </w:r>
        <w:r>
          <w:rPr>
            <w:noProof/>
            <w:webHidden/>
          </w:rPr>
          <w:fldChar w:fldCharType="begin"/>
        </w:r>
        <w:r>
          <w:rPr>
            <w:noProof/>
            <w:webHidden/>
          </w:rPr>
          <w:instrText xml:space="preserve"> PAGEREF _Toc175238958 \h </w:instrText>
        </w:r>
        <w:r>
          <w:rPr>
            <w:noProof/>
            <w:webHidden/>
          </w:rPr>
        </w:r>
        <w:r>
          <w:rPr>
            <w:noProof/>
            <w:webHidden/>
          </w:rPr>
          <w:fldChar w:fldCharType="separate"/>
        </w:r>
        <w:r w:rsidR="00FD06AB">
          <w:rPr>
            <w:noProof/>
            <w:webHidden/>
          </w:rPr>
          <w:t>98</w:t>
        </w:r>
        <w:r>
          <w:rPr>
            <w:noProof/>
            <w:webHidden/>
          </w:rPr>
          <w:fldChar w:fldCharType="end"/>
        </w:r>
      </w:hyperlink>
    </w:p>
    <w:p w14:paraId="3706A0AB" w14:textId="7290897D" w:rsidR="003B042F" w:rsidRDefault="003B042F">
      <w:pPr>
        <w:pStyle w:val="TOC4"/>
        <w:rPr>
          <w:rFonts w:asciiTheme="minorHAnsi" w:eastAsiaTheme="minorEastAsia" w:hAnsiTheme="minorHAnsi"/>
          <w:noProof/>
          <w:sz w:val="22"/>
          <w:lang w:eastAsia="en-AU"/>
        </w:rPr>
      </w:pPr>
      <w:hyperlink w:anchor="_Toc175238959" w:history="1">
        <w:r w:rsidRPr="005871B3">
          <w:rPr>
            <w:rStyle w:val="Hyperlink"/>
            <w:noProof/>
          </w:rPr>
          <w:t>62.1—Information</w:t>
        </w:r>
        <w:r>
          <w:rPr>
            <w:noProof/>
            <w:webHidden/>
          </w:rPr>
          <w:tab/>
        </w:r>
        <w:r>
          <w:rPr>
            <w:noProof/>
            <w:webHidden/>
          </w:rPr>
          <w:fldChar w:fldCharType="begin"/>
        </w:r>
        <w:r>
          <w:rPr>
            <w:noProof/>
            <w:webHidden/>
          </w:rPr>
          <w:instrText xml:space="preserve"> PAGEREF _Toc175238959 \h </w:instrText>
        </w:r>
        <w:r>
          <w:rPr>
            <w:noProof/>
            <w:webHidden/>
          </w:rPr>
        </w:r>
        <w:r>
          <w:rPr>
            <w:noProof/>
            <w:webHidden/>
          </w:rPr>
          <w:fldChar w:fldCharType="separate"/>
        </w:r>
        <w:r w:rsidR="00FD06AB">
          <w:rPr>
            <w:noProof/>
            <w:webHidden/>
          </w:rPr>
          <w:t>98</w:t>
        </w:r>
        <w:r>
          <w:rPr>
            <w:noProof/>
            <w:webHidden/>
          </w:rPr>
          <w:fldChar w:fldCharType="end"/>
        </w:r>
      </w:hyperlink>
    </w:p>
    <w:p w14:paraId="144E7ED7" w14:textId="0BE28F37" w:rsidR="003B042F" w:rsidRDefault="003B042F">
      <w:pPr>
        <w:pStyle w:val="TOC4"/>
        <w:rPr>
          <w:rFonts w:asciiTheme="minorHAnsi" w:eastAsiaTheme="minorEastAsia" w:hAnsiTheme="minorHAnsi"/>
          <w:noProof/>
          <w:sz w:val="22"/>
          <w:lang w:eastAsia="en-AU"/>
        </w:rPr>
      </w:pPr>
      <w:hyperlink w:anchor="_Toc175238960" w:history="1">
        <w:r w:rsidRPr="005871B3">
          <w:rPr>
            <w:rStyle w:val="Hyperlink"/>
            <w:noProof/>
          </w:rPr>
          <w:t>62.2—Particulars</w:t>
        </w:r>
        <w:r>
          <w:rPr>
            <w:noProof/>
            <w:webHidden/>
          </w:rPr>
          <w:tab/>
        </w:r>
        <w:r>
          <w:rPr>
            <w:noProof/>
            <w:webHidden/>
          </w:rPr>
          <w:fldChar w:fldCharType="begin"/>
        </w:r>
        <w:r>
          <w:rPr>
            <w:noProof/>
            <w:webHidden/>
          </w:rPr>
          <w:instrText xml:space="preserve"> PAGEREF _Toc175238960 \h </w:instrText>
        </w:r>
        <w:r>
          <w:rPr>
            <w:noProof/>
            <w:webHidden/>
          </w:rPr>
        </w:r>
        <w:r>
          <w:rPr>
            <w:noProof/>
            <w:webHidden/>
          </w:rPr>
          <w:fldChar w:fldCharType="separate"/>
        </w:r>
        <w:r w:rsidR="00FD06AB">
          <w:rPr>
            <w:noProof/>
            <w:webHidden/>
          </w:rPr>
          <w:t>99</w:t>
        </w:r>
        <w:r>
          <w:rPr>
            <w:noProof/>
            <w:webHidden/>
          </w:rPr>
          <w:fldChar w:fldCharType="end"/>
        </w:r>
      </w:hyperlink>
    </w:p>
    <w:p w14:paraId="2264B2DB" w14:textId="5839FF90" w:rsidR="003B042F" w:rsidRDefault="003B042F">
      <w:pPr>
        <w:pStyle w:val="TOC4"/>
        <w:rPr>
          <w:rFonts w:asciiTheme="minorHAnsi" w:eastAsiaTheme="minorEastAsia" w:hAnsiTheme="minorHAnsi"/>
          <w:noProof/>
          <w:sz w:val="22"/>
          <w:lang w:eastAsia="en-AU"/>
        </w:rPr>
      </w:pPr>
      <w:hyperlink w:anchor="_Toc175238961" w:history="1">
        <w:r w:rsidRPr="005871B3">
          <w:rPr>
            <w:rStyle w:val="Hyperlink"/>
            <w:noProof/>
          </w:rPr>
          <w:t>62.3—Accompanying documents</w:t>
        </w:r>
        <w:r>
          <w:rPr>
            <w:noProof/>
            <w:webHidden/>
          </w:rPr>
          <w:tab/>
        </w:r>
        <w:r>
          <w:rPr>
            <w:noProof/>
            <w:webHidden/>
          </w:rPr>
          <w:fldChar w:fldCharType="begin"/>
        </w:r>
        <w:r>
          <w:rPr>
            <w:noProof/>
            <w:webHidden/>
          </w:rPr>
          <w:instrText xml:space="preserve"> PAGEREF _Toc175238961 \h </w:instrText>
        </w:r>
        <w:r>
          <w:rPr>
            <w:noProof/>
            <w:webHidden/>
          </w:rPr>
        </w:r>
        <w:r>
          <w:rPr>
            <w:noProof/>
            <w:webHidden/>
          </w:rPr>
          <w:fldChar w:fldCharType="separate"/>
        </w:r>
        <w:r w:rsidR="00FD06AB">
          <w:rPr>
            <w:noProof/>
            <w:webHidden/>
          </w:rPr>
          <w:t>100</w:t>
        </w:r>
        <w:r>
          <w:rPr>
            <w:noProof/>
            <w:webHidden/>
          </w:rPr>
          <w:fldChar w:fldCharType="end"/>
        </w:r>
      </w:hyperlink>
    </w:p>
    <w:p w14:paraId="0C2E509B" w14:textId="69D780CC" w:rsidR="003B042F" w:rsidRDefault="003B042F">
      <w:pPr>
        <w:pStyle w:val="TOC4"/>
        <w:rPr>
          <w:rFonts w:asciiTheme="minorHAnsi" w:eastAsiaTheme="minorEastAsia" w:hAnsiTheme="minorHAnsi"/>
          <w:noProof/>
          <w:sz w:val="22"/>
          <w:lang w:eastAsia="en-AU"/>
        </w:rPr>
      </w:pPr>
      <w:hyperlink w:anchor="_Toc175238962" w:history="1">
        <w:r w:rsidRPr="005871B3">
          <w:rPr>
            <w:rStyle w:val="Hyperlink"/>
            <w:noProof/>
          </w:rPr>
          <w:t>62.4—Service of Information</w:t>
        </w:r>
        <w:r>
          <w:rPr>
            <w:noProof/>
            <w:webHidden/>
          </w:rPr>
          <w:tab/>
        </w:r>
        <w:r>
          <w:rPr>
            <w:noProof/>
            <w:webHidden/>
          </w:rPr>
          <w:fldChar w:fldCharType="begin"/>
        </w:r>
        <w:r>
          <w:rPr>
            <w:noProof/>
            <w:webHidden/>
          </w:rPr>
          <w:instrText xml:space="preserve"> PAGEREF _Toc175238962 \h </w:instrText>
        </w:r>
        <w:r>
          <w:rPr>
            <w:noProof/>
            <w:webHidden/>
          </w:rPr>
        </w:r>
        <w:r>
          <w:rPr>
            <w:noProof/>
            <w:webHidden/>
          </w:rPr>
          <w:fldChar w:fldCharType="separate"/>
        </w:r>
        <w:r w:rsidR="00FD06AB">
          <w:rPr>
            <w:noProof/>
            <w:webHidden/>
          </w:rPr>
          <w:t>101</w:t>
        </w:r>
        <w:r>
          <w:rPr>
            <w:noProof/>
            <w:webHidden/>
          </w:rPr>
          <w:fldChar w:fldCharType="end"/>
        </w:r>
      </w:hyperlink>
    </w:p>
    <w:p w14:paraId="67D70400" w14:textId="210AE9C0"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63" w:history="1">
        <w:r w:rsidRPr="005871B3">
          <w:rPr>
            <w:rStyle w:val="Hyperlink"/>
            <w:noProof/>
          </w:rPr>
          <w:t>Part 3—Amendment, challenge and further particulars</w:t>
        </w:r>
        <w:r>
          <w:rPr>
            <w:noProof/>
            <w:webHidden/>
          </w:rPr>
          <w:tab/>
        </w:r>
        <w:r>
          <w:rPr>
            <w:noProof/>
            <w:webHidden/>
          </w:rPr>
          <w:fldChar w:fldCharType="begin"/>
        </w:r>
        <w:r>
          <w:rPr>
            <w:noProof/>
            <w:webHidden/>
          </w:rPr>
          <w:instrText xml:space="preserve"> PAGEREF _Toc175238963 \h </w:instrText>
        </w:r>
        <w:r>
          <w:rPr>
            <w:noProof/>
            <w:webHidden/>
          </w:rPr>
        </w:r>
        <w:r>
          <w:rPr>
            <w:noProof/>
            <w:webHidden/>
          </w:rPr>
          <w:fldChar w:fldCharType="separate"/>
        </w:r>
        <w:r w:rsidR="00FD06AB">
          <w:rPr>
            <w:noProof/>
            <w:webHidden/>
          </w:rPr>
          <w:t>102</w:t>
        </w:r>
        <w:r>
          <w:rPr>
            <w:noProof/>
            <w:webHidden/>
          </w:rPr>
          <w:fldChar w:fldCharType="end"/>
        </w:r>
      </w:hyperlink>
    </w:p>
    <w:p w14:paraId="3EC16EF5" w14:textId="7BBA5A50" w:rsidR="003B042F" w:rsidRDefault="003B042F">
      <w:pPr>
        <w:pStyle w:val="TOC3"/>
        <w:rPr>
          <w:rFonts w:asciiTheme="minorHAnsi" w:eastAsiaTheme="minorEastAsia" w:hAnsiTheme="minorHAnsi"/>
          <w:b w:val="0"/>
          <w:noProof/>
          <w:sz w:val="22"/>
          <w:lang w:eastAsia="en-AU"/>
        </w:rPr>
      </w:pPr>
      <w:hyperlink w:anchor="_Toc175238964" w:history="1">
        <w:r w:rsidRPr="005871B3">
          <w:rPr>
            <w:rStyle w:val="Hyperlink"/>
            <w:noProof/>
          </w:rPr>
          <w:t>Division 1—Amendment of Information</w:t>
        </w:r>
        <w:r>
          <w:rPr>
            <w:noProof/>
            <w:webHidden/>
          </w:rPr>
          <w:tab/>
        </w:r>
        <w:r>
          <w:rPr>
            <w:noProof/>
            <w:webHidden/>
          </w:rPr>
          <w:fldChar w:fldCharType="begin"/>
        </w:r>
        <w:r>
          <w:rPr>
            <w:noProof/>
            <w:webHidden/>
          </w:rPr>
          <w:instrText xml:space="preserve"> PAGEREF _Toc175238964 \h </w:instrText>
        </w:r>
        <w:r>
          <w:rPr>
            <w:noProof/>
            <w:webHidden/>
          </w:rPr>
        </w:r>
        <w:r>
          <w:rPr>
            <w:noProof/>
            <w:webHidden/>
          </w:rPr>
          <w:fldChar w:fldCharType="separate"/>
        </w:r>
        <w:r w:rsidR="00FD06AB">
          <w:rPr>
            <w:noProof/>
            <w:webHidden/>
          </w:rPr>
          <w:t>102</w:t>
        </w:r>
        <w:r>
          <w:rPr>
            <w:noProof/>
            <w:webHidden/>
          </w:rPr>
          <w:fldChar w:fldCharType="end"/>
        </w:r>
      </w:hyperlink>
    </w:p>
    <w:p w14:paraId="1DCA899E" w14:textId="052B9B88" w:rsidR="003B042F" w:rsidRDefault="003B042F">
      <w:pPr>
        <w:pStyle w:val="TOC4"/>
        <w:rPr>
          <w:rFonts w:asciiTheme="minorHAnsi" w:eastAsiaTheme="minorEastAsia" w:hAnsiTheme="minorHAnsi"/>
          <w:noProof/>
          <w:sz w:val="22"/>
          <w:lang w:eastAsia="en-AU"/>
        </w:rPr>
      </w:pPr>
      <w:hyperlink w:anchor="_Toc175238965" w:history="1">
        <w:r w:rsidRPr="005871B3">
          <w:rPr>
            <w:rStyle w:val="Hyperlink"/>
            <w:noProof/>
          </w:rPr>
          <w:t>63.1—Amendment with or without leave</w:t>
        </w:r>
        <w:r>
          <w:rPr>
            <w:noProof/>
            <w:webHidden/>
          </w:rPr>
          <w:tab/>
        </w:r>
        <w:r>
          <w:rPr>
            <w:noProof/>
            <w:webHidden/>
          </w:rPr>
          <w:fldChar w:fldCharType="begin"/>
        </w:r>
        <w:r>
          <w:rPr>
            <w:noProof/>
            <w:webHidden/>
          </w:rPr>
          <w:instrText xml:space="preserve"> PAGEREF _Toc175238965 \h </w:instrText>
        </w:r>
        <w:r>
          <w:rPr>
            <w:noProof/>
            <w:webHidden/>
          </w:rPr>
        </w:r>
        <w:r>
          <w:rPr>
            <w:noProof/>
            <w:webHidden/>
          </w:rPr>
          <w:fldChar w:fldCharType="separate"/>
        </w:r>
        <w:r w:rsidR="00FD06AB">
          <w:rPr>
            <w:noProof/>
            <w:webHidden/>
          </w:rPr>
          <w:t>102</w:t>
        </w:r>
        <w:r>
          <w:rPr>
            <w:noProof/>
            <w:webHidden/>
          </w:rPr>
          <w:fldChar w:fldCharType="end"/>
        </w:r>
      </w:hyperlink>
    </w:p>
    <w:p w14:paraId="7E0E395A" w14:textId="42FC5C1D" w:rsidR="003B042F" w:rsidRDefault="003B042F">
      <w:pPr>
        <w:pStyle w:val="TOC4"/>
        <w:rPr>
          <w:rFonts w:asciiTheme="minorHAnsi" w:eastAsiaTheme="minorEastAsia" w:hAnsiTheme="minorHAnsi"/>
          <w:noProof/>
          <w:sz w:val="22"/>
          <w:lang w:eastAsia="en-AU"/>
        </w:rPr>
      </w:pPr>
      <w:hyperlink w:anchor="_Toc175238966" w:history="1">
        <w:r w:rsidRPr="005871B3">
          <w:rPr>
            <w:rStyle w:val="Hyperlink"/>
            <w:noProof/>
          </w:rPr>
          <w:t>63.2—Method of amendment</w:t>
        </w:r>
        <w:r>
          <w:rPr>
            <w:noProof/>
            <w:webHidden/>
          </w:rPr>
          <w:tab/>
        </w:r>
        <w:r>
          <w:rPr>
            <w:noProof/>
            <w:webHidden/>
          </w:rPr>
          <w:fldChar w:fldCharType="begin"/>
        </w:r>
        <w:r>
          <w:rPr>
            <w:noProof/>
            <w:webHidden/>
          </w:rPr>
          <w:instrText xml:space="preserve"> PAGEREF _Toc175238966 \h </w:instrText>
        </w:r>
        <w:r>
          <w:rPr>
            <w:noProof/>
            <w:webHidden/>
          </w:rPr>
        </w:r>
        <w:r>
          <w:rPr>
            <w:noProof/>
            <w:webHidden/>
          </w:rPr>
          <w:fldChar w:fldCharType="separate"/>
        </w:r>
        <w:r w:rsidR="00FD06AB">
          <w:rPr>
            <w:noProof/>
            <w:webHidden/>
          </w:rPr>
          <w:t>103</w:t>
        </w:r>
        <w:r>
          <w:rPr>
            <w:noProof/>
            <w:webHidden/>
          </w:rPr>
          <w:fldChar w:fldCharType="end"/>
        </w:r>
      </w:hyperlink>
    </w:p>
    <w:p w14:paraId="02BB326D" w14:textId="0832ED6F" w:rsidR="003B042F" w:rsidRDefault="003B042F">
      <w:pPr>
        <w:pStyle w:val="TOC4"/>
        <w:rPr>
          <w:rFonts w:asciiTheme="minorHAnsi" w:eastAsiaTheme="minorEastAsia" w:hAnsiTheme="minorHAnsi"/>
          <w:noProof/>
          <w:sz w:val="22"/>
          <w:lang w:eastAsia="en-AU"/>
        </w:rPr>
      </w:pPr>
      <w:hyperlink w:anchor="_Toc175238967" w:history="1">
        <w:r w:rsidRPr="005871B3">
          <w:rPr>
            <w:rStyle w:val="Hyperlink"/>
            <w:noProof/>
          </w:rPr>
          <w:t>63.3—Notifiable offences</w:t>
        </w:r>
        <w:r>
          <w:rPr>
            <w:noProof/>
            <w:webHidden/>
          </w:rPr>
          <w:tab/>
        </w:r>
        <w:r>
          <w:rPr>
            <w:noProof/>
            <w:webHidden/>
          </w:rPr>
          <w:fldChar w:fldCharType="begin"/>
        </w:r>
        <w:r>
          <w:rPr>
            <w:noProof/>
            <w:webHidden/>
          </w:rPr>
          <w:instrText xml:space="preserve"> PAGEREF _Toc175238967 \h </w:instrText>
        </w:r>
        <w:r>
          <w:rPr>
            <w:noProof/>
            <w:webHidden/>
          </w:rPr>
        </w:r>
        <w:r>
          <w:rPr>
            <w:noProof/>
            <w:webHidden/>
          </w:rPr>
          <w:fldChar w:fldCharType="separate"/>
        </w:r>
        <w:r w:rsidR="00FD06AB">
          <w:rPr>
            <w:noProof/>
            <w:webHidden/>
          </w:rPr>
          <w:t>103</w:t>
        </w:r>
        <w:r>
          <w:rPr>
            <w:noProof/>
            <w:webHidden/>
          </w:rPr>
          <w:fldChar w:fldCharType="end"/>
        </w:r>
      </w:hyperlink>
    </w:p>
    <w:p w14:paraId="628A3578" w14:textId="298395DF" w:rsidR="003B042F" w:rsidRDefault="003B042F">
      <w:pPr>
        <w:pStyle w:val="TOC4"/>
        <w:rPr>
          <w:rFonts w:asciiTheme="minorHAnsi" w:eastAsiaTheme="minorEastAsia" w:hAnsiTheme="minorHAnsi"/>
          <w:noProof/>
          <w:sz w:val="22"/>
          <w:lang w:eastAsia="en-AU"/>
        </w:rPr>
      </w:pPr>
      <w:hyperlink w:anchor="_Toc175238968" w:history="1">
        <w:r w:rsidRPr="005871B3">
          <w:rPr>
            <w:rStyle w:val="Hyperlink"/>
            <w:noProof/>
          </w:rPr>
          <w:t>63.4—Priority proceeding</w:t>
        </w:r>
        <w:r>
          <w:rPr>
            <w:noProof/>
            <w:webHidden/>
          </w:rPr>
          <w:tab/>
        </w:r>
        <w:r>
          <w:rPr>
            <w:noProof/>
            <w:webHidden/>
          </w:rPr>
          <w:fldChar w:fldCharType="begin"/>
        </w:r>
        <w:r>
          <w:rPr>
            <w:noProof/>
            <w:webHidden/>
          </w:rPr>
          <w:instrText xml:space="preserve"> PAGEREF _Toc175238968 \h </w:instrText>
        </w:r>
        <w:r>
          <w:rPr>
            <w:noProof/>
            <w:webHidden/>
          </w:rPr>
        </w:r>
        <w:r>
          <w:rPr>
            <w:noProof/>
            <w:webHidden/>
          </w:rPr>
          <w:fldChar w:fldCharType="separate"/>
        </w:r>
        <w:r w:rsidR="00FD06AB">
          <w:rPr>
            <w:noProof/>
            <w:webHidden/>
          </w:rPr>
          <w:t>103</w:t>
        </w:r>
        <w:r>
          <w:rPr>
            <w:noProof/>
            <w:webHidden/>
          </w:rPr>
          <w:fldChar w:fldCharType="end"/>
        </w:r>
      </w:hyperlink>
    </w:p>
    <w:p w14:paraId="6B322D70" w14:textId="4198EB8A" w:rsidR="003B042F" w:rsidRDefault="003B042F">
      <w:pPr>
        <w:pStyle w:val="TOC3"/>
        <w:rPr>
          <w:rFonts w:asciiTheme="minorHAnsi" w:eastAsiaTheme="minorEastAsia" w:hAnsiTheme="minorHAnsi"/>
          <w:b w:val="0"/>
          <w:noProof/>
          <w:sz w:val="22"/>
          <w:lang w:eastAsia="en-AU"/>
        </w:rPr>
      </w:pPr>
      <w:hyperlink w:anchor="_Toc175238969" w:history="1">
        <w:r w:rsidRPr="005871B3">
          <w:rPr>
            <w:rStyle w:val="Hyperlink"/>
            <w:noProof/>
          </w:rPr>
          <w:t>Division 2—Challenges</w:t>
        </w:r>
        <w:r>
          <w:rPr>
            <w:noProof/>
            <w:webHidden/>
          </w:rPr>
          <w:tab/>
        </w:r>
        <w:r>
          <w:rPr>
            <w:noProof/>
            <w:webHidden/>
          </w:rPr>
          <w:fldChar w:fldCharType="begin"/>
        </w:r>
        <w:r>
          <w:rPr>
            <w:noProof/>
            <w:webHidden/>
          </w:rPr>
          <w:instrText xml:space="preserve"> PAGEREF _Toc175238969 \h </w:instrText>
        </w:r>
        <w:r>
          <w:rPr>
            <w:noProof/>
            <w:webHidden/>
          </w:rPr>
        </w:r>
        <w:r>
          <w:rPr>
            <w:noProof/>
            <w:webHidden/>
          </w:rPr>
          <w:fldChar w:fldCharType="separate"/>
        </w:r>
        <w:r w:rsidR="00FD06AB">
          <w:rPr>
            <w:noProof/>
            <w:webHidden/>
          </w:rPr>
          <w:t>103</w:t>
        </w:r>
        <w:r>
          <w:rPr>
            <w:noProof/>
            <w:webHidden/>
          </w:rPr>
          <w:fldChar w:fldCharType="end"/>
        </w:r>
      </w:hyperlink>
    </w:p>
    <w:p w14:paraId="7F06014B" w14:textId="2C4A2C82" w:rsidR="003B042F" w:rsidRDefault="003B042F">
      <w:pPr>
        <w:pStyle w:val="TOC4"/>
        <w:rPr>
          <w:rFonts w:asciiTheme="minorHAnsi" w:eastAsiaTheme="minorEastAsia" w:hAnsiTheme="minorHAnsi"/>
          <w:noProof/>
          <w:sz w:val="22"/>
          <w:lang w:eastAsia="en-AU"/>
        </w:rPr>
      </w:pPr>
      <w:hyperlink w:anchor="_Toc175238970" w:history="1">
        <w:r w:rsidRPr="005871B3">
          <w:rPr>
            <w:rStyle w:val="Hyperlink"/>
            <w:noProof/>
          </w:rPr>
          <w:t>64.1—Strike out</w:t>
        </w:r>
        <w:r>
          <w:rPr>
            <w:noProof/>
            <w:webHidden/>
          </w:rPr>
          <w:tab/>
        </w:r>
        <w:r>
          <w:rPr>
            <w:noProof/>
            <w:webHidden/>
          </w:rPr>
          <w:fldChar w:fldCharType="begin"/>
        </w:r>
        <w:r>
          <w:rPr>
            <w:noProof/>
            <w:webHidden/>
          </w:rPr>
          <w:instrText xml:space="preserve"> PAGEREF _Toc175238970 \h </w:instrText>
        </w:r>
        <w:r>
          <w:rPr>
            <w:noProof/>
            <w:webHidden/>
          </w:rPr>
        </w:r>
        <w:r>
          <w:rPr>
            <w:noProof/>
            <w:webHidden/>
          </w:rPr>
          <w:fldChar w:fldCharType="separate"/>
        </w:r>
        <w:r w:rsidR="00FD06AB">
          <w:rPr>
            <w:noProof/>
            <w:webHidden/>
          </w:rPr>
          <w:t>103</w:t>
        </w:r>
        <w:r>
          <w:rPr>
            <w:noProof/>
            <w:webHidden/>
          </w:rPr>
          <w:fldChar w:fldCharType="end"/>
        </w:r>
      </w:hyperlink>
    </w:p>
    <w:p w14:paraId="246C91C2" w14:textId="1F080C25" w:rsidR="003B042F" w:rsidRDefault="003B042F">
      <w:pPr>
        <w:pStyle w:val="TOC4"/>
        <w:rPr>
          <w:rFonts w:asciiTheme="minorHAnsi" w:eastAsiaTheme="minorEastAsia" w:hAnsiTheme="minorHAnsi"/>
          <w:noProof/>
          <w:sz w:val="22"/>
          <w:lang w:eastAsia="en-AU"/>
        </w:rPr>
      </w:pPr>
      <w:hyperlink w:anchor="_Toc175238971" w:history="1">
        <w:r w:rsidRPr="005871B3">
          <w:rPr>
            <w:rStyle w:val="Hyperlink"/>
            <w:noProof/>
          </w:rPr>
          <w:t>64.2—Challenge to offence category</w:t>
        </w:r>
        <w:r>
          <w:rPr>
            <w:noProof/>
            <w:webHidden/>
          </w:rPr>
          <w:tab/>
        </w:r>
        <w:r>
          <w:rPr>
            <w:noProof/>
            <w:webHidden/>
          </w:rPr>
          <w:fldChar w:fldCharType="begin"/>
        </w:r>
        <w:r>
          <w:rPr>
            <w:noProof/>
            <w:webHidden/>
          </w:rPr>
          <w:instrText xml:space="preserve"> PAGEREF _Toc175238971 \h </w:instrText>
        </w:r>
        <w:r>
          <w:rPr>
            <w:noProof/>
            <w:webHidden/>
          </w:rPr>
        </w:r>
        <w:r>
          <w:rPr>
            <w:noProof/>
            <w:webHidden/>
          </w:rPr>
          <w:fldChar w:fldCharType="separate"/>
        </w:r>
        <w:r w:rsidR="00FD06AB">
          <w:rPr>
            <w:noProof/>
            <w:webHidden/>
          </w:rPr>
          <w:t>104</w:t>
        </w:r>
        <w:r>
          <w:rPr>
            <w:noProof/>
            <w:webHidden/>
          </w:rPr>
          <w:fldChar w:fldCharType="end"/>
        </w:r>
      </w:hyperlink>
    </w:p>
    <w:p w14:paraId="74208E86" w14:textId="688DF6E7" w:rsidR="003B042F" w:rsidRDefault="003B042F">
      <w:pPr>
        <w:pStyle w:val="TOC3"/>
        <w:rPr>
          <w:rFonts w:asciiTheme="minorHAnsi" w:eastAsiaTheme="minorEastAsia" w:hAnsiTheme="minorHAnsi"/>
          <w:b w:val="0"/>
          <w:noProof/>
          <w:sz w:val="22"/>
          <w:lang w:eastAsia="en-AU"/>
        </w:rPr>
      </w:pPr>
      <w:hyperlink w:anchor="_Toc175238972" w:history="1">
        <w:r w:rsidRPr="005871B3">
          <w:rPr>
            <w:rStyle w:val="Hyperlink"/>
            <w:noProof/>
          </w:rPr>
          <w:t>Division 3—Better particulars</w:t>
        </w:r>
        <w:r>
          <w:rPr>
            <w:noProof/>
            <w:webHidden/>
          </w:rPr>
          <w:tab/>
        </w:r>
        <w:r>
          <w:rPr>
            <w:noProof/>
            <w:webHidden/>
          </w:rPr>
          <w:fldChar w:fldCharType="begin"/>
        </w:r>
        <w:r>
          <w:rPr>
            <w:noProof/>
            <w:webHidden/>
          </w:rPr>
          <w:instrText xml:space="preserve"> PAGEREF _Toc175238972 \h </w:instrText>
        </w:r>
        <w:r>
          <w:rPr>
            <w:noProof/>
            <w:webHidden/>
          </w:rPr>
        </w:r>
        <w:r>
          <w:rPr>
            <w:noProof/>
            <w:webHidden/>
          </w:rPr>
          <w:fldChar w:fldCharType="separate"/>
        </w:r>
        <w:r w:rsidR="00FD06AB">
          <w:rPr>
            <w:noProof/>
            <w:webHidden/>
          </w:rPr>
          <w:t>104</w:t>
        </w:r>
        <w:r>
          <w:rPr>
            <w:noProof/>
            <w:webHidden/>
          </w:rPr>
          <w:fldChar w:fldCharType="end"/>
        </w:r>
      </w:hyperlink>
    </w:p>
    <w:p w14:paraId="20089CB9" w14:textId="7A50E0AD" w:rsidR="003B042F" w:rsidRDefault="003B042F">
      <w:pPr>
        <w:pStyle w:val="TOC4"/>
        <w:rPr>
          <w:rFonts w:asciiTheme="minorHAnsi" w:eastAsiaTheme="minorEastAsia" w:hAnsiTheme="minorHAnsi"/>
          <w:noProof/>
          <w:sz w:val="22"/>
          <w:lang w:eastAsia="en-AU"/>
        </w:rPr>
      </w:pPr>
      <w:hyperlink w:anchor="_Toc175238973" w:history="1">
        <w:r w:rsidRPr="005871B3">
          <w:rPr>
            <w:rStyle w:val="Hyperlink"/>
            <w:noProof/>
          </w:rPr>
          <w:t>64A.1—Better particulars</w:t>
        </w:r>
        <w:r>
          <w:rPr>
            <w:noProof/>
            <w:webHidden/>
          </w:rPr>
          <w:tab/>
        </w:r>
        <w:r>
          <w:rPr>
            <w:noProof/>
            <w:webHidden/>
          </w:rPr>
          <w:fldChar w:fldCharType="begin"/>
        </w:r>
        <w:r>
          <w:rPr>
            <w:noProof/>
            <w:webHidden/>
          </w:rPr>
          <w:instrText xml:space="preserve"> PAGEREF _Toc175238973 \h </w:instrText>
        </w:r>
        <w:r>
          <w:rPr>
            <w:noProof/>
            <w:webHidden/>
          </w:rPr>
        </w:r>
        <w:r>
          <w:rPr>
            <w:noProof/>
            <w:webHidden/>
          </w:rPr>
          <w:fldChar w:fldCharType="separate"/>
        </w:r>
        <w:r w:rsidR="00FD06AB">
          <w:rPr>
            <w:noProof/>
            <w:webHidden/>
          </w:rPr>
          <w:t>104</w:t>
        </w:r>
        <w:r>
          <w:rPr>
            <w:noProof/>
            <w:webHidden/>
          </w:rPr>
          <w:fldChar w:fldCharType="end"/>
        </w:r>
      </w:hyperlink>
    </w:p>
    <w:p w14:paraId="05712A5F" w14:textId="1C8051A6"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74" w:history="1">
        <w:r w:rsidRPr="005871B3">
          <w:rPr>
            <w:rStyle w:val="Hyperlink"/>
            <w:noProof/>
          </w:rPr>
          <w:t>Part 4—Hearings and applications</w:t>
        </w:r>
        <w:r>
          <w:rPr>
            <w:noProof/>
            <w:webHidden/>
          </w:rPr>
          <w:tab/>
        </w:r>
        <w:r>
          <w:rPr>
            <w:noProof/>
            <w:webHidden/>
          </w:rPr>
          <w:fldChar w:fldCharType="begin"/>
        </w:r>
        <w:r>
          <w:rPr>
            <w:noProof/>
            <w:webHidden/>
          </w:rPr>
          <w:instrText xml:space="preserve"> PAGEREF _Toc175238974 \h </w:instrText>
        </w:r>
        <w:r>
          <w:rPr>
            <w:noProof/>
            <w:webHidden/>
          </w:rPr>
        </w:r>
        <w:r>
          <w:rPr>
            <w:noProof/>
            <w:webHidden/>
          </w:rPr>
          <w:fldChar w:fldCharType="separate"/>
        </w:r>
        <w:r w:rsidR="00FD06AB">
          <w:rPr>
            <w:noProof/>
            <w:webHidden/>
          </w:rPr>
          <w:t>104</w:t>
        </w:r>
        <w:r>
          <w:rPr>
            <w:noProof/>
            <w:webHidden/>
          </w:rPr>
          <w:fldChar w:fldCharType="end"/>
        </w:r>
      </w:hyperlink>
    </w:p>
    <w:p w14:paraId="617324B9" w14:textId="16C56F1E" w:rsidR="003B042F" w:rsidRDefault="003B042F">
      <w:pPr>
        <w:pStyle w:val="TOC3"/>
        <w:rPr>
          <w:rFonts w:asciiTheme="minorHAnsi" w:eastAsiaTheme="minorEastAsia" w:hAnsiTheme="minorHAnsi"/>
          <w:b w:val="0"/>
          <w:noProof/>
          <w:sz w:val="22"/>
          <w:lang w:eastAsia="en-AU"/>
        </w:rPr>
      </w:pPr>
      <w:hyperlink w:anchor="_Toc175238975" w:history="1">
        <w:r w:rsidRPr="005871B3">
          <w:rPr>
            <w:rStyle w:val="Hyperlink"/>
            <w:noProof/>
          </w:rPr>
          <w:t>Division 1—Hearings</w:t>
        </w:r>
        <w:r>
          <w:rPr>
            <w:noProof/>
            <w:webHidden/>
          </w:rPr>
          <w:tab/>
        </w:r>
        <w:r>
          <w:rPr>
            <w:noProof/>
            <w:webHidden/>
          </w:rPr>
          <w:fldChar w:fldCharType="begin"/>
        </w:r>
        <w:r>
          <w:rPr>
            <w:noProof/>
            <w:webHidden/>
          </w:rPr>
          <w:instrText xml:space="preserve"> PAGEREF _Toc175238975 \h </w:instrText>
        </w:r>
        <w:r>
          <w:rPr>
            <w:noProof/>
            <w:webHidden/>
          </w:rPr>
        </w:r>
        <w:r>
          <w:rPr>
            <w:noProof/>
            <w:webHidden/>
          </w:rPr>
          <w:fldChar w:fldCharType="separate"/>
        </w:r>
        <w:r w:rsidR="00FD06AB">
          <w:rPr>
            <w:noProof/>
            <w:webHidden/>
          </w:rPr>
          <w:t>104</w:t>
        </w:r>
        <w:r>
          <w:rPr>
            <w:noProof/>
            <w:webHidden/>
          </w:rPr>
          <w:fldChar w:fldCharType="end"/>
        </w:r>
      </w:hyperlink>
    </w:p>
    <w:p w14:paraId="1954BF7A" w14:textId="7286FF01" w:rsidR="003B042F" w:rsidRDefault="003B042F">
      <w:pPr>
        <w:pStyle w:val="TOC4"/>
        <w:rPr>
          <w:rFonts w:asciiTheme="minorHAnsi" w:eastAsiaTheme="minorEastAsia" w:hAnsiTheme="minorHAnsi"/>
          <w:noProof/>
          <w:sz w:val="22"/>
          <w:lang w:eastAsia="en-AU"/>
        </w:rPr>
      </w:pPr>
      <w:hyperlink w:anchor="_Toc175238976" w:history="1">
        <w:r w:rsidRPr="005871B3">
          <w:rPr>
            <w:rStyle w:val="Hyperlink"/>
            <w:noProof/>
          </w:rPr>
          <w:t>65.1—Hearings</w:t>
        </w:r>
        <w:r>
          <w:rPr>
            <w:noProof/>
            <w:webHidden/>
          </w:rPr>
          <w:tab/>
        </w:r>
        <w:r>
          <w:rPr>
            <w:noProof/>
            <w:webHidden/>
          </w:rPr>
          <w:fldChar w:fldCharType="begin"/>
        </w:r>
        <w:r>
          <w:rPr>
            <w:noProof/>
            <w:webHidden/>
          </w:rPr>
          <w:instrText xml:space="preserve"> PAGEREF _Toc175238976 \h </w:instrText>
        </w:r>
        <w:r>
          <w:rPr>
            <w:noProof/>
            <w:webHidden/>
          </w:rPr>
        </w:r>
        <w:r>
          <w:rPr>
            <w:noProof/>
            <w:webHidden/>
          </w:rPr>
          <w:fldChar w:fldCharType="separate"/>
        </w:r>
        <w:r w:rsidR="00FD06AB">
          <w:rPr>
            <w:noProof/>
            <w:webHidden/>
          </w:rPr>
          <w:t>104</w:t>
        </w:r>
        <w:r>
          <w:rPr>
            <w:noProof/>
            <w:webHidden/>
          </w:rPr>
          <w:fldChar w:fldCharType="end"/>
        </w:r>
      </w:hyperlink>
    </w:p>
    <w:p w14:paraId="63425EDF" w14:textId="389DDF22" w:rsidR="003B042F" w:rsidRDefault="003B042F">
      <w:pPr>
        <w:pStyle w:val="TOC4"/>
        <w:rPr>
          <w:rFonts w:asciiTheme="minorHAnsi" w:eastAsiaTheme="minorEastAsia" w:hAnsiTheme="minorHAnsi"/>
          <w:noProof/>
          <w:sz w:val="22"/>
          <w:lang w:eastAsia="en-AU"/>
        </w:rPr>
      </w:pPr>
      <w:hyperlink w:anchor="_Toc175238977" w:history="1">
        <w:r w:rsidRPr="005871B3">
          <w:rPr>
            <w:rStyle w:val="Hyperlink"/>
            <w:noProof/>
          </w:rPr>
          <w:t>65.2—Attendance of parties</w:t>
        </w:r>
        <w:r>
          <w:rPr>
            <w:noProof/>
            <w:webHidden/>
          </w:rPr>
          <w:tab/>
        </w:r>
        <w:r>
          <w:rPr>
            <w:noProof/>
            <w:webHidden/>
          </w:rPr>
          <w:fldChar w:fldCharType="begin"/>
        </w:r>
        <w:r>
          <w:rPr>
            <w:noProof/>
            <w:webHidden/>
          </w:rPr>
          <w:instrText xml:space="preserve"> PAGEREF _Toc175238977 \h </w:instrText>
        </w:r>
        <w:r>
          <w:rPr>
            <w:noProof/>
            <w:webHidden/>
          </w:rPr>
        </w:r>
        <w:r>
          <w:rPr>
            <w:noProof/>
            <w:webHidden/>
          </w:rPr>
          <w:fldChar w:fldCharType="separate"/>
        </w:r>
        <w:r w:rsidR="00FD06AB">
          <w:rPr>
            <w:noProof/>
            <w:webHidden/>
          </w:rPr>
          <w:t>105</w:t>
        </w:r>
        <w:r>
          <w:rPr>
            <w:noProof/>
            <w:webHidden/>
          </w:rPr>
          <w:fldChar w:fldCharType="end"/>
        </w:r>
      </w:hyperlink>
    </w:p>
    <w:p w14:paraId="043E69A8" w14:textId="7A8FA7D4" w:rsidR="003B042F" w:rsidRDefault="003B042F">
      <w:pPr>
        <w:pStyle w:val="TOC4"/>
        <w:rPr>
          <w:rFonts w:asciiTheme="minorHAnsi" w:eastAsiaTheme="minorEastAsia" w:hAnsiTheme="minorHAnsi"/>
          <w:noProof/>
          <w:sz w:val="22"/>
          <w:lang w:eastAsia="en-AU"/>
        </w:rPr>
      </w:pPr>
      <w:hyperlink w:anchor="_Toc175238978" w:history="1">
        <w:r w:rsidRPr="005871B3">
          <w:rPr>
            <w:rStyle w:val="Hyperlink"/>
            <w:noProof/>
          </w:rPr>
          <w:t>65.3—Priority proceedings</w:t>
        </w:r>
        <w:r>
          <w:rPr>
            <w:noProof/>
            <w:webHidden/>
          </w:rPr>
          <w:tab/>
        </w:r>
        <w:r>
          <w:rPr>
            <w:noProof/>
            <w:webHidden/>
          </w:rPr>
          <w:fldChar w:fldCharType="begin"/>
        </w:r>
        <w:r>
          <w:rPr>
            <w:noProof/>
            <w:webHidden/>
          </w:rPr>
          <w:instrText xml:space="preserve"> PAGEREF _Toc175238978 \h </w:instrText>
        </w:r>
        <w:r>
          <w:rPr>
            <w:noProof/>
            <w:webHidden/>
          </w:rPr>
        </w:r>
        <w:r>
          <w:rPr>
            <w:noProof/>
            <w:webHidden/>
          </w:rPr>
          <w:fldChar w:fldCharType="separate"/>
        </w:r>
        <w:r w:rsidR="00FD06AB">
          <w:rPr>
            <w:noProof/>
            <w:webHidden/>
          </w:rPr>
          <w:t>105</w:t>
        </w:r>
        <w:r>
          <w:rPr>
            <w:noProof/>
            <w:webHidden/>
          </w:rPr>
          <w:fldChar w:fldCharType="end"/>
        </w:r>
      </w:hyperlink>
    </w:p>
    <w:p w14:paraId="696800EF" w14:textId="7E112FAD" w:rsidR="003B042F" w:rsidRDefault="003B042F">
      <w:pPr>
        <w:pStyle w:val="TOC4"/>
        <w:rPr>
          <w:rFonts w:asciiTheme="minorHAnsi" w:eastAsiaTheme="minorEastAsia" w:hAnsiTheme="minorHAnsi"/>
          <w:noProof/>
          <w:sz w:val="22"/>
          <w:lang w:eastAsia="en-AU"/>
        </w:rPr>
      </w:pPr>
      <w:hyperlink w:anchor="_Toc175238979" w:history="1">
        <w:r w:rsidRPr="005871B3">
          <w:rPr>
            <w:rStyle w:val="Hyperlink"/>
            <w:noProof/>
          </w:rPr>
          <w:t>65.4—Documents for use at hearings</w:t>
        </w:r>
        <w:r>
          <w:rPr>
            <w:noProof/>
            <w:webHidden/>
          </w:rPr>
          <w:tab/>
        </w:r>
        <w:r>
          <w:rPr>
            <w:noProof/>
            <w:webHidden/>
          </w:rPr>
          <w:fldChar w:fldCharType="begin"/>
        </w:r>
        <w:r>
          <w:rPr>
            <w:noProof/>
            <w:webHidden/>
          </w:rPr>
          <w:instrText xml:space="preserve"> PAGEREF _Toc175238979 \h </w:instrText>
        </w:r>
        <w:r>
          <w:rPr>
            <w:noProof/>
            <w:webHidden/>
          </w:rPr>
        </w:r>
        <w:r>
          <w:rPr>
            <w:noProof/>
            <w:webHidden/>
          </w:rPr>
          <w:fldChar w:fldCharType="separate"/>
        </w:r>
        <w:r w:rsidR="00FD06AB">
          <w:rPr>
            <w:noProof/>
            <w:webHidden/>
          </w:rPr>
          <w:t>105</w:t>
        </w:r>
        <w:r>
          <w:rPr>
            <w:noProof/>
            <w:webHidden/>
          </w:rPr>
          <w:fldChar w:fldCharType="end"/>
        </w:r>
      </w:hyperlink>
    </w:p>
    <w:p w14:paraId="55F8C5C9" w14:textId="7AA04F54" w:rsidR="003B042F" w:rsidRDefault="003B042F">
      <w:pPr>
        <w:pStyle w:val="TOC4"/>
        <w:rPr>
          <w:rFonts w:asciiTheme="minorHAnsi" w:eastAsiaTheme="minorEastAsia" w:hAnsiTheme="minorHAnsi"/>
          <w:noProof/>
          <w:sz w:val="22"/>
          <w:lang w:eastAsia="en-AU"/>
        </w:rPr>
      </w:pPr>
      <w:hyperlink w:anchor="_Toc175238980" w:history="1">
        <w:r w:rsidRPr="005871B3">
          <w:rPr>
            <w:rStyle w:val="Hyperlink"/>
            <w:noProof/>
          </w:rPr>
          <w:t>65.5—Consent orders</w:t>
        </w:r>
        <w:r>
          <w:rPr>
            <w:noProof/>
            <w:webHidden/>
          </w:rPr>
          <w:tab/>
        </w:r>
        <w:r>
          <w:rPr>
            <w:noProof/>
            <w:webHidden/>
          </w:rPr>
          <w:fldChar w:fldCharType="begin"/>
        </w:r>
        <w:r>
          <w:rPr>
            <w:noProof/>
            <w:webHidden/>
          </w:rPr>
          <w:instrText xml:space="preserve"> PAGEREF _Toc175238980 \h </w:instrText>
        </w:r>
        <w:r>
          <w:rPr>
            <w:noProof/>
            <w:webHidden/>
          </w:rPr>
        </w:r>
        <w:r>
          <w:rPr>
            <w:noProof/>
            <w:webHidden/>
          </w:rPr>
          <w:fldChar w:fldCharType="separate"/>
        </w:r>
        <w:r w:rsidR="00FD06AB">
          <w:rPr>
            <w:noProof/>
            <w:webHidden/>
          </w:rPr>
          <w:t>105</w:t>
        </w:r>
        <w:r>
          <w:rPr>
            <w:noProof/>
            <w:webHidden/>
          </w:rPr>
          <w:fldChar w:fldCharType="end"/>
        </w:r>
      </w:hyperlink>
    </w:p>
    <w:p w14:paraId="43C89E9D" w14:textId="54085CA8" w:rsidR="003B042F" w:rsidRDefault="003B042F">
      <w:pPr>
        <w:pStyle w:val="TOC3"/>
        <w:rPr>
          <w:rFonts w:asciiTheme="minorHAnsi" w:eastAsiaTheme="minorEastAsia" w:hAnsiTheme="minorHAnsi"/>
          <w:b w:val="0"/>
          <w:noProof/>
          <w:sz w:val="22"/>
          <w:lang w:eastAsia="en-AU"/>
        </w:rPr>
      </w:pPr>
      <w:hyperlink w:anchor="_Toc175238981" w:history="1">
        <w:r w:rsidRPr="005871B3">
          <w:rPr>
            <w:rStyle w:val="Hyperlink"/>
            <w:noProof/>
          </w:rPr>
          <w:t>Division 2—Applications</w:t>
        </w:r>
        <w:r>
          <w:rPr>
            <w:noProof/>
            <w:webHidden/>
          </w:rPr>
          <w:tab/>
        </w:r>
        <w:r>
          <w:rPr>
            <w:noProof/>
            <w:webHidden/>
          </w:rPr>
          <w:fldChar w:fldCharType="begin"/>
        </w:r>
        <w:r>
          <w:rPr>
            <w:noProof/>
            <w:webHidden/>
          </w:rPr>
          <w:instrText xml:space="preserve"> PAGEREF _Toc175238981 \h </w:instrText>
        </w:r>
        <w:r>
          <w:rPr>
            <w:noProof/>
            <w:webHidden/>
          </w:rPr>
        </w:r>
        <w:r>
          <w:rPr>
            <w:noProof/>
            <w:webHidden/>
          </w:rPr>
          <w:fldChar w:fldCharType="separate"/>
        </w:r>
        <w:r w:rsidR="00FD06AB">
          <w:rPr>
            <w:noProof/>
            <w:webHidden/>
          </w:rPr>
          <w:t>106</w:t>
        </w:r>
        <w:r>
          <w:rPr>
            <w:noProof/>
            <w:webHidden/>
          </w:rPr>
          <w:fldChar w:fldCharType="end"/>
        </w:r>
      </w:hyperlink>
    </w:p>
    <w:p w14:paraId="0279CAC6" w14:textId="69D70A3B" w:rsidR="003B042F" w:rsidRDefault="003B042F">
      <w:pPr>
        <w:pStyle w:val="TOC4"/>
        <w:rPr>
          <w:rFonts w:asciiTheme="minorHAnsi" w:eastAsiaTheme="minorEastAsia" w:hAnsiTheme="minorHAnsi"/>
          <w:noProof/>
          <w:sz w:val="22"/>
          <w:lang w:eastAsia="en-AU"/>
        </w:rPr>
      </w:pPr>
      <w:hyperlink w:anchor="_Toc175238982" w:history="1">
        <w:r w:rsidRPr="005871B3">
          <w:rPr>
            <w:rStyle w:val="Hyperlink"/>
            <w:noProof/>
          </w:rPr>
          <w:t>66.1—Time for making certain applications</w:t>
        </w:r>
        <w:r>
          <w:rPr>
            <w:noProof/>
            <w:webHidden/>
          </w:rPr>
          <w:tab/>
        </w:r>
        <w:r>
          <w:rPr>
            <w:noProof/>
            <w:webHidden/>
          </w:rPr>
          <w:fldChar w:fldCharType="begin"/>
        </w:r>
        <w:r>
          <w:rPr>
            <w:noProof/>
            <w:webHidden/>
          </w:rPr>
          <w:instrText xml:space="preserve"> PAGEREF _Toc175238982 \h </w:instrText>
        </w:r>
        <w:r>
          <w:rPr>
            <w:noProof/>
            <w:webHidden/>
          </w:rPr>
        </w:r>
        <w:r>
          <w:rPr>
            <w:noProof/>
            <w:webHidden/>
          </w:rPr>
          <w:fldChar w:fldCharType="separate"/>
        </w:r>
        <w:r w:rsidR="00FD06AB">
          <w:rPr>
            <w:noProof/>
            <w:webHidden/>
          </w:rPr>
          <w:t>106</w:t>
        </w:r>
        <w:r>
          <w:rPr>
            <w:noProof/>
            <w:webHidden/>
          </w:rPr>
          <w:fldChar w:fldCharType="end"/>
        </w:r>
      </w:hyperlink>
    </w:p>
    <w:p w14:paraId="1564CA53" w14:textId="7E829E90" w:rsidR="003B042F" w:rsidRDefault="003B042F">
      <w:pPr>
        <w:pStyle w:val="TOC3"/>
        <w:rPr>
          <w:rFonts w:asciiTheme="minorHAnsi" w:eastAsiaTheme="minorEastAsia" w:hAnsiTheme="minorHAnsi"/>
          <w:b w:val="0"/>
          <w:noProof/>
          <w:sz w:val="22"/>
          <w:lang w:eastAsia="en-AU"/>
        </w:rPr>
      </w:pPr>
      <w:hyperlink w:anchor="_Toc175238983" w:history="1">
        <w:r w:rsidRPr="005871B3">
          <w:rPr>
            <w:rStyle w:val="Hyperlink"/>
            <w:noProof/>
          </w:rPr>
          <w:t>Division 3—Identification of potential mental incapacity issues</w:t>
        </w:r>
        <w:r>
          <w:rPr>
            <w:noProof/>
            <w:webHidden/>
          </w:rPr>
          <w:tab/>
        </w:r>
        <w:r>
          <w:rPr>
            <w:noProof/>
            <w:webHidden/>
          </w:rPr>
          <w:fldChar w:fldCharType="begin"/>
        </w:r>
        <w:r>
          <w:rPr>
            <w:noProof/>
            <w:webHidden/>
          </w:rPr>
          <w:instrText xml:space="preserve"> PAGEREF _Toc175238983 \h </w:instrText>
        </w:r>
        <w:r>
          <w:rPr>
            <w:noProof/>
            <w:webHidden/>
          </w:rPr>
        </w:r>
        <w:r>
          <w:rPr>
            <w:noProof/>
            <w:webHidden/>
          </w:rPr>
          <w:fldChar w:fldCharType="separate"/>
        </w:r>
        <w:r w:rsidR="00FD06AB">
          <w:rPr>
            <w:noProof/>
            <w:webHidden/>
          </w:rPr>
          <w:t>107</w:t>
        </w:r>
        <w:r>
          <w:rPr>
            <w:noProof/>
            <w:webHidden/>
          </w:rPr>
          <w:fldChar w:fldCharType="end"/>
        </w:r>
      </w:hyperlink>
    </w:p>
    <w:p w14:paraId="56B29511" w14:textId="3AA090F2" w:rsidR="003B042F" w:rsidRDefault="003B042F">
      <w:pPr>
        <w:pStyle w:val="TOC4"/>
        <w:rPr>
          <w:rFonts w:asciiTheme="minorHAnsi" w:eastAsiaTheme="minorEastAsia" w:hAnsiTheme="minorHAnsi"/>
          <w:noProof/>
          <w:sz w:val="22"/>
          <w:lang w:eastAsia="en-AU"/>
        </w:rPr>
      </w:pPr>
      <w:hyperlink w:anchor="_Toc175238984" w:history="1">
        <w:r w:rsidRPr="005871B3">
          <w:rPr>
            <w:rStyle w:val="Hyperlink"/>
            <w:noProof/>
          </w:rPr>
          <w:t>67.1—Unfitness to stand trial</w:t>
        </w:r>
        <w:r>
          <w:rPr>
            <w:noProof/>
            <w:webHidden/>
          </w:rPr>
          <w:tab/>
        </w:r>
        <w:r>
          <w:rPr>
            <w:noProof/>
            <w:webHidden/>
          </w:rPr>
          <w:fldChar w:fldCharType="begin"/>
        </w:r>
        <w:r>
          <w:rPr>
            <w:noProof/>
            <w:webHidden/>
          </w:rPr>
          <w:instrText xml:space="preserve"> PAGEREF _Toc175238984 \h </w:instrText>
        </w:r>
        <w:r>
          <w:rPr>
            <w:noProof/>
            <w:webHidden/>
          </w:rPr>
        </w:r>
        <w:r>
          <w:rPr>
            <w:noProof/>
            <w:webHidden/>
          </w:rPr>
          <w:fldChar w:fldCharType="separate"/>
        </w:r>
        <w:r w:rsidR="00FD06AB">
          <w:rPr>
            <w:noProof/>
            <w:webHidden/>
          </w:rPr>
          <w:t>107</w:t>
        </w:r>
        <w:r>
          <w:rPr>
            <w:noProof/>
            <w:webHidden/>
          </w:rPr>
          <w:fldChar w:fldCharType="end"/>
        </w:r>
      </w:hyperlink>
    </w:p>
    <w:p w14:paraId="1C0D7F86" w14:textId="49514F8B" w:rsidR="003B042F" w:rsidRDefault="003B042F">
      <w:pPr>
        <w:pStyle w:val="TOC4"/>
        <w:rPr>
          <w:rFonts w:asciiTheme="minorHAnsi" w:eastAsiaTheme="minorEastAsia" w:hAnsiTheme="minorHAnsi"/>
          <w:noProof/>
          <w:sz w:val="22"/>
          <w:lang w:eastAsia="en-AU"/>
        </w:rPr>
      </w:pPr>
      <w:hyperlink w:anchor="_Toc175238985" w:history="1">
        <w:r w:rsidRPr="005871B3">
          <w:rPr>
            <w:rStyle w:val="Hyperlink"/>
            <w:noProof/>
          </w:rPr>
          <w:t>67.2—Mental incompetence to commit offence</w:t>
        </w:r>
        <w:r>
          <w:rPr>
            <w:noProof/>
            <w:webHidden/>
          </w:rPr>
          <w:tab/>
        </w:r>
        <w:r>
          <w:rPr>
            <w:noProof/>
            <w:webHidden/>
          </w:rPr>
          <w:fldChar w:fldCharType="begin"/>
        </w:r>
        <w:r>
          <w:rPr>
            <w:noProof/>
            <w:webHidden/>
          </w:rPr>
          <w:instrText xml:space="preserve"> PAGEREF _Toc175238985 \h </w:instrText>
        </w:r>
        <w:r>
          <w:rPr>
            <w:noProof/>
            <w:webHidden/>
          </w:rPr>
        </w:r>
        <w:r>
          <w:rPr>
            <w:noProof/>
            <w:webHidden/>
          </w:rPr>
          <w:fldChar w:fldCharType="separate"/>
        </w:r>
        <w:r w:rsidR="00FD06AB">
          <w:rPr>
            <w:noProof/>
            <w:webHidden/>
          </w:rPr>
          <w:t>107</w:t>
        </w:r>
        <w:r>
          <w:rPr>
            <w:noProof/>
            <w:webHidden/>
          </w:rPr>
          <w:fldChar w:fldCharType="end"/>
        </w:r>
      </w:hyperlink>
    </w:p>
    <w:p w14:paraId="4CE2030F" w14:textId="7F2BB3B9" w:rsidR="003B042F" w:rsidRDefault="003B042F">
      <w:pPr>
        <w:pStyle w:val="TOC4"/>
        <w:rPr>
          <w:rFonts w:asciiTheme="minorHAnsi" w:eastAsiaTheme="minorEastAsia" w:hAnsiTheme="minorHAnsi"/>
          <w:noProof/>
          <w:sz w:val="22"/>
          <w:lang w:eastAsia="en-AU"/>
        </w:rPr>
      </w:pPr>
      <w:hyperlink w:anchor="_Toc175238986" w:history="1">
        <w:r w:rsidRPr="005871B3">
          <w:rPr>
            <w:rStyle w:val="Hyperlink"/>
            <w:noProof/>
          </w:rPr>
          <w:t>67.3—Presumption of incapacity to commit offence due to age: Youth Court</w:t>
        </w:r>
        <w:r>
          <w:rPr>
            <w:noProof/>
            <w:webHidden/>
          </w:rPr>
          <w:tab/>
        </w:r>
        <w:r>
          <w:rPr>
            <w:noProof/>
            <w:webHidden/>
          </w:rPr>
          <w:fldChar w:fldCharType="begin"/>
        </w:r>
        <w:r>
          <w:rPr>
            <w:noProof/>
            <w:webHidden/>
          </w:rPr>
          <w:instrText xml:space="preserve"> PAGEREF _Toc175238986 \h </w:instrText>
        </w:r>
        <w:r>
          <w:rPr>
            <w:noProof/>
            <w:webHidden/>
          </w:rPr>
        </w:r>
        <w:r>
          <w:rPr>
            <w:noProof/>
            <w:webHidden/>
          </w:rPr>
          <w:fldChar w:fldCharType="separate"/>
        </w:r>
        <w:r w:rsidR="00FD06AB">
          <w:rPr>
            <w:noProof/>
            <w:webHidden/>
          </w:rPr>
          <w:t>107</w:t>
        </w:r>
        <w:r>
          <w:rPr>
            <w:noProof/>
            <w:webHidden/>
          </w:rPr>
          <w:fldChar w:fldCharType="end"/>
        </w:r>
      </w:hyperlink>
    </w:p>
    <w:p w14:paraId="159C25F3" w14:textId="2AE8EF85" w:rsidR="003B042F" w:rsidRDefault="003B042F">
      <w:pPr>
        <w:pStyle w:val="TOC3"/>
        <w:rPr>
          <w:rFonts w:asciiTheme="minorHAnsi" w:eastAsiaTheme="minorEastAsia" w:hAnsiTheme="minorHAnsi"/>
          <w:b w:val="0"/>
          <w:noProof/>
          <w:sz w:val="22"/>
          <w:lang w:eastAsia="en-AU"/>
        </w:rPr>
      </w:pPr>
      <w:hyperlink w:anchor="_Toc175238987" w:history="1">
        <w:r w:rsidRPr="005871B3">
          <w:rPr>
            <w:rStyle w:val="Hyperlink"/>
            <w:noProof/>
          </w:rPr>
          <w:t>Division 4—Non-appearance of defendant or youth</w:t>
        </w:r>
        <w:r>
          <w:rPr>
            <w:noProof/>
            <w:webHidden/>
          </w:rPr>
          <w:tab/>
        </w:r>
        <w:r>
          <w:rPr>
            <w:noProof/>
            <w:webHidden/>
          </w:rPr>
          <w:fldChar w:fldCharType="begin"/>
        </w:r>
        <w:r>
          <w:rPr>
            <w:noProof/>
            <w:webHidden/>
          </w:rPr>
          <w:instrText xml:space="preserve"> PAGEREF _Toc175238987 \h </w:instrText>
        </w:r>
        <w:r>
          <w:rPr>
            <w:noProof/>
            <w:webHidden/>
          </w:rPr>
        </w:r>
        <w:r>
          <w:rPr>
            <w:noProof/>
            <w:webHidden/>
          </w:rPr>
          <w:fldChar w:fldCharType="separate"/>
        </w:r>
        <w:r w:rsidR="00FD06AB">
          <w:rPr>
            <w:noProof/>
            <w:webHidden/>
          </w:rPr>
          <w:t>108</w:t>
        </w:r>
        <w:r>
          <w:rPr>
            <w:noProof/>
            <w:webHidden/>
          </w:rPr>
          <w:fldChar w:fldCharType="end"/>
        </w:r>
      </w:hyperlink>
    </w:p>
    <w:p w14:paraId="2268AA67" w14:textId="48D4FAD2" w:rsidR="003B042F" w:rsidRDefault="003B042F">
      <w:pPr>
        <w:pStyle w:val="TOC3"/>
        <w:rPr>
          <w:rFonts w:asciiTheme="minorHAnsi" w:eastAsiaTheme="minorEastAsia" w:hAnsiTheme="minorHAnsi"/>
          <w:b w:val="0"/>
          <w:noProof/>
          <w:sz w:val="22"/>
          <w:lang w:eastAsia="en-AU"/>
        </w:rPr>
      </w:pPr>
      <w:hyperlink w:anchor="_Toc175238988" w:history="1">
        <w:r w:rsidRPr="005871B3">
          <w:rPr>
            <w:rStyle w:val="Hyperlink"/>
            <w:noProof/>
          </w:rPr>
          <w:t>Subdivision A—Preliminary</w:t>
        </w:r>
        <w:r>
          <w:rPr>
            <w:noProof/>
            <w:webHidden/>
          </w:rPr>
          <w:tab/>
        </w:r>
        <w:r>
          <w:rPr>
            <w:noProof/>
            <w:webHidden/>
          </w:rPr>
          <w:fldChar w:fldCharType="begin"/>
        </w:r>
        <w:r>
          <w:rPr>
            <w:noProof/>
            <w:webHidden/>
          </w:rPr>
          <w:instrText xml:space="preserve"> PAGEREF _Toc175238988 \h </w:instrText>
        </w:r>
        <w:r>
          <w:rPr>
            <w:noProof/>
            <w:webHidden/>
          </w:rPr>
        </w:r>
        <w:r>
          <w:rPr>
            <w:noProof/>
            <w:webHidden/>
          </w:rPr>
          <w:fldChar w:fldCharType="separate"/>
        </w:r>
        <w:r w:rsidR="00FD06AB">
          <w:rPr>
            <w:noProof/>
            <w:webHidden/>
          </w:rPr>
          <w:t>108</w:t>
        </w:r>
        <w:r>
          <w:rPr>
            <w:noProof/>
            <w:webHidden/>
          </w:rPr>
          <w:fldChar w:fldCharType="end"/>
        </w:r>
      </w:hyperlink>
    </w:p>
    <w:p w14:paraId="245E0411" w14:textId="031015E9" w:rsidR="003B042F" w:rsidRDefault="003B042F">
      <w:pPr>
        <w:pStyle w:val="TOC4"/>
        <w:rPr>
          <w:rFonts w:asciiTheme="minorHAnsi" w:eastAsiaTheme="minorEastAsia" w:hAnsiTheme="minorHAnsi"/>
          <w:noProof/>
          <w:sz w:val="22"/>
          <w:lang w:eastAsia="en-AU"/>
        </w:rPr>
      </w:pPr>
      <w:hyperlink w:anchor="_Toc175238989" w:history="1">
        <w:r w:rsidRPr="005871B3">
          <w:rPr>
            <w:rStyle w:val="Hyperlink"/>
            <w:noProof/>
          </w:rPr>
          <w:t>68.1—Application of Division</w:t>
        </w:r>
        <w:r>
          <w:rPr>
            <w:noProof/>
            <w:webHidden/>
          </w:rPr>
          <w:tab/>
        </w:r>
        <w:r>
          <w:rPr>
            <w:noProof/>
            <w:webHidden/>
          </w:rPr>
          <w:fldChar w:fldCharType="begin"/>
        </w:r>
        <w:r>
          <w:rPr>
            <w:noProof/>
            <w:webHidden/>
          </w:rPr>
          <w:instrText xml:space="preserve"> PAGEREF _Toc175238989 \h </w:instrText>
        </w:r>
        <w:r>
          <w:rPr>
            <w:noProof/>
            <w:webHidden/>
          </w:rPr>
        </w:r>
        <w:r>
          <w:rPr>
            <w:noProof/>
            <w:webHidden/>
          </w:rPr>
          <w:fldChar w:fldCharType="separate"/>
        </w:r>
        <w:r w:rsidR="00FD06AB">
          <w:rPr>
            <w:noProof/>
            <w:webHidden/>
          </w:rPr>
          <w:t>108</w:t>
        </w:r>
        <w:r>
          <w:rPr>
            <w:noProof/>
            <w:webHidden/>
          </w:rPr>
          <w:fldChar w:fldCharType="end"/>
        </w:r>
      </w:hyperlink>
    </w:p>
    <w:p w14:paraId="45CEC110" w14:textId="7EAB7D2A" w:rsidR="003B042F" w:rsidRDefault="003B042F">
      <w:pPr>
        <w:pStyle w:val="TOC3"/>
        <w:rPr>
          <w:rFonts w:asciiTheme="minorHAnsi" w:eastAsiaTheme="minorEastAsia" w:hAnsiTheme="minorHAnsi"/>
          <w:b w:val="0"/>
          <w:noProof/>
          <w:sz w:val="22"/>
          <w:lang w:eastAsia="en-AU"/>
        </w:rPr>
      </w:pPr>
      <w:hyperlink w:anchor="_Toc175238990" w:history="1">
        <w:r w:rsidRPr="005871B3">
          <w:rPr>
            <w:rStyle w:val="Hyperlink"/>
            <w:noProof/>
          </w:rPr>
          <w:t>Subdivision B—Warrant of apprehension</w:t>
        </w:r>
        <w:r>
          <w:rPr>
            <w:noProof/>
            <w:webHidden/>
          </w:rPr>
          <w:tab/>
        </w:r>
        <w:r>
          <w:rPr>
            <w:noProof/>
            <w:webHidden/>
          </w:rPr>
          <w:fldChar w:fldCharType="begin"/>
        </w:r>
        <w:r>
          <w:rPr>
            <w:noProof/>
            <w:webHidden/>
          </w:rPr>
          <w:instrText xml:space="preserve"> PAGEREF _Toc175238990 \h </w:instrText>
        </w:r>
        <w:r>
          <w:rPr>
            <w:noProof/>
            <w:webHidden/>
          </w:rPr>
        </w:r>
        <w:r>
          <w:rPr>
            <w:noProof/>
            <w:webHidden/>
          </w:rPr>
          <w:fldChar w:fldCharType="separate"/>
        </w:r>
        <w:r w:rsidR="00FD06AB">
          <w:rPr>
            <w:noProof/>
            <w:webHidden/>
          </w:rPr>
          <w:t>108</w:t>
        </w:r>
        <w:r>
          <w:rPr>
            <w:noProof/>
            <w:webHidden/>
          </w:rPr>
          <w:fldChar w:fldCharType="end"/>
        </w:r>
      </w:hyperlink>
    </w:p>
    <w:p w14:paraId="27D16831" w14:textId="22C35283" w:rsidR="003B042F" w:rsidRDefault="003B042F">
      <w:pPr>
        <w:pStyle w:val="TOC4"/>
        <w:rPr>
          <w:rFonts w:asciiTheme="minorHAnsi" w:eastAsiaTheme="minorEastAsia" w:hAnsiTheme="minorHAnsi"/>
          <w:noProof/>
          <w:sz w:val="22"/>
          <w:lang w:eastAsia="en-AU"/>
        </w:rPr>
      </w:pPr>
      <w:hyperlink w:anchor="_Toc175238991" w:history="1">
        <w:r w:rsidRPr="005871B3">
          <w:rPr>
            <w:rStyle w:val="Hyperlink"/>
            <w:noProof/>
          </w:rPr>
          <w:t>68.2—Issue warrant of apprehension</w:t>
        </w:r>
        <w:r>
          <w:rPr>
            <w:noProof/>
            <w:webHidden/>
          </w:rPr>
          <w:tab/>
        </w:r>
        <w:r>
          <w:rPr>
            <w:noProof/>
            <w:webHidden/>
          </w:rPr>
          <w:fldChar w:fldCharType="begin"/>
        </w:r>
        <w:r>
          <w:rPr>
            <w:noProof/>
            <w:webHidden/>
          </w:rPr>
          <w:instrText xml:space="preserve"> PAGEREF _Toc175238991 \h </w:instrText>
        </w:r>
        <w:r>
          <w:rPr>
            <w:noProof/>
            <w:webHidden/>
          </w:rPr>
        </w:r>
        <w:r>
          <w:rPr>
            <w:noProof/>
            <w:webHidden/>
          </w:rPr>
          <w:fldChar w:fldCharType="separate"/>
        </w:r>
        <w:r w:rsidR="00FD06AB">
          <w:rPr>
            <w:noProof/>
            <w:webHidden/>
          </w:rPr>
          <w:t>108</w:t>
        </w:r>
        <w:r>
          <w:rPr>
            <w:noProof/>
            <w:webHidden/>
          </w:rPr>
          <w:fldChar w:fldCharType="end"/>
        </w:r>
      </w:hyperlink>
    </w:p>
    <w:p w14:paraId="2796F06D" w14:textId="7012382E" w:rsidR="003B042F" w:rsidRDefault="003B042F">
      <w:pPr>
        <w:pStyle w:val="TOC3"/>
        <w:rPr>
          <w:rFonts w:asciiTheme="minorHAnsi" w:eastAsiaTheme="minorEastAsia" w:hAnsiTheme="minorHAnsi"/>
          <w:b w:val="0"/>
          <w:noProof/>
          <w:sz w:val="22"/>
          <w:lang w:eastAsia="en-AU"/>
        </w:rPr>
      </w:pPr>
      <w:hyperlink w:anchor="_Toc175238992" w:history="1">
        <w:r w:rsidRPr="005871B3">
          <w:rPr>
            <w:rStyle w:val="Hyperlink"/>
            <w:noProof/>
          </w:rPr>
          <w:t>Subdivision C—Proceed to hear</w:t>
        </w:r>
        <w:r>
          <w:rPr>
            <w:noProof/>
            <w:webHidden/>
          </w:rPr>
          <w:tab/>
        </w:r>
        <w:r>
          <w:rPr>
            <w:noProof/>
            <w:webHidden/>
          </w:rPr>
          <w:fldChar w:fldCharType="begin"/>
        </w:r>
        <w:r>
          <w:rPr>
            <w:noProof/>
            <w:webHidden/>
          </w:rPr>
          <w:instrText xml:space="preserve"> PAGEREF _Toc175238992 \h </w:instrText>
        </w:r>
        <w:r>
          <w:rPr>
            <w:noProof/>
            <w:webHidden/>
          </w:rPr>
        </w:r>
        <w:r>
          <w:rPr>
            <w:noProof/>
            <w:webHidden/>
          </w:rPr>
          <w:fldChar w:fldCharType="separate"/>
        </w:r>
        <w:r w:rsidR="00FD06AB">
          <w:rPr>
            <w:noProof/>
            <w:webHidden/>
          </w:rPr>
          <w:t>109</w:t>
        </w:r>
        <w:r>
          <w:rPr>
            <w:noProof/>
            <w:webHidden/>
          </w:rPr>
          <w:fldChar w:fldCharType="end"/>
        </w:r>
      </w:hyperlink>
    </w:p>
    <w:p w14:paraId="64924A28" w14:textId="1DB41C85" w:rsidR="003B042F" w:rsidRDefault="003B042F">
      <w:pPr>
        <w:pStyle w:val="TOC4"/>
        <w:rPr>
          <w:rFonts w:asciiTheme="minorHAnsi" w:eastAsiaTheme="minorEastAsia" w:hAnsiTheme="minorHAnsi"/>
          <w:noProof/>
          <w:sz w:val="22"/>
          <w:lang w:eastAsia="en-AU"/>
        </w:rPr>
      </w:pPr>
      <w:hyperlink w:anchor="_Toc175238993" w:history="1">
        <w:r w:rsidRPr="005871B3">
          <w:rPr>
            <w:rStyle w:val="Hyperlink"/>
            <w:noProof/>
          </w:rPr>
          <w:t>68.3—Proceed to hear and adjudicate Information</w:t>
        </w:r>
        <w:r>
          <w:rPr>
            <w:noProof/>
            <w:webHidden/>
          </w:rPr>
          <w:tab/>
        </w:r>
        <w:r>
          <w:rPr>
            <w:noProof/>
            <w:webHidden/>
          </w:rPr>
          <w:fldChar w:fldCharType="begin"/>
        </w:r>
        <w:r>
          <w:rPr>
            <w:noProof/>
            <w:webHidden/>
          </w:rPr>
          <w:instrText xml:space="preserve"> PAGEREF _Toc175238993 \h </w:instrText>
        </w:r>
        <w:r>
          <w:rPr>
            <w:noProof/>
            <w:webHidden/>
          </w:rPr>
        </w:r>
        <w:r>
          <w:rPr>
            <w:noProof/>
            <w:webHidden/>
          </w:rPr>
          <w:fldChar w:fldCharType="separate"/>
        </w:r>
        <w:r w:rsidR="00FD06AB">
          <w:rPr>
            <w:noProof/>
            <w:webHidden/>
          </w:rPr>
          <w:t>109</w:t>
        </w:r>
        <w:r>
          <w:rPr>
            <w:noProof/>
            <w:webHidden/>
          </w:rPr>
          <w:fldChar w:fldCharType="end"/>
        </w:r>
      </w:hyperlink>
    </w:p>
    <w:p w14:paraId="5B33C216" w14:textId="7FC7B679" w:rsidR="003B042F" w:rsidRDefault="003B042F">
      <w:pPr>
        <w:pStyle w:val="TOC3"/>
        <w:rPr>
          <w:rFonts w:asciiTheme="minorHAnsi" w:eastAsiaTheme="minorEastAsia" w:hAnsiTheme="minorHAnsi"/>
          <w:b w:val="0"/>
          <w:noProof/>
          <w:sz w:val="22"/>
          <w:lang w:eastAsia="en-AU"/>
        </w:rPr>
      </w:pPr>
      <w:hyperlink w:anchor="_Toc175238994" w:history="1">
        <w:r w:rsidRPr="005871B3">
          <w:rPr>
            <w:rStyle w:val="Hyperlink"/>
            <w:noProof/>
          </w:rPr>
          <w:t>Division 5—Non-appearance of informant</w:t>
        </w:r>
        <w:r>
          <w:rPr>
            <w:noProof/>
            <w:webHidden/>
          </w:rPr>
          <w:tab/>
        </w:r>
        <w:r>
          <w:rPr>
            <w:noProof/>
            <w:webHidden/>
          </w:rPr>
          <w:fldChar w:fldCharType="begin"/>
        </w:r>
        <w:r>
          <w:rPr>
            <w:noProof/>
            <w:webHidden/>
          </w:rPr>
          <w:instrText xml:space="preserve"> PAGEREF _Toc175238994 \h </w:instrText>
        </w:r>
        <w:r>
          <w:rPr>
            <w:noProof/>
            <w:webHidden/>
          </w:rPr>
        </w:r>
        <w:r>
          <w:rPr>
            <w:noProof/>
            <w:webHidden/>
          </w:rPr>
          <w:fldChar w:fldCharType="separate"/>
        </w:r>
        <w:r w:rsidR="00FD06AB">
          <w:rPr>
            <w:noProof/>
            <w:webHidden/>
          </w:rPr>
          <w:t>109</w:t>
        </w:r>
        <w:r>
          <w:rPr>
            <w:noProof/>
            <w:webHidden/>
          </w:rPr>
          <w:fldChar w:fldCharType="end"/>
        </w:r>
      </w:hyperlink>
    </w:p>
    <w:p w14:paraId="6BA9B2DC" w14:textId="20783AA7" w:rsidR="003B042F" w:rsidRDefault="003B042F">
      <w:pPr>
        <w:pStyle w:val="TOC4"/>
        <w:rPr>
          <w:rFonts w:asciiTheme="minorHAnsi" w:eastAsiaTheme="minorEastAsia" w:hAnsiTheme="minorHAnsi"/>
          <w:noProof/>
          <w:sz w:val="22"/>
          <w:lang w:eastAsia="en-AU"/>
        </w:rPr>
      </w:pPr>
      <w:hyperlink w:anchor="_Toc175238995" w:history="1">
        <w:r w:rsidRPr="005871B3">
          <w:rPr>
            <w:rStyle w:val="Hyperlink"/>
            <w:noProof/>
          </w:rPr>
          <w:t>69.1—Orders on non-appearance</w:t>
        </w:r>
        <w:r>
          <w:rPr>
            <w:noProof/>
            <w:webHidden/>
          </w:rPr>
          <w:tab/>
        </w:r>
        <w:r>
          <w:rPr>
            <w:noProof/>
            <w:webHidden/>
          </w:rPr>
          <w:fldChar w:fldCharType="begin"/>
        </w:r>
        <w:r>
          <w:rPr>
            <w:noProof/>
            <w:webHidden/>
          </w:rPr>
          <w:instrText xml:space="preserve"> PAGEREF _Toc175238995 \h </w:instrText>
        </w:r>
        <w:r>
          <w:rPr>
            <w:noProof/>
            <w:webHidden/>
          </w:rPr>
        </w:r>
        <w:r>
          <w:rPr>
            <w:noProof/>
            <w:webHidden/>
          </w:rPr>
          <w:fldChar w:fldCharType="separate"/>
        </w:r>
        <w:r w:rsidR="00FD06AB">
          <w:rPr>
            <w:noProof/>
            <w:webHidden/>
          </w:rPr>
          <w:t>109</w:t>
        </w:r>
        <w:r>
          <w:rPr>
            <w:noProof/>
            <w:webHidden/>
          </w:rPr>
          <w:fldChar w:fldCharType="end"/>
        </w:r>
      </w:hyperlink>
    </w:p>
    <w:p w14:paraId="683F9F33" w14:textId="185E1BD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96" w:history="1">
        <w:r w:rsidRPr="005871B3">
          <w:rPr>
            <w:rStyle w:val="Hyperlink"/>
            <w:noProof/>
          </w:rPr>
          <w:t>Part 5—Guilty pleas</w:t>
        </w:r>
        <w:r>
          <w:rPr>
            <w:noProof/>
            <w:webHidden/>
          </w:rPr>
          <w:tab/>
        </w:r>
        <w:r>
          <w:rPr>
            <w:noProof/>
            <w:webHidden/>
          </w:rPr>
          <w:fldChar w:fldCharType="begin"/>
        </w:r>
        <w:r>
          <w:rPr>
            <w:noProof/>
            <w:webHidden/>
          </w:rPr>
          <w:instrText xml:space="preserve"> PAGEREF _Toc175238996 \h </w:instrText>
        </w:r>
        <w:r>
          <w:rPr>
            <w:noProof/>
            <w:webHidden/>
          </w:rPr>
        </w:r>
        <w:r>
          <w:rPr>
            <w:noProof/>
            <w:webHidden/>
          </w:rPr>
          <w:fldChar w:fldCharType="separate"/>
        </w:r>
        <w:r w:rsidR="00FD06AB">
          <w:rPr>
            <w:noProof/>
            <w:webHidden/>
          </w:rPr>
          <w:t>109</w:t>
        </w:r>
        <w:r>
          <w:rPr>
            <w:noProof/>
            <w:webHidden/>
          </w:rPr>
          <w:fldChar w:fldCharType="end"/>
        </w:r>
      </w:hyperlink>
    </w:p>
    <w:p w14:paraId="6BCB5C57" w14:textId="5C108C10" w:rsidR="003B042F" w:rsidRDefault="003B042F">
      <w:pPr>
        <w:pStyle w:val="TOC4"/>
        <w:rPr>
          <w:rFonts w:asciiTheme="minorHAnsi" w:eastAsiaTheme="minorEastAsia" w:hAnsiTheme="minorHAnsi"/>
          <w:noProof/>
          <w:sz w:val="22"/>
          <w:lang w:eastAsia="en-AU"/>
        </w:rPr>
      </w:pPr>
      <w:hyperlink w:anchor="_Toc175238997" w:history="1">
        <w:r w:rsidRPr="005871B3">
          <w:rPr>
            <w:rStyle w:val="Hyperlink"/>
            <w:noProof/>
          </w:rPr>
          <w:t>70.1—Entry of plea in court</w:t>
        </w:r>
        <w:r>
          <w:rPr>
            <w:noProof/>
            <w:webHidden/>
          </w:rPr>
          <w:tab/>
        </w:r>
        <w:r>
          <w:rPr>
            <w:noProof/>
            <w:webHidden/>
          </w:rPr>
          <w:fldChar w:fldCharType="begin"/>
        </w:r>
        <w:r>
          <w:rPr>
            <w:noProof/>
            <w:webHidden/>
          </w:rPr>
          <w:instrText xml:space="preserve"> PAGEREF _Toc175238997 \h </w:instrText>
        </w:r>
        <w:r>
          <w:rPr>
            <w:noProof/>
            <w:webHidden/>
          </w:rPr>
        </w:r>
        <w:r>
          <w:rPr>
            <w:noProof/>
            <w:webHidden/>
          </w:rPr>
          <w:fldChar w:fldCharType="separate"/>
        </w:r>
        <w:r w:rsidR="00FD06AB">
          <w:rPr>
            <w:noProof/>
            <w:webHidden/>
          </w:rPr>
          <w:t>109</w:t>
        </w:r>
        <w:r>
          <w:rPr>
            <w:noProof/>
            <w:webHidden/>
          </w:rPr>
          <w:fldChar w:fldCharType="end"/>
        </w:r>
      </w:hyperlink>
    </w:p>
    <w:p w14:paraId="73A25643" w14:textId="2A9F8218" w:rsidR="003B042F" w:rsidRDefault="003B042F">
      <w:pPr>
        <w:pStyle w:val="TOC4"/>
        <w:rPr>
          <w:rFonts w:asciiTheme="minorHAnsi" w:eastAsiaTheme="minorEastAsia" w:hAnsiTheme="minorHAnsi"/>
          <w:noProof/>
          <w:sz w:val="22"/>
          <w:lang w:eastAsia="en-AU"/>
        </w:rPr>
      </w:pPr>
      <w:hyperlink w:anchor="_Toc175238998" w:history="1">
        <w:r w:rsidRPr="005871B3">
          <w:rPr>
            <w:rStyle w:val="Hyperlink"/>
            <w:noProof/>
          </w:rPr>
          <w:t>70.2—Entry of written guilty plea</w:t>
        </w:r>
        <w:r>
          <w:rPr>
            <w:noProof/>
            <w:webHidden/>
          </w:rPr>
          <w:tab/>
        </w:r>
        <w:r>
          <w:rPr>
            <w:noProof/>
            <w:webHidden/>
          </w:rPr>
          <w:fldChar w:fldCharType="begin"/>
        </w:r>
        <w:r>
          <w:rPr>
            <w:noProof/>
            <w:webHidden/>
          </w:rPr>
          <w:instrText xml:space="preserve"> PAGEREF _Toc175238998 \h </w:instrText>
        </w:r>
        <w:r>
          <w:rPr>
            <w:noProof/>
            <w:webHidden/>
          </w:rPr>
        </w:r>
        <w:r>
          <w:rPr>
            <w:noProof/>
            <w:webHidden/>
          </w:rPr>
          <w:fldChar w:fldCharType="separate"/>
        </w:r>
        <w:r w:rsidR="00FD06AB">
          <w:rPr>
            <w:noProof/>
            <w:webHidden/>
          </w:rPr>
          <w:t>109</w:t>
        </w:r>
        <w:r>
          <w:rPr>
            <w:noProof/>
            <w:webHidden/>
          </w:rPr>
          <w:fldChar w:fldCharType="end"/>
        </w:r>
      </w:hyperlink>
    </w:p>
    <w:p w14:paraId="35D42E78" w14:textId="19898F44"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8999" w:history="1">
        <w:r w:rsidRPr="005871B3">
          <w:rPr>
            <w:rStyle w:val="Hyperlink"/>
            <w:noProof/>
          </w:rPr>
          <w:t>Part 6—Election or requirement for trial or sentencing by Lower Court</w:t>
        </w:r>
        <w:r>
          <w:rPr>
            <w:noProof/>
            <w:webHidden/>
          </w:rPr>
          <w:tab/>
        </w:r>
        <w:r>
          <w:rPr>
            <w:noProof/>
            <w:webHidden/>
          </w:rPr>
          <w:fldChar w:fldCharType="begin"/>
        </w:r>
        <w:r>
          <w:rPr>
            <w:noProof/>
            <w:webHidden/>
          </w:rPr>
          <w:instrText xml:space="preserve"> PAGEREF _Toc175238999 \h </w:instrText>
        </w:r>
        <w:r>
          <w:rPr>
            <w:noProof/>
            <w:webHidden/>
          </w:rPr>
        </w:r>
        <w:r>
          <w:rPr>
            <w:noProof/>
            <w:webHidden/>
          </w:rPr>
          <w:fldChar w:fldCharType="separate"/>
        </w:r>
        <w:r w:rsidR="00FD06AB">
          <w:rPr>
            <w:noProof/>
            <w:webHidden/>
          </w:rPr>
          <w:t>110</w:t>
        </w:r>
        <w:r>
          <w:rPr>
            <w:noProof/>
            <w:webHidden/>
          </w:rPr>
          <w:fldChar w:fldCharType="end"/>
        </w:r>
      </w:hyperlink>
    </w:p>
    <w:p w14:paraId="28077B40" w14:textId="2494741A" w:rsidR="003B042F" w:rsidRDefault="003B042F">
      <w:pPr>
        <w:pStyle w:val="TOC3"/>
        <w:rPr>
          <w:rFonts w:asciiTheme="minorHAnsi" w:eastAsiaTheme="minorEastAsia" w:hAnsiTheme="minorHAnsi"/>
          <w:b w:val="0"/>
          <w:noProof/>
          <w:sz w:val="22"/>
          <w:lang w:eastAsia="en-AU"/>
        </w:rPr>
      </w:pPr>
      <w:hyperlink w:anchor="_Toc175239000" w:history="1">
        <w:r w:rsidRPr="005871B3">
          <w:rPr>
            <w:rStyle w:val="Hyperlink"/>
            <w:noProof/>
          </w:rPr>
          <w:t>Division 1—Election or requirement for sentencing by Lower Court</w:t>
        </w:r>
        <w:r>
          <w:rPr>
            <w:noProof/>
            <w:webHidden/>
          </w:rPr>
          <w:tab/>
        </w:r>
        <w:r>
          <w:rPr>
            <w:noProof/>
            <w:webHidden/>
          </w:rPr>
          <w:fldChar w:fldCharType="begin"/>
        </w:r>
        <w:r>
          <w:rPr>
            <w:noProof/>
            <w:webHidden/>
          </w:rPr>
          <w:instrText xml:space="preserve"> PAGEREF _Toc175239000 \h </w:instrText>
        </w:r>
        <w:r>
          <w:rPr>
            <w:noProof/>
            <w:webHidden/>
          </w:rPr>
        </w:r>
        <w:r>
          <w:rPr>
            <w:noProof/>
            <w:webHidden/>
          </w:rPr>
          <w:fldChar w:fldCharType="separate"/>
        </w:r>
        <w:r w:rsidR="00FD06AB">
          <w:rPr>
            <w:noProof/>
            <w:webHidden/>
          </w:rPr>
          <w:t>110</w:t>
        </w:r>
        <w:r>
          <w:rPr>
            <w:noProof/>
            <w:webHidden/>
          </w:rPr>
          <w:fldChar w:fldCharType="end"/>
        </w:r>
      </w:hyperlink>
    </w:p>
    <w:p w14:paraId="42100EEE" w14:textId="4661CB3E" w:rsidR="003B042F" w:rsidRDefault="003B042F">
      <w:pPr>
        <w:pStyle w:val="TOC4"/>
        <w:rPr>
          <w:rFonts w:asciiTheme="minorHAnsi" w:eastAsiaTheme="minorEastAsia" w:hAnsiTheme="minorHAnsi"/>
          <w:noProof/>
          <w:sz w:val="22"/>
          <w:lang w:eastAsia="en-AU"/>
        </w:rPr>
      </w:pPr>
      <w:hyperlink w:anchor="_Toc175239001" w:history="1">
        <w:r w:rsidRPr="005871B3">
          <w:rPr>
            <w:rStyle w:val="Hyperlink"/>
            <w:noProof/>
          </w:rPr>
          <w:t>71.1—Major indictable offence: Magistrates Court</w:t>
        </w:r>
        <w:r>
          <w:rPr>
            <w:noProof/>
            <w:webHidden/>
          </w:rPr>
          <w:tab/>
        </w:r>
        <w:r>
          <w:rPr>
            <w:noProof/>
            <w:webHidden/>
          </w:rPr>
          <w:fldChar w:fldCharType="begin"/>
        </w:r>
        <w:r>
          <w:rPr>
            <w:noProof/>
            <w:webHidden/>
          </w:rPr>
          <w:instrText xml:space="preserve"> PAGEREF _Toc175239001 \h </w:instrText>
        </w:r>
        <w:r>
          <w:rPr>
            <w:noProof/>
            <w:webHidden/>
          </w:rPr>
        </w:r>
        <w:r>
          <w:rPr>
            <w:noProof/>
            <w:webHidden/>
          </w:rPr>
          <w:fldChar w:fldCharType="separate"/>
        </w:r>
        <w:r w:rsidR="00FD06AB">
          <w:rPr>
            <w:noProof/>
            <w:webHidden/>
          </w:rPr>
          <w:t>110</w:t>
        </w:r>
        <w:r>
          <w:rPr>
            <w:noProof/>
            <w:webHidden/>
          </w:rPr>
          <w:fldChar w:fldCharType="end"/>
        </w:r>
      </w:hyperlink>
    </w:p>
    <w:p w14:paraId="7D19A1A4" w14:textId="23A1556E" w:rsidR="003B042F" w:rsidRDefault="003B042F">
      <w:pPr>
        <w:pStyle w:val="TOC4"/>
        <w:rPr>
          <w:rFonts w:asciiTheme="minorHAnsi" w:eastAsiaTheme="minorEastAsia" w:hAnsiTheme="minorHAnsi"/>
          <w:noProof/>
          <w:sz w:val="22"/>
          <w:lang w:eastAsia="en-AU"/>
        </w:rPr>
      </w:pPr>
      <w:hyperlink w:anchor="_Toc175239002" w:history="1">
        <w:r w:rsidRPr="005871B3">
          <w:rPr>
            <w:rStyle w:val="Hyperlink"/>
            <w:noProof/>
          </w:rPr>
          <w:t>71.2—Minor indictable offence: Magistrates Court and Environment Resources and Development Court</w:t>
        </w:r>
        <w:r>
          <w:rPr>
            <w:noProof/>
            <w:webHidden/>
          </w:rPr>
          <w:tab/>
        </w:r>
        <w:r>
          <w:rPr>
            <w:noProof/>
            <w:webHidden/>
          </w:rPr>
          <w:fldChar w:fldCharType="begin"/>
        </w:r>
        <w:r>
          <w:rPr>
            <w:noProof/>
            <w:webHidden/>
          </w:rPr>
          <w:instrText xml:space="preserve"> PAGEREF _Toc175239002 \h </w:instrText>
        </w:r>
        <w:r>
          <w:rPr>
            <w:noProof/>
            <w:webHidden/>
          </w:rPr>
        </w:r>
        <w:r>
          <w:rPr>
            <w:noProof/>
            <w:webHidden/>
          </w:rPr>
          <w:fldChar w:fldCharType="separate"/>
        </w:r>
        <w:r w:rsidR="00FD06AB">
          <w:rPr>
            <w:noProof/>
            <w:webHidden/>
          </w:rPr>
          <w:t>110</w:t>
        </w:r>
        <w:r>
          <w:rPr>
            <w:noProof/>
            <w:webHidden/>
          </w:rPr>
          <w:fldChar w:fldCharType="end"/>
        </w:r>
      </w:hyperlink>
    </w:p>
    <w:p w14:paraId="5B5B00F8" w14:textId="4A6926FF" w:rsidR="003B042F" w:rsidRDefault="003B042F">
      <w:pPr>
        <w:pStyle w:val="TOC4"/>
        <w:rPr>
          <w:rFonts w:asciiTheme="minorHAnsi" w:eastAsiaTheme="minorEastAsia" w:hAnsiTheme="minorHAnsi"/>
          <w:noProof/>
          <w:sz w:val="22"/>
          <w:lang w:eastAsia="en-AU"/>
        </w:rPr>
      </w:pPr>
      <w:hyperlink w:anchor="_Toc175239003" w:history="1">
        <w:r w:rsidRPr="005871B3">
          <w:rPr>
            <w:rStyle w:val="Hyperlink"/>
            <w:noProof/>
          </w:rPr>
          <w:t>71.3—Indictable offence: Youth Court</w:t>
        </w:r>
        <w:r>
          <w:rPr>
            <w:noProof/>
            <w:webHidden/>
          </w:rPr>
          <w:tab/>
        </w:r>
        <w:r>
          <w:rPr>
            <w:noProof/>
            <w:webHidden/>
          </w:rPr>
          <w:fldChar w:fldCharType="begin"/>
        </w:r>
        <w:r>
          <w:rPr>
            <w:noProof/>
            <w:webHidden/>
          </w:rPr>
          <w:instrText xml:space="preserve"> PAGEREF _Toc175239003 \h </w:instrText>
        </w:r>
        <w:r>
          <w:rPr>
            <w:noProof/>
            <w:webHidden/>
          </w:rPr>
        </w:r>
        <w:r>
          <w:rPr>
            <w:noProof/>
            <w:webHidden/>
          </w:rPr>
          <w:fldChar w:fldCharType="separate"/>
        </w:r>
        <w:r w:rsidR="00FD06AB">
          <w:rPr>
            <w:noProof/>
            <w:webHidden/>
          </w:rPr>
          <w:t>110</w:t>
        </w:r>
        <w:r>
          <w:rPr>
            <w:noProof/>
            <w:webHidden/>
          </w:rPr>
          <w:fldChar w:fldCharType="end"/>
        </w:r>
      </w:hyperlink>
    </w:p>
    <w:p w14:paraId="4D41159E" w14:textId="79C8330E" w:rsidR="003B042F" w:rsidRDefault="003B042F">
      <w:pPr>
        <w:pStyle w:val="TOC3"/>
        <w:rPr>
          <w:rFonts w:asciiTheme="minorHAnsi" w:eastAsiaTheme="minorEastAsia" w:hAnsiTheme="minorHAnsi"/>
          <w:b w:val="0"/>
          <w:noProof/>
          <w:sz w:val="22"/>
          <w:lang w:eastAsia="en-AU"/>
        </w:rPr>
      </w:pPr>
      <w:hyperlink w:anchor="_Toc175239004" w:history="1">
        <w:r w:rsidRPr="005871B3">
          <w:rPr>
            <w:rStyle w:val="Hyperlink"/>
            <w:noProof/>
          </w:rPr>
          <w:t>Division 2—Election for trial or sentencing by Lower Court: Magistrates Court</w:t>
        </w:r>
        <w:r>
          <w:rPr>
            <w:noProof/>
            <w:webHidden/>
          </w:rPr>
          <w:tab/>
        </w:r>
        <w:r>
          <w:rPr>
            <w:noProof/>
            <w:webHidden/>
          </w:rPr>
          <w:fldChar w:fldCharType="begin"/>
        </w:r>
        <w:r>
          <w:rPr>
            <w:noProof/>
            <w:webHidden/>
          </w:rPr>
          <w:instrText xml:space="preserve"> PAGEREF _Toc175239004 \h </w:instrText>
        </w:r>
        <w:r>
          <w:rPr>
            <w:noProof/>
            <w:webHidden/>
          </w:rPr>
        </w:r>
        <w:r>
          <w:rPr>
            <w:noProof/>
            <w:webHidden/>
          </w:rPr>
          <w:fldChar w:fldCharType="separate"/>
        </w:r>
        <w:r w:rsidR="00FD06AB">
          <w:rPr>
            <w:noProof/>
            <w:webHidden/>
          </w:rPr>
          <w:t>111</w:t>
        </w:r>
        <w:r>
          <w:rPr>
            <w:noProof/>
            <w:webHidden/>
          </w:rPr>
          <w:fldChar w:fldCharType="end"/>
        </w:r>
      </w:hyperlink>
    </w:p>
    <w:p w14:paraId="54E71AF9" w14:textId="278B3856" w:rsidR="003B042F" w:rsidRDefault="003B042F">
      <w:pPr>
        <w:pStyle w:val="TOC4"/>
        <w:rPr>
          <w:rFonts w:asciiTheme="minorHAnsi" w:eastAsiaTheme="minorEastAsia" w:hAnsiTheme="minorHAnsi"/>
          <w:noProof/>
          <w:sz w:val="22"/>
          <w:lang w:eastAsia="en-AU"/>
        </w:rPr>
      </w:pPr>
      <w:hyperlink w:anchor="_Toc175239005" w:history="1">
        <w:r w:rsidRPr="005871B3">
          <w:rPr>
            <w:rStyle w:val="Hyperlink"/>
            <w:noProof/>
          </w:rPr>
          <w:t>72.1—Commonwealth minor indictable offence</w:t>
        </w:r>
        <w:r>
          <w:rPr>
            <w:noProof/>
            <w:webHidden/>
          </w:rPr>
          <w:tab/>
        </w:r>
        <w:r>
          <w:rPr>
            <w:noProof/>
            <w:webHidden/>
          </w:rPr>
          <w:fldChar w:fldCharType="begin"/>
        </w:r>
        <w:r>
          <w:rPr>
            <w:noProof/>
            <w:webHidden/>
          </w:rPr>
          <w:instrText xml:space="preserve"> PAGEREF _Toc175239005 \h </w:instrText>
        </w:r>
        <w:r>
          <w:rPr>
            <w:noProof/>
            <w:webHidden/>
          </w:rPr>
        </w:r>
        <w:r>
          <w:rPr>
            <w:noProof/>
            <w:webHidden/>
          </w:rPr>
          <w:fldChar w:fldCharType="separate"/>
        </w:r>
        <w:r w:rsidR="00FD06AB">
          <w:rPr>
            <w:noProof/>
            <w:webHidden/>
          </w:rPr>
          <w:t>111</w:t>
        </w:r>
        <w:r>
          <w:rPr>
            <w:noProof/>
            <w:webHidden/>
          </w:rPr>
          <w:fldChar w:fldCharType="end"/>
        </w:r>
      </w:hyperlink>
    </w:p>
    <w:p w14:paraId="4102B4B9" w14:textId="6005107C" w:rsidR="003B042F" w:rsidRDefault="003B042F">
      <w:pPr>
        <w:pStyle w:val="TOC4"/>
        <w:rPr>
          <w:rFonts w:asciiTheme="minorHAnsi" w:eastAsiaTheme="minorEastAsia" w:hAnsiTheme="minorHAnsi"/>
          <w:noProof/>
          <w:sz w:val="22"/>
          <w:lang w:eastAsia="en-AU"/>
        </w:rPr>
      </w:pPr>
      <w:hyperlink w:anchor="_Toc175239006" w:history="1">
        <w:r w:rsidRPr="005871B3">
          <w:rPr>
            <w:rStyle w:val="Hyperlink"/>
            <w:noProof/>
          </w:rPr>
          <w:t>72.2—Commonwealth indictable property offence</w:t>
        </w:r>
        <w:r>
          <w:rPr>
            <w:noProof/>
            <w:webHidden/>
          </w:rPr>
          <w:tab/>
        </w:r>
        <w:r>
          <w:rPr>
            <w:noProof/>
            <w:webHidden/>
          </w:rPr>
          <w:fldChar w:fldCharType="begin"/>
        </w:r>
        <w:r>
          <w:rPr>
            <w:noProof/>
            <w:webHidden/>
          </w:rPr>
          <w:instrText xml:space="preserve"> PAGEREF _Toc175239006 \h </w:instrText>
        </w:r>
        <w:r>
          <w:rPr>
            <w:noProof/>
            <w:webHidden/>
          </w:rPr>
        </w:r>
        <w:r>
          <w:rPr>
            <w:noProof/>
            <w:webHidden/>
          </w:rPr>
          <w:fldChar w:fldCharType="separate"/>
        </w:r>
        <w:r w:rsidR="00FD06AB">
          <w:rPr>
            <w:noProof/>
            <w:webHidden/>
          </w:rPr>
          <w:t>111</w:t>
        </w:r>
        <w:r>
          <w:rPr>
            <w:noProof/>
            <w:webHidden/>
          </w:rPr>
          <w:fldChar w:fldCharType="end"/>
        </w:r>
      </w:hyperlink>
    </w:p>
    <w:p w14:paraId="1FDBF720" w14:textId="31277718"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07" w:history="1">
        <w:r w:rsidRPr="005871B3">
          <w:rPr>
            <w:rStyle w:val="Hyperlink"/>
            <w:noProof/>
          </w:rPr>
          <w:t>Part 7—Election or order for trial or sentence by Higher Court</w:t>
        </w:r>
        <w:r>
          <w:rPr>
            <w:noProof/>
            <w:webHidden/>
          </w:rPr>
          <w:tab/>
        </w:r>
        <w:r>
          <w:rPr>
            <w:noProof/>
            <w:webHidden/>
          </w:rPr>
          <w:fldChar w:fldCharType="begin"/>
        </w:r>
        <w:r>
          <w:rPr>
            <w:noProof/>
            <w:webHidden/>
          </w:rPr>
          <w:instrText xml:space="preserve"> PAGEREF _Toc175239007 \h </w:instrText>
        </w:r>
        <w:r>
          <w:rPr>
            <w:noProof/>
            <w:webHidden/>
          </w:rPr>
        </w:r>
        <w:r>
          <w:rPr>
            <w:noProof/>
            <w:webHidden/>
          </w:rPr>
          <w:fldChar w:fldCharType="separate"/>
        </w:r>
        <w:r w:rsidR="00FD06AB">
          <w:rPr>
            <w:noProof/>
            <w:webHidden/>
          </w:rPr>
          <w:t>111</w:t>
        </w:r>
        <w:r>
          <w:rPr>
            <w:noProof/>
            <w:webHidden/>
          </w:rPr>
          <w:fldChar w:fldCharType="end"/>
        </w:r>
      </w:hyperlink>
    </w:p>
    <w:p w14:paraId="54A438E7" w14:textId="63B705F1" w:rsidR="003B042F" w:rsidRDefault="003B042F">
      <w:pPr>
        <w:pStyle w:val="TOC3"/>
        <w:rPr>
          <w:rFonts w:asciiTheme="minorHAnsi" w:eastAsiaTheme="minorEastAsia" w:hAnsiTheme="minorHAnsi"/>
          <w:b w:val="0"/>
          <w:noProof/>
          <w:sz w:val="22"/>
          <w:lang w:eastAsia="en-AU"/>
        </w:rPr>
      </w:pPr>
      <w:hyperlink w:anchor="_Toc175239008" w:history="1">
        <w:r w:rsidRPr="005871B3">
          <w:rPr>
            <w:rStyle w:val="Hyperlink"/>
            <w:noProof/>
          </w:rPr>
          <w:t>Division 1—Election for trial by Higher Court</w:t>
        </w:r>
        <w:r>
          <w:rPr>
            <w:noProof/>
            <w:webHidden/>
          </w:rPr>
          <w:tab/>
        </w:r>
        <w:r>
          <w:rPr>
            <w:noProof/>
            <w:webHidden/>
          </w:rPr>
          <w:fldChar w:fldCharType="begin"/>
        </w:r>
        <w:r>
          <w:rPr>
            <w:noProof/>
            <w:webHidden/>
          </w:rPr>
          <w:instrText xml:space="preserve"> PAGEREF _Toc175239008 \h </w:instrText>
        </w:r>
        <w:r>
          <w:rPr>
            <w:noProof/>
            <w:webHidden/>
          </w:rPr>
        </w:r>
        <w:r>
          <w:rPr>
            <w:noProof/>
            <w:webHidden/>
          </w:rPr>
          <w:fldChar w:fldCharType="separate"/>
        </w:r>
        <w:r w:rsidR="00FD06AB">
          <w:rPr>
            <w:noProof/>
            <w:webHidden/>
          </w:rPr>
          <w:t>111</w:t>
        </w:r>
        <w:r>
          <w:rPr>
            <w:noProof/>
            <w:webHidden/>
          </w:rPr>
          <w:fldChar w:fldCharType="end"/>
        </w:r>
      </w:hyperlink>
    </w:p>
    <w:p w14:paraId="3B27CB30" w14:textId="65411282" w:rsidR="003B042F" w:rsidRDefault="003B042F">
      <w:pPr>
        <w:pStyle w:val="TOC4"/>
        <w:rPr>
          <w:rFonts w:asciiTheme="minorHAnsi" w:eastAsiaTheme="minorEastAsia" w:hAnsiTheme="minorHAnsi"/>
          <w:noProof/>
          <w:sz w:val="22"/>
          <w:lang w:eastAsia="en-AU"/>
        </w:rPr>
      </w:pPr>
      <w:hyperlink w:anchor="_Toc175239009" w:history="1">
        <w:r w:rsidRPr="005871B3">
          <w:rPr>
            <w:rStyle w:val="Hyperlink"/>
            <w:noProof/>
          </w:rPr>
          <w:t>73.1—Minor indictable offence: Magistrates Court and Environment Resources and Development Court</w:t>
        </w:r>
        <w:r>
          <w:rPr>
            <w:noProof/>
            <w:webHidden/>
          </w:rPr>
          <w:tab/>
        </w:r>
        <w:r>
          <w:rPr>
            <w:noProof/>
            <w:webHidden/>
          </w:rPr>
          <w:fldChar w:fldCharType="begin"/>
        </w:r>
        <w:r>
          <w:rPr>
            <w:noProof/>
            <w:webHidden/>
          </w:rPr>
          <w:instrText xml:space="preserve"> PAGEREF _Toc175239009 \h </w:instrText>
        </w:r>
        <w:r>
          <w:rPr>
            <w:noProof/>
            <w:webHidden/>
          </w:rPr>
        </w:r>
        <w:r>
          <w:rPr>
            <w:noProof/>
            <w:webHidden/>
          </w:rPr>
          <w:fldChar w:fldCharType="separate"/>
        </w:r>
        <w:r w:rsidR="00FD06AB">
          <w:rPr>
            <w:noProof/>
            <w:webHidden/>
          </w:rPr>
          <w:t>111</w:t>
        </w:r>
        <w:r>
          <w:rPr>
            <w:noProof/>
            <w:webHidden/>
          </w:rPr>
          <w:fldChar w:fldCharType="end"/>
        </w:r>
      </w:hyperlink>
    </w:p>
    <w:p w14:paraId="00AABF0B" w14:textId="3B519AE6" w:rsidR="003B042F" w:rsidRDefault="003B042F">
      <w:pPr>
        <w:pStyle w:val="TOC3"/>
        <w:rPr>
          <w:rFonts w:asciiTheme="minorHAnsi" w:eastAsiaTheme="minorEastAsia" w:hAnsiTheme="minorHAnsi"/>
          <w:b w:val="0"/>
          <w:noProof/>
          <w:sz w:val="22"/>
          <w:lang w:eastAsia="en-AU"/>
        </w:rPr>
      </w:pPr>
      <w:hyperlink w:anchor="_Toc175239010" w:history="1">
        <w:r w:rsidRPr="005871B3">
          <w:rPr>
            <w:rStyle w:val="Hyperlink"/>
            <w:noProof/>
          </w:rPr>
          <w:t>Division 2—Election or order for trial or sentence by Higher Court</w:t>
        </w:r>
        <w:r>
          <w:rPr>
            <w:noProof/>
            <w:webHidden/>
          </w:rPr>
          <w:tab/>
        </w:r>
        <w:r>
          <w:rPr>
            <w:noProof/>
            <w:webHidden/>
          </w:rPr>
          <w:fldChar w:fldCharType="begin"/>
        </w:r>
        <w:r>
          <w:rPr>
            <w:noProof/>
            <w:webHidden/>
          </w:rPr>
          <w:instrText xml:space="preserve"> PAGEREF _Toc175239010 \h </w:instrText>
        </w:r>
        <w:r>
          <w:rPr>
            <w:noProof/>
            <w:webHidden/>
          </w:rPr>
        </w:r>
        <w:r>
          <w:rPr>
            <w:noProof/>
            <w:webHidden/>
          </w:rPr>
          <w:fldChar w:fldCharType="separate"/>
        </w:r>
        <w:r w:rsidR="00FD06AB">
          <w:rPr>
            <w:noProof/>
            <w:webHidden/>
          </w:rPr>
          <w:t>112</w:t>
        </w:r>
        <w:r>
          <w:rPr>
            <w:noProof/>
            <w:webHidden/>
          </w:rPr>
          <w:fldChar w:fldCharType="end"/>
        </w:r>
      </w:hyperlink>
    </w:p>
    <w:p w14:paraId="316FAADD" w14:textId="395B4843" w:rsidR="003B042F" w:rsidRDefault="003B042F">
      <w:pPr>
        <w:pStyle w:val="TOC4"/>
        <w:rPr>
          <w:rFonts w:asciiTheme="minorHAnsi" w:eastAsiaTheme="minorEastAsia" w:hAnsiTheme="minorHAnsi"/>
          <w:noProof/>
          <w:sz w:val="22"/>
          <w:lang w:eastAsia="en-AU"/>
        </w:rPr>
      </w:pPr>
      <w:hyperlink w:anchor="_Toc175239011" w:history="1">
        <w:r w:rsidRPr="005871B3">
          <w:rPr>
            <w:rStyle w:val="Hyperlink"/>
            <w:noProof/>
          </w:rPr>
          <w:t>74.1—Indictable offence: Youth Court</w:t>
        </w:r>
        <w:r>
          <w:rPr>
            <w:noProof/>
            <w:webHidden/>
          </w:rPr>
          <w:tab/>
        </w:r>
        <w:r>
          <w:rPr>
            <w:noProof/>
            <w:webHidden/>
          </w:rPr>
          <w:fldChar w:fldCharType="begin"/>
        </w:r>
        <w:r>
          <w:rPr>
            <w:noProof/>
            <w:webHidden/>
          </w:rPr>
          <w:instrText xml:space="preserve"> PAGEREF _Toc175239011 \h </w:instrText>
        </w:r>
        <w:r>
          <w:rPr>
            <w:noProof/>
            <w:webHidden/>
          </w:rPr>
        </w:r>
        <w:r>
          <w:rPr>
            <w:noProof/>
            <w:webHidden/>
          </w:rPr>
          <w:fldChar w:fldCharType="separate"/>
        </w:r>
        <w:r w:rsidR="00FD06AB">
          <w:rPr>
            <w:noProof/>
            <w:webHidden/>
          </w:rPr>
          <w:t>112</w:t>
        </w:r>
        <w:r>
          <w:rPr>
            <w:noProof/>
            <w:webHidden/>
          </w:rPr>
          <w:fldChar w:fldCharType="end"/>
        </w:r>
      </w:hyperlink>
    </w:p>
    <w:p w14:paraId="23FABE06" w14:textId="79ABF970"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12" w:history="1">
        <w:r w:rsidRPr="005871B3">
          <w:rPr>
            <w:rStyle w:val="Hyperlink"/>
            <w:noProof/>
          </w:rPr>
          <w:t>Part 8—Pre-trial disclosure of evidence</w:t>
        </w:r>
        <w:r>
          <w:rPr>
            <w:noProof/>
            <w:webHidden/>
          </w:rPr>
          <w:tab/>
        </w:r>
        <w:r>
          <w:rPr>
            <w:noProof/>
            <w:webHidden/>
          </w:rPr>
          <w:fldChar w:fldCharType="begin"/>
        </w:r>
        <w:r>
          <w:rPr>
            <w:noProof/>
            <w:webHidden/>
          </w:rPr>
          <w:instrText xml:space="preserve"> PAGEREF _Toc175239012 \h </w:instrText>
        </w:r>
        <w:r>
          <w:rPr>
            <w:noProof/>
            <w:webHidden/>
          </w:rPr>
        </w:r>
        <w:r>
          <w:rPr>
            <w:noProof/>
            <w:webHidden/>
          </w:rPr>
          <w:fldChar w:fldCharType="separate"/>
        </w:r>
        <w:r w:rsidR="00FD06AB">
          <w:rPr>
            <w:noProof/>
            <w:webHidden/>
          </w:rPr>
          <w:t>113</w:t>
        </w:r>
        <w:r>
          <w:rPr>
            <w:noProof/>
            <w:webHidden/>
          </w:rPr>
          <w:fldChar w:fldCharType="end"/>
        </w:r>
      </w:hyperlink>
    </w:p>
    <w:p w14:paraId="6558B412" w14:textId="2344CB57" w:rsidR="003B042F" w:rsidRDefault="003B042F">
      <w:pPr>
        <w:pStyle w:val="TOC4"/>
        <w:rPr>
          <w:rFonts w:asciiTheme="minorHAnsi" w:eastAsiaTheme="minorEastAsia" w:hAnsiTheme="minorHAnsi"/>
          <w:noProof/>
          <w:sz w:val="22"/>
          <w:lang w:eastAsia="en-AU"/>
        </w:rPr>
      </w:pPr>
      <w:hyperlink w:anchor="_Toc175239013" w:history="1">
        <w:r w:rsidRPr="005871B3">
          <w:rPr>
            <w:rStyle w:val="Hyperlink"/>
            <w:noProof/>
          </w:rPr>
          <w:t>75.1—Prosecution disclosure of evidentiary material</w:t>
        </w:r>
        <w:r>
          <w:rPr>
            <w:noProof/>
            <w:webHidden/>
          </w:rPr>
          <w:tab/>
        </w:r>
        <w:r>
          <w:rPr>
            <w:noProof/>
            <w:webHidden/>
          </w:rPr>
          <w:fldChar w:fldCharType="begin"/>
        </w:r>
        <w:r>
          <w:rPr>
            <w:noProof/>
            <w:webHidden/>
          </w:rPr>
          <w:instrText xml:space="preserve"> PAGEREF _Toc175239013 \h </w:instrText>
        </w:r>
        <w:r>
          <w:rPr>
            <w:noProof/>
            <w:webHidden/>
          </w:rPr>
        </w:r>
        <w:r>
          <w:rPr>
            <w:noProof/>
            <w:webHidden/>
          </w:rPr>
          <w:fldChar w:fldCharType="separate"/>
        </w:r>
        <w:r w:rsidR="00FD06AB">
          <w:rPr>
            <w:noProof/>
            <w:webHidden/>
          </w:rPr>
          <w:t>113</w:t>
        </w:r>
        <w:r>
          <w:rPr>
            <w:noProof/>
            <w:webHidden/>
          </w:rPr>
          <w:fldChar w:fldCharType="end"/>
        </w:r>
      </w:hyperlink>
    </w:p>
    <w:p w14:paraId="17010E77" w14:textId="38707FBD" w:rsidR="003B042F" w:rsidRDefault="003B042F">
      <w:pPr>
        <w:pStyle w:val="TOC4"/>
        <w:rPr>
          <w:rFonts w:asciiTheme="minorHAnsi" w:eastAsiaTheme="minorEastAsia" w:hAnsiTheme="minorHAnsi"/>
          <w:noProof/>
          <w:sz w:val="22"/>
          <w:lang w:eastAsia="en-AU"/>
        </w:rPr>
      </w:pPr>
      <w:hyperlink w:anchor="_Toc175239014" w:history="1">
        <w:r w:rsidRPr="005871B3">
          <w:rPr>
            <w:rStyle w:val="Hyperlink"/>
            <w:noProof/>
          </w:rPr>
          <w:t>75.2—Discreditable conduct evidence</w:t>
        </w:r>
        <w:r>
          <w:rPr>
            <w:noProof/>
            <w:webHidden/>
          </w:rPr>
          <w:tab/>
        </w:r>
        <w:r>
          <w:rPr>
            <w:noProof/>
            <w:webHidden/>
          </w:rPr>
          <w:fldChar w:fldCharType="begin"/>
        </w:r>
        <w:r>
          <w:rPr>
            <w:noProof/>
            <w:webHidden/>
          </w:rPr>
          <w:instrText xml:space="preserve"> PAGEREF _Toc175239014 \h </w:instrText>
        </w:r>
        <w:r>
          <w:rPr>
            <w:noProof/>
            <w:webHidden/>
          </w:rPr>
        </w:r>
        <w:r>
          <w:rPr>
            <w:noProof/>
            <w:webHidden/>
          </w:rPr>
          <w:fldChar w:fldCharType="separate"/>
        </w:r>
        <w:r w:rsidR="00FD06AB">
          <w:rPr>
            <w:noProof/>
            <w:webHidden/>
          </w:rPr>
          <w:t>114</w:t>
        </w:r>
        <w:r>
          <w:rPr>
            <w:noProof/>
            <w:webHidden/>
          </w:rPr>
          <w:fldChar w:fldCharType="end"/>
        </w:r>
      </w:hyperlink>
    </w:p>
    <w:p w14:paraId="1E94A707" w14:textId="318637C6" w:rsidR="003B042F" w:rsidRDefault="003B042F">
      <w:pPr>
        <w:pStyle w:val="TOC4"/>
        <w:rPr>
          <w:rFonts w:asciiTheme="minorHAnsi" w:eastAsiaTheme="minorEastAsia" w:hAnsiTheme="minorHAnsi"/>
          <w:noProof/>
          <w:sz w:val="22"/>
          <w:lang w:eastAsia="en-AU"/>
        </w:rPr>
      </w:pPr>
      <w:hyperlink w:anchor="_Toc175239015" w:history="1">
        <w:r w:rsidRPr="005871B3">
          <w:rPr>
            <w:rStyle w:val="Hyperlink"/>
            <w:noProof/>
          </w:rPr>
          <w:t>75.3—Expert evidence</w:t>
        </w:r>
        <w:r>
          <w:rPr>
            <w:noProof/>
            <w:webHidden/>
          </w:rPr>
          <w:tab/>
        </w:r>
        <w:r>
          <w:rPr>
            <w:noProof/>
            <w:webHidden/>
          </w:rPr>
          <w:fldChar w:fldCharType="begin"/>
        </w:r>
        <w:r>
          <w:rPr>
            <w:noProof/>
            <w:webHidden/>
          </w:rPr>
          <w:instrText xml:space="preserve"> PAGEREF _Toc175239015 \h </w:instrText>
        </w:r>
        <w:r>
          <w:rPr>
            <w:noProof/>
            <w:webHidden/>
          </w:rPr>
        </w:r>
        <w:r>
          <w:rPr>
            <w:noProof/>
            <w:webHidden/>
          </w:rPr>
          <w:fldChar w:fldCharType="separate"/>
        </w:r>
        <w:r w:rsidR="00FD06AB">
          <w:rPr>
            <w:noProof/>
            <w:webHidden/>
          </w:rPr>
          <w:t>114</w:t>
        </w:r>
        <w:r>
          <w:rPr>
            <w:noProof/>
            <w:webHidden/>
          </w:rPr>
          <w:fldChar w:fldCharType="end"/>
        </w:r>
      </w:hyperlink>
    </w:p>
    <w:p w14:paraId="47D86912" w14:textId="47D31FB8" w:rsidR="003B042F" w:rsidRDefault="003B042F">
      <w:pPr>
        <w:pStyle w:val="TOC4"/>
        <w:rPr>
          <w:rFonts w:asciiTheme="minorHAnsi" w:eastAsiaTheme="minorEastAsia" w:hAnsiTheme="minorHAnsi"/>
          <w:noProof/>
          <w:sz w:val="22"/>
          <w:lang w:eastAsia="en-AU"/>
        </w:rPr>
      </w:pPr>
      <w:hyperlink w:anchor="_Toc175239016" w:history="1">
        <w:r w:rsidRPr="005871B3">
          <w:rPr>
            <w:rStyle w:val="Hyperlink"/>
            <w:noProof/>
          </w:rPr>
          <w:t>75.4—Alibi evidence</w:t>
        </w:r>
        <w:r>
          <w:rPr>
            <w:noProof/>
            <w:webHidden/>
          </w:rPr>
          <w:tab/>
        </w:r>
        <w:r>
          <w:rPr>
            <w:noProof/>
            <w:webHidden/>
          </w:rPr>
          <w:fldChar w:fldCharType="begin"/>
        </w:r>
        <w:r>
          <w:rPr>
            <w:noProof/>
            <w:webHidden/>
          </w:rPr>
          <w:instrText xml:space="preserve"> PAGEREF _Toc175239016 \h </w:instrText>
        </w:r>
        <w:r>
          <w:rPr>
            <w:noProof/>
            <w:webHidden/>
          </w:rPr>
        </w:r>
        <w:r>
          <w:rPr>
            <w:noProof/>
            <w:webHidden/>
          </w:rPr>
          <w:fldChar w:fldCharType="separate"/>
        </w:r>
        <w:r w:rsidR="00FD06AB">
          <w:rPr>
            <w:noProof/>
            <w:webHidden/>
          </w:rPr>
          <w:t>115</w:t>
        </w:r>
        <w:r>
          <w:rPr>
            <w:noProof/>
            <w:webHidden/>
          </w:rPr>
          <w:fldChar w:fldCharType="end"/>
        </w:r>
      </w:hyperlink>
    </w:p>
    <w:p w14:paraId="5443B3DA" w14:textId="5A4897FB" w:rsidR="003B042F" w:rsidRDefault="003B042F">
      <w:pPr>
        <w:pStyle w:val="TOC4"/>
        <w:rPr>
          <w:rFonts w:asciiTheme="minorHAnsi" w:eastAsiaTheme="minorEastAsia" w:hAnsiTheme="minorHAnsi"/>
          <w:noProof/>
          <w:sz w:val="22"/>
          <w:lang w:eastAsia="en-AU"/>
        </w:rPr>
      </w:pPr>
      <w:hyperlink w:anchor="_Toc175239017" w:history="1">
        <w:r w:rsidRPr="005871B3">
          <w:rPr>
            <w:rStyle w:val="Hyperlink"/>
            <w:noProof/>
          </w:rPr>
          <w:t>75.5—Other evidence: Magistrates Court and Environment Resources and Development Court</w:t>
        </w:r>
        <w:r>
          <w:rPr>
            <w:noProof/>
            <w:webHidden/>
          </w:rPr>
          <w:tab/>
        </w:r>
        <w:r>
          <w:rPr>
            <w:noProof/>
            <w:webHidden/>
          </w:rPr>
          <w:fldChar w:fldCharType="begin"/>
        </w:r>
        <w:r>
          <w:rPr>
            <w:noProof/>
            <w:webHidden/>
          </w:rPr>
          <w:instrText xml:space="preserve"> PAGEREF _Toc175239017 \h </w:instrText>
        </w:r>
        <w:r>
          <w:rPr>
            <w:noProof/>
            <w:webHidden/>
          </w:rPr>
        </w:r>
        <w:r>
          <w:rPr>
            <w:noProof/>
            <w:webHidden/>
          </w:rPr>
          <w:fldChar w:fldCharType="separate"/>
        </w:r>
        <w:r w:rsidR="00FD06AB">
          <w:rPr>
            <w:noProof/>
            <w:webHidden/>
          </w:rPr>
          <w:t>115</w:t>
        </w:r>
        <w:r>
          <w:rPr>
            <w:noProof/>
            <w:webHidden/>
          </w:rPr>
          <w:fldChar w:fldCharType="end"/>
        </w:r>
      </w:hyperlink>
    </w:p>
    <w:p w14:paraId="445783A4" w14:textId="1FA009A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18" w:history="1">
        <w:r w:rsidRPr="005871B3">
          <w:rPr>
            <w:rStyle w:val="Hyperlink"/>
            <w:noProof/>
          </w:rPr>
          <w:t>Part 9—Pre-trial conferral and listing for trial</w:t>
        </w:r>
        <w:r>
          <w:rPr>
            <w:noProof/>
            <w:webHidden/>
          </w:rPr>
          <w:tab/>
        </w:r>
        <w:r>
          <w:rPr>
            <w:noProof/>
            <w:webHidden/>
          </w:rPr>
          <w:fldChar w:fldCharType="begin"/>
        </w:r>
        <w:r>
          <w:rPr>
            <w:noProof/>
            <w:webHidden/>
          </w:rPr>
          <w:instrText xml:space="preserve"> PAGEREF _Toc175239018 \h </w:instrText>
        </w:r>
        <w:r>
          <w:rPr>
            <w:noProof/>
            <w:webHidden/>
          </w:rPr>
        </w:r>
        <w:r>
          <w:rPr>
            <w:noProof/>
            <w:webHidden/>
          </w:rPr>
          <w:fldChar w:fldCharType="separate"/>
        </w:r>
        <w:r w:rsidR="00FD06AB">
          <w:rPr>
            <w:noProof/>
            <w:webHidden/>
          </w:rPr>
          <w:t>116</w:t>
        </w:r>
        <w:r>
          <w:rPr>
            <w:noProof/>
            <w:webHidden/>
          </w:rPr>
          <w:fldChar w:fldCharType="end"/>
        </w:r>
      </w:hyperlink>
    </w:p>
    <w:p w14:paraId="6C62156C" w14:textId="5FDB1BA2" w:rsidR="003B042F" w:rsidRDefault="003B042F">
      <w:pPr>
        <w:pStyle w:val="TOC4"/>
        <w:rPr>
          <w:rFonts w:asciiTheme="minorHAnsi" w:eastAsiaTheme="minorEastAsia" w:hAnsiTheme="minorHAnsi"/>
          <w:noProof/>
          <w:sz w:val="22"/>
          <w:lang w:eastAsia="en-AU"/>
        </w:rPr>
      </w:pPr>
      <w:hyperlink w:anchor="_Toc175239019" w:history="1">
        <w:r w:rsidRPr="005871B3">
          <w:rPr>
            <w:rStyle w:val="Hyperlink"/>
            <w:noProof/>
          </w:rPr>
          <w:t>76.1—Disclosure by prosecution</w:t>
        </w:r>
        <w:r>
          <w:rPr>
            <w:noProof/>
            <w:webHidden/>
          </w:rPr>
          <w:tab/>
        </w:r>
        <w:r>
          <w:rPr>
            <w:noProof/>
            <w:webHidden/>
          </w:rPr>
          <w:fldChar w:fldCharType="begin"/>
        </w:r>
        <w:r>
          <w:rPr>
            <w:noProof/>
            <w:webHidden/>
          </w:rPr>
          <w:instrText xml:space="preserve"> PAGEREF _Toc175239019 \h </w:instrText>
        </w:r>
        <w:r>
          <w:rPr>
            <w:noProof/>
            <w:webHidden/>
          </w:rPr>
        </w:r>
        <w:r>
          <w:rPr>
            <w:noProof/>
            <w:webHidden/>
          </w:rPr>
          <w:fldChar w:fldCharType="separate"/>
        </w:r>
        <w:r w:rsidR="00FD06AB">
          <w:rPr>
            <w:noProof/>
            <w:webHidden/>
          </w:rPr>
          <w:t>116</w:t>
        </w:r>
        <w:r>
          <w:rPr>
            <w:noProof/>
            <w:webHidden/>
          </w:rPr>
          <w:fldChar w:fldCharType="end"/>
        </w:r>
      </w:hyperlink>
    </w:p>
    <w:p w14:paraId="09DCD131" w14:textId="280A2C11" w:rsidR="003B042F" w:rsidRDefault="003B042F">
      <w:pPr>
        <w:pStyle w:val="TOC4"/>
        <w:rPr>
          <w:rFonts w:asciiTheme="minorHAnsi" w:eastAsiaTheme="minorEastAsia" w:hAnsiTheme="minorHAnsi"/>
          <w:noProof/>
          <w:sz w:val="22"/>
          <w:lang w:eastAsia="en-AU"/>
        </w:rPr>
      </w:pPr>
      <w:hyperlink w:anchor="_Toc175239020" w:history="1">
        <w:r w:rsidRPr="005871B3">
          <w:rPr>
            <w:rStyle w:val="Hyperlink"/>
            <w:noProof/>
          </w:rPr>
          <w:t>76.2—Conferral by parties</w:t>
        </w:r>
        <w:r>
          <w:rPr>
            <w:noProof/>
            <w:webHidden/>
          </w:rPr>
          <w:tab/>
        </w:r>
        <w:r>
          <w:rPr>
            <w:noProof/>
            <w:webHidden/>
          </w:rPr>
          <w:fldChar w:fldCharType="begin"/>
        </w:r>
        <w:r>
          <w:rPr>
            <w:noProof/>
            <w:webHidden/>
          </w:rPr>
          <w:instrText xml:space="preserve"> PAGEREF _Toc175239020 \h </w:instrText>
        </w:r>
        <w:r>
          <w:rPr>
            <w:noProof/>
            <w:webHidden/>
          </w:rPr>
        </w:r>
        <w:r>
          <w:rPr>
            <w:noProof/>
            <w:webHidden/>
          </w:rPr>
          <w:fldChar w:fldCharType="separate"/>
        </w:r>
        <w:r w:rsidR="00FD06AB">
          <w:rPr>
            <w:noProof/>
            <w:webHidden/>
          </w:rPr>
          <w:t>116</w:t>
        </w:r>
        <w:r>
          <w:rPr>
            <w:noProof/>
            <w:webHidden/>
          </w:rPr>
          <w:fldChar w:fldCharType="end"/>
        </w:r>
      </w:hyperlink>
    </w:p>
    <w:p w14:paraId="7751E923" w14:textId="7B53F263" w:rsidR="003B042F" w:rsidRDefault="003B042F">
      <w:pPr>
        <w:pStyle w:val="TOC4"/>
        <w:rPr>
          <w:rFonts w:asciiTheme="minorHAnsi" w:eastAsiaTheme="minorEastAsia" w:hAnsiTheme="minorHAnsi"/>
          <w:noProof/>
          <w:sz w:val="22"/>
          <w:lang w:eastAsia="en-AU"/>
        </w:rPr>
      </w:pPr>
      <w:hyperlink w:anchor="_Toc175239021" w:history="1">
        <w:r w:rsidRPr="005871B3">
          <w:rPr>
            <w:rStyle w:val="Hyperlink"/>
            <w:noProof/>
          </w:rPr>
          <w:t>76.3—Pre-trial conference</w:t>
        </w:r>
        <w:r>
          <w:rPr>
            <w:noProof/>
            <w:webHidden/>
          </w:rPr>
          <w:tab/>
        </w:r>
        <w:r>
          <w:rPr>
            <w:noProof/>
            <w:webHidden/>
          </w:rPr>
          <w:fldChar w:fldCharType="begin"/>
        </w:r>
        <w:r>
          <w:rPr>
            <w:noProof/>
            <w:webHidden/>
          </w:rPr>
          <w:instrText xml:space="preserve"> PAGEREF _Toc175239021 \h </w:instrText>
        </w:r>
        <w:r>
          <w:rPr>
            <w:noProof/>
            <w:webHidden/>
          </w:rPr>
        </w:r>
        <w:r>
          <w:rPr>
            <w:noProof/>
            <w:webHidden/>
          </w:rPr>
          <w:fldChar w:fldCharType="separate"/>
        </w:r>
        <w:r w:rsidR="00FD06AB">
          <w:rPr>
            <w:noProof/>
            <w:webHidden/>
          </w:rPr>
          <w:t>117</w:t>
        </w:r>
        <w:r>
          <w:rPr>
            <w:noProof/>
            <w:webHidden/>
          </w:rPr>
          <w:fldChar w:fldCharType="end"/>
        </w:r>
      </w:hyperlink>
    </w:p>
    <w:p w14:paraId="1C69E797" w14:textId="70259EC8" w:rsidR="003B042F" w:rsidRDefault="003B042F">
      <w:pPr>
        <w:pStyle w:val="TOC4"/>
        <w:rPr>
          <w:rFonts w:asciiTheme="minorHAnsi" w:eastAsiaTheme="minorEastAsia" w:hAnsiTheme="minorHAnsi"/>
          <w:noProof/>
          <w:sz w:val="22"/>
          <w:lang w:eastAsia="en-AU"/>
        </w:rPr>
      </w:pPr>
      <w:hyperlink w:anchor="_Toc175239022" w:history="1">
        <w:r w:rsidRPr="005871B3">
          <w:rPr>
            <w:rStyle w:val="Hyperlink"/>
            <w:noProof/>
          </w:rPr>
          <w:t>76.4—Listing for trial</w:t>
        </w:r>
        <w:r>
          <w:rPr>
            <w:noProof/>
            <w:webHidden/>
          </w:rPr>
          <w:tab/>
        </w:r>
        <w:r>
          <w:rPr>
            <w:noProof/>
            <w:webHidden/>
          </w:rPr>
          <w:fldChar w:fldCharType="begin"/>
        </w:r>
        <w:r>
          <w:rPr>
            <w:noProof/>
            <w:webHidden/>
          </w:rPr>
          <w:instrText xml:space="preserve"> PAGEREF _Toc175239022 \h </w:instrText>
        </w:r>
        <w:r>
          <w:rPr>
            <w:noProof/>
            <w:webHidden/>
          </w:rPr>
        </w:r>
        <w:r>
          <w:rPr>
            <w:noProof/>
            <w:webHidden/>
          </w:rPr>
          <w:fldChar w:fldCharType="separate"/>
        </w:r>
        <w:r w:rsidR="00FD06AB">
          <w:rPr>
            <w:noProof/>
            <w:webHidden/>
          </w:rPr>
          <w:t>117</w:t>
        </w:r>
        <w:r>
          <w:rPr>
            <w:noProof/>
            <w:webHidden/>
          </w:rPr>
          <w:fldChar w:fldCharType="end"/>
        </w:r>
      </w:hyperlink>
    </w:p>
    <w:p w14:paraId="25E659B5" w14:textId="0F75937F" w:rsidR="003B042F" w:rsidRDefault="003B042F">
      <w:pPr>
        <w:pStyle w:val="TOC4"/>
        <w:rPr>
          <w:rFonts w:asciiTheme="minorHAnsi" w:eastAsiaTheme="minorEastAsia" w:hAnsiTheme="minorHAnsi"/>
          <w:noProof/>
          <w:sz w:val="22"/>
          <w:lang w:eastAsia="en-AU"/>
        </w:rPr>
      </w:pPr>
      <w:hyperlink w:anchor="_Toc175239023" w:history="1">
        <w:r w:rsidRPr="005871B3">
          <w:rPr>
            <w:rStyle w:val="Hyperlink"/>
            <w:noProof/>
          </w:rPr>
          <w:t>76.5—Costs</w:t>
        </w:r>
        <w:r>
          <w:rPr>
            <w:noProof/>
            <w:webHidden/>
          </w:rPr>
          <w:tab/>
        </w:r>
        <w:r>
          <w:rPr>
            <w:noProof/>
            <w:webHidden/>
          </w:rPr>
          <w:fldChar w:fldCharType="begin"/>
        </w:r>
        <w:r>
          <w:rPr>
            <w:noProof/>
            <w:webHidden/>
          </w:rPr>
          <w:instrText xml:space="preserve"> PAGEREF _Toc175239023 \h </w:instrText>
        </w:r>
        <w:r>
          <w:rPr>
            <w:noProof/>
            <w:webHidden/>
          </w:rPr>
        </w:r>
        <w:r>
          <w:rPr>
            <w:noProof/>
            <w:webHidden/>
          </w:rPr>
          <w:fldChar w:fldCharType="separate"/>
        </w:r>
        <w:r w:rsidR="00FD06AB">
          <w:rPr>
            <w:noProof/>
            <w:webHidden/>
          </w:rPr>
          <w:t>118</w:t>
        </w:r>
        <w:r>
          <w:rPr>
            <w:noProof/>
            <w:webHidden/>
          </w:rPr>
          <w:fldChar w:fldCharType="end"/>
        </w:r>
      </w:hyperlink>
    </w:p>
    <w:p w14:paraId="110C4408" w14:textId="4BF693A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24" w:history="1">
        <w:r w:rsidRPr="005871B3">
          <w:rPr>
            <w:rStyle w:val="Hyperlink"/>
            <w:noProof/>
          </w:rPr>
          <w:t>Part 10—Pre-trial directions hearings</w:t>
        </w:r>
        <w:r>
          <w:rPr>
            <w:noProof/>
            <w:webHidden/>
          </w:rPr>
          <w:tab/>
        </w:r>
        <w:r>
          <w:rPr>
            <w:noProof/>
            <w:webHidden/>
          </w:rPr>
          <w:fldChar w:fldCharType="begin"/>
        </w:r>
        <w:r>
          <w:rPr>
            <w:noProof/>
            <w:webHidden/>
          </w:rPr>
          <w:instrText xml:space="preserve"> PAGEREF _Toc175239024 \h </w:instrText>
        </w:r>
        <w:r>
          <w:rPr>
            <w:noProof/>
            <w:webHidden/>
          </w:rPr>
        </w:r>
        <w:r>
          <w:rPr>
            <w:noProof/>
            <w:webHidden/>
          </w:rPr>
          <w:fldChar w:fldCharType="separate"/>
        </w:r>
        <w:r w:rsidR="00FD06AB">
          <w:rPr>
            <w:noProof/>
            <w:webHidden/>
          </w:rPr>
          <w:t>118</w:t>
        </w:r>
        <w:r>
          <w:rPr>
            <w:noProof/>
            <w:webHidden/>
          </w:rPr>
          <w:fldChar w:fldCharType="end"/>
        </w:r>
      </w:hyperlink>
    </w:p>
    <w:p w14:paraId="1E9AA121" w14:textId="0B72C156" w:rsidR="003B042F" w:rsidRDefault="003B042F">
      <w:pPr>
        <w:pStyle w:val="TOC4"/>
        <w:rPr>
          <w:rFonts w:asciiTheme="minorHAnsi" w:eastAsiaTheme="minorEastAsia" w:hAnsiTheme="minorHAnsi"/>
          <w:noProof/>
          <w:sz w:val="22"/>
          <w:lang w:eastAsia="en-AU"/>
        </w:rPr>
      </w:pPr>
      <w:hyperlink w:anchor="_Toc175239025" w:history="1">
        <w:r w:rsidRPr="005871B3">
          <w:rPr>
            <w:rStyle w:val="Hyperlink"/>
            <w:noProof/>
          </w:rPr>
          <w:t>77.1—Convening pre-trial directions hearing</w:t>
        </w:r>
        <w:r>
          <w:rPr>
            <w:noProof/>
            <w:webHidden/>
          </w:rPr>
          <w:tab/>
        </w:r>
        <w:r>
          <w:rPr>
            <w:noProof/>
            <w:webHidden/>
          </w:rPr>
          <w:fldChar w:fldCharType="begin"/>
        </w:r>
        <w:r>
          <w:rPr>
            <w:noProof/>
            <w:webHidden/>
          </w:rPr>
          <w:instrText xml:space="preserve"> PAGEREF _Toc175239025 \h </w:instrText>
        </w:r>
        <w:r>
          <w:rPr>
            <w:noProof/>
            <w:webHidden/>
          </w:rPr>
        </w:r>
        <w:r>
          <w:rPr>
            <w:noProof/>
            <w:webHidden/>
          </w:rPr>
          <w:fldChar w:fldCharType="separate"/>
        </w:r>
        <w:r w:rsidR="00FD06AB">
          <w:rPr>
            <w:noProof/>
            <w:webHidden/>
          </w:rPr>
          <w:t>118</w:t>
        </w:r>
        <w:r>
          <w:rPr>
            <w:noProof/>
            <w:webHidden/>
          </w:rPr>
          <w:fldChar w:fldCharType="end"/>
        </w:r>
      </w:hyperlink>
    </w:p>
    <w:p w14:paraId="2D2427A3" w14:textId="720405E5" w:rsidR="003B042F" w:rsidRDefault="003B042F">
      <w:pPr>
        <w:pStyle w:val="TOC4"/>
        <w:rPr>
          <w:rFonts w:asciiTheme="minorHAnsi" w:eastAsiaTheme="minorEastAsia" w:hAnsiTheme="minorHAnsi"/>
          <w:noProof/>
          <w:sz w:val="22"/>
          <w:lang w:eastAsia="en-AU"/>
        </w:rPr>
      </w:pPr>
      <w:hyperlink w:anchor="_Toc175239026" w:history="1">
        <w:r w:rsidRPr="005871B3">
          <w:rPr>
            <w:rStyle w:val="Hyperlink"/>
            <w:noProof/>
          </w:rPr>
          <w:t>77.2—Proceedings at pre-trial directions hearing</w:t>
        </w:r>
        <w:r>
          <w:rPr>
            <w:noProof/>
            <w:webHidden/>
          </w:rPr>
          <w:tab/>
        </w:r>
        <w:r>
          <w:rPr>
            <w:noProof/>
            <w:webHidden/>
          </w:rPr>
          <w:fldChar w:fldCharType="begin"/>
        </w:r>
        <w:r>
          <w:rPr>
            <w:noProof/>
            <w:webHidden/>
          </w:rPr>
          <w:instrText xml:space="preserve"> PAGEREF _Toc175239026 \h </w:instrText>
        </w:r>
        <w:r>
          <w:rPr>
            <w:noProof/>
            <w:webHidden/>
          </w:rPr>
        </w:r>
        <w:r>
          <w:rPr>
            <w:noProof/>
            <w:webHidden/>
          </w:rPr>
          <w:fldChar w:fldCharType="separate"/>
        </w:r>
        <w:r w:rsidR="00FD06AB">
          <w:rPr>
            <w:noProof/>
            <w:webHidden/>
          </w:rPr>
          <w:t>118</w:t>
        </w:r>
        <w:r>
          <w:rPr>
            <w:noProof/>
            <w:webHidden/>
          </w:rPr>
          <w:fldChar w:fldCharType="end"/>
        </w:r>
      </w:hyperlink>
    </w:p>
    <w:p w14:paraId="5F1157FA" w14:textId="389B94E8"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027" w:history="1">
        <w:r w:rsidRPr="005871B3">
          <w:rPr>
            <w:rStyle w:val="Hyperlink"/>
            <w:noProof/>
          </w:rPr>
          <w:t>Chapter 4—Committal proceedings in Lower Courts</w:t>
        </w:r>
        <w:r>
          <w:rPr>
            <w:noProof/>
            <w:webHidden/>
          </w:rPr>
          <w:tab/>
        </w:r>
        <w:r>
          <w:rPr>
            <w:noProof/>
            <w:webHidden/>
          </w:rPr>
          <w:fldChar w:fldCharType="begin"/>
        </w:r>
        <w:r>
          <w:rPr>
            <w:noProof/>
            <w:webHidden/>
          </w:rPr>
          <w:instrText xml:space="preserve"> PAGEREF _Toc175239027 \h </w:instrText>
        </w:r>
        <w:r>
          <w:rPr>
            <w:noProof/>
            <w:webHidden/>
          </w:rPr>
        </w:r>
        <w:r>
          <w:rPr>
            <w:noProof/>
            <w:webHidden/>
          </w:rPr>
          <w:fldChar w:fldCharType="separate"/>
        </w:r>
        <w:r w:rsidR="00FD06AB">
          <w:rPr>
            <w:noProof/>
            <w:webHidden/>
          </w:rPr>
          <w:t>119</w:t>
        </w:r>
        <w:r>
          <w:rPr>
            <w:noProof/>
            <w:webHidden/>
          </w:rPr>
          <w:fldChar w:fldCharType="end"/>
        </w:r>
      </w:hyperlink>
    </w:p>
    <w:p w14:paraId="376901C4" w14:textId="44998F53"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28" w:history="1">
        <w:r w:rsidRPr="005871B3">
          <w:rPr>
            <w:rStyle w:val="Hyperlink"/>
            <w:noProof/>
          </w:rPr>
          <w:t>Part 1—Scope of Chapter</w:t>
        </w:r>
        <w:r>
          <w:rPr>
            <w:noProof/>
            <w:webHidden/>
          </w:rPr>
          <w:tab/>
        </w:r>
        <w:r>
          <w:rPr>
            <w:noProof/>
            <w:webHidden/>
          </w:rPr>
          <w:fldChar w:fldCharType="begin"/>
        </w:r>
        <w:r>
          <w:rPr>
            <w:noProof/>
            <w:webHidden/>
          </w:rPr>
          <w:instrText xml:space="preserve"> PAGEREF _Toc175239028 \h </w:instrText>
        </w:r>
        <w:r>
          <w:rPr>
            <w:noProof/>
            <w:webHidden/>
          </w:rPr>
        </w:r>
        <w:r>
          <w:rPr>
            <w:noProof/>
            <w:webHidden/>
          </w:rPr>
          <w:fldChar w:fldCharType="separate"/>
        </w:r>
        <w:r w:rsidR="00FD06AB">
          <w:rPr>
            <w:noProof/>
            <w:webHidden/>
          </w:rPr>
          <w:t>119</w:t>
        </w:r>
        <w:r>
          <w:rPr>
            <w:noProof/>
            <w:webHidden/>
          </w:rPr>
          <w:fldChar w:fldCharType="end"/>
        </w:r>
      </w:hyperlink>
    </w:p>
    <w:p w14:paraId="52757DEA" w14:textId="21B2BE8F" w:rsidR="003B042F" w:rsidRDefault="003B042F">
      <w:pPr>
        <w:pStyle w:val="TOC4"/>
        <w:rPr>
          <w:rFonts w:asciiTheme="minorHAnsi" w:eastAsiaTheme="minorEastAsia" w:hAnsiTheme="minorHAnsi"/>
          <w:noProof/>
          <w:sz w:val="22"/>
          <w:lang w:eastAsia="en-AU"/>
        </w:rPr>
      </w:pPr>
      <w:hyperlink w:anchor="_Toc175239029" w:history="1">
        <w:r w:rsidRPr="005871B3">
          <w:rPr>
            <w:rStyle w:val="Hyperlink"/>
            <w:noProof/>
          </w:rPr>
          <w:t>81.1—Scope</w:t>
        </w:r>
        <w:r>
          <w:rPr>
            <w:noProof/>
            <w:webHidden/>
          </w:rPr>
          <w:tab/>
        </w:r>
        <w:r>
          <w:rPr>
            <w:noProof/>
            <w:webHidden/>
          </w:rPr>
          <w:fldChar w:fldCharType="begin"/>
        </w:r>
        <w:r>
          <w:rPr>
            <w:noProof/>
            <w:webHidden/>
          </w:rPr>
          <w:instrText xml:space="preserve"> PAGEREF _Toc175239029 \h </w:instrText>
        </w:r>
        <w:r>
          <w:rPr>
            <w:noProof/>
            <w:webHidden/>
          </w:rPr>
        </w:r>
        <w:r>
          <w:rPr>
            <w:noProof/>
            <w:webHidden/>
          </w:rPr>
          <w:fldChar w:fldCharType="separate"/>
        </w:r>
        <w:r w:rsidR="00FD06AB">
          <w:rPr>
            <w:noProof/>
            <w:webHidden/>
          </w:rPr>
          <w:t>119</w:t>
        </w:r>
        <w:r>
          <w:rPr>
            <w:noProof/>
            <w:webHidden/>
          </w:rPr>
          <w:fldChar w:fldCharType="end"/>
        </w:r>
      </w:hyperlink>
    </w:p>
    <w:p w14:paraId="006C5F51" w14:textId="363424B1"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30" w:history="1">
        <w:r w:rsidRPr="005871B3">
          <w:rPr>
            <w:rStyle w:val="Hyperlink"/>
            <w:noProof/>
          </w:rPr>
          <w:t>Part 2—Evidentiary material brief</w:t>
        </w:r>
        <w:r>
          <w:rPr>
            <w:noProof/>
            <w:webHidden/>
          </w:rPr>
          <w:tab/>
        </w:r>
        <w:r>
          <w:rPr>
            <w:noProof/>
            <w:webHidden/>
          </w:rPr>
          <w:fldChar w:fldCharType="begin"/>
        </w:r>
        <w:r>
          <w:rPr>
            <w:noProof/>
            <w:webHidden/>
          </w:rPr>
          <w:instrText xml:space="preserve"> PAGEREF _Toc175239030 \h </w:instrText>
        </w:r>
        <w:r>
          <w:rPr>
            <w:noProof/>
            <w:webHidden/>
          </w:rPr>
        </w:r>
        <w:r>
          <w:rPr>
            <w:noProof/>
            <w:webHidden/>
          </w:rPr>
          <w:fldChar w:fldCharType="separate"/>
        </w:r>
        <w:r w:rsidR="00FD06AB">
          <w:rPr>
            <w:noProof/>
            <w:webHidden/>
          </w:rPr>
          <w:t>119</w:t>
        </w:r>
        <w:r>
          <w:rPr>
            <w:noProof/>
            <w:webHidden/>
          </w:rPr>
          <w:fldChar w:fldCharType="end"/>
        </w:r>
      </w:hyperlink>
    </w:p>
    <w:p w14:paraId="589149B7" w14:textId="38780E05" w:rsidR="003B042F" w:rsidRDefault="003B042F">
      <w:pPr>
        <w:pStyle w:val="TOC4"/>
        <w:rPr>
          <w:rFonts w:asciiTheme="minorHAnsi" w:eastAsiaTheme="minorEastAsia" w:hAnsiTheme="minorHAnsi"/>
          <w:noProof/>
          <w:sz w:val="22"/>
          <w:lang w:eastAsia="en-AU"/>
        </w:rPr>
      </w:pPr>
      <w:hyperlink w:anchor="_Toc175239031" w:history="1">
        <w:r w:rsidRPr="005871B3">
          <w:rPr>
            <w:rStyle w:val="Hyperlink"/>
            <w:noProof/>
          </w:rPr>
          <w:t>82.1—Preliminary brief: Magistrates Court and Environment Resources and Development Court</w:t>
        </w:r>
        <w:r>
          <w:rPr>
            <w:noProof/>
            <w:webHidden/>
          </w:rPr>
          <w:tab/>
        </w:r>
        <w:r>
          <w:rPr>
            <w:noProof/>
            <w:webHidden/>
          </w:rPr>
          <w:fldChar w:fldCharType="begin"/>
        </w:r>
        <w:r>
          <w:rPr>
            <w:noProof/>
            <w:webHidden/>
          </w:rPr>
          <w:instrText xml:space="preserve"> PAGEREF _Toc175239031 \h </w:instrText>
        </w:r>
        <w:r>
          <w:rPr>
            <w:noProof/>
            <w:webHidden/>
          </w:rPr>
        </w:r>
        <w:r>
          <w:rPr>
            <w:noProof/>
            <w:webHidden/>
          </w:rPr>
          <w:fldChar w:fldCharType="separate"/>
        </w:r>
        <w:r w:rsidR="00FD06AB">
          <w:rPr>
            <w:noProof/>
            <w:webHidden/>
          </w:rPr>
          <w:t>119</w:t>
        </w:r>
        <w:r>
          <w:rPr>
            <w:noProof/>
            <w:webHidden/>
          </w:rPr>
          <w:fldChar w:fldCharType="end"/>
        </w:r>
      </w:hyperlink>
    </w:p>
    <w:p w14:paraId="58C5E086" w14:textId="5E5CF217" w:rsidR="003B042F" w:rsidRDefault="003B042F">
      <w:pPr>
        <w:pStyle w:val="TOC4"/>
        <w:rPr>
          <w:rFonts w:asciiTheme="minorHAnsi" w:eastAsiaTheme="minorEastAsia" w:hAnsiTheme="minorHAnsi"/>
          <w:noProof/>
          <w:sz w:val="22"/>
          <w:lang w:eastAsia="en-AU"/>
        </w:rPr>
      </w:pPr>
      <w:hyperlink w:anchor="_Toc175239032" w:history="1">
        <w:r w:rsidRPr="005871B3">
          <w:rPr>
            <w:rStyle w:val="Hyperlink"/>
            <w:noProof/>
          </w:rPr>
          <w:t>82.2—Committal brief</w:t>
        </w:r>
        <w:r>
          <w:rPr>
            <w:noProof/>
            <w:webHidden/>
          </w:rPr>
          <w:tab/>
        </w:r>
        <w:r>
          <w:rPr>
            <w:noProof/>
            <w:webHidden/>
          </w:rPr>
          <w:fldChar w:fldCharType="begin"/>
        </w:r>
        <w:r>
          <w:rPr>
            <w:noProof/>
            <w:webHidden/>
          </w:rPr>
          <w:instrText xml:space="preserve"> PAGEREF _Toc175239032 \h </w:instrText>
        </w:r>
        <w:r>
          <w:rPr>
            <w:noProof/>
            <w:webHidden/>
          </w:rPr>
        </w:r>
        <w:r>
          <w:rPr>
            <w:noProof/>
            <w:webHidden/>
          </w:rPr>
          <w:fldChar w:fldCharType="separate"/>
        </w:r>
        <w:r w:rsidR="00FD06AB">
          <w:rPr>
            <w:noProof/>
            <w:webHidden/>
          </w:rPr>
          <w:t>120</w:t>
        </w:r>
        <w:r>
          <w:rPr>
            <w:noProof/>
            <w:webHidden/>
          </w:rPr>
          <w:fldChar w:fldCharType="end"/>
        </w:r>
      </w:hyperlink>
    </w:p>
    <w:p w14:paraId="3A436154" w14:textId="20B7D925" w:rsidR="003B042F" w:rsidRDefault="003B042F">
      <w:pPr>
        <w:pStyle w:val="TOC4"/>
        <w:rPr>
          <w:rFonts w:asciiTheme="minorHAnsi" w:eastAsiaTheme="minorEastAsia" w:hAnsiTheme="minorHAnsi"/>
          <w:noProof/>
          <w:sz w:val="22"/>
          <w:lang w:eastAsia="en-AU"/>
        </w:rPr>
      </w:pPr>
      <w:hyperlink w:anchor="_Toc175239033" w:history="1">
        <w:r w:rsidRPr="005871B3">
          <w:rPr>
            <w:rStyle w:val="Hyperlink"/>
            <w:noProof/>
          </w:rPr>
          <w:t>82.3—Evidentiary material briefs generally</w:t>
        </w:r>
        <w:r>
          <w:rPr>
            <w:noProof/>
            <w:webHidden/>
          </w:rPr>
          <w:tab/>
        </w:r>
        <w:r>
          <w:rPr>
            <w:noProof/>
            <w:webHidden/>
          </w:rPr>
          <w:fldChar w:fldCharType="begin"/>
        </w:r>
        <w:r>
          <w:rPr>
            <w:noProof/>
            <w:webHidden/>
          </w:rPr>
          <w:instrText xml:space="preserve"> PAGEREF _Toc175239033 \h </w:instrText>
        </w:r>
        <w:r>
          <w:rPr>
            <w:noProof/>
            <w:webHidden/>
          </w:rPr>
        </w:r>
        <w:r>
          <w:rPr>
            <w:noProof/>
            <w:webHidden/>
          </w:rPr>
          <w:fldChar w:fldCharType="separate"/>
        </w:r>
        <w:r w:rsidR="00FD06AB">
          <w:rPr>
            <w:noProof/>
            <w:webHidden/>
          </w:rPr>
          <w:t>120</w:t>
        </w:r>
        <w:r>
          <w:rPr>
            <w:noProof/>
            <w:webHidden/>
          </w:rPr>
          <w:fldChar w:fldCharType="end"/>
        </w:r>
      </w:hyperlink>
    </w:p>
    <w:p w14:paraId="45F99587" w14:textId="7D2D7B04"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34" w:history="1">
        <w:r w:rsidRPr="005871B3">
          <w:rPr>
            <w:rStyle w:val="Hyperlink"/>
            <w:noProof/>
          </w:rPr>
          <w:t>Part 3—Pre-committal appearances</w:t>
        </w:r>
        <w:r>
          <w:rPr>
            <w:noProof/>
            <w:webHidden/>
          </w:rPr>
          <w:tab/>
        </w:r>
        <w:r>
          <w:rPr>
            <w:noProof/>
            <w:webHidden/>
          </w:rPr>
          <w:fldChar w:fldCharType="begin"/>
        </w:r>
        <w:r>
          <w:rPr>
            <w:noProof/>
            <w:webHidden/>
          </w:rPr>
          <w:instrText xml:space="preserve"> PAGEREF _Toc175239034 \h </w:instrText>
        </w:r>
        <w:r>
          <w:rPr>
            <w:noProof/>
            <w:webHidden/>
          </w:rPr>
        </w:r>
        <w:r>
          <w:rPr>
            <w:noProof/>
            <w:webHidden/>
          </w:rPr>
          <w:fldChar w:fldCharType="separate"/>
        </w:r>
        <w:r w:rsidR="00FD06AB">
          <w:rPr>
            <w:noProof/>
            <w:webHidden/>
          </w:rPr>
          <w:t>121</w:t>
        </w:r>
        <w:r>
          <w:rPr>
            <w:noProof/>
            <w:webHidden/>
          </w:rPr>
          <w:fldChar w:fldCharType="end"/>
        </w:r>
      </w:hyperlink>
    </w:p>
    <w:p w14:paraId="12EA36DC" w14:textId="1500AA67" w:rsidR="003B042F" w:rsidRDefault="003B042F">
      <w:pPr>
        <w:pStyle w:val="TOC4"/>
        <w:rPr>
          <w:rFonts w:asciiTheme="minorHAnsi" w:eastAsiaTheme="minorEastAsia" w:hAnsiTheme="minorHAnsi"/>
          <w:noProof/>
          <w:sz w:val="22"/>
          <w:lang w:eastAsia="en-AU"/>
        </w:rPr>
      </w:pPr>
      <w:hyperlink w:anchor="_Toc175239035" w:history="1">
        <w:r w:rsidRPr="005871B3">
          <w:rPr>
            <w:rStyle w:val="Hyperlink"/>
            <w:noProof/>
          </w:rPr>
          <w:t>83.1—First hearing</w:t>
        </w:r>
        <w:r>
          <w:rPr>
            <w:noProof/>
            <w:webHidden/>
          </w:rPr>
          <w:tab/>
        </w:r>
        <w:r>
          <w:rPr>
            <w:noProof/>
            <w:webHidden/>
          </w:rPr>
          <w:fldChar w:fldCharType="begin"/>
        </w:r>
        <w:r>
          <w:rPr>
            <w:noProof/>
            <w:webHidden/>
          </w:rPr>
          <w:instrText xml:space="preserve"> PAGEREF _Toc175239035 \h </w:instrText>
        </w:r>
        <w:r>
          <w:rPr>
            <w:noProof/>
            <w:webHidden/>
          </w:rPr>
        </w:r>
        <w:r>
          <w:rPr>
            <w:noProof/>
            <w:webHidden/>
          </w:rPr>
          <w:fldChar w:fldCharType="separate"/>
        </w:r>
        <w:r w:rsidR="00FD06AB">
          <w:rPr>
            <w:noProof/>
            <w:webHidden/>
          </w:rPr>
          <w:t>121</w:t>
        </w:r>
        <w:r>
          <w:rPr>
            <w:noProof/>
            <w:webHidden/>
          </w:rPr>
          <w:fldChar w:fldCharType="end"/>
        </w:r>
      </w:hyperlink>
    </w:p>
    <w:p w14:paraId="3E474F18" w14:textId="73808B17" w:rsidR="003B042F" w:rsidRDefault="003B042F">
      <w:pPr>
        <w:pStyle w:val="TOC4"/>
        <w:rPr>
          <w:rFonts w:asciiTheme="minorHAnsi" w:eastAsiaTheme="minorEastAsia" w:hAnsiTheme="minorHAnsi"/>
          <w:noProof/>
          <w:sz w:val="22"/>
          <w:lang w:eastAsia="en-AU"/>
        </w:rPr>
      </w:pPr>
      <w:hyperlink w:anchor="_Toc175239036" w:history="1">
        <w:r w:rsidRPr="005871B3">
          <w:rPr>
            <w:rStyle w:val="Hyperlink"/>
            <w:noProof/>
          </w:rPr>
          <w:t>83.2—Charge determination appearance</w:t>
        </w:r>
        <w:r>
          <w:rPr>
            <w:noProof/>
            <w:webHidden/>
          </w:rPr>
          <w:tab/>
        </w:r>
        <w:r>
          <w:rPr>
            <w:noProof/>
            <w:webHidden/>
          </w:rPr>
          <w:fldChar w:fldCharType="begin"/>
        </w:r>
        <w:r>
          <w:rPr>
            <w:noProof/>
            <w:webHidden/>
          </w:rPr>
          <w:instrText xml:space="preserve"> PAGEREF _Toc175239036 \h </w:instrText>
        </w:r>
        <w:r>
          <w:rPr>
            <w:noProof/>
            <w:webHidden/>
          </w:rPr>
        </w:r>
        <w:r>
          <w:rPr>
            <w:noProof/>
            <w:webHidden/>
          </w:rPr>
          <w:fldChar w:fldCharType="separate"/>
        </w:r>
        <w:r w:rsidR="00FD06AB">
          <w:rPr>
            <w:noProof/>
            <w:webHidden/>
          </w:rPr>
          <w:t>122</w:t>
        </w:r>
        <w:r>
          <w:rPr>
            <w:noProof/>
            <w:webHidden/>
          </w:rPr>
          <w:fldChar w:fldCharType="end"/>
        </w:r>
      </w:hyperlink>
    </w:p>
    <w:p w14:paraId="50B215E6" w14:textId="2DCD1E87" w:rsidR="003B042F" w:rsidRDefault="003B042F">
      <w:pPr>
        <w:pStyle w:val="TOC4"/>
        <w:rPr>
          <w:rFonts w:asciiTheme="minorHAnsi" w:eastAsiaTheme="minorEastAsia" w:hAnsiTheme="minorHAnsi"/>
          <w:noProof/>
          <w:sz w:val="22"/>
          <w:lang w:eastAsia="en-AU"/>
        </w:rPr>
      </w:pPr>
      <w:hyperlink w:anchor="_Toc175239037" w:history="1">
        <w:r w:rsidRPr="005871B3">
          <w:rPr>
            <w:rStyle w:val="Hyperlink"/>
            <w:noProof/>
          </w:rPr>
          <w:t>83.3—Guilty plea matters</w:t>
        </w:r>
        <w:r>
          <w:rPr>
            <w:noProof/>
            <w:webHidden/>
          </w:rPr>
          <w:tab/>
        </w:r>
        <w:r>
          <w:rPr>
            <w:noProof/>
            <w:webHidden/>
          </w:rPr>
          <w:fldChar w:fldCharType="begin"/>
        </w:r>
        <w:r>
          <w:rPr>
            <w:noProof/>
            <w:webHidden/>
          </w:rPr>
          <w:instrText xml:space="preserve"> PAGEREF _Toc175239037 \h </w:instrText>
        </w:r>
        <w:r>
          <w:rPr>
            <w:noProof/>
            <w:webHidden/>
          </w:rPr>
        </w:r>
        <w:r>
          <w:rPr>
            <w:noProof/>
            <w:webHidden/>
          </w:rPr>
          <w:fldChar w:fldCharType="separate"/>
        </w:r>
        <w:r w:rsidR="00FD06AB">
          <w:rPr>
            <w:noProof/>
            <w:webHidden/>
          </w:rPr>
          <w:t>122</w:t>
        </w:r>
        <w:r>
          <w:rPr>
            <w:noProof/>
            <w:webHidden/>
          </w:rPr>
          <w:fldChar w:fldCharType="end"/>
        </w:r>
      </w:hyperlink>
    </w:p>
    <w:p w14:paraId="5AFEEBA6" w14:textId="2238D17F"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38" w:history="1">
        <w:r w:rsidRPr="005871B3">
          <w:rPr>
            <w:rStyle w:val="Hyperlink"/>
            <w:noProof/>
          </w:rPr>
          <w:t>Part 4—Committal appearance</w:t>
        </w:r>
        <w:r>
          <w:rPr>
            <w:noProof/>
            <w:webHidden/>
          </w:rPr>
          <w:tab/>
        </w:r>
        <w:r>
          <w:rPr>
            <w:noProof/>
            <w:webHidden/>
          </w:rPr>
          <w:fldChar w:fldCharType="begin"/>
        </w:r>
        <w:r>
          <w:rPr>
            <w:noProof/>
            <w:webHidden/>
          </w:rPr>
          <w:instrText xml:space="preserve"> PAGEREF _Toc175239038 \h </w:instrText>
        </w:r>
        <w:r>
          <w:rPr>
            <w:noProof/>
            <w:webHidden/>
          </w:rPr>
        </w:r>
        <w:r>
          <w:rPr>
            <w:noProof/>
            <w:webHidden/>
          </w:rPr>
          <w:fldChar w:fldCharType="separate"/>
        </w:r>
        <w:r w:rsidR="00FD06AB">
          <w:rPr>
            <w:noProof/>
            <w:webHidden/>
          </w:rPr>
          <w:t>122</w:t>
        </w:r>
        <w:r>
          <w:rPr>
            <w:noProof/>
            <w:webHidden/>
          </w:rPr>
          <w:fldChar w:fldCharType="end"/>
        </w:r>
      </w:hyperlink>
    </w:p>
    <w:p w14:paraId="00A32A02" w14:textId="6EF11731" w:rsidR="003B042F" w:rsidRDefault="003B042F">
      <w:pPr>
        <w:pStyle w:val="TOC4"/>
        <w:rPr>
          <w:rFonts w:asciiTheme="minorHAnsi" w:eastAsiaTheme="minorEastAsia" w:hAnsiTheme="minorHAnsi"/>
          <w:noProof/>
          <w:sz w:val="22"/>
          <w:lang w:eastAsia="en-AU"/>
        </w:rPr>
      </w:pPr>
      <w:hyperlink w:anchor="_Toc175239039" w:history="1">
        <w:r w:rsidRPr="005871B3">
          <w:rPr>
            <w:rStyle w:val="Hyperlink"/>
            <w:noProof/>
          </w:rPr>
          <w:t>84.1—Guilty plea matters</w:t>
        </w:r>
        <w:r>
          <w:rPr>
            <w:noProof/>
            <w:webHidden/>
          </w:rPr>
          <w:tab/>
        </w:r>
        <w:r>
          <w:rPr>
            <w:noProof/>
            <w:webHidden/>
          </w:rPr>
          <w:fldChar w:fldCharType="begin"/>
        </w:r>
        <w:r>
          <w:rPr>
            <w:noProof/>
            <w:webHidden/>
          </w:rPr>
          <w:instrText xml:space="preserve"> PAGEREF _Toc175239039 \h </w:instrText>
        </w:r>
        <w:r>
          <w:rPr>
            <w:noProof/>
            <w:webHidden/>
          </w:rPr>
        </w:r>
        <w:r>
          <w:rPr>
            <w:noProof/>
            <w:webHidden/>
          </w:rPr>
          <w:fldChar w:fldCharType="separate"/>
        </w:r>
        <w:r w:rsidR="00FD06AB">
          <w:rPr>
            <w:noProof/>
            <w:webHidden/>
          </w:rPr>
          <w:t>122</w:t>
        </w:r>
        <w:r>
          <w:rPr>
            <w:noProof/>
            <w:webHidden/>
          </w:rPr>
          <w:fldChar w:fldCharType="end"/>
        </w:r>
      </w:hyperlink>
    </w:p>
    <w:p w14:paraId="0E8F3505" w14:textId="35F29FB3" w:rsidR="003B042F" w:rsidRDefault="003B042F">
      <w:pPr>
        <w:pStyle w:val="TOC4"/>
        <w:rPr>
          <w:rFonts w:asciiTheme="minorHAnsi" w:eastAsiaTheme="minorEastAsia" w:hAnsiTheme="minorHAnsi"/>
          <w:noProof/>
          <w:sz w:val="22"/>
          <w:lang w:eastAsia="en-AU"/>
        </w:rPr>
      </w:pPr>
      <w:hyperlink w:anchor="_Toc175239040" w:history="1">
        <w:r w:rsidRPr="005871B3">
          <w:rPr>
            <w:rStyle w:val="Hyperlink"/>
            <w:noProof/>
          </w:rPr>
          <w:t>84.2—Not guilty matters</w:t>
        </w:r>
        <w:r>
          <w:rPr>
            <w:noProof/>
            <w:webHidden/>
          </w:rPr>
          <w:tab/>
        </w:r>
        <w:r>
          <w:rPr>
            <w:noProof/>
            <w:webHidden/>
          </w:rPr>
          <w:fldChar w:fldCharType="begin"/>
        </w:r>
        <w:r>
          <w:rPr>
            <w:noProof/>
            <w:webHidden/>
          </w:rPr>
          <w:instrText xml:space="preserve"> PAGEREF _Toc175239040 \h </w:instrText>
        </w:r>
        <w:r>
          <w:rPr>
            <w:noProof/>
            <w:webHidden/>
          </w:rPr>
        </w:r>
        <w:r>
          <w:rPr>
            <w:noProof/>
            <w:webHidden/>
          </w:rPr>
          <w:fldChar w:fldCharType="separate"/>
        </w:r>
        <w:r w:rsidR="00FD06AB">
          <w:rPr>
            <w:noProof/>
            <w:webHidden/>
          </w:rPr>
          <w:t>123</w:t>
        </w:r>
        <w:r>
          <w:rPr>
            <w:noProof/>
            <w:webHidden/>
          </w:rPr>
          <w:fldChar w:fldCharType="end"/>
        </w:r>
      </w:hyperlink>
    </w:p>
    <w:p w14:paraId="26F1AD54" w14:textId="7962F969"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41" w:history="1">
        <w:r w:rsidRPr="005871B3">
          <w:rPr>
            <w:rStyle w:val="Hyperlink"/>
            <w:noProof/>
          </w:rPr>
          <w:t>Part 5—Entry of guilty plea after committal appearance</w:t>
        </w:r>
        <w:r>
          <w:rPr>
            <w:noProof/>
            <w:webHidden/>
          </w:rPr>
          <w:tab/>
        </w:r>
        <w:r>
          <w:rPr>
            <w:noProof/>
            <w:webHidden/>
          </w:rPr>
          <w:fldChar w:fldCharType="begin"/>
        </w:r>
        <w:r>
          <w:rPr>
            <w:noProof/>
            <w:webHidden/>
          </w:rPr>
          <w:instrText xml:space="preserve"> PAGEREF _Toc175239041 \h </w:instrText>
        </w:r>
        <w:r>
          <w:rPr>
            <w:noProof/>
            <w:webHidden/>
          </w:rPr>
        </w:r>
        <w:r>
          <w:rPr>
            <w:noProof/>
            <w:webHidden/>
          </w:rPr>
          <w:fldChar w:fldCharType="separate"/>
        </w:r>
        <w:r w:rsidR="00FD06AB">
          <w:rPr>
            <w:noProof/>
            <w:webHidden/>
          </w:rPr>
          <w:t>124</w:t>
        </w:r>
        <w:r>
          <w:rPr>
            <w:noProof/>
            <w:webHidden/>
          </w:rPr>
          <w:fldChar w:fldCharType="end"/>
        </w:r>
      </w:hyperlink>
    </w:p>
    <w:p w14:paraId="20932A73" w14:textId="5EB263E0" w:rsidR="003B042F" w:rsidRDefault="003B042F">
      <w:pPr>
        <w:pStyle w:val="TOC4"/>
        <w:rPr>
          <w:rFonts w:asciiTheme="minorHAnsi" w:eastAsiaTheme="minorEastAsia" w:hAnsiTheme="minorHAnsi"/>
          <w:noProof/>
          <w:sz w:val="22"/>
          <w:lang w:eastAsia="en-AU"/>
        </w:rPr>
      </w:pPr>
      <w:hyperlink w:anchor="_Toc175239042" w:history="1">
        <w:r w:rsidRPr="005871B3">
          <w:rPr>
            <w:rStyle w:val="Hyperlink"/>
            <w:noProof/>
          </w:rPr>
          <w:t>85.1—Request for matter to be called on</w:t>
        </w:r>
        <w:r>
          <w:rPr>
            <w:noProof/>
            <w:webHidden/>
          </w:rPr>
          <w:tab/>
        </w:r>
        <w:r>
          <w:rPr>
            <w:noProof/>
            <w:webHidden/>
          </w:rPr>
          <w:fldChar w:fldCharType="begin"/>
        </w:r>
        <w:r>
          <w:rPr>
            <w:noProof/>
            <w:webHidden/>
          </w:rPr>
          <w:instrText xml:space="preserve"> PAGEREF _Toc175239042 \h </w:instrText>
        </w:r>
        <w:r>
          <w:rPr>
            <w:noProof/>
            <w:webHidden/>
          </w:rPr>
        </w:r>
        <w:r>
          <w:rPr>
            <w:noProof/>
            <w:webHidden/>
          </w:rPr>
          <w:fldChar w:fldCharType="separate"/>
        </w:r>
        <w:r w:rsidR="00FD06AB">
          <w:rPr>
            <w:noProof/>
            <w:webHidden/>
          </w:rPr>
          <w:t>124</w:t>
        </w:r>
        <w:r>
          <w:rPr>
            <w:noProof/>
            <w:webHidden/>
          </w:rPr>
          <w:fldChar w:fldCharType="end"/>
        </w:r>
      </w:hyperlink>
    </w:p>
    <w:p w14:paraId="48D03F14" w14:textId="4AF1B30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43" w:history="1">
        <w:r w:rsidRPr="005871B3">
          <w:rPr>
            <w:rStyle w:val="Hyperlink"/>
            <w:noProof/>
          </w:rPr>
          <w:t>Part 6—Steps before answer charge appearance</w:t>
        </w:r>
        <w:r>
          <w:rPr>
            <w:noProof/>
            <w:webHidden/>
          </w:rPr>
          <w:tab/>
        </w:r>
        <w:r>
          <w:rPr>
            <w:noProof/>
            <w:webHidden/>
          </w:rPr>
          <w:fldChar w:fldCharType="begin"/>
        </w:r>
        <w:r>
          <w:rPr>
            <w:noProof/>
            <w:webHidden/>
          </w:rPr>
          <w:instrText xml:space="preserve"> PAGEREF _Toc175239043 \h </w:instrText>
        </w:r>
        <w:r>
          <w:rPr>
            <w:noProof/>
            <w:webHidden/>
          </w:rPr>
        </w:r>
        <w:r>
          <w:rPr>
            <w:noProof/>
            <w:webHidden/>
          </w:rPr>
          <w:fldChar w:fldCharType="separate"/>
        </w:r>
        <w:r w:rsidR="00FD06AB">
          <w:rPr>
            <w:noProof/>
            <w:webHidden/>
          </w:rPr>
          <w:t>124</w:t>
        </w:r>
        <w:r>
          <w:rPr>
            <w:noProof/>
            <w:webHidden/>
          </w:rPr>
          <w:fldChar w:fldCharType="end"/>
        </w:r>
      </w:hyperlink>
    </w:p>
    <w:p w14:paraId="7810B46C" w14:textId="4AD2D207" w:rsidR="003B042F" w:rsidRDefault="003B042F">
      <w:pPr>
        <w:pStyle w:val="TOC4"/>
        <w:rPr>
          <w:rFonts w:asciiTheme="minorHAnsi" w:eastAsiaTheme="minorEastAsia" w:hAnsiTheme="minorHAnsi"/>
          <w:noProof/>
          <w:sz w:val="22"/>
          <w:lang w:eastAsia="en-AU"/>
        </w:rPr>
      </w:pPr>
      <w:hyperlink w:anchor="_Toc175239044" w:history="1">
        <w:r w:rsidRPr="005871B3">
          <w:rPr>
            <w:rStyle w:val="Hyperlink"/>
            <w:noProof/>
          </w:rPr>
          <w:t>86.1—Notices by defendant or youth</w:t>
        </w:r>
        <w:r>
          <w:rPr>
            <w:noProof/>
            <w:webHidden/>
          </w:rPr>
          <w:tab/>
        </w:r>
        <w:r>
          <w:rPr>
            <w:noProof/>
            <w:webHidden/>
          </w:rPr>
          <w:fldChar w:fldCharType="begin"/>
        </w:r>
        <w:r>
          <w:rPr>
            <w:noProof/>
            <w:webHidden/>
          </w:rPr>
          <w:instrText xml:space="preserve"> PAGEREF _Toc175239044 \h </w:instrText>
        </w:r>
        <w:r>
          <w:rPr>
            <w:noProof/>
            <w:webHidden/>
          </w:rPr>
        </w:r>
        <w:r>
          <w:rPr>
            <w:noProof/>
            <w:webHidden/>
          </w:rPr>
          <w:fldChar w:fldCharType="separate"/>
        </w:r>
        <w:r w:rsidR="00FD06AB">
          <w:rPr>
            <w:noProof/>
            <w:webHidden/>
          </w:rPr>
          <w:t>124</w:t>
        </w:r>
        <w:r>
          <w:rPr>
            <w:noProof/>
            <w:webHidden/>
          </w:rPr>
          <w:fldChar w:fldCharType="end"/>
        </w:r>
      </w:hyperlink>
    </w:p>
    <w:p w14:paraId="33E686C6" w14:textId="148352C1" w:rsidR="003B042F" w:rsidRDefault="003B042F">
      <w:pPr>
        <w:pStyle w:val="TOC4"/>
        <w:rPr>
          <w:rFonts w:asciiTheme="minorHAnsi" w:eastAsiaTheme="minorEastAsia" w:hAnsiTheme="minorHAnsi"/>
          <w:noProof/>
          <w:sz w:val="22"/>
          <w:lang w:eastAsia="en-AU"/>
        </w:rPr>
      </w:pPr>
      <w:hyperlink w:anchor="_Toc175239045" w:history="1">
        <w:r w:rsidRPr="005871B3">
          <w:rPr>
            <w:rStyle w:val="Hyperlink"/>
            <w:noProof/>
          </w:rPr>
          <w:t>86.2—Subpoena</w:t>
        </w:r>
        <w:r>
          <w:rPr>
            <w:noProof/>
            <w:webHidden/>
          </w:rPr>
          <w:tab/>
        </w:r>
        <w:r>
          <w:rPr>
            <w:noProof/>
            <w:webHidden/>
          </w:rPr>
          <w:fldChar w:fldCharType="begin"/>
        </w:r>
        <w:r>
          <w:rPr>
            <w:noProof/>
            <w:webHidden/>
          </w:rPr>
          <w:instrText xml:space="preserve"> PAGEREF _Toc175239045 \h </w:instrText>
        </w:r>
        <w:r>
          <w:rPr>
            <w:noProof/>
            <w:webHidden/>
          </w:rPr>
        </w:r>
        <w:r>
          <w:rPr>
            <w:noProof/>
            <w:webHidden/>
          </w:rPr>
          <w:fldChar w:fldCharType="separate"/>
        </w:r>
        <w:r w:rsidR="00FD06AB">
          <w:rPr>
            <w:noProof/>
            <w:webHidden/>
          </w:rPr>
          <w:t>125</w:t>
        </w:r>
        <w:r>
          <w:rPr>
            <w:noProof/>
            <w:webHidden/>
          </w:rPr>
          <w:fldChar w:fldCharType="end"/>
        </w:r>
      </w:hyperlink>
    </w:p>
    <w:p w14:paraId="2DCD375E" w14:textId="672AAD5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46" w:history="1">
        <w:r w:rsidRPr="005871B3">
          <w:rPr>
            <w:rStyle w:val="Hyperlink"/>
            <w:noProof/>
          </w:rPr>
          <w:t>Part 7—Answer charge appearance</w:t>
        </w:r>
        <w:r>
          <w:rPr>
            <w:noProof/>
            <w:webHidden/>
          </w:rPr>
          <w:tab/>
        </w:r>
        <w:r>
          <w:rPr>
            <w:noProof/>
            <w:webHidden/>
          </w:rPr>
          <w:fldChar w:fldCharType="begin"/>
        </w:r>
        <w:r>
          <w:rPr>
            <w:noProof/>
            <w:webHidden/>
          </w:rPr>
          <w:instrText xml:space="preserve"> PAGEREF _Toc175239046 \h </w:instrText>
        </w:r>
        <w:r>
          <w:rPr>
            <w:noProof/>
            <w:webHidden/>
          </w:rPr>
        </w:r>
        <w:r>
          <w:rPr>
            <w:noProof/>
            <w:webHidden/>
          </w:rPr>
          <w:fldChar w:fldCharType="separate"/>
        </w:r>
        <w:r w:rsidR="00FD06AB">
          <w:rPr>
            <w:noProof/>
            <w:webHidden/>
          </w:rPr>
          <w:t>125</w:t>
        </w:r>
        <w:r>
          <w:rPr>
            <w:noProof/>
            <w:webHidden/>
          </w:rPr>
          <w:fldChar w:fldCharType="end"/>
        </w:r>
      </w:hyperlink>
    </w:p>
    <w:p w14:paraId="34D1D808" w14:textId="088265A8" w:rsidR="003B042F" w:rsidRDefault="003B042F">
      <w:pPr>
        <w:pStyle w:val="TOC4"/>
        <w:rPr>
          <w:rFonts w:asciiTheme="minorHAnsi" w:eastAsiaTheme="minorEastAsia" w:hAnsiTheme="minorHAnsi"/>
          <w:noProof/>
          <w:sz w:val="22"/>
          <w:lang w:eastAsia="en-AU"/>
        </w:rPr>
      </w:pPr>
      <w:hyperlink w:anchor="_Toc175239047" w:history="1">
        <w:r w:rsidRPr="005871B3">
          <w:rPr>
            <w:rStyle w:val="Hyperlink"/>
            <w:noProof/>
          </w:rPr>
          <w:t>87.1—Oral examination application</w:t>
        </w:r>
        <w:r>
          <w:rPr>
            <w:noProof/>
            <w:webHidden/>
          </w:rPr>
          <w:tab/>
        </w:r>
        <w:r>
          <w:rPr>
            <w:noProof/>
            <w:webHidden/>
          </w:rPr>
          <w:fldChar w:fldCharType="begin"/>
        </w:r>
        <w:r>
          <w:rPr>
            <w:noProof/>
            <w:webHidden/>
          </w:rPr>
          <w:instrText xml:space="preserve"> PAGEREF _Toc175239047 \h </w:instrText>
        </w:r>
        <w:r>
          <w:rPr>
            <w:noProof/>
            <w:webHidden/>
          </w:rPr>
        </w:r>
        <w:r>
          <w:rPr>
            <w:noProof/>
            <w:webHidden/>
          </w:rPr>
          <w:fldChar w:fldCharType="separate"/>
        </w:r>
        <w:r w:rsidR="00FD06AB">
          <w:rPr>
            <w:noProof/>
            <w:webHidden/>
          </w:rPr>
          <w:t>125</w:t>
        </w:r>
        <w:r>
          <w:rPr>
            <w:noProof/>
            <w:webHidden/>
          </w:rPr>
          <w:fldChar w:fldCharType="end"/>
        </w:r>
      </w:hyperlink>
    </w:p>
    <w:p w14:paraId="71597E4C" w14:textId="636B8D09" w:rsidR="003B042F" w:rsidRDefault="003B042F">
      <w:pPr>
        <w:pStyle w:val="TOC4"/>
        <w:rPr>
          <w:rFonts w:asciiTheme="minorHAnsi" w:eastAsiaTheme="minorEastAsia" w:hAnsiTheme="minorHAnsi"/>
          <w:noProof/>
          <w:sz w:val="22"/>
          <w:lang w:eastAsia="en-AU"/>
        </w:rPr>
      </w:pPr>
      <w:hyperlink w:anchor="_Toc175239048" w:history="1">
        <w:r w:rsidRPr="005871B3">
          <w:rPr>
            <w:rStyle w:val="Hyperlink"/>
            <w:noProof/>
          </w:rPr>
          <w:t>87.2—No case to answer submission</w:t>
        </w:r>
        <w:r>
          <w:rPr>
            <w:noProof/>
            <w:webHidden/>
          </w:rPr>
          <w:tab/>
        </w:r>
        <w:r>
          <w:rPr>
            <w:noProof/>
            <w:webHidden/>
          </w:rPr>
          <w:fldChar w:fldCharType="begin"/>
        </w:r>
        <w:r>
          <w:rPr>
            <w:noProof/>
            <w:webHidden/>
          </w:rPr>
          <w:instrText xml:space="preserve"> PAGEREF _Toc175239048 \h </w:instrText>
        </w:r>
        <w:r>
          <w:rPr>
            <w:noProof/>
            <w:webHidden/>
          </w:rPr>
        </w:r>
        <w:r>
          <w:rPr>
            <w:noProof/>
            <w:webHidden/>
          </w:rPr>
          <w:fldChar w:fldCharType="separate"/>
        </w:r>
        <w:r w:rsidR="00FD06AB">
          <w:rPr>
            <w:noProof/>
            <w:webHidden/>
          </w:rPr>
          <w:t>126</w:t>
        </w:r>
        <w:r>
          <w:rPr>
            <w:noProof/>
            <w:webHidden/>
          </w:rPr>
          <w:fldChar w:fldCharType="end"/>
        </w:r>
      </w:hyperlink>
    </w:p>
    <w:p w14:paraId="114F302F" w14:textId="396F4521" w:rsidR="003B042F" w:rsidRDefault="003B042F">
      <w:pPr>
        <w:pStyle w:val="TOC4"/>
        <w:rPr>
          <w:rFonts w:asciiTheme="minorHAnsi" w:eastAsiaTheme="minorEastAsia" w:hAnsiTheme="minorHAnsi"/>
          <w:noProof/>
          <w:sz w:val="22"/>
          <w:lang w:eastAsia="en-AU"/>
        </w:rPr>
      </w:pPr>
      <w:hyperlink w:anchor="_Toc175239049" w:history="1">
        <w:r w:rsidRPr="005871B3">
          <w:rPr>
            <w:rStyle w:val="Hyperlink"/>
            <w:noProof/>
          </w:rPr>
          <w:t>87.3—Other cases</w:t>
        </w:r>
        <w:r>
          <w:rPr>
            <w:noProof/>
            <w:webHidden/>
          </w:rPr>
          <w:tab/>
        </w:r>
        <w:r>
          <w:rPr>
            <w:noProof/>
            <w:webHidden/>
          </w:rPr>
          <w:fldChar w:fldCharType="begin"/>
        </w:r>
        <w:r>
          <w:rPr>
            <w:noProof/>
            <w:webHidden/>
          </w:rPr>
          <w:instrText xml:space="preserve"> PAGEREF _Toc175239049 \h </w:instrText>
        </w:r>
        <w:r>
          <w:rPr>
            <w:noProof/>
            <w:webHidden/>
          </w:rPr>
        </w:r>
        <w:r>
          <w:rPr>
            <w:noProof/>
            <w:webHidden/>
          </w:rPr>
          <w:fldChar w:fldCharType="separate"/>
        </w:r>
        <w:r w:rsidR="00FD06AB">
          <w:rPr>
            <w:noProof/>
            <w:webHidden/>
          </w:rPr>
          <w:t>126</w:t>
        </w:r>
        <w:r>
          <w:rPr>
            <w:noProof/>
            <w:webHidden/>
          </w:rPr>
          <w:fldChar w:fldCharType="end"/>
        </w:r>
      </w:hyperlink>
    </w:p>
    <w:p w14:paraId="25F8373E" w14:textId="4F557434" w:rsidR="003B042F" w:rsidRDefault="003B042F">
      <w:pPr>
        <w:pStyle w:val="TOC4"/>
        <w:rPr>
          <w:rFonts w:asciiTheme="minorHAnsi" w:eastAsiaTheme="minorEastAsia" w:hAnsiTheme="minorHAnsi"/>
          <w:noProof/>
          <w:sz w:val="22"/>
          <w:lang w:eastAsia="en-AU"/>
        </w:rPr>
      </w:pPr>
      <w:hyperlink w:anchor="_Toc175239050" w:history="1">
        <w:r w:rsidRPr="005871B3">
          <w:rPr>
            <w:rStyle w:val="Hyperlink"/>
            <w:noProof/>
          </w:rPr>
          <w:t>87.4—Record of order for committal</w:t>
        </w:r>
        <w:r>
          <w:rPr>
            <w:noProof/>
            <w:webHidden/>
          </w:rPr>
          <w:tab/>
        </w:r>
        <w:r>
          <w:rPr>
            <w:noProof/>
            <w:webHidden/>
          </w:rPr>
          <w:fldChar w:fldCharType="begin"/>
        </w:r>
        <w:r>
          <w:rPr>
            <w:noProof/>
            <w:webHidden/>
          </w:rPr>
          <w:instrText xml:space="preserve"> PAGEREF _Toc175239050 \h </w:instrText>
        </w:r>
        <w:r>
          <w:rPr>
            <w:noProof/>
            <w:webHidden/>
          </w:rPr>
        </w:r>
        <w:r>
          <w:rPr>
            <w:noProof/>
            <w:webHidden/>
          </w:rPr>
          <w:fldChar w:fldCharType="separate"/>
        </w:r>
        <w:r w:rsidR="00FD06AB">
          <w:rPr>
            <w:noProof/>
            <w:webHidden/>
          </w:rPr>
          <w:t>126</w:t>
        </w:r>
        <w:r>
          <w:rPr>
            <w:noProof/>
            <w:webHidden/>
          </w:rPr>
          <w:fldChar w:fldCharType="end"/>
        </w:r>
      </w:hyperlink>
    </w:p>
    <w:p w14:paraId="3E6C19E5" w14:textId="6E830230" w:rsidR="003B042F" w:rsidRDefault="003B042F">
      <w:pPr>
        <w:pStyle w:val="TOC4"/>
        <w:rPr>
          <w:rFonts w:asciiTheme="minorHAnsi" w:eastAsiaTheme="minorEastAsia" w:hAnsiTheme="minorHAnsi"/>
          <w:noProof/>
          <w:sz w:val="22"/>
          <w:lang w:eastAsia="en-AU"/>
        </w:rPr>
      </w:pPr>
      <w:hyperlink w:anchor="_Toc175239051" w:history="1">
        <w:r w:rsidRPr="005871B3">
          <w:rPr>
            <w:rStyle w:val="Hyperlink"/>
            <w:noProof/>
          </w:rPr>
          <w:t>87.5—Notices to defendant or youth</w:t>
        </w:r>
        <w:r>
          <w:rPr>
            <w:noProof/>
            <w:webHidden/>
          </w:rPr>
          <w:tab/>
        </w:r>
        <w:r>
          <w:rPr>
            <w:noProof/>
            <w:webHidden/>
          </w:rPr>
          <w:fldChar w:fldCharType="begin"/>
        </w:r>
        <w:r>
          <w:rPr>
            <w:noProof/>
            <w:webHidden/>
          </w:rPr>
          <w:instrText xml:space="preserve"> PAGEREF _Toc175239051 \h </w:instrText>
        </w:r>
        <w:r>
          <w:rPr>
            <w:noProof/>
            <w:webHidden/>
          </w:rPr>
        </w:r>
        <w:r>
          <w:rPr>
            <w:noProof/>
            <w:webHidden/>
          </w:rPr>
          <w:fldChar w:fldCharType="separate"/>
        </w:r>
        <w:r w:rsidR="00FD06AB">
          <w:rPr>
            <w:noProof/>
            <w:webHidden/>
          </w:rPr>
          <w:t>126</w:t>
        </w:r>
        <w:r>
          <w:rPr>
            <w:noProof/>
            <w:webHidden/>
          </w:rPr>
          <w:fldChar w:fldCharType="end"/>
        </w:r>
      </w:hyperlink>
    </w:p>
    <w:p w14:paraId="542A2DE6" w14:textId="6CE0FB4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52" w:history="1">
        <w:r w:rsidRPr="005871B3">
          <w:rPr>
            <w:rStyle w:val="Hyperlink"/>
            <w:noProof/>
          </w:rPr>
          <w:t>Part 8—Referral to Higher Court if Federal offence: Magistrates Court</w:t>
        </w:r>
        <w:r>
          <w:rPr>
            <w:noProof/>
            <w:webHidden/>
          </w:rPr>
          <w:tab/>
        </w:r>
        <w:r>
          <w:rPr>
            <w:noProof/>
            <w:webHidden/>
          </w:rPr>
          <w:fldChar w:fldCharType="begin"/>
        </w:r>
        <w:r>
          <w:rPr>
            <w:noProof/>
            <w:webHidden/>
          </w:rPr>
          <w:instrText xml:space="preserve"> PAGEREF _Toc175239052 \h </w:instrText>
        </w:r>
        <w:r>
          <w:rPr>
            <w:noProof/>
            <w:webHidden/>
          </w:rPr>
        </w:r>
        <w:r>
          <w:rPr>
            <w:noProof/>
            <w:webHidden/>
          </w:rPr>
          <w:fldChar w:fldCharType="separate"/>
        </w:r>
        <w:r w:rsidR="00FD06AB">
          <w:rPr>
            <w:noProof/>
            <w:webHidden/>
          </w:rPr>
          <w:t>126</w:t>
        </w:r>
        <w:r>
          <w:rPr>
            <w:noProof/>
            <w:webHidden/>
          </w:rPr>
          <w:fldChar w:fldCharType="end"/>
        </w:r>
      </w:hyperlink>
    </w:p>
    <w:p w14:paraId="712FA3DF" w14:textId="426D4DE3" w:rsidR="003B042F" w:rsidRDefault="003B042F">
      <w:pPr>
        <w:pStyle w:val="TOC4"/>
        <w:rPr>
          <w:rFonts w:asciiTheme="minorHAnsi" w:eastAsiaTheme="minorEastAsia" w:hAnsiTheme="minorHAnsi"/>
          <w:noProof/>
          <w:sz w:val="22"/>
          <w:lang w:eastAsia="en-AU"/>
        </w:rPr>
      </w:pPr>
      <w:hyperlink w:anchor="_Toc175239053" w:history="1">
        <w:r w:rsidRPr="005871B3">
          <w:rPr>
            <w:rStyle w:val="Hyperlink"/>
            <w:noProof/>
          </w:rPr>
          <w:t>88.1—Referral to Higher Court</w:t>
        </w:r>
        <w:r>
          <w:rPr>
            <w:noProof/>
            <w:webHidden/>
          </w:rPr>
          <w:tab/>
        </w:r>
        <w:r>
          <w:rPr>
            <w:noProof/>
            <w:webHidden/>
          </w:rPr>
          <w:fldChar w:fldCharType="begin"/>
        </w:r>
        <w:r>
          <w:rPr>
            <w:noProof/>
            <w:webHidden/>
          </w:rPr>
          <w:instrText xml:space="preserve"> PAGEREF _Toc175239053 \h </w:instrText>
        </w:r>
        <w:r>
          <w:rPr>
            <w:noProof/>
            <w:webHidden/>
          </w:rPr>
        </w:r>
        <w:r>
          <w:rPr>
            <w:noProof/>
            <w:webHidden/>
          </w:rPr>
          <w:fldChar w:fldCharType="separate"/>
        </w:r>
        <w:r w:rsidR="00FD06AB">
          <w:rPr>
            <w:noProof/>
            <w:webHidden/>
          </w:rPr>
          <w:t>126</w:t>
        </w:r>
        <w:r>
          <w:rPr>
            <w:noProof/>
            <w:webHidden/>
          </w:rPr>
          <w:fldChar w:fldCharType="end"/>
        </w:r>
      </w:hyperlink>
    </w:p>
    <w:p w14:paraId="4BAEA19D" w14:textId="3DFCAEA7"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054" w:history="1">
        <w:r w:rsidRPr="005871B3">
          <w:rPr>
            <w:rStyle w:val="Hyperlink"/>
            <w:noProof/>
          </w:rPr>
          <w:t>Chapter 5—Proceedings in Higher Courts</w:t>
        </w:r>
        <w:r>
          <w:rPr>
            <w:noProof/>
            <w:webHidden/>
          </w:rPr>
          <w:tab/>
        </w:r>
        <w:r>
          <w:rPr>
            <w:noProof/>
            <w:webHidden/>
          </w:rPr>
          <w:fldChar w:fldCharType="begin"/>
        </w:r>
        <w:r>
          <w:rPr>
            <w:noProof/>
            <w:webHidden/>
          </w:rPr>
          <w:instrText xml:space="preserve"> PAGEREF _Toc175239054 \h </w:instrText>
        </w:r>
        <w:r>
          <w:rPr>
            <w:noProof/>
            <w:webHidden/>
          </w:rPr>
        </w:r>
        <w:r>
          <w:rPr>
            <w:noProof/>
            <w:webHidden/>
          </w:rPr>
          <w:fldChar w:fldCharType="separate"/>
        </w:r>
        <w:r w:rsidR="00FD06AB">
          <w:rPr>
            <w:noProof/>
            <w:webHidden/>
          </w:rPr>
          <w:t>127</w:t>
        </w:r>
        <w:r>
          <w:rPr>
            <w:noProof/>
            <w:webHidden/>
          </w:rPr>
          <w:fldChar w:fldCharType="end"/>
        </w:r>
      </w:hyperlink>
    </w:p>
    <w:p w14:paraId="057AEAC4" w14:textId="215F0681"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55" w:history="1">
        <w:r w:rsidRPr="005871B3">
          <w:rPr>
            <w:rStyle w:val="Hyperlink"/>
            <w:noProof/>
          </w:rPr>
          <w:t>Part 1—Scope of Chapter</w:t>
        </w:r>
        <w:r>
          <w:rPr>
            <w:noProof/>
            <w:webHidden/>
          </w:rPr>
          <w:tab/>
        </w:r>
        <w:r>
          <w:rPr>
            <w:noProof/>
            <w:webHidden/>
          </w:rPr>
          <w:fldChar w:fldCharType="begin"/>
        </w:r>
        <w:r>
          <w:rPr>
            <w:noProof/>
            <w:webHidden/>
          </w:rPr>
          <w:instrText xml:space="preserve"> PAGEREF _Toc175239055 \h </w:instrText>
        </w:r>
        <w:r>
          <w:rPr>
            <w:noProof/>
            <w:webHidden/>
          </w:rPr>
        </w:r>
        <w:r>
          <w:rPr>
            <w:noProof/>
            <w:webHidden/>
          </w:rPr>
          <w:fldChar w:fldCharType="separate"/>
        </w:r>
        <w:r w:rsidR="00FD06AB">
          <w:rPr>
            <w:noProof/>
            <w:webHidden/>
          </w:rPr>
          <w:t>127</w:t>
        </w:r>
        <w:r>
          <w:rPr>
            <w:noProof/>
            <w:webHidden/>
          </w:rPr>
          <w:fldChar w:fldCharType="end"/>
        </w:r>
      </w:hyperlink>
    </w:p>
    <w:p w14:paraId="578D15CD" w14:textId="0DE4E309" w:rsidR="003B042F" w:rsidRDefault="003B042F">
      <w:pPr>
        <w:pStyle w:val="TOC4"/>
        <w:rPr>
          <w:rFonts w:asciiTheme="minorHAnsi" w:eastAsiaTheme="minorEastAsia" w:hAnsiTheme="minorHAnsi"/>
          <w:noProof/>
          <w:sz w:val="22"/>
          <w:lang w:eastAsia="en-AU"/>
        </w:rPr>
      </w:pPr>
      <w:hyperlink w:anchor="_Toc175239056" w:history="1">
        <w:r w:rsidRPr="005871B3">
          <w:rPr>
            <w:rStyle w:val="Hyperlink"/>
            <w:noProof/>
          </w:rPr>
          <w:t>91.1—Scope</w:t>
        </w:r>
        <w:r>
          <w:rPr>
            <w:noProof/>
            <w:webHidden/>
          </w:rPr>
          <w:tab/>
        </w:r>
        <w:r>
          <w:rPr>
            <w:noProof/>
            <w:webHidden/>
          </w:rPr>
          <w:fldChar w:fldCharType="begin"/>
        </w:r>
        <w:r>
          <w:rPr>
            <w:noProof/>
            <w:webHidden/>
          </w:rPr>
          <w:instrText xml:space="preserve"> PAGEREF _Toc175239056 \h </w:instrText>
        </w:r>
        <w:r>
          <w:rPr>
            <w:noProof/>
            <w:webHidden/>
          </w:rPr>
        </w:r>
        <w:r>
          <w:rPr>
            <w:noProof/>
            <w:webHidden/>
          </w:rPr>
          <w:fldChar w:fldCharType="separate"/>
        </w:r>
        <w:r w:rsidR="00FD06AB">
          <w:rPr>
            <w:noProof/>
            <w:webHidden/>
          </w:rPr>
          <w:t>127</w:t>
        </w:r>
        <w:r>
          <w:rPr>
            <w:noProof/>
            <w:webHidden/>
          </w:rPr>
          <w:fldChar w:fldCharType="end"/>
        </w:r>
      </w:hyperlink>
    </w:p>
    <w:p w14:paraId="5A8A46F1" w14:textId="494A262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57" w:history="1">
        <w:r w:rsidRPr="005871B3">
          <w:rPr>
            <w:rStyle w:val="Hyperlink"/>
            <w:noProof/>
          </w:rPr>
          <w:t>Part 2—Commencement and service of proceeding</w:t>
        </w:r>
        <w:r>
          <w:rPr>
            <w:noProof/>
            <w:webHidden/>
          </w:rPr>
          <w:tab/>
        </w:r>
        <w:r>
          <w:rPr>
            <w:noProof/>
            <w:webHidden/>
          </w:rPr>
          <w:fldChar w:fldCharType="begin"/>
        </w:r>
        <w:r>
          <w:rPr>
            <w:noProof/>
            <w:webHidden/>
          </w:rPr>
          <w:instrText xml:space="preserve"> PAGEREF _Toc175239057 \h </w:instrText>
        </w:r>
        <w:r>
          <w:rPr>
            <w:noProof/>
            <w:webHidden/>
          </w:rPr>
        </w:r>
        <w:r>
          <w:rPr>
            <w:noProof/>
            <w:webHidden/>
          </w:rPr>
          <w:fldChar w:fldCharType="separate"/>
        </w:r>
        <w:r w:rsidR="00FD06AB">
          <w:rPr>
            <w:noProof/>
            <w:webHidden/>
          </w:rPr>
          <w:t>127</w:t>
        </w:r>
        <w:r>
          <w:rPr>
            <w:noProof/>
            <w:webHidden/>
          </w:rPr>
          <w:fldChar w:fldCharType="end"/>
        </w:r>
      </w:hyperlink>
    </w:p>
    <w:p w14:paraId="05D073DB" w14:textId="7C221B74" w:rsidR="003B042F" w:rsidRDefault="003B042F">
      <w:pPr>
        <w:pStyle w:val="TOC4"/>
        <w:rPr>
          <w:rFonts w:asciiTheme="minorHAnsi" w:eastAsiaTheme="minorEastAsia" w:hAnsiTheme="minorHAnsi"/>
          <w:noProof/>
          <w:sz w:val="22"/>
          <w:lang w:eastAsia="en-AU"/>
        </w:rPr>
      </w:pPr>
      <w:hyperlink w:anchor="_Toc175239058" w:history="1">
        <w:r w:rsidRPr="005871B3">
          <w:rPr>
            <w:rStyle w:val="Hyperlink"/>
            <w:noProof/>
          </w:rPr>
          <w:t>92.1—Information</w:t>
        </w:r>
        <w:r>
          <w:rPr>
            <w:noProof/>
            <w:webHidden/>
          </w:rPr>
          <w:tab/>
        </w:r>
        <w:r>
          <w:rPr>
            <w:noProof/>
            <w:webHidden/>
          </w:rPr>
          <w:fldChar w:fldCharType="begin"/>
        </w:r>
        <w:r>
          <w:rPr>
            <w:noProof/>
            <w:webHidden/>
          </w:rPr>
          <w:instrText xml:space="preserve"> PAGEREF _Toc175239058 \h </w:instrText>
        </w:r>
        <w:r>
          <w:rPr>
            <w:noProof/>
            <w:webHidden/>
          </w:rPr>
        </w:r>
        <w:r>
          <w:rPr>
            <w:noProof/>
            <w:webHidden/>
          </w:rPr>
          <w:fldChar w:fldCharType="separate"/>
        </w:r>
        <w:r w:rsidR="00FD06AB">
          <w:rPr>
            <w:noProof/>
            <w:webHidden/>
          </w:rPr>
          <w:t>127</w:t>
        </w:r>
        <w:r>
          <w:rPr>
            <w:noProof/>
            <w:webHidden/>
          </w:rPr>
          <w:fldChar w:fldCharType="end"/>
        </w:r>
      </w:hyperlink>
    </w:p>
    <w:p w14:paraId="28F9460B" w14:textId="3EFEAA64" w:rsidR="003B042F" w:rsidRDefault="003B042F">
      <w:pPr>
        <w:pStyle w:val="TOC4"/>
        <w:rPr>
          <w:rFonts w:asciiTheme="minorHAnsi" w:eastAsiaTheme="minorEastAsia" w:hAnsiTheme="minorHAnsi"/>
          <w:noProof/>
          <w:sz w:val="22"/>
          <w:lang w:eastAsia="en-AU"/>
        </w:rPr>
      </w:pPr>
      <w:hyperlink w:anchor="_Toc175239059" w:history="1">
        <w:r w:rsidRPr="005871B3">
          <w:rPr>
            <w:rStyle w:val="Hyperlink"/>
            <w:noProof/>
          </w:rPr>
          <w:t>92.2—Particulars</w:t>
        </w:r>
        <w:r>
          <w:rPr>
            <w:noProof/>
            <w:webHidden/>
          </w:rPr>
          <w:tab/>
        </w:r>
        <w:r>
          <w:rPr>
            <w:noProof/>
            <w:webHidden/>
          </w:rPr>
          <w:fldChar w:fldCharType="begin"/>
        </w:r>
        <w:r>
          <w:rPr>
            <w:noProof/>
            <w:webHidden/>
          </w:rPr>
          <w:instrText xml:space="preserve"> PAGEREF _Toc175239059 \h </w:instrText>
        </w:r>
        <w:r>
          <w:rPr>
            <w:noProof/>
            <w:webHidden/>
          </w:rPr>
        </w:r>
        <w:r>
          <w:rPr>
            <w:noProof/>
            <w:webHidden/>
          </w:rPr>
          <w:fldChar w:fldCharType="separate"/>
        </w:r>
        <w:r w:rsidR="00FD06AB">
          <w:rPr>
            <w:noProof/>
            <w:webHidden/>
          </w:rPr>
          <w:t>128</w:t>
        </w:r>
        <w:r>
          <w:rPr>
            <w:noProof/>
            <w:webHidden/>
          </w:rPr>
          <w:fldChar w:fldCharType="end"/>
        </w:r>
      </w:hyperlink>
    </w:p>
    <w:p w14:paraId="7E00D149" w14:textId="665250D1" w:rsidR="003B042F" w:rsidRDefault="003B042F">
      <w:pPr>
        <w:pStyle w:val="TOC4"/>
        <w:rPr>
          <w:rFonts w:asciiTheme="minorHAnsi" w:eastAsiaTheme="minorEastAsia" w:hAnsiTheme="minorHAnsi"/>
          <w:noProof/>
          <w:sz w:val="22"/>
          <w:lang w:eastAsia="en-AU"/>
        </w:rPr>
      </w:pPr>
      <w:hyperlink w:anchor="_Toc175239060" w:history="1">
        <w:r w:rsidRPr="005871B3">
          <w:rPr>
            <w:rStyle w:val="Hyperlink"/>
            <w:noProof/>
          </w:rPr>
          <w:t>92.3—Service of Information</w:t>
        </w:r>
        <w:r>
          <w:rPr>
            <w:noProof/>
            <w:webHidden/>
          </w:rPr>
          <w:tab/>
        </w:r>
        <w:r>
          <w:rPr>
            <w:noProof/>
            <w:webHidden/>
          </w:rPr>
          <w:fldChar w:fldCharType="begin"/>
        </w:r>
        <w:r>
          <w:rPr>
            <w:noProof/>
            <w:webHidden/>
          </w:rPr>
          <w:instrText xml:space="preserve"> PAGEREF _Toc175239060 \h </w:instrText>
        </w:r>
        <w:r>
          <w:rPr>
            <w:noProof/>
            <w:webHidden/>
          </w:rPr>
        </w:r>
        <w:r>
          <w:rPr>
            <w:noProof/>
            <w:webHidden/>
          </w:rPr>
          <w:fldChar w:fldCharType="separate"/>
        </w:r>
        <w:r w:rsidR="00FD06AB">
          <w:rPr>
            <w:noProof/>
            <w:webHidden/>
          </w:rPr>
          <w:t>128</w:t>
        </w:r>
        <w:r>
          <w:rPr>
            <w:noProof/>
            <w:webHidden/>
          </w:rPr>
          <w:fldChar w:fldCharType="end"/>
        </w:r>
      </w:hyperlink>
    </w:p>
    <w:p w14:paraId="0069CDB1" w14:textId="55EF2CDD" w:rsidR="003B042F" w:rsidRDefault="003B042F">
      <w:pPr>
        <w:pStyle w:val="TOC4"/>
        <w:rPr>
          <w:rFonts w:asciiTheme="minorHAnsi" w:eastAsiaTheme="minorEastAsia" w:hAnsiTheme="minorHAnsi"/>
          <w:noProof/>
          <w:sz w:val="22"/>
          <w:lang w:eastAsia="en-AU"/>
        </w:rPr>
      </w:pPr>
      <w:hyperlink w:anchor="_Toc175239061" w:history="1">
        <w:r w:rsidRPr="005871B3">
          <w:rPr>
            <w:rStyle w:val="Hyperlink"/>
            <w:noProof/>
          </w:rPr>
          <w:t>92.4—Notification to Supreme Court</w:t>
        </w:r>
        <w:r>
          <w:rPr>
            <w:noProof/>
            <w:webHidden/>
          </w:rPr>
          <w:tab/>
        </w:r>
        <w:r>
          <w:rPr>
            <w:noProof/>
            <w:webHidden/>
          </w:rPr>
          <w:fldChar w:fldCharType="begin"/>
        </w:r>
        <w:r>
          <w:rPr>
            <w:noProof/>
            <w:webHidden/>
          </w:rPr>
          <w:instrText xml:space="preserve"> PAGEREF _Toc175239061 \h </w:instrText>
        </w:r>
        <w:r>
          <w:rPr>
            <w:noProof/>
            <w:webHidden/>
          </w:rPr>
        </w:r>
        <w:r>
          <w:rPr>
            <w:noProof/>
            <w:webHidden/>
          </w:rPr>
          <w:fldChar w:fldCharType="separate"/>
        </w:r>
        <w:r w:rsidR="00FD06AB">
          <w:rPr>
            <w:noProof/>
            <w:webHidden/>
          </w:rPr>
          <w:t>129</w:t>
        </w:r>
        <w:r>
          <w:rPr>
            <w:noProof/>
            <w:webHidden/>
          </w:rPr>
          <w:fldChar w:fldCharType="end"/>
        </w:r>
      </w:hyperlink>
    </w:p>
    <w:p w14:paraId="7604AFA0" w14:textId="2EFF741B" w:rsidR="003B042F" w:rsidRDefault="003B042F">
      <w:pPr>
        <w:pStyle w:val="TOC4"/>
        <w:rPr>
          <w:rFonts w:asciiTheme="minorHAnsi" w:eastAsiaTheme="minorEastAsia" w:hAnsiTheme="minorHAnsi"/>
          <w:noProof/>
          <w:sz w:val="22"/>
          <w:lang w:eastAsia="en-AU"/>
        </w:rPr>
      </w:pPr>
      <w:hyperlink w:anchor="_Toc175239062" w:history="1">
        <w:r w:rsidRPr="005871B3">
          <w:rPr>
            <w:rStyle w:val="Hyperlink"/>
            <w:noProof/>
          </w:rPr>
          <w:t>92.5—Decision not to prosecute</w:t>
        </w:r>
        <w:r>
          <w:rPr>
            <w:noProof/>
            <w:webHidden/>
          </w:rPr>
          <w:tab/>
        </w:r>
        <w:r>
          <w:rPr>
            <w:noProof/>
            <w:webHidden/>
          </w:rPr>
          <w:fldChar w:fldCharType="begin"/>
        </w:r>
        <w:r>
          <w:rPr>
            <w:noProof/>
            <w:webHidden/>
          </w:rPr>
          <w:instrText xml:space="preserve"> PAGEREF _Toc175239062 \h </w:instrText>
        </w:r>
        <w:r>
          <w:rPr>
            <w:noProof/>
            <w:webHidden/>
          </w:rPr>
        </w:r>
        <w:r>
          <w:rPr>
            <w:noProof/>
            <w:webHidden/>
          </w:rPr>
          <w:fldChar w:fldCharType="separate"/>
        </w:r>
        <w:r w:rsidR="00FD06AB">
          <w:rPr>
            <w:noProof/>
            <w:webHidden/>
          </w:rPr>
          <w:t>129</w:t>
        </w:r>
        <w:r>
          <w:rPr>
            <w:noProof/>
            <w:webHidden/>
          </w:rPr>
          <w:fldChar w:fldCharType="end"/>
        </w:r>
      </w:hyperlink>
    </w:p>
    <w:p w14:paraId="2CD29366" w14:textId="7DAAF4E7"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63" w:history="1">
        <w:r w:rsidRPr="005871B3">
          <w:rPr>
            <w:rStyle w:val="Hyperlink"/>
            <w:noProof/>
          </w:rPr>
          <w:t>Part 3—Disclosure</w:t>
        </w:r>
        <w:r>
          <w:rPr>
            <w:noProof/>
            <w:webHidden/>
          </w:rPr>
          <w:tab/>
        </w:r>
        <w:r>
          <w:rPr>
            <w:noProof/>
            <w:webHidden/>
          </w:rPr>
          <w:fldChar w:fldCharType="begin"/>
        </w:r>
        <w:r>
          <w:rPr>
            <w:noProof/>
            <w:webHidden/>
          </w:rPr>
          <w:instrText xml:space="preserve"> PAGEREF _Toc175239063 \h </w:instrText>
        </w:r>
        <w:r>
          <w:rPr>
            <w:noProof/>
            <w:webHidden/>
          </w:rPr>
        </w:r>
        <w:r>
          <w:rPr>
            <w:noProof/>
            <w:webHidden/>
          </w:rPr>
          <w:fldChar w:fldCharType="separate"/>
        </w:r>
        <w:r w:rsidR="00FD06AB">
          <w:rPr>
            <w:noProof/>
            <w:webHidden/>
          </w:rPr>
          <w:t>129</w:t>
        </w:r>
        <w:r>
          <w:rPr>
            <w:noProof/>
            <w:webHidden/>
          </w:rPr>
          <w:fldChar w:fldCharType="end"/>
        </w:r>
      </w:hyperlink>
    </w:p>
    <w:p w14:paraId="256D851A" w14:textId="7BBC1F28" w:rsidR="003B042F" w:rsidRDefault="003B042F">
      <w:pPr>
        <w:pStyle w:val="TOC4"/>
        <w:rPr>
          <w:rFonts w:asciiTheme="minorHAnsi" w:eastAsiaTheme="minorEastAsia" w:hAnsiTheme="minorHAnsi"/>
          <w:noProof/>
          <w:sz w:val="22"/>
          <w:lang w:eastAsia="en-AU"/>
        </w:rPr>
      </w:pPr>
      <w:hyperlink w:anchor="_Toc175239064" w:history="1">
        <w:r w:rsidRPr="005871B3">
          <w:rPr>
            <w:rStyle w:val="Hyperlink"/>
            <w:noProof/>
          </w:rPr>
          <w:t>93.1—Case Statements</w:t>
        </w:r>
        <w:r>
          <w:rPr>
            <w:noProof/>
            <w:webHidden/>
          </w:rPr>
          <w:tab/>
        </w:r>
        <w:r>
          <w:rPr>
            <w:noProof/>
            <w:webHidden/>
          </w:rPr>
          <w:fldChar w:fldCharType="begin"/>
        </w:r>
        <w:r>
          <w:rPr>
            <w:noProof/>
            <w:webHidden/>
          </w:rPr>
          <w:instrText xml:space="preserve"> PAGEREF _Toc175239064 \h </w:instrText>
        </w:r>
        <w:r>
          <w:rPr>
            <w:noProof/>
            <w:webHidden/>
          </w:rPr>
        </w:r>
        <w:r>
          <w:rPr>
            <w:noProof/>
            <w:webHidden/>
          </w:rPr>
          <w:fldChar w:fldCharType="separate"/>
        </w:r>
        <w:r w:rsidR="00FD06AB">
          <w:rPr>
            <w:noProof/>
            <w:webHidden/>
          </w:rPr>
          <w:t>129</w:t>
        </w:r>
        <w:r>
          <w:rPr>
            <w:noProof/>
            <w:webHidden/>
          </w:rPr>
          <w:fldChar w:fldCharType="end"/>
        </w:r>
      </w:hyperlink>
    </w:p>
    <w:p w14:paraId="7597F023" w14:textId="6F576413" w:rsidR="003B042F" w:rsidRDefault="003B042F">
      <w:pPr>
        <w:pStyle w:val="TOC4"/>
        <w:rPr>
          <w:rFonts w:asciiTheme="minorHAnsi" w:eastAsiaTheme="minorEastAsia" w:hAnsiTheme="minorHAnsi"/>
          <w:noProof/>
          <w:sz w:val="22"/>
          <w:lang w:eastAsia="en-AU"/>
        </w:rPr>
      </w:pPr>
      <w:hyperlink w:anchor="_Toc175239065" w:history="1">
        <w:r w:rsidRPr="005871B3">
          <w:rPr>
            <w:rStyle w:val="Hyperlink"/>
            <w:noProof/>
          </w:rPr>
          <w:t>93.2—Prosecution disclosure of evidentiary material</w:t>
        </w:r>
        <w:r>
          <w:rPr>
            <w:noProof/>
            <w:webHidden/>
          </w:rPr>
          <w:tab/>
        </w:r>
        <w:r>
          <w:rPr>
            <w:noProof/>
            <w:webHidden/>
          </w:rPr>
          <w:fldChar w:fldCharType="begin"/>
        </w:r>
        <w:r>
          <w:rPr>
            <w:noProof/>
            <w:webHidden/>
          </w:rPr>
          <w:instrText xml:space="preserve"> PAGEREF _Toc175239065 \h </w:instrText>
        </w:r>
        <w:r>
          <w:rPr>
            <w:noProof/>
            <w:webHidden/>
          </w:rPr>
        </w:r>
        <w:r>
          <w:rPr>
            <w:noProof/>
            <w:webHidden/>
          </w:rPr>
          <w:fldChar w:fldCharType="separate"/>
        </w:r>
        <w:r w:rsidR="00FD06AB">
          <w:rPr>
            <w:noProof/>
            <w:webHidden/>
          </w:rPr>
          <w:t>130</w:t>
        </w:r>
        <w:r>
          <w:rPr>
            <w:noProof/>
            <w:webHidden/>
          </w:rPr>
          <w:fldChar w:fldCharType="end"/>
        </w:r>
      </w:hyperlink>
    </w:p>
    <w:p w14:paraId="60E469AC" w14:textId="5657B81B" w:rsidR="003B042F" w:rsidRDefault="003B042F">
      <w:pPr>
        <w:pStyle w:val="TOC4"/>
        <w:rPr>
          <w:rFonts w:asciiTheme="minorHAnsi" w:eastAsiaTheme="minorEastAsia" w:hAnsiTheme="minorHAnsi"/>
          <w:noProof/>
          <w:sz w:val="22"/>
          <w:lang w:eastAsia="en-AU"/>
        </w:rPr>
      </w:pPr>
      <w:hyperlink w:anchor="_Toc175239066" w:history="1">
        <w:r w:rsidRPr="005871B3">
          <w:rPr>
            <w:rStyle w:val="Hyperlink"/>
            <w:noProof/>
          </w:rPr>
          <w:t>93.3—Expert evidence</w:t>
        </w:r>
        <w:r>
          <w:rPr>
            <w:noProof/>
            <w:webHidden/>
          </w:rPr>
          <w:tab/>
        </w:r>
        <w:r>
          <w:rPr>
            <w:noProof/>
            <w:webHidden/>
          </w:rPr>
          <w:fldChar w:fldCharType="begin"/>
        </w:r>
        <w:r>
          <w:rPr>
            <w:noProof/>
            <w:webHidden/>
          </w:rPr>
          <w:instrText xml:space="preserve"> PAGEREF _Toc175239066 \h </w:instrText>
        </w:r>
        <w:r>
          <w:rPr>
            <w:noProof/>
            <w:webHidden/>
          </w:rPr>
        </w:r>
        <w:r>
          <w:rPr>
            <w:noProof/>
            <w:webHidden/>
          </w:rPr>
          <w:fldChar w:fldCharType="separate"/>
        </w:r>
        <w:r w:rsidR="00FD06AB">
          <w:rPr>
            <w:noProof/>
            <w:webHidden/>
          </w:rPr>
          <w:t>132</w:t>
        </w:r>
        <w:r>
          <w:rPr>
            <w:noProof/>
            <w:webHidden/>
          </w:rPr>
          <w:fldChar w:fldCharType="end"/>
        </w:r>
      </w:hyperlink>
    </w:p>
    <w:p w14:paraId="35B6C82C" w14:textId="4AA1DC96" w:rsidR="003B042F" w:rsidRDefault="003B042F">
      <w:pPr>
        <w:pStyle w:val="TOC4"/>
        <w:rPr>
          <w:rFonts w:asciiTheme="minorHAnsi" w:eastAsiaTheme="minorEastAsia" w:hAnsiTheme="minorHAnsi"/>
          <w:noProof/>
          <w:sz w:val="22"/>
          <w:lang w:eastAsia="en-AU"/>
        </w:rPr>
      </w:pPr>
      <w:hyperlink w:anchor="_Toc175239067" w:history="1">
        <w:r w:rsidRPr="005871B3">
          <w:rPr>
            <w:rStyle w:val="Hyperlink"/>
            <w:noProof/>
          </w:rPr>
          <w:t>93.4—Alibi evidence</w:t>
        </w:r>
        <w:r>
          <w:rPr>
            <w:noProof/>
            <w:webHidden/>
          </w:rPr>
          <w:tab/>
        </w:r>
        <w:r>
          <w:rPr>
            <w:noProof/>
            <w:webHidden/>
          </w:rPr>
          <w:fldChar w:fldCharType="begin"/>
        </w:r>
        <w:r>
          <w:rPr>
            <w:noProof/>
            <w:webHidden/>
          </w:rPr>
          <w:instrText xml:space="preserve"> PAGEREF _Toc175239067 \h </w:instrText>
        </w:r>
        <w:r>
          <w:rPr>
            <w:noProof/>
            <w:webHidden/>
          </w:rPr>
        </w:r>
        <w:r>
          <w:rPr>
            <w:noProof/>
            <w:webHidden/>
          </w:rPr>
          <w:fldChar w:fldCharType="separate"/>
        </w:r>
        <w:r w:rsidR="00FD06AB">
          <w:rPr>
            <w:noProof/>
            <w:webHidden/>
          </w:rPr>
          <w:t>132</w:t>
        </w:r>
        <w:r>
          <w:rPr>
            <w:noProof/>
            <w:webHidden/>
          </w:rPr>
          <w:fldChar w:fldCharType="end"/>
        </w:r>
      </w:hyperlink>
    </w:p>
    <w:p w14:paraId="402A0DE9" w14:textId="70731F5C" w:rsidR="003B042F" w:rsidRDefault="003B042F">
      <w:pPr>
        <w:pStyle w:val="TOC4"/>
        <w:rPr>
          <w:rFonts w:asciiTheme="minorHAnsi" w:eastAsiaTheme="minorEastAsia" w:hAnsiTheme="minorHAnsi"/>
          <w:noProof/>
          <w:sz w:val="22"/>
          <w:lang w:eastAsia="en-AU"/>
        </w:rPr>
      </w:pPr>
      <w:hyperlink w:anchor="_Toc175239068" w:history="1">
        <w:r w:rsidRPr="005871B3">
          <w:rPr>
            <w:rStyle w:val="Hyperlink"/>
            <w:noProof/>
          </w:rPr>
          <w:t>93.5—Information for guilty plea</w:t>
        </w:r>
        <w:r>
          <w:rPr>
            <w:noProof/>
            <w:webHidden/>
          </w:rPr>
          <w:tab/>
        </w:r>
        <w:r>
          <w:rPr>
            <w:noProof/>
            <w:webHidden/>
          </w:rPr>
          <w:fldChar w:fldCharType="begin"/>
        </w:r>
        <w:r>
          <w:rPr>
            <w:noProof/>
            <w:webHidden/>
          </w:rPr>
          <w:instrText xml:space="preserve"> PAGEREF _Toc175239068 \h </w:instrText>
        </w:r>
        <w:r>
          <w:rPr>
            <w:noProof/>
            <w:webHidden/>
          </w:rPr>
        </w:r>
        <w:r>
          <w:rPr>
            <w:noProof/>
            <w:webHidden/>
          </w:rPr>
          <w:fldChar w:fldCharType="separate"/>
        </w:r>
        <w:r w:rsidR="00FD06AB">
          <w:rPr>
            <w:noProof/>
            <w:webHidden/>
          </w:rPr>
          <w:t>132</w:t>
        </w:r>
        <w:r>
          <w:rPr>
            <w:noProof/>
            <w:webHidden/>
          </w:rPr>
          <w:fldChar w:fldCharType="end"/>
        </w:r>
      </w:hyperlink>
    </w:p>
    <w:p w14:paraId="286479E4" w14:textId="56B72AF9" w:rsidR="003B042F" w:rsidRDefault="003B042F">
      <w:pPr>
        <w:pStyle w:val="TOC4"/>
        <w:rPr>
          <w:rFonts w:asciiTheme="minorHAnsi" w:eastAsiaTheme="minorEastAsia" w:hAnsiTheme="minorHAnsi"/>
          <w:noProof/>
          <w:sz w:val="22"/>
          <w:lang w:eastAsia="en-AU"/>
        </w:rPr>
      </w:pPr>
      <w:hyperlink w:anchor="_Toc175239069" w:history="1">
        <w:r w:rsidRPr="005871B3">
          <w:rPr>
            <w:rStyle w:val="Hyperlink"/>
            <w:noProof/>
          </w:rPr>
          <w:t>93.6—Priority proceedings</w:t>
        </w:r>
        <w:r>
          <w:rPr>
            <w:noProof/>
            <w:webHidden/>
          </w:rPr>
          <w:tab/>
        </w:r>
        <w:r>
          <w:rPr>
            <w:noProof/>
            <w:webHidden/>
          </w:rPr>
          <w:fldChar w:fldCharType="begin"/>
        </w:r>
        <w:r>
          <w:rPr>
            <w:noProof/>
            <w:webHidden/>
          </w:rPr>
          <w:instrText xml:space="preserve"> PAGEREF _Toc175239069 \h </w:instrText>
        </w:r>
        <w:r>
          <w:rPr>
            <w:noProof/>
            <w:webHidden/>
          </w:rPr>
        </w:r>
        <w:r>
          <w:rPr>
            <w:noProof/>
            <w:webHidden/>
          </w:rPr>
          <w:fldChar w:fldCharType="separate"/>
        </w:r>
        <w:r w:rsidR="00FD06AB">
          <w:rPr>
            <w:noProof/>
            <w:webHidden/>
          </w:rPr>
          <w:t>133</w:t>
        </w:r>
        <w:r>
          <w:rPr>
            <w:noProof/>
            <w:webHidden/>
          </w:rPr>
          <w:fldChar w:fldCharType="end"/>
        </w:r>
      </w:hyperlink>
    </w:p>
    <w:p w14:paraId="31A4D5ED" w14:textId="18AC5FC1"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70" w:history="1">
        <w:r w:rsidRPr="005871B3">
          <w:rPr>
            <w:rStyle w:val="Hyperlink"/>
            <w:noProof/>
          </w:rPr>
          <w:t>Part 4—Election or order for trial by judge alone</w:t>
        </w:r>
        <w:r>
          <w:rPr>
            <w:noProof/>
            <w:webHidden/>
          </w:rPr>
          <w:tab/>
        </w:r>
        <w:r>
          <w:rPr>
            <w:noProof/>
            <w:webHidden/>
          </w:rPr>
          <w:fldChar w:fldCharType="begin"/>
        </w:r>
        <w:r>
          <w:rPr>
            <w:noProof/>
            <w:webHidden/>
          </w:rPr>
          <w:instrText xml:space="preserve"> PAGEREF _Toc175239070 \h </w:instrText>
        </w:r>
        <w:r>
          <w:rPr>
            <w:noProof/>
            <w:webHidden/>
          </w:rPr>
        </w:r>
        <w:r>
          <w:rPr>
            <w:noProof/>
            <w:webHidden/>
          </w:rPr>
          <w:fldChar w:fldCharType="separate"/>
        </w:r>
        <w:r w:rsidR="00FD06AB">
          <w:rPr>
            <w:noProof/>
            <w:webHidden/>
          </w:rPr>
          <w:t>133</w:t>
        </w:r>
        <w:r>
          <w:rPr>
            <w:noProof/>
            <w:webHidden/>
          </w:rPr>
          <w:fldChar w:fldCharType="end"/>
        </w:r>
      </w:hyperlink>
    </w:p>
    <w:p w14:paraId="1BAFC47C" w14:textId="2872B6BF" w:rsidR="003B042F" w:rsidRDefault="003B042F">
      <w:pPr>
        <w:pStyle w:val="TOC3"/>
        <w:rPr>
          <w:rFonts w:asciiTheme="minorHAnsi" w:eastAsiaTheme="minorEastAsia" w:hAnsiTheme="minorHAnsi"/>
          <w:b w:val="0"/>
          <w:noProof/>
          <w:sz w:val="22"/>
          <w:lang w:eastAsia="en-AU"/>
        </w:rPr>
      </w:pPr>
      <w:hyperlink w:anchor="_Toc175239071" w:history="1">
        <w:r w:rsidRPr="005871B3">
          <w:rPr>
            <w:rStyle w:val="Hyperlink"/>
            <w:noProof/>
          </w:rPr>
          <w:t>Division 1—Election for trial by judge alone</w:t>
        </w:r>
        <w:r>
          <w:rPr>
            <w:noProof/>
            <w:webHidden/>
          </w:rPr>
          <w:tab/>
        </w:r>
        <w:r>
          <w:rPr>
            <w:noProof/>
            <w:webHidden/>
          </w:rPr>
          <w:fldChar w:fldCharType="begin"/>
        </w:r>
        <w:r>
          <w:rPr>
            <w:noProof/>
            <w:webHidden/>
          </w:rPr>
          <w:instrText xml:space="preserve"> PAGEREF _Toc175239071 \h </w:instrText>
        </w:r>
        <w:r>
          <w:rPr>
            <w:noProof/>
            <w:webHidden/>
          </w:rPr>
        </w:r>
        <w:r>
          <w:rPr>
            <w:noProof/>
            <w:webHidden/>
          </w:rPr>
          <w:fldChar w:fldCharType="separate"/>
        </w:r>
        <w:r w:rsidR="00FD06AB">
          <w:rPr>
            <w:noProof/>
            <w:webHidden/>
          </w:rPr>
          <w:t>133</w:t>
        </w:r>
        <w:r>
          <w:rPr>
            <w:noProof/>
            <w:webHidden/>
          </w:rPr>
          <w:fldChar w:fldCharType="end"/>
        </w:r>
      </w:hyperlink>
    </w:p>
    <w:p w14:paraId="4111854A" w14:textId="5A862088" w:rsidR="003B042F" w:rsidRDefault="003B042F">
      <w:pPr>
        <w:pStyle w:val="TOC4"/>
        <w:rPr>
          <w:rFonts w:asciiTheme="minorHAnsi" w:eastAsiaTheme="minorEastAsia" w:hAnsiTheme="minorHAnsi"/>
          <w:noProof/>
          <w:sz w:val="22"/>
          <w:lang w:eastAsia="en-AU"/>
        </w:rPr>
      </w:pPr>
      <w:hyperlink w:anchor="_Toc175239072" w:history="1">
        <w:r w:rsidRPr="005871B3">
          <w:rPr>
            <w:rStyle w:val="Hyperlink"/>
            <w:noProof/>
          </w:rPr>
          <w:t>94.1—Election requirements</w:t>
        </w:r>
        <w:r>
          <w:rPr>
            <w:noProof/>
            <w:webHidden/>
          </w:rPr>
          <w:tab/>
        </w:r>
        <w:r>
          <w:rPr>
            <w:noProof/>
            <w:webHidden/>
          </w:rPr>
          <w:fldChar w:fldCharType="begin"/>
        </w:r>
        <w:r>
          <w:rPr>
            <w:noProof/>
            <w:webHidden/>
          </w:rPr>
          <w:instrText xml:space="preserve"> PAGEREF _Toc175239072 \h </w:instrText>
        </w:r>
        <w:r>
          <w:rPr>
            <w:noProof/>
            <w:webHidden/>
          </w:rPr>
        </w:r>
        <w:r>
          <w:rPr>
            <w:noProof/>
            <w:webHidden/>
          </w:rPr>
          <w:fldChar w:fldCharType="separate"/>
        </w:r>
        <w:r w:rsidR="00FD06AB">
          <w:rPr>
            <w:noProof/>
            <w:webHidden/>
          </w:rPr>
          <w:t>133</w:t>
        </w:r>
        <w:r>
          <w:rPr>
            <w:noProof/>
            <w:webHidden/>
          </w:rPr>
          <w:fldChar w:fldCharType="end"/>
        </w:r>
      </w:hyperlink>
    </w:p>
    <w:p w14:paraId="58334338" w14:textId="5D303930" w:rsidR="003B042F" w:rsidRDefault="003B042F">
      <w:pPr>
        <w:pStyle w:val="TOC4"/>
        <w:rPr>
          <w:rFonts w:asciiTheme="minorHAnsi" w:eastAsiaTheme="minorEastAsia" w:hAnsiTheme="minorHAnsi"/>
          <w:noProof/>
          <w:sz w:val="22"/>
          <w:lang w:eastAsia="en-AU"/>
        </w:rPr>
      </w:pPr>
      <w:hyperlink w:anchor="_Toc175239073" w:history="1">
        <w:r w:rsidRPr="005871B3">
          <w:rPr>
            <w:rStyle w:val="Hyperlink"/>
            <w:noProof/>
          </w:rPr>
          <w:t>94.2—Subject matter of election</w:t>
        </w:r>
        <w:r>
          <w:rPr>
            <w:noProof/>
            <w:webHidden/>
          </w:rPr>
          <w:tab/>
        </w:r>
        <w:r>
          <w:rPr>
            <w:noProof/>
            <w:webHidden/>
          </w:rPr>
          <w:fldChar w:fldCharType="begin"/>
        </w:r>
        <w:r>
          <w:rPr>
            <w:noProof/>
            <w:webHidden/>
          </w:rPr>
          <w:instrText xml:space="preserve"> PAGEREF _Toc175239073 \h </w:instrText>
        </w:r>
        <w:r>
          <w:rPr>
            <w:noProof/>
            <w:webHidden/>
          </w:rPr>
        </w:r>
        <w:r>
          <w:rPr>
            <w:noProof/>
            <w:webHidden/>
          </w:rPr>
          <w:fldChar w:fldCharType="separate"/>
        </w:r>
        <w:r w:rsidR="00FD06AB">
          <w:rPr>
            <w:noProof/>
            <w:webHidden/>
          </w:rPr>
          <w:t>133</w:t>
        </w:r>
        <w:r>
          <w:rPr>
            <w:noProof/>
            <w:webHidden/>
          </w:rPr>
          <w:fldChar w:fldCharType="end"/>
        </w:r>
      </w:hyperlink>
    </w:p>
    <w:p w14:paraId="41A6A54B" w14:textId="38D33FDE" w:rsidR="003B042F" w:rsidRDefault="003B042F">
      <w:pPr>
        <w:pStyle w:val="TOC4"/>
        <w:rPr>
          <w:rFonts w:asciiTheme="minorHAnsi" w:eastAsiaTheme="minorEastAsia" w:hAnsiTheme="minorHAnsi"/>
          <w:noProof/>
          <w:sz w:val="22"/>
          <w:lang w:eastAsia="en-AU"/>
        </w:rPr>
      </w:pPr>
      <w:hyperlink w:anchor="_Toc175239074" w:history="1">
        <w:r w:rsidRPr="005871B3">
          <w:rPr>
            <w:rStyle w:val="Hyperlink"/>
            <w:noProof/>
          </w:rPr>
          <w:t>94.3—Manner of making election</w:t>
        </w:r>
        <w:r>
          <w:rPr>
            <w:noProof/>
            <w:webHidden/>
          </w:rPr>
          <w:tab/>
        </w:r>
        <w:r>
          <w:rPr>
            <w:noProof/>
            <w:webHidden/>
          </w:rPr>
          <w:fldChar w:fldCharType="begin"/>
        </w:r>
        <w:r>
          <w:rPr>
            <w:noProof/>
            <w:webHidden/>
          </w:rPr>
          <w:instrText xml:space="preserve"> PAGEREF _Toc175239074 \h </w:instrText>
        </w:r>
        <w:r>
          <w:rPr>
            <w:noProof/>
            <w:webHidden/>
          </w:rPr>
        </w:r>
        <w:r>
          <w:rPr>
            <w:noProof/>
            <w:webHidden/>
          </w:rPr>
          <w:fldChar w:fldCharType="separate"/>
        </w:r>
        <w:r w:rsidR="00FD06AB">
          <w:rPr>
            <w:noProof/>
            <w:webHidden/>
          </w:rPr>
          <w:t>134</w:t>
        </w:r>
        <w:r>
          <w:rPr>
            <w:noProof/>
            <w:webHidden/>
          </w:rPr>
          <w:fldChar w:fldCharType="end"/>
        </w:r>
      </w:hyperlink>
    </w:p>
    <w:p w14:paraId="312001F1" w14:textId="67FBC6D9" w:rsidR="003B042F" w:rsidRDefault="003B042F">
      <w:pPr>
        <w:pStyle w:val="TOC4"/>
        <w:rPr>
          <w:rFonts w:asciiTheme="minorHAnsi" w:eastAsiaTheme="minorEastAsia" w:hAnsiTheme="minorHAnsi"/>
          <w:noProof/>
          <w:sz w:val="22"/>
          <w:lang w:eastAsia="en-AU"/>
        </w:rPr>
      </w:pPr>
      <w:hyperlink w:anchor="_Toc175239075" w:history="1">
        <w:r w:rsidRPr="005871B3">
          <w:rPr>
            <w:rStyle w:val="Hyperlink"/>
            <w:noProof/>
          </w:rPr>
          <w:t>94.4—Election irrevocable</w:t>
        </w:r>
        <w:r>
          <w:rPr>
            <w:noProof/>
            <w:webHidden/>
          </w:rPr>
          <w:tab/>
        </w:r>
        <w:r>
          <w:rPr>
            <w:noProof/>
            <w:webHidden/>
          </w:rPr>
          <w:fldChar w:fldCharType="begin"/>
        </w:r>
        <w:r>
          <w:rPr>
            <w:noProof/>
            <w:webHidden/>
          </w:rPr>
          <w:instrText xml:space="preserve"> PAGEREF _Toc175239075 \h </w:instrText>
        </w:r>
        <w:r>
          <w:rPr>
            <w:noProof/>
            <w:webHidden/>
          </w:rPr>
        </w:r>
        <w:r>
          <w:rPr>
            <w:noProof/>
            <w:webHidden/>
          </w:rPr>
          <w:fldChar w:fldCharType="separate"/>
        </w:r>
        <w:r w:rsidR="00FD06AB">
          <w:rPr>
            <w:noProof/>
            <w:webHidden/>
          </w:rPr>
          <w:t>134</w:t>
        </w:r>
        <w:r>
          <w:rPr>
            <w:noProof/>
            <w:webHidden/>
          </w:rPr>
          <w:fldChar w:fldCharType="end"/>
        </w:r>
      </w:hyperlink>
    </w:p>
    <w:p w14:paraId="33F75045" w14:textId="782FC01C" w:rsidR="003B042F" w:rsidRDefault="003B042F">
      <w:pPr>
        <w:pStyle w:val="TOC4"/>
        <w:rPr>
          <w:rFonts w:asciiTheme="minorHAnsi" w:eastAsiaTheme="minorEastAsia" w:hAnsiTheme="minorHAnsi"/>
          <w:noProof/>
          <w:sz w:val="22"/>
          <w:lang w:eastAsia="en-AU"/>
        </w:rPr>
      </w:pPr>
      <w:hyperlink w:anchor="_Toc175239076" w:history="1">
        <w:r w:rsidRPr="005871B3">
          <w:rPr>
            <w:rStyle w:val="Hyperlink"/>
            <w:noProof/>
          </w:rPr>
          <w:t>94.5—Time for making election</w:t>
        </w:r>
        <w:r>
          <w:rPr>
            <w:noProof/>
            <w:webHidden/>
          </w:rPr>
          <w:tab/>
        </w:r>
        <w:r>
          <w:rPr>
            <w:noProof/>
            <w:webHidden/>
          </w:rPr>
          <w:fldChar w:fldCharType="begin"/>
        </w:r>
        <w:r>
          <w:rPr>
            <w:noProof/>
            <w:webHidden/>
          </w:rPr>
          <w:instrText xml:space="preserve"> PAGEREF _Toc175239076 \h </w:instrText>
        </w:r>
        <w:r>
          <w:rPr>
            <w:noProof/>
            <w:webHidden/>
          </w:rPr>
        </w:r>
        <w:r>
          <w:rPr>
            <w:noProof/>
            <w:webHidden/>
          </w:rPr>
          <w:fldChar w:fldCharType="separate"/>
        </w:r>
        <w:r w:rsidR="00FD06AB">
          <w:rPr>
            <w:noProof/>
            <w:webHidden/>
          </w:rPr>
          <w:t>135</w:t>
        </w:r>
        <w:r>
          <w:rPr>
            <w:noProof/>
            <w:webHidden/>
          </w:rPr>
          <w:fldChar w:fldCharType="end"/>
        </w:r>
      </w:hyperlink>
    </w:p>
    <w:p w14:paraId="31CF391D" w14:textId="5835AA63" w:rsidR="003B042F" w:rsidRDefault="003B042F">
      <w:pPr>
        <w:pStyle w:val="TOC4"/>
        <w:rPr>
          <w:rFonts w:asciiTheme="minorHAnsi" w:eastAsiaTheme="minorEastAsia" w:hAnsiTheme="minorHAnsi"/>
          <w:noProof/>
          <w:sz w:val="22"/>
          <w:lang w:eastAsia="en-AU"/>
        </w:rPr>
      </w:pPr>
      <w:hyperlink w:anchor="_Toc175239077" w:history="1">
        <w:r w:rsidRPr="005871B3">
          <w:rPr>
            <w:rStyle w:val="Hyperlink"/>
            <w:noProof/>
          </w:rPr>
          <w:t>94.6—Election after order for new trial</w:t>
        </w:r>
        <w:r>
          <w:rPr>
            <w:noProof/>
            <w:webHidden/>
          </w:rPr>
          <w:tab/>
        </w:r>
        <w:r>
          <w:rPr>
            <w:noProof/>
            <w:webHidden/>
          </w:rPr>
          <w:fldChar w:fldCharType="begin"/>
        </w:r>
        <w:r>
          <w:rPr>
            <w:noProof/>
            <w:webHidden/>
          </w:rPr>
          <w:instrText xml:space="preserve"> PAGEREF _Toc175239077 \h </w:instrText>
        </w:r>
        <w:r>
          <w:rPr>
            <w:noProof/>
            <w:webHidden/>
          </w:rPr>
        </w:r>
        <w:r>
          <w:rPr>
            <w:noProof/>
            <w:webHidden/>
          </w:rPr>
          <w:fldChar w:fldCharType="separate"/>
        </w:r>
        <w:r w:rsidR="00FD06AB">
          <w:rPr>
            <w:noProof/>
            <w:webHidden/>
          </w:rPr>
          <w:t>135</w:t>
        </w:r>
        <w:r>
          <w:rPr>
            <w:noProof/>
            <w:webHidden/>
          </w:rPr>
          <w:fldChar w:fldCharType="end"/>
        </w:r>
      </w:hyperlink>
    </w:p>
    <w:p w14:paraId="75CEE366" w14:textId="492BC2BD" w:rsidR="003B042F" w:rsidRDefault="003B042F">
      <w:pPr>
        <w:pStyle w:val="TOC3"/>
        <w:rPr>
          <w:rFonts w:asciiTheme="minorHAnsi" w:eastAsiaTheme="minorEastAsia" w:hAnsiTheme="minorHAnsi"/>
          <w:b w:val="0"/>
          <w:noProof/>
          <w:sz w:val="22"/>
          <w:lang w:eastAsia="en-AU"/>
        </w:rPr>
      </w:pPr>
      <w:hyperlink w:anchor="_Toc175239078" w:history="1">
        <w:r w:rsidRPr="005871B3">
          <w:rPr>
            <w:rStyle w:val="Hyperlink"/>
            <w:noProof/>
          </w:rPr>
          <w:t>Division 2—Order for trial by judge alone</w:t>
        </w:r>
        <w:r>
          <w:rPr>
            <w:noProof/>
            <w:webHidden/>
          </w:rPr>
          <w:tab/>
        </w:r>
        <w:r>
          <w:rPr>
            <w:noProof/>
            <w:webHidden/>
          </w:rPr>
          <w:fldChar w:fldCharType="begin"/>
        </w:r>
        <w:r>
          <w:rPr>
            <w:noProof/>
            <w:webHidden/>
          </w:rPr>
          <w:instrText xml:space="preserve"> PAGEREF _Toc175239078 \h </w:instrText>
        </w:r>
        <w:r>
          <w:rPr>
            <w:noProof/>
            <w:webHidden/>
          </w:rPr>
        </w:r>
        <w:r>
          <w:rPr>
            <w:noProof/>
            <w:webHidden/>
          </w:rPr>
          <w:fldChar w:fldCharType="separate"/>
        </w:r>
        <w:r w:rsidR="00FD06AB">
          <w:rPr>
            <w:noProof/>
            <w:webHidden/>
          </w:rPr>
          <w:t>135</w:t>
        </w:r>
        <w:r>
          <w:rPr>
            <w:noProof/>
            <w:webHidden/>
          </w:rPr>
          <w:fldChar w:fldCharType="end"/>
        </w:r>
      </w:hyperlink>
    </w:p>
    <w:p w14:paraId="1CF6C667" w14:textId="13C53E99" w:rsidR="003B042F" w:rsidRDefault="003B042F">
      <w:pPr>
        <w:pStyle w:val="TOC4"/>
        <w:rPr>
          <w:rFonts w:asciiTheme="minorHAnsi" w:eastAsiaTheme="minorEastAsia" w:hAnsiTheme="minorHAnsi"/>
          <w:noProof/>
          <w:sz w:val="22"/>
          <w:lang w:eastAsia="en-AU"/>
        </w:rPr>
      </w:pPr>
      <w:hyperlink w:anchor="_Toc175239079" w:history="1">
        <w:r w:rsidRPr="005871B3">
          <w:rPr>
            <w:rStyle w:val="Hyperlink"/>
            <w:noProof/>
          </w:rPr>
          <w:t>95.1—Application by Director</w:t>
        </w:r>
        <w:r>
          <w:rPr>
            <w:noProof/>
            <w:webHidden/>
          </w:rPr>
          <w:tab/>
        </w:r>
        <w:r>
          <w:rPr>
            <w:noProof/>
            <w:webHidden/>
          </w:rPr>
          <w:fldChar w:fldCharType="begin"/>
        </w:r>
        <w:r>
          <w:rPr>
            <w:noProof/>
            <w:webHidden/>
          </w:rPr>
          <w:instrText xml:space="preserve"> PAGEREF _Toc175239079 \h </w:instrText>
        </w:r>
        <w:r>
          <w:rPr>
            <w:noProof/>
            <w:webHidden/>
          </w:rPr>
        </w:r>
        <w:r>
          <w:rPr>
            <w:noProof/>
            <w:webHidden/>
          </w:rPr>
          <w:fldChar w:fldCharType="separate"/>
        </w:r>
        <w:r w:rsidR="00FD06AB">
          <w:rPr>
            <w:noProof/>
            <w:webHidden/>
          </w:rPr>
          <w:t>135</w:t>
        </w:r>
        <w:r>
          <w:rPr>
            <w:noProof/>
            <w:webHidden/>
          </w:rPr>
          <w:fldChar w:fldCharType="end"/>
        </w:r>
      </w:hyperlink>
    </w:p>
    <w:p w14:paraId="42262B1E" w14:textId="2B2AB25A"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80" w:history="1">
        <w:r w:rsidRPr="005871B3">
          <w:rPr>
            <w:rStyle w:val="Hyperlink"/>
            <w:noProof/>
          </w:rPr>
          <w:t>Part 5—Arraignment</w:t>
        </w:r>
        <w:r>
          <w:rPr>
            <w:noProof/>
            <w:webHidden/>
          </w:rPr>
          <w:tab/>
        </w:r>
        <w:r>
          <w:rPr>
            <w:noProof/>
            <w:webHidden/>
          </w:rPr>
          <w:fldChar w:fldCharType="begin"/>
        </w:r>
        <w:r>
          <w:rPr>
            <w:noProof/>
            <w:webHidden/>
          </w:rPr>
          <w:instrText xml:space="preserve"> PAGEREF _Toc175239080 \h </w:instrText>
        </w:r>
        <w:r>
          <w:rPr>
            <w:noProof/>
            <w:webHidden/>
          </w:rPr>
        </w:r>
        <w:r>
          <w:rPr>
            <w:noProof/>
            <w:webHidden/>
          </w:rPr>
          <w:fldChar w:fldCharType="separate"/>
        </w:r>
        <w:r w:rsidR="00FD06AB">
          <w:rPr>
            <w:noProof/>
            <w:webHidden/>
          </w:rPr>
          <w:t>136</w:t>
        </w:r>
        <w:r>
          <w:rPr>
            <w:noProof/>
            <w:webHidden/>
          </w:rPr>
          <w:fldChar w:fldCharType="end"/>
        </w:r>
      </w:hyperlink>
    </w:p>
    <w:p w14:paraId="4D510599" w14:textId="1052E864" w:rsidR="003B042F" w:rsidRDefault="003B042F">
      <w:pPr>
        <w:pStyle w:val="TOC4"/>
        <w:rPr>
          <w:rFonts w:asciiTheme="minorHAnsi" w:eastAsiaTheme="minorEastAsia" w:hAnsiTheme="minorHAnsi"/>
          <w:noProof/>
          <w:sz w:val="22"/>
          <w:lang w:eastAsia="en-AU"/>
        </w:rPr>
      </w:pPr>
      <w:hyperlink w:anchor="_Toc175239081" w:history="1">
        <w:r w:rsidRPr="005871B3">
          <w:rPr>
            <w:rStyle w:val="Hyperlink"/>
            <w:noProof/>
          </w:rPr>
          <w:t>96.1—Arraignment date</w:t>
        </w:r>
        <w:r>
          <w:rPr>
            <w:noProof/>
            <w:webHidden/>
          </w:rPr>
          <w:tab/>
        </w:r>
        <w:r>
          <w:rPr>
            <w:noProof/>
            <w:webHidden/>
          </w:rPr>
          <w:fldChar w:fldCharType="begin"/>
        </w:r>
        <w:r>
          <w:rPr>
            <w:noProof/>
            <w:webHidden/>
          </w:rPr>
          <w:instrText xml:space="preserve"> PAGEREF _Toc175239081 \h </w:instrText>
        </w:r>
        <w:r>
          <w:rPr>
            <w:noProof/>
            <w:webHidden/>
          </w:rPr>
        </w:r>
        <w:r>
          <w:rPr>
            <w:noProof/>
            <w:webHidden/>
          </w:rPr>
          <w:fldChar w:fldCharType="separate"/>
        </w:r>
        <w:r w:rsidR="00FD06AB">
          <w:rPr>
            <w:noProof/>
            <w:webHidden/>
          </w:rPr>
          <w:t>136</w:t>
        </w:r>
        <w:r>
          <w:rPr>
            <w:noProof/>
            <w:webHidden/>
          </w:rPr>
          <w:fldChar w:fldCharType="end"/>
        </w:r>
      </w:hyperlink>
    </w:p>
    <w:p w14:paraId="3850A768" w14:textId="2E7A8CAC" w:rsidR="003B042F" w:rsidRDefault="003B042F">
      <w:pPr>
        <w:pStyle w:val="TOC4"/>
        <w:rPr>
          <w:rFonts w:asciiTheme="minorHAnsi" w:eastAsiaTheme="minorEastAsia" w:hAnsiTheme="minorHAnsi"/>
          <w:noProof/>
          <w:sz w:val="22"/>
          <w:lang w:eastAsia="en-AU"/>
        </w:rPr>
      </w:pPr>
      <w:hyperlink w:anchor="_Toc175239082" w:history="1">
        <w:r w:rsidRPr="005871B3">
          <w:rPr>
            <w:rStyle w:val="Hyperlink"/>
            <w:noProof/>
          </w:rPr>
          <w:t>96.2—Priority proceedings</w:t>
        </w:r>
        <w:r>
          <w:rPr>
            <w:noProof/>
            <w:webHidden/>
          </w:rPr>
          <w:tab/>
        </w:r>
        <w:r>
          <w:rPr>
            <w:noProof/>
            <w:webHidden/>
          </w:rPr>
          <w:fldChar w:fldCharType="begin"/>
        </w:r>
        <w:r>
          <w:rPr>
            <w:noProof/>
            <w:webHidden/>
          </w:rPr>
          <w:instrText xml:space="preserve"> PAGEREF _Toc175239082 \h </w:instrText>
        </w:r>
        <w:r>
          <w:rPr>
            <w:noProof/>
            <w:webHidden/>
          </w:rPr>
        </w:r>
        <w:r>
          <w:rPr>
            <w:noProof/>
            <w:webHidden/>
          </w:rPr>
          <w:fldChar w:fldCharType="separate"/>
        </w:r>
        <w:r w:rsidR="00FD06AB">
          <w:rPr>
            <w:noProof/>
            <w:webHidden/>
          </w:rPr>
          <w:t>136</w:t>
        </w:r>
        <w:r>
          <w:rPr>
            <w:noProof/>
            <w:webHidden/>
          </w:rPr>
          <w:fldChar w:fldCharType="end"/>
        </w:r>
      </w:hyperlink>
    </w:p>
    <w:p w14:paraId="09331F0B" w14:textId="1F3330CD" w:rsidR="003B042F" w:rsidRDefault="003B042F">
      <w:pPr>
        <w:pStyle w:val="TOC4"/>
        <w:rPr>
          <w:rFonts w:asciiTheme="minorHAnsi" w:eastAsiaTheme="minorEastAsia" w:hAnsiTheme="minorHAnsi"/>
          <w:noProof/>
          <w:sz w:val="22"/>
          <w:lang w:eastAsia="en-AU"/>
        </w:rPr>
      </w:pPr>
      <w:hyperlink w:anchor="_Toc175239083" w:history="1">
        <w:r w:rsidRPr="005871B3">
          <w:rPr>
            <w:rStyle w:val="Hyperlink"/>
            <w:noProof/>
          </w:rPr>
          <w:t>96.3—Procedure at arraignment: Supreme Court</w:t>
        </w:r>
        <w:r>
          <w:rPr>
            <w:noProof/>
            <w:webHidden/>
          </w:rPr>
          <w:tab/>
        </w:r>
        <w:r>
          <w:rPr>
            <w:noProof/>
            <w:webHidden/>
          </w:rPr>
          <w:fldChar w:fldCharType="begin"/>
        </w:r>
        <w:r>
          <w:rPr>
            <w:noProof/>
            <w:webHidden/>
          </w:rPr>
          <w:instrText xml:space="preserve"> PAGEREF _Toc175239083 \h </w:instrText>
        </w:r>
        <w:r>
          <w:rPr>
            <w:noProof/>
            <w:webHidden/>
          </w:rPr>
        </w:r>
        <w:r>
          <w:rPr>
            <w:noProof/>
            <w:webHidden/>
          </w:rPr>
          <w:fldChar w:fldCharType="separate"/>
        </w:r>
        <w:r w:rsidR="00FD06AB">
          <w:rPr>
            <w:noProof/>
            <w:webHidden/>
          </w:rPr>
          <w:t>136</w:t>
        </w:r>
        <w:r>
          <w:rPr>
            <w:noProof/>
            <w:webHidden/>
          </w:rPr>
          <w:fldChar w:fldCharType="end"/>
        </w:r>
      </w:hyperlink>
    </w:p>
    <w:p w14:paraId="093AAFCF" w14:textId="081D4C90" w:rsidR="003B042F" w:rsidRDefault="003B042F">
      <w:pPr>
        <w:pStyle w:val="TOC4"/>
        <w:rPr>
          <w:rFonts w:asciiTheme="minorHAnsi" w:eastAsiaTheme="minorEastAsia" w:hAnsiTheme="minorHAnsi"/>
          <w:noProof/>
          <w:sz w:val="22"/>
          <w:lang w:eastAsia="en-AU"/>
        </w:rPr>
      </w:pPr>
      <w:hyperlink w:anchor="_Toc175239084" w:history="1">
        <w:r w:rsidRPr="005871B3">
          <w:rPr>
            <w:rStyle w:val="Hyperlink"/>
            <w:noProof/>
          </w:rPr>
          <w:t>96.4—Procedure at arraignment: District Court</w:t>
        </w:r>
        <w:r>
          <w:rPr>
            <w:noProof/>
            <w:webHidden/>
          </w:rPr>
          <w:tab/>
        </w:r>
        <w:r>
          <w:rPr>
            <w:noProof/>
            <w:webHidden/>
          </w:rPr>
          <w:fldChar w:fldCharType="begin"/>
        </w:r>
        <w:r>
          <w:rPr>
            <w:noProof/>
            <w:webHidden/>
          </w:rPr>
          <w:instrText xml:space="preserve"> PAGEREF _Toc175239084 \h </w:instrText>
        </w:r>
        <w:r>
          <w:rPr>
            <w:noProof/>
            <w:webHidden/>
          </w:rPr>
        </w:r>
        <w:r>
          <w:rPr>
            <w:noProof/>
            <w:webHidden/>
          </w:rPr>
          <w:fldChar w:fldCharType="separate"/>
        </w:r>
        <w:r w:rsidR="00FD06AB">
          <w:rPr>
            <w:noProof/>
            <w:webHidden/>
          </w:rPr>
          <w:t>136</w:t>
        </w:r>
        <w:r>
          <w:rPr>
            <w:noProof/>
            <w:webHidden/>
          </w:rPr>
          <w:fldChar w:fldCharType="end"/>
        </w:r>
      </w:hyperlink>
    </w:p>
    <w:p w14:paraId="2B773E44" w14:textId="3FCCFEFF" w:rsidR="003B042F" w:rsidRDefault="003B042F">
      <w:pPr>
        <w:pStyle w:val="TOC4"/>
        <w:rPr>
          <w:rFonts w:asciiTheme="minorHAnsi" w:eastAsiaTheme="minorEastAsia" w:hAnsiTheme="minorHAnsi"/>
          <w:noProof/>
          <w:sz w:val="22"/>
          <w:lang w:eastAsia="en-AU"/>
        </w:rPr>
      </w:pPr>
      <w:hyperlink w:anchor="_Toc175239085" w:history="1">
        <w:r w:rsidRPr="005871B3">
          <w:rPr>
            <w:rStyle w:val="Hyperlink"/>
            <w:noProof/>
          </w:rPr>
          <w:t>96.5—Subsequent resolution</w:t>
        </w:r>
        <w:r>
          <w:rPr>
            <w:noProof/>
            <w:webHidden/>
          </w:rPr>
          <w:tab/>
        </w:r>
        <w:r>
          <w:rPr>
            <w:noProof/>
            <w:webHidden/>
          </w:rPr>
          <w:fldChar w:fldCharType="begin"/>
        </w:r>
        <w:r>
          <w:rPr>
            <w:noProof/>
            <w:webHidden/>
          </w:rPr>
          <w:instrText xml:space="preserve"> PAGEREF _Toc175239085 \h </w:instrText>
        </w:r>
        <w:r>
          <w:rPr>
            <w:noProof/>
            <w:webHidden/>
          </w:rPr>
        </w:r>
        <w:r>
          <w:rPr>
            <w:noProof/>
            <w:webHidden/>
          </w:rPr>
          <w:fldChar w:fldCharType="separate"/>
        </w:r>
        <w:r w:rsidR="00FD06AB">
          <w:rPr>
            <w:noProof/>
            <w:webHidden/>
          </w:rPr>
          <w:t>137</w:t>
        </w:r>
        <w:r>
          <w:rPr>
            <w:noProof/>
            <w:webHidden/>
          </w:rPr>
          <w:fldChar w:fldCharType="end"/>
        </w:r>
      </w:hyperlink>
    </w:p>
    <w:p w14:paraId="189C74AC" w14:textId="02DE73F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86" w:history="1">
        <w:r w:rsidRPr="005871B3">
          <w:rPr>
            <w:rStyle w:val="Hyperlink"/>
            <w:noProof/>
          </w:rPr>
          <w:t>Part 6—Amendment of Information and Particulars</w:t>
        </w:r>
        <w:r>
          <w:rPr>
            <w:noProof/>
            <w:webHidden/>
          </w:rPr>
          <w:tab/>
        </w:r>
        <w:r>
          <w:rPr>
            <w:noProof/>
            <w:webHidden/>
          </w:rPr>
          <w:fldChar w:fldCharType="begin"/>
        </w:r>
        <w:r>
          <w:rPr>
            <w:noProof/>
            <w:webHidden/>
          </w:rPr>
          <w:instrText xml:space="preserve"> PAGEREF _Toc175239086 \h </w:instrText>
        </w:r>
        <w:r>
          <w:rPr>
            <w:noProof/>
            <w:webHidden/>
          </w:rPr>
        </w:r>
        <w:r>
          <w:rPr>
            <w:noProof/>
            <w:webHidden/>
          </w:rPr>
          <w:fldChar w:fldCharType="separate"/>
        </w:r>
        <w:r w:rsidR="00FD06AB">
          <w:rPr>
            <w:noProof/>
            <w:webHidden/>
          </w:rPr>
          <w:t>137</w:t>
        </w:r>
        <w:r>
          <w:rPr>
            <w:noProof/>
            <w:webHidden/>
          </w:rPr>
          <w:fldChar w:fldCharType="end"/>
        </w:r>
      </w:hyperlink>
    </w:p>
    <w:p w14:paraId="4534A647" w14:textId="4664F245" w:rsidR="003B042F" w:rsidRDefault="003B042F">
      <w:pPr>
        <w:pStyle w:val="TOC4"/>
        <w:rPr>
          <w:rFonts w:asciiTheme="minorHAnsi" w:eastAsiaTheme="minorEastAsia" w:hAnsiTheme="minorHAnsi"/>
          <w:noProof/>
          <w:sz w:val="22"/>
          <w:lang w:eastAsia="en-AU"/>
        </w:rPr>
      </w:pPr>
      <w:hyperlink w:anchor="_Toc175239087" w:history="1">
        <w:r w:rsidRPr="005871B3">
          <w:rPr>
            <w:rStyle w:val="Hyperlink"/>
            <w:noProof/>
          </w:rPr>
          <w:t>97.1—Amendment with or without leave</w:t>
        </w:r>
        <w:r>
          <w:rPr>
            <w:noProof/>
            <w:webHidden/>
          </w:rPr>
          <w:tab/>
        </w:r>
        <w:r>
          <w:rPr>
            <w:noProof/>
            <w:webHidden/>
          </w:rPr>
          <w:fldChar w:fldCharType="begin"/>
        </w:r>
        <w:r>
          <w:rPr>
            <w:noProof/>
            <w:webHidden/>
          </w:rPr>
          <w:instrText xml:space="preserve"> PAGEREF _Toc175239087 \h </w:instrText>
        </w:r>
        <w:r>
          <w:rPr>
            <w:noProof/>
            <w:webHidden/>
          </w:rPr>
        </w:r>
        <w:r>
          <w:rPr>
            <w:noProof/>
            <w:webHidden/>
          </w:rPr>
          <w:fldChar w:fldCharType="separate"/>
        </w:r>
        <w:r w:rsidR="00FD06AB">
          <w:rPr>
            <w:noProof/>
            <w:webHidden/>
          </w:rPr>
          <w:t>137</w:t>
        </w:r>
        <w:r>
          <w:rPr>
            <w:noProof/>
            <w:webHidden/>
          </w:rPr>
          <w:fldChar w:fldCharType="end"/>
        </w:r>
      </w:hyperlink>
    </w:p>
    <w:p w14:paraId="0FDBC9B0" w14:textId="3FE12E59" w:rsidR="003B042F" w:rsidRDefault="003B042F">
      <w:pPr>
        <w:pStyle w:val="TOC4"/>
        <w:rPr>
          <w:rFonts w:asciiTheme="minorHAnsi" w:eastAsiaTheme="minorEastAsia" w:hAnsiTheme="minorHAnsi"/>
          <w:noProof/>
          <w:sz w:val="22"/>
          <w:lang w:eastAsia="en-AU"/>
        </w:rPr>
      </w:pPr>
      <w:hyperlink w:anchor="_Toc175239088" w:history="1">
        <w:r w:rsidRPr="005871B3">
          <w:rPr>
            <w:rStyle w:val="Hyperlink"/>
            <w:noProof/>
          </w:rPr>
          <w:t>97.2—Method of amendment</w:t>
        </w:r>
        <w:r>
          <w:rPr>
            <w:noProof/>
            <w:webHidden/>
          </w:rPr>
          <w:tab/>
        </w:r>
        <w:r>
          <w:rPr>
            <w:noProof/>
            <w:webHidden/>
          </w:rPr>
          <w:fldChar w:fldCharType="begin"/>
        </w:r>
        <w:r>
          <w:rPr>
            <w:noProof/>
            <w:webHidden/>
          </w:rPr>
          <w:instrText xml:space="preserve"> PAGEREF _Toc175239088 \h </w:instrText>
        </w:r>
        <w:r>
          <w:rPr>
            <w:noProof/>
            <w:webHidden/>
          </w:rPr>
        </w:r>
        <w:r>
          <w:rPr>
            <w:noProof/>
            <w:webHidden/>
          </w:rPr>
          <w:fldChar w:fldCharType="separate"/>
        </w:r>
        <w:r w:rsidR="00FD06AB">
          <w:rPr>
            <w:noProof/>
            <w:webHidden/>
          </w:rPr>
          <w:t>138</w:t>
        </w:r>
        <w:r>
          <w:rPr>
            <w:noProof/>
            <w:webHidden/>
          </w:rPr>
          <w:fldChar w:fldCharType="end"/>
        </w:r>
      </w:hyperlink>
    </w:p>
    <w:p w14:paraId="7DD51AE2" w14:textId="0DDC0A48" w:rsidR="003B042F" w:rsidRDefault="003B042F">
      <w:pPr>
        <w:pStyle w:val="TOC4"/>
        <w:rPr>
          <w:rFonts w:asciiTheme="minorHAnsi" w:eastAsiaTheme="minorEastAsia" w:hAnsiTheme="minorHAnsi"/>
          <w:noProof/>
          <w:sz w:val="22"/>
          <w:lang w:eastAsia="en-AU"/>
        </w:rPr>
      </w:pPr>
      <w:hyperlink w:anchor="_Toc175239089" w:history="1">
        <w:r w:rsidRPr="005871B3">
          <w:rPr>
            <w:rStyle w:val="Hyperlink"/>
            <w:noProof/>
          </w:rPr>
          <w:t>97.3—Notifiable offences</w:t>
        </w:r>
        <w:r>
          <w:rPr>
            <w:noProof/>
            <w:webHidden/>
          </w:rPr>
          <w:tab/>
        </w:r>
        <w:r>
          <w:rPr>
            <w:noProof/>
            <w:webHidden/>
          </w:rPr>
          <w:fldChar w:fldCharType="begin"/>
        </w:r>
        <w:r>
          <w:rPr>
            <w:noProof/>
            <w:webHidden/>
          </w:rPr>
          <w:instrText xml:space="preserve"> PAGEREF _Toc175239089 \h </w:instrText>
        </w:r>
        <w:r>
          <w:rPr>
            <w:noProof/>
            <w:webHidden/>
          </w:rPr>
        </w:r>
        <w:r>
          <w:rPr>
            <w:noProof/>
            <w:webHidden/>
          </w:rPr>
          <w:fldChar w:fldCharType="separate"/>
        </w:r>
        <w:r w:rsidR="00FD06AB">
          <w:rPr>
            <w:noProof/>
            <w:webHidden/>
          </w:rPr>
          <w:t>138</w:t>
        </w:r>
        <w:r>
          <w:rPr>
            <w:noProof/>
            <w:webHidden/>
          </w:rPr>
          <w:fldChar w:fldCharType="end"/>
        </w:r>
      </w:hyperlink>
    </w:p>
    <w:p w14:paraId="737547E9" w14:textId="3D01FD43" w:rsidR="003B042F" w:rsidRDefault="003B042F">
      <w:pPr>
        <w:pStyle w:val="TOC4"/>
        <w:rPr>
          <w:rFonts w:asciiTheme="minorHAnsi" w:eastAsiaTheme="minorEastAsia" w:hAnsiTheme="minorHAnsi"/>
          <w:noProof/>
          <w:sz w:val="22"/>
          <w:lang w:eastAsia="en-AU"/>
        </w:rPr>
      </w:pPr>
      <w:hyperlink w:anchor="_Toc175239090" w:history="1">
        <w:r w:rsidRPr="005871B3">
          <w:rPr>
            <w:rStyle w:val="Hyperlink"/>
            <w:noProof/>
          </w:rPr>
          <w:t>97.4—Priority proceeding</w:t>
        </w:r>
        <w:r>
          <w:rPr>
            <w:noProof/>
            <w:webHidden/>
          </w:rPr>
          <w:tab/>
        </w:r>
        <w:r>
          <w:rPr>
            <w:noProof/>
            <w:webHidden/>
          </w:rPr>
          <w:fldChar w:fldCharType="begin"/>
        </w:r>
        <w:r>
          <w:rPr>
            <w:noProof/>
            <w:webHidden/>
          </w:rPr>
          <w:instrText xml:space="preserve"> PAGEREF _Toc175239090 \h </w:instrText>
        </w:r>
        <w:r>
          <w:rPr>
            <w:noProof/>
            <w:webHidden/>
          </w:rPr>
        </w:r>
        <w:r>
          <w:rPr>
            <w:noProof/>
            <w:webHidden/>
          </w:rPr>
          <w:fldChar w:fldCharType="separate"/>
        </w:r>
        <w:r w:rsidR="00FD06AB">
          <w:rPr>
            <w:noProof/>
            <w:webHidden/>
          </w:rPr>
          <w:t>138</w:t>
        </w:r>
        <w:r>
          <w:rPr>
            <w:noProof/>
            <w:webHidden/>
          </w:rPr>
          <w:fldChar w:fldCharType="end"/>
        </w:r>
      </w:hyperlink>
    </w:p>
    <w:p w14:paraId="7554A090" w14:textId="78BAB935" w:rsidR="003B042F" w:rsidRDefault="003B042F">
      <w:pPr>
        <w:pStyle w:val="TOC4"/>
        <w:rPr>
          <w:rFonts w:asciiTheme="minorHAnsi" w:eastAsiaTheme="minorEastAsia" w:hAnsiTheme="minorHAnsi"/>
          <w:noProof/>
          <w:sz w:val="22"/>
          <w:lang w:eastAsia="en-AU"/>
        </w:rPr>
      </w:pPr>
      <w:hyperlink w:anchor="_Toc175239091" w:history="1">
        <w:r w:rsidRPr="005871B3">
          <w:rPr>
            <w:rStyle w:val="Hyperlink"/>
            <w:noProof/>
          </w:rPr>
          <w:t>97.5—Better particulars</w:t>
        </w:r>
        <w:r>
          <w:rPr>
            <w:noProof/>
            <w:webHidden/>
          </w:rPr>
          <w:tab/>
        </w:r>
        <w:r>
          <w:rPr>
            <w:noProof/>
            <w:webHidden/>
          </w:rPr>
          <w:fldChar w:fldCharType="begin"/>
        </w:r>
        <w:r>
          <w:rPr>
            <w:noProof/>
            <w:webHidden/>
          </w:rPr>
          <w:instrText xml:space="preserve"> PAGEREF _Toc175239091 \h </w:instrText>
        </w:r>
        <w:r>
          <w:rPr>
            <w:noProof/>
            <w:webHidden/>
          </w:rPr>
        </w:r>
        <w:r>
          <w:rPr>
            <w:noProof/>
            <w:webHidden/>
          </w:rPr>
          <w:fldChar w:fldCharType="separate"/>
        </w:r>
        <w:r w:rsidR="00FD06AB">
          <w:rPr>
            <w:noProof/>
            <w:webHidden/>
          </w:rPr>
          <w:t>138</w:t>
        </w:r>
        <w:r>
          <w:rPr>
            <w:noProof/>
            <w:webHidden/>
          </w:rPr>
          <w:fldChar w:fldCharType="end"/>
        </w:r>
      </w:hyperlink>
    </w:p>
    <w:p w14:paraId="4AA0BC4F" w14:textId="3A905E2A"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92" w:history="1">
        <w:r w:rsidRPr="005871B3">
          <w:rPr>
            <w:rStyle w:val="Hyperlink"/>
            <w:noProof/>
          </w:rPr>
          <w:t>Part 7—Matters before first directions hearing</w:t>
        </w:r>
        <w:r>
          <w:rPr>
            <w:noProof/>
            <w:webHidden/>
          </w:rPr>
          <w:tab/>
        </w:r>
        <w:r>
          <w:rPr>
            <w:noProof/>
            <w:webHidden/>
          </w:rPr>
          <w:fldChar w:fldCharType="begin"/>
        </w:r>
        <w:r>
          <w:rPr>
            <w:noProof/>
            <w:webHidden/>
          </w:rPr>
          <w:instrText xml:space="preserve"> PAGEREF _Toc175239092 \h </w:instrText>
        </w:r>
        <w:r>
          <w:rPr>
            <w:noProof/>
            <w:webHidden/>
          </w:rPr>
        </w:r>
        <w:r>
          <w:rPr>
            <w:noProof/>
            <w:webHidden/>
          </w:rPr>
          <w:fldChar w:fldCharType="separate"/>
        </w:r>
        <w:r w:rsidR="00FD06AB">
          <w:rPr>
            <w:noProof/>
            <w:webHidden/>
          </w:rPr>
          <w:t>139</w:t>
        </w:r>
        <w:r>
          <w:rPr>
            <w:noProof/>
            <w:webHidden/>
          </w:rPr>
          <w:fldChar w:fldCharType="end"/>
        </w:r>
      </w:hyperlink>
    </w:p>
    <w:p w14:paraId="1364F041" w14:textId="7A0F3D97" w:rsidR="003B042F" w:rsidRDefault="003B042F">
      <w:pPr>
        <w:pStyle w:val="TOC4"/>
        <w:rPr>
          <w:rFonts w:asciiTheme="minorHAnsi" w:eastAsiaTheme="minorEastAsia" w:hAnsiTheme="minorHAnsi"/>
          <w:noProof/>
          <w:sz w:val="22"/>
          <w:lang w:eastAsia="en-AU"/>
        </w:rPr>
      </w:pPr>
      <w:hyperlink w:anchor="_Toc175239093" w:history="1">
        <w:r w:rsidRPr="005871B3">
          <w:rPr>
            <w:rStyle w:val="Hyperlink"/>
            <w:noProof/>
          </w:rPr>
          <w:t>98.1—Legal representation certificate or written assurance</w:t>
        </w:r>
        <w:r>
          <w:rPr>
            <w:noProof/>
            <w:webHidden/>
          </w:rPr>
          <w:tab/>
        </w:r>
        <w:r>
          <w:rPr>
            <w:noProof/>
            <w:webHidden/>
          </w:rPr>
          <w:fldChar w:fldCharType="begin"/>
        </w:r>
        <w:r>
          <w:rPr>
            <w:noProof/>
            <w:webHidden/>
          </w:rPr>
          <w:instrText xml:space="preserve"> PAGEREF _Toc175239093 \h </w:instrText>
        </w:r>
        <w:r>
          <w:rPr>
            <w:noProof/>
            <w:webHidden/>
          </w:rPr>
        </w:r>
        <w:r>
          <w:rPr>
            <w:noProof/>
            <w:webHidden/>
          </w:rPr>
          <w:fldChar w:fldCharType="separate"/>
        </w:r>
        <w:r w:rsidR="00FD06AB">
          <w:rPr>
            <w:noProof/>
            <w:webHidden/>
          </w:rPr>
          <w:t>139</w:t>
        </w:r>
        <w:r>
          <w:rPr>
            <w:noProof/>
            <w:webHidden/>
          </w:rPr>
          <w:fldChar w:fldCharType="end"/>
        </w:r>
      </w:hyperlink>
    </w:p>
    <w:p w14:paraId="2261A104" w14:textId="56ECB58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094" w:history="1">
        <w:r w:rsidRPr="005871B3">
          <w:rPr>
            <w:rStyle w:val="Hyperlink"/>
            <w:noProof/>
          </w:rPr>
          <w:t>Part 8—Hearings and applications</w:t>
        </w:r>
        <w:r>
          <w:rPr>
            <w:noProof/>
            <w:webHidden/>
          </w:rPr>
          <w:tab/>
        </w:r>
        <w:r>
          <w:rPr>
            <w:noProof/>
            <w:webHidden/>
          </w:rPr>
          <w:fldChar w:fldCharType="begin"/>
        </w:r>
        <w:r>
          <w:rPr>
            <w:noProof/>
            <w:webHidden/>
          </w:rPr>
          <w:instrText xml:space="preserve"> PAGEREF _Toc175239094 \h </w:instrText>
        </w:r>
        <w:r>
          <w:rPr>
            <w:noProof/>
            <w:webHidden/>
          </w:rPr>
        </w:r>
        <w:r>
          <w:rPr>
            <w:noProof/>
            <w:webHidden/>
          </w:rPr>
          <w:fldChar w:fldCharType="separate"/>
        </w:r>
        <w:r w:rsidR="00FD06AB">
          <w:rPr>
            <w:noProof/>
            <w:webHidden/>
          </w:rPr>
          <w:t>139</w:t>
        </w:r>
        <w:r>
          <w:rPr>
            <w:noProof/>
            <w:webHidden/>
          </w:rPr>
          <w:fldChar w:fldCharType="end"/>
        </w:r>
      </w:hyperlink>
    </w:p>
    <w:p w14:paraId="166AE129" w14:textId="0199B3F2" w:rsidR="003B042F" w:rsidRDefault="003B042F">
      <w:pPr>
        <w:pStyle w:val="TOC3"/>
        <w:rPr>
          <w:rFonts w:asciiTheme="minorHAnsi" w:eastAsiaTheme="minorEastAsia" w:hAnsiTheme="minorHAnsi"/>
          <w:b w:val="0"/>
          <w:noProof/>
          <w:sz w:val="22"/>
          <w:lang w:eastAsia="en-AU"/>
        </w:rPr>
      </w:pPr>
      <w:hyperlink w:anchor="_Toc175239095" w:history="1">
        <w:r w:rsidRPr="005871B3">
          <w:rPr>
            <w:rStyle w:val="Hyperlink"/>
            <w:noProof/>
          </w:rPr>
          <w:t>Division 1—Directions hearings</w:t>
        </w:r>
        <w:r>
          <w:rPr>
            <w:noProof/>
            <w:webHidden/>
          </w:rPr>
          <w:tab/>
        </w:r>
        <w:r>
          <w:rPr>
            <w:noProof/>
            <w:webHidden/>
          </w:rPr>
          <w:fldChar w:fldCharType="begin"/>
        </w:r>
        <w:r>
          <w:rPr>
            <w:noProof/>
            <w:webHidden/>
          </w:rPr>
          <w:instrText xml:space="preserve"> PAGEREF _Toc175239095 \h </w:instrText>
        </w:r>
        <w:r>
          <w:rPr>
            <w:noProof/>
            <w:webHidden/>
          </w:rPr>
        </w:r>
        <w:r>
          <w:rPr>
            <w:noProof/>
            <w:webHidden/>
          </w:rPr>
          <w:fldChar w:fldCharType="separate"/>
        </w:r>
        <w:r w:rsidR="00FD06AB">
          <w:rPr>
            <w:noProof/>
            <w:webHidden/>
          </w:rPr>
          <w:t>139</w:t>
        </w:r>
        <w:r>
          <w:rPr>
            <w:noProof/>
            <w:webHidden/>
          </w:rPr>
          <w:fldChar w:fldCharType="end"/>
        </w:r>
      </w:hyperlink>
    </w:p>
    <w:p w14:paraId="1D4C990B" w14:textId="0844756D" w:rsidR="003B042F" w:rsidRDefault="003B042F">
      <w:pPr>
        <w:pStyle w:val="TOC4"/>
        <w:rPr>
          <w:rFonts w:asciiTheme="minorHAnsi" w:eastAsiaTheme="minorEastAsia" w:hAnsiTheme="minorHAnsi"/>
          <w:noProof/>
          <w:sz w:val="22"/>
          <w:lang w:eastAsia="en-AU"/>
        </w:rPr>
      </w:pPr>
      <w:hyperlink w:anchor="_Toc175239096" w:history="1">
        <w:r w:rsidRPr="005871B3">
          <w:rPr>
            <w:rStyle w:val="Hyperlink"/>
            <w:noProof/>
          </w:rPr>
          <w:t>99.1—Convening directions hearing</w:t>
        </w:r>
        <w:r>
          <w:rPr>
            <w:noProof/>
            <w:webHidden/>
          </w:rPr>
          <w:tab/>
        </w:r>
        <w:r>
          <w:rPr>
            <w:noProof/>
            <w:webHidden/>
          </w:rPr>
          <w:fldChar w:fldCharType="begin"/>
        </w:r>
        <w:r>
          <w:rPr>
            <w:noProof/>
            <w:webHidden/>
          </w:rPr>
          <w:instrText xml:space="preserve"> PAGEREF _Toc175239096 \h </w:instrText>
        </w:r>
        <w:r>
          <w:rPr>
            <w:noProof/>
            <w:webHidden/>
          </w:rPr>
        </w:r>
        <w:r>
          <w:rPr>
            <w:noProof/>
            <w:webHidden/>
          </w:rPr>
          <w:fldChar w:fldCharType="separate"/>
        </w:r>
        <w:r w:rsidR="00FD06AB">
          <w:rPr>
            <w:noProof/>
            <w:webHidden/>
          </w:rPr>
          <w:t>139</w:t>
        </w:r>
        <w:r>
          <w:rPr>
            <w:noProof/>
            <w:webHidden/>
          </w:rPr>
          <w:fldChar w:fldCharType="end"/>
        </w:r>
      </w:hyperlink>
    </w:p>
    <w:p w14:paraId="1E9808D9" w14:textId="19C6067B" w:rsidR="003B042F" w:rsidRDefault="003B042F">
      <w:pPr>
        <w:pStyle w:val="TOC4"/>
        <w:rPr>
          <w:rFonts w:asciiTheme="minorHAnsi" w:eastAsiaTheme="minorEastAsia" w:hAnsiTheme="minorHAnsi"/>
          <w:noProof/>
          <w:sz w:val="22"/>
          <w:lang w:eastAsia="en-AU"/>
        </w:rPr>
      </w:pPr>
      <w:hyperlink w:anchor="_Toc175239097" w:history="1">
        <w:r w:rsidRPr="005871B3">
          <w:rPr>
            <w:rStyle w:val="Hyperlink"/>
            <w:noProof/>
          </w:rPr>
          <w:t>99.2—Attendance of parties at directions hearing</w:t>
        </w:r>
        <w:r>
          <w:rPr>
            <w:noProof/>
            <w:webHidden/>
          </w:rPr>
          <w:tab/>
        </w:r>
        <w:r>
          <w:rPr>
            <w:noProof/>
            <w:webHidden/>
          </w:rPr>
          <w:fldChar w:fldCharType="begin"/>
        </w:r>
        <w:r>
          <w:rPr>
            <w:noProof/>
            <w:webHidden/>
          </w:rPr>
          <w:instrText xml:space="preserve"> PAGEREF _Toc175239097 \h </w:instrText>
        </w:r>
        <w:r>
          <w:rPr>
            <w:noProof/>
            <w:webHidden/>
          </w:rPr>
        </w:r>
        <w:r>
          <w:rPr>
            <w:noProof/>
            <w:webHidden/>
          </w:rPr>
          <w:fldChar w:fldCharType="separate"/>
        </w:r>
        <w:r w:rsidR="00FD06AB">
          <w:rPr>
            <w:noProof/>
            <w:webHidden/>
          </w:rPr>
          <w:t>140</w:t>
        </w:r>
        <w:r>
          <w:rPr>
            <w:noProof/>
            <w:webHidden/>
          </w:rPr>
          <w:fldChar w:fldCharType="end"/>
        </w:r>
      </w:hyperlink>
    </w:p>
    <w:p w14:paraId="49983C1B" w14:textId="7EFD938D" w:rsidR="003B042F" w:rsidRDefault="003B042F">
      <w:pPr>
        <w:pStyle w:val="TOC4"/>
        <w:rPr>
          <w:rFonts w:asciiTheme="minorHAnsi" w:eastAsiaTheme="minorEastAsia" w:hAnsiTheme="minorHAnsi"/>
          <w:noProof/>
          <w:sz w:val="22"/>
          <w:lang w:eastAsia="en-AU"/>
        </w:rPr>
      </w:pPr>
      <w:hyperlink w:anchor="_Toc175239098" w:history="1">
        <w:r w:rsidRPr="005871B3">
          <w:rPr>
            <w:rStyle w:val="Hyperlink"/>
            <w:noProof/>
          </w:rPr>
          <w:t>99.3—Attendance of public at directions hearing</w:t>
        </w:r>
        <w:r>
          <w:rPr>
            <w:noProof/>
            <w:webHidden/>
          </w:rPr>
          <w:tab/>
        </w:r>
        <w:r>
          <w:rPr>
            <w:noProof/>
            <w:webHidden/>
          </w:rPr>
          <w:fldChar w:fldCharType="begin"/>
        </w:r>
        <w:r>
          <w:rPr>
            <w:noProof/>
            <w:webHidden/>
          </w:rPr>
          <w:instrText xml:space="preserve"> PAGEREF _Toc175239098 \h </w:instrText>
        </w:r>
        <w:r>
          <w:rPr>
            <w:noProof/>
            <w:webHidden/>
          </w:rPr>
        </w:r>
        <w:r>
          <w:rPr>
            <w:noProof/>
            <w:webHidden/>
          </w:rPr>
          <w:fldChar w:fldCharType="separate"/>
        </w:r>
        <w:r w:rsidR="00FD06AB">
          <w:rPr>
            <w:noProof/>
            <w:webHidden/>
          </w:rPr>
          <w:t>140</w:t>
        </w:r>
        <w:r>
          <w:rPr>
            <w:noProof/>
            <w:webHidden/>
          </w:rPr>
          <w:fldChar w:fldCharType="end"/>
        </w:r>
      </w:hyperlink>
    </w:p>
    <w:p w14:paraId="7046B863" w14:textId="202AE236" w:rsidR="003B042F" w:rsidRDefault="003B042F">
      <w:pPr>
        <w:pStyle w:val="TOC3"/>
        <w:rPr>
          <w:rFonts w:asciiTheme="minorHAnsi" w:eastAsiaTheme="minorEastAsia" w:hAnsiTheme="minorHAnsi"/>
          <w:b w:val="0"/>
          <w:noProof/>
          <w:sz w:val="22"/>
          <w:lang w:eastAsia="en-AU"/>
        </w:rPr>
      </w:pPr>
      <w:hyperlink w:anchor="_Toc175239099" w:history="1">
        <w:r w:rsidRPr="005871B3">
          <w:rPr>
            <w:rStyle w:val="Hyperlink"/>
            <w:noProof/>
          </w:rPr>
          <w:t>Division 2—Listing for trial: Supreme Court</w:t>
        </w:r>
        <w:r>
          <w:rPr>
            <w:noProof/>
            <w:webHidden/>
          </w:rPr>
          <w:tab/>
        </w:r>
        <w:r>
          <w:rPr>
            <w:noProof/>
            <w:webHidden/>
          </w:rPr>
          <w:fldChar w:fldCharType="begin"/>
        </w:r>
        <w:r>
          <w:rPr>
            <w:noProof/>
            <w:webHidden/>
          </w:rPr>
          <w:instrText xml:space="preserve"> PAGEREF _Toc175239099 \h </w:instrText>
        </w:r>
        <w:r>
          <w:rPr>
            <w:noProof/>
            <w:webHidden/>
          </w:rPr>
        </w:r>
        <w:r>
          <w:rPr>
            <w:noProof/>
            <w:webHidden/>
          </w:rPr>
          <w:fldChar w:fldCharType="separate"/>
        </w:r>
        <w:r w:rsidR="00FD06AB">
          <w:rPr>
            <w:noProof/>
            <w:webHidden/>
          </w:rPr>
          <w:t>140</w:t>
        </w:r>
        <w:r>
          <w:rPr>
            <w:noProof/>
            <w:webHidden/>
          </w:rPr>
          <w:fldChar w:fldCharType="end"/>
        </w:r>
      </w:hyperlink>
    </w:p>
    <w:p w14:paraId="641CB356" w14:textId="1111B236" w:rsidR="003B042F" w:rsidRDefault="003B042F">
      <w:pPr>
        <w:pStyle w:val="TOC4"/>
        <w:rPr>
          <w:rFonts w:asciiTheme="minorHAnsi" w:eastAsiaTheme="minorEastAsia" w:hAnsiTheme="minorHAnsi"/>
          <w:noProof/>
          <w:sz w:val="22"/>
          <w:lang w:eastAsia="en-AU"/>
        </w:rPr>
      </w:pPr>
      <w:hyperlink w:anchor="_Toc175239100" w:history="1">
        <w:r w:rsidRPr="005871B3">
          <w:rPr>
            <w:rStyle w:val="Hyperlink"/>
            <w:noProof/>
          </w:rPr>
          <w:t>100.1—Listing for trial</w:t>
        </w:r>
        <w:r>
          <w:rPr>
            <w:noProof/>
            <w:webHidden/>
          </w:rPr>
          <w:tab/>
        </w:r>
        <w:r>
          <w:rPr>
            <w:noProof/>
            <w:webHidden/>
          </w:rPr>
          <w:fldChar w:fldCharType="begin"/>
        </w:r>
        <w:r>
          <w:rPr>
            <w:noProof/>
            <w:webHidden/>
          </w:rPr>
          <w:instrText xml:space="preserve"> PAGEREF _Toc175239100 \h </w:instrText>
        </w:r>
        <w:r>
          <w:rPr>
            <w:noProof/>
            <w:webHidden/>
          </w:rPr>
        </w:r>
        <w:r>
          <w:rPr>
            <w:noProof/>
            <w:webHidden/>
          </w:rPr>
          <w:fldChar w:fldCharType="separate"/>
        </w:r>
        <w:r w:rsidR="00FD06AB">
          <w:rPr>
            <w:noProof/>
            <w:webHidden/>
          </w:rPr>
          <w:t>140</w:t>
        </w:r>
        <w:r>
          <w:rPr>
            <w:noProof/>
            <w:webHidden/>
          </w:rPr>
          <w:fldChar w:fldCharType="end"/>
        </w:r>
      </w:hyperlink>
    </w:p>
    <w:p w14:paraId="3C18D05F" w14:textId="4F22B377" w:rsidR="003B042F" w:rsidRDefault="003B042F">
      <w:pPr>
        <w:pStyle w:val="TOC3"/>
        <w:rPr>
          <w:rFonts w:asciiTheme="minorHAnsi" w:eastAsiaTheme="minorEastAsia" w:hAnsiTheme="minorHAnsi"/>
          <w:b w:val="0"/>
          <w:noProof/>
          <w:sz w:val="22"/>
          <w:lang w:eastAsia="en-AU"/>
        </w:rPr>
      </w:pPr>
      <w:hyperlink w:anchor="_Toc175239101" w:history="1">
        <w:r w:rsidRPr="005871B3">
          <w:rPr>
            <w:rStyle w:val="Hyperlink"/>
            <w:noProof/>
          </w:rPr>
          <w:t>Division 3—Pre-trial conferences</w:t>
        </w:r>
        <w:r>
          <w:rPr>
            <w:noProof/>
            <w:webHidden/>
          </w:rPr>
          <w:tab/>
        </w:r>
        <w:r>
          <w:rPr>
            <w:noProof/>
            <w:webHidden/>
          </w:rPr>
          <w:fldChar w:fldCharType="begin"/>
        </w:r>
        <w:r>
          <w:rPr>
            <w:noProof/>
            <w:webHidden/>
          </w:rPr>
          <w:instrText xml:space="preserve"> PAGEREF _Toc175239101 \h </w:instrText>
        </w:r>
        <w:r>
          <w:rPr>
            <w:noProof/>
            <w:webHidden/>
          </w:rPr>
        </w:r>
        <w:r>
          <w:rPr>
            <w:noProof/>
            <w:webHidden/>
          </w:rPr>
          <w:fldChar w:fldCharType="separate"/>
        </w:r>
        <w:r w:rsidR="00FD06AB">
          <w:rPr>
            <w:noProof/>
            <w:webHidden/>
          </w:rPr>
          <w:t>141</w:t>
        </w:r>
        <w:r>
          <w:rPr>
            <w:noProof/>
            <w:webHidden/>
          </w:rPr>
          <w:fldChar w:fldCharType="end"/>
        </w:r>
      </w:hyperlink>
    </w:p>
    <w:p w14:paraId="1EFE9618" w14:textId="51411A73" w:rsidR="003B042F" w:rsidRDefault="003B042F">
      <w:pPr>
        <w:pStyle w:val="TOC4"/>
        <w:rPr>
          <w:rFonts w:asciiTheme="minorHAnsi" w:eastAsiaTheme="minorEastAsia" w:hAnsiTheme="minorHAnsi"/>
          <w:noProof/>
          <w:sz w:val="22"/>
          <w:lang w:eastAsia="en-AU"/>
        </w:rPr>
      </w:pPr>
      <w:hyperlink w:anchor="_Toc175239102" w:history="1">
        <w:r w:rsidRPr="005871B3">
          <w:rPr>
            <w:rStyle w:val="Hyperlink"/>
            <w:noProof/>
          </w:rPr>
          <w:t>101.1—Pre-trial conference</w:t>
        </w:r>
        <w:r>
          <w:rPr>
            <w:noProof/>
            <w:webHidden/>
          </w:rPr>
          <w:tab/>
        </w:r>
        <w:r>
          <w:rPr>
            <w:noProof/>
            <w:webHidden/>
          </w:rPr>
          <w:fldChar w:fldCharType="begin"/>
        </w:r>
        <w:r>
          <w:rPr>
            <w:noProof/>
            <w:webHidden/>
          </w:rPr>
          <w:instrText xml:space="preserve"> PAGEREF _Toc175239102 \h </w:instrText>
        </w:r>
        <w:r>
          <w:rPr>
            <w:noProof/>
            <w:webHidden/>
          </w:rPr>
        </w:r>
        <w:r>
          <w:rPr>
            <w:noProof/>
            <w:webHidden/>
          </w:rPr>
          <w:fldChar w:fldCharType="separate"/>
        </w:r>
        <w:r w:rsidR="00FD06AB">
          <w:rPr>
            <w:noProof/>
            <w:webHidden/>
          </w:rPr>
          <w:t>141</w:t>
        </w:r>
        <w:r>
          <w:rPr>
            <w:noProof/>
            <w:webHidden/>
          </w:rPr>
          <w:fldChar w:fldCharType="end"/>
        </w:r>
      </w:hyperlink>
    </w:p>
    <w:p w14:paraId="27D0D86F" w14:textId="319EB195" w:rsidR="003B042F" w:rsidRDefault="003B042F">
      <w:pPr>
        <w:pStyle w:val="TOC3"/>
        <w:rPr>
          <w:rFonts w:asciiTheme="minorHAnsi" w:eastAsiaTheme="minorEastAsia" w:hAnsiTheme="minorHAnsi"/>
          <w:b w:val="0"/>
          <w:noProof/>
          <w:sz w:val="22"/>
          <w:lang w:eastAsia="en-AU"/>
        </w:rPr>
      </w:pPr>
      <w:hyperlink w:anchor="_Toc175239103" w:history="1">
        <w:r w:rsidRPr="005871B3">
          <w:rPr>
            <w:rStyle w:val="Hyperlink"/>
            <w:noProof/>
          </w:rPr>
          <w:t>Division 4—Applications</w:t>
        </w:r>
        <w:r>
          <w:rPr>
            <w:noProof/>
            <w:webHidden/>
          </w:rPr>
          <w:tab/>
        </w:r>
        <w:r>
          <w:rPr>
            <w:noProof/>
            <w:webHidden/>
          </w:rPr>
          <w:fldChar w:fldCharType="begin"/>
        </w:r>
        <w:r>
          <w:rPr>
            <w:noProof/>
            <w:webHidden/>
          </w:rPr>
          <w:instrText xml:space="preserve"> PAGEREF _Toc175239103 \h </w:instrText>
        </w:r>
        <w:r>
          <w:rPr>
            <w:noProof/>
            <w:webHidden/>
          </w:rPr>
        </w:r>
        <w:r>
          <w:rPr>
            <w:noProof/>
            <w:webHidden/>
          </w:rPr>
          <w:fldChar w:fldCharType="separate"/>
        </w:r>
        <w:r w:rsidR="00FD06AB">
          <w:rPr>
            <w:noProof/>
            <w:webHidden/>
          </w:rPr>
          <w:t>141</w:t>
        </w:r>
        <w:r>
          <w:rPr>
            <w:noProof/>
            <w:webHidden/>
          </w:rPr>
          <w:fldChar w:fldCharType="end"/>
        </w:r>
      </w:hyperlink>
    </w:p>
    <w:p w14:paraId="120BD944" w14:textId="5C71B353" w:rsidR="003B042F" w:rsidRDefault="003B042F">
      <w:pPr>
        <w:pStyle w:val="TOC4"/>
        <w:rPr>
          <w:rFonts w:asciiTheme="minorHAnsi" w:eastAsiaTheme="minorEastAsia" w:hAnsiTheme="minorHAnsi"/>
          <w:noProof/>
          <w:sz w:val="22"/>
          <w:lang w:eastAsia="en-AU"/>
        </w:rPr>
      </w:pPr>
      <w:hyperlink w:anchor="_Toc175239104" w:history="1">
        <w:r w:rsidRPr="005871B3">
          <w:rPr>
            <w:rStyle w:val="Hyperlink"/>
            <w:noProof/>
          </w:rPr>
          <w:t>102.1—Time for making certain applications</w:t>
        </w:r>
        <w:r>
          <w:rPr>
            <w:noProof/>
            <w:webHidden/>
          </w:rPr>
          <w:tab/>
        </w:r>
        <w:r>
          <w:rPr>
            <w:noProof/>
            <w:webHidden/>
          </w:rPr>
          <w:fldChar w:fldCharType="begin"/>
        </w:r>
        <w:r>
          <w:rPr>
            <w:noProof/>
            <w:webHidden/>
          </w:rPr>
          <w:instrText xml:space="preserve"> PAGEREF _Toc175239104 \h </w:instrText>
        </w:r>
        <w:r>
          <w:rPr>
            <w:noProof/>
            <w:webHidden/>
          </w:rPr>
        </w:r>
        <w:r>
          <w:rPr>
            <w:noProof/>
            <w:webHidden/>
          </w:rPr>
          <w:fldChar w:fldCharType="separate"/>
        </w:r>
        <w:r w:rsidR="00FD06AB">
          <w:rPr>
            <w:noProof/>
            <w:webHidden/>
          </w:rPr>
          <w:t>141</w:t>
        </w:r>
        <w:r>
          <w:rPr>
            <w:noProof/>
            <w:webHidden/>
          </w:rPr>
          <w:fldChar w:fldCharType="end"/>
        </w:r>
      </w:hyperlink>
    </w:p>
    <w:p w14:paraId="6B9ACF5B" w14:textId="4B22E9B9" w:rsidR="003B042F" w:rsidRDefault="003B042F">
      <w:pPr>
        <w:pStyle w:val="TOC3"/>
        <w:rPr>
          <w:rFonts w:asciiTheme="minorHAnsi" w:eastAsiaTheme="minorEastAsia" w:hAnsiTheme="minorHAnsi"/>
          <w:b w:val="0"/>
          <w:noProof/>
          <w:sz w:val="22"/>
          <w:lang w:eastAsia="en-AU"/>
        </w:rPr>
      </w:pPr>
      <w:hyperlink w:anchor="_Toc175239105" w:history="1">
        <w:r w:rsidRPr="005871B3">
          <w:rPr>
            <w:rStyle w:val="Hyperlink"/>
            <w:noProof/>
          </w:rPr>
          <w:t>Division 5—Fitness to stand trial and mental competence</w:t>
        </w:r>
        <w:r>
          <w:rPr>
            <w:noProof/>
            <w:webHidden/>
          </w:rPr>
          <w:tab/>
        </w:r>
        <w:r>
          <w:rPr>
            <w:noProof/>
            <w:webHidden/>
          </w:rPr>
          <w:fldChar w:fldCharType="begin"/>
        </w:r>
        <w:r>
          <w:rPr>
            <w:noProof/>
            <w:webHidden/>
          </w:rPr>
          <w:instrText xml:space="preserve"> PAGEREF _Toc175239105 \h </w:instrText>
        </w:r>
        <w:r>
          <w:rPr>
            <w:noProof/>
            <w:webHidden/>
          </w:rPr>
        </w:r>
        <w:r>
          <w:rPr>
            <w:noProof/>
            <w:webHidden/>
          </w:rPr>
          <w:fldChar w:fldCharType="separate"/>
        </w:r>
        <w:r w:rsidR="00FD06AB">
          <w:rPr>
            <w:noProof/>
            <w:webHidden/>
          </w:rPr>
          <w:t>142</w:t>
        </w:r>
        <w:r>
          <w:rPr>
            <w:noProof/>
            <w:webHidden/>
          </w:rPr>
          <w:fldChar w:fldCharType="end"/>
        </w:r>
      </w:hyperlink>
    </w:p>
    <w:p w14:paraId="2D11C51B" w14:textId="1D61AFA0" w:rsidR="003B042F" w:rsidRDefault="003B042F">
      <w:pPr>
        <w:pStyle w:val="TOC4"/>
        <w:rPr>
          <w:rFonts w:asciiTheme="minorHAnsi" w:eastAsiaTheme="minorEastAsia" w:hAnsiTheme="minorHAnsi"/>
          <w:noProof/>
          <w:sz w:val="22"/>
          <w:lang w:eastAsia="en-AU"/>
        </w:rPr>
      </w:pPr>
      <w:hyperlink w:anchor="_Toc175239106" w:history="1">
        <w:r w:rsidRPr="005871B3">
          <w:rPr>
            <w:rStyle w:val="Hyperlink"/>
            <w:noProof/>
          </w:rPr>
          <w:t>103.1—Unfitness to stand trial</w:t>
        </w:r>
        <w:r>
          <w:rPr>
            <w:noProof/>
            <w:webHidden/>
          </w:rPr>
          <w:tab/>
        </w:r>
        <w:r>
          <w:rPr>
            <w:noProof/>
            <w:webHidden/>
          </w:rPr>
          <w:fldChar w:fldCharType="begin"/>
        </w:r>
        <w:r>
          <w:rPr>
            <w:noProof/>
            <w:webHidden/>
          </w:rPr>
          <w:instrText xml:space="preserve"> PAGEREF _Toc175239106 \h </w:instrText>
        </w:r>
        <w:r>
          <w:rPr>
            <w:noProof/>
            <w:webHidden/>
          </w:rPr>
        </w:r>
        <w:r>
          <w:rPr>
            <w:noProof/>
            <w:webHidden/>
          </w:rPr>
          <w:fldChar w:fldCharType="separate"/>
        </w:r>
        <w:r w:rsidR="00FD06AB">
          <w:rPr>
            <w:noProof/>
            <w:webHidden/>
          </w:rPr>
          <w:t>142</w:t>
        </w:r>
        <w:r>
          <w:rPr>
            <w:noProof/>
            <w:webHidden/>
          </w:rPr>
          <w:fldChar w:fldCharType="end"/>
        </w:r>
      </w:hyperlink>
    </w:p>
    <w:p w14:paraId="1DC357C8" w14:textId="2A85C00F" w:rsidR="003B042F" w:rsidRDefault="003B042F">
      <w:pPr>
        <w:pStyle w:val="TOC4"/>
        <w:rPr>
          <w:rFonts w:asciiTheme="minorHAnsi" w:eastAsiaTheme="minorEastAsia" w:hAnsiTheme="minorHAnsi"/>
          <w:noProof/>
          <w:sz w:val="22"/>
          <w:lang w:eastAsia="en-AU"/>
        </w:rPr>
      </w:pPr>
      <w:hyperlink w:anchor="_Toc175239107" w:history="1">
        <w:r w:rsidRPr="005871B3">
          <w:rPr>
            <w:rStyle w:val="Hyperlink"/>
            <w:noProof/>
          </w:rPr>
          <w:t>103.2—Mental incompetence to commit offence</w:t>
        </w:r>
        <w:r>
          <w:rPr>
            <w:noProof/>
            <w:webHidden/>
          </w:rPr>
          <w:tab/>
        </w:r>
        <w:r>
          <w:rPr>
            <w:noProof/>
            <w:webHidden/>
          </w:rPr>
          <w:fldChar w:fldCharType="begin"/>
        </w:r>
        <w:r>
          <w:rPr>
            <w:noProof/>
            <w:webHidden/>
          </w:rPr>
          <w:instrText xml:space="preserve"> PAGEREF _Toc175239107 \h </w:instrText>
        </w:r>
        <w:r>
          <w:rPr>
            <w:noProof/>
            <w:webHidden/>
          </w:rPr>
        </w:r>
        <w:r>
          <w:rPr>
            <w:noProof/>
            <w:webHidden/>
          </w:rPr>
          <w:fldChar w:fldCharType="separate"/>
        </w:r>
        <w:r w:rsidR="00FD06AB">
          <w:rPr>
            <w:noProof/>
            <w:webHidden/>
          </w:rPr>
          <w:t>142</w:t>
        </w:r>
        <w:r>
          <w:rPr>
            <w:noProof/>
            <w:webHidden/>
          </w:rPr>
          <w:fldChar w:fldCharType="end"/>
        </w:r>
      </w:hyperlink>
    </w:p>
    <w:p w14:paraId="6A0B4542" w14:textId="0B6D4755" w:rsidR="003B042F" w:rsidRDefault="003B042F">
      <w:pPr>
        <w:pStyle w:val="TOC3"/>
        <w:rPr>
          <w:rFonts w:asciiTheme="minorHAnsi" w:eastAsiaTheme="minorEastAsia" w:hAnsiTheme="minorHAnsi"/>
          <w:b w:val="0"/>
          <w:noProof/>
          <w:sz w:val="22"/>
          <w:lang w:eastAsia="en-AU"/>
        </w:rPr>
      </w:pPr>
      <w:hyperlink w:anchor="_Toc175239108" w:history="1">
        <w:r w:rsidRPr="005871B3">
          <w:rPr>
            <w:rStyle w:val="Hyperlink"/>
            <w:noProof/>
          </w:rPr>
          <w:t>Division 6—Non-appearance of defendant</w:t>
        </w:r>
        <w:r>
          <w:rPr>
            <w:noProof/>
            <w:webHidden/>
          </w:rPr>
          <w:tab/>
        </w:r>
        <w:r>
          <w:rPr>
            <w:noProof/>
            <w:webHidden/>
          </w:rPr>
          <w:fldChar w:fldCharType="begin"/>
        </w:r>
        <w:r>
          <w:rPr>
            <w:noProof/>
            <w:webHidden/>
          </w:rPr>
          <w:instrText xml:space="preserve"> PAGEREF _Toc175239108 \h </w:instrText>
        </w:r>
        <w:r>
          <w:rPr>
            <w:noProof/>
            <w:webHidden/>
          </w:rPr>
        </w:r>
        <w:r>
          <w:rPr>
            <w:noProof/>
            <w:webHidden/>
          </w:rPr>
          <w:fldChar w:fldCharType="separate"/>
        </w:r>
        <w:r w:rsidR="00FD06AB">
          <w:rPr>
            <w:noProof/>
            <w:webHidden/>
          </w:rPr>
          <w:t>142</w:t>
        </w:r>
        <w:r>
          <w:rPr>
            <w:noProof/>
            <w:webHidden/>
          </w:rPr>
          <w:fldChar w:fldCharType="end"/>
        </w:r>
      </w:hyperlink>
    </w:p>
    <w:p w14:paraId="4D6CD842" w14:textId="5761188D" w:rsidR="003B042F" w:rsidRDefault="003B042F">
      <w:pPr>
        <w:pStyle w:val="TOC4"/>
        <w:rPr>
          <w:rFonts w:asciiTheme="minorHAnsi" w:eastAsiaTheme="minorEastAsia" w:hAnsiTheme="minorHAnsi"/>
          <w:noProof/>
          <w:sz w:val="22"/>
          <w:lang w:eastAsia="en-AU"/>
        </w:rPr>
      </w:pPr>
      <w:hyperlink w:anchor="_Toc175239109" w:history="1">
        <w:r w:rsidRPr="005871B3">
          <w:rPr>
            <w:rStyle w:val="Hyperlink"/>
            <w:noProof/>
          </w:rPr>
          <w:t>104.1—Issue warrant of apprehension</w:t>
        </w:r>
        <w:r>
          <w:rPr>
            <w:noProof/>
            <w:webHidden/>
          </w:rPr>
          <w:tab/>
        </w:r>
        <w:r>
          <w:rPr>
            <w:noProof/>
            <w:webHidden/>
          </w:rPr>
          <w:fldChar w:fldCharType="begin"/>
        </w:r>
        <w:r>
          <w:rPr>
            <w:noProof/>
            <w:webHidden/>
          </w:rPr>
          <w:instrText xml:space="preserve"> PAGEREF _Toc175239109 \h </w:instrText>
        </w:r>
        <w:r>
          <w:rPr>
            <w:noProof/>
            <w:webHidden/>
          </w:rPr>
        </w:r>
        <w:r>
          <w:rPr>
            <w:noProof/>
            <w:webHidden/>
          </w:rPr>
          <w:fldChar w:fldCharType="separate"/>
        </w:r>
        <w:r w:rsidR="00FD06AB">
          <w:rPr>
            <w:noProof/>
            <w:webHidden/>
          </w:rPr>
          <w:t>142</w:t>
        </w:r>
        <w:r>
          <w:rPr>
            <w:noProof/>
            <w:webHidden/>
          </w:rPr>
          <w:fldChar w:fldCharType="end"/>
        </w:r>
      </w:hyperlink>
    </w:p>
    <w:p w14:paraId="63B1294D" w14:textId="3540EB9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10" w:history="1">
        <w:r w:rsidRPr="005871B3">
          <w:rPr>
            <w:rStyle w:val="Hyperlink"/>
            <w:noProof/>
          </w:rPr>
          <w:t>Part 9—Pre-trial disclosure and applications</w:t>
        </w:r>
        <w:r>
          <w:rPr>
            <w:noProof/>
            <w:webHidden/>
          </w:rPr>
          <w:tab/>
        </w:r>
        <w:r>
          <w:rPr>
            <w:noProof/>
            <w:webHidden/>
          </w:rPr>
          <w:fldChar w:fldCharType="begin"/>
        </w:r>
        <w:r>
          <w:rPr>
            <w:noProof/>
            <w:webHidden/>
          </w:rPr>
          <w:instrText xml:space="preserve"> PAGEREF _Toc175239110 \h </w:instrText>
        </w:r>
        <w:r>
          <w:rPr>
            <w:noProof/>
            <w:webHidden/>
          </w:rPr>
        </w:r>
        <w:r>
          <w:rPr>
            <w:noProof/>
            <w:webHidden/>
          </w:rPr>
          <w:fldChar w:fldCharType="separate"/>
        </w:r>
        <w:r w:rsidR="00FD06AB">
          <w:rPr>
            <w:noProof/>
            <w:webHidden/>
          </w:rPr>
          <w:t>143</w:t>
        </w:r>
        <w:r>
          <w:rPr>
            <w:noProof/>
            <w:webHidden/>
          </w:rPr>
          <w:fldChar w:fldCharType="end"/>
        </w:r>
      </w:hyperlink>
    </w:p>
    <w:p w14:paraId="1E8A5A33" w14:textId="609DF884" w:rsidR="003B042F" w:rsidRDefault="003B042F">
      <w:pPr>
        <w:pStyle w:val="TOC3"/>
        <w:rPr>
          <w:rFonts w:asciiTheme="minorHAnsi" w:eastAsiaTheme="minorEastAsia" w:hAnsiTheme="minorHAnsi"/>
          <w:b w:val="0"/>
          <w:noProof/>
          <w:sz w:val="22"/>
          <w:lang w:eastAsia="en-AU"/>
        </w:rPr>
      </w:pPr>
      <w:hyperlink w:anchor="_Toc175239111" w:history="1">
        <w:r w:rsidRPr="005871B3">
          <w:rPr>
            <w:rStyle w:val="Hyperlink"/>
            <w:noProof/>
          </w:rPr>
          <w:t>Division 1—Pre-trial disclosure of evidence</w:t>
        </w:r>
        <w:r>
          <w:rPr>
            <w:noProof/>
            <w:webHidden/>
          </w:rPr>
          <w:tab/>
        </w:r>
        <w:r>
          <w:rPr>
            <w:noProof/>
            <w:webHidden/>
          </w:rPr>
          <w:fldChar w:fldCharType="begin"/>
        </w:r>
        <w:r>
          <w:rPr>
            <w:noProof/>
            <w:webHidden/>
          </w:rPr>
          <w:instrText xml:space="preserve"> PAGEREF _Toc175239111 \h </w:instrText>
        </w:r>
        <w:r>
          <w:rPr>
            <w:noProof/>
            <w:webHidden/>
          </w:rPr>
        </w:r>
        <w:r>
          <w:rPr>
            <w:noProof/>
            <w:webHidden/>
          </w:rPr>
          <w:fldChar w:fldCharType="separate"/>
        </w:r>
        <w:r w:rsidR="00FD06AB">
          <w:rPr>
            <w:noProof/>
            <w:webHidden/>
          </w:rPr>
          <w:t>143</w:t>
        </w:r>
        <w:r>
          <w:rPr>
            <w:noProof/>
            <w:webHidden/>
          </w:rPr>
          <w:fldChar w:fldCharType="end"/>
        </w:r>
      </w:hyperlink>
    </w:p>
    <w:p w14:paraId="3CB3073B" w14:textId="535EA328" w:rsidR="003B042F" w:rsidRDefault="003B042F">
      <w:pPr>
        <w:pStyle w:val="TOC4"/>
        <w:rPr>
          <w:rFonts w:asciiTheme="minorHAnsi" w:eastAsiaTheme="minorEastAsia" w:hAnsiTheme="minorHAnsi"/>
          <w:noProof/>
          <w:sz w:val="22"/>
          <w:lang w:eastAsia="en-AU"/>
        </w:rPr>
      </w:pPr>
      <w:hyperlink w:anchor="_Toc175239112" w:history="1">
        <w:r w:rsidRPr="005871B3">
          <w:rPr>
            <w:rStyle w:val="Hyperlink"/>
            <w:noProof/>
          </w:rPr>
          <w:t>105.1—Discreditable conduct evidence</w:t>
        </w:r>
        <w:r>
          <w:rPr>
            <w:noProof/>
            <w:webHidden/>
          </w:rPr>
          <w:tab/>
        </w:r>
        <w:r>
          <w:rPr>
            <w:noProof/>
            <w:webHidden/>
          </w:rPr>
          <w:fldChar w:fldCharType="begin"/>
        </w:r>
        <w:r>
          <w:rPr>
            <w:noProof/>
            <w:webHidden/>
          </w:rPr>
          <w:instrText xml:space="preserve"> PAGEREF _Toc175239112 \h </w:instrText>
        </w:r>
        <w:r>
          <w:rPr>
            <w:noProof/>
            <w:webHidden/>
          </w:rPr>
        </w:r>
        <w:r>
          <w:rPr>
            <w:noProof/>
            <w:webHidden/>
          </w:rPr>
          <w:fldChar w:fldCharType="separate"/>
        </w:r>
        <w:r w:rsidR="00FD06AB">
          <w:rPr>
            <w:noProof/>
            <w:webHidden/>
          </w:rPr>
          <w:t>143</w:t>
        </w:r>
        <w:r>
          <w:rPr>
            <w:noProof/>
            <w:webHidden/>
          </w:rPr>
          <w:fldChar w:fldCharType="end"/>
        </w:r>
      </w:hyperlink>
    </w:p>
    <w:p w14:paraId="3B293ED2" w14:textId="2F746C7E" w:rsidR="003B042F" w:rsidRDefault="003B042F">
      <w:pPr>
        <w:pStyle w:val="TOC4"/>
        <w:rPr>
          <w:rFonts w:asciiTheme="minorHAnsi" w:eastAsiaTheme="minorEastAsia" w:hAnsiTheme="minorHAnsi"/>
          <w:noProof/>
          <w:sz w:val="22"/>
          <w:lang w:eastAsia="en-AU"/>
        </w:rPr>
      </w:pPr>
      <w:hyperlink w:anchor="_Toc175239113" w:history="1">
        <w:r w:rsidRPr="005871B3">
          <w:rPr>
            <w:rStyle w:val="Hyperlink"/>
            <w:noProof/>
          </w:rPr>
          <w:t>105.2—Other evidence</w:t>
        </w:r>
        <w:r>
          <w:rPr>
            <w:noProof/>
            <w:webHidden/>
          </w:rPr>
          <w:tab/>
        </w:r>
        <w:r>
          <w:rPr>
            <w:noProof/>
            <w:webHidden/>
          </w:rPr>
          <w:fldChar w:fldCharType="begin"/>
        </w:r>
        <w:r>
          <w:rPr>
            <w:noProof/>
            <w:webHidden/>
          </w:rPr>
          <w:instrText xml:space="preserve"> PAGEREF _Toc175239113 \h </w:instrText>
        </w:r>
        <w:r>
          <w:rPr>
            <w:noProof/>
            <w:webHidden/>
          </w:rPr>
        </w:r>
        <w:r>
          <w:rPr>
            <w:noProof/>
            <w:webHidden/>
          </w:rPr>
          <w:fldChar w:fldCharType="separate"/>
        </w:r>
        <w:r w:rsidR="00FD06AB">
          <w:rPr>
            <w:noProof/>
            <w:webHidden/>
          </w:rPr>
          <w:t>143</w:t>
        </w:r>
        <w:r>
          <w:rPr>
            <w:noProof/>
            <w:webHidden/>
          </w:rPr>
          <w:fldChar w:fldCharType="end"/>
        </w:r>
      </w:hyperlink>
    </w:p>
    <w:p w14:paraId="385BD6B5" w14:textId="7472A0A3" w:rsidR="003B042F" w:rsidRDefault="003B042F">
      <w:pPr>
        <w:pStyle w:val="TOC3"/>
        <w:rPr>
          <w:rFonts w:asciiTheme="minorHAnsi" w:eastAsiaTheme="minorEastAsia" w:hAnsiTheme="minorHAnsi"/>
          <w:b w:val="0"/>
          <w:noProof/>
          <w:sz w:val="22"/>
          <w:lang w:eastAsia="en-AU"/>
        </w:rPr>
      </w:pPr>
      <w:hyperlink w:anchor="_Toc175239114" w:history="1">
        <w:r w:rsidRPr="005871B3">
          <w:rPr>
            <w:rStyle w:val="Hyperlink"/>
            <w:noProof/>
          </w:rPr>
          <w:t>Division 2—Pre-trial dispensation with witnesses</w:t>
        </w:r>
        <w:r>
          <w:rPr>
            <w:noProof/>
            <w:webHidden/>
          </w:rPr>
          <w:tab/>
        </w:r>
        <w:r>
          <w:rPr>
            <w:noProof/>
            <w:webHidden/>
          </w:rPr>
          <w:fldChar w:fldCharType="begin"/>
        </w:r>
        <w:r>
          <w:rPr>
            <w:noProof/>
            <w:webHidden/>
          </w:rPr>
          <w:instrText xml:space="preserve"> PAGEREF _Toc175239114 \h </w:instrText>
        </w:r>
        <w:r>
          <w:rPr>
            <w:noProof/>
            <w:webHidden/>
          </w:rPr>
        </w:r>
        <w:r>
          <w:rPr>
            <w:noProof/>
            <w:webHidden/>
          </w:rPr>
          <w:fldChar w:fldCharType="separate"/>
        </w:r>
        <w:r w:rsidR="00FD06AB">
          <w:rPr>
            <w:noProof/>
            <w:webHidden/>
          </w:rPr>
          <w:t>144</w:t>
        </w:r>
        <w:r>
          <w:rPr>
            <w:noProof/>
            <w:webHidden/>
          </w:rPr>
          <w:fldChar w:fldCharType="end"/>
        </w:r>
      </w:hyperlink>
    </w:p>
    <w:p w14:paraId="36489E1E" w14:textId="72766576" w:rsidR="003B042F" w:rsidRDefault="003B042F">
      <w:pPr>
        <w:pStyle w:val="TOC4"/>
        <w:rPr>
          <w:rFonts w:asciiTheme="minorHAnsi" w:eastAsiaTheme="minorEastAsia" w:hAnsiTheme="minorHAnsi"/>
          <w:noProof/>
          <w:sz w:val="22"/>
          <w:lang w:eastAsia="en-AU"/>
        </w:rPr>
      </w:pPr>
      <w:hyperlink w:anchor="_Toc175239115" w:history="1">
        <w:r w:rsidRPr="005871B3">
          <w:rPr>
            <w:rStyle w:val="Hyperlink"/>
            <w:noProof/>
          </w:rPr>
          <w:t>106.1—Dispensing with prosecution witnesses</w:t>
        </w:r>
        <w:r>
          <w:rPr>
            <w:noProof/>
            <w:webHidden/>
          </w:rPr>
          <w:tab/>
        </w:r>
        <w:r>
          <w:rPr>
            <w:noProof/>
            <w:webHidden/>
          </w:rPr>
          <w:fldChar w:fldCharType="begin"/>
        </w:r>
        <w:r>
          <w:rPr>
            <w:noProof/>
            <w:webHidden/>
          </w:rPr>
          <w:instrText xml:space="preserve"> PAGEREF _Toc175239115 \h </w:instrText>
        </w:r>
        <w:r>
          <w:rPr>
            <w:noProof/>
            <w:webHidden/>
          </w:rPr>
        </w:r>
        <w:r>
          <w:rPr>
            <w:noProof/>
            <w:webHidden/>
          </w:rPr>
          <w:fldChar w:fldCharType="separate"/>
        </w:r>
        <w:r w:rsidR="00FD06AB">
          <w:rPr>
            <w:noProof/>
            <w:webHidden/>
          </w:rPr>
          <w:t>144</w:t>
        </w:r>
        <w:r>
          <w:rPr>
            <w:noProof/>
            <w:webHidden/>
          </w:rPr>
          <w:fldChar w:fldCharType="end"/>
        </w:r>
      </w:hyperlink>
    </w:p>
    <w:p w14:paraId="1AE6BFDD" w14:textId="25AFA48C"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16" w:history="1">
        <w:r w:rsidRPr="005871B3">
          <w:rPr>
            <w:rStyle w:val="Hyperlink"/>
            <w:noProof/>
          </w:rPr>
          <w:t>Part 10—Pre-trial directions hearings</w:t>
        </w:r>
        <w:r>
          <w:rPr>
            <w:noProof/>
            <w:webHidden/>
          </w:rPr>
          <w:tab/>
        </w:r>
        <w:r>
          <w:rPr>
            <w:noProof/>
            <w:webHidden/>
          </w:rPr>
          <w:fldChar w:fldCharType="begin"/>
        </w:r>
        <w:r>
          <w:rPr>
            <w:noProof/>
            <w:webHidden/>
          </w:rPr>
          <w:instrText xml:space="preserve"> PAGEREF _Toc175239116 \h </w:instrText>
        </w:r>
        <w:r>
          <w:rPr>
            <w:noProof/>
            <w:webHidden/>
          </w:rPr>
        </w:r>
        <w:r>
          <w:rPr>
            <w:noProof/>
            <w:webHidden/>
          </w:rPr>
          <w:fldChar w:fldCharType="separate"/>
        </w:r>
        <w:r w:rsidR="00FD06AB">
          <w:rPr>
            <w:noProof/>
            <w:webHidden/>
          </w:rPr>
          <w:t>144</w:t>
        </w:r>
        <w:r>
          <w:rPr>
            <w:noProof/>
            <w:webHidden/>
          </w:rPr>
          <w:fldChar w:fldCharType="end"/>
        </w:r>
      </w:hyperlink>
    </w:p>
    <w:p w14:paraId="215B4865" w14:textId="175BF571" w:rsidR="003B042F" w:rsidRDefault="003B042F">
      <w:pPr>
        <w:pStyle w:val="TOC4"/>
        <w:rPr>
          <w:rFonts w:asciiTheme="minorHAnsi" w:eastAsiaTheme="minorEastAsia" w:hAnsiTheme="minorHAnsi"/>
          <w:noProof/>
          <w:sz w:val="22"/>
          <w:lang w:eastAsia="en-AU"/>
        </w:rPr>
      </w:pPr>
      <w:hyperlink w:anchor="_Toc175239117" w:history="1">
        <w:r w:rsidRPr="005871B3">
          <w:rPr>
            <w:rStyle w:val="Hyperlink"/>
            <w:noProof/>
          </w:rPr>
          <w:t>107.1—Convening pre-trial directions hearing</w:t>
        </w:r>
        <w:r>
          <w:rPr>
            <w:noProof/>
            <w:webHidden/>
          </w:rPr>
          <w:tab/>
        </w:r>
        <w:r>
          <w:rPr>
            <w:noProof/>
            <w:webHidden/>
          </w:rPr>
          <w:fldChar w:fldCharType="begin"/>
        </w:r>
        <w:r>
          <w:rPr>
            <w:noProof/>
            <w:webHidden/>
          </w:rPr>
          <w:instrText xml:space="preserve"> PAGEREF _Toc175239117 \h </w:instrText>
        </w:r>
        <w:r>
          <w:rPr>
            <w:noProof/>
            <w:webHidden/>
          </w:rPr>
        </w:r>
        <w:r>
          <w:rPr>
            <w:noProof/>
            <w:webHidden/>
          </w:rPr>
          <w:fldChar w:fldCharType="separate"/>
        </w:r>
        <w:r w:rsidR="00FD06AB">
          <w:rPr>
            <w:noProof/>
            <w:webHidden/>
          </w:rPr>
          <w:t>144</w:t>
        </w:r>
        <w:r>
          <w:rPr>
            <w:noProof/>
            <w:webHidden/>
          </w:rPr>
          <w:fldChar w:fldCharType="end"/>
        </w:r>
      </w:hyperlink>
    </w:p>
    <w:p w14:paraId="45F50CA1" w14:textId="60056F39" w:rsidR="003B042F" w:rsidRDefault="003B042F">
      <w:pPr>
        <w:pStyle w:val="TOC4"/>
        <w:rPr>
          <w:rFonts w:asciiTheme="minorHAnsi" w:eastAsiaTheme="minorEastAsia" w:hAnsiTheme="minorHAnsi"/>
          <w:noProof/>
          <w:sz w:val="22"/>
          <w:lang w:eastAsia="en-AU"/>
        </w:rPr>
      </w:pPr>
      <w:hyperlink w:anchor="_Toc175239118" w:history="1">
        <w:r w:rsidRPr="005871B3">
          <w:rPr>
            <w:rStyle w:val="Hyperlink"/>
            <w:noProof/>
          </w:rPr>
          <w:t>107.2—Proceedings at pre-trial directions hearing</w:t>
        </w:r>
        <w:r>
          <w:rPr>
            <w:noProof/>
            <w:webHidden/>
          </w:rPr>
          <w:tab/>
        </w:r>
        <w:r>
          <w:rPr>
            <w:noProof/>
            <w:webHidden/>
          </w:rPr>
          <w:fldChar w:fldCharType="begin"/>
        </w:r>
        <w:r>
          <w:rPr>
            <w:noProof/>
            <w:webHidden/>
          </w:rPr>
          <w:instrText xml:space="preserve"> PAGEREF _Toc175239118 \h </w:instrText>
        </w:r>
        <w:r>
          <w:rPr>
            <w:noProof/>
            <w:webHidden/>
          </w:rPr>
        </w:r>
        <w:r>
          <w:rPr>
            <w:noProof/>
            <w:webHidden/>
          </w:rPr>
          <w:fldChar w:fldCharType="separate"/>
        </w:r>
        <w:r w:rsidR="00FD06AB">
          <w:rPr>
            <w:noProof/>
            <w:webHidden/>
          </w:rPr>
          <w:t>145</w:t>
        </w:r>
        <w:r>
          <w:rPr>
            <w:noProof/>
            <w:webHidden/>
          </w:rPr>
          <w:fldChar w:fldCharType="end"/>
        </w:r>
      </w:hyperlink>
    </w:p>
    <w:p w14:paraId="64F25055" w14:textId="5A1E0330"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19" w:history="1">
        <w:r w:rsidRPr="005871B3">
          <w:rPr>
            <w:rStyle w:val="Hyperlink"/>
            <w:noProof/>
          </w:rPr>
          <w:t>Part 11—Hearings generally</w:t>
        </w:r>
        <w:r>
          <w:rPr>
            <w:noProof/>
            <w:webHidden/>
          </w:rPr>
          <w:tab/>
        </w:r>
        <w:r>
          <w:rPr>
            <w:noProof/>
            <w:webHidden/>
          </w:rPr>
          <w:fldChar w:fldCharType="begin"/>
        </w:r>
        <w:r>
          <w:rPr>
            <w:noProof/>
            <w:webHidden/>
          </w:rPr>
          <w:instrText xml:space="preserve"> PAGEREF _Toc175239119 \h </w:instrText>
        </w:r>
        <w:r>
          <w:rPr>
            <w:noProof/>
            <w:webHidden/>
          </w:rPr>
        </w:r>
        <w:r>
          <w:rPr>
            <w:noProof/>
            <w:webHidden/>
          </w:rPr>
          <w:fldChar w:fldCharType="separate"/>
        </w:r>
        <w:r w:rsidR="00FD06AB">
          <w:rPr>
            <w:noProof/>
            <w:webHidden/>
          </w:rPr>
          <w:t>145</w:t>
        </w:r>
        <w:r>
          <w:rPr>
            <w:noProof/>
            <w:webHidden/>
          </w:rPr>
          <w:fldChar w:fldCharType="end"/>
        </w:r>
      </w:hyperlink>
    </w:p>
    <w:p w14:paraId="3F00B089" w14:textId="16663A51" w:rsidR="003B042F" w:rsidRDefault="003B042F">
      <w:pPr>
        <w:pStyle w:val="TOC4"/>
        <w:rPr>
          <w:rFonts w:asciiTheme="minorHAnsi" w:eastAsiaTheme="minorEastAsia" w:hAnsiTheme="minorHAnsi"/>
          <w:noProof/>
          <w:sz w:val="22"/>
          <w:lang w:eastAsia="en-AU"/>
        </w:rPr>
      </w:pPr>
      <w:hyperlink w:anchor="_Toc175239120" w:history="1">
        <w:r w:rsidRPr="005871B3">
          <w:rPr>
            <w:rStyle w:val="Hyperlink"/>
            <w:noProof/>
          </w:rPr>
          <w:t>108.1—Documents for use at hearings</w:t>
        </w:r>
        <w:r>
          <w:rPr>
            <w:noProof/>
            <w:webHidden/>
          </w:rPr>
          <w:tab/>
        </w:r>
        <w:r>
          <w:rPr>
            <w:noProof/>
            <w:webHidden/>
          </w:rPr>
          <w:fldChar w:fldCharType="begin"/>
        </w:r>
        <w:r>
          <w:rPr>
            <w:noProof/>
            <w:webHidden/>
          </w:rPr>
          <w:instrText xml:space="preserve"> PAGEREF _Toc175239120 \h </w:instrText>
        </w:r>
        <w:r>
          <w:rPr>
            <w:noProof/>
            <w:webHidden/>
          </w:rPr>
        </w:r>
        <w:r>
          <w:rPr>
            <w:noProof/>
            <w:webHidden/>
          </w:rPr>
          <w:fldChar w:fldCharType="separate"/>
        </w:r>
        <w:r w:rsidR="00FD06AB">
          <w:rPr>
            <w:noProof/>
            <w:webHidden/>
          </w:rPr>
          <w:t>145</w:t>
        </w:r>
        <w:r>
          <w:rPr>
            <w:noProof/>
            <w:webHidden/>
          </w:rPr>
          <w:fldChar w:fldCharType="end"/>
        </w:r>
      </w:hyperlink>
    </w:p>
    <w:p w14:paraId="18814194" w14:textId="77202252" w:rsidR="003B042F" w:rsidRDefault="003B042F">
      <w:pPr>
        <w:pStyle w:val="TOC4"/>
        <w:rPr>
          <w:rFonts w:asciiTheme="minorHAnsi" w:eastAsiaTheme="minorEastAsia" w:hAnsiTheme="minorHAnsi"/>
          <w:noProof/>
          <w:sz w:val="22"/>
          <w:lang w:eastAsia="en-AU"/>
        </w:rPr>
      </w:pPr>
      <w:hyperlink w:anchor="_Toc175239121" w:history="1">
        <w:r w:rsidRPr="005871B3">
          <w:rPr>
            <w:rStyle w:val="Hyperlink"/>
            <w:noProof/>
          </w:rPr>
          <w:t>108.2—Consent orders</w:t>
        </w:r>
        <w:r>
          <w:rPr>
            <w:noProof/>
            <w:webHidden/>
          </w:rPr>
          <w:tab/>
        </w:r>
        <w:r>
          <w:rPr>
            <w:noProof/>
            <w:webHidden/>
          </w:rPr>
          <w:fldChar w:fldCharType="begin"/>
        </w:r>
        <w:r>
          <w:rPr>
            <w:noProof/>
            <w:webHidden/>
          </w:rPr>
          <w:instrText xml:space="preserve"> PAGEREF _Toc175239121 \h </w:instrText>
        </w:r>
        <w:r>
          <w:rPr>
            <w:noProof/>
            <w:webHidden/>
          </w:rPr>
        </w:r>
        <w:r>
          <w:rPr>
            <w:noProof/>
            <w:webHidden/>
          </w:rPr>
          <w:fldChar w:fldCharType="separate"/>
        </w:r>
        <w:r w:rsidR="00FD06AB">
          <w:rPr>
            <w:noProof/>
            <w:webHidden/>
          </w:rPr>
          <w:t>145</w:t>
        </w:r>
        <w:r>
          <w:rPr>
            <w:noProof/>
            <w:webHidden/>
          </w:rPr>
          <w:fldChar w:fldCharType="end"/>
        </w:r>
      </w:hyperlink>
    </w:p>
    <w:p w14:paraId="31BD7B05" w14:textId="53031F3A"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122" w:history="1">
        <w:r w:rsidRPr="005871B3">
          <w:rPr>
            <w:rStyle w:val="Hyperlink"/>
            <w:noProof/>
          </w:rPr>
          <w:t>Chapter 6—Trial</w:t>
        </w:r>
        <w:r>
          <w:rPr>
            <w:noProof/>
            <w:webHidden/>
          </w:rPr>
          <w:tab/>
        </w:r>
        <w:r>
          <w:rPr>
            <w:noProof/>
            <w:webHidden/>
          </w:rPr>
          <w:fldChar w:fldCharType="begin"/>
        </w:r>
        <w:r>
          <w:rPr>
            <w:noProof/>
            <w:webHidden/>
          </w:rPr>
          <w:instrText xml:space="preserve"> PAGEREF _Toc175239122 \h </w:instrText>
        </w:r>
        <w:r>
          <w:rPr>
            <w:noProof/>
            <w:webHidden/>
          </w:rPr>
        </w:r>
        <w:r>
          <w:rPr>
            <w:noProof/>
            <w:webHidden/>
          </w:rPr>
          <w:fldChar w:fldCharType="separate"/>
        </w:r>
        <w:r w:rsidR="00FD06AB">
          <w:rPr>
            <w:noProof/>
            <w:webHidden/>
          </w:rPr>
          <w:t>146</w:t>
        </w:r>
        <w:r>
          <w:rPr>
            <w:noProof/>
            <w:webHidden/>
          </w:rPr>
          <w:fldChar w:fldCharType="end"/>
        </w:r>
      </w:hyperlink>
    </w:p>
    <w:p w14:paraId="4D2547C1" w14:textId="42B53FB8"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23" w:history="1">
        <w:r w:rsidRPr="005871B3">
          <w:rPr>
            <w:rStyle w:val="Hyperlink"/>
            <w:noProof/>
          </w:rPr>
          <w:t>Part 1—Scope of Chapter</w:t>
        </w:r>
        <w:r>
          <w:rPr>
            <w:noProof/>
            <w:webHidden/>
          </w:rPr>
          <w:tab/>
        </w:r>
        <w:r>
          <w:rPr>
            <w:noProof/>
            <w:webHidden/>
          </w:rPr>
          <w:fldChar w:fldCharType="begin"/>
        </w:r>
        <w:r>
          <w:rPr>
            <w:noProof/>
            <w:webHidden/>
          </w:rPr>
          <w:instrText xml:space="preserve"> PAGEREF _Toc175239123 \h </w:instrText>
        </w:r>
        <w:r>
          <w:rPr>
            <w:noProof/>
            <w:webHidden/>
          </w:rPr>
        </w:r>
        <w:r>
          <w:rPr>
            <w:noProof/>
            <w:webHidden/>
          </w:rPr>
          <w:fldChar w:fldCharType="separate"/>
        </w:r>
        <w:r w:rsidR="00FD06AB">
          <w:rPr>
            <w:noProof/>
            <w:webHidden/>
          </w:rPr>
          <w:t>146</w:t>
        </w:r>
        <w:r>
          <w:rPr>
            <w:noProof/>
            <w:webHidden/>
          </w:rPr>
          <w:fldChar w:fldCharType="end"/>
        </w:r>
      </w:hyperlink>
    </w:p>
    <w:p w14:paraId="2A3EA842" w14:textId="29F79B04" w:rsidR="003B042F" w:rsidRDefault="003B042F">
      <w:pPr>
        <w:pStyle w:val="TOC4"/>
        <w:rPr>
          <w:rFonts w:asciiTheme="minorHAnsi" w:eastAsiaTheme="minorEastAsia" w:hAnsiTheme="minorHAnsi"/>
          <w:noProof/>
          <w:sz w:val="22"/>
          <w:lang w:eastAsia="en-AU"/>
        </w:rPr>
      </w:pPr>
      <w:hyperlink w:anchor="_Toc175239124" w:history="1">
        <w:r w:rsidRPr="005871B3">
          <w:rPr>
            <w:rStyle w:val="Hyperlink"/>
            <w:noProof/>
          </w:rPr>
          <w:t>121.1—Scope</w:t>
        </w:r>
        <w:r>
          <w:rPr>
            <w:noProof/>
            <w:webHidden/>
          </w:rPr>
          <w:tab/>
        </w:r>
        <w:r>
          <w:rPr>
            <w:noProof/>
            <w:webHidden/>
          </w:rPr>
          <w:fldChar w:fldCharType="begin"/>
        </w:r>
        <w:r>
          <w:rPr>
            <w:noProof/>
            <w:webHidden/>
          </w:rPr>
          <w:instrText xml:space="preserve"> PAGEREF _Toc175239124 \h </w:instrText>
        </w:r>
        <w:r>
          <w:rPr>
            <w:noProof/>
            <w:webHidden/>
          </w:rPr>
        </w:r>
        <w:r>
          <w:rPr>
            <w:noProof/>
            <w:webHidden/>
          </w:rPr>
          <w:fldChar w:fldCharType="separate"/>
        </w:r>
        <w:r w:rsidR="00FD06AB">
          <w:rPr>
            <w:noProof/>
            <w:webHidden/>
          </w:rPr>
          <w:t>146</w:t>
        </w:r>
        <w:r>
          <w:rPr>
            <w:noProof/>
            <w:webHidden/>
          </w:rPr>
          <w:fldChar w:fldCharType="end"/>
        </w:r>
      </w:hyperlink>
    </w:p>
    <w:p w14:paraId="40C9AA18" w14:textId="4FE25716"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25" w:history="1">
        <w:r w:rsidRPr="005871B3">
          <w:rPr>
            <w:rStyle w:val="Hyperlink"/>
            <w:noProof/>
          </w:rPr>
          <w:t>Part 2—Subpoenas</w:t>
        </w:r>
        <w:r>
          <w:rPr>
            <w:noProof/>
            <w:webHidden/>
          </w:rPr>
          <w:tab/>
        </w:r>
        <w:r>
          <w:rPr>
            <w:noProof/>
            <w:webHidden/>
          </w:rPr>
          <w:fldChar w:fldCharType="begin"/>
        </w:r>
        <w:r>
          <w:rPr>
            <w:noProof/>
            <w:webHidden/>
          </w:rPr>
          <w:instrText xml:space="preserve"> PAGEREF _Toc175239125 \h </w:instrText>
        </w:r>
        <w:r>
          <w:rPr>
            <w:noProof/>
            <w:webHidden/>
          </w:rPr>
        </w:r>
        <w:r>
          <w:rPr>
            <w:noProof/>
            <w:webHidden/>
          </w:rPr>
          <w:fldChar w:fldCharType="separate"/>
        </w:r>
        <w:r w:rsidR="00FD06AB">
          <w:rPr>
            <w:noProof/>
            <w:webHidden/>
          </w:rPr>
          <w:t>146</w:t>
        </w:r>
        <w:r>
          <w:rPr>
            <w:noProof/>
            <w:webHidden/>
          </w:rPr>
          <w:fldChar w:fldCharType="end"/>
        </w:r>
      </w:hyperlink>
    </w:p>
    <w:p w14:paraId="138F2474" w14:textId="136AC6AE" w:rsidR="003B042F" w:rsidRDefault="003B042F">
      <w:pPr>
        <w:pStyle w:val="TOC3"/>
        <w:rPr>
          <w:rFonts w:asciiTheme="minorHAnsi" w:eastAsiaTheme="minorEastAsia" w:hAnsiTheme="minorHAnsi"/>
          <w:b w:val="0"/>
          <w:noProof/>
          <w:sz w:val="22"/>
          <w:lang w:eastAsia="en-AU"/>
        </w:rPr>
      </w:pPr>
      <w:hyperlink w:anchor="_Toc175239126" w:history="1">
        <w:r w:rsidRPr="005871B3">
          <w:rPr>
            <w:rStyle w:val="Hyperlink"/>
            <w:noProof/>
          </w:rPr>
          <w:t>Division 1—Introduction</w:t>
        </w:r>
        <w:r>
          <w:rPr>
            <w:noProof/>
            <w:webHidden/>
          </w:rPr>
          <w:tab/>
        </w:r>
        <w:r>
          <w:rPr>
            <w:noProof/>
            <w:webHidden/>
          </w:rPr>
          <w:fldChar w:fldCharType="begin"/>
        </w:r>
        <w:r>
          <w:rPr>
            <w:noProof/>
            <w:webHidden/>
          </w:rPr>
          <w:instrText xml:space="preserve"> PAGEREF _Toc175239126 \h </w:instrText>
        </w:r>
        <w:r>
          <w:rPr>
            <w:noProof/>
            <w:webHidden/>
          </w:rPr>
        </w:r>
        <w:r>
          <w:rPr>
            <w:noProof/>
            <w:webHidden/>
          </w:rPr>
          <w:fldChar w:fldCharType="separate"/>
        </w:r>
        <w:r w:rsidR="00FD06AB">
          <w:rPr>
            <w:noProof/>
            <w:webHidden/>
          </w:rPr>
          <w:t>146</w:t>
        </w:r>
        <w:r>
          <w:rPr>
            <w:noProof/>
            <w:webHidden/>
          </w:rPr>
          <w:fldChar w:fldCharType="end"/>
        </w:r>
      </w:hyperlink>
    </w:p>
    <w:p w14:paraId="75761F6C" w14:textId="08F79AD8" w:rsidR="003B042F" w:rsidRDefault="003B042F">
      <w:pPr>
        <w:pStyle w:val="TOC4"/>
        <w:rPr>
          <w:rFonts w:asciiTheme="minorHAnsi" w:eastAsiaTheme="minorEastAsia" w:hAnsiTheme="minorHAnsi"/>
          <w:noProof/>
          <w:sz w:val="22"/>
          <w:lang w:eastAsia="en-AU"/>
        </w:rPr>
      </w:pPr>
      <w:hyperlink w:anchor="_Toc175239127" w:history="1">
        <w:r w:rsidRPr="005871B3">
          <w:rPr>
            <w:rStyle w:val="Hyperlink"/>
            <w:noProof/>
          </w:rPr>
          <w:t>122.1—Interpretation</w:t>
        </w:r>
        <w:r>
          <w:rPr>
            <w:noProof/>
            <w:webHidden/>
          </w:rPr>
          <w:tab/>
        </w:r>
        <w:r>
          <w:rPr>
            <w:noProof/>
            <w:webHidden/>
          </w:rPr>
          <w:fldChar w:fldCharType="begin"/>
        </w:r>
        <w:r>
          <w:rPr>
            <w:noProof/>
            <w:webHidden/>
          </w:rPr>
          <w:instrText xml:space="preserve"> PAGEREF _Toc175239127 \h </w:instrText>
        </w:r>
        <w:r>
          <w:rPr>
            <w:noProof/>
            <w:webHidden/>
          </w:rPr>
        </w:r>
        <w:r>
          <w:rPr>
            <w:noProof/>
            <w:webHidden/>
          </w:rPr>
          <w:fldChar w:fldCharType="separate"/>
        </w:r>
        <w:r w:rsidR="00FD06AB">
          <w:rPr>
            <w:noProof/>
            <w:webHidden/>
          </w:rPr>
          <w:t>146</w:t>
        </w:r>
        <w:r>
          <w:rPr>
            <w:noProof/>
            <w:webHidden/>
          </w:rPr>
          <w:fldChar w:fldCharType="end"/>
        </w:r>
      </w:hyperlink>
    </w:p>
    <w:p w14:paraId="4FA075A8" w14:textId="66C33400" w:rsidR="003B042F" w:rsidRDefault="003B042F">
      <w:pPr>
        <w:pStyle w:val="TOC3"/>
        <w:rPr>
          <w:rFonts w:asciiTheme="minorHAnsi" w:eastAsiaTheme="minorEastAsia" w:hAnsiTheme="minorHAnsi"/>
          <w:b w:val="0"/>
          <w:noProof/>
          <w:sz w:val="22"/>
          <w:lang w:eastAsia="en-AU"/>
        </w:rPr>
      </w:pPr>
      <w:hyperlink w:anchor="_Toc175239128" w:history="1">
        <w:r w:rsidRPr="005871B3">
          <w:rPr>
            <w:rStyle w:val="Hyperlink"/>
            <w:noProof/>
          </w:rPr>
          <w:t>Division 2—Issue and service</w:t>
        </w:r>
        <w:r>
          <w:rPr>
            <w:noProof/>
            <w:webHidden/>
          </w:rPr>
          <w:tab/>
        </w:r>
        <w:r>
          <w:rPr>
            <w:noProof/>
            <w:webHidden/>
          </w:rPr>
          <w:fldChar w:fldCharType="begin"/>
        </w:r>
        <w:r>
          <w:rPr>
            <w:noProof/>
            <w:webHidden/>
          </w:rPr>
          <w:instrText xml:space="preserve"> PAGEREF _Toc175239128 \h </w:instrText>
        </w:r>
        <w:r>
          <w:rPr>
            <w:noProof/>
            <w:webHidden/>
          </w:rPr>
        </w:r>
        <w:r>
          <w:rPr>
            <w:noProof/>
            <w:webHidden/>
          </w:rPr>
          <w:fldChar w:fldCharType="separate"/>
        </w:r>
        <w:r w:rsidR="00FD06AB">
          <w:rPr>
            <w:noProof/>
            <w:webHidden/>
          </w:rPr>
          <w:t>146</w:t>
        </w:r>
        <w:r>
          <w:rPr>
            <w:noProof/>
            <w:webHidden/>
          </w:rPr>
          <w:fldChar w:fldCharType="end"/>
        </w:r>
      </w:hyperlink>
    </w:p>
    <w:p w14:paraId="59CE9EF2" w14:textId="757120B7" w:rsidR="003B042F" w:rsidRDefault="003B042F">
      <w:pPr>
        <w:pStyle w:val="TOC4"/>
        <w:rPr>
          <w:rFonts w:asciiTheme="minorHAnsi" w:eastAsiaTheme="minorEastAsia" w:hAnsiTheme="minorHAnsi"/>
          <w:noProof/>
          <w:sz w:val="22"/>
          <w:lang w:eastAsia="en-AU"/>
        </w:rPr>
      </w:pPr>
      <w:hyperlink w:anchor="_Toc175239129" w:history="1">
        <w:r w:rsidRPr="005871B3">
          <w:rPr>
            <w:rStyle w:val="Hyperlink"/>
            <w:noProof/>
          </w:rPr>
          <w:t>123.1—Issuing subpoenas</w:t>
        </w:r>
        <w:r>
          <w:rPr>
            <w:noProof/>
            <w:webHidden/>
          </w:rPr>
          <w:tab/>
        </w:r>
        <w:r>
          <w:rPr>
            <w:noProof/>
            <w:webHidden/>
          </w:rPr>
          <w:fldChar w:fldCharType="begin"/>
        </w:r>
        <w:r>
          <w:rPr>
            <w:noProof/>
            <w:webHidden/>
          </w:rPr>
          <w:instrText xml:space="preserve"> PAGEREF _Toc175239129 \h </w:instrText>
        </w:r>
        <w:r>
          <w:rPr>
            <w:noProof/>
            <w:webHidden/>
          </w:rPr>
        </w:r>
        <w:r>
          <w:rPr>
            <w:noProof/>
            <w:webHidden/>
          </w:rPr>
          <w:fldChar w:fldCharType="separate"/>
        </w:r>
        <w:r w:rsidR="00FD06AB">
          <w:rPr>
            <w:noProof/>
            <w:webHidden/>
          </w:rPr>
          <w:t>146</w:t>
        </w:r>
        <w:r>
          <w:rPr>
            <w:noProof/>
            <w:webHidden/>
          </w:rPr>
          <w:fldChar w:fldCharType="end"/>
        </w:r>
      </w:hyperlink>
    </w:p>
    <w:p w14:paraId="66B49FD9" w14:textId="13A6A372" w:rsidR="003B042F" w:rsidRDefault="003B042F">
      <w:pPr>
        <w:pStyle w:val="TOC4"/>
        <w:rPr>
          <w:rFonts w:asciiTheme="minorHAnsi" w:eastAsiaTheme="minorEastAsia" w:hAnsiTheme="minorHAnsi"/>
          <w:noProof/>
          <w:sz w:val="22"/>
          <w:lang w:eastAsia="en-AU"/>
        </w:rPr>
      </w:pPr>
      <w:hyperlink w:anchor="_Toc175239130" w:history="1">
        <w:r w:rsidRPr="005871B3">
          <w:rPr>
            <w:rStyle w:val="Hyperlink"/>
            <w:noProof/>
          </w:rPr>
          <w:t>123.2—Form of subpoena</w:t>
        </w:r>
        <w:r>
          <w:rPr>
            <w:noProof/>
            <w:webHidden/>
          </w:rPr>
          <w:tab/>
        </w:r>
        <w:r>
          <w:rPr>
            <w:noProof/>
            <w:webHidden/>
          </w:rPr>
          <w:fldChar w:fldCharType="begin"/>
        </w:r>
        <w:r>
          <w:rPr>
            <w:noProof/>
            <w:webHidden/>
          </w:rPr>
          <w:instrText xml:space="preserve"> PAGEREF _Toc175239130 \h </w:instrText>
        </w:r>
        <w:r>
          <w:rPr>
            <w:noProof/>
            <w:webHidden/>
          </w:rPr>
        </w:r>
        <w:r>
          <w:rPr>
            <w:noProof/>
            <w:webHidden/>
          </w:rPr>
          <w:fldChar w:fldCharType="separate"/>
        </w:r>
        <w:r w:rsidR="00FD06AB">
          <w:rPr>
            <w:noProof/>
            <w:webHidden/>
          </w:rPr>
          <w:t>148</w:t>
        </w:r>
        <w:r>
          <w:rPr>
            <w:noProof/>
            <w:webHidden/>
          </w:rPr>
          <w:fldChar w:fldCharType="end"/>
        </w:r>
      </w:hyperlink>
    </w:p>
    <w:p w14:paraId="3A65444A" w14:textId="719002FD" w:rsidR="003B042F" w:rsidRDefault="003B042F">
      <w:pPr>
        <w:pStyle w:val="TOC4"/>
        <w:rPr>
          <w:rFonts w:asciiTheme="minorHAnsi" w:eastAsiaTheme="minorEastAsia" w:hAnsiTheme="minorHAnsi"/>
          <w:noProof/>
          <w:sz w:val="22"/>
          <w:lang w:eastAsia="en-AU"/>
        </w:rPr>
      </w:pPr>
      <w:hyperlink w:anchor="_Toc175239131" w:history="1">
        <w:r w:rsidRPr="005871B3">
          <w:rPr>
            <w:rStyle w:val="Hyperlink"/>
            <w:noProof/>
          </w:rPr>
          <w:t>123.3—Change of date for attendance or production</w:t>
        </w:r>
        <w:r>
          <w:rPr>
            <w:noProof/>
            <w:webHidden/>
          </w:rPr>
          <w:tab/>
        </w:r>
        <w:r>
          <w:rPr>
            <w:noProof/>
            <w:webHidden/>
          </w:rPr>
          <w:fldChar w:fldCharType="begin"/>
        </w:r>
        <w:r>
          <w:rPr>
            <w:noProof/>
            <w:webHidden/>
          </w:rPr>
          <w:instrText xml:space="preserve"> PAGEREF _Toc175239131 \h </w:instrText>
        </w:r>
        <w:r>
          <w:rPr>
            <w:noProof/>
            <w:webHidden/>
          </w:rPr>
        </w:r>
        <w:r>
          <w:rPr>
            <w:noProof/>
            <w:webHidden/>
          </w:rPr>
          <w:fldChar w:fldCharType="separate"/>
        </w:r>
        <w:r w:rsidR="00FD06AB">
          <w:rPr>
            <w:noProof/>
            <w:webHidden/>
          </w:rPr>
          <w:t>149</w:t>
        </w:r>
        <w:r>
          <w:rPr>
            <w:noProof/>
            <w:webHidden/>
          </w:rPr>
          <w:fldChar w:fldCharType="end"/>
        </w:r>
      </w:hyperlink>
    </w:p>
    <w:p w14:paraId="59F99968" w14:textId="0436C587" w:rsidR="003B042F" w:rsidRDefault="003B042F">
      <w:pPr>
        <w:pStyle w:val="TOC4"/>
        <w:rPr>
          <w:rFonts w:asciiTheme="minorHAnsi" w:eastAsiaTheme="minorEastAsia" w:hAnsiTheme="minorHAnsi"/>
          <w:noProof/>
          <w:sz w:val="22"/>
          <w:lang w:eastAsia="en-AU"/>
        </w:rPr>
      </w:pPr>
      <w:hyperlink w:anchor="_Toc175239132" w:history="1">
        <w:r w:rsidRPr="005871B3">
          <w:rPr>
            <w:rStyle w:val="Hyperlink"/>
            <w:noProof/>
          </w:rPr>
          <w:t>123.4—Setting aside or other relief</w:t>
        </w:r>
        <w:r>
          <w:rPr>
            <w:noProof/>
            <w:webHidden/>
          </w:rPr>
          <w:tab/>
        </w:r>
        <w:r>
          <w:rPr>
            <w:noProof/>
            <w:webHidden/>
          </w:rPr>
          <w:fldChar w:fldCharType="begin"/>
        </w:r>
        <w:r>
          <w:rPr>
            <w:noProof/>
            <w:webHidden/>
          </w:rPr>
          <w:instrText xml:space="preserve"> PAGEREF _Toc175239132 \h </w:instrText>
        </w:r>
        <w:r>
          <w:rPr>
            <w:noProof/>
            <w:webHidden/>
          </w:rPr>
        </w:r>
        <w:r>
          <w:rPr>
            <w:noProof/>
            <w:webHidden/>
          </w:rPr>
          <w:fldChar w:fldCharType="separate"/>
        </w:r>
        <w:r w:rsidR="00FD06AB">
          <w:rPr>
            <w:noProof/>
            <w:webHidden/>
          </w:rPr>
          <w:t>149</w:t>
        </w:r>
        <w:r>
          <w:rPr>
            <w:noProof/>
            <w:webHidden/>
          </w:rPr>
          <w:fldChar w:fldCharType="end"/>
        </w:r>
      </w:hyperlink>
    </w:p>
    <w:p w14:paraId="577F1268" w14:textId="13EDF6B5" w:rsidR="003B042F" w:rsidRDefault="003B042F">
      <w:pPr>
        <w:pStyle w:val="TOC4"/>
        <w:rPr>
          <w:rFonts w:asciiTheme="minorHAnsi" w:eastAsiaTheme="minorEastAsia" w:hAnsiTheme="minorHAnsi"/>
          <w:noProof/>
          <w:sz w:val="22"/>
          <w:lang w:eastAsia="en-AU"/>
        </w:rPr>
      </w:pPr>
      <w:hyperlink w:anchor="_Toc175239133" w:history="1">
        <w:r w:rsidRPr="005871B3">
          <w:rPr>
            <w:rStyle w:val="Hyperlink"/>
            <w:noProof/>
          </w:rPr>
          <w:t>123.5—Service</w:t>
        </w:r>
        <w:r>
          <w:rPr>
            <w:noProof/>
            <w:webHidden/>
          </w:rPr>
          <w:tab/>
        </w:r>
        <w:r>
          <w:rPr>
            <w:noProof/>
            <w:webHidden/>
          </w:rPr>
          <w:fldChar w:fldCharType="begin"/>
        </w:r>
        <w:r>
          <w:rPr>
            <w:noProof/>
            <w:webHidden/>
          </w:rPr>
          <w:instrText xml:space="preserve"> PAGEREF _Toc175239133 \h </w:instrText>
        </w:r>
        <w:r>
          <w:rPr>
            <w:noProof/>
            <w:webHidden/>
          </w:rPr>
        </w:r>
        <w:r>
          <w:rPr>
            <w:noProof/>
            <w:webHidden/>
          </w:rPr>
          <w:fldChar w:fldCharType="separate"/>
        </w:r>
        <w:r w:rsidR="00FD06AB">
          <w:rPr>
            <w:noProof/>
            <w:webHidden/>
          </w:rPr>
          <w:t>149</w:t>
        </w:r>
        <w:r>
          <w:rPr>
            <w:noProof/>
            <w:webHidden/>
          </w:rPr>
          <w:fldChar w:fldCharType="end"/>
        </w:r>
      </w:hyperlink>
    </w:p>
    <w:p w14:paraId="40F201A3" w14:textId="3F146476" w:rsidR="003B042F" w:rsidRDefault="003B042F">
      <w:pPr>
        <w:pStyle w:val="TOC3"/>
        <w:rPr>
          <w:rFonts w:asciiTheme="minorHAnsi" w:eastAsiaTheme="minorEastAsia" w:hAnsiTheme="minorHAnsi"/>
          <w:b w:val="0"/>
          <w:noProof/>
          <w:sz w:val="22"/>
          <w:lang w:eastAsia="en-AU"/>
        </w:rPr>
      </w:pPr>
      <w:hyperlink w:anchor="_Toc175239134" w:history="1">
        <w:r w:rsidRPr="005871B3">
          <w:rPr>
            <w:rStyle w:val="Hyperlink"/>
            <w:noProof/>
          </w:rPr>
          <w:t>Division 3—Compliance</w:t>
        </w:r>
        <w:r>
          <w:rPr>
            <w:noProof/>
            <w:webHidden/>
          </w:rPr>
          <w:tab/>
        </w:r>
        <w:r>
          <w:rPr>
            <w:noProof/>
            <w:webHidden/>
          </w:rPr>
          <w:fldChar w:fldCharType="begin"/>
        </w:r>
        <w:r>
          <w:rPr>
            <w:noProof/>
            <w:webHidden/>
          </w:rPr>
          <w:instrText xml:space="preserve"> PAGEREF _Toc175239134 \h </w:instrText>
        </w:r>
        <w:r>
          <w:rPr>
            <w:noProof/>
            <w:webHidden/>
          </w:rPr>
        </w:r>
        <w:r>
          <w:rPr>
            <w:noProof/>
            <w:webHidden/>
          </w:rPr>
          <w:fldChar w:fldCharType="separate"/>
        </w:r>
        <w:r w:rsidR="00FD06AB">
          <w:rPr>
            <w:noProof/>
            <w:webHidden/>
          </w:rPr>
          <w:t>149</w:t>
        </w:r>
        <w:r>
          <w:rPr>
            <w:noProof/>
            <w:webHidden/>
          </w:rPr>
          <w:fldChar w:fldCharType="end"/>
        </w:r>
      </w:hyperlink>
    </w:p>
    <w:p w14:paraId="1F35AC99" w14:textId="2DC4833F" w:rsidR="003B042F" w:rsidRDefault="003B042F">
      <w:pPr>
        <w:pStyle w:val="TOC4"/>
        <w:rPr>
          <w:rFonts w:asciiTheme="minorHAnsi" w:eastAsiaTheme="minorEastAsia" w:hAnsiTheme="minorHAnsi"/>
          <w:noProof/>
          <w:sz w:val="22"/>
          <w:lang w:eastAsia="en-AU"/>
        </w:rPr>
      </w:pPr>
      <w:hyperlink w:anchor="_Toc175239135" w:history="1">
        <w:r w:rsidRPr="005871B3">
          <w:rPr>
            <w:rStyle w:val="Hyperlink"/>
            <w:noProof/>
          </w:rPr>
          <w:t>124.1—Compliance with subpoena</w:t>
        </w:r>
        <w:r>
          <w:rPr>
            <w:noProof/>
            <w:webHidden/>
          </w:rPr>
          <w:tab/>
        </w:r>
        <w:r>
          <w:rPr>
            <w:noProof/>
            <w:webHidden/>
          </w:rPr>
          <w:fldChar w:fldCharType="begin"/>
        </w:r>
        <w:r>
          <w:rPr>
            <w:noProof/>
            <w:webHidden/>
          </w:rPr>
          <w:instrText xml:space="preserve"> PAGEREF _Toc175239135 \h </w:instrText>
        </w:r>
        <w:r>
          <w:rPr>
            <w:noProof/>
            <w:webHidden/>
          </w:rPr>
        </w:r>
        <w:r>
          <w:rPr>
            <w:noProof/>
            <w:webHidden/>
          </w:rPr>
          <w:fldChar w:fldCharType="separate"/>
        </w:r>
        <w:r w:rsidR="00FD06AB">
          <w:rPr>
            <w:noProof/>
            <w:webHidden/>
          </w:rPr>
          <w:t>149</w:t>
        </w:r>
        <w:r>
          <w:rPr>
            <w:noProof/>
            <w:webHidden/>
          </w:rPr>
          <w:fldChar w:fldCharType="end"/>
        </w:r>
      </w:hyperlink>
    </w:p>
    <w:p w14:paraId="692B3003" w14:textId="0139DA04" w:rsidR="003B042F" w:rsidRDefault="003B042F">
      <w:pPr>
        <w:pStyle w:val="TOC4"/>
        <w:rPr>
          <w:rFonts w:asciiTheme="minorHAnsi" w:eastAsiaTheme="minorEastAsia" w:hAnsiTheme="minorHAnsi"/>
          <w:noProof/>
          <w:sz w:val="22"/>
          <w:lang w:eastAsia="en-AU"/>
        </w:rPr>
      </w:pPr>
      <w:hyperlink w:anchor="_Toc175239136" w:history="1">
        <w:r w:rsidRPr="005871B3">
          <w:rPr>
            <w:rStyle w:val="Hyperlink"/>
            <w:noProof/>
          </w:rPr>
          <w:t>124.2—Production otherwise than on attendance</w:t>
        </w:r>
        <w:r>
          <w:rPr>
            <w:noProof/>
            <w:webHidden/>
          </w:rPr>
          <w:tab/>
        </w:r>
        <w:r>
          <w:rPr>
            <w:noProof/>
            <w:webHidden/>
          </w:rPr>
          <w:fldChar w:fldCharType="begin"/>
        </w:r>
        <w:r>
          <w:rPr>
            <w:noProof/>
            <w:webHidden/>
          </w:rPr>
          <w:instrText xml:space="preserve"> PAGEREF _Toc175239136 \h </w:instrText>
        </w:r>
        <w:r>
          <w:rPr>
            <w:noProof/>
            <w:webHidden/>
          </w:rPr>
        </w:r>
        <w:r>
          <w:rPr>
            <w:noProof/>
            <w:webHidden/>
          </w:rPr>
          <w:fldChar w:fldCharType="separate"/>
        </w:r>
        <w:r w:rsidR="00FD06AB">
          <w:rPr>
            <w:noProof/>
            <w:webHidden/>
          </w:rPr>
          <w:t>151</w:t>
        </w:r>
        <w:r>
          <w:rPr>
            <w:noProof/>
            <w:webHidden/>
          </w:rPr>
          <w:fldChar w:fldCharType="end"/>
        </w:r>
      </w:hyperlink>
    </w:p>
    <w:p w14:paraId="38DDD967" w14:textId="394F71C8" w:rsidR="003B042F" w:rsidRDefault="003B042F">
      <w:pPr>
        <w:pStyle w:val="TOC3"/>
        <w:rPr>
          <w:rFonts w:asciiTheme="minorHAnsi" w:eastAsiaTheme="minorEastAsia" w:hAnsiTheme="minorHAnsi"/>
          <w:b w:val="0"/>
          <w:noProof/>
          <w:sz w:val="22"/>
          <w:lang w:eastAsia="en-AU"/>
        </w:rPr>
      </w:pPr>
      <w:hyperlink w:anchor="_Toc175239137" w:history="1">
        <w:r w:rsidRPr="005871B3">
          <w:rPr>
            <w:rStyle w:val="Hyperlink"/>
            <w:noProof/>
          </w:rPr>
          <w:t>Division 4—Dealing with documents</w:t>
        </w:r>
        <w:r>
          <w:rPr>
            <w:noProof/>
            <w:webHidden/>
          </w:rPr>
          <w:tab/>
        </w:r>
        <w:r>
          <w:rPr>
            <w:noProof/>
            <w:webHidden/>
          </w:rPr>
          <w:fldChar w:fldCharType="begin"/>
        </w:r>
        <w:r>
          <w:rPr>
            <w:noProof/>
            <w:webHidden/>
          </w:rPr>
          <w:instrText xml:space="preserve"> PAGEREF _Toc175239137 \h </w:instrText>
        </w:r>
        <w:r>
          <w:rPr>
            <w:noProof/>
            <w:webHidden/>
          </w:rPr>
        </w:r>
        <w:r>
          <w:rPr>
            <w:noProof/>
            <w:webHidden/>
          </w:rPr>
          <w:fldChar w:fldCharType="separate"/>
        </w:r>
        <w:r w:rsidR="00FD06AB">
          <w:rPr>
            <w:noProof/>
            <w:webHidden/>
          </w:rPr>
          <w:t>151</w:t>
        </w:r>
        <w:r>
          <w:rPr>
            <w:noProof/>
            <w:webHidden/>
          </w:rPr>
          <w:fldChar w:fldCharType="end"/>
        </w:r>
      </w:hyperlink>
    </w:p>
    <w:p w14:paraId="31EA16FD" w14:textId="4B4BF9D3" w:rsidR="003B042F" w:rsidRDefault="003B042F">
      <w:pPr>
        <w:pStyle w:val="TOC4"/>
        <w:rPr>
          <w:rFonts w:asciiTheme="minorHAnsi" w:eastAsiaTheme="minorEastAsia" w:hAnsiTheme="minorHAnsi"/>
          <w:noProof/>
          <w:sz w:val="22"/>
          <w:lang w:eastAsia="en-AU"/>
        </w:rPr>
      </w:pPr>
      <w:hyperlink w:anchor="_Toc175239138" w:history="1">
        <w:r w:rsidRPr="005871B3">
          <w:rPr>
            <w:rStyle w:val="Hyperlink"/>
            <w:noProof/>
          </w:rPr>
          <w:t>125.1—Removal, return, inspection, copying and disposal of documents and things</w:t>
        </w:r>
        <w:r>
          <w:rPr>
            <w:noProof/>
            <w:webHidden/>
          </w:rPr>
          <w:tab/>
        </w:r>
        <w:r>
          <w:rPr>
            <w:noProof/>
            <w:webHidden/>
          </w:rPr>
          <w:fldChar w:fldCharType="begin"/>
        </w:r>
        <w:r>
          <w:rPr>
            <w:noProof/>
            <w:webHidden/>
          </w:rPr>
          <w:instrText xml:space="preserve"> PAGEREF _Toc175239138 \h </w:instrText>
        </w:r>
        <w:r>
          <w:rPr>
            <w:noProof/>
            <w:webHidden/>
          </w:rPr>
        </w:r>
        <w:r>
          <w:rPr>
            <w:noProof/>
            <w:webHidden/>
          </w:rPr>
          <w:fldChar w:fldCharType="separate"/>
        </w:r>
        <w:r w:rsidR="00FD06AB">
          <w:rPr>
            <w:noProof/>
            <w:webHidden/>
          </w:rPr>
          <w:t>151</w:t>
        </w:r>
        <w:r>
          <w:rPr>
            <w:noProof/>
            <w:webHidden/>
          </w:rPr>
          <w:fldChar w:fldCharType="end"/>
        </w:r>
      </w:hyperlink>
    </w:p>
    <w:p w14:paraId="7C80C831" w14:textId="117E81D8" w:rsidR="003B042F" w:rsidRDefault="003B042F">
      <w:pPr>
        <w:pStyle w:val="TOC4"/>
        <w:rPr>
          <w:rFonts w:asciiTheme="minorHAnsi" w:eastAsiaTheme="minorEastAsia" w:hAnsiTheme="minorHAnsi"/>
          <w:noProof/>
          <w:sz w:val="22"/>
          <w:lang w:eastAsia="en-AU"/>
        </w:rPr>
      </w:pPr>
      <w:hyperlink w:anchor="_Toc175239139" w:history="1">
        <w:r w:rsidRPr="005871B3">
          <w:rPr>
            <w:rStyle w:val="Hyperlink"/>
            <w:noProof/>
          </w:rPr>
          <w:t>125.2—Inspection of, and dealing with, documents and things produced otherwise than on attendance</w:t>
        </w:r>
        <w:r>
          <w:rPr>
            <w:noProof/>
            <w:webHidden/>
          </w:rPr>
          <w:tab/>
        </w:r>
        <w:r>
          <w:rPr>
            <w:noProof/>
            <w:webHidden/>
          </w:rPr>
          <w:fldChar w:fldCharType="begin"/>
        </w:r>
        <w:r>
          <w:rPr>
            <w:noProof/>
            <w:webHidden/>
          </w:rPr>
          <w:instrText xml:space="preserve"> PAGEREF _Toc175239139 \h </w:instrText>
        </w:r>
        <w:r>
          <w:rPr>
            <w:noProof/>
            <w:webHidden/>
          </w:rPr>
        </w:r>
        <w:r>
          <w:rPr>
            <w:noProof/>
            <w:webHidden/>
          </w:rPr>
          <w:fldChar w:fldCharType="separate"/>
        </w:r>
        <w:r w:rsidR="00FD06AB">
          <w:rPr>
            <w:noProof/>
            <w:webHidden/>
          </w:rPr>
          <w:t>151</w:t>
        </w:r>
        <w:r>
          <w:rPr>
            <w:noProof/>
            <w:webHidden/>
          </w:rPr>
          <w:fldChar w:fldCharType="end"/>
        </w:r>
      </w:hyperlink>
    </w:p>
    <w:p w14:paraId="738CE94C" w14:textId="0CAEFFB1" w:rsidR="003B042F" w:rsidRDefault="003B042F">
      <w:pPr>
        <w:pStyle w:val="TOC4"/>
        <w:rPr>
          <w:rFonts w:asciiTheme="minorHAnsi" w:eastAsiaTheme="minorEastAsia" w:hAnsiTheme="minorHAnsi"/>
          <w:noProof/>
          <w:sz w:val="22"/>
          <w:lang w:eastAsia="en-AU"/>
        </w:rPr>
      </w:pPr>
      <w:hyperlink w:anchor="_Toc175239140" w:history="1">
        <w:r w:rsidRPr="005871B3">
          <w:rPr>
            <w:rStyle w:val="Hyperlink"/>
            <w:noProof/>
          </w:rPr>
          <w:t>125.3—Return of documents and things produced</w:t>
        </w:r>
        <w:r>
          <w:rPr>
            <w:noProof/>
            <w:webHidden/>
          </w:rPr>
          <w:tab/>
        </w:r>
        <w:r>
          <w:rPr>
            <w:noProof/>
            <w:webHidden/>
          </w:rPr>
          <w:fldChar w:fldCharType="begin"/>
        </w:r>
        <w:r>
          <w:rPr>
            <w:noProof/>
            <w:webHidden/>
          </w:rPr>
          <w:instrText xml:space="preserve"> PAGEREF _Toc175239140 \h </w:instrText>
        </w:r>
        <w:r>
          <w:rPr>
            <w:noProof/>
            <w:webHidden/>
          </w:rPr>
        </w:r>
        <w:r>
          <w:rPr>
            <w:noProof/>
            <w:webHidden/>
          </w:rPr>
          <w:fldChar w:fldCharType="separate"/>
        </w:r>
        <w:r w:rsidR="00FD06AB">
          <w:rPr>
            <w:noProof/>
            <w:webHidden/>
          </w:rPr>
          <w:t>152</w:t>
        </w:r>
        <w:r>
          <w:rPr>
            <w:noProof/>
            <w:webHidden/>
          </w:rPr>
          <w:fldChar w:fldCharType="end"/>
        </w:r>
      </w:hyperlink>
    </w:p>
    <w:p w14:paraId="7FDEFF38" w14:textId="3424C8FB" w:rsidR="003B042F" w:rsidRDefault="003B042F">
      <w:pPr>
        <w:pStyle w:val="TOC3"/>
        <w:rPr>
          <w:rFonts w:asciiTheme="minorHAnsi" w:eastAsiaTheme="minorEastAsia" w:hAnsiTheme="minorHAnsi"/>
          <w:b w:val="0"/>
          <w:noProof/>
          <w:sz w:val="22"/>
          <w:lang w:eastAsia="en-AU"/>
        </w:rPr>
      </w:pPr>
      <w:hyperlink w:anchor="_Toc175239141" w:history="1">
        <w:r w:rsidRPr="005871B3">
          <w:rPr>
            <w:rStyle w:val="Hyperlink"/>
            <w:noProof/>
          </w:rPr>
          <w:t>Division 5—Costs of compliance</w:t>
        </w:r>
        <w:r>
          <w:rPr>
            <w:noProof/>
            <w:webHidden/>
          </w:rPr>
          <w:tab/>
        </w:r>
        <w:r>
          <w:rPr>
            <w:noProof/>
            <w:webHidden/>
          </w:rPr>
          <w:fldChar w:fldCharType="begin"/>
        </w:r>
        <w:r>
          <w:rPr>
            <w:noProof/>
            <w:webHidden/>
          </w:rPr>
          <w:instrText xml:space="preserve"> PAGEREF _Toc175239141 \h </w:instrText>
        </w:r>
        <w:r>
          <w:rPr>
            <w:noProof/>
            <w:webHidden/>
          </w:rPr>
        </w:r>
        <w:r>
          <w:rPr>
            <w:noProof/>
            <w:webHidden/>
          </w:rPr>
          <w:fldChar w:fldCharType="separate"/>
        </w:r>
        <w:r w:rsidR="00FD06AB">
          <w:rPr>
            <w:noProof/>
            <w:webHidden/>
          </w:rPr>
          <w:t>153</w:t>
        </w:r>
        <w:r>
          <w:rPr>
            <w:noProof/>
            <w:webHidden/>
          </w:rPr>
          <w:fldChar w:fldCharType="end"/>
        </w:r>
      </w:hyperlink>
    </w:p>
    <w:p w14:paraId="28F1F5DD" w14:textId="4BA9EE70" w:rsidR="003B042F" w:rsidRDefault="003B042F">
      <w:pPr>
        <w:pStyle w:val="TOC4"/>
        <w:rPr>
          <w:rFonts w:asciiTheme="minorHAnsi" w:eastAsiaTheme="minorEastAsia" w:hAnsiTheme="minorHAnsi"/>
          <w:noProof/>
          <w:sz w:val="22"/>
          <w:lang w:eastAsia="en-AU"/>
        </w:rPr>
      </w:pPr>
      <w:hyperlink w:anchor="_Toc175239142" w:history="1">
        <w:r w:rsidRPr="005871B3">
          <w:rPr>
            <w:rStyle w:val="Hyperlink"/>
            <w:noProof/>
          </w:rPr>
          <w:t>126.1—Costs and expenses of compliance</w:t>
        </w:r>
        <w:r>
          <w:rPr>
            <w:noProof/>
            <w:webHidden/>
          </w:rPr>
          <w:tab/>
        </w:r>
        <w:r>
          <w:rPr>
            <w:noProof/>
            <w:webHidden/>
          </w:rPr>
          <w:fldChar w:fldCharType="begin"/>
        </w:r>
        <w:r>
          <w:rPr>
            <w:noProof/>
            <w:webHidden/>
          </w:rPr>
          <w:instrText xml:space="preserve"> PAGEREF _Toc175239142 \h </w:instrText>
        </w:r>
        <w:r>
          <w:rPr>
            <w:noProof/>
            <w:webHidden/>
          </w:rPr>
        </w:r>
        <w:r>
          <w:rPr>
            <w:noProof/>
            <w:webHidden/>
          </w:rPr>
          <w:fldChar w:fldCharType="separate"/>
        </w:r>
        <w:r w:rsidR="00FD06AB">
          <w:rPr>
            <w:noProof/>
            <w:webHidden/>
          </w:rPr>
          <w:t>153</w:t>
        </w:r>
        <w:r>
          <w:rPr>
            <w:noProof/>
            <w:webHidden/>
          </w:rPr>
          <w:fldChar w:fldCharType="end"/>
        </w:r>
      </w:hyperlink>
    </w:p>
    <w:p w14:paraId="6571F620" w14:textId="4835B130" w:rsidR="003B042F" w:rsidRDefault="003B042F">
      <w:pPr>
        <w:pStyle w:val="TOC3"/>
        <w:rPr>
          <w:rFonts w:asciiTheme="minorHAnsi" w:eastAsiaTheme="minorEastAsia" w:hAnsiTheme="minorHAnsi"/>
          <w:b w:val="0"/>
          <w:noProof/>
          <w:sz w:val="22"/>
          <w:lang w:eastAsia="en-AU"/>
        </w:rPr>
      </w:pPr>
      <w:hyperlink w:anchor="_Toc175239143" w:history="1">
        <w:r w:rsidRPr="005871B3">
          <w:rPr>
            <w:rStyle w:val="Hyperlink"/>
            <w:noProof/>
          </w:rPr>
          <w:t>Division 6—Failure to comply</w:t>
        </w:r>
        <w:r>
          <w:rPr>
            <w:noProof/>
            <w:webHidden/>
          </w:rPr>
          <w:tab/>
        </w:r>
        <w:r>
          <w:rPr>
            <w:noProof/>
            <w:webHidden/>
          </w:rPr>
          <w:fldChar w:fldCharType="begin"/>
        </w:r>
        <w:r>
          <w:rPr>
            <w:noProof/>
            <w:webHidden/>
          </w:rPr>
          <w:instrText xml:space="preserve"> PAGEREF _Toc175239143 \h </w:instrText>
        </w:r>
        <w:r>
          <w:rPr>
            <w:noProof/>
            <w:webHidden/>
          </w:rPr>
        </w:r>
        <w:r>
          <w:rPr>
            <w:noProof/>
            <w:webHidden/>
          </w:rPr>
          <w:fldChar w:fldCharType="separate"/>
        </w:r>
        <w:r w:rsidR="00FD06AB">
          <w:rPr>
            <w:noProof/>
            <w:webHidden/>
          </w:rPr>
          <w:t>153</w:t>
        </w:r>
        <w:r>
          <w:rPr>
            <w:noProof/>
            <w:webHidden/>
          </w:rPr>
          <w:fldChar w:fldCharType="end"/>
        </w:r>
      </w:hyperlink>
    </w:p>
    <w:p w14:paraId="5FFC1778" w14:textId="4D722903" w:rsidR="003B042F" w:rsidRDefault="003B042F">
      <w:pPr>
        <w:pStyle w:val="TOC4"/>
        <w:rPr>
          <w:rFonts w:asciiTheme="minorHAnsi" w:eastAsiaTheme="minorEastAsia" w:hAnsiTheme="minorHAnsi"/>
          <w:noProof/>
          <w:sz w:val="22"/>
          <w:lang w:eastAsia="en-AU"/>
        </w:rPr>
      </w:pPr>
      <w:hyperlink w:anchor="_Toc175239144" w:history="1">
        <w:r w:rsidRPr="005871B3">
          <w:rPr>
            <w:rStyle w:val="Hyperlink"/>
            <w:noProof/>
          </w:rPr>
          <w:t>127.1—Failure to comply with subpoena—contempt of court</w:t>
        </w:r>
        <w:r>
          <w:rPr>
            <w:noProof/>
            <w:webHidden/>
          </w:rPr>
          <w:tab/>
        </w:r>
        <w:r>
          <w:rPr>
            <w:noProof/>
            <w:webHidden/>
          </w:rPr>
          <w:fldChar w:fldCharType="begin"/>
        </w:r>
        <w:r>
          <w:rPr>
            <w:noProof/>
            <w:webHidden/>
          </w:rPr>
          <w:instrText xml:space="preserve"> PAGEREF _Toc175239144 \h </w:instrText>
        </w:r>
        <w:r>
          <w:rPr>
            <w:noProof/>
            <w:webHidden/>
          </w:rPr>
        </w:r>
        <w:r>
          <w:rPr>
            <w:noProof/>
            <w:webHidden/>
          </w:rPr>
          <w:fldChar w:fldCharType="separate"/>
        </w:r>
        <w:r w:rsidR="00FD06AB">
          <w:rPr>
            <w:noProof/>
            <w:webHidden/>
          </w:rPr>
          <w:t>153</w:t>
        </w:r>
        <w:r>
          <w:rPr>
            <w:noProof/>
            <w:webHidden/>
          </w:rPr>
          <w:fldChar w:fldCharType="end"/>
        </w:r>
      </w:hyperlink>
    </w:p>
    <w:p w14:paraId="651D3B5F" w14:textId="1573B1CD" w:rsidR="003B042F" w:rsidRDefault="003B042F">
      <w:pPr>
        <w:pStyle w:val="TOC4"/>
        <w:rPr>
          <w:rFonts w:asciiTheme="minorHAnsi" w:eastAsiaTheme="minorEastAsia" w:hAnsiTheme="minorHAnsi"/>
          <w:noProof/>
          <w:sz w:val="22"/>
          <w:lang w:eastAsia="en-AU"/>
        </w:rPr>
      </w:pPr>
      <w:hyperlink w:anchor="_Toc175239145" w:history="1">
        <w:r w:rsidRPr="005871B3">
          <w:rPr>
            <w:rStyle w:val="Hyperlink"/>
            <w:noProof/>
          </w:rPr>
          <w:t>127.2—Issue of warrant of apprehension to addressee</w:t>
        </w:r>
        <w:r>
          <w:rPr>
            <w:noProof/>
            <w:webHidden/>
          </w:rPr>
          <w:tab/>
        </w:r>
        <w:r>
          <w:rPr>
            <w:noProof/>
            <w:webHidden/>
          </w:rPr>
          <w:fldChar w:fldCharType="begin"/>
        </w:r>
        <w:r>
          <w:rPr>
            <w:noProof/>
            <w:webHidden/>
          </w:rPr>
          <w:instrText xml:space="preserve"> PAGEREF _Toc175239145 \h </w:instrText>
        </w:r>
        <w:r>
          <w:rPr>
            <w:noProof/>
            <w:webHidden/>
          </w:rPr>
        </w:r>
        <w:r>
          <w:rPr>
            <w:noProof/>
            <w:webHidden/>
          </w:rPr>
          <w:fldChar w:fldCharType="separate"/>
        </w:r>
        <w:r w:rsidR="00FD06AB">
          <w:rPr>
            <w:noProof/>
            <w:webHidden/>
          </w:rPr>
          <w:t>153</w:t>
        </w:r>
        <w:r>
          <w:rPr>
            <w:noProof/>
            <w:webHidden/>
          </w:rPr>
          <w:fldChar w:fldCharType="end"/>
        </w:r>
      </w:hyperlink>
    </w:p>
    <w:p w14:paraId="2D7B911E" w14:textId="3D6D27AA" w:rsidR="003B042F" w:rsidRDefault="003B042F">
      <w:pPr>
        <w:pStyle w:val="TOC3"/>
        <w:rPr>
          <w:rFonts w:asciiTheme="minorHAnsi" w:eastAsiaTheme="minorEastAsia" w:hAnsiTheme="minorHAnsi"/>
          <w:b w:val="0"/>
          <w:noProof/>
          <w:sz w:val="22"/>
          <w:lang w:eastAsia="en-AU"/>
        </w:rPr>
      </w:pPr>
      <w:hyperlink w:anchor="_Toc175239146" w:history="1">
        <w:r w:rsidRPr="005871B3">
          <w:rPr>
            <w:rStyle w:val="Hyperlink"/>
            <w:noProof/>
          </w:rPr>
          <w:t>Division 7—Documents in court custody</w:t>
        </w:r>
        <w:r>
          <w:rPr>
            <w:noProof/>
            <w:webHidden/>
          </w:rPr>
          <w:tab/>
        </w:r>
        <w:r>
          <w:rPr>
            <w:noProof/>
            <w:webHidden/>
          </w:rPr>
          <w:fldChar w:fldCharType="begin"/>
        </w:r>
        <w:r>
          <w:rPr>
            <w:noProof/>
            <w:webHidden/>
          </w:rPr>
          <w:instrText xml:space="preserve"> PAGEREF _Toc175239146 \h </w:instrText>
        </w:r>
        <w:r>
          <w:rPr>
            <w:noProof/>
            <w:webHidden/>
          </w:rPr>
        </w:r>
        <w:r>
          <w:rPr>
            <w:noProof/>
            <w:webHidden/>
          </w:rPr>
          <w:fldChar w:fldCharType="separate"/>
        </w:r>
        <w:r w:rsidR="00FD06AB">
          <w:rPr>
            <w:noProof/>
            <w:webHidden/>
          </w:rPr>
          <w:t>154</w:t>
        </w:r>
        <w:r>
          <w:rPr>
            <w:noProof/>
            <w:webHidden/>
          </w:rPr>
          <w:fldChar w:fldCharType="end"/>
        </w:r>
      </w:hyperlink>
    </w:p>
    <w:p w14:paraId="787AEB0F" w14:textId="10A1739D" w:rsidR="003B042F" w:rsidRDefault="003B042F">
      <w:pPr>
        <w:pStyle w:val="TOC4"/>
        <w:rPr>
          <w:rFonts w:asciiTheme="minorHAnsi" w:eastAsiaTheme="minorEastAsia" w:hAnsiTheme="minorHAnsi"/>
          <w:noProof/>
          <w:sz w:val="22"/>
          <w:lang w:eastAsia="en-AU"/>
        </w:rPr>
      </w:pPr>
      <w:hyperlink w:anchor="_Toc175239147" w:history="1">
        <w:r w:rsidRPr="005871B3">
          <w:rPr>
            <w:rStyle w:val="Hyperlink"/>
            <w:noProof/>
          </w:rPr>
          <w:t>128.1—Documents and things in custody of Court</w:t>
        </w:r>
        <w:r>
          <w:rPr>
            <w:noProof/>
            <w:webHidden/>
          </w:rPr>
          <w:tab/>
        </w:r>
        <w:r>
          <w:rPr>
            <w:noProof/>
            <w:webHidden/>
          </w:rPr>
          <w:fldChar w:fldCharType="begin"/>
        </w:r>
        <w:r>
          <w:rPr>
            <w:noProof/>
            <w:webHidden/>
          </w:rPr>
          <w:instrText xml:space="preserve"> PAGEREF _Toc175239147 \h </w:instrText>
        </w:r>
        <w:r>
          <w:rPr>
            <w:noProof/>
            <w:webHidden/>
          </w:rPr>
        </w:r>
        <w:r>
          <w:rPr>
            <w:noProof/>
            <w:webHidden/>
          </w:rPr>
          <w:fldChar w:fldCharType="separate"/>
        </w:r>
        <w:r w:rsidR="00FD06AB">
          <w:rPr>
            <w:noProof/>
            <w:webHidden/>
          </w:rPr>
          <w:t>154</w:t>
        </w:r>
        <w:r>
          <w:rPr>
            <w:noProof/>
            <w:webHidden/>
          </w:rPr>
          <w:fldChar w:fldCharType="end"/>
        </w:r>
      </w:hyperlink>
    </w:p>
    <w:p w14:paraId="1E98A360" w14:textId="650E7614" w:rsidR="003B042F" w:rsidRDefault="003B042F">
      <w:pPr>
        <w:pStyle w:val="TOC3"/>
        <w:rPr>
          <w:rFonts w:asciiTheme="minorHAnsi" w:eastAsiaTheme="minorEastAsia" w:hAnsiTheme="minorHAnsi"/>
          <w:b w:val="0"/>
          <w:noProof/>
          <w:sz w:val="22"/>
          <w:lang w:eastAsia="en-AU"/>
        </w:rPr>
      </w:pPr>
      <w:hyperlink w:anchor="_Toc175239148" w:history="1">
        <w:r w:rsidRPr="005871B3">
          <w:rPr>
            <w:rStyle w:val="Hyperlink"/>
            <w:noProof/>
          </w:rPr>
          <w:t>Division 8—Service interstate or in New Zealand</w:t>
        </w:r>
        <w:r>
          <w:rPr>
            <w:noProof/>
            <w:webHidden/>
          </w:rPr>
          <w:tab/>
        </w:r>
        <w:r>
          <w:rPr>
            <w:noProof/>
            <w:webHidden/>
          </w:rPr>
          <w:fldChar w:fldCharType="begin"/>
        </w:r>
        <w:r>
          <w:rPr>
            <w:noProof/>
            <w:webHidden/>
          </w:rPr>
          <w:instrText xml:space="preserve"> PAGEREF _Toc175239148 \h </w:instrText>
        </w:r>
        <w:r>
          <w:rPr>
            <w:noProof/>
            <w:webHidden/>
          </w:rPr>
        </w:r>
        <w:r>
          <w:rPr>
            <w:noProof/>
            <w:webHidden/>
          </w:rPr>
          <w:fldChar w:fldCharType="separate"/>
        </w:r>
        <w:r w:rsidR="00FD06AB">
          <w:rPr>
            <w:noProof/>
            <w:webHidden/>
          </w:rPr>
          <w:t>154</w:t>
        </w:r>
        <w:r>
          <w:rPr>
            <w:noProof/>
            <w:webHidden/>
          </w:rPr>
          <w:fldChar w:fldCharType="end"/>
        </w:r>
      </w:hyperlink>
    </w:p>
    <w:p w14:paraId="60C05657" w14:textId="5E3B8208" w:rsidR="003B042F" w:rsidRDefault="003B042F">
      <w:pPr>
        <w:pStyle w:val="TOC4"/>
        <w:rPr>
          <w:rFonts w:asciiTheme="minorHAnsi" w:eastAsiaTheme="minorEastAsia" w:hAnsiTheme="minorHAnsi"/>
          <w:noProof/>
          <w:sz w:val="22"/>
          <w:lang w:eastAsia="en-AU"/>
        </w:rPr>
      </w:pPr>
      <w:hyperlink w:anchor="_Toc175239149" w:history="1">
        <w:r w:rsidRPr="005871B3">
          <w:rPr>
            <w:rStyle w:val="Hyperlink"/>
            <w:noProof/>
          </w:rPr>
          <w:t>129.1—Service of subpoena interstate</w:t>
        </w:r>
        <w:r>
          <w:rPr>
            <w:noProof/>
            <w:webHidden/>
          </w:rPr>
          <w:tab/>
        </w:r>
        <w:r>
          <w:rPr>
            <w:noProof/>
            <w:webHidden/>
          </w:rPr>
          <w:fldChar w:fldCharType="begin"/>
        </w:r>
        <w:r>
          <w:rPr>
            <w:noProof/>
            <w:webHidden/>
          </w:rPr>
          <w:instrText xml:space="preserve"> PAGEREF _Toc175239149 \h </w:instrText>
        </w:r>
        <w:r>
          <w:rPr>
            <w:noProof/>
            <w:webHidden/>
          </w:rPr>
        </w:r>
        <w:r>
          <w:rPr>
            <w:noProof/>
            <w:webHidden/>
          </w:rPr>
          <w:fldChar w:fldCharType="separate"/>
        </w:r>
        <w:r w:rsidR="00FD06AB">
          <w:rPr>
            <w:noProof/>
            <w:webHidden/>
          </w:rPr>
          <w:t>154</w:t>
        </w:r>
        <w:r>
          <w:rPr>
            <w:noProof/>
            <w:webHidden/>
          </w:rPr>
          <w:fldChar w:fldCharType="end"/>
        </w:r>
      </w:hyperlink>
    </w:p>
    <w:p w14:paraId="4DBD37D9" w14:textId="7325AC5C" w:rsidR="003B042F" w:rsidRDefault="003B042F">
      <w:pPr>
        <w:pStyle w:val="TOC4"/>
        <w:rPr>
          <w:rFonts w:asciiTheme="minorHAnsi" w:eastAsiaTheme="minorEastAsia" w:hAnsiTheme="minorHAnsi"/>
          <w:noProof/>
          <w:sz w:val="22"/>
          <w:lang w:eastAsia="en-AU"/>
        </w:rPr>
      </w:pPr>
      <w:hyperlink w:anchor="_Toc175239150" w:history="1">
        <w:r w:rsidRPr="005871B3">
          <w:rPr>
            <w:rStyle w:val="Hyperlink"/>
            <w:noProof/>
          </w:rPr>
          <w:t>129.2—Service of subpoena in New Zealand</w:t>
        </w:r>
        <w:r>
          <w:rPr>
            <w:noProof/>
            <w:webHidden/>
          </w:rPr>
          <w:tab/>
        </w:r>
        <w:r>
          <w:rPr>
            <w:noProof/>
            <w:webHidden/>
          </w:rPr>
          <w:fldChar w:fldCharType="begin"/>
        </w:r>
        <w:r>
          <w:rPr>
            <w:noProof/>
            <w:webHidden/>
          </w:rPr>
          <w:instrText xml:space="preserve"> PAGEREF _Toc175239150 \h </w:instrText>
        </w:r>
        <w:r>
          <w:rPr>
            <w:noProof/>
            <w:webHidden/>
          </w:rPr>
        </w:r>
        <w:r>
          <w:rPr>
            <w:noProof/>
            <w:webHidden/>
          </w:rPr>
          <w:fldChar w:fldCharType="separate"/>
        </w:r>
        <w:r w:rsidR="00FD06AB">
          <w:rPr>
            <w:noProof/>
            <w:webHidden/>
          </w:rPr>
          <w:t>154</w:t>
        </w:r>
        <w:r>
          <w:rPr>
            <w:noProof/>
            <w:webHidden/>
          </w:rPr>
          <w:fldChar w:fldCharType="end"/>
        </w:r>
      </w:hyperlink>
    </w:p>
    <w:p w14:paraId="6F145D6A" w14:textId="7993A4E3" w:rsidR="003B042F" w:rsidRDefault="003B042F">
      <w:pPr>
        <w:pStyle w:val="TOC4"/>
        <w:rPr>
          <w:rFonts w:asciiTheme="minorHAnsi" w:eastAsiaTheme="minorEastAsia" w:hAnsiTheme="minorHAnsi"/>
          <w:noProof/>
          <w:sz w:val="22"/>
          <w:lang w:eastAsia="en-AU"/>
        </w:rPr>
      </w:pPr>
      <w:hyperlink w:anchor="_Toc175239151" w:history="1">
        <w:r w:rsidRPr="005871B3">
          <w:rPr>
            <w:rStyle w:val="Hyperlink"/>
            <w:noProof/>
          </w:rPr>
          <w:t>129.3—Application to set aside service</w:t>
        </w:r>
        <w:r>
          <w:rPr>
            <w:noProof/>
            <w:webHidden/>
          </w:rPr>
          <w:tab/>
        </w:r>
        <w:r>
          <w:rPr>
            <w:noProof/>
            <w:webHidden/>
          </w:rPr>
          <w:fldChar w:fldCharType="begin"/>
        </w:r>
        <w:r>
          <w:rPr>
            <w:noProof/>
            <w:webHidden/>
          </w:rPr>
          <w:instrText xml:space="preserve"> PAGEREF _Toc175239151 \h </w:instrText>
        </w:r>
        <w:r>
          <w:rPr>
            <w:noProof/>
            <w:webHidden/>
          </w:rPr>
        </w:r>
        <w:r>
          <w:rPr>
            <w:noProof/>
            <w:webHidden/>
          </w:rPr>
          <w:fldChar w:fldCharType="separate"/>
        </w:r>
        <w:r w:rsidR="00FD06AB">
          <w:rPr>
            <w:noProof/>
            <w:webHidden/>
          </w:rPr>
          <w:t>155</w:t>
        </w:r>
        <w:r>
          <w:rPr>
            <w:noProof/>
            <w:webHidden/>
          </w:rPr>
          <w:fldChar w:fldCharType="end"/>
        </w:r>
      </w:hyperlink>
    </w:p>
    <w:p w14:paraId="7B50A6B0" w14:textId="45D8950B"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52" w:history="1">
        <w:r w:rsidRPr="005871B3">
          <w:rPr>
            <w:rStyle w:val="Hyperlink"/>
            <w:noProof/>
          </w:rPr>
          <w:t>Part 3—Arrangements for evidence to be given at trial</w:t>
        </w:r>
        <w:r>
          <w:rPr>
            <w:noProof/>
            <w:webHidden/>
          </w:rPr>
          <w:tab/>
        </w:r>
        <w:r>
          <w:rPr>
            <w:noProof/>
            <w:webHidden/>
          </w:rPr>
          <w:fldChar w:fldCharType="begin"/>
        </w:r>
        <w:r>
          <w:rPr>
            <w:noProof/>
            <w:webHidden/>
          </w:rPr>
          <w:instrText xml:space="preserve"> PAGEREF _Toc175239152 \h </w:instrText>
        </w:r>
        <w:r>
          <w:rPr>
            <w:noProof/>
            <w:webHidden/>
          </w:rPr>
        </w:r>
        <w:r>
          <w:rPr>
            <w:noProof/>
            <w:webHidden/>
          </w:rPr>
          <w:fldChar w:fldCharType="separate"/>
        </w:r>
        <w:r w:rsidR="00FD06AB">
          <w:rPr>
            <w:noProof/>
            <w:webHidden/>
          </w:rPr>
          <w:t>155</w:t>
        </w:r>
        <w:r>
          <w:rPr>
            <w:noProof/>
            <w:webHidden/>
          </w:rPr>
          <w:fldChar w:fldCharType="end"/>
        </w:r>
      </w:hyperlink>
    </w:p>
    <w:p w14:paraId="60179F74" w14:textId="00448D4E" w:rsidR="003B042F" w:rsidRDefault="003B042F">
      <w:pPr>
        <w:pStyle w:val="TOC3"/>
        <w:rPr>
          <w:rFonts w:asciiTheme="minorHAnsi" w:eastAsiaTheme="minorEastAsia" w:hAnsiTheme="minorHAnsi"/>
          <w:b w:val="0"/>
          <w:noProof/>
          <w:sz w:val="22"/>
          <w:lang w:eastAsia="en-AU"/>
        </w:rPr>
      </w:pPr>
      <w:hyperlink w:anchor="_Toc175239153" w:history="1">
        <w:r w:rsidRPr="005871B3">
          <w:rPr>
            <w:rStyle w:val="Hyperlink"/>
            <w:noProof/>
          </w:rPr>
          <w:t>Division 1—Pre-trial evidence</w:t>
        </w:r>
        <w:r>
          <w:rPr>
            <w:noProof/>
            <w:webHidden/>
          </w:rPr>
          <w:tab/>
        </w:r>
        <w:r>
          <w:rPr>
            <w:noProof/>
            <w:webHidden/>
          </w:rPr>
          <w:fldChar w:fldCharType="begin"/>
        </w:r>
        <w:r>
          <w:rPr>
            <w:noProof/>
            <w:webHidden/>
          </w:rPr>
          <w:instrText xml:space="preserve"> PAGEREF _Toc175239153 \h </w:instrText>
        </w:r>
        <w:r>
          <w:rPr>
            <w:noProof/>
            <w:webHidden/>
          </w:rPr>
        </w:r>
        <w:r>
          <w:rPr>
            <w:noProof/>
            <w:webHidden/>
          </w:rPr>
          <w:fldChar w:fldCharType="separate"/>
        </w:r>
        <w:r w:rsidR="00FD06AB">
          <w:rPr>
            <w:noProof/>
            <w:webHidden/>
          </w:rPr>
          <w:t>155</w:t>
        </w:r>
        <w:r>
          <w:rPr>
            <w:noProof/>
            <w:webHidden/>
          </w:rPr>
          <w:fldChar w:fldCharType="end"/>
        </w:r>
      </w:hyperlink>
    </w:p>
    <w:p w14:paraId="054D062D" w14:textId="14752275" w:rsidR="003B042F" w:rsidRDefault="003B042F">
      <w:pPr>
        <w:pStyle w:val="TOC4"/>
        <w:rPr>
          <w:rFonts w:asciiTheme="minorHAnsi" w:eastAsiaTheme="minorEastAsia" w:hAnsiTheme="minorHAnsi"/>
          <w:noProof/>
          <w:sz w:val="22"/>
          <w:lang w:eastAsia="en-AU"/>
        </w:rPr>
      </w:pPr>
      <w:hyperlink w:anchor="_Toc175239154" w:history="1">
        <w:r w:rsidRPr="005871B3">
          <w:rPr>
            <w:rStyle w:val="Hyperlink"/>
            <w:noProof/>
          </w:rPr>
          <w:t>130.1—Pre-trial special hearing</w:t>
        </w:r>
        <w:r>
          <w:rPr>
            <w:noProof/>
            <w:webHidden/>
          </w:rPr>
          <w:tab/>
        </w:r>
        <w:r>
          <w:rPr>
            <w:noProof/>
            <w:webHidden/>
          </w:rPr>
          <w:fldChar w:fldCharType="begin"/>
        </w:r>
        <w:r>
          <w:rPr>
            <w:noProof/>
            <w:webHidden/>
          </w:rPr>
          <w:instrText xml:space="preserve"> PAGEREF _Toc175239154 \h </w:instrText>
        </w:r>
        <w:r>
          <w:rPr>
            <w:noProof/>
            <w:webHidden/>
          </w:rPr>
        </w:r>
        <w:r>
          <w:rPr>
            <w:noProof/>
            <w:webHidden/>
          </w:rPr>
          <w:fldChar w:fldCharType="separate"/>
        </w:r>
        <w:r w:rsidR="00FD06AB">
          <w:rPr>
            <w:noProof/>
            <w:webHidden/>
          </w:rPr>
          <w:t>155</w:t>
        </w:r>
        <w:r>
          <w:rPr>
            <w:noProof/>
            <w:webHidden/>
          </w:rPr>
          <w:fldChar w:fldCharType="end"/>
        </w:r>
      </w:hyperlink>
    </w:p>
    <w:p w14:paraId="76F2A870" w14:textId="5BCA9B4B" w:rsidR="003B042F" w:rsidRDefault="003B042F">
      <w:pPr>
        <w:pStyle w:val="TOC4"/>
        <w:rPr>
          <w:rFonts w:asciiTheme="minorHAnsi" w:eastAsiaTheme="minorEastAsia" w:hAnsiTheme="minorHAnsi"/>
          <w:noProof/>
          <w:sz w:val="22"/>
          <w:lang w:eastAsia="en-AU"/>
        </w:rPr>
      </w:pPr>
      <w:hyperlink w:anchor="_Toc175239155" w:history="1">
        <w:r w:rsidRPr="005871B3">
          <w:rPr>
            <w:rStyle w:val="Hyperlink"/>
            <w:noProof/>
          </w:rPr>
          <w:t>130.2—Admission of audio visual record of evidence</w:t>
        </w:r>
        <w:r>
          <w:rPr>
            <w:noProof/>
            <w:webHidden/>
          </w:rPr>
          <w:tab/>
        </w:r>
        <w:r>
          <w:rPr>
            <w:noProof/>
            <w:webHidden/>
          </w:rPr>
          <w:fldChar w:fldCharType="begin"/>
        </w:r>
        <w:r>
          <w:rPr>
            <w:noProof/>
            <w:webHidden/>
          </w:rPr>
          <w:instrText xml:space="preserve"> PAGEREF _Toc175239155 \h </w:instrText>
        </w:r>
        <w:r>
          <w:rPr>
            <w:noProof/>
            <w:webHidden/>
          </w:rPr>
        </w:r>
        <w:r>
          <w:rPr>
            <w:noProof/>
            <w:webHidden/>
          </w:rPr>
          <w:fldChar w:fldCharType="separate"/>
        </w:r>
        <w:r w:rsidR="00FD06AB">
          <w:rPr>
            <w:noProof/>
            <w:webHidden/>
          </w:rPr>
          <w:t>157</w:t>
        </w:r>
        <w:r>
          <w:rPr>
            <w:noProof/>
            <w:webHidden/>
          </w:rPr>
          <w:fldChar w:fldCharType="end"/>
        </w:r>
      </w:hyperlink>
    </w:p>
    <w:p w14:paraId="5634C473" w14:textId="5138F19D" w:rsidR="003B042F" w:rsidRDefault="003B042F">
      <w:pPr>
        <w:pStyle w:val="TOC4"/>
        <w:rPr>
          <w:rFonts w:asciiTheme="minorHAnsi" w:eastAsiaTheme="minorEastAsia" w:hAnsiTheme="minorHAnsi"/>
          <w:noProof/>
          <w:sz w:val="22"/>
          <w:lang w:eastAsia="en-AU"/>
        </w:rPr>
      </w:pPr>
      <w:hyperlink w:anchor="_Toc175239156" w:history="1">
        <w:r w:rsidRPr="005871B3">
          <w:rPr>
            <w:rStyle w:val="Hyperlink"/>
            <w:noProof/>
          </w:rPr>
          <w:t>130.3—Admission of recorded evidence</w:t>
        </w:r>
        <w:r>
          <w:rPr>
            <w:noProof/>
            <w:webHidden/>
          </w:rPr>
          <w:tab/>
        </w:r>
        <w:r>
          <w:rPr>
            <w:noProof/>
            <w:webHidden/>
          </w:rPr>
          <w:fldChar w:fldCharType="begin"/>
        </w:r>
        <w:r>
          <w:rPr>
            <w:noProof/>
            <w:webHidden/>
          </w:rPr>
          <w:instrText xml:space="preserve"> PAGEREF _Toc175239156 \h </w:instrText>
        </w:r>
        <w:r>
          <w:rPr>
            <w:noProof/>
            <w:webHidden/>
          </w:rPr>
        </w:r>
        <w:r>
          <w:rPr>
            <w:noProof/>
            <w:webHidden/>
          </w:rPr>
          <w:fldChar w:fldCharType="separate"/>
        </w:r>
        <w:r w:rsidR="00FD06AB">
          <w:rPr>
            <w:noProof/>
            <w:webHidden/>
          </w:rPr>
          <w:t>158</w:t>
        </w:r>
        <w:r>
          <w:rPr>
            <w:noProof/>
            <w:webHidden/>
          </w:rPr>
          <w:fldChar w:fldCharType="end"/>
        </w:r>
      </w:hyperlink>
    </w:p>
    <w:p w14:paraId="4161620B" w14:textId="7BE000B3" w:rsidR="003B042F" w:rsidRDefault="003B042F">
      <w:pPr>
        <w:pStyle w:val="TOC4"/>
        <w:rPr>
          <w:rFonts w:asciiTheme="minorHAnsi" w:eastAsiaTheme="minorEastAsia" w:hAnsiTheme="minorHAnsi"/>
          <w:noProof/>
          <w:sz w:val="22"/>
          <w:lang w:eastAsia="en-AU"/>
        </w:rPr>
      </w:pPr>
      <w:hyperlink w:anchor="_Toc175239157" w:history="1">
        <w:r w:rsidRPr="005871B3">
          <w:rPr>
            <w:rStyle w:val="Hyperlink"/>
            <w:noProof/>
          </w:rPr>
          <w:t>130.4—Evidence to be taken interstate or overseas</w:t>
        </w:r>
        <w:r>
          <w:rPr>
            <w:noProof/>
            <w:webHidden/>
          </w:rPr>
          <w:tab/>
        </w:r>
        <w:r>
          <w:rPr>
            <w:noProof/>
            <w:webHidden/>
          </w:rPr>
          <w:fldChar w:fldCharType="begin"/>
        </w:r>
        <w:r>
          <w:rPr>
            <w:noProof/>
            <w:webHidden/>
          </w:rPr>
          <w:instrText xml:space="preserve"> PAGEREF _Toc175239157 \h </w:instrText>
        </w:r>
        <w:r>
          <w:rPr>
            <w:noProof/>
            <w:webHidden/>
          </w:rPr>
        </w:r>
        <w:r>
          <w:rPr>
            <w:noProof/>
            <w:webHidden/>
          </w:rPr>
          <w:fldChar w:fldCharType="separate"/>
        </w:r>
        <w:r w:rsidR="00FD06AB">
          <w:rPr>
            <w:noProof/>
            <w:webHidden/>
          </w:rPr>
          <w:t>158</w:t>
        </w:r>
        <w:r>
          <w:rPr>
            <w:noProof/>
            <w:webHidden/>
          </w:rPr>
          <w:fldChar w:fldCharType="end"/>
        </w:r>
      </w:hyperlink>
    </w:p>
    <w:p w14:paraId="4FFB19E9" w14:textId="03EA99C1" w:rsidR="003B042F" w:rsidRDefault="003B042F">
      <w:pPr>
        <w:pStyle w:val="TOC4"/>
        <w:rPr>
          <w:rFonts w:asciiTheme="minorHAnsi" w:eastAsiaTheme="minorEastAsia" w:hAnsiTheme="minorHAnsi"/>
          <w:noProof/>
          <w:sz w:val="22"/>
          <w:lang w:eastAsia="en-AU"/>
        </w:rPr>
      </w:pPr>
      <w:hyperlink w:anchor="_Toc175239158" w:history="1">
        <w:r w:rsidRPr="005871B3">
          <w:rPr>
            <w:rStyle w:val="Hyperlink"/>
            <w:noProof/>
          </w:rPr>
          <w:t>130.5—Audio link or audio visual link evidence or submissions</w:t>
        </w:r>
        <w:r>
          <w:rPr>
            <w:noProof/>
            <w:webHidden/>
          </w:rPr>
          <w:tab/>
        </w:r>
        <w:r>
          <w:rPr>
            <w:noProof/>
            <w:webHidden/>
          </w:rPr>
          <w:fldChar w:fldCharType="begin"/>
        </w:r>
        <w:r>
          <w:rPr>
            <w:noProof/>
            <w:webHidden/>
          </w:rPr>
          <w:instrText xml:space="preserve"> PAGEREF _Toc175239158 \h </w:instrText>
        </w:r>
        <w:r>
          <w:rPr>
            <w:noProof/>
            <w:webHidden/>
          </w:rPr>
        </w:r>
        <w:r>
          <w:rPr>
            <w:noProof/>
            <w:webHidden/>
          </w:rPr>
          <w:fldChar w:fldCharType="separate"/>
        </w:r>
        <w:r w:rsidR="00FD06AB">
          <w:rPr>
            <w:noProof/>
            <w:webHidden/>
          </w:rPr>
          <w:t>158</w:t>
        </w:r>
        <w:r>
          <w:rPr>
            <w:noProof/>
            <w:webHidden/>
          </w:rPr>
          <w:fldChar w:fldCharType="end"/>
        </w:r>
      </w:hyperlink>
    </w:p>
    <w:p w14:paraId="6F1DD848" w14:textId="14B2AEA4" w:rsidR="003B042F" w:rsidRDefault="003B042F">
      <w:pPr>
        <w:pStyle w:val="TOC4"/>
        <w:rPr>
          <w:rFonts w:asciiTheme="minorHAnsi" w:eastAsiaTheme="minorEastAsia" w:hAnsiTheme="minorHAnsi"/>
          <w:noProof/>
          <w:sz w:val="22"/>
          <w:lang w:eastAsia="en-AU"/>
        </w:rPr>
      </w:pPr>
      <w:hyperlink w:anchor="_Toc175239159" w:history="1">
        <w:r w:rsidRPr="005871B3">
          <w:rPr>
            <w:rStyle w:val="Hyperlink"/>
            <w:noProof/>
          </w:rPr>
          <w:t>130.6—Evidence by audio link or audio visual link from remote location</w:t>
        </w:r>
        <w:r>
          <w:rPr>
            <w:noProof/>
            <w:webHidden/>
          </w:rPr>
          <w:tab/>
        </w:r>
        <w:r>
          <w:rPr>
            <w:noProof/>
            <w:webHidden/>
          </w:rPr>
          <w:fldChar w:fldCharType="begin"/>
        </w:r>
        <w:r>
          <w:rPr>
            <w:noProof/>
            <w:webHidden/>
          </w:rPr>
          <w:instrText xml:space="preserve"> PAGEREF _Toc175239159 \h </w:instrText>
        </w:r>
        <w:r>
          <w:rPr>
            <w:noProof/>
            <w:webHidden/>
          </w:rPr>
        </w:r>
        <w:r>
          <w:rPr>
            <w:noProof/>
            <w:webHidden/>
          </w:rPr>
          <w:fldChar w:fldCharType="separate"/>
        </w:r>
        <w:r w:rsidR="00FD06AB">
          <w:rPr>
            <w:noProof/>
            <w:webHidden/>
          </w:rPr>
          <w:t>158</w:t>
        </w:r>
        <w:r>
          <w:rPr>
            <w:noProof/>
            <w:webHidden/>
          </w:rPr>
          <w:fldChar w:fldCharType="end"/>
        </w:r>
      </w:hyperlink>
    </w:p>
    <w:p w14:paraId="66FF3DC9" w14:textId="7F6556EA" w:rsidR="003B042F" w:rsidRDefault="003B042F">
      <w:pPr>
        <w:pStyle w:val="TOC4"/>
        <w:rPr>
          <w:rFonts w:asciiTheme="minorHAnsi" w:eastAsiaTheme="minorEastAsia" w:hAnsiTheme="minorHAnsi"/>
          <w:noProof/>
          <w:sz w:val="22"/>
          <w:lang w:eastAsia="en-AU"/>
        </w:rPr>
      </w:pPr>
      <w:hyperlink w:anchor="_Toc175239160" w:history="1">
        <w:r w:rsidRPr="005871B3">
          <w:rPr>
            <w:rStyle w:val="Hyperlink"/>
            <w:noProof/>
          </w:rPr>
          <w:t>130.7—Special arrangements for giving evidence</w:t>
        </w:r>
        <w:r>
          <w:rPr>
            <w:noProof/>
            <w:webHidden/>
          </w:rPr>
          <w:tab/>
        </w:r>
        <w:r>
          <w:rPr>
            <w:noProof/>
            <w:webHidden/>
          </w:rPr>
          <w:fldChar w:fldCharType="begin"/>
        </w:r>
        <w:r>
          <w:rPr>
            <w:noProof/>
            <w:webHidden/>
          </w:rPr>
          <w:instrText xml:space="preserve"> PAGEREF _Toc175239160 \h </w:instrText>
        </w:r>
        <w:r>
          <w:rPr>
            <w:noProof/>
            <w:webHidden/>
          </w:rPr>
        </w:r>
        <w:r>
          <w:rPr>
            <w:noProof/>
            <w:webHidden/>
          </w:rPr>
          <w:fldChar w:fldCharType="separate"/>
        </w:r>
        <w:r w:rsidR="00FD06AB">
          <w:rPr>
            <w:noProof/>
            <w:webHidden/>
          </w:rPr>
          <w:t>159</w:t>
        </w:r>
        <w:r>
          <w:rPr>
            <w:noProof/>
            <w:webHidden/>
          </w:rPr>
          <w:fldChar w:fldCharType="end"/>
        </w:r>
      </w:hyperlink>
    </w:p>
    <w:p w14:paraId="68F23D21" w14:textId="1F507A18" w:rsidR="003B042F" w:rsidRDefault="003B042F">
      <w:pPr>
        <w:pStyle w:val="TOC4"/>
        <w:rPr>
          <w:rFonts w:asciiTheme="minorHAnsi" w:eastAsiaTheme="minorEastAsia" w:hAnsiTheme="minorHAnsi"/>
          <w:noProof/>
          <w:sz w:val="22"/>
          <w:lang w:eastAsia="en-AU"/>
        </w:rPr>
      </w:pPr>
      <w:hyperlink w:anchor="_Toc175239161" w:history="1">
        <w:r w:rsidRPr="005871B3">
          <w:rPr>
            <w:rStyle w:val="Hyperlink"/>
            <w:noProof/>
          </w:rPr>
          <w:t>130.8—Medical reports under Part 8A</w:t>
        </w:r>
        <w:r>
          <w:rPr>
            <w:noProof/>
            <w:webHidden/>
          </w:rPr>
          <w:tab/>
        </w:r>
        <w:r>
          <w:rPr>
            <w:noProof/>
            <w:webHidden/>
          </w:rPr>
          <w:fldChar w:fldCharType="begin"/>
        </w:r>
        <w:r>
          <w:rPr>
            <w:noProof/>
            <w:webHidden/>
          </w:rPr>
          <w:instrText xml:space="preserve"> PAGEREF _Toc175239161 \h </w:instrText>
        </w:r>
        <w:r>
          <w:rPr>
            <w:noProof/>
            <w:webHidden/>
          </w:rPr>
        </w:r>
        <w:r>
          <w:rPr>
            <w:noProof/>
            <w:webHidden/>
          </w:rPr>
          <w:fldChar w:fldCharType="separate"/>
        </w:r>
        <w:r w:rsidR="00FD06AB">
          <w:rPr>
            <w:noProof/>
            <w:webHidden/>
          </w:rPr>
          <w:t>159</w:t>
        </w:r>
        <w:r>
          <w:rPr>
            <w:noProof/>
            <w:webHidden/>
          </w:rPr>
          <w:fldChar w:fldCharType="end"/>
        </w:r>
      </w:hyperlink>
    </w:p>
    <w:p w14:paraId="30201785" w14:textId="627B2AF9" w:rsidR="003B042F" w:rsidRDefault="003B042F">
      <w:pPr>
        <w:pStyle w:val="TOC3"/>
        <w:rPr>
          <w:rFonts w:asciiTheme="minorHAnsi" w:eastAsiaTheme="minorEastAsia" w:hAnsiTheme="minorHAnsi"/>
          <w:b w:val="0"/>
          <w:noProof/>
          <w:sz w:val="22"/>
          <w:lang w:eastAsia="en-AU"/>
        </w:rPr>
      </w:pPr>
      <w:hyperlink w:anchor="_Toc175239162" w:history="1">
        <w:r w:rsidRPr="005871B3">
          <w:rPr>
            <w:rStyle w:val="Hyperlink"/>
            <w:noProof/>
          </w:rPr>
          <w:t>Division 2—Documentary evidence</w:t>
        </w:r>
        <w:r>
          <w:rPr>
            <w:noProof/>
            <w:webHidden/>
          </w:rPr>
          <w:tab/>
        </w:r>
        <w:r>
          <w:rPr>
            <w:noProof/>
            <w:webHidden/>
          </w:rPr>
          <w:fldChar w:fldCharType="begin"/>
        </w:r>
        <w:r>
          <w:rPr>
            <w:noProof/>
            <w:webHidden/>
          </w:rPr>
          <w:instrText xml:space="preserve"> PAGEREF _Toc175239162 \h </w:instrText>
        </w:r>
        <w:r>
          <w:rPr>
            <w:noProof/>
            <w:webHidden/>
          </w:rPr>
        </w:r>
        <w:r>
          <w:rPr>
            <w:noProof/>
            <w:webHidden/>
          </w:rPr>
          <w:fldChar w:fldCharType="separate"/>
        </w:r>
        <w:r w:rsidR="00FD06AB">
          <w:rPr>
            <w:noProof/>
            <w:webHidden/>
          </w:rPr>
          <w:t>159</w:t>
        </w:r>
        <w:r>
          <w:rPr>
            <w:noProof/>
            <w:webHidden/>
          </w:rPr>
          <w:fldChar w:fldCharType="end"/>
        </w:r>
      </w:hyperlink>
    </w:p>
    <w:p w14:paraId="5A331ECF" w14:textId="0515735B" w:rsidR="003B042F" w:rsidRDefault="003B042F">
      <w:pPr>
        <w:pStyle w:val="TOC4"/>
        <w:rPr>
          <w:rFonts w:asciiTheme="minorHAnsi" w:eastAsiaTheme="minorEastAsia" w:hAnsiTheme="minorHAnsi"/>
          <w:noProof/>
          <w:sz w:val="22"/>
          <w:lang w:eastAsia="en-AU"/>
        </w:rPr>
      </w:pPr>
      <w:hyperlink w:anchor="_Toc175239163" w:history="1">
        <w:r w:rsidRPr="005871B3">
          <w:rPr>
            <w:rStyle w:val="Hyperlink"/>
            <w:noProof/>
          </w:rPr>
          <w:t>131.1—Tender documents and aids</w:t>
        </w:r>
        <w:r>
          <w:rPr>
            <w:noProof/>
            <w:webHidden/>
          </w:rPr>
          <w:tab/>
        </w:r>
        <w:r>
          <w:rPr>
            <w:noProof/>
            <w:webHidden/>
          </w:rPr>
          <w:fldChar w:fldCharType="begin"/>
        </w:r>
        <w:r>
          <w:rPr>
            <w:noProof/>
            <w:webHidden/>
          </w:rPr>
          <w:instrText xml:space="preserve"> PAGEREF _Toc175239163 \h </w:instrText>
        </w:r>
        <w:r>
          <w:rPr>
            <w:noProof/>
            <w:webHidden/>
          </w:rPr>
        </w:r>
        <w:r>
          <w:rPr>
            <w:noProof/>
            <w:webHidden/>
          </w:rPr>
          <w:fldChar w:fldCharType="separate"/>
        </w:r>
        <w:r w:rsidR="00FD06AB">
          <w:rPr>
            <w:noProof/>
            <w:webHidden/>
          </w:rPr>
          <w:t>159</w:t>
        </w:r>
        <w:r>
          <w:rPr>
            <w:noProof/>
            <w:webHidden/>
          </w:rPr>
          <w:fldChar w:fldCharType="end"/>
        </w:r>
      </w:hyperlink>
    </w:p>
    <w:p w14:paraId="7631CEB3" w14:textId="7B85B5D6"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64" w:history="1">
        <w:r w:rsidRPr="005871B3">
          <w:rPr>
            <w:rStyle w:val="Hyperlink"/>
            <w:noProof/>
          </w:rPr>
          <w:t>Part 4—Juries: Higher Courts</w:t>
        </w:r>
        <w:r>
          <w:rPr>
            <w:noProof/>
            <w:webHidden/>
          </w:rPr>
          <w:tab/>
        </w:r>
        <w:r>
          <w:rPr>
            <w:noProof/>
            <w:webHidden/>
          </w:rPr>
          <w:fldChar w:fldCharType="begin"/>
        </w:r>
        <w:r>
          <w:rPr>
            <w:noProof/>
            <w:webHidden/>
          </w:rPr>
          <w:instrText xml:space="preserve"> PAGEREF _Toc175239164 \h </w:instrText>
        </w:r>
        <w:r>
          <w:rPr>
            <w:noProof/>
            <w:webHidden/>
          </w:rPr>
        </w:r>
        <w:r>
          <w:rPr>
            <w:noProof/>
            <w:webHidden/>
          </w:rPr>
          <w:fldChar w:fldCharType="separate"/>
        </w:r>
        <w:r w:rsidR="00FD06AB">
          <w:rPr>
            <w:noProof/>
            <w:webHidden/>
          </w:rPr>
          <w:t>160</w:t>
        </w:r>
        <w:r>
          <w:rPr>
            <w:noProof/>
            <w:webHidden/>
          </w:rPr>
          <w:fldChar w:fldCharType="end"/>
        </w:r>
      </w:hyperlink>
    </w:p>
    <w:p w14:paraId="6FD3B19E" w14:textId="6947D8EF" w:rsidR="003B042F" w:rsidRDefault="003B042F">
      <w:pPr>
        <w:pStyle w:val="TOC4"/>
        <w:rPr>
          <w:rFonts w:asciiTheme="minorHAnsi" w:eastAsiaTheme="minorEastAsia" w:hAnsiTheme="minorHAnsi"/>
          <w:noProof/>
          <w:sz w:val="22"/>
          <w:lang w:eastAsia="en-AU"/>
        </w:rPr>
      </w:pPr>
      <w:hyperlink w:anchor="_Toc175239165" w:history="1">
        <w:r w:rsidRPr="005871B3">
          <w:rPr>
            <w:rStyle w:val="Hyperlink"/>
            <w:noProof/>
          </w:rPr>
          <w:t>132.1—Interpretation</w:t>
        </w:r>
        <w:r>
          <w:rPr>
            <w:noProof/>
            <w:webHidden/>
          </w:rPr>
          <w:tab/>
        </w:r>
        <w:r>
          <w:rPr>
            <w:noProof/>
            <w:webHidden/>
          </w:rPr>
          <w:fldChar w:fldCharType="begin"/>
        </w:r>
        <w:r>
          <w:rPr>
            <w:noProof/>
            <w:webHidden/>
          </w:rPr>
          <w:instrText xml:space="preserve"> PAGEREF _Toc175239165 \h </w:instrText>
        </w:r>
        <w:r>
          <w:rPr>
            <w:noProof/>
            <w:webHidden/>
          </w:rPr>
        </w:r>
        <w:r>
          <w:rPr>
            <w:noProof/>
            <w:webHidden/>
          </w:rPr>
          <w:fldChar w:fldCharType="separate"/>
        </w:r>
        <w:r w:rsidR="00FD06AB">
          <w:rPr>
            <w:noProof/>
            <w:webHidden/>
          </w:rPr>
          <w:t>160</w:t>
        </w:r>
        <w:r>
          <w:rPr>
            <w:noProof/>
            <w:webHidden/>
          </w:rPr>
          <w:fldChar w:fldCharType="end"/>
        </w:r>
      </w:hyperlink>
    </w:p>
    <w:p w14:paraId="2751FFB3" w14:textId="144C1EC4" w:rsidR="003B042F" w:rsidRDefault="003B042F">
      <w:pPr>
        <w:pStyle w:val="TOC4"/>
        <w:rPr>
          <w:rFonts w:asciiTheme="minorHAnsi" w:eastAsiaTheme="minorEastAsia" w:hAnsiTheme="minorHAnsi"/>
          <w:noProof/>
          <w:sz w:val="22"/>
          <w:lang w:eastAsia="en-AU"/>
        </w:rPr>
      </w:pPr>
      <w:hyperlink w:anchor="_Toc175239166" w:history="1">
        <w:r w:rsidRPr="005871B3">
          <w:rPr>
            <w:rStyle w:val="Hyperlink"/>
            <w:noProof/>
          </w:rPr>
          <w:t>132.2—Juror’s oath or affirmation</w:t>
        </w:r>
        <w:r>
          <w:rPr>
            <w:noProof/>
            <w:webHidden/>
          </w:rPr>
          <w:tab/>
        </w:r>
        <w:r>
          <w:rPr>
            <w:noProof/>
            <w:webHidden/>
          </w:rPr>
          <w:fldChar w:fldCharType="begin"/>
        </w:r>
        <w:r>
          <w:rPr>
            <w:noProof/>
            <w:webHidden/>
          </w:rPr>
          <w:instrText xml:space="preserve"> PAGEREF _Toc175239166 \h </w:instrText>
        </w:r>
        <w:r>
          <w:rPr>
            <w:noProof/>
            <w:webHidden/>
          </w:rPr>
        </w:r>
        <w:r>
          <w:rPr>
            <w:noProof/>
            <w:webHidden/>
          </w:rPr>
          <w:fldChar w:fldCharType="separate"/>
        </w:r>
        <w:r w:rsidR="00FD06AB">
          <w:rPr>
            <w:noProof/>
            <w:webHidden/>
          </w:rPr>
          <w:t>160</w:t>
        </w:r>
        <w:r>
          <w:rPr>
            <w:noProof/>
            <w:webHidden/>
          </w:rPr>
          <w:fldChar w:fldCharType="end"/>
        </w:r>
      </w:hyperlink>
    </w:p>
    <w:p w14:paraId="0FCB2EE7" w14:textId="3B44658C" w:rsidR="003B042F" w:rsidRDefault="003B042F">
      <w:pPr>
        <w:pStyle w:val="TOC4"/>
        <w:rPr>
          <w:rFonts w:asciiTheme="minorHAnsi" w:eastAsiaTheme="minorEastAsia" w:hAnsiTheme="minorHAnsi"/>
          <w:noProof/>
          <w:sz w:val="22"/>
          <w:lang w:eastAsia="en-AU"/>
        </w:rPr>
      </w:pPr>
      <w:hyperlink w:anchor="_Toc175239167" w:history="1">
        <w:r w:rsidRPr="005871B3">
          <w:rPr>
            <w:rStyle w:val="Hyperlink"/>
            <w:noProof/>
          </w:rPr>
          <w:t>132.3—Jury panel</w:t>
        </w:r>
        <w:r>
          <w:rPr>
            <w:noProof/>
            <w:webHidden/>
          </w:rPr>
          <w:tab/>
        </w:r>
        <w:r>
          <w:rPr>
            <w:noProof/>
            <w:webHidden/>
          </w:rPr>
          <w:fldChar w:fldCharType="begin"/>
        </w:r>
        <w:r>
          <w:rPr>
            <w:noProof/>
            <w:webHidden/>
          </w:rPr>
          <w:instrText xml:space="preserve"> PAGEREF _Toc175239167 \h </w:instrText>
        </w:r>
        <w:r>
          <w:rPr>
            <w:noProof/>
            <w:webHidden/>
          </w:rPr>
        </w:r>
        <w:r>
          <w:rPr>
            <w:noProof/>
            <w:webHidden/>
          </w:rPr>
          <w:fldChar w:fldCharType="separate"/>
        </w:r>
        <w:r w:rsidR="00FD06AB">
          <w:rPr>
            <w:noProof/>
            <w:webHidden/>
          </w:rPr>
          <w:t>160</w:t>
        </w:r>
        <w:r>
          <w:rPr>
            <w:noProof/>
            <w:webHidden/>
          </w:rPr>
          <w:fldChar w:fldCharType="end"/>
        </w:r>
      </w:hyperlink>
    </w:p>
    <w:p w14:paraId="00D3023A" w14:textId="5F3F0969" w:rsidR="003B042F" w:rsidRDefault="003B042F">
      <w:pPr>
        <w:pStyle w:val="TOC4"/>
        <w:rPr>
          <w:rFonts w:asciiTheme="minorHAnsi" w:eastAsiaTheme="minorEastAsia" w:hAnsiTheme="minorHAnsi"/>
          <w:noProof/>
          <w:sz w:val="22"/>
          <w:lang w:eastAsia="en-AU"/>
        </w:rPr>
      </w:pPr>
      <w:hyperlink w:anchor="_Toc175239168" w:history="1">
        <w:r w:rsidRPr="005871B3">
          <w:rPr>
            <w:rStyle w:val="Hyperlink"/>
            <w:noProof/>
          </w:rPr>
          <w:t>132.4—Selection of jurors by ballot</w:t>
        </w:r>
        <w:r>
          <w:rPr>
            <w:noProof/>
            <w:webHidden/>
          </w:rPr>
          <w:tab/>
        </w:r>
        <w:r>
          <w:rPr>
            <w:noProof/>
            <w:webHidden/>
          </w:rPr>
          <w:fldChar w:fldCharType="begin"/>
        </w:r>
        <w:r>
          <w:rPr>
            <w:noProof/>
            <w:webHidden/>
          </w:rPr>
          <w:instrText xml:space="preserve"> PAGEREF _Toc175239168 \h </w:instrText>
        </w:r>
        <w:r>
          <w:rPr>
            <w:noProof/>
            <w:webHidden/>
          </w:rPr>
        </w:r>
        <w:r>
          <w:rPr>
            <w:noProof/>
            <w:webHidden/>
          </w:rPr>
          <w:fldChar w:fldCharType="separate"/>
        </w:r>
        <w:r w:rsidR="00FD06AB">
          <w:rPr>
            <w:noProof/>
            <w:webHidden/>
          </w:rPr>
          <w:t>160</w:t>
        </w:r>
        <w:r>
          <w:rPr>
            <w:noProof/>
            <w:webHidden/>
          </w:rPr>
          <w:fldChar w:fldCharType="end"/>
        </w:r>
      </w:hyperlink>
    </w:p>
    <w:p w14:paraId="3A09284A" w14:textId="4056735C" w:rsidR="003B042F" w:rsidRDefault="003B042F">
      <w:pPr>
        <w:pStyle w:val="TOC4"/>
        <w:rPr>
          <w:rFonts w:asciiTheme="minorHAnsi" w:eastAsiaTheme="minorEastAsia" w:hAnsiTheme="minorHAnsi"/>
          <w:noProof/>
          <w:sz w:val="22"/>
          <w:lang w:eastAsia="en-AU"/>
        </w:rPr>
      </w:pPr>
      <w:hyperlink w:anchor="_Toc175239169" w:history="1">
        <w:r w:rsidRPr="005871B3">
          <w:rPr>
            <w:rStyle w:val="Hyperlink"/>
            <w:noProof/>
          </w:rPr>
          <w:t>132.5—Jurors in charge of Sheriff or sheriff’s officer</w:t>
        </w:r>
        <w:r>
          <w:rPr>
            <w:noProof/>
            <w:webHidden/>
          </w:rPr>
          <w:tab/>
        </w:r>
        <w:r>
          <w:rPr>
            <w:noProof/>
            <w:webHidden/>
          </w:rPr>
          <w:fldChar w:fldCharType="begin"/>
        </w:r>
        <w:r>
          <w:rPr>
            <w:noProof/>
            <w:webHidden/>
          </w:rPr>
          <w:instrText xml:space="preserve"> PAGEREF _Toc175239169 \h </w:instrText>
        </w:r>
        <w:r>
          <w:rPr>
            <w:noProof/>
            <w:webHidden/>
          </w:rPr>
        </w:r>
        <w:r>
          <w:rPr>
            <w:noProof/>
            <w:webHidden/>
          </w:rPr>
          <w:fldChar w:fldCharType="separate"/>
        </w:r>
        <w:r w:rsidR="00FD06AB">
          <w:rPr>
            <w:noProof/>
            <w:webHidden/>
          </w:rPr>
          <w:t>161</w:t>
        </w:r>
        <w:r>
          <w:rPr>
            <w:noProof/>
            <w:webHidden/>
          </w:rPr>
          <w:fldChar w:fldCharType="end"/>
        </w:r>
      </w:hyperlink>
    </w:p>
    <w:p w14:paraId="0C5B61B9" w14:textId="0B3C03D6" w:rsidR="003B042F" w:rsidRDefault="003B042F">
      <w:pPr>
        <w:pStyle w:val="TOC4"/>
        <w:rPr>
          <w:rFonts w:asciiTheme="minorHAnsi" w:eastAsiaTheme="minorEastAsia" w:hAnsiTheme="minorHAnsi"/>
          <w:noProof/>
          <w:sz w:val="22"/>
          <w:lang w:eastAsia="en-AU"/>
        </w:rPr>
      </w:pPr>
      <w:hyperlink w:anchor="_Toc175239170" w:history="1">
        <w:r w:rsidRPr="005871B3">
          <w:rPr>
            <w:rStyle w:val="Hyperlink"/>
            <w:noProof/>
          </w:rPr>
          <w:t>132.6—Non attendance</w:t>
        </w:r>
        <w:r>
          <w:rPr>
            <w:noProof/>
            <w:webHidden/>
          </w:rPr>
          <w:tab/>
        </w:r>
        <w:r>
          <w:rPr>
            <w:noProof/>
            <w:webHidden/>
          </w:rPr>
          <w:fldChar w:fldCharType="begin"/>
        </w:r>
        <w:r>
          <w:rPr>
            <w:noProof/>
            <w:webHidden/>
          </w:rPr>
          <w:instrText xml:space="preserve"> PAGEREF _Toc175239170 \h </w:instrText>
        </w:r>
        <w:r>
          <w:rPr>
            <w:noProof/>
            <w:webHidden/>
          </w:rPr>
        </w:r>
        <w:r>
          <w:rPr>
            <w:noProof/>
            <w:webHidden/>
          </w:rPr>
          <w:fldChar w:fldCharType="separate"/>
        </w:r>
        <w:r w:rsidR="00FD06AB">
          <w:rPr>
            <w:noProof/>
            <w:webHidden/>
          </w:rPr>
          <w:t>161</w:t>
        </w:r>
        <w:r>
          <w:rPr>
            <w:noProof/>
            <w:webHidden/>
          </w:rPr>
          <w:fldChar w:fldCharType="end"/>
        </w:r>
      </w:hyperlink>
    </w:p>
    <w:p w14:paraId="28C0B60C" w14:textId="7BE68DC8"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71" w:history="1">
        <w:r w:rsidRPr="005871B3">
          <w:rPr>
            <w:rStyle w:val="Hyperlink"/>
            <w:noProof/>
          </w:rPr>
          <w:t>Part 5—Conduct of trial</w:t>
        </w:r>
        <w:r>
          <w:rPr>
            <w:noProof/>
            <w:webHidden/>
          </w:rPr>
          <w:tab/>
        </w:r>
        <w:r>
          <w:rPr>
            <w:noProof/>
            <w:webHidden/>
          </w:rPr>
          <w:fldChar w:fldCharType="begin"/>
        </w:r>
        <w:r>
          <w:rPr>
            <w:noProof/>
            <w:webHidden/>
          </w:rPr>
          <w:instrText xml:space="preserve"> PAGEREF _Toc175239171 \h </w:instrText>
        </w:r>
        <w:r>
          <w:rPr>
            <w:noProof/>
            <w:webHidden/>
          </w:rPr>
        </w:r>
        <w:r>
          <w:rPr>
            <w:noProof/>
            <w:webHidden/>
          </w:rPr>
          <w:fldChar w:fldCharType="separate"/>
        </w:r>
        <w:r w:rsidR="00FD06AB">
          <w:rPr>
            <w:noProof/>
            <w:webHidden/>
          </w:rPr>
          <w:t>161</w:t>
        </w:r>
        <w:r>
          <w:rPr>
            <w:noProof/>
            <w:webHidden/>
          </w:rPr>
          <w:fldChar w:fldCharType="end"/>
        </w:r>
      </w:hyperlink>
    </w:p>
    <w:p w14:paraId="0414BAE9" w14:textId="0A5BC665" w:rsidR="003B042F" w:rsidRDefault="003B042F">
      <w:pPr>
        <w:pStyle w:val="TOC4"/>
        <w:rPr>
          <w:rFonts w:asciiTheme="minorHAnsi" w:eastAsiaTheme="minorEastAsia" w:hAnsiTheme="minorHAnsi"/>
          <w:noProof/>
          <w:sz w:val="22"/>
          <w:lang w:eastAsia="en-AU"/>
        </w:rPr>
      </w:pPr>
      <w:hyperlink w:anchor="_Toc175239172" w:history="1">
        <w:r w:rsidRPr="005871B3">
          <w:rPr>
            <w:rStyle w:val="Hyperlink"/>
            <w:noProof/>
            <w:lang w:val="en-GB"/>
          </w:rPr>
          <w:t>133.1—List of witnesses</w:t>
        </w:r>
        <w:r>
          <w:rPr>
            <w:noProof/>
            <w:webHidden/>
          </w:rPr>
          <w:tab/>
        </w:r>
        <w:r>
          <w:rPr>
            <w:noProof/>
            <w:webHidden/>
          </w:rPr>
          <w:fldChar w:fldCharType="begin"/>
        </w:r>
        <w:r>
          <w:rPr>
            <w:noProof/>
            <w:webHidden/>
          </w:rPr>
          <w:instrText xml:space="preserve"> PAGEREF _Toc175239172 \h </w:instrText>
        </w:r>
        <w:r>
          <w:rPr>
            <w:noProof/>
            <w:webHidden/>
          </w:rPr>
        </w:r>
        <w:r>
          <w:rPr>
            <w:noProof/>
            <w:webHidden/>
          </w:rPr>
          <w:fldChar w:fldCharType="separate"/>
        </w:r>
        <w:r w:rsidR="00FD06AB">
          <w:rPr>
            <w:noProof/>
            <w:webHidden/>
          </w:rPr>
          <w:t>161</w:t>
        </w:r>
        <w:r>
          <w:rPr>
            <w:noProof/>
            <w:webHidden/>
          </w:rPr>
          <w:fldChar w:fldCharType="end"/>
        </w:r>
      </w:hyperlink>
    </w:p>
    <w:p w14:paraId="2A533A3D" w14:textId="35330025" w:rsidR="003B042F" w:rsidRDefault="003B042F">
      <w:pPr>
        <w:pStyle w:val="TOC4"/>
        <w:rPr>
          <w:rFonts w:asciiTheme="minorHAnsi" w:eastAsiaTheme="minorEastAsia" w:hAnsiTheme="minorHAnsi"/>
          <w:noProof/>
          <w:sz w:val="22"/>
          <w:lang w:eastAsia="en-AU"/>
        </w:rPr>
      </w:pPr>
      <w:hyperlink w:anchor="_Toc175239173" w:history="1">
        <w:r w:rsidRPr="005871B3">
          <w:rPr>
            <w:rStyle w:val="Hyperlink"/>
            <w:noProof/>
            <w:lang w:val="en-GB"/>
          </w:rPr>
          <w:t>133.2—Witness identification</w:t>
        </w:r>
        <w:r>
          <w:rPr>
            <w:noProof/>
            <w:webHidden/>
          </w:rPr>
          <w:tab/>
        </w:r>
        <w:r>
          <w:rPr>
            <w:noProof/>
            <w:webHidden/>
          </w:rPr>
          <w:fldChar w:fldCharType="begin"/>
        </w:r>
        <w:r>
          <w:rPr>
            <w:noProof/>
            <w:webHidden/>
          </w:rPr>
          <w:instrText xml:space="preserve"> PAGEREF _Toc175239173 \h </w:instrText>
        </w:r>
        <w:r>
          <w:rPr>
            <w:noProof/>
            <w:webHidden/>
          </w:rPr>
        </w:r>
        <w:r>
          <w:rPr>
            <w:noProof/>
            <w:webHidden/>
          </w:rPr>
          <w:fldChar w:fldCharType="separate"/>
        </w:r>
        <w:r w:rsidR="00FD06AB">
          <w:rPr>
            <w:noProof/>
            <w:webHidden/>
          </w:rPr>
          <w:t>161</w:t>
        </w:r>
        <w:r>
          <w:rPr>
            <w:noProof/>
            <w:webHidden/>
          </w:rPr>
          <w:fldChar w:fldCharType="end"/>
        </w:r>
      </w:hyperlink>
    </w:p>
    <w:p w14:paraId="55EDF579" w14:textId="16709C9C" w:rsidR="003B042F" w:rsidRDefault="003B042F">
      <w:pPr>
        <w:pStyle w:val="TOC4"/>
        <w:rPr>
          <w:rFonts w:asciiTheme="minorHAnsi" w:eastAsiaTheme="minorEastAsia" w:hAnsiTheme="minorHAnsi"/>
          <w:noProof/>
          <w:sz w:val="22"/>
          <w:lang w:eastAsia="en-AU"/>
        </w:rPr>
      </w:pPr>
      <w:hyperlink w:anchor="_Toc175239174" w:history="1">
        <w:r w:rsidRPr="005871B3">
          <w:rPr>
            <w:rStyle w:val="Hyperlink"/>
            <w:noProof/>
          </w:rPr>
          <w:t>133.3—Audio visual record of evidence</w:t>
        </w:r>
        <w:r>
          <w:rPr>
            <w:noProof/>
            <w:webHidden/>
          </w:rPr>
          <w:tab/>
        </w:r>
        <w:r>
          <w:rPr>
            <w:noProof/>
            <w:webHidden/>
          </w:rPr>
          <w:fldChar w:fldCharType="begin"/>
        </w:r>
        <w:r>
          <w:rPr>
            <w:noProof/>
            <w:webHidden/>
          </w:rPr>
          <w:instrText xml:space="preserve"> PAGEREF _Toc175239174 \h </w:instrText>
        </w:r>
        <w:r>
          <w:rPr>
            <w:noProof/>
            <w:webHidden/>
          </w:rPr>
        </w:r>
        <w:r>
          <w:rPr>
            <w:noProof/>
            <w:webHidden/>
          </w:rPr>
          <w:fldChar w:fldCharType="separate"/>
        </w:r>
        <w:r w:rsidR="00FD06AB">
          <w:rPr>
            <w:noProof/>
            <w:webHidden/>
          </w:rPr>
          <w:t>161</w:t>
        </w:r>
        <w:r>
          <w:rPr>
            <w:noProof/>
            <w:webHidden/>
          </w:rPr>
          <w:fldChar w:fldCharType="end"/>
        </w:r>
      </w:hyperlink>
    </w:p>
    <w:p w14:paraId="24EF0F75" w14:textId="784648C4" w:rsidR="003B042F" w:rsidRDefault="003B042F">
      <w:pPr>
        <w:pStyle w:val="TOC4"/>
        <w:rPr>
          <w:rFonts w:asciiTheme="minorHAnsi" w:eastAsiaTheme="minorEastAsia" w:hAnsiTheme="minorHAnsi"/>
          <w:noProof/>
          <w:sz w:val="22"/>
          <w:lang w:eastAsia="en-AU"/>
        </w:rPr>
      </w:pPr>
      <w:hyperlink w:anchor="_Toc175239175" w:history="1">
        <w:r w:rsidRPr="005871B3">
          <w:rPr>
            <w:rStyle w:val="Hyperlink"/>
            <w:noProof/>
          </w:rPr>
          <w:t>133.4—Exhibits</w:t>
        </w:r>
        <w:r>
          <w:rPr>
            <w:noProof/>
            <w:webHidden/>
          </w:rPr>
          <w:tab/>
        </w:r>
        <w:r>
          <w:rPr>
            <w:noProof/>
            <w:webHidden/>
          </w:rPr>
          <w:fldChar w:fldCharType="begin"/>
        </w:r>
        <w:r>
          <w:rPr>
            <w:noProof/>
            <w:webHidden/>
          </w:rPr>
          <w:instrText xml:space="preserve"> PAGEREF _Toc175239175 \h </w:instrText>
        </w:r>
        <w:r>
          <w:rPr>
            <w:noProof/>
            <w:webHidden/>
          </w:rPr>
        </w:r>
        <w:r>
          <w:rPr>
            <w:noProof/>
            <w:webHidden/>
          </w:rPr>
          <w:fldChar w:fldCharType="separate"/>
        </w:r>
        <w:r w:rsidR="00FD06AB">
          <w:rPr>
            <w:noProof/>
            <w:webHidden/>
          </w:rPr>
          <w:t>162</w:t>
        </w:r>
        <w:r>
          <w:rPr>
            <w:noProof/>
            <w:webHidden/>
          </w:rPr>
          <w:fldChar w:fldCharType="end"/>
        </w:r>
      </w:hyperlink>
    </w:p>
    <w:p w14:paraId="0230AF95" w14:textId="4F2DA44D" w:rsidR="003B042F" w:rsidRDefault="003B042F">
      <w:pPr>
        <w:pStyle w:val="TOC4"/>
        <w:rPr>
          <w:rFonts w:asciiTheme="minorHAnsi" w:eastAsiaTheme="minorEastAsia" w:hAnsiTheme="minorHAnsi"/>
          <w:noProof/>
          <w:sz w:val="22"/>
          <w:lang w:eastAsia="en-AU"/>
        </w:rPr>
      </w:pPr>
      <w:hyperlink w:anchor="_Toc175239176" w:history="1">
        <w:r w:rsidRPr="005871B3">
          <w:rPr>
            <w:rStyle w:val="Hyperlink"/>
            <w:noProof/>
            <w:lang w:val="en-GB"/>
          </w:rPr>
          <w:t>133.5—Views</w:t>
        </w:r>
        <w:r>
          <w:rPr>
            <w:noProof/>
            <w:webHidden/>
          </w:rPr>
          <w:tab/>
        </w:r>
        <w:r>
          <w:rPr>
            <w:noProof/>
            <w:webHidden/>
          </w:rPr>
          <w:fldChar w:fldCharType="begin"/>
        </w:r>
        <w:r>
          <w:rPr>
            <w:noProof/>
            <w:webHidden/>
          </w:rPr>
          <w:instrText xml:space="preserve"> PAGEREF _Toc175239176 \h </w:instrText>
        </w:r>
        <w:r>
          <w:rPr>
            <w:noProof/>
            <w:webHidden/>
          </w:rPr>
        </w:r>
        <w:r>
          <w:rPr>
            <w:noProof/>
            <w:webHidden/>
          </w:rPr>
          <w:fldChar w:fldCharType="separate"/>
        </w:r>
        <w:r w:rsidR="00FD06AB">
          <w:rPr>
            <w:noProof/>
            <w:webHidden/>
          </w:rPr>
          <w:t>162</w:t>
        </w:r>
        <w:r>
          <w:rPr>
            <w:noProof/>
            <w:webHidden/>
          </w:rPr>
          <w:fldChar w:fldCharType="end"/>
        </w:r>
      </w:hyperlink>
    </w:p>
    <w:p w14:paraId="20CCA3D3" w14:textId="4CAC00D3"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77" w:history="1">
        <w:r w:rsidRPr="005871B3">
          <w:rPr>
            <w:rStyle w:val="Hyperlink"/>
            <w:noProof/>
          </w:rPr>
          <w:t>Part 6—Verdicts</w:t>
        </w:r>
        <w:r>
          <w:rPr>
            <w:noProof/>
            <w:webHidden/>
          </w:rPr>
          <w:tab/>
        </w:r>
        <w:r>
          <w:rPr>
            <w:noProof/>
            <w:webHidden/>
          </w:rPr>
          <w:fldChar w:fldCharType="begin"/>
        </w:r>
        <w:r>
          <w:rPr>
            <w:noProof/>
            <w:webHidden/>
          </w:rPr>
          <w:instrText xml:space="preserve"> PAGEREF _Toc175239177 \h </w:instrText>
        </w:r>
        <w:r>
          <w:rPr>
            <w:noProof/>
            <w:webHidden/>
          </w:rPr>
        </w:r>
        <w:r>
          <w:rPr>
            <w:noProof/>
            <w:webHidden/>
          </w:rPr>
          <w:fldChar w:fldCharType="separate"/>
        </w:r>
        <w:r w:rsidR="00FD06AB">
          <w:rPr>
            <w:noProof/>
            <w:webHidden/>
          </w:rPr>
          <w:t>163</w:t>
        </w:r>
        <w:r>
          <w:rPr>
            <w:noProof/>
            <w:webHidden/>
          </w:rPr>
          <w:fldChar w:fldCharType="end"/>
        </w:r>
      </w:hyperlink>
    </w:p>
    <w:p w14:paraId="65B58E13" w14:textId="4645475D" w:rsidR="003B042F" w:rsidRDefault="003B042F">
      <w:pPr>
        <w:pStyle w:val="TOC4"/>
        <w:rPr>
          <w:rFonts w:asciiTheme="minorHAnsi" w:eastAsiaTheme="minorEastAsia" w:hAnsiTheme="minorHAnsi"/>
          <w:noProof/>
          <w:sz w:val="22"/>
          <w:lang w:eastAsia="en-AU"/>
        </w:rPr>
      </w:pPr>
      <w:hyperlink w:anchor="_Toc175239178" w:history="1">
        <w:r w:rsidRPr="005871B3">
          <w:rPr>
            <w:rStyle w:val="Hyperlink"/>
            <w:noProof/>
          </w:rPr>
          <w:t>134.1—Alternative verdicts: Lower Courts</w:t>
        </w:r>
        <w:r>
          <w:rPr>
            <w:noProof/>
            <w:webHidden/>
          </w:rPr>
          <w:tab/>
        </w:r>
        <w:r>
          <w:rPr>
            <w:noProof/>
            <w:webHidden/>
          </w:rPr>
          <w:fldChar w:fldCharType="begin"/>
        </w:r>
        <w:r>
          <w:rPr>
            <w:noProof/>
            <w:webHidden/>
          </w:rPr>
          <w:instrText xml:space="preserve"> PAGEREF _Toc175239178 \h </w:instrText>
        </w:r>
        <w:r>
          <w:rPr>
            <w:noProof/>
            <w:webHidden/>
          </w:rPr>
        </w:r>
        <w:r>
          <w:rPr>
            <w:noProof/>
            <w:webHidden/>
          </w:rPr>
          <w:fldChar w:fldCharType="separate"/>
        </w:r>
        <w:r w:rsidR="00FD06AB">
          <w:rPr>
            <w:noProof/>
            <w:webHidden/>
          </w:rPr>
          <w:t>163</w:t>
        </w:r>
        <w:r>
          <w:rPr>
            <w:noProof/>
            <w:webHidden/>
          </w:rPr>
          <w:fldChar w:fldCharType="end"/>
        </w:r>
      </w:hyperlink>
    </w:p>
    <w:p w14:paraId="01185722" w14:textId="38A24E81" w:rsidR="003B042F" w:rsidRDefault="003B042F">
      <w:pPr>
        <w:pStyle w:val="TOC4"/>
        <w:rPr>
          <w:rFonts w:asciiTheme="minorHAnsi" w:eastAsiaTheme="minorEastAsia" w:hAnsiTheme="minorHAnsi"/>
          <w:noProof/>
          <w:sz w:val="22"/>
          <w:lang w:eastAsia="en-AU"/>
        </w:rPr>
      </w:pPr>
      <w:hyperlink w:anchor="_Toc175239179" w:history="1">
        <w:r w:rsidRPr="005871B3">
          <w:rPr>
            <w:rStyle w:val="Hyperlink"/>
            <w:noProof/>
          </w:rPr>
          <w:t>134.2—Inquiry to Chief Judicial Officer</w:t>
        </w:r>
        <w:r>
          <w:rPr>
            <w:noProof/>
            <w:webHidden/>
          </w:rPr>
          <w:tab/>
        </w:r>
        <w:r>
          <w:rPr>
            <w:noProof/>
            <w:webHidden/>
          </w:rPr>
          <w:fldChar w:fldCharType="begin"/>
        </w:r>
        <w:r>
          <w:rPr>
            <w:noProof/>
            <w:webHidden/>
          </w:rPr>
          <w:instrText xml:space="preserve"> PAGEREF _Toc175239179 \h </w:instrText>
        </w:r>
        <w:r>
          <w:rPr>
            <w:noProof/>
            <w:webHidden/>
          </w:rPr>
        </w:r>
        <w:r>
          <w:rPr>
            <w:noProof/>
            <w:webHidden/>
          </w:rPr>
          <w:fldChar w:fldCharType="separate"/>
        </w:r>
        <w:r w:rsidR="00FD06AB">
          <w:rPr>
            <w:noProof/>
            <w:webHidden/>
          </w:rPr>
          <w:t>163</w:t>
        </w:r>
        <w:r>
          <w:rPr>
            <w:noProof/>
            <w:webHidden/>
          </w:rPr>
          <w:fldChar w:fldCharType="end"/>
        </w:r>
      </w:hyperlink>
    </w:p>
    <w:p w14:paraId="1DD359DE" w14:textId="393344C1"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80" w:history="1">
        <w:r w:rsidRPr="005871B3">
          <w:rPr>
            <w:rStyle w:val="Hyperlink"/>
            <w:noProof/>
          </w:rPr>
          <w:t>Part 7—Orders and certificates</w:t>
        </w:r>
        <w:r>
          <w:rPr>
            <w:noProof/>
            <w:webHidden/>
          </w:rPr>
          <w:tab/>
        </w:r>
        <w:r>
          <w:rPr>
            <w:noProof/>
            <w:webHidden/>
          </w:rPr>
          <w:fldChar w:fldCharType="begin"/>
        </w:r>
        <w:r>
          <w:rPr>
            <w:noProof/>
            <w:webHidden/>
          </w:rPr>
          <w:instrText xml:space="preserve"> PAGEREF _Toc175239180 \h </w:instrText>
        </w:r>
        <w:r>
          <w:rPr>
            <w:noProof/>
            <w:webHidden/>
          </w:rPr>
        </w:r>
        <w:r>
          <w:rPr>
            <w:noProof/>
            <w:webHidden/>
          </w:rPr>
          <w:fldChar w:fldCharType="separate"/>
        </w:r>
        <w:r w:rsidR="00FD06AB">
          <w:rPr>
            <w:noProof/>
            <w:webHidden/>
          </w:rPr>
          <w:t>164</w:t>
        </w:r>
        <w:r>
          <w:rPr>
            <w:noProof/>
            <w:webHidden/>
          </w:rPr>
          <w:fldChar w:fldCharType="end"/>
        </w:r>
      </w:hyperlink>
    </w:p>
    <w:p w14:paraId="502B5B10" w14:textId="296CAA32" w:rsidR="003B042F" w:rsidRDefault="003B042F">
      <w:pPr>
        <w:pStyle w:val="TOC4"/>
        <w:rPr>
          <w:rFonts w:asciiTheme="minorHAnsi" w:eastAsiaTheme="minorEastAsia" w:hAnsiTheme="minorHAnsi"/>
          <w:noProof/>
          <w:sz w:val="22"/>
          <w:lang w:eastAsia="en-AU"/>
        </w:rPr>
      </w:pPr>
      <w:hyperlink w:anchor="_Toc175239181" w:history="1">
        <w:r w:rsidRPr="005871B3">
          <w:rPr>
            <w:rStyle w:val="Hyperlink"/>
            <w:noProof/>
          </w:rPr>
          <w:t>135.1—Record of outcome</w:t>
        </w:r>
        <w:r>
          <w:rPr>
            <w:noProof/>
            <w:webHidden/>
          </w:rPr>
          <w:tab/>
        </w:r>
        <w:r>
          <w:rPr>
            <w:noProof/>
            <w:webHidden/>
          </w:rPr>
          <w:fldChar w:fldCharType="begin"/>
        </w:r>
        <w:r>
          <w:rPr>
            <w:noProof/>
            <w:webHidden/>
          </w:rPr>
          <w:instrText xml:space="preserve"> PAGEREF _Toc175239181 \h </w:instrText>
        </w:r>
        <w:r>
          <w:rPr>
            <w:noProof/>
            <w:webHidden/>
          </w:rPr>
        </w:r>
        <w:r>
          <w:rPr>
            <w:noProof/>
            <w:webHidden/>
          </w:rPr>
          <w:fldChar w:fldCharType="separate"/>
        </w:r>
        <w:r w:rsidR="00FD06AB">
          <w:rPr>
            <w:noProof/>
            <w:webHidden/>
          </w:rPr>
          <w:t>164</w:t>
        </w:r>
        <w:r>
          <w:rPr>
            <w:noProof/>
            <w:webHidden/>
          </w:rPr>
          <w:fldChar w:fldCharType="end"/>
        </w:r>
      </w:hyperlink>
    </w:p>
    <w:p w14:paraId="2A5149BF" w14:textId="0A717FC4" w:rsidR="003B042F" w:rsidRDefault="003B042F">
      <w:pPr>
        <w:pStyle w:val="TOC4"/>
        <w:rPr>
          <w:rFonts w:asciiTheme="minorHAnsi" w:eastAsiaTheme="minorEastAsia" w:hAnsiTheme="minorHAnsi"/>
          <w:noProof/>
          <w:sz w:val="22"/>
          <w:lang w:eastAsia="en-AU"/>
        </w:rPr>
      </w:pPr>
      <w:hyperlink w:anchor="_Toc175239182" w:history="1">
        <w:r w:rsidRPr="005871B3">
          <w:rPr>
            <w:rStyle w:val="Hyperlink"/>
            <w:noProof/>
          </w:rPr>
          <w:t>135.2—Case stated</w:t>
        </w:r>
        <w:r>
          <w:rPr>
            <w:noProof/>
            <w:webHidden/>
          </w:rPr>
          <w:tab/>
        </w:r>
        <w:r>
          <w:rPr>
            <w:noProof/>
            <w:webHidden/>
          </w:rPr>
          <w:fldChar w:fldCharType="begin"/>
        </w:r>
        <w:r>
          <w:rPr>
            <w:noProof/>
            <w:webHidden/>
          </w:rPr>
          <w:instrText xml:space="preserve"> PAGEREF _Toc175239182 \h </w:instrText>
        </w:r>
        <w:r>
          <w:rPr>
            <w:noProof/>
            <w:webHidden/>
          </w:rPr>
        </w:r>
        <w:r>
          <w:rPr>
            <w:noProof/>
            <w:webHidden/>
          </w:rPr>
          <w:fldChar w:fldCharType="separate"/>
        </w:r>
        <w:r w:rsidR="00FD06AB">
          <w:rPr>
            <w:noProof/>
            <w:webHidden/>
          </w:rPr>
          <w:t>164</w:t>
        </w:r>
        <w:r>
          <w:rPr>
            <w:noProof/>
            <w:webHidden/>
          </w:rPr>
          <w:fldChar w:fldCharType="end"/>
        </w:r>
      </w:hyperlink>
    </w:p>
    <w:p w14:paraId="0B86E6C7" w14:textId="772EE38D" w:rsidR="003B042F" w:rsidRDefault="003B042F">
      <w:pPr>
        <w:pStyle w:val="TOC4"/>
        <w:rPr>
          <w:rFonts w:asciiTheme="minorHAnsi" w:eastAsiaTheme="minorEastAsia" w:hAnsiTheme="minorHAnsi"/>
          <w:noProof/>
          <w:sz w:val="22"/>
          <w:lang w:eastAsia="en-AU"/>
        </w:rPr>
      </w:pPr>
      <w:hyperlink w:anchor="_Toc175239183" w:history="1">
        <w:r w:rsidRPr="005871B3">
          <w:rPr>
            <w:rStyle w:val="Hyperlink"/>
            <w:noProof/>
          </w:rPr>
          <w:t>135.3—Certificate of trial judge: Supreme Court and District Court</w:t>
        </w:r>
        <w:r>
          <w:rPr>
            <w:noProof/>
            <w:webHidden/>
          </w:rPr>
          <w:tab/>
        </w:r>
        <w:r>
          <w:rPr>
            <w:noProof/>
            <w:webHidden/>
          </w:rPr>
          <w:fldChar w:fldCharType="begin"/>
        </w:r>
        <w:r>
          <w:rPr>
            <w:noProof/>
            <w:webHidden/>
          </w:rPr>
          <w:instrText xml:space="preserve"> PAGEREF _Toc175239183 \h </w:instrText>
        </w:r>
        <w:r>
          <w:rPr>
            <w:noProof/>
            <w:webHidden/>
          </w:rPr>
        </w:r>
        <w:r>
          <w:rPr>
            <w:noProof/>
            <w:webHidden/>
          </w:rPr>
          <w:fldChar w:fldCharType="separate"/>
        </w:r>
        <w:r w:rsidR="00FD06AB">
          <w:rPr>
            <w:noProof/>
            <w:webHidden/>
          </w:rPr>
          <w:t>164</w:t>
        </w:r>
        <w:r>
          <w:rPr>
            <w:noProof/>
            <w:webHidden/>
          </w:rPr>
          <w:fldChar w:fldCharType="end"/>
        </w:r>
      </w:hyperlink>
    </w:p>
    <w:p w14:paraId="51501138" w14:textId="1620DBBA"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184" w:history="1">
        <w:r w:rsidRPr="005871B3">
          <w:rPr>
            <w:rStyle w:val="Hyperlink"/>
            <w:noProof/>
          </w:rPr>
          <w:t>Chapter 7—Sentencing</w:t>
        </w:r>
        <w:r>
          <w:rPr>
            <w:noProof/>
            <w:webHidden/>
          </w:rPr>
          <w:tab/>
        </w:r>
        <w:r>
          <w:rPr>
            <w:noProof/>
            <w:webHidden/>
          </w:rPr>
          <w:fldChar w:fldCharType="begin"/>
        </w:r>
        <w:r>
          <w:rPr>
            <w:noProof/>
            <w:webHidden/>
          </w:rPr>
          <w:instrText xml:space="preserve"> PAGEREF _Toc175239184 \h </w:instrText>
        </w:r>
        <w:r>
          <w:rPr>
            <w:noProof/>
            <w:webHidden/>
          </w:rPr>
        </w:r>
        <w:r>
          <w:rPr>
            <w:noProof/>
            <w:webHidden/>
          </w:rPr>
          <w:fldChar w:fldCharType="separate"/>
        </w:r>
        <w:r w:rsidR="00FD06AB">
          <w:rPr>
            <w:noProof/>
            <w:webHidden/>
          </w:rPr>
          <w:t>165</w:t>
        </w:r>
        <w:r>
          <w:rPr>
            <w:noProof/>
            <w:webHidden/>
          </w:rPr>
          <w:fldChar w:fldCharType="end"/>
        </w:r>
      </w:hyperlink>
    </w:p>
    <w:p w14:paraId="07B182A4" w14:textId="06078D4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85" w:history="1">
        <w:r w:rsidRPr="005871B3">
          <w:rPr>
            <w:rStyle w:val="Hyperlink"/>
            <w:noProof/>
          </w:rPr>
          <w:t>Part 1—Scope of Chapter</w:t>
        </w:r>
        <w:r>
          <w:rPr>
            <w:noProof/>
            <w:webHidden/>
          </w:rPr>
          <w:tab/>
        </w:r>
        <w:r>
          <w:rPr>
            <w:noProof/>
            <w:webHidden/>
          </w:rPr>
          <w:fldChar w:fldCharType="begin"/>
        </w:r>
        <w:r>
          <w:rPr>
            <w:noProof/>
            <w:webHidden/>
          </w:rPr>
          <w:instrText xml:space="preserve"> PAGEREF _Toc175239185 \h </w:instrText>
        </w:r>
        <w:r>
          <w:rPr>
            <w:noProof/>
            <w:webHidden/>
          </w:rPr>
        </w:r>
        <w:r>
          <w:rPr>
            <w:noProof/>
            <w:webHidden/>
          </w:rPr>
          <w:fldChar w:fldCharType="separate"/>
        </w:r>
        <w:r w:rsidR="00FD06AB">
          <w:rPr>
            <w:noProof/>
            <w:webHidden/>
          </w:rPr>
          <w:t>165</w:t>
        </w:r>
        <w:r>
          <w:rPr>
            <w:noProof/>
            <w:webHidden/>
          </w:rPr>
          <w:fldChar w:fldCharType="end"/>
        </w:r>
      </w:hyperlink>
    </w:p>
    <w:p w14:paraId="3FED7344" w14:textId="0E6B46AB" w:rsidR="003B042F" w:rsidRDefault="003B042F">
      <w:pPr>
        <w:pStyle w:val="TOC4"/>
        <w:rPr>
          <w:rFonts w:asciiTheme="minorHAnsi" w:eastAsiaTheme="minorEastAsia" w:hAnsiTheme="minorHAnsi"/>
          <w:noProof/>
          <w:sz w:val="22"/>
          <w:lang w:eastAsia="en-AU"/>
        </w:rPr>
      </w:pPr>
      <w:hyperlink w:anchor="_Toc175239186" w:history="1">
        <w:r w:rsidRPr="005871B3">
          <w:rPr>
            <w:rStyle w:val="Hyperlink"/>
            <w:noProof/>
          </w:rPr>
          <w:t>141.1—Scope</w:t>
        </w:r>
        <w:r>
          <w:rPr>
            <w:noProof/>
            <w:webHidden/>
          </w:rPr>
          <w:tab/>
        </w:r>
        <w:r>
          <w:rPr>
            <w:noProof/>
            <w:webHidden/>
          </w:rPr>
          <w:fldChar w:fldCharType="begin"/>
        </w:r>
        <w:r>
          <w:rPr>
            <w:noProof/>
            <w:webHidden/>
          </w:rPr>
          <w:instrText xml:space="preserve"> PAGEREF _Toc175239186 \h </w:instrText>
        </w:r>
        <w:r>
          <w:rPr>
            <w:noProof/>
            <w:webHidden/>
          </w:rPr>
        </w:r>
        <w:r>
          <w:rPr>
            <w:noProof/>
            <w:webHidden/>
          </w:rPr>
          <w:fldChar w:fldCharType="separate"/>
        </w:r>
        <w:r w:rsidR="00FD06AB">
          <w:rPr>
            <w:noProof/>
            <w:webHidden/>
          </w:rPr>
          <w:t>165</w:t>
        </w:r>
        <w:r>
          <w:rPr>
            <w:noProof/>
            <w:webHidden/>
          </w:rPr>
          <w:fldChar w:fldCharType="end"/>
        </w:r>
      </w:hyperlink>
    </w:p>
    <w:p w14:paraId="136BDF8F" w14:textId="6760DB38"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187" w:history="1">
        <w:r w:rsidRPr="005871B3">
          <w:rPr>
            <w:rStyle w:val="Hyperlink"/>
            <w:noProof/>
          </w:rPr>
          <w:t>Part 2—Sentencing process</w:t>
        </w:r>
        <w:r>
          <w:rPr>
            <w:noProof/>
            <w:webHidden/>
          </w:rPr>
          <w:tab/>
        </w:r>
        <w:r>
          <w:rPr>
            <w:noProof/>
            <w:webHidden/>
          </w:rPr>
          <w:fldChar w:fldCharType="begin"/>
        </w:r>
        <w:r>
          <w:rPr>
            <w:noProof/>
            <w:webHidden/>
          </w:rPr>
          <w:instrText xml:space="preserve"> PAGEREF _Toc175239187 \h </w:instrText>
        </w:r>
        <w:r>
          <w:rPr>
            <w:noProof/>
            <w:webHidden/>
          </w:rPr>
        </w:r>
        <w:r>
          <w:rPr>
            <w:noProof/>
            <w:webHidden/>
          </w:rPr>
          <w:fldChar w:fldCharType="separate"/>
        </w:r>
        <w:r w:rsidR="00FD06AB">
          <w:rPr>
            <w:noProof/>
            <w:webHidden/>
          </w:rPr>
          <w:t>165</w:t>
        </w:r>
        <w:r>
          <w:rPr>
            <w:noProof/>
            <w:webHidden/>
          </w:rPr>
          <w:fldChar w:fldCharType="end"/>
        </w:r>
      </w:hyperlink>
    </w:p>
    <w:p w14:paraId="2C6C1AFC" w14:textId="2B780D36" w:rsidR="003B042F" w:rsidRDefault="003B042F">
      <w:pPr>
        <w:pStyle w:val="TOC3"/>
        <w:rPr>
          <w:rFonts w:asciiTheme="minorHAnsi" w:eastAsiaTheme="minorEastAsia" w:hAnsiTheme="minorHAnsi"/>
          <w:b w:val="0"/>
          <w:noProof/>
          <w:sz w:val="22"/>
          <w:lang w:eastAsia="en-AU"/>
        </w:rPr>
      </w:pPr>
      <w:hyperlink w:anchor="_Toc175239188" w:history="1">
        <w:r w:rsidRPr="005871B3">
          <w:rPr>
            <w:rStyle w:val="Hyperlink"/>
            <w:noProof/>
          </w:rPr>
          <w:t>Division 1—Offences committed during currency of bonds etc:</w:t>
        </w:r>
        <w:r>
          <w:rPr>
            <w:noProof/>
            <w:webHidden/>
          </w:rPr>
          <w:tab/>
        </w:r>
        <w:r>
          <w:rPr>
            <w:noProof/>
            <w:webHidden/>
          </w:rPr>
          <w:fldChar w:fldCharType="begin"/>
        </w:r>
        <w:r>
          <w:rPr>
            <w:noProof/>
            <w:webHidden/>
          </w:rPr>
          <w:instrText xml:space="preserve"> PAGEREF _Toc175239188 \h </w:instrText>
        </w:r>
        <w:r>
          <w:rPr>
            <w:noProof/>
            <w:webHidden/>
          </w:rPr>
        </w:r>
        <w:r>
          <w:rPr>
            <w:noProof/>
            <w:webHidden/>
          </w:rPr>
          <w:fldChar w:fldCharType="separate"/>
        </w:r>
        <w:r w:rsidR="00FD06AB">
          <w:rPr>
            <w:noProof/>
            <w:webHidden/>
          </w:rPr>
          <w:t>165</w:t>
        </w:r>
        <w:r>
          <w:rPr>
            <w:noProof/>
            <w:webHidden/>
          </w:rPr>
          <w:fldChar w:fldCharType="end"/>
        </w:r>
      </w:hyperlink>
    </w:p>
    <w:p w14:paraId="4A540B90" w14:textId="02C5A2E8" w:rsidR="003B042F" w:rsidRDefault="003B042F">
      <w:pPr>
        <w:pStyle w:val="TOC4"/>
        <w:rPr>
          <w:rFonts w:asciiTheme="minorHAnsi" w:eastAsiaTheme="minorEastAsia" w:hAnsiTheme="minorHAnsi"/>
          <w:noProof/>
          <w:sz w:val="22"/>
          <w:lang w:eastAsia="en-AU"/>
        </w:rPr>
      </w:pPr>
      <w:hyperlink w:anchor="_Toc175239189" w:history="1">
        <w:r w:rsidRPr="005871B3">
          <w:rPr>
            <w:rStyle w:val="Hyperlink"/>
            <w:noProof/>
          </w:rPr>
          <w:t>142.1—Definitions</w:t>
        </w:r>
        <w:r>
          <w:rPr>
            <w:noProof/>
            <w:webHidden/>
          </w:rPr>
          <w:tab/>
        </w:r>
        <w:r>
          <w:rPr>
            <w:noProof/>
            <w:webHidden/>
          </w:rPr>
          <w:fldChar w:fldCharType="begin"/>
        </w:r>
        <w:r>
          <w:rPr>
            <w:noProof/>
            <w:webHidden/>
          </w:rPr>
          <w:instrText xml:space="preserve"> PAGEREF _Toc175239189 \h </w:instrText>
        </w:r>
        <w:r>
          <w:rPr>
            <w:noProof/>
            <w:webHidden/>
          </w:rPr>
        </w:r>
        <w:r>
          <w:rPr>
            <w:noProof/>
            <w:webHidden/>
          </w:rPr>
          <w:fldChar w:fldCharType="separate"/>
        </w:r>
        <w:r w:rsidR="00FD06AB">
          <w:rPr>
            <w:noProof/>
            <w:webHidden/>
          </w:rPr>
          <w:t>165</w:t>
        </w:r>
        <w:r>
          <w:rPr>
            <w:noProof/>
            <w:webHidden/>
          </w:rPr>
          <w:fldChar w:fldCharType="end"/>
        </w:r>
      </w:hyperlink>
    </w:p>
    <w:p w14:paraId="154C813C" w14:textId="7865AD57" w:rsidR="003B042F" w:rsidRDefault="003B042F">
      <w:pPr>
        <w:pStyle w:val="TOC4"/>
        <w:rPr>
          <w:rFonts w:asciiTheme="minorHAnsi" w:eastAsiaTheme="minorEastAsia" w:hAnsiTheme="minorHAnsi"/>
          <w:noProof/>
          <w:sz w:val="22"/>
          <w:lang w:eastAsia="en-AU"/>
        </w:rPr>
      </w:pPr>
      <w:hyperlink w:anchor="_Toc175239190" w:history="1">
        <w:r w:rsidRPr="005871B3">
          <w:rPr>
            <w:rStyle w:val="Hyperlink"/>
            <w:noProof/>
          </w:rPr>
          <w:t>142.2—Prosecution to inform the Court</w:t>
        </w:r>
        <w:r>
          <w:rPr>
            <w:noProof/>
            <w:webHidden/>
          </w:rPr>
          <w:tab/>
        </w:r>
        <w:r>
          <w:rPr>
            <w:noProof/>
            <w:webHidden/>
          </w:rPr>
          <w:fldChar w:fldCharType="begin"/>
        </w:r>
        <w:r>
          <w:rPr>
            <w:noProof/>
            <w:webHidden/>
          </w:rPr>
          <w:instrText xml:space="preserve"> PAGEREF _Toc175239190 \h </w:instrText>
        </w:r>
        <w:r>
          <w:rPr>
            <w:noProof/>
            <w:webHidden/>
          </w:rPr>
        </w:r>
        <w:r>
          <w:rPr>
            <w:noProof/>
            <w:webHidden/>
          </w:rPr>
          <w:fldChar w:fldCharType="separate"/>
        </w:r>
        <w:r w:rsidR="00FD06AB">
          <w:rPr>
            <w:noProof/>
            <w:webHidden/>
          </w:rPr>
          <w:t>166</w:t>
        </w:r>
        <w:r>
          <w:rPr>
            <w:noProof/>
            <w:webHidden/>
          </w:rPr>
          <w:fldChar w:fldCharType="end"/>
        </w:r>
      </w:hyperlink>
    </w:p>
    <w:p w14:paraId="3306A02E" w14:textId="7C90706D" w:rsidR="003B042F" w:rsidRDefault="003B042F">
      <w:pPr>
        <w:pStyle w:val="TOC4"/>
        <w:rPr>
          <w:rFonts w:asciiTheme="minorHAnsi" w:eastAsiaTheme="minorEastAsia" w:hAnsiTheme="minorHAnsi"/>
          <w:noProof/>
          <w:sz w:val="22"/>
          <w:lang w:eastAsia="en-AU"/>
        </w:rPr>
      </w:pPr>
      <w:hyperlink w:anchor="_Toc175239191" w:history="1">
        <w:r w:rsidRPr="005871B3">
          <w:rPr>
            <w:rStyle w:val="Hyperlink"/>
            <w:noProof/>
          </w:rPr>
          <w:t>142.3—Informant to inform Director</w:t>
        </w:r>
        <w:r>
          <w:rPr>
            <w:noProof/>
            <w:webHidden/>
          </w:rPr>
          <w:tab/>
        </w:r>
        <w:r>
          <w:rPr>
            <w:noProof/>
            <w:webHidden/>
          </w:rPr>
          <w:fldChar w:fldCharType="begin"/>
        </w:r>
        <w:r>
          <w:rPr>
            <w:noProof/>
            <w:webHidden/>
          </w:rPr>
          <w:instrText xml:space="preserve"> PAGEREF _Toc175239191 \h </w:instrText>
        </w:r>
        <w:r>
          <w:rPr>
            <w:noProof/>
            <w:webHidden/>
          </w:rPr>
        </w:r>
        <w:r>
          <w:rPr>
            <w:noProof/>
            <w:webHidden/>
          </w:rPr>
          <w:fldChar w:fldCharType="separate"/>
        </w:r>
        <w:r w:rsidR="00FD06AB">
          <w:rPr>
            <w:noProof/>
            <w:webHidden/>
          </w:rPr>
          <w:t>166</w:t>
        </w:r>
        <w:r>
          <w:rPr>
            <w:noProof/>
            <w:webHidden/>
          </w:rPr>
          <w:fldChar w:fldCharType="end"/>
        </w:r>
      </w:hyperlink>
    </w:p>
    <w:p w14:paraId="203BE632" w14:textId="4E0DEC4A" w:rsidR="003B042F" w:rsidRDefault="003B042F">
      <w:pPr>
        <w:pStyle w:val="TOC3"/>
        <w:rPr>
          <w:rFonts w:asciiTheme="minorHAnsi" w:eastAsiaTheme="minorEastAsia" w:hAnsiTheme="minorHAnsi"/>
          <w:b w:val="0"/>
          <w:noProof/>
          <w:sz w:val="22"/>
          <w:lang w:eastAsia="en-AU"/>
        </w:rPr>
      </w:pPr>
      <w:hyperlink w:anchor="_Toc175239192" w:history="1">
        <w:r w:rsidRPr="005871B3">
          <w:rPr>
            <w:rStyle w:val="Hyperlink"/>
            <w:noProof/>
          </w:rPr>
          <w:t>Division 2—Summonses and notices</w:t>
        </w:r>
        <w:r>
          <w:rPr>
            <w:noProof/>
            <w:webHidden/>
          </w:rPr>
          <w:tab/>
        </w:r>
        <w:r>
          <w:rPr>
            <w:noProof/>
            <w:webHidden/>
          </w:rPr>
          <w:fldChar w:fldCharType="begin"/>
        </w:r>
        <w:r>
          <w:rPr>
            <w:noProof/>
            <w:webHidden/>
          </w:rPr>
          <w:instrText xml:space="preserve"> PAGEREF _Toc175239192 \h </w:instrText>
        </w:r>
        <w:r>
          <w:rPr>
            <w:noProof/>
            <w:webHidden/>
          </w:rPr>
        </w:r>
        <w:r>
          <w:rPr>
            <w:noProof/>
            <w:webHidden/>
          </w:rPr>
          <w:fldChar w:fldCharType="separate"/>
        </w:r>
        <w:r w:rsidR="00FD06AB">
          <w:rPr>
            <w:noProof/>
            <w:webHidden/>
          </w:rPr>
          <w:t>166</w:t>
        </w:r>
        <w:r>
          <w:rPr>
            <w:noProof/>
            <w:webHidden/>
          </w:rPr>
          <w:fldChar w:fldCharType="end"/>
        </w:r>
      </w:hyperlink>
    </w:p>
    <w:p w14:paraId="34FACBB4" w14:textId="26A78FBB" w:rsidR="003B042F" w:rsidRDefault="003B042F">
      <w:pPr>
        <w:pStyle w:val="TOC4"/>
        <w:rPr>
          <w:rFonts w:asciiTheme="minorHAnsi" w:eastAsiaTheme="minorEastAsia" w:hAnsiTheme="minorHAnsi"/>
          <w:noProof/>
          <w:sz w:val="22"/>
          <w:lang w:eastAsia="en-AU"/>
        </w:rPr>
      </w:pPr>
      <w:hyperlink w:anchor="_Toc175239193" w:history="1">
        <w:r w:rsidRPr="005871B3">
          <w:rPr>
            <w:rStyle w:val="Hyperlink"/>
            <w:noProof/>
          </w:rPr>
          <w:t>143.1—Summons to person potentially affected by disqualification</w:t>
        </w:r>
        <w:r>
          <w:rPr>
            <w:noProof/>
            <w:webHidden/>
          </w:rPr>
          <w:tab/>
        </w:r>
        <w:r>
          <w:rPr>
            <w:noProof/>
            <w:webHidden/>
          </w:rPr>
          <w:fldChar w:fldCharType="begin"/>
        </w:r>
        <w:r>
          <w:rPr>
            <w:noProof/>
            <w:webHidden/>
          </w:rPr>
          <w:instrText xml:space="preserve"> PAGEREF _Toc175239193 \h </w:instrText>
        </w:r>
        <w:r>
          <w:rPr>
            <w:noProof/>
            <w:webHidden/>
          </w:rPr>
        </w:r>
        <w:r>
          <w:rPr>
            <w:noProof/>
            <w:webHidden/>
          </w:rPr>
          <w:fldChar w:fldCharType="separate"/>
        </w:r>
        <w:r w:rsidR="00FD06AB">
          <w:rPr>
            <w:noProof/>
            <w:webHidden/>
          </w:rPr>
          <w:t>166</w:t>
        </w:r>
        <w:r>
          <w:rPr>
            <w:noProof/>
            <w:webHidden/>
          </w:rPr>
          <w:fldChar w:fldCharType="end"/>
        </w:r>
      </w:hyperlink>
    </w:p>
    <w:p w14:paraId="1465936E" w14:textId="47DE3782" w:rsidR="003B042F" w:rsidRDefault="003B042F">
      <w:pPr>
        <w:pStyle w:val="TOC4"/>
        <w:rPr>
          <w:rFonts w:asciiTheme="minorHAnsi" w:eastAsiaTheme="minorEastAsia" w:hAnsiTheme="minorHAnsi"/>
          <w:noProof/>
          <w:sz w:val="22"/>
          <w:lang w:eastAsia="en-AU"/>
        </w:rPr>
      </w:pPr>
      <w:hyperlink w:anchor="_Toc175239194" w:history="1">
        <w:r w:rsidRPr="005871B3">
          <w:rPr>
            <w:rStyle w:val="Hyperlink"/>
            <w:noProof/>
          </w:rPr>
          <w:t>143.2—Notices to defendant or youth: Lower Court</w:t>
        </w:r>
        <w:r>
          <w:rPr>
            <w:noProof/>
            <w:webHidden/>
          </w:rPr>
          <w:tab/>
        </w:r>
        <w:r>
          <w:rPr>
            <w:noProof/>
            <w:webHidden/>
          </w:rPr>
          <w:fldChar w:fldCharType="begin"/>
        </w:r>
        <w:r>
          <w:rPr>
            <w:noProof/>
            <w:webHidden/>
          </w:rPr>
          <w:instrText xml:space="preserve"> PAGEREF _Toc175239194 \h </w:instrText>
        </w:r>
        <w:r>
          <w:rPr>
            <w:noProof/>
            <w:webHidden/>
          </w:rPr>
        </w:r>
        <w:r>
          <w:rPr>
            <w:noProof/>
            <w:webHidden/>
          </w:rPr>
          <w:fldChar w:fldCharType="separate"/>
        </w:r>
        <w:r w:rsidR="00FD06AB">
          <w:rPr>
            <w:noProof/>
            <w:webHidden/>
          </w:rPr>
          <w:t>166</w:t>
        </w:r>
        <w:r>
          <w:rPr>
            <w:noProof/>
            <w:webHidden/>
          </w:rPr>
          <w:fldChar w:fldCharType="end"/>
        </w:r>
      </w:hyperlink>
    </w:p>
    <w:p w14:paraId="17D5B10A" w14:textId="48A88087" w:rsidR="003B042F" w:rsidRDefault="003B042F">
      <w:pPr>
        <w:pStyle w:val="TOC3"/>
        <w:rPr>
          <w:rFonts w:asciiTheme="minorHAnsi" w:eastAsiaTheme="minorEastAsia" w:hAnsiTheme="minorHAnsi"/>
          <w:b w:val="0"/>
          <w:noProof/>
          <w:sz w:val="22"/>
          <w:lang w:eastAsia="en-AU"/>
        </w:rPr>
      </w:pPr>
      <w:hyperlink w:anchor="_Toc175239195" w:history="1">
        <w:r w:rsidRPr="005871B3">
          <w:rPr>
            <w:rStyle w:val="Hyperlink"/>
            <w:noProof/>
          </w:rPr>
          <w:t>Division 3—Applications for specific orders</w:t>
        </w:r>
        <w:r>
          <w:rPr>
            <w:noProof/>
            <w:webHidden/>
          </w:rPr>
          <w:tab/>
        </w:r>
        <w:r>
          <w:rPr>
            <w:noProof/>
            <w:webHidden/>
          </w:rPr>
          <w:fldChar w:fldCharType="begin"/>
        </w:r>
        <w:r>
          <w:rPr>
            <w:noProof/>
            <w:webHidden/>
          </w:rPr>
          <w:instrText xml:space="preserve"> PAGEREF _Toc175239195 \h </w:instrText>
        </w:r>
        <w:r>
          <w:rPr>
            <w:noProof/>
            <w:webHidden/>
          </w:rPr>
        </w:r>
        <w:r>
          <w:rPr>
            <w:noProof/>
            <w:webHidden/>
          </w:rPr>
          <w:fldChar w:fldCharType="separate"/>
        </w:r>
        <w:r w:rsidR="00FD06AB">
          <w:rPr>
            <w:noProof/>
            <w:webHidden/>
          </w:rPr>
          <w:t>167</w:t>
        </w:r>
        <w:r>
          <w:rPr>
            <w:noProof/>
            <w:webHidden/>
          </w:rPr>
          <w:fldChar w:fldCharType="end"/>
        </w:r>
      </w:hyperlink>
    </w:p>
    <w:p w14:paraId="7BF58A72" w14:textId="518758D1" w:rsidR="003B042F" w:rsidRDefault="003B042F">
      <w:pPr>
        <w:pStyle w:val="TOC4"/>
        <w:rPr>
          <w:rFonts w:asciiTheme="minorHAnsi" w:eastAsiaTheme="minorEastAsia" w:hAnsiTheme="minorHAnsi"/>
          <w:noProof/>
          <w:sz w:val="22"/>
          <w:lang w:eastAsia="en-AU"/>
        </w:rPr>
      </w:pPr>
      <w:hyperlink w:anchor="_Toc175239196" w:history="1">
        <w:r w:rsidRPr="005871B3">
          <w:rPr>
            <w:rStyle w:val="Hyperlink"/>
            <w:noProof/>
          </w:rPr>
          <w:t>144.1—Application for vehicle forfeiture or impounding</w:t>
        </w:r>
        <w:r>
          <w:rPr>
            <w:noProof/>
            <w:webHidden/>
          </w:rPr>
          <w:tab/>
        </w:r>
        <w:r>
          <w:rPr>
            <w:noProof/>
            <w:webHidden/>
          </w:rPr>
          <w:fldChar w:fldCharType="begin"/>
        </w:r>
        <w:r>
          <w:rPr>
            <w:noProof/>
            <w:webHidden/>
          </w:rPr>
          <w:instrText xml:space="preserve"> PAGEREF _Toc175239196 \h </w:instrText>
        </w:r>
        <w:r>
          <w:rPr>
            <w:noProof/>
            <w:webHidden/>
          </w:rPr>
        </w:r>
        <w:r>
          <w:rPr>
            <w:noProof/>
            <w:webHidden/>
          </w:rPr>
          <w:fldChar w:fldCharType="separate"/>
        </w:r>
        <w:r w:rsidR="00FD06AB">
          <w:rPr>
            <w:noProof/>
            <w:webHidden/>
          </w:rPr>
          <w:t>167</w:t>
        </w:r>
        <w:r>
          <w:rPr>
            <w:noProof/>
            <w:webHidden/>
          </w:rPr>
          <w:fldChar w:fldCharType="end"/>
        </w:r>
      </w:hyperlink>
    </w:p>
    <w:p w14:paraId="15CD3200" w14:textId="20D97C1C" w:rsidR="003B042F" w:rsidRDefault="003B042F">
      <w:pPr>
        <w:pStyle w:val="TOC4"/>
        <w:rPr>
          <w:rFonts w:asciiTheme="minorHAnsi" w:eastAsiaTheme="minorEastAsia" w:hAnsiTheme="minorHAnsi"/>
          <w:noProof/>
          <w:sz w:val="22"/>
          <w:lang w:eastAsia="en-AU"/>
        </w:rPr>
      </w:pPr>
      <w:hyperlink w:anchor="_Toc175239197" w:history="1">
        <w:r w:rsidRPr="005871B3">
          <w:rPr>
            <w:rStyle w:val="Hyperlink"/>
            <w:noProof/>
          </w:rPr>
          <w:t>144.2—Application for intervention order</w:t>
        </w:r>
        <w:r>
          <w:rPr>
            <w:noProof/>
            <w:webHidden/>
          </w:rPr>
          <w:tab/>
        </w:r>
        <w:r>
          <w:rPr>
            <w:noProof/>
            <w:webHidden/>
          </w:rPr>
          <w:fldChar w:fldCharType="begin"/>
        </w:r>
        <w:r>
          <w:rPr>
            <w:noProof/>
            <w:webHidden/>
          </w:rPr>
          <w:instrText xml:space="preserve"> PAGEREF _Toc175239197 \h </w:instrText>
        </w:r>
        <w:r>
          <w:rPr>
            <w:noProof/>
            <w:webHidden/>
          </w:rPr>
        </w:r>
        <w:r>
          <w:rPr>
            <w:noProof/>
            <w:webHidden/>
          </w:rPr>
          <w:fldChar w:fldCharType="separate"/>
        </w:r>
        <w:r w:rsidR="00FD06AB">
          <w:rPr>
            <w:noProof/>
            <w:webHidden/>
          </w:rPr>
          <w:t>167</w:t>
        </w:r>
        <w:r>
          <w:rPr>
            <w:noProof/>
            <w:webHidden/>
          </w:rPr>
          <w:fldChar w:fldCharType="end"/>
        </w:r>
      </w:hyperlink>
    </w:p>
    <w:p w14:paraId="7C03E3C4" w14:textId="52CE90E1" w:rsidR="003B042F" w:rsidRDefault="003B042F">
      <w:pPr>
        <w:pStyle w:val="TOC3"/>
        <w:rPr>
          <w:rFonts w:asciiTheme="minorHAnsi" w:eastAsiaTheme="minorEastAsia" w:hAnsiTheme="minorHAnsi"/>
          <w:b w:val="0"/>
          <w:noProof/>
          <w:sz w:val="22"/>
          <w:lang w:eastAsia="en-AU"/>
        </w:rPr>
      </w:pPr>
      <w:hyperlink w:anchor="_Toc175239198" w:history="1">
        <w:r w:rsidRPr="005871B3">
          <w:rPr>
            <w:rStyle w:val="Hyperlink"/>
            <w:noProof/>
          </w:rPr>
          <w:t>Division 4—Taking into account other federal offences</w:t>
        </w:r>
        <w:r>
          <w:rPr>
            <w:noProof/>
            <w:webHidden/>
          </w:rPr>
          <w:tab/>
        </w:r>
        <w:r>
          <w:rPr>
            <w:noProof/>
            <w:webHidden/>
          </w:rPr>
          <w:fldChar w:fldCharType="begin"/>
        </w:r>
        <w:r>
          <w:rPr>
            <w:noProof/>
            <w:webHidden/>
          </w:rPr>
          <w:instrText xml:space="preserve"> PAGEREF _Toc175239198 \h </w:instrText>
        </w:r>
        <w:r>
          <w:rPr>
            <w:noProof/>
            <w:webHidden/>
          </w:rPr>
        </w:r>
        <w:r>
          <w:rPr>
            <w:noProof/>
            <w:webHidden/>
          </w:rPr>
          <w:fldChar w:fldCharType="separate"/>
        </w:r>
        <w:r w:rsidR="00FD06AB">
          <w:rPr>
            <w:noProof/>
            <w:webHidden/>
          </w:rPr>
          <w:t>167</w:t>
        </w:r>
        <w:r>
          <w:rPr>
            <w:noProof/>
            <w:webHidden/>
          </w:rPr>
          <w:fldChar w:fldCharType="end"/>
        </w:r>
      </w:hyperlink>
    </w:p>
    <w:p w14:paraId="3C45D821" w14:textId="5AADC9F1" w:rsidR="003B042F" w:rsidRDefault="003B042F">
      <w:pPr>
        <w:pStyle w:val="TOC4"/>
        <w:rPr>
          <w:rFonts w:asciiTheme="minorHAnsi" w:eastAsiaTheme="minorEastAsia" w:hAnsiTheme="minorHAnsi"/>
          <w:noProof/>
          <w:sz w:val="22"/>
          <w:lang w:eastAsia="en-AU"/>
        </w:rPr>
      </w:pPr>
      <w:hyperlink w:anchor="_Toc175239199" w:history="1">
        <w:r w:rsidRPr="005871B3">
          <w:rPr>
            <w:rStyle w:val="Hyperlink"/>
            <w:noProof/>
          </w:rPr>
          <w:t>145.1—Request to take into account other federal offences</w:t>
        </w:r>
        <w:r>
          <w:rPr>
            <w:noProof/>
            <w:webHidden/>
          </w:rPr>
          <w:tab/>
        </w:r>
        <w:r>
          <w:rPr>
            <w:noProof/>
            <w:webHidden/>
          </w:rPr>
          <w:fldChar w:fldCharType="begin"/>
        </w:r>
        <w:r>
          <w:rPr>
            <w:noProof/>
            <w:webHidden/>
          </w:rPr>
          <w:instrText xml:space="preserve"> PAGEREF _Toc175239199 \h </w:instrText>
        </w:r>
        <w:r>
          <w:rPr>
            <w:noProof/>
            <w:webHidden/>
          </w:rPr>
        </w:r>
        <w:r>
          <w:rPr>
            <w:noProof/>
            <w:webHidden/>
          </w:rPr>
          <w:fldChar w:fldCharType="separate"/>
        </w:r>
        <w:r w:rsidR="00FD06AB">
          <w:rPr>
            <w:noProof/>
            <w:webHidden/>
          </w:rPr>
          <w:t>167</w:t>
        </w:r>
        <w:r>
          <w:rPr>
            <w:noProof/>
            <w:webHidden/>
          </w:rPr>
          <w:fldChar w:fldCharType="end"/>
        </w:r>
      </w:hyperlink>
    </w:p>
    <w:p w14:paraId="5E8142A0" w14:textId="3B02107D" w:rsidR="003B042F" w:rsidRDefault="003B042F">
      <w:pPr>
        <w:pStyle w:val="TOC4"/>
        <w:rPr>
          <w:rFonts w:asciiTheme="minorHAnsi" w:eastAsiaTheme="minorEastAsia" w:hAnsiTheme="minorHAnsi"/>
          <w:noProof/>
          <w:sz w:val="22"/>
          <w:lang w:eastAsia="en-AU"/>
        </w:rPr>
      </w:pPr>
      <w:hyperlink w:anchor="_Toc175239200" w:history="1">
        <w:r w:rsidRPr="005871B3">
          <w:rPr>
            <w:rStyle w:val="Hyperlink"/>
            <w:noProof/>
          </w:rPr>
          <w:t>145.2—Taking into account other federal offences</w:t>
        </w:r>
        <w:r>
          <w:rPr>
            <w:noProof/>
            <w:webHidden/>
          </w:rPr>
          <w:tab/>
        </w:r>
        <w:r>
          <w:rPr>
            <w:noProof/>
            <w:webHidden/>
          </w:rPr>
          <w:fldChar w:fldCharType="begin"/>
        </w:r>
        <w:r>
          <w:rPr>
            <w:noProof/>
            <w:webHidden/>
          </w:rPr>
          <w:instrText xml:space="preserve"> PAGEREF _Toc175239200 \h </w:instrText>
        </w:r>
        <w:r>
          <w:rPr>
            <w:noProof/>
            <w:webHidden/>
          </w:rPr>
        </w:r>
        <w:r>
          <w:rPr>
            <w:noProof/>
            <w:webHidden/>
          </w:rPr>
          <w:fldChar w:fldCharType="separate"/>
        </w:r>
        <w:r w:rsidR="00FD06AB">
          <w:rPr>
            <w:noProof/>
            <w:webHidden/>
          </w:rPr>
          <w:t>167</w:t>
        </w:r>
        <w:r>
          <w:rPr>
            <w:noProof/>
            <w:webHidden/>
          </w:rPr>
          <w:fldChar w:fldCharType="end"/>
        </w:r>
      </w:hyperlink>
    </w:p>
    <w:p w14:paraId="1FE5EFC2" w14:textId="6D44DAA4" w:rsidR="003B042F" w:rsidRDefault="003B042F">
      <w:pPr>
        <w:pStyle w:val="TOC3"/>
        <w:rPr>
          <w:rFonts w:asciiTheme="minorHAnsi" w:eastAsiaTheme="minorEastAsia" w:hAnsiTheme="minorHAnsi"/>
          <w:b w:val="0"/>
          <w:noProof/>
          <w:sz w:val="22"/>
          <w:lang w:eastAsia="en-AU"/>
        </w:rPr>
      </w:pPr>
      <w:hyperlink w:anchor="_Toc175239201" w:history="1">
        <w:r w:rsidRPr="005871B3">
          <w:rPr>
            <w:rStyle w:val="Hyperlink"/>
            <w:noProof/>
          </w:rPr>
          <w:t>Division 5—Reports requested by the Court</w:t>
        </w:r>
        <w:r>
          <w:rPr>
            <w:noProof/>
            <w:webHidden/>
          </w:rPr>
          <w:tab/>
        </w:r>
        <w:r>
          <w:rPr>
            <w:noProof/>
            <w:webHidden/>
          </w:rPr>
          <w:fldChar w:fldCharType="begin"/>
        </w:r>
        <w:r>
          <w:rPr>
            <w:noProof/>
            <w:webHidden/>
          </w:rPr>
          <w:instrText xml:space="preserve"> PAGEREF _Toc175239201 \h </w:instrText>
        </w:r>
        <w:r>
          <w:rPr>
            <w:noProof/>
            <w:webHidden/>
          </w:rPr>
        </w:r>
        <w:r>
          <w:rPr>
            <w:noProof/>
            <w:webHidden/>
          </w:rPr>
          <w:fldChar w:fldCharType="separate"/>
        </w:r>
        <w:r w:rsidR="00FD06AB">
          <w:rPr>
            <w:noProof/>
            <w:webHidden/>
          </w:rPr>
          <w:t>168</w:t>
        </w:r>
        <w:r>
          <w:rPr>
            <w:noProof/>
            <w:webHidden/>
          </w:rPr>
          <w:fldChar w:fldCharType="end"/>
        </w:r>
      </w:hyperlink>
    </w:p>
    <w:p w14:paraId="532BB413" w14:textId="4CD8F28D" w:rsidR="003B042F" w:rsidRDefault="003B042F">
      <w:pPr>
        <w:pStyle w:val="TOC4"/>
        <w:rPr>
          <w:rFonts w:asciiTheme="minorHAnsi" w:eastAsiaTheme="minorEastAsia" w:hAnsiTheme="minorHAnsi"/>
          <w:noProof/>
          <w:sz w:val="22"/>
          <w:lang w:eastAsia="en-AU"/>
        </w:rPr>
      </w:pPr>
      <w:hyperlink w:anchor="_Toc175239202" w:history="1">
        <w:r w:rsidRPr="005871B3">
          <w:rPr>
            <w:rStyle w:val="Hyperlink"/>
            <w:noProof/>
          </w:rPr>
          <w:t>146.1—Requests for reports</w:t>
        </w:r>
        <w:r>
          <w:rPr>
            <w:noProof/>
            <w:webHidden/>
          </w:rPr>
          <w:tab/>
        </w:r>
        <w:r>
          <w:rPr>
            <w:noProof/>
            <w:webHidden/>
          </w:rPr>
          <w:fldChar w:fldCharType="begin"/>
        </w:r>
        <w:r>
          <w:rPr>
            <w:noProof/>
            <w:webHidden/>
          </w:rPr>
          <w:instrText xml:space="preserve"> PAGEREF _Toc175239202 \h </w:instrText>
        </w:r>
        <w:r>
          <w:rPr>
            <w:noProof/>
            <w:webHidden/>
          </w:rPr>
        </w:r>
        <w:r>
          <w:rPr>
            <w:noProof/>
            <w:webHidden/>
          </w:rPr>
          <w:fldChar w:fldCharType="separate"/>
        </w:r>
        <w:r w:rsidR="00FD06AB">
          <w:rPr>
            <w:noProof/>
            <w:webHidden/>
          </w:rPr>
          <w:t>168</w:t>
        </w:r>
        <w:r>
          <w:rPr>
            <w:noProof/>
            <w:webHidden/>
          </w:rPr>
          <w:fldChar w:fldCharType="end"/>
        </w:r>
      </w:hyperlink>
    </w:p>
    <w:p w14:paraId="4EA82B7F" w14:textId="0FD791EE" w:rsidR="003B042F" w:rsidRDefault="003B042F">
      <w:pPr>
        <w:pStyle w:val="TOC3"/>
        <w:rPr>
          <w:rFonts w:asciiTheme="minorHAnsi" w:eastAsiaTheme="minorEastAsia" w:hAnsiTheme="minorHAnsi"/>
          <w:b w:val="0"/>
          <w:noProof/>
          <w:sz w:val="22"/>
          <w:lang w:eastAsia="en-AU"/>
        </w:rPr>
      </w:pPr>
      <w:hyperlink w:anchor="_Toc175239203" w:history="1">
        <w:r w:rsidRPr="005871B3">
          <w:rPr>
            <w:rStyle w:val="Hyperlink"/>
            <w:noProof/>
          </w:rPr>
          <w:t>Division 6—Victim and community impact statements</w:t>
        </w:r>
        <w:r>
          <w:rPr>
            <w:noProof/>
            <w:webHidden/>
          </w:rPr>
          <w:tab/>
        </w:r>
        <w:r>
          <w:rPr>
            <w:noProof/>
            <w:webHidden/>
          </w:rPr>
          <w:fldChar w:fldCharType="begin"/>
        </w:r>
        <w:r>
          <w:rPr>
            <w:noProof/>
            <w:webHidden/>
          </w:rPr>
          <w:instrText xml:space="preserve"> PAGEREF _Toc175239203 \h </w:instrText>
        </w:r>
        <w:r>
          <w:rPr>
            <w:noProof/>
            <w:webHidden/>
          </w:rPr>
        </w:r>
        <w:r>
          <w:rPr>
            <w:noProof/>
            <w:webHidden/>
          </w:rPr>
          <w:fldChar w:fldCharType="separate"/>
        </w:r>
        <w:r w:rsidR="00FD06AB">
          <w:rPr>
            <w:noProof/>
            <w:webHidden/>
          </w:rPr>
          <w:t>169</w:t>
        </w:r>
        <w:r>
          <w:rPr>
            <w:noProof/>
            <w:webHidden/>
          </w:rPr>
          <w:fldChar w:fldCharType="end"/>
        </w:r>
      </w:hyperlink>
    </w:p>
    <w:p w14:paraId="249984E0" w14:textId="6DE4561C" w:rsidR="003B042F" w:rsidRDefault="003B042F">
      <w:pPr>
        <w:pStyle w:val="TOC4"/>
        <w:rPr>
          <w:rFonts w:asciiTheme="minorHAnsi" w:eastAsiaTheme="minorEastAsia" w:hAnsiTheme="minorHAnsi"/>
          <w:noProof/>
          <w:sz w:val="22"/>
          <w:lang w:eastAsia="en-AU"/>
        </w:rPr>
      </w:pPr>
      <w:hyperlink w:anchor="_Toc175239204" w:history="1">
        <w:r w:rsidRPr="005871B3">
          <w:rPr>
            <w:rStyle w:val="Hyperlink"/>
            <w:noProof/>
          </w:rPr>
          <w:t>147.1—Victim impact statements</w:t>
        </w:r>
        <w:r>
          <w:rPr>
            <w:noProof/>
            <w:webHidden/>
          </w:rPr>
          <w:tab/>
        </w:r>
        <w:r>
          <w:rPr>
            <w:noProof/>
            <w:webHidden/>
          </w:rPr>
          <w:fldChar w:fldCharType="begin"/>
        </w:r>
        <w:r>
          <w:rPr>
            <w:noProof/>
            <w:webHidden/>
          </w:rPr>
          <w:instrText xml:space="preserve"> PAGEREF _Toc175239204 \h </w:instrText>
        </w:r>
        <w:r>
          <w:rPr>
            <w:noProof/>
            <w:webHidden/>
          </w:rPr>
        </w:r>
        <w:r>
          <w:rPr>
            <w:noProof/>
            <w:webHidden/>
          </w:rPr>
          <w:fldChar w:fldCharType="separate"/>
        </w:r>
        <w:r w:rsidR="00FD06AB">
          <w:rPr>
            <w:noProof/>
            <w:webHidden/>
          </w:rPr>
          <w:t>169</w:t>
        </w:r>
        <w:r>
          <w:rPr>
            <w:noProof/>
            <w:webHidden/>
          </w:rPr>
          <w:fldChar w:fldCharType="end"/>
        </w:r>
      </w:hyperlink>
    </w:p>
    <w:p w14:paraId="308B41C5" w14:textId="7FB7B0CB" w:rsidR="003B042F" w:rsidRDefault="003B042F">
      <w:pPr>
        <w:pStyle w:val="TOC4"/>
        <w:rPr>
          <w:rFonts w:asciiTheme="minorHAnsi" w:eastAsiaTheme="minorEastAsia" w:hAnsiTheme="minorHAnsi"/>
          <w:noProof/>
          <w:sz w:val="22"/>
          <w:lang w:eastAsia="en-AU"/>
        </w:rPr>
      </w:pPr>
      <w:hyperlink w:anchor="_Toc175239205" w:history="1">
        <w:r w:rsidRPr="005871B3">
          <w:rPr>
            <w:rStyle w:val="Hyperlink"/>
            <w:noProof/>
          </w:rPr>
          <w:t>147.2—Community impact statements</w:t>
        </w:r>
        <w:r>
          <w:rPr>
            <w:noProof/>
            <w:webHidden/>
          </w:rPr>
          <w:tab/>
        </w:r>
        <w:r>
          <w:rPr>
            <w:noProof/>
            <w:webHidden/>
          </w:rPr>
          <w:fldChar w:fldCharType="begin"/>
        </w:r>
        <w:r>
          <w:rPr>
            <w:noProof/>
            <w:webHidden/>
          </w:rPr>
          <w:instrText xml:space="preserve"> PAGEREF _Toc175239205 \h </w:instrText>
        </w:r>
        <w:r>
          <w:rPr>
            <w:noProof/>
            <w:webHidden/>
          </w:rPr>
        </w:r>
        <w:r>
          <w:rPr>
            <w:noProof/>
            <w:webHidden/>
          </w:rPr>
          <w:fldChar w:fldCharType="separate"/>
        </w:r>
        <w:r w:rsidR="00FD06AB">
          <w:rPr>
            <w:noProof/>
            <w:webHidden/>
          </w:rPr>
          <w:t>170</w:t>
        </w:r>
        <w:r>
          <w:rPr>
            <w:noProof/>
            <w:webHidden/>
          </w:rPr>
          <w:fldChar w:fldCharType="end"/>
        </w:r>
      </w:hyperlink>
    </w:p>
    <w:p w14:paraId="6966E57A" w14:textId="1FEB4C10" w:rsidR="003B042F" w:rsidRDefault="003B042F">
      <w:pPr>
        <w:pStyle w:val="TOC3"/>
        <w:rPr>
          <w:rFonts w:asciiTheme="minorHAnsi" w:eastAsiaTheme="minorEastAsia" w:hAnsiTheme="minorHAnsi"/>
          <w:b w:val="0"/>
          <w:noProof/>
          <w:sz w:val="22"/>
          <w:lang w:eastAsia="en-AU"/>
        </w:rPr>
      </w:pPr>
      <w:hyperlink w:anchor="_Toc175239206" w:history="1">
        <w:r w:rsidRPr="005871B3">
          <w:rPr>
            <w:rStyle w:val="Hyperlink"/>
            <w:noProof/>
          </w:rPr>
          <w:t>Division 7—Sentencing conferences</w:t>
        </w:r>
        <w:r>
          <w:rPr>
            <w:noProof/>
            <w:webHidden/>
          </w:rPr>
          <w:tab/>
        </w:r>
        <w:r>
          <w:rPr>
            <w:noProof/>
            <w:webHidden/>
          </w:rPr>
          <w:fldChar w:fldCharType="begin"/>
        </w:r>
        <w:r>
          <w:rPr>
            <w:noProof/>
            <w:webHidden/>
          </w:rPr>
          <w:instrText xml:space="preserve"> PAGEREF _Toc175239206 \h </w:instrText>
        </w:r>
        <w:r>
          <w:rPr>
            <w:noProof/>
            <w:webHidden/>
          </w:rPr>
        </w:r>
        <w:r>
          <w:rPr>
            <w:noProof/>
            <w:webHidden/>
          </w:rPr>
          <w:fldChar w:fldCharType="separate"/>
        </w:r>
        <w:r w:rsidR="00FD06AB">
          <w:rPr>
            <w:noProof/>
            <w:webHidden/>
          </w:rPr>
          <w:t>170</w:t>
        </w:r>
        <w:r>
          <w:rPr>
            <w:noProof/>
            <w:webHidden/>
          </w:rPr>
          <w:fldChar w:fldCharType="end"/>
        </w:r>
      </w:hyperlink>
    </w:p>
    <w:p w14:paraId="2B7E5B07" w14:textId="284FC79E" w:rsidR="003B042F" w:rsidRDefault="003B042F">
      <w:pPr>
        <w:pStyle w:val="TOC4"/>
        <w:rPr>
          <w:rFonts w:asciiTheme="minorHAnsi" w:eastAsiaTheme="minorEastAsia" w:hAnsiTheme="minorHAnsi"/>
          <w:noProof/>
          <w:sz w:val="22"/>
          <w:lang w:eastAsia="en-AU"/>
        </w:rPr>
      </w:pPr>
      <w:hyperlink w:anchor="_Toc175239207" w:history="1">
        <w:r w:rsidRPr="005871B3">
          <w:rPr>
            <w:rStyle w:val="Hyperlink"/>
            <w:noProof/>
          </w:rPr>
          <w:t>148.1—Sentencing conference</w:t>
        </w:r>
        <w:r>
          <w:rPr>
            <w:noProof/>
            <w:webHidden/>
          </w:rPr>
          <w:tab/>
        </w:r>
        <w:r>
          <w:rPr>
            <w:noProof/>
            <w:webHidden/>
          </w:rPr>
          <w:fldChar w:fldCharType="begin"/>
        </w:r>
        <w:r>
          <w:rPr>
            <w:noProof/>
            <w:webHidden/>
          </w:rPr>
          <w:instrText xml:space="preserve"> PAGEREF _Toc175239207 \h </w:instrText>
        </w:r>
        <w:r>
          <w:rPr>
            <w:noProof/>
            <w:webHidden/>
          </w:rPr>
        </w:r>
        <w:r>
          <w:rPr>
            <w:noProof/>
            <w:webHidden/>
          </w:rPr>
          <w:fldChar w:fldCharType="separate"/>
        </w:r>
        <w:r w:rsidR="00FD06AB">
          <w:rPr>
            <w:noProof/>
            <w:webHidden/>
          </w:rPr>
          <w:t>170</w:t>
        </w:r>
        <w:r>
          <w:rPr>
            <w:noProof/>
            <w:webHidden/>
          </w:rPr>
          <w:fldChar w:fldCharType="end"/>
        </w:r>
      </w:hyperlink>
    </w:p>
    <w:p w14:paraId="2976EFFD" w14:textId="655E4916" w:rsidR="003B042F" w:rsidRDefault="003B042F">
      <w:pPr>
        <w:pStyle w:val="TOC3"/>
        <w:rPr>
          <w:rFonts w:asciiTheme="minorHAnsi" w:eastAsiaTheme="minorEastAsia" w:hAnsiTheme="minorHAnsi"/>
          <w:b w:val="0"/>
          <w:noProof/>
          <w:sz w:val="22"/>
          <w:lang w:eastAsia="en-AU"/>
        </w:rPr>
      </w:pPr>
      <w:hyperlink w:anchor="_Toc175239208" w:history="1">
        <w:r w:rsidRPr="005871B3">
          <w:rPr>
            <w:rStyle w:val="Hyperlink"/>
            <w:noProof/>
          </w:rPr>
          <w:t>Division 8—Sentencing material</w:t>
        </w:r>
        <w:r>
          <w:rPr>
            <w:noProof/>
            <w:webHidden/>
          </w:rPr>
          <w:tab/>
        </w:r>
        <w:r>
          <w:rPr>
            <w:noProof/>
            <w:webHidden/>
          </w:rPr>
          <w:fldChar w:fldCharType="begin"/>
        </w:r>
        <w:r>
          <w:rPr>
            <w:noProof/>
            <w:webHidden/>
          </w:rPr>
          <w:instrText xml:space="preserve"> PAGEREF _Toc175239208 \h </w:instrText>
        </w:r>
        <w:r>
          <w:rPr>
            <w:noProof/>
            <w:webHidden/>
          </w:rPr>
        </w:r>
        <w:r>
          <w:rPr>
            <w:noProof/>
            <w:webHidden/>
          </w:rPr>
          <w:fldChar w:fldCharType="separate"/>
        </w:r>
        <w:r w:rsidR="00FD06AB">
          <w:rPr>
            <w:noProof/>
            <w:webHidden/>
          </w:rPr>
          <w:t>171</w:t>
        </w:r>
        <w:r>
          <w:rPr>
            <w:noProof/>
            <w:webHidden/>
          </w:rPr>
          <w:fldChar w:fldCharType="end"/>
        </w:r>
      </w:hyperlink>
    </w:p>
    <w:p w14:paraId="52E18B96" w14:textId="00ED0E1D" w:rsidR="003B042F" w:rsidRDefault="003B042F">
      <w:pPr>
        <w:pStyle w:val="TOC4"/>
        <w:rPr>
          <w:rFonts w:asciiTheme="minorHAnsi" w:eastAsiaTheme="minorEastAsia" w:hAnsiTheme="minorHAnsi"/>
          <w:noProof/>
          <w:sz w:val="22"/>
          <w:lang w:eastAsia="en-AU"/>
        </w:rPr>
      </w:pPr>
      <w:hyperlink w:anchor="_Toc175239209" w:history="1">
        <w:r w:rsidRPr="005871B3">
          <w:rPr>
            <w:rStyle w:val="Hyperlink"/>
            <w:noProof/>
          </w:rPr>
          <w:t>148.1A—Sentencing material filed</w:t>
        </w:r>
        <w:r>
          <w:rPr>
            <w:noProof/>
            <w:webHidden/>
          </w:rPr>
          <w:tab/>
        </w:r>
        <w:r>
          <w:rPr>
            <w:noProof/>
            <w:webHidden/>
          </w:rPr>
          <w:fldChar w:fldCharType="begin"/>
        </w:r>
        <w:r>
          <w:rPr>
            <w:noProof/>
            <w:webHidden/>
          </w:rPr>
          <w:instrText xml:space="preserve"> PAGEREF _Toc175239209 \h </w:instrText>
        </w:r>
        <w:r>
          <w:rPr>
            <w:noProof/>
            <w:webHidden/>
          </w:rPr>
        </w:r>
        <w:r>
          <w:rPr>
            <w:noProof/>
            <w:webHidden/>
          </w:rPr>
          <w:fldChar w:fldCharType="separate"/>
        </w:r>
        <w:r w:rsidR="00FD06AB">
          <w:rPr>
            <w:noProof/>
            <w:webHidden/>
          </w:rPr>
          <w:t>171</w:t>
        </w:r>
        <w:r>
          <w:rPr>
            <w:noProof/>
            <w:webHidden/>
          </w:rPr>
          <w:fldChar w:fldCharType="end"/>
        </w:r>
      </w:hyperlink>
    </w:p>
    <w:p w14:paraId="31B4C8B1" w14:textId="2703E432"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10" w:history="1">
        <w:r w:rsidRPr="005871B3">
          <w:rPr>
            <w:rStyle w:val="Hyperlink"/>
            <w:noProof/>
          </w:rPr>
          <w:t>Part 3—Diversion: Magistrates and Youth Courts</w:t>
        </w:r>
        <w:r>
          <w:rPr>
            <w:noProof/>
            <w:webHidden/>
          </w:rPr>
          <w:tab/>
        </w:r>
        <w:r>
          <w:rPr>
            <w:noProof/>
            <w:webHidden/>
          </w:rPr>
          <w:fldChar w:fldCharType="begin"/>
        </w:r>
        <w:r>
          <w:rPr>
            <w:noProof/>
            <w:webHidden/>
          </w:rPr>
          <w:instrText xml:space="preserve"> PAGEREF _Toc175239210 \h </w:instrText>
        </w:r>
        <w:r>
          <w:rPr>
            <w:noProof/>
            <w:webHidden/>
          </w:rPr>
        </w:r>
        <w:r>
          <w:rPr>
            <w:noProof/>
            <w:webHidden/>
          </w:rPr>
          <w:fldChar w:fldCharType="separate"/>
        </w:r>
        <w:r w:rsidR="00FD06AB">
          <w:rPr>
            <w:noProof/>
            <w:webHidden/>
          </w:rPr>
          <w:t>171</w:t>
        </w:r>
        <w:r>
          <w:rPr>
            <w:noProof/>
            <w:webHidden/>
          </w:rPr>
          <w:fldChar w:fldCharType="end"/>
        </w:r>
      </w:hyperlink>
    </w:p>
    <w:p w14:paraId="7F8407E9" w14:textId="12BC514B" w:rsidR="003B042F" w:rsidRDefault="003B042F">
      <w:pPr>
        <w:pStyle w:val="TOC3"/>
        <w:rPr>
          <w:rFonts w:asciiTheme="minorHAnsi" w:eastAsiaTheme="minorEastAsia" w:hAnsiTheme="minorHAnsi"/>
          <w:b w:val="0"/>
          <w:noProof/>
          <w:sz w:val="22"/>
          <w:lang w:eastAsia="en-AU"/>
        </w:rPr>
      </w:pPr>
      <w:hyperlink w:anchor="_Toc175239211" w:history="1">
        <w:r w:rsidRPr="005871B3">
          <w:rPr>
            <w:rStyle w:val="Hyperlink"/>
            <w:noProof/>
          </w:rPr>
          <w:t>Division 1—Finalising diversion</w:t>
        </w:r>
        <w:r>
          <w:rPr>
            <w:noProof/>
            <w:webHidden/>
          </w:rPr>
          <w:tab/>
        </w:r>
        <w:r>
          <w:rPr>
            <w:noProof/>
            <w:webHidden/>
          </w:rPr>
          <w:fldChar w:fldCharType="begin"/>
        </w:r>
        <w:r>
          <w:rPr>
            <w:noProof/>
            <w:webHidden/>
          </w:rPr>
          <w:instrText xml:space="preserve"> PAGEREF _Toc175239211 \h </w:instrText>
        </w:r>
        <w:r>
          <w:rPr>
            <w:noProof/>
            <w:webHidden/>
          </w:rPr>
        </w:r>
        <w:r>
          <w:rPr>
            <w:noProof/>
            <w:webHidden/>
          </w:rPr>
          <w:fldChar w:fldCharType="separate"/>
        </w:r>
        <w:r w:rsidR="00FD06AB">
          <w:rPr>
            <w:noProof/>
            <w:webHidden/>
          </w:rPr>
          <w:t>171</w:t>
        </w:r>
        <w:r>
          <w:rPr>
            <w:noProof/>
            <w:webHidden/>
          </w:rPr>
          <w:fldChar w:fldCharType="end"/>
        </w:r>
      </w:hyperlink>
    </w:p>
    <w:p w14:paraId="07307F24" w14:textId="300052E7" w:rsidR="003B042F" w:rsidRDefault="003B042F">
      <w:pPr>
        <w:pStyle w:val="TOC4"/>
        <w:rPr>
          <w:rFonts w:asciiTheme="minorHAnsi" w:eastAsiaTheme="minorEastAsia" w:hAnsiTheme="minorHAnsi"/>
          <w:noProof/>
          <w:sz w:val="22"/>
          <w:lang w:eastAsia="en-AU"/>
        </w:rPr>
      </w:pPr>
      <w:hyperlink w:anchor="_Toc175239212" w:history="1">
        <w:r w:rsidRPr="005871B3">
          <w:rPr>
            <w:rStyle w:val="Hyperlink"/>
            <w:noProof/>
          </w:rPr>
          <w:t>149.1—Diversion to family conference or police officer: Youth Court</w:t>
        </w:r>
        <w:r>
          <w:rPr>
            <w:noProof/>
            <w:webHidden/>
          </w:rPr>
          <w:tab/>
        </w:r>
        <w:r>
          <w:rPr>
            <w:noProof/>
            <w:webHidden/>
          </w:rPr>
          <w:fldChar w:fldCharType="begin"/>
        </w:r>
        <w:r>
          <w:rPr>
            <w:noProof/>
            <w:webHidden/>
          </w:rPr>
          <w:instrText xml:space="preserve"> PAGEREF _Toc175239212 \h </w:instrText>
        </w:r>
        <w:r>
          <w:rPr>
            <w:noProof/>
            <w:webHidden/>
          </w:rPr>
        </w:r>
        <w:r>
          <w:rPr>
            <w:noProof/>
            <w:webHidden/>
          </w:rPr>
          <w:fldChar w:fldCharType="separate"/>
        </w:r>
        <w:r w:rsidR="00FD06AB">
          <w:rPr>
            <w:noProof/>
            <w:webHidden/>
          </w:rPr>
          <w:t>171</w:t>
        </w:r>
        <w:r>
          <w:rPr>
            <w:noProof/>
            <w:webHidden/>
          </w:rPr>
          <w:fldChar w:fldCharType="end"/>
        </w:r>
      </w:hyperlink>
    </w:p>
    <w:p w14:paraId="6A8A478A" w14:textId="1F897BEC" w:rsidR="003B042F" w:rsidRDefault="003B042F">
      <w:pPr>
        <w:pStyle w:val="TOC3"/>
        <w:rPr>
          <w:rFonts w:asciiTheme="minorHAnsi" w:eastAsiaTheme="minorEastAsia" w:hAnsiTheme="minorHAnsi"/>
          <w:b w:val="0"/>
          <w:noProof/>
          <w:sz w:val="22"/>
          <w:lang w:eastAsia="en-AU"/>
        </w:rPr>
      </w:pPr>
      <w:hyperlink w:anchor="_Toc175239213" w:history="1">
        <w:r w:rsidRPr="005871B3">
          <w:rPr>
            <w:rStyle w:val="Hyperlink"/>
            <w:noProof/>
          </w:rPr>
          <w:t>Division 2—Sentencing diversion</w:t>
        </w:r>
        <w:r>
          <w:rPr>
            <w:noProof/>
            <w:webHidden/>
          </w:rPr>
          <w:tab/>
        </w:r>
        <w:r>
          <w:rPr>
            <w:noProof/>
            <w:webHidden/>
          </w:rPr>
          <w:fldChar w:fldCharType="begin"/>
        </w:r>
        <w:r>
          <w:rPr>
            <w:noProof/>
            <w:webHidden/>
          </w:rPr>
          <w:instrText xml:space="preserve"> PAGEREF _Toc175239213 \h </w:instrText>
        </w:r>
        <w:r>
          <w:rPr>
            <w:noProof/>
            <w:webHidden/>
          </w:rPr>
        </w:r>
        <w:r>
          <w:rPr>
            <w:noProof/>
            <w:webHidden/>
          </w:rPr>
          <w:fldChar w:fldCharType="separate"/>
        </w:r>
        <w:r w:rsidR="00FD06AB">
          <w:rPr>
            <w:noProof/>
            <w:webHidden/>
          </w:rPr>
          <w:t>171</w:t>
        </w:r>
        <w:r>
          <w:rPr>
            <w:noProof/>
            <w:webHidden/>
          </w:rPr>
          <w:fldChar w:fldCharType="end"/>
        </w:r>
      </w:hyperlink>
    </w:p>
    <w:p w14:paraId="55E77391" w14:textId="271C3A6B" w:rsidR="003B042F" w:rsidRDefault="003B042F">
      <w:pPr>
        <w:pStyle w:val="TOC4"/>
        <w:rPr>
          <w:rFonts w:asciiTheme="minorHAnsi" w:eastAsiaTheme="minorEastAsia" w:hAnsiTheme="minorHAnsi"/>
          <w:noProof/>
          <w:sz w:val="22"/>
          <w:lang w:eastAsia="en-AU"/>
        </w:rPr>
      </w:pPr>
      <w:hyperlink w:anchor="_Toc175239214" w:history="1">
        <w:r w:rsidRPr="005871B3">
          <w:rPr>
            <w:rStyle w:val="Hyperlink"/>
            <w:noProof/>
          </w:rPr>
          <w:t>150.1—General</w:t>
        </w:r>
        <w:r>
          <w:rPr>
            <w:noProof/>
            <w:webHidden/>
          </w:rPr>
          <w:tab/>
        </w:r>
        <w:r>
          <w:rPr>
            <w:noProof/>
            <w:webHidden/>
          </w:rPr>
          <w:fldChar w:fldCharType="begin"/>
        </w:r>
        <w:r>
          <w:rPr>
            <w:noProof/>
            <w:webHidden/>
          </w:rPr>
          <w:instrText xml:space="preserve"> PAGEREF _Toc175239214 \h </w:instrText>
        </w:r>
        <w:r>
          <w:rPr>
            <w:noProof/>
            <w:webHidden/>
          </w:rPr>
        </w:r>
        <w:r>
          <w:rPr>
            <w:noProof/>
            <w:webHidden/>
          </w:rPr>
          <w:fldChar w:fldCharType="separate"/>
        </w:r>
        <w:r w:rsidR="00FD06AB">
          <w:rPr>
            <w:noProof/>
            <w:webHidden/>
          </w:rPr>
          <w:t>171</w:t>
        </w:r>
        <w:r>
          <w:rPr>
            <w:noProof/>
            <w:webHidden/>
          </w:rPr>
          <w:fldChar w:fldCharType="end"/>
        </w:r>
      </w:hyperlink>
    </w:p>
    <w:p w14:paraId="2B4953E0" w14:textId="0E1713D9" w:rsidR="003B042F" w:rsidRDefault="003B042F">
      <w:pPr>
        <w:pStyle w:val="TOC4"/>
        <w:rPr>
          <w:rFonts w:asciiTheme="minorHAnsi" w:eastAsiaTheme="minorEastAsia" w:hAnsiTheme="minorHAnsi"/>
          <w:noProof/>
          <w:sz w:val="22"/>
          <w:lang w:eastAsia="en-AU"/>
        </w:rPr>
      </w:pPr>
      <w:hyperlink w:anchor="_Toc175239215" w:history="1">
        <w:r w:rsidRPr="005871B3">
          <w:rPr>
            <w:rStyle w:val="Hyperlink"/>
            <w:noProof/>
          </w:rPr>
          <w:t>150.2—Treatment Intervention Court</w:t>
        </w:r>
        <w:r>
          <w:rPr>
            <w:noProof/>
            <w:webHidden/>
          </w:rPr>
          <w:tab/>
        </w:r>
        <w:r>
          <w:rPr>
            <w:noProof/>
            <w:webHidden/>
          </w:rPr>
          <w:fldChar w:fldCharType="begin"/>
        </w:r>
        <w:r>
          <w:rPr>
            <w:noProof/>
            <w:webHidden/>
          </w:rPr>
          <w:instrText xml:space="preserve"> PAGEREF _Toc175239215 \h </w:instrText>
        </w:r>
        <w:r>
          <w:rPr>
            <w:noProof/>
            <w:webHidden/>
          </w:rPr>
        </w:r>
        <w:r>
          <w:rPr>
            <w:noProof/>
            <w:webHidden/>
          </w:rPr>
          <w:fldChar w:fldCharType="separate"/>
        </w:r>
        <w:r w:rsidR="00FD06AB">
          <w:rPr>
            <w:noProof/>
            <w:webHidden/>
          </w:rPr>
          <w:t>171</w:t>
        </w:r>
        <w:r>
          <w:rPr>
            <w:noProof/>
            <w:webHidden/>
          </w:rPr>
          <w:fldChar w:fldCharType="end"/>
        </w:r>
      </w:hyperlink>
    </w:p>
    <w:p w14:paraId="372375D1" w14:textId="76CCF8F0" w:rsidR="003B042F" w:rsidRDefault="003B042F">
      <w:pPr>
        <w:pStyle w:val="TOC4"/>
        <w:rPr>
          <w:rFonts w:asciiTheme="minorHAnsi" w:eastAsiaTheme="minorEastAsia" w:hAnsiTheme="minorHAnsi"/>
          <w:noProof/>
          <w:sz w:val="22"/>
          <w:lang w:eastAsia="en-AU"/>
        </w:rPr>
      </w:pPr>
      <w:hyperlink w:anchor="_Toc175239216" w:history="1">
        <w:r w:rsidRPr="005871B3">
          <w:rPr>
            <w:rStyle w:val="Hyperlink"/>
            <w:noProof/>
          </w:rPr>
          <w:t>150.3—Family Violence Court: Magistrates Court</w:t>
        </w:r>
        <w:r>
          <w:rPr>
            <w:noProof/>
            <w:webHidden/>
          </w:rPr>
          <w:tab/>
        </w:r>
        <w:r>
          <w:rPr>
            <w:noProof/>
            <w:webHidden/>
          </w:rPr>
          <w:fldChar w:fldCharType="begin"/>
        </w:r>
        <w:r>
          <w:rPr>
            <w:noProof/>
            <w:webHidden/>
          </w:rPr>
          <w:instrText xml:space="preserve"> PAGEREF _Toc175239216 \h </w:instrText>
        </w:r>
        <w:r>
          <w:rPr>
            <w:noProof/>
            <w:webHidden/>
          </w:rPr>
        </w:r>
        <w:r>
          <w:rPr>
            <w:noProof/>
            <w:webHidden/>
          </w:rPr>
          <w:fldChar w:fldCharType="separate"/>
        </w:r>
        <w:r w:rsidR="00FD06AB">
          <w:rPr>
            <w:noProof/>
            <w:webHidden/>
          </w:rPr>
          <w:t>172</w:t>
        </w:r>
        <w:r>
          <w:rPr>
            <w:noProof/>
            <w:webHidden/>
          </w:rPr>
          <w:fldChar w:fldCharType="end"/>
        </w:r>
      </w:hyperlink>
    </w:p>
    <w:p w14:paraId="666BAAAA" w14:textId="63190B3A" w:rsidR="003B042F" w:rsidRDefault="003B042F">
      <w:pPr>
        <w:pStyle w:val="TOC4"/>
        <w:rPr>
          <w:rFonts w:asciiTheme="minorHAnsi" w:eastAsiaTheme="minorEastAsia" w:hAnsiTheme="minorHAnsi"/>
          <w:noProof/>
          <w:sz w:val="22"/>
          <w:lang w:eastAsia="en-AU"/>
        </w:rPr>
      </w:pPr>
      <w:hyperlink w:anchor="_Toc175239217" w:history="1">
        <w:r w:rsidRPr="005871B3">
          <w:rPr>
            <w:rStyle w:val="Hyperlink"/>
            <w:noProof/>
          </w:rPr>
          <w:t>150.4—Aboriginal Community Court: Magistrates Court</w:t>
        </w:r>
        <w:r>
          <w:rPr>
            <w:noProof/>
            <w:webHidden/>
          </w:rPr>
          <w:tab/>
        </w:r>
        <w:r>
          <w:rPr>
            <w:noProof/>
            <w:webHidden/>
          </w:rPr>
          <w:fldChar w:fldCharType="begin"/>
        </w:r>
        <w:r>
          <w:rPr>
            <w:noProof/>
            <w:webHidden/>
          </w:rPr>
          <w:instrText xml:space="preserve"> PAGEREF _Toc175239217 \h </w:instrText>
        </w:r>
        <w:r>
          <w:rPr>
            <w:noProof/>
            <w:webHidden/>
          </w:rPr>
        </w:r>
        <w:r>
          <w:rPr>
            <w:noProof/>
            <w:webHidden/>
          </w:rPr>
          <w:fldChar w:fldCharType="separate"/>
        </w:r>
        <w:r w:rsidR="00FD06AB">
          <w:rPr>
            <w:noProof/>
            <w:webHidden/>
          </w:rPr>
          <w:t>172</w:t>
        </w:r>
        <w:r>
          <w:rPr>
            <w:noProof/>
            <w:webHidden/>
          </w:rPr>
          <w:fldChar w:fldCharType="end"/>
        </w:r>
      </w:hyperlink>
    </w:p>
    <w:p w14:paraId="4B7F307F" w14:textId="276C889E" w:rsidR="003B042F" w:rsidRDefault="003B042F">
      <w:pPr>
        <w:pStyle w:val="TOC4"/>
        <w:rPr>
          <w:rFonts w:asciiTheme="minorHAnsi" w:eastAsiaTheme="minorEastAsia" w:hAnsiTheme="minorHAnsi"/>
          <w:noProof/>
          <w:sz w:val="22"/>
          <w:lang w:eastAsia="en-AU"/>
        </w:rPr>
      </w:pPr>
      <w:hyperlink w:anchor="_Toc175239218" w:history="1">
        <w:r w:rsidRPr="005871B3">
          <w:rPr>
            <w:rStyle w:val="Hyperlink"/>
            <w:noProof/>
          </w:rPr>
          <w:t>150.5—Aboriginal Youth Sentencing Court: Youth Court</w:t>
        </w:r>
        <w:r>
          <w:rPr>
            <w:noProof/>
            <w:webHidden/>
          </w:rPr>
          <w:tab/>
        </w:r>
        <w:r>
          <w:rPr>
            <w:noProof/>
            <w:webHidden/>
          </w:rPr>
          <w:fldChar w:fldCharType="begin"/>
        </w:r>
        <w:r>
          <w:rPr>
            <w:noProof/>
            <w:webHidden/>
          </w:rPr>
          <w:instrText xml:space="preserve"> PAGEREF _Toc175239218 \h </w:instrText>
        </w:r>
        <w:r>
          <w:rPr>
            <w:noProof/>
            <w:webHidden/>
          </w:rPr>
        </w:r>
        <w:r>
          <w:rPr>
            <w:noProof/>
            <w:webHidden/>
          </w:rPr>
          <w:fldChar w:fldCharType="separate"/>
        </w:r>
        <w:r w:rsidR="00FD06AB">
          <w:rPr>
            <w:noProof/>
            <w:webHidden/>
          </w:rPr>
          <w:t>172</w:t>
        </w:r>
        <w:r>
          <w:rPr>
            <w:noProof/>
            <w:webHidden/>
          </w:rPr>
          <w:fldChar w:fldCharType="end"/>
        </w:r>
      </w:hyperlink>
    </w:p>
    <w:p w14:paraId="697451D3" w14:textId="6CF8CBE0" w:rsidR="003B042F" w:rsidRDefault="003B042F">
      <w:pPr>
        <w:pStyle w:val="TOC4"/>
        <w:rPr>
          <w:rFonts w:asciiTheme="minorHAnsi" w:eastAsiaTheme="minorEastAsia" w:hAnsiTheme="minorHAnsi"/>
          <w:noProof/>
          <w:sz w:val="22"/>
          <w:lang w:eastAsia="en-AU"/>
        </w:rPr>
      </w:pPr>
      <w:hyperlink w:anchor="_Toc175239219" w:history="1">
        <w:r w:rsidRPr="005871B3">
          <w:rPr>
            <w:rStyle w:val="Hyperlink"/>
            <w:noProof/>
          </w:rPr>
          <w:t>150.6—Nunga Court</w:t>
        </w:r>
        <w:r>
          <w:rPr>
            <w:noProof/>
            <w:webHidden/>
          </w:rPr>
          <w:tab/>
        </w:r>
        <w:r>
          <w:rPr>
            <w:noProof/>
            <w:webHidden/>
          </w:rPr>
          <w:fldChar w:fldCharType="begin"/>
        </w:r>
        <w:r>
          <w:rPr>
            <w:noProof/>
            <w:webHidden/>
          </w:rPr>
          <w:instrText xml:space="preserve"> PAGEREF _Toc175239219 \h </w:instrText>
        </w:r>
        <w:r>
          <w:rPr>
            <w:noProof/>
            <w:webHidden/>
          </w:rPr>
        </w:r>
        <w:r>
          <w:rPr>
            <w:noProof/>
            <w:webHidden/>
          </w:rPr>
          <w:fldChar w:fldCharType="separate"/>
        </w:r>
        <w:r w:rsidR="00FD06AB">
          <w:rPr>
            <w:noProof/>
            <w:webHidden/>
          </w:rPr>
          <w:t>173</w:t>
        </w:r>
        <w:r>
          <w:rPr>
            <w:noProof/>
            <w:webHidden/>
          </w:rPr>
          <w:fldChar w:fldCharType="end"/>
        </w:r>
      </w:hyperlink>
    </w:p>
    <w:p w14:paraId="2E73F5C1" w14:textId="175CA8FF"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20" w:history="1">
        <w:r w:rsidRPr="005871B3">
          <w:rPr>
            <w:rStyle w:val="Hyperlink"/>
            <w:noProof/>
          </w:rPr>
          <w:t>Part 4—Sentencing orders</w:t>
        </w:r>
        <w:r>
          <w:rPr>
            <w:noProof/>
            <w:webHidden/>
          </w:rPr>
          <w:tab/>
        </w:r>
        <w:r>
          <w:rPr>
            <w:noProof/>
            <w:webHidden/>
          </w:rPr>
          <w:fldChar w:fldCharType="begin"/>
        </w:r>
        <w:r>
          <w:rPr>
            <w:noProof/>
            <w:webHidden/>
          </w:rPr>
          <w:instrText xml:space="preserve"> PAGEREF _Toc175239220 \h </w:instrText>
        </w:r>
        <w:r>
          <w:rPr>
            <w:noProof/>
            <w:webHidden/>
          </w:rPr>
        </w:r>
        <w:r>
          <w:rPr>
            <w:noProof/>
            <w:webHidden/>
          </w:rPr>
          <w:fldChar w:fldCharType="separate"/>
        </w:r>
        <w:r w:rsidR="00FD06AB">
          <w:rPr>
            <w:noProof/>
            <w:webHidden/>
          </w:rPr>
          <w:t>173</w:t>
        </w:r>
        <w:r>
          <w:rPr>
            <w:noProof/>
            <w:webHidden/>
          </w:rPr>
          <w:fldChar w:fldCharType="end"/>
        </w:r>
      </w:hyperlink>
    </w:p>
    <w:p w14:paraId="31A7A862" w14:textId="22593C9E" w:rsidR="003B042F" w:rsidRDefault="003B042F">
      <w:pPr>
        <w:pStyle w:val="TOC3"/>
        <w:rPr>
          <w:rFonts w:asciiTheme="minorHAnsi" w:eastAsiaTheme="minorEastAsia" w:hAnsiTheme="minorHAnsi"/>
          <w:b w:val="0"/>
          <w:noProof/>
          <w:sz w:val="22"/>
          <w:lang w:eastAsia="en-AU"/>
        </w:rPr>
      </w:pPr>
      <w:hyperlink w:anchor="_Toc175239221" w:history="1">
        <w:r w:rsidRPr="005871B3">
          <w:rPr>
            <w:rStyle w:val="Hyperlink"/>
            <w:noProof/>
          </w:rPr>
          <w:t>Division 1—Orders</w:t>
        </w:r>
        <w:r>
          <w:rPr>
            <w:noProof/>
            <w:webHidden/>
          </w:rPr>
          <w:tab/>
        </w:r>
        <w:r>
          <w:rPr>
            <w:noProof/>
            <w:webHidden/>
          </w:rPr>
          <w:fldChar w:fldCharType="begin"/>
        </w:r>
        <w:r>
          <w:rPr>
            <w:noProof/>
            <w:webHidden/>
          </w:rPr>
          <w:instrText xml:space="preserve"> PAGEREF _Toc175239221 \h </w:instrText>
        </w:r>
        <w:r>
          <w:rPr>
            <w:noProof/>
            <w:webHidden/>
          </w:rPr>
        </w:r>
        <w:r>
          <w:rPr>
            <w:noProof/>
            <w:webHidden/>
          </w:rPr>
          <w:fldChar w:fldCharType="separate"/>
        </w:r>
        <w:r w:rsidR="00FD06AB">
          <w:rPr>
            <w:noProof/>
            <w:webHidden/>
          </w:rPr>
          <w:t>173</w:t>
        </w:r>
        <w:r>
          <w:rPr>
            <w:noProof/>
            <w:webHidden/>
          </w:rPr>
          <w:fldChar w:fldCharType="end"/>
        </w:r>
      </w:hyperlink>
    </w:p>
    <w:p w14:paraId="07F38515" w14:textId="7AD640FC" w:rsidR="003B042F" w:rsidRDefault="003B042F">
      <w:pPr>
        <w:pStyle w:val="TOC4"/>
        <w:rPr>
          <w:rFonts w:asciiTheme="minorHAnsi" w:eastAsiaTheme="minorEastAsia" w:hAnsiTheme="minorHAnsi"/>
          <w:noProof/>
          <w:sz w:val="22"/>
          <w:lang w:eastAsia="en-AU"/>
        </w:rPr>
      </w:pPr>
      <w:hyperlink w:anchor="_Toc175239222" w:history="1">
        <w:r w:rsidRPr="005871B3">
          <w:rPr>
            <w:rStyle w:val="Hyperlink"/>
            <w:noProof/>
          </w:rPr>
          <w:t>151.1—Record of Outcome</w:t>
        </w:r>
        <w:r>
          <w:rPr>
            <w:noProof/>
            <w:webHidden/>
          </w:rPr>
          <w:tab/>
        </w:r>
        <w:r>
          <w:rPr>
            <w:noProof/>
            <w:webHidden/>
          </w:rPr>
          <w:fldChar w:fldCharType="begin"/>
        </w:r>
        <w:r>
          <w:rPr>
            <w:noProof/>
            <w:webHidden/>
          </w:rPr>
          <w:instrText xml:space="preserve"> PAGEREF _Toc175239222 \h </w:instrText>
        </w:r>
        <w:r>
          <w:rPr>
            <w:noProof/>
            <w:webHidden/>
          </w:rPr>
        </w:r>
        <w:r>
          <w:rPr>
            <w:noProof/>
            <w:webHidden/>
          </w:rPr>
          <w:fldChar w:fldCharType="separate"/>
        </w:r>
        <w:r w:rsidR="00FD06AB">
          <w:rPr>
            <w:noProof/>
            <w:webHidden/>
          </w:rPr>
          <w:t>173</w:t>
        </w:r>
        <w:r>
          <w:rPr>
            <w:noProof/>
            <w:webHidden/>
          </w:rPr>
          <w:fldChar w:fldCharType="end"/>
        </w:r>
      </w:hyperlink>
    </w:p>
    <w:p w14:paraId="24452310" w14:textId="62B76915" w:rsidR="003B042F" w:rsidRDefault="003B042F">
      <w:pPr>
        <w:pStyle w:val="TOC3"/>
        <w:rPr>
          <w:rFonts w:asciiTheme="minorHAnsi" w:eastAsiaTheme="minorEastAsia" w:hAnsiTheme="minorHAnsi"/>
          <w:b w:val="0"/>
          <w:noProof/>
          <w:sz w:val="22"/>
          <w:lang w:eastAsia="en-AU"/>
        </w:rPr>
      </w:pPr>
      <w:hyperlink w:anchor="_Toc175239223" w:history="1">
        <w:r w:rsidRPr="005871B3">
          <w:rPr>
            <w:rStyle w:val="Hyperlink"/>
            <w:noProof/>
          </w:rPr>
          <w:t>Division 2—Community based custodial sentences, obligations, recognizances and licences</w:t>
        </w:r>
        <w:r>
          <w:rPr>
            <w:noProof/>
            <w:webHidden/>
          </w:rPr>
          <w:tab/>
        </w:r>
        <w:r>
          <w:rPr>
            <w:noProof/>
            <w:webHidden/>
          </w:rPr>
          <w:fldChar w:fldCharType="begin"/>
        </w:r>
        <w:r>
          <w:rPr>
            <w:noProof/>
            <w:webHidden/>
          </w:rPr>
          <w:instrText xml:space="preserve"> PAGEREF _Toc175239223 \h </w:instrText>
        </w:r>
        <w:r>
          <w:rPr>
            <w:noProof/>
            <w:webHidden/>
          </w:rPr>
        </w:r>
        <w:r>
          <w:rPr>
            <w:noProof/>
            <w:webHidden/>
          </w:rPr>
          <w:fldChar w:fldCharType="separate"/>
        </w:r>
        <w:r w:rsidR="00FD06AB">
          <w:rPr>
            <w:noProof/>
            <w:webHidden/>
          </w:rPr>
          <w:t>173</w:t>
        </w:r>
        <w:r>
          <w:rPr>
            <w:noProof/>
            <w:webHidden/>
          </w:rPr>
          <w:fldChar w:fldCharType="end"/>
        </w:r>
      </w:hyperlink>
    </w:p>
    <w:p w14:paraId="0B5EEBA4" w14:textId="1373E891" w:rsidR="003B042F" w:rsidRDefault="003B042F">
      <w:pPr>
        <w:pStyle w:val="TOC4"/>
        <w:rPr>
          <w:rFonts w:asciiTheme="minorHAnsi" w:eastAsiaTheme="minorEastAsia" w:hAnsiTheme="minorHAnsi"/>
          <w:noProof/>
          <w:sz w:val="22"/>
          <w:lang w:eastAsia="en-AU"/>
        </w:rPr>
      </w:pPr>
      <w:hyperlink w:anchor="_Toc175239224" w:history="1">
        <w:r w:rsidRPr="005871B3">
          <w:rPr>
            <w:rStyle w:val="Hyperlink"/>
            <w:noProof/>
          </w:rPr>
          <w:t>152.1—Community based custodial sentences</w:t>
        </w:r>
        <w:r>
          <w:rPr>
            <w:noProof/>
            <w:webHidden/>
          </w:rPr>
          <w:tab/>
        </w:r>
        <w:r>
          <w:rPr>
            <w:noProof/>
            <w:webHidden/>
          </w:rPr>
          <w:fldChar w:fldCharType="begin"/>
        </w:r>
        <w:r>
          <w:rPr>
            <w:noProof/>
            <w:webHidden/>
          </w:rPr>
          <w:instrText xml:space="preserve"> PAGEREF _Toc175239224 \h </w:instrText>
        </w:r>
        <w:r>
          <w:rPr>
            <w:noProof/>
            <w:webHidden/>
          </w:rPr>
        </w:r>
        <w:r>
          <w:rPr>
            <w:noProof/>
            <w:webHidden/>
          </w:rPr>
          <w:fldChar w:fldCharType="separate"/>
        </w:r>
        <w:r w:rsidR="00FD06AB">
          <w:rPr>
            <w:noProof/>
            <w:webHidden/>
          </w:rPr>
          <w:t>173</w:t>
        </w:r>
        <w:r>
          <w:rPr>
            <w:noProof/>
            <w:webHidden/>
          </w:rPr>
          <w:fldChar w:fldCharType="end"/>
        </w:r>
      </w:hyperlink>
    </w:p>
    <w:p w14:paraId="5382A95A" w14:textId="05E688AD" w:rsidR="003B042F" w:rsidRDefault="003B042F">
      <w:pPr>
        <w:pStyle w:val="TOC4"/>
        <w:rPr>
          <w:rFonts w:asciiTheme="minorHAnsi" w:eastAsiaTheme="minorEastAsia" w:hAnsiTheme="minorHAnsi"/>
          <w:noProof/>
          <w:sz w:val="22"/>
          <w:lang w:eastAsia="en-AU"/>
        </w:rPr>
      </w:pPr>
      <w:hyperlink w:anchor="_Toc175239225" w:history="1">
        <w:r w:rsidRPr="005871B3">
          <w:rPr>
            <w:rStyle w:val="Hyperlink"/>
            <w:noProof/>
          </w:rPr>
          <w:t>152.2—Obligations: Youth Court</w:t>
        </w:r>
        <w:r>
          <w:rPr>
            <w:noProof/>
            <w:webHidden/>
          </w:rPr>
          <w:tab/>
        </w:r>
        <w:r>
          <w:rPr>
            <w:noProof/>
            <w:webHidden/>
          </w:rPr>
          <w:fldChar w:fldCharType="begin"/>
        </w:r>
        <w:r>
          <w:rPr>
            <w:noProof/>
            <w:webHidden/>
          </w:rPr>
          <w:instrText xml:space="preserve"> PAGEREF _Toc175239225 \h </w:instrText>
        </w:r>
        <w:r>
          <w:rPr>
            <w:noProof/>
            <w:webHidden/>
          </w:rPr>
        </w:r>
        <w:r>
          <w:rPr>
            <w:noProof/>
            <w:webHidden/>
          </w:rPr>
          <w:fldChar w:fldCharType="separate"/>
        </w:r>
        <w:r w:rsidR="00FD06AB">
          <w:rPr>
            <w:noProof/>
            <w:webHidden/>
          </w:rPr>
          <w:t>173</w:t>
        </w:r>
        <w:r>
          <w:rPr>
            <w:noProof/>
            <w:webHidden/>
          </w:rPr>
          <w:fldChar w:fldCharType="end"/>
        </w:r>
      </w:hyperlink>
    </w:p>
    <w:p w14:paraId="56A7B311" w14:textId="00DCC33C" w:rsidR="003B042F" w:rsidRDefault="003B042F">
      <w:pPr>
        <w:pStyle w:val="TOC4"/>
        <w:rPr>
          <w:rFonts w:asciiTheme="minorHAnsi" w:eastAsiaTheme="minorEastAsia" w:hAnsiTheme="minorHAnsi"/>
          <w:noProof/>
          <w:sz w:val="22"/>
          <w:lang w:eastAsia="en-AU"/>
        </w:rPr>
      </w:pPr>
      <w:hyperlink w:anchor="_Toc175239226" w:history="1">
        <w:r w:rsidRPr="005871B3">
          <w:rPr>
            <w:rStyle w:val="Hyperlink"/>
            <w:noProof/>
          </w:rPr>
          <w:t>152.3—Recognizances: All Courts except Youth Court</w:t>
        </w:r>
        <w:r>
          <w:rPr>
            <w:noProof/>
            <w:webHidden/>
          </w:rPr>
          <w:tab/>
        </w:r>
        <w:r>
          <w:rPr>
            <w:noProof/>
            <w:webHidden/>
          </w:rPr>
          <w:fldChar w:fldCharType="begin"/>
        </w:r>
        <w:r>
          <w:rPr>
            <w:noProof/>
            <w:webHidden/>
          </w:rPr>
          <w:instrText xml:space="preserve"> PAGEREF _Toc175239226 \h </w:instrText>
        </w:r>
        <w:r>
          <w:rPr>
            <w:noProof/>
            <w:webHidden/>
          </w:rPr>
        </w:r>
        <w:r>
          <w:rPr>
            <w:noProof/>
            <w:webHidden/>
          </w:rPr>
          <w:fldChar w:fldCharType="separate"/>
        </w:r>
        <w:r w:rsidR="00FD06AB">
          <w:rPr>
            <w:noProof/>
            <w:webHidden/>
          </w:rPr>
          <w:t>174</w:t>
        </w:r>
        <w:r>
          <w:rPr>
            <w:noProof/>
            <w:webHidden/>
          </w:rPr>
          <w:fldChar w:fldCharType="end"/>
        </w:r>
      </w:hyperlink>
    </w:p>
    <w:p w14:paraId="7A8D770D" w14:textId="4DBC176F" w:rsidR="003B042F" w:rsidRDefault="003B042F">
      <w:pPr>
        <w:pStyle w:val="TOC4"/>
        <w:rPr>
          <w:rFonts w:asciiTheme="minorHAnsi" w:eastAsiaTheme="minorEastAsia" w:hAnsiTheme="minorHAnsi"/>
          <w:noProof/>
          <w:sz w:val="22"/>
          <w:lang w:eastAsia="en-AU"/>
        </w:rPr>
      </w:pPr>
      <w:hyperlink w:anchor="_Toc175239227" w:history="1">
        <w:r w:rsidRPr="005871B3">
          <w:rPr>
            <w:rStyle w:val="Hyperlink"/>
            <w:noProof/>
          </w:rPr>
          <w:t>152.4—Licences</w:t>
        </w:r>
        <w:r>
          <w:rPr>
            <w:noProof/>
            <w:webHidden/>
          </w:rPr>
          <w:tab/>
        </w:r>
        <w:r>
          <w:rPr>
            <w:noProof/>
            <w:webHidden/>
          </w:rPr>
          <w:fldChar w:fldCharType="begin"/>
        </w:r>
        <w:r>
          <w:rPr>
            <w:noProof/>
            <w:webHidden/>
          </w:rPr>
          <w:instrText xml:space="preserve"> PAGEREF _Toc175239227 \h </w:instrText>
        </w:r>
        <w:r>
          <w:rPr>
            <w:noProof/>
            <w:webHidden/>
          </w:rPr>
        </w:r>
        <w:r>
          <w:rPr>
            <w:noProof/>
            <w:webHidden/>
          </w:rPr>
          <w:fldChar w:fldCharType="separate"/>
        </w:r>
        <w:r w:rsidR="00FD06AB">
          <w:rPr>
            <w:noProof/>
            <w:webHidden/>
          </w:rPr>
          <w:t>174</w:t>
        </w:r>
        <w:r>
          <w:rPr>
            <w:noProof/>
            <w:webHidden/>
          </w:rPr>
          <w:fldChar w:fldCharType="end"/>
        </w:r>
      </w:hyperlink>
    </w:p>
    <w:p w14:paraId="201D32CC" w14:textId="64AD7E76" w:rsidR="003B042F" w:rsidRDefault="003B042F">
      <w:pPr>
        <w:pStyle w:val="TOC4"/>
        <w:rPr>
          <w:rFonts w:asciiTheme="minorHAnsi" w:eastAsiaTheme="minorEastAsia" w:hAnsiTheme="minorHAnsi"/>
          <w:noProof/>
          <w:sz w:val="22"/>
          <w:lang w:eastAsia="en-AU"/>
        </w:rPr>
      </w:pPr>
      <w:hyperlink w:anchor="_Toc175239228" w:history="1">
        <w:r w:rsidRPr="005871B3">
          <w:rPr>
            <w:rStyle w:val="Hyperlink"/>
            <w:noProof/>
          </w:rPr>
          <w:t>152.5—Probation orders: All Courts except Youth Court</w:t>
        </w:r>
        <w:r>
          <w:rPr>
            <w:noProof/>
            <w:webHidden/>
          </w:rPr>
          <w:tab/>
        </w:r>
        <w:r>
          <w:rPr>
            <w:noProof/>
            <w:webHidden/>
          </w:rPr>
          <w:fldChar w:fldCharType="begin"/>
        </w:r>
        <w:r>
          <w:rPr>
            <w:noProof/>
            <w:webHidden/>
          </w:rPr>
          <w:instrText xml:space="preserve"> PAGEREF _Toc175239228 \h </w:instrText>
        </w:r>
        <w:r>
          <w:rPr>
            <w:noProof/>
            <w:webHidden/>
          </w:rPr>
        </w:r>
        <w:r>
          <w:rPr>
            <w:noProof/>
            <w:webHidden/>
          </w:rPr>
          <w:fldChar w:fldCharType="separate"/>
        </w:r>
        <w:r w:rsidR="00FD06AB">
          <w:rPr>
            <w:noProof/>
            <w:webHidden/>
          </w:rPr>
          <w:t>174</w:t>
        </w:r>
        <w:r>
          <w:rPr>
            <w:noProof/>
            <w:webHidden/>
          </w:rPr>
          <w:fldChar w:fldCharType="end"/>
        </w:r>
      </w:hyperlink>
    </w:p>
    <w:p w14:paraId="1B32865E" w14:textId="22BB7B45" w:rsidR="003B042F" w:rsidRDefault="003B042F">
      <w:pPr>
        <w:pStyle w:val="TOC3"/>
        <w:rPr>
          <w:rFonts w:asciiTheme="minorHAnsi" w:eastAsiaTheme="minorEastAsia" w:hAnsiTheme="minorHAnsi"/>
          <w:b w:val="0"/>
          <w:noProof/>
          <w:sz w:val="22"/>
          <w:lang w:eastAsia="en-AU"/>
        </w:rPr>
      </w:pPr>
      <w:hyperlink w:anchor="_Toc175239229" w:history="1">
        <w:r w:rsidRPr="005871B3">
          <w:rPr>
            <w:rStyle w:val="Hyperlink"/>
            <w:noProof/>
          </w:rPr>
          <w:t>Division 3—Bonds, undertakings and guarantees</w:t>
        </w:r>
        <w:r>
          <w:rPr>
            <w:noProof/>
            <w:webHidden/>
          </w:rPr>
          <w:tab/>
        </w:r>
        <w:r>
          <w:rPr>
            <w:noProof/>
            <w:webHidden/>
          </w:rPr>
          <w:fldChar w:fldCharType="begin"/>
        </w:r>
        <w:r>
          <w:rPr>
            <w:noProof/>
            <w:webHidden/>
          </w:rPr>
          <w:instrText xml:space="preserve"> PAGEREF _Toc175239229 \h </w:instrText>
        </w:r>
        <w:r>
          <w:rPr>
            <w:noProof/>
            <w:webHidden/>
          </w:rPr>
        </w:r>
        <w:r>
          <w:rPr>
            <w:noProof/>
            <w:webHidden/>
          </w:rPr>
          <w:fldChar w:fldCharType="separate"/>
        </w:r>
        <w:r w:rsidR="00FD06AB">
          <w:rPr>
            <w:noProof/>
            <w:webHidden/>
          </w:rPr>
          <w:t>175</w:t>
        </w:r>
        <w:r>
          <w:rPr>
            <w:noProof/>
            <w:webHidden/>
          </w:rPr>
          <w:fldChar w:fldCharType="end"/>
        </w:r>
      </w:hyperlink>
    </w:p>
    <w:p w14:paraId="7C5977D8" w14:textId="571DA032" w:rsidR="003B042F" w:rsidRDefault="003B042F">
      <w:pPr>
        <w:pStyle w:val="TOC4"/>
        <w:rPr>
          <w:rFonts w:asciiTheme="minorHAnsi" w:eastAsiaTheme="minorEastAsia" w:hAnsiTheme="minorHAnsi"/>
          <w:noProof/>
          <w:sz w:val="22"/>
          <w:lang w:eastAsia="en-AU"/>
        </w:rPr>
      </w:pPr>
      <w:hyperlink w:anchor="_Toc175239230" w:history="1">
        <w:r w:rsidRPr="005871B3">
          <w:rPr>
            <w:rStyle w:val="Hyperlink"/>
            <w:noProof/>
          </w:rPr>
          <w:t>153.1—Bonds and guarantees: All Courts except Youth Court</w:t>
        </w:r>
        <w:r>
          <w:rPr>
            <w:noProof/>
            <w:webHidden/>
          </w:rPr>
          <w:tab/>
        </w:r>
        <w:r>
          <w:rPr>
            <w:noProof/>
            <w:webHidden/>
          </w:rPr>
          <w:fldChar w:fldCharType="begin"/>
        </w:r>
        <w:r>
          <w:rPr>
            <w:noProof/>
            <w:webHidden/>
          </w:rPr>
          <w:instrText xml:space="preserve"> PAGEREF _Toc175239230 \h </w:instrText>
        </w:r>
        <w:r>
          <w:rPr>
            <w:noProof/>
            <w:webHidden/>
          </w:rPr>
        </w:r>
        <w:r>
          <w:rPr>
            <w:noProof/>
            <w:webHidden/>
          </w:rPr>
          <w:fldChar w:fldCharType="separate"/>
        </w:r>
        <w:r w:rsidR="00FD06AB">
          <w:rPr>
            <w:noProof/>
            <w:webHidden/>
          </w:rPr>
          <w:t>175</w:t>
        </w:r>
        <w:r>
          <w:rPr>
            <w:noProof/>
            <w:webHidden/>
          </w:rPr>
          <w:fldChar w:fldCharType="end"/>
        </w:r>
      </w:hyperlink>
    </w:p>
    <w:p w14:paraId="0F57A66A" w14:textId="1BE94FC7" w:rsidR="003B042F" w:rsidRDefault="003B042F">
      <w:pPr>
        <w:pStyle w:val="TOC4"/>
        <w:rPr>
          <w:rFonts w:asciiTheme="minorHAnsi" w:eastAsiaTheme="minorEastAsia" w:hAnsiTheme="minorHAnsi"/>
          <w:noProof/>
          <w:sz w:val="22"/>
          <w:lang w:eastAsia="en-AU"/>
        </w:rPr>
      </w:pPr>
      <w:hyperlink w:anchor="_Toc175239231" w:history="1">
        <w:r w:rsidRPr="005871B3">
          <w:rPr>
            <w:rStyle w:val="Hyperlink"/>
            <w:noProof/>
          </w:rPr>
          <w:t>153.2—Undertakings</w:t>
        </w:r>
        <w:r>
          <w:rPr>
            <w:noProof/>
            <w:webHidden/>
          </w:rPr>
          <w:tab/>
        </w:r>
        <w:r>
          <w:rPr>
            <w:noProof/>
            <w:webHidden/>
          </w:rPr>
          <w:fldChar w:fldCharType="begin"/>
        </w:r>
        <w:r>
          <w:rPr>
            <w:noProof/>
            <w:webHidden/>
          </w:rPr>
          <w:instrText xml:space="preserve"> PAGEREF _Toc175239231 \h </w:instrText>
        </w:r>
        <w:r>
          <w:rPr>
            <w:noProof/>
            <w:webHidden/>
          </w:rPr>
        </w:r>
        <w:r>
          <w:rPr>
            <w:noProof/>
            <w:webHidden/>
          </w:rPr>
          <w:fldChar w:fldCharType="separate"/>
        </w:r>
        <w:r w:rsidR="00FD06AB">
          <w:rPr>
            <w:noProof/>
            <w:webHidden/>
          </w:rPr>
          <w:t>175</w:t>
        </w:r>
        <w:r>
          <w:rPr>
            <w:noProof/>
            <w:webHidden/>
          </w:rPr>
          <w:fldChar w:fldCharType="end"/>
        </w:r>
      </w:hyperlink>
    </w:p>
    <w:p w14:paraId="3097D73F" w14:textId="684EFC06" w:rsidR="003B042F" w:rsidRDefault="003B042F">
      <w:pPr>
        <w:pStyle w:val="TOC3"/>
        <w:rPr>
          <w:rFonts w:asciiTheme="minorHAnsi" w:eastAsiaTheme="minorEastAsia" w:hAnsiTheme="minorHAnsi"/>
          <w:b w:val="0"/>
          <w:noProof/>
          <w:sz w:val="22"/>
          <w:lang w:eastAsia="en-AU"/>
        </w:rPr>
      </w:pPr>
      <w:hyperlink w:anchor="_Toc175239232" w:history="1">
        <w:r w:rsidRPr="005871B3">
          <w:rPr>
            <w:rStyle w:val="Hyperlink"/>
            <w:noProof/>
          </w:rPr>
          <w:t>Division 4—Specific sentencing orders</w:t>
        </w:r>
        <w:r>
          <w:rPr>
            <w:noProof/>
            <w:webHidden/>
          </w:rPr>
          <w:tab/>
        </w:r>
        <w:r>
          <w:rPr>
            <w:noProof/>
            <w:webHidden/>
          </w:rPr>
          <w:fldChar w:fldCharType="begin"/>
        </w:r>
        <w:r>
          <w:rPr>
            <w:noProof/>
            <w:webHidden/>
          </w:rPr>
          <w:instrText xml:space="preserve"> PAGEREF _Toc175239232 \h </w:instrText>
        </w:r>
        <w:r>
          <w:rPr>
            <w:noProof/>
            <w:webHidden/>
          </w:rPr>
        </w:r>
        <w:r>
          <w:rPr>
            <w:noProof/>
            <w:webHidden/>
          </w:rPr>
          <w:fldChar w:fldCharType="separate"/>
        </w:r>
        <w:r w:rsidR="00FD06AB">
          <w:rPr>
            <w:noProof/>
            <w:webHidden/>
          </w:rPr>
          <w:t>175</w:t>
        </w:r>
        <w:r>
          <w:rPr>
            <w:noProof/>
            <w:webHidden/>
          </w:rPr>
          <w:fldChar w:fldCharType="end"/>
        </w:r>
      </w:hyperlink>
    </w:p>
    <w:p w14:paraId="4C296234" w14:textId="36314FBF" w:rsidR="003B042F" w:rsidRDefault="003B042F">
      <w:pPr>
        <w:pStyle w:val="TOC4"/>
        <w:rPr>
          <w:rFonts w:asciiTheme="minorHAnsi" w:eastAsiaTheme="minorEastAsia" w:hAnsiTheme="minorHAnsi"/>
          <w:noProof/>
          <w:sz w:val="22"/>
          <w:lang w:eastAsia="en-AU"/>
        </w:rPr>
      </w:pPr>
      <w:hyperlink w:anchor="_Toc175239233" w:history="1">
        <w:r w:rsidRPr="005871B3">
          <w:rPr>
            <w:rStyle w:val="Hyperlink"/>
            <w:noProof/>
          </w:rPr>
          <w:t>154.1—Community service order</w:t>
        </w:r>
        <w:r>
          <w:rPr>
            <w:noProof/>
            <w:webHidden/>
          </w:rPr>
          <w:tab/>
        </w:r>
        <w:r>
          <w:rPr>
            <w:noProof/>
            <w:webHidden/>
          </w:rPr>
          <w:fldChar w:fldCharType="begin"/>
        </w:r>
        <w:r>
          <w:rPr>
            <w:noProof/>
            <w:webHidden/>
          </w:rPr>
          <w:instrText xml:space="preserve"> PAGEREF _Toc175239233 \h </w:instrText>
        </w:r>
        <w:r>
          <w:rPr>
            <w:noProof/>
            <w:webHidden/>
          </w:rPr>
        </w:r>
        <w:r>
          <w:rPr>
            <w:noProof/>
            <w:webHidden/>
          </w:rPr>
          <w:fldChar w:fldCharType="separate"/>
        </w:r>
        <w:r w:rsidR="00FD06AB">
          <w:rPr>
            <w:noProof/>
            <w:webHidden/>
          </w:rPr>
          <w:t>175</w:t>
        </w:r>
        <w:r>
          <w:rPr>
            <w:noProof/>
            <w:webHidden/>
          </w:rPr>
          <w:fldChar w:fldCharType="end"/>
        </w:r>
      </w:hyperlink>
    </w:p>
    <w:p w14:paraId="6AA94851" w14:textId="0204AE57" w:rsidR="003B042F" w:rsidRDefault="003B042F">
      <w:pPr>
        <w:pStyle w:val="TOC4"/>
        <w:rPr>
          <w:rFonts w:asciiTheme="minorHAnsi" w:eastAsiaTheme="minorEastAsia" w:hAnsiTheme="minorHAnsi"/>
          <w:noProof/>
          <w:sz w:val="22"/>
          <w:lang w:eastAsia="en-AU"/>
        </w:rPr>
      </w:pPr>
      <w:hyperlink w:anchor="_Toc175239234" w:history="1">
        <w:r w:rsidRPr="005871B3">
          <w:rPr>
            <w:rStyle w:val="Hyperlink"/>
            <w:noProof/>
          </w:rPr>
          <w:t>154.2—Firearms prohibition order</w:t>
        </w:r>
        <w:r>
          <w:rPr>
            <w:noProof/>
            <w:webHidden/>
          </w:rPr>
          <w:tab/>
        </w:r>
        <w:r>
          <w:rPr>
            <w:noProof/>
            <w:webHidden/>
          </w:rPr>
          <w:fldChar w:fldCharType="begin"/>
        </w:r>
        <w:r>
          <w:rPr>
            <w:noProof/>
            <w:webHidden/>
          </w:rPr>
          <w:instrText xml:space="preserve"> PAGEREF _Toc175239234 \h </w:instrText>
        </w:r>
        <w:r>
          <w:rPr>
            <w:noProof/>
            <w:webHidden/>
          </w:rPr>
        </w:r>
        <w:r>
          <w:rPr>
            <w:noProof/>
            <w:webHidden/>
          </w:rPr>
          <w:fldChar w:fldCharType="separate"/>
        </w:r>
        <w:r w:rsidR="00FD06AB">
          <w:rPr>
            <w:noProof/>
            <w:webHidden/>
          </w:rPr>
          <w:t>176</w:t>
        </w:r>
        <w:r>
          <w:rPr>
            <w:noProof/>
            <w:webHidden/>
          </w:rPr>
          <w:fldChar w:fldCharType="end"/>
        </w:r>
      </w:hyperlink>
    </w:p>
    <w:p w14:paraId="7B484D0C" w14:textId="1ED71E1F" w:rsidR="003B042F" w:rsidRDefault="003B042F">
      <w:pPr>
        <w:pStyle w:val="TOC4"/>
        <w:rPr>
          <w:rFonts w:asciiTheme="minorHAnsi" w:eastAsiaTheme="minorEastAsia" w:hAnsiTheme="minorHAnsi"/>
          <w:noProof/>
          <w:sz w:val="22"/>
          <w:lang w:eastAsia="en-AU"/>
        </w:rPr>
      </w:pPr>
      <w:hyperlink w:anchor="_Toc175239235" w:history="1">
        <w:r w:rsidRPr="005871B3">
          <w:rPr>
            <w:rStyle w:val="Hyperlink"/>
            <w:noProof/>
          </w:rPr>
          <w:t>154.3—Protection orders</w:t>
        </w:r>
        <w:r>
          <w:rPr>
            <w:noProof/>
            <w:webHidden/>
          </w:rPr>
          <w:tab/>
        </w:r>
        <w:r>
          <w:rPr>
            <w:noProof/>
            <w:webHidden/>
          </w:rPr>
          <w:fldChar w:fldCharType="begin"/>
        </w:r>
        <w:r>
          <w:rPr>
            <w:noProof/>
            <w:webHidden/>
          </w:rPr>
          <w:instrText xml:space="preserve"> PAGEREF _Toc175239235 \h </w:instrText>
        </w:r>
        <w:r>
          <w:rPr>
            <w:noProof/>
            <w:webHidden/>
          </w:rPr>
        </w:r>
        <w:r>
          <w:rPr>
            <w:noProof/>
            <w:webHidden/>
          </w:rPr>
          <w:fldChar w:fldCharType="separate"/>
        </w:r>
        <w:r w:rsidR="00FD06AB">
          <w:rPr>
            <w:noProof/>
            <w:webHidden/>
          </w:rPr>
          <w:t>176</w:t>
        </w:r>
        <w:r>
          <w:rPr>
            <w:noProof/>
            <w:webHidden/>
          </w:rPr>
          <w:fldChar w:fldCharType="end"/>
        </w:r>
      </w:hyperlink>
    </w:p>
    <w:p w14:paraId="1FC0CEB5" w14:textId="6DA66D73" w:rsidR="003B042F" w:rsidRDefault="003B042F">
      <w:pPr>
        <w:pStyle w:val="TOC4"/>
        <w:rPr>
          <w:rFonts w:asciiTheme="minorHAnsi" w:eastAsiaTheme="minorEastAsia" w:hAnsiTheme="minorHAnsi"/>
          <w:noProof/>
          <w:sz w:val="22"/>
          <w:lang w:eastAsia="en-AU"/>
        </w:rPr>
      </w:pPr>
      <w:hyperlink w:anchor="_Toc175239236" w:history="1">
        <w:r w:rsidRPr="005871B3">
          <w:rPr>
            <w:rStyle w:val="Hyperlink"/>
            <w:noProof/>
          </w:rPr>
          <w:t>154.4—Vehicle forfeiture and impounding</w:t>
        </w:r>
        <w:r>
          <w:rPr>
            <w:noProof/>
            <w:webHidden/>
          </w:rPr>
          <w:tab/>
        </w:r>
        <w:r>
          <w:rPr>
            <w:noProof/>
            <w:webHidden/>
          </w:rPr>
          <w:fldChar w:fldCharType="begin"/>
        </w:r>
        <w:r>
          <w:rPr>
            <w:noProof/>
            <w:webHidden/>
          </w:rPr>
          <w:instrText xml:space="preserve"> PAGEREF _Toc175239236 \h </w:instrText>
        </w:r>
        <w:r>
          <w:rPr>
            <w:noProof/>
            <w:webHidden/>
          </w:rPr>
        </w:r>
        <w:r>
          <w:rPr>
            <w:noProof/>
            <w:webHidden/>
          </w:rPr>
          <w:fldChar w:fldCharType="separate"/>
        </w:r>
        <w:r w:rsidR="00FD06AB">
          <w:rPr>
            <w:noProof/>
            <w:webHidden/>
          </w:rPr>
          <w:t>177</w:t>
        </w:r>
        <w:r>
          <w:rPr>
            <w:noProof/>
            <w:webHidden/>
          </w:rPr>
          <w:fldChar w:fldCharType="end"/>
        </w:r>
      </w:hyperlink>
    </w:p>
    <w:p w14:paraId="42C6A748" w14:textId="39C42223" w:rsidR="003B042F" w:rsidRDefault="003B042F">
      <w:pPr>
        <w:pStyle w:val="TOC4"/>
        <w:rPr>
          <w:rFonts w:asciiTheme="minorHAnsi" w:eastAsiaTheme="minorEastAsia" w:hAnsiTheme="minorHAnsi"/>
          <w:noProof/>
          <w:sz w:val="22"/>
          <w:lang w:eastAsia="en-AU"/>
        </w:rPr>
      </w:pPr>
      <w:hyperlink w:anchor="_Toc175239237" w:history="1">
        <w:r w:rsidRPr="005871B3">
          <w:rPr>
            <w:rStyle w:val="Hyperlink"/>
            <w:noProof/>
          </w:rPr>
          <w:t>154.5—Recidivist young offender orders: Youth Court</w:t>
        </w:r>
        <w:r>
          <w:rPr>
            <w:noProof/>
            <w:webHidden/>
          </w:rPr>
          <w:tab/>
        </w:r>
        <w:r>
          <w:rPr>
            <w:noProof/>
            <w:webHidden/>
          </w:rPr>
          <w:fldChar w:fldCharType="begin"/>
        </w:r>
        <w:r>
          <w:rPr>
            <w:noProof/>
            <w:webHidden/>
          </w:rPr>
          <w:instrText xml:space="preserve"> PAGEREF _Toc175239237 \h </w:instrText>
        </w:r>
        <w:r>
          <w:rPr>
            <w:noProof/>
            <w:webHidden/>
          </w:rPr>
        </w:r>
        <w:r>
          <w:rPr>
            <w:noProof/>
            <w:webHidden/>
          </w:rPr>
          <w:fldChar w:fldCharType="separate"/>
        </w:r>
        <w:r w:rsidR="00FD06AB">
          <w:rPr>
            <w:noProof/>
            <w:webHidden/>
          </w:rPr>
          <w:t>177</w:t>
        </w:r>
        <w:r>
          <w:rPr>
            <w:noProof/>
            <w:webHidden/>
          </w:rPr>
          <w:fldChar w:fldCharType="end"/>
        </w:r>
      </w:hyperlink>
    </w:p>
    <w:p w14:paraId="5A0C5177" w14:textId="25E7A890"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38" w:history="1">
        <w:r w:rsidRPr="005871B3">
          <w:rPr>
            <w:rStyle w:val="Hyperlink"/>
            <w:noProof/>
          </w:rPr>
          <w:t>Part 5—Warrants</w:t>
        </w:r>
        <w:r>
          <w:rPr>
            <w:noProof/>
            <w:webHidden/>
          </w:rPr>
          <w:tab/>
        </w:r>
        <w:r>
          <w:rPr>
            <w:noProof/>
            <w:webHidden/>
          </w:rPr>
          <w:fldChar w:fldCharType="begin"/>
        </w:r>
        <w:r>
          <w:rPr>
            <w:noProof/>
            <w:webHidden/>
          </w:rPr>
          <w:instrText xml:space="preserve"> PAGEREF _Toc175239238 \h </w:instrText>
        </w:r>
        <w:r>
          <w:rPr>
            <w:noProof/>
            <w:webHidden/>
          </w:rPr>
        </w:r>
        <w:r>
          <w:rPr>
            <w:noProof/>
            <w:webHidden/>
          </w:rPr>
          <w:fldChar w:fldCharType="separate"/>
        </w:r>
        <w:r w:rsidR="00FD06AB">
          <w:rPr>
            <w:noProof/>
            <w:webHidden/>
          </w:rPr>
          <w:t>177</w:t>
        </w:r>
        <w:r>
          <w:rPr>
            <w:noProof/>
            <w:webHidden/>
          </w:rPr>
          <w:fldChar w:fldCharType="end"/>
        </w:r>
      </w:hyperlink>
    </w:p>
    <w:p w14:paraId="259E3A0B" w14:textId="31559010" w:rsidR="003B042F" w:rsidRDefault="003B042F">
      <w:pPr>
        <w:pStyle w:val="TOC4"/>
        <w:rPr>
          <w:rFonts w:asciiTheme="minorHAnsi" w:eastAsiaTheme="minorEastAsia" w:hAnsiTheme="minorHAnsi"/>
          <w:noProof/>
          <w:sz w:val="22"/>
          <w:lang w:eastAsia="en-AU"/>
        </w:rPr>
      </w:pPr>
      <w:hyperlink w:anchor="_Toc175239239" w:history="1">
        <w:r w:rsidRPr="005871B3">
          <w:rPr>
            <w:rStyle w:val="Hyperlink"/>
            <w:noProof/>
          </w:rPr>
          <w:t>155.1—Warrant of commitment or detention</w:t>
        </w:r>
        <w:r>
          <w:rPr>
            <w:noProof/>
            <w:webHidden/>
          </w:rPr>
          <w:tab/>
        </w:r>
        <w:r>
          <w:rPr>
            <w:noProof/>
            <w:webHidden/>
          </w:rPr>
          <w:fldChar w:fldCharType="begin"/>
        </w:r>
        <w:r>
          <w:rPr>
            <w:noProof/>
            <w:webHidden/>
          </w:rPr>
          <w:instrText xml:space="preserve"> PAGEREF _Toc175239239 \h </w:instrText>
        </w:r>
        <w:r>
          <w:rPr>
            <w:noProof/>
            <w:webHidden/>
          </w:rPr>
        </w:r>
        <w:r>
          <w:rPr>
            <w:noProof/>
            <w:webHidden/>
          </w:rPr>
          <w:fldChar w:fldCharType="separate"/>
        </w:r>
        <w:r w:rsidR="00FD06AB">
          <w:rPr>
            <w:noProof/>
            <w:webHidden/>
          </w:rPr>
          <w:t>177</w:t>
        </w:r>
        <w:r>
          <w:rPr>
            <w:noProof/>
            <w:webHidden/>
          </w:rPr>
          <w:fldChar w:fldCharType="end"/>
        </w:r>
      </w:hyperlink>
    </w:p>
    <w:p w14:paraId="42257C7B" w14:textId="070F934E" w:rsidR="003B042F" w:rsidRDefault="003B042F">
      <w:pPr>
        <w:pStyle w:val="TOC4"/>
        <w:rPr>
          <w:rFonts w:asciiTheme="minorHAnsi" w:eastAsiaTheme="minorEastAsia" w:hAnsiTheme="minorHAnsi"/>
          <w:noProof/>
          <w:sz w:val="22"/>
          <w:lang w:eastAsia="en-AU"/>
        </w:rPr>
      </w:pPr>
      <w:hyperlink w:anchor="_Toc175239240" w:history="1">
        <w:r w:rsidRPr="005871B3">
          <w:rPr>
            <w:rStyle w:val="Hyperlink"/>
            <w:noProof/>
          </w:rPr>
          <w:t>155.2—Mental impairment detention</w:t>
        </w:r>
        <w:r>
          <w:rPr>
            <w:noProof/>
            <w:webHidden/>
          </w:rPr>
          <w:tab/>
        </w:r>
        <w:r>
          <w:rPr>
            <w:noProof/>
            <w:webHidden/>
          </w:rPr>
          <w:fldChar w:fldCharType="begin"/>
        </w:r>
        <w:r>
          <w:rPr>
            <w:noProof/>
            <w:webHidden/>
          </w:rPr>
          <w:instrText xml:space="preserve"> PAGEREF _Toc175239240 \h </w:instrText>
        </w:r>
        <w:r>
          <w:rPr>
            <w:noProof/>
            <w:webHidden/>
          </w:rPr>
        </w:r>
        <w:r>
          <w:rPr>
            <w:noProof/>
            <w:webHidden/>
          </w:rPr>
          <w:fldChar w:fldCharType="separate"/>
        </w:r>
        <w:r w:rsidR="00FD06AB">
          <w:rPr>
            <w:noProof/>
            <w:webHidden/>
          </w:rPr>
          <w:t>177</w:t>
        </w:r>
        <w:r>
          <w:rPr>
            <w:noProof/>
            <w:webHidden/>
          </w:rPr>
          <w:fldChar w:fldCharType="end"/>
        </w:r>
      </w:hyperlink>
    </w:p>
    <w:p w14:paraId="33255546" w14:textId="4A86B33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41" w:history="1">
        <w:r w:rsidRPr="005871B3">
          <w:rPr>
            <w:rStyle w:val="Hyperlink"/>
            <w:noProof/>
          </w:rPr>
          <w:t>Part 6—Notice of orders and certificates</w:t>
        </w:r>
        <w:r>
          <w:rPr>
            <w:noProof/>
            <w:webHidden/>
          </w:rPr>
          <w:tab/>
        </w:r>
        <w:r>
          <w:rPr>
            <w:noProof/>
            <w:webHidden/>
          </w:rPr>
          <w:fldChar w:fldCharType="begin"/>
        </w:r>
        <w:r>
          <w:rPr>
            <w:noProof/>
            <w:webHidden/>
          </w:rPr>
          <w:instrText xml:space="preserve"> PAGEREF _Toc175239241 \h </w:instrText>
        </w:r>
        <w:r>
          <w:rPr>
            <w:noProof/>
            <w:webHidden/>
          </w:rPr>
        </w:r>
        <w:r>
          <w:rPr>
            <w:noProof/>
            <w:webHidden/>
          </w:rPr>
          <w:fldChar w:fldCharType="separate"/>
        </w:r>
        <w:r w:rsidR="00FD06AB">
          <w:rPr>
            <w:noProof/>
            <w:webHidden/>
          </w:rPr>
          <w:t>178</w:t>
        </w:r>
        <w:r>
          <w:rPr>
            <w:noProof/>
            <w:webHidden/>
          </w:rPr>
          <w:fldChar w:fldCharType="end"/>
        </w:r>
      </w:hyperlink>
    </w:p>
    <w:p w14:paraId="3A45290F" w14:textId="0AA9B465" w:rsidR="003B042F" w:rsidRDefault="003B042F">
      <w:pPr>
        <w:pStyle w:val="TOC3"/>
        <w:rPr>
          <w:rFonts w:asciiTheme="minorHAnsi" w:eastAsiaTheme="minorEastAsia" w:hAnsiTheme="minorHAnsi"/>
          <w:b w:val="0"/>
          <w:noProof/>
          <w:sz w:val="22"/>
          <w:lang w:eastAsia="en-AU"/>
        </w:rPr>
      </w:pPr>
      <w:hyperlink w:anchor="_Toc175239242" w:history="1">
        <w:r w:rsidRPr="005871B3">
          <w:rPr>
            <w:rStyle w:val="Hyperlink"/>
            <w:noProof/>
          </w:rPr>
          <w:t>Division 1—Notices to defendants and youths</w:t>
        </w:r>
        <w:r>
          <w:rPr>
            <w:noProof/>
            <w:webHidden/>
          </w:rPr>
          <w:tab/>
        </w:r>
        <w:r>
          <w:rPr>
            <w:noProof/>
            <w:webHidden/>
          </w:rPr>
          <w:fldChar w:fldCharType="begin"/>
        </w:r>
        <w:r>
          <w:rPr>
            <w:noProof/>
            <w:webHidden/>
          </w:rPr>
          <w:instrText xml:space="preserve"> PAGEREF _Toc175239242 \h </w:instrText>
        </w:r>
        <w:r>
          <w:rPr>
            <w:noProof/>
            <w:webHidden/>
          </w:rPr>
        </w:r>
        <w:r>
          <w:rPr>
            <w:noProof/>
            <w:webHidden/>
          </w:rPr>
          <w:fldChar w:fldCharType="separate"/>
        </w:r>
        <w:r w:rsidR="00FD06AB">
          <w:rPr>
            <w:noProof/>
            <w:webHidden/>
          </w:rPr>
          <w:t>178</w:t>
        </w:r>
        <w:r>
          <w:rPr>
            <w:noProof/>
            <w:webHidden/>
          </w:rPr>
          <w:fldChar w:fldCharType="end"/>
        </w:r>
      </w:hyperlink>
    </w:p>
    <w:p w14:paraId="0A44FAFF" w14:textId="0B051613" w:rsidR="003B042F" w:rsidRDefault="003B042F">
      <w:pPr>
        <w:pStyle w:val="TOC4"/>
        <w:rPr>
          <w:rFonts w:asciiTheme="minorHAnsi" w:eastAsiaTheme="minorEastAsia" w:hAnsiTheme="minorHAnsi"/>
          <w:noProof/>
          <w:sz w:val="22"/>
          <w:lang w:eastAsia="en-AU"/>
        </w:rPr>
      </w:pPr>
      <w:hyperlink w:anchor="_Toc175239243" w:history="1">
        <w:r w:rsidRPr="005871B3">
          <w:rPr>
            <w:rStyle w:val="Hyperlink"/>
            <w:noProof/>
          </w:rPr>
          <w:t>156.1—Notice of penalty: Lower Courts</w:t>
        </w:r>
        <w:r>
          <w:rPr>
            <w:noProof/>
            <w:webHidden/>
          </w:rPr>
          <w:tab/>
        </w:r>
        <w:r>
          <w:rPr>
            <w:noProof/>
            <w:webHidden/>
          </w:rPr>
          <w:fldChar w:fldCharType="begin"/>
        </w:r>
        <w:r>
          <w:rPr>
            <w:noProof/>
            <w:webHidden/>
          </w:rPr>
          <w:instrText xml:space="preserve"> PAGEREF _Toc175239243 \h </w:instrText>
        </w:r>
        <w:r>
          <w:rPr>
            <w:noProof/>
            <w:webHidden/>
          </w:rPr>
        </w:r>
        <w:r>
          <w:rPr>
            <w:noProof/>
            <w:webHidden/>
          </w:rPr>
          <w:fldChar w:fldCharType="separate"/>
        </w:r>
        <w:r w:rsidR="00FD06AB">
          <w:rPr>
            <w:noProof/>
            <w:webHidden/>
          </w:rPr>
          <w:t>178</w:t>
        </w:r>
        <w:r>
          <w:rPr>
            <w:noProof/>
            <w:webHidden/>
          </w:rPr>
          <w:fldChar w:fldCharType="end"/>
        </w:r>
      </w:hyperlink>
    </w:p>
    <w:p w14:paraId="135DB43F" w14:textId="0EA9153A" w:rsidR="003B042F" w:rsidRDefault="003B042F">
      <w:pPr>
        <w:pStyle w:val="TOC4"/>
        <w:rPr>
          <w:rFonts w:asciiTheme="minorHAnsi" w:eastAsiaTheme="minorEastAsia" w:hAnsiTheme="minorHAnsi"/>
          <w:noProof/>
          <w:sz w:val="22"/>
          <w:lang w:eastAsia="en-AU"/>
        </w:rPr>
      </w:pPr>
      <w:hyperlink w:anchor="_Toc175239244" w:history="1">
        <w:r w:rsidRPr="005871B3">
          <w:rPr>
            <w:rStyle w:val="Hyperlink"/>
            <w:noProof/>
          </w:rPr>
          <w:t xml:space="preserve">156.2—Notice </w:t>
        </w:r>
        <w:r w:rsidRPr="005871B3">
          <w:rPr>
            <w:rStyle w:val="Hyperlink"/>
            <w:noProof/>
            <w:lang w:val="en-US"/>
          </w:rPr>
          <w:t>for the payment of money: Youth Court</w:t>
        </w:r>
        <w:r>
          <w:rPr>
            <w:noProof/>
            <w:webHidden/>
          </w:rPr>
          <w:tab/>
        </w:r>
        <w:r>
          <w:rPr>
            <w:noProof/>
            <w:webHidden/>
          </w:rPr>
          <w:fldChar w:fldCharType="begin"/>
        </w:r>
        <w:r>
          <w:rPr>
            <w:noProof/>
            <w:webHidden/>
          </w:rPr>
          <w:instrText xml:space="preserve"> PAGEREF _Toc175239244 \h </w:instrText>
        </w:r>
        <w:r>
          <w:rPr>
            <w:noProof/>
            <w:webHidden/>
          </w:rPr>
        </w:r>
        <w:r>
          <w:rPr>
            <w:noProof/>
            <w:webHidden/>
          </w:rPr>
          <w:fldChar w:fldCharType="separate"/>
        </w:r>
        <w:r w:rsidR="00FD06AB">
          <w:rPr>
            <w:noProof/>
            <w:webHidden/>
          </w:rPr>
          <w:t>178</w:t>
        </w:r>
        <w:r>
          <w:rPr>
            <w:noProof/>
            <w:webHidden/>
          </w:rPr>
          <w:fldChar w:fldCharType="end"/>
        </w:r>
      </w:hyperlink>
    </w:p>
    <w:p w14:paraId="0CD8A3CA" w14:textId="220FD160" w:rsidR="003B042F" w:rsidRDefault="003B042F">
      <w:pPr>
        <w:pStyle w:val="TOC3"/>
        <w:rPr>
          <w:rFonts w:asciiTheme="minorHAnsi" w:eastAsiaTheme="minorEastAsia" w:hAnsiTheme="minorHAnsi"/>
          <w:b w:val="0"/>
          <w:noProof/>
          <w:sz w:val="22"/>
          <w:lang w:eastAsia="en-AU"/>
        </w:rPr>
      </w:pPr>
      <w:hyperlink w:anchor="_Toc175239245" w:history="1">
        <w:r w:rsidRPr="005871B3">
          <w:rPr>
            <w:rStyle w:val="Hyperlink"/>
            <w:noProof/>
          </w:rPr>
          <w:t>Division 2—Notices to public sector agencies</w:t>
        </w:r>
        <w:r>
          <w:rPr>
            <w:noProof/>
            <w:webHidden/>
          </w:rPr>
          <w:tab/>
        </w:r>
        <w:r>
          <w:rPr>
            <w:noProof/>
            <w:webHidden/>
          </w:rPr>
          <w:fldChar w:fldCharType="begin"/>
        </w:r>
        <w:r>
          <w:rPr>
            <w:noProof/>
            <w:webHidden/>
          </w:rPr>
          <w:instrText xml:space="preserve"> PAGEREF _Toc175239245 \h </w:instrText>
        </w:r>
        <w:r>
          <w:rPr>
            <w:noProof/>
            <w:webHidden/>
          </w:rPr>
        </w:r>
        <w:r>
          <w:rPr>
            <w:noProof/>
            <w:webHidden/>
          </w:rPr>
          <w:fldChar w:fldCharType="separate"/>
        </w:r>
        <w:r w:rsidR="00FD06AB">
          <w:rPr>
            <w:noProof/>
            <w:webHidden/>
          </w:rPr>
          <w:t>178</w:t>
        </w:r>
        <w:r>
          <w:rPr>
            <w:noProof/>
            <w:webHidden/>
          </w:rPr>
          <w:fldChar w:fldCharType="end"/>
        </w:r>
      </w:hyperlink>
    </w:p>
    <w:p w14:paraId="6E103A1F" w14:textId="590C2A65" w:rsidR="003B042F" w:rsidRDefault="003B042F">
      <w:pPr>
        <w:pStyle w:val="TOC4"/>
        <w:rPr>
          <w:rFonts w:asciiTheme="minorHAnsi" w:eastAsiaTheme="minorEastAsia" w:hAnsiTheme="minorHAnsi"/>
          <w:noProof/>
          <w:sz w:val="22"/>
          <w:lang w:eastAsia="en-AU"/>
        </w:rPr>
      </w:pPr>
      <w:hyperlink w:anchor="_Toc175239246" w:history="1">
        <w:r w:rsidRPr="005871B3">
          <w:rPr>
            <w:rStyle w:val="Hyperlink"/>
            <w:noProof/>
          </w:rPr>
          <w:t>157.3—Notice of notifiable offences</w:t>
        </w:r>
        <w:r>
          <w:rPr>
            <w:noProof/>
            <w:webHidden/>
          </w:rPr>
          <w:tab/>
        </w:r>
        <w:r>
          <w:rPr>
            <w:noProof/>
            <w:webHidden/>
          </w:rPr>
          <w:fldChar w:fldCharType="begin"/>
        </w:r>
        <w:r>
          <w:rPr>
            <w:noProof/>
            <w:webHidden/>
          </w:rPr>
          <w:instrText xml:space="preserve"> PAGEREF _Toc175239246 \h </w:instrText>
        </w:r>
        <w:r>
          <w:rPr>
            <w:noProof/>
            <w:webHidden/>
          </w:rPr>
        </w:r>
        <w:r>
          <w:rPr>
            <w:noProof/>
            <w:webHidden/>
          </w:rPr>
          <w:fldChar w:fldCharType="separate"/>
        </w:r>
        <w:r w:rsidR="00FD06AB">
          <w:rPr>
            <w:noProof/>
            <w:webHidden/>
          </w:rPr>
          <w:t>178</w:t>
        </w:r>
        <w:r>
          <w:rPr>
            <w:noProof/>
            <w:webHidden/>
          </w:rPr>
          <w:fldChar w:fldCharType="end"/>
        </w:r>
      </w:hyperlink>
    </w:p>
    <w:p w14:paraId="7F92AADF" w14:textId="574878D1" w:rsidR="003B042F" w:rsidRDefault="003B042F">
      <w:pPr>
        <w:pStyle w:val="TOC4"/>
        <w:rPr>
          <w:rFonts w:asciiTheme="minorHAnsi" w:eastAsiaTheme="minorEastAsia" w:hAnsiTheme="minorHAnsi"/>
          <w:noProof/>
          <w:sz w:val="22"/>
          <w:lang w:eastAsia="en-AU"/>
        </w:rPr>
      </w:pPr>
      <w:hyperlink w:anchor="_Toc175239247" w:history="1">
        <w:r w:rsidRPr="005871B3">
          <w:rPr>
            <w:rStyle w:val="Hyperlink"/>
            <w:noProof/>
          </w:rPr>
          <w:t>157.4—Notice of intervention order</w:t>
        </w:r>
        <w:r>
          <w:rPr>
            <w:noProof/>
            <w:webHidden/>
          </w:rPr>
          <w:tab/>
        </w:r>
        <w:r>
          <w:rPr>
            <w:noProof/>
            <w:webHidden/>
          </w:rPr>
          <w:fldChar w:fldCharType="begin"/>
        </w:r>
        <w:r>
          <w:rPr>
            <w:noProof/>
            <w:webHidden/>
          </w:rPr>
          <w:instrText xml:space="preserve"> PAGEREF _Toc175239247 \h </w:instrText>
        </w:r>
        <w:r>
          <w:rPr>
            <w:noProof/>
            <w:webHidden/>
          </w:rPr>
        </w:r>
        <w:r>
          <w:rPr>
            <w:noProof/>
            <w:webHidden/>
          </w:rPr>
          <w:fldChar w:fldCharType="separate"/>
        </w:r>
        <w:r w:rsidR="00FD06AB">
          <w:rPr>
            <w:noProof/>
            <w:webHidden/>
          </w:rPr>
          <w:t>178</w:t>
        </w:r>
        <w:r>
          <w:rPr>
            <w:noProof/>
            <w:webHidden/>
          </w:rPr>
          <w:fldChar w:fldCharType="end"/>
        </w:r>
      </w:hyperlink>
    </w:p>
    <w:p w14:paraId="38B237B4" w14:textId="1D8854AA" w:rsidR="003B042F" w:rsidRDefault="003B042F">
      <w:pPr>
        <w:pStyle w:val="TOC4"/>
        <w:rPr>
          <w:rFonts w:asciiTheme="minorHAnsi" w:eastAsiaTheme="minorEastAsia" w:hAnsiTheme="minorHAnsi"/>
          <w:noProof/>
          <w:sz w:val="22"/>
          <w:lang w:eastAsia="en-AU"/>
        </w:rPr>
      </w:pPr>
      <w:hyperlink w:anchor="_Toc175239248" w:history="1">
        <w:r w:rsidRPr="005871B3">
          <w:rPr>
            <w:rStyle w:val="Hyperlink"/>
            <w:noProof/>
          </w:rPr>
          <w:t>157.5—Notice of order declaring liable to supervision</w:t>
        </w:r>
        <w:r>
          <w:rPr>
            <w:noProof/>
            <w:webHidden/>
          </w:rPr>
          <w:tab/>
        </w:r>
        <w:r>
          <w:rPr>
            <w:noProof/>
            <w:webHidden/>
          </w:rPr>
          <w:fldChar w:fldCharType="begin"/>
        </w:r>
        <w:r>
          <w:rPr>
            <w:noProof/>
            <w:webHidden/>
          </w:rPr>
          <w:instrText xml:space="preserve"> PAGEREF _Toc175239248 \h </w:instrText>
        </w:r>
        <w:r>
          <w:rPr>
            <w:noProof/>
            <w:webHidden/>
          </w:rPr>
        </w:r>
        <w:r>
          <w:rPr>
            <w:noProof/>
            <w:webHidden/>
          </w:rPr>
          <w:fldChar w:fldCharType="separate"/>
        </w:r>
        <w:r w:rsidR="00FD06AB">
          <w:rPr>
            <w:noProof/>
            <w:webHidden/>
          </w:rPr>
          <w:t>179</w:t>
        </w:r>
        <w:r>
          <w:rPr>
            <w:noProof/>
            <w:webHidden/>
          </w:rPr>
          <w:fldChar w:fldCharType="end"/>
        </w:r>
      </w:hyperlink>
    </w:p>
    <w:p w14:paraId="280FD6A0" w14:textId="27453EBA" w:rsidR="003B042F" w:rsidRDefault="003B042F">
      <w:pPr>
        <w:pStyle w:val="TOC4"/>
        <w:rPr>
          <w:rFonts w:asciiTheme="minorHAnsi" w:eastAsiaTheme="minorEastAsia" w:hAnsiTheme="minorHAnsi"/>
          <w:noProof/>
          <w:sz w:val="22"/>
          <w:lang w:eastAsia="en-AU"/>
        </w:rPr>
      </w:pPr>
      <w:hyperlink w:anchor="_Toc175239249" w:history="1">
        <w:r w:rsidRPr="005871B3">
          <w:rPr>
            <w:rStyle w:val="Hyperlink"/>
            <w:noProof/>
          </w:rPr>
          <w:t>157.6—Form of notice</w:t>
        </w:r>
        <w:r>
          <w:rPr>
            <w:noProof/>
            <w:webHidden/>
          </w:rPr>
          <w:tab/>
        </w:r>
        <w:r>
          <w:rPr>
            <w:noProof/>
            <w:webHidden/>
          </w:rPr>
          <w:fldChar w:fldCharType="begin"/>
        </w:r>
        <w:r>
          <w:rPr>
            <w:noProof/>
            <w:webHidden/>
          </w:rPr>
          <w:instrText xml:space="preserve"> PAGEREF _Toc175239249 \h </w:instrText>
        </w:r>
        <w:r>
          <w:rPr>
            <w:noProof/>
            <w:webHidden/>
          </w:rPr>
        </w:r>
        <w:r>
          <w:rPr>
            <w:noProof/>
            <w:webHidden/>
          </w:rPr>
          <w:fldChar w:fldCharType="separate"/>
        </w:r>
        <w:r w:rsidR="00FD06AB">
          <w:rPr>
            <w:noProof/>
            <w:webHidden/>
          </w:rPr>
          <w:t>179</w:t>
        </w:r>
        <w:r>
          <w:rPr>
            <w:noProof/>
            <w:webHidden/>
          </w:rPr>
          <w:fldChar w:fldCharType="end"/>
        </w:r>
      </w:hyperlink>
    </w:p>
    <w:p w14:paraId="02A970A0" w14:textId="365FA069" w:rsidR="003B042F" w:rsidRDefault="003B042F">
      <w:pPr>
        <w:pStyle w:val="TOC3"/>
        <w:rPr>
          <w:rFonts w:asciiTheme="minorHAnsi" w:eastAsiaTheme="minorEastAsia" w:hAnsiTheme="minorHAnsi"/>
          <w:b w:val="0"/>
          <w:noProof/>
          <w:sz w:val="22"/>
          <w:lang w:eastAsia="en-AU"/>
        </w:rPr>
      </w:pPr>
      <w:hyperlink w:anchor="_Toc175239250" w:history="1">
        <w:r w:rsidRPr="005871B3">
          <w:rPr>
            <w:rStyle w:val="Hyperlink"/>
            <w:noProof/>
          </w:rPr>
          <w:t>Division 3— Certificates</w:t>
        </w:r>
        <w:r>
          <w:rPr>
            <w:noProof/>
            <w:webHidden/>
          </w:rPr>
          <w:tab/>
        </w:r>
        <w:r>
          <w:rPr>
            <w:noProof/>
            <w:webHidden/>
          </w:rPr>
          <w:fldChar w:fldCharType="begin"/>
        </w:r>
        <w:r>
          <w:rPr>
            <w:noProof/>
            <w:webHidden/>
          </w:rPr>
          <w:instrText xml:space="preserve"> PAGEREF _Toc175239250 \h </w:instrText>
        </w:r>
        <w:r>
          <w:rPr>
            <w:noProof/>
            <w:webHidden/>
          </w:rPr>
        </w:r>
        <w:r>
          <w:rPr>
            <w:noProof/>
            <w:webHidden/>
          </w:rPr>
          <w:fldChar w:fldCharType="separate"/>
        </w:r>
        <w:r w:rsidR="00FD06AB">
          <w:rPr>
            <w:noProof/>
            <w:webHidden/>
          </w:rPr>
          <w:t>179</w:t>
        </w:r>
        <w:r>
          <w:rPr>
            <w:noProof/>
            <w:webHidden/>
          </w:rPr>
          <w:fldChar w:fldCharType="end"/>
        </w:r>
      </w:hyperlink>
    </w:p>
    <w:p w14:paraId="39525BF4" w14:textId="5A243608" w:rsidR="003B042F" w:rsidRDefault="003B042F">
      <w:pPr>
        <w:pStyle w:val="TOC4"/>
        <w:rPr>
          <w:rFonts w:asciiTheme="minorHAnsi" w:eastAsiaTheme="minorEastAsia" w:hAnsiTheme="minorHAnsi"/>
          <w:noProof/>
          <w:sz w:val="22"/>
          <w:lang w:eastAsia="en-AU"/>
        </w:rPr>
      </w:pPr>
      <w:hyperlink w:anchor="_Toc175239251" w:history="1">
        <w:r w:rsidRPr="005871B3">
          <w:rPr>
            <w:rStyle w:val="Hyperlink"/>
            <w:noProof/>
          </w:rPr>
          <w:t>158.7—Certificate for identity theft</w:t>
        </w:r>
        <w:r>
          <w:rPr>
            <w:noProof/>
            <w:webHidden/>
          </w:rPr>
          <w:tab/>
        </w:r>
        <w:r>
          <w:rPr>
            <w:noProof/>
            <w:webHidden/>
          </w:rPr>
          <w:fldChar w:fldCharType="begin"/>
        </w:r>
        <w:r>
          <w:rPr>
            <w:noProof/>
            <w:webHidden/>
          </w:rPr>
          <w:instrText xml:space="preserve"> PAGEREF _Toc175239251 \h </w:instrText>
        </w:r>
        <w:r>
          <w:rPr>
            <w:noProof/>
            <w:webHidden/>
          </w:rPr>
        </w:r>
        <w:r>
          <w:rPr>
            <w:noProof/>
            <w:webHidden/>
          </w:rPr>
          <w:fldChar w:fldCharType="separate"/>
        </w:r>
        <w:r w:rsidR="00FD06AB">
          <w:rPr>
            <w:noProof/>
            <w:webHidden/>
          </w:rPr>
          <w:t>179</w:t>
        </w:r>
        <w:r>
          <w:rPr>
            <w:noProof/>
            <w:webHidden/>
          </w:rPr>
          <w:fldChar w:fldCharType="end"/>
        </w:r>
      </w:hyperlink>
    </w:p>
    <w:p w14:paraId="279E7177" w14:textId="53B997A4"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52" w:history="1">
        <w:r w:rsidRPr="005871B3">
          <w:rPr>
            <w:rStyle w:val="Hyperlink"/>
            <w:noProof/>
          </w:rPr>
          <w:t>Part 7—Costs: Lower Courts</w:t>
        </w:r>
        <w:r>
          <w:rPr>
            <w:noProof/>
            <w:webHidden/>
          </w:rPr>
          <w:tab/>
        </w:r>
        <w:r>
          <w:rPr>
            <w:noProof/>
            <w:webHidden/>
          </w:rPr>
          <w:fldChar w:fldCharType="begin"/>
        </w:r>
        <w:r>
          <w:rPr>
            <w:noProof/>
            <w:webHidden/>
          </w:rPr>
          <w:instrText xml:space="preserve"> PAGEREF _Toc175239252 \h </w:instrText>
        </w:r>
        <w:r>
          <w:rPr>
            <w:noProof/>
            <w:webHidden/>
          </w:rPr>
        </w:r>
        <w:r>
          <w:rPr>
            <w:noProof/>
            <w:webHidden/>
          </w:rPr>
          <w:fldChar w:fldCharType="separate"/>
        </w:r>
        <w:r w:rsidR="00FD06AB">
          <w:rPr>
            <w:noProof/>
            <w:webHidden/>
          </w:rPr>
          <w:t>179</w:t>
        </w:r>
        <w:r>
          <w:rPr>
            <w:noProof/>
            <w:webHidden/>
          </w:rPr>
          <w:fldChar w:fldCharType="end"/>
        </w:r>
      </w:hyperlink>
    </w:p>
    <w:p w14:paraId="0473BA33" w14:textId="71523450" w:rsidR="003B042F" w:rsidRDefault="003B042F">
      <w:pPr>
        <w:pStyle w:val="TOC4"/>
        <w:rPr>
          <w:rFonts w:asciiTheme="minorHAnsi" w:eastAsiaTheme="minorEastAsia" w:hAnsiTheme="minorHAnsi"/>
          <w:noProof/>
          <w:sz w:val="22"/>
          <w:lang w:eastAsia="en-AU"/>
        </w:rPr>
      </w:pPr>
      <w:hyperlink w:anchor="_Toc175239253" w:history="1">
        <w:r w:rsidRPr="005871B3">
          <w:rPr>
            <w:rStyle w:val="Hyperlink"/>
            <w:noProof/>
          </w:rPr>
          <w:t>159.1—Exercise of costs discretion</w:t>
        </w:r>
        <w:r>
          <w:rPr>
            <w:noProof/>
            <w:webHidden/>
          </w:rPr>
          <w:tab/>
        </w:r>
        <w:r>
          <w:rPr>
            <w:noProof/>
            <w:webHidden/>
          </w:rPr>
          <w:fldChar w:fldCharType="begin"/>
        </w:r>
        <w:r>
          <w:rPr>
            <w:noProof/>
            <w:webHidden/>
          </w:rPr>
          <w:instrText xml:space="preserve"> PAGEREF _Toc175239253 \h </w:instrText>
        </w:r>
        <w:r>
          <w:rPr>
            <w:noProof/>
            <w:webHidden/>
          </w:rPr>
        </w:r>
        <w:r>
          <w:rPr>
            <w:noProof/>
            <w:webHidden/>
          </w:rPr>
          <w:fldChar w:fldCharType="separate"/>
        </w:r>
        <w:r w:rsidR="00FD06AB">
          <w:rPr>
            <w:noProof/>
            <w:webHidden/>
          </w:rPr>
          <w:t>179</w:t>
        </w:r>
        <w:r>
          <w:rPr>
            <w:noProof/>
            <w:webHidden/>
          </w:rPr>
          <w:fldChar w:fldCharType="end"/>
        </w:r>
      </w:hyperlink>
    </w:p>
    <w:p w14:paraId="66BAF371" w14:textId="1FA4B412" w:rsidR="003B042F" w:rsidRDefault="003B042F">
      <w:pPr>
        <w:pStyle w:val="TOC4"/>
        <w:rPr>
          <w:rFonts w:asciiTheme="minorHAnsi" w:eastAsiaTheme="minorEastAsia" w:hAnsiTheme="minorHAnsi"/>
          <w:noProof/>
          <w:sz w:val="22"/>
          <w:lang w:eastAsia="en-AU"/>
        </w:rPr>
      </w:pPr>
      <w:hyperlink w:anchor="_Toc175239254" w:history="1">
        <w:r w:rsidRPr="005871B3">
          <w:rPr>
            <w:rStyle w:val="Hyperlink"/>
            <w:noProof/>
          </w:rPr>
          <w:t>159.2—Scale of costs</w:t>
        </w:r>
        <w:r>
          <w:rPr>
            <w:noProof/>
            <w:webHidden/>
          </w:rPr>
          <w:tab/>
        </w:r>
        <w:r>
          <w:rPr>
            <w:noProof/>
            <w:webHidden/>
          </w:rPr>
          <w:fldChar w:fldCharType="begin"/>
        </w:r>
        <w:r>
          <w:rPr>
            <w:noProof/>
            <w:webHidden/>
          </w:rPr>
          <w:instrText xml:space="preserve"> PAGEREF _Toc175239254 \h </w:instrText>
        </w:r>
        <w:r>
          <w:rPr>
            <w:noProof/>
            <w:webHidden/>
          </w:rPr>
        </w:r>
        <w:r>
          <w:rPr>
            <w:noProof/>
            <w:webHidden/>
          </w:rPr>
          <w:fldChar w:fldCharType="separate"/>
        </w:r>
        <w:r w:rsidR="00FD06AB">
          <w:rPr>
            <w:noProof/>
            <w:webHidden/>
          </w:rPr>
          <w:t>180</w:t>
        </w:r>
        <w:r>
          <w:rPr>
            <w:noProof/>
            <w:webHidden/>
          </w:rPr>
          <w:fldChar w:fldCharType="end"/>
        </w:r>
      </w:hyperlink>
    </w:p>
    <w:p w14:paraId="2D1A29BE" w14:textId="7A209D88" w:rsidR="003B042F" w:rsidRDefault="003B042F">
      <w:pPr>
        <w:pStyle w:val="TOC4"/>
        <w:rPr>
          <w:rFonts w:asciiTheme="minorHAnsi" w:eastAsiaTheme="minorEastAsia" w:hAnsiTheme="minorHAnsi"/>
          <w:noProof/>
          <w:sz w:val="22"/>
          <w:lang w:eastAsia="en-AU"/>
        </w:rPr>
      </w:pPr>
      <w:hyperlink w:anchor="_Toc175239255" w:history="1">
        <w:r w:rsidRPr="005871B3">
          <w:rPr>
            <w:rStyle w:val="Hyperlink"/>
            <w:noProof/>
          </w:rPr>
          <w:t>159.3—Lower Court costs scale</w:t>
        </w:r>
        <w:r>
          <w:rPr>
            <w:noProof/>
            <w:webHidden/>
          </w:rPr>
          <w:tab/>
        </w:r>
        <w:r>
          <w:rPr>
            <w:noProof/>
            <w:webHidden/>
          </w:rPr>
          <w:fldChar w:fldCharType="begin"/>
        </w:r>
        <w:r>
          <w:rPr>
            <w:noProof/>
            <w:webHidden/>
          </w:rPr>
          <w:instrText xml:space="preserve"> PAGEREF _Toc175239255 \h </w:instrText>
        </w:r>
        <w:r>
          <w:rPr>
            <w:noProof/>
            <w:webHidden/>
          </w:rPr>
        </w:r>
        <w:r>
          <w:rPr>
            <w:noProof/>
            <w:webHidden/>
          </w:rPr>
          <w:fldChar w:fldCharType="separate"/>
        </w:r>
        <w:r w:rsidR="00FD06AB">
          <w:rPr>
            <w:noProof/>
            <w:webHidden/>
          </w:rPr>
          <w:t>180</w:t>
        </w:r>
        <w:r>
          <w:rPr>
            <w:noProof/>
            <w:webHidden/>
          </w:rPr>
          <w:fldChar w:fldCharType="end"/>
        </w:r>
      </w:hyperlink>
    </w:p>
    <w:p w14:paraId="5FC022E2" w14:textId="020F9860"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256" w:history="1">
        <w:r w:rsidRPr="005871B3">
          <w:rPr>
            <w:rStyle w:val="Hyperlink"/>
            <w:noProof/>
          </w:rPr>
          <w:t>Chapter 8—Variation and enforcement</w:t>
        </w:r>
        <w:r>
          <w:rPr>
            <w:noProof/>
            <w:webHidden/>
          </w:rPr>
          <w:tab/>
        </w:r>
        <w:r>
          <w:rPr>
            <w:noProof/>
            <w:webHidden/>
          </w:rPr>
          <w:fldChar w:fldCharType="begin"/>
        </w:r>
        <w:r>
          <w:rPr>
            <w:noProof/>
            <w:webHidden/>
          </w:rPr>
          <w:instrText xml:space="preserve"> PAGEREF _Toc175239256 \h </w:instrText>
        </w:r>
        <w:r>
          <w:rPr>
            <w:noProof/>
            <w:webHidden/>
          </w:rPr>
        </w:r>
        <w:r>
          <w:rPr>
            <w:noProof/>
            <w:webHidden/>
          </w:rPr>
          <w:fldChar w:fldCharType="separate"/>
        </w:r>
        <w:r w:rsidR="00FD06AB">
          <w:rPr>
            <w:noProof/>
            <w:webHidden/>
          </w:rPr>
          <w:t>181</w:t>
        </w:r>
        <w:r>
          <w:rPr>
            <w:noProof/>
            <w:webHidden/>
          </w:rPr>
          <w:fldChar w:fldCharType="end"/>
        </w:r>
      </w:hyperlink>
    </w:p>
    <w:p w14:paraId="69070F2B" w14:textId="02DC822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57" w:history="1">
        <w:r w:rsidRPr="005871B3">
          <w:rPr>
            <w:rStyle w:val="Hyperlink"/>
            <w:noProof/>
          </w:rPr>
          <w:t>Part 1—Variation</w:t>
        </w:r>
        <w:r>
          <w:rPr>
            <w:noProof/>
            <w:webHidden/>
          </w:rPr>
          <w:tab/>
        </w:r>
        <w:r>
          <w:rPr>
            <w:noProof/>
            <w:webHidden/>
          </w:rPr>
          <w:fldChar w:fldCharType="begin"/>
        </w:r>
        <w:r>
          <w:rPr>
            <w:noProof/>
            <w:webHidden/>
          </w:rPr>
          <w:instrText xml:space="preserve"> PAGEREF _Toc175239257 \h </w:instrText>
        </w:r>
        <w:r>
          <w:rPr>
            <w:noProof/>
            <w:webHidden/>
          </w:rPr>
        </w:r>
        <w:r>
          <w:rPr>
            <w:noProof/>
            <w:webHidden/>
          </w:rPr>
          <w:fldChar w:fldCharType="separate"/>
        </w:r>
        <w:r w:rsidR="00FD06AB">
          <w:rPr>
            <w:noProof/>
            <w:webHidden/>
          </w:rPr>
          <w:t>181</w:t>
        </w:r>
        <w:r>
          <w:rPr>
            <w:noProof/>
            <w:webHidden/>
          </w:rPr>
          <w:fldChar w:fldCharType="end"/>
        </w:r>
      </w:hyperlink>
    </w:p>
    <w:p w14:paraId="4EDDC102" w14:textId="5BBFDF1A" w:rsidR="003B042F" w:rsidRDefault="003B042F">
      <w:pPr>
        <w:pStyle w:val="TOC3"/>
        <w:rPr>
          <w:rFonts w:asciiTheme="minorHAnsi" w:eastAsiaTheme="minorEastAsia" w:hAnsiTheme="minorHAnsi"/>
          <w:b w:val="0"/>
          <w:noProof/>
          <w:sz w:val="22"/>
          <w:lang w:eastAsia="en-AU"/>
        </w:rPr>
      </w:pPr>
      <w:hyperlink w:anchor="_Toc175239258" w:history="1">
        <w:r w:rsidRPr="005871B3">
          <w:rPr>
            <w:rStyle w:val="Hyperlink"/>
            <w:noProof/>
          </w:rPr>
          <w:t>Division 1—Conviction or order</w:t>
        </w:r>
        <w:r>
          <w:rPr>
            <w:noProof/>
            <w:webHidden/>
          </w:rPr>
          <w:tab/>
        </w:r>
        <w:r>
          <w:rPr>
            <w:noProof/>
            <w:webHidden/>
          </w:rPr>
          <w:fldChar w:fldCharType="begin"/>
        </w:r>
        <w:r>
          <w:rPr>
            <w:noProof/>
            <w:webHidden/>
          </w:rPr>
          <w:instrText xml:space="preserve"> PAGEREF _Toc175239258 \h </w:instrText>
        </w:r>
        <w:r>
          <w:rPr>
            <w:noProof/>
            <w:webHidden/>
          </w:rPr>
        </w:r>
        <w:r>
          <w:rPr>
            <w:noProof/>
            <w:webHidden/>
          </w:rPr>
          <w:fldChar w:fldCharType="separate"/>
        </w:r>
        <w:r w:rsidR="00FD06AB">
          <w:rPr>
            <w:noProof/>
            <w:webHidden/>
          </w:rPr>
          <w:t>181</w:t>
        </w:r>
        <w:r>
          <w:rPr>
            <w:noProof/>
            <w:webHidden/>
          </w:rPr>
          <w:fldChar w:fldCharType="end"/>
        </w:r>
      </w:hyperlink>
    </w:p>
    <w:p w14:paraId="2C424225" w14:textId="02CCAE49" w:rsidR="003B042F" w:rsidRDefault="003B042F">
      <w:pPr>
        <w:pStyle w:val="TOC4"/>
        <w:rPr>
          <w:rFonts w:asciiTheme="minorHAnsi" w:eastAsiaTheme="minorEastAsia" w:hAnsiTheme="minorHAnsi"/>
          <w:noProof/>
          <w:sz w:val="22"/>
          <w:lang w:eastAsia="en-AU"/>
        </w:rPr>
      </w:pPr>
      <w:hyperlink w:anchor="_Toc175239259" w:history="1">
        <w:r w:rsidRPr="005871B3">
          <w:rPr>
            <w:rStyle w:val="Hyperlink"/>
            <w:noProof/>
          </w:rPr>
          <w:t>161.1—Application to set aside conviction or order</w:t>
        </w:r>
        <w:r>
          <w:rPr>
            <w:noProof/>
            <w:webHidden/>
          </w:rPr>
          <w:tab/>
        </w:r>
        <w:r>
          <w:rPr>
            <w:noProof/>
            <w:webHidden/>
          </w:rPr>
          <w:fldChar w:fldCharType="begin"/>
        </w:r>
        <w:r>
          <w:rPr>
            <w:noProof/>
            <w:webHidden/>
          </w:rPr>
          <w:instrText xml:space="preserve"> PAGEREF _Toc175239259 \h </w:instrText>
        </w:r>
        <w:r>
          <w:rPr>
            <w:noProof/>
            <w:webHidden/>
          </w:rPr>
        </w:r>
        <w:r>
          <w:rPr>
            <w:noProof/>
            <w:webHidden/>
          </w:rPr>
          <w:fldChar w:fldCharType="separate"/>
        </w:r>
        <w:r w:rsidR="00FD06AB">
          <w:rPr>
            <w:noProof/>
            <w:webHidden/>
          </w:rPr>
          <w:t>181</w:t>
        </w:r>
        <w:r>
          <w:rPr>
            <w:noProof/>
            <w:webHidden/>
          </w:rPr>
          <w:fldChar w:fldCharType="end"/>
        </w:r>
      </w:hyperlink>
    </w:p>
    <w:p w14:paraId="04F045CF" w14:textId="155126E2" w:rsidR="003B042F" w:rsidRDefault="003B042F">
      <w:pPr>
        <w:pStyle w:val="TOC4"/>
        <w:rPr>
          <w:rFonts w:asciiTheme="minorHAnsi" w:eastAsiaTheme="minorEastAsia" w:hAnsiTheme="minorHAnsi"/>
          <w:noProof/>
          <w:sz w:val="22"/>
          <w:lang w:eastAsia="en-AU"/>
        </w:rPr>
      </w:pPr>
      <w:hyperlink w:anchor="_Toc175239260" w:history="1">
        <w:r w:rsidRPr="005871B3">
          <w:rPr>
            <w:rStyle w:val="Hyperlink"/>
            <w:noProof/>
          </w:rPr>
          <w:t>161.2—Order setting aside conviction or order</w:t>
        </w:r>
        <w:r>
          <w:rPr>
            <w:noProof/>
            <w:webHidden/>
          </w:rPr>
          <w:tab/>
        </w:r>
        <w:r>
          <w:rPr>
            <w:noProof/>
            <w:webHidden/>
          </w:rPr>
          <w:fldChar w:fldCharType="begin"/>
        </w:r>
        <w:r>
          <w:rPr>
            <w:noProof/>
            <w:webHidden/>
          </w:rPr>
          <w:instrText xml:space="preserve"> PAGEREF _Toc175239260 \h </w:instrText>
        </w:r>
        <w:r>
          <w:rPr>
            <w:noProof/>
            <w:webHidden/>
          </w:rPr>
        </w:r>
        <w:r>
          <w:rPr>
            <w:noProof/>
            <w:webHidden/>
          </w:rPr>
          <w:fldChar w:fldCharType="separate"/>
        </w:r>
        <w:r w:rsidR="00FD06AB">
          <w:rPr>
            <w:noProof/>
            <w:webHidden/>
          </w:rPr>
          <w:t>181</w:t>
        </w:r>
        <w:r>
          <w:rPr>
            <w:noProof/>
            <w:webHidden/>
          </w:rPr>
          <w:fldChar w:fldCharType="end"/>
        </w:r>
      </w:hyperlink>
    </w:p>
    <w:p w14:paraId="10B2CACD" w14:textId="676EC562" w:rsidR="003B042F" w:rsidRDefault="003B042F">
      <w:pPr>
        <w:pStyle w:val="TOC3"/>
        <w:rPr>
          <w:rFonts w:asciiTheme="minorHAnsi" w:eastAsiaTheme="minorEastAsia" w:hAnsiTheme="minorHAnsi"/>
          <w:b w:val="0"/>
          <w:noProof/>
          <w:sz w:val="22"/>
          <w:lang w:eastAsia="en-AU"/>
        </w:rPr>
      </w:pPr>
      <w:hyperlink w:anchor="_Toc175239261" w:history="1">
        <w:r w:rsidRPr="005871B3">
          <w:rPr>
            <w:rStyle w:val="Hyperlink"/>
            <w:noProof/>
          </w:rPr>
          <w:t>Division 2—Non-parole period</w:t>
        </w:r>
        <w:r>
          <w:rPr>
            <w:noProof/>
            <w:webHidden/>
          </w:rPr>
          <w:tab/>
        </w:r>
        <w:r>
          <w:rPr>
            <w:noProof/>
            <w:webHidden/>
          </w:rPr>
          <w:fldChar w:fldCharType="begin"/>
        </w:r>
        <w:r>
          <w:rPr>
            <w:noProof/>
            <w:webHidden/>
          </w:rPr>
          <w:instrText xml:space="preserve"> PAGEREF _Toc175239261 \h </w:instrText>
        </w:r>
        <w:r>
          <w:rPr>
            <w:noProof/>
            <w:webHidden/>
          </w:rPr>
        </w:r>
        <w:r>
          <w:rPr>
            <w:noProof/>
            <w:webHidden/>
          </w:rPr>
          <w:fldChar w:fldCharType="separate"/>
        </w:r>
        <w:r w:rsidR="00FD06AB">
          <w:rPr>
            <w:noProof/>
            <w:webHidden/>
          </w:rPr>
          <w:t>181</w:t>
        </w:r>
        <w:r>
          <w:rPr>
            <w:noProof/>
            <w:webHidden/>
          </w:rPr>
          <w:fldChar w:fldCharType="end"/>
        </w:r>
      </w:hyperlink>
    </w:p>
    <w:p w14:paraId="361AE195" w14:textId="04C9BC9D" w:rsidR="003B042F" w:rsidRDefault="003B042F">
      <w:pPr>
        <w:pStyle w:val="TOC4"/>
        <w:rPr>
          <w:rFonts w:asciiTheme="minorHAnsi" w:eastAsiaTheme="minorEastAsia" w:hAnsiTheme="minorHAnsi"/>
          <w:noProof/>
          <w:sz w:val="22"/>
          <w:lang w:eastAsia="en-AU"/>
        </w:rPr>
      </w:pPr>
      <w:hyperlink w:anchor="_Toc175239262" w:history="1">
        <w:r w:rsidRPr="005871B3">
          <w:rPr>
            <w:rStyle w:val="Hyperlink"/>
            <w:noProof/>
          </w:rPr>
          <w:t>162.1—Application to fix non-parole period</w:t>
        </w:r>
        <w:r>
          <w:rPr>
            <w:noProof/>
            <w:webHidden/>
          </w:rPr>
          <w:tab/>
        </w:r>
        <w:r>
          <w:rPr>
            <w:noProof/>
            <w:webHidden/>
          </w:rPr>
          <w:fldChar w:fldCharType="begin"/>
        </w:r>
        <w:r>
          <w:rPr>
            <w:noProof/>
            <w:webHidden/>
          </w:rPr>
          <w:instrText xml:space="preserve"> PAGEREF _Toc175239262 \h </w:instrText>
        </w:r>
        <w:r>
          <w:rPr>
            <w:noProof/>
            <w:webHidden/>
          </w:rPr>
        </w:r>
        <w:r>
          <w:rPr>
            <w:noProof/>
            <w:webHidden/>
          </w:rPr>
          <w:fldChar w:fldCharType="separate"/>
        </w:r>
        <w:r w:rsidR="00FD06AB">
          <w:rPr>
            <w:noProof/>
            <w:webHidden/>
          </w:rPr>
          <w:t>181</w:t>
        </w:r>
        <w:r>
          <w:rPr>
            <w:noProof/>
            <w:webHidden/>
          </w:rPr>
          <w:fldChar w:fldCharType="end"/>
        </w:r>
      </w:hyperlink>
    </w:p>
    <w:p w14:paraId="404CD311" w14:textId="4BE59A7B" w:rsidR="003B042F" w:rsidRDefault="003B042F">
      <w:pPr>
        <w:pStyle w:val="TOC4"/>
        <w:rPr>
          <w:rFonts w:asciiTheme="minorHAnsi" w:eastAsiaTheme="minorEastAsia" w:hAnsiTheme="minorHAnsi"/>
          <w:noProof/>
          <w:sz w:val="22"/>
          <w:lang w:eastAsia="en-AU"/>
        </w:rPr>
      </w:pPr>
      <w:hyperlink w:anchor="_Toc175239263" w:history="1">
        <w:r w:rsidRPr="005871B3">
          <w:rPr>
            <w:rStyle w:val="Hyperlink"/>
            <w:noProof/>
          </w:rPr>
          <w:t>162.2—Application to extend non-parole period</w:t>
        </w:r>
        <w:r>
          <w:rPr>
            <w:noProof/>
            <w:webHidden/>
          </w:rPr>
          <w:tab/>
        </w:r>
        <w:r>
          <w:rPr>
            <w:noProof/>
            <w:webHidden/>
          </w:rPr>
          <w:fldChar w:fldCharType="begin"/>
        </w:r>
        <w:r>
          <w:rPr>
            <w:noProof/>
            <w:webHidden/>
          </w:rPr>
          <w:instrText xml:space="preserve"> PAGEREF _Toc175239263 \h </w:instrText>
        </w:r>
        <w:r>
          <w:rPr>
            <w:noProof/>
            <w:webHidden/>
          </w:rPr>
        </w:r>
        <w:r>
          <w:rPr>
            <w:noProof/>
            <w:webHidden/>
          </w:rPr>
          <w:fldChar w:fldCharType="separate"/>
        </w:r>
        <w:r w:rsidR="00FD06AB">
          <w:rPr>
            <w:noProof/>
            <w:webHidden/>
          </w:rPr>
          <w:t>181</w:t>
        </w:r>
        <w:r>
          <w:rPr>
            <w:noProof/>
            <w:webHidden/>
          </w:rPr>
          <w:fldChar w:fldCharType="end"/>
        </w:r>
      </w:hyperlink>
    </w:p>
    <w:p w14:paraId="5E4A0705" w14:textId="19C71C9F" w:rsidR="003B042F" w:rsidRDefault="003B042F">
      <w:pPr>
        <w:pStyle w:val="TOC4"/>
        <w:rPr>
          <w:rFonts w:asciiTheme="minorHAnsi" w:eastAsiaTheme="minorEastAsia" w:hAnsiTheme="minorHAnsi"/>
          <w:noProof/>
          <w:sz w:val="22"/>
          <w:lang w:eastAsia="en-AU"/>
        </w:rPr>
      </w:pPr>
      <w:hyperlink w:anchor="_Toc175239264" w:history="1">
        <w:r w:rsidRPr="005871B3">
          <w:rPr>
            <w:rStyle w:val="Hyperlink"/>
            <w:noProof/>
          </w:rPr>
          <w:t>162.3—Order on application to fix or extend non-parole period</w:t>
        </w:r>
        <w:r>
          <w:rPr>
            <w:noProof/>
            <w:webHidden/>
          </w:rPr>
          <w:tab/>
        </w:r>
        <w:r>
          <w:rPr>
            <w:noProof/>
            <w:webHidden/>
          </w:rPr>
          <w:fldChar w:fldCharType="begin"/>
        </w:r>
        <w:r>
          <w:rPr>
            <w:noProof/>
            <w:webHidden/>
          </w:rPr>
          <w:instrText xml:space="preserve"> PAGEREF _Toc175239264 \h </w:instrText>
        </w:r>
        <w:r>
          <w:rPr>
            <w:noProof/>
            <w:webHidden/>
          </w:rPr>
        </w:r>
        <w:r>
          <w:rPr>
            <w:noProof/>
            <w:webHidden/>
          </w:rPr>
          <w:fldChar w:fldCharType="separate"/>
        </w:r>
        <w:r w:rsidR="00FD06AB">
          <w:rPr>
            <w:noProof/>
            <w:webHidden/>
          </w:rPr>
          <w:t>182</w:t>
        </w:r>
        <w:r>
          <w:rPr>
            <w:noProof/>
            <w:webHidden/>
          </w:rPr>
          <w:fldChar w:fldCharType="end"/>
        </w:r>
      </w:hyperlink>
    </w:p>
    <w:p w14:paraId="58FC2E78" w14:textId="0776B988" w:rsidR="003B042F" w:rsidRDefault="003B042F">
      <w:pPr>
        <w:pStyle w:val="TOC3"/>
        <w:rPr>
          <w:rFonts w:asciiTheme="minorHAnsi" w:eastAsiaTheme="minorEastAsia" w:hAnsiTheme="minorHAnsi"/>
          <w:b w:val="0"/>
          <w:noProof/>
          <w:sz w:val="22"/>
          <w:lang w:eastAsia="en-AU"/>
        </w:rPr>
      </w:pPr>
      <w:hyperlink w:anchor="_Toc175239265" w:history="1">
        <w:r w:rsidRPr="005871B3">
          <w:rPr>
            <w:rStyle w:val="Hyperlink"/>
            <w:noProof/>
          </w:rPr>
          <w:t>Division 3—Bond, obligation or recognizance</w:t>
        </w:r>
        <w:r>
          <w:rPr>
            <w:noProof/>
            <w:webHidden/>
          </w:rPr>
          <w:tab/>
        </w:r>
        <w:r>
          <w:rPr>
            <w:noProof/>
            <w:webHidden/>
          </w:rPr>
          <w:fldChar w:fldCharType="begin"/>
        </w:r>
        <w:r>
          <w:rPr>
            <w:noProof/>
            <w:webHidden/>
          </w:rPr>
          <w:instrText xml:space="preserve"> PAGEREF _Toc175239265 \h </w:instrText>
        </w:r>
        <w:r>
          <w:rPr>
            <w:noProof/>
            <w:webHidden/>
          </w:rPr>
        </w:r>
        <w:r>
          <w:rPr>
            <w:noProof/>
            <w:webHidden/>
          </w:rPr>
          <w:fldChar w:fldCharType="separate"/>
        </w:r>
        <w:r w:rsidR="00FD06AB">
          <w:rPr>
            <w:noProof/>
            <w:webHidden/>
          </w:rPr>
          <w:t>182</w:t>
        </w:r>
        <w:r>
          <w:rPr>
            <w:noProof/>
            <w:webHidden/>
          </w:rPr>
          <w:fldChar w:fldCharType="end"/>
        </w:r>
      </w:hyperlink>
    </w:p>
    <w:p w14:paraId="5D8FA1C3" w14:textId="6705EB25" w:rsidR="003B042F" w:rsidRDefault="003B042F">
      <w:pPr>
        <w:pStyle w:val="TOC4"/>
        <w:rPr>
          <w:rFonts w:asciiTheme="minorHAnsi" w:eastAsiaTheme="minorEastAsia" w:hAnsiTheme="minorHAnsi"/>
          <w:noProof/>
          <w:sz w:val="22"/>
          <w:lang w:eastAsia="en-AU"/>
        </w:rPr>
      </w:pPr>
      <w:hyperlink w:anchor="_Toc175239266" w:history="1">
        <w:r w:rsidRPr="005871B3">
          <w:rPr>
            <w:rStyle w:val="Hyperlink"/>
            <w:noProof/>
          </w:rPr>
          <w:t>163.1—Application to vary or revoke condition or discharge bond or obligation</w:t>
        </w:r>
        <w:r>
          <w:rPr>
            <w:noProof/>
            <w:webHidden/>
          </w:rPr>
          <w:tab/>
        </w:r>
        <w:r>
          <w:rPr>
            <w:noProof/>
            <w:webHidden/>
          </w:rPr>
          <w:fldChar w:fldCharType="begin"/>
        </w:r>
        <w:r>
          <w:rPr>
            <w:noProof/>
            <w:webHidden/>
          </w:rPr>
          <w:instrText xml:space="preserve"> PAGEREF _Toc175239266 \h </w:instrText>
        </w:r>
        <w:r>
          <w:rPr>
            <w:noProof/>
            <w:webHidden/>
          </w:rPr>
        </w:r>
        <w:r>
          <w:rPr>
            <w:noProof/>
            <w:webHidden/>
          </w:rPr>
          <w:fldChar w:fldCharType="separate"/>
        </w:r>
        <w:r w:rsidR="00FD06AB">
          <w:rPr>
            <w:noProof/>
            <w:webHidden/>
          </w:rPr>
          <w:t>182</w:t>
        </w:r>
        <w:r>
          <w:rPr>
            <w:noProof/>
            <w:webHidden/>
          </w:rPr>
          <w:fldChar w:fldCharType="end"/>
        </w:r>
      </w:hyperlink>
    </w:p>
    <w:p w14:paraId="6A3D8C74" w14:textId="4635E9CE" w:rsidR="003B042F" w:rsidRDefault="003B042F">
      <w:pPr>
        <w:pStyle w:val="TOC4"/>
        <w:rPr>
          <w:rFonts w:asciiTheme="minorHAnsi" w:eastAsiaTheme="minorEastAsia" w:hAnsiTheme="minorHAnsi"/>
          <w:noProof/>
          <w:sz w:val="22"/>
          <w:lang w:eastAsia="en-AU"/>
        </w:rPr>
      </w:pPr>
      <w:hyperlink w:anchor="_Toc175239267" w:history="1">
        <w:r w:rsidRPr="005871B3">
          <w:rPr>
            <w:rStyle w:val="Hyperlink"/>
            <w:noProof/>
          </w:rPr>
          <w:t>163.2—Application to vary or revoke recognizance: All Courts except Youth Court</w:t>
        </w:r>
        <w:r>
          <w:rPr>
            <w:noProof/>
            <w:webHidden/>
          </w:rPr>
          <w:tab/>
        </w:r>
        <w:r>
          <w:rPr>
            <w:noProof/>
            <w:webHidden/>
          </w:rPr>
          <w:fldChar w:fldCharType="begin"/>
        </w:r>
        <w:r>
          <w:rPr>
            <w:noProof/>
            <w:webHidden/>
          </w:rPr>
          <w:instrText xml:space="preserve"> PAGEREF _Toc175239267 \h </w:instrText>
        </w:r>
        <w:r>
          <w:rPr>
            <w:noProof/>
            <w:webHidden/>
          </w:rPr>
        </w:r>
        <w:r>
          <w:rPr>
            <w:noProof/>
            <w:webHidden/>
          </w:rPr>
          <w:fldChar w:fldCharType="separate"/>
        </w:r>
        <w:r w:rsidR="00FD06AB">
          <w:rPr>
            <w:noProof/>
            <w:webHidden/>
          </w:rPr>
          <w:t>182</w:t>
        </w:r>
        <w:r>
          <w:rPr>
            <w:noProof/>
            <w:webHidden/>
          </w:rPr>
          <w:fldChar w:fldCharType="end"/>
        </w:r>
      </w:hyperlink>
    </w:p>
    <w:p w14:paraId="56423D71" w14:textId="3E076C9F" w:rsidR="003B042F" w:rsidRDefault="003B042F">
      <w:pPr>
        <w:pStyle w:val="TOC4"/>
        <w:rPr>
          <w:rFonts w:asciiTheme="minorHAnsi" w:eastAsiaTheme="minorEastAsia" w:hAnsiTheme="minorHAnsi"/>
          <w:noProof/>
          <w:sz w:val="22"/>
          <w:lang w:eastAsia="en-AU"/>
        </w:rPr>
      </w:pPr>
      <w:hyperlink w:anchor="_Toc175239268" w:history="1">
        <w:r w:rsidRPr="005871B3">
          <w:rPr>
            <w:rStyle w:val="Hyperlink"/>
            <w:noProof/>
          </w:rPr>
          <w:t>163.3—Order on application to vary or revoke bond, obligation or recognizance</w:t>
        </w:r>
        <w:r>
          <w:rPr>
            <w:noProof/>
            <w:webHidden/>
          </w:rPr>
          <w:tab/>
        </w:r>
        <w:r>
          <w:rPr>
            <w:noProof/>
            <w:webHidden/>
          </w:rPr>
          <w:fldChar w:fldCharType="begin"/>
        </w:r>
        <w:r>
          <w:rPr>
            <w:noProof/>
            <w:webHidden/>
          </w:rPr>
          <w:instrText xml:space="preserve"> PAGEREF _Toc175239268 \h </w:instrText>
        </w:r>
        <w:r>
          <w:rPr>
            <w:noProof/>
            <w:webHidden/>
          </w:rPr>
        </w:r>
        <w:r>
          <w:rPr>
            <w:noProof/>
            <w:webHidden/>
          </w:rPr>
          <w:fldChar w:fldCharType="separate"/>
        </w:r>
        <w:r w:rsidR="00FD06AB">
          <w:rPr>
            <w:noProof/>
            <w:webHidden/>
          </w:rPr>
          <w:t>183</w:t>
        </w:r>
        <w:r>
          <w:rPr>
            <w:noProof/>
            <w:webHidden/>
          </w:rPr>
          <w:fldChar w:fldCharType="end"/>
        </w:r>
      </w:hyperlink>
    </w:p>
    <w:p w14:paraId="463C0931" w14:textId="29A96228" w:rsidR="003B042F" w:rsidRDefault="003B042F">
      <w:pPr>
        <w:pStyle w:val="TOC3"/>
        <w:rPr>
          <w:rFonts w:asciiTheme="minorHAnsi" w:eastAsiaTheme="minorEastAsia" w:hAnsiTheme="minorHAnsi"/>
          <w:b w:val="0"/>
          <w:noProof/>
          <w:sz w:val="22"/>
          <w:lang w:eastAsia="en-AU"/>
        </w:rPr>
      </w:pPr>
      <w:hyperlink w:anchor="_Toc175239269" w:history="1">
        <w:r w:rsidRPr="005871B3">
          <w:rPr>
            <w:rStyle w:val="Hyperlink"/>
            <w:noProof/>
          </w:rPr>
          <w:t>Division 4—Community service order</w:t>
        </w:r>
        <w:r>
          <w:rPr>
            <w:noProof/>
            <w:webHidden/>
          </w:rPr>
          <w:tab/>
        </w:r>
        <w:r>
          <w:rPr>
            <w:noProof/>
            <w:webHidden/>
          </w:rPr>
          <w:fldChar w:fldCharType="begin"/>
        </w:r>
        <w:r>
          <w:rPr>
            <w:noProof/>
            <w:webHidden/>
          </w:rPr>
          <w:instrText xml:space="preserve"> PAGEREF _Toc175239269 \h </w:instrText>
        </w:r>
        <w:r>
          <w:rPr>
            <w:noProof/>
            <w:webHidden/>
          </w:rPr>
        </w:r>
        <w:r>
          <w:rPr>
            <w:noProof/>
            <w:webHidden/>
          </w:rPr>
          <w:fldChar w:fldCharType="separate"/>
        </w:r>
        <w:r w:rsidR="00FD06AB">
          <w:rPr>
            <w:noProof/>
            <w:webHidden/>
          </w:rPr>
          <w:t>183</w:t>
        </w:r>
        <w:r>
          <w:rPr>
            <w:noProof/>
            <w:webHidden/>
          </w:rPr>
          <w:fldChar w:fldCharType="end"/>
        </w:r>
      </w:hyperlink>
    </w:p>
    <w:p w14:paraId="08398149" w14:textId="1BB516B5" w:rsidR="003B042F" w:rsidRDefault="003B042F">
      <w:pPr>
        <w:pStyle w:val="TOC4"/>
        <w:rPr>
          <w:rFonts w:asciiTheme="minorHAnsi" w:eastAsiaTheme="minorEastAsia" w:hAnsiTheme="minorHAnsi"/>
          <w:noProof/>
          <w:sz w:val="22"/>
          <w:lang w:eastAsia="en-AU"/>
        </w:rPr>
      </w:pPr>
      <w:hyperlink w:anchor="_Toc175239270" w:history="1">
        <w:r w:rsidRPr="005871B3">
          <w:rPr>
            <w:rStyle w:val="Hyperlink"/>
            <w:noProof/>
          </w:rPr>
          <w:t>164.1—Application to vary community service order</w:t>
        </w:r>
        <w:r>
          <w:rPr>
            <w:noProof/>
            <w:webHidden/>
          </w:rPr>
          <w:tab/>
        </w:r>
        <w:r>
          <w:rPr>
            <w:noProof/>
            <w:webHidden/>
          </w:rPr>
          <w:fldChar w:fldCharType="begin"/>
        </w:r>
        <w:r>
          <w:rPr>
            <w:noProof/>
            <w:webHidden/>
          </w:rPr>
          <w:instrText xml:space="preserve"> PAGEREF _Toc175239270 \h </w:instrText>
        </w:r>
        <w:r>
          <w:rPr>
            <w:noProof/>
            <w:webHidden/>
          </w:rPr>
        </w:r>
        <w:r>
          <w:rPr>
            <w:noProof/>
            <w:webHidden/>
          </w:rPr>
          <w:fldChar w:fldCharType="separate"/>
        </w:r>
        <w:r w:rsidR="00FD06AB">
          <w:rPr>
            <w:noProof/>
            <w:webHidden/>
          </w:rPr>
          <w:t>183</w:t>
        </w:r>
        <w:r>
          <w:rPr>
            <w:noProof/>
            <w:webHidden/>
          </w:rPr>
          <w:fldChar w:fldCharType="end"/>
        </w:r>
      </w:hyperlink>
    </w:p>
    <w:p w14:paraId="212170E3" w14:textId="403FBF9A" w:rsidR="003B042F" w:rsidRDefault="003B042F">
      <w:pPr>
        <w:pStyle w:val="TOC4"/>
        <w:rPr>
          <w:rFonts w:asciiTheme="minorHAnsi" w:eastAsiaTheme="minorEastAsia" w:hAnsiTheme="minorHAnsi"/>
          <w:noProof/>
          <w:sz w:val="22"/>
          <w:lang w:eastAsia="en-AU"/>
        </w:rPr>
      </w:pPr>
      <w:hyperlink w:anchor="_Toc175239271" w:history="1">
        <w:r w:rsidRPr="005871B3">
          <w:rPr>
            <w:rStyle w:val="Hyperlink"/>
            <w:noProof/>
          </w:rPr>
          <w:t>164.2—Order on application to vary community service order</w:t>
        </w:r>
        <w:r>
          <w:rPr>
            <w:noProof/>
            <w:webHidden/>
          </w:rPr>
          <w:tab/>
        </w:r>
        <w:r>
          <w:rPr>
            <w:noProof/>
            <w:webHidden/>
          </w:rPr>
          <w:fldChar w:fldCharType="begin"/>
        </w:r>
        <w:r>
          <w:rPr>
            <w:noProof/>
            <w:webHidden/>
          </w:rPr>
          <w:instrText xml:space="preserve"> PAGEREF _Toc175239271 \h </w:instrText>
        </w:r>
        <w:r>
          <w:rPr>
            <w:noProof/>
            <w:webHidden/>
          </w:rPr>
        </w:r>
        <w:r>
          <w:rPr>
            <w:noProof/>
            <w:webHidden/>
          </w:rPr>
          <w:fldChar w:fldCharType="separate"/>
        </w:r>
        <w:r w:rsidR="00FD06AB">
          <w:rPr>
            <w:noProof/>
            <w:webHidden/>
          </w:rPr>
          <w:t>184</w:t>
        </w:r>
        <w:r>
          <w:rPr>
            <w:noProof/>
            <w:webHidden/>
          </w:rPr>
          <w:fldChar w:fldCharType="end"/>
        </w:r>
      </w:hyperlink>
    </w:p>
    <w:p w14:paraId="1AF4841E" w14:textId="512AED08" w:rsidR="003B042F" w:rsidRDefault="003B042F">
      <w:pPr>
        <w:pStyle w:val="TOC3"/>
        <w:rPr>
          <w:rFonts w:asciiTheme="minorHAnsi" w:eastAsiaTheme="minorEastAsia" w:hAnsiTheme="minorHAnsi"/>
          <w:b w:val="0"/>
          <w:noProof/>
          <w:sz w:val="22"/>
          <w:lang w:eastAsia="en-AU"/>
        </w:rPr>
      </w:pPr>
      <w:hyperlink w:anchor="_Toc175239272" w:history="1">
        <w:r w:rsidRPr="005871B3">
          <w:rPr>
            <w:rStyle w:val="Hyperlink"/>
            <w:noProof/>
          </w:rPr>
          <w:t>Division 5—Disqualification order</w:t>
        </w:r>
        <w:r>
          <w:rPr>
            <w:noProof/>
            <w:webHidden/>
          </w:rPr>
          <w:tab/>
        </w:r>
        <w:r>
          <w:rPr>
            <w:noProof/>
            <w:webHidden/>
          </w:rPr>
          <w:fldChar w:fldCharType="begin"/>
        </w:r>
        <w:r>
          <w:rPr>
            <w:noProof/>
            <w:webHidden/>
          </w:rPr>
          <w:instrText xml:space="preserve"> PAGEREF _Toc175239272 \h </w:instrText>
        </w:r>
        <w:r>
          <w:rPr>
            <w:noProof/>
            <w:webHidden/>
          </w:rPr>
        </w:r>
        <w:r>
          <w:rPr>
            <w:noProof/>
            <w:webHidden/>
          </w:rPr>
          <w:fldChar w:fldCharType="separate"/>
        </w:r>
        <w:r w:rsidR="00FD06AB">
          <w:rPr>
            <w:noProof/>
            <w:webHidden/>
          </w:rPr>
          <w:t>184</w:t>
        </w:r>
        <w:r>
          <w:rPr>
            <w:noProof/>
            <w:webHidden/>
          </w:rPr>
          <w:fldChar w:fldCharType="end"/>
        </w:r>
      </w:hyperlink>
    </w:p>
    <w:p w14:paraId="317D2999" w14:textId="47847659" w:rsidR="003B042F" w:rsidRDefault="003B042F">
      <w:pPr>
        <w:pStyle w:val="TOC4"/>
        <w:rPr>
          <w:rFonts w:asciiTheme="minorHAnsi" w:eastAsiaTheme="minorEastAsia" w:hAnsiTheme="minorHAnsi"/>
          <w:noProof/>
          <w:sz w:val="22"/>
          <w:lang w:eastAsia="en-AU"/>
        </w:rPr>
      </w:pPr>
      <w:hyperlink w:anchor="_Toc175239273" w:history="1">
        <w:r w:rsidRPr="005871B3">
          <w:rPr>
            <w:rStyle w:val="Hyperlink"/>
            <w:noProof/>
          </w:rPr>
          <w:t>165.1—Application to remove or vary or revoke disqualification</w:t>
        </w:r>
        <w:r>
          <w:rPr>
            <w:noProof/>
            <w:webHidden/>
          </w:rPr>
          <w:tab/>
        </w:r>
        <w:r>
          <w:rPr>
            <w:noProof/>
            <w:webHidden/>
          </w:rPr>
          <w:fldChar w:fldCharType="begin"/>
        </w:r>
        <w:r>
          <w:rPr>
            <w:noProof/>
            <w:webHidden/>
          </w:rPr>
          <w:instrText xml:space="preserve"> PAGEREF _Toc175239273 \h </w:instrText>
        </w:r>
        <w:r>
          <w:rPr>
            <w:noProof/>
            <w:webHidden/>
          </w:rPr>
        </w:r>
        <w:r>
          <w:rPr>
            <w:noProof/>
            <w:webHidden/>
          </w:rPr>
          <w:fldChar w:fldCharType="separate"/>
        </w:r>
        <w:r w:rsidR="00FD06AB">
          <w:rPr>
            <w:noProof/>
            <w:webHidden/>
          </w:rPr>
          <w:t>184</w:t>
        </w:r>
        <w:r>
          <w:rPr>
            <w:noProof/>
            <w:webHidden/>
          </w:rPr>
          <w:fldChar w:fldCharType="end"/>
        </w:r>
      </w:hyperlink>
    </w:p>
    <w:p w14:paraId="29B19CFD" w14:textId="50FE14DD" w:rsidR="003B042F" w:rsidRDefault="003B042F">
      <w:pPr>
        <w:pStyle w:val="TOC4"/>
        <w:rPr>
          <w:rFonts w:asciiTheme="minorHAnsi" w:eastAsiaTheme="minorEastAsia" w:hAnsiTheme="minorHAnsi"/>
          <w:noProof/>
          <w:sz w:val="22"/>
          <w:lang w:eastAsia="en-AU"/>
        </w:rPr>
      </w:pPr>
      <w:hyperlink w:anchor="_Toc175239274" w:history="1">
        <w:r w:rsidRPr="005871B3">
          <w:rPr>
            <w:rStyle w:val="Hyperlink"/>
            <w:noProof/>
          </w:rPr>
          <w:t>165.2—Order on application to remove or vary or revoke disqualification</w:t>
        </w:r>
        <w:r>
          <w:rPr>
            <w:noProof/>
            <w:webHidden/>
          </w:rPr>
          <w:tab/>
        </w:r>
        <w:r>
          <w:rPr>
            <w:noProof/>
            <w:webHidden/>
          </w:rPr>
          <w:fldChar w:fldCharType="begin"/>
        </w:r>
        <w:r>
          <w:rPr>
            <w:noProof/>
            <w:webHidden/>
          </w:rPr>
          <w:instrText xml:space="preserve"> PAGEREF _Toc175239274 \h </w:instrText>
        </w:r>
        <w:r>
          <w:rPr>
            <w:noProof/>
            <w:webHidden/>
          </w:rPr>
        </w:r>
        <w:r>
          <w:rPr>
            <w:noProof/>
            <w:webHidden/>
          </w:rPr>
          <w:fldChar w:fldCharType="separate"/>
        </w:r>
        <w:r w:rsidR="00FD06AB">
          <w:rPr>
            <w:noProof/>
            <w:webHidden/>
          </w:rPr>
          <w:t>184</w:t>
        </w:r>
        <w:r>
          <w:rPr>
            <w:noProof/>
            <w:webHidden/>
          </w:rPr>
          <w:fldChar w:fldCharType="end"/>
        </w:r>
      </w:hyperlink>
    </w:p>
    <w:p w14:paraId="1DE0578D" w14:textId="69518134" w:rsidR="003B042F" w:rsidRDefault="003B042F">
      <w:pPr>
        <w:pStyle w:val="TOC3"/>
        <w:rPr>
          <w:rFonts w:asciiTheme="minorHAnsi" w:eastAsiaTheme="minorEastAsia" w:hAnsiTheme="minorHAnsi"/>
          <w:b w:val="0"/>
          <w:noProof/>
          <w:sz w:val="22"/>
          <w:lang w:eastAsia="en-AU"/>
        </w:rPr>
      </w:pPr>
      <w:hyperlink w:anchor="_Toc175239275" w:history="1">
        <w:r w:rsidRPr="005871B3">
          <w:rPr>
            <w:rStyle w:val="Hyperlink"/>
            <w:noProof/>
          </w:rPr>
          <w:t>Division 6—Youth detention order: Youth Court</w:t>
        </w:r>
        <w:r>
          <w:rPr>
            <w:noProof/>
            <w:webHidden/>
          </w:rPr>
          <w:tab/>
        </w:r>
        <w:r>
          <w:rPr>
            <w:noProof/>
            <w:webHidden/>
          </w:rPr>
          <w:fldChar w:fldCharType="begin"/>
        </w:r>
        <w:r>
          <w:rPr>
            <w:noProof/>
            <w:webHidden/>
          </w:rPr>
          <w:instrText xml:space="preserve"> PAGEREF _Toc175239275 \h </w:instrText>
        </w:r>
        <w:r>
          <w:rPr>
            <w:noProof/>
            <w:webHidden/>
          </w:rPr>
        </w:r>
        <w:r>
          <w:rPr>
            <w:noProof/>
            <w:webHidden/>
          </w:rPr>
          <w:fldChar w:fldCharType="separate"/>
        </w:r>
        <w:r w:rsidR="00FD06AB">
          <w:rPr>
            <w:noProof/>
            <w:webHidden/>
          </w:rPr>
          <w:t>184</w:t>
        </w:r>
        <w:r>
          <w:rPr>
            <w:noProof/>
            <w:webHidden/>
          </w:rPr>
          <w:fldChar w:fldCharType="end"/>
        </w:r>
      </w:hyperlink>
    </w:p>
    <w:p w14:paraId="428B7432" w14:textId="222F8716" w:rsidR="003B042F" w:rsidRDefault="003B042F">
      <w:pPr>
        <w:pStyle w:val="TOC4"/>
        <w:rPr>
          <w:rFonts w:asciiTheme="minorHAnsi" w:eastAsiaTheme="minorEastAsia" w:hAnsiTheme="minorHAnsi"/>
          <w:noProof/>
          <w:sz w:val="22"/>
          <w:lang w:eastAsia="en-AU"/>
        </w:rPr>
      </w:pPr>
      <w:hyperlink w:anchor="_Toc175239276" w:history="1">
        <w:r w:rsidRPr="005871B3">
          <w:rPr>
            <w:rStyle w:val="Hyperlink"/>
            <w:noProof/>
          </w:rPr>
          <w:t>166.1—Discharge from detention order</w:t>
        </w:r>
        <w:r>
          <w:rPr>
            <w:noProof/>
            <w:webHidden/>
          </w:rPr>
          <w:tab/>
        </w:r>
        <w:r>
          <w:rPr>
            <w:noProof/>
            <w:webHidden/>
          </w:rPr>
          <w:fldChar w:fldCharType="begin"/>
        </w:r>
        <w:r>
          <w:rPr>
            <w:noProof/>
            <w:webHidden/>
          </w:rPr>
          <w:instrText xml:space="preserve"> PAGEREF _Toc175239276 \h </w:instrText>
        </w:r>
        <w:r>
          <w:rPr>
            <w:noProof/>
            <w:webHidden/>
          </w:rPr>
        </w:r>
        <w:r>
          <w:rPr>
            <w:noProof/>
            <w:webHidden/>
          </w:rPr>
          <w:fldChar w:fldCharType="separate"/>
        </w:r>
        <w:r w:rsidR="00FD06AB">
          <w:rPr>
            <w:noProof/>
            <w:webHidden/>
          </w:rPr>
          <w:t>184</w:t>
        </w:r>
        <w:r>
          <w:rPr>
            <w:noProof/>
            <w:webHidden/>
          </w:rPr>
          <w:fldChar w:fldCharType="end"/>
        </w:r>
      </w:hyperlink>
    </w:p>
    <w:p w14:paraId="7AF56FF0" w14:textId="77CCE35D" w:rsidR="003B042F" w:rsidRDefault="003B042F">
      <w:pPr>
        <w:pStyle w:val="TOC4"/>
        <w:rPr>
          <w:rFonts w:asciiTheme="minorHAnsi" w:eastAsiaTheme="minorEastAsia" w:hAnsiTheme="minorHAnsi"/>
          <w:noProof/>
          <w:sz w:val="22"/>
          <w:lang w:eastAsia="en-AU"/>
        </w:rPr>
      </w:pPr>
      <w:hyperlink w:anchor="_Toc175239277" w:history="1">
        <w:r w:rsidRPr="005871B3">
          <w:rPr>
            <w:rStyle w:val="Hyperlink"/>
            <w:noProof/>
          </w:rPr>
          <w:t>166.2—Transfer between training centre and prison</w:t>
        </w:r>
        <w:r>
          <w:rPr>
            <w:noProof/>
            <w:webHidden/>
          </w:rPr>
          <w:tab/>
        </w:r>
        <w:r>
          <w:rPr>
            <w:noProof/>
            <w:webHidden/>
          </w:rPr>
          <w:fldChar w:fldCharType="begin"/>
        </w:r>
        <w:r>
          <w:rPr>
            <w:noProof/>
            <w:webHidden/>
          </w:rPr>
          <w:instrText xml:space="preserve"> PAGEREF _Toc175239277 \h </w:instrText>
        </w:r>
        <w:r>
          <w:rPr>
            <w:noProof/>
            <w:webHidden/>
          </w:rPr>
        </w:r>
        <w:r>
          <w:rPr>
            <w:noProof/>
            <w:webHidden/>
          </w:rPr>
          <w:fldChar w:fldCharType="separate"/>
        </w:r>
        <w:r w:rsidR="00FD06AB">
          <w:rPr>
            <w:noProof/>
            <w:webHidden/>
          </w:rPr>
          <w:t>185</w:t>
        </w:r>
        <w:r>
          <w:rPr>
            <w:noProof/>
            <w:webHidden/>
          </w:rPr>
          <w:fldChar w:fldCharType="end"/>
        </w:r>
      </w:hyperlink>
    </w:p>
    <w:p w14:paraId="34D438DC" w14:textId="248602AD" w:rsidR="003B042F" w:rsidRDefault="003B042F">
      <w:pPr>
        <w:pStyle w:val="TOC4"/>
        <w:rPr>
          <w:rFonts w:asciiTheme="minorHAnsi" w:eastAsiaTheme="minorEastAsia" w:hAnsiTheme="minorHAnsi"/>
          <w:noProof/>
          <w:sz w:val="22"/>
          <w:lang w:eastAsia="en-AU"/>
        </w:rPr>
      </w:pPr>
      <w:hyperlink w:anchor="_Toc175239278" w:history="1">
        <w:r w:rsidRPr="005871B3">
          <w:rPr>
            <w:rStyle w:val="Hyperlink"/>
            <w:noProof/>
          </w:rPr>
          <w:t>166.3—Order on application for discharge from detention order or transfer between training centre and prison</w:t>
        </w:r>
        <w:r>
          <w:rPr>
            <w:noProof/>
            <w:webHidden/>
          </w:rPr>
          <w:tab/>
        </w:r>
        <w:r>
          <w:rPr>
            <w:noProof/>
            <w:webHidden/>
          </w:rPr>
          <w:fldChar w:fldCharType="begin"/>
        </w:r>
        <w:r>
          <w:rPr>
            <w:noProof/>
            <w:webHidden/>
          </w:rPr>
          <w:instrText xml:space="preserve"> PAGEREF _Toc175239278 \h </w:instrText>
        </w:r>
        <w:r>
          <w:rPr>
            <w:noProof/>
            <w:webHidden/>
          </w:rPr>
        </w:r>
        <w:r>
          <w:rPr>
            <w:noProof/>
            <w:webHidden/>
          </w:rPr>
          <w:fldChar w:fldCharType="separate"/>
        </w:r>
        <w:r w:rsidR="00FD06AB">
          <w:rPr>
            <w:noProof/>
            <w:webHidden/>
          </w:rPr>
          <w:t>185</w:t>
        </w:r>
        <w:r>
          <w:rPr>
            <w:noProof/>
            <w:webHidden/>
          </w:rPr>
          <w:fldChar w:fldCharType="end"/>
        </w:r>
      </w:hyperlink>
    </w:p>
    <w:p w14:paraId="4C960E56" w14:textId="50B23B62" w:rsidR="003B042F" w:rsidRDefault="003B042F">
      <w:pPr>
        <w:pStyle w:val="TOC3"/>
        <w:rPr>
          <w:rFonts w:asciiTheme="minorHAnsi" w:eastAsiaTheme="minorEastAsia" w:hAnsiTheme="minorHAnsi"/>
          <w:b w:val="0"/>
          <w:noProof/>
          <w:sz w:val="22"/>
          <w:lang w:eastAsia="en-AU"/>
        </w:rPr>
      </w:pPr>
      <w:hyperlink w:anchor="_Toc175239279" w:history="1">
        <w:r w:rsidRPr="005871B3">
          <w:rPr>
            <w:rStyle w:val="Hyperlink"/>
            <w:noProof/>
          </w:rPr>
          <w:t>Division 7—Intervention order made under Sentencing Act</w:t>
        </w:r>
        <w:r>
          <w:rPr>
            <w:noProof/>
            <w:webHidden/>
          </w:rPr>
          <w:tab/>
        </w:r>
        <w:r>
          <w:rPr>
            <w:noProof/>
            <w:webHidden/>
          </w:rPr>
          <w:fldChar w:fldCharType="begin"/>
        </w:r>
        <w:r>
          <w:rPr>
            <w:noProof/>
            <w:webHidden/>
          </w:rPr>
          <w:instrText xml:space="preserve"> PAGEREF _Toc175239279 \h </w:instrText>
        </w:r>
        <w:r>
          <w:rPr>
            <w:noProof/>
            <w:webHidden/>
          </w:rPr>
        </w:r>
        <w:r>
          <w:rPr>
            <w:noProof/>
            <w:webHidden/>
          </w:rPr>
          <w:fldChar w:fldCharType="separate"/>
        </w:r>
        <w:r w:rsidR="00FD06AB">
          <w:rPr>
            <w:noProof/>
            <w:webHidden/>
          </w:rPr>
          <w:t>185</w:t>
        </w:r>
        <w:r>
          <w:rPr>
            <w:noProof/>
            <w:webHidden/>
          </w:rPr>
          <w:fldChar w:fldCharType="end"/>
        </w:r>
      </w:hyperlink>
    </w:p>
    <w:p w14:paraId="33B0DED9" w14:textId="7F250D8A" w:rsidR="003B042F" w:rsidRDefault="003B042F">
      <w:pPr>
        <w:pStyle w:val="TOC4"/>
        <w:rPr>
          <w:rFonts w:asciiTheme="minorHAnsi" w:eastAsiaTheme="minorEastAsia" w:hAnsiTheme="minorHAnsi"/>
          <w:noProof/>
          <w:sz w:val="22"/>
          <w:lang w:eastAsia="en-AU"/>
        </w:rPr>
      </w:pPr>
      <w:hyperlink w:anchor="_Toc175239280" w:history="1">
        <w:r w:rsidRPr="005871B3">
          <w:rPr>
            <w:rStyle w:val="Hyperlink"/>
            <w:noProof/>
          </w:rPr>
          <w:t>167.1—Application of Division</w:t>
        </w:r>
        <w:r>
          <w:rPr>
            <w:noProof/>
            <w:webHidden/>
          </w:rPr>
          <w:tab/>
        </w:r>
        <w:r>
          <w:rPr>
            <w:noProof/>
            <w:webHidden/>
          </w:rPr>
          <w:fldChar w:fldCharType="begin"/>
        </w:r>
        <w:r>
          <w:rPr>
            <w:noProof/>
            <w:webHidden/>
          </w:rPr>
          <w:instrText xml:space="preserve"> PAGEREF _Toc175239280 \h </w:instrText>
        </w:r>
        <w:r>
          <w:rPr>
            <w:noProof/>
            <w:webHidden/>
          </w:rPr>
        </w:r>
        <w:r>
          <w:rPr>
            <w:noProof/>
            <w:webHidden/>
          </w:rPr>
          <w:fldChar w:fldCharType="separate"/>
        </w:r>
        <w:r w:rsidR="00FD06AB">
          <w:rPr>
            <w:noProof/>
            <w:webHidden/>
          </w:rPr>
          <w:t>185</w:t>
        </w:r>
        <w:r>
          <w:rPr>
            <w:noProof/>
            <w:webHidden/>
          </w:rPr>
          <w:fldChar w:fldCharType="end"/>
        </w:r>
      </w:hyperlink>
    </w:p>
    <w:p w14:paraId="2361EA00" w14:textId="597AED29" w:rsidR="003B042F" w:rsidRDefault="003B042F">
      <w:pPr>
        <w:pStyle w:val="TOC4"/>
        <w:rPr>
          <w:rFonts w:asciiTheme="minorHAnsi" w:eastAsiaTheme="minorEastAsia" w:hAnsiTheme="minorHAnsi"/>
          <w:noProof/>
          <w:sz w:val="22"/>
          <w:lang w:eastAsia="en-AU"/>
        </w:rPr>
      </w:pPr>
      <w:hyperlink w:anchor="_Toc175239281" w:history="1">
        <w:r w:rsidRPr="005871B3">
          <w:rPr>
            <w:rStyle w:val="Hyperlink"/>
            <w:noProof/>
          </w:rPr>
          <w:t>167.2—Application to revoke or vary</w:t>
        </w:r>
        <w:r>
          <w:rPr>
            <w:noProof/>
            <w:webHidden/>
          </w:rPr>
          <w:tab/>
        </w:r>
        <w:r>
          <w:rPr>
            <w:noProof/>
            <w:webHidden/>
          </w:rPr>
          <w:fldChar w:fldCharType="begin"/>
        </w:r>
        <w:r>
          <w:rPr>
            <w:noProof/>
            <w:webHidden/>
          </w:rPr>
          <w:instrText xml:space="preserve"> PAGEREF _Toc175239281 \h </w:instrText>
        </w:r>
        <w:r>
          <w:rPr>
            <w:noProof/>
            <w:webHidden/>
          </w:rPr>
        </w:r>
        <w:r>
          <w:rPr>
            <w:noProof/>
            <w:webHidden/>
          </w:rPr>
          <w:fldChar w:fldCharType="separate"/>
        </w:r>
        <w:r w:rsidR="00FD06AB">
          <w:rPr>
            <w:noProof/>
            <w:webHidden/>
          </w:rPr>
          <w:t>185</w:t>
        </w:r>
        <w:r>
          <w:rPr>
            <w:noProof/>
            <w:webHidden/>
          </w:rPr>
          <w:fldChar w:fldCharType="end"/>
        </w:r>
      </w:hyperlink>
    </w:p>
    <w:p w14:paraId="7E5ABA31" w14:textId="1A9EDDAF" w:rsidR="003B042F" w:rsidRDefault="003B042F">
      <w:pPr>
        <w:pStyle w:val="TOC4"/>
        <w:rPr>
          <w:rFonts w:asciiTheme="minorHAnsi" w:eastAsiaTheme="minorEastAsia" w:hAnsiTheme="minorHAnsi"/>
          <w:noProof/>
          <w:sz w:val="22"/>
          <w:lang w:eastAsia="en-AU"/>
        </w:rPr>
      </w:pPr>
      <w:hyperlink w:anchor="_Toc175239282" w:history="1">
        <w:r w:rsidRPr="005871B3">
          <w:rPr>
            <w:rStyle w:val="Hyperlink"/>
            <w:noProof/>
          </w:rPr>
          <w:t>167.3—Application when leave required</w:t>
        </w:r>
        <w:r>
          <w:rPr>
            <w:noProof/>
            <w:webHidden/>
          </w:rPr>
          <w:tab/>
        </w:r>
        <w:r>
          <w:rPr>
            <w:noProof/>
            <w:webHidden/>
          </w:rPr>
          <w:fldChar w:fldCharType="begin"/>
        </w:r>
        <w:r>
          <w:rPr>
            <w:noProof/>
            <w:webHidden/>
          </w:rPr>
          <w:instrText xml:space="preserve"> PAGEREF _Toc175239282 \h </w:instrText>
        </w:r>
        <w:r>
          <w:rPr>
            <w:noProof/>
            <w:webHidden/>
          </w:rPr>
        </w:r>
        <w:r>
          <w:rPr>
            <w:noProof/>
            <w:webHidden/>
          </w:rPr>
          <w:fldChar w:fldCharType="separate"/>
        </w:r>
        <w:r w:rsidR="00FD06AB">
          <w:rPr>
            <w:noProof/>
            <w:webHidden/>
          </w:rPr>
          <w:t>186</w:t>
        </w:r>
        <w:r>
          <w:rPr>
            <w:noProof/>
            <w:webHidden/>
          </w:rPr>
          <w:fldChar w:fldCharType="end"/>
        </w:r>
      </w:hyperlink>
    </w:p>
    <w:p w14:paraId="79A5F2D7" w14:textId="541FAD0E" w:rsidR="003B042F" w:rsidRDefault="003B042F">
      <w:pPr>
        <w:pStyle w:val="TOC4"/>
        <w:rPr>
          <w:rFonts w:asciiTheme="minorHAnsi" w:eastAsiaTheme="minorEastAsia" w:hAnsiTheme="minorHAnsi"/>
          <w:noProof/>
          <w:sz w:val="22"/>
          <w:lang w:eastAsia="en-AU"/>
        </w:rPr>
      </w:pPr>
      <w:hyperlink w:anchor="_Toc175239283" w:history="1">
        <w:r w:rsidRPr="005871B3">
          <w:rPr>
            <w:rStyle w:val="Hyperlink"/>
            <w:noProof/>
          </w:rPr>
          <w:t>167.4—Application for interim variation</w:t>
        </w:r>
        <w:r>
          <w:rPr>
            <w:noProof/>
            <w:webHidden/>
          </w:rPr>
          <w:tab/>
        </w:r>
        <w:r>
          <w:rPr>
            <w:noProof/>
            <w:webHidden/>
          </w:rPr>
          <w:fldChar w:fldCharType="begin"/>
        </w:r>
        <w:r>
          <w:rPr>
            <w:noProof/>
            <w:webHidden/>
          </w:rPr>
          <w:instrText xml:space="preserve"> PAGEREF _Toc175239283 \h </w:instrText>
        </w:r>
        <w:r>
          <w:rPr>
            <w:noProof/>
            <w:webHidden/>
          </w:rPr>
        </w:r>
        <w:r>
          <w:rPr>
            <w:noProof/>
            <w:webHidden/>
          </w:rPr>
          <w:fldChar w:fldCharType="separate"/>
        </w:r>
        <w:r w:rsidR="00FD06AB">
          <w:rPr>
            <w:noProof/>
            <w:webHidden/>
          </w:rPr>
          <w:t>186</w:t>
        </w:r>
        <w:r>
          <w:rPr>
            <w:noProof/>
            <w:webHidden/>
          </w:rPr>
          <w:fldChar w:fldCharType="end"/>
        </w:r>
      </w:hyperlink>
    </w:p>
    <w:p w14:paraId="6E622AD9" w14:textId="2BA62350" w:rsidR="003B042F" w:rsidRDefault="003B042F">
      <w:pPr>
        <w:pStyle w:val="TOC4"/>
        <w:rPr>
          <w:rFonts w:asciiTheme="minorHAnsi" w:eastAsiaTheme="minorEastAsia" w:hAnsiTheme="minorHAnsi"/>
          <w:noProof/>
          <w:sz w:val="22"/>
          <w:lang w:eastAsia="en-AU"/>
        </w:rPr>
      </w:pPr>
      <w:hyperlink w:anchor="_Toc175239284" w:history="1">
        <w:r w:rsidRPr="005871B3">
          <w:rPr>
            <w:rStyle w:val="Hyperlink"/>
            <w:noProof/>
          </w:rPr>
          <w:t>167.5—Order</w:t>
        </w:r>
        <w:r>
          <w:rPr>
            <w:noProof/>
            <w:webHidden/>
          </w:rPr>
          <w:tab/>
        </w:r>
        <w:r>
          <w:rPr>
            <w:noProof/>
            <w:webHidden/>
          </w:rPr>
          <w:fldChar w:fldCharType="begin"/>
        </w:r>
        <w:r>
          <w:rPr>
            <w:noProof/>
            <w:webHidden/>
          </w:rPr>
          <w:instrText xml:space="preserve"> PAGEREF _Toc175239284 \h </w:instrText>
        </w:r>
        <w:r>
          <w:rPr>
            <w:noProof/>
            <w:webHidden/>
          </w:rPr>
        </w:r>
        <w:r>
          <w:rPr>
            <w:noProof/>
            <w:webHidden/>
          </w:rPr>
          <w:fldChar w:fldCharType="separate"/>
        </w:r>
        <w:r w:rsidR="00FD06AB">
          <w:rPr>
            <w:noProof/>
            <w:webHidden/>
          </w:rPr>
          <w:t>187</w:t>
        </w:r>
        <w:r>
          <w:rPr>
            <w:noProof/>
            <w:webHidden/>
          </w:rPr>
          <w:fldChar w:fldCharType="end"/>
        </w:r>
      </w:hyperlink>
    </w:p>
    <w:p w14:paraId="4712B3B4" w14:textId="2A4DAA9B" w:rsidR="003B042F" w:rsidRDefault="003B042F">
      <w:pPr>
        <w:pStyle w:val="TOC4"/>
        <w:rPr>
          <w:rFonts w:asciiTheme="minorHAnsi" w:eastAsiaTheme="minorEastAsia" w:hAnsiTheme="minorHAnsi"/>
          <w:noProof/>
          <w:sz w:val="22"/>
          <w:lang w:eastAsia="en-AU"/>
        </w:rPr>
      </w:pPr>
      <w:hyperlink w:anchor="_Toc175239285" w:history="1">
        <w:r w:rsidRPr="005871B3">
          <w:rPr>
            <w:rStyle w:val="Hyperlink"/>
            <w:noProof/>
          </w:rPr>
          <w:t>167.6—Service of order</w:t>
        </w:r>
        <w:r>
          <w:rPr>
            <w:noProof/>
            <w:webHidden/>
          </w:rPr>
          <w:tab/>
        </w:r>
        <w:r>
          <w:rPr>
            <w:noProof/>
            <w:webHidden/>
          </w:rPr>
          <w:fldChar w:fldCharType="begin"/>
        </w:r>
        <w:r>
          <w:rPr>
            <w:noProof/>
            <w:webHidden/>
          </w:rPr>
          <w:instrText xml:space="preserve"> PAGEREF _Toc175239285 \h </w:instrText>
        </w:r>
        <w:r>
          <w:rPr>
            <w:noProof/>
            <w:webHidden/>
          </w:rPr>
        </w:r>
        <w:r>
          <w:rPr>
            <w:noProof/>
            <w:webHidden/>
          </w:rPr>
          <w:fldChar w:fldCharType="separate"/>
        </w:r>
        <w:r w:rsidR="00FD06AB">
          <w:rPr>
            <w:noProof/>
            <w:webHidden/>
          </w:rPr>
          <w:t>187</w:t>
        </w:r>
        <w:r>
          <w:rPr>
            <w:noProof/>
            <w:webHidden/>
          </w:rPr>
          <w:fldChar w:fldCharType="end"/>
        </w:r>
      </w:hyperlink>
    </w:p>
    <w:p w14:paraId="3384D762" w14:textId="314413C9" w:rsidR="003B042F" w:rsidRDefault="003B042F">
      <w:pPr>
        <w:pStyle w:val="TOC4"/>
        <w:rPr>
          <w:rFonts w:asciiTheme="minorHAnsi" w:eastAsiaTheme="minorEastAsia" w:hAnsiTheme="minorHAnsi"/>
          <w:noProof/>
          <w:sz w:val="22"/>
          <w:lang w:eastAsia="en-AU"/>
        </w:rPr>
      </w:pPr>
      <w:hyperlink w:anchor="_Toc175239286" w:history="1">
        <w:r w:rsidRPr="005871B3">
          <w:rPr>
            <w:rStyle w:val="Hyperlink"/>
            <w:noProof/>
          </w:rPr>
          <w:t>167.7—Notice of order</w:t>
        </w:r>
        <w:r>
          <w:rPr>
            <w:noProof/>
            <w:webHidden/>
          </w:rPr>
          <w:tab/>
        </w:r>
        <w:r>
          <w:rPr>
            <w:noProof/>
            <w:webHidden/>
          </w:rPr>
          <w:fldChar w:fldCharType="begin"/>
        </w:r>
        <w:r>
          <w:rPr>
            <w:noProof/>
            <w:webHidden/>
          </w:rPr>
          <w:instrText xml:space="preserve"> PAGEREF _Toc175239286 \h </w:instrText>
        </w:r>
        <w:r>
          <w:rPr>
            <w:noProof/>
            <w:webHidden/>
          </w:rPr>
        </w:r>
        <w:r>
          <w:rPr>
            <w:noProof/>
            <w:webHidden/>
          </w:rPr>
          <w:fldChar w:fldCharType="separate"/>
        </w:r>
        <w:r w:rsidR="00FD06AB">
          <w:rPr>
            <w:noProof/>
            <w:webHidden/>
          </w:rPr>
          <w:t>188</w:t>
        </w:r>
        <w:r>
          <w:rPr>
            <w:noProof/>
            <w:webHidden/>
          </w:rPr>
          <w:fldChar w:fldCharType="end"/>
        </w:r>
      </w:hyperlink>
    </w:p>
    <w:p w14:paraId="0A47A006" w14:textId="76C946F7" w:rsidR="003B042F" w:rsidRDefault="003B042F">
      <w:pPr>
        <w:pStyle w:val="TOC3"/>
        <w:rPr>
          <w:rFonts w:asciiTheme="minorHAnsi" w:eastAsiaTheme="minorEastAsia" w:hAnsiTheme="minorHAnsi"/>
          <w:b w:val="0"/>
          <w:noProof/>
          <w:sz w:val="22"/>
          <w:lang w:eastAsia="en-AU"/>
        </w:rPr>
      </w:pPr>
      <w:hyperlink w:anchor="_Toc175239287" w:history="1">
        <w:r w:rsidRPr="005871B3">
          <w:rPr>
            <w:rStyle w:val="Hyperlink"/>
            <w:noProof/>
          </w:rPr>
          <w:t>Division 8—Other variations or revocations</w:t>
        </w:r>
        <w:r>
          <w:rPr>
            <w:noProof/>
            <w:webHidden/>
          </w:rPr>
          <w:tab/>
        </w:r>
        <w:r>
          <w:rPr>
            <w:noProof/>
            <w:webHidden/>
          </w:rPr>
          <w:fldChar w:fldCharType="begin"/>
        </w:r>
        <w:r>
          <w:rPr>
            <w:noProof/>
            <w:webHidden/>
          </w:rPr>
          <w:instrText xml:space="preserve"> PAGEREF _Toc175239287 \h </w:instrText>
        </w:r>
        <w:r>
          <w:rPr>
            <w:noProof/>
            <w:webHidden/>
          </w:rPr>
        </w:r>
        <w:r>
          <w:rPr>
            <w:noProof/>
            <w:webHidden/>
          </w:rPr>
          <w:fldChar w:fldCharType="separate"/>
        </w:r>
        <w:r w:rsidR="00FD06AB">
          <w:rPr>
            <w:noProof/>
            <w:webHidden/>
          </w:rPr>
          <w:t>188</w:t>
        </w:r>
        <w:r>
          <w:rPr>
            <w:noProof/>
            <w:webHidden/>
          </w:rPr>
          <w:fldChar w:fldCharType="end"/>
        </w:r>
      </w:hyperlink>
    </w:p>
    <w:p w14:paraId="78D2BC5A" w14:textId="7DECF1D4" w:rsidR="003B042F" w:rsidRDefault="003B042F">
      <w:pPr>
        <w:pStyle w:val="TOC4"/>
        <w:rPr>
          <w:rFonts w:asciiTheme="minorHAnsi" w:eastAsiaTheme="minorEastAsia" w:hAnsiTheme="minorHAnsi"/>
          <w:noProof/>
          <w:sz w:val="22"/>
          <w:lang w:eastAsia="en-AU"/>
        </w:rPr>
      </w:pPr>
      <w:hyperlink w:anchor="_Toc175239288" w:history="1">
        <w:r w:rsidRPr="005871B3">
          <w:rPr>
            <w:rStyle w:val="Hyperlink"/>
            <w:noProof/>
          </w:rPr>
          <w:t>168.1—Protection orders</w:t>
        </w:r>
        <w:r>
          <w:rPr>
            <w:noProof/>
            <w:webHidden/>
          </w:rPr>
          <w:tab/>
        </w:r>
        <w:r>
          <w:rPr>
            <w:noProof/>
            <w:webHidden/>
          </w:rPr>
          <w:fldChar w:fldCharType="begin"/>
        </w:r>
        <w:r>
          <w:rPr>
            <w:noProof/>
            <w:webHidden/>
          </w:rPr>
          <w:instrText xml:space="preserve"> PAGEREF _Toc175239288 \h </w:instrText>
        </w:r>
        <w:r>
          <w:rPr>
            <w:noProof/>
            <w:webHidden/>
          </w:rPr>
        </w:r>
        <w:r>
          <w:rPr>
            <w:noProof/>
            <w:webHidden/>
          </w:rPr>
          <w:fldChar w:fldCharType="separate"/>
        </w:r>
        <w:r w:rsidR="00FD06AB">
          <w:rPr>
            <w:noProof/>
            <w:webHidden/>
          </w:rPr>
          <w:t>188</w:t>
        </w:r>
        <w:r>
          <w:rPr>
            <w:noProof/>
            <w:webHidden/>
          </w:rPr>
          <w:fldChar w:fldCharType="end"/>
        </w:r>
      </w:hyperlink>
    </w:p>
    <w:p w14:paraId="4790AF0C" w14:textId="3D280DAC" w:rsidR="003B042F" w:rsidRDefault="003B042F">
      <w:pPr>
        <w:pStyle w:val="TOC4"/>
        <w:rPr>
          <w:rFonts w:asciiTheme="minorHAnsi" w:eastAsiaTheme="minorEastAsia" w:hAnsiTheme="minorHAnsi"/>
          <w:noProof/>
          <w:sz w:val="22"/>
          <w:lang w:eastAsia="en-AU"/>
        </w:rPr>
      </w:pPr>
      <w:hyperlink w:anchor="_Toc175239289" w:history="1">
        <w:r w:rsidRPr="005871B3">
          <w:rPr>
            <w:rStyle w:val="Hyperlink"/>
            <w:noProof/>
          </w:rPr>
          <w:t>168.2—Other orders</w:t>
        </w:r>
        <w:r>
          <w:rPr>
            <w:noProof/>
            <w:webHidden/>
          </w:rPr>
          <w:tab/>
        </w:r>
        <w:r>
          <w:rPr>
            <w:noProof/>
            <w:webHidden/>
          </w:rPr>
          <w:fldChar w:fldCharType="begin"/>
        </w:r>
        <w:r>
          <w:rPr>
            <w:noProof/>
            <w:webHidden/>
          </w:rPr>
          <w:instrText xml:space="preserve"> PAGEREF _Toc175239289 \h </w:instrText>
        </w:r>
        <w:r>
          <w:rPr>
            <w:noProof/>
            <w:webHidden/>
          </w:rPr>
        </w:r>
        <w:r>
          <w:rPr>
            <w:noProof/>
            <w:webHidden/>
          </w:rPr>
          <w:fldChar w:fldCharType="separate"/>
        </w:r>
        <w:r w:rsidR="00FD06AB">
          <w:rPr>
            <w:noProof/>
            <w:webHidden/>
          </w:rPr>
          <w:t>188</w:t>
        </w:r>
        <w:r>
          <w:rPr>
            <w:noProof/>
            <w:webHidden/>
          </w:rPr>
          <w:fldChar w:fldCharType="end"/>
        </w:r>
      </w:hyperlink>
    </w:p>
    <w:p w14:paraId="14983DFF" w14:textId="7CDE3778"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290" w:history="1">
        <w:r w:rsidRPr="005871B3">
          <w:rPr>
            <w:rStyle w:val="Hyperlink"/>
            <w:noProof/>
          </w:rPr>
          <w:t>Part 2—Mental impairment variation and enforcement</w:t>
        </w:r>
        <w:r>
          <w:rPr>
            <w:noProof/>
            <w:webHidden/>
          </w:rPr>
          <w:tab/>
        </w:r>
        <w:r>
          <w:rPr>
            <w:noProof/>
            <w:webHidden/>
          </w:rPr>
          <w:fldChar w:fldCharType="begin"/>
        </w:r>
        <w:r>
          <w:rPr>
            <w:noProof/>
            <w:webHidden/>
          </w:rPr>
          <w:instrText xml:space="preserve"> PAGEREF _Toc175239290 \h </w:instrText>
        </w:r>
        <w:r>
          <w:rPr>
            <w:noProof/>
            <w:webHidden/>
          </w:rPr>
        </w:r>
        <w:r>
          <w:rPr>
            <w:noProof/>
            <w:webHidden/>
          </w:rPr>
          <w:fldChar w:fldCharType="separate"/>
        </w:r>
        <w:r w:rsidR="00FD06AB">
          <w:rPr>
            <w:noProof/>
            <w:webHidden/>
          </w:rPr>
          <w:t>189</w:t>
        </w:r>
        <w:r>
          <w:rPr>
            <w:noProof/>
            <w:webHidden/>
          </w:rPr>
          <w:fldChar w:fldCharType="end"/>
        </w:r>
      </w:hyperlink>
    </w:p>
    <w:p w14:paraId="2F8F22EC" w14:textId="2E084135" w:rsidR="003B042F" w:rsidRDefault="003B042F">
      <w:pPr>
        <w:pStyle w:val="TOC3"/>
        <w:rPr>
          <w:rFonts w:asciiTheme="minorHAnsi" w:eastAsiaTheme="minorEastAsia" w:hAnsiTheme="minorHAnsi"/>
          <w:b w:val="0"/>
          <w:noProof/>
          <w:sz w:val="22"/>
          <w:lang w:eastAsia="en-AU"/>
        </w:rPr>
      </w:pPr>
      <w:hyperlink w:anchor="_Toc175239291" w:history="1">
        <w:r w:rsidRPr="005871B3">
          <w:rPr>
            <w:rStyle w:val="Hyperlink"/>
            <w:noProof/>
          </w:rPr>
          <w:t>Division 1—General</w:t>
        </w:r>
        <w:r>
          <w:rPr>
            <w:noProof/>
            <w:webHidden/>
          </w:rPr>
          <w:tab/>
        </w:r>
        <w:r>
          <w:rPr>
            <w:noProof/>
            <w:webHidden/>
          </w:rPr>
          <w:fldChar w:fldCharType="begin"/>
        </w:r>
        <w:r>
          <w:rPr>
            <w:noProof/>
            <w:webHidden/>
          </w:rPr>
          <w:instrText xml:space="preserve"> PAGEREF _Toc175239291 \h </w:instrText>
        </w:r>
        <w:r>
          <w:rPr>
            <w:noProof/>
            <w:webHidden/>
          </w:rPr>
        </w:r>
        <w:r>
          <w:rPr>
            <w:noProof/>
            <w:webHidden/>
          </w:rPr>
          <w:fldChar w:fldCharType="separate"/>
        </w:r>
        <w:r w:rsidR="00FD06AB">
          <w:rPr>
            <w:noProof/>
            <w:webHidden/>
          </w:rPr>
          <w:t>189</w:t>
        </w:r>
        <w:r>
          <w:rPr>
            <w:noProof/>
            <w:webHidden/>
          </w:rPr>
          <w:fldChar w:fldCharType="end"/>
        </w:r>
      </w:hyperlink>
    </w:p>
    <w:p w14:paraId="213B95EC" w14:textId="43C22C2F" w:rsidR="003B042F" w:rsidRDefault="003B042F">
      <w:pPr>
        <w:pStyle w:val="TOC4"/>
        <w:rPr>
          <w:rFonts w:asciiTheme="minorHAnsi" w:eastAsiaTheme="minorEastAsia" w:hAnsiTheme="minorHAnsi"/>
          <w:noProof/>
          <w:sz w:val="22"/>
          <w:lang w:eastAsia="en-AU"/>
        </w:rPr>
      </w:pPr>
      <w:hyperlink w:anchor="_Toc175239292" w:history="1">
        <w:r w:rsidRPr="005871B3">
          <w:rPr>
            <w:rStyle w:val="Hyperlink"/>
            <w:noProof/>
          </w:rPr>
          <w:t>169.1—Definitions</w:t>
        </w:r>
        <w:r>
          <w:rPr>
            <w:noProof/>
            <w:webHidden/>
          </w:rPr>
          <w:tab/>
        </w:r>
        <w:r>
          <w:rPr>
            <w:noProof/>
            <w:webHidden/>
          </w:rPr>
          <w:fldChar w:fldCharType="begin"/>
        </w:r>
        <w:r>
          <w:rPr>
            <w:noProof/>
            <w:webHidden/>
          </w:rPr>
          <w:instrText xml:space="preserve"> PAGEREF _Toc175239292 \h </w:instrText>
        </w:r>
        <w:r>
          <w:rPr>
            <w:noProof/>
            <w:webHidden/>
          </w:rPr>
        </w:r>
        <w:r>
          <w:rPr>
            <w:noProof/>
            <w:webHidden/>
          </w:rPr>
          <w:fldChar w:fldCharType="separate"/>
        </w:r>
        <w:r w:rsidR="00FD06AB">
          <w:rPr>
            <w:noProof/>
            <w:webHidden/>
          </w:rPr>
          <w:t>189</w:t>
        </w:r>
        <w:r>
          <w:rPr>
            <w:noProof/>
            <w:webHidden/>
          </w:rPr>
          <w:fldChar w:fldCharType="end"/>
        </w:r>
      </w:hyperlink>
    </w:p>
    <w:p w14:paraId="05F33E94" w14:textId="463B0DCD" w:rsidR="003B042F" w:rsidRDefault="003B042F">
      <w:pPr>
        <w:pStyle w:val="TOC4"/>
        <w:rPr>
          <w:rFonts w:asciiTheme="minorHAnsi" w:eastAsiaTheme="minorEastAsia" w:hAnsiTheme="minorHAnsi"/>
          <w:noProof/>
          <w:sz w:val="22"/>
          <w:lang w:eastAsia="en-AU"/>
        </w:rPr>
      </w:pPr>
      <w:hyperlink w:anchor="_Toc175239293" w:history="1">
        <w:r w:rsidRPr="005871B3">
          <w:rPr>
            <w:rStyle w:val="Hyperlink"/>
            <w:noProof/>
          </w:rPr>
          <w:t>169.2—Order to bring detainee/licensee from institution</w:t>
        </w:r>
        <w:r>
          <w:rPr>
            <w:noProof/>
            <w:webHidden/>
          </w:rPr>
          <w:tab/>
        </w:r>
        <w:r>
          <w:rPr>
            <w:noProof/>
            <w:webHidden/>
          </w:rPr>
          <w:fldChar w:fldCharType="begin"/>
        </w:r>
        <w:r>
          <w:rPr>
            <w:noProof/>
            <w:webHidden/>
          </w:rPr>
          <w:instrText xml:space="preserve"> PAGEREF _Toc175239293 \h </w:instrText>
        </w:r>
        <w:r>
          <w:rPr>
            <w:noProof/>
            <w:webHidden/>
          </w:rPr>
        </w:r>
        <w:r>
          <w:rPr>
            <w:noProof/>
            <w:webHidden/>
          </w:rPr>
          <w:fldChar w:fldCharType="separate"/>
        </w:r>
        <w:r w:rsidR="00FD06AB">
          <w:rPr>
            <w:noProof/>
            <w:webHidden/>
          </w:rPr>
          <w:t>189</w:t>
        </w:r>
        <w:r>
          <w:rPr>
            <w:noProof/>
            <w:webHidden/>
          </w:rPr>
          <w:fldChar w:fldCharType="end"/>
        </w:r>
      </w:hyperlink>
    </w:p>
    <w:p w14:paraId="5FB45DF3" w14:textId="62DC7EBB" w:rsidR="003B042F" w:rsidRDefault="003B042F">
      <w:pPr>
        <w:pStyle w:val="TOC3"/>
        <w:rPr>
          <w:rFonts w:asciiTheme="minorHAnsi" w:eastAsiaTheme="minorEastAsia" w:hAnsiTheme="minorHAnsi"/>
          <w:b w:val="0"/>
          <w:noProof/>
          <w:sz w:val="22"/>
          <w:lang w:eastAsia="en-AU"/>
        </w:rPr>
      </w:pPr>
      <w:hyperlink w:anchor="_Toc175239294" w:history="1">
        <w:r w:rsidRPr="005871B3">
          <w:rPr>
            <w:rStyle w:val="Hyperlink"/>
            <w:noProof/>
          </w:rPr>
          <w:t>Division 2—Review order</w:t>
        </w:r>
        <w:r>
          <w:rPr>
            <w:noProof/>
            <w:webHidden/>
          </w:rPr>
          <w:tab/>
        </w:r>
        <w:r>
          <w:rPr>
            <w:noProof/>
            <w:webHidden/>
          </w:rPr>
          <w:fldChar w:fldCharType="begin"/>
        </w:r>
        <w:r>
          <w:rPr>
            <w:noProof/>
            <w:webHidden/>
          </w:rPr>
          <w:instrText xml:space="preserve"> PAGEREF _Toc175239294 \h </w:instrText>
        </w:r>
        <w:r>
          <w:rPr>
            <w:noProof/>
            <w:webHidden/>
          </w:rPr>
        </w:r>
        <w:r>
          <w:rPr>
            <w:noProof/>
            <w:webHidden/>
          </w:rPr>
          <w:fldChar w:fldCharType="separate"/>
        </w:r>
        <w:r w:rsidR="00FD06AB">
          <w:rPr>
            <w:noProof/>
            <w:webHidden/>
          </w:rPr>
          <w:t>189</w:t>
        </w:r>
        <w:r>
          <w:rPr>
            <w:noProof/>
            <w:webHidden/>
          </w:rPr>
          <w:fldChar w:fldCharType="end"/>
        </w:r>
      </w:hyperlink>
    </w:p>
    <w:p w14:paraId="2585173C" w14:textId="774A8BAE" w:rsidR="003B042F" w:rsidRDefault="003B042F">
      <w:pPr>
        <w:pStyle w:val="TOC4"/>
        <w:rPr>
          <w:rFonts w:asciiTheme="minorHAnsi" w:eastAsiaTheme="minorEastAsia" w:hAnsiTheme="minorHAnsi"/>
          <w:noProof/>
          <w:sz w:val="22"/>
          <w:lang w:eastAsia="en-AU"/>
        </w:rPr>
      </w:pPr>
      <w:hyperlink w:anchor="_Toc175239295" w:history="1">
        <w:r w:rsidRPr="005871B3">
          <w:rPr>
            <w:rStyle w:val="Hyperlink"/>
            <w:noProof/>
          </w:rPr>
          <w:t>170.1—Application to review mental impairment order</w:t>
        </w:r>
        <w:r>
          <w:rPr>
            <w:noProof/>
            <w:webHidden/>
          </w:rPr>
          <w:tab/>
        </w:r>
        <w:r>
          <w:rPr>
            <w:noProof/>
            <w:webHidden/>
          </w:rPr>
          <w:fldChar w:fldCharType="begin"/>
        </w:r>
        <w:r>
          <w:rPr>
            <w:noProof/>
            <w:webHidden/>
          </w:rPr>
          <w:instrText xml:space="preserve"> PAGEREF _Toc175239295 \h </w:instrText>
        </w:r>
        <w:r>
          <w:rPr>
            <w:noProof/>
            <w:webHidden/>
          </w:rPr>
        </w:r>
        <w:r>
          <w:rPr>
            <w:noProof/>
            <w:webHidden/>
          </w:rPr>
          <w:fldChar w:fldCharType="separate"/>
        </w:r>
        <w:r w:rsidR="00FD06AB">
          <w:rPr>
            <w:noProof/>
            <w:webHidden/>
          </w:rPr>
          <w:t>189</w:t>
        </w:r>
        <w:r>
          <w:rPr>
            <w:noProof/>
            <w:webHidden/>
          </w:rPr>
          <w:fldChar w:fldCharType="end"/>
        </w:r>
      </w:hyperlink>
    </w:p>
    <w:p w14:paraId="7DD9181C" w14:textId="2C2FBF4A" w:rsidR="003B042F" w:rsidRDefault="003B042F">
      <w:pPr>
        <w:pStyle w:val="TOC4"/>
        <w:rPr>
          <w:rFonts w:asciiTheme="minorHAnsi" w:eastAsiaTheme="minorEastAsia" w:hAnsiTheme="minorHAnsi"/>
          <w:noProof/>
          <w:sz w:val="22"/>
          <w:lang w:eastAsia="en-AU"/>
        </w:rPr>
      </w:pPr>
      <w:hyperlink w:anchor="_Toc175239296" w:history="1">
        <w:r w:rsidRPr="005871B3">
          <w:rPr>
            <w:rStyle w:val="Hyperlink"/>
            <w:noProof/>
          </w:rPr>
          <w:t>170.2—Order on application to review mental impairment</w:t>
        </w:r>
        <w:r>
          <w:rPr>
            <w:noProof/>
            <w:webHidden/>
          </w:rPr>
          <w:tab/>
        </w:r>
        <w:r>
          <w:rPr>
            <w:noProof/>
            <w:webHidden/>
          </w:rPr>
          <w:fldChar w:fldCharType="begin"/>
        </w:r>
        <w:r>
          <w:rPr>
            <w:noProof/>
            <w:webHidden/>
          </w:rPr>
          <w:instrText xml:space="preserve"> PAGEREF _Toc175239296 \h </w:instrText>
        </w:r>
        <w:r>
          <w:rPr>
            <w:noProof/>
            <w:webHidden/>
          </w:rPr>
        </w:r>
        <w:r>
          <w:rPr>
            <w:noProof/>
            <w:webHidden/>
          </w:rPr>
          <w:fldChar w:fldCharType="separate"/>
        </w:r>
        <w:r w:rsidR="00FD06AB">
          <w:rPr>
            <w:noProof/>
            <w:webHidden/>
          </w:rPr>
          <w:t>189</w:t>
        </w:r>
        <w:r>
          <w:rPr>
            <w:noProof/>
            <w:webHidden/>
          </w:rPr>
          <w:fldChar w:fldCharType="end"/>
        </w:r>
      </w:hyperlink>
    </w:p>
    <w:p w14:paraId="0C7ED6AC" w14:textId="7325E6F0" w:rsidR="003B042F" w:rsidRDefault="003B042F">
      <w:pPr>
        <w:pStyle w:val="TOC3"/>
        <w:rPr>
          <w:rFonts w:asciiTheme="minorHAnsi" w:eastAsiaTheme="minorEastAsia" w:hAnsiTheme="minorHAnsi"/>
          <w:b w:val="0"/>
          <w:noProof/>
          <w:sz w:val="22"/>
          <w:lang w:eastAsia="en-AU"/>
        </w:rPr>
      </w:pPr>
      <w:hyperlink w:anchor="_Toc175239297" w:history="1">
        <w:r w:rsidRPr="005871B3">
          <w:rPr>
            <w:rStyle w:val="Hyperlink"/>
            <w:noProof/>
          </w:rPr>
          <w:t>Division 3— Vary or revoke order</w:t>
        </w:r>
        <w:r>
          <w:rPr>
            <w:noProof/>
            <w:webHidden/>
          </w:rPr>
          <w:tab/>
        </w:r>
        <w:r>
          <w:rPr>
            <w:noProof/>
            <w:webHidden/>
          </w:rPr>
          <w:fldChar w:fldCharType="begin"/>
        </w:r>
        <w:r>
          <w:rPr>
            <w:noProof/>
            <w:webHidden/>
          </w:rPr>
          <w:instrText xml:space="preserve"> PAGEREF _Toc175239297 \h </w:instrText>
        </w:r>
        <w:r>
          <w:rPr>
            <w:noProof/>
            <w:webHidden/>
          </w:rPr>
        </w:r>
        <w:r>
          <w:rPr>
            <w:noProof/>
            <w:webHidden/>
          </w:rPr>
          <w:fldChar w:fldCharType="separate"/>
        </w:r>
        <w:r w:rsidR="00FD06AB">
          <w:rPr>
            <w:noProof/>
            <w:webHidden/>
          </w:rPr>
          <w:t>190</w:t>
        </w:r>
        <w:r>
          <w:rPr>
            <w:noProof/>
            <w:webHidden/>
          </w:rPr>
          <w:fldChar w:fldCharType="end"/>
        </w:r>
      </w:hyperlink>
    </w:p>
    <w:p w14:paraId="78FE388E" w14:textId="3EEE15C4" w:rsidR="003B042F" w:rsidRDefault="003B042F">
      <w:pPr>
        <w:pStyle w:val="TOC4"/>
        <w:rPr>
          <w:rFonts w:asciiTheme="minorHAnsi" w:eastAsiaTheme="minorEastAsia" w:hAnsiTheme="minorHAnsi"/>
          <w:noProof/>
          <w:sz w:val="22"/>
          <w:lang w:eastAsia="en-AU"/>
        </w:rPr>
      </w:pPr>
      <w:hyperlink w:anchor="_Toc175239298" w:history="1">
        <w:r w:rsidRPr="005871B3">
          <w:rPr>
            <w:rStyle w:val="Hyperlink"/>
            <w:noProof/>
          </w:rPr>
          <w:t>171.1—Application to vary or revoke order</w:t>
        </w:r>
        <w:r>
          <w:rPr>
            <w:noProof/>
            <w:webHidden/>
          </w:rPr>
          <w:tab/>
        </w:r>
        <w:r>
          <w:rPr>
            <w:noProof/>
            <w:webHidden/>
          </w:rPr>
          <w:fldChar w:fldCharType="begin"/>
        </w:r>
        <w:r>
          <w:rPr>
            <w:noProof/>
            <w:webHidden/>
          </w:rPr>
          <w:instrText xml:space="preserve"> PAGEREF _Toc175239298 \h </w:instrText>
        </w:r>
        <w:r>
          <w:rPr>
            <w:noProof/>
            <w:webHidden/>
          </w:rPr>
        </w:r>
        <w:r>
          <w:rPr>
            <w:noProof/>
            <w:webHidden/>
          </w:rPr>
          <w:fldChar w:fldCharType="separate"/>
        </w:r>
        <w:r w:rsidR="00FD06AB">
          <w:rPr>
            <w:noProof/>
            <w:webHidden/>
          </w:rPr>
          <w:t>190</w:t>
        </w:r>
        <w:r>
          <w:rPr>
            <w:noProof/>
            <w:webHidden/>
          </w:rPr>
          <w:fldChar w:fldCharType="end"/>
        </w:r>
      </w:hyperlink>
    </w:p>
    <w:p w14:paraId="4BCCA901" w14:textId="140BEF0C" w:rsidR="003B042F" w:rsidRDefault="003B042F">
      <w:pPr>
        <w:pStyle w:val="TOC4"/>
        <w:rPr>
          <w:rFonts w:asciiTheme="minorHAnsi" w:eastAsiaTheme="minorEastAsia" w:hAnsiTheme="minorHAnsi"/>
          <w:noProof/>
          <w:sz w:val="22"/>
          <w:lang w:eastAsia="en-AU"/>
        </w:rPr>
      </w:pPr>
      <w:hyperlink w:anchor="_Toc175239299" w:history="1">
        <w:r w:rsidRPr="005871B3">
          <w:rPr>
            <w:rStyle w:val="Hyperlink"/>
            <w:noProof/>
          </w:rPr>
          <w:t>171.2—Order on application to vary or revoke order</w:t>
        </w:r>
        <w:r>
          <w:rPr>
            <w:noProof/>
            <w:webHidden/>
          </w:rPr>
          <w:tab/>
        </w:r>
        <w:r>
          <w:rPr>
            <w:noProof/>
            <w:webHidden/>
          </w:rPr>
          <w:fldChar w:fldCharType="begin"/>
        </w:r>
        <w:r>
          <w:rPr>
            <w:noProof/>
            <w:webHidden/>
          </w:rPr>
          <w:instrText xml:space="preserve"> PAGEREF _Toc175239299 \h </w:instrText>
        </w:r>
        <w:r>
          <w:rPr>
            <w:noProof/>
            <w:webHidden/>
          </w:rPr>
        </w:r>
        <w:r>
          <w:rPr>
            <w:noProof/>
            <w:webHidden/>
          </w:rPr>
          <w:fldChar w:fldCharType="separate"/>
        </w:r>
        <w:r w:rsidR="00FD06AB">
          <w:rPr>
            <w:noProof/>
            <w:webHidden/>
          </w:rPr>
          <w:t>191</w:t>
        </w:r>
        <w:r>
          <w:rPr>
            <w:noProof/>
            <w:webHidden/>
          </w:rPr>
          <w:fldChar w:fldCharType="end"/>
        </w:r>
      </w:hyperlink>
    </w:p>
    <w:p w14:paraId="057C6A4D" w14:textId="744D8B36" w:rsidR="003B042F" w:rsidRDefault="003B042F">
      <w:pPr>
        <w:pStyle w:val="TOC3"/>
        <w:rPr>
          <w:rFonts w:asciiTheme="minorHAnsi" w:eastAsiaTheme="minorEastAsia" w:hAnsiTheme="minorHAnsi"/>
          <w:b w:val="0"/>
          <w:noProof/>
          <w:sz w:val="22"/>
          <w:lang w:eastAsia="en-AU"/>
        </w:rPr>
      </w:pPr>
      <w:hyperlink w:anchor="_Toc175239300" w:history="1">
        <w:r w:rsidRPr="005871B3">
          <w:rPr>
            <w:rStyle w:val="Hyperlink"/>
            <w:noProof/>
          </w:rPr>
          <w:t>Division 4—Release on licence</w:t>
        </w:r>
        <w:r>
          <w:rPr>
            <w:noProof/>
            <w:webHidden/>
          </w:rPr>
          <w:tab/>
        </w:r>
        <w:r>
          <w:rPr>
            <w:noProof/>
            <w:webHidden/>
          </w:rPr>
          <w:fldChar w:fldCharType="begin"/>
        </w:r>
        <w:r>
          <w:rPr>
            <w:noProof/>
            <w:webHidden/>
          </w:rPr>
          <w:instrText xml:space="preserve"> PAGEREF _Toc175239300 \h </w:instrText>
        </w:r>
        <w:r>
          <w:rPr>
            <w:noProof/>
            <w:webHidden/>
          </w:rPr>
        </w:r>
        <w:r>
          <w:rPr>
            <w:noProof/>
            <w:webHidden/>
          </w:rPr>
          <w:fldChar w:fldCharType="separate"/>
        </w:r>
        <w:r w:rsidR="00FD06AB">
          <w:rPr>
            <w:noProof/>
            <w:webHidden/>
          </w:rPr>
          <w:t>191</w:t>
        </w:r>
        <w:r>
          <w:rPr>
            <w:noProof/>
            <w:webHidden/>
          </w:rPr>
          <w:fldChar w:fldCharType="end"/>
        </w:r>
      </w:hyperlink>
    </w:p>
    <w:p w14:paraId="1106C4C6" w14:textId="59AF5D60" w:rsidR="003B042F" w:rsidRDefault="003B042F">
      <w:pPr>
        <w:pStyle w:val="TOC4"/>
        <w:rPr>
          <w:rFonts w:asciiTheme="minorHAnsi" w:eastAsiaTheme="minorEastAsia" w:hAnsiTheme="minorHAnsi"/>
          <w:noProof/>
          <w:sz w:val="22"/>
          <w:lang w:eastAsia="en-AU"/>
        </w:rPr>
      </w:pPr>
      <w:hyperlink w:anchor="_Toc175239301" w:history="1">
        <w:r w:rsidRPr="005871B3">
          <w:rPr>
            <w:rStyle w:val="Hyperlink"/>
            <w:noProof/>
          </w:rPr>
          <w:t>172.1—Application for release under licence under former section 293A</w:t>
        </w:r>
        <w:r>
          <w:rPr>
            <w:noProof/>
            <w:webHidden/>
          </w:rPr>
          <w:tab/>
        </w:r>
        <w:r>
          <w:rPr>
            <w:noProof/>
            <w:webHidden/>
          </w:rPr>
          <w:fldChar w:fldCharType="begin"/>
        </w:r>
        <w:r>
          <w:rPr>
            <w:noProof/>
            <w:webHidden/>
          </w:rPr>
          <w:instrText xml:space="preserve"> PAGEREF _Toc175239301 \h </w:instrText>
        </w:r>
        <w:r>
          <w:rPr>
            <w:noProof/>
            <w:webHidden/>
          </w:rPr>
        </w:r>
        <w:r>
          <w:rPr>
            <w:noProof/>
            <w:webHidden/>
          </w:rPr>
          <w:fldChar w:fldCharType="separate"/>
        </w:r>
        <w:r w:rsidR="00FD06AB">
          <w:rPr>
            <w:noProof/>
            <w:webHidden/>
          </w:rPr>
          <w:t>191</w:t>
        </w:r>
        <w:r>
          <w:rPr>
            <w:noProof/>
            <w:webHidden/>
          </w:rPr>
          <w:fldChar w:fldCharType="end"/>
        </w:r>
      </w:hyperlink>
    </w:p>
    <w:p w14:paraId="4BB78744" w14:textId="46CF1250" w:rsidR="003B042F" w:rsidRDefault="003B042F">
      <w:pPr>
        <w:pStyle w:val="TOC4"/>
        <w:rPr>
          <w:rFonts w:asciiTheme="minorHAnsi" w:eastAsiaTheme="minorEastAsia" w:hAnsiTheme="minorHAnsi"/>
          <w:noProof/>
          <w:sz w:val="22"/>
          <w:lang w:eastAsia="en-AU"/>
        </w:rPr>
      </w:pPr>
      <w:hyperlink w:anchor="_Toc175239302" w:history="1">
        <w:r w:rsidRPr="005871B3">
          <w:rPr>
            <w:rStyle w:val="Hyperlink"/>
            <w:noProof/>
          </w:rPr>
          <w:t>172.2—Order on application for release on licence</w:t>
        </w:r>
        <w:r>
          <w:rPr>
            <w:noProof/>
            <w:webHidden/>
          </w:rPr>
          <w:tab/>
        </w:r>
        <w:r>
          <w:rPr>
            <w:noProof/>
            <w:webHidden/>
          </w:rPr>
          <w:fldChar w:fldCharType="begin"/>
        </w:r>
        <w:r>
          <w:rPr>
            <w:noProof/>
            <w:webHidden/>
          </w:rPr>
          <w:instrText xml:space="preserve"> PAGEREF _Toc175239302 \h </w:instrText>
        </w:r>
        <w:r>
          <w:rPr>
            <w:noProof/>
            <w:webHidden/>
          </w:rPr>
        </w:r>
        <w:r>
          <w:rPr>
            <w:noProof/>
            <w:webHidden/>
          </w:rPr>
          <w:fldChar w:fldCharType="separate"/>
        </w:r>
        <w:r w:rsidR="00FD06AB">
          <w:rPr>
            <w:noProof/>
            <w:webHidden/>
          </w:rPr>
          <w:t>191</w:t>
        </w:r>
        <w:r>
          <w:rPr>
            <w:noProof/>
            <w:webHidden/>
          </w:rPr>
          <w:fldChar w:fldCharType="end"/>
        </w:r>
      </w:hyperlink>
    </w:p>
    <w:p w14:paraId="5ACD2367" w14:textId="0A092D65" w:rsidR="003B042F" w:rsidRDefault="003B042F">
      <w:pPr>
        <w:pStyle w:val="TOC3"/>
        <w:rPr>
          <w:rFonts w:asciiTheme="minorHAnsi" w:eastAsiaTheme="minorEastAsia" w:hAnsiTheme="minorHAnsi"/>
          <w:b w:val="0"/>
          <w:noProof/>
          <w:sz w:val="22"/>
          <w:lang w:eastAsia="en-AU"/>
        </w:rPr>
      </w:pPr>
      <w:hyperlink w:anchor="_Toc175239303" w:history="1">
        <w:r w:rsidRPr="005871B3">
          <w:rPr>
            <w:rStyle w:val="Hyperlink"/>
            <w:noProof/>
          </w:rPr>
          <w:t>Division 5—Crimes Act order: All Courts except Youth Court</w:t>
        </w:r>
        <w:r>
          <w:rPr>
            <w:noProof/>
            <w:webHidden/>
          </w:rPr>
          <w:tab/>
        </w:r>
        <w:r>
          <w:rPr>
            <w:noProof/>
            <w:webHidden/>
          </w:rPr>
          <w:fldChar w:fldCharType="begin"/>
        </w:r>
        <w:r>
          <w:rPr>
            <w:noProof/>
            <w:webHidden/>
          </w:rPr>
          <w:instrText xml:space="preserve"> PAGEREF _Toc175239303 \h </w:instrText>
        </w:r>
        <w:r>
          <w:rPr>
            <w:noProof/>
            <w:webHidden/>
          </w:rPr>
        </w:r>
        <w:r>
          <w:rPr>
            <w:noProof/>
            <w:webHidden/>
          </w:rPr>
          <w:fldChar w:fldCharType="separate"/>
        </w:r>
        <w:r w:rsidR="00FD06AB">
          <w:rPr>
            <w:noProof/>
            <w:webHidden/>
          </w:rPr>
          <w:t>191</w:t>
        </w:r>
        <w:r>
          <w:rPr>
            <w:noProof/>
            <w:webHidden/>
          </w:rPr>
          <w:fldChar w:fldCharType="end"/>
        </w:r>
      </w:hyperlink>
    </w:p>
    <w:p w14:paraId="0AD40F3F" w14:textId="514FEB8F" w:rsidR="003B042F" w:rsidRDefault="003B042F">
      <w:pPr>
        <w:pStyle w:val="TOC4"/>
        <w:rPr>
          <w:rFonts w:asciiTheme="minorHAnsi" w:eastAsiaTheme="minorEastAsia" w:hAnsiTheme="minorHAnsi"/>
          <w:noProof/>
          <w:sz w:val="22"/>
          <w:lang w:eastAsia="en-AU"/>
        </w:rPr>
      </w:pPr>
      <w:hyperlink w:anchor="_Toc175239304" w:history="1">
        <w:r w:rsidRPr="005871B3">
          <w:rPr>
            <w:rStyle w:val="Hyperlink"/>
            <w:noProof/>
          </w:rPr>
          <w:t>173.1—Application to vary or discharge order</w:t>
        </w:r>
        <w:r>
          <w:rPr>
            <w:noProof/>
            <w:webHidden/>
          </w:rPr>
          <w:tab/>
        </w:r>
        <w:r>
          <w:rPr>
            <w:noProof/>
            <w:webHidden/>
          </w:rPr>
          <w:fldChar w:fldCharType="begin"/>
        </w:r>
        <w:r>
          <w:rPr>
            <w:noProof/>
            <w:webHidden/>
          </w:rPr>
          <w:instrText xml:space="preserve"> PAGEREF _Toc175239304 \h </w:instrText>
        </w:r>
        <w:r>
          <w:rPr>
            <w:noProof/>
            <w:webHidden/>
          </w:rPr>
        </w:r>
        <w:r>
          <w:rPr>
            <w:noProof/>
            <w:webHidden/>
          </w:rPr>
          <w:fldChar w:fldCharType="separate"/>
        </w:r>
        <w:r w:rsidR="00FD06AB">
          <w:rPr>
            <w:noProof/>
            <w:webHidden/>
          </w:rPr>
          <w:t>191</w:t>
        </w:r>
        <w:r>
          <w:rPr>
            <w:noProof/>
            <w:webHidden/>
          </w:rPr>
          <w:fldChar w:fldCharType="end"/>
        </w:r>
      </w:hyperlink>
    </w:p>
    <w:p w14:paraId="04599BCA" w14:textId="3AD1C045" w:rsidR="003B042F" w:rsidRDefault="003B042F">
      <w:pPr>
        <w:pStyle w:val="TOC4"/>
        <w:rPr>
          <w:rFonts w:asciiTheme="minorHAnsi" w:eastAsiaTheme="minorEastAsia" w:hAnsiTheme="minorHAnsi"/>
          <w:noProof/>
          <w:sz w:val="22"/>
          <w:lang w:eastAsia="en-AU"/>
        </w:rPr>
      </w:pPr>
      <w:hyperlink w:anchor="_Toc175239305" w:history="1">
        <w:r w:rsidRPr="005871B3">
          <w:rPr>
            <w:rStyle w:val="Hyperlink"/>
            <w:noProof/>
          </w:rPr>
          <w:t>173.2—Order on application to vary or discharge order</w:t>
        </w:r>
        <w:r>
          <w:rPr>
            <w:noProof/>
            <w:webHidden/>
          </w:rPr>
          <w:tab/>
        </w:r>
        <w:r>
          <w:rPr>
            <w:noProof/>
            <w:webHidden/>
          </w:rPr>
          <w:fldChar w:fldCharType="begin"/>
        </w:r>
        <w:r>
          <w:rPr>
            <w:noProof/>
            <w:webHidden/>
          </w:rPr>
          <w:instrText xml:space="preserve"> PAGEREF _Toc175239305 \h </w:instrText>
        </w:r>
        <w:r>
          <w:rPr>
            <w:noProof/>
            <w:webHidden/>
          </w:rPr>
        </w:r>
        <w:r>
          <w:rPr>
            <w:noProof/>
            <w:webHidden/>
          </w:rPr>
          <w:fldChar w:fldCharType="separate"/>
        </w:r>
        <w:r w:rsidR="00FD06AB">
          <w:rPr>
            <w:noProof/>
            <w:webHidden/>
          </w:rPr>
          <w:t>192</w:t>
        </w:r>
        <w:r>
          <w:rPr>
            <w:noProof/>
            <w:webHidden/>
          </w:rPr>
          <w:fldChar w:fldCharType="end"/>
        </w:r>
      </w:hyperlink>
    </w:p>
    <w:p w14:paraId="7CBA34D3" w14:textId="2D3FFC0D"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306" w:history="1">
        <w:r w:rsidRPr="005871B3">
          <w:rPr>
            <w:rStyle w:val="Hyperlink"/>
            <w:noProof/>
          </w:rPr>
          <w:t>Part 3—Enforcement</w:t>
        </w:r>
        <w:r>
          <w:rPr>
            <w:noProof/>
            <w:webHidden/>
          </w:rPr>
          <w:tab/>
        </w:r>
        <w:r>
          <w:rPr>
            <w:noProof/>
            <w:webHidden/>
          </w:rPr>
          <w:fldChar w:fldCharType="begin"/>
        </w:r>
        <w:r>
          <w:rPr>
            <w:noProof/>
            <w:webHidden/>
          </w:rPr>
          <w:instrText xml:space="preserve"> PAGEREF _Toc175239306 \h </w:instrText>
        </w:r>
        <w:r>
          <w:rPr>
            <w:noProof/>
            <w:webHidden/>
          </w:rPr>
        </w:r>
        <w:r>
          <w:rPr>
            <w:noProof/>
            <w:webHidden/>
          </w:rPr>
          <w:fldChar w:fldCharType="separate"/>
        </w:r>
        <w:r w:rsidR="00FD06AB">
          <w:rPr>
            <w:noProof/>
            <w:webHidden/>
          </w:rPr>
          <w:t>192</w:t>
        </w:r>
        <w:r>
          <w:rPr>
            <w:noProof/>
            <w:webHidden/>
          </w:rPr>
          <w:fldChar w:fldCharType="end"/>
        </w:r>
      </w:hyperlink>
    </w:p>
    <w:p w14:paraId="0E897572" w14:textId="6A135DFB" w:rsidR="003B042F" w:rsidRDefault="003B042F">
      <w:pPr>
        <w:pStyle w:val="TOC3"/>
        <w:rPr>
          <w:rFonts w:asciiTheme="minorHAnsi" w:eastAsiaTheme="minorEastAsia" w:hAnsiTheme="minorHAnsi"/>
          <w:b w:val="0"/>
          <w:noProof/>
          <w:sz w:val="22"/>
          <w:lang w:eastAsia="en-AU"/>
        </w:rPr>
      </w:pPr>
      <w:hyperlink w:anchor="_Toc175239307" w:history="1">
        <w:r w:rsidRPr="005871B3">
          <w:rPr>
            <w:rStyle w:val="Hyperlink"/>
            <w:noProof/>
          </w:rPr>
          <w:t>Division 1—Application for enforcement</w:t>
        </w:r>
        <w:r>
          <w:rPr>
            <w:noProof/>
            <w:webHidden/>
          </w:rPr>
          <w:tab/>
        </w:r>
        <w:r>
          <w:rPr>
            <w:noProof/>
            <w:webHidden/>
          </w:rPr>
          <w:fldChar w:fldCharType="begin"/>
        </w:r>
        <w:r>
          <w:rPr>
            <w:noProof/>
            <w:webHidden/>
          </w:rPr>
          <w:instrText xml:space="preserve"> PAGEREF _Toc175239307 \h </w:instrText>
        </w:r>
        <w:r>
          <w:rPr>
            <w:noProof/>
            <w:webHidden/>
          </w:rPr>
        </w:r>
        <w:r>
          <w:rPr>
            <w:noProof/>
            <w:webHidden/>
          </w:rPr>
          <w:fldChar w:fldCharType="separate"/>
        </w:r>
        <w:r w:rsidR="00FD06AB">
          <w:rPr>
            <w:noProof/>
            <w:webHidden/>
          </w:rPr>
          <w:t>192</w:t>
        </w:r>
        <w:r>
          <w:rPr>
            <w:noProof/>
            <w:webHidden/>
          </w:rPr>
          <w:fldChar w:fldCharType="end"/>
        </w:r>
      </w:hyperlink>
    </w:p>
    <w:p w14:paraId="4A6B5461" w14:textId="77987669" w:rsidR="003B042F" w:rsidRDefault="003B042F">
      <w:pPr>
        <w:pStyle w:val="TOC4"/>
        <w:rPr>
          <w:rFonts w:asciiTheme="minorHAnsi" w:eastAsiaTheme="minorEastAsia" w:hAnsiTheme="minorHAnsi"/>
          <w:noProof/>
          <w:sz w:val="22"/>
          <w:lang w:eastAsia="en-AU"/>
        </w:rPr>
      </w:pPr>
      <w:hyperlink w:anchor="_Toc175239308" w:history="1">
        <w:r w:rsidRPr="005871B3">
          <w:rPr>
            <w:rStyle w:val="Hyperlink"/>
            <w:noProof/>
          </w:rPr>
          <w:t>174.1—Application to enforce sentencing order</w:t>
        </w:r>
        <w:r>
          <w:rPr>
            <w:noProof/>
            <w:webHidden/>
          </w:rPr>
          <w:tab/>
        </w:r>
        <w:r>
          <w:rPr>
            <w:noProof/>
            <w:webHidden/>
          </w:rPr>
          <w:fldChar w:fldCharType="begin"/>
        </w:r>
        <w:r>
          <w:rPr>
            <w:noProof/>
            <w:webHidden/>
          </w:rPr>
          <w:instrText xml:space="preserve"> PAGEREF _Toc175239308 \h </w:instrText>
        </w:r>
        <w:r>
          <w:rPr>
            <w:noProof/>
            <w:webHidden/>
          </w:rPr>
        </w:r>
        <w:r>
          <w:rPr>
            <w:noProof/>
            <w:webHidden/>
          </w:rPr>
          <w:fldChar w:fldCharType="separate"/>
        </w:r>
        <w:r w:rsidR="00FD06AB">
          <w:rPr>
            <w:noProof/>
            <w:webHidden/>
          </w:rPr>
          <w:t>192</w:t>
        </w:r>
        <w:r>
          <w:rPr>
            <w:noProof/>
            <w:webHidden/>
          </w:rPr>
          <w:fldChar w:fldCharType="end"/>
        </w:r>
      </w:hyperlink>
    </w:p>
    <w:p w14:paraId="1290EF66" w14:textId="3628B265" w:rsidR="003B042F" w:rsidRDefault="003B042F">
      <w:pPr>
        <w:pStyle w:val="TOC4"/>
        <w:rPr>
          <w:rFonts w:asciiTheme="minorHAnsi" w:eastAsiaTheme="minorEastAsia" w:hAnsiTheme="minorHAnsi"/>
          <w:noProof/>
          <w:sz w:val="22"/>
          <w:lang w:eastAsia="en-AU"/>
        </w:rPr>
      </w:pPr>
      <w:hyperlink w:anchor="_Toc175239309" w:history="1">
        <w:r w:rsidRPr="005871B3">
          <w:rPr>
            <w:rStyle w:val="Hyperlink"/>
            <w:noProof/>
          </w:rPr>
          <w:t>174.2—Application to enforce federal sentencing order: All Courts except Youth Court</w:t>
        </w:r>
        <w:r>
          <w:rPr>
            <w:noProof/>
            <w:webHidden/>
          </w:rPr>
          <w:tab/>
        </w:r>
        <w:r>
          <w:rPr>
            <w:noProof/>
            <w:webHidden/>
          </w:rPr>
          <w:fldChar w:fldCharType="begin"/>
        </w:r>
        <w:r>
          <w:rPr>
            <w:noProof/>
            <w:webHidden/>
          </w:rPr>
          <w:instrText xml:space="preserve"> PAGEREF _Toc175239309 \h </w:instrText>
        </w:r>
        <w:r>
          <w:rPr>
            <w:noProof/>
            <w:webHidden/>
          </w:rPr>
        </w:r>
        <w:r>
          <w:rPr>
            <w:noProof/>
            <w:webHidden/>
          </w:rPr>
          <w:fldChar w:fldCharType="separate"/>
        </w:r>
        <w:r w:rsidR="00FD06AB">
          <w:rPr>
            <w:noProof/>
            <w:webHidden/>
          </w:rPr>
          <w:t>193</w:t>
        </w:r>
        <w:r>
          <w:rPr>
            <w:noProof/>
            <w:webHidden/>
          </w:rPr>
          <w:fldChar w:fldCharType="end"/>
        </w:r>
      </w:hyperlink>
    </w:p>
    <w:p w14:paraId="5D3CCD95" w14:textId="776B4B1B" w:rsidR="003B042F" w:rsidRDefault="003B042F">
      <w:pPr>
        <w:pStyle w:val="TOC4"/>
        <w:rPr>
          <w:rFonts w:asciiTheme="minorHAnsi" w:eastAsiaTheme="minorEastAsia" w:hAnsiTheme="minorHAnsi"/>
          <w:noProof/>
          <w:sz w:val="22"/>
          <w:lang w:eastAsia="en-AU"/>
        </w:rPr>
      </w:pPr>
      <w:hyperlink w:anchor="_Toc175239310" w:history="1">
        <w:r w:rsidRPr="005871B3">
          <w:rPr>
            <w:rStyle w:val="Hyperlink"/>
            <w:noProof/>
          </w:rPr>
          <w:t>174.3—Summons to respondent</w:t>
        </w:r>
        <w:r>
          <w:rPr>
            <w:noProof/>
            <w:webHidden/>
          </w:rPr>
          <w:tab/>
        </w:r>
        <w:r>
          <w:rPr>
            <w:noProof/>
            <w:webHidden/>
          </w:rPr>
          <w:fldChar w:fldCharType="begin"/>
        </w:r>
        <w:r>
          <w:rPr>
            <w:noProof/>
            <w:webHidden/>
          </w:rPr>
          <w:instrText xml:space="preserve"> PAGEREF _Toc175239310 \h </w:instrText>
        </w:r>
        <w:r>
          <w:rPr>
            <w:noProof/>
            <w:webHidden/>
          </w:rPr>
        </w:r>
        <w:r>
          <w:rPr>
            <w:noProof/>
            <w:webHidden/>
          </w:rPr>
          <w:fldChar w:fldCharType="separate"/>
        </w:r>
        <w:r w:rsidR="00FD06AB">
          <w:rPr>
            <w:noProof/>
            <w:webHidden/>
          </w:rPr>
          <w:t>193</w:t>
        </w:r>
        <w:r>
          <w:rPr>
            <w:noProof/>
            <w:webHidden/>
          </w:rPr>
          <w:fldChar w:fldCharType="end"/>
        </w:r>
      </w:hyperlink>
    </w:p>
    <w:p w14:paraId="00A7A972" w14:textId="6610EA5B" w:rsidR="003B042F" w:rsidRDefault="003B042F">
      <w:pPr>
        <w:pStyle w:val="TOC4"/>
        <w:rPr>
          <w:rFonts w:asciiTheme="minorHAnsi" w:eastAsiaTheme="minorEastAsia" w:hAnsiTheme="minorHAnsi"/>
          <w:noProof/>
          <w:sz w:val="22"/>
          <w:lang w:eastAsia="en-AU"/>
        </w:rPr>
      </w:pPr>
      <w:hyperlink w:anchor="_Toc175239311" w:history="1">
        <w:r w:rsidRPr="005871B3">
          <w:rPr>
            <w:rStyle w:val="Hyperlink"/>
            <w:noProof/>
          </w:rPr>
          <w:t>174.4—Warrant of apprehension of defendant or youth</w:t>
        </w:r>
        <w:r>
          <w:rPr>
            <w:noProof/>
            <w:webHidden/>
          </w:rPr>
          <w:tab/>
        </w:r>
        <w:r>
          <w:rPr>
            <w:noProof/>
            <w:webHidden/>
          </w:rPr>
          <w:fldChar w:fldCharType="begin"/>
        </w:r>
        <w:r>
          <w:rPr>
            <w:noProof/>
            <w:webHidden/>
          </w:rPr>
          <w:instrText xml:space="preserve"> PAGEREF _Toc175239311 \h </w:instrText>
        </w:r>
        <w:r>
          <w:rPr>
            <w:noProof/>
            <w:webHidden/>
          </w:rPr>
        </w:r>
        <w:r>
          <w:rPr>
            <w:noProof/>
            <w:webHidden/>
          </w:rPr>
          <w:fldChar w:fldCharType="separate"/>
        </w:r>
        <w:r w:rsidR="00FD06AB">
          <w:rPr>
            <w:noProof/>
            <w:webHidden/>
          </w:rPr>
          <w:t>193</w:t>
        </w:r>
        <w:r>
          <w:rPr>
            <w:noProof/>
            <w:webHidden/>
          </w:rPr>
          <w:fldChar w:fldCharType="end"/>
        </w:r>
      </w:hyperlink>
    </w:p>
    <w:p w14:paraId="3B1C2580" w14:textId="1AEF1052" w:rsidR="003B042F" w:rsidRDefault="003B042F">
      <w:pPr>
        <w:pStyle w:val="TOC3"/>
        <w:rPr>
          <w:rFonts w:asciiTheme="minorHAnsi" w:eastAsiaTheme="minorEastAsia" w:hAnsiTheme="minorHAnsi"/>
          <w:b w:val="0"/>
          <w:noProof/>
          <w:sz w:val="22"/>
          <w:lang w:eastAsia="en-AU"/>
        </w:rPr>
      </w:pPr>
      <w:hyperlink w:anchor="_Toc175239312" w:history="1">
        <w:r w:rsidRPr="005871B3">
          <w:rPr>
            <w:rStyle w:val="Hyperlink"/>
            <w:noProof/>
          </w:rPr>
          <w:t>Division 2—Orders for enforcement</w:t>
        </w:r>
        <w:r>
          <w:rPr>
            <w:noProof/>
            <w:webHidden/>
          </w:rPr>
          <w:tab/>
        </w:r>
        <w:r>
          <w:rPr>
            <w:noProof/>
            <w:webHidden/>
          </w:rPr>
          <w:fldChar w:fldCharType="begin"/>
        </w:r>
        <w:r>
          <w:rPr>
            <w:noProof/>
            <w:webHidden/>
          </w:rPr>
          <w:instrText xml:space="preserve"> PAGEREF _Toc175239312 \h </w:instrText>
        </w:r>
        <w:r>
          <w:rPr>
            <w:noProof/>
            <w:webHidden/>
          </w:rPr>
        </w:r>
        <w:r>
          <w:rPr>
            <w:noProof/>
            <w:webHidden/>
          </w:rPr>
          <w:fldChar w:fldCharType="separate"/>
        </w:r>
        <w:r w:rsidR="00FD06AB">
          <w:rPr>
            <w:noProof/>
            <w:webHidden/>
          </w:rPr>
          <w:t>194</w:t>
        </w:r>
        <w:r>
          <w:rPr>
            <w:noProof/>
            <w:webHidden/>
          </w:rPr>
          <w:fldChar w:fldCharType="end"/>
        </w:r>
      </w:hyperlink>
    </w:p>
    <w:p w14:paraId="41D763FC" w14:textId="3F0B468E" w:rsidR="003B042F" w:rsidRDefault="003B042F">
      <w:pPr>
        <w:pStyle w:val="TOC4"/>
        <w:rPr>
          <w:rFonts w:asciiTheme="minorHAnsi" w:eastAsiaTheme="minorEastAsia" w:hAnsiTheme="minorHAnsi"/>
          <w:noProof/>
          <w:sz w:val="22"/>
          <w:lang w:eastAsia="en-AU"/>
        </w:rPr>
      </w:pPr>
      <w:hyperlink w:anchor="_Toc175239313" w:history="1">
        <w:r w:rsidRPr="005871B3">
          <w:rPr>
            <w:rStyle w:val="Hyperlink"/>
            <w:noProof/>
          </w:rPr>
          <w:t>175.1—Order on application for enforcement</w:t>
        </w:r>
        <w:r>
          <w:rPr>
            <w:noProof/>
            <w:webHidden/>
          </w:rPr>
          <w:tab/>
        </w:r>
        <w:r>
          <w:rPr>
            <w:noProof/>
            <w:webHidden/>
          </w:rPr>
          <w:fldChar w:fldCharType="begin"/>
        </w:r>
        <w:r>
          <w:rPr>
            <w:noProof/>
            <w:webHidden/>
          </w:rPr>
          <w:instrText xml:space="preserve"> PAGEREF _Toc175239313 \h </w:instrText>
        </w:r>
        <w:r>
          <w:rPr>
            <w:noProof/>
            <w:webHidden/>
          </w:rPr>
        </w:r>
        <w:r>
          <w:rPr>
            <w:noProof/>
            <w:webHidden/>
          </w:rPr>
          <w:fldChar w:fldCharType="separate"/>
        </w:r>
        <w:r w:rsidR="00FD06AB">
          <w:rPr>
            <w:noProof/>
            <w:webHidden/>
          </w:rPr>
          <w:t>194</w:t>
        </w:r>
        <w:r>
          <w:rPr>
            <w:noProof/>
            <w:webHidden/>
          </w:rPr>
          <w:fldChar w:fldCharType="end"/>
        </w:r>
      </w:hyperlink>
    </w:p>
    <w:p w14:paraId="7F23A098" w14:textId="122DCE94" w:rsidR="003B042F" w:rsidRDefault="003B042F">
      <w:pPr>
        <w:pStyle w:val="TOC4"/>
        <w:rPr>
          <w:rFonts w:asciiTheme="minorHAnsi" w:eastAsiaTheme="minorEastAsia" w:hAnsiTheme="minorHAnsi"/>
          <w:noProof/>
          <w:sz w:val="22"/>
          <w:lang w:eastAsia="en-AU"/>
        </w:rPr>
      </w:pPr>
      <w:hyperlink w:anchor="_Toc175239314" w:history="1">
        <w:r w:rsidRPr="005871B3">
          <w:rPr>
            <w:rStyle w:val="Hyperlink"/>
            <w:noProof/>
          </w:rPr>
          <w:t>175.2—Warrant of commitment or mandate for detention</w:t>
        </w:r>
        <w:r>
          <w:rPr>
            <w:noProof/>
            <w:webHidden/>
          </w:rPr>
          <w:tab/>
        </w:r>
        <w:r>
          <w:rPr>
            <w:noProof/>
            <w:webHidden/>
          </w:rPr>
          <w:fldChar w:fldCharType="begin"/>
        </w:r>
        <w:r>
          <w:rPr>
            <w:noProof/>
            <w:webHidden/>
          </w:rPr>
          <w:instrText xml:space="preserve"> PAGEREF _Toc175239314 \h </w:instrText>
        </w:r>
        <w:r>
          <w:rPr>
            <w:noProof/>
            <w:webHidden/>
          </w:rPr>
        </w:r>
        <w:r>
          <w:rPr>
            <w:noProof/>
            <w:webHidden/>
          </w:rPr>
          <w:fldChar w:fldCharType="separate"/>
        </w:r>
        <w:r w:rsidR="00FD06AB">
          <w:rPr>
            <w:noProof/>
            <w:webHidden/>
          </w:rPr>
          <w:t>194</w:t>
        </w:r>
        <w:r>
          <w:rPr>
            <w:noProof/>
            <w:webHidden/>
          </w:rPr>
          <w:fldChar w:fldCharType="end"/>
        </w:r>
      </w:hyperlink>
    </w:p>
    <w:p w14:paraId="14D4F68F" w14:textId="6C5D00E4"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315" w:history="1">
        <w:r w:rsidRPr="005871B3">
          <w:rPr>
            <w:rStyle w:val="Hyperlink"/>
            <w:noProof/>
          </w:rPr>
          <w:t>Chapter 9—Appellate Proceedings</w:t>
        </w:r>
        <w:r>
          <w:rPr>
            <w:noProof/>
            <w:webHidden/>
          </w:rPr>
          <w:tab/>
        </w:r>
        <w:r>
          <w:rPr>
            <w:noProof/>
            <w:webHidden/>
          </w:rPr>
          <w:fldChar w:fldCharType="begin"/>
        </w:r>
        <w:r>
          <w:rPr>
            <w:noProof/>
            <w:webHidden/>
          </w:rPr>
          <w:instrText xml:space="preserve"> PAGEREF _Toc175239315 \h </w:instrText>
        </w:r>
        <w:r>
          <w:rPr>
            <w:noProof/>
            <w:webHidden/>
          </w:rPr>
        </w:r>
        <w:r>
          <w:rPr>
            <w:noProof/>
            <w:webHidden/>
          </w:rPr>
          <w:fldChar w:fldCharType="separate"/>
        </w:r>
        <w:r w:rsidR="00FD06AB">
          <w:rPr>
            <w:noProof/>
            <w:webHidden/>
          </w:rPr>
          <w:t>195</w:t>
        </w:r>
        <w:r>
          <w:rPr>
            <w:noProof/>
            <w:webHidden/>
          </w:rPr>
          <w:fldChar w:fldCharType="end"/>
        </w:r>
      </w:hyperlink>
    </w:p>
    <w:p w14:paraId="490391DB" w14:textId="39D9D7AF"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316" w:history="1">
        <w:r w:rsidRPr="005871B3">
          <w:rPr>
            <w:rStyle w:val="Hyperlink"/>
            <w:noProof/>
          </w:rPr>
          <w:t>Part 1—General</w:t>
        </w:r>
        <w:r>
          <w:rPr>
            <w:noProof/>
            <w:webHidden/>
          </w:rPr>
          <w:tab/>
        </w:r>
        <w:r>
          <w:rPr>
            <w:noProof/>
            <w:webHidden/>
          </w:rPr>
          <w:fldChar w:fldCharType="begin"/>
        </w:r>
        <w:r>
          <w:rPr>
            <w:noProof/>
            <w:webHidden/>
          </w:rPr>
          <w:instrText xml:space="preserve"> PAGEREF _Toc175239316 \h </w:instrText>
        </w:r>
        <w:r>
          <w:rPr>
            <w:noProof/>
            <w:webHidden/>
          </w:rPr>
        </w:r>
        <w:r>
          <w:rPr>
            <w:noProof/>
            <w:webHidden/>
          </w:rPr>
          <w:fldChar w:fldCharType="separate"/>
        </w:r>
        <w:r w:rsidR="00FD06AB">
          <w:rPr>
            <w:noProof/>
            <w:webHidden/>
          </w:rPr>
          <w:t>195</w:t>
        </w:r>
        <w:r>
          <w:rPr>
            <w:noProof/>
            <w:webHidden/>
          </w:rPr>
          <w:fldChar w:fldCharType="end"/>
        </w:r>
      </w:hyperlink>
    </w:p>
    <w:p w14:paraId="28FF6A75" w14:textId="6ACEEDBE" w:rsidR="003B042F" w:rsidRDefault="003B042F">
      <w:pPr>
        <w:pStyle w:val="TOC4"/>
        <w:rPr>
          <w:rFonts w:asciiTheme="minorHAnsi" w:eastAsiaTheme="minorEastAsia" w:hAnsiTheme="minorHAnsi"/>
          <w:noProof/>
          <w:sz w:val="22"/>
          <w:lang w:eastAsia="en-AU"/>
        </w:rPr>
      </w:pPr>
      <w:hyperlink w:anchor="_Toc175239317" w:history="1">
        <w:r w:rsidRPr="005871B3">
          <w:rPr>
            <w:rStyle w:val="Hyperlink"/>
            <w:noProof/>
          </w:rPr>
          <w:t>181.1—Definitions</w:t>
        </w:r>
        <w:r>
          <w:rPr>
            <w:noProof/>
            <w:webHidden/>
          </w:rPr>
          <w:tab/>
        </w:r>
        <w:r>
          <w:rPr>
            <w:noProof/>
            <w:webHidden/>
          </w:rPr>
          <w:fldChar w:fldCharType="begin"/>
        </w:r>
        <w:r>
          <w:rPr>
            <w:noProof/>
            <w:webHidden/>
          </w:rPr>
          <w:instrText xml:space="preserve"> PAGEREF _Toc175239317 \h </w:instrText>
        </w:r>
        <w:r>
          <w:rPr>
            <w:noProof/>
            <w:webHidden/>
          </w:rPr>
        </w:r>
        <w:r>
          <w:rPr>
            <w:noProof/>
            <w:webHidden/>
          </w:rPr>
          <w:fldChar w:fldCharType="separate"/>
        </w:r>
        <w:r w:rsidR="00FD06AB">
          <w:rPr>
            <w:noProof/>
            <w:webHidden/>
          </w:rPr>
          <w:t>195</w:t>
        </w:r>
        <w:r>
          <w:rPr>
            <w:noProof/>
            <w:webHidden/>
          </w:rPr>
          <w:fldChar w:fldCharType="end"/>
        </w:r>
      </w:hyperlink>
    </w:p>
    <w:p w14:paraId="69A3D38F" w14:textId="12DBABDC" w:rsidR="003B042F" w:rsidRDefault="003B042F">
      <w:pPr>
        <w:pStyle w:val="TOC4"/>
        <w:rPr>
          <w:rFonts w:asciiTheme="minorHAnsi" w:eastAsiaTheme="minorEastAsia" w:hAnsiTheme="minorHAnsi"/>
          <w:noProof/>
          <w:sz w:val="22"/>
          <w:lang w:eastAsia="en-AU"/>
        </w:rPr>
      </w:pPr>
      <w:hyperlink w:anchor="_Toc175239318" w:history="1">
        <w:r w:rsidRPr="005871B3">
          <w:rPr>
            <w:rStyle w:val="Hyperlink"/>
            <w:noProof/>
          </w:rPr>
          <w:t>181.2—Service of documents</w:t>
        </w:r>
        <w:r>
          <w:rPr>
            <w:noProof/>
            <w:webHidden/>
          </w:rPr>
          <w:tab/>
        </w:r>
        <w:r>
          <w:rPr>
            <w:noProof/>
            <w:webHidden/>
          </w:rPr>
          <w:fldChar w:fldCharType="begin"/>
        </w:r>
        <w:r>
          <w:rPr>
            <w:noProof/>
            <w:webHidden/>
          </w:rPr>
          <w:instrText xml:space="preserve"> PAGEREF _Toc175239318 \h </w:instrText>
        </w:r>
        <w:r>
          <w:rPr>
            <w:noProof/>
            <w:webHidden/>
          </w:rPr>
        </w:r>
        <w:r>
          <w:rPr>
            <w:noProof/>
            <w:webHidden/>
          </w:rPr>
          <w:fldChar w:fldCharType="separate"/>
        </w:r>
        <w:r w:rsidR="00FD06AB">
          <w:rPr>
            <w:noProof/>
            <w:webHidden/>
          </w:rPr>
          <w:t>197</w:t>
        </w:r>
        <w:r>
          <w:rPr>
            <w:noProof/>
            <w:webHidden/>
          </w:rPr>
          <w:fldChar w:fldCharType="end"/>
        </w:r>
      </w:hyperlink>
    </w:p>
    <w:p w14:paraId="4CF7F29C" w14:textId="52859FF5" w:rsidR="003B042F" w:rsidRDefault="003B042F">
      <w:pPr>
        <w:pStyle w:val="TOC4"/>
        <w:rPr>
          <w:rFonts w:asciiTheme="minorHAnsi" w:eastAsiaTheme="minorEastAsia" w:hAnsiTheme="minorHAnsi"/>
          <w:noProof/>
          <w:sz w:val="22"/>
          <w:lang w:eastAsia="en-AU"/>
        </w:rPr>
      </w:pPr>
      <w:hyperlink w:anchor="_Toc175239319" w:history="1">
        <w:r w:rsidRPr="005871B3">
          <w:rPr>
            <w:rStyle w:val="Hyperlink"/>
            <w:noProof/>
          </w:rPr>
          <w:t>181.3—Records of Outcome</w:t>
        </w:r>
        <w:r>
          <w:rPr>
            <w:noProof/>
            <w:webHidden/>
          </w:rPr>
          <w:tab/>
        </w:r>
        <w:r>
          <w:rPr>
            <w:noProof/>
            <w:webHidden/>
          </w:rPr>
          <w:fldChar w:fldCharType="begin"/>
        </w:r>
        <w:r>
          <w:rPr>
            <w:noProof/>
            <w:webHidden/>
          </w:rPr>
          <w:instrText xml:space="preserve"> PAGEREF _Toc175239319 \h </w:instrText>
        </w:r>
        <w:r>
          <w:rPr>
            <w:noProof/>
            <w:webHidden/>
          </w:rPr>
        </w:r>
        <w:r>
          <w:rPr>
            <w:noProof/>
            <w:webHidden/>
          </w:rPr>
          <w:fldChar w:fldCharType="separate"/>
        </w:r>
        <w:r w:rsidR="00FD06AB">
          <w:rPr>
            <w:noProof/>
            <w:webHidden/>
          </w:rPr>
          <w:t>197</w:t>
        </w:r>
        <w:r>
          <w:rPr>
            <w:noProof/>
            <w:webHidden/>
          </w:rPr>
          <w:fldChar w:fldCharType="end"/>
        </w:r>
      </w:hyperlink>
    </w:p>
    <w:p w14:paraId="5F232675" w14:textId="6DBB0A8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320" w:history="1">
        <w:r w:rsidRPr="005871B3">
          <w:rPr>
            <w:rStyle w:val="Hyperlink"/>
            <w:noProof/>
          </w:rPr>
          <w:t>Part 2—Bail reviews: Supreme Court</w:t>
        </w:r>
        <w:r>
          <w:rPr>
            <w:noProof/>
            <w:webHidden/>
          </w:rPr>
          <w:tab/>
        </w:r>
        <w:r>
          <w:rPr>
            <w:noProof/>
            <w:webHidden/>
          </w:rPr>
          <w:fldChar w:fldCharType="begin"/>
        </w:r>
        <w:r>
          <w:rPr>
            <w:noProof/>
            <w:webHidden/>
          </w:rPr>
          <w:instrText xml:space="preserve"> PAGEREF _Toc175239320 \h </w:instrText>
        </w:r>
        <w:r>
          <w:rPr>
            <w:noProof/>
            <w:webHidden/>
          </w:rPr>
        </w:r>
        <w:r>
          <w:rPr>
            <w:noProof/>
            <w:webHidden/>
          </w:rPr>
          <w:fldChar w:fldCharType="separate"/>
        </w:r>
        <w:r w:rsidR="00FD06AB">
          <w:rPr>
            <w:noProof/>
            <w:webHidden/>
          </w:rPr>
          <w:t>197</w:t>
        </w:r>
        <w:r>
          <w:rPr>
            <w:noProof/>
            <w:webHidden/>
          </w:rPr>
          <w:fldChar w:fldCharType="end"/>
        </w:r>
      </w:hyperlink>
    </w:p>
    <w:p w14:paraId="628743E6" w14:textId="0D4094B9" w:rsidR="003B042F" w:rsidRDefault="003B042F">
      <w:pPr>
        <w:pStyle w:val="TOC4"/>
        <w:rPr>
          <w:rFonts w:asciiTheme="minorHAnsi" w:eastAsiaTheme="minorEastAsia" w:hAnsiTheme="minorHAnsi"/>
          <w:noProof/>
          <w:sz w:val="22"/>
          <w:lang w:eastAsia="en-AU"/>
        </w:rPr>
      </w:pPr>
      <w:hyperlink w:anchor="_Toc175239321" w:history="1">
        <w:r w:rsidRPr="005871B3">
          <w:rPr>
            <w:rStyle w:val="Hyperlink"/>
            <w:noProof/>
          </w:rPr>
          <w:t>183.1—Application of Part</w:t>
        </w:r>
        <w:r>
          <w:rPr>
            <w:noProof/>
            <w:webHidden/>
          </w:rPr>
          <w:tab/>
        </w:r>
        <w:r>
          <w:rPr>
            <w:noProof/>
            <w:webHidden/>
          </w:rPr>
          <w:fldChar w:fldCharType="begin"/>
        </w:r>
        <w:r>
          <w:rPr>
            <w:noProof/>
            <w:webHidden/>
          </w:rPr>
          <w:instrText xml:space="preserve"> PAGEREF _Toc175239321 \h </w:instrText>
        </w:r>
        <w:r>
          <w:rPr>
            <w:noProof/>
            <w:webHidden/>
          </w:rPr>
        </w:r>
        <w:r>
          <w:rPr>
            <w:noProof/>
            <w:webHidden/>
          </w:rPr>
          <w:fldChar w:fldCharType="separate"/>
        </w:r>
        <w:r w:rsidR="00FD06AB">
          <w:rPr>
            <w:noProof/>
            <w:webHidden/>
          </w:rPr>
          <w:t>197</w:t>
        </w:r>
        <w:r>
          <w:rPr>
            <w:noProof/>
            <w:webHidden/>
          </w:rPr>
          <w:fldChar w:fldCharType="end"/>
        </w:r>
      </w:hyperlink>
    </w:p>
    <w:p w14:paraId="7A44AFE2" w14:textId="7A0D18C9" w:rsidR="003B042F" w:rsidRDefault="003B042F">
      <w:pPr>
        <w:pStyle w:val="TOC4"/>
        <w:rPr>
          <w:rFonts w:asciiTheme="minorHAnsi" w:eastAsiaTheme="minorEastAsia" w:hAnsiTheme="minorHAnsi"/>
          <w:noProof/>
          <w:sz w:val="22"/>
          <w:lang w:eastAsia="en-AU"/>
        </w:rPr>
      </w:pPr>
      <w:hyperlink w:anchor="_Toc175239322" w:history="1">
        <w:r w:rsidRPr="005871B3">
          <w:rPr>
            <w:rStyle w:val="Hyperlink"/>
            <w:noProof/>
          </w:rPr>
          <w:t>183.2—Notice of review</w:t>
        </w:r>
        <w:r>
          <w:rPr>
            <w:noProof/>
            <w:webHidden/>
          </w:rPr>
          <w:tab/>
        </w:r>
        <w:r>
          <w:rPr>
            <w:noProof/>
            <w:webHidden/>
          </w:rPr>
          <w:fldChar w:fldCharType="begin"/>
        </w:r>
        <w:r>
          <w:rPr>
            <w:noProof/>
            <w:webHidden/>
          </w:rPr>
          <w:instrText xml:space="preserve"> PAGEREF _Toc175239322 \h </w:instrText>
        </w:r>
        <w:r>
          <w:rPr>
            <w:noProof/>
            <w:webHidden/>
          </w:rPr>
        </w:r>
        <w:r>
          <w:rPr>
            <w:noProof/>
            <w:webHidden/>
          </w:rPr>
          <w:fldChar w:fldCharType="separate"/>
        </w:r>
        <w:r w:rsidR="00FD06AB">
          <w:rPr>
            <w:noProof/>
            <w:webHidden/>
          </w:rPr>
          <w:t>197</w:t>
        </w:r>
        <w:r>
          <w:rPr>
            <w:noProof/>
            <w:webHidden/>
          </w:rPr>
          <w:fldChar w:fldCharType="end"/>
        </w:r>
      </w:hyperlink>
    </w:p>
    <w:p w14:paraId="381C6F6E" w14:textId="470BE669" w:rsidR="003B042F" w:rsidRDefault="003B042F">
      <w:pPr>
        <w:pStyle w:val="TOC4"/>
        <w:rPr>
          <w:rFonts w:asciiTheme="minorHAnsi" w:eastAsiaTheme="minorEastAsia" w:hAnsiTheme="minorHAnsi"/>
          <w:noProof/>
          <w:sz w:val="22"/>
          <w:lang w:eastAsia="en-AU"/>
        </w:rPr>
      </w:pPr>
      <w:hyperlink w:anchor="_Toc175239323" w:history="1">
        <w:r w:rsidRPr="005871B3">
          <w:rPr>
            <w:rStyle w:val="Hyperlink"/>
            <w:noProof/>
          </w:rPr>
          <w:t>183.3—Ancillary applications</w:t>
        </w:r>
        <w:r>
          <w:rPr>
            <w:noProof/>
            <w:webHidden/>
          </w:rPr>
          <w:tab/>
        </w:r>
        <w:r>
          <w:rPr>
            <w:noProof/>
            <w:webHidden/>
          </w:rPr>
          <w:fldChar w:fldCharType="begin"/>
        </w:r>
        <w:r>
          <w:rPr>
            <w:noProof/>
            <w:webHidden/>
          </w:rPr>
          <w:instrText xml:space="preserve"> PAGEREF _Toc175239323 \h </w:instrText>
        </w:r>
        <w:r>
          <w:rPr>
            <w:noProof/>
            <w:webHidden/>
          </w:rPr>
        </w:r>
        <w:r>
          <w:rPr>
            <w:noProof/>
            <w:webHidden/>
          </w:rPr>
          <w:fldChar w:fldCharType="separate"/>
        </w:r>
        <w:r w:rsidR="00FD06AB">
          <w:rPr>
            <w:noProof/>
            <w:webHidden/>
          </w:rPr>
          <w:t>198</w:t>
        </w:r>
        <w:r>
          <w:rPr>
            <w:noProof/>
            <w:webHidden/>
          </w:rPr>
          <w:fldChar w:fldCharType="end"/>
        </w:r>
      </w:hyperlink>
    </w:p>
    <w:p w14:paraId="35EBB264" w14:textId="5D0C3566" w:rsidR="003B042F" w:rsidRDefault="003B042F">
      <w:pPr>
        <w:pStyle w:val="TOC4"/>
        <w:rPr>
          <w:rFonts w:asciiTheme="minorHAnsi" w:eastAsiaTheme="minorEastAsia" w:hAnsiTheme="minorHAnsi"/>
          <w:noProof/>
          <w:sz w:val="22"/>
          <w:lang w:eastAsia="en-AU"/>
        </w:rPr>
      </w:pPr>
      <w:hyperlink w:anchor="_Toc175239324" w:history="1">
        <w:r w:rsidRPr="005871B3">
          <w:rPr>
            <w:rStyle w:val="Hyperlink"/>
            <w:noProof/>
          </w:rPr>
          <w:t>183.4—Service of notice of review</w:t>
        </w:r>
        <w:r>
          <w:rPr>
            <w:noProof/>
            <w:webHidden/>
          </w:rPr>
          <w:tab/>
        </w:r>
        <w:r>
          <w:rPr>
            <w:noProof/>
            <w:webHidden/>
          </w:rPr>
          <w:fldChar w:fldCharType="begin"/>
        </w:r>
        <w:r>
          <w:rPr>
            <w:noProof/>
            <w:webHidden/>
          </w:rPr>
          <w:instrText xml:space="preserve"> PAGEREF _Toc175239324 \h </w:instrText>
        </w:r>
        <w:r>
          <w:rPr>
            <w:noProof/>
            <w:webHidden/>
          </w:rPr>
        </w:r>
        <w:r>
          <w:rPr>
            <w:noProof/>
            <w:webHidden/>
          </w:rPr>
          <w:fldChar w:fldCharType="separate"/>
        </w:r>
        <w:r w:rsidR="00FD06AB">
          <w:rPr>
            <w:noProof/>
            <w:webHidden/>
          </w:rPr>
          <w:t>198</w:t>
        </w:r>
        <w:r>
          <w:rPr>
            <w:noProof/>
            <w:webHidden/>
          </w:rPr>
          <w:fldChar w:fldCharType="end"/>
        </w:r>
      </w:hyperlink>
    </w:p>
    <w:p w14:paraId="2E278198" w14:textId="41B39120" w:rsidR="003B042F" w:rsidRDefault="003B042F">
      <w:pPr>
        <w:pStyle w:val="TOC4"/>
        <w:rPr>
          <w:rFonts w:asciiTheme="minorHAnsi" w:eastAsiaTheme="minorEastAsia" w:hAnsiTheme="minorHAnsi"/>
          <w:noProof/>
          <w:sz w:val="22"/>
          <w:lang w:eastAsia="en-AU"/>
        </w:rPr>
      </w:pPr>
      <w:hyperlink w:anchor="_Toc175239325" w:history="1">
        <w:r w:rsidRPr="005871B3">
          <w:rPr>
            <w:rStyle w:val="Hyperlink"/>
            <w:noProof/>
          </w:rPr>
          <w:t>183.5—Transmission of bail authority file</w:t>
        </w:r>
        <w:r>
          <w:rPr>
            <w:noProof/>
            <w:webHidden/>
          </w:rPr>
          <w:tab/>
        </w:r>
        <w:r>
          <w:rPr>
            <w:noProof/>
            <w:webHidden/>
          </w:rPr>
          <w:fldChar w:fldCharType="begin"/>
        </w:r>
        <w:r>
          <w:rPr>
            <w:noProof/>
            <w:webHidden/>
          </w:rPr>
          <w:instrText xml:space="preserve"> PAGEREF _Toc175239325 \h </w:instrText>
        </w:r>
        <w:r>
          <w:rPr>
            <w:noProof/>
            <w:webHidden/>
          </w:rPr>
        </w:r>
        <w:r>
          <w:rPr>
            <w:noProof/>
            <w:webHidden/>
          </w:rPr>
          <w:fldChar w:fldCharType="separate"/>
        </w:r>
        <w:r w:rsidR="00FD06AB">
          <w:rPr>
            <w:noProof/>
            <w:webHidden/>
          </w:rPr>
          <w:t>199</w:t>
        </w:r>
        <w:r>
          <w:rPr>
            <w:noProof/>
            <w:webHidden/>
          </w:rPr>
          <w:fldChar w:fldCharType="end"/>
        </w:r>
      </w:hyperlink>
    </w:p>
    <w:p w14:paraId="3CA360D6" w14:textId="66ECC6F1" w:rsidR="003B042F" w:rsidRDefault="003B042F">
      <w:pPr>
        <w:pStyle w:val="TOC4"/>
        <w:rPr>
          <w:rFonts w:asciiTheme="minorHAnsi" w:eastAsiaTheme="minorEastAsia" w:hAnsiTheme="minorHAnsi"/>
          <w:noProof/>
          <w:sz w:val="22"/>
          <w:lang w:eastAsia="en-AU"/>
        </w:rPr>
      </w:pPr>
      <w:hyperlink w:anchor="_Toc175239326" w:history="1">
        <w:r w:rsidRPr="005871B3">
          <w:rPr>
            <w:rStyle w:val="Hyperlink"/>
            <w:noProof/>
          </w:rPr>
          <w:t>183.6—Notice of acting</w:t>
        </w:r>
        <w:r>
          <w:rPr>
            <w:noProof/>
            <w:webHidden/>
          </w:rPr>
          <w:tab/>
        </w:r>
        <w:r>
          <w:rPr>
            <w:noProof/>
            <w:webHidden/>
          </w:rPr>
          <w:fldChar w:fldCharType="begin"/>
        </w:r>
        <w:r>
          <w:rPr>
            <w:noProof/>
            <w:webHidden/>
          </w:rPr>
          <w:instrText xml:space="preserve"> PAGEREF _Toc175239326 \h </w:instrText>
        </w:r>
        <w:r>
          <w:rPr>
            <w:noProof/>
            <w:webHidden/>
          </w:rPr>
        </w:r>
        <w:r>
          <w:rPr>
            <w:noProof/>
            <w:webHidden/>
          </w:rPr>
          <w:fldChar w:fldCharType="separate"/>
        </w:r>
        <w:r w:rsidR="00FD06AB">
          <w:rPr>
            <w:noProof/>
            <w:webHidden/>
          </w:rPr>
          <w:t>199</w:t>
        </w:r>
        <w:r>
          <w:rPr>
            <w:noProof/>
            <w:webHidden/>
          </w:rPr>
          <w:fldChar w:fldCharType="end"/>
        </w:r>
      </w:hyperlink>
    </w:p>
    <w:p w14:paraId="62C6C98E" w14:textId="1CC3EF8A" w:rsidR="003B042F" w:rsidRDefault="003B042F">
      <w:pPr>
        <w:pStyle w:val="TOC4"/>
        <w:rPr>
          <w:rFonts w:asciiTheme="minorHAnsi" w:eastAsiaTheme="minorEastAsia" w:hAnsiTheme="minorHAnsi"/>
          <w:noProof/>
          <w:sz w:val="22"/>
          <w:lang w:eastAsia="en-AU"/>
        </w:rPr>
      </w:pPr>
      <w:hyperlink w:anchor="_Toc175239327" w:history="1">
        <w:r w:rsidRPr="005871B3">
          <w:rPr>
            <w:rStyle w:val="Hyperlink"/>
            <w:noProof/>
          </w:rPr>
          <w:t>183.7—Withdrawal of notice of review</w:t>
        </w:r>
        <w:r>
          <w:rPr>
            <w:noProof/>
            <w:webHidden/>
          </w:rPr>
          <w:tab/>
        </w:r>
        <w:r>
          <w:rPr>
            <w:noProof/>
            <w:webHidden/>
          </w:rPr>
          <w:fldChar w:fldCharType="begin"/>
        </w:r>
        <w:r>
          <w:rPr>
            <w:noProof/>
            <w:webHidden/>
          </w:rPr>
          <w:instrText xml:space="preserve"> PAGEREF _Toc175239327 \h </w:instrText>
        </w:r>
        <w:r>
          <w:rPr>
            <w:noProof/>
            <w:webHidden/>
          </w:rPr>
        </w:r>
        <w:r>
          <w:rPr>
            <w:noProof/>
            <w:webHidden/>
          </w:rPr>
          <w:fldChar w:fldCharType="separate"/>
        </w:r>
        <w:r w:rsidR="00FD06AB">
          <w:rPr>
            <w:noProof/>
            <w:webHidden/>
          </w:rPr>
          <w:t>199</w:t>
        </w:r>
        <w:r>
          <w:rPr>
            <w:noProof/>
            <w:webHidden/>
          </w:rPr>
          <w:fldChar w:fldCharType="end"/>
        </w:r>
      </w:hyperlink>
    </w:p>
    <w:p w14:paraId="7F2F484A" w14:textId="7C32D0F7" w:rsidR="003B042F" w:rsidRDefault="003B042F">
      <w:pPr>
        <w:pStyle w:val="TOC4"/>
        <w:rPr>
          <w:rFonts w:asciiTheme="minorHAnsi" w:eastAsiaTheme="minorEastAsia" w:hAnsiTheme="minorHAnsi"/>
          <w:noProof/>
          <w:sz w:val="22"/>
          <w:lang w:eastAsia="en-AU"/>
        </w:rPr>
      </w:pPr>
      <w:hyperlink w:anchor="_Toc175239328" w:history="1">
        <w:r w:rsidRPr="005871B3">
          <w:rPr>
            <w:rStyle w:val="Hyperlink"/>
            <w:noProof/>
          </w:rPr>
          <w:t>183.8—Hearing of application for review</w:t>
        </w:r>
        <w:r>
          <w:rPr>
            <w:noProof/>
            <w:webHidden/>
          </w:rPr>
          <w:tab/>
        </w:r>
        <w:r>
          <w:rPr>
            <w:noProof/>
            <w:webHidden/>
          </w:rPr>
          <w:fldChar w:fldCharType="begin"/>
        </w:r>
        <w:r>
          <w:rPr>
            <w:noProof/>
            <w:webHidden/>
          </w:rPr>
          <w:instrText xml:space="preserve"> PAGEREF _Toc175239328 \h </w:instrText>
        </w:r>
        <w:r>
          <w:rPr>
            <w:noProof/>
            <w:webHidden/>
          </w:rPr>
        </w:r>
        <w:r>
          <w:rPr>
            <w:noProof/>
            <w:webHidden/>
          </w:rPr>
          <w:fldChar w:fldCharType="separate"/>
        </w:r>
        <w:r w:rsidR="00FD06AB">
          <w:rPr>
            <w:noProof/>
            <w:webHidden/>
          </w:rPr>
          <w:t>199</w:t>
        </w:r>
        <w:r>
          <w:rPr>
            <w:noProof/>
            <w:webHidden/>
          </w:rPr>
          <w:fldChar w:fldCharType="end"/>
        </w:r>
      </w:hyperlink>
    </w:p>
    <w:p w14:paraId="53F53AD0" w14:textId="1FEFAD66" w:rsidR="003B042F" w:rsidRDefault="003B042F">
      <w:pPr>
        <w:pStyle w:val="TOC4"/>
        <w:rPr>
          <w:rFonts w:asciiTheme="minorHAnsi" w:eastAsiaTheme="minorEastAsia" w:hAnsiTheme="minorHAnsi"/>
          <w:noProof/>
          <w:sz w:val="22"/>
          <w:lang w:eastAsia="en-AU"/>
        </w:rPr>
      </w:pPr>
      <w:hyperlink w:anchor="_Toc175239329" w:history="1">
        <w:r w:rsidRPr="005871B3">
          <w:rPr>
            <w:rStyle w:val="Hyperlink"/>
            <w:noProof/>
          </w:rPr>
          <w:t>183.9—Determination of application for review</w:t>
        </w:r>
        <w:r>
          <w:rPr>
            <w:noProof/>
            <w:webHidden/>
          </w:rPr>
          <w:tab/>
        </w:r>
        <w:r>
          <w:rPr>
            <w:noProof/>
            <w:webHidden/>
          </w:rPr>
          <w:fldChar w:fldCharType="begin"/>
        </w:r>
        <w:r>
          <w:rPr>
            <w:noProof/>
            <w:webHidden/>
          </w:rPr>
          <w:instrText xml:space="preserve"> PAGEREF _Toc175239329 \h </w:instrText>
        </w:r>
        <w:r>
          <w:rPr>
            <w:noProof/>
            <w:webHidden/>
          </w:rPr>
        </w:r>
        <w:r>
          <w:rPr>
            <w:noProof/>
            <w:webHidden/>
          </w:rPr>
          <w:fldChar w:fldCharType="separate"/>
        </w:r>
        <w:r w:rsidR="00FD06AB">
          <w:rPr>
            <w:noProof/>
            <w:webHidden/>
          </w:rPr>
          <w:t>200</w:t>
        </w:r>
        <w:r>
          <w:rPr>
            <w:noProof/>
            <w:webHidden/>
          </w:rPr>
          <w:fldChar w:fldCharType="end"/>
        </w:r>
      </w:hyperlink>
    </w:p>
    <w:p w14:paraId="01DE2831" w14:textId="374A952C"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330" w:history="1">
        <w:r w:rsidRPr="005871B3">
          <w:rPr>
            <w:rStyle w:val="Hyperlink"/>
            <w:noProof/>
          </w:rPr>
          <w:t>Part 3—Appeals and cases stated to Judge: Supreme Court and Youth Court</w:t>
        </w:r>
        <w:r>
          <w:rPr>
            <w:noProof/>
            <w:webHidden/>
          </w:rPr>
          <w:tab/>
        </w:r>
        <w:r>
          <w:rPr>
            <w:noProof/>
            <w:webHidden/>
          </w:rPr>
          <w:fldChar w:fldCharType="begin"/>
        </w:r>
        <w:r>
          <w:rPr>
            <w:noProof/>
            <w:webHidden/>
          </w:rPr>
          <w:instrText xml:space="preserve"> PAGEREF _Toc175239330 \h </w:instrText>
        </w:r>
        <w:r>
          <w:rPr>
            <w:noProof/>
            <w:webHidden/>
          </w:rPr>
        </w:r>
        <w:r>
          <w:rPr>
            <w:noProof/>
            <w:webHidden/>
          </w:rPr>
          <w:fldChar w:fldCharType="separate"/>
        </w:r>
        <w:r w:rsidR="00FD06AB">
          <w:rPr>
            <w:noProof/>
            <w:webHidden/>
          </w:rPr>
          <w:t>200</w:t>
        </w:r>
        <w:r>
          <w:rPr>
            <w:noProof/>
            <w:webHidden/>
          </w:rPr>
          <w:fldChar w:fldCharType="end"/>
        </w:r>
      </w:hyperlink>
    </w:p>
    <w:p w14:paraId="42B87F1F" w14:textId="74A187B7" w:rsidR="003B042F" w:rsidRDefault="003B042F">
      <w:pPr>
        <w:pStyle w:val="TOC3"/>
        <w:rPr>
          <w:rFonts w:asciiTheme="minorHAnsi" w:eastAsiaTheme="minorEastAsia" w:hAnsiTheme="minorHAnsi"/>
          <w:b w:val="0"/>
          <w:noProof/>
          <w:sz w:val="22"/>
          <w:lang w:eastAsia="en-AU"/>
        </w:rPr>
      </w:pPr>
      <w:hyperlink w:anchor="_Toc175239331" w:history="1">
        <w:r w:rsidRPr="005871B3">
          <w:rPr>
            <w:rStyle w:val="Hyperlink"/>
            <w:noProof/>
          </w:rPr>
          <w:t>Division 1—General</w:t>
        </w:r>
        <w:r>
          <w:rPr>
            <w:noProof/>
            <w:webHidden/>
          </w:rPr>
          <w:tab/>
        </w:r>
        <w:r>
          <w:rPr>
            <w:noProof/>
            <w:webHidden/>
          </w:rPr>
          <w:fldChar w:fldCharType="begin"/>
        </w:r>
        <w:r>
          <w:rPr>
            <w:noProof/>
            <w:webHidden/>
          </w:rPr>
          <w:instrText xml:space="preserve"> PAGEREF _Toc175239331 \h </w:instrText>
        </w:r>
        <w:r>
          <w:rPr>
            <w:noProof/>
            <w:webHidden/>
          </w:rPr>
        </w:r>
        <w:r>
          <w:rPr>
            <w:noProof/>
            <w:webHidden/>
          </w:rPr>
          <w:fldChar w:fldCharType="separate"/>
        </w:r>
        <w:r w:rsidR="00FD06AB">
          <w:rPr>
            <w:noProof/>
            <w:webHidden/>
          </w:rPr>
          <w:t>200</w:t>
        </w:r>
        <w:r>
          <w:rPr>
            <w:noProof/>
            <w:webHidden/>
          </w:rPr>
          <w:fldChar w:fldCharType="end"/>
        </w:r>
      </w:hyperlink>
    </w:p>
    <w:p w14:paraId="3AF19F42" w14:textId="0398FAB4" w:rsidR="003B042F" w:rsidRDefault="003B042F">
      <w:pPr>
        <w:pStyle w:val="TOC4"/>
        <w:rPr>
          <w:rFonts w:asciiTheme="minorHAnsi" w:eastAsiaTheme="minorEastAsia" w:hAnsiTheme="minorHAnsi"/>
          <w:noProof/>
          <w:sz w:val="22"/>
          <w:lang w:eastAsia="en-AU"/>
        </w:rPr>
      </w:pPr>
      <w:hyperlink w:anchor="_Toc175239332" w:history="1">
        <w:r w:rsidRPr="005871B3">
          <w:rPr>
            <w:rStyle w:val="Hyperlink"/>
            <w:noProof/>
          </w:rPr>
          <w:t>184.1—Application of Part</w:t>
        </w:r>
        <w:r>
          <w:rPr>
            <w:noProof/>
            <w:webHidden/>
          </w:rPr>
          <w:tab/>
        </w:r>
        <w:r>
          <w:rPr>
            <w:noProof/>
            <w:webHidden/>
          </w:rPr>
          <w:fldChar w:fldCharType="begin"/>
        </w:r>
        <w:r>
          <w:rPr>
            <w:noProof/>
            <w:webHidden/>
          </w:rPr>
          <w:instrText xml:space="preserve"> PAGEREF _Toc175239332 \h </w:instrText>
        </w:r>
        <w:r>
          <w:rPr>
            <w:noProof/>
            <w:webHidden/>
          </w:rPr>
        </w:r>
        <w:r>
          <w:rPr>
            <w:noProof/>
            <w:webHidden/>
          </w:rPr>
          <w:fldChar w:fldCharType="separate"/>
        </w:r>
        <w:r w:rsidR="00FD06AB">
          <w:rPr>
            <w:noProof/>
            <w:webHidden/>
          </w:rPr>
          <w:t>200</w:t>
        </w:r>
        <w:r>
          <w:rPr>
            <w:noProof/>
            <w:webHidden/>
          </w:rPr>
          <w:fldChar w:fldCharType="end"/>
        </w:r>
      </w:hyperlink>
    </w:p>
    <w:p w14:paraId="62776D08" w14:textId="270FCDD6" w:rsidR="003B042F" w:rsidRDefault="003B042F">
      <w:pPr>
        <w:pStyle w:val="TOC4"/>
        <w:rPr>
          <w:rFonts w:asciiTheme="minorHAnsi" w:eastAsiaTheme="minorEastAsia" w:hAnsiTheme="minorHAnsi"/>
          <w:noProof/>
          <w:sz w:val="22"/>
          <w:lang w:eastAsia="en-AU"/>
        </w:rPr>
      </w:pPr>
      <w:hyperlink w:anchor="_Toc175239333" w:history="1">
        <w:r w:rsidRPr="005871B3">
          <w:rPr>
            <w:rStyle w:val="Hyperlink"/>
            <w:noProof/>
          </w:rPr>
          <w:t>184.2—Jurisdiction of Judge: Supreme Court</w:t>
        </w:r>
        <w:r>
          <w:rPr>
            <w:noProof/>
            <w:webHidden/>
          </w:rPr>
          <w:tab/>
        </w:r>
        <w:r>
          <w:rPr>
            <w:noProof/>
            <w:webHidden/>
          </w:rPr>
          <w:fldChar w:fldCharType="begin"/>
        </w:r>
        <w:r>
          <w:rPr>
            <w:noProof/>
            <w:webHidden/>
          </w:rPr>
          <w:instrText xml:space="preserve"> PAGEREF _Toc175239333 \h </w:instrText>
        </w:r>
        <w:r>
          <w:rPr>
            <w:noProof/>
            <w:webHidden/>
          </w:rPr>
        </w:r>
        <w:r>
          <w:rPr>
            <w:noProof/>
            <w:webHidden/>
          </w:rPr>
          <w:fldChar w:fldCharType="separate"/>
        </w:r>
        <w:r w:rsidR="00FD06AB">
          <w:rPr>
            <w:noProof/>
            <w:webHidden/>
          </w:rPr>
          <w:t>200</w:t>
        </w:r>
        <w:r>
          <w:rPr>
            <w:noProof/>
            <w:webHidden/>
          </w:rPr>
          <w:fldChar w:fldCharType="end"/>
        </w:r>
      </w:hyperlink>
    </w:p>
    <w:p w14:paraId="1A9EC5BE" w14:textId="6DD83CA5" w:rsidR="003B042F" w:rsidRDefault="003B042F">
      <w:pPr>
        <w:pStyle w:val="TOC3"/>
        <w:rPr>
          <w:rFonts w:asciiTheme="minorHAnsi" w:eastAsiaTheme="minorEastAsia" w:hAnsiTheme="minorHAnsi"/>
          <w:b w:val="0"/>
          <w:noProof/>
          <w:sz w:val="22"/>
          <w:lang w:eastAsia="en-AU"/>
        </w:rPr>
      </w:pPr>
      <w:hyperlink w:anchor="_Toc175239334" w:history="1">
        <w:r w:rsidRPr="005871B3">
          <w:rPr>
            <w:rStyle w:val="Hyperlink"/>
            <w:noProof/>
          </w:rPr>
          <w:t>Division 2—Institution of appeal</w:t>
        </w:r>
        <w:r>
          <w:rPr>
            <w:noProof/>
            <w:webHidden/>
          </w:rPr>
          <w:tab/>
        </w:r>
        <w:r>
          <w:rPr>
            <w:noProof/>
            <w:webHidden/>
          </w:rPr>
          <w:fldChar w:fldCharType="begin"/>
        </w:r>
        <w:r>
          <w:rPr>
            <w:noProof/>
            <w:webHidden/>
          </w:rPr>
          <w:instrText xml:space="preserve"> PAGEREF _Toc175239334 \h </w:instrText>
        </w:r>
        <w:r>
          <w:rPr>
            <w:noProof/>
            <w:webHidden/>
          </w:rPr>
        </w:r>
        <w:r>
          <w:rPr>
            <w:noProof/>
            <w:webHidden/>
          </w:rPr>
          <w:fldChar w:fldCharType="separate"/>
        </w:r>
        <w:r w:rsidR="00FD06AB">
          <w:rPr>
            <w:noProof/>
            <w:webHidden/>
          </w:rPr>
          <w:t>201</w:t>
        </w:r>
        <w:r>
          <w:rPr>
            <w:noProof/>
            <w:webHidden/>
          </w:rPr>
          <w:fldChar w:fldCharType="end"/>
        </w:r>
      </w:hyperlink>
    </w:p>
    <w:p w14:paraId="5814CAD6" w14:textId="34BBB620" w:rsidR="003B042F" w:rsidRDefault="003B042F">
      <w:pPr>
        <w:pStyle w:val="TOC4"/>
        <w:rPr>
          <w:rFonts w:asciiTheme="minorHAnsi" w:eastAsiaTheme="minorEastAsia" w:hAnsiTheme="minorHAnsi"/>
          <w:noProof/>
          <w:sz w:val="22"/>
          <w:lang w:eastAsia="en-AU"/>
        </w:rPr>
      </w:pPr>
      <w:hyperlink w:anchor="_Toc175239335" w:history="1">
        <w:r w:rsidRPr="005871B3">
          <w:rPr>
            <w:rStyle w:val="Hyperlink"/>
            <w:noProof/>
          </w:rPr>
          <w:t>185.1—Time to appeal</w:t>
        </w:r>
        <w:r>
          <w:rPr>
            <w:noProof/>
            <w:webHidden/>
          </w:rPr>
          <w:tab/>
        </w:r>
        <w:r>
          <w:rPr>
            <w:noProof/>
            <w:webHidden/>
          </w:rPr>
          <w:fldChar w:fldCharType="begin"/>
        </w:r>
        <w:r>
          <w:rPr>
            <w:noProof/>
            <w:webHidden/>
          </w:rPr>
          <w:instrText xml:space="preserve"> PAGEREF _Toc175239335 \h </w:instrText>
        </w:r>
        <w:r>
          <w:rPr>
            <w:noProof/>
            <w:webHidden/>
          </w:rPr>
        </w:r>
        <w:r>
          <w:rPr>
            <w:noProof/>
            <w:webHidden/>
          </w:rPr>
          <w:fldChar w:fldCharType="separate"/>
        </w:r>
        <w:r w:rsidR="00FD06AB">
          <w:rPr>
            <w:noProof/>
            <w:webHidden/>
          </w:rPr>
          <w:t>201</w:t>
        </w:r>
        <w:r>
          <w:rPr>
            <w:noProof/>
            <w:webHidden/>
          </w:rPr>
          <w:fldChar w:fldCharType="end"/>
        </w:r>
      </w:hyperlink>
    </w:p>
    <w:p w14:paraId="30B65227" w14:textId="54D128E5" w:rsidR="003B042F" w:rsidRDefault="003B042F">
      <w:pPr>
        <w:pStyle w:val="TOC4"/>
        <w:rPr>
          <w:rFonts w:asciiTheme="minorHAnsi" w:eastAsiaTheme="minorEastAsia" w:hAnsiTheme="minorHAnsi"/>
          <w:noProof/>
          <w:sz w:val="22"/>
          <w:lang w:eastAsia="en-AU"/>
        </w:rPr>
      </w:pPr>
      <w:hyperlink w:anchor="_Toc175239336" w:history="1">
        <w:r w:rsidRPr="005871B3">
          <w:rPr>
            <w:rStyle w:val="Hyperlink"/>
            <w:noProof/>
          </w:rPr>
          <w:t>185.2—Leave to appeal: Supreme Court</w:t>
        </w:r>
        <w:r>
          <w:rPr>
            <w:noProof/>
            <w:webHidden/>
          </w:rPr>
          <w:tab/>
        </w:r>
        <w:r>
          <w:rPr>
            <w:noProof/>
            <w:webHidden/>
          </w:rPr>
          <w:fldChar w:fldCharType="begin"/>
        </w:r>
        <w:r>
          <w:rPr>
            <w:noProof/>
            <w:webHidden/>
          </w:rPr>
          <w:instrText xml:space="preserve"> PAGEREF _Toc175239336 \h </w:instrText>
        </w:r>
        <w:r>
          <w:rPr>
            <w:noProof/>
            <w:webHidden/>
          </w:rPr>
        </w:r>
        <w:r>
          <w:rPr>
            <w:noProof/>
            <w:webHidden/>
          </w:rPr>
          <w:fldChar w:fldCharType="separate"/>
        </w:r>
        <w:r w:rsidR="00FD06AB">
          <w:rPr>
            <w:noProof/>
            <w:webHidden/>
          </w:rPr>
          <w:t>201</w:t>
        </w:r>
        <w:r>
          <w:rPr>
            <w:noProof/>
            <w:webHidden/>
          </w:rPr>
          <w:fldChar w:fldCharType="end"/>
        </w:r>
      </w:hyperlink>
    </w:p>
    <w:p w14:paraId="5D7A76E9" w14:textId="570263B0" w:rsidR="003B042F" w:rsidRDefault="003B042F">
      <w:pPr>
        <w:pStyle w:val="TOC4"/>
        <w:rPr>
          <w:rFonts w:asciiTheme="minorHAnsi" w:eastAsiaTheme="minorEastAsia" w:hAnsiTheme="minorHAnsi"/>
          <w:noProof/>
          <w:sz w:val="22"/>
          <w:lang w:eastAsia="en-AU"/>
        </w:rPr>
      </w:pPr>
      <w:hyperlink w:anchor="_Toc175239337" w:history="1">
        <w:r w:rsidRPr="005871B3">
          <w:rPr>
            <w:rStyle w:val="Hyperlink"/>
            <w:noProof/>
          </w:rPr>
          <w:t>185.3—Institution of appeal</w:t>
        </w:r>
        <w:r>
          <w:rPr>
            <w:noProof/>
            <w:webHidden/>
          </w:rPr>
          <w:tab/>
        </w:r>
        <w:r>
          <w:rPr>
            <w:noProof/>
            <w:webHidden/>
          </w:rPr>
          <w:fldChar w:fldCharType="begin"/>
        </w:r>
        <w:r>
          <w:rPr>
            <w:noProof/>
            <w:webHidden/>
          </w:rPr>
          <w:instrText xml:space="preserve"> PAGEREF _Toc175239337 \h </w:instrText>
        </w:r>
        <w:r>
          <w:rPr>
            <w:noProof/>
            <w:webHidden/>
          </w:rPr>
        </w:r>
        <w:r>
          <w:rPr>
            <w:noProof/>
            <w:webHidden/>
          </w:rPr>
          <w:fldChar w:fldCharType="separate"/>
        </w:r>
        <w:r w:rsidR="00FD06AB">
          <w:rPr>
            <w:noProof/>
            <w:webHidden/>
          </w:rPr>
          <w:t>202</w:t>
        </w:r>
        <w:r>
          <w:rPr>
            <w:noProof/>
            <w:webHidden/>
          </w:rPr>
          <w:fldChar w:fldCharType="end"/>
        </w:r>
      </w:hyperlink>
    </w:p>
    <w:p w14:paraId="3E30B331" w14:textId="3E5AF6FF" w:rsidR="003B042F" w:rsidRDefault="003B042F">
      <w:pPr>
        <w:pStyle w:val="TOC4"/>
        <w:rPr>
          <w:rFonts w:asciiTheme="minorHAnsi" w:eastAsiaTheme="minorEastAsia" w:hAnsiTheme="minorHAnsi"/>
          <w:noProof/>
          <w:sz w:val="22"/>
          <w:lang w:eastAsia="en-AU"/>
        </w:rPr>
      </w:pPr>
      <w:hyperlink w:anchor="_Toc175239338" w:history="1">
        <w:r w:rsidRPr="005871B3">
          <w:rPr>
            <w:rStyle w:val="Hyperlink"/>
            <w:noProof/>
          </w:rPr>
          <w:t>185.4—Service of notice of appeal</w:t>
        </w:r>
        <w:r>
          <w:rPr>
            <w:noProof/>
            <w:webHidden/>
          </w:rPr>
          <w:tab/>
        </w:r>
        <w:r>
          <w:rPr>
            <w:noProof/>
            <w:webHidden/>
          </w:rPr>
          <w:fldChar w:fldCharType="begin"/>
        </w:r>
        <w:r>
          <w:rPr>
            <w:noProof/>
            <w:webHidden/>
          </w:rPr>
          <w:instrText xml:space="preserve"> PAGEREF _Toc175239338 \h </w:instrText>
        </w:r>
        <w:r>
          <w:rPr>
            <w:noProof/>
            <w:webHidden/>
          </w:rPr>
        </w:r>
        <w:r>
          <w:rPr>
            <w:noProof/>
            <w:webHidden/>
          </w:rPr>
          <w:fldChar w:fldCharType="separate"/>
        </w:r>
        <w:r w:rsidR="00FD06AB">
          <w:rPr>
            <w:noProof/>
            <w:webHidden/>
          </w:rPr>
          <w:t>202</w:t>
        </w:r>
        <w:r>
          <w:rPr>
            <w:noProof/>
            <w:webHidden/>
          </w:rPr>
          <w:fldChar w:fldCharType="end"/>
        </w:r>
      </w:hyperlink>
    </w:p>
    <w:p w14:paraId="6D5743E0" w14:textId="37A7D4E8" w:rsidR="003B042F" w:rsidRDefault="003B042F">
      <w:pPr>
        <w:pStyle w:val="TOC4"/>
        <w:rPr>
          <w:rFonts w:asciiTheme="minorHAnsi" w:eastAsiaTheme="minorEastAsia" w:hAnsiTheme="minorHAnsi"/>
          <w:noProof/>
          <w:sz w:val="22"/>
          <w:lang w:eastAsia="en-AU"/>
        </w:rPr>
      </w:pPr>
      <w:hyperlink w:anchor="_Toc175239339" w:history="1">
        <w:r w:rsidRPr="005871B3">
          <w:rPr>
            <w:rStyle w:val="Hyperlink"/>
            <w:noProof/>
          </w:rPr>
          <w:t>185.5—Documents and information from court of first instance: Supreme Court</w:t>
        </w:r>
        <w:r>
          <w:rPr>
            <w:noProof/>
            <w:webHidden/>
          </w:rPr>
          <w:tab/>
        </w:r>
        <w:r>
          <w:rPr>
            <w:noProof/>
            <w:webHidden/>
          </w:rPr>
          <w:fldChar w:fldCharType="begin"/>
        </w:r>
        <w:r>
          <w:rPr>
            <w:noProof/>
            <w:webHidden/>
          </w:rPr>
          <w:instrText xml:space="preserve"> PAGEREF _Toc175239339 \h </w:instrText>
        </w:r>
        <w:r>
          <w:rPr>
            <w:noProof/>
            <w:webHidden/>
          </w:rPr>
        </w:r>
        <w:r>
          <w:rPr>
            <w:noProof/>
            <w:webHidden/>
          </w:rPr>
          <w:fldChar w:fldCharType="separate"/>
        </w:r>
        <w:r w:rsidR="00FD06AB">
          <w:rPr>
            <w:noProof/>
            <w:webHidden/>
          </w:rPr>
          <w:t>203</w:t>
        </w:r>
        <w:r>
          <w:rPr>
            <w:noProof/>
            <w:webHidden/>
          </w:rPr>
          <w:fldChar w:fldCharType="end"/>
        </w:r>
      </w:hyperlink>
    </w:p>
    <w:p w14:paraId="47D3E9DA" w14:textId="5382CC47" w:rsidR="003B042F" w:rsidRDefault="003B042F">
      <w:pPr>
        <w:pStyle w:val="TOC3"/>
        <w:rPr>
          <w:rFonts w:asciiTheme="minorHAnsi" w:eastAsiaTheme="minorEastAsia" w:hAnsiTheme="minorHAnsi"/>
          <w:b w:val="0"/>
          <w:noProof/>
          <w:sz w:val="22"/>
          <w:lang w:eastAsia="en-AU"/>
        </w:rPr>
      </w:pPr>
      <w:hyperlink w:anchor="_Toc175239340" w:history="1">
        <w:r w:rsidRPr="005871B3">
          <w:rPr>
            <w:rStyle w:val="Hyperlink"/>
            <w:noProof/>
          </w:rPr>
          <w:t>Division 3—Response to appeal: Supreme Court</w:t>
        </w:r>
        <w:r>
          <w:rPr>
            <w:noProof/>
            <w:webHidden/>
          </w:rPr>
          <w:tab/>
        </w:r>
        <w:r>
          <w:rPr>
            <w:noProof/>
            <w:webHidden/>
          </w:rPr>
          <w:fldChar w:fldCharType="begin"/>
        </w:r>
        <w:r>
          <w:rPr>
            <w:noProof/>
            <w:webHidden/>
          </w:rPr>
          <w:instrText xml:space="preserve"> PAGEREF _Toc175239340 \h </w:instrText>
        </w:r>
        <w:r>
          <w:rPr>
            <w:noProof/>
            <w:webHidden/>
          </w:rPr>
        </w:r>
        <w:r>
          <w:rPr>
            <w:noProof/>
            <w:webHidden/>
          </w:rPr>
          <w:fldChar w:fldCharType="separate"/>
        </w:r>
        <w:r w:rsidR="00FD06AB">
          <w:rPr>
            <w:noProof/>
            <w:webHidden/>
          </w:rPr>
          <w:t>203</w:t>
        </w:r>
        <w:r>
          <w:rPr>
            <w:noProof/>
            <w:webHidden/>
          </w:rPr>
          <w:fldChar w:fldCharType="end"/>
        </w:r>
      </w:hyperlink>
    </w:p>
    <w:p w14:paraId="27BF253E" w14:textId="463BE581" w:rsidR="003B042F" w:rsidRDefault="003B042F">
      <w:pPr>
        <w:pStyle w:val="TOC4"/>
        <w:rPr>
          <w:rFonts w:asciiTheme="minorHAnsi" w:eastAsiaTheme="minorEastAsia" w:hAnsiTheme="minorHAnsi"/>
          <w:noProof/>
          <w:sz w:val="22"/>
          <w:lang w:eastAsia="en-AU"/>
        </w:rPr>
      </w:pPr>
      <w:hyperlink w:anchor="_Toc175239341" w:history="1">
        <w:r w:rsidRPr="005871B3">
          <w:rPr>
            <w:rStyle w:val="Hyperlink"/>
            <w:noProof/>
          </w:rPr>
          <w:t>186.1—Notice of acting</w:t>
        </w:r>
        <w:r>
          <w:rPr>
            <w:noProof/>
            <w:webHidden/>
          </w:rPr>
          <w:tab/>
        </w:r>
        <w:r>
          <w:rPr>
            <w:noProof/>
            <w:webHidden/>
          </w:rPr>
          <w:fldChar w:fldCharType="begin"/>
        </w:r>
        <w:r>
          <w:rPr>
            <w:noProof/>
            <w:webHidden/>
          </w:rPr>
          <w:instrText xml:space="preserve"> PAGEREF _Toc175239341 \h </w:instrText>
        </w:r>
        <w:r>
          <w:rPr>
            <w:noProof/>
            <w:webHidden/>
          </w:rPr>
        </w:r>
        <w:r>
          <w:rPr>
            <w:noProof/>
            <w:webHidden/>
          </w:rPr>
          <w:fldChar w:fldCharType="separate"/>
        </w:r>
        <w:r w:rsidR="00FD06AB">
          <w:rPr>
            <w:noProof/>
            <w:webHidden/>
          </w:rPr>
          <w:t>203</w:t>
        </w:r>
        <w:r>
          <w:rPr>
            <w:noProof/>
            <w:webHidden/>
          </w:rPr>
          <w:fldChar w:fldCharType="end"/>
        </w:r>
      </w:hyperlink>
    </w:p>
    <w:p w14:paraId="6B047537" w14:textId="76A73855" w:rsidR="003B042F" w:rsidRDefault="003B042F">
      <w:pPr>
        <w:pStyle w:val="TOC4"/>
        <w:rPr>
          <w:rFonts w:asciiTheme="minorHAnsi" w:eastAsiaTheme="minorEastAsia" w:hAnsiTheme="minorHAnsi"/>
          <w:noProof/>
          <w:sz w:val="22"/>
          <w:lang w:eastAsia="en-AU"/>
        </w:rPr>
      </w:pPr>
      <w:hyperlink w:anchor="_Toc175239342" w:history="1">
        <w:r w:rsidRPr="005871B3">
          <w:rPr>
            <w:rStyle w:val="Hyperlink"/>
            <w:noProof/>
          </w:rPr>
          <w:t>186.2—Institution of cross appeal</w:t>
        </w:r>
        <w:r>
          <w:rPr>
            <w:noProof/>
            <w:webHidden/>
          </w:rPr>
          <w:tab/>
        </w:r>
        <w:r>
          <w:rPr>
            <w:noProof/>
            <w:webHidden/>
          </w:rPr>
          <w:fldChar w:fldCharType="begin"/>
        </w:r>
        <w:r>
          <w:rPr>
            <w:noProof/>
            <w:webHidden/>
          </w:rPr>
          <w:instrText xml:space="preserve"> PAGEREF _Toc175239342 \h </w:instrText>
        </w:r>
        <w:r>
          <w:rPr>
            <w:noProof/>
            <w:webHidden/>
          </w:rPr>
        </w:r>
        <w:r>
          <w:rPr>
            <w:noProof/>
            <w:webHidden/>
          </w:rPr>
          <w:fldChar w:fldCharType="separate"/>
        </w:r>
        <w:r w:rsidR="00FD06AB">
          <w:rPr>
            <w:noProof/>
            <w:webHidden/>
          </w:rPr>
          <w:t>203</w:t>
        </w:r>
        <w:r>
          <w:rPr>
            <w:noProof/>
            <w:webHidden/>
          </w:rPr>
          <w:fldChar w:fldCharType="end"/>
        </w:r>
      </w:hyperlink>
    </w:p>
    <w:p w14:paraId="2511B9F1" w14:textId="2AC4732F" w:rsidR="003B042F" w:rsidRDefault="003B042F">
      <w:pPr>
        <w:pStyle w:val="TOC4"/>
        <w:rPr>
          <w:rFonts w:asciiTheme="minorHAnsi" w:eastAsiaTheme="minorEastAsia" w:hAnsiTheme="minorHAnsi"/>
          <w:noProof/>
          <w:sz w:val="22"/>
          <w:lang w:eastAsia="en-AU"/>
        </w:rPr>
      </w:pPr>
      <w:hyperlink w:anchor="_Toc175239343" w:history="1">
        <w:r w:rsidRPr="005871B3">
          <w:rPr>
            <w:rStyle w:val="Hyperlink"/>
            <w:noProof/>
          </w:rPr>
          <w:t>186.3—Notice of alternative contention</w:t>
        </w:r>
        <w:r>
          <w:rPr>
            <w:noProof/>
            <w:webHidden/>
          </w:rPr>
          <w:tab/>
        </w:r>
        <w:r>
          <w:rPr>
            <w:noProof/>
            <w:webHidden/>
          </w:rPr>
          <w:fldChar w:fldCharType="begin"/>
        </w:r>
        <w:r>
          <w:rPr>
            <w:noProof/>
            <w:webHidden/>
          </w:rPr>
          <w:instrText xml:space="preserve"> PAGEREF _Toc175239343 \h </w:instrText>
        </w:r>
        <w:r>
          <w:rPr>
            <w:noProof/>
            <w:webHidden/>
          </w:rPr>
        </w:r>
        <w:r>
          <w:rPr>
            <w:noProof/>
            <w:webHidden/>
          </w:rPr>
          <w:fldChar w:fldCharType="separate"/>
        </w:r>
        <w:r w:rsidR="00FD06AB">
          <w:rPr>
            <w:noProof/>
            <w:webHidden/>
          </w:rPr>
          <w:t>204</w:t>
        </w:r>
        <w:r>
          <w:rPr>
            <w:noProof/>
            <w:webHidden/>
          </w:rPr>
          <w:fldChar w:fldCharType="end"/>
        </w:r>
      </w:hyperlink>
    </w:p>
    <w:p w14:paraId="341708E0" w14:textId="4F41A35C" w:rsidR="003B042F" w:rsidRDefault="003B042F">
      <w:pPr>
        <w:pStyle w:val="TOC3"/>
        <w:rPr>
          <w:rFonts w:asciiTheme="minorHAnsi" w:eastAsiaTheme="minorEastAsia" w:hAnsiTheme="minorHAnsi"/>
          <w:b w:val="0"/>
          <w:noProof/>
          <w:sz w:val="22"/>
          <w:lang w:eastAsia="en-AU"/>
        </w:rPr>
      </w:pPr>
      <w:hyperlink w:anchor="_Toc175239344" w:history="1">
        <w:r w:rsidRPr="005871B3">
          <w:rPr>
            <w:rStyle w:val="Hyperlink"/>
            <w:noProof/>
          </w:rPr>
          <w:t>Division 4—Institution of case stated: Supreme Court</w:t>
        </w:r>
        <w:r>
          <w:rPr>
            <w:noProof/>
            <w:webHidden/>
          </w:rPr>
          <w:tab/>
        </w:r>
        <w:r>
          <w:rPr>
            <w:noProof/>
            <w:webHidden/>
          </w:rPr>
          <w:fldChar w:fldCharType="begin"/>
        </w:r>
        <w:r>
          <w:rPr>
            <w:noProof/>
            <w:webHidden/>
          </w:rPr>
          <w:instrText xml:space="preserve"> PAGEREF _Toc175239344 \h </w:instrText>
        </w:r>
        <w:r>
          <w:rPr>
            <w:noProof/>
            <w:webHidden/>
          </w:rPr>
        </w:r>
        <w:r>
          <w:rPr>
            <w:noProof/>
            <w:webHidden/>
          </w:rPr>
          <w:fldChar w:fldCharType="separate"/>
        </w:r>
        <w:r w:rsidR="00FD06AB">
          <w:rPr>
            <w:noProof/>
            <w:webHidden/>
          </w:rPr>
          <w:t>204</w:t>
        </w:r>
        <w:r>
          <w:rPr>
            <w:noProof/>
            <w:webHidden/>
          </w:rPr>
          <w:fldChar w:fldCharType="end"/>
        </w:r>
      </w:hyperlink>
    </w:p>
    <w:p w14:paraId="72BC474C" w14:textId="370C5489" w:rsidR="003B042F" w:rsidRDefault="003B042F">
      <w:pPr>
        <w:pStyle w:val="TOC4"/>
        <w:rPr>
          <w:rFonts w:asciiTheme="minorHAnsi" w:eastAsiaTheme="minorEastAsia" w:hAnsiTheme="minorHAnsi"/>
          <w:noProof/>
          <w:sz w:val="22"/>
          <w:lang w:eastAsia="en-AU"/>
        </w:rPr>
      </w:pPr>
      <w:hyperlink w:anchor="_Toc175239345" w:history="1">
        <w:r w:rsidRPr="005871B3">
          <w:rPr>
            <w:rStyle w:val="Hyperlink"/>
            <w:noProof/>
          </w:rPr>
          <w:t>187.1—Case stated by court</w:t>
        </w:r>
        <w:r>
          <w:rPr>
            <w:noProof/>
            <w:webHidden/>
          </w:rPr>
          <w:tab/>
        </w:r>
        <w:r>
          <w:rPr>
            <w:noProof/>
            <w:webHidden/>
          </w:rPr>
          <w:fldChar w:fldCharType="begin"/>
        </w:r>
        <w:r>
          <w:rPr>
            <w:noProof/>
            <w:webHidden/>
          </w:rPr>
          <w:instrText xml:space="preserve"> PAGEREF _Toc175239345 \h </w:instrText>
        </w:r>
        <w:r>
          <w:rPr>
            <w:noProof/>
            <w:webHidden/>
          </w:rPr>
        </w:r>
        <w:r>
          <w:rPr>
            <w:noProof/>
            <w:webHidden/>
          </w:rPr>
          <w:fldChar w:fldCharType="separate"/>
        </w:r>
        <w:r w:rsidR="00FD06AB">
          <w:rPr>
            <w:noProof/>
            <w:webHidden/>
          </w:rPr>
          <w:t>204</w:t>
        </w:r>
        <w:r>
          <w:rPr>
            <w:noProof/>
            <w:webHidden/>
          </w:rPr>
          <w:fldChar w:fldCharType="end"/>
        </w:r>
      </w:hyperlink>
    </w:p>
    <w:p w14:paraId="3C082B37" w14:textId="685C8EDA" w:rsidR="003B042F" w:rsidRDefault="003B042F">
      <w:pPr>
        <w:pStyle w:val="TOC4"/>
        <w:rPr>
          <w:rFonts w:asciiTheme="minorHAnsi" w:eastAsiaTheme="minorEastAsia" w:hAnsiTheme="minorHAnsi"/>
          <w:noProof/>
          <w:sz w:val="22"/>
          <w:lang w:eastAsia="en-AU"/>
        </w:rPr>
      </w:pPr>
      <w:hyperlink w:anchor="_Toc175239346" w:history="1">
        <w:r w:rsidRPr="005871B3">
          <w:rPr>
            <w:rStyle w:val="Hyperlink"/>
            <w:noProof/>
          </w:rPr>
          <w:t>187.2—Institution of case stated</w:t>
        </w:r>
        <w:r>
          <w:rPr>
            <w:noProof/>
            <w:webHidden/>
          </w:rPr>
          <w:tab/>
        </w:r>
        <w:r>
          <w:rPr>
            <w:noProof/>
            <w:webHidden/>
          </w:rPr>
          <w:fldChar w:fldCharType="begin"/>
        </w:r>
        <w:r>
          <w:rPr>
            <w:noProof/>
            <w:webHidden/>
          </w:rPr>
          <w:instrText xml:space="preserve"> PAGEREF _Toc175239346 \h </w:instrText>
        </w:r>
        <w:r>
          <w:rPr>
            <w:noProof/>
            <w:webHidden/>
          </w:rPr>
        </w:r>
        <w:r>
          <w:rPr>
            <w:noProof/>
            <w:webHidden/>
          </w:rPr>
          <w:fldChar w:fldCharType="separate"/>
        </w:r>
        <w:r w:rsidR="00FD06AB">
          <w:rPr>
            <w:noProof/>
            <w:webHidden/>
          </w:rPr>
          <w:t>204</w:t>
        </w:r>
        <w:r>
          <w:rPr>
            <w:noProof/>
            <w:webHidden/>
          </w:rPr>
          <w:fldChar w:fldCharType="end"/>
        </w:r>
      </w:hyperlink>
    </w:p>
    <w:p w14:paraId="206EB985" w14:textId="77019578" w:rsidR="003B042F" w:rsidRDefault="003B042F">
      <w:pPr>
        <w:pStyle w:val="TOC3"/>
        <w:rPr>
          <w:rFonts w:asciiTheme="minorHAnsi" w:eastAsiaTheme="minorEastAsia" w:hAnsiTheme="minorHAnsi"/>
          <w:b w:val="0"/>
          <w:noProof/>
          <w:sz w:val="22"/>
          <w:lang w:eastAsia="en-AU"/>
        </w:rPr>
      </w:pPr>
      <w:hyperlink w:anchor="_Toc175239347" w:history="1">
        <w:r w:rsidRPr="005871B3">
          <w:rPr>
            <w:rStyle w:val="Hyperlink"/>
            <w:noProof/>
          </w:rPr>
          <w:t>Division 5—Interlocutory steps</w:t>
        </w:r>
        <w:r>
          <w:rPr>
            <w:noProof/>
            <w:webHidden/>
          </w:rPr>
          <w:tab/>
        </w:r>
        <w:r>
          <w:rPr>
            <w:noProof/>
            <w:webHidden/>
          </w:rPr>
          <w:fldChar w:fldCharType="begin"/>
        </w:r>
        <w:r>
          <w:rPr>
            <w:noProof/>
            <w:webHidden/>
          </w:rPr>
          <w:instrText xml:space="preserve"> PAGEREF _Toc175239347 \h </w:instrText>
        </w:r>
        <w:r>
          <w:rPr>
            <w:noProof/>
            <w:webHidden/>
          </w:rPr>
        </w:r>
        <w:r>
          <w:rPr>
            <w:noProof/>
            <w:webHidden/>
          </w:rPr>
          <w:fldChar w:fldCharType="separate"/>
        </w:r>
        <w:r w:rsidR="00FD06AB">
          <w:rPr>
            <w:noProof/>
            <w:webHidden/>
          </w:rPr>
          <w:t>205</w:t>
        </w:r>
        <w:r>
          <w:rPr>
            <w:noProof/>
            <w:webHidden/>
          </w:rPr>
          <w:fldChar w:fldCharType="end"/>
        </w:r>
      </w:hyperlink>
    </w:p>
    <w:p w14:paraId="52CFE34E" w14:textId="532D2408" w:rsidR="003B042F" w:rsidRDefault="003B042F">
      <w:pPr>
        <w:pStyle w:val="TOC4"/>
        <w:rPr>
          <w:rFonts w:asciiTheme="minorHAnsi" w:eastAsiaTheme="minorEastAsia" w:hAnsiTheme="minorHAnsi"/>
          <w:noProof/>
          <w:sz w:val="22"/>
          <w:lang w:eastAsia="en-AU"/>
        </w:rPr>
      </w:pPr>
      <w:hyperlink w:anchor="_Toc175239348" w:history="1">
        <w:r w:rsidRPr="005871B3">
          <w:rPr>
            <w:rStyle w:val="Hyperlink"/>
            <w:noProof/>
          </w:rPr>
          <w:t>188.1—Interlocutory orders</w:t>
        </w:r>
        <w:r>
          <w:rPr>
            <w:noProof/>
            <w:webHidden/>
          </w:rPr>
          <w:tab/>
        </w:r>
        <w:r>
          <w:rPr>
            <w:noProof/>
            <w:webHidden/>
          </w:rPr>
          <w:fldChar w:fldCharType="begin"/>
        </w:r>
        <w:r>
          <w:rPr>
            <w:noProof/>
            <w:webHidden/>
          </w:rPr>
          <w:instrText xml:space="preserve"> PAGEREF _Toc175239348 \h </w:instrText>
        </w:r>
        <w:r>
          <w:rPr>
            <w:noProof/>
            <w:webHidden/>
          </w:rPr>
        </w:r>
        <w:r>
          <w:rPr>
            <w:noProof/>
            <w:webHidden/>
          </w:rPr>
          <w:fldChar w:fldCharType="separate"/>
        </w:r>
        <w:r w:rsidR="00FD06AB">
          <w:rPr>
            <w:noProof/>
            <w:webHidden/>
          </w:rPr>
          <w:t>205</w:t>
        </w:r>
        <w:r>
          <w:rPr>
            <w:noProof/>
            <w:webHidden/>
          </w:rPr>
          <w:fldChar w:fldCharType="end"/>
        </w:r>
      </w:hyperlink>
    </w:p>
    <w:p w14:paraId="0C5005D3" w14:textId="02A6B5D9" w:rsidR="003B042F" w:rsidRDefault="003B042F">
      <w:pPr>
        <w:pStyle w:val="TOC4"/>
        <w:rPr>
          <w:rFonts w:asciiTheme="minorHAnsi" w:eastAsiaTheme="minorEastAsia" w:hAnsiTheme="minorHAnsi"/>
          <w:noProof/>
          <w:sz w:val="22"/>
          <w:lang w:eastAsia="en-AU"/>
        </w:rPr>
      </w:pPr>
      <w:hyperlink w:anchor="_Toc175239349" w:history="1">
        <w:r w:rsidRPr="005871B3">
          <w:rPr>
            <w:rStyle w:val="Hyperlink"/>
            <w:noProof/>
          </w:rPr>
          <w:t>188.2—Amendment of appellate document</w:t>
        </w:r>
        <w:r>
          <w:rPr>
            <w:noProof/>
            <w:webHidden/>
          </w:rPr>
          <w:tab/>
        </w:r>
        <w:r>
          <w:rPr>
            <w:noProof/>
            <w:webHidden/>
          </w:rPr>
          <w:fldChar w:fldCharType="begin"/>
        </w:r>
        <w:r>
          <w:rPr>
            <w:noProof/>
            <w:webHidden/>
          </w:rPr>
          <w:instrText xml:space="preserve"> PAGEREF _Toc175239349 \h </w:instrText>
        </w:r>
        <w:r>
          <w:rPr>
            <w:noProof/>
            <w:webHidden/>
          </w:rPr>
        </w:r>
        <w:r>
          <w:rPr>
            <w:noProof/>
            <w:webHidden/>
          </w:rPr>
          <w:fldChar w:fldCharType="separate"/>
        </w:r>
        <w:r w:rsidR="00FD06AB">
          <w:rPr>
            <w:noProof/>
            <w:webHidden/>
          </w:rPr>
          <w:t>205</w:t>
        </w:r>
        <w:r>
          <w:rPr>
            <w:noProof/>
            <w:webHidden/>
          </w:rPr>
          <w:fldChar w:fldCharType="end"/>
        </w:r>
      </w:hyperlink>
    </w:p>
    <w:p w14:paraId="74FC2500" w14:textId="64247FD4" w:rsidR="003B042F" w:rsidRDefault="003B042F">
      <w:pPr>
        <w:pStyle w:val="TOC4"/>
        <w:rPr>
          <w:rFonts w:asciiTheme="minorHAnsi" w:eastAsiaTheme="minorEastAsia" w:hAnsiTheme="minorHAnsi"/>
          <w:noProof/>
          <w:sz w:val="22"/>
          <w:lang w:eastAsia="en-AU"/>
        </w:rPr>
      </w:pPr>
      <w:hyperlink w:anchor="_Toc175239350" w:history="1">
        <w:r w:rsidRPr="005871B3">
          <w:rPr>
            <w:rStyle w:val="Hyperlink"/>
            <w:noProof/>
          </w:rPr>
          <w:t>188.3—Transcript</w:t>
        </w:r>
        <w:r>
          <w:rPr>
            <w:noProof/>
            <w:webHidden/>
          </w:rPr>
          <w:tab/>
        </w:r>
        <w:r>
          <w:rPr>
            <w:noProof/>
            <w:webHidden/>
          </w:rPr>
          <w:fldChar w:fldCharType="begin"/>
        </w:r>
        <w:r>
          <w:rPr>
            <w:noProof/>
            <w:webHidden/>
          </w:rPr>
          <w:instrText xml:space="preserve"> PAGEREF _Toc175239350 \h </w:instrText>
        </w:r>
        <w:r>
          <w:rPr>
            <w:noProof/>
            <w:webHidden/>
          </w:rPr>
        </w:r>
        <w:r>
          <w:rPr>
            <w:noProof/>
            <w:webHidden/>
          </w:rPr>
          <w:fldChar w:fldCharType="separate"/>
        </w:r>
        <w:r w:rsidR="00FD06AB">
          <w:rPr>
            <w:noProof/>
            <w:webHidden/>
          </w:rPr>
          <w:t>205</w:t>
        </w:r>
        <w:r>
          <w:rPr>
            <w:noProof/>
            <w:webHidden/>
          </w:rPr>
          <w:fldChar w:fldCharType="end"/>
        </w:r>
      </w:hyperlink>
    </w:p>
    <w:p w14:paraId="0824576E" w14:textId="70DF5696" w:rsidR="003B042F" w:rsidRDefault="003B042F">
      <w:pPr>
        <w:pStyle w:val="TOC4"/>
        <w:rPr>
          <w:rFonts w:asciiTheme="minorHAnsi" w:eastAsiaTheme="minorEastAsia" w:hAnsiTheme="minorHAnsi"/>
          <w:noProof/>
          <w:sz w:val="22"/>
          <w:lang w:eastAsia="en-AU"/>
        </w:rPr>
      </w:pPr>
      <w:hyperlink w:anchor="_Toc175239351" w:history="1">
        <w:r w:rsidRPr="005871B3">
          <w:rPr>
            <w:rStyle w:val="Hyperlink"/>
            <w:noProof/>
          </w:rPr>
          <w:t>188.4—Report of Judge or Magistrate</w:t>
        </w:r>
        <w:r>
          <w:rPr>
            <w:noProof/>
            <w:webHidden/>
          </w:rPr>
          <w:tab/>
        </w:r>
        <w:r>
          <w:rPr>
            <w:noProof/>
            <w:webHidden/>
          </w:rPr>
          <w:fldChar w:fldCharType="begin"/>
        </w:r>
        <w:r>
          <w:rPr>
            <w:noProof/>
            <w:webHidden/>
          </w:rPr>
          <w:instrText xml:space="preserve"> PAGEREF _Toc175239351 \h </w:instrText>
        </w:r>
        <w:r>
          <w:rPr>
            <w:noProof/>
            <w:webHidden/>
          </w:rPr>
        </w:r>
        <w:r>
          <w:rPr>
            <w:noProof/>
            <w:webHidden/>
          </w:rPr>
          <w:fldChar w:fldCharType="separate"/>
        </w:r>
        <w:r w:rsidR="00FD06AB">
          <w:rPr>
            <w:noProof/>
            <w:webHidden/>
          </w:rPr>
          <w:t>206</w:t>
        </w:r>
        <w:r>
          <w:rPr>
            <w:noProof/>
            <w:webHidden/>
          </w:rPr>
          <w:fldChar w:fldCharType="end"/>
        </w:r>
      </w:hyperlink>
    </w:p>
    <w:p w14:paraId="753AD61F" w14:textId="6389FE3E" w:rsidR="003B042F" w:rsidRDefault="003B042F">
      <w:pPr>
        <w:pStyle w:val="TOC4"/>
        <w:rPr>
          <w:rFonts w:asciiTheme="minorHAnsi" w:eastAsiaTheme="minorEastAsia" w:hAnsiTheme="minorHAnsi"/>
          <w:noProof/>
          <w:sz w:val="22"/>
          <w:lang w:eastAsia="en-AU"/>
        </w:rPr>
      </w:pPr>
      <w:hyperlink w:anchor="_Toc175239352" w:history="1">
        <w:r w:rsidRPr="005871B3">
          <w:rPr>
            <w:rStyle w:val="Hyperlink"/>
            <w:noProof/>
          </w:rPr>
          <w:t>188.5—Discontinuance of appeal</w:t>
        </w:r>
        <w:r>
          <w:rPr>
            <w:noProof/>
            <w:webHidden/>
          </w:rPr>
          <w:tab/>
        </w:r>
        <w:r>
          <w:rPr>
            <w:noProof/>
            <w:webHidden/>
          </w:rPr>
          <w:fldChar w:fldCharType="begin"/>
        </w:r>
        <w:r>
          <w:rPr>
            <w:noProof/>
            <w:webHidden/>
          </w:rPr>
          <w:instrText xml:space="preserve"> PAGEREF _Toc175239352 \h </w:instrText>
        </w:r>
        <w:r>
          <w:rPr>
            <w:noProof/>
            <w:webHidden/>
          </w:rPr>
        </w:r>
        <w:r>
          <w:rPr>
            <w:noProof/>
            <w:webHidden/>
          </w:rPr>
          <w:fldChar w:fldCharType="separate"/>
        </w:r>
        <w:r w:rsidR="00FD06AB">
          <w:rPr>
            <w:noProof/>
            <w:webHidden/>
          </w:rPr>
          <w:t>206</w:t>
        </w:r>
        <w:r>
          <w:rPr>
            <w:noProof/>
            <w:webHidden/>
          </w:rPr>
          <w:fldChar w:fldCharType="end"/>
        </w:r>
      </w:hyperlink>
    </w:p>
    <w:p w14:paraId="6D35682F" w14:textId="46D4D284" w:rsidR="003B042F" w:rsidRDefault="003B042F">
      <w:pPr>
        <w:pStyle w:val="TOC3"/>
        <w:rPr>
          <w:rFonts w:asciiTheme="minorHAnsi" w:eastAsiaTheme="minorEastAsia" w:hAnsiTheme="minorHAnsi"/>
          <w:b w:val="0"/>
          <w:noProof/>
          <w:sz w:val="22"/>
          <w:lang w:eastAsia="en-AU"/>
        </w:rPr>
      </w:pPr>
      <w:hyperlink w:anchor="_Toc175239353" w:history="1">
        <w:r w:rsidRPr="005871B3">
          <w:rPr>
            <w:rStyle w:val="Hyperlink"/>
            <w:noProof/>
          </w:rPr>
          <w:t>Division 6—Listing for hearing</w:t>
        </w:r>
        <w:r>
          <w:rPr>
            <w:noProof/>
            <w:webHidden/>
          </w:rPr>
          <w:tab/>
        </w:r>
        <w:r>
          <w:rPr>
            <w:noProof/>
            <w:webHidden/>
          </w:rPr>
          <w:fldChar w:fldCharType="begin"/>
        </w:r>
        <w:r>
          <w:rPr>
            <w:noProof/>
            <w:webHidden/>
          </w:rPr>
          <w:instrText xml:space="preserve"> PAGEREF _Toc175239353 \h </w:instrText>
        </w:r>
        <w:r>
          <w:rPr>
            <w:noProof/>
            <w:webHidden/>
          </w:rPr>
        </w:r>
        <w:r>
          <w:rPr>
            <w:noProof/>
            <w:webHidden/>
          </w:rPr>
          <w:fldChar w:fldCharType="separate"/>
        </w:r>
        <w:r w:rsidR="00FD06AB">
          <w:rPr>
            <w:noProof/>
            <w:webHidden/>
          </w:rPr>
          <w:t>206</w:t>
        </w:r>
        <w:r>
          <w:rPr>
            <w:noProof/>
            <w:webHidden/>
          </w:rPr>
          <w:fldChar w:fldCharType="end"/>
        </w:r>
      </w:hyperlink>
    </w:p>
    <w:p w14:paraId="34EAB5E8" w14:textId="379301FB" w:rsidR="003B042F" w:rsidRDefault="003B042F">
      <w:pPr>
        <w:pStyle w:val="TOC4"/>
        <w:rPr>
          <w:rFonts w:asciiTheme="minorHAnsi" w:eastAsiaTheme="minorEastAsia" w:hAnsiTheme="minorHAnsi"/>
          <w:noProof/>
          <w:sz w:val="22"/>
          <w:lang w:eastAsia="en-AU"/>
        </w:rPr>
      </w:pPr>
      <w:hyperlink w:anchor="_Toc175239354" w:history="1">
        <w:r w:rsidRPr="005871B3">
          <w:rPr>
            <w:rStyle w:val="Hyperlink"/>
            <w:noProof/>
          </w:rPr>
          <w:t>189.1—Listing for hearing</w:t>
        </w:r>
        <w:r>
          <w:rPr>
            <w:noProof/>
            <w:webHidden/>
          </w:rPr>
          <w:tab/>
        </w:r>
        <w:r>
          <w:rPr>
            <w:noProof/>
            <w:webHidden/>
          </w:rPr>
          <w:fldChar w:fldCharType="begin"/>
        </w:r>
        <w:r>
          <w:rPr>
            <w:noProof/>
            <w:webHidden/>
          </w:rPr>
          <w:instrText xml:space="preserve"> PAGEREF _Toc175239354 \h </w:instrText>
        </w:r>
        <w:r>
          <w:rPr>
            <w:noProof/>
            <w:webHidden/>
          </w:rPr>
        </w:r>
        <w:r>
          <w:rPr>
            <w:noProof/>
            <w:webHidden/>
          </w:rPr>
          <w:fldChar w:fldCharType="separate"/>
        </w:r>
        <w:r w:rsidR="00FD06AB">
          <w:rPr>
            <w:noProof/>
            <w:webHidden/>
          </w:rPr>
          <w:t>206</w:t>
        </w:r>
        <w:r>
          <w:rPr>
            <w:noProof/>
            <w:webHidden/>
          </w:rPr>
          <w:fldChar w:fldCharType="end"/>
        </w:r>
      </w:hyperlink>
    </w:p>
    <w:p w14:paraId="2B514F3D" w14:textId="60F6D5B7" w:rsidR="003B042F" w:rsidRDefault="003B042F">
      <w:pPr>
        <w:pStyle w:val="TOC3"/>
        <w:rPr>
          <w:rFonts w:asciiTheme="minorHAnsi" w:eastAsiaTheme="minorEastAsia" w:hAnsiTheme="minorHAnsi"/>
          <w:b w:val="0"/>
          <w:noProof/>
          <w:sz w:val="22"/>
          <w:lang w:eastAsia="en-AU"/>
        </w:rPr>
      </w:pPr>
      <w:hyperlink w:anchor="_Toc175239355" w:history="1">
        <w:r w:rsidRPr="005871B3">
          <w:rPr>
            <w:rStyle w:val="Hyperlink"/>
            <w:noProof/>
          </w:rPr>
          <w:t>Division 7—Preparation for hearing</w:t>
        </w:r>
        <w:r>
          <w:rPr>
            <w:noProof/>
            <w:webHidden/>
          </w:rPr>
          <w:tab/>
        </w:r>
        <w:r>
          <w:rPr>
            <w:noProof/>
            <w:webHidden/>
          </w:rPr>
          <w:fldChar w:fldCharType="begin"/>
        </w:r>
        <w:r>
          <w:rPr>
            <w:noProof/>
            <w:webHidden/>
          </w:rPr>
          <w:instrText xml:space="preserve"> PAGEREF _Toc175239355 \h </w:instrText>
        </w:r>
        <w:r>
          <w:rPr>
            <w:noProof/>
            <w:webHidden/>
          </w:rPr>
        </w:r>
        <w:r>
          <w:rPr>
            <w:noProof/>
            <w:webHidden/>
          </w:rPr>
          <w:fldChar w:fldCharType="separate"/>
        </w:r>
        <w:r w:rsidR="00FD06AB">
          <w:rPr>
            <w:noProof/>
            <w:webHidden/>
          </w:rPr>
          <w:t>206</w:t>
        </w:r>
        <w:r>
          <w:rPr>
            <w:noProof/>
            <w:webHidden/>
          </w:rPr>
          <w:fldChar w:fldCharType="end"/>
        </w:r>
      </w:hyperlink>
    </w:p>
    <w:p w14:paraId="69599559" w14:textId="3DE4672A" w:rsidR="003B042F" w:rsidRDefault="003B042F">
      <w:pPr>
        <w:pStyle w:val="TOC4"/>
        <w:rPr>
          <w:rFonts w:asciiTheme="minorHAnsi" w:eastAsiaTheme="minorEastAsia" w:hAnsiTheme="minorHAnsi"/>
          <w:noProof/>
          <w:sz w:val="22"/>
          <w:lang w:eastAsia="en-AU"/>
        </w:rPr>
      </w:pPr>
      <w:hyperlink w:anchor="_Toc175239356" w:history="1">
        <w:r w:rsidRPr="005871B3">
          <w:rPr>
            <w:rStyle w:val="Hyperlink"/>
            <w:noProof/>
          </w:rPr>
          <w:t>190.1—Appeal book: Supreme Court</w:t>
        </w:r>
        <w:r>
          <w:rPr>
            <w:noProof/>
            <w:webHidden/>
          </w:rPr>
          <w:tab/>
        </w:r>
        <w:r>
          <w:rPr>
            <w:noProof/>
            <w:webHidden/>
          </w:rPr>
          <w:fldChar w:fldCharType="begin"/>
        </w:r>
        <w:r>
          <w:rPr>
            <w:noProof/>
            <w:webHidden/>
          </w:rPr>
          <w:instrText xml:space="preserve"> PAGEREF _Toc175239356 \h </w:instrText>
        </w:r>
        <w:r>
          <w:rPr>
            <w:noProof/>
            <w:webHidden/>
          </w:rPr>
        </w:r>
        <w:r>
          <w:rPr>
            <w:noProof/>
            <w:webHidden/>
          </w:rPr>
          <w:fldChar w:fldCharType="separate"/>
        </w:r>
        <w:r w:rsidR="00FD06AB">
          <w:rPr>
            <w:noProof/>
            <w:webHidden/>
          </w:rPr>
          <w:t>206</w:t>
        </w:r>
        <w:r>
          <w:rPr>
            <w:noProof/>
            <w:webHidden/>
          </w:rPr>
          <w:fldChar w:fldCharType="end"/>
        </w:r>
      </w:hyperlink>
    </w:p>
    <w:p w14:paraId="2CC36E65" w14:textId="59D76145" w:rsidR="003B042F" w:rsidRDefault="003B042F">
      <w:pPr>
        <w:pStyle w:val="TOC4"/>
        <w:rPr>
          <w:rFonts w:asciiTheme="minorHAnsi" w:eastAsiaTheme="minorEastAsia" w:hAnsiTheme="minorHAnsi"/>
          <w:noProof/>
          <w:sz w:val="22"/>
          <w:lang w:eastAsia="en-AU"/>
        </w:rPr>
      </w:pPr>
      <w:hyperlink w:anchor="_Toc175239357" w:history="1">
        <w:r w:rsidRPr="005871B3">
          <w:rPr>
            <w:rStyle w:val="Hyperlink"/>
            <w:noProof/>
          </w:rPr>
          <w:t>190.2—Written submissions, chronologies and lists of authorities</w:t>
        </w:r>
        <w:r>
          <w:rPr>
            <w:noProof/>
            <w:webHidden/>
          </w:rPr>
          <w:tab/>
        </w:r>
        <w:r>
          <w:rPr>
            <w:noProof/>
            <w:webHidden/>
          </w:rPr>
          <w:fldChar w:fldCharType="begin"/>
        </w:r>
        <w:r>
          <w:rPr>
            <w:noProof/>
            <w:webHidden/>
          </w:rPr>
          <w:instrText xml:space="preserve"> PAGEREF _Toc175239357 \h </w:instrText>
        </w:r>
        <w:r>
          <w:rPr>
            <w:noProof/>
            <w:webHidden/>
          </w:rPr>
        </w:r>
        <w:r>
          <w:rPr>
            <w:noProof/>
            <w:webHidden/>
          </w:rPr>
          <w:fldChar w:fldCharType="separate"/>
        </w:r>
        <w:r w:rsidR="00FD06AB">
          <w:rPr>
            <w:noProof/>
            <w:webHidden/>
          </w:rPr>
          <w:t>207</w:t>
        </w:r>
        <w:r>
          <w:rPr>
            <w:noProof/>
            <w:webHidden/>
          </w:rPr>
          <w:fldChar w:fldCharType="end"/>
        </w:r>
      </w:hyperlink>
    </w:p>
    <w:p w14:paraId="606EE438" w14:textId="51E11305" w:rsidR="003B042F" w:rsidRDefault="003B042F">
      <w:pPr>
        <w:pStyle w:val="TOC3"/>
        <w:rPr>
          <w:rFonts w:asciiTheme="minorHAnsi" w:eastAsiaTheme="minorEastAsia" w:hAnsiTheme="minorHAnsi"/>
          <w:b w:val="0"/>
          <w:noProof/>
          <w:sz w:val="22"/>
          <w:lang w:eastAsia="en-AU"/>
        </w:rPr>
      </w:pPr>
      <w:hyperlink w:anchor="_Toc175239358" w:history="1">
        <w:r w:rsidRPr="005871B3">
          <w:rPr>
            <w:rStyle w:val="Hyperlink"/>
            <w:noProof/>
          </w:rPr>
          <w:t>Division 8—Hearing and determination</w:t>
        </w:r>
        <w:r>
          <w:rPr>
            <w:noProof/>
            <w:webHidden/>
          </w:rPr>
          <w:tab/>
        </w:r>
        <w:r>
          <w:rPr>
            <w:noProof/>
            <w:webHidden/>
          </w:rPr>
          <w:fldChar w:fldCharType="begin"/>
        </w:r>
        <w:r>
          <w:rPr>
            <w:noProof/>
            <w:webHidden/>
          </w:rPr>
          <w:instrText xml:space="preserve"> PAGEREF _Toc175239358 \h </w:instrText>
        </w:r>
        <w:r>
          <w:rPr>
            <w:noProof/>
            <w:webHidden/>
          </w:rPr>
        </w:r>
        <w:r>
          <w:rPr>
            <w:noProof/>
            <w:webHidden/>
          </w:rPr>
          <w:fldChar w:fldCharType="separate"/>
        </w:r>
        <w:r w:rsidR="00FD06AB">
          <w:rPr>
            <w:noProof/>
            <w:webHidden/>
          </w:rPr>
          <w:t>207</w:t>
        </w:r>
        <w:r>
          <w:rPr>
            <w:noProof/>
            <w:webHidden/>
          </w:rPr>
          <w:fldChar w:fldCharType="end"/>
        </w:r>
      </w:hyperlink>
    </w:p>
    <w:p w14:paraId="193615C8" w14:textId="144F4CEF" w:rsidR="003B042F" w:rsidRDefault="003B042F">
      <w:pPr>
        <w:pStyle w:val="TOC4"/>
        <w:rPr>
          <w:rFonts w:asciiTheme="minorHAnsi" w:eastAsiaTheme="minorEastAsia" w:hAnsiTheme="minorHAnsi"/>
          <w:noProof/>
          <w:sz w:val="22"/>
          <w:lang w:eastAsia="en-AU"/>
        </w:rPr>
      </w:pPr>
      <w:hyperlink w:anchor="_Toc175239359" w:history="1">
        <w:r w:rsidRPr="005871B3">
          <w:rPr>
            <w:rStyle w:val="Hyperlink"/>
            <w:noProof/>
          </w:rPr>
          <w:t>191.1—Hearing</w:t>
        </w:r>
        <w:r>
          <w:rPr>
            <w:noProof/>
            <w:webHidden/>
          </w:rPr>
          <w:tab/>
        </w:r>
        <w:r>
          <w:rPr>
            <w:noProof/>
            <w:webHidden/>
          </w:rPr>
          <w:fldChar w:fldCharType="begin"/>
        </w:r>
        <w:r>
          <w:rPr>
            <w:noProof/>
            <w:webHidden/>
          </w:rPr>
          <w:instrText xml:space="preserve"> PAGEREF _Toc175239359 \h </w:instrText>
        </w:r>
        <w:r>
          <w:rPr>
            <w:noProof/>
            <w:webHidden/>
          </w:rPr>
        </w:r>
        <w:r>
          <w:rPr>
            <w:noProof/>
            <w:webHidden/>
          </w:rPr>
          <w:fldChar w:fldCharType="separate"/>
        </w:r>
        <w:r w:rsidR="00FD06AB">
          <w:rPr>
            <w:noProof/>
            <w:webHidden/>
          </w:rPr>
          <w:t>207</w:t>
        </w:r>
        <w:r>
          <w:rPr>
            <w:noProof/>
            <w:webHidden/>
          </w:rPr>
          <w:fldChar w:fldCharType="end"/>
        </w:r>
      </w:hyperlink>
    </w:p>
    <w:p w14:paraId="4AEE608A" w14:textId="5F8F8893" w:rsidR="003B042F" w:rsidRDefault="003B042F">
      <w:pPr>
        <w:pStyle w:val="TOC4"/>
        <w:rPr>
          <w:rFonts w:asciiTheme="minorHAnsi" w:eastAsiaTheme="minorEastAsia" w:hAnsiTheme="minorHAnsi"/>
          <w:noProof/>
          <w:sz w:val="22"/>
          <w:lang w:eastAsia="en-AU"/>
        </w:rPr>
      </w:pPr>
      <w:hyperlink w:anchor="_Toc175239360" w:history="1">
        <w:r w:rsidRPr="005871B3">
          <w:rPr>
            <w:rStyle w:val="Hyperlink"/>
            <w:noProof/>
          </w:rPr>
          <w:t>191.2—Determination</w:t>
        </w:r>
        <w:r>
          <w:rPr>
            <w:noProof/>
            <w:webHidden/>
          </w:rPr>
          <w:tab/>
        </w:r>
        <w:r>
          <w:rPr>
            <w:noProof/>
            <w:webHidden/>
          </w:rPr>
          <w:fldChar w:fldCharType="begin"/>
        </w:r>
        <w:r>
          <w:rPr>
            <w:noProof/>
            <w:webHidden/>
          </w:rPr>
          <w:instrText xml:space="preserve"> PAGEREF _Toc175239360 \h </w:instrText>
        </w:r>
        <w:r>
          <w:rPr>
            <w:noProof/>
            <w:webHidden/>
          </w:rPr>
        </w:r>
        <w:r>
          <w:rPr>
            <w:noProof/>
            <w:webHidden/>
          </w:rPr>
          <w:fldChar w:fldCharType="separate"/>
        </w:r>
        <w:r w:rsidR="00FD06AB">
          <w:rPr>
            <w:noProof/>
            <w:webHidden/>
          </w:rPr>
          <w:t>208</w:t>
        </w:r>
        <w:r>
          <w:rPr>
            <w:noProof/>
            <w:webHidden/>
          </w:rPr>
          <w:fldChar w:fldCharType="end"/>
        </w:r>
      </w:hyperlink>
    </w:p>
    <w:p w14:paraId="35FA6187" w14:textId="1F74B0D4" w:rsidR="003B042F" w:rsidRDefault="003B042F">
      <w:pPr>
        <w:pStyle w:val="TOC4"/>
        <w:rPr>
          <w:rFonts w:asciiTheme="minorHAnsi" w:eastAsiaTheme="minorEastAsia" w:hAnsiTheme="minorHAnsi"/>
          <w:noProof/>
          <w:sz w:val="22"/>
          <w:lang w:eastAsia="en-AU"/>
        </w:rPr>
      </w:pPr>
      <w:hyperlink w:anchor="_Toc175239361" w:history="1">
        <w:r w:rsidRPr="005871B3">
          <w:rPr>
            <w:rStyle w:val="Hyperlink"/>
            <w:noProof/>
          </w:rPr>
          <w:t>191.3—Costs of appeals: Supreme Court</w:t>
        </w:r>
        <w:r>
          <w:rPr>
            <w:noProof/>
            <w:webHidden/>
          </w:rPr>
          <w:tab/>
        </w:r>
        <w:r>
          <w:rPr>
            <w:noProof/>
            <w:webHidden/>
          </w:rPr>
          <w:fldChar w:fldCharType="begin"/>
        </w:r>
        <w:r>
          <w:rPr>
            <w:noProof/>
            <w:webHidden/>
          </w:rPr>
          <w:instrText xml:space="preserve"> PAGEREF _Toc175239361 \h </w:instrText>
        </w:r>
        <w:r>
          <w:rPr>
            <w:noProof/>
            <w:webHidden/>
          </w:rPr>
        </w:r>
        <w:r>
          <w:rPr>
            <w:noProof/>
            <w:webHidden/>
          </w:rPr>
          <w:fldChar w:fldCharType="separate"/>
        </w:r>
        <w:r w:rsidR="00FD06AB">
          <w:rPr>
            <w:noProof/>
            <w:webHidden/>
          </w:rPr>
          <w:t>208</w:t>
        </w:r>
        <w:r>
          <w:rPr>
            <w:noProof/>
            <w:webHidden/>
          </w:rPr>
          <w:fldChar w:fldCharType="end"/>
        </w:r>
      </w:hyperlink>
    </w:p>
    <w:p w14:paraId="617C5840" w14:textId="415145A5" w:rsidR="003B042F" w:rsidRDefault="003B042F">
      <w:pPr>
        <w:pStyle w:val="TOC2"/>
        <w:rPr>
          <w:rFonts w:asciiTheme="minorHAnsi" w:eastAsiaTheme="minorEastAsia" w:hAnsiTheme="minorHAnsi" w:cstheme="minorBidi"/>
          <w:b w:val="0"/>
          <w:bCs w:val="0"/>
          <w:noProof/>
          <w:color w:val="auto"/>
          <w:szCs w:val="22"/>
          <w:lang w:val="en-AU" w:eastAsia="en-AU"/>
        </w:rPr>
      </w:pPr>
      <w:hyperlink w:anchor="_Toc175239362" w:history="1">
        <w:r w:rsidRPr="005871B3">
          <w:rPr>
            <w:rStyle w:val="Hyperlink"/>
            <w:noProof/>
          </w:rPr>
          <w:t>Part 4—Appeals and cases stated to the Court of Appeal: Supreme Court</w:t>
        </w:r>
        <w:r>
          <w:rPr>
            <w:noProof/>
            <w:webHidden/>
          </w:rPr>
          <w:tab/>
        </w:r>
        <w:r>
          <w:rPr>
            <w:noProof/>
            <w:webHidden/>
          </w:rPr>
          <w:fldChar w:fldCharType="begin"/>
        </w:r>
        <w:r>
          <w:rPr>
            <w:noProof/>
            <w:webHidden/>
          </w:rPr>
          <w:instrText xml:space="preserve"> PAGEREF _Toc175239362 \h </w:instrText>
        </w:r>
        <w:r>
          <w:rPr>
            <w:noProof/>
            <w:webHidden/>
          </w:rPr>
        </w:r>
        <w:r>
          <w:rPr>
            <w:noProof/>
            <w:webHidden/>
          </w:rPr>
          <w:fldChar w:fldCharType="separate"/>
        </w:r>
        <w:r w:rsidR="00FD06AB">
          <w:rPr>
            <w:noProof/>
            <w:webHidden/>
          </w:rPr>
          <w:t>209</w:t>
        </w:r>
        <w:r>
          <w:rPr>
            <w:noProof/>
            <w:webHidden/>
          </w:rPr>
          <w:fldChar w:fldCharType="end"/>
        </w:r>
      </w:hyperlink>
    </w:p>
    <w:p w14:paraId="7A5271C7" w14:textId="511E0A69" w:rsidR="003B042F" w:rsidRDefault="003B042F">
      <w:pPr>
        <w:pStyle w:val="TOC3"/>
        <w:rPr>
          <w:rFonts w:asciiTheme="minorHAnsi" w:eastAsiaTheme="minorEastAsia" w:hAnsiTheme="minorHAnsi"/>
          <w:b w:val="0"/>
          <w:noProof/>
          <w:sz w:val="22"/>
          <w:lang w:eastAsia="en-AU"/>
        </w:rPr>
      </w:pPr>
      <w:hyperlink w:anchor="_Toc175239363" w:history="1">
        <w:r w:rsidRPr="005871B3">
          <w:rPr>
            <w:rStyle w:val="Hyperlink"/>
            <w:noProof/>
          </w:rPr>
          <w:t>Division 1—General</w:t>
        </w:r>
        <w:r>
          <w:rPr>
            <w:noProof/>
            <w:webHidden/>
          </w:rPr>
          <w:tab/>
        </w:r>
        <w:r>
          <w:rPr>
            <w:noProof/>
            <w:webHidden/>
          </w:rPr>
          <w:fldChar w:fldCharType="begin"/>
        </w:r>
        <w:r>
          <w:rPr>
            <w:noProof/>
            <w:webHidden/>
          </w:rPr>
          <w:instrText xml:space="preserve"> PAGEREF _Toc175239363 \h </w:instrText>
        </w:r>
        <w:r>
          <w:rPr>
            <w:noProof/>
            <w:webHidden/>
          </w:rPr>
        </w:r>
        <w:r>
          <w:rPr>
            <w:noProof/>
            <w:webHidden/>
          </w:rPr>
          <w:fldChar w:fldCharType="separate"/>
        </w:r>
        <w:r w:rsidR="00FD06AB">
          <w:rPr>
            <w:noProof/>
            <w:webHidden/>
          </w:rPr>
          <w:t>209</w:t>
        </w:r>
        <w:r>
          <w:rPr>
            <w:noProof/>
            <w:webHidden/>
          </w:rPr>
          <w:fldChar w:fldCharType="end"/>
        </w:r>
      </w:hyperlink>
    </w:p>
    <w:p w14:paraId="47E3DA06" w14:textId="0939F2BC" w:rsidR="003B042F" w:rsidRDefault="003B042F">
      <w:pPr>
        <w:pStyle w:val="TOC4"/>
        <w:rPr>
          <w:rFonts w:asciiTheme="minorHAnsi" w:eastAsiaTheme="minorEastAsia" w:hAnsiTheme="minorHAnsi"/>
          <w:noProof/>
          <w:sz w:val="22"/>
          <w:lang w:eastAsia="en-AU"/>
        </w:rPr>
      </w:pPr>
      <w:hyperlink w:anchor="_Toc175239364" w:history="1">
        <w:r w:rsidRPr="005871B3">
          <w:rPr>
            <w:rStyle w:val="Hyperlink"/>
            <w:noProof/>
          </w:rPr>
          <w:t>192.1—Application of Part</w:t>
        </w:r>
        <w:r>
          <w:rPr>
            <w:noProof/>
            <w:webHidden/>
          </w:rPr>
          <w:tab/>
        </w:r>
        <w:r>
          <w:rPr>
            <w:noProof/>
            <w:webHidden/>
          </w:rPr>
          <w:fldChar w:fldCharType="begin"/>
        </w:r>
        <w:r>
          <w:rPr>
            <w:noProof/>
            <w:webHidden/>
          </w:rPr>
          <w:instrText xml:space="preserve"> PAGEREF _Toc175239364 \h </w:instrText>
        </w:r>
        <w:r>
          <w:rPr>
            <w:noProof/>
            <w:webHidden/>
          </w:rPr>
        </w:r>
        <w:r>
          <w:rPr>
            <w:noProof/>
            <w:webHidden/>
          </w:rPr>
          <w:fldChar w:fldCharType="separate"/>
        </w:r>
        <w:r w:rsidR="00FD06AB">
          <w:rPr>
            <w:noProof/>
            <w:webHidden/>
          </w:rPr>
          <w:t>209</w:t>
        </w:r>
        <w:r>
          <w:rPr>
            <w:noProof/>
            <w:webHidden/>
          </w:rPr>
          <w:fldChar w:fldCharType="end"/>
        </w:r>
      </w:hyperlink>
    </w:p>
    <w:p w14:paraId="0B300667" w14:textId="2120A1C1" w:rsidR="003B042F" w:rsidRDefault="003B042F">
      <w:pPr>
        <w:pStyle w:val="TOC4"/>
        <w:rPr>
          <w:rFonts w:asciiTheme="minorHAnsi" w:eastAsiaTheme="minorEastAsia" w:hAnsiTheme="minorHAnsi"/>
          <w:noProof/>
          <w:sz w:val="22"/>
          <w:lang w:eastAsia="en-AU"/>
        </w:rPr>
      </w:pPr>
      <w:hyperlink w:anchor="_Toc175239365" w:history="1">
        <w:r w:rsidRPr="005871B3">
          <w:rPr>
            <w:rStyle w:val="Hyperlink"/>
            <w:noProof/>
          </w:rPr>
          <w:t>192.2—Jurisdiction of Court of Appeal</w:t>
        </w:r>
        <w:r>
          <w:rPr>
            <w:noProof/>
            <w:webHidden/>
          </w:rPr>
          <w:tab/>
        </w:r>
        <w:r>
          <w:rPr>
            <w:noProof/>
            <w:webHidden/>
          </w:rPr>
          <w:fldChar w:fldCharType="begin"/>
        </w:r>
        <w:r>
          <w:rPr>
            <w:noProof/>
            <w:webHidden/>
          </w:rPr>
          <w:instrText xml:space="preserve"> PAGEREF _Toc175239365 \h </w:instrText>
        </w:r>
        <w:r>
          <w:rPr>
            <w:noProof/>
            <w:webHidden/>
          </w:rPr>
        </w:r>
        <w:r>
          <w:rPr>
            <w:noProof/>
            <w:webHidden/>
          </w:rPr>
          <w:fldChar w:fldCharType="separate"/>
        </w:r>
        <w:r w:rsidR="00FD06AB">
          <w:rPr>
            <w:noProof/>
            <w:webHidden/>
          </w:rPr>
          <w:t>209</w:t>
        </w:r>
        <w:r>
          <w:rPr>
            <w:noProof/>
            <w:webHidden/>
          </w:rPr>
          <w:fldChar w:fldCharType="end"/>
        </w:r>
      </w:hyperlink>
    </w:p>
    <w:p w14:paraId="4C725850" w14:textId="63626FF8" w:rsidR="003B042F" w:rsidRDefault="003B042F">
      <w:pPr>
        <w:pStyle w:val="TOC4"/>
        <w:rPr>
          <w:rFonts w:asciiTheme="minorHAnsi" w:eastAsiaTheme="minorEastAsia" w:hAnsiTheme="minorHAnsi"/>
          <w:noProof/>
          <w:sz w:val="22"/>
          <w:lang w:eastAsia="en-AU"/>
        </w:rPr>
      </w:pPr>
      <w:hyperlink w:anchor="_Toc175239366" w:history="1">
        <w:r w:rsidRPr="005871B3">
          <w:rPr>
            <w:rStyle w:val="Hyperlink"/>
            <w:noProof/>
          </w:rPr>
          <w:t>192.3—Constitution of Court of Appeal</w:t>
        </w:r>
        <w:r>
          <w:rPr>
            <w:noProof/>
            <w:webHidden/>
          </w:rPr>
          <w:tab/>
        </w:r>
        <w:r>
          <w:rPr>
            <w:noProof/>
            <w:webHidden/>
          </w:rPr>
          <w:fldChar w:fldCharType="begin"/>
        </w:r>
        <w:r>
          <w:rPr>
            <w:noProof/>
            <w:webHidden/>
          </w:rPr>
          <w:instrText xml:space="preserve"> PAGEREF _Toc175239366 \h </w:instrText>
        </w:r>
        <w:r>
          <w:rPr>
            <w:noProof/>
            <w:webHidden/>
          </w:rPr>
        </w:r>
        <w:r>
          <w:rPr>
            <w:noProof/>
            <w:webHidden/>
          </w:rPr>
          <w:fldChar w:fldCharType="separate"/>
        </w:r>
        <w:r w:rsidR="00FD06AB">
          <w:rPr>
            <w:noProof/>
            <w:webHidden/>
          </w:rPr>
          <w:t>210</w:t>
        </w:r>
        <w:r>
          <w:rPr>
            <w:noProof/>
            <w:webHidden/>
          </w:rPr>
          <w:fldChar w:fldCharType="end"/>
        </w:r>
      </w:hyperlink>
    </w:p>
    <w:p w14:paraId="59B2C60F" w14:textId="6FE14B49" w:rsidR="003B042F" w:rsidRDefault="003B042F">
      <w:pPr>
        <w:pStyle w:val="TOC4"/>
        <w:rPr>
          <w:rFonts w:asciiTheme="minorHAnsi" w:eastAsiaTheme="minorEastAsia" w:hAnsiTheme="minorHAnsi"/>
          <w:noProof/>
          <w:sz w:val="22"/>
          <w:lang w:eastAsia="en-AU"/>
        </w:rPr>
      </w:pPr>
      <w:hyperlink w:anchor="_Toc175239367" w:history="1">
        <w:r w:rsidRPr="005871B3">
          <w:rPr>
            <w:rStyle w:val="Hyperlink"/>
            <w:noProof/>
          </w:rPr>
          <w:t>192.4—Interlocutory and ancillary orders</w:t>
        </w:r>
        <w:r>
          <w:rPr>
            <w:noProof/>
            <w:webHidden/>
          </w:rPr>
          <w:tab/>
        </w:r>
        <w:r>
          <w:rPr>
            <w:noProof/>
            <w:webHidden/>
          </w:rPr>
          <w:fldChar w:fldCharType="begin"/>
        </w:r>
        <w:r>
          <w:rPr>
            <w:noProof/>
            <w:webHidden/>
          </w:rPr>
          <w:instrText xml:space="preserve"> PAGEREF _Toc175239367 \h </w:instrText>
        </w:r>
        <w:r>
          <w:rPr>
            <w:noProof/>
            <w:webHidden/>
          </w:rPr>
        </w:r>
        <w:r>
          <w:rPr>
            <w:noProof/>
            <w:webHidden/>
          </w:rPr>
          <w:fldChar w:fldCharType="separate"/>
        </w:r>
        <w:r w:rsidR="00FD06AB">
          <w:rPr>
            <w:noProof/>
            <w:webHidden/>
          </w:rPr>
          <w:t>210</w:t>
        </w:r>
        <w:r>
          <w:rPr>
            <w:noProof/>
            <w:webHidden/>
          </w:rPr>
          <w:fldChar w:fldCharType="end"/>
        </w:r>
      </w:hyperlink>
    </w:p>
    <w:p w14:paraId="3A6514DA" w14:textId="1E200799" w:rsidR="003B042F" w:rsidRDefault="003B042F">
      <w:pPr>
        <w:pStyle w:val="TOC4"/>
        <w:rPr>
          <w:rFonts w:asciiTheme="minorHAnsi" w:eastAsiaTheme="minorEastAsia" w:hAnsiTheme="minorHAnsi"/>
          <w:noProof/>
          <w:sz w:val="22"/>
          <w:lang w:eastAsia="en-AU"/>
        </w:rPr>
      </w:pPr>
      <w:hyperlink w:anchor="_Toc175239368" w:history="1">
        <w:r w:rsidRPr="005871B3">
          <w:rPr>
            <w:rStyle w:val="Hyperlink"/>
            <w:noProof/>
          </w:rPr>
          <w:t>192.5—Variation of times</w:t>
        </w:r>
        <w:r>
          <w:rPr>
            <w:noProof/>
            <w:webHidden/>
          </w:rPr>
          <w:tab/>
        </w:r>
        <w:r>
          <w:rPr>
            <w:noProof/>
            <w:webHidden/>
          </w:rPr>
          <w:fldChar w:fldCharType="begin"/>
        </w:r>
        <w:r>
          <w:rPr>
            <w:noProof/>
            <w:webHidden/>
          </w:rPr>
          <w:instrText xml:space="preserve"> PAGEREF _Toc175239368 \h </w:instrText>
        </w:r>
        <w:r>
          <w:rPr>
            <w:noProof/>
            <w:webHidden/>
          </w:rPr>
        </w:r>
        <w:r>
          <w:rPr>
            <w:noProof/>
            <w:webHidden/>
          </w:rPr>
          <w:fldChar w:fldCharType="separate"/>
        </w:r>
        <w:r w:rsidR="00FD06AB">
          <w:rPr>
            <w:noProof/>
            <w:webHidden/>
          </w:rPr>
          <w:t>211</w:t>
        </w:r>
        <w:r>
          <w:rPr>
            <w:noProof/>
            <w:webHidden/>
          </w:rPr>
          <w:fldChar w:fldCharType="end"/>
        </w:r>
      </w:hyperlink>
    </w:p>
    <w:p w14:paraId="52DDBC25" w14:textId="4A953AD0" w:rsidR="003B042F" w:rsidRDefault="003B042F">
      <w:pPr>
        <w:pStyle w:val="TOC3"/>
        <w:rPr>
          <w:rFonts w:asciiTheme="minorHAnsi" w:eastAsiaTheme="minorEastAsia" w:hAnsiTheme="minorHAnsi"/>
          <w:b w:val="0"/>
          <w:noProof/>
          <w:sz w:val="22"/>
          <w:lang w:eastAsia="en-AU"/>
        </w:rPr>
      </w:pPr>
      <w:hyperlink w:anchor="_Toc175239369" w:history="1">
        <w:r w:rsidRPr="005871B3">
          <w:rPr>
            <w:rStyle w:val="Hyperlink"/>
            <w:noProof/>
          </w:rPr>
          <w:t>Division 2—Institution of appeal</w:t>
        </w:r>
        <w:r>
          <w:rPr>
            <w:noProof/>
            <w:webHidden/>
          </w:rPr>
          <w:tab/>
        </w:r>
        <w:r>
          <w:rPr>
            <w:noProof/>
            <w:webHidden/>
          </w:rPr>
          <w:fldChar w:fldCharType="begin"/>
        </w:r>
        <w:r>
          <w:rPr>
            <w:noProof/>
            <w:webHidden/>
          </w:rPr>
          <w:instrText xml:space="preserve"> PAGEREF _Toc175239369 \h </w:instrText>
        </w:r>
        <w:r>
          <w:rPr>
            <w:noProof/>
            <w:webHidden/>
          </w:rPr>
        </w:r>
        <w:r>
          <w:rPr>
            <w:noProof/>
            <w:webHidden/>
          </w:rPr>
          <w:fldChar w:fldCharType="separate"/>
        </w:r>
        <w:r w:rsidR="00FD06AB">
          <w:rPr>
            <w:noProof/>
            <w:webHidden/>
          </w:rPr>
          <w:t>211</w:t>
        </w:r>
        <w:r>
          <w:rPr>
            <w:noProof/>
            <w:webHidden/>
          </w:rPr>
          <w:fldChar w:fldCharType="end"/>
        </w:r>
      </w:hyperlink>
    </w:p>
    <w:p w14:paraId="1F87C630" w14:textId="04FCAEC6" w:rsidR="003B042F" w:rsidRDefault="003B042F">
      <w:pPr>
        <w:pStyle w:val="TOC4"/>
        <w:rPr>
          <w:rFonts w:asciiTheme="minorHAnsi" w:eastAsiaTheme="minorEastAsia" w:hAnsiTheme="minorHAnsi"/>
          <w:noProof/>
          <w:sz w:val="22"/>
          <w:lang w:eastAsia="en-AU"/>
        </w:rPr>
      </w:pPr>
      <w:hyperlink w:anchor="_Toc175239370" w:history="1">
        <w:r w:rsidRPr="005871B3">
          <w:rPr>
            <w:rStyle w:val="Hyperlink"/>
            <w:noProof/>
          </w:rPr>
          <w:t>193.1—Time to appeal</w:t>
        </w:r>
        <w:r>
          <w:rPr>
            <w:noProof/>
            <w:webHidden/>
          </w:rPr>
          <w:tab/>
        </w:r>
        <w:r>
          <w:rPr>
            <w:noProof/>
            <w:webHidden/>
          </w:rPr>
          <w:fldChar w:fldCharType="begin"/>
        </w:r>
        <w:r>
          <w:rPr>
            <w:noProof/>
            <w:webHidden/>
          </w:rPr>
          <w:instrText xml:space="preserve"> PAGEREF _Toc175239370 \h </w:instrText>
        </w:r>
        <w:r>
          <w:rPr>
            <w:noProof/>
            <w:webHidden/>
          </w:rPr>
        </w:r>
        <w:r>
          <w:rPr>
            <w:noProof/>
            <w:webHidden/>
          </w:rPr>
          <w:fldChar w:fldCharType="separate"/>
        </w:r>
        <w:r w:rsidR="00FD06AB">
          <w:rPr>
            <w:noProof/>
            <w:webHidden/>
          </w:rPr>
          <w:t>211</w:t>
        </w:r>
        <w:r>
          <w:rPr>
            <w:noProof/>
            <w:webHidden/>
          </w:rPr>
          <w:fldChar w:fldCharType="end"/>
        </w:r>
      </w:hyperlink>
    </w:p>
    <w:p w14:paraId="36CAE4BF" w14:textId="0C056D80" w:rsidR="003B042F" w:rsidRDefault="003B042F">
      <w:pPr>
        <w:pStyle w:val="TOC4"/>
        <w:rPr>
          <w:rFonts w:asciiTheme="minorHAnsi" w:eastAsiaTheme="minorEastAsia" w:hAnsiTheme="minorHAnsi"/>
          <w:noProof/>
          <w:sz w:val="22"/>
          <w:lang w:eastAsia="en-AU"/>
        </w:rPr>
      </w:pPr>
      <w:hyperlink w:anchor="_Toc175239371" w:history="1">
        <w:r w:rsidRPr="005871B3">
          <w:rPr>
            <w:rStyle w:val="Hyperlink"/>
            <w:noProof/>
          </w:rPr>
          <w:t>193.2—Institution of appeal</w:t>
        </w:r>
        <w:r>
          <w:rPr>
            <w:noProof/>
            <w:webHidden/>
          </w:rPr>
          <w:tab/>
        </w:r>
        <w:r>
          <w:rPr>
            <w:noProof/>
            <w:webHidden/>
          </w:rPr>
          <w:fldChar w:fldCharType="begin"/>
        </w:r>
        <w:r>
          <w:rPr>
            <w:noProof/>
            <w:webHidden/>
          </w:rPr>
          <w:instrText xml:space="preserve"> PAGEREF _Toc175239371 \h </w:instrText>
        </w:r>
        <w:r>
          <w:rPr>
            <w:noProof/>
            <w:webHidden/>
          </w:rPr>
        </w:r>
        <w:r>
          <w:rPr>
            <w:noProof/>
            <w:webHidden/>
          </w:rPr>
          <w:fldChar w:fldCharType="separate"/>
        </w:r>
        <w:r w:rsidR="00FD06AB">
          <w:rPr>
            <w:noProof/>
            <w:webHidden/>
          </w:rPr>
          <w:t>211</w:t>
        </w:r>
        <w:r>
          <w:rPr>
            <w:noProof/>
            <w:webHidden/>
          </w:rPr>
          <w:fldChar w:fldCharType="end"/>
        </w:r>
      </w:hyperlink>
    </w:p>
    <w:p w14:paraId="20B64DE7" w14:textId="76F10E97" w:rsidR="003B042F" w:rsidRDefault="003B042F">
      <w:pPr>
        <w:pStyle w:val="TOC4"/>
        <w:rPr>
          <w:rFonts w:asciiTheme="minorHAnsi" w:eastAsiaTheme="minorEastAsia" w:hAnsiTheme="minorHAnsi"/>
          <w:noProof/>
          <w:sz w:val="22"/>
          <w:lang w:eastAsia="en-AU"/>
        </w:rPr>
      </w:pPr>
      <w:hyperlink w:anchor="_Toc175239372" w:history="1">
        <w:r w:rsidRPr="005871B3">
          <w:rPr>
            <w:rStyle w:val="Hyperlink"/>
            <w:noProof/>
          </w:rPr>
          <w:t>193.2A—Information Sheet</w:t>
        </w:r>
        <w:r>
          <w:rPr>
            <w:noProof/>
            <w:webHidden/>
          </w:rPr>
          <w:tab/>
        </w:r>
        <w:r>
          <w:rPr>
            <w:noProof/>
            <w:webHidden/>
          </w:rPr>
          <w:fldChar w:fldCharType="begin"/>
        </w:r>
        <w:r>
          <w:rPr>
            <w:noProof/>
            <w:webHidden/>
          </w:rPr>
          <w:instrText xml:space="preserve"> PAGEREF _Toc175239372 \h </w:instrText>
        </w:r>
        <w:r>
          <w:rPr>
            <w:noProof/>
            <w:webHidden/>
          </w:rPr>
        </w:r>
        <w:r>
          <w:rPr>
            <w:noProof/>
            <w:webHidden/>
          </w:rPr>
          <w:fldChar w:fldCharType="separate"/>
        </w:r>
        <w:r w:rsidR="00FD06AB">
          <w:rPr>
            <w:noProof/>
            <w:webHidden/>
          </w:rPr>
          <w:t>212</w:t>
        </w:r>
        <w:r>
          <w:rPr>
            <w:noProof/>
            <w:webHidden/>
          </w:rPr>
          <w:fldChar w:fldCharType="end"/>
        </w:r>
      </w:hyperlink>
    </w:p>
    <w:p w14:paraId="0CD75A95" w14:textId="0E1BC537" w:rsidR="003B042F" w:rsidRDefault="003B042F">
      <w:pPr>
        <w:pStyle w:val="TOC4"/>
        <w:rPr>
          <w:rFonts w:asciiTheme="minorHAnsi" w:eastAsiaTheme="minorEastAsia" w:hAnsiTheme="minorHAnsi"/>
          <w:noProof/>
          <w:sz w:val="22"/>
          <w:lang w:eastAsia="en-AU"/>
        </w:rPr>
      </w:pPr>
      <w:hyperlink w:anchor="_Toc175239373" w:history="1">
        <w:r w:rsidRPr="005871B3">
          <w:rPr>
            <w:rStyle w:val="Hyperlink"/>
            <w:noProof/>
          </w:rPr>
          <w:t>193.3—Service of notice of appeal</w:t>
        </w:r>
        <w:r>
          <w:rPr>
            <w:noProof/>
            <w:webHidden/>
          </w:rPr>
          <w:tab/>
        </w:r>
        <w:r>
          <w:rPr>
            <w:noProof/>
            <w:webHidden/>
          </w:rPr>
          <w:fldChar w:fldCharType="begin"/>
        </w:r>
        <w:r>
          <w:rPr>
            <w:noProof/>
            <w:webHidden/>
          </w:rPr>
          <w:instrText xml:space="preserve"> PAGEREF _Toc175239373 \h </w:instrText>
        </w:r>
        <w:r>
          <w:rPr>
            <w:noProof/>
            <w:webHidden/>
          </w:rPr>
        </w:r>
        <w:r>
          <w:rPr>
            <w:noProof/>
            <w:webHidden/>
          </w:rPr>
          <w:fldChar w:fldCharType="separate"/>
        </w:r>
        <w:r w:rsidR="00FD06AB">
          <w:rPr>
            <w:noProof/>
            <w:webHidden/>
          </w:rPr>
          <w:t>212</w:t>
        </w:r>
        <w:r>
          <w:rPr>
            <w:noProof/>
            <w:webHidden/>
          </w:rPr>
          <w:fldChar w:fldCharType="end"/>
        </w:r>
      </w:hyperlink>
    </w:p>
    <w:p w14:paraId="3CBABA6E" w14:textId="1EDDDBBC" w:rsidR="003B042F" w:rsidRDefault="003B042F">
      <w:pPr>
        <w:pStyle w:val="TOC4"/>
        <w:rPr>
          <w:rFonts w:asciiTheme="minorHAnsi" w:eastAsiaTheme="minorEastAsia" w:hAnsiTheme="minorHAnsi"/>
          <w:noProof/>
          <w:sz w:val="22"/>
          <w:lang w:eastAsia="en-AU"/>
        </w:rPr>
      </w:pPr>
      <w:hyperlink w:anchor="_Toc175239374" w:history="1">
        <w:r w:rsidRPr="005871B3">
          <w:rPr>
            <w:rStyle w:val="Hyperlink"/>
            <w:noProof/>
          </w:rPr>
          <w:t>193.4—Documents and information from court below</w:t>
        </w:r>
        <w:r>
          <w:rPr>
            <w:noProof/>
            <w:webHidden/>
          </w:rPr>
          <w:tab/>
        </w:r>
        <w:r>
          <w:rPr>
            <w:noProof/>
            <w:webHidden/>
          </w:rPr>
          <w:fldChar w:fldCharType="begin"/>
        </w:r>
        <w:r>
          <w:rPr>
            <w:noProof/>
            <w:webHidden/>
          </w:rPr>
          <w:instrText xml:space="preserve"> PAGEREF _Toc175239374 \h </w:instrText>
        </w:r>
        <w:r>
          <w:rPr>
            <w:noProof/>
            <w:webHidden/>
          </w:rPr>
        </w:r>
        <w:r>
          <w:rPr>
            <w:noProof/>
            <w:webHidden/>
          </w:rPr>
          <w:fldChar w:fldCharType="separate"/>
        </w:r>
        <w:r w:rsidR="00FD06AB">
          <w:rPr>
            <w:noProof/>
            <w:webHidden/>
          </w:rPr>
          <w:t>213</w:t>
        </w:r>
        <w:r>
          <w:rPr>
            <w:noProof/>
            <w:webHidden/>
          </w:rPr>
          <w:fldChar w:fldCharType="end"/>
        </w:r>
      </w:hyperlink>
    </w:p>
    <w:p w14:paraId="628EDF8E" w14:textId="79EE6634" w:rsidR="003B042F" w:rsidRDefault="003B042F">
      <w:pPr>
        <w:pStyle w:val="TOC3"/>
        <w:rPr>
          <w:rFonts w:asciiTheme="minorHAnsi" w:eastAsiaTheme="minorEastAsia" w:hAnsiTheme="minorHAnsi"/>
          <w:b w:val="0"/>
          <w:noProof/>
          <w:sz w:val="22"/>
          <w:lang w:eastAsia="en-AU"/>
        </w:rPr>
      </w:pPr>
      <w:hyperlink w:anchor="_Toc175239375" w:history="1">
        <w:r w:rsidRPr="005871B3">
          <w:rPr>
            <w:rStyle w:val="Hyperlink"/>
            <w:noProof/>
          </w:rPr>
          <w:t>Division 3—Response to appeal</w:t>
        </w:r>
        <w:r>
          <w:rPr>
            <w:noProof/>
            <w:webHidden/>
          </w:rPr>
          <w:tab/>
        </w:r>
        <w:r>
          <w:rPr>
            <w:noProof/>
            <w:webHidden/>
          </w:rPr>
          <w:fldChar w:fldCharType="begin"/>
        </w:r>
        <w:r>
          <w:rPr>
            <w:noProof/>
            <w:webHidden/>
          </w:rPr>
          <w:instrText xml:space="preserve"> PAGEREF _Toc175239375 \h </w:instrText>
        </w:r>
        <w:r>
          <w:rPr>
            <w:noProof/>
            <w:webHidden/>
          </w:rPr>
        </w:r>
        <w:r>
          <w:rPr>
            <w:noProof/>
            <w:webHidden/>
          </w:rPr>
          <w:fldChar w:fldCharType="separate"/>
        </w:r>
        <w:r w:rsidR="00FD06AB">
          <w:rPr>
            <w:noProof/>
            <w:webHidden/>
          </w:rPr>
          <w:t>213</w:t>
        </w:r>
        <w:r>
          <w:rPr>
            <w:noProof/>
            <w:webHidden/>
          </w:rPr>
          <w:fldChar w:fldCharType="end"/>
        </w:r>
      </w:hyperlink>
    </w:p>
    <w:p w14:paraId="1E23435F" w14:textId="60DD0CA3" w:rsidR="003B042F" w:rsidRDefault="003B042F">
      <w:pPr>
        <w:pStyle w:val="TOC4"/>
        <w:rPr>
          <w:rFonts w:asciiTheme="minorHAnsi" w:eastAsiaTheme="minorEastAsia" w:hAnsiTheme="minorHAnsi"/>
          <w:noProof/>
          <w:sz w:val="22"/>
          <w:lang w:eastAsia="en-AU"/>
        </w:rPr>
      </w:pPr>
      <w:hyperlink w:anchor="_Toc175239376" w:history="1">
        <w:r w:rsidRPr="005871B3">
          <w:rPr>
            <w:rStyle w:val="Hyperlink"/>
            <w:noProof/>
          </w:rPr>
          <w:t>194.1—Notice of acting</w:t>
        </w:r>
        <w:r>
          <w:rPr>
            <w:noProof/>
            <w:webHidden/>
          </w:rPr>
          <w:tab/>
        </w:r>
        <w:r>
          <w:rPr>
            <w:noProof/>
            <w:webHidden/>
          </w:rPr>
          <w:fldChar w:fldCharType="begin"/>
        </w:r>
        <w:r>
          <w:rPr>
            <w:noProof/>
            <w:webHidden/>
          </w:rPr>
          <w:instrText xml:space="preserve"> PAGEREF _Toc175239376 \h </w:instrText>
        </w:r>
        <w:r>
          <w:rPr>
            <w:noProof/>
            <w:webHidden/>
          </w:rPr>
        </w:r>
        <w:r>
          <w:rPr>
            <w:noProof/>
            <w:webHidden/>
          </w:rPr>
          <w:fldChar w:fldCharType="separate"/>
        </w:r>
        <w:r w:rsidR="00FD06AB">
          <w:rPr>
            <w:noProof/>
            <w:webHidden/>
          </w:rPr>
          <w:t>213</w:t>
        </w:r>
        <w:r>
          <w:rPr>
            <w:noProof/>
            <w:webHidden/>
          </w:rPr>
          <w:fldChar w:fldCharType="end"/>
        </w:r>
      </w:hyperlink>
    </w:p>
    <w:p w14:paraId="49DC65DC" w14:textId="35ECA679" w:rsidR="003B042F" w:rsidRDefault="003B042F">
      <w:pPr>
        <w:pStyle w:val="TOC4"/>
        <w:rPr>
          <w:rFonts w:asciiTheme="minorHAnsi" w:eastAsiaTheme="minorEastAsia" w:hAnsiTheme="minorHAnsi"/>
          <w:noProof/>
          <w:sz w:val="22"/>
          <w:lang w:eastAsia="en-AU"/>
        </w:rPr>
      </w:pPr>
      <w:hyperlink w:anchor="_Toc175239377" w:history="1">
        <w:r w:rsidRPr="005871B3">
          <w:rPr>
            <w:rStyle w:val="Hyperlink"/>
            <w:noProof/>
          </w:rPr>
          <w:t>194.2—Institution of cross appeal</w:t>
        </w:r>
        <w:r>
          <w:rPr>
            <w:noProof/>
            <w:webHidden/>
          </w:rPr>
          <w:tab/>
        </w:r>
        <w:r>
          <w:rPr>
            <w:noProof/>
            <w:webHidden/>
          </w:rPr>
          <w:fldChar w:fldCharType="begin"/>
        </w:r>
        <w:r>
          <w:rPr>
            <w:noProof/>
            <w:webHidden/>
          </w:rPr>
          <w:instrText xml:space="preserve"> PAGEREF _Toc175239377 \h </w:instrText>
        </w:r>
        <w:r>
          <w:rPr>
            <w:noProof/>
            <w:webHidden/>
          </w:rPr>
        </w:r>
        <w:r>
          <w:rPr>
            <w:noProof/>
            <w:webHidden/>
          </w:rPr>
          <w:fldChar w:fldCharType="separate"/>
        </w:r>
        <w:r w:rsidR="00FD06AB">
          <w:rPr>
            <w:noProof/>
            <w:webHidden/>
          </w:rPr>
          <w:t>213</w:t>
        </w:r>
        <w:r>
          <w:rPr>
            <w:noProof/>
            <w:webHidden/>
          </w:rPr>
          <w:fldChar w:fldCharType="end"/>
        </w:r>
      </w:hyperlink>
    </w:p>
    <w:p w14:paraId="273C744D" w14:textId="722575A8" w:rsidR="003B042F" w:rsidRDefault="003B042F">
      <w:pPr>
        <w:pStyle w:val="TOC4"/>
        <w:rPr>
          <w:rFonts w:asciiTheme="minorHAnsi" w:eastAsiaTheme="minorEastAsia" w:hAnsiTheme="minorHAnsi"/>
          <w:noProof/>
          <w:sz w:val="22"/>
          <w:lang w:eastAsia="en-AU"/>
        </w:rPr>
      </w:pPr>
      <w:hyperlink w:anchor="_Toc175239378" w:history="1">
        <w:r w:rsidRPr="005871B3">
          <w:rPr>
            <w:rStyle w:val="Hyperlink"/>
            <w:noProof/>
          </w:rPr>
          <w:t>194.3—Notice of alternative contention</w:t>
        </w:r>
        <w:r>
          <w:rPr>
            <w:noProof/>
            <w:webHidden/>
          </w:rPr>
          <w:tab/>
        </w:r>
        <w:r>
          <w:rPr>
            <w:noProof/>
            <w:webHidden/>
          </w:rPr>
          <w:fldChar w:fldCharType="begin"/>
        </w:r>
        <w:r>
          <w:rPr>
            <w:noProof/>
            <w:webHidden/>
          </w:rPr>
          <w:instrText xml:space="preserve"> PAGEREF _Toc175239378 \h </w:instrText>
        </w:r>
        <w:r>
          <w:rPr>
            <w:noProof/>
            <w:webHidden/>
          </w:rPr>
        </w:r>
        <w:r>
          <w:rPr>
            <w:noProof/>
            <w:webHidden/>
          </w:rPr>
          <w:fldChar w:fldCharType="separate"/>
        </w:r>
        <w:r w:rsidR="00FD06AB">
          <w:rPr>
            <w:noProof/>
            <w:webHidden/>
          </w:rPr>
          <w:t>214</w:t>
        </w:r>
        <w:r>
          <w:rPr>
            <w:noProof/>
            <w:webHidden/>
          </w:rPr>
          <w:fldChar w:fldCharType="end"/>
        </w:r>
      </w:hyperlink>
    </w:p>
    <w:p w14:paraId="55467D78" w14:textId="30305660" w:rsidR="003B042F" w:rsidRDefault="003B042F">
      <w:pPr>
        <w:pStyle w:val="TOC3"/>
        <w:rPr>
          <w:rFonts w:asciiTheme="minorHAnsi" w:eastAsiaTheme="minorEastAsia" w:hAnsiTheme="minorHAnsi"/>
          <w:b w:val="0"/>
          <w:noProof/>
          <w:sz w:val="22"/>
          <w:lang w:eastAsia="en-AU"/>
        </w:rPr>
      </w:pPr>
      <w:hyperlink w:anchor="_Toc175239379" w:history="1">
        <w:r w:rsidRPr="005871B3">
          <w:rPr>
            <w:rStyle w:val="Hyperlink"/>
            <w:noProof/>
          </w:rPr>
          <w:t>Division 4—Leave to appeal from judgment at first instance</w:t>
        </w:r>
        <w:r>
          <w:rPr>
            <w:noProof/>
            <w:webHidden/>
          </w:rPr>
          <w:tab/>
        </w:r>
        <w:r>
          <w:rPr>
            <w:noProof/>
            <w:webHidden/>
          </w:rPr>
          <w:fldChar w:fldCharType="begin"/>
        </w:r>
        <w:r>
          <w:rPr>
            <w:noProof/>
            <w:webHidden/>
          </w:rPr>
          <w:instrText xml:space="preserve"> PAGEREF _Toc175239379 \h </w:instrText>
        </w:r>
        <w:r>
          <w:rPr>
            <w:noProof/>
            <w:webHidden/>
          </w:rPr>
        </w:r>
        <w:r>
          <w:rPr>
            <w:noProof/>
            <w:webHidden/>
          </w:rPr>
          <w:fldChar w:fldCharType="separate"/>
        </w:r>
        <w:r w:rsidR="00FD06AB">
          <w:rPr>
            <w:noProof/>
            <w:webHidden/>
          </w:rPr>
          <w:t>214</w:t>
        </w:r>
        <w:r>
          <w:rPr>
            <w:noProof/>
            <w:webHidden/>
          </w:rPr>
          <w:fldChar w:fldCharType="end"/>
        </w:r>
      </w:hyperlink>
    </w:p>
    <w:p w14:paraId="0C485A16" w14:textId="2D893A1D" w:rsidR="003B042F" w:rsidRDefault="003B042F">
      <w:pPr>
        <w:pStyle w:val="TOC3"/>
        <w:rPr>
          <w:rFonts w:asciiTheme="minorHAnsi" w:eastAsiaTheme="minorEastAsia" w:hAnsiTheme="minorHAnsi"/>
          <w:b w:val="0"/>
          <w:noProof/>
          <w:sz w:val="22"/>
          <w:lang w:eastAsia="en-AU"/>
        </w:rPr>
      </w:pPr>
      <w:hyperlink w:anchor="_Toc175239380" w:history="1">
        <w:r w:rsidRPr="005871B3">
          <w:rPr>
            <w:rStyle w:val="Hyperlink"/>
            <w:noProof/>
          </w:rPr>
          <w:t>Subdivision 1—General</w:t>
        </w:r>
        <w:r>
          <w:rPr>
            <w:noProof/>
            <w:webHidden/>
          </w:rPr>
          <w:tab/>
        </w:r>
        <w:r>
          <w:rPr>
            <w:noProof/>
            <w:webHidden/>
          </w:rPr>
          <w:fldChar w:fldCharType="begin"/>
        </w:r>
        <w:r>
          <w:rPr>
            <w:noProof/>
            <w:webHidden/>
          </w:rPr>
          <w:instrText xml:space="preserve"> PAGEREF _Toc175239380 \h </w:instrText>
        </w:r>
        <w:r>
          <w:rPr>
            <w:noProof/>
            <w:webHidden/>
          </w:rPr>
        </w:r>
        <w:r>
          <w:rPr>
            <w:noProof/>
            <w:webHidden/>
          </w:rPr>
          <w:fldChar w:fldCharType="separate"/>
        </w:r>
        <w:r w:rsidR="00FD06AB">
          <w:rPr>
            <w:noProof/>
            <w:webHidden/>
          </w:rPr>
          <w:t>214</w:t>
        </w:r>
        <w:r>
          <w:rPr>
            <w:noProof/>
            <w:webHidden/>
          </w:rPr>
          <w:fldChar w:fldCharType="end"/>
        </w:r>
      </w:hyperlink>
    </w:p>
    <w:p w14:paraId="4EB4AA46" w14:textId="50157990" w:rsidR="003B042F" w:rsidRDefault="003B042F">
      <w:pPr>
        <w:pStyle w:val="TOC4"/>
        <w:rPr>
          <w:rFonts w:asciiTheme="minorHAnsi" w:eastAsiaTheme="minorEastAsia" w:hAnsiTheme="minorHAnsi"/>
          <w:noProof/>
          <w:sz w:val="22"/>
          <w:lang w:eastAsia="en-AU"/>
        </w:rPr>
      </w:pPr>
      <w:hyperlink w:anchor="_Toc175239381" w:history="1">
        <w:r w:rsidRPr="005871B3">
          <w:rPr>
            <w:rStyle w:val="Hyperlink"/>
            <w:noProof/>
          </w:rPr>
          <w:t>195.1—Application of Division</w:t>
        </w:r>
        <w:r>
          <w:rPr>
            <w:noProof/>
            <w:webHidden/>
          </w:rPr>
          <w:tab/>
        </w:r>
        <w:r>
          <w:rPr>
            <w:noProof/>
            <w:webHidden/>
          </w:rPr>
          <w:fldChar w:fldCharType="begin"/>
        </w:r>
        <w:r>
          <w:rPr>
            <w:noProof/>
            <w:webHidden/>
          </w:rPr>
          <w:instrText xml:space="preserve"> PAGEREF _Toc175239381 \h </w:instrText>
        </w:r>
        <w:r>
          <w:rPr>
            <w:noProof/>
            <w:webHidden/>
          </w:rPr>
        </w:r>
        <w:r>
          <w:rPr>
            <w:noProof/>
            <w:webHidden/>
          </w:rPr>
          <w:fldChar w:fldCharType="separate"/>
        </w:r>
        <w:r w:rsidR="00FD06AB">
          <w:rPr>
            <w:noProof/>
            <w:webHidden/>
          </w:rPr>
          <w:t>214</w:t>
        </w:r>
        <w:r>
          <w:rPr>
            <w:noProof/>
            <w:webHidden/>
          </w:rPr>
          <w:fldChar w:fldCharType="end"/>
        </w:r>
      </w:hyperlink>
    </w:p>
    <w:p w14:paraId="03F526AF" w14:textId="1361D4A1" w:rsidR="003B042F" w:rsidRDefault="003B042F">
      <w:pPr>
        <w:pStyle w:val="TOC4"/>
        <w:rPr>
          <w:rFonts w:asciiTheme="minorHAnsi" w:eastAsiaTheme="minorEastAsia" w:hAnsiTheme="minorHAnsi"/>
          <w:noProof/>
          <w:sz w:val="22"/>
          <w:lang w:eastAsia="en-AU"/>
        </w:rPr>
      </w:pPr>
      <w:hyperlink w:anchor="_Toc175239382" w:history="1">
        <w:r w:rsidRPr="005871B3">
          <w:rPr>
            <w:rStyle w:val="Hyperlink"/>
            <w:noProof/>
          </w:rPr>
          <w:t>195.2—When required</w:t>
        </w:r>
        <w:r>
          <w:rPr>
            <w:noProof/>
            <w:webHidden/>
          </w:rPr>
          <w:tab/>
        </w:r>
        <w:r>
          <w:rPr>
            <w:noProof/>
            <w:webHidden/>
          </w:rPr>
          <w:fldChar w:fldCharType="begin"/>
        </w:r>
        <w:r>
          <w:rPr>
            <w:noProof/>
            <w:webHidden/>
          </w:rPr>
          <w:instrText xml:space="preserve"> PAGEREF _Toc175239382 \h </w:instrText>
        </w:r>
        <w:r>
          <w:rPr>
            <w:noProof/>
            <w:webHidden/>
          </w:rPr>
        </w:r>
        <w:r>
          <w:rPr>
            <w:noProof/>
            <w:webHidden/>
          </w:rPr>
          <w:fldChar w:fldCharType="separate"/>
        </w:r>
        <w:r w:rsidR="00FD06AB">
          <w:rPr>
            <w:noProof/>
            <w:webHidden/>
          </w:rPr>
          <w:t>214</w:t>
        </w:r>
        <w:r>
          <w:rPr>
            <w:noProof/>
            <w:webHidden/>
          </w:rPr>
          <w:fldChar w:fldCharType="end"/>
        </w:r>
      </w:hyperlink>
    </w:p>
    <w:p w14:paraId="6ED9C696" w14:textId="0EA7B458" w:rsidR="003B042F" w:rsidRDefault="003B042F">
      <w:pPr>
        <w:pStyle w:val="TOC3"/>
        <w:rPr>
          <w:rFonts w:asciiTheme="minorHAnsi" w:eastAsiaTheme="minorEastAsia" w:hAnsiTheme="minorHAnsi"/>
          <w:b w:val="0"/>
          <w:noProof/>
          <w:sz w:val="22"/>
          <w:lang w:eastAsia="en-AU"/>
        </w:rPr>
      </w:pPr>
      <w:hyperlink w:anchor="_Toc175239383" w:history="1">
        <w:r w:rsidRPr="005871B3">
          <w:rPr>
            <w:rStyle w:val="Hyperlink"/>
            <w:noProof/>
          </w:rPr>
          <w:t>Subdivision 2—Defence appeals</w:t>
        </w:r>
        <w:r>
          <w:rPr>
            <w:noProof/>
            <w:webHidden/>
          </w:rPr>
          <w:tab/>
        </w:r>
        <w:r>
          <w:rPr>
            <w:noProof/>
            <w:webHidden/>
          </w:rPr>
          <w:fldChar w:fldCharType="begin"/>
        </w:r>
        <w:r>
          <w:rPr>
            <w:noProof/>
            <w:webHidden/>
          </w:rPr>
          <w:instrText xml:space="preserve"> PAGEREF _Toc175239383 \h </w:instrText>
        </w:r>
        <w:r>
          <w:rPr>
            <w:noProof/>
            <w:webHidden/>
          </w:rPr>
        </w:r>
        <w:r>
          <w:rPr>
            <w:noProof/>
            <w:webHidden/>
          </w:rPr>
          <w:fldChar w:fldCharType="separate"/>
        </w:r>
        <w:r w:rsidR="00FD06AB">
          <w:rPr>
            <w:noProof/>
            <w:webHidden/>
          </w:rPr>
          <w:t>215</w:t>
        </w:r>
        <w:r>
          <w:rPr>
            <w:noProof/>
            <w:webHidden/>
          </w:rPr>
          <w:fldChar w:fldCharType="end"/>
        </w:r>
      </w:hyperlink>
    </w:p>
    <w:p w14:paraId="33A45F7B" w14:textId="66ED676C" w:rsidR="003B042F" w:rsidRDefault="003B042F">
      <w:pPr>
        <w:pStyle w:val="TOC4"/>
        <w:rPr>
          <w:rFonts w:asciiTheme="minorHAnsi" w:eastAsiaTheme="minorEastAsia" w:hAnsiTheme="minorHAnsi"/>
          <w:noProof/>
          <w:sz w:val="22"/>
          <w:lang w:eastAsia="en-AU"/>
        </w:rPr>
      </w:pPr>
      <w:hyperlink w:anchor="_Toc175239384" w:history="1">
        <w:r w:rsidRPr="005871B3">
          <w:rPr>
            <w:rStyle w:val="Hyperlink"/>
            <w:noProof/>
          </w:rPr>
          <w:t>195.3—Certificate of trial judge</w:t>
        </w:r>
        <w:r>
          <w:rPr>
            <w:noProof/>
            <w:webHidden/>
          </w:rPr>
          <w:tab/>
        </w:r>
        <w:r>
          <w:rPr>
            <w:noProof/>
            <w:webHidden/>
          </w:rPr>
          <w:fldChar w:fldCharType="begin"/>
        </w:r>
        <w:r>
          <w:rPr>
            <w:noProof/>
            <w:webHidden/>
          </w:rPr>
          <w:instrText xml:space="preserve"> PAGEREF _Toc175239384 \h </w:instrText>
        </w:r>
        <w:r>
          <w:rPr>
            <w:noProof/>
            <w:webHidden/>
          </w:rPr>
        </w:r>
        <w:r>
          <w:rPr>
            <w:noProof/>
            <w:webHidden/>
          </w:rPr>
          <w:fldChar w:fldCharType="separate"/>
        </w:r>
        <w:r w:rsidR="00FD06AB">
          <w:rPr>
            <w:noProof/>
            <w:webHidden/>
          </w:rPr>
          <w:t>215</w:t>
        </w:r>
        <w:r>
          <w:rPr>
            <w:noProof/>
            <w:webHidden/>
          </w:rPr>
          <w:fldChar w:fldCharType="end"/>
        </w:r>
      </w:hyperlink>
    </w:p>
    <w:p w14:paraId="43EFB63E" w14:textId="367BFF5F" w:rsidR="003B042F" w:rsidRDefault="003B042F">
      <w:pPr>
        <w:pStyle w:val="TOC4"/>
        <w:rPr>
          <w:rFonts w:asciiTheme="minorHAnsi" w:eastAsiaTheme="minorEastAsia" w:hAnsiTheme="minorHAnsi"/>
          <w:noProof/>
          <w:sz w:val="22"/>
          <w:lang w:eastAsia="en-AU"/>
        </w:rPr>
      </w:pPr>
      <w:hyperlink w:anchor="_Toc175239385" w:history="1">
        <w:r w:rsidRPr="005871B3">
          <w:rPr>
            <w:rStyle w:val="Hyperlink"/>
            <w:noProof/>
          </w:rPr>
          <w:t>195.4—Response to leave application</w:t>
        </w:r>
        <w:r>
          <w:rPr>
            <w:noProof/>
            <w:webHidden/>
          </w:rPr>
          <w:tab/>
        </w:r>
        <w:r>
          <w:rPr>
            <w:noProof/>
            <w:webHidden/>
          </w:rPr>
          <w:fldChar w:fldCharType="begin"/>
        </w:r>
        <w:r>
          <w:rPr>
            <w:noProof/>
            <w:webHidden/>
          </w:rPr>
          <w:instrText xml:space="preserve"> PAGEREF _Toc175239385 \h </w:instrText>
        </w:r>
        <w:r>
          <w:rPr>
            <w:noProof/>
            <w:webHidden/>
          </w:rPr>
        </w:r>
        <w:r>
          <w:rPr>
            <w:noProof/>
            <w:webHidden/>
          </w:rPr>
          <w:fldChar w:fldCharType="separate"/>
        </w:r>
        <w:r w:rsidR="00FD06AB">
          <w:rPr>
            <w:noProof/>
            <w:webHidden/>
          </w:rPr>
          <w:t>215</w:t>
        </w:r>
        <w:r>
          <w:rPr>
            <w:noProof/>
            <w:webHidden/>
          </w:rPr>
          <w:fldChar w:fldCharType="end"/>
        </w:r>
      </w:hyperlink>
    </w:p>
    <w:p w14:paraId="5E2F4A14" w14:textId="0B8EB1FC" w:rsidR="003B042F" w:rsidRDefault="003B042F">
      <w:pPr>
        <w:pStyle w:val="TOC4"/>
        <w:rPr>
          <w:rFonts w:asciiTheme="minorHAnsi" w:eastAsiaTheme="minorEastAsia" w:hAnsiTheme="minorHAnsi"/>
          <w:noProof/>
          <w:sz w:val="22"/>
          <w:lang w:eastAsia="en-AU"/>
        </w:rPr>
      </w:pPr>
      <w:hyperlink w:anchor="_Toc175239386" w:history="1">
        <w:r w:rsidRPr="005871B3">
          <w:rPr>
            <w:rStyle w:val="Hyperlink"/>
            <w:noProof/>
          </w:rPr>
          <w:t>195.5—Written submissions on leave to appeal</w:t>
        </w:r>
        <w:r>
          <w:rPr>
            <w:noProof/>
            <w:webHidden/>
          </w:rPr>
          <w:tab/>
        </w:r>
        <w:r>
          <w:rPr>
            <w:noProof/>
            <w:webHidden/>
          </w:rPr>
          <w:fldChar w:fldCharType="begin"/>
        </w:r>
        <w:r>
          <w:rPr>
            <w:noProof/>
            <w:webHidden/>
          </w:rPr>
          <w:instrText xml:space="preserve"> PAGEREF _Toc175239386 \h </w:instrText>
        </w:r>
        <w:r>
          <w:rPr>
            <w:noProof/>
            <w:webHidden/>
          </w:rPr>
        </w:r>
        <w:r>
          <w:rPr>
            <w:noProof/>
            <w:webHidden/>
          </w:rPr>
          <w:fldChar w:fldCharType="separate"/>
        </w:r>
        <w:r w:rsidR="00FD06AB">
          <w:rPr>
            <w:noProof/>
            <w:webHidden/>
          </w:rPr>
          <w:t>216</w:t>
        </w:r>
        <w:r>
          <w:rPr>
            <w:noProof/>
            <w:webHidden/>
          </w:rPr>
          <w:fldChar w:fldCharType="end"/>
        </w:r>
      </w:hyperlink>
    </w:p>
    <w:p w14:paraId="5739CE23" w14:textId="757DC371" w:rsidR="003B042F" w:rsidRDefault="003B042F">
      <w:pPr>
        <w:pStyle w:val="TOC3"/>
        <w:rPr>
          <w:rFonts w:asciiTheme="minorHAnsi" w:eastAsiaTheme="minorEastAsia" w:hAnsiTheme="minorHAnsi"/>
          <w:b w:val="0"/>
          <w:noProof/>
          <w:sz w:val="22"/>
          <w:lang w:eastAsia="en-AU"/>
        </w:rPr>
      </w:pPr>
      <w:hyperlink w:anchor="_Toc175239387" w:history="1">
        <w:r w:rsidRPr="005871B3">
          <w:rPr>
            <w:rStyle w:val="Hyperlink"/>
            <w:noProof/>
          </w:rPr>
          <w:t>Subdivision 3—Prosecution appeals</w:t>
        </w:r>
        <w:r>
          <w:rPr>
            <w:noProof/>
            <w:webHidden/>
          </w:rPr>
          <w:tab/>
        </w:r>
        <w:r>
          <w:rPr>
            <w:noProof/>
            <w:webHidden/>
          </w:rPr>
          <w:fldChar w:fldCharType="begin"/>
        </w:r>
        <w:r>
          <w:rPr>
            <w:noProof/>
            <w:webHidden/>
          </w:rPr>
          <w:instrText xml:space="preserve"> PAGEREF _Toc175239387 \h </w:instrText>
        </w:r>
        <w:r>
          <w:rPr>
            <w:noProof/>
            <w:webHidden/>
          </w:rPr>
        </w:r>
        <w:r>
          <w:rPr>
            <w:noProof/>
            <w:webHidden/>
          </w:rPr>
          <w:fldChar w:fldCharType="separate"/>
        </w:r>
        <w:r w:rsidR="00FD06AB">
          <w:rPr>
            <w:noProof/>
            <w:webHidden/>
          </w:rPr>
          <w:t>217</w:t>
        </w:r>
        <w:r>
          <w:rPr>
            <w:noProof/>
            <w:webHidden/>
          </w:rPr>
          <w:fldChar w:fldCharType="end"/>
        </w:r>
      </w:hyperlink>
    </w:p>
    <w:p w14:paraId="5FA5EBA1" w14:textId="7C30FCD7" w:rsidR="003B042F" w:rsidRDefault="003B042F">
      <w:pPr>
        <w:pStyle w:val="TOC4"/>
        <w:rPr>
          <w:rFonts w:asciiTheme="minorHAnsi" w:eastAsiaTheme="minorEastAsia" w:hAnsiTheme="minorHAnsi"/>
          <w:noProof/>
          <w:sz w:val="22"/>
          <w:lang w:eastAsia="en-AU"/>
        </w:rPr>
      </w:pPr>
      <w:hyperlink w:anchor="_Toc175239388" w:history="1">
        <w:r w:rsidRPr="005871B3">
          <w:rPr>
            <w:rStyle w:val="Hyperlink"/>
            <w:noProof/>
          </w:rPr>
          <w:t>195.6—Hearing and determination of leave to appeal</w:t>
        </w:r>
        <w:r>
          <w:rPr>
            <w:noProof/>
            <w:webHidden/>
          </w:rPr>
          <w:tab/>
        </w:r>
        <w:r>
          <w:rPr>
            <w:noProof/>
            <w:webHidden/>
          </w:rPr>
          <w:fldChar w:fldCharType="begin"/>
        </w:r>
        <w:r>
          <w:rPr>
            <w:noProof/>
            <w:webHidden/>
          </w:rPr>
          <w:instrText xml:space="preserve"> PAGEREF _Toc175239388 \h </w:instrText>
        </w:r>
        <w:r>
          <w:rPr>
            <w:noProof/>
            <w:webHidden/>
          </w:rPr>
        </w:r>
        <w:r>
          <w:rPr>
            <w:noProof/>
            <w:webHidden/>
          </w:rPr>
          <w:fldChar w:fldCharType="separate"/>
        </w:r>
        <w:r w:rsidR="00FD06AB">
          <w:rPr>
            <w:noProof/>
            <w:webHidden/>
          </w:rPr>
          <w:t>217</w:t>
        </w:r>
        <w:r>
          <w:rPr>
            <w:noProof/>
            <w:webHidden/>
          </w:rPr>
          <w:fldChar w:fldCharType="end"/>
        </w:r>
      </w:hyperlink>
    </w:p>
    <w:p w14:paraId="7B4D744C" w14:textId="5FDC6D84" w:rsidR="003B042F" w:rsidRDefault="003B042F">
      <w:pPr>
        <w:pStyle w:val="TOC3"/>
        <w:rPr>
          <w:rFonts w:asciiTheme="minorHAnsi" w:eastAsiaTheme="minorEastAsia" w:hAnsiTheme="minorHAnsi"/>
          <w:b w:val="0"/>
          <w:noProof/>
          <w:sz w:val="22"/>
          <w:lang w:eastAsia="en-AU"/>
        </w:rPr>
      </w:pPr>
      <w:hyperlink w:anchor="_Toc175239389" w:history="1">
        <w:r w:rsidRPr="005871B3">
          <w:rPr>
            <w:rStyle w:val="Hyperlink"/>
            <w:noProof/>
          </w:rPr>
          <w:t>Subdivision 4—Second or subsequent appeals</w:t>
        </w:r>
        <w:r>
          <w:rPr>
            <w:noProof/>
            <w:webHidden/>
          </w:rPr>
          <w:tab/>
        </w:r>
        <w:r>
          <w:rPr>
            <w:noProof/>
            <w:webHidden/>
          </w:rPr>
          <w:fldChar w:fldCharType="begin"/>
        </w:r>
        <w:r>
          <w:rPr>
            <w:noProof/>
            <w:webHidden/>
          </w:rPr>
          <w:instrText xml:space="preserve"> PAGEREF _Toc175239389 \h </w:instrText>
        </w:r>
        <w:r>
          <w:rPr>
            <w:noProof/>
            <w:webHidden/>
          </w:rPr>
        </w:r>
        <w:r>
          <w:rPr>
            <w:noProof/>
            <w:webHidden/>
          </w:rPr>
          <w:fldChar w:fldCharType="separate"/>
        </w:r>
        <w:r w:rsidR="00FD06AB">
          <w:rPr>
            <w:noProof/>
            <w:webHidden/>
          </w:rPr>
          <w:t>217</w:t>
        </w:r>
        <w:r>
          <w:rPr>
            <w:noProof/>
            <w:webHidden/>
          </w:rPr>
          <w:fldChar w:fldCharType="end"/>
        </w:r>
      </w:hyperlink>
    </w:p>
    <w:p w14:paraId="65738EA1" w14:textId="237BB824" w:rsidR="003B042F" w:rsidRDefault="003B042F">
      <w:pPr>
        <w:pStyle w:val="TOC4"/>
        <w:rPr>
          <w:rFonts w:asciiTheme="minorHAnsi" w:eastAsiaTheme="minorEastAsia" w:hAnsiTheme="minorHAnsi"/>
          <w:noProof/>
          <w:sz w:val="22"/>
          <w:lang w:eastAsia="en-AU"/>
        </w:rPr>
      </w:pPr>
      <w:hyperlink w:anchor="_Toc175239390" w:history="1">
        <w:r w:rsidRPr="005871B3">
          <w:rPr>
            <w:rStyle w:val="Hyperlink"/>
            <w:noProof/>
          </w:rPr>
          <w:t>195.7—Hearing and determination of leave to appeal</w:t>
        </w:r>
        <w:r>
          <w:rPr>
            <w:noProof/>
            <w:webHidden/>
          </w:rPr>
          <w:tab/>
        </w:r>
        <w:r>
          <w:rPr>
            <w:noProof/>
            <w:webHidden/>
          </w:rPr>
          <w:fldChar w:fldCharType="begin"/>
        </w:r>
        <w:r>
          <w:rPr>
            <w:noProof/>
            <w:webHidden/>
          </w:rPr>
          <w:instrText xml:space="preserve"> PAGEREF _Toc175239390 \h </w:instrText>
        </w:r>
        <w:r>
          <w:rPr>
            <w:noProof/>
            <w:webHidden/>
          </w:rPr>
        </w:r>
        <w:r>
          <w:rPr>
            <w:noProof/>
            <w:webHidden/>
          </w:rPr>
          <w:fldChar w:fldCharType="separate"/>
        </w:r>
        <w:r w:rsidR="00FD06AB">
          <w:rPr>
            <w:noProof/>
            <w:webHidden/>
          </w:rPr>
          <w:t>217</w:t>
        </w:r>
        <w:r>
          <w:rPr>
            <w:noProof/>
            <w:webHidden/>
          </w:rPr>
          <w:fldChar w:fldCharType="end"/>
        </w:r>
      </w:hyperlink>
    </w:p>
    <w:p w14:paraId="1D339C9E" w14:textId="1F005E11" w:rsidR="003B042F" w:rsidRDefault="003B042F">
      <w:pPr>
        <w:pStyle w:val="TOC3"/>
        <w:rPr>
          <w:rFonts w:asciiTheme="minorHAnsi" w:eastAsiaTheme="minorEastAsia" w:hAnsiTheme="minorHAnsi"/>
          <w:b w:val="0"/>
          <w:noProof/>
          <w:sz w:val="22"/>
          <w:lang w:eastAsia="en-AU"/>
        </w:rPr>
      </w:pPr>
      <w:hyperlink w:anchor="_Toc175239391" w:history="1">
        <w:r w:rsidRPr="005871B3">
          <w:rPr>
            <w:rStyle w:val="Hyperlink"/>
            <w:noProof/>
          </w:rPr>
          <w:t>Division 5—Leave to appeal from judgment on appeal</w:t>
        </w:r>
        <w:r>
          <w:rPr>
            <w:noProof/>
            <w:webHidden/>
          </w:rPr>
          <w:tab/>
        </w:r>
        <w:r>
          <w:rPr>
            <w:noProof/>
            <w:webHidden/>
          </w:rPr>
          <w:fldChar w:fldCharType="begin"/>
        </w:r>
        <w:r>
          <w:rPr>
            <w:noProof/>
            <w:webHidden/>
          </w:rPr>
          <w:instrText xml:space="preserve"> PAGEREF _Toc175239391 \h </w:instrText>
        </w:r>
        <w:r>
          <w:rPr>
            <w:noProof/>
            <w:webHidden/>
          </w:rPr>
        </w:r>
        <w:r>
          <w:rPr>
            <w:noProof/>
            <w:webHidden/>
          </w:rPr>
          <w:fldChar w:fldCharType="separate"/>
        </w:r>
        <w:r w:rsidR="00FD06AB">
          <w:rPr>
            <w:noProof/>
            <w:webHidden/>
          </w:rPr>
          <w:t>217</w:t>
        </w:r>
        <w:r>
          <w:rPr>
            <w:noProof/>
            <w:webHidden/>
          </w:rPr>
          <w:fldChar w:fldCharType="end"/>
        </w:r>
      </w:hyperlink>
    </w:p>
    <w:p w14:paraId="600C22FA" w14:textId="725A8218" w:rsidR="003B042F" w:rsidRDefault="003B042F">
      <w:pPr>
        <w:pStyle w:val="TOC4"/>
        <w:rPr>
          <w:rFonts w:asciiTheme="minorHAnsi" w:eastAsiaTheme="minorEastAsia" w:hAnsiTheme="minorHAnsi"/>
          <w:noProof/>
          <w:sz w:val="22"/>
          <w:lang w:eastAsia="en-AU"/>
        </w:rPr>
      </w:pPr>
      <w:hyperlink w:anchor="_Toc175239392" w:history="1">
        <w:r w:rsidRPr="005871B3">
          <w:rPr>
            <w:rStyle w:val="Hyperlink"/>
            <w:noProof/>
          </w:rPr>
          <w:t>196.1—Application of Division</w:t>
        </w:r>
        <w:r>
          <w:rPr>
            <w:noProof/>
            <w:webHidden/>
          </w:rPr>
          <w:tab/>
        </w:r>
        <w:r>
          <w:rPr>
            <w:noProof/>
            <w:webHidden/>
          </w:rPr>
          <w:fldChar w:fldCharType="begin"/>
        </w:r>
        <w:r>
          <w:rPr>
            <w:noProof/>
            <w:webHidden/>
          </w:rPr>
          <w:instrText xml:space="preserve"> PAGEREF _Toc175239392 \h </w:instrText>
        </w:r>
        <w:r>
          <w:rPr>
            <w:noProof/>
            <w:webHidden/>
          </w:rPr>
        </w:r>
        <w:r>
          <w:rPr>
            <w:noProof/>
            <w:webHidden/>
          </w:rPr>
          <w:fldChar w:fldCharType="separate"/>
        </w:r>
        <w:r w:rsidR="00FD06AB">
          <w:rPr>
            <w:noProof/>
            <w:webHidden/>
          </w:rPr>
          <w:t>217</w:t>
        </w:r>
        <w:r>
          <w:rPr>
            <w:noProof/>
            <w:webHidden/>
          </w:rPr>
          <w:fldChar w:fldCharType="end"/>
        </w:r>
      </w:hyperlink>
    </w:p>
    <w:p w14:paraId="4CA6B8E5" w14:textId="7FAEFB08" w:rsidR="003B042F" w:rsidRDefault="003B042F">
      <w:pPr>
        <w:pStyle w:val="TOC4"/>
        <w:rPr>
          <w:rFonts w:asciiTheme="minorHAnsi" w:eastAsiaTheme="minorEastAsia" w:hAnsiTheme="minorHAnsi"/>
          <w:noProof/>
          <w:sz w:val="22"/>
          <w:lang w:eastAsia="en-AU"/>
        </w:rPr>
      </w:pPr>
      <w:hyperlink w:anchor="_Toc175239393" w:history="1">
        <w:r w:rsidRPr="005871B3">
          <w:rPr>
            <w:rStyle w:val="Hyperlink"/>
            <w:noProof/>
          </w:rPr>
          <w:t>196.2—When required</w:t>
        </w:r>
        <w:r>
          <w:rPr>
            <w:noProof/>
            <w:webHidden/>
          </w:rPr>
          <w:tab/>
        </w:r>
        <w:r>
          <w:rPr>
            <w:noProof/>
            <w:webHidden/>
          </w:rPr>
          <w:fldChar w:fldCharType="begin"/>
        </w:r>
        <w:r>
          <w:rPr>
            <w:noProof/>
            <w:webHidden/>
          </w:rPr>
          <w:instrText xml:space="preserve"> PAGEREF _Toc175239393 \h </w:instrText>
        </w:r>
        <w:r>
          <w:rPr>
            <w:noProof/>
            <w:webHidden/>
          </w:rPr>
        </w:r>
        <w:r>
          <w:rPr>
            <w:noProof/>
            <w:webHidden/>
          </w:rPr>
          <w:fldChar w:fldCharType="separate"/>
        </w:r>
        <w:r w:rsidR="00FD06AB">
          <w:rPr>
            <w:noProof/>
            <w:webHidden/>
          </w:rPr>
          <w:t>217</w:t>
        </w:r>
        <w:r>
          <w:rPr>
            <w:noProof/>
            <w:webHidden/>
          </w:rPr>
          <w:fldChar w:fldCharType="end"/>
        </w:r>
      </w:hyperlink>
    </w:p>
    <w:p w14:paraId="33100E7F" w14:textId="3C6161D1" w:rsidR="003B042F" w:rsidRDefault="003B042F">
      <w:pPr>
        <w:pStyle w:val="TOC4"/>
        <w:rPr>
          <w:rFonts w:asciiTheme="minorHAnsi" w:eastAsiaTheme="minorEastAsia" w:hAnsiTheme="minorHAnsi"/>
          <w:noProof/>
          <w:sz w:val="22"/>
          <w:lang w:eastAsia="en-AU"/>
        </w:rPr>
      </w:pPr>
      <w:hyperlink w:anchor="_Toc175239394" w:history="1">
        <w:r w:rsidRPr="005871B3">
          <w:rPr>
            <w:rStyle w:val="Hyperlink"/>
            <w:noProof/>
          </w:rPr>
          <w:t>196.3—Leave sought from Judge at first instance</w:t>
        </w:r>
        <w:r>
          <w:rPr>
            <w:noProof/>
            <w:webHidden/>
          </w:rPr>
          <w:tab/>
        </w:r>
        <w:r>
          <w:rPr>
            <w:noProof/>
            <w:webHidden/>
          </w:rPr>
          <w:fldChar w:fldCharType="begin"/>
        </w:r>
        <w:r>
          <w:rPr>
            <w:noProof/>
            <w:webHidden/>
          </w:rPr>
          <w:instrText xml:space="preserve"> PAGEREF _Toc175239394 \h </w:instrText>
        </w:r>
        <w:r>
          <w:rPr>
            <w:noProof/>
            <w:webHidden/>
          </w:rPr>
        </w:r>
        <w:r>
          <w:rPr>
            <w:noProof/>
            <w:webHidden/>
          </w:rPr>
          <w:fldChar w:fldCharType="separate"/>
        </w:r>
        <w:r w:rsidR="00FD06AB">
          <w:rPr>
            <w:noProof/>
            <w:webHidden/>
          </w:rPr>
          <w:t>217</w:t>
        </w:r>
        <w:r>
          <w:rPr>
            <w:noProof/>
            <w:webHidden/>
          </w:rPr>
          <w:fldChar w:fldCharType="end"/>
        </w:r>
      </w:hyperlink>
    </w:p>
    <w:p w14:paraId="0A08E7CB" w14:textId="354AF1A2" w:rsidR="003B042F" w:rsidRDefault="003B042F">
      <w:pPr>
        <w:pStyle w:val="TOC4"/>
        <w:rPr>
          <w:rFonts w:asciiTheme="minorHAnsi" w:eastAsiaTheme="minorEastAsia" w:hAnsiTheme="minorHAnsi"/>
          <w:noProof/>
          <w:sz w:val="22"/>
          <w:lang w:eastAsia="en-AU"/>
        </w:rPr>
      </w:pPr>
      <w:hyperlink w:anchor="_Toc175239395" w:history="1">
        <w:r w:rsidRPr="005871B3">
          <w:rPr>
            <w:rStyle w:val="Hyperlink"/>
            <w:noProof/>
          </w:rPr>
          <w:t>196.4—Notice of appeal seeking leave to appeal</w:t>
        </w:r>
        <w:r>
          <w:rPr>
            <w:noProof/>
            <w:webHidden/>
          </w:rPr>
          <w:tab/>
        </w:r>
        <w:r>
          <w:rPr>
            <w:noProof/>
            <w:webHidden/>
          </w:rPr>
          <w:fldChar w:fldCharType="begin"/>
        </w:r>
        <w:r>
          <w:rPr>
            <w:noProof/>
            <w:webHidden/>
          </w:rPr>
          <w:instrText xml:space="preserve"> PAGEREF _Toc175239395 \h </w:instrText>
        </w:r>
        <w:r>
          <w:rPr>
            <w:noProof/>
            <w:webHidden/>
          </w:rPr>
        </w:r>
        <w:r>
          <w:rPr>
            <w:noProof/>
            <w:webHidden/>
          </w:rPr>
          <w:fldChar w:fldCharType="separate"/>
        </w:r>
        <w:r w:rsidR="00FD06AB">
          <w:rPr>
            <w:noProof/>
            <w:webHidden/>
          </w:rPr>
          <w:t>218</w:t>
        </w:r>
        <w:r>
          <w:rPr>
            <w:noProof/>
            <w:webHidden/>
          </w:rPr>
          <w:fldChar w:fldCharType="end"/>
        </w:r>
      </w:hyperlink>
    </w:p>
    <w:p w14:paraId="12B11F6E" w14:textId="7505B286" w:rsidR="003B042F" w:rsidRDefault="003B042F">
      <w:pPr>
        <w:pStyle w:val="TOC4"/>
        <w:rPr>
          <w:rFonts w:asciiTheme="minorHAnsi" w:eastAsiaTheme="minorEastAsia" w:hAnsiTheme="minorHAnsi"/>
          <w:noProof/>
          <w:sz w:val="22"/>
          <w:lang w:eastAsia="en-AU"/>
        </w:rPr>
      </w:pPr>
      <w:hyperlink w:anchor="_Toc175239396" w:history="1">
        <w:r w:rsidRPr="005871B3">
          <w:rPr>
            <w:rStyle w:val="Hyperlink"/>
            <w:noProof/>
          </w:rPr>
          <w:t>196.5—Written submissions on leave to appeal</w:t>
        </w:r>
        <w:r>
          <w:rPr>
            <w:noProof/>
            <w:webHidden/>
          </w:rPr>
          <w:tab/>
        </w:r>
        <w:r>
          <w:rPr>
            <w:noProof/>
            <w:webHidden/>
          </w:rPr>
          <w:fldChar w:fldCharType="begin"/>
        </w:r>
        <w:r>
          <w:rPr>
            <w:noProof/>
            <w:webHidden/>
          </w:rPr>
          <w:instrText xml:space="preserve"> PAGEREF _Toc175239396 \h </w:instrText>
        </w:r>
        <w:r>
          <w:rPr>
            <w:noProof/>
            <w:webHidden/>
          </w:rPr>
        </w:r>
        <w:r>
          <w:rPr>
            <w:noProof/>
            <w:webHidden/>
          </w:rPr>
          <w:fldChar w:fldCharType="separate"/>
        </w:r>
        <w:r w:rsidR="00FD06AB">
          <w:rPr>
            <w:noProof/>
            <w:webHidden/>
          </w:rPr>
          <w:t>218</w:t>
        </w:r>
        <w:r>
          <w:rPr>
            <w:noProof/>
            <w:webHidden/>
          </w:rPr>
          <w:fldChar w:fldCharType="end"/>
        </w:r>
      </w:hyperlink>
    </w:p>
    <w:p w14:paraId="300F79C8" w14:textId="3EE625B3" w:rsidR="003B042F" w:rsidRDefault="003B042F">
      <w:pPr>
        <w:pStyle w:val="TOC4"/>
        <w:rPr>
          <w:rFonts w:asciiTheme="minorHAnsi" w:eastAsiaTheme="minorEastAsia" w:hAnsiTheme="minorHAnsi"/>
          <w:noProof/>
          <w:sz w:val="22"/>
          <w:lang w:eastAsia="en-AU"/>
        </w:rPr>
      </w:pPr>
      <w:hyperlink w:anchor="_Toc175239397" w:history="1">
        <w:r w:rsidRPr="005871B3">
          <w:rPr>
            <w:rStyle w:val="Hyperlink"/>
            <w:noProof/>
          </w:rPr>
          <w:t>196.6—Determination of leave to appeal</w:t>
        </w:r>
        <w:r>
          <w:rPr>
            <w:noProof/>
            <w:webHidden/>
          </w:rPr>
          <w:tab/>
        </w:r>
        <w:r>
          <w:rPr>
            <w:noProof/>
            <w:webHidden/>
          </w:rPr>
          <w:fldChar w:fldCharType="begin"/>
        </w:r>
        <w:r>
          <w:rPr>
            <w:noProof/>
            <w:webHidden/>
          </w:rPr>
          <w:instrText xml:space="preserve"> PAGEREF _Toc175239397 \h </w:instrText>
        </w:r>
        <w:r>
          <w:rPr>
            <w:noProof/>
            <w:webHidden/>
          </w:rPr>
        </w:r>
        <w:r>
          <w:rPr>
            <w:noProof/>
            <w:webHidden/>
          </w:rPr>
          <w:fldChar w:fldCharType="separate"/>
        </w:r>
        <w:r w:rsidR="00FD06AB">
          <w:rPr>
            <w:noProof/>
            <w:webHidden/>
          </w:rPr>
          <w:t>218</w:t>
        </w:r>
        <w:r>
          <w:rPr>
            <w:noProof/>
            <w:webHidden/>
          </w:rPr>
          <w:fldChar w:fldCharType="end"/>
        </w:r>
      </w:hyperlink>
    </w:p>
    <w:p w14:paraId="5CBFB7AF" w14:textId="42AAE4C1" w:rsidR="003B042F" w:rsidRDefault="003B042F">
      <w:pPr>
        <w:pStyle w:val="TOC3"/>
        <w:rPr>
          <w:rFonts w:asciiTheme="minorHAnsi" w:eastAsiaTheme="minorEastAsia" w:hAnsiTheme="minorHAnsi"/>
          <w:b w:val="0"/>
          <w:noProof/>
          <w:sz w:val="22"/>
          <w:lang w:eastAsia="en-AU"/>
        </w:rPr>
      </w:pPr>
      <w:hyperlink w:anchor="_Toc175239398" w:history="1">
        <w:r w:rsidRPr="005871B3">
          <w:rPr>
            <w:rStyle w:val="Hyperlink"/>
            <w:noProof/>
          </w:rPr>
          <w:t>Division 6—Institution of case stated</w:t>
        </w:r>
        <w:r>
          <w:rPr>
            <w:noProof/>
            <w:webHidden/>
          </w:rPr>
          <w:tab/>
        </w:r>
        <w:r>
          <w:rPr>
            <w:noProof/>
            <w:webHidden/>
          </w:rPr>
          <w:fldChar w:fldCharType="begin"/>
        </w:r>
        <w:r>
          <w:rPr>
            <w:noProof/>
            <w:webHidden/>
          </w:rPr>
          <w:instrText xml:space="preserve"> PAGEREF _Toc175239398 \h </w:instrText>
        </w:r>
        <w:r>
          <w:rPr>
            <w:noProof/>
            <w:webHidden/>
          </w:rPr>
        </w:r>
        <w:r>
          <w:rPr>
            <w:noProof/>
            <w:webHidden/>
          </w:rPr>
          <w:fldChar w:fldCharType="separate"/>
        </w:r>
        <w:r w:rsidR="00FD06AB">
          <w:rPr>
            <w:noProof/>
            <w:webHidden/>
          </w:rPr>
          <w:t>219</w:t>
        </w:r>
        <w:r>
          <w:rPr>
            <w:noProof/>
            <w:webHidden/>
          </w:rPr>
          <w:fldChar w:fldCharType="end"/>
        </w:r>
      </w:hyperlink>
    </w:p>
    <w:p w14:paraId="41F6A019" w14:textId="483D186B" w:rsidR="003B042F" w:rsidRDefault="003B042F">
      <w:pPr>
        <w:pStyle w:val="TOC4"/>
        <w:rPr>
          <w:rFonts w:asciiTheme="minorHAnsi" w:eastAsiaTheme="minorEastAsia" w:hAnsiTheme="minorHAnsi"/>
          <w:noProof/>
          <w:sz w:val="22"/>
          <w:lang w:eastAsia="en-AU"/>
        </w:rPr>
      </w:pPr>
      <w:hyperlink w:anchor="_Toc175239399" w:history="1">
        <w:r w:rsidRPr="005871B3">
          <w:rPr>
            <w:rStyle w:val="Hyperlink"/>
            <w:noProof/>
          </w:rPr>
          <w:t>197.1—Case stated by court</w:t>
        </w:r>
        <w:r>
          <w:rPr>
            <w:noProof/>
            <w:webHidden/>
          </w:rPr>
          <w:tab/>
        </w:r>
        <w:r>
          <w:rPr>
            <w:noProof/>
            <w:webHidden/>
          </w:rPr>
          <w:fldChar w:fldCharType="begin"/>
        </w:r>
        <w:r>
          <w:rPr>
            <w:noProof/>
            <w:webHidden/>
          </w:rPr>
          <w:instrText xml:space="preserve"> PAGEREF _Toc175239399 \h </w:instrText>
        </w:r>
        <w:r>
          <w:rPr>
            <w:noProof/>
            <w:webHidden/>
          </w:rPr>
        </w:r>
        <w:r>
          <w:rPr>
            <w:noProof/>
            <w:webHidden/>
          </w:rPr>
          <w:fldChar w:fldCharType="separate"/>
        </w:r>
        <w:r w:rsidR="00FD06AB">
          <w:rPr>
            <w:noProof/>
            <w:webHidden/>
          </w:rPr>
          <w:t>219</w:t>
        </w:r>
        <w:r>
          <w:rPr>
            <w:noProof/>
            <w:webHidden/>
          </w:rPr>
          <w:fldChar w:fldCharType="end"/>
        </w:r>
      </w:hyperlink>
    </w:p>
    <w:p w14:paraId="2D68ABA9" w14:textId="7BB0A974" w:rsidR="003B042F" w:rsidRDefault="003B042F">
      <w:pPr>
        <w:pStyle w:val="TOC4"/>
        <w:rPr>
          <w:rFonts w:asciiTheme="minorHAnsi" w:eastAsiaTheme="minorEastAsia" w:hAnsiTheme="minorHAnsi"/>
          <w:noProof/>
          <w:sz w:val="22"/>
          <w:lang w:eastAsia="en-AU"/>
        </w:rPr>
      </w:pPr>
      <w:hyperlink w:anchor="_Toc175239400" w:history="1">
        <w:r w:rsidRPr="005871B3">
          <w:rPr>
            <w:rStyle w:val="Hyperlink"/>
            <w:noProof/>
          </w:rPr>
          <w:t>197.2—Application for reservation of question</w:t>
        </w:r>
        <w:r>
          <w:rPr>
            <w:noProof/>
            <w:webHidden/>
          </w:rPr>
          <w:tab/>
        </w:r>
        <w:r>
          <w:rPr>
            <w:noProof/>
            <w:webHidden/>
          </w:rPr>
          <w:fldChar w:fldCharType="begin"/>
        </w:r>
        <w:r>
          <w:rPr>
            <w:noProof/>
            <w:webHidden/>
          </w:rPr>
          <w:instrText xml:space="preserve"> PAGEREF _Toc175239400 \h </w:instrText>
        </w:r>
        <w:r>
          <w:rPr>
            <w:noProof/>
            <w:webHidden/>
          </w:rPr>
        </w:r>
        <w:r>
          <w:rPr>
            <w:noProof/>
            <w:webHidden/>
          </w:rPr>
          <w:fldChar w:fldCharType="separate"/>
        </w:r>
        <w:r w:rsidR="00FD06AB">
          <w:rPr>
            <w:noProof/>
            <w:webHidden/>
          </w:rPr>
          <w:t>219</w:t>
        </w:r>
        <w:r>
          <w:rPr>
            <w:noProof/>
            <w:webHidden/>
          </w:rPr>
          <w:fldChar w:fldCharType="end"/>
        </w:r>
      </w:hyperlink>
    </w:p>
    <w:p w14:paraId="238E3E4D" w14:textId="19ECC3ED" w:rsidR="003B042F" w:rsidRDefault="003B042F">
      <w:pPr>
        <w:pStyle w:val="TOC4"/>
        <w:rPr>
          <w:rFonts w:asciiTheme="minorHAnsi" w:eastAsiaTheme="minorEastAsia" w:hAnsiTheme="minorHAnsi"/>
          <w:noProof/>
          <w:sz w:val="22"/>
          <w:lang w:eastAsia="en-AU"/>
        </w:rPr>
      </w:pPr>
      <w:hyperlink w:anchor="_Toc175239401" w:history="1">
        <w:r w:rsidRPr="005871B3">
          <w:rPr>
            <w:rStyle w:val="Hyperlink"/>
            <w:noProof/>
          </w:rPr>
          <w:t>197.3—Institution of case</w:t>
        </w:r>
        <w:r>
          <w:rPr>
            <w:noProof/>
            <w:webHidden/>
          </w:rPr>
          <w:tab/>
        </w:r>
        <w:r>
          <w:rPr>
            <w:noProof/>
            <w:webHidden/>
          </w:rPr>
          <w:fldChar w:fldCharType="begin"/>
        </w:r>
        <w:r>
          <w:rPr>
            <w:noProof/>
            <w:webHidden/>
          </w:rPr>
          <w:instrText xml:space="preserve"> PAGEREF _Toc175239401 \h </w:instrText>
        </w:r>
        <w:r>
          <w:rPr>
            <w:noProof/>
            <w:webHidden/>
          </w:rPr>
        </w:r>
        <w:r>
          <w:rPr>
            <w:noProof/>
            <w:webHidden/>
          </w:rPr>
          <w:fldChar w:fldCharType="separate"/>
        </w:r>
        <w:r w:rsidR="00FD06AB">
          <w:rPr>
            <w:noProof/>
            <w:webHidden/>
          </w:rPr>
          <w:t>220</w:t>
        </w:r>
        <w:r>
          <w:rPr>
            <w:noProof/>
            <w:webHidden/>
          </w:rPr>
          <w:fldChar w:fldCharType="end"/>
        </w:r>
      </w:hyperlink>
    </w:p>
    <w:p w14:paraId="22F8C387" w14:textId="46E697FF" w:rsidR="003B042F" w:rsidRDefault="003B042F">
      <w:pPr>
        <w:pStyle w:val="TOC3"/>
        <w:rPr>
          <w:rFonts w:asciiTheme="minorHAnsi" w:eastAsiaTheme="minorEastAsia" w:hAnsiTheme="minorHAnsi"/>
          <w:b w:val="0"/>
          <w:noProof/>
          <w:sz w:val="22"/>
          <w:lang w:eastAsia="en-AU"/>
        </w:rPr>
      </w:pPr>
      <w:hyperlink w:anchor="_Toc175239402" w:history="1">
        <w:r w:rsidRPr="005871B3">
          <w:rPr>
            <w:rStyle w:val="Hyperlink"/>
            <w:noProof/>
          </w:rPr>
          <w:t>Division 7—Institution of case on petition referral</w:t>
        </w:r>
        <w:r>
          <w:rPr>
            <w:noProof/>
            <w:webHidden/>
          </w:rPr>
          <w:tab/>
        </w:r>
        <w:r>
          <w:rPr>
            <w:noProof/>
            <w:webHidden/>
          </w:rPr>
          <w:fldChar w:fldCharType="begin"/>
        </w:r>
        <w:r>
          <w:rPr>
            <w:noProof/>
            <w:webHidden/>
          </w:rPr>
          <w:instrText xml:space="preserve"> PAGEREF _Toc175239402 \h </w:instrText>
        </w:r>
        <w:r>
          <w:rPr>
            <w:noProof/>
            <w:webHidden/>
          </w:rPr>
        </w:r>
        <w:r>
          <w:rPr>
            <w:noProof/>
            <w:webHidden/>
          </w:rPr>
          <w:fldChar w:fldCharType="separate"/>
        </w:r>
        <w:r w:rsidR="00FD06AB">
          <w:rPr>
            <w:noProof/>
            <w:webHidden/>
          </w:rPr>
          <w:t>220</w:t>
        </w:r>
        <w:r>
          <w:rPr>
            <w:noProof/>
            <w:webHidden/>
          </w:rPr>
          <w:fldChar w:fldCharType="end"/>
        </w:r>
      </w:hyperlink>
    </w:p>
    <w:p w14:paraId="3C71C452" w14:textId="24E0BE7B" w:rsidR="003B042F" w:rsidRDefault="003B042F">
      <w:pPr>
        <w:pStyle w:val="TOC4"/>
        <w:rPr>
          <w:rFonts w:asciiTheme="minorHAnsi" w:eastAsiaTheme="minorEastAsia" w:hAnsiTheme="minorHAnsi"/>
          <w:noProof/>
          <w:sz w:val="22"/>
          <w:lang w:eastAsia="en-AU"/>
        </w:rPr>
      </w:pPr>
      <w:hyperlink w:anchor="_Toc175239403" w:history="1">
        <w:r w:rsidRPr="005871B3">
          <w:rPr>
            <w:rStyle w:val="Hyperlink"/>
            <w:noProof/>
          </w:rPr>
          <w:t>198.1—Case on referral of petition of mercy</w:t>
        </w:r>
        <w:r>
          <w:rPr>
            <w:noProof/>
            <w:webHidden/>
          </w:rPr>
          <w:tab/>
        </w:r>
        <w:r>
          <w:rPr>
            <w:noProof/>
            <w:webHidden/>
          </w:rPr>
          <w:fldChar w:fldCharType="begin"/>
        </w:r>
        <w:r>
          <w:rPr>
            <w:noProof/>
            <w:webHidden/>
          </w:rPr>
          <w:instrText xml:space="preserve"> PAGEREF _Toc175239403 \h </w:instrText>
        </w:r>
        <w:r>
          <w:rPr>
            <w:noProof/>
            <w:webHidden/>
          </w:rPr>
        </w:r>
        <w:r>
          <w:rPr>
            <w:noProof/>
            <w:webHidden/>
          </w:rPr>
          <w:fldChar w:fldCharType="separate"/>
        </w:r>
        <w:r w:rsidR="00FD06AB">
          <w:rPr>
            <w:noProof/>
            <w:webHidden/>
          </w:rPr>
          <w:t>220</w:t>
        </w:r>
        <w:r>
          <w:rPr>
            <w:noProof/>
            <w:webHidden/>
          </w:rPr>
          <w:fldChar w:fldCharType="end"/>
        </w:r>
      </w:hyperlink>
    </w:p>
    <w:p w14:paraId="7385530E" w14:textId="3CB85E8D" w:rsidR="003B042F" w:rsidRDefault="003B042F">
      <w:pPr>
        <w:pStyle w:val="TOC3"/>
        <w:rPr>
          <w:rFonts w:asciiTheme="minorHAnsi" w:eastAsiaTheme="minorEastAsia" w:hAnsiTheme="minorHAnsi"/>
          <w:b w:val="0"/>
          <w:noProof/>
          <w:sz w:val="22"/>
          <w:lang w:eastAsia="en-AU"/>
        </w:rPr>
      </w:pPr>
      <w:hyperlink w:anchor="_Toc175239404" w:history="1">
        <w:r w:rsidRPr="005871B3">
          <w:rPr>
            <w:rStyle w:val="Hyperlink"/>
            <w:noProof/>
          </w:rPr>
          <w:t>Division 8—Institution of retrial application</w:t>
        </w:r>
        <w:r>
          <w:rPr>
            <w:noProof/>
            <w:webHidden/>
          </w:rPr>
          <w:tab/>
        </w:r>
        <w:r>
          <w:rPr>
            <w:noProof/>
            <w:webHidden/>
          </w:rPr>
          <w:fldChar w:fldCharType="begin"/>
        </w:r>
        <w:r>
          <w:rPr>
            <w:noProof/>
            <w:webHidden/>
          </w:rPr>
          <w:instrText xml:space="preserve"> PAGEREF _Toc175239404 \h </w:instrText>
        </w:r>
        <w:r>
          <w:rPr>
            <w:noProof/>
            <w:webHidden/>
          </w:rPr>
        </w:r>
        <w:r>
          <w:rPr>
            <w:noProof/>
            <w:webHidden/>
          </w:rPr>
          <w:fldChar w:fldCharType="separate"/>
        </w:r>
        <w:r w:rsidR="00FD06AB">
          <w:rPr>
            <w:noProof/>
            <w:webHidden/>
          </w:rPr>
          <w:t>221</w:t>
        </w:r>
        <w:r>
          <w:rPr>
            <w:noProof/>
            <w:webHidden/>
          </w:rPr>
          <w:fldChar w:fldCharType="end"/>
        </w:r>
      </w:hyperlink>
    </w:p>
    <w:p w14:paraId="5CD0350C" w14:textId="6CC020C5" w:rsidR="003B042F" w:rsidRDefault="003B042F">
      <w:pPr>
        <w:pStyle w:val="TOC4"/>
        <w:rPr>
          <w:rFonts w:asciiTheme="minorHAnsi" w:eastAsiaTheme="minorEastAsia" w:hAnsiTheme="minorHAnsi"/>
          <w:noProof/>
          <w:sz w:val="22"/>
          <w:lang w:eastAsia="en-AU"/>
        </w:rPr>
      </w:pPr>
      <w:hyperlink w:anchor="_Toc175239405" w:history="1">
        <w:r w:rsidRPr="005871B3">
          <w:rPr>
            <w:rStyle w:val="Hyperlink"/>
            <w:noProof/>
          </w:rPr>
          <w:t>199.1—Application</w:t>
        </w:r>
        <w:r>
          <w:rPr>
            <w:noProof/>
            <w:webHidden/>
          </w:rPr>
          <w:tab/>
        </w:r>
        <w:r>
          <w:rPr>
            <w:noProof/>
            <w:webHidden/>
          </w:rPr>
          <w:fldChar w:fldCharType="begin"/>
        </w:r>
        <w:r>
          <w:rPr>
            <w:noProof/>
            <w:webHidden/>
          </w:rPr>
          <w:instrText xml:space="preserve"> PAGEREF _Toc175239405 \h </w:instrText>
        </w:r>
        <w:r>
          <w:rPr>
            <w:noProof/>
            <w:webHidden/>
          </w:rPr>
        </w:r>
        <w:r>
          <w:rPr>
            <w:noProof/>
            <w:webHidden/>
          </w:rPr>
          <w:fldChar w:fldCharType="separate"/>
        </w:r>
        <w:r w:rsidR="00FD06AB">
          <w:rPr>
            <w:noProof/>
            <w:webHidden/>
          </w:rPr>
          <w:t>221</w:t>
        </w:r>
        <w:r>
          <w:rPr>
            <w:noProof/>
            <w:webHidden/>
          </w:rPr>
          <w:fldChar w:fldCharType="end"/>
        </w:r>
      </w:hyperlink>
    </w:p>
    <w:p w14:paraId="3A8FFC07" w14:textId="5F309DCC" w:rsidR="003B042F" w:rsidRDefault="003B042F">
      <w:pPr>
        <w:pStyle w:val="TOC3"/>
        <w:rPr>
          <w:rFonts w:asciiTheme="minorHAnsi" w:eastAsiaTheme="minorEastAsia" w:hAnsiTheme="minorHAnsi"/>
          <w:b w:val="0"/>
          <w:noProof/>
          <w:sz w:val="22"/>
          <w:lang w:eastAsia="en-AU"/>
        </w:rPr>
      </w:pPr>
      <w:hyperlink w:anchor="_Toc175239406" w:history="1">
        <w:r w:rsidRPr="005871B3">
          <w:rPr>
            <w:rStyle w:val="Hyperlink"/>
            <w:noProof/>
          </w:rPr>
          <w:t>Division 9—Callover</w:t>
        </w:r>
        <w:r>
          <w:rPr>
            <w:noProof/>
            <w:webHidden/>
          </w:rPr>
          <w:tab/>
        </w:r>
        <w:r>
          <w:rPr>
            <w:noProof/>
            <w:webHidden/>
          </w:rPr>
          <w:fldChar w:fldCharType="begin"/>
        </w:r>
        <w:r>
          <w:rPr>
            <w:noProof/>
            <w:webHidden/>
          </w:rPr>
          <w:instrText xml:space="preserve"> PAGEREF _Toc175239406 \h </w:instrText>
        </w:r>
        <w:r>
          <w:rPr>
            <w:noProof/>
            <w:webHidden/>
          </w:rPr>
        </w:r>
        <w:r>
          <w:rPr>
            <w:noProof/>
            <w:webHidden/>
          </w:rPr>
          <w:fldChar w:fldCharType="separate"/>
        </w:r>
        <w:r w:rsidR="00FD06AB">
          <w:rPr>
            <w:noProof/>
            <w:webHidden/>
          </w:rPr>
          <w:t>221</w:t>
        </w:r>
        <w:r>
          <w:rPr>
            <w:noProof/>
            <w:webHidden/>
          </w:rPr>
          <w:fldChar w:fldCharType="end"/>
        </w:r>
      </w:hyperlink>
    </w:p>
    <w:p w14:paraId="40C47D3F" w14:textId="340C507D" w:rsidR="003B042F" w:rsidRDefault="003B042F">
      <w:pPr>
        <w:pStyle w:val="TOC4"/>
        <w:rPr>
          <w:rFonts w:asciiTheme="minorHAnsi" w:eastAsiaTheme="minorEastAsia" w:hAnsiTheme="minorHAnsi"/>
          <w:noProof/>
          <w:sz w:val="22"/>
          <w:lang w:eastAsia="en-AU"/>
        </w:rPr>
      </w:pPr>
      <w:hyperlink w:anchor="_Toc175239407" w:history="1">
        <w:r w:rsidRPr="005871B3">
          <w:rPr>
            <w:rStyle w:val="Hyperlink"/>
            <w:noProof/>
          </w:rPr>
          <w:t>200.1—Convening callover</w:t>
        </w:r>
        <w:r>
          <w:rPr>
            <w:noProof/>
            <w:webHidden/>
          </w:rPr>
          <w:tab/>
        </w:r>
        <w:r>
          <w:rPr>
            <w:noProof/>
            <w:webHidden/>
          </w:rPr>
          <w:fldChar w:fldCharType="begin"/>
        </w:r>
        <w:r>
          <w:rPr>
            <w:noProof/>
            <w:webHidden/>
          </w:rPr>
          <w:instrText xml:space="preserve"> PAGEREF _Toc175239407 \h </w:instrText>
        </w:r>
        <w:r>
          <w:rPr>
            <w:noProof/>
            <w:webHidden/>
          </w:rPr>
        </w:r>
        <w:r>
          <w:rPr>
            <w:noProof/>
            <w:webHidden/>
          </w:rPr>
          <w:fldChar w:fldCharType="separate"/>
        </w:r>
        <w:r w:rsidR="00FD06AB">
          <w:rPr>
            <w:noProof/>
            <w:webHidden/>
          </w:rPr>
          <w:t>221</w:t>
        </w:r>
        <w:r>
          <w:rPr>
            <w:noProof/>
            <w:webHidden/>
          </w:rPr>
          <w:fldChar w:fldCharType="end"/>
        </w:r>
      </w:hyperlink>
    </w:p>
    <w:p w14:paraId="4D05B885" w14:textId="47E756C3" w:rsidR="003B042F" w:rsidRDefault="003B042F">
      <w:pPr>
        <w:pStyle w:val="TOC4"/>
        <w:rPr>
          <w:rFonts w:asciiTheme="minorHAnsi" w:eastAsiaTheme="minorEastAsia" w:hAnsiTheme="minorHAnsi"/>
          <w:noProof/>
          <w:sz w:val="22"/>
          <w:lang w:eastAsia="en-AU"/>
        </w:rPr>
      </w:pPr>
      <w:hyperlink w:anchor="_Toc175239408" w:history="1">
        <w:r w:rsidRPr="005871B3">
          <w:rPr>
            <w:rStyle w:val="Hyperlink"/>
            <w:noProof/>
          </w:rPr>
          <w:t>200.2—Conduct of callover</w:t>
        </w:r>
        <w:r>
          <w:rPr>
            <w:noProof/>
            <w:webHidden/>
          </w:rPr>
          <w:tab/>
        </w:r>
        <w:r>
          <w:rPr>
            <w:noProof/>
            <w:webHidden/>
          </w:rPr>
          <w:fldChar w:fldCharType="begin"/>
        </w:r>
        <w:r>
          <w:rPr>
            <w:noProof/>
            <w:webHidden/>
          </w:rPr>
          <w:instrText xml:space="preserve"> PAGEREF _Toc175239408 \h </w:instrText>
        </w:r>
        <w:r>
          <w:rPr>
            <w:noProof/>
            <w:webHidden/>
          </w:rPr>
        </w:r>
        <w:r>
          <w:rPr>
            <w:noProof/>
            <w:webHidden/>
          </w:rPr>
          <w:fldChar w:fldCharType="separate"/>
        </w:r>
        <w:r w:rsidR="00FD06AB">
          <w:rPr>
            <w:noProof/>
            <w:webHidden/>
          </w:rPr>
          <w:t>221</w:t>
        </w:r>
        <w:r>
          <w:rPr>
            <w:noProof/>
            <w:webHidden/>
          </w:rPr>
          <w:fldChar w:fldCharType="end"/>
        </w:r>
      </w:hyperlink>
    </w:p>
    <w:p w14:paraId="6F84AFF6" w14:textId="20E898A3" w:rsidR="003B042F" w:rsidRDefault="003B042F">
      <w:pPr>
        <w:pStyle w:val="TOC3"/>
        <w:rPr>
          <w:rFonts w:asciiTheme="minorHAnsi" w:eastAsiaTheme="minorEastAsia" w:hAnsiTheme="minorHAnsi"/>
          <w:b w:val="0"/>
          <w:noProof/>
          <w:sz w:val="22"/>
          <w:lang w:eastAsia="en-AU"/>
        </w:rPr>
      </w:pPr>
      <w:hyperlink w:anchor="_Toc175239409" w:history="1">
        <w:r w:rsidRPr="005871B3">
          <w:rPr>
            <w:rStyle w:val="Hyperlink"/>
            <w:noProof/>
          </w:rPr>
          <w:t>Division 10—Interlocutory steps</w:t>
        </w:r>
        <w:r>
          <w:rPr>
            <w:noProof/>
            <w:webHidden/>
          </w:rPr>
          <w:tab/>
        </w:r>
        <w:r>
          <w:rPr>
            <w:noProof/>
            <w:webHidden/>
          </w:rPr>
          <w:fldChar w:fldCharType="begin"/>
        </w:r>
        <w:r>
          <w:rPr>
            <w:noProof/>
            <w:webHidden/>
          </w:rPr>
          <w:instrText xml:space="preserve"> PAGEREF _Toc175239409 \h </w:instrText>
        </w:r>
        <w:r>
          <w:rPr>
            <w:noProof/>
            <w:webHidden/>
          </w:rPr>
        </w:r>
        <w:r>
          <w:rPr>
            <w:noProof/>
            <w:webHidden/>
          </w:rPr>
          <w:fldChar w:fldCharType="separate"/>
        </w:r>
        <w:r w:rsidR="00FD06AB">
          <w:rPr>
            <w:noProof/>
            <w:webHidden/>
          </w:rPr>
          <w:t>222</w:t>
        </w:r>
        <w:r>
          <w:rPr>
            <w:noProof/>
            <w:webHidden/>
          </w:rPr>
          <w:fldChar w:fldCharType="end"/>
        </w:r>
      </w:hyperlink>
    </w:p>
    <w:p w14:paraId="505F74EA" w14:textId="71D3A91E" w:rsidR="003B042F" w:rsidRDefault="003B042F">
      <w:pPr>
        <w:pStyle w:val="TOC4"/>
        <w:rPr>
          <w:rFonts w:asciiTheme="minorHAnsi" w:eastAsiaTheme="minorEastAsia" w:hAnsiTheme="minorHAnsi"/>
          <w:noProof/>
          <w:sz w:val="22"/>
          <w:lang w:eastAsia="en-AU"/>
        </w:rPr>
      </w:pPr>
      <w:hyperlink w:anchor="_Toc175239410" w:history="1">
        <w:r w:rsidRPr="005871B3">
          <w:rPr>
            <w:rStyle w:val="Hyperlink"/>
            <w:noProof/>
          </w:rPr>
          <w:t>201.1—Interlocutory orders</w:t>
        </w:r>
        <w:r>
          <w:rPr>
            <w:noProof/>
            <w:webHidden/>
          </w:rPr>
          <w:tab/>
        </w:r>
        <w:r>
          <w:rPr>
            <w:noProof/>
            <w:webHidden/>
          </w:rPr>
          <w:fldChar w:fldCharType="begin"/>
        </w:r>
        <w:r>
          <w:rPr>
            <w:noProof/>
            <w:webHidden/>
          </w:rPr>
          <w:instrText xml:space="preserve"> PAGEREF _Toc175239410 \h </w:instrText>
        </w:r>
        <w:r>
          <w:rPr>
            <w:noProof/>
            <w:webHidden/>
          </w:rPr>
        </w:r>
        <w:r>
          <w:rPr>
            <w:noProof/>
            <w:webHidden/>
          </w:rPr>
          <w:fldChar w:fldCharType="separate"/>
        </w:r>
        <w:r w:rsidR="00FD06AB">
          <w:rPr>
            <w:noProof/>
            <w:webHidden/>
          </w:rPr>
          <w:t>222</w:t>
        </w:r>
        <w:r>
          <w:rPr>
            <w:noProof/>
            <w:webHidden/>
          </w:rPr>
          <w:fldChar w:fldCharType="end"/>
        </w:r>
      </w:hyperlink>
    </w:p>
    <w:p w14:paraId="79151B48" w14:textId="3F2CD9F4" w:rsidR="003B042F" w:rsidRDefault="003B042F">
      <w:pPr>
        <w:pStyle w:val="TOC4"/>
        <w:rPr>
          <w:rFonts w:asciiTheme="minorHAnsi" w:eastAsiaTheme="minorEastAsia" w:hAnsiTheme="minorHAnsi"/>
          <w:noProof/>
          <w:sz w:val="22"/>
          <w:lang w:eastAsia="en-AU"/>
        </w:rPr>
      </w:pPr>
      <w:hyperlink w:anchor="_Toc175239411" w:history="1">
        <w:r w:rsidRPr="005871B3">
          <w:rPr>
            <w:rStyle w:val="Hyperlink"/>
            <w:noProof/>
          </w:rPr>
          <w:t>201.2—Rehearing if Judge refuses application for leave or extension of time to appeal</w:t>
        </w:r>
        <w:r>
          <w:rPr>
            <w:noProof/>
            <w:webHidden/>
          </w:rPr>
          <w:tab/>
        </w:r>
        <w:r>
          <w:rPr>
            <w:noProof/>
            <w:webHidden/>
          </w:rPr>
          <w:fldChar w:fldCharType="begin"/>
        </w:r>
        <w:r>
          <w:rPr>
            <w:noProof/>
            <w:webHidden/>
          </w:rPr>
          <w:instrText xml:space="preserve"> PAGEREF _Toc175239411 \h </w:instrText>
        </w:r>
        <w:r>
          <w:rPr>
            <w:noProof/>
            <w:webHidden/>
          </w:rPr>
        </w:r>
        <w:r>
          <w:rPr>
            <w:noProof/>
            <w:webHidden/>
          </w:rPr>
          <w:fldChar w:fldCharType="separate"/>
        </w:r>
        <w:r w:rsidR="00FD06AB">
          <w:rPr>
            <w:noProof/>
            <w:webHidden/>
          </w:rPr>
          <w:t>223</w:t>
        </w:r>
        <w:r>
          <w:rPr>
            <w:noProof/>
            <w:webHidden/>
          </w:rPr>
          <w:fldChar w:fldCharType="end"/>
        </w:r>
      </w:hyperlink>
    </w:p>
    <w:p w14:paraId="39C49709" w14:textId="6FFABAB0" w:rsidR="003B042F" w:rsidRDefault="003B042F">
      <w:pPr>
        <w:pStyle w:val="TOC4"/>
        <w:rPr>
          <w:rFonts w:asciiTheme="minorHAnsi" w:eastAsiaTheme="minorEastAsia" w:hAnsiTheme="minorHAnsi"/>
          <w:noProof/>
          <w:sz w:val="22"/>
          <w:lang w:eastAsia="en-AU"/>
        </w:rPr>
      </w:pPr>
      <w:hyperlink w:anchor="_Toc175239412" w:history="1">
        <w:r w:rsidRPr="005871B3">
          <w:rPr>
            <w:rStyle w:val="Hyperlink"/>
            <w:noProof/>
          </w:rPr>
          <w:t>201.3—Amendment of appellate document</w:t>
        </w:r>
        <w:r>
          <w:rPr>
            <w:noProof/>
            <w:webHidden/>
          </w:rPr>
          <w:tab/>
        </w:r>
        <w:r>
          <w:rPr>
            <w:noProof/>
            <w:webHidden/>
          </w:rPr>
          <w:fldChar w:fldCharType="begin"/>
        </w:r>
        <w:r>
          <w:rPr>
            <w:noProof/>
            <w:webHidden/>
          </w:rPr>
          <w:instrText xml:space="preserve"> PAGEREF _Toc175239412 \h </w:instrText>
        </w:r>
        <w:r>
          <w:rPr>
            <w:noProof/>
            <w:webHidden/>
          </w:rPr>
        </w:r>
        <w:r>
          <w:rPr>
            <w:noProof/>
            <w:webHidden/>
          </w:rPr>
          <w:fldChar w:fldCharType="separate"/>
        </w:r>
        <w:r w:rsidR="00FD06AB">
          <w:rPr>
            <w:noProof/>
            <w:webHidden/>
          </w:rPr>
          <w:t>223</w:t>
        </w:r>
        <w:r>
          <w:rPr>
            <w:noProof/>
            <w:webHidden/>
          </w:rPr>
          <w:fldChar w:fldCharType="end"/>
        </w:r>
      </w:hyperlink>
    </w:p>
    <w:p w14:paraId="45E3141A" w14:textId="1C9A8E97" w:rsidR="003B042F" w:rsidRDefault="003B042F">
      <w:pPr>
        <w:pStyle w:val="TOC4"/>
        <w:rPr>
          <w:rFonts w:asciiTheme="minorHAnsi" w:eastAsiaTheme="minorEastAsia" w:hAnsiTheme="minorHAnsi"/>
          <w:noProof/>
          <w:sz w:val="22"/>
          <w:lang w:eastAsia="en-AU"/>
        </w:rPr>
      </w:pPr>
      <w:hyperlink w:anchor="_Toc175239413" w:history="1">
        <w:r w:rsidRPr="005871B3">
          <w:rPr>
            <w:rStyle w:val="Hyperlink"/>
            <w:noProof/>
          </w:rPr>
          <w:t>201.4—Report of trial Judge</w:t>
        </w:r>
        <w:r>
          <w:rPr>
            <w:noProof/>
            <w:webHidden/>
          </w:rPr>
          <w:tab/>
        </w:r>
        <w:r>
          <w:rPr>
            <w:noProof/>
            <w:webHidden/>
          </w:rPr>
          <w:fldChar w:fldCharType="begin"/>
        </w:r>
        <w:r>
          <w:rPr>
            <w:noProof/>
            <w:webHidden/>
          </w:rPr>
          <w:instrText xml:space="preserve"> PAGEREF _Toc175239413 \h </w:instrText>
        </w:r>
        <w:r>
          <w:rPr>
            <w:noProof/>
            <w:webHidden/>
          </w:rPr>
        </w:r>
        <w:r>
          <w:rPr>
            <w:noProof/>
            <w:webHidden/>
          </w:rPr>
          <w:fldChar w:fldCharType="separate"/>
        </w:r>
        <w:r w:rsidR="00FD06AB">
          <w:rPr>
            <w:noProof/>
            <w:webHidden/>
          </w:rPr>
          <w:t>223</w:t>
        </w:r>
        <w:r>
          <w:rPr>
            <w:noProof/>
            <w:webHidden/>
          </w:rPr>
          <w:fldChar w:fldCharType="end"/>
        </w:r>
      </w:hyperlink>
    </w:p>
    <w:p w14:paraId="33870F80" w14:textId="3A5C9C1C" w:rsidR="003B042F" w:rsidRDefault="003B042F">
      <w:pPr>
        <w:pStyle w:val="TOC4"/>
        <w:rPr>
          <w:rFonts w:asciiTheme="minorHAnsi" w:eastAsiaTheme="minorEastAsia" w:hAnsiTheme="minorHAnsi"/>
          <w:noProof/>
          <w:sz w:val="22"/>
          <w:lang w:eastAsia="en-AU"/>
        </w:rPr>
      </w:pPr>
      <w:hyperlink w:anchor="_Toc175239414" w:history="1">
        <w:r w:rsidRPr="005871B3">
          <w:rPr>
            <w:rStyle w:val="Hyperlink"/>
            <w:noProof/>
          </w:rPr>
          <w:t>201.5—Witnesses before Court of Appeal</w:t>
        </w:r>
        <w:r>
          <w:rPr>
            <w:noProof/>
            <w:webHidden/>
          </w:rPr>
          <w:tab/>
        </w:r>
        <w:r>
          <w:rPr>
            <w:noProof/>
            <w:webHidden/>
          </w:rPr>
          <w:fldChar w:fldCharType="begin"/>
        </w:r>
        <w:r>
          <w:rPr>
            <w:noProof/>
            <w:webHidden/>
          </w:rPr>
          <w:instrText xml:space="preserve"> PAGEREF _Toc175239414 \h </w:instrText>
        </w:r>
        <w:r>
          <w:rPr>
            <w:noProof/>
            <w:webHidden/>
          </w:rPr>
        </w:r>
        <w:r>
          <w:rPr>
            <w:noProof/>
            <w:webHidden/>
          </w:rPr>
          <w:fldChar w:fldCharType="separate"/>
        </w:r>
        <w:r w:rsidR="00FD06AB">
          <w:rPr>
            <w:noProof/>
            <w:webHidden/>
          </w:rPr>
          <w:t>224</w:t>
        </w:r>
        <w:r>
          <w:rPr>
            <w:noProof/>
            <w:webHidden/>
          </w:rPr>
          <w:fldChar w:fldCharType="end"/>
        </w:r>
      </w:hyperlink>
    </w:p>
    <w:p w14:paraId="5F6A641C" w14:textId="0CFD675F" w:rsidR="003B042F" w:rsidRDefault="003B042F">
      <w:pPr>
        <w:pStyle w:val="TOC4"/>
        <w:rPr>
          <w:rFonts w:asciiTheme="minorHAnsi" w:eastAsiaTheme="minorEastAsia" w:hAnsiTheme="minorHAnsi"/>
          <w:noProof/>
          <w:sz w:val="22"/>
          <w:lang w:eastAsia="en-AU"/>
        </w:rPr>
      </w:pPr>
      <w:hyperlink w:anchor="_Toc175239415" w:history="1">
        <w:r w:rsidRPr="005871B3">
          <w:rPr>
            <w:rStyle w:val="Hyperlink"/>
            <w:noProof/>
          </w:rPr>
          <w:t>201.6—Discontinuance of appellate proceeding</w:t>
        </w:r>
        <w:r>
          <w:rPr>
            <w:noProof/>
            <w:webHidden/>
          </w:rPr>
          <w:tab/>
        </w:r>
        <w:r>
          <w:rPr>
            <w:noProof/>
            <w:webHidden/>
          </w:rPr>
          <w:fldChar w:fldCharType="begin"/>
        </w:r>
        <w:r>
          <w:rPr>
            <w:noProof/>
            <w:webHidden/>
          </w:rPr>
          <w:instrText xml:space="preserve"> PAGEREF _Toc175239415 \h </w:instrText>
        </w:r>
        <w:r>
          <w:rPr>
            <w:noProof/>
            <w:webHidden/>
          </w:rPr>
        </w:r>
        <w:r>
          <w:rPr>
            <w:noProof/>
            <w:webHidden/>
          </w:rPr>
          <w:fldChar w:fldCharType="separate"/>
        </w:r>
        <w:r w:rsidR="00FD06AB">
          <w:rPr>
            <w:noProof/>
            <w:webHidden/>
          </w:rPr>
          <w:t>224</w:t>
        </w:r>
        <w:r>
          <w:rPr>
            <w:noProof/>
            <w:webHidden/>
          </w:rPr>
          <w:fldChar w:fldCharType="end"/>
        </w:r>
      </w:hyperlink>
    </w:p>
    <w:p w14:paraId="0F8F725F" w14:textId="134B7B09" w:rsidR="003B042F" w:rsidRDefault="003B042F">
      <w:pPr>
        <w:pStyle w:val="TOC3"/>
        <w:rPr>
          <w:rFonts w:asciiTheme="minorHAnsi" w:eastAsiaTheme="minorEastAsia" w:hAnsiTheme="minorHAnsi"/>
          <w:b w:val="0"/>
          <w:noProof/>
          <w:sz w:val="22"/>
          <w:lang w:eastAsia="en-AU"/>
        </w:rPr>
      </w:pPr>
      <w:hyperlink w:anchor="_Toc175239416" w:history="1">
        <w:r w:rsidRPr="005871B3">
          <w:rPr>
            <w:rStyle w:val="Hyperlink"/>
            <w:noProof/>
          </w:rPr>
          <w:t>Division 11—Listing for hearing</w:t>
        </w:r>
        <w:r>
          <w:rPr>
            <w:noProof/>
            <w:webHidden/>
          </w:rPr>
          <w:tab/>
        </w:r>
        <w:r>
          <w:rPr>
            <w:noProof/>
            <w:webHidden/>
          </w:rPr>
          <w:fldChar w:fldCharType="begin"/>
        </w:r>
        <w:r>
          <w:rPr>
            <w:noProof/>
            <w:webHidden/>
          </w:rPr>
          <w:instrText xml:space="preserve"> PAGEREF _Toc175239416 \h </w:instrText>
        </w:r>
        <w:r>
          <w:rPr>
            <w:noProof/>
            <w:webHidden/>
          </w:rPr>
        </w:r>
        <w:r>
          <w:rPr>
            <w:noProof/>
            <w:webHidden/>
          </w:rPr>
          <w:fldChar w:fldCharType="separate"/>
        </w:r>
        <w:r w:rsidR="00FD06AB">
          <w:rPr>
            <w:noProof/>
            <w:webHidden/>
          </w:rPr>
          <w:t>224</w:t>
        </w:r>
        <w:r>
          <w:rPr>
            <w:noProof/>
            <w:webHidden/>
          </w:rPr>
          <w:fldChar w:fldCharType="end"/>
        </w:r>
      </w:hyperlink>
    </w:p>
    <w:p w14:paraId="0D236515" w14:textId="2B0FD532" w:rsidR="003B042F" w:rsidRDefault="003B042F">
      <w:pPr>
        <w:pStyle w:val="TOC4"/>
        <w:rPr>
          <w:rFonts w:asciiTheme="minorHAnsi" w:eastAsiaTheme="minorEastAsia" w:hAnsiTheme="minorHAnsi"/>
          <w:noProof/>
          <w:sz w:val="22"/>
          <w:lang w:eastAsia="en-AU"/>
        </w:rPr>
      </w:pPr>
      <w:hyperlink w:anchor="_Toc175239417" w:history="1">
        <w:r w:rsidRPr="005871B3">
          <w:rPr>
            <w:rStyle w:val="Hyperlink"/>
            <w:noProof/>
          </w:rPr>
          <w:t>202.1—Listing for hearing</w:t>
        </w:r>
        <w:r>
          <w:rPr>
            <w:noProof/>
            <w:webHidden/>
          </w:rPr>
          <w:tab/>
        </w:r>
        <w:r>
          <w:rPr>
            <w:noProof/>
            <w:webHidden/>
          </w:rPr>
          <w:fldChar w:fldCharType="begin"/>
        </w:r>
        <w:r>
          <w:rPr>
            <w:noProof/>
            <w:webHidden/>
          </w:rPr>
          <w:instrText xml:space="preserve"> PAGEREF _Toc175239417 \h </w:instrText>
        </w:r>
        <w:r>
          <w:rPr>
            <w:noProof/>
            <w:webHidden/>
          </w:rPr>
        </w:r>
        <w:r>
          <w:rPr>
            <w:noProof/>
            <w:webHidden/>
          </w:rPr>
          <w:fldChar w:fldCharType="separate"/>
        </w:r>
        <w:r w:rsidR="00FD06AB">
          <w:rPr>
            <w:noProof/>
            <w:webHidden/>
          </w:rPr>
          <w:t>224</w:t>
        </w:r>
        <w:r>
          <w:rPr>
            <w:noProof/>
            <w:webHidden/>
          </w:rPr>
          <w:fldChar w:fldCharType="end"/>
        </w:r>
      </w:hyperlink>
    </w:p>
    <w:p w14:paraId="21E97D72" w14:textId="60FC6F5C" w:rsidR="003B042F" w:rsidRDefault="003B042F">
      <w:pPr>
        <w:pStyle w:val="TOC3"/>
        <w:rPr>
          <w:rFonts w:asciiTheme="minorHAnsi" w:eastAsiaTheme="minorEastAsia" w:hAnsiTheme="minorHAnsi"/>
          <w:b w:val="0"/>
          <w:noProof/>
          <w:sz w:val="22"/>
          <w:lang w:eastAsia="en-AU"/>
        </w:rPr>
      </w:pPr>
      <w:hyperlink w:anchor="_Toc175239418" w:history="1">
        <w:r w:rsidRPr="005871B3">
          <w:rPr>
            <w:rStyle w:val="Hyperlink"/>
            <w:noProof/>
          </w:rPr>
          <w:t>Division 12—Preparation for hearing</w:t>
        </w:r>
        <w:r>
          <w:rPr>
            <w:noProof/>
            <w:webHidden/>
          </w:rPr>
          <w:tab/>
        </w:r>
        <w:r>
          <w:rPr>
            <w:noProof/>
            <w:webHidden/>
          </w:rPr>
          <w:fldChar w:fldCharType="begin"/>
        </w:r>
        <w:r>
          <w:rPr>
            <w:noProof/>
            <w:webHidden/>
          </w:rPr>
          <w:instrText xml:space="preserve"> PAGEREF _Toc175239418 \h </w:instrText>
        </w:r>
        <w:r>
          <w:rPr>
            <w:noProof/>
            <w:webHidden/>
          </w:rPr>
        </w:r>
        <w:r>
          <w:rPr>
            <w:noProof/>
            <w:webHidden/>
          </w:rPr>
          <w:fldChar w:fldCharType="separate"/>
        </w:r>
        <w:r w:rsidR="00FD06AB">
          <w:rPr>
            <w:noProof/>
            <w:webHidden/>
          </w:rPr>
          <w:t>225</w:t>
        </w:r>
        <w:r>
          <w:rPr>
            <w:noProof/>
            <w:webHidden/>
          </w:rPr>
          <w:fldChar w:fldCharType="end"/>
        </w:r>
      </w:hyperlink>
    </w:p>
    <w:p w14:paraId="157E3557" w14:textId="4268FCF8" w:rsidR="003B042F" w:rsidRDefault="003B042F">
      <w:pPr>
        <w:pStyle w:val="TOC4"/>
        <w:rPr>
          <w:rFonts w:asciiTheme="minorHAnsi" w:eastAsiaTheme="minorEastAsia" w:hAnsiTheme="minorHAnsi"/>
          <w:noProof/>
          <w:sz w:val="22"/>
          <w:lang w:eastAsia="en-AU"/>
        </w:rPr>
      </w:pPr>
      <w:hyperlink w:anchor="_Toc175239419" w:history="1">
        <w:r w:rsidRPr="005871B3">
          <w:rPr>
            <w:rStyle w:val="Hyperlink"/>
            <w:noProof/>
          </w:rPr>
          <w:t>203.1—Appeal book</w:t>
        </w:r>
        <w:r>
          <w:rPr>
            <w:noProof/>
            <w:webHidden/>
          </w:rPr>
          <w:tab/>
        </w:r>
        <w:r>
          <w:rPr>
            <w:noProof/>
            <w:webHidden/>
          </w:rPr>
          <w:fldChar w:fldCharType="begin"/>
        </w:r>
        <w:r>
          <w:rPr>
            <w:noProof/>
            <w:webHidden/>
          </w:rPr>
          <w:instrText xml:space="preserve"> PAGEREF _Toc175239419 \h </w:instrText>
        </w:r>
        <w:r>
          <w:rPr>
            <w:noProof/>
            <w:webHidden/>
          </w:rPr>
        </w:r>
        <w:r>
          <w:rPr>
            <w:noProof/>
            <w:webHidden/>
          </w:rPr>
          <w:fldChar w:fldCharType="separate"/>
        </w:r>
        <w:r w:rsidR="00FD06AB">
          <w:rPr>
            <w:noProof/>
            <w:webHidden/>
          </w:rPr>
          <w:t>225</w:t>
        </w:r>
        <w:r>
          <w:rPr>
            <w:noProof/>
            <w:webHidden/>
          </w:rPr>
          <w:fldChar w:fldCharType="end"/>
        </w:r>
      </w:hyperlink>
    </w:p>
    <w:p w14:paraId="25D1038E" w14:textId="14EB429E" w:rsidR="003B042F" w:rsidRDefault="003B042F">
      <w:pPr>
        <w:pStyle w:val="TOC4"/>
        <w:rPr>
          <w:rFonts w:asciiTheme="minorHAnsi" w:eastAsiaTheme="minorEastAsia" w:hAnsiTheme="minorHAnsi"/>
          <w:noProof/>
          <w:sz w:val="22"/>
          <w:lang w:eastAsia="en-AU"/>
        </w:rPr>
      </w:pPr>
      <w:hyperlink w:anchor="_Toc175239420" w:history="1">
        <w:r w:rsidRPr="005871B3">
          <w:rPr>
            <w:rStyle w:val="Hyperlink"/>
            <w:noProof/>
          </w:rPr>
          <w:t>203.2—Written submissions, summaries of evidence, chronologies and lists of authorities</w:t>
        </w:r>
        <w:r>
          <w:rPr>
            <w:noProof/>
            <w:webHidden/>
          </w:rPr>
          <w:tab/>
        </w:r>
        <w:r>
          <w:rPr>
            <w:noProof/>
            <w:webHidden/>
          </w:rPr>
          <w:fldChar w:fldCharType="begin"/>
        </w:r>
        <w:r>
          <w:rPr>
            <w:noProof/>
            <w:webHidden/>
          </w:rPr>
          <w:instrText xml:space="preserve"> PAGEREF _Toc175239420 \h </w:instrText>
        </w:r>
        <w:r>
          <w:rPr>
            <w:noProof/>
            <w:webHidden/>
          </w:rPr>
        </w:r>
        <w:r>
          <w:rPr>
            <w:noProof/>
            <w:webHidden/>
          </w:rPr>
          <w:fldChar w:fldCharType="separate"/>
        </w:r>
        <w:r w:rsidR="00FD06AB">
          <w:rPr>
            <w:noProof/>
            <w:webHidden/>
          </w:rPr>
          <w:t>226</w:t>
        </w:r>
        <w:r>
          <w:rPr>
            <w:noProof/>
            <w:webHidden/>
          </w:rPr>
          <w:fldChar w:fldCharType="end"/>
        </w:r>
      </w:hyperlink>
    </w:p>
    <w:p w14:paraId="5E8213DC" w14:textId="39D680DF" w:rsidR="003B042F" w:rsidRDefault="003B042F">
      <w:pPr>
        <w:pStyle w:val="TOC3"/>
        <w:rPr>
          <w:rFonts w:asciiTheme="minorHAnsi" w:eastAsiaTheme="minorEastAsia" w:hAnsiTheme="minorHAnsi"/>
          <w:b w:val="0"/>
          <w:noProof/>
          <w:sz w:val="22"/>
          <w:lang w:eastAsia="en-AU"/>
        </w:rPr>
      </w:pPr>
      <w:hyperlink w:anchor="_Toc175239421" w:history="1">
        <w:r w:rsidRPr="005871B3">
          <w:rPr>
            <w:rStyle w:val="Hyperlink"/>
            <w:noProof/>
          </w:rPr>
          <w:t>Division 13—Hearing and determination of appellate proceedings</w:t>
        </w:r>
        <w:r>
          <w:rPr>
            <w:noProof/>
            <w:webHidden/>
          </w:rPr>
          <w:tab/>
        </w:r>
        <w:r>
          <w:rPr>
            <w:noProof/>
            <w:webHidden/>
          </w:rPr>
          <w:fldChar w:fldCharType="begin"/>
        </w:r>
        <w:r>
          <w:rPr>
            <w:noProof/>
            <w:webHidden/>
          </w:rPr>
          <w:instrText xml:space="preserve"> PAGEREF _Toc175239421 \h </w:instrText>
        </w:r>
        <w:r>
          <w:rPr>
            <w:noProof/>
            <w:webHidden/>
          </w:rPr>
        </w:r>
        <w:r>
          <w:rPr>
            <w:noProof/>
            <w:webHidden/>
          </w:rPr>
          <w:fldChar w:fldCharType="separate"/>
        </w:r>
        <w:r w:rsidR="00FD06AB">
          <w:rPr>
            <w:noProof/>
            <w:webHidden/>
          </w:rPr>
          <w:t>227</w:t>
        </w:r>
        <w:r>
          <w:rPr>
            <w:noProof/>
            <w:webHidden/>
          </w:rPr>
          <w:fldChar w:fldCharType="end"/>
        </w:r>
      </w:hyperlink>
    </w:p>
    <w:p w14:paraId="3F40BE62" w14:textId="2051E19C" w:rsidR="003B042F" w:rsidRDefault="003B042F">
      <w:pPr>
        <w:pStyle w:val="TOC4"/>
        <w:rPr>
          <w:rFonts w:asciiTheme="minorHAnsi" w:eastAsiaTheme="minorEastAsia" w:hAnsiTheme="minorHAnsi"/>
          <w:noProof/>
          <w:sz w:val="22"/>
          <w:lang w:eastAsia="en-AU"/>
        </w:rPr>
      </w:pPr>
      <w:hyperlink w:anchor="_Toc175239422" w:history="1">
        <w:r w:rsidRPr="005871B3">
          <w:rPr>
            <w:rStyle w:val="Hyperlink"/>
            <w:noProof/>
          </w:rPr>
          <w:t>204.1—Skeleton of oral argument</w:t>
        </w:r>
        <w:r>
          <w:rPr>
            <w:noProof/>
            <w:webHidden/>
          </w:rPr>
          <w:tab/>
        </w:r>
        <w:r>
          <w:rPr>
            <w:noProof/>
            <w:webHidden/>
          </w:rPr>
          <w:fldChar w:fldCharType="begin"/>
        </w:r>
        <w:r>
          <w:rPr>
            <w:noProof/>
            <w:webHidden/>
          </w:rPr>
          <w:instrText xml:space="preserve"> PAGEREF _Toc175239422 \h </w:instrText>
        </w:r>
        <w:r>
          <w:rPr>
            <w:noProof/>
            <w:webHidden/>
          </w:rPr>
        </w:r>
        <w:r>
          <w:rPr>
            <w:noProof/>
            <w:webHidden/>
          </w:rPr>
          <w:fldChar w:fldCharType="separate"/>
        </w:r>
        <w:r w:rsidR="00FD06AB">
          <w:rPr>
            <w:noProof/>
            <w:webHidden/>
          </w:rPr>
          <w:t>227</w:t>
        </w:r>
        <w:r>
          <w:rPr>
            <w:noProof/>
            <w:webHidden/>
          </w:rPr>
          <w:fldChar w:fldCharType="end"/>
        </w:r>
      </w:hyperlink>
    </w:p>
    <w:p w14:paraId="31D478D0" w14:textId="06585BCA" w:rsidR="003B042F" w:rsidRDefault="003B042F">
      <w:pPr>
        <w:pStyle w:val="TOC4"/>
        <w:rPr>
          <w:rFonts w:asciiTheme="minorHAnsi" w:eastAsiaTheme="minorEastAsia" w:hAnsiTheme="minorHAnsi"/>
          <w:noProof/>
          <w:sz w:val="22"/>
          <w:lang w:eastAsia="en-AU"/>
        </w:rPr>
      </w:pPr>
      <w:hyperlink w:anchor="_Toc175239423" w:history="1">
        <w:r w:rsidRPr="005871B3">
          <w:rPr>
            <w:rStyle w:val="Hyperlink"/>
            <w:noProof/>
          </w:rPr>
          <w:t>204.2—Hearing</w:t>
        </w:r>
        <w:r>
          <w:rPr>
            <w:noProof/>
            <w:webHidden/>
          </w:rPr>
          <w:tab/>
        </w:r>
        <w:r>
          <w:rPr>
            <w:noProof/>
            <w:webHidden/>
          </w:rPr>
          <w:fldChar w:fldCharType="begin"/>
        </w:r>
        <w:r>
          <w:rPr>
            <w:noProof/>
            <w:webHidden/>
          </w:rPr>
          <w:instrText xml:space="preserve"> PAGEREF _Toc175239423 \h </w:instrText>
        </w:r>
        <w:r>
          <w:rPr>
            <w:noProof/>
            <w:webHidden/>
          </w:rPr>
        </w:r>
        <w:r>
          <w:rPr>
            <w:noProof/>
            <w:webHidden/>
          </w:rPr>
          <w:fldChar w:fldCharType="separate"/>
        </w:r>
        <w:r w:rsidR="00FD06AB">
          <w:rPr>
            <w:noProof/>
            <w:webHidden/>
          </w:rPr>
          <w:t>227</w:t>
        </w:r>
        <w:r>
          <w:rPr>
            <w:noProof/>
            <w:webHidden/>
          </w:rPr>
          <w:fldChar w:fldCharType="end"/>
        </w:r>
      </w:hyperlink>
    </w:p>
    <w:p w14:paraId="3F2B9AC8" w14:textId="75033027" w:rsidR="003B042F" w:rsidRDefault="003B042F">
      <w:pPr>
        <w:pStyle w:val="TOC4"/>
        <w:rPr>
          <w:rFonts w:asciiTheme="minorHAnsi" w:eastAsiaTheme="minorEastAsia" w:hAnsiTheme="minorHAnsi"/>
          <w:noProof/>
          <w:sz w:val="22"/>
          <w:lang w:eastAsia="en-AU"/>
        </w:rPr>
      </w:pPr>
      <w:hyperlink w:anchor="_Toc175239424" w:history="1">
        <w:r w:rsidRPr="005871B3">
          <w:rPr>
            <w:rStyle w:val="Hyperlink"/>
            <w:noProof/>
          </w:rPr>
          <w:t>204.3—Determination</w:t>
        </w:r>
        <w:r>
          <w:rPr>
            <w:noProof/>
            <w:webHidden/>
          </w:rPr>
          <w:tab/>
        </w:r>
        <w:r>
          <w:rPr>
            <w:noProof/>
            <w:webHidden/>
          </w:rPr>
          <w:fldChar w:fldCharType="begin"/>
        </w:r>
        <w:r>
          <w:rPr>
            <w:noProof/>
            <w:webHidden/>
          </w:rPr>
          <w:instrText xml:space="preserve"> PAGEREF _Toc175239424 \h </w:instrText>
        </w:r>
        <w:r>
          <w:rPr>
            <w:noProof/>
            <w:webHidden/>
          </w:rPr>
        </w:r>
        <w:r>
          <w:rPr>
            <w:noProof/>
            <w:webHidden/>
          </w:rPr>
          <w:fldChar w:fldCharType="separate"/>
        </w:r>
        <w:r w:rsidR="00FD06AB">
          <w:rPr>
            <w:noProof/>
            <w:webHidden/>
          </w:rPr>
          <w:t>228</w:t>
        </w:r>
        <w:r>
          <w:rPr>
            <w:noProof/>
            <w:webHidden/>
          </w:rPr>
          <w:fldChar w:fldCharType="end"/>
        </w:r>
      </w:hyperlink>
    </w:p>
    <w:p w14:paraId="06DDAE9F" w14:textId="483D576A"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425" w:history="1">
        <w:r w:rsidRPr="005871B3">
          <w:rPr>
            <w:rStyle w:val="Hyperlink"/>
            <w:noProof/>
          </w:rPr>
          <w:t>Schedule 1—Lower Courts Criminal Scale of Costs</w:t>
        </w:r>
        <w:r>
          <w:rPr>
            <w:noProof/>
            <w:webHidden/>
          </w:rPr>
          <w:tab/>
        </w:r>
        <w:r>
          <w:rPr>
            <w:noProof/>
            <w:webHidden/>
          </w:rPr>
          <w:fldChar w:fldCharType="begin"/>
        </w:r>
        <w:r>
          <w:rPr>
            <w:noProof/>
            <w:webHidden/>
          </w:rPr>
          <w:instrText xml:space="preserve"> PAGEREF _Toc175239425 \h </w:instrText>
        </w:r>
        <w:r>
          <w:rPr>
            <w:noProof/>
            <w:webHidden/>
          </w:rPr>
        </w:r>
        <w:r>
          <w:rPr>
            <w:noProof/>
            <w:webHidden/>
          </w:rPr>
          <w:fldChar w:fldCharType="separate"/>
        </w:r>
        <w:r w:rsidR="00FD06AB">
          <w:rPr>
            <w:noProof/>
            <w:webHidden/>
          </w:rPr>
          <w:t>229</w:t>
        </w:r>
        <w:r>
          <w:rPr>
            <w:noProof/>
            <w:webHidden/>
          </w:rPr>
          <w:fldChar w:fldCharType="end"/>
        </w:r>
      </w:hyperlink>
    </w:p>
    <w:p w14:paraId="0180B393" w14:textId="2191F19F" w:rsidR="003B042F" w:rsidRDefault="003B042F">
      <w:pPr>
        <w:pStyle w:val="TOC1"/>
        <w:rPr>
          <w:rFonts w:asciiTheme="minorHAnsi" w:eastAsiaTheme="minorEastAsia" w:hAnsiTheme="minorHAnsi" w:cstheme="minorBidi"/>
          <w:b w:val="0"/>
          <w:bCs w:val="0"/>
          <w:noProof/>
          <w:color w:val="auto"/>
          <w:sz w:val="22"/>
          <w:szCs w:val="22"/>
          <w:lang w:val="en-AU" w:eastAsia="en-AU"/>
        </w:rPr>
      </w:pPr>
      <w:hyperlink w:anchor="_Toc175239426" w:history="1">
        <w:r w:rsidRPr="005871B3">
          <w:rPr>
            <w:rStyle w:val="Hyperlink"/>
            <w:noProof/>
          </w:rPr>
          <w:t>Schedule 2—Forms</w:t>
        </w:r>
        <w:r>
          <w:rPr>
            <w:noProof/>
            <w:webHidden/>
          </w:rPr>
          <w:tab/>
        </w:r>
        <w:r>
          <w:rPr>
            <w:noProof/>
            <w:webHidden/>
          </w:rPr>
          <w:fldChar w:fldCharType="begin"/>
        </w:r>
        <w:r>
          <w:rPr>
            <w:noProof/>
            <w:webHidden/>
          </w:rPr>
          <w:instrText xml:space="preserve"> PAGEREF _Toc175239426 \h </w:instrText>
        </w:r>
        <w:r>
          <w:rPr>
            <w:noProof/>
            <w:webHidden/>
          </w:rPr>
        </w:r>
        <w:r>
          <w:rPr>
            <w:noProof/>
            <w:webHidden/>
          </w:rPr>
          <w:fldChar w:fldCharType="separate"/>
        </w:r>
        <w:r w:rsidR="00FD06AB">
          <w:rPr>
            <w:noProof/>
            <w:webHidden/>
          </w:rPr>
          <w:t>234</w:t>
        </w:r>
        <w:r>
          <w:rPr>
            <w:noProof/>
            <w:webHidden/>
          </w:rPr>
          <w:fldChar w:fldCharType="end"/>
        </w:r>
      </w:hyperlink>
    </w:p>
    <w:p w14:paraId="4175CF84" w14:textId="4DA5F14C" w:rsidR="003B042F" w:rsidRDefault="003B042F">
      <w:pPr>
        <w:pStyle w:val="TOC4"/>
        <w:rPr>
          <w:rFonts w:asciiTheme="minorHAnsi" w:eastAsiaTheme="minorEastAsia" w:hAnsiTheme="minorHAnsi"/>
          <w:noProof/>
          <w:sz w:val="22"/>
          <w:lang w:eastAsia="en-AU"/>
        </w:rPr>
      </w:pPr>
      <w:hyperlink w:anchor="_Toc175239427" w:history="1">
        <w:r w:rsidRPr="005871B3">
          <w:rPr>
            <w:rStyle w:val="Hyperlink"/>
            <w:noProof/>
          </w:rPr>
          <w:t>Index to Schedule 2—Forms</w:t>
        </w:r>
        <w:r>
          <w:rPr>
            <w:noProof/>
            <w:webHidden/>
          </w:rPr>
          <w:tab/>
        </w:r>
        <w:r>
          <w:rPr>
            <w:noProof/>
            <w:webHidden/>
          </w:rPr>
          <w:fldChar w:fldCharType="begin"/>
        </w:r>
        <w:r>
          <w:rPr>
            <w:noProof/>
            <w:webHidden/>
          </w:rPr>
          <w:instrText xml:space="preserve"> PAGEREF _Toc175239427 \h </w:instrText>
        </w:r>
        <w:r>
          <w:rPr>
            <w:noProof/>
            <w:webHidden/>
          </w:rPr>
        </w:r>
        <w:r>
          <w:rPr>
            <w:noProof/>
            <w:webHidden/>
          </w:rPr>
          <w:fldChar w:fldCharType="separate"/>
        </w:r>
        <w:r w:rsidR="00FD06AB">
          <w:rPr>
            <w:noProof/>
            <w:webHidden/>
          </w:rPr>
          <w:t>234</w:t>
        </w:r>
        <w:r>
          <w:rPr>
            <w:noProof/>
            <w:webHidden/>
          </w:rPr>
          <w:fldChar w:fldCharType="end"/>
        </w:r>
      </w:hyperlink>
    </w:p>
    <w:p w14:paraId="112F8F1D" w14:textId="5FA6CEDF" w:rsidR="00883F20" w:rsidRPr="00B40A77" w:rsidRDefault="004057D2" w:rsidP="00430BC8">
      <w:pPr>
        <w:pStyle w:val="NoteHeader"/>
        <w:ind w:left="0" w:firstLine="567"/>
        <w:rPr>
          <w:rFonts w:eastAsia="Times New Roman"/>
          <w:b w:val="0"/>
          <w:bCs w:val="0"/>
          <w:color w:val="000000" w:themeColor="text1"/>
          <w:sz w:val="24"/>
          <w:szCs w:val="26"/>
          <w:lang w:val="en-US"/>
        </w:rPr>
      </w:pPr>
      <w:r w:rsidRPr="00B40A77">
        <w:rPr>
          <w:rFonts w:eastAsia="Times New Roman"/>
          <w:b w:val="0"/>
          <w:bCs w:val="0"/>
          <w:color w:val="000000" w:themeColor="text1"/>
          <w:sz w:val="24"/>
          <w:szCs w:val="26"/>
          <w:lang w:val="en-US"/>
        </w:rPr>
        <w:fldChar w:fldCharType="end"/>
      </w:r>
    </w:p>
    <w:p w14:paraId="68920441" w14:textId="704CDB7D" w:rsidR="00D055E6" w:rsidRPr="00B40A77" w:rsidRDefault="00D055E6" w:rsidP="00211EE4">
      <w:pPr>
        <w:keepNext/>
        <w:rPr>
          <w:b/>
          <w:bCs/>
          <w:color w:val="000000" w:themeColor="text1"/>
          <w:sz w:val="22"/>
        </w:rPr>
      </w:pPr>
      <w:r w:rsidRPr="00B40A77">
        <w:rPr>
          <w:b/>
          <w:bCs/>
          <w:color w:val="000000" w:themeColor="text1"/>
        </w:rPr>
        <w:t>Note</w:t>
      </w:r>
      <w:r w:rsidR="003B64D7" w:rsidRPr="00B40A77">
        <w:rPr>
          <w:b/>
          <w:bCs/>
          <w:color w:val="000000" w:themeColor="text1"/>
        </w:rPr>
        <w:t>—</w:t>
      </w:r>
    </w:p>
    <w:p w14:paraId="2A987CDB" w14:textId="0C769A9A" w:rsidR="00D055E6" w:rsidRPr="00B40A77" w:rsidRDefault="00D055E6" w:rsidP="00174664">
      <w:pPr>
        <w:rPr>
          <w:color w:val="000000" w:themeColor="text1"/>
        </w:rPr>
      </w:pPr>
      <w:r w:rsidRPr="00B40A77">
        <w:rPr>
          <w:color w:val="000000" w:themeColor="text1"/>
        </w:rPr>
        <w:t xml:space="preserve">Each individual form in the Index </w:t>
      </w:r>
      <w:r w:rsidR="00104B0B" w:rsidRPr="00B40A77">
        <w:rPr>
          <w:color w:val="000000" w:themeColor="text1"/>
        </w:rPr>
        <w:t xml:space="preserve">to </w:t>
      </w:r>
      <w:hyperlink w:anchor="_Schedule_2—Forms" w:history="1">
        <w:r w:rsidR="00104B0B" w:rsidRPr="00B40A77">
          <w:rPr>
            <w:rStyle w:val="Hyperlink"/>
            <w:color w:val="000000" w:themeColor="text1"/>
          </w:rPr>
          <w:t>Schedule 2</w:t>
        </w:r>
        <w:r w:rsidR="00D33090" w:rsidRPr="00B40A77">
          <w:rPr>
            <w:rStyle w:val="Hyperlink"/>
            <w:color w:val="000000" w:themeColor="text1"/>
          </w:rPr>
          <w:t>—Forms</w:t>
        </w:r>
      </w:hyperlink>
      <w:r w:rsidR="00D33090" w:rsidRPr="00B40A77">
        <w:rPr>
          <w:color w:val="000000" w:themeColor="text1"/>
        </w:rPr>
        <w:t xml:space="preserve"> </w:t>
      </w:r>
      <w:r w:rsidRPr="00B40A77">
        <w:rPr>
          <w:color w:val="000000" w:themeColor="text1"/>
        </w:rPr>
        <w:t>is available separately on the</w:t>
      </w:r>
      <w:r w:rsidRPr="00B40A77">
        <w:rPr>
          <w:i/>
          <w:iCs/>
          <w:color w:val="000000" w:themeColor="text1"/>
        </w:rPr>
        <w:t xml:space="preserve"> Rules, Forms and Fees</w:t>
      </w:r>
      <w:r w:rsidRPr="00B40A77">
        <w:rPr>
          <w:color w:val="000000" w:themeColor="text1"/>
        </w:rPr>
        <w:t xml:space="preserve"> page of the CAA website.</w:t>
      </w:r>
    </w:p>
    <w:p w14:paraId="4468FC87" w14:textId="77777777" w:rsidR="00AD0CCC" w:rsidRPr="00B40A77" w:rsidRDefault="00AD0CCC" w:rsidP="00C54B1B">
      <w:pPr>
        <w:rPr>
          <w:color w:val="000000" w:themeColor="text1"/>
        </w:rPr>
      </w:pPr>
    </w:p>
    <w:p w14:paraId="36FA98FA" w14:textId="5D2A8CD0" w:rsidR="00C93900" w:rsidRPr="00B40A77" w:rsidRDefault="00C93900" w:rsidP="00C54B1B">
      <w:pPr>
        <w:rPr>
          <w:color w:val="000000" w:themeColor="text1"/>
        </w:rPr>
        <w:sectPr w:rsidR="00C93900" w:rsidRPr="00B40A77" w:rsidSect="00C93900">
          <w:pgSz w:w="11906" w:h="16838"/>
          <w:pgMar w:top="1440" w:right="1440" w:bottom="1440" w:left="1440" w:header="708" w:footer="708" w:gutter="0"/>
          <w:pgNumType w:fmt="lowerRoman"/>
          <w:cols w:space="708"/>
          <w:docGrid w:linePitch="360"/>
        </w:sectPr>
      </w:pPr>
    </w:p>
    <w:p w14:paraId="46CB8A3C" w14:textId="22BD0EFF" w:rsidR="00DE2750" w:rsidRPr="00B40A77" w:rsidRDefault="00773541" w:rsidP="00225FD8">
      <w:pPr>
        <w:pStyle w:val="Heading1"/>
        <w:rPr>
          <w:color w:val="000000" w:themeColor="text1"/>
        </w:rPr>
      </w:pPr>
      <w:bookmarkStart w:id="5" w:name="_Toc175238718"/>
      <w:r w:rsidRPr="00B40A77">
        <w:rPr>
          <w:color w:val="000000" w:themeColor="text1"/>
        </w:rPr>
        <w:lastRenderedPageBreak/>
        <w:t>Chapter</w:t>
      </w:r>
      <w:r w:rsidR="00497E9E" w:rsidRPr="00B40A77">
        <w:rPr>
          <w:color w:val="000000" w:themeColor="text1"/>
        </w:rPr>
        <w:t xml:space="preserve"> 1</w:t>
      </w:r>
      <w:r w:rsidR="00FB652F" w:rsidRPr="00B40A77">
        <w:rPr>
          <w:color w:val="000000" w:themeColor="text1"/>
        </w:rPr>
        <w:t>—</w:t>
      </w:r>
      <w:r w:rsidR="0095609C" w:rsidRPr="00B40A77">
        <w:rPr>
          <w:color w:val="000000" w:themeColor="text1"/>
        </w:rPr>
        <w:t>Prelimina</w:t>
      </w:r>
      <w:r w:rsidR="00EC0CDA" w:rsidRPr="00B40A77">
        <w:rPr>
          <w:color w:val="000000" w:themeColor="text1"/>
        </w:rPr>
        <w:t>r</w:t>
      </w:r>
      <w:r w:rsidR="0095609C" w:rsidRPr="00B40A77">
        <w:rPr>
          <w:color w:val="000000" w:themeColor="text1"/>
        </w:rPr>
        <w:t>y</w:t>
      </w:r>
      <w:bookmarkEnd w:id="5"/>
    </w:p>
    <w:p w14:paraId="0982EA5B" w14:textId="77777777" w:rsidR="00294AFD" w:rsidRPr="00B40A77" w:rsidRDefault="00343754" w:rsidP="001103F0">
      <w:pPr>
        <w:pStyle w:val="Heading2"/>
        <w:keepNext/>
        <w:rPr>
          <w:color w:val="000000" w:themeColor="text1"/>
        </w:rPr>
      </w:pPr>
      <w:bookmarkStart w:id="6" w:name="_Toc175238719"/>
      <w:r w:rsidRPr="00B40A77">
        <w:rPr>
          <w:color w:val="000000" w:themeColor="text1"/>
        </w:rPr>
        <w:t>Part</w:t>
      </w:r>
      <w:r w:rsidR="00294AFD" w:rsidRPr="00B40A77">
        <w:rPr>
          <w:color w:val="000000" w:themeColor="text1"/>
        </w:rPr>
        <w:t xml:space="preserve"> 1</w:t>
      </w:r>
      <w:r w:rsidR="003D16F5" w:rsidRPr="00B40A77">
        <w:rPr>
          <w:color w:val="000000" w:themeColor="text1"/>
        </w:rPr>
        <w:t>—</w:t>
      </w:r>
      <w:r w:rsidR="00754317" w:rsidRPr="00B40A77">
        <w:rPr>
          <w:color w:val="000000" w:themeColor="text1"/>
        </w:rPr>
        <w:t>Introduction</w:t>
      </w:r>
      <w:bookmarkEnd w:id="6"/>
    </w:p>
    <w:p w14:paraId="7E654E44" w14:textId="77777777" w:rsidR="004B07F9" w:rsidRPr="00B40A77" w:rsidRDefault="00C86D2B" w:rsidP="004057D2">
      <w:pPr>
        <w:pStyle w:val="Heading4"/>
        <w:rPr>
          <w:color w:val="000000" w:themeColor="text1"/>
        </w:rPr>
      </w:pPr>
      <w:bookmarkStart w:id="7" w:name="Elkera_Print_TOC2"/>
      <w:bookmarkStart w:id="8" w:name="Elkera_Print_BK2"/>
      <w:bookmarkStart w:id="9" w:name="_Toc175238720"/>
      <w:r w:rsidRPr="00B40A77">
        <w:rPr>
          <w:color w:val="000000" w:themeColor="text1"/>
        </w:rPr>
        <w:t>1.</w:t>
      </w:r>
      <w:r w:rsidR="004B07F9" w:rsidRPr="00B40A77">
        <w:rPr>
          <w:color w:val="000000" w:themeColor="text1"/>
        </w:rPr>
        <w:t>1</w:t>
      </w:r>
      <w:r w:rsidR="003D16F5" w:rsidRPr="00B40A77">
        <w:rPr>
          <w:color w:val="000000" w:themeColor="text1"/>
        </w:rPr>
        <w:t>—</w:t>
      </w:r>
      <w:r w:rsidR="004B07F9" w:rsidRPr="00B40A77">
        <w:rPr>
          <w:color w:val="000000" w:themeColor="text1"/>
        </w:rPr>
        <w:t>Title</w:t>
      </w:r>
      <w:bookmarkEnd w:id="7"/>
      <w:bookmarkEnd w:id="8"/>
      <w:bookmarkEnd w:id="9"/>
    </w:p>
    <w:p w14:paraId="0F78832A" w14:textId="449BE393" w:rsidR="00435BFB" w:rsidRPr="00B40A77" w:rsidRDefault="00E560D8" w:rsidP="00632AA4">
      <w:pPr>
        <w:pStyle w:val="IndentedPara"/>
        <w:rPr>
          <w:color w:val="000000" w:themeColor="text1"/>
        </w:rPr>
      </w:pPr>
      <w:r w:rsidRPr="00B40A77">
        <w:rPr>
          <w:color w:val="000000" w:themeColor="text1"/>
        </w:rPr>
        <w:t>These Rules may be cited as the</w:t>
      </w:r>
      <w:r w:rsidR="00243E6F" w:rsidRPr="00B40A77">
        <w:rPr>
          <w:color w:val="000000" w:themeColor="text1"/>
        </w:rPr>
        <w:t xml:space="preserve"> </w:t>
      </w:r>
      <w:r w:rsidR="00243E6F" w:rsidRPr="00B40A77">
        <w:rPr>
          <w:i/>
          <w:color w:val="000000" w:themeColor="text1"/>
        </w:rPr>
        <w:t>J</w:t>
      </w:r>
      <w:r w:rsidRPr="00B40A77">
        <w:rPr>
          <w:i/>
          <w:color w:val="000000" w:themeColor="text1"/>
        </w:rPr>
        <w:t>oint</w:t>
      </w:r>
      <w:r w:rsidR="00963BAB" w:rsidRPr="00B40A77">
        <w:rPr>
          <w:i/>
          <w:color w:val="000000" w:themeColor="text1"/>
        </w:rPr>
        <w:t xml:space="preserve"> Criminal Rules 202</w:t>
      </w:r>
      <w:r w:rsidR="00595864" w:rsidRPr="00B40A77">
        <w:rPr>
          <w:i/>
          <w:color w:val="000000" w:themeColor="text1"/>
        </w:rPr>
        <w:t>2</w:t>
      </w:r>
      <w:r w:rsidR="00435BFB" w:rsidRPr="00B40A77">
        <w:rPr>
          <w:color w:val="000000" w:themeColor="text1"/>
        </w:rPr>
        <w:t>.</w:t>
      </w:r>
    </w:p>
    <w:p w14:paraId="1D4C8A7F" w14:textId="77777777" w:rsidR="004B07F9" w:rsidRPr="00B40A77" w:rsidRDefault="00C86D2B" w:rsidP="004057D2">
      <w:pPr>
        <w:pStyle w:val="Heading4"/>
        <w:rPr>
          <w:color w:val="000000" w:themeColor="text1"/>
        </w:rPr>
      </w:pPr>
      <w:bookmarkStart w:id="10" w:name="_1.2—Commencement"/>
      <w:bookmarkStart w:id="11" w:name="Elkera_Print_TOC11"/>
      <w:bookmarkStart w:id="12" w:name="_Toc175238721"/>
      <w:bookmarkEnd w:id="10"/>
      <w:r w:rsidRPr="00B40A77">
        <w:rPr>
          <w:color w:val="000000" w:themeColor="text1"/>
        </w:rPr>
        <w:t>1.</w:t>
      </w:r>
      <w:r w:rsidR="004B07F9" w:rsidRPr="00B40A77">
        <w:rPr>
          <w:color w:val="000000" w:themeColor="text1"/>
        </w:rPr>
        <w:t>2</w:t>
      </w:r>
      <w:r w:rsidR="003D16F5" w:rsidRPr="00B40A77">
        <w:rPr>
          <w:color w:val="000000" w:themeColor="text1"/>
        </w:rPr>
        <w:t>—</w:t>
      </w:r>
      <w:r w:rsidR="004B07F9" w:rsidRPr="00B40A77">
        <w:rPr>
          <w:color w:val="000000" w:themeColor="text1"/>
        </w:rPr>
        <w:t>Commencement</w:t>
      </w:r>
      <w:bookmarkEnd w:id="11"/>
      <w:bookmarkEnd w:id="12"/>
    </w:p>
    <w:p w14:paraId="1C69F25F" w14:textId="77777777" w:rsidR="004B07F9" w:rsidRPr="00B40A77" w:rsidRDefault="001C7313" w:rsidP="00BB37AF">
      <w:pPr>
        <w:pStyle w:val="Hangindent"/>
        <w:rPr>
          <w:rFonts w:cs="Times New Roman"/>
          <w:color w:val="000000" w:themeColor="text1"/>
        </w:rPr>
      </w:pPr>
      <w:r w:rsidRPr="00B40A77">
        <w:rPr>
          <w:color w:val="000000" w:themeColor="text1"/>
        </w:rPr>
        <w:t>These Rules</w:t>
      </w:r>
      <w:r w:rsidR="004B07F9" w:rsidRPr="00B40A77">
        <w:rPr>
          <w:color w:val="000000" w:themeColor="text1"/>
        </w:rPr>
        <w:t xml:space="preserve"> </w:t>
      </w:r>
      <w:r w:rsidR="001B25D8" w:rsidRPr="00B40A77">
        <w:rPr>
          <w:color w:val="000000" w:themeColor="text1"/>
        </w:rPr>
        <w:t>come into effect</w:t>
      </w:r>
      <w:r w:rsidR="001B25D8" w:rsidRPr="00B40A77">
        <w:rPr>
          <w:rFonts w:cs="Times New Roman"/>
          <w:color w:val="000000" w:themeColor="text1"/>
        </w:rPr>
        <w:t>—</w:t>
      </w:r>
    </w:p>
    <w:p w14:paraId="2783DDE3" w14:textId="01FC952A" w:rsidR="001B25D8" w:rsidRPr="00B40A77" w:rsidRDefault="003061FF" w:rsidP="003061FF">
      <w:pPr>
        <w:pStyle w:val="Hangindent"/>
        <w:rPr>
          <w:color w:val="000000" w:themeColor="text1"/>
        </w:rPr>
      </w:pPr>
      <w:r w:rsidRPr="00B40A77">
        <w:rPr>
          <w:color w:val="000000" w:themeColor="text1"/>
        </w:rPr>
        <w:t>(a)</w:t>
      </w:r>
      <w:r w:rsidRPr="00B40A77">
        <w:rPr>
          <w:color w:val="000000" w:themeColor="text1"/>
        </w:rPr>
        <w:tab/>
      </w:r>
      <w:r w:rsidR="001B25D8" w:rsidRPr="00B40A77">
        <w:rPr>
          <w:color w:val="000000" w:themeColor="text1"/>
        </w:rPr>
        <w:t>subject to subrule</w:t>
      </w:r>
      <w:r w:rsidR="001B1E8A" w:rsidRPr="00B40A77">
        <w:rPr>
          <w:color w:val="000000" w:themeColor="text1"/>
        </w:rPr>
        <w:t> </w:t>
      </w:r>
      <w:r w:rsidR="001B25D8" w:rsidRPr="00B40A77">
        <w:rPr>
          <w:color w:val="000000" w:themeColor="text1"/>
        </w:rPr>
        <w:t>(</w:t>
      </w:r>
      <w:r w:rsidR="00BB37AF" w:rsidRPr="00B40A77">
        <w:rPr>
          <w:color w:val="000000" w:themeColor="text1"/>
        </w:rPr>
        <w:t>b</w:t>
      </w:r>
      <w:r w:rsidR="001B25D8" w:rsidRPr="00B40A77">
        <w:rPr>
          <w:color w:val="000000" w:themeColor="text1"/>
        </w:rPr>
        <w:t>)</w:t>
      </w:r>
      <w:r w:rsidR="00BB37AF" w:rsidRPr="00B40A77">
        <w:rPr>
          <w:color w:val="000000" w:themeColor="text1"/>
        </w:rPr>
        <w:t>, on the date of their publication in the Gazette;</w:t>
      </w:r>
    </w:p>
    <w:p w14:paraId="08E409DC" w14:textId="1B4E4A5C" w:rsidR="00BB37AF" w:rsidRPr="00B40A77" w:rsidRDefault="003061FF" w:rsidP="003061FF">
      <w:pPr>
        <w:pStyle w:val="Hangindent"/>
        <w:rPr>
          <w:color w:val="000000" w:themeColor="text1"/>
        </w:rPr>
      </w:pPr>
      <w:r w:rsidRPr="00B40A77">
        <w:rPr>
          <w:color w:val="000000" w:themeColor="text1"/>
        </w:rPr>
        <w:t>(b)</w:t>
      </w:r>
      <w:r w:rsidRPr="00B40A77">
        <w:rPr>
          <w:color w:val="000000" w:themeColor="text1"/>
        </w:rPr>
        <w:tab/>
      </w:r>
      <w:r w:rsidR="00BB37AF" w:rsidRPr="00B40A77">
        <w:rPr>
          <w:color w:val="000000" w:themeColor="text1"/>
        </w:rPr>
        <w:t>if these Rules are published in the Gazette on a day other than a Monday, on the date that is the first Monday following that publication.</w:t>
      </w:r>
    </w:p>
    <w:p w14:paraId="2F5AFFD6" w14:textId="77777777" w:rsidR="008E4CA6" w:rsidRPr="00B40A77" w:rsidRDefault="008E4CA6" w:rsidP="004057D2">
      <w:pPr>
        <w:pStyle w:val="Heading4"/>
        <w:rPr>
          <w:color w:val="000000" w:themeColor="text1"/>
        </w:rPr>
      </w:pPr>
      <w:bookmarkStart w:id="13" w:name="_Toc175238722"/>
      <w:r w:rsidRPr="00B40A77">
        <w:rPr>
          <w:color w:val="000000" w:themeColor="text1"/>
        </w:rPr>
        <w:t>1.3—Repeal</w:t>
      </w:r>
      <w:bookmarkEnd w:id="13"/>
    </w:p>
    <w:p w14:paraId="51157016" w14:textId="3D15BD78" w:rsidR="008E4CA6" w:rsidRPr="00B40A77" w:rsidRDefault="00833922" w:rsidP="008E4CA6">
      <w:pPr>
        <w:pStyle w:val="IndentedPara"/>
        <w:rPr>
          <w:color w:val="000000" w:themeColor="text1"/>
        </w:rPr>
      </w:pPr>
      <w:r w:rsidRPr="00B40A77">
        <w:rPr>
          <w:color w:val="000000" w:themeColor="text1"/>
        </w:rPr>
        <w:t xml:space="preserve">The </w:t>
      </w:r>
      <w:hyperlink w:anchor="_2.1—Definitions" w:history="1">
        <w:r w:rsidRPr="00B40A77">
          <w:rPr>
            <w:rStyle w:val="Hyperlink"/>
            <w:color w:val="000000" w:themeColor="text1"/>
          </w:rPr>
          <w:t>Previous Rules</w:t>
        </w:r>
      </w:hyperlink>
      <w:r w:rsidR="008E4CA6" w:rsidRPr="00B40A77">
        <w:rPr>
          <w:color w:val="000000" w:themeColor="text1"/>
        </w:rPr>
        <w:t xml:space="preserve"> are repealed.</w:t>
      </w:r>
    </w:p>
    <w:p w14:paraId="3E79D070" w14:textId="77777777" w:rsidR="00514865" w:rsidRPr="00B40A77" w:rsidRDefault="00C86D2B" w:rsidP="004057D2">
      <w:pPr>
        <w:pStyle w:val="Heading4"/>
        <w:rPr>
          <w:color w:val="000000" w:themeColor="text1"/>
        </w:rPr>
      </w:pPr>
      <w:bookmarkStart w:id="14" w:name="_Toc175238723"/>
      <w:r w:rsidRPr="00B40A77">
        <w:rPr>
          <w:color w:val="000000" w:themeColor="text1"/>
        </w:rPr>
        <w:t>1.</w:t>
      </w:r>
      <w:r w:rsidR="008E4CA6" w:rsidRPr="00B40A77">
        <w:rPr>
          <w:color w:val="000000" w:themeColor="text1"/>
        </w:rPr>
        <w:t>4</w:t>
      </w:r>
      <w:r w:rsidR="00334B8C" w:rsidRPr="00B40A77">
        <w:rPr>
          <w:color w:val="000000" w:themeColor="text1"/>
        </w:rPr>
        <w:t>—T</w:t>
      </w:r>
      <w:r w:rsidR="002E3DBC" w:rsidRPr="00B40A77">
        <w:rPr>
          <w:color w:val="000000" w:themeColor="text1"/>
        </w:rPr>
        <w:t>ransition</w:t>
      </w:r>
      <w:bookmarkEnd w:id="14"/>
    </w:p>
    <w:p w14:paraId="623E275C" w14:textId="77777777" w:rsidR="006D1AFF" w:rsidRPr="00B40A77" w:rsidRDefault="001800E5" w:rsidP="003D16F5">
      <w:pPr>
        <w:pStyle w:val="Hangindent"/>
        <w:rPr>
          <w:color w:val="000000" w:themeColor="text1"/>
        </w:rPr>
      </w:pPr>
      <w:r w:rsidRPr="00B40A77">
        <w:rPr>
          <w:color w:val="000000" w:themeColor="text1"/>
        </w:rPr>
        <w:t>(1)</w:t>
      </w:r>
      <w:r w:rsidRPr="00B40A77">
        <w:rPr>
          <w:color w:val="000000" w:themeColor="text1"/>
        </w:rPr>
        <w:tab/>
      </w:r>
      <w:r w:rsidR="006D1AFF" w:rsidRPr="00B40A77">
        <w:rPr>
          <w:color w:val="000000" w:themeColor="text1"/>
        </w:rPr>
        <w:t>Unless the Court otherwise orders</w:t>
      </w:r>
      <w:r w:rsidR="007B149B" w:rsidRPr="00B40A77">
        <w:rPr>
          <w:rFonts w:cs="Times New Roman"/>
          <w:color w:val="000000" w:themeColor="text1"/>
        </w:rPr>
        <w:t>—</w:t>
      </w:r>
    </w:p>
    <w:p w14:paraId="0578E9FD" w14:textId="77777777" w:rsidR="008239E9" w:rsidRPr="00B40A77" w:rsidRDefault="006D1AFF" w:rsidP="00F43E7C">
      <w:pPr>
        <w:pStyle w:val="Doublehangindent"/>
        <w:rPr>
          <w:color w:val="000000" w:themeColor="text1"/>
        </w:rPr>
      </w:pPr>
      <w:r w:rsidRPr="00B40A77">
        <w:rPr>
          <w:color w:val="000000" w:themeColor="text1"/>
        </w:rPr>
        <w:t>(a)</w:t>
      </w:r>
      <w:r w:rsidRPr="00B40A77">
        <w:rPr>
          <w:color w:val="000000" w:themeColor="text1"/>
        </w:rPr>
        <w:tab/>
        <w:t>t</w:t>
      </w:r>
      <w:r w:rsidR="00514865" w:rsidRPr="00B40A77">
        <w:rPr>
          <w:color w:val="000000" w:themeColor="text1"/>
        </w:rPr>
        <w:t xml:space="preserve">hese Rules </w:t>
      </w:r>
      <w:r w:rsidR="00334B8C" w:rsidRPr="00B40A77">
        <w:rPr>
          <w:color w:val="000000" w:themeColor="text1"/>
        </w:rPr>
        <w:t>apply to</w:t>
      </w:r>
      <w:r w:rsidR="00F97542" w:rsidRPr="00B40A77">
        <w:rPr>
          <w:rFonts w:cs="Times New Roman"/>
          <w:color w:val="000000" w:themeColor="text1"/>
        </w:rPr>
        <w:t>—</w:t>
      </w:r>
    </w:p>
    <w:p w14:paraId="0AB5422A" w14:textId="77777777" w:rsidR="00514865" w:rsidRPr="00B40A77" w:rsidRDefault="008239E9" w:rsidP="00F43E7C">
      <w:pPr>
        <w:pStyle w:val="Doublehangindent"/>
        <w:ind w:firstLine="0"/>
        <w:rPr>
          <w:color w:val="000000" w:themeColor="text1"/>
        </w:rPr>
      </w:pPr>
      <w:r w:rsidRPr="00B40A77">
        <w:rPr>
          <w:color w:val="000000" w:themeColor="text1"/>
        </w:rPr>
        <w:t>(</w:t>
      </w:r>
      <w:r w:rsidR="006D1AFF" w:rsidRPr="00B40A77">
        <w:rPr>
          <w:color w:val="000000" w:themeColor="text1"/>
        </w:rPr>
        <w:t>i</w:t>
      </w:r>
      <w:r w:rsidRPr="00B40A77">
        <w:rPr>
          <w:color w:val="000000" w:themeColor="text1"/>
        </w:rPr>
        <w:t>)</w:t>
      </w:r>
      <w:r w:rsidR="006D1AFF" w:rsidRPr="00B40A77">
        <w:rPr>
          <w:color w:val="000000" w:themeColor="text1"/>
        </w:rPr>
        <w:tab/>
      </w:r>
      <w:r w:rsidR="00FD37BD" w:rsidRPr="00B40A77">
        <w:rPr>
          <w:color w:val="000000" w:themeColor="text1"/>
        </w:rPr>
        <w:t>a proceeding</w:t>
      </w:r>
      <w:r w:rsidR="00334B8C" w:rsidRPr="00B40A77">
        <w:rPr>
          <w:color w:val="000000" w:themeColor="text1"/>
        </w:rPr>
        <w:t xml:space="preserve"> commenced</w:t>
      </w:r>
      <w:r w:rsidR="00245EE6" w:rsidRPr="00B40A77">
        <w:rPr>
          <w:color w:val="000000" w:themeColor="text1"/>
        </w:rPr>
        <w:t>;</w:t>
      </w:r>
      <w:r w:rsidRPr="00B40A77">
        <w:rPr>
          <w:color w:val="000000" w:themeColor="text1"/>
        </w:rPr>
        <w:t xml:space="preserve"> and</w:t>
      </w:r>
    </w:p>
    <w:p w14:paraId="66B80206" w14:textId="06126EED" w:rsidR="00245EE6" w:rsidRPr="00B40A77" w:rsidRDefault="008239E9" w:rsidP="00F43E7C">
      <w:pPr>
        <w:pStyle w:val="Doublehangindent"/>
        <w:ind w:firstLine="0"/>
        <w:rPr>
          <w:color w:val="000000" w:themeColor="text1"/>
        </w:rPr>
      </w:pPr>
      <w:r w:rsidRPr="00B40A77">
        <w:rPr>
          <w:color w:val="000000" w:themeColor="text1"/>
        </w:rPr>
        <w:t>(</w:t>
      </w:r>
      <w:r w:rsidR="006D1AFF" w:rsidRPr="00B40A77">
        <w:rPr>
          <w:color w:val="000000" w:themeColor="text1"/>
        </w:rPr>
        <w:t>ii</w:t>
      </w:r>
      <w:r w:rsidR="001800E5" w:rsidRPr="00B40A77">
        <w:rPr>
          <w:color w:val="000000" w:themeColor="text1"/>
        </w:rPr>
        <w:t>)</w:t>
      </w:r>
      <w:r w:rsidR="001800E5" w:rsidRPr="00B40A77">
        <w:rPr>
          <w:color w:val="000000" w:themeColor="text1"/>
        </w:rPr>
        <w:tab/>
      </w:r>
      <w:r w:rsidR="00334B8C" w:rsidRPr="00B40A77">
        <w:rPr>
          <w:color w:val="000000" w:themeColor="text1"/>
        </w:rPr>
        <w:t xml:space="preserve">a </w:t>
      </w:r>
      <w:hyperlink w:anchor="_2.1—Definitions" w:history="1">
        <w:r w:rsidR="0042083D" w:rsidRPr="00B40A77">
          <w:rPr>
            <w:rStyle w:val="Hyperlink"/>
            <w:color w:val="000000" w:themeColor="text1"/>
            <w:lang w:val="en-US"/>
          </w:rPr>
          <w:t>step</w:t>
        </w:r>
      </w:hyperlink>
      <w:r w:rsidR="00DD791A" w:rsidRPr="00B40A77">
        <w:rPr>
          <w:color w:val="000000" w:themeColor="text1"/>
        </w:rPr>
        <w:t xml:space="preserve"> </w:t>
      </w:r>
      <w:r w:rsidR="00FA7EC3" w:rsidRPr="00B40A77">
        <w:rPr>
          <w:color w:val="000000" w:themeColor="text1"/>
        </w:rPr>
        <w:t xml:space="preserve">in </w:t>
      </w:r>
      <w:r w:rsidR="00FD37BD" w:rsidRPr="00B40A77">
        <w:rPr>
          <w:color w:val="000000" w:themeColor="text1"/>
        </w:rPr>
        <w:t>a proceeding</w:t>
      </w:r>
      <w:r w:rsidR="00FA7EC3" w:rsidRPr="00B40A77">
        <w:rPr>
          <w:color w:val="000000" w:themeColor="text1"/>
        </w:rPr>
        <w:t xml:space="preserve"> </w:t>
      </w:r>
      <w:r w:rsidR="00DD791A" w:rsidRPr="00B40A77">
        <w:rPr>
          <w:color w:val="000000" w:themeColor="text1"/>
        </w:rPr>
        <w:t>taken</w:t>
      </w:r>
      <w:r w:rsidR="00245EE6" w:rsidRPr="00B40A77">
        <w:rPr>
          <w:color w:val="000000" w:themeColor="text1"/>
        </w:rPr>
        <w:t>,</w:t>
      </w:r>
    </w:p>
    <w:p w14:paraId="3C3285EF" w14:textId="0C3634C5" w:rsidR="00334B8C" w:rsidRPr="00B40A77" w:rsidRDefault="00DD791A" w:rsidP="00F43E7C">
      <w:pPr>
        <w:pStyle w:val="Doublehangindent"/>
        <w:ind w:firstLine="0"/>
        <w:rPr>
          <w:color w:val="000000" w:themeColor="text1"/>
        </w:rPr>
      </w:pPr>
      <w:r w:rsidRPr="00B40A77">
        <w:rPr>
          <w:color w:val="000000" w:themeColor="text1"/>
        </w:rPr>
        <w:t xml:space="preserve">on or after the </w:t>
      </w:r>
      <w:hyperlink w:anchor="_2.1—Definitions" w:history="1">
        <w:r w:rsidRPr="00B40A77">
          <w:rPr>
            <w:rStyle w:val="Hyperlink"/>
            <w:color w:val="000000" w:themeColor="text1"/>
          </w:rPr>
          <w:t>commencement date</w:t>
        </w:r>
      </w:hyperlink>
      <w:r w:rsidR="00F97542" w:rsidRPr="00B40A77">
        <w:rPr>
          <w:color w:val="000000" w:themeColor="text1"/>
        </w:rPr>
        <w:t>; and</w:t>
      </w:r>
    </w:p>
    <w:p w14:paraId="7948EEEC" w14:textId="25166C23" w:rsidR="00C86C56" w:rsidRPr="00B40A77" w:rsidRDefault="008239E9" w:rsidP="00F43E7C">
      <w:pPr>
        <w:pStyle w:val="Doublehangindent"/>
        <w:rPr>
          <w:color w:val="000000" w:themeColor="text1"/>
        </w:rPr>
      </w:pPr>
      <w:r w:rsidRPr="00B40A77">
        <w:rPr>
          <w:color w:val="000000" w:themeColor="text1"/>
        </w:rPr>
        <w:t>(</w:t>
      </w:r>
      <w:r w:rsidR="006D1AFF" w:rsidRPr="00B40A77">
        <w:rPr>
          <w:color w:val="000000" w:themeColor="text1"/>
        </w:rPr>
        <w:t>b</w:t>
      </w:r>
      <w:r w:rsidR="00C86C56" w:rsidRPr="00B40A77">
        <w:rPr>
          <w:color w:val="000000" w:themeColor="text1"/>
        </w:rPr>
        <w:t>)</w:t>
      </w:r>
      <w:r w:rsidR="00C86C56" w:rsidRPr="00B40A77">
        <w:rPr>
          <w:color w:val="000000" w:themeColor="text1"/>
        </w:rPr>
        <w:tab/>
      </w:r>
      <w:r w:rsidR="00524695" w:rsidRPr="00B40A77">
        <w:rPr>
          <w:color w:val="000000" w:themeColor="text1"/>
        </w:rPr>
        <w:t xml:space="preserve">the </w:t>
      </w:r>
      <w:hyperlink w:anchor="_2.1—Definitions" w:history="1">
        <w:r w:rsidR="00833922" w:rsidRPr="00B40A77">
          <w:rPr>
            <w:rStyle w:val="Hyperlink"/>
            <w:color w:val="000000" w:themeColor="text1"/>
          </w:rPr>
          <w:t>Previous Rules</w:t>
        </w:r>
      </w:hyperlink>
      <w:r w:rsidR="00C86C56" w:rsidRPr="00B40A77">
        <w:rPr>
          <w:color w:val="000000" w:themeColor="text1"/>
        </w:rPr>
        <w:t xml:space="preserve"> continue to </w:t>
      </w:r>
      <w:r w:rsidR="00245EE6" w:rsidRPr="00B40A77">
        <w:rPr>
          <w:color w:val="000000" w:themeColor="text1"/>
        </w:rPr>
        <w:t>govern</w:t>
      </w:r>
      <w:r w:rsidR="00C86C56" w:rsidRPr="00B40A77">
        <w:rPr>
          <w:color w:val="000000" w:themeColor="text1"/>
        </w:rPr>
        <w:t xml:space="preserve"> a </w:t>
      </w:r>
      <w:hyperlink w:anchor="_2.1—Definitions" w:history="1">
        <w:r w:rsidR="0042083D" w:rsidRPr="00B40A77">
          <w:rPr>
            <w:rStyle w:val="Hyperlink"/>
            <w:color w:val="000000" w:themeColor="text1"/>
            <w:lang w:val="en-US"/>
          </w:rPr>
          <w:t>step</w:t>
        </w:r>
      </w:hyperlink>
      <w:r w:rsidR="00C86C56" w:rsidRPr="00B40A77">
        <w:rPr>
          <w:color w:val="000000" w:themeColor="text1"/>
        </w:rPr>
        <w:t xml:space="preserve"> </w:t>
      </w:r>
      <w:r w:rsidR="005823BA" w:rsidRPr="00B40A77">
        <w:rPr>
          <w:color w:val="000000" w:themeColor="text1"/>
        </w:rPr>
        <w:t xml:space="preserve">in </w:t>
      </w:r>
      <w:r w:rsidR="00FD37BD" w:rsidRPr="00B40A77">
        <w:rPr>
          <w:color w:val="000000" w:themeColor="text1"/>
        </w:rPr>
        <w:t>a proceeding</w:t>
      </w:r>
      <w:r w:rsidR="005823BA" w:rsidRPr="00B40A77">
        <w:rPr>
          <w:color w:val="000000" w:themeColor="text1"/>
        </w:rPr>
        <w:t xml:space="preserve"> </w:t>
      </w:r>
      <w:r w:rsidR="00C86C56" w:rsidRPr="00B40A77">
        <w:rPr>
          <w:color w:val="000000" w:themeColor="text1"/>
        </w:rPr>
        <w:t xml:space="preserve">taken before the </w:t>
      </w:r>
      <w:hyperlink w:anchor="_2.1—Definitions" w:history="1">
        <w:hyperlink w:anchor="_2.1—Definitions" w:history="1">
          <w:r w:rsidR="001742C0" w:rsidRPr="00B40A77">
            <w:rPr>
              <w:rStyle w:val="Hyperlink"/>
              <w:color w:val="000000" w:themeColor="text1"/>
            </w:rPr>
            <w:t>commencement date</w:t>
          </w:r>
        </w:hyperlink>
      </w:hyperlink>
      <w:r w:rsidR="00C86C56" w:rsidRPr="00B40A77">
        <w:rPr>
          <w:color w:val="000000" w:themeColor="text1"/>
        </w:rPr>
        <w:t>.</w:t>
      </w:r>
    </w:p>
    <w:p w14:paraId="7E02D069" w14:textId="23A7E5B9" w:rsidR="00002199" w:rsidRPr="00B40A77" w:rsidRDefault="00B501A2" w:rsidP="00002199">
      <w:pPr>
        <w:pStyle w:val="Hangindent"/>
        <w:rPr>
          <w:color w:val="000000" w:themeColor="text1"/>
        </w:rPr>
      </w:pPr>
      <w:r w:rsidRPr="00B40A77">
        <w:rPr>
          <w:color w:val="000000" w:themeColor="text1"/>
        </w:rPr>
        <w:t>(</w:t>
      </w:r>
      <w:r w:rsidR="00AF240C" w:rsidRPr="00B40A77">
        <w:rPr>
          <w:color w:val="000000" w:themeColor="text1"/>
        </w:rPr>
        <w:t>2</w:t>
      </w:r>
      <w:r w:rsidR="00002199" w:rsidRPr="00B40A77">
        <w:rPr>
          <w:color w:val="000000" w:themeColor="text1"/>
        </w:rPr>
        <w:t>)</w:t>
      </w:r>
      <w:r w:rsidR="00002199" w:rsidRPr="00B40A77">
        <w:rPr>
          <w:color w:val="000000" w:themeColor="text1"/>
        </w:rPr>
        <w:tab/>
        <w:t xml:space="preserve">If the time to commence or take a </w:t>
      </w:r>
      <w:hyperlink w:anchor="_2.1—Definitions" w:history="1">
        <w:r w:rsidR="0042083D" w:rsidRPr="00B40A77">
          <w:rPr>
            <w:rStyle w:val="Hyperlink"/>
            <w:color w:val="000000" w:themeColor="text1"/>
            <w:lang w:val="en-US"/>
          </w:rPr>
          <w:t>step</w:t>
        </w:r>
      </w:hyperlink>
      <w:r w:rsidR="00002199" w:rsidRPr="00B40A77">
        <w:rPr>
          <w:color w:val="000000" w:themeColor="text1"/>
        </w:rPr>
        <w:t xml:space="preserve"> in </w:t>
      </w:r>
      <w:r w:rsidR="00FD37BD" w:rsidRPr="00B40A77">
        <w:rPr>
          <w:color w:val="000000" w:themeColor="text1"/>
        </w:rPr>
        <w:t>a proceeding</w:t>
      </w:r>
      <w:r w:rsidR="00002199" w:rsidRPr="00B40A77">
        <w:rPr>
          <w:color w:val="000000" w:themeColor="text1"/>
        </w:rPr>
        <w:t xml:space="preserve"> under </w:t>
      </w:r>
      <w:r w:rsidR="00833922" w:rsidRPr="00B40A77">
        <w:rPr>
          <w:color w:val="000000" w:themeColor="text1"/>
        </w:rPr>
        <w:t xml:space="preserve">the </w:t>
      </w:r>
      <w:hyperlink w:anchor="_2.1—Definitions" w:history="1">
        <w:r w:rsidR="00833922" w:rsidRPr="00B40A77">
          <w:rPr>
            <w:rStyle w:val="Hyperlink"/>
            <w:color w:val="000000" w:themeColor="text1"/>
          </w:rPr>
          <w:t>Previous Rules</w:t>
        </w:r>
      </w:hyperlink>
      <w:r w:rsidR="00002199" w:rsidRPr="00B40A77">
        <w:rPr>
          <w:color w:val="000000" w:themeColor="text1"/>
        </w:rPr>
        <w:t xml:space="preserve"> has not expired as at the </w:t>
      </w:r>
      <w:hyperlink w:anchor="_2.1—Definitions" w:history="1">
        <w:hyperlink w:anchor="_2.1—Definitions" w:history="1">
          <w:r w:rsidR="001742C0" w:rsidRPr="00B40A77">
            <w:rPr>
              <w:rStyle w:val="Hyperlink"/>
              <w:color w:val="000000" w:themeColor="text1"/>
            </w:rPr>
            <w:t>commencement date</w:t>
          </w:r>
        </w:hyperlink>
      </w:hyperlink>
      <w:r w:rsidR="00002199" w:rsidRPr="00B40A77">
        <w:rPr>
          <w:color w:val="000000" w:themeColor="text1"/>
        </w:rPr>
        <w:t xml:space="preserve">, the time to commence or take a </w:t>
      </w:r>
      <w:hyperlink w:anchor="_2.1—Definitions" w:history="1">
        <w:r w:rsidR="0042083D" w:rsidRPr="00B40A77">
          <w:rPr>
            <w:rStyle w:val="Hyperlink"/>
            <w:color w:val="000000" w:themeColor="text1"/>
            <w:lang w:val="en-US"/>
          </w:rPr>
          <w:t>step</w:t>
        </w:r>
      </w:hyperlink>
      <w:r w:rsidR="00002199" w:rsidRPr="00B40A77">
        <w:rPr>
          <w:color w:val="000000" w:themeColor="text1"/>
        </w:rPr>
        <w:t xml:space="preserve"> in the proceeding </w:t>
      </w:r>
      <w:r w:rsidR="00E17FC7" w:rsidRPr="00B40A77">
        <w:rPr>
          <w:color w:val="000000" w:themeColor="text1"/>
        </w:rPr>
        <w:t xml:space="preserve">continues to be governed by </w:t>
      </w:r>
      <w:r w:rsidR="00833922" w:rsidRPr="00B40A77">
        <w:rPr>
          <w:color w:val="000000" w:themeColor="text1"/>
        </w:rPr>
        <w:t xml:space="preserve">the </w:t>
      </w:r>
      <w:hyperlink w:anchor="_2.1—Definitions" w:history="1">
        <w:r w:rsidR="00833922" w:rsidRPr="00B40A77">
          <w:rPr>
            <w:rStyle w:val="Hyperlink"/>
            <w:color w:val="000000" w:themeColor="text1"/>
          </w:rPr>
          <w:t>Previous Rules</w:t>
        </w:r>
      </w:hyperlink>
      <w:r w:rsidR="00E17FC7" w:rsidRPr="00B40A77">
        <w:rPr>
          <w:color w:val="000000" w:themeColor="text1"/>
        </w:rPr>
        <w:t xml:space="preserve"> </w:t>
      </w:r>
      <w:r w:rsidR="00F97542" w:rsidRPr="00B40A77">
        <w:rPr>
          <w:color w:val="000000" w:themeColor="text1"/>
        </w:rPr>
        <w:t>(</w:t>
      </w:r>
      <w:r w:rsidR="00E17FC7" w:rsidRPr="00B40A77">
        <w:rPr>
          <w:color w:val="000000" w:themeColor="text1"/>
        </w:rPr>
        <w:t xml:space="preserve">unless </w:t>
      </w:r>
      <w:r w:rsidR="001C7313" w:rsidRPr="00B40A77">
        <w:rPr>
          <w:color w:val="000000" w:themeColor="text1"/>
        </w:rPr>
        <w:t>these Rules</w:t>
      </w:r>
      <w:r w:rsidR="00E17FC7" w:rsidRPr="00B40A77">
        <w:rPr>
          <w:color w:val="000000" w:themeColor="text1"/>
        </w:rPr>
        <w:t xml:space="preserve"> </w:t>
      </w:r>
      <w:r w:rsidR="00F97542" w:rsidRPr="00B40A77">
        <w:rPr>
          <w:color w:val="000000" w:themeColor="text1"/>
        </w:rPr>
        <w:t>provide for a longer</w:t>
      </w:r>
      <w:r w:rsidR="00E17FC7" w:rsidRPr="00B40A77">
        <w:rPr>
          <w:color w:val="000000" w:themeColor="text1"/>
        </w:rPr>
        <w:t xml:space="preserve"> time</w:t>
      </w:r>
      <w:r w:rsidR="00F97542" w:rsidRPr="00B40A77">
        <w:rPr>
          <w:color w:val="000000" w:themeColor="text1"/>
        </w:rPr>
        <w:t>)</w:t>
      </w:r>
      <w:r w:rsidR="00E17FC7" w:rsidRPr="00B40A77">
        <w:rPr>
          <w:color w:val="000000" w:themeColor="text1"/>
        </w:rPr>
        <w:t xml:space="preserve">. </w:t>
      </w:r>
    </w:p>
    <w:p w14:paraId="2088D973" w14:textId="1B469283" w:rsidR="000437E5" w:rsidRPr="00B40A77" w:rsidRDefault="000437E5" w:rsidP="00002199">
      <w:pPr>
        <w:pStyle w:val="Hangindent"/>
        <w:rPr>
          <w:color w:val="000000" w:themeColor="text1"/>
        </w:rPr>
      </w:pPr>
      <w:r w:rsidRPr="00B40A77">
        <w:rPr>
          <w:color w:val="000000" w:themeColor="text1"/>
        </w:rPr>
        <w:t>(3)</w:t>
      </w:r>
      <w:r w:rsidRPr="00B40A77">
        <w:rPr>
          <w:color w:val="000000" w:themeColor="text1"/>
        </w:rPr>
        <w:tab/>
        <w:t xml:space="preserve">Despite subrule (1), provisions of the </w:t>
      </w:r>
      <w:hyperlink w:anchor="_2.1—Definitions" w:history="1">
        <w:r w:rsidR="00732D46" w:rsidRPr="00B40A77">
          <w:rPr>
            <w:rStyle w:val="Hyperlink"/>
            <w:color w:val="000000" w:themeColor="text1"/>
          </w:rPr>
          <w:t>Previous Rules</w:t>
        </w:r>
      </w:hyperlink>
      <w:r w:rsidRPr="00B40A77">
        <w:rPr>
          <w:color w:val="000000" w:themeColor="text1"/>
        </w:rPr>
        <w:t xml:space="preserve"> applying to the name of the informant in a </w:t>
      </w:r>
      <w:hyperlink w:anchor="_2.1—Definitions" w:history="1">
        <w:r w:rsidRPr="00B40A77">
          <w:rPr>
            <w:rStyle w:val="Hyperlink"/>
            <w:color w:val="000000" w:themeColor="text1"/>
          </w:rPr>
          <w:t>Lower Court</w:t>
        </w:r>
      </w:hyperlink>
      <w:r w:rsidRPr="00B40A77">
        <w:rPr>
          <w:color w:val="000000" w:themeColor="text1"/>
        </w:rPr>
        <w:t xml:space="preserve"> proceeding commenced before the </w:t>
      </w:r>
      <w:hyperlink w:anchor="_2.1—Definitions" w:history="1">
        <w:r w:rsidR="001742C0" w:rsidRPr="00B40A77">
          <w:rPr>
            <w:rStyle w:val="Hyperlink"/>
            <w:color w:val="000000" w:themeColor="text1"/>
          </w:rPr>
          <w:t>commencement date</w:t>
        </w:r>
      </w:hyperlink>
      <w:r w:rsidRPr="00B40A77">
        <w:rPr>
          <w:color w:val="000000" w:themeColor="text1"/>
        </w:rPr>
        <w:t xml:space="preserve"> or in an appeal (whenever commenced) from or in respect of such a </w:t>
      </w:r>
      <w:hyperlink w:anchor="_2.1—Definitions" w:history="1">
        <w:r w:rsidR="00981911" w:rsidRPr="00B40A77">
          <w:rPr>
            <w:rStyle w:val="Hyperlink"/>
            <w:color w:val="000000" w:themeColor="text1"/>
          </w:rPr>
          <w:t>Lower Court</w:t>
        </w:r>
      </w:hyperlink>
      <w:r w:rsidRPr="00B40A77">
        <w:rPr>
          <w:color w:val="000000" w:themeColor="text1"/>
        </w:rPr>
        <w:t xml:space="preserve"> proceeding continue to apply after the </w:t>
      </w:r>
      <w:hyperlink w:anchor="_2.1—Definitions" w:history="1">
        <w:r w:rsidR="001742C0" w:rsidRPr="00B40A77">
          <w:rPr>
            <w:rStyle w:val="Hyperlink"/>
            <w:color w:val="000000" w:themeColor="text1"/>
          </w:rPr>
          <w:t>commencement date</w:t>
        </w:r>
      </w:hyperlink>
      <w:r w:rsidRPr="00B40A77">
        <w:rPr>
          <w:color w:val="000000" w:themeColor="text1"/>
        </w:rPr>
        <w:t xml:space="preserve"> in respect of that </w:t>
      </w:r>
      <w:hyperlink w:anchor="_2.1—Definitions" w:history="1">
        <w:r w:rsidR="00981911" w:rsidRPr="00B40A77">
          <w:rPr>
            <w:rStyle w:val="Hyperlink"/>
            <w:color w:val="000000" w:themeColor="text1"/>
          </w:rPr>
          <w:t>Lower Court</w:t>
        </w:r>
      </w:hyperlink>
      <w:r w:rsidR="0078069A" w:rsidRPr="00B40A77">
        <w:rPr>
          <w:color w:val="000000" w:themeColor="text1"/>
        </w:rPr>
        <w:t xml:space="preserve"> </w:t>
      </w:r>
      <w:r w:rsidRPr="00B40A77">
        <w:rPr>
          <w:color w:val="000000" w:themeColor="text1"/>
        </w:rPr>
        <w:t>proceeding or any such appeal</w:t>
      </w:r>
      <w:r w:rsidR="0078069A" w:rsidRPr="00B40A77">
        <w:rPr>
          <w:color w:val="000000" w:themeColor="text1"/>
        </w:rPr>
        <w:t>.</w:t>
      </w:r>
      <w:r w:rsidRPr="00B40A77">
        <w:rPr>
          <w:color w:val="000000" w:themeColor="text1"/>
        </w:rPr>
        <w:t xml:space="preserve"> </w:t>
      </w:r>
    </w:p>
    <w:p w14:paraId="73543DDB" w14:textId="1ECEFD72" w:rsidR="003044DF" w:rsidRPr="00B40A77" w:rsidRDefault="003044DF" w:rsidP="00002199">
      <w:pPr>
        <w:pStyle w:val="Hangindent"/>
        <w:rPr>
          <w:color w:val="000000" w:themeColor="text1"/>
        </w:rPr>
      </w:pPr>
      <w:r w:rsidRPr="00B40A77">
        <w:rPr>
          <w:color w:val="000000" w:themeColor="text1"/>
        </w:rPr>
        <w:t>(</w:t>
      </w:r>
      <w:r w:rsidR="0078069A" w:rsidRPr="00B40A77">
        <w:rPr>
          <w:color w:val="000000" w:themeColor="text1"/>
        </w:rPr>
        <w:t>4</w:t>
      </w:r>
      <w:r w:rsidRPr="00B40A77">
        <w:rPr>
          <w:color w:val="000000" w:themeColor="text1"/>
        </w:rPr>
        <w:t>)</w:t>
      </w:r>
      <w:r w:rsidRPr="00B40A77">
        <w:rPr>
          <w:color w:val="000000" w:themeColor="text1"/>
        </w:rPr>
        <w:tab/>
        <w:t xml:space="preserve">Despite rules </w:t>
      </w:r>
      <w:hyperlink w:anchor="_75.1—Prosecution_disclosure_of" w:history="1">
        <w:r w:rsidRPr="00B40A77">
          <w:rPr>
            <w:rStyle w:val="Hyperlink"/>
            <w:color w:val="000000" w:themeColor="text1"/>
          </w:rPr>
          <w:t>75.1</w:t>
        </w:r>
      </w:hyperlink>
      <w:r w:rsidRPr="00B40A77">
        <w:rPr>
          <w:color w:val="000000" w:themeColor="text1"/>
        </w:rPr>
        <w:t xml:space="preserve">(3), </w:t>
      </w:r>
      <w:hyperlink w:anchor="_82.3—Evidentiary_material_briefs" w:history="1">
        <w:r w:rsidRPr="00B40A77">
          <w:rPr>
            <w:rStyle w:val="Hyperlink"/>
            <w:color w:val="000000" w:themeColor="text1"/>
          </w:rPr>
          <w:t>82.3</w:t>
        </w:r>
      </w:hyperlink>
      <w:r w:rsidRPr="00B40A77">
        <w:rPr>
          <w:color w:val="000000" w:themeColor="text1"/>
        </w:rPr>
        <w:t>(1)</w:t>
      </w:r>
      <w:r w:rsidR="005C7FCB" w:rsidRPr="00B40A77">
        <w:rPr>
          <w:color w:val="000000" w:themeColor="text1"/>
        </w:rPr>
        <w:t xml:space="preserve"> and</w:t>
      </w:r>
      <w:r w:rsidRPr="00B40A77">
        <w:rPr>
          <w:color w:val="000000" w:themeColor="text1"/>
        </w:rPr>
        <w:t xml:space="preserve"> </w:t>
      </w:r>
      <w:hyperlink w:anchor="_93.2—Prosecution_disclosure_of" w:history="1">
        <w:r w:rsidR="005C7FCB" w:rsidRPr="00B40A77">
          <w:rPr>
            <w:rStyle w:val="Hyperlink"/>
            <w:color w:val="000000" w:themeColor="text1"/>
          </w:rPr>
          <w:t>93.2</w:t>
        </w:r>
      </w:hyperlink>
      <w:r w:rsidR="005C7FCB" w:rsidRPr="00B40A77">
        <w:rPr>
          <w:color w:val="000000" w:themeColor="text1"/>
        </w:rPr>
        <w:t xml:space="preserve">(4), unless the Court otherwise orders, if material that would have been contained in an evidentiary material brief if these Rules had been in force previously has been filed in a proceeding </w:t>
      </w:r>
      <w:r w:rsidR="0045510A" w:rsidRPr="00B40A77">
        <w:rPr>
          <w:color w:val="000000" w:themeColor="text1"/>
        </w:rPr>
        <w:t xml:space="preserve">before the </w:t>
      </w:r>
      <w:hyperlink w:anchor="_2.1—Definitions" w:history="1">
        <w:r w:rsidR="001742C0" w:rsidRPr="00B40A77">
          <w:rPr>
            <w:rStyle w:val="Hyperlink"/>
            <w:color w:val="000000" w:themeColor="text1"/>
          </w:rPr>
          <w:t>commencement date</w:t>
        </w:r>
      </w:hyperlink>
      <w:r w:rsidR="0045510A" w:rsidRPr="00B40A77">
        <w:rPr>
          <w:color w:val="000000" w:themeColor="text1"/>
        </w:rPr>
        <w:t xml:space="preserve">, </w:t>
      </w:r>
      <w:r w:rsidR="0057676F" w:rsidRPr="00B40A77">
        <w:rPr>
          <w:color w:val="000000" w:themeColor="text1"/>
        </w:rPr>
        <w:t xml:space="preserve">any evidentiary material brief filed in the proceeding in that court or another court to which the proceeding is transferred or the defendant or youth committed for trial or </w:t>
      </w:r>
      <w:hyperlink w:anchor="_2.1—Definitions" w:history="1">
        <w:r w:rsidR="00340620" w:rsidRPr="00B40A77">
          <w:rPr>
            <w:rStyle w:val="Hyperlink"/>
            <w:color w:val="000000" w:themeColor="text1"/>
          </w:rPr>
          <w:t>sentence</w:t>
        </w:r>
      </w:hyperlink>
      <w:r w:rsidR="0057676F" w:rsidRPr="00B40A77">
        <w:rPr>
          <w:color w:val="000000" w:themeColor="text1"/>
        </w:rPr>
        <w:t xml:space="preserve"> must be filed in hard copy form.</w:t>
      </w:r>
    </w:p>
    <w:p w14:paraId="09F44DC4" w14:textId="0FB37B2E" w:rsidR="0057676F" w:rsidRPr="00B40A77" w:rsidRDefault="0057676F" w:rsidP="0057676F">
      <w:pPr>
        <w:pStyle w:val="Hangindent"/>
        <w:rPr>
          <w:color w:val="000000" w:themeColor="text1"/>
        </w:rPr>
      </w:pPr>
      <w:r w:rsidRPr="00B40A77">
        <w:rPr>
          <w:color w:val="000000" w:themeColor="text1"/>
        </w:rPr>
        <w:t>(</w:t>
      </w:r>
      <w:r w:rsidR="0078069A" w:rsidRPr="00B40A77">
        <w:rPr>
          <w:color w:val="000000" w:themeColor="text1"/>
        </w:rPr>
        <w:t>5</w:t>
      </w:r>
      <w:r w:rsidRPr="00B40A77">
        <w:rPr>
          <w:color w:val="000000" w:themeColor="text1"/>
        </w:rPr>
        <w:t>)</w:t>
      </w:r>
      <w:r w:rsidRPr="00B40A77">
        <w:rPr>
          <w:color w:val="000000" w:themeColor="text1"/>
        </w:rPr>
        <w:tab/>
        <w:t xml:space="preserve">Despite rules </w:t>
      </w:r>
      <w:hyperlink w:anchor="_75.1—Prosecution_disclosure_of" w:history="1">
        <w:r w:rsidR="00464142" w:rsidRPr="00B40A77">
          <w:rPr>
            <w:rStyle w:val="Hyperlink"/>
            <w:color w:val="000000" w:themeColor="text1"/>
          </w:rPr>
          <w:t>75.1</w:t>
        </w:r>
      </w:hyperlink>
      <w:r w:rsidRPr="00B40A77">
        <w:rPr>
          <w:color w:val="000000" w:themeColor="text1"/>
        </w:rPr>
        <w:t xml:space="preserve">(4), </w:t>
      </w:r>
      <w:hyperlink w:anchor="_82.3—Evidentiary_material_briefs" w:history="1">
        <w:r w:rsidR="004306AF" w:rsidRPr="00B40A77">
          <w:rPr>
            <w:rStyle w:val="Hyperlink"/>
            <w:color w:val="000000" w:themeColor="text1"/>
          </w:rPr>
          <w:t>82.3</w:t>
        </w:r>
      </w:hyperlink>
      <w:r w:rsidRPr="00B40A77">
        <w:rPr>
          <w:color w:val="000000" w:themeColor="text1"/>
        </w:rPr>
        <w:t xml:space="preserve">(2) and </w:t>
      </w:r>
      <w:hyperlink w:anchor="_93.2—Prosecution_disclosure_of" w:history="1">
        <w:r w:rsidR="004306AF" w:rsidRPr="00B40A77">
          <w:rPr>
            <w:rStyle w:val="Hyperlink"/>
            <w:color w:val="000000" w:themeColor="text1"/>
          </w:rPr>
          <w:t>93.2</w:t>
        </w:r>
      </w:hyperlink>
      <w:r w:rsidRPr="00B40A77">
        <w:rPr>
          <w:color w:val="000000" w:themeColor="text1"/>
        </w:rPr>
        <w:t xml:space="preserve">(5), unless the Court otherwise orders, if material that would have been contained in an evidentiary material brief if these Rules had been in force previously has been served in a proceeding before the </w:t>
      </w:r>
      <w:hyperlink w:anchor="_2.1—Definitions" w:history="1">
        <w:r w:rsidR="001742C0" w:rsidRPr="00B40A77">
          <w:rPr>
            <w:rStyle w:val="Hyperlink"/>
            <w:color w:val="000000" w:themeColor="text1"/>
          </w:rPr>
          <w:t>commencement date</w:t>
        </w:r>
      </w:hyperlink>
      <w:r w:rsidRPr="00B40A77">
        <w:rPr>
          <w:color w:val="000000" w:themeColor="text1"/>
        </w:rPr>
        <w:t xml:space="preserve">, any evidentiary material brief served in the proceeding in that court or another court to which the proceeding is transferred or the defendant or youth committed for trial or </w:t>
      </w:r>
      <w:hyperlink w:anchor="_2.1—Definitions" w:history="1">
        <w:r w:rsidR="00340620" w:rsidRPr="00B40A77">
          <w:rPr>
            <w:rStyle w:val="Hyperlink"/>
            <w:color w:val="000000" w:themeColor="text1"/>
          </w:rPr>
          <w:t>sentence</w:t>
        </w:r>
      </w:hyperlink>
      <w:r w:rsidRPr="00B40A77">
        <w:rPr>
          <w:color w:val="000000" w:themeColor="text1"/>
        </w:rPr>
        <w:t xml:space="preserve"> must be served in hard copy form.</w:t>
      </w:r>
    </w:p>
    <w:p w14:paraId="1FE1DD16" w14:textId="77777777" w:rsidR="005C7FCB" w:rsidRPr="00B40A77" w:rsidRDefault="005C7FCB" w:rsidP="00002199">
      <w:pPr>
        <w:pStyle w:val="Hangindent"/>
        <w:rPr>
          <w:color w:val="000000" w:themeColor="text1"/>
        </w:rPr>
      </w:pPr>
    </w:p>
    <w:p w14:paraId="78815C8A" w14:textId="77777777" w:rsidR="00F43E7C" w:rsidRPr="00B40A77" w:rsidRDefault="00F43E7C" w:rsidP="004057D2">
      <w:pPr>
        <w:pStyle w:val="Heading4"/>
        <w:rPr>
          <w:color w:val="000000" w:themeColor="text1"/>
        </w:rPr>
      </w:pPr>
      <w:bookmarkStart w:id="15" w:name="_Toc175238724"/>
      <w:bookmarkStart w:id="16" w:name="_Hlk24639779"/>
      <w:r w:rsidRPr="00B40A77">
        <w:rPr>
          <w:color w:val="000000" w:themeColor="text1"/>
        </w:rPr>
        <w:t>1.</w:t>
      </w:r>
      <w:r w:rsidR="00F94825" w:rsidRPr="00B40A77">
        <w:rPr>
          <w:color w:val="000000" w:themeColor="text1"/>
        </w:rPr>
        <w:t>5</w:t>
      </w:r>
      <w:r w:rsidRPr="00B40A77">
        <w:rPr>
          <w:color w:val="000000" w:themeColor="text1"/>
        </w:rPr>
        <w:t>—</w:t>
      </w:r>
      <w:r w:rsidR="00F97542" w:rsidRPr="00B40A77">
        <w:rPr>
          <w:color w:val="000000" w:themeColor="text1"/>
        </w:rPr>
        <w:t>Object</w:t>
      </w:r>
      <w:bookmarkEnd w:id="15"/>
    </w:p>
    <w:p w14:paraId="15C81744" w14:textId="1EEF8287" w:rsidR="00F43E7C" w:rsidRPr="00B40A77" w:rsidRDefault="00172757" w:rsidP="006A5750">
      <w:pPr>
        <w:pStyle w:val="Hangindent"/>
        <w:keepNext/>
        <w:rPr>
          <w:color w:val="000000" w:themeColor="text1"/>
        </w:rPr>
      </w:pPr>
      <w:r w:rsidRPr="00B40A77">
        <w:rPr>
          <w:color w:val="000000" w:themeColor="text1"/>
        </w:rPr>
        <w:t>(1)</w:t>
      </w:r>
      <w:r w:rsidRPr="00B40A77">
        <w:rPr>
          <w:color w:val="000000" w:themeColor="text1"/>
        </w:rPr>
        <w:tab/>
      </w:r>
      <w:r w:rsidR="00F43E7C" w:rsidRPr="00B40A77">
        <w:rPr>
          <w:color w:val="000000" w:themeColor="text1"/>
        </w:rPr>
        <w:t xml:space="preserve">The </w:t>
      </w:r>
      <w:r w:rsidR="00F97542" w:rsidRPr="00B40A77">
        <w:rPr>
          <w:color w:val="000000" w:themeColor="text1"/>
        </w:rPr>
        <w:t>object</w:t>
      </w:r>
      <w:r w:rsidR="00F43E7C" w:rsidRPr="00B40A77">
        <w:rPr>
          <w:color w:val="000000" w:themeColor="text1"/>
        </w:rPr>
        <w:t xml:space="preserve"> of </w:t>
      </w:r>
      <w:r w:rsidR="001C7313" w:rsidRPr="00B40A77">
        <w:rPr>
          <w:color w:val="000000" w:themeColor="text1"/>
        </w:rPr>
        <w:t>these Rules</w:t>
      </w:r>
      <w:r w:rsidR="00F43E7C" w:rsidRPr="00B40A77">
        <w:rPr>
          <w:color w:val="000000" w:themeColor="text1"/>
        </w:rPr>
        <w:t xml:space="preserve"> is to facilit</w:t>
      </w:r>
      <w:r w:rsidR="00F73320" w:rsidRPr="00B40A77">
        <w:rPr>
          <w:color w:val="000000" w:themeColor="text1"/>
        </w:rPr>
        <w:t>ate the just, efficient, timely and</w:t>
      </w:r>
      <w:r w:rsidR="00F43E7C" w:rsidRPr="00B40A77">
        <w:rPr>
          <w:color w:val="000000" w:themeColor="text1"/>
        </w:rPr>
        <w:t xml:space="preserve"> cost</w:t>
      </w:r>
      <w:r w:rsidR="00F43E7C" w:rsidRPr="00B40A77">
        <w:rPr>
          <w:color w:val="000000" w:themeColor="text1"/>
        </w:rPr>
        <w:noBreakHyphen/>
        <w:t xml:space="preserve">effective determination of proceedings governed by </w:t>
      </w:r>
      <w:r w:rsidR="001C7313" w:rsidRPr="00B40A77">
        <w:rPr>
          <w:color w:val="000000" w:themeColor="text1"/>
        </w:rPr>
        <w:t>these Rules</w:t>
      </w:r>
      <w:r w:rsidR="00F43E7C" w:rsidRPr="00B40A77">
        <w:rPr>
          <w:color w:val="000000" w:themeColor="text1"/>
        </w:rPr>
        <w:t>.</w:t>
      </w:r>
    </w:p>
    <w:p w14:paraId="38314C5E" w14:textId="77777777" w:rsidR="00F43E7C" w:rsidRPr="00B40A77" w:rsidRDefault="00F43E7C" w:rsidP="006A5750">
      <w:pPr>
        <w:pStyle w:val="NoteHeader"/>
        <w:keepNext/>
        <w:ind w:left="567" w:firstLine="567"/>
        <w:rPr>
          <w:color w:val="000000" w:themeColor="text1"/>
        </w:rPr>
      </w:pPr>
      <w:r w:rsidRPr="00B40A77">
        <w:rPr>
          <w:color w:val="000000" w:themeColor="text1"/>
        </w:rPr>
        <w:t>Note</w:t>
      </w:r>
      <w:r w:rsidR="00960FE3" w:rsidRPr="00B40A77">
        <w:rPr>
          <w:color w:val="000000" w:themeColor="text1"/>
        </w:rPr>
        <w:t>s</w:t>
      </w:r>
      <w:r w:rsidRPr="00B40A77">
        <w:rPr>
          <w:color w:val="000000" w:themeColor="text1"/>
        </w:rPr>
        <w:t>—</w:t>
      </w:r>
    </w:p>
    <w:p w14:paraId="564B829F" w14:textId="175F654D" w:rsidR="00AF240C" w:rsidRPr="00B40A77" w:rsidRDefault="007F3A65" w:rsidP="006A5750">
      <w:pPr>
        <w:pStyle w:val="NoteText"/>
        <w:keepNext/>
        <w:rPr>
          <w:color w:val="000000" w:themeColor="text1"/>
        </w:rPr>
      </w:pPr>
      <w:r w:rsidRPr="00B40A77">
        <w:rPr>
          <w:color w:val="000000" w:themeColor="text1"/>
        </w:rPr>
        <w:t>Section</w:t>
      </w:r>
      <w:r w:rsidR="00EA4CCB" w:rsidRPr="00B40A77">
        <w:rPr>
          <w:color w:val="000000" w:themeColor="text1"/>
        </w:rPr>
        <w:t xml:space="preserve"> 3</w:t>
      </w:r>
      <w:r w:rsidRPr="00B40A77">
        <w:rPr>
          <w:color w:val="000000" w:themeColor="text1"/>
        </w:rPr>
        <w:t xml:space="preserve"> of the </w:t>
      </w:r>
      <w:r w:rsidR="00EA4CCB" w:rsidRPr="00B40A77">
        <w:rPr>
          <w:i/>
          <w:color w:val="000000" w:themeColor="text1"/>
        </w:rPr>
        <w:t xml:space="preserve">Legislation Interpretation Act 2021 </w:t>
      </w:r>
      <w:r w:rsidRPr="00B40A77">
        <w:rPr>
          <w:color w:val="000000" w:themeColor="text1"/>
        </w:rPr>
        <w:t>generally applies the provisions of the Act to “</w:t>
      </w:r>
      <w:r w:rsidR="00EA4CCB" w:rsidRPr="00B40A77">
        <w:rPr>
          <w:color w:val="000000" w:themeColor="text1"/>
        </w:rPr>
        <w:t>legislative instruments</w:t>
      </w:r>
      <w:r w:rsidRPr="00B40A77">
        <w:rPr>
          <w:color w:val="000000" w:themeColor="text1"/>
        </w:rPr>
        <w:t xml:space="preserve">”. </w:t>
      </w:r>
    </w:p>
    <w:p w14:paraId="29DEEAC0" w14:textId="2FADB53A" w:rsidR="007F3A65" w:rsidRPr="00B40A77" w:rsidRDefault="001C7313" w:rsidP="007F3A65">
      <w:pPr>
        <w:pStyle w:val="NoteText"/>
        <w:rPr>
          <w:color w:val="000000" w:themeColor="text1"/>
        </w:rPr>
      </w:pPr>
      <w:r w:rsidRPr="00B40A77">
        <w:rPr>
          <w:color w:val="000000" w:themeColor="text1"/>
        </w:rPr>
        <w:t>These Rules</w:t>
      </w:r>
      <w:r w:rsidR="00326E1D" w:rsidRPr="00B40A77">
        <w:rPr>
          <w:color w:val="000000" w:themeColor="text1"/>
        </w:rPr>
        <w:t xml:space="preserve"> are</w:t>
      </w:r>
      <w:r w:rsidR="007F3A65" w:rsidRPr="00B40A77">
        <w:rPr>
          <w:color w:val="000000" w:themeColor="text1"/>
        </w:rPr>
        <w:t xml:space="preserve"> a “</w:t>
      </w:r>
      <w:r w:rsidR="00EA4CCB" w:rsidRPr="00B40A77">
        <w:rPr>
          <w:color w:val="000000" w:themeColor="text1"/>
        </w:rPr>
        <w:t>legislative instrument</w:t>
      </w:r>
      <w:r w:rsidR="007F3A65" w:rsidRPr="00B40A77">
        <w:rPr>
          <w:color w:val="000000" w:themeColor="text1"/>
        </w:rPr>
        <w:t xml:space="preserve">” within the meaning of the </w:t>
      </w:r>
      <w:r w:rsidR="00EA4CCB" w:rsidRPr="00B40A77">
        <w:rPr>
          <w:i/>
          <w:color w:val="000000" w:themeColor="text1"/>
        </w:rPr>
        <w:t>Legislation Interpretation Act 2021</w:t>
      </w:r>
      <w:r w:rsidR="007F3A65" w:rsidRPr="00B40A77">
        <w:rPr>
          <w:color w:val="000000" w:themeColor="text1"/>
        </w:rPr>
        <w:t>.</w:t>
      </w:r>
    </w:p>
    <w:p w14:paraId="67E08B2F" w14:textId="2A02C442" w:rsidR="00F43E7C" w:rsidRPr="00B40A77" w:rsidRDefault="00F43E7C" w:rsidP="00F43E7C">
      <w:pPr>
        <w:pStyle w:val="NoteText"/>
        <w:rPr>
          <w:color w:val="000000" w:themeColor="text1"/>
        </w:rPr>
      </w:pPr>
      <w:r w:rsidRPr="00B40A77">
        <w:rPr>
          <w:color w:val="000000" w:themeColor="text1"/>
        </w:rPr>
        <w:t xml:space="preserve">Section </w:t>
      </w:r>
      <w:r w:rsidR="00EA4CCB" w:rsidRPr="00B40A77">
        <w:rPr>
          <w:color w:val="000000" w:themeColor="text1"/>
        </w:rPr>
        <w:t>14</w:t>
      </w:r>
      <w:r w:rsidRPr="00B40A77">
        <w:rPr>
          <w:color w:val="000000" w:themeColor="text1"/>
        </w:rPr>
        <w:t xml:space="preserve"> of the </w:t>
      </w:r>
      <w:r w:rsidR="00EA4CCB" w:rsidRPr="00B40A77">
        <w:rPr>
          <w:i/>
          <w:color w:val="000000" w:themeColor="text1"/>
        </w:rPr>
        <w:t>Legislation</w:t>
      </w:r>
      <w:r w:rsidRPr="00B40A77">
        <w:rPr>
          <w:i/>
          <w:color w:val="000000" w:themeColor="text1"/>
        </w:rPr>
        <w:t xml:space="preserve"> Interpretation Act </w:t>
      </w:r>
      <w:r w:rsidR="00EA4CCB" w:rsidRPr="00B40A77">
        <w:rPr>
          <w:i/>
          <w:color w:val="000000" w:themeColor="text1"/>
        </w:rPr>
        <w:t>2021</w:t>
      </w:r>
      <w:r w:rsidR="003E2AEB" w:rsidRPr="00B40A77">
        <w:rPr>
          <w:i/>
          <w:color w:val="000000" w:themeColor="text1"/>
        </w:rPr>
        <w:t xml:space="preserve"> </w:t>
      </w:r>
      <w:r w:rsidR="003E2AEB" w:rsidRPr="00B40A77">
        <w:rPr>
          <w:color w:val="000000" w:themeColor="text1"/>
        </w:rPr>
        <w:t>provides that</w:t>
      </w:r>
      <w:r w:rsidR="007F3A65" w:rsidRPr="00B40A77">
        <w:rPr>
          <w:color w:val="000000" w:themeColor="text1"/>
        </w:rPr>
        <w:t xml:space="preserve">, </w:t>
      </w:r>
      <w:r w:rsidR="00EA4CCB" w:rsidRPr="00B40A77">
        <w:rPr>
          <w:color w:val="000000" w:themeColor="text1"/>
        </w:rPr>
        <w:t>in interpreting a provision of an Act or a legislative instrument, the interpretation that best achieves the purpose or object of the Act or the instrument (whether or not that purpose or object is expressly stated in the Act or instrument) is to be preferred to any other interpretation</w:t>
      </w:r>
      <w:r w:rsidRPr="00B40A77">
        <w:rPr>
          <w:color w:val="000000" w:themeColor="text1"/>
        </w:rPr>
        <w:t>.</w:t>
      </w:r>
    </w:p>
    <w:p w14:paraId="347B9699" w14:textId="77777777" w:rsidR="00732658" w:rsidRPr="00B40A77" w:rsidRDefault="00732658" w:rsidP="00732658">
      <w:pPr>
        <w:pStyle w:val="Hangindent"/>
        <w:rPr>
          <w:color w:val="000000" w:themeColor="text1"/>
        </w:rPr>
      </w:pPr>
      <w:r w:rsidRPr="00B40A77">
        <w:rPr>
          <w:color w:val="000000" w:themeColor="text1"/>
        </w:rPr>
        <w:t>(2)</w:t>
      </w:r>
      <w:r w:rsidRPr="00B40A77">
        <w:rPr>
          <w:color w:val="000000" w:themeColor="text1"/>
        </w:rPr>
        <w:tab/>
        <w:t>The practice, procedure and processes of the Court shall have as their goals</w:t>
      </w:r>
      <w:r w:rsidRPr="00B40A77">
        <w:rPr>
          <w:rFonts w:cs="Times New Roman"/>
          <w:color w:val="000000" w:themeColor="text1"/>
        </w:rPr>
        <w:t>—</w:t>
      </w:r>
    </w:p>
    <w:p w14:paraId="044D4520" w14:textId="77777777" w:rsidR="00732658" w:rsidRPr="00B40A77" w:rsidRDefault="00732658" w:rsidP="00732658">
      <w:pPr>
        <w:pStyle w:val="Doublehangindent"/>
        <w:rPr>
          <w:color w:val="000000" w:themeColor="text1"/>
        </w:rPr>
      </w:pPr>
      <w:r w:rsidRPr="00B40A77">
        <w:rPr>
          <w:color w:val="000000" w:themeColor="text1"/>
        </w:rPr>
        <w:t>(a)</w:t>
      </w:r>
      <w:r w:rsidRPr="00B40A77">
        <w:rPr>
          <w:color w:val="000000" w:themeColor="text1"/>
        </w:rPr>
        <w:tab/>
        <w:t>the elimination of any lapse of time from the commencement of a proceeding to its final determination beyond that reasonably required for the identification of the factual and legal issues in dispute between the parties and the preparation of the case for trial or other determination; and</w:t>
      </w:r>
    </w:p>
    <w:p w14:paraId="2361926D" w14:textId="0E7ED64E" w:rsidR="00732658" w:rsidRPr="00B40A77" w:rsidRDefault="00732658" w:rsidP="00732658">
      <w:pPr>
        <w:pStyle w:val="Doublehangindent"/>
        <w:rPr>
          <w:color w:val="000000" w:themeColor="text1"/>
        </w:rPr>
      </w:pPr>
      <w:r w:rsidRPr="00B40A77">
        <w:rPr>
          <w:color w:val="000000" w:themeColor="text1"/>
        </w:rPr>
        <w:t>(b)</w:t>
      </w:r>
      <w:r w:rsidRPr="00B40A77">
        <w:rPr>
          <w:color w:val="000000" w:themeColor="text1"/>
        </w:rPr>
        <w:tab/>
        <w:t>encouraging the resolution of proceedings to the extent possible or of issues in proceedings.</w:t>
      </w:r>
    </w:p>
    <w:p w14:paraId="05BBBC46" w14:textId="7DA3518B" w:rsidR="00732658" w:rsidRPr="00B40A77" w:rsidRDefault="00732658" w:rsidP="00732658">
      <w:pPr>
        <w:pStyle w:val="Hangindent"/>
        <w:rPr>
          <w:color w:val="000000" w:themeColor="text1"/>
          <w:lang w:val="en-US"/>
        </w:rPr>
      </w:pPr>
      <w:r w:rsidRPr="00B40A77">
        <w:rPr>
          <w:color w:val="000000" w:themeColor="text1"/>
          <w:lang w:val="en-US"/>
        </w:rPr>
        <w:t>(3)</w:t>
      </w:r>
      <w:r w:rsidRPr="00B40A77">
        <w:rPr>
          <w:color w:val="000000" w:themeColor="text1"/>
          <w:lang w:val="en-US"/>
        </w:rPr>
        <w:tab/>
        <w:t>These Rules are not intended to defeat a proper prosecution by or frustrate a proper defence of a party who is genuinely endeavouring to comply with the procedures of the Court.</w:t>
      </w:r>
    </w:p>
    <w:p w14:paraId="0E326B3A" w14:textId="04DBBC01" w:rsidR="00732658" w:rsidRPr="00B40A77" w:rsidRDefault="00732658" w:rsidP="00732658">
      <w:pPr>
        <w:pStyle w:val="Hangindent"/>
        <w:rPr>
          <w:color w:val="000000" w:themeColor="text1"/>
          <w:lang w:val="en-US"/>
        </w:rPr>
      </w:pPr>
      <w:r w:rsidRPr="00B40A77">
        <w:rPr>
          <w:color w:val="000000" w:themeColor="text1"/>
          <w:lang w:val="en-US"/>
        </w:rPr>
        <w:t>(4)</w:t>
      </w:r>
      <w:r w:rsidRPr="00B40A77">
        <w:rPr>
          <w:color w:val="000000" w:themeColor="text1"/>
          <w:lang w:val="en-US"/>
        </w:rPr>
        <w:tab/>
        <w:t>Proceedings in the Court will be managed and supervised with a view to best attaining the objects in subrules</w:t>
      </w:r>
      <w:r w:rsidR="001B1E8A" w:rsidRPr="00B40A77">
        <w:rPr>
          <w:color w:val="000000" w:themeColor="text1"/>
          <w:lang w:val="en-US"/>
        </w:rPr>
        <w:t> </w:t>
      </w:r>
      <w:r w:rsidRPr="00B40A77">
        <w:rPr>
          <w:color w:val="000000" w:themeColor="text1"/>
          <w:lang w:val="en-US"/>
        </w:rPr>
        <w:t>(1) and</w:t>
      </w:r>
      <w:r w:rsidR="001B1E8A" w:rsidRPr="00B40A77">
        <w:rPr>
          <w:color w:val="000000" w:themeColor="text1"/>
          <w:lang w:val="en-US"/>
        </w:rPr>
        <w:t> </w:t>
      </w:r>
      <w:r w:rsidRPr="00B40A77">
        <w:rPr>
          <w:color w:val="000000" w:themeColor="text1"/>
          <w:lang w:val="en-US"/>
        </w:rPr>
        <w:t>(2).</w:t>
      </w:r>
    </w:p>
    <w:p w14:paraId="3F484079" w14:textId="484B7740" w:rsidR="00732658" w:rsidRPr="00B40A77" w:rsidRDefault="00732658" w:rsidP="00732658">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These Rules are to be construed and applied, and the processes and procedures of the Court conducted, so as </w:t>
      </w:r>
      <w:r w:rsidR="00363C89" w:rsidRPr="00B40A77">
        <w:rPr>
          <w:color w:val="000000" w:themeColor="text1"/>
          <w:lang w:val="en-US"/>
        </w:rPr>
        <w:t>to best</w:t>
      </w:r>
      <w:r w:rsidRPr="00B40A77">
        <w:rPr>
          <w:color w:val="000000" w:themeColor="text1"/>
          <w:lang w:val="en-US"/>
        </w:rPr>
        <w:t xml:space="preserve"> attain the objects in </w:t>
      </w:r>
      <w:r w:rsidR="00EF0604" w:rsidRPr="00B40A77">
        <w:rPr>
          <w:color w:val="000000" w:themeColor="text1"/>
          <w:lang w:val="en-US"/>
        </w:rPr>
        <w:t>subrules</w:t>
      </w:r>
      <w:r w:rsidR="001B1E8A" w:rsidRPr="00B40A77">
        <w:rPr>
          <w:color w:val="000000" w:themeColor="text1"/>
          <w:lang w:val="en-US"/>
        </w:rPr>
        <w:t> </w:t>
      </w:r>
      <w:r w:rsidR="00EF0604" w:rsidRPr="00B40A77">
        <w:rPr>
          <w:color w:val="000000" w:themeColor="text1"/>
          <w:lang w:val="en-US"/>
        </w:rPr>
        <w:t>(1) and</w:t>
      </w:r>
      <w:r w:rsidR="001B1E8A" w:rsidRPr="00B40A77">
        <w:rPr>
          <w:color w:val="000000" w:themeColor="text1"/>
          <w:lang w:val="en-US"/>
        </w:rPr>
        <w:t> </w:t>
      </w:r>
      <w:r w:rsidR="00EF0604" w:rsidRPr="00B40A77">
        <w:rPr>
          <w:color w:val="000000" w:themeColor="text1"/>
          <w:lang w:val="en-US"/>
        </w:rPr>
        <w:t>(2).</w:t>
      </w:r>
    </w:p>
    <w:p w14:paraId="2C487633" w14:textId="77777777" w:rsidR="00F43E7C" w:rsidRPr="00B40A77" w:rsidRDefault="00F43E7C" w:rsidP="004057D2">
      <w:pPr>
        <w:pStyle w:val="Heading4"/>
        <w:rPr>
          <w:color w:val="000000" w:themeColor="text1"/>
        </w:rPr>
      </w:pPr>
      <w:bookmarkStart w:id="17" w:name="_Toc175238725"/>
      <w:r w:rsidRPr="00B40A77">
        <w:rPr>
          <w:color w:val="000000" w:themeColor="text1"/>
        </w:rPr>
        <w:t>1.</w:t>
      </w:r>
      <w:r w:rsidR="00F94825" w:rsidRPr="00B40A77">
        <w:rPr>
          <w:color w:val="000000" w:themeColor="text1"/>
        </w:rPr>
        <w:t>6</w:t>
      </w:r>
      <w:r w:rsidRPr="00B40A77">
        <w:rPr>
          <w:color w:val="000000" w:themeColor="text1"/>
        </w:rPr>
        <w:t>—</w:t>
      </w:r>
      <w:r w:rsidR="00326E1D" w:rsidRPr="00B40A77">
        <w:rPr>
          <w:color w:val="000000" w:themeColor="text1"/>
        </w:rPr>
        <w:t>Application of Rules</w:t>
      </w:r>
      <w:bookmarkEnd w:id="17"/>
    </w:p>
    <w:p w14:paraId="72EB3A1F" w14:textId="738951D3" w:rsidR="00F43E7C" w:rsidRPr="00B40A77" w:rsidRDefault="00F43E7C" w:rsidP="00F43E7C">
      <w:pPr>
        <w:pStyle w:val="Hangindent"/>
        <w:rPr>
          <w:color w:val="000000" w:themeColor="text1"/>
        </w:rPr>
      </w:pPr>
      <w:r w:rsidRPr="00B40A77">
        <w:rPr>
          <w:color w:val="000000" w:themeColor="text1"/>
        </w:rPr>
        <w:t>(1)</w:t>
      </w:r>
      <w:r w:rsidRPr="00B40A77">
        <w:rPr>
          <w:color w:val="000000" w:themeColor="text1"/>
        </w:rPr>
        <w:tab/>
        <w:t xml:space="preserve">Subject to the </w:t>
      </w:r>
      <w:r w:rsidR="007918D6" w:rsidRPr="00B40A77">
        <w:rPr>
          <w:color w:val="000000" w:themeColor="text1"/>
        </w:rPr>
        <w:t xml:space="preserve">following </w:t>
      </w:r>
      <w:r w:rsidR="00F73320" w:rsidRPr="00B40A77">
        <w:rPr>
          <w:color w:val="000000" w:themeColor="text1"/>
        </w:rPr>
        <w:t>subrule</w:t>
      </w:r>
      <w:r w:rsidR="00401DE8" w:rsidRPr="00B40A77">
        <w:rPr>
          <w:color w:val="000000" w:themeColor="text1"/>
        </w:rPr>
        <w:t>s</w:t>
      </w:r>
      <w:r w:rsidRPr="00B40A77">
        <w:rPr>
          <w:color w:val="000000" w:themeColor="text1"/>
        </w:rPr>
        <w:t xml:space="preserve">, </w:t>
      </w:r>
      <w:r w:rsidR="0082022F" w:rsidRPr="00B40A77">
        <w:rPr>
          <w:color w:val="000000" w:themeColor="text1"/>
        </w:rPr>
        <w:t xml:space="preserve">unless the Court orders otherwise, </w:t>
      </w:r>
      <w:r w:rsidR="001C7313" w:rsidRPr="00B40A77">
        <w:rPr>
          <w:color w:val="000000" w:themeColor="text1"/>
        </w:rPr>
        <w:t>these Rules</w:t>
      </w:r>
      <w:r w:rsidRPr="00B40A77">
        <w:rPr>
          <w:color w:val="000000" w:themeColor="text1"/>
        </w:rPr>
        <w:t xml:space="preserve"> apply to all </w:t>
      </w:r>
      <w:hyperlink w:anchor="_2.1—Definitions" w:history="1">
        <w:r w:rsidR="00F73320" w:rsidRPr="00B40A77">
          <w:rPr>
            <w:rStyle w:val="Hyperlink"/>
            <w:color w:val="000000" w:themeColor="text1"/>
          </w:rPr>
          <w:t xml:space="preserve">criminal </w:t>
        </w:r>
        <w:r w:rsidRPr="00B40A77">
          <w:rPr>
            <w:rStyle w:val="Hyperlink"/>
            <w:color w:val="000000" w:themeColor="text1"/>
          </w:rPr>
          <w:t>proceeding</w:t>
        </w:r>
      </w:hyperlink>
      <w:r w:rsidRPr="00B40A77">
        <w:rPr>
          <w:color w:val="000000" w:themeColor="text1"/>
          <w:u w:val="single"/>
        </w:rPr>
        <w:t>s</w:t>
      </w:r>
      <w:r w:rsidR="00F73320" w:rsidRPr="00B40A77">
        <w:rPr>
          <w:color w:val="000000" w:themeColor="text1"/>
        </w:rPr>
        <w:t xml:space="preserve"> and appellate proceedings</w:t>
      </w:r>
      <w:r w:rsidRPr="00B40A77">
        <w:rPr>
          <w:color w:val="000000" w:themeColor="text1"/>
        </w:rPr>
        <w:t xml:space="preserve"> </w:t>
      </w:r>
      <w:r w:rsidR="00326E1D" w:rsidRPr="00B40A77">
        <w:rPr>
          <w:color w:val="000000" w:themeColor="text1"/>
        </w:rPr>
        <w:t>in the Supreme Court, District Court</w:t>
      </w:r>
      <w:r w:rsidR="00F73320" w:rsidRPr="00B40A77">
        <w:rPr>
          <w:color w:val="000000" w:themeColor="text1"/>
        </w:rPr>
        <w:t>, Environment</w:t>
      </w:r>
      <w:r w:rsidR="00DF052D" w:rsidRPr="00B40A77">
        <w:rPr>
          <w:color w:val="000000" w:themeColor="text1"/>
        </w:rPr>
        <w:t>,</w:t>
      </w:r>
      <w:r w:rsidR="00F73320" w:rsidRPr="00B40A77">
        <w:rPr>
          <w:color w:val="000000" w:themeColor="text1"/>
        </w:rPr>
        <w:t xml:space="preserve"> Resources and</w:t>
      </w:r>
      <w:r w:rsidR="001478BD" w:rsidRPr="00B40A77">
        <w:rPr>
          <w:color w:val="000000" w:themeColor="text1"/>
        </w:rPr>
        <w:t xml:space="preserve"> Development Court</w:t>
      </w:r>
      <w:r w:rsidR="00F73320" w:rsidRPr="00B40A77">
        <w:rPr>
          <w:color w:val="000000" w:themeColor="text1"/>
        </w:rPr>
        <w:t>, Youth Court</w:t>
      </w:r>
      <w:r w:rsidR="00326E1D" w:rsidRPr="00B40A77">
        <w:rPr>
          <w:color w:val="000000" w:themeColor="text1"/>
        </w:rPr>
        <w:t xml:space="preserve"> and Magistrates Court of South Australia.</w:t>
      </w:r>
    </w:p>
    <w:p w14:paraId="1204F3AF" w14:textId="185D9C68" w:rsidR="00B2007D" w:rsidRPr="00B40A77" w:rsidRDefault="00B2007D" w:rsidP="00B2007D">
      <w:pPr>
        <w:pStyle w:val="Hangindent"/>
        <w:rPr>
          <w:color w:val="000000" w:themeColor="text1"/>
        </w:rPr>
      </w:pPr>
      <w:r w:rsidRPr="00B40A77">
        <w:rPr>
          <w:color w:val="000000" w:themeColor="text1"/>
        </w:rPr>
        <w:t>(2)</w:t>
      </w:r>
      <w:r w:rsidRPr="00B40A77">
        <w:rPr>
          <w:color w:val="000000" w:themeColor="text1"/>
        </w:rPr>
        <w:tab/>
        <w:t xml:space="preserve">A provision of these Rules appearing under a heading referring to </w:t>
      </w:r>
      <w:hyperlink w:anchor="_2.1—Definitions" w:history="1">
        <w:r w:rsidR="00981911" w:rsidRPr="00B40A77">
          <w:rPr>
            <w:rStyle w:val="Hyperlink"/>
            <w:color w:val="000000" w:themeColor="text1"/>
          </w:rPr>
          <w:t>Lower Court</w:t>
        </w:r>
      </w:hyperlink>
      <w:r w:rsidRPr="00B40A77">
        <w:rPr>
          <w:color w:val="000000" w:themeColor="text1"/>
          <w:u w:val="single"/>
        </w:rPr>
        <w:t>s</w:t>
      </w:r>
      <w:r w:rsidRPr="00B40A77">
        <w:rPr>
          <w:color w:val="000000" w:themeColor="text1"/>
        </w:rPr>
        <w:t xml:space="preserve"> only applies as a rule of the </w:t>
      </w:r>
      <w:hyperlink w:anchor="_2.1—Definitions" w:history="1">
        <w:r w:rsidR="00981911" w:rsidRPr="00B40A77">
          <w:rPr>
            <w:rStyle w:val="Hyperlink"/>
            <w:color w:val="000000" w:themeColor="text1"/>
          </w:rPr>
          <w:t>Lower Court</w:t>
        </w:r>
      </w:hyperlink>
      <w:r w:rsidRPr="00B40A77">
        <w:rPr>
          <w:color w:val="000000" w:themeColor="text1"/>
          <w:u w:val="single"/>
        </w:rPr>
        <w:t>s</w:t>
      </w:r>
      <w:r w:rsidRPr="00B40A77">
        <w:rPr>
          <w:color w:val="000000" w:themeColor="text1"/>
        </w:rPr>
        <w:t xml:space="preserve"> and does no</w:t>
      </w:r>
      <w:r w:rsidR="0082022F" w:rsidRPr="00B40A77">
        <w:rPr>
          <w:color w:val="000000" w:themeColor="text1"/>
        </w:rPr>
        <w:t>t</w:t>
      </w:r>
      <w:r w:rsidRPr="00B40A77">
        <w:rPr>
          <w:color w:val="000000" w:themeColor="text1"/>
        </w:rPr>
        <w:t xml:space="preserve"> apply </w:t>
      </w:r>
      <w:r w:rsidR="00401DE8" w:rsidRPr="00B40A77">
        <w:rPr>
          <w:color w:val="000000" w:themeColor="text1"/>
        </w:rPr>
        <w:t>as a rule of the</w:t>
      </w:r>
      <w:r w:rsidRPr="00B40A77">
        <w:rPr>
          <w:color w:val="000000" w:themeColor="text1"/>
        </w:rPr>
        <w:t xml:space="preserve"> </w:t>
      </w:r>
      <w:hyperlink w:anchor="_2.1—Definitions" w:history="1">
        <w:r w:rsidR="00E83325" w:rsidRPr="00B40A77">
          <w:rPr>
            <w:rStyle w:val="Hyperlink"/>
            <w:color w:val="000000" w:themeColor="text1"/>
            <w:lang w:val="en-US"/>
          </w:rPr>
          <w:t>Higher Court</w:t>
        </w:r>
      </w:hyperlink>
      <w:r w:rsidRPr="00B40A77">
        <w:rPr>
          <w:color w:val="000000" w:themeColor="text1"/>
          <w:u w:val="single"/>
        </w:rPr>
        <w:t>s</w:t>
      </w:r>
      <w:r w:rsidRPr="00B40A77">
        <w:rPr>
          <w:color w:val="000000" w:themeColor="text1"/>
        </w:rPr>
        <w:t>.</w:t>
      </w:r>
    </w:p>
    <w:p w14:paraId="37EB0AE4" w14:textId="02D0E213" w:rsidR="00B2007D" w:rsidRPr="00B40A77" w:rsidRDefault="00B2007D" w:rsidP="00B2007D">
      <w:pPr>
        <w:pStyle w:val="Hangindent"/>
        <w:rPr>
          <w:color w:val="000000" w:themeColor="text1"/>
        </w:rPr>
      </w:pPr>
      <w:r w:rsidRPr="00B40A77">
        <w:rPr>
          <w:color w:val="000000" w:themeColor="text1"/>
        </w:rPr>
        <w:t>(3)</w:t>
      </w:r>
      <w:r w:rsidRPr="00B40A77">
        <w:rPr>
          <w:color w:val="000000" w:themeColor="text1"/>
        </w:rPr>
        <w:tab/>
        <w:t xml:space="preserve">A provision of these Rules appearing under a heading referring to </w:t>
      </w:r>
      <w:hyperlink w:anchor="_2.1—Definitions" w:history="1">
        <w:r w:rsidR="00E83325" w:rsidRPr="00B40A77">
          <w:rPr>
            <w:rStyle w:val="Hyperlink"/>
            <w:color w:val="000000" w:themeColor="text1"/>
            <w:lang w:val="en-US"/>
          </w:rPr>
          <w:t>Higher Court</w:t>
        </w:r>
      </w:hyperlink>
      <w:r w:rsidRPr="00B40A77">
        <w:rPr>
          <w:color w:val="000000" w:themeColor="text1"/>
          <w:u w:val="single"/>
        </w:rPr>
        <w:t>s</w:t>
      </w:r>
      <w:r w:rsidRPr="00B40A77">
        <w:rPr>
          <w:color w:val="000000" w:themeColor="text1"/>
        </w:rPr>
        <w:t xml:space="preserve"> only applies as a rule of the </w:t>
      </w:r>
      <w:hyperlink w:anchor="_2.1—Definitions" w:history="1">
        <w:r w:rsidR="00E83325" w:rsidRPr="00B40A77">
          <w:rPr>
            <w:rStyle w:val="Hyperlink"/>
            <w:color w:val="000000" w:themeColor="text1"/>
            <w:lang w:val="en-US"/>
          </w:rPr>
          <w:t>Higher Court</w:t>
        </w:r>
      </w:hyperlink>
      <w:r w:rsidRPr="00B40A77">
        <w:rPr>
          <w:color w:val="000000" w:themeColor="text1"/>
          <w:u w:val="single"/>
        </w:rPr>
        <w:t>s</w:t>
      </w:r>
      <w:r w:rsidRPr="00B40A77">
        <w:rPr>
          <w:color w:val="000000" w:themeColor="text1"/>
        </w:rPr>
        <w:t xml:space="preserve"> and does not apply as a rule of the </w:t>
      </w:r>
      <w:hyperlink w:anchor="_2.1—Definitions" w:history="1">
        <w:r w:rsidR="00981911" w:rsidRPr="00B40A77">
          <w:rPr>
            <w:rStyle w:val="Hyperlink"/>
            <w:color w:val="000000" w:themeColor="text1"/>
          </w:rPr>
          <w:t>Lower Court</w:t>
        </w:r>
      </w:hyperlink>
      <w:r w:rsidR="001478BD" w:rsidRPr="00B40A77">
        <w:rPr>
          <w:color w:val="000000" w:themeColor="text1"/>
          <w:u w:val="single"/>
        </w:rPr>
        <w:t>s</w:t>
      </w:r>
      <w:r w:rsidRPr="00B40A77">
        <w:rPr>
          <w:color w:val="000000" w:themeColor="text1"/>
        </w:rPr>
        <w:t>.</w:t>
      </w:r>
    </w:p>
    <w:p w14:paraId="4521AEEC" w14:textId="1C3EB1B0" w:rsidR="00F43E7C" w:rsidRPr="00B40A77" w:rsidRDefault="00B2007D" w:rsidP="00F43E7C">
      <w:pPr>
        <w:pStyle w:val="Hangindent"/>
        <w:rPr>
          <w:color w:val="000000" w:themeColor="text1"/>
        </w:rPr>
      </w:pPr>
      <w:r w:rsidRPr="00B40A77">
        <w:rPr>
          <w:color w:val="000000" w:themeColor="text1"/>
        </w:rPr>
        <w:t>(4</w:t>
      </w:r>
      <w:r w:rsidR="00F43E7C" w:rsidRPr="00B40A77">
        <w:rPr>
          <w:color w:val="000000" w:themeColor="text1"/>
        </w:rPr>
        <w:t>)</w:t>
      </w:r>
      <w:r w:rsidR="00F43E7C" w:rsidRPr="00B40A77">
        <w:rPr>
          <w:color w:val="000000" w:themeColor="text1"/>
        </w:rPr>
        <w:tab/>
        <w:t xml:space="preserve">A provision of </w:t>
      </w:r>
      <w:r w:rsidR="001C7313" w:rsidRPr="00B40A77">
        <w:rPr>
          <w:color w:val="000000" w:themeColor="text1"/>
        </w:rPr>
        <w:t>these Rules</w:t>
      </w:r>
      <w:r w:rsidR="00F43E7C" w:rsidRPr="00B40A77">
        <w:rPr>
          <w:color w:val="000000" w:themeColor="text1"/>
        </w:rPr>
        <w:t xml:space="preserve"> </w:t>
      </w:r>
      <w:r w:rsidR="00326E1D" w:rsidRPr="00B40A77">
        <w:rPr>
          <w:color w:val="000000" w:themeColor="text1"/>
        </w:rPr>
        <w:t xml:space="preserve">appearing under a heading referring to a specified Court or Courts only applies as a rule of the specified Court or Courts and </w:t>
      </w:r>
      <w:r w:rsidR="00F43E7C" w:rsidRPr="00B40A77">
        <w:rPr>
          <w:color w:val="000000" w:themeColor="text1"/>
        </w:rPr>
        <w:t xml:space="preserve">does not apply </w:t>
      </w:r>
      <w:r w:rsidR="00BB5242" w:rsidRPr="00B40A77">
        <w:rPr>
          <w:color w:val="000000" w:themeColor="text1"/>
        </w:rPr>
        <w:t xml:space="preserve">as a rule of </w:t>
      </w:r>
      <w:r w:rsidR="00F43E7C" w:rsidRPr="00B40A77">
        <w:rPr>
          <w:color w:val="000000" w:themeColor="text1"/>
        </w:rPr>
        <w:t>another Court.</w:t>
      </w:r>
    </w:p>
    <w:p w14:paraId="53473E35" w14:textId="78786675" w:rsidR="00E92F83" w:rsidRPr="00B40A77" w:rsidRDefault="00E92F83" w:rsidP="001103F0">
      <w:pPr>
        <w:pStyle w:val="Heading2"/>
        <w:keepNext/>
        <w:rPr>
          <w:color w:val="000000" w:themeColor="text1"/>
        </w:rPr>
      </w:pPr>
      <w:bookmarkStart w:id="18" w:name="_Toc175238726"/>
      <w:bookmarkEnd w:id="16"/>
      <w:r w:rsidRPr="00B40A77">
        <w:rPr>
          <w:color w:val="000000" w:themeColor="text1"/>
        </w:rPr>
        <w:t>Part 2</w:t>
      </w:r>
      <w:r w:rsidR="003D16F5" w:rsidRPr="00B40A77">
        <w:rPr>
          <w:color w:val="000000" w:themeColor="text1"/>
        </w:rPr>
        <w:t>—</w:t>
      </w:r>
      <w:r w:rsidRPr="00B40A77">
        <w:rPr>
          <w:color w:val="000000" w:themeColor="text1"/>
        </w:rPr>
        <w:t>Interpretation</w:t>
      </w:r>
      <w:bookmarkEnd w:id="18"/>
      <w:r w:rsidRPr="00B40A77">
        <w:rPr>
          <w:color w:val="000000" w:themeColor="text1"/>
        </w:rPr>
        <w:t xml:space="preserve"> </w:t>
      </w:r>
    </w:p>
    <w:p w14:paraId="6F2A542A" w14:textId="77777777" w:rsidR="00E92F83" w:rsidRPr="00B40A77" w:rsidRDefault="00E92F83" w:rsidP="004057D2">
      <w:pPr>
        <w:pStyle w:val="Heading4"/>
        <w:rPr>
          <w:color w:val="000000" w:themeColor="text1"/>
        </w:rPr>
      </w:pPr>
      <w:bookmarkStart w:id="19" w:name="_2.1—Definitions"/>
      <w:bookmarkStart w:id="20" w:name="_Toc175238727"/>
      <w:bookmarkEnd w:id="19"/>
      <w:r w:rsidRPr="00B40A77">
        <w:rPr>
          <w:color w:val="000000" w:themeColor="text1"/>
        </w:rPr>
        <w:t>2.1—Definitions</w:t>
      </w:r>
      <w:bookmarkEnd w:id="20"/>
    </w:p>
    <w:p w14:paraId="45EBB217" w14:textId="4A40FB49" w:rsidR="00E92F83" w:rsidRPr="00B40A77" w:rsidRDefault="00E92F83" w:rsidP="005808DE">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In </w:t>
      </w:r>
      <w:r w:rsidR="001C7313" w:rsidRPr="00B40A77">
        <w:rPr>
          <w:color w:val="000000" w:themeColor="text1"/>
          <w:lang w:val="en-US"/>
        </w:rPr>
        <w:t>these Rules</w:t>
      </w:r>
      <w:r w:rsidR="00326E1D" w:rsidRPr="00B40A77">
        <w:rPr>
          <w:rFonts w:cs="Times New Roman"/>
          <w:color w:val="000000" w:themeColor="text1"/>
        </w:rPr>
        <w:t>—</w:t>
      </w:r>
    </w:p>
    <w:p w14:paraId="3FF0D189" w14:textId="227D96CC" w:rsidR="00467048" w:rsidRPr="00B40A77" w:rsidRDefault="00467048" w:rsidP="00467048">
      <w:pPr>
        <w:pStyle w:val="Doubleindentedpara"/>
        <w:rPr>
          <w:color w:val="000000" w:themeColor="text1"/>
        </w:rPr>
      </w:pPr>
      <w:r w:rsidRPr="00B40A77">
        <w:rPr>
          <w:b/>
          <w:i/>
          <w:color w:val="000000" w:themeColor="text1"/>
        </w:rPr>
        <w:lastRenderedPageBreak/>
        <w:t>address for service</w:t>
      </w:r>
      <w:r w:rsidR="000A6FBC" w:rsidRPr="00B40A77">
        <w:rPr>
          <w:color w:val="000000" w:themeColor="text1"/>
        </w:rPr>
        <w:t>—</w:t>
      </w:r>
      <w:r w:rsidRPr="00B40A77">
        <w:rPr>
          <w:color w:val="000000" w:themeColor="text1"/>
        </w:rPr>
        <w:t xml:space="preserve">see </w:t>
      </w:r>
      <w:hyperlink w:anchor="_35.2—Content_of_address" w:history="1">
        <w:r w:rsidRPr="00B40A77">
          <w:rPr>
            <w:rStyle w:val="Hyperlink"/>
            <w:color w:val="000000" w:themeColor="text1"/>
          </w:rPr>
          <w:t xml:space="preserve">rule </w:t>
        </w:r>
        <w:r w:rsidR="009271F6" w:rsidRPr="00B40A77">
          <w:rPr>
            <w:rStyle w:val="Hyperlink"/>
            <w:color w:val="000000" w:themeColor="text1"/>
          </w:rPr>
          <w:t>35</w:t>
        </w:r>
        <w:r w:rsidR="00401DE8" w:rsidRPr="00B40A77">
          <w:rPr>
            <w:rStyle w:val="Hyperlink"/>
            <w:color w:val="000000" w:themeColor="text1"/>
          </w:rPr>
          <w:t>.2</w:t>
        </w:r>
      </w:hyperlink>
      <w:r w:rsidRPr="00B40A77">
        <w:rPr>
          <w:color w:val="000000" w:themeColor="text1"/>
        </w:rPr>
        <w:t>;</w:t>
      </w:r>
    </w:p>
    <w:p w14:paraId="4F3816BE" w14:textId="20A2EC13" w:rsidR="003F2C45" w:rsidRPr="00B40A77" w:rsidRDefault="003F2C45" w:rsidP="00467048">
      <w:pPr>
        <w:pStyle w:val="Doubleindentedpara"/>
        <w:rPr>
          <w:color w:val="000000" w:themeColor="text1"/>
        </w:rPr>
      </w:pPr>
      <w:r w:rsidRPr="00B40A77">
        <w:rPr>
          <w:b/>
          <w:i/>
          <w:color w:val="000000" w:themeColor="text1"/>
        </w:rPr>
        <w:t xml:space="preserve">alibi </w:t>
      </w:r>
      <w:r w:rsidRPr="00B40A77">
        <w:rPr>
          <w:color w:val="000000" w:themeColor="text1"/>
        </w:rPr>
        <w:t xml:space="preserve">means </w:t>
      </w:r>
      <w:r w:rsidR="002865A6" w:rsidRPr="00B40A77">
        <w:rPr>
          <w:color w:val="000000" w:themeColor="text1"/>
        </w:rPr>
        <w:t xml:space="preserve">a case or suggestion </w:t>
      </w:r>
      <w:r w:rsidR="00182C16" w:rsidRPr="00B40A77">
        <w:rPr>
          <w:color w:val="000000" w:themeColor="text1"/>
        </w:rPr>
        <w:t xml:space="preserve">that the defendant </w:t>
      </w:r>
      <w:r w:rsidR="002865A6" w:rsidRPr="00B40A77">
        <w:rPr>
          <w:color w:val="000000" w:themeColor="text1"/>
        </w:rPr>
        <w:t xml:space="preserve">or youth </w:t>
      </w:r>
      <w:r w:rsidR="00182C16" w:rsidRPr="00B40A77">
        <w:rPr>
          <w:color w:val="000000" w:themeColor="text1"/>
        </w:rPr>
        <w:t>was in a particular place or within a particular area at a particular time and therefore tending to rebut an allegation made against the defendan</w:t>
      </w:r>
      <w:r w:rsidR="002865A6" w:rsidRPr="00B40A77">
        <w:rPr>
          <w:color w:val="000000" w:themeColor="text1"/>
        </w:rPr>
        <w:t xml:space="preserve">t </w:t>
      </w:r>
      <w:r w:rsidR="005B7F80" w:rsidRPr="00B40A77">
        <w:rPr>
          <w:color w:val="000000" w:themeColor="text1"/>
        </w:rPr>
        <w:t xml:space="preserve">or youth </w:t>
      </w:r>
      <w:r w:rsidR="002865A6" w:rsidRPr="00B40A77">
        <w:rPr>
          <w:color w:val="000000" w:themeColor="text1"/>
        </w:rPr>
        <w:t>in the proceeding;</w:t>
      </w:r>
    </w:p>
    <w:p w14:paraId="1335AD62" w14:textId="73E6A967" w:rsidR="00F80B3C" w:rsidRPr="00B40A77" w:rsidRDefault="00F80B3C" w:rsidP="00D21888">
      <w:pPr>
        <w:pStyle w:val="Doubleindentedpara"/>
        <w:rPr>
          <w:color w:val="000000" w:themeColor="text1"/>
        </w:rPr>
      </w:pPr>
      <w:r w:rsidRPr="00B40A77">
        <w:rPr>
          <w:b/>
          <w:i/>
          <w:color w:val="000000" w:themeColor="text1"/>
        </w:rPr>
        <w:t xml:space="preserve">answer charge appearance </w:t>
      </w:r>
      <w:r w:rsidRPr="00B40A77">
        <w:rPr>
          <w:color w:val="000000" w:themeColor="text1"/>
        </w:rPr>
        <w:t xml:space="preserve">means a hearing in a </w:t>
      </w:r>
      <w:r w:rsidR="003F3106" w:rsidRPr="00B40A77">
        <w:rPr>
          <w:color w:val="000000" w:themeColor="text1"/>
          <w:u w:val="single"/>
        </w:rPr>
        <w:t xml:space="preserve">committal </w:t>
      </w:r>
      <w:r w:rsidRPr="00B40A77">
        <w:rPr>
          <w:color w:val="000000" w:themeColor="text1"/>
          <w:u w:val="single"/>
        </w:rPr>
        <w:t>proceeding</w:t>
      </w:r>
      <w:r w:rsidRPr="00B40A77">
        <w:rPr>
          <w:color w:val="000000" w:themeColor="text1"/>
        </w:rPr>
        <w:t xml:space="preserve"> </w:t>
      </w:r>
      <w:r w:rsidR="00855880" w:rsidRPr="00B40A77">
        <w:rPr>
          <w:color w:val="000000" w:themeColor="text1"/>
        </w:rPr>
        <w:t xml:space="preserve">that </w:t>
      </w:r>
      <w:r w:rsidRPr="00B40A77">
        <w:rPr>
          <w:color w:val="000000" w:themeColor="text1"/>
        </w:rPr>
        <w:t xml:space="preserve">is after the </w:t>
      </w:r>
      <w:r w:rsidRPr="00B40A77">
        <w:rPr>
          <w:color w:val="000000" w:themeColor="text1"/>
          <w:u w:val="single"/>
        </w:rPr>
        <w:t xml:space="preserve">committal </w:t>
      </w:r>
      <w:r w:rsidR="00D21888" w:rsidRPr="00B40A77">
        <w:rPr>
          <w:color w:val="000000" w:themeColor="text1"/>
          <w:u w:val="single"/>
        </w:rPr>
        <w:t>appearance</w:t>
      </w:r>
      <w:r w:rsidR="00D21888" w:rsidRPr="00B40A77">
        <w:rPr>
          <w:color w:val="000000" w:themeColor="text1"/>
        </w:rPr>
        <w:t>,</w:t>
      </w:r>
      <w:r w:rsidRPr="00B40A77">
        <w:rPr>
          <w:color w:val="000000" w:themeColor="text1"/>
        </w:rPr>
        <w:t xml:space="preserve"> </w:t>
      </w:r>
    </w:p>
    <w:p w14:paraId="4C07ABA1" w14:textId="77777777" w:rsidR="00F80B3C" w:rsidRPr="00B40A77" w:rsidRDefault="00F80B3C" w:rsidP="00F80B3C">
      <w:pPr>
        <w:pStyle w:val="Doubleindentedpara"/>
        <w:rPr>
          <w:color w:val="000000" w:themeColor="text1"/>
        </w:rPr>
      </w:pPr>
      <w:r w:rsidRPr="00B40A77">
        <w:rPr>
          <w:color w:val="000000" w:themeColor="text1"/>
        </w:rPr>
        <w:t>and includes—</w:t>
      </w:r>
    </w:p>
    <w:p w14:paraId="1A696174" w14:textId="0F56B8CB" w:rsidR="00855880" w:rsidRPr="00B40A77" w:rsidRDefault="00872090" w:rsidP="00872090">
      <w:pPr>
        <w:pStyle w:val="Doublehangindent"/>
        <w:ind w:left="2007"/>
        <w:rPr>
          <w:color w:val="000000" w:themeColor="text1"/>
        </w:rPr>
      </w:pPr>
      <w:r w:rsidRPr="00B40A77">
        <w:rPr>
          <w:color w:val="000000" w:themeColor="text1"/>
        </w:rPr>
        <w:t>(a)</w:t>
      </w:r>
      <w:r w:rsidRPr="00B40A77">
        <w:rPr>
          <w:color w:val="000000" w:themeColor="text1"/>
        </w:rPr>
        <w:tab/>
      </w:r>
      <w:r w:rsidR="00855880" w:rsidRPr="00B40A77">
        <w:rPr>
          <w:color w:val="000000" w:themeColor="text1"/>
        </w:rPr>
        <w:t xml:space="preserve">a </w:t>
      </w:r>
      <w:r w:rsidR="00855880" w:rsidRPr="00B40A77">
        <w:rPr>
          <w:color w:val="000000" w:themeColor="text1"/>
          <w:u w:val="single"/>
        </w:rPr>
        <w:t>hearing</w:t>
      </w:r>
      <w:r w:rsidR="00855880" w:rsidRPr="00B40A77">
        <w:rPr>
          <w:color w:val="000000" w:themeColor="text1"/>
        </w:rPr>
        <w:t xml:space="preserve"> that when listed is intended to comprise an answer charge hearing within the meaning of section 109(1)(</w:t>
      </w:r>
      <w:r w:rsidR="00FF0770" w:rsidRPr="00B40A77">
        <w:rPr>
          <w:color w:val="000000" w:themeColor="text1"/>
        </w:rPr>
        <w:t>b</w:t>
      </w:r>
      <w:r w:rsidR="00855880" w:rsidRPr="00B40A77">
        <w:rPr>
          <w:color w:val="000000" w:themeColor="text1"/>
        </w:rPr>
        <w:t xml:space="preserve">) and section 113 of the </w:t>
      </w:r>
      <w:r w:rsidR="00855880" w:rsidRPr="00B40A77">
        <w:rPr>
          <w:color w:val="000000" w:themeColor="text1"/>
          <w:u w:val="single"/>
        </w:rPr>
        <w:t>Procedure Act</w:t>
      </w:r>
      <w:r w:rsidR="00855880" w:rsidRPr="00B40A77">
        <w:rPr>
          <w:color w:val="000000" w:themeColor="text1"/>
        </w:rPr>
        <w:t>;</w:t>
      </w:r>
    </w:p>
    <w:p w14:paraId="20414F14" w14:textId="04910D72" w:rsidR="00855880" w:rsidRPr="00B40A77" w:rsidRDefault="00872090" w:rsidP="00872090">
      <w:pPr>
        <w:pStyle w:val="Doublehangindent"/>
        <w:ind w:left="2007"/>
        <w:rPr>
          <w:color w:val="000000" w:themeColor="text1"/>
        </w:rPr>
      </w:pPr>
      <w:r w:rsidRPr="00B40A77">
        <w:rPr>
          <w:color w:val="000000" w:themeColor="text1"/>
        </w:rPr>
        <w:t>(b)</w:t>
      </w:r>
      <w:r w:rsidRPr="00B40A77">
        <w:rPr>
          <w:color w:val="000000" w:themeColor="text1"/>
        </w:rPr>
        <w:tab/>
      </w:r>
      <w:r w:rsidR="00855880" w:rsidRPr="00B40A77">
        <w:rPr>
          <w:color w:val="000000" w:themeColor="text1"/>
        </w:rPr>
        <w:t xml:space="preserve">a </w:t>
      </w:r>
      <w:r w:rsidR="00855880" w:rsidRPr="00B40A77">
        <w:rPr>
          <w:color w:val="000000" w:themeColor="text1"/>
          <w:u w:val="single"/>
        </w:rPr>
        <w:t>hearing</w:t>
      </w:r>
      <w:r w:rsidR="00855880" w:rsidRPr="00B40A77">
        <w:rPr>
          <w:color w:val="000000" w:themeColor="text1"/>
        </w:rPr>
        <w:t xml:space="preserve"> of a </w:t>
      </w:r>
      <w:r w:rsidR="00EF6FB6" w:rsidRPr="00B40A77">
        <w:rPr>
          <w:color w:val="000000" w:themeColor="text1"/>
          <w:u w:val="single"/>
        </w:rPr>
        <w:t xml:space="preserve">committal </w:t>
      </w:r>
      <w:r w:rsidR="008E5CE8" w:rsidRPr="00B40A77">
        <w:rPr>
          <w:color w:val="000000" w:themeColor="text1"/>
          <w:u w:val="single"/>
        </w:rPr>
        <w:t xml:space="preserve">oral </w:t>
      </w:r>
      <w:r w:rsidR="00EF6FB6" w:rsidRPr="00B40A77">
        <w:rPr>
          <w:color w:val="000000" w:themeColor="text1"/>
          <w:u w:val="single"/>
        </w:rPr>
        <w:t xml:space="preserve">examination </w:t>
      </w:r>
      <w:r w:rsidR="00855880" w:rsidRPr="00B40A77">
        <w:rPr>
          <w:color w:val="000000" w:themeColor="text1"/>
          <w:u w:val="single"/>
        </w:rPr>
        <w:t>applicat</w:t>
      </w:r>
      <w:r w:rsidR="00EF6FB6" w:rsidRPr="00B40A77">
        <w:rPr>
          <w:color w:val="000000" w:themeColor="text1"/>
          <w:u w:val="single"/>
        </w:rPr>
        <w:t>ion</w:t>
      </w:r>
      <w:r w:rsidR="00EF6FB6" w:rsidRPr="00B40A77">
        <w:rPr>
          <w:color w:val="000000" w:themeColor="text1"/>
        </w:rPr>
        <w:t>;</w:t>
      </w:r>
      <w:r w:rsidR="00855880" w:rsidRPr="00B40A77">
        <w:rPr>
          <w:color w:val="000000" w:themeColor="text1"/>
        </w:rPr>
        <w:t xml:space="preserve"> </w:t>
      </w:r>
    </w:p>
    <w:p w14:paraId="615DA476" w14:textId="0CFC0071" w:rsidR="00436FC9" w:rsidRPr="00B40A77" w:rsidRDefault="00872090" w:rsidP="00872090">
      <w:pPr>
        <w:pStyle w:val="Doublehangindent"/>
        <w:ind w:left="2007"/>
        <w:rPr>
          <w:color w:val="000000" w:themeColor="text1"/>
        </w:rPr>
      </w:pPr>
      <w:r w:rsidRPr="00B40A77">
        <w:rPr>
          <w:color w:val="000000" w:themeColor="text1"/>
        </w:rPr>
        <w:t>(c)</w:t>
      </w:r>
      <w:r w:rsidRPr="00B40A77">
        <w:rPr>
          <w:color w:val="000000" w:themeColor="text1"/>
        </w:rPr>
        <w:tab/>
      </w:r>
      <w:r w:rsidR="00092317" w:rsidRPr="00B40A77">
        <w:rPr>
          <w:color w:val="000000" w:themeColor="text1"/>
        </w:rPr>
        <w:t xml:space="preserve">a </w:t>
      </w:r>
      <w:r w:rsidR="00092317" w:rsidRPr="00B40A77">
        <w:rPr>
          <w:color w:val="000000" w:themeColor="text1"/>
          <w:u w:val="single"/>
        </w:rPr>
        <w:t>hearing</w:t>
      </w:r>
      <w:r w:rsidR="00092317" w:rsidRPr="00B40A77">
        <w:rPr>
          <w:color w:val="000000" w:themeColor="text1"/>
        </w:rPr>
        <w:t xml:space="preserve"> at which a wi</w:t>
      </w:r>
      <w:r w:rsidR="00931454" w:rsidRPr="00B40A77">
        <w:rPr>
          <w:color w:val="000000" w:themeColor="text1"/>
        </w:rPr>
        <w:t>tn</w:t>
      </w:r>
      <w:r w:rsidR="00092317" w:rsidRPr="00B40A77">
        <w:rPr>
          <w:color w:val="000000" w:themeColor="text1"/>
        </w:rPr>
        <w:t xml:space="preserve">ess is cross-examined pursuant to leave granted under section </w:t>
      </w:r>
      <w:r w:rsidR="00E2011F" w:rsidRPr="00B40A77">
        <w:rPr>
          <w:color w:val="000000" w:themeColor="text1"/>
        </w:rPr>
        <w:t xml:space="preserve">114(1)(b)(ii) of the </w:t>
      </w:r>
      <w:r w:rsidR="00E2011F" w:rsidRPr="00B40A77">
        <w:rPr>
          <w:color w:val="000000" w:themeColor="text1"/>
          <w:u w:val="single"/>
        </w:rPr>
        <w:t>Procedure Act</w:t>
      </w:r>
      <w:r w:rsidR="00E2011F" w:rsidRPr="00B40A77">
        <w:rPr>
          <w:color w:val="000000" w:themeColor="text1"/>
        </w:rPr>
        <w:t>; and</w:t>
      </w:r>
    </w:p>
    <w:p w14:paraId="5D501F52" w14:textId="567AF567" w:rsidR="00F80B3C" w:rsidRPr="00B40A77" w:rsidRDefault="00F80B3C" w:rsidP="00F80B3C">
      <w:pPr>
        <w:pStyle w:val="Doublehangindent"/>
        <w:ind w:left="2007"/>
        <w:rPr>
          <w:color w:val="000000" w:themeColor="text1"/>
        </w:rPr>
      </w:pPr>
      <w:r w:rsidRPr="00B40A77">
        <w:rPr>
          <w:color w:val="000000" w:themeColor="text1"/>
          <w:lang w:val="en-US"/>
        </w:rPr>
        <w:t>(</w:t>
      </w:r>
      <w:r w:rsidR="00E2011F" w:rsidRPr="00B40A77">
        <w:rPr>
          <w:color w:val="000000" w:themeColor="text1"/>
          <w:lang w:val="en-US"/>
        </w:rPr>
        <w:t>d</w:t>
      </w:r>
      <w:r w:rsidRPr="00B40A77">
        <w:rPr>
          <w:color w:val="000000" w:themeColor="text1"/>
          <w:lang w:val="en-US"/>
        </w:rPr>
        <w:t>)</w:t>
      </w:r>
      <w:r w:rsidRPr="00B40A77">
        <w:rPr>
          <w:color w:val="000000" w:themeColor="text1"/>
          <w:lang w:val="en-US"/>
        </w:rPr>
        <w:tab/>
        <w:t xml:space="preserve">a </w:t>
      </w:r>
      <w:r w:rsidRPr="00B40A77">
        <w:rPr>
          <w:color w:val="000000" w:themeColor="text1"/>
          <w:u w:val="single"/>
          <w:lang w:val="en-US"/>
        </w:rPr>
        <w:t>hearing</w:t>
      </w:r>
      <w:r w:rsidRPr="00B40A77">
        <w:rPr>
          <w:color w:val="000000" w:themeColor="text1"/>
        </w:rPr>
        <w:t xml:space="preserve"> that comprises a</w:t>
      </w:r>
      <w:r w:rsidR="00931454" w:rsidRPr="00B40A77">
        <w:rPr>
          <w:color w:val="000000" w:themeColor="text1"/>
        </w:rPr>
        <w:t>n</w:t>
      </w:r>
      <w:r w:rsidRPr="00B40A77">
        <w:rPr>
          <w:color w:val="000000" w:themeColor="text1"/>
        </w:rPr>
        <w:t xml:space="preserve"> </w:t>
      </w:r>
      <w:r w:rsidR="00D21888" w:rsidRPr="00B40A77">
        <w:rPr>
          <w:color w:val="000000" w:themeColor="text1"/>
        </w:rPr>
        <w:t xml:space="preserve">answer charge hearing </w:t>
      </w:r>
      <w:r w:rsidRPr="00B40A77">
        <w:rPr>
          <w:color w:val="000000" w:themeColor="text1"/>
        </w:rPr>
        <w:t>within the meaning of section 109(1)(</w:t>
      </w:r>
      <w:r w:rsidR="00D21888" w:rsidRPr="00B40A77">
        <w:rPr>
          <w:color w:val="000000" w:themeColor="text1"/>
        </w:rPr>
        <w:t>b</w:t>
      </w:r>
      <w:r w:rsidRPr="00B40A77">
        <w:rPr>
          <w:color w:val="000000" w:themeColor="text1"/>
        </w:rPr>
        <w:t>) and section</w:t>
      </w:r>
      <w:r w:rsidR="00FF0770" w:rsidRPr="00B40A77">
        <w:rPr>
          <w:color w:val="000000" w:themeColor="text1"/>
        </w:rPr>
        <w:t>s</w:t>
      </w:r>
      <w:r w:rsidRPr="00B40A77">
        <w:rPr>
          <w:color w:val="000000" w:themeColor="text1"/>
        </w:rPr>
        <w:t xml:space="preserve"> 11</w:t>
      </w:r>
      <w:r w:rsidR="00E2011F" w:rsidRPr="00B40A77">
        <w:rPr>
          <w:color w:val="000000" w:themeColor="text1"/>
        </w:rPr>
        <w:t>3 and 114</w:t>
      </w:r>
      <w:r w:rsidRPr="00B40A77">
        <w:rPr>
          <w:color w:val="000000" w:themeColor="text1"/>
        </w:rPr>
        <w:t xml:space="preserve"> of the </w:t>
      </w:r>
      <w:r w:rsidRPr="00B40A77">
        <w:rPr>
          <w:color w:val="000000" w:themeColor="text1"/>
          <w:u w:val="single"/>
        </w:rPr>
        <w:t>Procedure Act</w:t>
      </w:r>
      <w:r w:rsidRPr="00B40A77">
        <w:rPr>
          <w:color w:val="000000" w:themeColor="text1"/>
        </w:rPr>
        <w:t>;</w:t>
      </w:r>
    </w:p>
    <w:p w14:paraId="78B91793" w14:textId="470EC3D0" w:rsidR="007E3A05" w:rsidRPr="00B40A77" w:rsidRDefault="007E3A05" w:rsidP="00673FAA">
      <w:pPr>
        <w:pStyle w:val="Doubleindentedpara"/>
        <w:rPr>
          <w:color w:val="000000" w:themeColor="text1"/>
        </w:rPr>
      </w:pPr>
      <w:r w:rsidRPr="00B40A77">
        <w:rPr>
          <w:b/>
          <w:i/>
          <w:color w:val="000000" w:themeColor="text1"/>
        </w:rPr>
        <w:t xml:space="preserve">answer charge date </w:t>
      </w:r>
      <w:r w:rsidRPr="00B40A77">
        <w:rPr>
          <w:color w:val="000000" w:themeColor="text1"/>
        </w:rPr>
        <w:t xml:space="preserve">means the date fixed for the </w:t>
      </w:r>
      <w:hyperlink w:anchor="_2.1—Definitions" w:history="1">
        <w:r w:rsidR="00AD169D" w:rsidRPr="00B40A77">
          <w:rPr>
            <w:rStyle w:val="Hyperlink"/>
            <w:color w:val="000000" w:themeColor="text1"/>
          </w:rPr>
          <w:t>answer charge appearance</w:t>
        </w:r>
      </w:hyperlink>
      <w:r w:rsidRPr="00B40A77">
        <w:rPr>
          <w:color w:val="000000" w:themeColor="text1"/>
        </w:rPr>
        <w:t xml:space="preserve">; </w:t>
      </w:r>
    </w:p>
    <w:p w14:paraId="2DFB6FB6" w14:textId="77777777" w:rsidR="00A7587B" w:rsidRPr="00B40A77" w:rsidRDefault="00931454" w:rsidP="00A7587B">
      <w:pPr>
        <w:pStyle w:val="Doubleindentedpara"/>
        <w:rPr>
          <w:color w:val="000000" w:themeColor="text1"/>
        </w:rPr>
      </w:pPr>
      <w:r w:rsidRPr="00B40A77">
        <w:rPr>
          <w:b/>
          <w:i/>
          <w:color w:val="000000" w:themeColor="text1"/>
        </w:rPr>
        <w:t xml:space="preserve">answer charge contested hearing </w:t>
      </w:r>
      <w:r w:rsidRPr="00B40A77">
        <w:rPr>
          <w:color w:val="000000" w:themeColor="text1"/>
        </w:rPr>
        <w:t>means</w:t>
      </w:r>
      <w:r w:rsidR="00A7587B" w:rsidRPr="00B40A77">
        <w:rPr>
          <w:color w:val="000000" w:themeColor="text1"/>
        </w:rPr>
        <w:t>—</w:t>
      </w:r>
    </w:p>
    <w:p w14:paraId="36A17B73" w14:textId="16DD207F" w:rsidR="00A7587B" w:rsidRPr="00B40A77" w:rsidRDefault="00872090" w:rsidP="00872090">
      <w:pPr>
        <w:pStyle w:val="Doublehangindent"/>
        <w:ind w:left="2007"/>
        <w:rPr>
          <w:color w:val="000000" w:themeColor="text1"/>
        </w:rPr>
      </w:pPr>
      <w:r w:rsidRPr="00B40A77">
        <w:rPr>
          <w:color w:val="000000" w:themeColor="text1"/>
        </w:rPr>
        <w:t>(a)</w:t>
      </w:r>
      <w:r w:rsidRPr="00B40A77">
        <w:rPr>
          <w:color w:val="000000" w:themeColor="text1"/>
        </w:rPr>
        <w:tab/>
      </w:r>
      <w:r w:rsidR="00A7587B" w:rsidRPr="00B40A77">
        <w:rPr>
          <w:color w:val="000000" w:themeColor="text1"/>
        </w:rPr>
        <w:t xml:space="preserve">a </w:t>
      </w:r>
      <w:r w:rsidR="00A7587B" w:rsidRPr="00B40A77">
        <w:rPr>
          <w:color w:val="000000" w:themeColor="text1"/>
          <w:u w:val="single"/>
        </w:rPr>
        <w:t>hearing</w:t>
      </w:r>
      <w:r w:rsidR="00A7587B" w:rsidRPr="00B40A77">
        <w:rPr>
          <w:color w:val="000000" w:themeColor="text1"/>
        </w:rPr>
        <w:t xml:space="preserve"> of a </w:t>
      </w:r>
      <w:r w:rsidR="00A7587B" w:rsidRPr="00B40A77">
        <w:rPr>
          <w:color w:val="000000" w:themeColor="text1"/>
          <w:u w:val="single"/>
        </w:rPr>
        <w:t>committal subpoena application</w:t>
      </w:r>
      <w:r w:rsidR="00A7587B" w:rsidRPr="00B40A77">
        <w:rPr>
          <w:color w:val="000000" w:themeColor="text1"/>
        </w:rPr>
        <w:t>;</w:t>
      </w:r>
    </w:p>
    <w:p w14:paraId="6E73181C" w14:textId="2974A6AC" w:rsidR="00931454" w:rsidRPr="00B40A77" w:rsidRDefault="00872090" w:rsidP="00872090">
      <w:pPr>
        <w:pStyle w:val="Doublehangindent"/>
        <w:ind w:left="2007"/>
        <w:rPr>
          <w:color w:val="000000" w:themeColor="text1"/>
        </w:rPr>
      </w:pPr>
      <w:r w:rsidRPr="00B40A77">
        <w:rPr>
          <w:color w:val="000000" w:themeColor="text1"/>
        </w:rPr>
        <w:t>(b)</w:t>
      </w:r>
      <w:r w:rsidRPr="00B40A77">
        <w:rPr>
          <w:color w:val="000000" w:themeColor="text1"/>
        </w:rPr>
        <w:tab/>
      </w:r>
      <w:r w:rsidR="00931454" w:rsidRPr="00B40A77">
        <w:rPr>
          <w:color w:val="000000" w:themeColor="text1"/>
        </w:rPr>
        <w:t xml:space="preserve">a </w:t>
      </w:r>
      <w:r w:rsidR="00931454" w:rsidRPr="00B40A77">
        <w:rPr>
          <w:color w:val="000000" w:themeColor="text1"/>
          <w:u w:val="single"/>
        </w:rPr>
        <w:t>hearing</w:t>
      </w:r>
      <w:r w:rsidR="00931454" w:rsidRPr="00B40A77">
        <w:rPr>
          <w:color w:val="000000" w:themeColor="text1"/>
        </w:rPr>
        <w:t xml:space="preserve"> of a </w:t>
      </w:r>
      <w:r w:rsidR="00931454" w:rsidRPr="00B40A77">
        <w:rPr>
          <w:color w:val="000000" w:themeColor="text1"/>
          <w:u w:val="single"/>
        </w:rPr>
        <w:t xml:space="preserve">committal </w:t>
      </w:r>
      <w:r w:rsidR="008E5CE8" w:rsidRPr="00B40A77">
        <w:rPr>
          <w:color w:val="000000" w:themeColor="text1"/>
          <w:u w:val="single"/>
        </w:rPr>
        <w:t xml:space="preserve">oral </w:t>
      </w:r>
      <w:r w:rsidR="00931454" w:rsidRPr="00B40A77">
        <w:rPr>
          <w:color w:val="000000" w:themeColor="text1"/>
          <w:u w:val="single"/>
        </w:rPr>
        <w:t>examination application</w:t>
      </w:r>
      <w:r w:rsidR="00931454" w:rsidRPr="00B40A77">
        <w:rPr>
          <w:color w:val="000000" w:themeColor="text1"/>
        </w:rPr>
        <w:t xml:space="preserve">; </w:t>
      </w:r>
    </w:p>
    <w:p w14:paraId="5070E487" w14:textId="126B7AAB" w:rsidR="00931454" w:rsidRPr="00B40A77" w:rsidRDefault="00872090" w:rsidP="00872090">
      <w:pPr>
        <w:pStyle w:val="Doublehangindent"/>
        <w:ind w:left="2007"/>
        <w:rPr>
          <w:color w:val="000000" w:themeColor="text1"/>
        </w:rPr>
      </w:pPr>
      <w:r w:rsidRPr="00B40A77">
        <w:rPr>
          <w:color w:val="000000" w:themeColor="text1"/>
        </w:rPr>
        <w:t>(c)</w:t>
      </w:r>
      <w:r w:rsidRPr="00B40A77">
        <w:rPr>
          <w:color w:val="000000" w:themeColor="text1"/>
        </w:rPr>
        <w:tab/>
      </w:r>
      <w:r w:rsidR="00931454" w:rsidRPr="00B40A77">
        <w:rPr>
          <w:color w:val="000000" w:themeColor="text1"/>
        </w:rPr>
        <w:t xml:space="preserve">a </w:t>
      </w:r>
      <w:r w:rsidR="00931454" w:rsidRPr="00B40A77">
        <w:rPr>
          <w:color w:val="000000" w:themeColor="text1"/>
          <w:u w:val="single"/>
        </w:rPr>
        <w:t>hearing</w:t>
      </w:r>
      <w:r w:rsidR="00931454" w:rsidRPr="00B40A77">
        <w:rPr>
          <w:color w:val="000000" w:themeColor="text1"/>
        </w:rPr>
        <w:t xml:space="preserve"> at which a witness is cross-examined pursuant to leave granted under section 114(1)(b)(ii) of the </w:t>
      </w:r>
      <w:r w:rsidR="00931454" w:rsidRPr="00B40A77">
        <w:rPr>
          <w:color w:val="000000" w:themeColor="text1"/>
          <w:u w:val="single"/>
        </w:rPr>
        <w:t>Procedure Act</w:t>
      </w:r>
      <w:r w:rsidR="00931454" w:rsidRPr="00B40A77">
        <w:rPr>
          <w:color w:val="000000" w:themeColor="text1"/>
        </w:rPr>
        <w:t xml:space="preserve">; </w:t>
      </w:r>
      <w:r w:rsidR="00A7587B" w:rsidRPr="00B40A77">
        <w:rPr>
          <w:color w:val="000000" w:themeColor="text1"/>
        </w:rPr>
        <w:t>or</w:t>
      </w:r>
    </w:p>
    <w:p w14:paraId="15FC00B6" w14:textId="1C7AD9C8" w:rsidR="00931454" w:rsidRPr="00B40A77" w:rsidRDefault="00931454" w:rsidP="00931454">
      <w:pPr>
        <w:pStyle w:val="Doublehangindent"/>
        <w:ind w:left="2007"/>
        <w:rPr>
          <w:color w:val="000000" w:themeColor="text1"/>
        </w:rPr>
      </w:pPr>
      <w:r w:rsidRPr="00B40A77">
        <w:rPr>
          <w:color w:val="000000" w:themeColor="text1"/>
          <w:lang w:val="en-US"/>
        </w:rPr>
        <w:t>(d)</w:t>
      </w:r>
      <w:r w:rsidRPr="00B40A77">
        <w:rPr>
          <w:color w:val="000000" w:themeColor="text1"/>
          <w:lang w:val="en-US"/>
        </w:rPr>
        <w:tab/>
        <w:t xml:space="preserve">a </w:t>
      </w:r>
      <w:r w:rsidRPr="00B40A77">
        <w:rPr>
          <w:color w:val="000000" w:themeColor="text1"/>
          <w:u w:val="single"/>
          <w:lang w:val="en-US"/>
        </w:rPr>
        <w:t>hearing</w:t>
      </w:r>
      <w:r w:rsidRPr="00B40A77">
        <w:rPr>
          <w:color w:val="000000" w:themeColor="text1"/>
        </w:rPr>
        <w:t xml:space="preserve"> </w:t>
      </w:r>
      <w:r w:rsidR="00A7587B" w:rsidRPr="00B40A77">
        <w:rPr>
          <w:color w:val="000000" w:themeColor="text1"/>
        </w:rPr>
        <w:t>of a no ca</w:t>
      </w:r>
      <w:r w:rsidR="00872090" w:rsidRPr="00B40A77">
        <w:rPr>
          <w:color w:val="000000" w:themeColor="text1"/>
        </w:rPr>
        <w:t>s</w:t>
      </w:r>
      <w:r w:rsidR="00A7587B" w:rsidRPr="00B40A77">
        <w:rPr>
          <w:color w:val="000000" w:themeColor="text1"/>
        </w:rPr>
        <w:t>e submission after a defendant or youth has given</w:t>
      </w:r>
      <w:r w:rsidR="00FE0585" w:rsidRPr="00B40A77">
        <w:rPr>
          <w:color w:val="000000" w:themeColor="text1"/>
        </w:rPr>
        <w:t xml:space="preserve"> </w:t>
      </w:r>
      <w:r w:rsidR="00A7587B" w:rsidRPr="00B40A77">
        <w:rPr>
          <w:color w:val="000000" w:themeColor="text1"/>
        </w:rPr>
        <w:t xml:space="preserve">a </w:t>
      </w:r>
      <w:hyperlink w:anchor="_86.1—Notices_by_defendant" w:history="1">
        <w:r w:rsidR="00A7587B" w:rsidRPr="00B40A77">
          <w:rPr>
            <w:rStyle w:val="Hyperlink"/>
            <w:color w:val="000000" w:themeColor="text1"/>
            <w:lang w:val="en-US"/>
          </w:rPr>
          <w:t>no case submission notice</w:t>
        </w:r>
      </w:hyperlink>
      <w:r w:rsidR="00A7587B" w:rsidRPr="00B40A77">
        <w:rPr>
          <w:color w:val="000000" w:themeColor="text1"/>
          <w:lang w:val="en-US"/>
        </w:rPr>
        <w:t>;</w:t>
      </w:r>
    </w:p>
    <w:p w14:paraId="56061F9F" w14:textId="3001919E" w:rsidR="00467048" w:rsidRPr="00B40A77" w:rsidRDefault="00467048" w:rsidP="00467048">
      <w:pPr>
        <w:pStyle w:val="Doubleindentedpara"/>
        <w:rPr>
          <w:color w:val="000000" w:themeColor="text1"/>
        </w:rPr>
      </w:pPr>
      <w:r w:rsidRPr="00B40A77">
        <w:rPr>
          <w:b/>
          <w:i/>
          <w:color w:val="000000" w:themeColor="text1"/>
        </w:rPr>
        <w:t>appeal</w:t>
      </w:r>
      <w:r w:rsidR="000A6FBC" w:rsidRPr="00B40A77">
        <w:rPr>
          <w:color w:val="000000" w:themeColor="text1"/>
        </w:rPr>
        <w:t>—</w:t>
      </w:r>
      <w:r w:rsidRPr="00B40A77">
        <w:rPr>
          <w:color w:val="000000" w:themeColor="text1"/>
        </w:rPr>
        <w:t xml:space="preserve">see </w:t>
      </w:r>
      <w:hyperlink w:anchor="_211.1—Definitions" w:history="1">
        <w:r w:rsidRPr="00B40A77">
          <w:rPr>
            <w:rStyle w:val="Hyperlink"/>
            <w:color w:val="000000" w:themeColor="text1"/>
          </w:rPr>
          <w:t xml:space="preserve">rule </w:t>
        </w:r>
        <w:r w:rsidR="009271F6" w:rsidRPr="00B40A77">
          <w:rPr>
            <w:rStyle w:val="Hyperlink"/>
            <w:color w:val="000000" w:themeColor="text1"/>
          </w:rPr>
          <w:t>18</w:t>
        </w:r>
        <w:r w:rsidR="006514AE" w:rsidRPr="00B40A77">
          <w:rPr>
            <w:rStyle w:val="Hyperlink"/>
            <w:color w:val="000000" w:themeColor="text1"/>
          </w:rPr>
          <w:t>1.1</w:t>
        </w:r>
      </w:hyperlink>
      <w:r w:rsidRPr="00B40A77">
        <w:rPr>
          <w:color w:val="000000" w:themeColor="text1"/>
        </w:rPr>
        <w:t>;</w:t>
      </w:r>
    </w:p>
    <w:p w14:paraId="43F7FD0A" w14:textId="473C2A92" w:rsidR="00467048" w:rsidRPr="00B40A77" w:rsidRDefault="00467048" w:rsidP="00467048">
      <w:pPr>
        <w:pStyle w:val="Doubleindentedpara"/>
        <w:rPr>
          <w:color w:val="000000" w:themeColor="text1"/>
        </w:rPr>
      </w:pPr>
      <w:r w:rsidRPr="00B40A77">
        <w:rPr>
          <w:b/>
          <w:i/>
          <w:color w:val="000000" w:themeColor="text1"/>
        </w:rPr>
        <w:t>appellant</w:t>
      </w:r>
      <w:r w:rsidR="000A6FBC" w:rsidRPr="00B40A77">
        <w:rPr>
          <w:color w:val="000000" w:themeColor="text1"/>
        </w:rPr>
        <w:t>—</w:t>
      </w:r>
      <w:r w:rsidRPr="00B40A77">
        <w:rPr>
          <w:color w:val="000000" w:themeColor="text1"/>
        </w:rPr>
        <w:t xml:space="preserve">see </w:t>
      </w:r>
      <w:hyperlink w:anchor="_211.1—Definitions" w:history="1">
        <w:r w:rsidRPr="00B40A77">
          <w:rPr>
            <w:rStyle w:val="Hyperlink"/>
            <w:color w:val="000000" w:themeColor="text1"/>
          </w:rPr>
          <w:t xml:space="preserve">rule </w:t>
        </w:r>
        <w:r w:rsidR="009271F6" w:rsidRPr="00B40A77">
          <w:rPr>
            <w:rStyle w:val="Hyperlink"/>
            <w:color w:val="000000" w:themeColor="text1"/>
          </w:rPr>
          <w:t>18</w:t>
        </w:r>
        <w:r w:rsidR="006514AE" w:rsidRPr="00B40A77">
          <w:rPr>
            <w:rStyle w:val="Hyperlink"/>
            <w:color w:val="000000" w:themeColor="text1"/>
          </w:rPr>
          <w:t>1.1</w:t>
        </w:r>
      </w:hyperlink>
      <w:r w:rsidRPr="00B40A77">
        <w:rPr>
          <w:color w:val="000000" w:themeColor="text1"/>
        </w:rPr>
        <w:t>;</w:t>
      </w:r>
    </w:p>
    <w:p w14:paraId="22F9363F" w14:textId="6A3A0A83" w:rsidR="00A33ABB" w:rsidRPr="00B40A77" w:rsidRDefault="00A33ABB" w:rsidP="00A33ABB">
      <w:pPr>
        <w:pStyle w:val="Doubleindentedpara"/>
        <w:rPr>
          <w:color w:val="000000" w:themeColor="text1"/>
        </w:rPr>
      </w:pPr>
      <w:r w:rsidRPr="00B40A77">
        <w:rPr>
          <w:b/>
          <w:i/>
          <w:color w:val="000000" w:themeColor="text1"/>
        </w:rPr>
        <w:t>appellate hearing</w:t>
      </w:r>
      <w:r w:rsidRPr="00B40A77">
        <w:rPr>
          <w:color w:val="000000" w:themeColor="text1"/>
        </w:rPr>
        <w:t xml:space="preserve">—see </w:t>
      </w:r>
      <w:hyperlink w:anchor="_211.1—Definitions" w:history="1">
        <w:r w:rsidR="009271F6" w:rsidRPr="00B40A77">
          <w:rPr>
            <w:rStyle w:val="Hyperlink"/>
            <w:color w:val="000000" w:themeColor="text1"/>
          </w:rPr>
          <w:t>rule 18</w:t>
        </w:r>
        <w:r w:rsidRPr="00B40A77">
          <w:rPr>
            <w:rStyle w:val="Hyperlink"/>
            <w:color w:val="000000" w:themeColor="text1"/>
          </w:rPr>
          <w:t>1.1</w:t>
        </w:r>
      </w:hyperlink>
      <w:r w:rsidRPr="00B40A77">
        <w:rPr>
          <w:color w:val="000000" w:themeColor="text1"/>
        </w:rPr>
        <w:t xml:space="preserve">; </w:t>
      </w:r>
    </w:p>
    <w:p w14:paraId="1BB34027" w14:textId="4FB23DDF" w:rsidR="00467048" w:rsidRPr="00B40A77" w:rsidRDefault="00467048" w:rsidP="00467048">
      <w:pPr>
        <w:pStyle w:val="Doubleindentedpara"/>
        <w:rPr>
          <w:color w:val="000000" w:themeColor="text1"/>
        </w:rPr>
      </w:pPr>
      <w:r w:rsidRPr="00B40A77">
        <w:rPr>
          <w:b/>
          <w:i/>
          <w:color w:val="000000" w:themeColor="text1"/>
        </w:rPr>
        <w:t>appellate proceeding</w:t>
      </w:r>
      <w:r w:rsidR="000A6FBC" w:rsidRPr="00B40A77">
        <w:rPr>
          <w:color w:val="000000" w:themeColor="text1"/>
        </w:rPr>
        <w:t>—</w:t>
      </w:r>
      <w:r w:rsidRPr="00B40A77">
        <w:rPr>
          <w:color w:val="000000" w:themeColor="text1"/>
        </w:rPr>
        <w:t xml:space="preserve">see </w:t>
      </w:r>
      <w:hyperlink w:anchor="_211.1—Definitions" w:history="1">
        <w:r w:rsidRPr="00B40A77">
          <w:rPr>
            <w:rStyle w:val="Hyperlink"/>
            <w:color w:val="000000" w:themeColor="text1"/>
          </w:rPr>
          <w:t xml:space="preserve">rule </w:t>
        </w:r>
        <w:r w:rsidR="009271F6" w:rsidRPr="00B40A77">
          <w:rPr>
            <w:rStyle w:val="Hyperlink"/>
            <w:color w:val="000000" w:themeColor="text1"/>
          </w:rPr>
          <w:t>18</w:t>
        </w:r>
        <w:r w:rsidR="006514AE" w:rsidRPr="00B40A77">
          <w:rPr>
            <w:rStyle w:val="Hyperlink"/>
            <w:color w:val="000000" w:themeColor="text1"/>
          </w:rPr>
          <w:t>1.1</w:t>
        </w:r>
      </w:hyperlink>
      <w:r w:rsidR="006E276A" w:rsidRPr="00B40A77">
        <w:rPr>
          <w:color w:val="000000" w:themeColor="text1"/>
        </w:rPr>
        <w:t>;</w:t>
      </w:r>
      <w:r w:rsidRPr="00B40A77">
        <w:rPr>
          <w:color w:val="000000" w:themeColor="text1"/>
        </w:rPr>
        <w:t xml:space="preserve"> </w:t>
      </w:r>
    </w:p>
    <w:p w14:paraId="78ABE9E9" w14:textId="5FBAC156" w:rsidR="00832F03" w:rsidRPr="00B40A77" w:rsidRDefault="00832F03" w:rsidP="00DF68A6">
      <w:pPr>
        <w:pStyle w:val="IndentedPara"/>
        <w:ind w:left="1134"/>
        <w:rPr>
          <w:bCs/>
          <w:iCs/>
          <w:color w:val="000000" w:themeColor="text1"/>
        </w:rPr>
      </w:pPr>
      <w:r w:rsidRPr="00B40A77">
        <w:rPr>
          <w:b/>
          <w:bCs/>
          <w:i/>
          <w:iCs/>
          <w:color w:val="000000" w:themeColor="text1"/>
        </w:rPr>
        <w:t xml:space="preserve">audio link </w:t>
      </w:r>
      <w:r w:rsidR="000168E3" w:rsidRPr="00B40A77">
        <w:rPr>
          <w:bCs/>
          <w:iCs/>
          <w:color w:val="000000" w:themeColor="text1"/>
        </w:rPr>
        <w:t xml:space="preserve">means </w:t>
      </w:r>
      <w:r w:rsidRPr="00B40A77">
        <w:rPr>
          <w:bCs/>
          <w:iCs/>
          <w:color w:val="000000" w:themeColor="text1"/>
        </w:rPr>
        <w:t>audio communication between the Court and a part</w:t>
      </w:r>
      <w:r w:rsidR="00F04C46" w:rsidRPr="00B40A77">
        <w:rPr>
          <w:bCs/>
          <w:iCs/>
          <w:color w:val="000000" w:themeColor="text1"/>
        </w:rPr>
        <w:t>icipant</w:t>
      </w:r>
      <w:r w:rsidRPr="00B40A77">
        <w:rPr>
          <w:bCs/>
          <w:iCs/>
          <w:color w:val="000000" w:themeColor="text1"/>
        </w:rPr>
        <w:t xml:space="preserve"> by telephone or other electronic means for the purpose of a court hearing;</w:t>
      </w:r>
    </w:p>
    <w:p w14:paraId="02F56F9A" w14:textId="4C421AF9" w:rsidR="00DF68A6" w:rsidRPr="00B40A77" w:rsidRDefault="00DF68A6" w:rsidP="00DF68A6">
      <w:pPr>
        <w:pStyle w:val="IndentedPara"/>
        <w:ind w:left="1134"/>
        <w:rPr>
          <w:bCs/>
          <w:iCs/>
          <w:color w:val="000000" w:themeColor="text1"/>
        </w:rPr>
      </w:pPr>
      <w:r w:rsidRPr="00B40A77">
        <w:rPr>
          <w:b/>
          <w:bCs/>
          <w:i/>
          <w:iCs/>
          <w:color w:val="000000" w:themeColor="text1"/>
        </w:rPr>
        <w:t>audio visual</w:t>
      </w:r>
      <w:r w:rsidR="006E3A06" w:rsidRPr="00B40A77">
        <w:rPr>
          <w:b/>
          <w:bCs/>
          <w:i/>
          <w:iCs/>
          <w:color w:val="000000" w:themeColor="text1"/>
        </w:rPr>
        <w:t xml:space="preserve"> </w:t>
      </w:r>
      <w:r w:rsidRPr="00B40A77">
        <w:rPr>
          <w:b/>
          <w:bCs/>
          <w:i/>
          <w:iCs/>
          <w:color w:val="000000" w:themeColor="text1"/>
        </w:rPr>
        <w:t xml:space="preserve">link </w:t>
      </w:r>
      <w:r w:rsidR="000168E3" w:rsidRPr="00B40A77">
        <w:rPr>
          <w:bCs/>
          <w:iCs/>
          <w:color w:val="000000" w:themeColor="text1"/>
        </w:rPr>
        <w:t>means</w:t>
      </w:r>
      <w:r w:rsidR="00832F03" w:rsidRPr="00B40A77">
        <w:rPr>
          <w:bCs/>
          <w:iCs/>
          <w:color w:val="000000" w:themeColor="text1"/>
        </w:rPr>
        <w:t xml:space="preserve"> audio visual</w:t>
      </w:r>
      <w:r w:rsidRPr="00B40A77">
        <w:rPr>
          <w:bCs/>
          <w:iCs/>
          <w:color w:val="000000" w:themeColor="text1"/>
        </w:rPr>
        <w:t xml:space="preserve"> communication between the Court and a </w:t>
      </w:r>
      <w:r w:rsidR="00F04C46" w:rsidRPr="00B40A77">
        <w:rPr>
          <w:bCs/>
          <w:iCs/>
          <w:color w:val="000000" w:themeColor="text1"/>
        </w:rPr>
        <w:t>participant</w:t>
      </w:r>
      <w:r w:rsidRPr="00B40A77">
        <w:rPr>
          <w:bCs/>
          <w:iCs/>
          <w:color w:val="000000" w:themeColor="text1"/>
        </w:rPr>
        <w:t xml:space="preserve"> by video or other electronic means for the purpose of a court hearing;</w:t>
      </w:r>
      <w:r w:rsidRPr="00B40A77">
        <w:rPr>
          <w:b/>
          <w:bCs/>
          <w:i/>
          <w:iCs/>
          <w:color w:val="000000" w:themeColor="text1"/>
        </w:rPr>
        <w:tab/>
      </w:r>
    </w:p>
    <w:p w14:paraId="7F32B5D5" w14:textId="77777777" w:rsidR="000022E6" w:rsidRPr="00B40A77" w:rsidRDefault="00467048" w:rsidP="006A5750">
      <w:pPr>
        <w:pStyle w:val="Doubleindentedpara"/>
        <w:keepNext/>
        <w:rPr>
          <w:color w:val="000000" w:themeColor="text1"/>
        </w:rPr>
      </w:pPr>
      <w:r w:rsidRPr="00B40A77">
        <w:rPr>
          <w:b/>
          <w:i/>
          <w:color w:val="000000" w:themeColor="text1"/>
        </w:rPr>
        <w:t>authorised witness</w:t>
      </w:r>
      <w:r w:rsidR="000022E6" w:rsidRPr="00B40A77">
        <w:rPr>
          <w:b/>
          <w:i/>
          <w:color w:val="000000" w:themeColor="text1"/>
        </w:rPr>
        <w:t xml:space="preserve"> </w:t>
      </w:r>
      <w:r w:rsidR="000022E6" w:rsidRPr="00B40A77">
        <w:rPr>
          <w:bCs/>
          <w:iCs/>
          <w:color w:val="000000" w:themeColor="text1"/>
        </w:rPr>
        <w:t>means</w:t>
      </w:r>
      <w:r w:rsidR="000A6FBC" w:rsidRPr="00B40A77">
        <w:rPr>
          <w:color w:val="000000" w:themeColor="text1"/>
        </w:rPr>
        <w:t>—</w:t>
      </w:r>
    </w:p>
    <w:p w14:paraId="08674045" w14:textId="346E1D15" w:rsidR="00467048" w:rsidRPr="00B40A77" w:rsidRDefault="00853FCF" w:rsidP="00641849">
      <w:pPr>
        <w:pStyle w:val="Doublehangindent"/>
        <w:keepNext/>
        <w:ind w:left="2007"/>
        <w:rPr>
          <w:color w:val="000000" w:themeColor="text1"/>
          <w:lang w:val="en-US"/>
        </w:rPr>
      </w:pPr>
      <w:r w:rsidRPr="00B40A77">
        <w:rPr>
          <w:color w:val="000000" w:themeColor="text1"/>
          <w:lang w:val="en-US"/>
        </w:rPr>
        <w:t>(a)</w:t>
      </w:r>
      <w:r w:rsidRPr="00B40A77">
        <w:rPr>
          <w:color w:val="000000" w:themeColor="text1"/>
          <w:lang w:val="en-US"/>
        </w:rPr>
        <w:tab/>
      </w:r>
      <w:r w:rsidR="000022E6" w:rsidRPr="00B40A77">
        <w:rPr>
          <w:color w:val="000000" w:themeColor="text1"/>
          <w:lang w:val="en-US"/>
        </w:rPr>
        <w:t>a person authorised under section</w:t>
      </w:r>
      <w:r w:rsidR="008B6C02" w:rsidRPr="00B40A77">
        <w:rPr>
          <w:color w:val="000000" w:themeColor="text1"/>
          <w:lang w:val="en-US"/>
        </w:rPr>
        <w:t> </w:t>
      </w:r>
      <w:r w:rsidR="000022E6" w:rsidRPr="00B40A77">
        <w:rPr>
          <w:color w:val="000000" w:themeColor="text1"/>
          <w:lang w:val="en-US"/>
        </w:rPr>
        <w:t>27A and Schedule</w:t>
      </w:r>
      <w:r w:rsidR="008B6C02" w:rsidRPr="00B40A77">
        <w:rPr>
          <w:color w:val="000000" w:themeColor="text1"/>
          <w:lang w:val="en-US"/>
        </w:rPr>
        <w:t> </w:t>
      </w:r>
      <w:r w:rsidR="000022E6" w:rsidRPr="00B40A77">
        <w:rPr>
          <w:color w:val="000000" w:themeColor="text1"/>
          <w:lang w:val="en-US"/>
        </w:rPr>
        <w:t>1 cla</w:t>
      </w:r>
      <w:r w:rsidRPr="00B40A77">
        <w:rPr>
          <w:color w:val="000000" w:themeColor="text1"/>
          <w:lang w:val="en-US"/>
        </w:rPr>
        <w:t>us</w:t>
      </w:r>
      <w:r w:rsidR="000022E6" w:rsidRPr="00B40A77">
        <w:rPr>
          <w:color w:val="000000" w:themeColor="text1"/>
          <w:lang w:val="en-US"/>
        </w:rPr>
        <w:t>e</w:t>
      </w:r>
      <w:r w:rsidR="008B6C02" w:rsidRPr="00B40A77">
        <w:rPr>
          <w:color w:val="000000" w:themeColor="text1"/>
          <w:lang w:val="en-US"/>
        </w:rPr>
        <w:t> </w:t>
      </w:r>
      <w:r w:rsidR="000022E6" w:rsidRPr="00B40A77">
        <w:rPr>
          <w:color w:val="000000" w:themeColor="text1"/>
          <w:lang w:val="en-US"/>
        </w:rPr>
        <w:t xml:space="preserve">2 of the </w:t>
      </w:r>
      <w:r w:rsidR="000022E6" w:rsidRPr="00B40A77">
        <w:rPr>
          <w:i/>
          <w:iCs/>
          <w:color w:val="000000" w:themeColor="text1"/>
          <w:lang w:val="en-US"/>
        </w:rPr>
        <w:t>Oaths Act</w:t>
      </w:r>
      <w:r w:rsidR="00BF6F93" w:rsidRPr="00B40A77">
        <w:rPr>
          <w:i/>
          <w:iCs/>
          <w:color w:val="000000" w:themeColor="text1"/>
          <w:lang w:val="en-US"/>
        </w:rPr>
        <w:t> </w:t>
      </w:r>
      <w:r w:rsidR="000022E6" w:rsidRPr="00B40A77">
        <w:rPr>
          <w:i/>
          <w:iCs/>
          <w:color w:val="000000" w:themeColor="text1"/>
          <w:lang w:val="en-US"/>
        </w:rPr>
        <w:t>193</w:t>
      </w:r>
      <w:r w:rsidR="005A2A0F" w:rsidRPr="00B40A77">
        <w:rPr>
          <w:i/>
          <w:iCs/>
          <w:color w:val="000000" w:themeColor="text1"/>
          <w:lang w:val="en-US"/>
        </w:rPr>
        <w:t>6</w:t>
      </w:r>
      <w:r w:rsidR="000022E6" w:rsidRPr="00B40A77">
        <w:rPr>
          <w:color w:val="000000" w:themeColor="text1"/>
          <w:lang w:val="en-US"/>
        </w:rPr>
        <w:t xml:space="preserve"> to take an affidavit in South Australia</w:t>
      </w:r>
      <w:r w:rsidR="00DE2318" w:rsidRPr="00B40A77">
        <w:rPr>
          <w:color w:val="000000" w:themeColor="text1"/>
          <w:lang w:val="en-US"/>
        </w:rPr>
        <w:t>;</w:t>
      </w:r>
      <w:r w:rsidRPr="00B40A77">
        <w:rPr>
          <w:color w:val="000000" w:themeColor="text1"/>
          <w:lang w:val="en-US"/>
        </w:rPr>
        <w:t xml:space="preserve"> and</w:t>
      </w:r>
    </w:p>
    <w:p w14:paraId="42450BF5" w14:textId="77777777" w:rsidR="00853FCF" w:rsidRPr="00B40A77" w:rsidRDefault="00853FCF" w:rsidP="006A5750">
      <w:pPr>
        <w:pStyle w:val="NoteHeader"/>
        <w:keepNext/>
        <w:ind w:left="2019"/>
        <w:rPr>
          <w:color w:val="000000" w:themeColor="text1"/>
        </w:rPr>
      </w:pPr>
      <w:r w:rsidRPr="00B40A77">
        <w:rPr>
          <w:color w:val="000000" w:themeColor="text1"/>
        </w:rPr>
        <w:t>Note—</w:t>
      </w:r>
    </w:p>
    <w:p w14:paraId="6DE895FC" w14:textId="176EC2C4" w:rsidR="00853FCF" w:rsidRPr="00B40A77" w:rsidRDefault="00853FCF" w:rsidP="005A2A0F">
      <w:pPr>
        <w:pStyle w:val="NoteText"/>
        <w:ind w:left="2466"/>
        <w:rPr>
          <w:color w:val="000000" w:themeColor="text1"/>
        </w:rPr>
      </w:pPr>
      <w:r w:rsidRPr="00B40A77">
        <w:rPr>
          <w:color w:val="000000" w:themeColor="text1"/>
          <w:lang w:val="en-US"/>
        </w:rPr>
        <w:t xml:space="preserve">Section 27A and Schedule 1 clause 2 of the </w:t>
      </w:r>
      <w:r w:rsidRPr="00B40A77">
        <w:rPr>
          <w:i/>
          <w:iCs/>
          <w:color w:val="000000" w:themeColor="text1"/>
          <w:lang w:val="en-US"/>
        </w:rPr>
        <w:t>Oaths Act 193</w:t>
      </w:r>
      <w:r w:rsidR="005A2A0F" w:rsidRPr="00B40A77">
        <w:rPr>
          <w:i/>
          <w:iCs/>
          <w:color w:val="000000" w:themeColor="text1"/>
          <w:lang w:val="en-US"/>
        </w:rPr>
        <w:t>6</w:t>
      </w:r>
      <w:r w:rsidRPr="00B40A77">
        <w:rPr>
          <w:color w:val="000000" w:themeColor="text1"/>
        </w:rPr>
        <w:t xml:space="preserve"> authorise the following persons to take affidavits:</w:t>
      </w:r>
    </w:p>
    <w:p w14:paraId="27CDAB89" w14:textId="77777777" w:rsidR="0064383D" w:rsidRPr="00B40A77" w:rsidRDefault="0064383D" w:rsidP="005A2A0F">
      <w:pPr>
        <w:pStyle w:val="NoteText"/>
        <w:ind w:left="2466"/>
        <w:rPr>
          <w:color w:val="000000" w:themeColor="text1"/>
        </w:rPr>
      </w:pPr>
      <w:r w:rsidRPr="00B40A77">
        <w:rPr>
          <w:color w:val="000000" w:themeColor="text1"/>
        </w:rPr>
        <w:t>(a)</w:t>
      </w:r>
      <w:r w:rsidRPr="00B40A77">
        <w:rPr>
          <w:color w:val="000000" w:themeColor="text1"/>
        </w:rPr>
        <w:tab/>
        <w:t>a Commissioner for taking affidavits in the Supreme Court;</w:t>
      </w:r>
    </w:p>
    <w:p w14:paraId="183A6BA2" w14:textId="2693EA1F" w:rsidR="0064383D" w:rsidRPr="00B40A77" w:rsidRDefault="0064383D" w:rsidP="005A2A0F">
      <w:pPr>
        <w:pStyle w:val="NoteText"/>
        <w:ind w:left="2466"/>
        <w:rPr>
          <w:color w:val="000000" w:themeColor="text1"/>
        </w:rPr>
      </w:pPr>
      <w:r w:rsidRPr="00B40A77">
        <w:rPr>
          <w:color w:val="000000" w:themeColor="text1"/>
        </w:rPr>
        <w:t>(b)</w:t>
      </w:r>
      <w:r w:rsidRPr="00B40A77">
        <w:rPr>
          <w:color w:val="000000" w:themeColor="text1"/>
        </w:rPr>
        <w:tab/>
        <w:t>a justice of the peace;</w:t>
      </w:r>
    </w:p>
    <w:p w14:paraId="143FD68F" w14:textId="13895BA4" w:rsidR="0064383D" w:rsidRPr="00B40A77" w:rsidRDefault="0064383D" w:rsidP="005A2A0F">
      <w:pPr>
        <w:pStyle w:val="NoteText"/>
        <w:ind w:left="2466"/>
        <w:rPr>
          <w:color w:val="000000" w:themeColor="text1"/>
        </w:rPr>
      </w:pPr>
      <w:r w:rsidRPr="00B40A77">
        <w:rPr>
          <w:color w:val="000000" w:themeColor="text1"/>
        </w:rPr>
        <w:t>(c)</w:t>
      </w:r>
      <w:r w:rsidRPr="00B40A77">
        <w:rPr>
          <w:color w:val="000000" w:themeColor="text1"/>
        </w:rPr>
        <w:tab/>
        <w:t>a police officer, other than a police officer who is a probationary constable;</w:t>
      </w:r>
    </w:p>
    <w:p w14:paraId="7016E1F8" w14:textId="6068E4DA" w:rsidR="0064383D" w:rsidRPr="00B40A77" w:rsidRDefault="0064383D" w:rsidP="005A2A0F">
      <w:pPr>
        <w:pStyle w:val="NoteText"/>
        <w:ind w:left="2466"/>
        <w:rPr>
          <w:color w:val="000000" w:themeColor="text1"/>
        </w:rPr>
      </w:pPr>
      <w:r w:rsidRPr="00B40A77">
        <w:rPr>
          <w:color w:val="000000" w:themeColor="text1"/>
        </w:rPr>
        <w:lastRenderedPageBreak/>
        <w:t>(d)</w:t>
      </w:r>
      <w:r w:rsidRPr="00B40A77">
        <w:rPr>
          <w:color w:val="000000" w:themeColor="text1"/>
        </w:rPr>
        <w:tab/>
        <w:t>a person admitted and enrolled as a notary public of the Supreme Court;</w:t>
      </w:r>
    </w:p>
    <w:p w14:paraId="38E7E5E0" w14:textId="5CD7E615" w:rsidR="0064383D" w:rsidRPr="00B40A77" w:rsidRDefault="0064383D" w:rsidP="005A2A0F">
      <w:pPr>
        <w:pStyle w:val="NoteText"/>
        <w:ind w:left="2466"/>
        <w:rPr>
          <w:color w:val="000000" w:themeColor="text1"/>
        </w:rPr>
      </w:pPr>
      <w:r w:rsidRPr="00B40A77">
        <w:rPr>
          <w:color w:val="000000" w:themeColor="text1"/>
        </w:rPr>
        <w:t>(e)</w:t>
      </w:r>
      <w:r w:rsidRPr="00B40A77">
        <w:rPr>
          <w:color w:val="000000" w:themeColor="text1"/>
        </w:rPr>
        <w:tab/>
        <w:t>any other person of a class prescribed by regulation.</w:t>
      </w:r>
    </w:p>
    <w:p w14:paraId="61A29316" w14:textId="4E76FBA0" w:rsidR="00492EAF" w:rsidRPr="00B40A77" w:rsidRDefault="00492EAF" w:rsidP="005A2A0F">
      <w:pPr>
        <w:pStyle w:val="NoteText"/>
        <w:ind w:left="2466"/>
        <w:rPr>
          <w:color w:val="000000" w:themeColor="text1"/>
        </w:rPr>
      </w:pPr>
      <w:r w:rsidRPr="00B40A77">
        <w:rPr>
          <w:color w:val="000000" w:themeColor="text1"/>
        </w:rPr>
        <w:t xml:space="preserve">Regulation 7 of the </w:t>
      </w:r>
      <w:r w:rsidRPr="00B40A77">
        <w:rPr>
          <w:i/>
          <w:iCs/>
          <w:color w:val="000000" w:themeColor="text1"/>
        </w:rPr>
        <w:t>Oaths Regulations 2021</w:t>
      </w:r>
      <w:r w:rsidRPr="00B40A77">
        <w:rPr>
          <w:color w:val="000000" w:themeColor="text1"/>
        </w:rPr>
        <w:t xml:space="preserve"> prescribes the additional class of any person empowered, authorised or permitted by or under any Act or rules of a court or tribunal to take affidavits. </w:t>
      </w:r>
    </w:p>
    <w:p w14:paraId="7ACFDF69" w14:textId="1F20AD4B" w:rsidR="000022E6" w:rsidRPr="00B40A77" w:rsidRDefault="00853FCF" w:rsidP="005A2A0F">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respect of an affidavit made outside South Australia—a person authorised to take an affidavit under the laws of the place where the affidavit is made;</w:t>
      </w:r>
    </w:p>
    <w:p w14:paraId="0E8B7A6F" w14:textId="5CAC231C" w:rsidR="00BA5EC2" w:rsidRPr="00B40A77" w:rsidRDefault="00BA5EC2" w:rsidP="00BA5EC2">
      <w:pPr>
        <w:pStyle w:val="Doubleindentedpara"/>
        <w:rPr>
          <w:b/>
          <w:i/>
          <w:color w:val="000000" w:themeColor="text1"/>
        </w:rPr>
      </w:pPr>
      <w:r w:rsidRPr="00B40A77">
        <w:rPr>
          <w:b/>
          <w:i/>
          <w:color w:val="000000" w:themeColor="text1"/>
        </w:rPr>
        <w:t xml:space="preserve">Bail Act </w:t>
      </w:r>
      <w:r w:rsidRPr="00B40A77">
        <w:rPr>
          <w:color w:val="000000" w:themeColor="text1"/>
        </w:rPr>
        <w:t xml:space="preserve">means the </w:t>
      </w:r>
      <w:r w:rsidRPr="00B40A77">
        <w:rPr>
          <w:i/>
          <w:color w:val="000000" w:themeColor="text1"/>
        </w:rPr>
        <w:t>Bail Act 1985</w:t>
      </w:r>
      <w:r w:rsidRPr="00B40A77">
        <w:rPr>
          <w:color w:val="000000" w:themeColor="text1"/>
        </w:rPr>
        <w:t>;</w:t>
      </w:r>
    </w:p>
    <w:p w14:paraId="05DF1DB8" w14:textId="725A5568" w:rsidR="00BA5EC2" w:rsidRPr="00B40A77" w:rsidRDefault="00BA5EC2" w:rsidP="00BA5EC2">
      <w:pPr>
        <w:pStyle w:val="Doubleindentedpara"/>
        <w:rPr>
          <w:color w:val="000000" w:themeColor="text1"/>
        </w:rPr>
      </w:pPr>
      <w:r w:rsidRPr="00B40A77">
        <w:rPr>
          <w:b/>
          <w:i/>
          <w:color w:val="000000" w:themeColor="text1"/>
        </w:rPr>
        <w:t xml:space="preserve">bail application </w:t>
      </w:r>
      <w:r w:rsidRPr="00B40A77">
        <w:rPr>
          <w:color w:val="000000" w:themeColor="text1"/>
        </w:rPr>
        <w:t>means an application relating to bail and includes—</w:t>
      </w:r>
    </w:p>
    <w:p w14:paraId="5B83D949" w14:textId="32F01CCB" w:rsidR="00BA5EC2" w:rsidRPr="00B40A77" w:rsidRDefault="00172E6A" w:rsidP="005A2A0F">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r>
      <w:r w:rsidR="00BA5EC2" w:rsidRPr="00B40A77">
        <w:rPr>
          <w:color w:val="000000" w:themeColor="text1"/>
          <w:lang w:val="en-US"/>
        </w:rPr>
        <w:t xml:space="preserve">an application for release on bail </w:t>
      </w:r>
      <w:r w:rsidR="00915E8A" w:rsidRPr="00B40A77">
        <w:rPr>
          <w:color w:val="000000" w:themeColor="text1"/>
          <w:lang w:val="en-US"/>
        </w:rPr>
        <w:t xml:space="preserve">in accordance with </w:t>
      </w:r>
      <w:r w:rsidR="00BA5EC2" w:rsidRPr="00B40A77">
        <w:rPr>
          <w:color w:val="000000" w:themeColor="text1"/>
          <w:lang w:val="en-US"/>
        </w:rPr>
        <w:t xml:space="preserve">sections 4 and 8 of the </w:t>
      </w:r>
      <w:r w:rsidR="00BA5EC2" w:rsidRPr="00B40A77">
        <w:rPr>
          <w:color w:val="000000" w:themeColor="text1"/>
          <w:u w:val="single"/>
          <w:lang w:val="en-US"/>
        </w:rPr>
        <w:t>Bail Act</w:t>
      </w:r>
      <w:r w:rsidR="00BA5EC2" w:rsidRPr="00B40A77">
        <w:rPr>
          <w:color w:val="000000" w:themeColor="text1"/>
          <w:lang w:val="en-US"/>
        </w:rPr>
        <w:t>;</w:t>
      </w:r>
    </w:p>
    <w:p w14:paraId="383FE3D3" w14:textId="43E9D849" w:rsidR="001B3A8F" w:rsidRPr="00B40A77" w:rsidRDefault="00172E6A" w:rsidP="001B3A8F">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r>
      <w:r w:rsidR="001B3A8F" w:rsidRPr="00B40A77">
        <w:rPr>
          <w:color w:val="000000" w:themeColor="text1"/>
          <w:lang w:val="en-US"/>
        </w:rPr>
        <w:t xml:space="preserve">an application for review of a decision by a police officer on an application for under section 15 of the </w:t>
      </w:r>
      <w:r w:rsidR="001B3A8F" w:rsidRPr="00B40A77">
        <w:rPr>
          <w:color w:val="000000" w:themeColor="text1"/>
          <w:u w:val="single"/>
          <w:lang w:val="en-US"/>
        </w:rPr>
        <w:t>Bail Act</w:t>
      </w:r>
      <w:r w:rsidR="001B3A8F" w:rsidRPr="00B40A77">
        <w:rPr>
          <w:color w:val="000000" w:themeColor="text1"/>
          <w:lang w:val="en-US"/>
        </w:rPr>
        <w:t>;</w:t>
      </w:r>
    </w:p>
    <w:p w14:paraId="0A19A563" w14:textId="2BFE9920" w:rsidR="00172E6A" w:rsidRPr="00B40A77" w:rsidRDefault="001B3A8F" w:rsidP="005A2A0F">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r>
      <w:r w:rsidR="00172E6A" w:rsidRPr="00B40A77">
        <w:rPr>
          <w:color w:val="000000" w:themeColor="text1"/>
          <w:lang w:val="en-US"/>
        </w:rPr>
        <w:t xml:space="preserve">an application for a determination that a person is a </w:t>
      </w:r>
      <w:r w:rsidR="00172E6A" w:rsidRPr="00B40A77">
        <w:rPr>
          <w:color w:val="000000" w:themeColor="text1"/>
          <w:u w:val="single"/>
          <w:lang w:val="en-US"/>
        </w:rPr>
        <w:t>serious and organised crime suspect</w:t>
      </w:r>
      <w:r w:rsidR="00172E6A" w:rsidRPr="00B40A77">
        <w:rPr>
          <w:color w:val="000000" w:themeColor="text1"/>
          <w:lang w:val="en-US"/>
        </w:rPr>
        <w:t xml:space="preserve"> </w:t>
      </w:r>
      <w:r w:rsidR="00324213" w:rsidRPr="00B40A77">
        <w:rPr>
          <w:color w:val="000000" w:themeColor="text1"/>
          <w:lang w:val="en-US"/>
        </w:rPr>
        <w:t xml:space="preserve">under </w:t>
      </w:r>
      <w:r w:rsidR="00172E6A" w:rsidRPr="00B40A77">
        <w:rPr>
          <w:color w:val="000000" w:themeColor="text1"/>
          <w:lang w:val="en-US"/>
        </w:rPr>
        <w:t xml:space="preserve">section 3A(1) of the </w:t>
      </w:r>
      <w:r w:rsidR="00172E6A" w:rsidRPr="00B40A77">
        <w:rPr>
          <w:color w:val="000000" w:themeColor="text1"/>
          <w:u w:val="single"/>
          <w:lang w:val="en-US"/>
        </w:rPr>
        <w:t>Bail Act</w:t>
      </w:r>
      <w:r w:rsidR="00172E6A" w:rsidRPr="00B40A77">
        <w:rPr>
          <w:color w:val="000000" w:themeColor="text1"/>
          <w:lang w:val="en-US"/>
        </w:rPr>
        <w:t>;</w:t>
      </w:r>
    </w:p>
    <w:p w14:paraId="6C339D42" w14:textId="4F06A749" w:rsidR="00BA5EC2" w:rsidRPr="00B40A77" w:rsidRDefault="00172E6A" w:rsidP="005A2A0F">
      <w:pPr>
        <w:pStyle w:val="Doublehangindent"/>
        <w:ind w:left="2007"/>
        <w:rPr>
          <w:color w:val="000000" w:themeColor="text1"/>
          <w:lang w:val="en-US"/>
        </w:rPr>
      </w:pPr>
      <w:r w:rsidRPr="00B40A77">
        <w:rPr>
          <w:color w:val="000000" w:themeColor="text1"/>
          <w:lang w:val="en-US"/>
        </w:rPr>
        <w:t>(</w:t>
      </w:r>
      <w:r w:rsidR="001B3A8F" w:rsidRPr="00B40A77">
        <w:rPr>
          <w:color w:val="000000" w:themeColor="text1"/>
          <w:lang w:val="en-US"/>
        </w:rPr>
        <w:t>d</w:t>
      </w:r>
      <w:r w:rsidR="000E0A42" w:rsidRPr="00B40A77">
        <w:rPr>
          <w:color w:val="000000" w:themeColor="text1"/>
          <w:lang w:val="en-US"/>
        </w:rPr>
        <w:t>)</w:t>
      </w:r>
      <w:r w:rsidRPr="00B40A77">
        <w:rPr>
          <w:color w:val="000000" w:themeColor="text1"/>
          <w:lang w:val="en-US"/>
        </w:rPr>
        <w:tab/>
      </w:r>
      <w:r w:rsidR="00BA5EC2" w:rsidRPr="00B40A77">
        <w:rPr>
          <w:color w:val="000000" w:themeColor="text1"/>
          <w:lang w:val="en-US"/>
        </w:rPr>
        <w:t>an application to revoke a bail agreement or issue a warrant under section</w:t>
      </w:r>
      <w:r w:rsidR="00D3081F" w:rsidRPr="00B40A77">
        <w:rPr>
          <w:color w:val="000000" w:themeColor="text1"/>
          <w:lang w:val="en-US"/>
        </w:rPr>
        <w:t> </w:t>
      </w:r>
      <w:r w:rsidR="00BA5EC2" w:rsidRPr="00B40A77">
        <w:rPr>
          <w:color w:val="000000" w:themeColor="text1"/>
          <w:lang w:val="en-US"/>
        </w:rPr>
        <w:t xml:space="preserve">6(4), 18(1) or 19A of the </w:t>
      </w:r>
      <w:r w:rsidR="00BA5EC2" w:rsidRPr="00B40A77">
        <w:rPr>
          <w:color w:val="000000" w:themeColor="text1"/>
          <w:u w:val="single"/>
          <w:lang w:val="en-US"/>
        </w:rPr>
        <w:t>Bail Act</w:t>
      </w:r>
      <w:r w:rsidR="00BA5EC2" w:rsidRPr="00B40A77">
        <w:rPr>
          <w:color w:val="000000" w:themeColor="text1"/>
          <w:lang w:val="en-US"/>
        </w:rPr>
        <w:t>;</w:t>
      </w:r>
    </w:p>
    <w:p w14:paraId="1324E1B8" w14:textId="0AF40871" w:rsidR="00BA5EC2" w:rsidRPr="00B40A77" w:rsidRDefault="000E0A42" w:rsidP="005A2A0F">
      <w:pPr>
        <w:pStyle w:val="Doublehangindent"/>
        <w:ind w:left="2007"/>
        <w:rPr>
          <w:color w:val="000000" w:themeColor="text1"/>
          <w:lang w:val="en-US"/>
        </w:rPr>
      </w:pPr>
      <w:r w:rsidRPr="00B40A77">
        <w:rPr>
          <w:color w:val="000000" w:themeColor="text1"/>
          <w:lang w:val="en-US"/>
        </w:rPr>
        <w:t>(</w:t>
      </w:r>
      <w:r w:rsidR="001B3A8F" w:rsidRPr="00B40A77">
        <w:rPr>
          <w:color w:val="000000" w:themeColor="text1"/>
          <w:lang w:val="en-US"/>
        </w:rPr>
        <w:t>e</w:t>
      </w:r>
      <w:r w:rsidRPr="00B40A77">
        <w:rPr>
          <w:color w:val="000000" w:themeColor="text1"/>
          <w:lang w:val="en-US"/>
        </w:rPr>
        <w:t>)</w:t>
      </w:r>
      <w:r w:rsidRPr="00B40A77">
        <w:rPr>
          <w:color w:val="000000" w:themeColor="text1"/>
          <w:lang w:val="en-US"/>
        </w:rPr>
        <w:tab/>
      </w:r>
      <w:r w:rsidR="00BA5EC2" w:rsidRPr="00B40A77">
        <w:rPr>
          <w:color w:val="000000" w:themeColor="text1"/>
          <w:lang w:val="en-US"/>
        </w:rPr>
        <w:t xml:space="preserve">an application to vary a condition of a bail agreement under section 6(4) of the </w:t>
      </w:r>
      <w:r w:rsidRPr="00B40A77">
        <w:rPr>
          <w:color w:val="000000" w:themeColor="text1"/>
          <w:u w:val="single"/>
          <w:lang w:val="en-US"/>
        </w:rPr>
        <w:t>Bail Act</w:t>
      </w:r>
      <w:r w:rsidR="00BA5EC2" w:rsidRPr="00B40A77">
        <w:rPr>
          <w:color w:val="000000" w:themeColor="text1"/>
          <w:lang w:val="en-US"/>
        </w:rPr>
        <w:t>;</w:t>
      </w:r>
    </w:p>
    <w:p w14:paraId="08F40353" w14:textId="147F0538" w:rsidR="00BA5EC2" w:rsidRPr="00B40A77" w:rsidRDefault="000E0A42" w:rsidP="005A2A0F">
      <w:pPr>
        <w:pStyle w:val="Doublehangindent"/>
        <w:ind w:left="2007"/>
        <w:rPr>
          <w:color w:val="000000" w:themeColor="text1"/>
          <w:lang w:val="en-US"/>
        </w:rPr>
      </w:pPr>
      <w:r w:rsidRPr="00B40A77">
        <w:rPr>
          <w:color w:val="000000" w:themeColor="text1"/>
          <w:lang w:val="en-US"/>
        </w:rPr>
        <w:t>(</w:t>
      </w:r>
      <w:r w:rsidR="001B3A8F" w:rsidRPr="00B40A77">
        <w:rPr>
          <w:color w:val="000000" w:themeColor="text1"/>
          <w:lang w:val="en-US"/>
        </w:rPr>
        <w:t>f</w:t>
      </w:r>
      <w:r w:rsidRPr="00B40A77">
        <w:rPr>
          <w:color w:val="000000" w:themeColor="text1"/>
          <w:lang w:val="en-US"/>
        </w:rPr>
        <w:t>)</w:t>
      </w:r>
      <w:r w:rsidRPr="00B40A77">
        <w:rPr>
          <w:color w:val="000000" w:themeColor="text1"/>
          <w:lang w:val="en-US"/>
        </w:rPr>
        <w:tab/>
      </w:r>
      <w:r w:rsidR="00BA5EC2" w:rsidRPr="00B40A77">
        <w:rPr>
          <w:color w:val="000000" w:themeColor="text1"/>
          <w:lang w:val="en-US"/>
        </w:rPr>
        <w:t xml:space="preserve">an application to vary or revoke a guarantee in respect of a bail agreement under section 7(4) of the </w:t>
      </w:r>
      <w:r w:rsidR="00BA5EC2" w:rsidRPr="00B40A77">
        <w:rPr>
          <w:color w:val="000000" w:themeColor="text1"/>
          <w:u w:val="single"/>
          <w:lang w:val="en-US"/>
        </w:rPr>
        <w:t>Bail Act</w:t>
      </w:r>
      <w:r w:rsidR="00BA5EC2" w:rsidRPr="00B40A77">
        <w:rPr>
          <w:color w:val="000000" w:themeColor="text1"/>
          <w:lang w:val="en-US"/>
        </w:rPr>
        <w:t>;</w:t>
      </w:r>
    </w:p>
    <w:p w14:paraId="14303277" w14:textId="3093E4F5" w:rsidR="00BA5EC2" w:rsidRPr="00B40A77" w:rsidRDefault="000E0A42" w:rsidP="005A2A0F">
      <w:pPr>
        <w:pStyle w:val="Doublehangindent"/>
        <w:ind w:left="2007"/>
        <w:rPr>
          <w:color w:val="000000" w:themeColor="text1"/>
          <w:lang w:val="en-US"/>
        </w:rPr>
      </w:pPr>
      <w:r w:rsidRPr="00B40A77">
        <w:rPr>
          <w:color w:val="000000" w:themeColor="text1"/>
          <w:lang w:val="en-US"/>
        </w:rPr>
        <w:t>(</w:t>
      </w:r>
      <w:r w:rsidR="001B3A8F" w:rsidRPr="00B40A77">
        <w:rPr>
          <w:color w:val="000000" w:themeColor="text1"/>
          <w:lang w:val="en-US"/>
        </w:rPr>
        <w:t>g</w:t>
      </w:r>
      <w:r w:rsidRPr="00B40A77">
        <w:rPr>
          <w:color w:val="000000" w:themeColor="text1"/>
          <w:lang w:val="en-US"/>
        </w:rPr>
        <w:t>)</w:t>
      </w:r>
      <w:r w:rsidRPr="00B40A77">
        <w:rPr>
          <w:color w:val="000000" w:themeColor="text1"/>
          <w:lang w:val="en-US"/>
        </w:rPr>
        <w:tab/>
      </w:r>
      <w:r w:rsidR="00BA5EC2" w:rsidRPr="00B40A77">
        <w:rPr>
          <w:color w:val="000000" w:themeColor="text1"/>
          <w:lang w:val="en-US"/>
        </w:rPr>
        <w:t xml:space="preserve">an application for estreatment under section 19 of the </w:t>
      </w:r>
      <w:r w:rsidR="00BA5EC2" w:rsidRPr="00B40A77">
        <w:rPr>
          <w:color w:val="000000" w:themeColor="text1"/>
          <w:u w:val="single"/>
          <w:lang w:val="en-US"/>
        </w:rPr>
        <w:t>Bail Act</w:t>
      </w:r>
      <w:r w:rsidR="00BA5EC2" w:rsidRPr="00B40A77">
        <w:rPr>
          <w:color w:val="000000" w:themeColor="text1"/>
          <w:lang w:val="en-US"/>
        </w:rPr>
        <w:t>; or</w:t>
      </w:r>
    </w:p>
    <w:p w14:paraId="180CB242" w14:textId="03FC7EA3" w:rsidR="00BA5EC2" w:rsidRPr="00B40A77" w:rsidRDefault="000E0A42" w:rsidP="005A2A0F">
      <w:pPr>
        <w:pStyle w:val="Doublehangindent"/>
        <w:ind w:left="2007"/>
        <w:rPr>
          <w:color w:val="000000" w:themeColor="text1"/>
          <w:lang w:val="en-US"/>
        </w:rPr>
      </w:pPr>
      <w:r w:rsidRPr="00B40A77">
        <w:rPr>
          <w:color w:val="000000" w:themeColor="text1"/>
          <w:lang w:val="en-US"/>
        </w:rPr>
        <w:t>(</w:t>
      </w:r>
      <w:r w:rsidR="001B3A8F" w:rsidRPr="00B40A77">
        <w:rPr>
          <w:color w:val="000000" w:themeColor="text1"/>
          <w:lang w:val="en-US"/>
        </w:rPr>
        <w:t>h</w:t>
      </w:r>
      <w:r w:rsidRPr="00B40A77">
        <w:rPr>
          <w:color w:val="000000" w:themeColor="text1"/>
          <w:lang w:val="en-US"/>
        </w:rPr>
        <w:t>)</w:t>
      </w:r>
      <w:r w:rsidRPr="00B40A77">
        <w:rPr>
          <w:color w:val="000000" w:themeColor="text1"/>
          <w:lang w:val="en-US"/>
        </w:rPr>
        <w:tab/>
      </w:r>
      <w:r w:rsidR="00BA5EC2" w:rsidRPr="00B40A77">
        <w:rPr>
          <w:color w:val="000000" w:themeColor="text1"/>
          <w:lang w:val="en-US"/>
        </w:rPr>
        <w:t xml:space="preserve">any other application under the </w:t>
      </w:r>
      <w:r w:rsidR="00BA5EC2" w:rsidRPr="00B40A77">
        <w:rPr>
          <w:color w:val="000000" w:themeColor="text1"/>
          <w:u w:val="single"/>
          <w:lang w:val="en-US"/>
        </w:rPr>
        <w:t xml:space="preserve">Bail </w:t>
      </w:r>
      <w:r w:rsidR="009E3B94" w:rsidRPr="00B40A77">
        <w:rPr>
          <w:color w:val="000000" w:themeColor="text1"/>
          <w:u w:val="single"/>
          <w:lang w:val="en-US"/>
        </w:rPr>
        <w:t>Act</w:t>
      </w:r>
      <w:r w:rsidR="00BA5EC2" w:rsidRPr="00B40A77">
        <w:rPr>
          <w:color w:val="000000" w:themeColor="text1"/>
          <w:lang w:val="en-US"/>
        </w:rPr>
        <w:t xml:space="preserve"> except an application for review of </w:t>
      </w:r>
      <w:r w:rsidRPr="00B40A77">
        <w:rPr>
          <w:color w:val="000000" w:themeColor="text1"/>
          <w:lang w:val="en-US"/>
        </w:rPr>
        <w:t xml:space="preserve">a bail </w:t>
      </w:r>
      <w:r w:rsidR="00324213" w:rsidRPr="00B40A77">
        <w:rPr>
          <w:color w:val="000000" w:themeColor="text1"/>
          <w:lang w:val="en-US"/>
        </w:rPr>
        <w:t xml:space="preserve">decision governed by </w:t>
      </w:r>
      <w:hyperlink w:anchor="_Part_23—Bail_reviews:" w:history="1">
        <w:r w:rsidR="00851E9F" w:rsidRPr="00B40A77">
          <w:rPr>
            <w:rStyle w:val="Hyperlink"/>
            <w:color w:val="000000" w:themeColor="text1"/>
            <w:lang w:val="en-US"/>
          </w:rPr>
          <w:t>Chapter</w:t>
        </w:r>
        <w:r w:rsidR="004A0458" w:rsidRPr="00B40A77">
          <w:rPr>
            <w:rStyle w:val="Hyperlink"/>
            <w:color w:val="000000" w:themeColor="text1"/>
            <w:lang w:val="en-US"/>
          </w:rPr>
          <w:t> </w:t>
        </w:r>
        <w:r w:rsidR="00851E9F" w:rsidRPr="00B40A77">
          <w:rPr>
            <w:rStyle w:val="Hyperlink"/>
            <w:color w:val="000000" w:themeColor="text1"/>
            <w:lang w:val="en-US"/>
          </w:rPr>
          <w:t>9, Part</w:t>
        </w:r>
        <w:r w:rsidR="004A0458" w:rsidRPr="00B40A77">
          <w:rPr>
            <w:rStyle w:val="Hyperlink"/>
            <w:color w:val="000000" w:themeColor="text1"/>
            <w:lang w:val="en-US"/>
          </w:rPr>
          <w:t> </w:t>
        </w:r>
        <w:r w:rsidR="00851E9F" w:rsidRPr="00B40A77">
          <w:rPr>
            <w:rStyle w:val="Hyperlink"/>
            <w:color w:val="000000" w:themeColor="text1"/>
            <w:lang w:val="en-US"/>
          </w:rPr>
          <w:t>2</w:t>
        </w:r>
      </w:hyperlink>
      <w:r w:rsidR="00851E9F" w:rsidRPr="00B40A77">
        <w:rPr>
          <w:color w:val="000000" w:themeColor="text1"/>
          <w:lang w:val="en-US"/>
        </w:rPr>
        <w:t xml:space="preserve"> </w:t>
      </w:r>
      <w:r w:rsidRPr="00B40A77">
        <w:rPr>
          <w:color w:val="000000" w:themeColor="text1"/>
          <w:lang w:val="en-US"/>
        </w:rPr>
        <w:t>of these Rules;</w:t>
      </w:r>
    </w:p>
    <w:p w14:paraId="53DFA946" w14:textId="54B435E2" w:rsidR="00D306E0" w:rsidRPr="00B40A77" w:rsidRDefault="00D306E0" w:rsidP="00D306E0">
      <w:pPr>
        <w:pStyle w:val="Doubleindentedpara"/>
        <w:rPr>
          <w:b/>
          <w:i/>
          <w:color w:val="000000" w:themeColor="text1"/>
        </w:rPr>
      </w:pPr>
      <w:r w:rsidRPr="00B40A77">
        <w:rPr>
          <w:b/>
          <w:i/>
          <w:color w:val="000000" w:themeColor="text1"/>
        </w:rPr>
        <w:t xml:space="preserve">bail authority </w:t>
      </w:r>
      <w:r w:rsidRPr="00B40A77">
        <w:rPr>
          <w:color w:val="000000" w:themeColor="text1"/>
        </w:rPr>
        <w:t xml:space="preserve">means a court or person constituted as a bail authority by or </w:t>
      </w:r>
      <w:r w:rsidR="00664A3F" w:rsidRPr="00B40A77">
        <w:rPr>
          <w:color w:val="000000" w:themeColor="text1"/>
        </w:rPr>
        <w:t xml:space="preserve">under section 5 of the </w:t>
      </w:r>
      <w:r w:rsidR="00664A3F" w:rsidRPr="00B40A77">
        <w:rPr>
          <w:color w:val="000000" w:themeColor="text1"/>
          <w:u w:val="single"/>
        </w:rPr>
        <w:t>Bail Act</w:t>
      </w:r>
      <w:r w:rsidRPr="00B40A77">
        <w:rPr>
          <w:color w:val="000000" w:themeColor="text1"/>
        </w:rPr>
        <w:t xml:space="preserve"> or a Magistrate acting under section 83 of the </w:t>
      </w:r>
      <w:r w:rsidRPr="00B40A77">
        <w:rPr>
          <w:iCs/>
          <w:color w:val="000000" w:themeColor="text1"/>
          <w:u w:val="single"/>
        </w:rPr>
        <w:t>Service and Execution of Process Act</w:t>
      </w:r>
      <w:r w:rsidRPr="00B40A77">
        <w:rPr>
          <w:color w:val="000000" w:themeColor="text1"/>
        </w:rPr>
        <w:t xml:space="preserve"> as the case requires;</w:t>
      </w:r>
    </w:p>
    <w:p w14:paraId="7C1959AD" w14:textId="77777777" w:rsidR="00467048" w:rsidRPr="00B40A77" w:rsidRDefault="00467048" w:rsidP="00467048">
      <w:pPr>
        <w:pStyle w:val="Doubleindentedpara"/>
        <w:rPr>
          <w:color w:val="000000" w:themeColor="text1"/>
        </w:rPr>
      </w:pPr>
      <w:r w:rsidRPr="00B40A77">
        <w:rPr>
          <w:b/>
          <w:i/>
          <w:color w:val="000000" w:themeColor="text1"/>
        </w:rPr>
        <w:t xml:space="preserve">business day </w:t>
      </w:r>
      <w:r w:rsidRPr="00B40A77">
        <w:rPr>
          <w:color w:val="000000" w:themeColor="text1"/>
        </w:rPr>
        <w:t xml:space="preserve">means a day other than </w:t>
      </w:r>
      <w:r w:rsidR="009F2502" w:rsidRPr="00B40A77">
        <w:rPr>
          <w:color w:val="000000" w:themeColor="text1"/>
        </w:rPr>
        <w:t xml:space="preserve">a </w:t>
      </w:r>
      <w:r w:rsidRPr="00B40A77">
        <w:rPr>
          <w:color w:val="000000" w:themeColor="text1"/>
        </w:rPr>
        <w:t>Saturday</w:t>
      </w:r>
      <w:r w:rsidR="009F2502" w:rsidRPr="00B40A77">
        <w:rPr>
          <w:color w:val="000000" w:themeColor="text1"/>
        </w:rPr>
        <w:t xml:space="preserve">, </w:t>
      </w:r>
      <w:r w:rsidRPr="00B40A77">
        <w:rPr>
          <w:color w:val="000000" w:themeColor="text1"/>
        </w:rPr>
        <w:t>Sunday or public holiday;</w:t>
      </w:r>
    </w:p>
    <w:p w14:paraId="73922E0B" w14:textId="39E23BCA" w:rsidR="00CA0F2A" w:rsidRPr="00B40A77" w:rsidRDefault="00CA0F2A" w:rsidP="00CA0F2A">
      <w:pPr>
        <w:pStyle w:val="Doubleindentedpara"/>
        <w:rPr>
          <w:color w:val="000000" w:themeColor="text1"/>
        </w:rPr>
      </w:pPr>
      <w:r w:rsidRPr="00B40A77">
        <w:rPr>
          <w:b/>
          <w:i/>
          <w:color w:val="000000" w:themeColor="text1"/>
        </w:rPr>
        <w:t xml:space="preserve">by consent </w:t>
      </w:r>
      <w:r w:rsidRPr="00B40A77">
        <w:rPr>
          <w:color w:val="000000" w:themeColor="text1"/>
        </w:rPr>
        <w:t xml:space="preserve">means with the written consent or consent given orally </w:t>
      </w:r>
      <w:r w:rsidRPr="00B40A77">
        <w:rPr>
          <w:color w:val="000000" w:themeColor="text1"/>
          <w:u w:val="single"/>
        </w:rPr>
        <w:t>in court</w:t>
      </w:r>
      <w:r w:rsidRPr="00B40A77">
        <w:rPr>
          <w:color w:val="000000" w:themeColor="text1"/>
        </w:rPr>
        <w:t xml:space="preserve"> </w:t>
      </w:r>
      <w:r w:rsidR="00851E9F" w:rsidRPr="00B40A77">
        <w:rPr>
          <w:color w:val="000000" w:themeColor="text1"/>
        </w:rPr>
        <w:t xml:space="preserve">by </w:t>
      </w:r>
      <w:r w:rsidRPr="00B40A77">
        <w:rPr>
          <w:color w:val="000000" w:themeColor="text1"/>
        </w:rPr>
        <w:t xml:space="preserve">all </w:t>
      </w:r>
      <w:r w:rsidR="00E25376" w:rsidRPr="00B40A77">
        <w:rPr>
          <w:color w:val="000000" w:themeColor="text1"/>
        </w:rPr>
        <w:t xml:space="preserve">affected </w:t>
      </w:r>
      <w:r w:rsidRPr="00B40A77">
        <w:rPr>
          <w:color w:val="000000" w:themeColor="text1"/>
        </w:rPr>
        <w:t>parties;</w:t>
      </w:r>
    </w:p>
    <w:p w14:paraId="49FD40ED" w14:textId="77777777" w:rsidR="0069432D" w:rsidRPr="00B40A77" w:rsidRDefault="0069432D" w:rsidP="0069432D">
      <w:pPr>
        <w:pStyle w:val="Doubleindentedpara"/>
        <w:rPr>
          <w:color w:val="000000" w:themeColor="text1"/>
        </w:rPr>
      </w:pPr>
      <w:r w:rsidRPr="00B40A77">
        <w:rPr>
          <w:b/>
          <w:i/>
          <w:color w:val="000000" w:themeColor="text1"/>
        </w:rPr>
        <w:t xml:space="preserve">CAA website </w:t>
      </w:r>
      <w:r w:rsidRPr="00B40A77">
        <w:rPr>
          <w:color w:val="000000" w:themeColor="text1"/>
        </w:rPr>
        <w:t>means the website operated by the Courts Administration Authority to which the public has access;</w:t>
      </w:r>
    </w:p>
    <w:p w14:paraId="6ABA2C8E" w14:textId="77777777" w:rsidR="00DC1B6F" w:rsidRPr="00B40A77" w:rsidRDefault="00DC1B6F" w:rsidP="002B2797">
      <w:pPr>
        <w:pStyle w:val="Doubleindentedpara"/>
        <w:keepNext/>
        <w:rPr>
          <w:color w:val="000000" w:themeColor="text1"/>
        </w:rPr>
      </w:pPr>
      <w:r w:rsidRPr="00B40A77">
        <w:rPr>
          <w:b/>
          <w:i/>
          <w:color w:val="000000" w:themeColor="text1"/>
        </w:rPr>
        <w:t xml:space="preserve">charge category </w:t>
      </w:r>
      <w:r w:rsidRPr="00B40A77">
        <w:rPr>
          <w:color w:val="000000" w:themeColor="text1"/>
        </w:rPr>
        <w:t>means—</w:t>
      </w:r>
    </w:p>
    <w:p w14:paraId="034C2DC3" w14:textId="0AD54DC4" w:rsidR="00DC1B6F" w:rsidRPr="00B40A77" w:rsidRDefault="00DC1B6F" w:rsidP="00582FEB">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if the offence is a State offence</w:t>
      </w:r>
      <w:r w:rsidRPr="00B40A77">
        <w:rPr>
          <w:rFonts w:cs="Times New Roman"/>
          <w:color w:val="000000" w:themeColor="text1"/>
        </w:rPr>
        <w:t>—</w:t>
      </w:r>
      <w:r w:rsidR="0045367E" w:rsidRPr="00B40A77">
        <w:rPr>
          <w:rFonts w:cs="Times New Roman"/>
          <w:color w:val="000000" w:themeColor="text1"/>
        </w:rPr>
        <w:t xml:space="preserve">a </w:t>
      </w:r>
      <w:r w:rsidR="008A1AE9" w:rsidRPr="00B40A77">
        <w:rPr>
          <w:rFonts w:cs="Times New Roman"/>
          <w:color w:val="000000" w:themeColor="text1"/>
          <w:u w:val="single"/>
        </w:rPr>
        <w:t>major indictable</w:t>
      </w:r>
      <w:r w:rsidR="00F747B5" w:rsidRPr="00B40A77">
        <w:rPr>
          <w:rFonts w:cs="Times New Roman"/>
          <w:color w:val="000000" w:themeColor="text1"/>
          <w:u w:val="single"/>
        </w:rPr>
        <w:t xml:space="preserve"> offence</w:t>
      </w:r>
      <w:r w:rsidR="008A1AE9" w:rsidRPr="00B40A77">
        <w:rPr>
          <w:rFonts w:cs="Times New Roman"/>
          <w:color w:val="000000" w:themeColor="text1"/>
        </w:rPr>
        <w:t xml:space="preserve">, </w:t>
      </w:r>
      <w:r w:rsidR="00431C07" w:rsidRPr="00B40A77">
        <w:rPr>
          <w:rFonts w:cs="Times New Roman"/>
          <w:color w:val="000000" w:themeColor="text1"/>
        </w:rPr>
        <w:t xml:space="preserve">a </w:t>
      </w:r>
      <w:r w:rsidR="008A1AE9" w:rsidRPr="00B40A77">
        <w:rPr>
          <w:rFonts w:cs="Times New Roman"/>
          <w:color w:val="000000" w:themeColor="text1"/>
          <w:u w:val="single"/>
        </w:rPr>
        <w:t xml:space="preserve">minor indictable </w:t>
      </w:r>
      <w:r w:rsidR="00F747B5" w:rsidRPr="00B40A77">
        <w:rPr>
          <w:rFonts w:cs="Times New Roman"/>
          <w:color w:val="000000" w:themeColor="text1"/>
          <w:u w:val="single"/>
        </w:rPr>
        <w:t>offence</w:t>
      </w:r>
      <w:r w:rsidR="00F747B5" w:rsidRPr="00B40A77">
        <w:rPr>
          <w:rFonts w:cs="Times New Roman"/>
          <w:color w:val="000000" w:themeColor="text1"/>
        </w:rPr>
        <w:t xml:space="preserve"> </w:t>
      </w:r>
      <w:r w:rsidR="008A1AE9" w:rsidRPr="00B40A77">
        <w:rPr>
          <w:rFonts w:cs="Times New Roman"/>
          <w:color w:val="000000" w:themeColor="text1"/>
        </w:rPr>
        <w:t xml:space="preserve">or </w:t>
      </w:r>
      <w:r w:rsidR="00431C07" w:rsidRPr="00B40A77">
        <w:rPr>
          <w:rFonts w:cs="Times New Roman"/>
          <w:color w:val="000000" w:themeColor="text1"/>
        </w:rPr>
        <w:t xml:space="preserve">a </w:t>
      </w:r>
      <w:r w:rsidR="008A1AE9" w:rsidRPr="00B40A77">
        <w:rPr>
          <w:color w:val="000000" w:themeColor="text1"/>
          <w:lang w:val="en-US"/>
        </w:rPr>
        <w:t>summary</w:t>
      </w:r>
      <w:r w:rsidRPr="00B40A77">
        <w:rPr>
          <w:color w:val="000000" w:themeColor="text1"/>
          <w:lang w:val="en-US"/>
        </w:rPr>
        <w:t xml:space="preserve"> </w:t>
      </w:r>
      <w:r w:rsidR="00F747B5" w:rsidRPr="00B40A77">
        <w:rPr>
          <w:rFonts w:cs="Times New Roman"/>
          <w:color w:val="000000" w:themeColor="text1"/>
        </w:rPr>
        <w:t>offence</w:t>
      </w:r>
      <w:r w:rsidR="00F747B5" w:rsidRPr="00B40A77">
        <w:rPr>
          <w:color w:val="000000" w:themeColor="text1"/>
          <w:lang w:val="en-US"/>
        </w:rPr>
        <w:t xml:space="preserve"> </w:t>
      </w:r>
      <w:r w:rsidR="008A1AE9" w:rsidRPr="00B40A77">
        <w:rPr>
          <w:color w:val="000000" w:themeColor="text1"/>
          <w:lang w:val="en-US"/>
        </w:rPr>
        <w:t xml:space="preserve">as defined by </w:t>
      </w:r>
      <w:r w:rsidR="001D0A43" w:rsidRPr="00B40A77">
        <w:rPr>
          <w:color w:val="000000" w:themeColor="text1"/>
          <w:lang w:val="en-US"/>
        </w:rPr>
        <w:t xml:space="preserve">section 5 of the </w:t>
      </w:r>
      <w:r w:rsidR="008A1AE9" w:rsidRPr="00B40A77">
        <w:rPr>
          <w:iCs/>
          <w:color w:val="000000" w:themeColor="text1"/>
          <w:u w:val="single"/>
          <w:lang w:val="en-US"/>
        </w:rPr>
        <w:t>Procedure Act</w:t>
      </w:r>
      <w:r w:rsidRPr="00B40A77">
        <w:rPr>
          <w:color w:val="000000" w:themeColor="text1"/>
          <w:lang w:val="en-US"/>
        </w:rPr>
        <w:t>;</w:t>
      </w:r>
    </w:p>
    <w:p w14:paraId="1C845414" w14:textId="5557BD09" w:rsidR="00DC1B6F" w:rsidRPr="00B40A77" w:rsidRDefault="00DC1B6F" w:rsidP="00582FEB">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if the offence is a Commonwealth offence</w:t>
      </w:r>
      <w:r w:rsidRPr="00B40A77">
        <w:rPr>
          <w:rFonts w:cs="Times New Roman"/>
          <w:color w:val="000000" w:themeColor="text1"/>
        </w:rPr>
        <w:t>—</w:t>
      </w:r>
      <w:r w:rsidR="00673FAA" w:rsidRPr="00B40A77">
        <w:rPr>
          <w:rFonts w:cs="Times New Roman"/>
          <w:color w:val="000000" w:themeColor="text1"/>
        </w:rPr>
        <w:t xml:space="preserve">a </w:t>
      </w:r>
      <w:r w:rsidR="00673FAA" w:rsidRPr="00B40A77">
        <w:rPr>
          <w:rFonts w:cs="Times New Roman"/>
          <w:color w:val="000000" w:themeColor="text1"/>
          <w:u w:val="single"/>
        </w:rPr>
        <w:t>Commonwealth</w:t>
      </w:r>
      <w:r w:rsidR="001D0A43" w:rsidRPr="00B40A77">
        <w:rPr>
          <w:rFonts w:cs="Times New Roman"/>
          <w:color w:val="000000" w:themeColor="text1"/>
          <w:u w:val="single"/>
        </w:rPr>
        <w:t xml:space="preserve"> </w:t>
      </w:r>
      <w:r w:rsidR="001D0A43" w:rsidRPr="00B40A77">
        <w:rPr>
          <w:color w:val="000000" w:themeColor="text1"/>
          <w:u w:val="single"/>
          <w:lang w:val="en-US"/>
        </w:rPr>
        <w:t xml:space="preserve">indictable </w:t>
      </w:r>
      <w:r w:rsidR="00673FAA" w:rsidRPr="00B40A77">
        <w:rPr>
          <w:color w:val="000000" w:themeColor="text1"/>
          <w:u w:val="single"/>
          <w:lang w:val="en-US"/>
        </w:rPr>
        <w:t>offence</w:t>
      </w:r>
      <w:r w:rsidR="00673FAA" w:rsidRPr="00B40A77">
        <w:rPr>
          <w:color w:val="000000" w:themeColor="text1"/>
          <w:lang w:val="en-US"/>
        </w:rPr>
        <w:t xml:space="preserve"> </w:t>
      </w:r>
      <w:r w:rsidR="001D0A43" w:rsidRPr="00B40A77">
        <w:rPr>
          <w:color w:val="000000" w:themeColor="text1"/>
          <w:lang w:val="en-US"/>
        </w:rPr>
        <w:t xml:space="preserve">or </w:t>
      </w:r>
      <w:r w:rsidR="00673FAA" w:rsidRPr="00B40A77">
        <w:rPr>
          <w:color w:val="000000" w:themeColor="text1"/>
          <w:lang w:val="en-US"/>
        </w:rPr>
        <w:t xml:space="preserve">a </w:t>
      </w:r>
      <w:r w:rsidR="001D0A43" w:rsidRPr="00B40A77">
        <w:rPr>
          <w:color w:val="000000" w:themeColor="text1"/>
          <w:lang w:val="en-US"/>
        </w:rPr>
        <w:t xml:space="preserve">summary </w:t>
      </w:r>
      <w:r w:rsidR="00673FAA" w:rsidRPr="00B40A77">
        <w:rPr>
          <w:color w:val="000000" w:themeColor="text1"/>
          <w:lang w:val="en-US"/>
        </w:rPr>
        <w:t xml:space="preserve">offence as defined by section </w:t>
      </w:r>
      <w:r w:rsidR="001D0A43" w:rsidRPr="00B40A77">
        <w:rPr>
          <w:color w:val="000000" w:themeColor="text1"/>
          <w:lang w:val="en-US"/>
        </w:rPr>
        <w:t xml:space="preserve">4H of the </w:t>
      </w:r>
      <w:r w:rsidR="00D31C03" w:rsidRPr="00B40A77">
        <w:rPr>
          <w:iCs/>
          <w:color w:val="000000" w:themeColor="text1"/>
          <w:u w:val="single"/>
          <w:lang w:val="en-US"/>
        </w:rPr>
        <w:t>Crim</w:t>
      </w:r>
      <w:r w:rsidR="00A00524" w:rsidRPr="00B40A77">
        <w:rPr>
          <w:iCs/>
          <w:color w:val="000000" w:themeColor="text1"/>
          <w:u w:val="single"/>
          <w:lang w:val="en-US"/>
        </w:rPr>
        <w:t>es</w:t>
      </w:r>
      <w:r w:rsidR="001D0A43" w:rsidRPr="00B40A77">
        <w:rPr>
          <w:iCs/>
          <w:color w:val="000000" w:themeColor="text1"/>
          <w:u w:val="single"/>
          <w:lang w:val="en-US"/>
        </w:rPr>
        <w:t xml:space="preserve"> Act</w:t>
      </w:r>
      <w:r w:rsidRPr="00B40A77">
        <w:rPr>
          <w:color w:val="000000" w:themeColor="text1"/>
          <w:lang w:val="en-US"/>
        </w:rPr>
        <w:t>;</w:t>
      </w:r>
      <w:r w:rsidR="00673FAA" w:rsidRPr="00B40A77">
        <w:rPr>
          <w:color w:val="000000" w:themeColor="text1"/>
          <w:lang w:val="en-US"/>
        </w:rPr>
        <w:t xml:space="preserve"> or</w:t>
      </w:r>
    </w:p>
    <w:p w14:paraId="4B466C0B" w14:textId="247EDEBC" w:rsidR="00DC1B6F" w:rsidRPr="00B40A77" w:rsidRDefault="00387C60" w:rsidP="00582FEB">
      <w:pPr>
        <w:pStyle w:val="Doublehangindent"/>
        <w:ind w:left="2007"/>
        <w:rPr>
          <w:b/>
          <w:i/>
          <w:color w:val="000000" w:themeColor="text1"/>
        </w:rPr>
      </w:pPr>
      <w:r w:rsidRPr="00B40A77">
        <w:rPr>
          <w:color w:val="000000" w:themeColor="text1"/>
          <w:lang w:val="en-US"/>
        </w:rPr>
        <w:t>(c)</w:t>
      </w:r>
      <w:r w:rsidRPr="00B40A77">
        <w:rPr>
          <w:color w:val="000000" w:themeColor="text1"/>
          <w:lang w:val="en-US"/>
        </w:rPr>
        <w:tab/>
        <w:t>in either case</w:t>
      </w:r>
      <w:r w:rsidRPr="00B40A77">
        <w:rPr>
          <w:rFonts w:cs="Times New Roman"/>
          <w:color w:val="000000" w:themeColor="text1"/>
        </w:rPr>
        <w:t>—</w:t>
      </w:r>
      <w:r w:rsidR="00431C07" w:rsidRPr="00B40A77">
        <w:rPr>
          <w:rFonts w:cs="Times New Roman"/>
          <w:color w:val="000000" w:themeColor="text1"/>
        </w:rPr>
        <w:t xml:space="preserve">a </w:t>
      </w:r>
      <w:r w:rsidRPr="00B40A77">
        <w:rPr>
          <w:color w:val="000000" w:themeColor="text1"/>
          <w:u w:val="single"/>
          <w:lang w:val="en-US"/>
        </w:rPr>
        <w:t xml:space="preserve">summary </w:t>
      </w:r>
      <w:r w:rsidR="00431C07" w:rsidRPr="00B40A77">
        <w:rPr>
          <w:color w:val="000000" w:themeColor="text1"/>
          <w:u w:val="single"/>
          <w:lang w:val="en-US"/>
        </w:rPr>
        <w:t xml:space="preserve">offence </w:t>
      </w:r>
      <w:r w:rsidRPr="00B40A77">
        <w:rPr>
          <w:color w:val="000000" w:themeColor="text1"/>
          <w:u w:val="single"/>
          <w:lang w:val="en-US"/>
        </w:rPr>
        <w:t>not punishable by imprisonment or detention</w:t>
      </w:r>
      <w:r w:rsidRPr="00B40A77">
        <w:rPr>
          <w:color w:val="000000" w:themeColor="text1"/>
          <w:lang w:val="en-US"/>
        </w:rPr>
        <w:t>;</w:t>
      </w:r>
    </w:p>
    <w:p w14:paraId="28C3C328" w14:textId="787EB05D" w:rsidR="00F86170" w:rsidRPr="00B40A77" w:rsidRDefault="00F86170" w:rsidP="00F86170">
      <w:pPr>
        <w:pStyle w:val="Doubleindentedpara"/>
        <w:rPr>
          <w:color w:val="000000" w:themeColor="text1"/>
        </w:rPr>
      </w:pPr>
      <w:r w:rsidRPr="00B40A77">
        <w:rPr>
          <w:b/>
          <w:i/>
          <w:color w:val="000000" w:themeColor="text1"/>
        </w:rPr>
        <w:t xml:space="preserve">charge determination appearance </w:t>
      </w:r>
      <w:r w:rsidRPr="00B40A77">
        <w:rPr>
          <w:color w:val="000000" w:themeColor="text1"/>
        </w:rPr>
        <w:t xml:space="preserve">means a hearing in a </w:t>
      </w:r>
      <w:r w:rsidRPr="00B40A77">
        <w:rPr>
          <w:color w:val="000000" w:themeColor="text1"/>
          <w:u w:val="single"/>
        </w:rPr>
        <w:t>Lower Court</w:t>
      </w:r>
      <w:r w:rsidRPr="00B40A77">
        <w:rPr>
          <w:color w:val="000000" w:themeColor="text1"/>
        </w:rPr>
        <w:t xml:space="preserve"> in a proceeding in which the Information includes a charge of an indictable offence, when it has not </w:t>
      </w:r>
      <w:r w:rsidRPr="00B40A77">
        <w:rPr>
          <w:color w:val="000000" w:themeColor="text1"/>
        </w:rPr>
        <w:lastRenderedPageBreak/>
        <w:t>been determined that the defendant or youth is to be t</w:t>
      </w:r>
      <w:r w:rsidR="00FC5F9D" w:rsidRPr="00B40A77">
        <w:rPr>
          <w:color w:val="000000" w:themeColor="text1"/>
        </w:rPr>
        <w:t>r</w:t>
      </w:r>
      <w:r w:rsidRPr="00B40A77">
        <w:rPr>
          <w:color w:val="000000" w:themeColor="text1"/>
        </w:rPr>
        <w:t xml:space="preserve">ied or sentenced in the </w:t>
      </w:r>
      <w:r w:rsidRPr="00B40A77">
        <w:rPr>
          <w:color w:val="000000" w:themeColor="text1"/>
          <w:u w:val="single"/>
        </w:rPr>
        <w:t>Lower Court,</w:t>
      </w:r>
      <w:r w:rsidRPr="00B40A77">
        <w:rPr>
          <w:color w:val="000000" w:themeColor="text1"/>
        </w:rPr>
        <w:t xml:space="preserve"> that is listed for hearing after a charge determination is expected to have been made; </w:t>
      </w:r>
    </w:p>
    <w:p w14:paraId="056A69F4" w14:textId="77777777" w:rsidR="008A0D99" w:rsidRPr="00B40A77" w:rsidRDefault="008A0D99" w:rsidP="008A0D99">
      <w:pPr>
        <w:pStyle w:val="IndentedPara"/>
        <w:ind w:left="1134"/>
        <w:rPr>
          <w:color w:val="000000" w:themeColor="text1"/>
        </w:rPr>
      </w:pPr>
      <w:r w:rsidRPr="00B40A77">
        <w:rPr>
          <w:b/>
          <w:bCs/>
          <w:i/>
          <w:iCs/>
          <w:color w:val="000000" w:themeColor="text1"/>
        </w:rPr>
        <w:t xml:space="preserve">Chief Executive </w:t>
      </w:r>
      <w:r w:rsidRPr="00B40A77">
        <w:rPr>
          <w:color w:val="000000" w:themeColor="text1"/>
        </w:rPr>
        <w:t>means—</w:t>
      </w:r>
    </w:p>
    <w:p w14:paraId="5E6F5795" w14:textId="3CA94A73" w:rsidR="008A0D99" w:rsidRPr="00B40A77" w:rsidRDefault="008A0D99" w:rsidP="00582FEB">
      <w:pPr>
        <w:pStyle w:val="Doublehangindent"/>
        <w:ind w:left="2007"/>
        <w:rPr>
          <w:rFonts w:cs="Times New Roman"/>
          <w:color w:val="000000" w:themeColor="text1"/>
          <w:lang w:val="en-US"/>
        </w:rPr>
      </w:pPr>
      <w:r w:rsidRPr="00B40A77">
        <w:rPr>
          <w:rFonts w:cs="Times New Roman"/>
          <w:color w:val="000000" w:themeColor="text1"/>
          <w:lang w:val="en-US"/>
        </w:rPr>
        <w:t>(a)</w:t>
      </w:r>
      <w:r w:rsidRPr="00B40A77">
        <w:rPr>
          <w:rFonts w:cs="Times New Roman"/>
          <w:color w:val="000000" w:themeColor="text1"/>
          <w:lang w:val="en-US"/>
        </w:rPr>
        <w:tab/>
        <w:t xml:space="preserve">in respect of a proceeding in the Youth Court—the Chief Executive within the meaning of the </w:t>
      </w:r>
      <w:r w:rsidRPr="00B40A77">
        <w:rPr>
          <w:rFonts w:cs="Times New Roman"/>
          <w:i/>
          <w:iCs/>
          <w:color w:val="000000" w:themeColor="text1"/>
          <w:lang w:val="en-US"/>
        </w:rPr>
        <w:t>Youth Justice Administration Act 2016</w:t>
      </w:r>
      <w:r w:rsidRPr="00B40A77">
        <w:rPr>
          <w:rFonts w:cs="Times New Roman"/>
          <w:color w:val="000000" w:themeColor="text1"/>
          <w:lang w:val="en-US"/>
        </w:rPr>
        <w:t xml:space="preserve"> (presently the Chief Executive of the Department </w:t>
      </w:r>
      <w:r w:rsidR="003D453F" w:rsidRPr="00B40A77">
        <w:rPr>
          <w:rFonts w:cs="Times New Roman"/>
          <w:color w:val="000000" w:themeColor="text1"/>
          <w:lang w:val="en-US"/>
        </w:rPr>
        <w:t>of</w:t>
      </w:r>
      <w:r w:rsidRPr="00B40A77">
        <w:rPr>
          <w:rFonts w:cs="Times New Roman"/>
          <w:color w:val="000000" w:themeColor="text1"/>
          <w:lang w:val="en-US"/>
        </w:rPr>
        <w:t xml:space="preserve"> Human Services); or</w:t>
      </w:r>
    </w:p>
    <w:p w14:paraId="707FD3D4" w14:textId="4599FE5C" w:rsidR="008A0D99" w:rsidRPr="00B40A77" w:rsidRDefault="008A0D99" w:rsidP="00582FEB">
      <w:pPr>
        <w:pStyle w:val="Doublehangindent"/>
        <w:ind w:left="2007"/>
        <w:rPr>
          <w:rFonts w:cs="Times New Roman"/>
          <w:color w:val="000000" w:themeColor="text1"/>
          <w:lang w:val="en-US"/>
        </w:rPr>
      </w:pPr>
      <w:r w:rsidRPr="00B40A77">
        <w:rPr>
          <w:rFonts w:cs="Times New Roman"/>
          <w:color w:val="000000" w:themeColor="text1"/>
          <w:lang w:val="en-US"/>
        </w:rPr>
        <w:t>(b)</w:t>
      </w:r>
      <w:r w:rsidRPr="00B40A77">
        <w:rPr>
          <w:rFonts w:cs="Times New Roman"/>
          <w:color w:val="000000" w:themeColor="text1"/>
          <w:lang w:val="en-US"/>
        </w:rPr>
        <w:tab/>
        <w:t xml:space="preserve">in respect of a proceeding in a Court other than the Youth Court—the CE within the meaning of the </w:t>
      </w:r>
      <w:r w:rsidRPr="00B40A77">
        <w:rPr>
          <w:rFonts w:cs="Times New Roman"/>
          <w:i/>
          <w:iCs/>
          <w:color w:val="000000" w:themeColor="text1"/>
          <w:lang w:val="en-US"/>
        </w:rPr>
        <w:t>Correctional Services Act 1982</w:t>
      </w:r>
      <w:r w:rsidRPr="00B40A77">
        <w:rPr>
          <w:rFonts w:cs="Times New Roman"/>
          <w:color w:val="000000" w:themeColor="text1"/>
          <w:lang w:val="en-US"/>
        </w:rPr>
        <w:t xml:space="preserve"> (presently the Chief Executive of the Department </w:t>
      </w:r>
      <w:r w:rsidR="003D453F" w:rsidRPr="00B40A77">
        <w:rPr>
          <w:rFonts w:cs="Times New Roman"/>
          <w:color w:val="000000" w:themeColor="text1"/>
          <w:lang w:val="en-US"/>
        </w:rPr>
        <w:t>for</w:t>
      </w:r>
      <w:r w:rsidRPr="00B40A77">
        <w:rPr>
          <w:rFonts w:cs="Times New Roman"/>
          <w:color w:val="000000" w:themeColor="text1"/>
          <w:lang w:val="en-US"/>
        </w:rPr>
        <w:t xml:space="preserve"> Correctional Services);</w:t>
      </w:r>
    </w:p>
    <w:p w14:paraId="77C4E795" w14:textId="4AB6361A" w:rsidR="0069432D" w:rsidRPr="00B40A77" w:rsidRDefault="0069432D" w:rsidP="0069432D">
      <w:pPr>
        <w:pStyle w:val="Doubleindentedpara"/>
        <w:rPr>
          <w:color w:val="000000" w:themeColor="text1"/>
        </w:rPr>
      </w:pPr>
      <w:r w:rsidRPr="00B40A77">
        <w:rPr>
          <w:b/>
          <w:i/>
          <w:color w:val="000000" w:themeColor="text1"/>
        </w:rPr>
        <w:t xml:space="preserve">Chief Judge </w:t>
      </w:r>
      <w:r w:rsidRPr="00B40A77">
        <w:rPr>
          <w:color w:val="000000" w:themeColor="text1"/>
        </w:rPr>
        <w:t>means the Chief Judge of the District Court;</w:t>
      </w:r>
    </w:p>
    <w:p w14:paraId="57F540AE" w14:textId="77777777" w:rsidR="00467048" w:rsidRPr="00B40A77" w:rsidRDefault="00467048" w:rsidP="00467048">
      <w:pPr>
        <w:pStyle w:val="Doubleindentedpara"/>
        <w:rPr>
          <w:color w:val="000000" w:themeColor="text1"/>
        </w:rPr>
      </w:pPr>
      <w:r w:rsidRPr="00B40A77">
        <w:rPr>
          <w:b/>
          <w:i/>
          <w:color w:val="000000" w:themeColor="text1"/>
        </w:rPr>
        <w:t>Chief Judicial Officer</w:t>
      </w:r>
      <w:r w:rsidRPr="00B40A77">
        <w:rPr>
          <w:color w:val="000000" w:themeColor="text1"/>
        </w:rPr>
        <w:t xml:space="preserve"> means</w:t>
      </w:r>
      <w:r w:rsidR="000A6FBC" w:rsidRPr="00B40A77">
        <w:rPr>
          <w:color w:val="000000" w:themeColor="text1"/>
        </w:rPr>
        <w:t>—</w:t>
      </w:r>
    </w:p>
    <w:p w14:paraId="76BF2F4B" w14:textId="4447F9A8" w:rsidR="00467048" w:rsidRPr="00B40A77" w:rsidRDefault="00467048" w:rsidP="00582FEB">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in respect of the Supreme Court</w:t>
      </w:r>
      <w:r w:rsidR="000A6FBC" w:rsidRPr="00B40A77">
        <w:rPr>
          <w:rFonts w:cs="Times New Roman"/>
          <w:color w:val="000000" w:themeColor="text1"/>
        </w:rPr>
        <w:t>—</w:t>
      </w:r>
      <w:r w:rsidRPr="00B40A77">
        <w:rPr>
          <w:color w:val="000000" w:themeColor="text1"/>
          <w:lang w:val="en-US"/>
        </w:rPr>
        <w:t xml:space="preserve">the </w:t>
      </w:r>
      <w:r w:rsidRPr="00B40A77">
        <w:rPr>
          <w:color w:val="000000" w:themeColor="text1"/>
          <w:u w:val="single"/>
          <w:lang w:val="en-US"/>
        </w:rPr>
        <w:t>Chief Justice</w:t>
      </w:r>
      <w:r w:rsidR="00D47C74" w:rsidRPr="00B40A77">
        <w:rPr>
          <w:color w:val="000000" w:themeColor="text1"/>
          <w:lang w:val="en-US"/>
        </w:rPr>
        <w:t xml:space="preserve"> or acting </w:t>
      </w:r>
      <w:r w:rsidR="00D47C74" w:rsidRPr="00B40A77">
        <w:rPr>
          <w:color w:val="000000" w:themeColor="text1"/>
          <w:u w:val="single"/>
          <w:lang w:val="en-US"/>
        </w:rPr>
        <w:t>Chief Justice</w:t>
      </w:r>
      <w:r w:rsidRPr="00B40A77">
        <w:rPr>
          <w:color w:val="000000" w:themeColor="text1"/>
          <w:lang w:val="en-US"/>
        </w:rPr>
        <w:t>;</w:t>
      </w:r>
    </w:p>
    <w:p w14:paraId="1F865984" w14:textId="10136E44" w:rsidR="00467048" w:rsidRPr="00B40A77" w:rsidRDefault="00467048" w:rsidP="00582FEB">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respect of the District Court</w:t>
      </w:r>
      <w:r w:rsidR="000A6FBC" w:rsidRPr="00B40A77">
        <w:rPr>
          <w:rFonts w:cs="Times New Roman"/>
          <w:color w:val="000000" w:themeColor="text1"/>
        </w:rPr>
        <w:t>—</w:t>
      </w:r>
      <w:r w:rsidRPr="00B40A77">
        <w:rPr>
          <w:color w:val="000000" w:themeColor="text1"/>
          <w:lang w:val="en-US"/>
        </w:rPr>
        <w:t xml:space="preserve">the </w:t>
      </w:r>
      <w:r w:rsidRPr="00B40A77">
        <w:rPr>
          <w:color w:val="000000" w:themeColor="text1"/>
          <w:u w:val="single"/>
          <w:lang w:val="en-US"/>
        </w:rPr>
        <w:t>Chief Judge</w:t>
      </w:r>
      <w:r w:rsidR="00D47C74" w:rsidRPr="00B40A77">
        <w:rPr>
          <w:color w:val="000000" w:themeColor="text1"/>
          <w:lang w:val="en-US"/>
        </w:rPr>
        <w:t xml:space="preserve"> or acting </w:t>
      </w:r>
      <w:r w:rsidR="00D47C74" w:rsidRPr="00B40A77">
        <w:rPr>
          <w:color w:val="000000" w:themeColor="text1"/>
          <w:u w:val="single"/>
          <w:lang w:val="en-US"/>
        </w:rPr>
        <w:t>Chief Judge</w:t>
      </w:r>
      <w:r w:rsidRPr="00B40A77">
        <w:rPr>
          <w:color w:val="000000" w:themeColor="text1"/>
          <w:lang w:val="en-US"/>
        </w:rPr>
        <w:t>;</w:t>
      </w:r>
    </w:p>
    <w:p w14:paraId="2707FBEB" w14:textId="68393552" w:rsidR="00F57C28" w:rsidRPr="00B40A77" w:rsidRDefault="00F57C28" w:rsidP="00582FEB">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 xml:space="preserve">in respect of the </w:t>
      </w:r>
      <w:r w:rsidRPr="00B40A77">
        <w:rPr>
          <w:color w:val="000000" w:themeColor="text1"/>
        </w:rPr>
        <w:t>Environment</w:t>
      </w:r>
      <w:r w:rsidR="00A01720" w:rsidRPr="00B40A77">
        <w:rPr>
          <w:color w:val="000000" w:themeColor="text1"/>
        </w:rPr>
        <w:t>,</w:t>
      </w:r>
      <w:r w:rsidRPr="00B40A77">
        <w:rPr>
          <w:color w:val="000000" w:themeColor="text1"/>
        </w:rPr>
        <w:t xml:space="preserve"> Resources and Development Court</w:t>
      </w:r>
      <w:r w:rsidRPr="00B40A77">
        <w:rPr>
          <w:rFonts w:cs="Times New Roman"/>
          <w:color w:val="000000" w:themeColor="text1"/>
        </w:rPr>
        <w:t>—</w:t>
      </w:r>
      <w:r w:rsidRPr="00B40A77">
        <w:rPr>
          <w:color w:val="000000" w:themeColor="text1"/>
          <w:lang w:val="en-US"/>
        </w:rPr>
        <w:t xml:space="preserve">the </w:t>
      </w:r>
      <w:r w:rsidRPr="00B40A77">
        <w:rPr>
          <w:color w:val="000000" w:themeColor="text1"/>
          <w:u w:val="single"/>
          <w:lang w:val="en-US"/>
        </w:rPr>
        <w:t>Senior Judge</w:t>
      </w:r>
      <w:r w:rsidR="00D47C74" w:rsidRPr="00B40A77">
        <w:rPr>
          <w:color w:val="000000" w:themeColor="text1"/>
          <w:lang w:val="en-US"/>
        </w:rPr>
        <w:t xml:space="preserve"> or acting </w:t>
      </w:r>
      <w:r w:rsidR="00D47C74" w:rsidRPr="00B40A77">
        <w:rPr>
          <w:color w:val="000000" w:themeColor="text1"/>
          <w:u w:val="single"/>
          <w:lang w:val="en-US"/>
        </w:rPr>
        <w:t>Senior Judge</w:t>
      </w:r>
      <w:r w:rsidR="005C7566" w:rsidRPr="00B40A77">
        <w:rPr>
          <w:color w:val="000000" w:themeColor="text1"/>
          <w:lang w:val="en-US"/>
        </w:rPr>
        <w:t xml:space="preserve"> of that Court</w:t>
      </w:r>
      <w:r w:rsidRPr="00B40A77">
        <w:rPr>
          <w:color w:val="000000" w:themeColor="text1"/>
          <w:lang w:val="en-US"/>
        </w:rPr>
        <w:t>;</w:t>
      </w:r>
    </w:p>
    <w:p w14:paraId="482DA332" w14:textId="74434966" w:rsidR="00F57C28" w:rsidRPr="00B40A77" w:rsidRDefault="00F57C28" w:rsidP="00582FEB">
      <w:pPr>
        <w:pStyle w:val="Doublehangindent"/>
        <w:ind w:left="2007"/>
        <w:rPr>
          <w:color w:val="000000" w:themeColor="text1"/>
          <w:lang w:val="en-US"/>
        </w:rPr>
      </w:pPr>
      <w:r w:rsidRPr="00B40A77">
        <w:rPr>
          <w:color w:val="000000" w:themeColor="text1"/>
          <w:lang w:val="en-US"/>
        </w:rPr>
        <w:t>(d)</w:t>
      </w:r>
      <w:r w:rsidRPr="00B40A77">
        <w:rPr>
          <w:color w:val="000000" w:themeColor="text1"/>
          <w:lang w:val="en-US"/>
        </w:rPr>
        <w:tab/>
        <w:t>in respect of the Youth Court</w:t>
      </w:r>
      <w:r w:rsidRPr="00B40A77">
        <w:rPr>
          <w:rFonts w:cs="Times New Roman"/>
          <w:color w:val="000000" w:themeColor="text1"/>
        </w:rPr>
        <w:t>—</w:t>
      </w:r>
      <w:r w:rsidRPr="00B40A77">
        <w:rPr>
          <w:color w:val="000000" w:themeColor="text1"/>
          <w:lang w:val="en-US"/>
        </w:rPr>
        <w:t>the Judge</w:t>
      </w:r>
      <w:r w:rsidR="00673FAA" w:rsidRPr="00B40A77">
        <w:rPr>
          <w:color w:val="000000" w:themeColor="text1"/>
          <w:lang w:val="en-US"/>
        </w:rPr>
        <w:t xml:space="preserve"> </w:t>
      </w:r>
      <w:r w:rsidR="005C7566" w:rsidRPr="00B40A77">
        <w:rPr>
          <w:color w:val="000000" w:themeColor="text1"/>
          <w:lang w:val="en-US"/>
        </w:rPr>
        <w:t xml:space="preserve">or acting Judge </w:t>
      </w:r>
      <w:r w:rsidR="00673FAA" w:rsidRPr="00B40A77">
        <w:rPr>
          <w:color w:val="000000" w:themeColor="text1"/>
          <w:lang w:val="en-US"/>
        </w:rPr>
        <w:t>of that Court</w:t>
      </w:r>
      <w:r w:rsidRPr="00B40A77">
        <w:rPr>
          <w:color w:val="000000" w:themeColor="text1"/>
          <w:lang w:val="en-US"/>
        </w:rPr>
        <w:t>;</w:t>
      </w:r>
      <w:r w:rsidR="000A01D1" w:rsidRPr="00B40A77">
        <w:rPr>
          <w:color w:val="000000" w:themeColor="text1"/>
          <w:lang w:val="en-US"/>
        </w:rPr>
        <w:t xml:space="preserve"> and</w:t>
      </w:r>
    </w:p>
    <w:p w14:paraId="0024EDCE" w14:textId="59514C26" w:rsidR="00467048" w:rsidRPr="00B40A77" w:rsidRDefault="00467048" w:rsidP="00582FEB">
      <w:pPr>
        <w:pStyle w:val="Doublehangindent"/>
        <w:ind w:left="2007"/>
        <w:rPr>
          <w:color w:val="000000" w:themeColor="text1"/>
          <w:lang w:val="en-US"/>
        </w:rPr>
      </w:pPr>
      <w:r w:rsidRPr="00B40A77">
        <w:rPr>
          <w:color w:val="000000" w:themeColor="text1"/>
          <w:lang w:val="en-US"/>
        </w:rPr>
        <w:t>(</w:t>
      </w:r>
      <w:r w:rsidR="00EE55FD" w:rsidRPr="00B40A77">
        <w:rPr>
          <w:color w:val="000000" w:themeColor="text1"/>
          <w:lang w:val="en-US"/>
        </w:rPr>
        <w:t>e</w:t>
      </w:r>
      <w:r w:rsidRPr="00B40A77">
        <w:rPr>
          <w:color w:val="000000" w:themeColor="text1"/>
          <w:lang w:val="en-US"/>
        </w:rPr>
        <w:t>)</w:t>
      </w:r>
      <w:r w:rsidRPr="00B40A77">
        <w:rPr>
          <w:color w:val="000000" w:themeColor="text1"/>
          <w:lang w:val="en-US"/>
        </w:rPr>
        <w:tab/>
        <w:t>in respect of the Magistrates Court</w:t>
      </w:r>
      <w:r w:rsidR="000A6FBC" w:rsidRPr="00B40A77">
        <w:rPr>
          <w:rFonts w:cs="Times New Roman"/>
          <w:color w:val="000000" w:themeColor="text1"/>
        </w:rPr>
        <w:t>—</w:t>
      </w:r>
      <w:r w:rsidRPr="00B40A77">
        <w:rPr>
          <w:color w:val="000000" w:themeColor="text1"/>
          <w:lang w:val="en-US"/>
        </w:rPr>
        <w:t xml:space="preserve">the </w:t>
      </w:r>
      <w:r w:rsidRPr="00B40A77">
        <w:rPr>
          <w:color w:val="000000" w:themeColor="text1"/>
          <w:u w:val="single"/>
          <w:lang w:val="en-US"/>
        </w:rPr>
        <w:t>Chief Magistrate</w:t>
      </w:r>
      <w:r w:rsidR="005C7566" w:rsidRPr="00B40A77">
        <w:rPr>
          <w:color w:val="000000" w:themeColor="text1"/>
          <w:lang w:val="en-US"/>
        </w:rPr>
        <w:t xml:space="preserve"> or acting </w:t>
      </w:r>
      <w:r w:rsidR="005C7566" w:rsidRPr="00B40A77">
        <w:rPr>
          <w:color w:val="000000" w:themeColor="text1"/>
          <w:u w:val="single"/>
          <w:lang w:val="en-US"/>
        </w:rPr>
        <w:t>Chief Magistrate</w:t>
      </w:r>
      <w:r w:rsidRPr="00B40A77">
        <w:rPr>
          <w:color w:val="000000" w:themeColor="text1"/>
          <w:lang w:val="en-US"/>
        </w:rPr>
        <w:t>;</w:t>
      </w:r>
    </w:p>
    <w:p w14:paraId="23C3AAF0" w14:textId="77777777" w:rsidR="00467048" w:rsidRPr="00B40A77" w:rsidRDefault="00467048" w:rsidP="00467048">
      <w:pPr>
        <w:pStyle w:val="Doubleindentedpara"/>
        <w:rPr>
          <w:color w:val="000000" w:themeColor="text1"/>
        </w:rPr>
      </w:pPr>
      <w:r w:rsidRPr="00B40A77">
        <w:rPr>
          <w:b/>
          <w:i/>
          <w:color w:val="000000" w:themeColor="text1"/>
        </w:rPr>
        <w:t xml:space="preserve">Chief Justice </w:t>
      </w:r>
      <w:r w:rsidRPr="00B40A77">
        <w:rPr>
          <w:color w:val="000000" w:themeColor="text1"/>
        </w:rPr>
        <w:t>means the Chief Justice of the Supreme Court;</w:t>
      </w:r>
    </w:p>
    <w:p w14:paraId="24818E62" w14:textId="77777777" w:rsidR="00467048" w:rsidRPr="00B40A77" w:rsidRDefault="00467048" w:rsidP="00467048">
      <w:pPr>
        <w:pStyle w:val="Doubleindentedpara"/>
        <w:rPr>
          <w:color w:val="000000" w:themeColor="text1"/>
        </w:rPr>
      </w:pPr>
      <w:r w:rsidRPr="00B40A77">
        <w:rPr>
          <w:b/>
          <w:i/>
          <w:color w:val="000000" w:themeColor="text1"/>
        </w:rPr>
        <w:t xml:space="preserve">Chief Magistrate </w:t>
      </w:r>
      <w:r w:rsidRPr="00B40A77">
        <w:rPr>
          <w:color w:val="000000" w:themeColor="text1"/>
        </w:rPr>
        <w:t>means the Chief Magistrate of the Magistrates Court;</w:t>
      </w:r>
    </w:p>
    <w:p w14:paraId="76E98921" w14:textId="0892F8E7" w:rsidR="00467048" w:rsidRPr="00B40A77" w:rsidRDefault="00467048" w:rsidP="00467048">
      <w:pPr>
        <w:pStyle w:val="Doubleindentedpara"/>
        <w:rPr>
          <w:color w:val="000000" w:themeColor="text1"/>
        </w:rPr>
      </w:pPr>
      <w:r w:rsidRPr="00B40A77">
        <w:rPr>
          <w:b/>
          <w:i/>
          <w:color w:val="000000" w:themeColor="text1"/>
        </w:rPr>
        <w:t>commencement date</w:t>
      </w:r>
      <w:r w:rsidR="00BB37AF" w:rsidRPr="00B40A77">
        <w:rPr>
          <w:color w:val="000000" w:themeColor="text1"/>
        </w:rPr>
        <w:t xml:space="preserve"> means the date on which </w:t>
      </w:r>
      <w:r w:rsidR="00BB5CF3" w:rsidRPr="00B40A77">
        <w:rPr>
          <w:color w:val="000000" w:themeColor="text1"/>
        </w:rPr>
        <w:t xml:space="preserve">these Rules come into effect under </w:t>
      </w:r>
      <w:hyperlink w:anchor="_1.2—Commencement" w:history="1">
        <w:r w:rsidR="00BB5CF3" w:rsidRPr="00B40A77">
          <w:rPr>
            <w:rStyle w:val="Hyperlink"/>
            <w:color w:val="000000" w:themeColor="text1"/>
          </w:rPr>
          <w:t>rule</w:t>
        </w:r>
        <w:r w:rsidR="00C171B2" w:rsidRPr="00B40A77">
          <w:rPr>
            <w:rStyle w:val="Hyperlink"/>
            <w:color w:val="000000" w:themeColor="text1"/>
          </w:rPr>
          <w:t> </w:t>
        </w:r>
        <w:r w:rsidR="00BB5CF3" w:rsidRPr="00B40A77">
          <w:rPr>
            <w:rStyle w:val="Hyperlink"/>
            <w:color w:val="000000" w:themeColor="text1"/>
          </w:rPr>
          <w:t>1.2</w:t>
        </w:r>
      </w:hyperlink>
      <w:r w:rsidR="00E96FF9" w:rsidRPr="00B40A77">
        <w:rPr>
          <w:color w:val="000000" w:themeColor="text1"/>
        </w:rPr>
        <w:t>;</w:t>
      </w:r>
    </w:p>
    <w:p w14:paraId="140692E0" w14:textId="52663536" w:rsidR="00026C4F" w:rsidRPr="00B40A77" w:rsidRDefault="00026C4F" w:rsidP="00467048">
      <w:pPr>
        <w:pStyle w:val="Doubleindentedpara"/>
        <w:rPr>
          <w:b/>
          <w:i/>
          <w:color w:val="000000" w:themeColor="text1"/>
        </w:rPr>
      </w:pPr>
      <w:r w:rsidRPr="00B40A77">
        <w:rPr>
          <w:b/>
          <w:i/>
          <w:color w:val="000000" w:themeColor="text1"/>
        </w:rPr>
        <w:t xml:space="preserve">Commissioner of Police </w:t>
      </w:r>
      <w:r w:rsidR="00D74E76" w:rsidRPr="00B40A77">
        <w:rPr>
          <w:color w:val="000000" w:themeColor="text1"/>
        </w:rPr>
        <w:t xml:space="preserve">means the Commissioner within the meaning of the </w:t>
      </w:r>
      <w:r w:rsidR="005F074A" w:rsidRPr="00B40A77">
        <w:rPr>
          <w:i/>
          <w:color w:val="000000" w:themeColor="text1"/>
        </w:rPr>
        <w:t>Police Act 1988</w:t>
      </w:r>
      <w:r w:rsidR="00F04C46" w:rsidRPr="00B40A77">
        <w:rPr>
          <w:color w:val="000000" w:themeColor="text1"/>
        </w:rPr>
        <w:t>;</w:t>
      </w:r>
    </w:p>
    <w:p w14:paraId="71DED37B" w14:textId="0963668D" w:rsidR="00611465" w:rsidRPr="00B40A77" w:rsidRDefault="0013239E" w:rsidP="005270A4">
      <w:pPr>
        <w:pStyle w:val="Doubleindentedpara"/>
        <w:rPr>
          <w:color w:val="000000" w:themeColor="text1"/>
        </w:rPr>
      </w:pPr>
      <w:bookmarkStart w:id="21" w:name="_Hlk111466965"/>
      <w:r w:rsidRPr="00B40A77">
        <w:rPr>
          <w:b/>
          <w:i/>
          <w:color w:val="000000" w:themeColor="text1"/>
        </w:rPr>
        <w:t xml:space="preserve">committal appearance </w:t>
      </w:r>
      <w:r w:rsidRPr="00B40A77">
        <w:rPr>
          <w:color w:val="000000" w:themeColor="text1"/>
        </w:rPr>
        <w:t xml:space="preserve">means a hearing in </w:t>
      </w:r>
      <w:r w:rsidR="006B0C32" w:rsidRPr="00B40A77">
        <w:rPr>
          <w:color w:val="000000" w:themeColor="text1"/>
        </w:rPr>
        <w:t xml:space="preserve">a </w:t>
      </w:r>
      <w:r w:rsidR="003F3106" w:rsidRPr="00B40A77">
        <w:rPr>
          <w:color w:val="000000" w:themeColor="text1"/>
          <w:u w:val="single"/>
        </w:rPr>
        <w:t>committal proceeding</w:t>
      </w:r>
      <w:r w:rsidR="00611465" w:rsidRPr="00B40A77">
        <w:rPr>
          <w:color w:val="000000" w:themeColor="text1"/>
        </w:rPr>
        <w:t xml:space="preserve"> </w:t>
      </w:r>
      <w:r w:rsidR="002A2F0E" w:rsidRPr="00B40A77">
        <w:rPr>
          <w:color w:val="000000" w:themeColor="text1"/>
        </w:rPr>
        <w:t>that is</w:t>
      </w:r>
      <w:r w:rsidR="00096884" w:rsidRPr="00B40A77">
        <w:rPr>
          <w:color w:val="000000" w:themeColor="text1"/>
        </w:rPr>
        <w:t xml:space="preserve"> </w:t>
      </w:r>
      <w:r w:rsidR="005270A4" w:rsidRPr="00B40A77">
        <w:rPr>
          <w:color w:val="000000" w:themeColor="text1"/>
        </w:rPr>
        <w:t xml:space="preserve">after </w:t>
      </w:r>
      <w:r w:rsidR="00EE4600" w:rsidRPr="00B40A77">
        <w:rPr>
          <w:color w:val="000000" w:themeColor="text1"/>
        </w:rPr>
        <w:t>a</w:t>
      </w:r>
      <w:r w:rsidR="005270A4" w:rsidRPr="00B40A77">
        <w:rPr>
          <w:color w:val="000000" w:themeColor="text1"/>
        </w:rPr>
        <w:t xml:space="preserve"> </w:t>
      </w:r>
      <w:r w:rsidR="005270A4" w:rsidRPr="00B40A77">
        <w:rPr>
          <w:color w:val="000000" w:themeColor="text1"/>
          <w:u w:val="single"/>
        </w:rPr>
        <w:t xml:space="preserve">pre-committal </w:t>
      </w:r>
      <w:r w:rsidR="00EE4600" w:rsidRPr="00B40A77">
        <w:rPr>
          <w:color w:val="000000" w:themeColor="text1"/>
          <w:u w:val="single"/>
        </w:rPr>
        <w:t>appearance</w:t>
      </w:r>
      <w:r w:rsidR="005270A4" w:rsidRPr="00B40A77">
        <w:rPr>
          <w:color w:val="000000" w:themeColor="text1"/>
        </w:rPr>
        <w:t xml:space="preserve"> </w:t>
      </w:r>
      <w:r w:rsidR="00611465" w:rsidRPr="00B40A77">
        <w:rPr>
          <w:color w:val="000000" w:themeColor="text1"/>
        </w:rPr>
        <w:t xml:space="preserve">and before the </w:t>
      </w:r>
      <w:hyperlink w:anchor="_2.1—Definitions" w:history="1">
        <w:r w:rsidR="00AD169D" w:rsidRPr="00B40A77">
          <w:rPr>
            <w:rStyle w:val="Hyperlink"/>
            <w:color w:val="000000" w:themeColor="text1"/>
          </w:rPr>
          <w:t>answer charge appearance</w:t>
        </w:r>
      </w:hyperlink>
      <w:r w:rsidR="005270A4" w:rsidRPr="00B40A77">
        <w:rPr>
          <w:color w:val="000000" w:themeColor="text1"/>
        </w:rPr>
        <w:t>,</w:t>
      </w:r>
      <w:r w:rsidR="00611465" w:rsidRPr="00B40A77">
        <w:rPr>
          <w:color w:val="000000" w:themeColor="text1"/>
        </w:rPr>
        <w:t xml:space="preserve"> </w:t>
      </w:r>
    </w:p>
    <w:p w14:paraId="6254C0EE" w14:textId="77777777" w:rsidR="00F80B3C" w:rsidRPr="00B40A77" w:rsidRDefault="00611465" w:rsidP="00F80B3C">
      <w:pPr>
        <w:pStyle w:val="Doubleindentedpara"/>
        <w:rPr>
          <w:color w:val="000000" w:themeColor="text1"/>
        </w:rPr>
      </w:pPr>
      <w:r w:rsidRPr="00B40A77">
        <w:rPr>
          <w:color w:val="000000" w:themeColor="text1"/>
        </w:rPr>
        <w:t>and includes</w:t>
      </w:r>
      <w:r w:rsidR="00F80B3C" w:rsidRPr="00B40A77">
        <w:rPr>
          <w:color w:val="000000" w:themeColor="text1"/>
        </w:rPr>
        <w:t>—</w:t>
      </w:r>
    </w:p>
    <w:p w14:paraId="0BE335A9" w14:textId="4DE26107" w:rsidR="00855880" w:rsidRPr="00B40A77" w:rsidRDefault="00855880" w:rsidP="00855880">
      <w:pPr>
        <w:pStyle w:val="Doublehangindent"/>
        <w:ind w:left="2007"/>
        <w:rPr>
          <w:color w:val="000000" w:themeColor="text1"/>
        </w:rPr>
      </w:pPr>
      <w:r w:rsidRPr="00B40A77">
        <w:rPr>
          <w:color w:val="000000" w:themeColor="text1"/>
        </w:rPr>
        <w:t>(a)</w:t>
      </w:r>
      <w:r w:rsidRPr="00B40A77">
        <w:rPr>
          <w:color w:val="000000" w:themeColor="text1"/>
        </w:rPr>
        <w:tab/>
        <w:t>a hearing or adjourned hearing that when listed is intended to comprise a committal appearance within the meaning of section</w:t>
      </w:r>
      <w:r w:rsidR="001073A9" w:rsidRPr="00B40A77">
        <w:rPr>
          <w:color w:val="000000" w:themeColor="text1"/>
        </w:rPr>
        <w:t> </w:t>
      </w:r>
      <w:r w:rsidRPr="00B40A77">
        <w:rPr>
          <w:color w:val="000000" w:themeColor="text1"/>
        </w:rPr>
        <w:t>109(1)(a) and section</w:t>
      </w:r>
      <w:r w:rsidR="00096884" w:rsidRPr="00B40A77">
        <w:rPr>
          <w:color w:val="000000" w:themeColor="text1"/>
        </w:rPr>
        <w:t> </w:t>
      </w:r>
      <w:r w:rsidRPr="00B40A77">
        <w:rPr>
          <w:color w:val="000000" w:themeColor="text1"/>
        </w:rPr>
        <w:t xml:space="preserve">110 of the </w:t>
      </w:r>
      <w:r w:rsidRPr="00B40A77">
        <w:rPr>
          <w:color w:val="000000" w:themeColor="text1"/>
          <w:u w:val="single"/>
        </w:rPr>
        <w:t>Procedure Act</w:t>
      </w:r>
      <w:r w:rsidRPr="00B40A77">
        <w:rPr>
          <w:color w:val="000000" w:themeColor="text1"/>
        </w:rPr>
        <w:t>; and</w:t>
      </w:r>
    </w:p>
    <w:p w14:paraId="40A8D120" w14:textId="00B11E11" w:rsidR="0013239E" w:rsidRPr="00B40A77" w:rsidRDefault="00F80B3C" w:rsidP="00F80B3C">
      <w:pPr>
        <w:pStyle w:val="Doublehangindent"/>
        <w:ind w:left="2007"/>
        <w:rPr>
          <w:color w:val="000000" w:themeColor="text1"/>
        </w:rPr>
      </w:pPr>
      <w:r w:rsidRPr="00B40A77">
        <w:rPr>
          <w:color w:val="000000" w:themeColor="text1"/>
          <w:lang w:val="en-US"/>
        </w:rPr>
        <w:t>(</w:t>
      </w:r>
      <w:r w:rsidR="00855880" w:rsidRPr="00B40A77">
        <w:rPr>
          <w:color w:val="000000" w:themeColor="text1"/>
          <w:lang w:val="en-US"/>
        </w:rPr>
        <w:t>b</w:t>
      </w:r>
      <w:r w:rsidRPr="00B40A77">
        <w:rPr>
          <w:color w:val="000000" w:themeColor="text1"/>
          <w:lang w:val="en-US"/>
        </w:rPr>
        <w:t>)</w:t>
      </w:r>
      <w:r w:rsidRPr="00B40A77">
        <w:rPr>
          <w:color w:val="000000" w:themeColor="text1"/>
          <w:lang w:val="en-US"/>
        </w:rPr>
        <w:tab/>
        <w:t>a hearing</w:t>
      </w:r>
      <w:r w:rsidR="00611465" w:rsidRPr="00B40A77">
        <w:rPr>
          <w:color w:val="000000" w:themeColor="text1"/>
        </w:rPr>
        <w:t xml:space="preserve"> that </w:t>
      </w:r>
      <w:r w:rsidR="0013239E" w:rsidRPr="00B40A77">
        <w:rPr>
          <w:color w:val="000000" w:themeColor="text1"/>
        </w:rPr>
        <w:t>comprises a committal appearance within the meaning of section 109(1)(a) and section</w:t>
      </w:r>
      <w:r w:rsidR="001073A9" w:rsidRPr="00B40A77">
        <w:rPr>
          <w:color w:val="000000" w:themeColor="text1"/>
        </w:rPr>
        <w:t> </w:t>
      </w:r>
      <w:r w:rsidR="0013239E" w:rsidRPr="00B40A77">
        <w:rPr>
          <w:color w:val="000000" w:themeColor="text1"/>
        </w:rPr>
        <w:t xml:space="preserve">110 of the </w:t>
      </w:r>
      <w:r w:rsidR="0013239E" w:rsidRPr="00B40A77">
        <w:rPr>
          <w:color w:val="000000" w:themeColor="text1"/>
          <w:u w:val="single"/>
        </w:rPr>
        <w:t>Procedure Act</w:t>
      </w:r>
      <w:r w:rsidR="00ED68CD" w:rsidRPr="00B40A77">
        <w:rPr>
          <w:color w:val="000000" w:themeColor="text1"/>
        </w:rPr>
        <w:t>;</w:t>
      </w:r>
    </w:p>
    <w:p w14:paraId="353BD10A" w14:textId="2D2F3C94" w:rsidR="00EF6FB6" w:rsidRPr="00B40A77" w:rsidRDefault="00EF6FB6" w:rsidP="007E3A05">
      <w:pPr>
        <w:pStyle w:val="Doublehangindent"/>
        <w:ind w:left="1134" w:firstLine="0"/>
        <w:rPr>
          <w:color w:val="000000" w:themeColor="text1"/>
        </w:rPr>
      </w:pPr>
      <w:bookmarkStart w:id="22" w:name="_Hlk111149683"/>
      <w:r w:rsidRPr="00B40A77">
        <w:rPr>
          <w:b/>
          <w:bCs/>
          <w:i/>
          <w:iCs/>
          <w:color w:val="000000" w:themeColor="text1"/>
        </w:rPr>
        <w:t xml:space="preserve">committal </w:t>
      </w:r>
      <w:r w:rsidR="008E5CE8" w:rsidRPr="00B40A77">
        <w:rPr>
          <w:b/>
          <w:bCs/>
          <w:i/>
          <w:iCs/>
          <w:color w:val="000000" w:themeColor="text1"/>
        </w:rPr>
        <w:t xml:space="preserve">oral </w:t>
      </w:r>
      <w:r w:rsidRPr="00B40A77">
        <w:rPr>
          <w:b/>
          <w:bCs/>
          <w:i/>
          <w:iCs/>
          <w:color w:val="000000" w:themeColor="text1"/>
        </w:rPr>
        <w:t>examination application</w:t>
      </w:r>
      <w:r w:rsidRPr="00B40A77">
        <w:rPr>
          <w:color w:val="000000" w:themeColor="text1"/>
        </w:rPr>
        <w:t xml:space="preserve"> means an application under </w:t>
      </w:r>
      <w:r w:rsidR="001073A9" w:rsidRPr="00B40A77">
        <w:rPr>
          <w:color w:val="000000" w:themeColor="text1"/>
        </w:rPr>
        <w:t>section </w:t>
      </w:r>
      <w:r w:rsidRPr="00B40A77">
        <w:rPr>
          <w:color w:val="000000" w:themeColor="text1"/>
        </w:rPr>
        <w:t xml:space="preserve">114(1)(b)(ii) of the </w:t>
      </w:r>
      <w:r w:rsidRPr="00B40A77">
        <w:rPr>
          <w:color w:val="000000" w:themeColor="text1"/>
          <w:u w:val="single"/>
        </w:rPr>
        <w:t>Procedure Act</w:t>
      </w:r>
      <w:r w:rsidRPr="00B40A77">
        <w:rPr>
          <w:color w:val="000000" w:themeColor="text1"/>
        </w:rPr>
        <w:t xml:space="preserve"> for leave to call a witness for oral examination;</w:t>
      </w:r>
    </w:p>
    <w:p w14:paraId="3D8DC35C" w14:textId="02701A55" w:rsidR="00407679" w:rsidRPr="00B40A77" w:rsidRDefault="00407679" w:rsidP="00407679">
      <w:pPr>
        <w:pStyle w:val="Doublehangindent"/>
        <w:ind w:left="1134" w:firstLine="0"/>
        <w:rPr>
          <w:color w:val="000000" w:themeColor="text1"/>
        </w:rPr>
      </w:pPr>
      <w:r w:rsidRPr="00B40A77">
        <w:rPr>
          <w:b/>
          <w:bCs/>
          <w:i/>
          <w:iCs/>
          <w:color w:val="000000" w:themeColor="text1"/>
        </w:rPr>
        <w:t>committal proceeding</w:t>
      </w:r>
      <w:r w:rsidRPr="00B40A77">
        <w:rPr>
          <w:color w:val="000000" w:themeColor="text1"/>
        </w:rPr>
        <w:t xml:space="preserve"> means a proceeding—</w:t>
      </w:r>
    </w:p>
    <w:p w14:paraId="028C7ACA" w14:textId="254C3E64" w:rsidR="00407679" w:rsidRPr="00B40A77" w:rsidRDefault="00407679" w:rsidP="00407679">
      <w:pPr>
        <w:pStyle w:val="Doublehangindent"/>
        <w:ind w:left="2007"/>
        <w:rPr>
          <w:color w:val="000000" w:themeColor="text1"/>
        </w:rPr>
      </w:pPr>
      <w:r w:rsidRPr="00B40A77">
        <w:rPr>
          <w:color w:val="000000" w:themeColor="text1"/>
        </w:rPr>
        <w:t>(a</w:t>
      </w:r>
      <w:r w:rsidR="00090CDC" w:rsidRPr="00B40A77">
        <w:rPr>
          <w:color w:val="000000" w:themeColor="text1"/>
        </w:rPr>
        <w:t>)</w:t>
      </w:r>
      <w:r w:rsidR="00090CDC" w:rsidRPr="00B40A77">
        <w:rPr>
          <w:color w:val="000000" w:themeColor="text1"/>
        </w:rPr>
        <w:tab/>
      </w:r>
      <w:r w:rsidR="00BE2DB9" w:rsidRPr="00B40A77">
        <w:rPr>
          <w:color w:val="000000" w:themeColor="text1"/>
        </w:rPr>
        <w:t xml:space="preserve">in the Magistrates Court in which </w:t>
      </w:r>
      <w:r w:rsidRPr="00B40A77">
        <w:rPr>
          <w:color w:val="000000" w:themeColor="text1"/>
        </w:rPr>
        <w:t xml:space="preserve">the highest charge category is </w:t>
      </w:r>
      <w:r w:rsidR="00BE2DB9" w:rsidRPr="00B40A77">
        <w:rPr>
          <w:color w:val="000000" w:themeColor="text1"/>
        </w:rPr>
        <w:t xml:space="preserve">a </w:t>
      </w:r>
      <w:r w:rsidRPr="00B40A77">
        <w:rPr>
          <w:color w:val="000000" w:themeColor="text1"/>
          <w:u w:val="single"/>
        </w:rPr>
        <w:t>m</w:t>
      </w:r>
      <w:r w:rsidR="00090CDC" w:rsidRPr="00B40A77">
        <w:rPr>
          <w:color w:val="000000" w:themeColor="text1"/>
          <w:u w:val="single"/>
        </w:rPr>
        <w:t>aj</w:t>
      </w:r>
      <w:r w:rsidRPr="00B40A77">
        <w:rPr>
          <w:color w:val="000000" w:themeColor="text1"/>
          <w:u w:val="single"/>
        </w:rPr>
        <w:t>or indictable</w:t>
      </w:r>
      <w:r w:rsidR="00BE2DB9" w:rsidRPr="00B40A77">
        <w:rPr>
          <w:color w:val="000000" w:themeColor="text1"/>
          <w:u w:val="single"/>
        </w:rPr>
        <w:t xml:space="preserve"> offence</w:t>
      </w:r>
      <w:r w:rsidR="00F02C67" w:rsidRPr="00B40A77">
        <w:rPr>
          <w:color w:val="000000" w:themeColor="text1"/>
        </w:rPr>
        <w:t xml:space="preserve"> and it has not been determined that the defendant is to be sentenced in the Magistrates Court</w:t>
      </w:r>
      <w:r w:rsidRPr="00B40A77">
        <w:rPr>
          <w:color w:val="000000" w:themeColor="text1"/>
        </w:rPr>
        <w:t>;</w:t>
      </w:r>
    </w:p>
    <w:p w14:paraId="79025412" w14:textId="4561DE47" w:rsidR="00E7428F" w:rsidRPr="00B40A77" w:rsidRDefault="00E7428F" w:rsidP="00407679">
      <w:pPr>
        <w:pStyle w:val="Doublehangindent"/>
        <w:ind w:left="2007"/>
        <w:rPr>
          <w:color w:val="000000" w:themeColor="text1"/>
        </w:rPr>
      </w:pPr>
      <w:r w:rsidRPr="00B40A77">
        <w:rPr>
          <w:color w:val="000000" w:themeColor="text1"/>
        </w:rPr>
        <w:t>(b)</w:t>
      </w:r>
      <w:r w:rsidRPr="00B40A77">
        <w:rPr>
          <w:color w:val="000000" w:themeColor="text1"/>
        </w:rPr>
        <w:tab/>
        <w:t xml:space="preserve">in the Magistrates Court in which the highest </w:t>
      </w:r>
      <w:r w:rsidRPr="00B40A77">
        <w:rPr>
          <w:color w:val="000000" w:themeColor="text1"/>
          <w:u w:val="single"/>
        </w:rPr>
        <w:t>charge category</w:t>
      </w:r>
      <w:r w:rsidRPr="00B40A77">
        <w:rPr>
          <w:color w:val="000000" w:themeColor="text1"/>
        </w:rPr>
        <w:t xml:space="preserve"> is a </w:t>
      </w:r>
      <w:r w:rsidRPr="00B40A77">
        <w:rPr>
          <w:color w:val="000000" w:themeColor="text1"/>
          <w:u w:val="single"/>
        </w:rPr>
        <w:t>Commonwealth minor indictable offence</w:t>
      </w:r>
      <w:r w:rsidRPr="00B40A77">
        <w:rPr>
          <w:color w:val="000000" w:themeColor="text1"/>
        </w:rPr>
        <w:t xml:space="preserve"> and the prosec</w:t>
      </w:r>
      <w:r w:rsidR="005D7844" w:rsidRPr="00B40A77">
        <w:rPr>
          <w:color w:val="000000" w:themeColor="text1"/>
        </w:rPr>
        <w:t xml:space="preserve">ution and </w:t>
      </w:r>
      <w:r w:rsidRPr="00B40A77">
        <w:rPr>
          <w:color w:val="000000" w:themeColor="text1"/>
        </w:rPr>
        <w:t xml:space="preserve">defendant </w:t>
      </w:r>
      <w:r w:rsidRPr="00B40A77">
        <w:rPr>
          <w:color w:val="000000" w:themeColor="text1"/>
        </w:rPr>
        <w:lastRenderedPageBreak/>
        <w:t>ha</w:t>
      </w:r>
      <w:r w:rsidR="005D7844" w:rsidRPr="00B40A77">
        <w:rPr>
          <w:color w:val="000000" w:themeColor="text1"/>
        </w:rPr>
        <w:t xml:space="preserve">ve not consented under </w:t>
      </w:r>
      <w:hyperlink w:anchor="_Part_6—Election_or" w:history="1">
        <w:r w:rsidR="005D7844" w:rsidRPr="00B40A77">
          <w:rPr>
            <w:rStyle w:val="Hyperlink"/>
            <w:color w:val="000000" w:themeColor="text1"/>
          </w:rPr>
          <w:t>Chapter 3 Part 6</w:t>
        </w:r>
      </w:hyperlink>
      <w:r w:rsidRPr="00B40A77">
        <w:rPr>
          <w:color w:val="000000" w:themeColor="text1"/>
        </w:rPr>
        <w:t xml:space="preserve"> for trial or sentence in </w:t>
      </w:r>
      <w:r w:rsidR="005D7844" w:rsidRPr="00B40A77">
        <w:rPr>
          <w:color w:val="000000" w:themeColor="text1"/>
        </w:rPr>
        <w:t>the Magistrates</w:t>
      </w:r>
      <w:r w:rsidRPr="00B40A77">
        <w:rPr>
          <w:color w:val="000000" w:themeColor="text1"/>
        </w:rPr>
        <w:t xml:space="preserve"> Court;</w:t>
      </w:r>
    </w:p>
    <w:p w14:paraId="1D613986" w14:textId="56992654" w:rsidR="005D7844" w:rsidRPr="00B40A77" w:rsidRDefault="005D7844" w:rsidP="005D7844">
      <w:pPr>
        <w:pStyle w:val="Doublehangindent"/>
        <w:ind w:left="2007"/>
        <w:rPr>
          <w:color w:val="000000" w:themeColor="text1"/>
        </w:rPr>
      </w:pPr>
      <w:r w:rsidRPr="00B40A77">
        <w:rPr>
          <w:color w:val="000000" w:themeColor="text1"/>
        </w:rPr>
        <w:t>(</w:t>
      </w:r>
      <w:r w:rsidR="009938E8" w:rsidRPr="00B40A77">
        <w:rPr>
          <w:color w:val="000000" w:themeColor="text1"/>
        </w:rPr>
        <w:t>c</w:t>
      </w:r>
      <w:r w:rsidRPr="00B40A77">
        <w:rPr>
          <w:color w:val="000000" w:themeColor="text1"/>
        </w:rPr>
        <w:t>)</w:t>
      </w:r>
      <w:r w:rsidRPr="00B40A77">
        <w:rPr>
          <w:color w:val="000000" w:themeColor="text1"/>
        </w:rPr>
        <w:tab/>
        <w:t xml:space="preserve">in the Magistrates Court in which the highest </w:t>
      </w:r>
      <w:r w:rsidRPr="00B40A77">
        <w:rPr>
          <w:color w:val="000000" w:themeColor="text1"/>
          <w:u w:val="single"/>
        </w:rPr>
        <w:t>charge category</w:t>
      </w:r>
      <w:r w:rsidRPr="00B40A77">
        <w:rPr>
          <w:color w:val="000000" w:themeColor="text1"/>
        </w:rPr>
        <w:t xml:space="preserve"> is a </w:t>
      </w:r>
      <w:r w:rsidRPr="00B40A77">
        <w:rPr>
          <w:color w:val="000000" w:themeColor="text1"/>
          <w:u w:val="single"/>
        </w:rPr>
        <w:t>Commonwealth indictable offence</w:t>
      </w:r>
      <w:r w:rsidRPr="00B40A77">
        <w:rPr>
          <w:color w:val="000000" w:themeColor="text1"/>
        </w:rPr>
        <w:t xml:space="preserve"> and the prosecution has not requested under </w:t>
      </w:r>
      <w:hyperlink w:anchor="_Part_6—Election_or" w:history="1">
        <w:r w:rsidRPr="00B40A77">
          <w:rPr>
            <w:rStyle w:val="Hyperlink"/>
            <w:color w:val="000000" w:themeColor="text1"/>
          </w:rPr>
          <w:t>Chapter 3 Part 6</w:t>
        </w:r>
      </w:hyperlink>
      <w:r w:rsidRPr="00B40A77">
        <w:rPr>
          <w:color w:val="000000" w:themeColor="text1"/>
        </w:rPr>
        <w:t xml:space="preserve"> </w:t>
      </w:r>
      <w:r w:rsidR="009938E8" w:rsidRPr="00B40A77">
        <w:rPr>
          <w:color w:val="000000" w:themeColor="text1"/>
        </w:rPr>
        <w:t>that the proceeding be heard and determined</w:t>
      </w:r>
      <w:r w:rsidRPr="00B40A77">
        <w:rPr>
          <w:color w:val="000000" w:themeColor="text1"/>
        </w:rPr>
        <w:t xml:space="preserve"> in the Magistrates Court;</w:t>
      </w:r>
    </w:p>
    <w:p w14:paraId="22DB44C8" w14:textId="43D05128" w:rsidR="00090CDC" w:rsidRPr="00B40A77" w:rsidRDefault="00090CDC" w:rsidP="00407679">
      <w:pPr>
        <w:pStyle w:val="Doublehangindent"/>
        <w:ind w:left="2007"/>
        <w:rPr>
          <w:color w:val="000000" w:themeColor="text1"/>
        </w:rPr>
      </w:pPr>
      <w:r w:rsidRPr="00B40A77">
        <w:rPr>
          <w:color w:val="000000" w:themeColor="text1"/>
        </w:rPr>
        <w:t>(</w:t>
      </w:r>
      <w:r w:rsidR="009938E8" w:rsidRPr="00B40A77">
        <w:rPr>
          <w:color w:val="000000" w:themeColor="text1"/>
        </w:rPr>
        <w:t>d</w:t>
      </w:r>
      <w:r w:rsidRPr="00B40A77">
        <w:rPr>
          <w:color w:val="000000" w:themeColor="text1"/>
        </w:rPr>
        <w:t>)</w:t>
      </w:r>
      <w:r w:rsidRPr="00B40A77">
        <w:rPr>
          <w:color w:val="000000" w:themeColor="text1"/>
        </w:rPr>
        <w:tab/>
      </w:r>
      <w:r w:rsidR="00312C5D" w:rsidRPr="00B40A77">
        <w:rPr>
          <w:color w:val="000000" w:themeColor="text1"/>
        </w:rPr>
        <w:t>in the Magistrates Court</w:t>
      </w:r>
      <w:r w:rsidR="00F02C67" w:rsidRPr="00B40A77">
        <w:rPr>
          <w:color w:val="000000" w:themeColor="text1"/>
        </w:rPr>
        <w:t xml:space="preserve"> or Environment Resources and Development Court in</w:t>
      </w:r>
      <w:r w:rsidR="00312C5D" w:rsidRPr="00B40A77">
        <w:rPr>
          <w:color w:val="000000" w:themeColor="text1"/>
        </w:rPr>
        <w:t xml:space="preserve"> which </w:t>
      </w:r>
      <w:r w:rsidRPr="00B40A77">
        <w:rPr>
          <w:color w:val="000000" w:themeColor="text1"/>
        </w:rPr>
        <w:t xml:space="preserve">the highest </w:t>
      </w:r>
      <w:r w:rsidR="00312C5D" w:rsidRPr="00B40A77">
        <w:rPr>
          <w:color w:val="000000" w:themeColor="text1"/>
          <w:u w:val="single"/>
        </w:rPr>
        <w:t>charge category</w:t>
      </w:r>
      <w:r w:rsidR="00312C5D" w:rsidRPr="00B40A77">
        <w:rPr>
          <w:color w:val="000000" w:themeColor="text1"/>
        </w:rPr>
        <w:t xml:space="preserve"> </w:t>
      </w:r>
      <w:r w:rsidRPr="00B40A77">
        <w:rPr>
          <w:color w:val="000000" w:themeColor="text1"/>
        </w:rPr>
        <w:t xml:space="preserve">is </w:t>
      </w:r>
      <w:r w:rsidR="00E7428F" w:rsidRPr="00B40A77">
        <w:rPr>
          <w:color w:val="000000" w:themeColor="text1"/>
        </w:rPr>
        <w:t xml:space="preserve">a </w:t>
      </w:r>
      <w:r w:rsidRPr="00B40A77">
        <w:rPr>
          <w:color w:val="000000" w:themeColor="text1"/>
          <w:u w:val="single"/>
        </w:rPr>
        <w:t xml:space="preserve">minor indictable </w:t>
      </w:r>
      <w:r w:rsidR="00E7428F" w:rsidRPr="00B40A77">
        <w:rPr>
          <w:color w:val="000000" w:themeColor="text1"/>
          <w:u w:val="single"/>
        </w:rPr>
        <w:t>offence</w:t>
      </w:r>
      <w:r w:rsidR="00E7428F" w:rsidRPr="00B40A77">
        <w:rPr>
          <w:color w:val="000000" w:themeColor="text1"/>
        </w:rPr>
        <w:t xml:space="preserve"> </w:t>
      </w:r>
      <w:r w:rsidRPr="00B40A77">
        <w:rPr>
          <w:color w:val="000000" w:themeColor="text1"/>
        </w:rPr>
        <w:t>and the defendant</w:t>
      </w:r>
      <w:r w:rsidR="00F02C67" w:rsidRPr="00B40A77">
        <w:rPr>
          <w:color w:val="000000" w:themeColor="text1"/>
        </w:rPr>
        <w:t xml:space="preserve"> has elected for trial or sentence in a </w:t>
      </w:r>
      <w:r w:rsidR="00F02C67" w:rsidRPr="00B40A77">
        <w:rPr>
          <w:color w:val="000000" w:themeColor="text1"/>
          <w:u w:val="single"/>
        </w:rPr>
        <w:t>Higher Court</w:t>
      </w:r>
      <w:r w:rsidR="00F02C67" w:rsidRPr="00B40A77">
        <w:rPr>
          <w:color w:val="000000" w:themeColor="text1"/>
        </w:rPr>
        <w:t>;</w:t>
      </w:r>
    </w:p>
    <w:p w14:paraId="1CDBFD80" w14:textId="5B9E19FE" w:rsidR="009938E8" w:rsidRPr="00B40A77" w:rsidRDefault="009938E8" w:rsidP="009938E8">
      <w:pPr>
        <w:pStyle w:val="Doublehangindent"/>
        <w:ind w:left="2007"/>
        <w:rPr>
          <w:color w:val="000000" w:themeColor="text1"/>
        </w:rPr>
      </w:pPr>
      <w:r w:rsidRPr="00B40A77">
        <w:rPr>
          <w:color w:val="000000" w:themeColor="text1"/>
        </w:rPr>
        <w:t>(e)</w:t>
      </w:r>
      <w:r w:rsidRPr="00B40A77">
        <w:rPr>
          <w:color w:val="000000" w:themeColor="text1"/>
        </w:rPr>
        <w:tab/>
        <w:t xml:space="preserve">in the Youth Court in which the highest </w:t>
      </w:r>
      <w:r w:rsidRPr="00B40A77">
        <w:rPr>
          <w:color w:val="000000" w:themeColor="text1"/>
          <w:u w:val="single"/>
        </w:rPr>
        <w:t>charge category</w:t>
      </w:r>
      <w:r w:rsidRPr="00B40A77">
        <w:rPr>
          <w:color w:val="000000" w:themeColor="text1"/>
        </w:rPr>
        <w:t xml:space="preserve"> is a </w:t>
      </w:r>
      <w:r w:rsidR="000B7030" w:rsidRPr="00B40A77">
        <w:rPr>
          <w:color w:val="000000" w:themeColor="text1"/>
          <w:u w:val="single"/>
        </w:rPr>
        <w:t>homicide-related offence</w:t>
      </w:r>
      <w:r w:rsidRPr="00B40A77">
        <w:rPr>
          <w:color w:val="000000" w:themeColor="text1"/>
        </w:rPr>
        <w:t>;</w:t>
      </w:r>
      <w:r w:rsidR="00FA456C" w:rsidRPr="00B40A77">
        <w:rPr>
          <w:color w:val="000000" w:themeColor="text1"/>
        </w:rPr>
        <w:t xml:space="preserve"> or</w:t>
      </w:r>
    </w:p>
    <w:p w14:paraId="2154D5A5" w14:textId="5D81D72B" w:rsidR="00090CDC" w:rsidRPr="00B40A77" w:rsidRDefault="009938E8" w:rsidP="00407679">
      <w:pPr>
        <w:pStyle w:val="Doublehangindent"/>
        <w:ind w:left="2007"/>
        <w:rPr>
          <w:color w:val="000000" w:themeColor="text1"/>
        </w:rPr>
      </w:pPr>
      <w:r w:rsidRPr="00B40A77">
        <w:rPr>
          <w:color w:val="000000" w:themeColor="text1"/>
        </w:rPr>
        <w:t>(f)</w:t>
      </w:r>
      <w:r w:rsidRPr="00B40A77">
        <w:rPr>
          <w:color w:val="000000" w:themeColor="text1"/>
        </w:rPr>
        <w:tab/>
        <w:t xml:space="preserve">in the Youth Court in which the highest </w:t>
      </w:r>
      <w:r w:rsidRPr="00B40A77">
        <w:rPr>
          <w:color w:val="000000" w:themeColor="text1"/>
          <w:u w:val="single"/>
        </w:rPr>
        <w:t>charge category</w:t>
      </w:r>
      <w:r w:rsidRPr="00B40A77">
        <w:rPr>
          <w:color w:val="000000" w:themeColor="text1"/>
        </w:rPr>
        <w:t xml:space="preserve"> is not a </w:t>
      </w:r>
      <w:r w:rsidRPr="00B40A77">
        <w:rPr>
          <w:color w:val="000000" w:themeColor="text1"/>
          <w:u w:val="single"/>
        </w:rPr>
        <w:t>homicide-related offence</w:t>
      </w:r>
      <w:r w:rsidRPr="00B40A77">
        <w:rPr>
          <w:color w:val="000000" w:themeColor="text1"/>
        </w:rPr>
        <w:t xml:space="preserve"> and the </w:t>
      </w:r>
      <w:r w:rsidR="00CC0F36" w:rsidRPr="00B40A77">
        <w:rPr>
          <w:color w:val="000000" w:themeColor="text1"/>
        </w:rPr>
        <w:t>youth</w:t>
      </w:r>
      <w:r w:rsidRPr="00B40A77">
        <w:rPr>
          <w:color w:val="000000" w:themeColor="text1"/>
        </w:rPr>
        <w:t xml:space="preserve"> has elected</w:t>
      </w:r>
      <w:r w:rsidR="00EF6045" w:rsidRPr="00B40A77">
        <w:rPr>
          <w:color w:val="000000" w:themeColor="text1"/>
        </w:rPr>
        <w:t>,</w:t>
      </w:r>
      <w:r w:rsidRPr="00B40A77">
        <w:rPr>
          <w:color w:val="000000" w:themeColor="text1"/>
        </w:rPr>
        <w:t xml:space="preserve"> </w:t>
      </w:r>
      <w:r w:rsidR="00CC0F36" w:rsidRPr="00B40A77">
        <w:rPr>
          <w:color w:val="000000" w:themeColor="text1"/>
        </w:rPr>
        <w:t>or the prosecution has requested</w:t>
      </w:r>
      <w:r w:rsidR="00EF6045" w:rsidRPr="00B40A77">
        <w:rPr>
          <w:color w:val="000000" w:themeColor="text1"/>
        </w:rPr>
        <w:t>,</w:t>
      </w:r>
      <w:r w:rsidR="00CC0F36" w:rsidRPr="00B40A77">
        <w:rPr>
          <w:color w:val="000000" w:themeColor="text1"/>
        </w:rPr>
        <w:t xml:space="preserve"> that the youth be dealt with a</w:t>
      </w:r>
      <w:r w:rsidR="009A56C7" w:rsidRPr="00B40A77">
        <w:rPr>
          <w:color w:val="000000" w:themeColor="text1"/>
        </w:rPr>
        <w:t>s</w:t>
      </w:r>
      <w:r w:rsidR="00CC0F36" w:rsidRPr="00B40A77">
        <w:rPr>
          <w:color w:val="000000" w:themeColor="text1"/>
        </w:rPr>
        <w:t xml:space="preserve"> an adult </w:t>
      </w:r>
      <w:r w:rsidRPr="00B40A77">
        <w:rPr>
          <w:color w:val="000000" w:themeColor="text1"/>
        </w:rPr>
        <w:t xml:space="preserve">in a </w:t>
      </w:r>
      <w:r w:rsidRPr="00B40A77">
        <w:rPr>
          <w:color w:val="000000" w:themeColor="text1"/>
          <w:u w:val="single"/>
        </w:rPr>
        <w:t>Higher Court</w:t>
      </w:r>
      <w:r w:rsidRPr="00B40A77">
        <w:rPr>
          <w:color w:val="000000" w:themeColor="text1"/>
        </w:rPr>
        <w:t>;</w:t>
      </w:r>
    </w:p>
    <w:bookmarkEnd w:id="21"/>
    <w:p w14:paraId="04DF7D6E" w14:textId="4C604ADE" w:rsidR="00DE0EEE" w:rsidRPr="00B40A77" w:rsidRDefault="00DE0EEE" w:rsidP="00DE0EEE">
      <w:pPr>
        <w:pStyle w:val="Doublehangindent"/>
        <w:ind w:left="1134" w:firstLine="0"/>
        <w:rPr>
          <w:color w:val="000000" w:themeColor="text1"/>
        </w:rPr>
      </w:pPr>
      <w:r w:rsidRPr="00B40A77">
        <w:rPr>
          <w:b/>
          <w:bCs/>
          <w:i/>
          <w:iCs/>
          <w:color w:val="000000" w:themeColor="text1"/>
        </w:rPr>
        <w:t xml:space="preserve">committal subpoena </w:t>
      </w:r>
      <w:r w:rsidRPr="00B40A77">
        <w:rPr>
          <w:color w:val="000000" w:themeColor="text1"/>
        </w:rPr>
        <w:t xml:space="preserve">means a </w:t>
      </w:r>
      <w:hyperlink w:anchor="_122.1—Interpretation" w:history="1">
        <w:r w:rsidR="008F7D53" w:rsidRPr="00B40A77">
          <w:rPr>
            <w:rStyle w:val="Hyperlink"/>
            <w:color w:val="000000" w:themeColor="text1"/>
          </w:rPr>
          <w:t>subpoena to produce</w:t>
        </w:r>
      </w:hyperlink>
      <w:r w:rsidRPr="00B40A77">
        <w:rPr>
          <w:color w:val="000000" w:themeColor="text1"/>
        </w:rPr>
        <w:t xml:space="preserve"> issued for the purpose of </w:t>
      </w:r>
      <w:r w:rsidRPr="00B40A77">
        <w:rPr>
          <w:color w:val="000000" w:themeColor="text1"/>
          <w:u w:val="single"/>
        </w:rPr>
        <w:t>committal proceedings</w:t>
      </w:r>
      <w:r w:rsidRPr="00B40A77">
        <w:rPr>
          <w:color w:val="000000" w:themeColor="text1"/>
        </w:rPr>
        <w:t xml:space="preserve"> and includes a subpoena governed by section 107 of the </w:t>
      </w:r>
      <w:r w:rsidRPr="00B40A77">
        <w:rPr>
          <w:color w:val="000000" w:themeColor="text1"/>
          <w:u w:val="single"/>
        </w:rPr>
        <w:t>Procedure Act</w:t>
      </w:r>
      <w:r w:rsidRPr="00B40A77">
        <w:rPr>
          <w:color w:val="000000" w:themeColor="text1"/>
        </w:rPr>
        <w:t>;</w:t>
      </w:r>
    </w:p>
    <w:p w14:paraId="2282A1D7" w14:textId="25250523" w:rsidR="00A03D6B" w:rsidRPr="00B40A77" w:rsidRDefault="00A03D6B" w:rsidP="00A03D6B">
      <w:pPr>
        <w:pStyle w:val="Doublehangindent"/>
        <w:ind w:left="1134" w:firstLine="0"/>
        <w:rPr>
          <w:color w:val="000000" w:themeColor="text1"/>
        </w:rPr>
      </w:pPr>
      <w:r w:rsidRPr="00B40A77">
        <w:rPr>
          <w:b/>
          <w:bCs/>
          <w:i/>
          <w:iCs/>
          <w:color w:val="000000" w:themeColor="text1"/>
        </w:rPr>
        <w:t>committal subpoena application</w:t>
      </w:r>
      <w:r w:rsidRPr="00B40A77">
        <w:rPr>
          <w:color w:val="000000" w:themeColor="text1"/>
        </w:rPr>
        <w:t xml:space="preserve"> means an application under</w:t>
      </w:r>
      <w:r w:rsidR="00DE0EEE" w:rsidRPr="00B40A77">
        <w:rPr>
          <w:color w:val="000000" w:themeColor="text1"/>
        </w:rPr>
        <w:t xml:space="preserve"> section </w:t>
      </w:r>
      <w:r w:rsidRPr="00B40A77">
        <w:rPr>
          <w:color w:val="000000" w:themeColor="text1"/>
        </w:rPr>
        <w:t xml:space="preserve">107(b) of the </w:t>
      </w:r>
      <w:r w:rsidRPr="00B40A77">
        <w:rPr>
          <w:color w:val="000000" w:themeColor="text1"/>
          <w:u w:val="single"/>
        </w:rPr>
        <w:t>Procedure Act</w:t>
      </w:r>
      <w:r w:rsidRPr="00B40A77">
        <w:rPr>
          <w:color w:val="000000" w:themeColor="text1"/>
        </w:rPr>
        <w:t xml:space="preserve">; for leave to issue a </w:t>
      </w:r>
      <w:hyperlink w:anchor="_122.1—Interpretation" w:history="1">
        <w:r w:rsidR="00902281" w:rsidRPr="00B40A77">
          <w:rPr>
            <w:rStyle w:val="Hyperlink"/>
            <w:color w:val="000000" w:themeColor="text1"/>
          </w:rPr>
          <w:t>subpoena to produce</w:t>
        </w:r>
      </w:hyperlink>
      <w:r w:rsidR="00DE0EEE" w:rsidRPr="00B40A77">
        <w:rPr>
          <w:color w:val="000000" w:themeColor="text1"/>
        </w:rPr>
        <w:t xml:space="preserve"> </w:t>
      </w:r>
      <w:r w:rsidRPr="00B40A77">
        <w:rPr>
          <w:color w:val="000000" w:themeColor="text1"/>
        </w:rPr>
        <w:t>in relation to proceedings for an indictable offence</w:t>
      </w:r>
      <w:r w:rsidR="005916E6" w:rsidRPr="00B40A77">
        <w:rPr>
          <w:color w:val="000000" w:themeColor="text1"/>
        </w:rPr>
        <w:t xml:space="preserve"> which </w:t>
      </w:r>
      <w:r w:rsidR="002A2F0E" w:rsidRPr="00B40A77">
        <w:rPr>
          <w:color w:val="000000" w:themeColor="text1"/>
        </w:rPr>
        <w:t xml:space="preserve">application </w:t>
      </w:r>
      <w:r w:rsidR="005916E6" w:rsidRPr="00B40A77">
        <w:rPr>
          <w:color w:val="000000" w:themeColor="text1"/>
        </w:rPr>
        <w:t>is made</w:t>
      </w:r>
      <w:r w:rsidRPr="00B40A77">
        <w:rPr>
          <w:color w:val="000000" w:themeColor="text1"/>
        </w:rPr>
        <w:t xml:space="preserve"> before </w:t>
      </w:r>
      <w:r w:rsidRPr="00B40A77">
        <w:rPr>
          <w:color w:val="000000" w:themeColor="text1"/>
          <w:u w:val="single"/>
        </w:rPr>
        <w:t>committal proceedings</w:t>
      </w:r>
      <w:r w:rsidRPr="00B40A77">
        <w:rPr>
          <w:color w:val="000000" w:themeColor="text1"/>
        </w:rPr>
        <w:t xml:space="preserve"> relating to the offence have been completed in accordance with Part 5 Division 3 of the </w:t>
      </w:r>
      <w:r w:rsidRPr="00B40A77">
        <w:rPr>
          <w:color w:val="000000" w:themeColor="text1"/>
          <w:u w:val="single"/>
        </w:rPr>
        <w:t>Procedure Act</w:t>
      </w:r>
      <w:r w:rsidRPr="00B40A77">
        <w:rPr>
          <w:color w:val="000000" w:themeColor="text1"/>
        </w:rPr>
        <w:t>;</w:t>
      </w:r>
    </w:p>
    <w:bookmarkEnd w:id="22"/>
    <w:p w14:paraId="35923744" w14:textId="739A5ADE" w:rsidR="001F1618" w:rsidRPr="00B40A77" w:rsidRDefault="001F1618" w:rsidP="001F1618">
      <w:pPr>
        <w:pStyle w:val="Doubleindentedpara"/>
        <w:rPr>
          <w:color w:val="000000" w:themeColor="text1"/>
        </w:rPr>
      </w:pPr>
      <w:r w:rsidRPr="00B40A77">
        <w:rPr>
          <w:b/>
          <w:i/>
          <w:color w:val="000000" w:themeColor="text1"/>
        </w:rPr>
        <w:t>Commonwealth indictable offence</w:t>
      </w:r>
      <w:r w:rsidRPr="00B40A77">
        <w:rPr>
          <w:color w:val="000000" w:themeColor="text1"/>
        </w:rPr>
        <w:t xml:space="preserve"> means an indictable offence within the meaning of section</w:t>
      </w:r>
      <w:r w:rsidR="005916E6" w:rsidRPr="00B40A77">
        <w:rPr>
          <w:color w:val="000000" w:themeColor="text1"/>
        </w:rPr>
        <w:t> </w:t>
      </w:r>
      <w:r w:rsidRPr="00B40A77">
        <w:rPr>
          <w:color w:val="000000" w:themeColor="text1"/>
        </w:rPr>
        <w:t xml:space="preserve">4G of the </w:t>
      </w:r>
      <w:r w:rsidRPr="00B40A77">
        <w:rPr>
          <w:iCs/>
          <w:color w:val="000000" w:themeColor="text1"/>
          <w:u w:val="single"/>
        </w:rPr>
        <w:t>Crimes Act</w:t>
      </w:r>
      <w:r w:rsidRPr="00B40A77">
        <w:rPr>
          <w:color w:val="000000" w:themeColor="text1"/>
        </w:rPr>
        <w:t>;</w:t>
      </w:r>
    </w:p>
    <w:p w14:paraId="78CD98A9" w14:textId="032A800C" w:rsidR="00C47C37" w:rsidRPr="00B40A77" w:rsidRDefault="007E02FC" w:rsidP="007E02FC">
      <w:pPr>
        <w:pStyle w:val="Doubleindentedpara"/>
        <w:rPr>
          <w:color w:val="000000" w:themeColor="text1"/>
        </w:rPr>
      </w:pPr>
      <w:r w:rsidRPr="00B40A77">
        <w:rPr>
          <w:b/>
          <w:i/>
          <w:color w:val="000000" w:themeColor="text1"/>
        </w:rPr>
        <w:t>Commonwealth minor indictable offence</w:t>
      </w:r>
      <w:r w:rsidRPr="00B40A77">
        <w:rPr>
          <w:color w:val="000000" w:themeColor="text1"/>
        </w:rPr>
        <w:t xml:space="preserve"> means a </w:t>
      </w:r>
      <w:r w:rsidRPr="00B40A77">
        <w:rPr>
          <w:color w:val="000000" w:themeColor="text1"/>
          <w:u w:val="single"/>
        </w:rPr>
        <w:t>Commonwealth indictable offence</w:t>
      </w:r>
      <w:r w:rsidR="00C47C37" w:rsidRPr="00B40A77">
        <w:rPr>
          <w:color w:val="000000" w:themeColor="text1"/>
        </w:rPr>
        <w:t>—</w:t>
      </w:r>
    </w:p>
    <w:p w14:paraId="406D50F6" w14:textId="15EF7E5A" w:rsidR="00DA46F1" w:rsidRPr="00B40A77" w:rsidRDefault="00DA46F1" w:rsidP="00DA46F1">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that is</w:t>
      </w:r>
      <w:r w:rsidRPr="00B40A77">
        <w:rPr>
          <w:color w:val="000000" w:themeColor="text1"/>
        </w:rPr>
        <w:t>—</w:t>
      </w:r>
    </w:p>
    <w:p w14:paraId="3CC7D4B2" w14:textId="10161023" w:rsidR="00DA46F1" w:rsidRPr="00B40A77" w:rsidRDefault="00DA46F1" w:rsidP="00DA46F1">
      <w:pPr>
        <w:pStyle w:val="Doublehangindent"/>
        <w:ind w:left="2880" w:hanging="873"/>
        <w:rPr>
          <w:color w:val="000000" w:themeColor="text1"/>
          <w:lang w:val="en-US"/>
        </w:rPr>
      </w:pPr>
      <w:r w:rsidRPr="00B40A77">
        <w:rPr>
          <w:color w:val="000000" w:themeColor="text1"/>
          <w:lang w:val="en-US"/>
        </w:rPr>
        <w:t>(i)</w:t>
      </w:r>
      <w:r w:rsidRPr="00B40A77">
        <w:rPr>
          <w:color w:val="000000" w:themeColor="text1"/>
          <w:lang w:val="en-US"/>
        </w:rPr>
        <w:tab/>
        <w:t>punishable by imprisonment for a period not exceeding 10</w:t>
      </w:r>
      <w:r w:rsidR="00234D99" w:rsidRPr="00B40A77">
        <w:rPr>
          <w:color w:val="000000" w:themeColor="text1"/>
          <w:lang w:val="en-US"/>
        </w:rPr>
        <w:t> </w:t>
      </w:r>
      <w:r w:rsidRPr="00B40A77">
        <w:rPr>
          <w:color w:val="000000" w:themeColor="text1"/>
          <w:lang w:val="en-US"/>
        </w:rPr>
        <w:t>years other than an offence against Division</w:t>
      </w:r>
      <w:r w:rsidR="00580D9D" w:rsidRPr="00B40A77">
        <w:rPr>
          <w:color w:val="000000" w:themeColor="text1"/>
          <w:lang w:val="en-US"/>
        </w:rPr>
        <w:t> </w:t>
      </w:r>
      <w:r w:rsidRPr="00B40A77">
        <w:rPr>
          <w:color w:val="000000" w:themeColor="text1"/>
          <w:lang w:val="en-US"/>
        </w:rPr>
        <w:t>80, 82, 91 or</w:t>
      </w:r>
      <w:r w:rsidR="00580D9D" w:rsidRPr="00B40A77">
        <w:rPr>
          <w:color w:val="000000" w:themeColor="text1"/>
          <w:lang w:val="en-US"/>
        </w:rPr>
        <w:t> </w:t>
      </w:r>
      <w:r w:rsidRPr="00B40A77">
        <w:rPr>
          <w:color w:val="000000" w:themeColor="text1"/>
          <w:lang w:val="en-US"/>
        </w:rPr>
        <w:t xml:space="preserve">92 of the </w:t>
      </w:r>
      <w:r w:rsidRPr="00B40A77">
        <w:rPr>
          <w:i/>
          <w:iCs/>
          <w:color w:val="000000" w:themeColor="text1"/>
          <w:lang w:val="en-US"/>
        </w:rPr>
        <w:t>Criminal Code</w:t>
      </w:r>
      <w:r w:rsidRPr="00B40A77">
        <w:rPr>
          <w:color w:val="000000" w:themeColor="text1"/>
          <w:lang w:val="en-US"/>
        </w:rPr>
        <w:t xml:space="preserve"> enacted by the </w:t>
      </w:r>
      <w:r w:rsidRPr="00B40A77">
        <w:rPr>
          <w:i/>
          <w:color w:val="000000" w:themeColor="text1"/>
          <w:lang w:val="en-US"/>
        </w:rPr>
        <w:t xml:space="preserve">Criminal Code Act 1995 </w:t>
      </w:r>
      <w:r w:rsidRPr="00B40A77">
        <w:rPr>
          <w:color w:val="000000" w:themeColor="text1"/>
          <w:lang w:val="en-US"/>
        </w:rPr>
        <w:t>(Cth); or</w:t>
      </w:r>
    </w:p>
    <w:p w14:paraId="593776A5" w14:textId="780A1E9A" w:rsidR="00DA46F1" w:rsidRPr="00B40A77" w:rsidRDefault="00DA46F1" w:rsidP="00DA46F1">
      <w:pPr>
        <w:pStyle w:val="Doublehangindent"/>
        <w:ind w:left="2880" w:hanging="876"/>
        <w:rPr>
          <w:color w:val="000000" w:themeColor="text1"/>
          <w:lang w:val="en-US"/>
        </w:rPr>
      </w:pPr>
      <w:r w:rsidRPr="00B40A77">
        <w:rPr>
          <w:color w:val="000000" w:themeColor="text1"/>
          <w:lang w:val="en-US"/>
        </w:rPr>
        <w:t>(ii)</w:t>
      </w:r>
      <w:r w:rsidRPr="00B40A77">
        <w:rPr>
          <w:color w:val="000000" w:themeColor="text1"/>
          <w:lang w:val="en-US"/>
        </w:rPr>
        <w:tab/>
        <w:t>not punishable by imprisonment and punishable by a pecuniary penalty of not more than 600 penalty units for an individual or 3,000 penalty units for a body corporate;</w:t>
      </w:r>
    </w:p>
    <w:p w14:paraId="6EDB603B" w14:textId="34EEB13C" w:rsidR="002B6D22" w:rsidRPr="00B40A77" w:rsidRDefault="00C47C37" w:rsidP="000D41FB">
      <w:pPr>
        <w:pStyle w:val="Doublehangindent"/>
        <w:ind w:left="2007"/>
        <w:rPr>
          <w:color w:val="000000" w:themeColor="text1"/>
          <w:lang w:val="en-US"/>
        </w:rPr>
      </w:pPr>
      <w:r w:rsidRPr="00B40A77">
        <w:rPr>
          <w:color w:val="000000" w:themeColor="text1"/>
          <w:lang w:val="en-US"/>
        </w:rPr>
        <w:t>(</w:t>
      </w:r>
      <w:r w:rsidR="00DA46F1" w:rsidRPr="00B40A77">
        <w:rPr>
          <w:color w:val="000000" w:themeColor="text1"/>
          <w:lang w:val="en-US"/>
        </w:rPr>
        <w:t>b</w:t>
      </w:r>
      <w:r w:rsidRPr="00B40A77">
        <w:rPr>
          <w:color w:val="000000" w:themeColor="text1"/>
          <w:lang w:val="en-US"/>
        </w:rPr>
        <w:t>)</w:t>
      </w:r>
      <w:r w:rsidRPr="00B40A77">
        <w:rPr>
          <w:color w:val="000000" w:themeColor="text1"/>
          <w:lang w:val="en-US"/>
        </w:rPr>
        <w:tab/>
      </w:r>
      <w:r w:rsidR="002B6D22" w:rsidRPr="00B40A77">
        <w:rPr>
          <w:color w:val="000000" w:themeColor="text1"/>
        </w:rPr>
        <w:t>that is</w:t>
      </w:r>
      <w:r w:rsidR="002B6D22" w:rsidRPr="00B40A77">
        <w:rPr>
          <w:color w:val="000000" w:themeColor="text1"/>
          <w:lang w:val="en-US"/>
        </w:rPr>
        <w:t xml:space="preserve"> not created by a law that provides that the offence may be heard and determined by a</w:t>
      </w:r>
      <w:r w:rsidR="009B3AAB" w:rsidRPr="00B40A77">
        <w:rPr>
          <w:color w:val="000000" w:themeColor="text1"/>
          <w:lang w:val="en-US"/>
        </w:rPr>
        <w:t xml:space="preserve"> </w:t>
      </w:r>
      <w:r w:rsidR="002B6D22" w:rsidRPr="00B40A77">
        <w:rPr>
          <w:color w:val="000000" w:themeColor="text1"/>
          <w:lang w:val="en-US"/>
        </w:rPr>
        <w:t>court</w:t>
      </w:r>
      <w:r w:rsidR="009B3AAB" w:rsidRPr="00B40A77">
        <w:rPr>
          <w:color w:val="000000" w:themeColor="text1"/>
          <w:lang w:val="en-US"/>
        </w:rPr>
        <w:t xml:space="preserve"> </w:t>
      </w:r>
      <w:r w:rsidR="002B6D22" w:rsidRPr="00B40A77">
        <w:rPr>
          <w:color w:val="000000" w:themeColor="text1"/>
          <w:lang w:val="en-US"/>
        </w:rPr>
        <w:t>of summary</w:t>
      </w:r>
      <w:r w:rsidR="009B3AAB" w:rsidRPr="00B40A77">
        <w:rPr>
          <w:color w:val="000000" w:themeColor="text1"/>
          <w:lang w:val="en-US"/>
        </w:rPr>
        <w:t xml:space="preserve"> </w:t>
      </w:r>
      <w:r w:rsidR="002B6D22" w:rsidRPr="00B40A77">
        <w:rPr>
          <w:color w:val="000000" w:themeColor="text1"/>
          <w:lang w:val="en-US"/>
        </w:rPr>
        <w:t>jurisdiction;</w:t>
      </w:r>
    </w:p>
    <w:p w14:paraId="657737CE" w14:textId="3D88DC8E" w:rsidR="002B6D22" w:rsidRPr="00B40A77" w:rsidRDefault="00DA46F1" w:rsidP="000D41FB">
      <w:pPr>
        <w:pStyle w:val="Doublehangindent"/>
        <w:ind w:left="2007"/>
        <w:rPr>
          <w:color w:val="000000" w:themeColor="text1"/>
        </w:rPr>
      </w:pPr>
      <w:r w:rsidRPr="00B40A77">
        <w:rPr>
          <w:color w:val="000000" w:themeColor="text1"/>
          <w:lang w:val="en-US"/>
        </w:rPr>
        <w:t>(c)</w:t>
      </w:r>
      <w:r w:rsidRPr="00B40A77">
        <w:rPr>
          <w:color w:val="000000" w:themeColor="text1"/>
          <w:lang w:val="en-US"/>
        </w:rPr>
        <w:tab/>
      </w:r>
      <w:r w:rsidR="00431C07" w:rsidRPr="00B40A77">
        <w:rPr>
          <w:color w:val="000000" w:themeColor="text1"/>
          <w:lang w:val="en-US"/>
        </w:rPr>
        <w:t xml:space="preserve">that </w:t>
      </w:r>
      <w:r w:rsidRPr="00B40A77">
        <w:rPr>
          <w:color w:val="000000" w:themeColor="text1"/>
        </w:rPr>
        <w:t>does not relate to</w:t>
      </w:r>
      <w:r w:rsidR="009B3AAB" w:rsidRPr="00B40A77">
        <w:rPr>
          <w:color w:val="000000" w:themeColor="text1"/>
        </w:rPr>
        <w:t xml:space="preserve"> </w:t>
      </w:r>
      <w:r w:rsidRPr="00B40A77">
        <w:rPr>
          <w:color w:val="000000" w:themeColor="text1"/>
        </w:rPr>
        <w:t>property</w:t>
      </w:r>
      <w:r w:rsidR="009B3AAB" w:rsidRPr="00B40A77">
        <w:rPr>
          <w:color w:val="000000" w:themeColor="text1"/>
        </w:rPr>
        <w:t xml:space="preserve"> </w:t>
      </w:r>
      <w:r w:rsidRPr="00B40A77">
        <w:rPr>
          <w:color w:val="000000" w:themeColor="text1"/>
        </w:rPr>
        <w:t>whose value does not exceed $5,000; and</w:t>
      </w:r>
    </w:p>
    <w:p w14:paraId="0B359F1E" w14:textId="42F1545B" w:rsidR="00DA46F1" w:rsidRPr="00B40A77" w:rsidRDefault="00DA46F1" w:rsidP="00641849">
      <w:pPr>
        <w:pStyle w:val="Doublehangindent"/>
        <w:keepNext/>
        <w:ind w:left="2007"/>
        <w:rPr>
          <w:color w:val="000000" w:themeColor="text1"/>
        </w:rPr>
      </w:pPr>
      <w:r w:rsidRPr="00B40A77">
        <w:rPr>
          <w:color w:val="000000" w:themeColor="text1"/>
        </w:rPr>
        <w:t>(d)</w:t>
      </w:r>
      <w:r w:rsidRPr="00B40A77">
        <w:rPr>
          <w:color w:val="000000" w:themeColor="text1"/>
        </w:rPr>
        <w:tab/>
        <w:t>in respect of which a contrary intention does not appear;</w:t>
      </w:r>
    </w:p>
    <w:p w14:paraId="43BEDC84" w14:textId="0CCAA40F" w:rsidR="00DA46F1" w:rsidRPr="00B40A77" w:rsidRDefault="00DA46F1" w:rsidP="00F815AA">
      <w:pPr>
        <w:pStyle w:val="NoteHeader"/>
        <w:keepNext/>
        <w:ind w:left="2007"/>
        <w:rPr>
          <w:color w:val="000000" w:themeColor="text1"/>
        </w:rPr>
      </w:pPr>
      <w:r w:rsidRPr="00B40A77">
        <w:rPr>
          <w:color w:val="000000" w:themeColor="text1"/>
        </w:rPr>
        <w:t>Note—</w:t>
      </w:r>
    </w:p>
    <w:p w14:paraId="3F3E0F5C" w14:textId="4F8D3602" w:rsidR="00DA46F1" w:rsidRPr="00B40A77" w:rsidRDefault="00DA46F1" w:rsidP="003B64D7">
      <w:pPr>
        <w:pStyle w:val="NoteText"/>
        <w:ind w:left="2291"/>
        <w:rPr>
          <w:color w:val="000000" w:themeColor="text1"/>
        </w:rPr>
      </w:pPr>
      <w:r w:rsidRPr="00B40A77">
        <w:rPr>
          <w:color w:val="000000" w:themeColor="text1"/>
        </w:rPr>
        <w:t xml:space="preserve">See sections 19J and 19JA of the </w:t>
      </w:r>
      <w:r w:rsidRPr="00B40A77">
        <w:rPr>
          <w:color w:val="000000" w:themeColor="text1"/>
          <w:u w:val="single"/>
        </w:rPr>
        <w:t>Crimes Act</w:t>
      </w:r>
      <w:r w:rsidRPr="00B40A77">
        <w:rPr>
          <w:color w:val="000000" w:themeColor="text1"/>
        </w:rPr>
        <w:t>.</w:t>
      </w:r>
    </w:p>
    <w:p w14:paraId="783EB863" w14:textId="62A6B10F" w:rsidR="00467048" w:rsidRPr="00B40A77" w:rsidRDefault="00467048" w:rsidP="00467048">
      <w:pPr>
        <w:pStyle w:val="Doubleindentedpara"/>
        <w:rPr>
          <w:color w:val="000000" w:themeColor="text1"/>
        </w:rPr>
      </w:pPr>
      <w:r w:rsidRPr="00B40A77">
        <w:rPr>
          <w:b/>
          <w:i/>
          <w:color w:val="000000" w:themeColor="text1"/>
        </w:rPr>
        <w:t xml:space="preserve">company </w:t>
      </w:r>
      <w:r w:rsidRPr="00B40A77">
        <w:rPr>
          <w:color w:val="000000" w:themeColor="text1"/>
        </w:rPr>
        <w:t xml:space="preserve">means a company as defined by section 9 of the </w:t>
      </w:r>
      <w:r w:rsidRPr="00B40A77">
        <w:rPr>
          <w:i/>
          <w:color w:val="000000" w:themeColor="text1"/>
        </w:rPr>
        <w:t>Corporations Act 2001</w:t>
      </w:r>
      <w:r w:rsidRPr="00B40A77">
        <w:rPr>
          <w:color w:val="000000" w:themeColor="text1"/>
        </w:rPr>
        <w:t xml:space="preserve"> (Cth);</w:t>
      </w:r>
    </w:p>
    <w:p w14:paraId="4C1BF428" w14:textId="77777777" w:rsidR="00ED4F34" w:rsidRPr="00B40A77" w:rsidRDefault="00ED4F34" w:rsidP="00ED4F34">
      <w:pPr>
        <w:pStyle w:val="Doubleindentedpara"/>
        <w:rPr>
          <w:b/>
          <w:i/>
          <w:color w:val="000000" w:themeColor="text1"/>
        </w:rPr>
      </w:pPr>
      <w:r w:rsidRPr="00B40A77">
        <w:rPr>
          <w:b/>
          <w:i/>
          <w:color w:val="000000" w:themeColor="text1"/>
        </w:rPr>
        <w:t xml:space="preserve">Consolidation Act </w:t>
      </w:r>
      <w:r w:rsidRPr="00B40A77">
        <w:rPr>
          <w:color w:val="000000" w:themeColor="text1"/>
        </w:rPr>
        <w:t xml:space="preserve">means the </w:t>
      </w:r>
      <w:r w:rsidRPr="00B40A77">
        <w:rPr>
          <w:i/>
          <w:color w:val="000000" w:themeColor="text1"/>
        </w:rPr>
        <w:t>Criminal Law Consolidation Act 1935</w:t>
      </w:r>
      <w:r w:rsidRPr="00B40A77">
        <w:rPr>
          <w:color w:val="000000" w:themeColor="text1"/>
        </w:rPr>
        <w:t>;</w:t>
      </w:r>
    </w:p>
    <w:p w14:paraId="6E222830" w14:textId="4437AF49" w:rsidR="00C11480" w:rsidRPr="00B40A77" w:rsidRDefault="00467048" w:rsidP="00C11480">
      <w:pPr>
        <w:pStyle w:val="Doubleindentedpara"/>
        <w:rPr>
          <w:color w:val="000000" w:themeColor="text1"/>
        </w:rPr>
      </w:pPr>
      <w:r w:rsidRPr="00B40A77">
        <w:rPr>
          <w:b/>
          <w:i/>
          <w:color w:val="000000" w:themeColor="text1"/>
        </w:rPr>
        <w:t xml:space="preserve">Court </w:t>
      </w:r>
      <w:r w:rsidRPr="00B40A77">
        <w:rPr>
          <w:color w:val="000000" w:themeColor="text1"/>
        </w:rPr>
        <w:t>means</w:t>
      </w:r>
      <w:r w:rsidR="00C11480" w:rsidRPr="00B40A77">
        <w:rPr>
          <w:color w:val="000000" w:themeColor="text1"/>
        </w:rPr>
        <w:t>—</w:t>
      </w:r>
    </w:p>
    <w:p w14:paraId="1AF66491" w14:textId="59FFAD82" w:rsidR="00467048" w:rsidRPr="00B40A77" w:rsidRDefault="00C11480" w:rsidP="000D41FB">
      <w:pPr>
        <w:pStyle w:val="Doublehangindent"/>
        <w:ind w:left="2007"/>
        <w:rPr>
          <w:color w:val="000000" w:themeColor="text1"/>
        </w:rPr>
      </w:pPr>
      <w:r w:rsidRPr="00B40A77">
        <w:rPr>
          <w:color w:val="000000" w:themeColor="text1"/>
          <w:lang w:val="en-US"/>
        </w:rPr>
        <w:lastRenderedPageBreak/>
        <w:t>(a)</w:t>
      </w:r>
      <w:r w:rsidRPr="00B40A77">
        <w:rPr>
          <w:color w:val="000000" w:themeColor="text1"/>
          <w:lang w:val="en-US"/>
        </w:rPr>
        <w:tab/>
      </w:r>
      <w:r w:rsidR="00467048" w:rsidRPr="00B40A77">
        <w:rPr>
          <w:color w:val="000000" w:themeColor="text1"/>
        </w:rPr>
        <w:t>the Supreme Court, District Court</w:t>
      </w:r>
      <w:r w:rsidRPr="00B40A77">
        <w:rPr>
          <w:color w:val="000000" w:themeColor="text1"/>
        </w:rPr>
        <w:t>, Environment</w:t>
      </w:r>
      <w:r w:rsidR="008B5E49" w:rsidRPr="00B40A77">
        <w:rPr>
          <w:color w:val="000000" w:themeColor="text1"/>
        </w:rPr>
        <w:t>,</w:t>
      </w:r>
      <w:r w:rsidRPr="00B40A77">
        <w:rPr>
          <w:color w:val="000000" w:themeColor="text1"/>
        </w:rPr>
        <w:t xml:space="preserve"> Resources and Development Court</w:t>
      </w:r>
      <w:r w:rsidR="00ED4F34" w:rsidRPr="00B40A77">
        <w:rPr>
          <w:color w:val="000000" w:themeColor="text1"/>
        </w:rPr>
        <w:t>, Youth Court</w:t>
      </w:r>
      <w:r w:rsidR="00467048" w:rsidRPr="00B40A77">
        <w:rPr>
          <w:color w:val="000000" w:themeColor="text1"/>
        </w:rPr>
        <w:t xml:space="preserve"> or Magistrates Court as applicable and</w:t>
      </w:r>
      <w:r w:rsidR="004A173A" w:rsidRPr="00B40A77">
        <w:rPr>
          <w:color w:val="000000" w:themeColor="text1"/>
        </w:rPr>
        <w:t>,</w:t>
      </w:r>
      <w:r w:rsidR="00467048" w:rsidRPr="00B40A77">
        <w:rPr>
          <w:color w:val="000000" w:themeColor="text1"/>
        </w:rPr>
        <w:t xml:space="preserve"> when the context indicates</w:t>
      </w:r>
      <w:r w:rsidR="004A173A" w:rsidRPr="00B40A77">
        <w:rPr>
          <w:color w:val="000000" w:themeColor="text1"/>
        </w:rPr>
        <w:t>,</w:t>
      </w:r>
      <w:r w:rsidR="00467048" w:rsidRPr="00B40A77">
        <w:rPr>
          <w:color w:val="000000" w:themeColor="text1"/>
        </w:rPr>
        <w:t xml:space="preserve"> a judicial officer having power to act in the manner the subject of the relevant provision of these Rules;</w:t>
      </w:r>
      <w:r w:rsidR="000A01D1" w:rsidRPr="00B40A77">
        <w:rPr>
          <w:color w:val="000000" w:themeColor="text1"/>
        </w:rPr>
        <w:t xml:space="preserve"> and</w:t>
      </w:r>
    </w:p>
    <w:p w14:paraId="2B1B383E" w14:textId="1842C511" w:rsidR="00C11480" w:rsidRPr="00B40A77" w:rsidRDefault="00C11480" w:rsidP="000D41FB">
      <w:pPr>
        <w:pStyle w:val="Doublehangindent"/>
        <w:ind w:left="2007"/>
        <w:rPr>
          <w:color w:val="000000" w:themeColor="text1"/>
        </w:rPr>
      </w:pPr>
      <w:r w:rsidRPr="00B40A77">
        <w:rPr>
          <w:color w:val="000000" w:themeColor="text1"/>
        </w:rPr>
        <w:t>(b)</w:t>
      </w:r>
      <w:r w:rsidRPr="00B40A77">
        <w:rPr>
          <w:color w:val="000000" w:themeColor="text1"/>
        </w:rPr>
        <w:tab/>
        <w:t xml:space="preserve">in the context of </w:t>
      </w:r>
      <w:hyperlink w:anchor="_Part_5—Appeals_and" w:history="1">
        <w:r w:rsidRPr="00B40A77">
          <w:rPr>
            <w:rStyle w:val="Hyperlink"/>
            <w:color w:val="000000" w:themeColor="text1"/>
          </w:rPr>
          <w:t>Chapter</w:t>
        </w:r>
        <w:r w:rsidR="0079266F" w:rsidRPr="00B40A77">
          <w:rPr>
            <w:rStyle w:val="Hyperlink"/>
            <w:color w:val="000000" w:themeColor="text1"/>
          </w:rPr>
          <w:t> </w:t>
        </w:r>
        <w:r w:rsidR="00D337AA" w:rsidRPr="00B40A77">
          <w:rPr>
            <w:rStyle w:val="Hyperlink"/>
            <w:color w:val="000000" w:themeColor="text1"/>
          </w:rPr>
          <w:t>9 Part</w:t>
        </w:r>
        <w:r w:rsidR="0079266F" w:rsidRPr="00B40A77">
          <w:rPr>
            <w:rStyle w:val="Hyperlink"/>
            <w:color w:val="000000" w:themeColor="text1"/>
          </w:rPr>
          <w:t> </w:t>
        </w:r>
        <w:r w:rsidR="00D337AA" w:rsidRPr="00B40A77">
          <w:rPr>
            <w:rStyle w:val="Hyperlink"/>
            <w:color w:val="000000" w:themeColor="text1"/>
          </w:rPr>
          <w:t>5</w:t>
        </w:r>
      </w:hyperlink>
      <w:r w:rsidR="000E3C43" w:rsidRPr="00B40A77">
        <w:rPr>
          <w:color w:val="000000" w:themeColor="text1"/>
        </w:rPr>
        <w:t>,</w:t>
      </w:r>
      <w:r w:rsidR="00D337AA" w:rsidRPr="00B40A77">
        <w:rPr>
          <w:color w:val="000000" w:themeColor="text1"/>
        </w:rPr>
        <w:t xml:space="preserve"> means the </w:t>
      </w:r>
      <w:r w:rsidR="00D337AA" w:rsidRPr="00B40A77">
        <w:rPr>
          <w:color w:val="000000" w:themeColor="text1"/>
          <w:u w:val="single"/>
        </w:rPr>
        <w:t>Court of Appeal</w:t>
      </w:r>
      <w:r w:rsidR="00D337AA" w:rsidRPr="00B40A77">
        <w:rPr>
          <w:color w:val="000000" w:themeColor="text1"/>
        </w:rPr>
        <w:t xml:space="preserve"> or a Judge when a Judge has power to act in the manner the subject of the relevant provision of these Rules;</w:t>
      </w:r>
    </w:p>
    <w:p w14:paraId="15404E47" w14:textId="443907AB" w:rsidR="00686E00" w:rsidRPr="00B40A77" w:rsidRDefault="00686E00" w:rsidP="00467048">
      <w:pPr>
        <w:pStyle w:val="Doubleindentedpara"/>
        <w:rPr>
          <w:color w:val="000000" w:themeColor="text1"/>
        </w:rPr>
      </w:pPr>
      <w:bookmarkStart w:id="23" w:name="_Hlk58571801"/>
      <w:r w:rsidRPr="00B40A77">
        <w:rPr>
          <w:color w:val="000000" w:themeColor="text1"/>
        </w:rPr>
        <w:t xml:space="preserve">the </w:t>
      </w:r>
      <w:r w:rsidRPr="00B40A77">
        <w:rPr>
          <w:b/>
          <w:i/>
          <w:color w:val="000000" w:themeColor="text1"/>
        </w:rPr>
        <w:t xml:space="preserve">Court of Appeal </w:t>
      </w:r>
      <w:r w:rsidRPr="00B40A77">
        <w:rPr>
          <w:color w:val="000000" w:themeColor="text1"/>
        </w:rPr>
        <w:t>means the Court of Appeal as defined in section</w:t>
      </w:r>
      <w:r w:rsidR="0079266F" w:rsidRPr="00B40A77">
        <w:rPr>
          <w:color w:val="000000" w:themeColor="text1"/>
        </w:rPr>
        <w:t> </w:t>
      </w:r>
      <w:r w:rsidRPr="00B40A77">
        <w:rPr>
          <w:color w:val="000000" w:themeColor="text1"/>
        </w:rPr>
        <w:t xml:space="preserve">5(1) of the </w:t>
      </w:r>
      <w:r w:rsidRPr="00B40A77">
        <w:rPr>
          <w:i/>
          <w:color w:val="000000" w:themeColor="text1"/>
        </w:rPr>
        <w:t>Supreme Court Act 1935</w:t>
      </w:r>
      <w:r w:rsidRPr="00B40A77">
        <w:rPr>
          <w:color w:val="000000" w:themeColor="text1"/>
        </w:rPr>
        <w:t>;</w:t>
      </w:r>
      <w:bookmarkEnd w:id="23"/>
    </w:p>
    <w:p w14:paraId="141F0507" w14:textId="508F2F57" w:rsidR="003F001C" w:rsidRPr="00B40A77" w:rsidRDefault="003F001C" w:rsidP="003A3958">
      <w:pPr>
        <w:pStyle w:val="Doubleindentedpara"/>
        <w:rPr>
          <w:color w:val="000000" w:themeColor="text1"/>
        </w:rPr>
      </w:pPr>
      <w:r w:rsidRPr="00B40A77">
        <w:rPr>
          <w:b/>
          <w:i/>
          <w:color w:val="000000" w:themeColor="text1"/>
        </w:rPr>
        <w:t xml:space="preserve">court officer </w:t>
      </w:r>
      <w:r w:rsidRPr="00B40A77">
        <w:rPr>
          <w:color w:val="000000" w:themeColor="text1"/>
        </w:rPr>
        <w:t xml:space="preserve">means a </w:t>
      </w:r>
      <w:r w:rsidR="0089681C" w:rsidRPr="00B40A77">
        <w:rPr>
          <w:color w:val="000000" w:themeColor="text1"/>
        </w:rPr>
        <w:t>judicial officer or an officer or employee of the Court Administration Authority working in the Court;</w:t>
      </w:r>
    </w:p>
    <w:p w14:paraId="6000F917" w14:textId="6A2E7A84" w:rsidR="008A1AE9" w:rsidRPr="00B40A77" w:rsidRDefault="008A1AE9" w:rsidP="003A3958">
      <w:pPr>
        <w:pStyle w:val="Doubleindentedpara"/>
        <w:rPr>
          <w:b/>
          <w:i/>
          <w:color w:val="000000" w:themeColor="text1"/>
        </w:rPr>
      </w:pPr>
      <w:r w:rsidRPr="00B40A77">
        <w:rPr>
          <w:b/>
          <w:i/>
          <w:color w:val="000000" w:themeColor="text1"/>
        </w:rPr>
        <w:t xml:space="preserve">Crimes Act </w:t>
      </w:r>
      <w:r w:rsidR="001D0A43" w:rsidRPr="00B40A77">
        <w:rPr>
          <w:color w:val="000000" w:themeColor="text1"/>
        </w:rPr>
        <w:t xml:space="preserve">means the </w:t>
      </w:r>
      <w:r w:rsidR="001D0A43" w:rsidRPr="00B40A77">
        <w:rPr>
          <w:i/>
          <w:color w:val="000000" w:themeColor="text1"/>
        </w:rPr>
        <w:t>Crimes Act 1914</w:t>
      </w:r>
      <w:r w:rsidR="001D0A43" w:rsidRPr="00B40A77">
        <w:rPr>
          <w:color w:val="000000" w:themeColor="text1"/>
        </w:rPr>
        <w:t xml:space="preserve"> (Cth);</w:t>
      </w:r>
    </w:p>
    <w:p w14:paraId="676483AB" w14:textId="45238BD1" w:rsidR="0024347D" w:rsidRPr="00B40A77" w:rsidRDefault="0024347D" w:rsidP="0024347D">
      <w:pPr>
        <w:pStyle w:val="Doubleindentedpara"/>
        <w:rPr>
          <w:color w:val="000000" w:themeColor="text1"/>
        </w:rPr>
      </w:pPr>
      <w:r w:rsidRPr="00B40A77">
        <w:rPr>
          <w:b/>
          <w:i/>
          <w:color w:val="000000" w:themeColor="text1"/>
        </w:rPr>
        <w:t>criminal proceeding</w:t>
      </w:r>
      <w:r w:rsidRPr="00B40A77">
        <w:rPr>
          <w:color w:val="000000" w:themeColor="text1"/>
        </w:rPr>
        <w:t xml:space="preserve"> or</w:t>
      </w:r>
      <w:r w:rsidRPr="00B40A77">
        <w:rPr>
          <w:bCs/>
          <w:i/>
          <w:color w:val="000000" w:themeColor="text1"/>
        </w:rPr>
        <w:t xml:space="preserve"> </w:t>
      </w:r>
      <w:r w:rsidRPr="00B40A77">
        <w:rPr>
          <w:b/>
          <w:i/>
          <w:color w:val="000000" w:themeColor="text1"/>
        </w:rPr>
        <w:t xml:space="preserve">proceeding </w:t>
      </w:r>
      <w:r w:rsidRPr="00B40A77">
        <w:rPr>
          <w:color w:val="000000" w:themeColor="text1"/>
        </w:rPr>
        <w:t xml:space="preserve">means a criminal proceeding against a person for an offence including (without limitation) a </w:t>
      </w:r>
      <w:r w:rsidRPr="00B40A77">
        <w:rPr>
          <w:color w:val="000000" w:themeColor="text1"/>
          <w:u w:val="single"/>
        </w:rPr>
        <w:t>committal proceeding</w:t>
      </w:r>
      <w:r w:rsidRPr="00B40A77">
        <w:rPr>
          <w:color w:val="000000" w:themeColor="text1"/>
        </w:rPr>
        <w:t xml:space="preserve">, a proceeding in relation to bail and a proceeding in relation to </w:t>
      </w:r>
      <w:r w:rsidRPr="00B40A77">
        <w:rPr>
          <w:color w:val="000000" w:themeColor="text1"/>
          <w:u w:val="single"/>
        </w:rPr>
        <w:t>sentence</w:t>
      </w:r>
      <w:r w:rsidRPr="00B40A77">
        <w:rPr>
          <w:color w:val="000000" w:themeColor="text1"/>
        </w:rPr>
        <w:t xml:space="preserve"> or an application to vary, revoke or enforce an order made in such a proceeding but does not, unless the context otherwise indicates, include an appellate proceeding;</w:t>
      </w:r>
    </w:p>
    <w:p w14:paraId="797CC4B2" w14:textId="548EDD3D" w:rsidR="003A3958" w:rsidRPr="00B40A77" w:rsidRDefault="003A3958" w:rsidP="003A3958">
      <w:pPr>
        <w:pStyle w:val="Doubleindentedpara"/>
        <w:rPr>
          <w:color w:val="000000" w:themeColor="text1"/>
        </w:rPr>
      </w:pPr>
      <w:r w:rsidRPr="00B40A77">
        <w:rPr>
          <w:b/>
          <w:i/>
          <w:color w:val="000000" w:themeColor="text1"/>
        </w:rPr>
        <w:t>cross appeal</w:t>
      </w:r>
      <w:r w:rsidRPr="00B40A77">
        <w:rPr>
          <w:color w:val="000000" w:themeColor="text1"/>
        </w:rPr>
        <w:t xml:space="preserve">—see </w:t>
      </w:r>
      <w:hyperlink w:anchor="_211.1—Definitions" w:history="1">
        <w:r w:rsidRPr="00B40A77">
          <w:rPr>
            <w:rStyle w:val="Hyperlink"/>
            <w:color w:val="000000" w:themeColor="text1"/>
          </w:rPr>
          <w:t xml:space="preserve">rule </w:t>
        </w:r>
        <w:r w:rsidR="001F76D7" w:rsidRPr="00B40A77">
          <w:rPr>
            <w:rStyle w:val="Hyperlink"/>
            <w:color w:val="000000" w:themeColor="text1"/>
          </w:rPr>
          <w:t>1</w:t>
        </w:r>
        <w:r w:rsidR="00CB3459" w:rsidRPr="00B40A77">
          <w:rPr>
            <w:rStyle w:val="Hyperlink"/>
            <w:color w:val="000000" w:themeColor="text1"/>
          </w:rPr>
          <w:t>8</w:t>
        </w:r>
        <w:r w:rsidRPr="00B40A77">
          <w:rPr>
            <w:rStyle w:val="Hyperlink"/>
            <w:color w:val="000000" w:themeColor="text1"/>
          </w:rPr>
          <w:t>1.1</w:t>
        </w:r>
      </w:hyperlink>
      <w:r w:rsidRPr="00B40A77">
        <w:rPr>
          <w:color w:val="000000" w:themeColor="text1"/>
        </w:rPr>
        <w:t>;</w:t>
      </w:r>
    </w:p>
    <w:p w14:paraId="6F873A00" w14:textId="604C2B87" w:rsidR="00EC08AA" w:rsidRPr="00B40A77" w:rsidRDefault="00EC08AA" w:rsidP="00467048">
      <w:pPr>
        <w:pStyle w:val="Doubleindentedpara"/>
        <w:rPr>
          <w:b/>
          <w:i/>
          <w:color w:val="000000" w:themeColor="text1"/>
        </w:rPr>
      </w:pPr>
      <w:r w:rsidRPr="00B40A77">
        <w:rPr>
          <w:b/>
          <w:i/>
          <w:color w:val="000000" w:themeColor="text1"/>
        </w:rPr>
        <w:t xml:space="preserve">directions hearing </w:t>
      </w:r>
      <w:r w:rsidRPr="00B40A77">
        <w:rPr>
          <w:color w:val="000000" w:themeColor="text1"/>
        </w:rPr>
        <w:t xml:space="preserve">means any hearing in a </w:t>
      </w:r>
      <w:r w:rsidR="00BA2879" w:rsidRPr="00B40A77">
        <w:rPr>
          <w:b/>
          <w:i/>
          <w:color w:val="000000" w:themeColor="text1"/>
        </w:rPr>
        <w:t>cross appeal</w:t>
      </w:r>
      <w:r w:rsidRPr="00B40A77">
        <w:rPr>
          <w:color w:val="000000" w:themeColor="text1"/>
        </w:rPr>
        <w:t xml:space="preserve"> </w:t>
      </w:r>
      <w:r w:rsidR="006606F7" w:rsidRPr="00B40A77">
        <w:rPr>
          <w:color w:val="000000" w:themeColor="text1"/>
        </w:rPr>
        <w:t xml:space="preserve">or appellate proceeding </w:t>
      </w:r>
      <w:r w:rsidR="000D3E5B" w:rsidRPr="00B40A77">
        <w:rPr>
          <w:color w:val="000000" w:themeColor="text1"/>
        </w:rPr>
        <w:t xml:space="preserve">other than a </w:t>
      </w:r>
      <w:r w:rsidR="006301CA" w:rsidRPr="00B40A77">
        <w:rPr>
          <w:color w:val="000000" w:themeColor="text1"/>
          <w:u w:val="single"/>
        </w:rPr>
        <w:t>pre-trial conference,</w:t>
      </w:r>
      <w:r w:rsidR="006301CA" w:rsidRPr="00B40A77">
        <w:rPr>
          <w:color w:val="000000" w:themeColor="text1"/>
        </w:rPr>
        <w:t xml:space="preserve"> </w:t>
      </w:r>
      <w:r w:rsidR="000D3E5B" w:rsidRPr="00B40A77">
        <w:rPr>
          <w:color w:val="000000" w:themeColor="text1"/>
        </w:rPr>
        <w:t xml:space="preserve">trial, </w:t>
      </w:r>
      <w:r w:rsidR="006301CA" w:rsidRPr="00B40A77">
        <w:rPr>
          <w:color w:val="000000" w:themeColor="text1"/>
          <w:u w:val="single"/>
        </w:rPr>
        <w:t>sentencing hearing</w:t>
      </w:r>
      <w:r w:rsidR="006301CA" w:rsidRPr="00B40A77">
        <w:rPr>
          <w:color w:val="000000" w:themeColor="text1"/>
        </w:rPr>
        <w:t xml:space="preserve"> or </w:t>
      </w:r>
      <w:r w:rsidR="006606F7" w:rsidRPr="00B40A77">
        <w:rPr>
          <w:color w:val="000000" w:themeColor="text1"/>
        </w:rPr>
        <w:t>final hearing</w:t>
      </w:r>
      <w:r w:rsidRPr="00B40A77">
        <w:rPr>
          <w:color w:val="000000" w:themeColor="text1"/>
        </w:rPr>
        <w:t>;</w:t>
      </w:r>
    </w:p>
    <w:p w14:paraId="60ED90BA" w14:textId="77777777" w:rsidR="00970CE0" w:rsidRPr="00B40A77" w:rsidRDefault="00970CE0" w:rsidP="00970CE0">
      <w:pPr>
        <w:pStyle w:val="Doubleindentedpara"/>
        <w:rPr>
          <w:b/>
          <w:i/>
          <w:color w:val="000000" w:themeColor="text1"/>
        </w:rPr>
      </w:pPr>
      <w:r w:rsidRPr="00B40A77">
        <w:rPr>
          <w:b/>
          <w:i/>
          <w:color w:val="000000" w:themeColor="text1"/>
        </w:rPr>
        <w:t xml:space="preserve">Director </w:t>
      </w:r>
      <w:r w:rsidRPr="00B40A77">
        <w:rPr>
          <w:color w:val="000000" w:themeColor="text1"/>
        </w:rPr>
        <w:t xml:space="preserve">means the Director of Public Prosecutions for </w:t>
      </w:r>
      <w:r w:rsidRPr="00B40A77">
        <w:rPr>
          <w:color w:val="000000" w:themeColor="text1"/>
          <w:u w:val="single"/>
        </w:rPr>
        <w:t>the State</w:t>
      </w:r>
      <w:r w:rsidRPr="00B40A77">
        <w:rPr>
          <w:color w:val="000000" w:themeColor="text1"/>
        </w:rPr>
        <w:t xml:space="preserve"> or Commonwealth as the context requires;</w:t>
      </w:r>
    </w:p>
    <w:p w14:paraId="31C9132D" w14:textId="07080516" w:rsidR="00467048" w:rsidRPr="00B40A77" w:rsidRDefault="00467048" w:rsidP="00467048">
      <w:pPr>
        <w:pStyle w:val="Doubleindentedpara"/>
        <w:rPr>
          <w:b/>
          <w:i/>
          <w:color w:val="000000" w:themeColor="text1"/>
        </w:rPr>
      </w:pPr>
      <w:r w:rsidRPr="00B40A77">
        <w:rPr>
          <w:b/>
          <w:i/>
          <w:color w:val="000000" w:themeColor="text1"/>
        </w:rPr>
        <w:t>document</w:t>
      </w:r>
      <w:r w:rsidR="000A6FBC" w:rsidRPr="00B40A77">
        <w:rPr>
          <w:color w:val="000000" w:themeColor="text1"/>
        </w:rPr>
        <w:t>—</w:t>
      </w:r>
      <w:r w:rsidR="003D10C9" w:rsidRPr="00B40A77">
        <w:rPr>
          <w:color w:val="000000" w:themeColor="text1"/>
        </w:rPr>
        <w:t>see definition in section 4</w:t>
      </w:r>
      <w:r w:rsidRPr="00B40A77">
        <w:rPr>
          <w:color w:val="000000" w:themeColor="text1"/>
        </w:rPr>
        <w:t xml:space="preserve"> of the </w:t>
      </w:r>
      <w:r w:rsidR="00AD4016" w:rsidRPr="00B40A77">
        <w:rPr>
          <w:i/>
          <w:color w:val="000000" w:themeColor="text1"/>
        </w:rPr>
        <w:t>Legislation Interpretation Act 2021</w:t>
      </w:r>
      <w:r w:rsidRPr="00B40A77">
        <w:rPr>
          <w:color w:val="000000" w:themeColor="text1"/>
        </w:rPr>
        <w:t>;</w:t>
      </w:r>
    </w:p>
    <w:p w14:paraId="708EEF9C" w14:textId="07CA529E" w:rsidR="00547460" w:rsidRPr="00B40A77" w:rsidRDefault="00547460" w:rsidP="00547460">
      <w:pPr>
        <w:pStyle w:val="Doubleindentedpara"/>
        <w:rPr>
          <w:color w:val="000000" w:themeColor="text1"/>
        </w:rPr>
      </w:pPr>
      <w:r w:rsidRPr="00B40A77">
        <w:rPr>
          <w:b/>
          <w:i/>
          <w:color w:val="000000" w:themeColor="text1"/>
        </w:rPr>
        <w:t xml:space="preserve">electronic material </w:t>
      </w:r>
      <w:r w:rsidRPr="00B40A77">
        <w:rPr>
          <w:color w:val="000000" w:themeColor="text1"/>
        </w:rPr>
        <w:t xml:space="preserve">means </w:t>
      </w:r>
      <w:hyperlink w:anchor="_2.1—Definitions" w:history="1">
        <w:r w:rsidR="000475CD" w:rsidRPr="00B40A77">
          <w:rPr>
            <w:rStyle w:val="Hyperlink"/>
            <w:color w:val="000000" w:themeColor="text1"/>
          </w:rPr>
          <w:t>evidentiary material</w:t>
        </w:r>
      </w:hyperlink>
      <w:r w:rsidRPr="00B40A77">
        <w:rPr>
          <w:color w:val="000000" w:themeColor="text1"/>
        </w:rPr>
        <w:t xml:space="preserve"> in native format (for example photographs in JPEG format or audio visual material in </w:t>
      </w:r>
      <w:r w:rsidR="008C429C" w:rsidRPr="00B40A77">
        <w:rPr>
          <w:color w:val="000000" w:themeColor="text1"/>
        </w:rPr>
        <w:t xml:space="preserve">MPEG </w:t>
      </w:r>
      <w:r w:rsidRPr="00B40A77">
        <w:rPr>
          <w:color w:val="000000" w:themeColor="text1"/>
        </w:rPr>
        <w:t>format) other than material that is in or has been converted into pdf format;</w:t>
      </w:r>
    </w:p>
    <w:p w14:paraId="09F184E3" w14:textId="77D028A0" w:rsidR="00A6031B" w:rsidRPr="00B40A77" w:rsidRDefault="00A6031B" w:rsidP="00A6031B">
      <w:pPr>
        <w:pStyle w:val="Doubleindentedpara"/>
        <w:rPr>
          <w:color w:val="000000" w:themeColor="text1"/>
        </w:rPr>
      </w:pPr>
      <w:r w:rsidRPr="00B40A77">
        <w:rPr>
          <w:b/>
          <w:i/>
          <w:color w:val="000000" w:themeColor="text1"/>
        </w:rPr>
        <w:t>Electronic System</w:t>
      </w:r>
      <w:r w:rsidR="000A6FBC" w:rsidRPr="00B40A77">
        <w:rPr>
          <w:color w:val="000000" w:themeColor="text1"/>
        </w:rPr>
        <w:t>—</w:t>
      </w:r>
      <w:r w:rsidRPr="00B40A77">
        <w:rPr>
          <w:color w:val="000000" w:themeColor="text1"/>
        </w:rPr>
        <w:t xml:space="preserve">see </w:t>
      </w:r>
      <w:hyperlink w:anchor="_13.5—Establishment_and_operation" w:history="1">
        <w:r w:rsidRPr="00B40A77">
          <w:rPr>
            <w:rStyle w:val="Hyperlink"/>
            <w:color w:val="000000" w:themeColor="text1"/>
          </w:rPr>
          <w:t xml:space="preserve">rule </w:t>
        </w:r>
        <w:r w:rsidR="00327596" w:rsidRPr="00B40A77">
          <w:rPr>
            <w:rStyle w:val="Hyperlink"/>
            <w:color w:val="000000" w:themeColor="text1"/>
          </w:rPr>
          <w:t>22.1</w:t>
        </w:r>
      </w:hyperlink>
      <w:r w:rsidRPr="00B40A77">
        <w:rPr>
          <w:color w:val="000000" w:themeColor="text1"/>
        </w:rPr>
        <w:t>;</w:t>
      </w:r>
    </w:p>
    <w:p w14:paraId="11839C49" w14:textId="07B368EE" w:rsidR="00A417A5" w:rsidRPr="00B40A77" w:rsidRDefault="00A417A5" w:rsidP="00A417A5">
      <w:pPr>
        <w:pStyle w:val="Doubleindentedpara"/>
        <w:rPr>
          <w:color w:val="000000" w:themeColor="text1"/>
        </w:rPr>
      </w:pPr>
      <w:r w:rsidRPr="00B40A77">
        <w:rPr>
          <w:b/>
          <w:i/>
          <w:color w:val="000000" w:themeColor="text1"/>
        </w:rPr>
        <w:t>email service</w:t>
      </w:r>
      <w:r w:rsidRPr="00B40A77">
        <w:rPr>
          <w:color w:val="000000" w:themeColor="text1"/>
        </w:rPr>
        <w:t>—see</w:t>
      </w:r>
      <w:r w:rsidR="00327596" w:rsidRPr="00B40A77">
        <w:rPr>
          <w:color w:val="000000" w:themeColor="text1"/>
        </w:rPr>
        <w:t xml:space="preserve"> </w:t>
      </w:r>
      <w:hyperlink w:anchor="_33.3—Email_service" w:history="1">
        <w:r w:rsidR="00327596" w:rsidRPr="00B40A77">
          <w:rPr>
            <w:rStyle w:val="Hyperlink"/>
            <w:color w:val="000000" w:themeColor="text1"/>
          </w:rPr>
          <w:t>rule 33.3</w:t>
        </w:r>
      </w:hyperlink>
      <w:r w:rsidRPr="00B40A77">
        <w:rPr>
          <w:color w:val="000000" w:themeColor="text1"/>
        </w:rPr>
        <w:t>;</w:t>
      </w:r>
    </w:p>
    <w:p w14:paraId="662D42EF" w14:textId="6E111C06" w:rsidR="00AE7D5B" w:rsidRPr="00B40A77" w:rsidRDefault="00AE7D5B" w:rsidP="00AE7D5B">
      <w:pPr>
        <w:pStyle w:val="Doubleindentedpara"/>
        <w:rPr>
          <w:b/>
          <w:i/>
          <w:color w:val="000000" w:themeColor="text1"/>
        </w:rPr>
      </w:pPr>
      <w:r w:rsidRPr="00B40A77">
        <w:rPr>
          <w:b/>
          <w:i/>
          <w:color w:val="000000" w:themeColor="text1"/>
        </w:rPr>
        <w:t xml:space="preserve">Evidence Act </w:t>
      </w:r>
      <w:r w:rsidRPr="00B40A77">
        <w:rPr>
          <w:color w:val="000000" w:themeColor="text1"/>
        </w:rPr>
        <w:t xml:space="preserve">means the </w:t>
      </w:r>
      <w:r w:rsidRPr="00B40A77">
        <w:rPr>
          <w:i/>
          <w:color w:val="000000" w:themeColor="text1"/>
        </w:rPr>
        <w:t>Evidence Act 1929</w:t>
      </w:r>
      <w:r w:rsidRPr="00B40A77">
        <w:rPr>
          <w:color w:val="000000" w:themeColor="text1"/>
        </w:rPr>
        <w:t>;</w:t>
      </w:r>
    </w:p>
    <w:p w14:paraId="3B904BE3" w14:textId="0C02090A" w:rsidR="00467048" w:rsidRPr="00B40A77" w:rsidRDefault="00467048" w:rsidP="00467048">
      <w:pPr>
        <w:pStyle w:val="Doubleindentedpara"/>
        <w:rPr>
          <w:color w:val="000000" w:themeColor="text1"/>
        </w:rPr>
      </w:pPr>
      <w:r w:rsidRPr="00B40A77">
        <w:rPr>
          <w:b/>
          <w:i/>
          <w:color w:val="000000" w:themeColor="text1"/>
        </w:rPr>
        <w:t xml:space="preserve">evidentiary material </w:t>
      </w:r>
      <w:r w:rsidRPr="00B40A77">
        <w:rPr>
          <w:color w:val="000000" w:themeColor="text1"/>
        </w:rPr>
        <w:t xml:space="preserve">means a document or thing of </w:t>
      </w:r>
      <w:r w:rsidR="006606F7" w:rsidRPr="00B40A77">
        <w:rPr>
          <w:color w:val="000000" w:themeColor="text1"/>
        </w:rPr>
        <w:t xml:space="preserve">potential </w:t>
      </w:r>
      <w:r w:rsidRPr="00B40A77">
        <w:rPr>
          <w:color w:val="000000" w:themeColor="text1"/>
        </w:rPr>
        <w:t>evidentiary value and includes a document or thing</w:t>
      </w:r>
      <w:r w:rsidR="008B5E49" w:rsidRPr="00B40A77">
        <w:rPr>
          <w:color w:val="000000" w:themeColor="text1"/>
        </w:rPr>
        <w:t xml:space="preserve"> that the </w:t>
      </w:r>
      <w:r w:rsidR="008B5E49" w:rsidRPr="00B40A77">
        <w:rPr>
          <w:color w:val="000000" w:themeColor="text1"/>
          <w:u w:val="single"/>
        </w:rPr>
        <w:t>Court</w:t>
      </w:r>
      <w:r w:rsidR="008B5E49" w:rsidRPr="00B40A77">
        <w:rPr>
          <w:color w:val="000000" w:themeColor="text1"/>
        </w:rPr>
        <w:t xml:space="preserve"> determines should be produced to determine whether it has evidentiary value</w:t>
      </w:r>
      <w:r w:rsidRPr="00B40A77">
        <w:rPr>
          <w:color w:val="000000" w:themeColor="text1"/>
        </w:rPr>
        <w:t>;</w:t>
      </w:r>
    </w:p>
    <w:p w14:paraId="660AFA35" w14:textId="3007F077" w:rsidR="00C00B5E" w:rsidRPr="00B40A77" w:rsidRDefault="00C00B5E" w:rsidP="00C00B5E">
      <w:pPr>
        <w:pStyle w:val="Doubleindentedpara"/>
        <w:rPr>
          <w:color w:val="000000" w:themeColor="text1"/>
        </w:rPr>
      </w:pPr>
      <w:r w:rsidRPr="00B40A77">
        <w:rPr>
          <w:b/>
          <w:i/>
          <w:color w:val="000000" w:themeColor="text1"/>
        </w:rPr>
        <w:t xml:space="preserve">expert </w:t>
      </w:r>
      <w:r w:rsidRPr="00B40A77">
        <w:rPr>
          <w:color w:val="000000" w:themeColor="text1"/>
        </w:rPr>
        <w:t>means a person having, or purporting to have, expertise or experience in a field qualifying the</w:t>
      </w:r>
      <w:r w:rsidR="00436813" w:rsidRPr="00B40A77">
        <w:rPr>
          <w:color w:val="000000" w:themeColor="text1"/>
        </w:rPr>
        <w:t>m</w:t>
      </w:r>
      <w:r w:rsidRPr="00B40A77">
        <w:rPr>
          <w:color w:val="000000" w:themeColor="text1"/>
        </w:rPr>
        <w:t xml:space="preserve"> to give expert evidence within the field (and, to avoid doubt, includes a party, partner or associate of a party or person employed by a party);</w:t>
      </w:r>
    </w:p>
    <w:p w14:paraId="4E2DA3B0" w14:textId="5B897429" w:rsidR="00C00B5E" w:rsidRPr="00B40A77" w:rsidRDefault="00C00B5E" w:rsidP="00C00B5E">
      <w:pPr>
        <w:pStyle w:val="Doubleindentedpara"/>
        <w:rPr>
          <w:color w:val="000000" w:themeColor="text1"/>
        </w:rPr>
      </w:pPr>
      <w:r w:rsidRPr="00B40A77">
        <w:rPr>
          <w:b/>
          <w:i/>
          <w:color w:val="000000" w:themeColor="text1"/>
        </w:rPr>
        <w:t xml:space="preserve">expert report </w:t>
      </w:r>
      <w:r w:rsidRPr="00B40A77">
        <w:rPr>
          <w:color w:val="000000" w:themeColor="text1"/>
        </w:rPr>
        <w:t xml:space="preserve">means a written report by an </w:t>
      </w:r>
      <w:r w:rsidRPr="00B40A77">
        <w:rPr>
          <w:color w:val="000000" w:themeColor="text1"/>
          <w:u w:val="single"/>
        </w:rPr>
        <w:t>expert</w:t>
      </w:r>
      <w:r w:rsidRPr="00B40A77">
        <w:rPr>
          <w:color w:val="000000" w:themeColor="text1"/>
        </w:rPr>
        <w:t xml:space="preserve"> relevant to issues in the proceeding in question;</w:t>
      </w:r>
    </w:p>
    <w:p w14:paraId="2830F038" w14:textId="5982A81F" w:rsidR="0090777C" w:rsidRPr="00B40A77" w:rsidRDefault="0090777C" w:rsidP="002B2797">
      <w:pPr>
        <w:pStyle w:val="Doubleindentedpara"/>
        <w:keepNext/>
        <w:rPr>
          <w:color w:val="000000" w:themeColor="text1"/>
        </w:rPr>
      </w:pPr>
      <w:r w:rsidRPr="00B40A77">
        <w:rPr>
          <w:b/>
          <w:i/>
          <w:color w:val="000000" w:themeColor="text1"/>
        </w:rPr>
        <w:t>first arraignment date</w:t>
      </w:r>
      <w:r w:rsidRPr="00B40A77">
        <w:rPr>
          <w:color w:val="000000" w:themeColor="text1"/>
        </w:rPr>
        <w:t xml:space="preserve"> means—</w:t>
      </w:r>
    </w:p>
    <w:p w14:paraId="4C93F3E9" w14:textId="35669941" w:rsidR="0090777C" w:rsidRPr="00B40A77" w:rsidRDefault="0090777C" w:rsidP="000D41FB">
      <w:pPr>
        <w:pStyle w:val="Doublehangindent"/>
        <w:ind w:left="2007"/>
        <w:rPr>
          <w:color w:val="000000" w:themeColor="text1"/>
        </w:rPr>
      </w:pPr>
      <w:r w:rsidRPr="00B40A77">
        <w:rPr>
          <w:color w:val="000000" w:themeColor="text1"/>
        </w:rPr>
        <w:t>(a)</w:t>
      </w:r>
      <w:r w:rsidRPr="00B40A77">
        <w:rPr>
          <w:color w:val="000000" w:themeColor="text1"/>
        </w:rPr>
        <w:tab/>
        <w:t xml:space="preserve">if the defendant was committed </w:t>
      </w:r>
      <w:r w:rsidR="008E4C76" w:rsidRPr="00B40A77">
        <w:rPr>
          <w:color w:val="000000" w:themeColor="text1"/>
        </w:rPr>
        <w:t xml:space="preserve">by a </w:t>
      </w:r>
      <w:r w:rsidR="008E4C76" w:rsidRPr="00B40A77">
        <w:rPr>
          <w:color w:val="000000" w:themeColor="text1"/>
          <w:u w:val="single"/>
        </w:rPr>
        <w:t>Lower Court</w:t>
      </w:r>
      <w:r w:rsidR="008E4C76" w:rsidRPr="00B40A77">
        <w:rPr>
          <w:color w:val="000000" w:themeColor="text1"/>
        </w:rPr>
        <w:t xml:space="preserve"> </w:t>
      </w:r>
      <w:r w:rsidRPr="00B40A77">
        <w:rPr>
          <w:color w:val="000000" w:themeColor="text1"/>
        </w:rPr>
        <w:t xml:space="preserve">for trial or </w:t>
      </w:r>
      <w:r w:rsidRPr="00B40A77">
        <w:rPr>
          <w:color w:val="000000" w:themeColor="text1"/>
          <w:u w:val="single"/>
        </w:rPr>
        <w:t>sentence</w:t>
      </w:r>
      <w:r w:rsidRPr="00B40A77">
        <w:rPr>
          <w:color w:val="000000" w:themeColor="text1"/>
        </w:rPr>
        <w:t xml:space="preserve"> in th</w:t>
      </w:r>
      <w:r w:rsidR="006D22A9" w:rsidRPr="00B40A77">
        <w:rPr>
          <w:color w:val="000000" w:themeColor="text1"/>
        </w:rPr>
        <w:t>e Supreme Court or</w:t>
      </w:r>
      <w:r w:rsidRPr="00B40A77">
        <w:rPr>
          <w:color w:val="000000" w:themeColor="text1"/>
        </w:rPr>
        <w:t xml:space="preserve"> District Court—the </w:t>
      </w:r>
      <w:r w:rsidR="008E4C76" w:rsidRPr="00B40A77">
        <w:rPr>
          <w:color w:val="000000" w:themeColor="text1"/>
        </w:rPr>
        <w:t xml:space="preserve">arraignment date fixed by the </w:t>
      </w:r>
      <w:r w:rsidR="008E4C76" w:rsidRPr="00B40A77">
        <w:rPr>
          <w:color w:val="000000" w:themeColor="text1"/>
          <w:u w:val="single"/>
        </w:rPr>
        <w:t>Lower Court</w:t>
      </w:r>
      <w:r w:rsidR="008E4C76" w:rsidRPr="00B40A77">
        <w:rPr>
          <w:color w:val="000000" w:themeColor="text1"/>
        </w:rPr>
        <w:t xml:space="preserve"> under section 120(1) of the </w:t>
      </w:r>
      <w:r w:rsidR="008E4C76" w:rsidRPr="00B40A77">
        <w:rPr>
          <w:iCs/>
          <w:color w:val="000000" w:themeColor="text1"/>
          <w:u w:val="single"/>
        </w:rPr>
        <w:t>Procedure Act</w:t>
      </w:r>
      <w:r w:rsidR="008E4C76" w:rsidRPr="00B40A77">
        <w:rPr>
          <w:color w:val="000000" w:themeColor="text1"/>
        </w:rPr>
        <w:t>; or</w:t>
      </w:r>
    </w:p>
    <w:p w14:paraId="04789185" w14:textId="375E1C3D" w:rsidR="0090777C" w:rsidRPr="00B40A77" w:rsidRDefault="0090777C" w:rsidP="000D41FB">
      <w:pPr>
        <w:pStyle w:val="Doublehangindent"/>
        <w:keepNext/>
        <w:keepLines/>
        <w:ind w:left="2007"/>
        <w:rPr>
          <w:b/>
          <w:i/>
          <w:color w:val="000000" w:themeColor="text1"/>
        </w:rPr>
      </w:pPr>
      <w:r w:rsidRPr="00B40A77">
        <w:rPr>
          <w:color w:val="000000" w:themeColor="text1"/>
        </w:rPr>
        <w:lastRenderedPageBreak/>
        <w:t>(b)</w:t>
      </w:r>
      <w:r w:rsidRPr="00B40A77">
        <w:rPr>
          <w:color w:val="000000" w:themeColor="text1"/>
        </w:rPr>
        <w:tab/>
      </w:r>
      <w:r w:rsidR="008E4C76" w:rsidRPr="00B40A77">
        <w:rPr>
          <w:color w:val="000000" w:themeColor="text1"/>
        </w:rPr>
        <w:t xml:space="preserve">if the defendant was not committed by a </w:t>
      </w:r>
      <w:r w:rsidR="008E4C76" w:rsidRPr="00B40A77">
        <w:rPr>
          <w:color w:val="000000" w:themeColor="text1"/>
          <w:u w:val="single"/>
        </w:rPr>
        <w:t>Lower Court</w:t>
      </w:r>
      <w:r w:rsidR="008E4C76" w:rsidRPr="00B40A77">
        <w:rPr>
          <w:color w:val="000000" w:themeColor="text1"/>
        </w:rPr>
        <w:t xml:space="preserve"> for trial or </w:t>
      </w:r>
      <w:r w:rsidR="008E4C76" w:rsidRPr="00B40A77">
        <w:rPr>
          <w:color w:val="000000" w:themeColor="text1"/>
          <w:u w:val="single"/>
        </w:rPr>
        <w:t>sentence</w:t>
      </w:r>
      <w:r w:rsidR="008E4C76" w:rsidRPr="00B40A77">
        <w:rPr>
          <w:color w:val="000000" w:themeColor="text1"/>
        </w:rPr>
        <w:t xml:space="preserve">—the arraignment date </w:t>
      </w:r>
      <w:r w:rsidR="00083ACA" w:rsidRPr="00B40A77">
        <w:rPr>
          <w:color w:val="000000" w:themeColor="text1"/>
        </w:rPr>
        <w:t>shown in the Information;</w:t>
      </w:r>
    </w:p>
    <w:p w14:paraId="00E9CE90" w14:textId="7EDD741B" w:rsidR="00BA3B0B" w:rsidRPr="00B40A77" w:rsidRDefault="00BA3B0B" w:rsidP="000D62B1">
      <w:pPr>
        <w:pStyle w:val="Doubleindentedpara"/>
        <w:rPr>
          <w:b/>
          <w:bCs/>
          <w:i/>
          <w:iCs/>
          <w:color w:val="000000" w:themeColor="text1"/>
        </w:rPr>
      </w:pPr>
      <w:r w:rsidRPr="00B40A77">
        <w:rPr>
          <w:b/>
          <w:i/>
          <w:color w:val="000000" w:themeColor="text1"/>
        </w:rPr>
        <w:t>fit to stand trial</w:t>
      </w:r>
      <w:r w:rsidRPr="00B40A77">
        <w:rPr>
          <w:color w:val="000000" w:themeColor="text1"/>
        </w:rPr>
        <w:t xml:space="preserve">—see definition of </w:t>
      </w:r>
      <w:r w:rsidRPr="00B40A77">
        <w:rPr>
          <w:color w:val="000000" w:themeColor="text1"/>
          <w:u w:val="single"/>
        </w:rPr>
        <w:t>unfit to stand trial</w:t>
      </w:r>
      <w:r w:rsidRPr="00B40A77">
        <w:rPr>
          <w:color w:val="000000" w:themeColor="text1"/>
        </w:rPr>
        <w:t>;</w:t>
      </w:r>
    </w:p>
    <w:p w14:paraId="40DFA754" w14:textId="45FA64C6" w:rsidR="000D62B1" w:rsidRPr="00B40A77" w:rsidRDefault="000D62B1" w:rsidP="000D62B1">
      <w:pPr>
        <w:pStyle w:val="Doubleindentedpara"/>
        <w:rPr>
          <w:color w:val="000000" w:themeColor="text1"/>
        </w:rPr>
      </w:pPr>
      <w:r w:rsidRPr="00B40A77">
        <w:rPr>
          <w:b/>
          <w:i/>
          <w:color w:val="000000" w:themeColor="text1"/>
        </w:rPr>
        <w:t xml:space="preserve">hearing </w:t>
      </w:r>
      <w:r w:rsidRPr="00B40A77">
        <w:rPr>
          <w:color w:val="000000" w:themeColor="text1"/>
        </w:rPr>
        <w:t>means a hearing (whether or not in the presence of the parties) and</w:t>
      </w:r>
      <w:r w:rsidR="0055268C" w:rsidRPr="00B40A77">
        <w:rPr>
          <w:color w:val="000000" w:themeColor="text1"/>
        </w:rPr>
        <w:t xml:space="preserve"> unless the context otherwise indicates</w:t>
      </w:r>
      <w:r w:rsidRPr="00B40A77">
        <w:rPr>
          <w:color w:val="000000" w:themeColor="text1"/>
        </w:rPr>
        <w:t>—</w:t>
      </w:r>
    </w:p>
    <w:p w14:paraId="1EB930E7" w14:textId="61E939CB" w:rsidR="000D62B1" w:rsidRPr="00B40A77" w:rsidRDefault="000D62B1" w:rsidP="000D41FB">
      <w:pPr>
        <w:pStyle w:val="Doublehangindent"/>
        <w:ind w:left="2007"/>
        <w:rPr>
          <w:color w:val="000000" w:themeColor="text1"/>
        </w:rPr>
      </w:pPr>
      <w:r w:rsidRPr="00B40A77">
        <w:rPr>
          <w:color w:val="000000" w:themeColor="text1"/>
        </w:rPr>
        <w:t>(a)</w:t>
      </w:r>
      <w:r w:rsidRPr="00B40A77">
        <w:rPr>
          <w:color w:val="000000" w:themeColor="text1"/>
        </w:rPr>
        <w:tab/>
        <w:t xml:space="preserve">includes a </w:t>
      </w:r>
      <w:r w:rsidR="006301CA" w:rsidRPr="00B40A77">
        <w:rPr>
          <w:color w:val="000000" w:themeColor="text1"/>
          <w:u w:val="single"/>
        </w:rPr>
        <w:t>directions</w:t>
      </w:r>
      <w:r w:rsidRPr="00B40A77">
        <w:rPr>
          <w:color w:val="000000" w:themeColor="text1"/>
          <w:u w:val="single"/>
        </w:rPr>
        <w:t xml:space="preserve"> hearing</w:t>
      </w:r>
      <w:r w:rsidRPr="00B40A77">
        <w:rPr>
          <w:color w:val="000000" w:themeColor="text1"/>
        </w:rPr>
        <w:t>;</w:t>
      </w:r>
    </w:p>
    <w:p w14:paraId="77569ED2" w14:textId="18610052" w:rsidR="006301CA" w:rsidRPr="00B40A77" w:rsidRDefault="006301CA" w:rsidP="006301CA">
      <w:pPr>
        <w:pStyle w:val="Doublehangindent"/>
        <w:ind w:left="2007"/>
        <w:rPr>
          <w:color w:val="000000" w:themeColor="text1"/>
        </w:rPr>
      </w:pPr>
      <w:r w:rsidRPr="00B40A77">
        <w:rPr>
          <w:color w:val="000000" w:themeColor="text1"/>
        </w:rPr>
        <w:t>(b)</w:t>
      </w:r>
      <w:r w:rsidRPr="00B40A77">
        <w:rPr>
          <w:color w:val="000000" w:themeColor="text1"/>
        </w:rPr>
        <w:tab/>
        <w:t xml:space="preserve">includes a </w:t>
      </w:r>
      <w:r w:rsidRPr="00B40A77">
        <w:rPr>
          <w:color w:val="000000" w:themeColor="text1"/>
          <w:u w:val="single"/>
        </w:rPr>
        <w:t>sentencing hearing</w:t>
      </w:r>
      <w:r w:rsidRPr="00B40A77">
        <w:rPr>
          <w:color w:val="000000" w:themeColor="text1"/>
        </w:rPr>
        <w:t>;</w:t>
      </w:r>
    </w:p>
    <w:p w14:paraId="3F6EE41A" w14:textId="6C29711F" w:rsidR="0055268C" w:rsidRPr="00B40A77" w:rsidRDefault="0055268C" w:rsidP="000D41FB">
      <w:pPr>
        <w:pStyle w:val="Doublehangindent"/>
        <w:ind w:left="2007"/>
        <w:rPr>
          <w:color w:val="000000" w:themeColor="text1"/>
        </w:rPr>
      </w:pPr>
      <w:r w:rsidRPr="00B40A77">
        <w:rPr>
          <w:color w:val="000000" w:themeColor="text1"/>
        </w:rPr>
        <w:t>(</w:t>
      </w:r>
      <w:r w:rsidR="006301CA" w:rsidRPr="00B40A77">
        <w:rPr>
          <w:color w:val="000000" w:themeColor="text1"/>
        </w:rPr>
        <w:t>c</w:t>
      </w:r>
      <w:r w:rsidRPr="00B40A77">
        <w:rPr>
          <w:color w:val="000000" w:themeColor="text1"/>
        </w:rPr>
        <w:t>)</w:t>
      </w:r>
      <w:r w:rsidRPr="00B40A77">
        <w:rPr>
          <w:color w:val="000000" w:themeColor="text1"/>
        </w:rPr>
        <w:tab/>
        <w:t xml:space="preserve">includes a </w:t>
      </w:r>
      <w:r w:rsidRPr="00B40A77">
        <w:rPr>
          <w:color w:val="000000" w:themeColor="text1"/>
          <w:u w:val="single"/>
        </w:rPr>
        <w:t>pre-trial conference</w:t>
      </w:r>
      <w:r w:rsidRPr="00B40A77">
        <w:rPr>
          <w:color w:val="000000" w:themeColor="text1"/>
        </w:rPr>
        <w:t>;</w:t>
      </w:r>
    </w:p>
    <w:p w14:paraId="137076C9" w14:textId="08CD2E08" w:rsidR="0055268C" w:rsidRPr="00B40A77" w:rsidRDefault="0055268C" w:rsidP="000D41FB">
      <w:pPr>
        <w:pStyle w:val="Doublehangindent"/>
        <w:ind w:left="2007"/>
        <w:rPr>
          <w:color w:val="000000" w:themeColor="text1"/>
        </w:rPr>
      </w:pPr>
      <w:r w:rsidRPr="00B40A77">
        <w:rPr>
          <w:color w:val="000000" w:themeColor="text1"/>
        </w:rPr>
        <w:t>(</w:t>
      </w:r>
      <w:r w:rsidR="006301CA" w:rsidRPr="00B40A77">
        <w:rPr>
          <w:color w:val="000000" w:themeColor="text1"/>
        </w:rPr>
        <w:t>e</w:t>
      </w:r>
      <w:r w:rsidRPr="00B40A77">
        <w:rPr>
          <w:color w:val="000000" w:themeColor="text1"/>
        </w:rPr>
        <w:t>)</w:t>
      </w:r>
      <w:r w:rsidRPr="00B40A77">
        <w:rPr>
          <w:color w:val="000000" w:themeColor="text1"/>
        </w:rPr>
        <w:tab/>
        <w:t xml:space="preserve">includes an </w:t>
      </w:r>
      <w:hyperlink w:anchor="_2.1—Definitions" w:history="1">
        <w:r w:rsidRPr="00B40A77">
          <w:rPr>
            <w:rStyle w:val="Hyperlink"/>
            <w:color w:val="000000" w:themeColor="text1"/>
          </w:rPr>
          <w:t>appellate hearing</w:t>
        </w:r>
      </w:hyperlink>
      <w:r w:rsidRPr="00B40A77">
        <w:rPr>
          <w:color w:val="000000" w:themeColor="text1"/>
        </w:rPr>
        <w:t>;</w:t>
      </w:r>
      <w:r w:rsidR="00BA3B0B" w:rsidRPr="00B40A77">
        <w:rPr>
          <w:color w:val="000000" w:themeColor="text1"/>
        </w:rPr>
        <w:t xml:space="preserve"> but</w:t>
      </w:r>
    </w:p>
    <w:p w14:paraId="7815AC78" w14:textId="50446AF7" w:rsidR="000D62B1" w:rsidRPr="00B40A77" w:rsidRDefault="0055268C" w:rsidP="000D41FB">
      <w:pPr>
        <w:pStyle w:val="Doublehangindent"/>
        <w:ind w:left="2007"/>
        <w:rPr>
          <w:color w:val="000000" w:themeColor="text1"/>
        </w:rPr>
      </w:pPr>
      <w:r w:rsidRPr="00B40A77">
        <w:rPr>
          <w:color w:val="000000" w:themeColor="text1"/>
        </w:rPr>
        <w:t>(</w:t>
      </w:r>
      <w:r w:rsidR="006301CA" w:rsidRPr="00B40A77">
        <w:rPr>
          <w:color w:val="000000" w:themeColor="text1"/>
        </w:rPr>
        <w:t>e</w:t>
      </w:r>
      <w:r w:rsidR="000D62B1" w:rsidRPr="00B40A77">
        <w:rPr>
          <w:color w:val="000000" w:themeColor="text1"/>
        </w:rPr>
        <w:t>)</w:t>
      </w:r>
      <w:r w:rsidR="000D62B1" w:rsidRPr="00B40A77">
        <w:rPr>
          <w:color w:val="000000" w:themeColor="text1"/>
        </w:rPr>
        <w:tab/>
        <w:t xml:space="preserve">does not include a </w:t>
      </w:r>
      <w:r w:rsidR="000D62B1" w:rsidRPr="00B40A77">
        <w:rPr>
          <w:color w:val="000000" w:themeColor="text1"/>
          <w:u w:val="single"/>
        </w:rPr>
        <w:t>trial</w:t>
      </w:r>
      <w:r w:rsidR="000D62B1" w:rsidRPr="00B40A77">
        <w:rPr>
          <w:color w:val="000000" w:themeColor="text1"/>
        </w:rPr>
        <w:t>;</w:t>
      </w:r>
    </w:p>
    <w:p w14:paraId="6B0586D6" w14:textId="3846C065" w:rsidR="000415B7" w:rsidRPr="00B40A77" w:rsidRDefault="000415B7" w:rsidP="000415B7">
      <w:pPr>
        <w:pStyle w:val="Doubleindentedpara"/>
        <w:rPr>
          <w:color w:val="000000" w:themeColor="text1"/>
        </w:rPr>
      </w:pPr>
      <w:r w:rsidRPr="00B40A77">
        <w:rPr>
          <w:b/>
          <w:i/>
          <w:color w:val="000000" w:themeColor="text1"/>
        </w:rPr>
        <w:t xml:space="preserve">Higher Court </w:t>
      </w:r>
      <w:r w:rsidRPr="00B40A77">
        <w:rPr>
          <w:color w:val="000000" w:themeColor="text1"/>
        </w:rPr>
        <w:t>means the Supreme Court or District Court;</w:t>
      </w:r>
    </w:p>
    <w:p w14:paraId="2FF2A446" w14:textId="0E1C151E" w:rsidR="00B2007D" w:rsidRPr="00B40A77" w:rsidRDefault="006606F7" w:rsidP="00B2007D">
      <w:pPr>
        <w:pStyle w:val="Doubleindentedpara"/>
        <w:rPr>
          <w:b/>
          <w:i/>
          <w:color w:val="000000" w:themeColor="text1"/>
        </w:rPr>
      </w:pPr>
      <w:r w:rsidRPr="00B40A77">
        <w:rPr>
          <w:b/>
          <w:i/>
          <w:color w:val="000000" w:themeColor="text1"/>
        </w:rPr>
        <w:t>homicide-</w:t>
      </w:r>
      <w:r w:rsidR="0072685B" w:rsidRPr="00B40A77">
        <w:rPr>
          <w:b/>
          <w:i/>
          <w:color w:val="000000" w:themeColor="text1"/>
        </w:rPr>
        <w:t>related</w:t>
      </w:r>
      <w:r w:rsidR="006329B9" w:rsidRPr="00B40A77">
        <w:rPr>
          <w:b/>
          <w:i/>
          <w:color w:val="000000" w:themeColor="text1"/>
        </w:rPr>
        <w:t xml:space="preserve"> offence</w:t>
      </w:r>
      <w:r w:rsidR="00B2007D" w:rsidRPr="00B40A77">
        <w:rPr>
          <w:b/>
          <w:i/>
          <w:color w:val="000000" w:themeColor="text1"/>
        </w:rPr>
        <w:t xml:space="preserve"> </w:t>
      </w:r>
      <w:r w:rsidR="00B2007D" w:rsidRPr="00B40A77">
        <w:rPr>
          <w:color w:val="000000" w:themeColor="text1"/>
        </w:rPr>
        <w:t xml:space="preserve">means </w:t>
      </w:r>
      <w:r w:rsidR="0072685B" w:rsidRPr="00B40A77">
        <w:rPr>
          <w:color w:val="000000" w:themeColor="text1"/>
        </w:rPr>
        <w:t>homicide, or an offence consisting of an attempt to commit, or assault with intent to commit homicide</w:t>
      </w:r>
      <w:r w:rsidR="00B2007D" w:rsidRPr="00B40A77">
        <w:rPr>
          <w:color w:val="000000" w:themeColor="text1"/>
        </w:rPr>
        <w:t>;</w:t>
      </w:r>
    </w:p>
    <w:p w14:paraId="4346F5F0" w14:textId="27E0345A" w:rsidR="00467048" w:rsidRPr="00B40A77" w:rsidRDefault="00467048" w:rsidP="00467048">
      <w:pPr>
        <w:pStyle w:val="Doubleindentedpara"/>
        <w:rPr>
          <w:color w:val="000000" w:themeColor="text1"/>
        </w:rPr>
      </w:pPr>
      <w:r w:rsidRPr="00B40A77">
        <w:rPr>
          <w:b/>
          <w:i/>
          <w:color w:val="000000" w:themeColor="text1"/>
        </w:rPr>
        <w:t xml:space="preserve">in chambers </w:t>
      </w:r>
      <w:r w:rsidRPr="00B40A77">
        <w:rPr>
          <w:color w:val="000000" w:themeColor="text1"/>
        </w:rPr>
        <w:t xml:space="preserve">means a </w:t>
      </w:r>
      <w:r w:rsidRPr="00B40A77">
        <w:rPr>
          <w:color w:val="000000" w:themeColor="text1"/>
          <w:u w:val="single"/>
        </w:rPr>
        <w:t>hearing</w:t>
      </w:r>
      <w:r w:rsidR="00DA7649" w:rsidRPr="00B40A77">
        <w:rPr>
          <w:color w:val="000000" w:themeColor="text1"/>
        </w:rPr>
        <w:t xml:space="preserve">, determination </w:t>
      </w:r>
      <w:r w:rsidRPr="00B40A77">
        <w:rPr>
          <w:color w:val="000000" w:themeColor="text1"/>
        </w:rPr>
        <w:t xml:space="preserve">or making of an order by a judicial officer in the judicial officer’s chambers or in a courtroom as if in the judicial officer’s chambers </w:t>
      </w:r>
      <w:r w:rsidR="00553F0F" w:rsidRPr="00B40A77">
        <w:rPr>
          <w:color w:val="000000" w:themeColor="text1"/>
        </w:rPr>
        <w:t>(</w:t>
      </w:r>
      <w:r w:rsidRPr="00B40A77">
        <w:rPr>
          <w:color w:val="000000" w:themeColor="text1"/>
        </w:rPr>
        <w:t>whether in the presence or absence of the parties</w:t>
      </w:r>
      <w:r w:rsidR="00553F0F" w:rsidRPr="00B40A77">
        <w:rPr>
          <w:color w:val="000000" w:themeColor="text1"/>
        </w:rPr>
        <w:t>)</w:t>
      </w:r>
      <w:r w:rsidRPr="00B40A77">
        <w:rPr>
          <w:color w:val="000000" w:themeColor="text1"/>
        </w:rPr>
        <w:t>;</w:t>
      </w:r>
    </w:p>
    <w:p w14:paraId="1455CC43" w14:textId="37AE3281" w:rsidR="00467048" w:rsidRPr="00B40A77" w:rsidRDefault="00467048" w:rsidP="00467048">
      <w:pPr>
        <w:pStyle w:val="Doubleindentedpara"/>
        <w:rPr>
          <w:color w:val="000000" w:themeColor="text1"/>
        </w:rPr>
      </w:pPr>
      <w:r w:rsidRPr="00B40A77">
        <w:rPr>
          <w:b/>
          <w:i/>
          <w:color w:val="000000" w:themeColor="text1"/>
        </w:rPr>
        <w:t xml:space="preserve">in court </w:t>
      </w:r>
      <w:r w:rsidR="00DA7649" w:rsidRPr="00B40A77">
        <w:rPr>
          <w:color w:val="000000" w:themeColor="text1"/>
        </w:rPr>
        <w:t xml:space="preserve">means a </w:t>
      </w:r>
      <w:r w:rsidR="00DA7649" w:rsidRPr="00B40A77">
        <w:rPr>
          <w:color w:val="000000" w:themeColor="text1"/>
          <w:u w:val="single"/>
        </w:rPr>
        <w:t>hearing</w:t>
      </w:r>
      <w:r w:rsidR="00DA7649" w:rsidRPr="00B40A77">
        <w:rPr>
          <w:color w:val="000000" w:themeColor="text1"/>
        </w:rPr>
        <w:t xml:space="preserve">, determination </w:t>
      </w:r>
      <w:r w:rsidRPr="00B40A77">
        <w:rPr>
          <w:color w:val="000000" w:themeColor="text1"/>
        </w:rPr>
        <w:t xml:space="preserve">or making of an order by a judicial officer in a courtroom or via </w:t>
      </w:r>
      <w:hyperlink w:anchor="_2.1—Definitions" w:history="1">
        <w:r w:rsidR="00176DEB" w:rsidRPr="00B40A77">
          <w:rPr>
            <w:rStyle w:val="Hyperlink"/>
            <w:color w:val="000000" w:themeColor="text1"/>
          </w:rPr>
          <w:t>audio visual link</w:t>
        </w:r>
      </w:hyperlink>
      <w:r w:rsidR="00176DEB" w:rsidRPr="00B40A77">
        <w:rPr>
          <w:color w:val="000000" w:themeColor="text1"/>
        </w:rPr>
        <w:t xml:space="preserve"> or </w:t>
      </w:r>
      <w:hyperlink w:anchor="_2.1—Definitions" w:history="1">
        <w:r w:rsidR="000A356B" w:rsidRPr="00B40A77">
          <w:rPr>
            <w:rStyle w:val="Hyperlink"/>
            <w:color w:val="000000" w:themeColor="text1"/>
          </w:rPr>
          <w:t>audio link</w:t>
        </w:r>
      </w:hyperlink>
      <w:r w:rsidR="00B922AF" w:rsidRPr="00B40A77">
        <w:rPr>
          <w:color w:val="000000" w:themeColor="text1"/>
        </w:rPr>
        <w:t>,</w:t>
      </w:r>
      <w:r w:rsidRPr="00B40A77">
        <w:rPr>
          <w:color w:val="000000" w:themeColor="text1"/>
        </w:rPr>
        <w:t xml:space="preserve"> except one in a courtroom as</w:t>
      </w:r>
      <w:r w:rsidR="00B15481" w:rsidRPr="00B40A77">
        <w:rPr>
          <w:color w:val="000000" w:themeColor="text1"/>
        </w:rPr>
        <w:t xml:space="preserve"> if</w:t>
      </w:r>
      <w:r w:rsidRPr="00B40A77">
        <w:rPr>
          <w:color w:val="000000" w:themeColor="text1"/>
        </w:rPr>
        <w:t xml:space="preserve"> in the judicial officer’s chambers;</w:t>
      </w:r>
    </w:p>
    <w:p w14:paraId="3A89D22C" w14:textId="30D44F30" w:rsidR="00467048" w:rsidRPr="00B40A77" w:rsidRDefault="00467048" w:rsidP="00467048">
      <w:pPr>
        <w:pStyle w:val="Doubleindentedpara"/>
        <w:rPr>
          <w:color w:val="000000" w:themeColor="text1"/>
        </w:rPr>
      </w:pPr>
      <w:r w:rsidRPr="00B40A77">
        <w:rPr>
          <w:b/>
          <w:i/>
          <w:color w:val="000000" w:themeColor="text1"/>
        </w:rPr>
        <w:t>interested party</w:t>
      </w:r>
      <w:r w:rsidR="000A6FBC" w:rsidRPr="00B40A77">
        <w:rPr>
          <w:color w:val="000000" w:themeColor="text1"/>
        </w:rPr>
        <w:t>—</w:t>
      </w:r>
      <w:r w:rsidRPr="00B40A77">
        <w:rPr>
          <w:color w:val="000000" w:themeColor="text1"/>
        </w:rPr>
        <w:t xml:space="preserve">see </w:t>
      </w:r>
      <w:hyperlink w:anchor="_21.1—Party_types" w:history="1">
        <w:r w:rsidRPr="00B40A77">
          <w:rPr>
            <w:rStyle w:val="Hyperlink"/>
            <w:color w:val="000000" w:themeColor="text1"/>
          </w:rPr>
          <w:t xml:space="preserve">rule </w:t>
        </w:r>
        <w:r w:rsidR="00327596" w:rsidRPr="00B40A77">
          <w:rPr>
            <w:rStyle w:val="Hyperlink"/>
            <w:color w:val="000000" w:themeColor="text1"/>
          </w:rPr>
          <w:t>23</w:t>
        </w:r>
        <w:r w:rsidRPr="00B40A77">
          <w:rPr>
            <w:rStyle w:val="Hyperlink"/>
            <w:color w:val="000000" w:themeColor="text1"/>
          </w:rPr>
          <w:t>.1</w:t>
        </w:r>
      </w:hyperlink>
      <w:r w:rsidRPr="00B40A77">
        <w:rPr>
          <w:color w:val="000000" w:themeColor="text1"/>
        </w:rPr>
        <w:t>;</w:t>
      </w:r>
    </w:p>
    <w:p w14:paraId="035F40CF" w14:textId="387B13BB" w:rsidR="009454DB" w:rsidRPr="00B40A77" w:rsidRDefault="009454DB" w:rsidP="009454DB">
      <w:pPr>
        <w:pStyle w:val="Doublehangindent"/>
        <w:rPr>
          <w:color w:val="000000" w:themeColor="text1"/>
          <w:lang w:val="en-US"/>
        </w:rPr>
      </w:pPr>
      <w:r w:rsidRPr="00B40A77">
        <w:rPr>
          <w:b/>
          <w:i/>
          <w:color w:val="000000" w:themeColor="text1"/>
        </w:rPr>
        <w:t xml:space="preserve">Intervention </w:t>
      </w:r>
      <w:r w:rsidR="002F307A" w:rsidRPr="00B40A77">
        <w:rPr>
          <w:b/>
          <w:i/>
          <w:color w:val="000000" w:themeColor="text1"/>
        </w:rPr>
        <w:t xml:space="preserve">Orders </w:t>
      </w:r>
      <w:r w:rsidRPr="00B40A77">
        <w:rPr>
          <w:b/>
          <w:i/>
          <w:color w:val="000000" w:themeColor="text1"/>
        </w:rPr>
        <w:t xml:space="preserve">Act </w:t>
      </w:r>
      <w:r w:rsidRPr="00B40A77">
        <w:rPr>
          <w:color w:val="000000" w:themeColor="text1"/>
        </w:rPr>
        <w:t xml:space="preserve">means the </w:t>
      </w:r>
      <w:r w:rsidRPr="00B40A77">
        <w:rPr>
          <w:rFonts w:cs="Times New Roman"/>
          <w:i/>
          <w:iCs/>
          <w:color w:val="000000" w:themeColor="text1"/>
          <w:lang w:val="en-US"/>
        </w:rPr>
        <w:t>Intervention Orders (Prevention of Abuse) Act 2009</w:t>
      </w:r>
      <w:r w:rsidRPr="00B40A77">
        <w:rPr>
          <w:color w:val="000000" w:themeColor="text1"/>
        </w:rPr>
        <w:t>;</w:t>
      </w:r>
    </w:p>
    <w:p w14:paraId="2FE4D000" w14:textId="2F3D4742" w:rsidR="00467048" w:rsidRPr="00B40A77" w:rsidRDefault="00467048" w:rsidP="00467048">
      <w:pPr>
        <w:pStyle w:val="Doubleindentedpara"/>
        <w:rPr>
          <w:color w:val="000000" w:themeColor="text1"/>
        </w:rPr>
      </w:pPr>
      <w:r w:rsidRPr="00B40A77">
        <w:rPr>
          <w:b/>
          <w:i/>
          <w:color w:val="000000" w:themeColor="text1"/>
        </w:rPr>
        <w:t xml:space="preserve">judicial officer </w:t>
      </w:r>
      <w:r w:rsidRPr="00B40A77">
        <w:rPr>
          <w:color w:val="000000" w:themeColor="text1"/>
        </w:rPr>
        <w:t>means</w:t>
      </w:r>
      <w:r w:rsidR="000A6FBC" w:rsidRPr="00B40A77">
        <w:rPr>
          <w:color w:val="000000" w:themeColor="text1"/>
        </w:rPr>
        <w:t>—</w:t>
      </w:r>
      <w:r w:rsidRPr="00B40A77">
        <w:rPr>
          <w:color w:val="000000" w:themeColor="text1"/>
        </w:rPr>
        <w:t xml:space="preserve"> </w:t>
      </w:r>
    </w:p>
    <w:p w14:paraId="5DCE0AFD" w14:textId="77777777" w:rsidR="008B4B98" w:rsidRPr="008B4B98" w:rsidRDefault="008B4B98" w:rsidP="008B4B98">
      <w:pPr>
        <w:pStyle w:val="Doublehangindent"/>
        <w:ind w:left="2007"/>
        <w:rPr>
          <w:lang w:val="en-US"/>
        </w:rPr>
      </w:pPr>
      <w:r w:rsidRPr="008B4B98">
        <w:rPr>
          <w:lang w:val="en-US"/>
        </w:rPr>
        <w:t>(a)</w:t>
      </w:r>
      <w:r w:rsidRPr="008B4B98">
        <w:rPr>
          <w:lang w:val="en-US"/>
        </w:rPr>
        <w:tab/>
        <w:t>in respect of the Supreme Court</w:t>
      </w:r>
      <w:r w:rsidRPr="008B4B98">
        <w:t>—</w:t>
      </w:r>
      <w:r w:rsidRPr="008B4B98">
        <w:rPr>
          <w:lang w:val="en-US"/>
        </w:rPr>
        <w:t>a Justice or Auxiliary Justice of the Court;</w:t>
      </w:r>
    </w:p>
    <w:p w14:paraId="448861B4" w14:textId="5BEEB37C" w:rsidR="008B4B98" w:rsidRPr="008B4B98" w:rsidRDefault="008B4B98" w:rsidP="008B4B98">
      <w:pPr>
        <w:pStyle w:val="Doublehangindent"/>
        <w:ind w:left="2007"/>
        <w:rPr>
          <w:lang w:val="en-US"/>
        </w:rPr>
      </w:pPr>
      <w:r w:rsidRPr="008B4B98">
        <w:rPr>
          <w:lang w:val="en-US"/>
        </w:rPr>
        <w:t>(b)</w:t>
      </w:r>
      <w:r w:rsidRPr="008B4B98">
        <w:rPr>
          <w:lang w:val="en-US"/>
        </w:rPr>
        <w:tab/>
        <w:t>in respect of the District Court</w:t>
      </w:r>
      <w:r w:rsidRPr="008B4B98">
        <w:t>—</w:t>
      </w:r>
      <w:r w:rsidRPr="008B4B98">
        <w:rPr>
          <w:lang w:val="en-US"/>
        </w:rPr>
        <w:t xml:space="preserve">a Judge or Auxiliary Judge of the </w:t>
      </w:r>
      <w:r w:rsidRPr="008B4B98">
        <w:rPr>
          <w:u w:val="single"/>
          <w:lang w:val="en-US"/>
        </w:rPr>
        <w:t>Court</w:t>
      </w:r>
      <w:r w:rsidRPr="008B4B98">
        <w:rPr>
          <w:lang w:val="en-US"/>
        </w:rPr>
        <w:t xml:space="preserve"> or an Associate Judge or Judicial Registrar exercising power of the </w:t>
      </w:r>
      <w:r w:rsidRPr="008B4B98">
        <w:rPr>
          <w:u w:val="single"/>
          <w:lang w:val="en-US"/>
        </w:rPr>
        <w:t>Court</w:t>
      </w:r>
      <w:r w:rsidRPr="008B4B98">
        <w:rPr>
          <w:lang w:val="en-US"/>
        </w:rPr>
        <w:t xml:space="preserve"> conferred by </w:t>
      </w:r>
      <w:hyperlink w:anchor="_11.2—Original_jurisdiction—District" w:history="1">
        <w:r w:rsidRPr="008B4B98">
          <w:rPr>
            <w:rStyle w:val="Hyperlink"/>
            <w:color w:val="auto"/>
            <w:lang w:val="en-US"/>
          </w:rPr>
          <w:t>rule 11.2</w:t>
        </w:r>
      </w:hyperlink>
      <w:r w:rsidRPr="008B4B98">
        <w:rPr>
          <w:lang w:val="en-US"/>
        </w:rPr>
        <w:t>;</w:t>
      </w:r>
    </w:p>
    <w:p w14:paraId="3F190F68" w14:textId="6F688E16" w:rsidR="008B4B98" w:rsidRPr="008B4B98" w:rsidRDefault="008B4B98" w:rsidP="008B4B98">
      <w:pPr>
        <w:pStyle w:val="Doublehangindent"/>
        <w:ind w:left="2007"/>
        <w:rPr>
          <w:lang w:val="en-US"/>
        </w:rPr>
      </w:pPr>
      <w:r w:rsidRPr="008B4B98">
        <w:rPr>
          <w:lang w:val="en-US"/>
        </w:rPr>
        <w:t>(c)</w:t>
      </w:r>
      <w:r w:rsidRPr="008B4B98">
        <w:rPr>
          <w:lang w:val="en-US"/>
        </w:rPr>
        <w:tab/>
        <w:t xml:space="preserve">in respect of the </w:t>
      </w:r>
      <w:r w:rsidRPr="008B4B98">
        <w:t>Environment, Resources and Development Court</w:t>
      </w:r>
      <w:r w:rsidRPr="008B4B98">
        <w:rPr>
          <w:rFonts w:cs="Times New Roman"/>
        </w:rPr>
        <w:t>—</w:t>
      </w:r>
      <w:r w:rsidRPr="008B4B98">
        <w:rPr>
          <w:lang w:val="en-US"/>
        </w:rPr>
        <w:t xml:space="preserve"> a Judge of the </w:t>
      </w:r>
      <w:r w:rsidRPr="008B4B98">
        <w:rPr>
          <w:u w:val="single"/>
          <w:lang w:val="en-US"/>
        </w:rPr>
        <w:t>Court</w:t>
      </w:r>
      <w:r w:rsidRPr="008B4B98">
        <w:rPr>
          <w:lang w:val="en-US"/>
        </w:rPr>
        <w:t xml:space="preserve"> or an Associate Justice or Judicial Registrar exercising power of the </w:t>
      </w:r>
      <w:r w:rsidRPr="008B4B98">
        <w:rPr>
          <w:u w:val="single"/>
          <w:lang w:val="en-US"/>
        </w:rPr>
        <w:t>Court</w:t>
      </w:r>
      <w:r w:rsidRPr="008B4B98">
        <w:rPr>
          <w:lang w:val="en-US"/>
        </w:rPr>
        <w:t xml:space="preserve"> conferred by </w:t>
      </w:r>
      <w:hyperlink w:anchor="_11.3—Original_jurisdiction—Environm" w:history="1">
        <w:r w:rsidRPr="008B4B98">
          <w:rPr>
            <w:rStyle w:val="Hyperlink"/>
            <w:color w:val="auto"/>
            <w:lang w:val="en-US"/>
          </w:rPr>
          <w:t>rule 11.3</w:t>
        </w:r>
      </w:hyperlink>
      <w:r w:rsidRPr="008B4B98">
        <w:rPr>
          <w:lang w:val="en-US"/>
        </w:rPr>
        <w:t>;</w:t>
      </w:r>
    </w:p>
    <w:p w14:paraId="3F70DA87" w14:textId="191FCD5E" w:rsidR="008B4B98" w:rsidRPr="008B4B98" w:rsidRDefault="008B4B98" w:rsidP="008B4B98">
      <w:pPr>
        <w:pStyle w:val="Doublehangindent"/>
        <w:ind w:left="2007"/>
        <w:rPr>
          <w:lang w:val="en-US"/>
        </w:rPr>
      </w:pPr>
      <w:r w:rsidRPr="008B4B98">
        <w:rPr>
          <w:lang w:val="en-US"/>
        </w:rPr>
        <w:t>(d)</w:t>
      </w:r>
      <w:r w:rsidRPr="008B4B98">
        <w:rPr>
          <w:lang w:val="en-US"/>
        </w:rPr>
        <w:tab/>
        <w:t>in respect of the Youth Court</w:t>
      </w:r>
      <w:r w:rsidRPr="008B4B98">
        <w:rPr>
          <w:rFonts w:cs="Times New Roman"/>
        </w:rPr>
        <w:t>—</w:t>
      </w:r>
      <w:r w:rsidRPr="008B4B98">
        <w:rPr>
          <w:lang w:val="en-US"/>
        </w:rPr>
        <w:t xml:space="preserve">the Judge or a Magistrate of the </w:t>
      </w:r>
      <w:r w:rsidRPr="008B4B98">
        <w:rPr>
          <w:u w:val="single"/>
          <w:lang w:val="en-US"/>
        </w:rPr>
        <w:t>Court</w:t>
      </w:r>
      <w:r w:rsidRPr="008B4B98">
        <w:rPr>
          <w:lang w:val="en-US"/>
        </w:rPr>
        <w:t xml:space="preserve"> or a Special Justice exercising power of the </w:t>
      </w:r>
      <w:r w:rsidRPr="008B4B98">
        <w:rPr>
          <w:u w:val="single"/>
          <w:lang w:val="en-US"/>
        </w:rPr>
        <w:t>Court</w:t>
      </w:r>
      <w:r w:rsidRPr="008B4B98">
        <w:rPr>
          <w:lang w:val="en-US"/>
        </w:rPr>
        <w:t xml:space="preserve"> conferred by </w:t>
      </w:r>
      <w:hyperlink w:anchor="_11.4—Original_jurisdiction—Youth_Co" w:history="1">
        <w:r w:rsidRPr="008B4B98">
          <w:rPr>
            <w:rStyle w:val="Hyperlink"/>
            <w:color w:val="auto"/>
            <w:lang w:val="en-US"/>
          </w:rPr>
          <w:t>rule 11.4</w:t>
        </w:r>
      </w:hyperlink>
      <w:r w:rsidRPr="008B4B98">
        <w:rPr>
          <w:lang w:val="en-US"/>
        </w:rPr>
        <w:t>; and</w:t>
      </w:r>
    </w:p>
    <w:p w14:paraId="677C4D66" w14:textId="74164DDC" w:rsidR="008B4B98" w:rsidRPr="008B4B98" w:rsidRDefault="008B4B98" w:rsidP="008B4B98">
      <w:pPr>
        <w:pStyle w:val="Doublehangindent"/>
        <w:ind w:left="2007"/>
        <w:rPr>
          <w:lang w:val="en-US"/>
        </w:rPr>
      </w:pPr>
      <w:r w:rsidRPr="008B4B98">
        <w:rPr>
          <w:lang w:val="en-US"/>
        </w:rPr>
        <w:t>(e)</w:t>
      </w:r>
      <w:r w:rsidRPr="008B4B98">
        <w:rPr>
          <w:lang w:val="en-US"/>
        </w:rPr>
        <w:tab/>
        <w:t>in respect of the Magistrates Court</w:t>
      </w:r>
      <w:r w:rsidRPr="008B4B98">
        <w:t>—</w:t>
      </w:r>
      <w:r w:rsidRPr="008B4B98">
        <w:rPr>
          <w:lang w:val="en-US"/>
        </w:rPr>
        <w:t xml:space="preserve">a Magistrate of the </w:t>
      </w:r>
      <w:r w:rsidRPr="008B4B98">
        <w:rPr>
          <w:u w:val="single"/>
          <w:lang w:val="en-US"/>
        </w:rPr>
        <w:t>Court</w:t>
      </w:r>
      <w:r w:rsidRPr="008B4B98">
        <w:rPr>
          <w:lang w:val="en-US"/>
        </w:rPr>
        <w:t xml:space="preserve"> or a Judicial Registrar, Special Justice or two Justices of the Peace exercising power of the </w:t>
      </w:r>
      <w:r w:rsidRPr="008B4B98">
        <w:rPr>
          <w:u w:val="single"/>
          <w:lang w:val="en-US"/>
        </w:rPr>
        <w:t>Court</w:t>
      </w:r>
      <w:r w:rsidRPr="008B4B98">
        <w:rPr>
          <w:lang w:val="en-US"/>
        </w:rPr>
        <w:t xml:space="preserve"> conferred by </w:t>
      </w:r>
      <w:hyperlink w:anchor="_11.5—Original_jurisdiction—Magistra" w:history="1">
        <w:r w:rsidRPr="008B4B98">
          <w:rPr>
            <w:rStyle w:val="Hyperlink"/>
            <w:color w:val="auto"/>
            <w:lang w:val="en-US"/>
          </w:rPr>
          <w:t>rule 11.5</w:t>
        </w:r>
      </w:hyperlink>
      <w:r w:rsidRPr="008B4B98">
        <w:rPr>
          <w:lang w:val="en-US"/>
        </w:rPr>
        <w:t>;</w:t>
      </w:r>
    </w:p>
    <w:p w14:paraId="0ECB9E0F" w14:textId="0387E081" w:rsidR="00B80BE6" w:rsidRPr="00B40A77" w:rsidRDefault="00B80BE6" w:rsidP="00467048">
      <w:pPr>
        <w:pStyle w:val="Doubleindentedpara"/>
        <w:rPr>
          <w:b/>
          <w:color w:val="000000" w:themeColor="text1"/>
        </w:rPr>
      </w:pPr>
      <w:bookmarkStart w:id="24" w:name="_Hlk33437951"/>
      <w:r w:rsidRPr="00B40A77">
        <w:rPr>
          <w:b/>
          <w:i/>
          <w:color w:val="000000" w:themeColor="text1"/>
        </w:rPr>
        <w:t xml:space="preserve">Juries Act </w:t>
      </w:r>
      <w:r w:rsidRPr="00B40A77">
        <w:rPr>
          <w:color w:val="000000" w:themeColor="text1"/>
        </w:rPr>
        <w:t xml:space="preserve">means the </w:t>
      </w:r>
      <w:r w:rsidRPr="00B40A77">
        <w:rPr>
          <w:i/>
          <w:color w:val="000000" w:themeColor="text1"/>
        </w:rPr>
        <w:t>Juries Act 1927</w:t>
      </w:r>
      <w:r w:rsidRPr="00B40A77">
        <w:rPr>
          <w:color w:val="000000" w:themeColor="text1"/>
        </w:rPr>
        <w:t>;</w:t>
      </w:r>
    </w:p>
    <w:p w14:paraId="2AB7A465" w14:textId="08C87F63" w:rsidR="00467048" w:rsidRPr="00B40A77" w:rsidRDefault="00467048" w:rsidP="00467048">
      <w:pPr>
        <w:pStyle w:val="Doubleindentedpara"/>
        <w:rPr>
          <w:color w:val="000000" w:themeColor="text1"/>
        </w:rPr>
      </w:pPr>
      <w:r w:rsidRPr="00B40A77">
        <w:rPr>
          <w:b/>
          <w:i/>
          <w:color w:val="000000" w:themeColor="text1"/>
        </w:rPr>
        <w:t xml:space="preserve">law firm </w:t>
      </w:r>
      <w:r w:rsidRPr="00B40A77">
        <w:rPr>
          <w:color w:val="000000" w:themeColor="text1"/>
        </w:rPr>
        <w:t xml:space="preserve">means </w:t>
      </w:r>
      <w:r w:rsidR="000D602A" w:rsidRPr="00B40A77">
        <w:rPr>
          <w:color w:val="000000" w:themeColor="text1"/>
        </w:rPr>
        <w:t xml:space="preserve">a law practice within the meaning of the </w:t>
      </w:r>
      <w:r w:rsidR="000D602A" w:rsidRPr="00B40A77">
        <w:rPr>
          <w:i/>
          <w:color w:val="000000" w:themeColor="text1"/>
        </w:rPr>
        <w:t xml:space="preserve">Legal Practitioners Act 1981 </w:t>
      </w:r>
      <w:r w:rsidR="000D602A" w:rsidRPr="00B40A77">
        <w:rPr>
          <w:color w:val="000000" w:themeColor="text1"/>
        </w:rPr>
        <w:t>and includes—</w:t>
      </w:r>
    </w:p>
    <w:p w14:paraId="622A897C" w14:textId="77777777" w:rsidR="00467048" w:rsidRPr="00B40A77" w:rsidRDefault="00467048" w:rsidP="000D41FB">
      <w:pPr>
        <w:pStyle w:val="Doublehangindent"/>
        <w:ind w:left="2007"/>
        <w:rPr>
          <w:color w:val="000000" w:themeColor="text1"/>
        </w:rPr>
      </w:pPr>
      <w:r w:rsidRPr="00B40A77">
        <w:rPr>
          <w:color w:val="000000" w:themeColor="text1"/>
        </w:rPr>
        <w:t>(</w:t>
      </w:r>
      <w:r w:rsidR="000D602A" w:rsidRPr="00B40A77">
        <w:rPr>
          <w:color w:val="000000" w:themeColor="text1"/>
        </w:rPr>
        <w:t>a</w:t>
      </w:r>
      <w:r w:rsidRPr="00B40A77">
        <w:rPr>
          <w:color w:val="000000" w:themeColor="text1"/>
        </w:rPr>
        <w:t>)</w:t>
      </w:r>
      <w:r w:rsidRPr="00B40A77">
        <w:rPr>
          <w:color w:val="000000" w:themeColor="text1"/>
        </w:rPr>
        <w:tab/>
        <w:t>the Crown Solicitor, Australian Government Solicitor, Office of the Director of Public Prosecutions or any other government body practicing as solicitors;</w:t>
      </w:r>
    </w:p>
    <w:p w14:paraId="14E94F3D" w14:textId="77777777" w:rsidR="00467048" w:rsidRPr="00B40A77" w:rsidRDefault="00467048" w:rsidP="000D41FB">
      <w:pPr>
        <w:pStyle w:val="Doublehangindent"/>
        <w:ind w:left="2007"/>
        <w:rPr>
          <w:color w:val="000000" w:themeColor="text1"/>
        </w:rPr>
      </w:pPr>
      <w:r w:rsidRPr="00B40A77">
        <w:rPr>
          <w:color w:val="000000" w:themeColor="text1"/>
        </w:rPr>
        <w:lastRenderedPageBreak/>
        <w:t>(</w:t>
      </w:r>
      <w:r w:rsidR="000D602A" w:rsidRPr="00B40A77">
        <w:rPr>
          <w:color w:val="000000" w:themeColor="text1"/>
        </w:rPr>
        <w:t>b</w:t>
      </w:r>
      <w:r w:rsidRPr="00B40A77">
        <w:rPr>
          <w:color w:val="000000" w:themeColor="text1"/>
        </w:rPr>
        <w:t>)</w:t>
      </w:r>
      <w:r w:rsidRPr="00B40A77">
        <w:rPr>
          <w:color w:val="000000" w:themeColor="text1"/>
        </w:rPr>
        <w:tab/>
        <w:t>the Legal Services Commission, Aboriginal Legal Rights Movement, a community legal centre or any other body providing legal aid services practising as solicitors;</w:t>
      </w:r>
      <w:r w:rsidR="000D602A" w:rsidRPr="00B40A77">
        <w:rPr>
          <w:color w:val="000000" w:themeColor="text1"/>
        </w:rPr>
        <w:t xml:space="preserve"> and</w:t>
      </w:r>
    </w:p>
    <w:p w14:paraId="55918DEF" w14:textId="77777777" w:rsidR="00467048" w:rsidRPr="00B40A77" w:rsidRDefault="00467048" w:rsidP="00641849">
      <w:pPr>
        <w:pStyle w:val="Doublehangindent"/>
        <w:keepNext/>
        <w:ind w:left="2007"/>
        <w:rPr>
          <w:color w:val="000000" w:themeColor="text1"/>
        </w:rPr>
      </w:pPr>
      <w:r w:rsidRPr="00B40A77">
        <w:rPr>
          <w:color w:val="000000" w:themeColor="text1"/>
        </w:rPr>
        <w:t>(</w:t>
      </w:r>
      <w:r w:rsidR="000D602A" w:rsidRPr="00B40A77">
        <w:rPr>
          <w:color w:val="000000" w:themeColor="text1"/>
        </w:rPr>
        <w:t>c</w:t>
      </w:r>
      <w:r w:rsidRPr="00B40A77">
        <w:rPr>
          <w:color w:val="000000" w:themeColor="text1"/>
        </w:rPr>
        <w:t>)</w:t>
      </w:r>
      <w:r w:rsidRPr="00B40A77">
        <w:rPr>
          <w:color w:val="000000" w:themeColor="text1"/>
        </w:rPr>
        <w:tab/>
        <w:t>an in</w:t>
      </w:r>
      <w:r w:rsidR="000D602A" w:rsidRPr="00B40A77">
        <w:rPr>
          <w:color w:val="000000" w:themeColor="text1"/>
        </w:rPr>
        <w:t>-</w:t>
      </w:r>
      <w:r w:rsidRPr="00B40A77">
        <w:rPr>
          <w:color w:val="000000" w:themeColor="text1"/>
        </w:rPr>
        <w:t>house government, corporate or other solicitor</w:t>
      </w:r>
      <w:r w:rsidR="000D602A" w:rsidRPr="00B40A77">
        <w:rPr>
          <w:color w:val="000000" w:themeColor="text1"/>
        </w:rPr>
        <w:t>;</w:t>
      </w:r>
    </w:p>
    <w:p w14:paraId="4BFEDB32" w14:textId="77777777" w:rsidR="0063756F" w:rsidRPr="00B40A77" w:rsidRDefault="0063756F" w:rsidP="00F815AA">
      <w:pPr>
        <w:pStyle w:val="NoteHeader"/>
        <w:keepNext/>
        <w:ind w:left="2007"/>
        <w:rPr>
          <w:color w:val="000000" w:themeColor="text1"/>
        </w:rPr>
      </w:pPr>
      <w:r w:rsidRPr="00B40A77">
        <w:rPr>
          <w:color w:val="000000" w:themeColor="text1"/>
        </w:rPr>
        <w:t>Note—</w:t>
      </w:r>
    </w:p>
    <w:p w14:paraId="0B2BF10C" w14:textId="44546D42" w:rsidR="0063756F" w:rsidRPr="00B40A77" w:rsidRDefault="0063756F" w:rsidP="000D41FB">
      <w:pPr>
        <w:pStyle w:val="NoteText"/>
        <w:ind w:left="2291"/>
        <w:rPr>
          <w:color w:val="000000" w:themeColor="text1"/>
        </w:rPr>
      </w:pPr>
      <w:r w:rsidRPr="00B40A77">
        <w:rPr>
          <w:color w:val="000000" w:themeColor="text1"/>
        </w:rPr>
        <w:t xml:space="preserve">It is the </w:t>
      </w:r>
      <w:r w:rsidR="00640315" w:rsidRPr="00B40A77">
        <w:rPr>
          <w:color w:val="000000" w:themeColor="text1"/>
        </w:rPr>
        <w:t xml:space="preserve">responsibility of a solicitor to ensure that the solicitor is lawfully entitled to so practice under the </w:t>
      </w:r>
      <w:r w:rsidR="00640315" w:rsidRPr="00B40A77">
        <w:rPr>
          <w:i/>
          <w:color w:val="000000" w:themeColor="text1"/>
        </w:rPr>
        <w:t>Legal Practitioners Act 1981</w:t>
      </w:r>
      <w:r w:rsidRPr="00B40A77">
        <w:rPr>
          <w:color w:val="000000" w:themeColor="text1"/>
        </w:rPr>
        <w:t>.</w:t>
      </w:r>
      <w:r w:rsidR="00640315" w:rsidRPr="00B40A77">
        <w:rPr>
          <w:color w:val="000000" w:themeColor="text1"/>
        </w:rPr>
        <w:t xml:space="preserve"> For example, section 51 of that Act identifies which legal practitioners </w:t>
      </w:r>
      <w:r w:rsidR="003B6388" w:rsidRPr="00B40A77">
        <w:rPr>
          <w:color w:val="000000" w:themeColor="text1"/>
        </w:rPr>
        <w:t>are entitled to practise before a State court on behalf, amongst others, of the State Government, State Government bodies, the Legal Services Commission</w:t>
      </w:r>
      <w:r w:rsidR="00E127E2" w:rsidRPr="00B40A77">
        <w:rPr>
          <w:color w:val="000000" w:themeColor="text1"/>
        </w:rPr>
        <w:t xml:space="preserve">, </w:t>
      </w:r>
      <w:r w:rsidR="003B6388" w:rsidRPr="00B40A77">
        <w:rPr>
          <w:color w:val="000000" w:themeColor="text1"/>
        </w:rPr>
        <w:t>community legal centres</w:t>
      </w:r>
      <w:r w:rsidR="00E127E2" w:rsidRPr="00B40A77">
        <w:rPr>
          <w:color w:val="000000" w:themeColor="text1"/>
        </w:rPr>
        <w:t xml:space="preserve"> or the Law Society</w:t>
      </w:r>
      <w:r w:rsidR="003B6388" w:rsidRPr="00B40A77">
        <w:rPr>
          <w:color w:val="000000" w:themeColor="text1"/>
        </w:rPr>
        <w:t>.</w:t>
      </w:r>
    </w:p>
    <w:p w14:paraId="67243332" w14:textId="6DEEDC7A" w:rsidR="00376FC8" w:rsidRPr="00B40A77" w:rsidRDefault="00376FC8" w:rsidP="00467048">
      <w:pPr>
        <w:pStyle w:val="Doubleindentedpara"/>
        <w:rPr>
          <w:color w:val="000000" w:themeColor="text1"/>
        </w:rPr>
      </w:pPr>
      <w:r w:rsidRPr="00B40A77">
        <w:rPr>
          <w:b/>
          <w:i/>
          <w:color w:val="000000" w:themeColor="text1"/>
        </w:rPr>
        <w:t xml:space="preserve">law firm or office </w:t>
      </w:r>
      <w:r w:rsidRPr="00B40A77">
        <w:rPr>
          <w:color w:val="000000" w:themeColor="text1"/>
        </w:rPr>
        <w:t xml:space="preserve">means a law firm or the </w:t>
      </w:r>
      <w:r w:rsidR="00E85555" w:rsidRPr="00B40A77">
        <w:rPr>
          <w:color w:val="000000" w:themeColor="text1"/>
          <w:u w:val="single"/>
        </w:rPr>
        <w:t>SAPOL Prosecution Branch</w:t>
      </w:r>
      <w:r w:rsidRPr="00B40A77">
        <w:rPr>
          <w:color w:val="000000" w:themeColor="text1"/>
        </w:rPr>
        <w:t>;</w:t>
      </w:r>
    </w:p>
    <w:p w14:paraId="2FCB11B5" w14:textId="68FB5380" w:rsidR="00467048" w:rsidRPr="00B40A77" w:rsidRDefault="00467048" w:rsidP="00467048">
      <w:pPr>
        <w:pStyle w:val="Doubleindentedpara"/>
        <w:rPr>
          <w:color w:val="000000" w:themeColor="text1"/>
        </w:rPr>
      </w:pPr>
      <w:r w:rsidRPr="00B40A77">
        <w:rPr>
          <w:b/>
          <w:i/>
          <w:color w:val="000000" w:themeColor="text1"/>
        </w:rPr>
        <w:t xml:space="preserve">lawyer </w:t>
      </w:r>
      <w:r w:rsidRPr="00B40A77">
        <w:rPr>
          <w:color w:val="000000" w:themeColor="text1"/>
        </w:rPr>
        <w:t xml:space="preserve">means a law firm, </w:t>
      </w:r>
      <w:r w:rsidR="002063A5" w:rsidRPr="00B40A77">
        <w:rPr>
          <w:color w:val="000000" w:themeColor="text1"/>
        </w:rPr>
        <w:t xml:space="preserve">a </w:t>
      </w:r>
      <w:r w:rsidRPr="00B40A77">
        <w:rPr>
          <w:color w:val="000000" w:themeColor="text1"/>
        </w:rPr>
        <w:t xml:space="preserve">solicitor working in a law firm or </w:t>
      </w:r>
      <w:r w:rsidR="002063A5" w:rsidRPr="00B40A77">
        <w:rPr>
          <w:color w:val="000000" w:themeColor="text1"/>
        </w:rPr>
        <w:t xml:space="preserve">a </w:t>
      </w:r>
      <w:r w:rsidRPr="00B40A77">
        <w:rPr>
          <w:color w:val="000000" w:themeColor="text1"/>
        </w:rPr>
        <w:t>barrister;</w:t>
      </w:r>
    </w:p>
    <w:p w14:paraId="7998B413" w14:textId="00402ED2" w:rsidR="00813E89" w:rsidRPr="00B40A77" w:rsidRDefault="00F679B3" w:rsidP="00467048">
      <w:pPr>
        <w:pStyle w:val="Doubleindentedpara"/>
        <w:rPr>
          <w:color w:val="000000" w:themeColor="text1"/>
        </w:rPr>
      </w:pPr>
      <w:r w:rsidRPr="00B40A77">
        <w:rPr>
          <w:b/>
          <w:i/>
          <w:color w:val="000000" w:themeColor="text1"/>
        </w:rPr>
        <w:t>Lower Court</w:t>
      </w:r>
      <w:r w:rsidR="00813E89" w:rsidRPr="00B40A77">
        <w:rPr>
          <w:b/>
          <w:i/>
          <w:color w:val="000000" w:themeColor="text1"/>
        </w:rPr>
        <w:t xml:space="preserve"> </w:t>
      </w:r>
      <w:r w:rsidR="0085673F" w:rsidRPr="00B40A77">
        <w:rPr>
          <w:color w:val="000000" w:themeColor="text1"/>
        </w:rPr>
        <w:t xml:space="preserve">means the </w:t>
      </w:r>
      <w:r w:rsidR="00B2007D" w:rsidRPr="00B40A77">
        <w:rPr>
          <w:color w:val="000000" w:themeColor="text1"/>
        </w:rPr>
        <w:t>Environment</w:t>
      </w:r>
      <w:r w:rsidR="009B5892" w:rsidRPr="00B40A77">
        <w:rPr>
          <w:color w:val="000000" w:themeColor="text1"/>
        </w:rPr>
        <w:t>,</w:t>
      </w:r>
      <w:r w:rsidR="00B2007D" w:rsidRPr="00B40A77">
        <w:rPr>
          <w:color w:val="000000" w:themeColor="text1"/>
        </w:rPr>
        <w:t xml:space="preserve"> Resources and Development Court</w:t>
      </w:r>
      <w:r w:rsidR="00ED4F34" w:rsidRPr="00B40A77">
        <w:rPr>
          <w:color w:val="000000" w:themeColor="text1"/>
        </w:rPr>
        <w:t>, Youth Court or Magistrates Court</w:t>
      </w:r>
      <w:r w:rsidR="00B2007D" w:rsidRPr="00B40A77">
        <w:rPr>
          <w:color w:val="000000" w:themeColor="text1"/>
        </w:rPr>
        <w:t>;</w:t>
      </w:r>
    </w:p>
    <w:p w14:paraId="4ABDEB1E" w14:textId="5D210819" w:rsidR="00850435" w:rsidRPr="00B40A77" w:rsidRDefault="00850435" w:rsidP="00467048">
      <w:pPr>
        <w:pStyle w:val="Doubleindentedpara"/>
        <w:rPr>
          <w:rStyle w:val="Hyperlink"/>
          <w:b/>
          <w:i/>
          <w:color w:val="000000" w:themeColor="text1"/>
        </w:rPr>
      </w:pPr>
      <w:hyperlink w:anchor="_191.1—Definitions" w:history="1">
        <w:r w:rsidRPr="00B40A77">
          <w:rPr>
            <w:rStyle w:val="Hyperlink"/>
            <w:b/>
            <w:i/>
            <w:color w:val="000000" w:themeColor="text1"/>
            <w:u w:val="none"/>
          </w:rPr>
          <w:t>Lower Court costs scale</w:t>
        </w:r>
      </w:hyperlink>
      <w:r w:rsidRPr="00B40A77">
        <w:rPr>
          <w:color w:val="000000" w:themeColor="text1"/>
        </w:rPr>
        <w:t xml:space="preserve">—see </w:t>
      </w:r>
      <w:hyperlink w:anchor="_158.3—Lower_Court_costs" w:history="1">
        <w:r w:rsidRPr="00B40A77">
          <w:rPr>
            <w:rStyle w:val="Hyperlink"/>
            <w:color w:val="000000" w:themeColor="text1"/>
          </w:rPr>
          <w:t>rule 15</w:t>
        </w:r>
        <w:r w:rsidR="00F6005C" w:rsidRPr="00B40A77">
          <w:rPr>
            <w:rStyle w:val="Hyperlink"/>
            <w:color w:val="000000" w:themeColor="text1"/>
          </w:rPr>
          <w:t>9</w:t>
        </w:r>
        <w:r w:rsidRPr="00B40A77">
          <w:rPr>
            <w:rStyle w:val="Hyperlink"/>
            <w:color w:val="000000" w:themeColor="text1"/>
          </w:rPr>
          <w:t>.3</w:t>
        </w:r>
      </w:hyperlink>
      <w:r w:rsidRPr="00B40A77">
        <w:rPr>
          <w:color w:val="000000" w:themeColor="text1"/>
        </w:rPr>
        <w:t>;</w:t>
      </w:r>
      <w:r w:rsidRPr="00B40A77">
        <w:rPr>
          <w:rStyle w:val="Hyperlink"/>
          <w:b/>
          <w:i/>
          <w:color w:val="000000" w:themeColor="text1"/>
        </w:rPr>
        <w:t xml:space="preserve"> </w:t>
      </w:r>
    </w:p>
    <w:p w14:paraId="14ED9EE2" w14:textId="58D221FC" w:rsidR="00AD3332" w:rsidRPr="00B40A77" w:rsidRDefault="00AD3332" w:rsidP="00467048">
      <w:pPr>
        <w:pStyle w:val="Doubleindentedpara"/>
        <w:rPr>
          <w:color w:val="000000" w:themeColor="text1"/>
        </w:rPr>
      </w:pPr>
      <w:r w:rsidRPr="00B40A77">
        <w:rPr>
          <w:b/>
          <w:i/>
          <w:color w:val="000000" w:themeColor="text1"/>
        </w:rPr>
        <w:t>major indictable offence</w:t>
      </w:r>
      <w:r w:rsidRPr="00B40A77">
        <w:rPr>
          <w:color w:val="000000" w:themeColor="text1"/>
        </w:rPr>
        <w:t xml:space="preserve"> means a major indictable offence within the meaning of section</w:t>
      </w:r>
      <w:r w:rsidR="00175487" w:rsidRPr="00B40A77">
        <w:rPr>
          <w:color w:val="000000" w:themeColor="text1"/>
        </w:rPr>
        <w:t> </w:t>
      </w:r>
      <w:r w:rsidRPr="00B40A77">
        <w:rPr>
          <w:color w:val="000000" w:themeColor="text1"/>
        </w:rPr>
        <w:t xml:space="preserve">5(3)(b) of the </w:t>
      </w:r>
      <w:r w:rsidRPr="00B40A77">
        <w:rPr>
          <w:color w:val="000000" w:themeColor="text1"/>
          <w:u w:val="single"/>
        </w:rPr>
        <w:t>Procedure Act</w:t>
      </w:r>
      <w:r w:rsidRPr="00B40A77">
        <w:rPr>
          <w:color w:val="000000" w:themeColor="text1"/>
        </w:rPr>
        <w:t>;</w:t>
      </w:r>
    </w:p>
    <w:bookmarkEnd w:id="24"/>
    <w:p w14:paraId="4507CC06" w14:textId="3F945CD8" w:rsidR="00470293" w:rsidRPr="00B40A77" w:rsidRDefault="00470293" w:rsidP="00D8777A">
      <w:pPr>
        <w:pStyle w:val="Doubleindentedpara"/>
        <w:rPr>
          <w:b/>
          <w:i/>
          <w:color w:val="000000" w:themeColor="text1"/>
        </w:rPr>
      </w:pPr>
      <w:r w:rsidRPr="00B40A77">
        <w:rPr>
          <w:b/>
          <w:i/>
          <w:color w:val="000000" w:themeColor="text1"/>
        </w:rPr>
        <w:t>mental competence</w:t>
      </w:r>
      <w:r w:rsidRPr="00B40A77">
        <w:rPr>
          <w:color w:val="000000" w:themeColor="text1"/>
        </w:rPr>
        <w:t xml:space="preserve">—see definition of </w:t>
      </w:r>
      <w:r w:rsidRPr="00B40A77">
        <w:rPr>
          <w:color w:val="000000" w:themeColor="text1"/>
          <w:u w:val="single"/>
        </w:rPr>
        <w:t xml:space="preserve">mental </w:t>
      </w:r>
      <w:r w:rsidR="00EE55FD" w:rsidRPr="00B40A77">
        <w:rPr>
          <w:color w:val="000000" w:themeColor="text1"/>
          <w:u w:val="single"/>
        </w:rPr>
        <w:t>in</w:t>
      </w:r>
      <w:r w:rsidRPr="00B40A77">
        <w:rPr>
          <w:color w:val="000000" w:themeColor="text1"/>
          <w:u w:val="single"/>
        </w:rPr>
        <w:t>competence</w:t>
      </w:r>
      <w:r w:rsidRPr="00B40A77">
        <w:rPr>
          <w:color w:val="000000" w:themeColor="text1"/>
        </w:rPr>
        <w:t>;</w:t>
      </w:r>
    </w:p>
    <w:p w14:paraId="3DE9072F" w14:textId="75792EDD" w:rsidR="00D8777A" w:rsidRPr="00B40A77" w:rsidRDefault="00D8777A" w:rsidP="00D8777A">
      <w:pPr>
        <w:pStyle w:val="Doubleindentedpara"/>
        <w:rPr>
          <w:color w:val="000000" w:themeColor="text1"/>
        </w:rPr>
      </w:pPr>
      <w:r w:rsidRPr="00B40A77">
        <w:rPr>
          <w:b/>
          <w:i/>
          <w:color w:val="000000" w:themeColor="text1"/>
        </w:rPr>
        <w:t xml:space="preserve">mental </w:t>
      </w:r>
      <w:r w:rsidR="00960509" w:rsidRPr="00B40A77">
        <w:rPr>
          <w:b/>
          <w:i/>
          <w:color w:val="000000" w:themeColor="text1"/>
        </w:rPr>
        <w:t>in</w:t>
      </w:r>
      <w:r w:rsidRPr="00B40A77">
        <w:rPr>
          <w:b/>
          <w:i/>
          <w:color w:val="000000" w:themeColor="text1"/>
        </w:rPr>
        <w:t>competence</w:t>
      </w:r>
      <w:r w:rsidRPr="00B40A77">
        <w:rPr>
          <w:color w:val="000000" w:themeColor="text1"/>
        </w:rPr>
        <w:t xml:space="preserve"> means—</w:t>
      </w:r>
    </w:p>
    <w:p w14:paraId="2FC573BC" w14:textId="6CD94828" w:rsidR="00D8777A" w:rsidRPr="00B40A77" w:rsidRDefault="00D8777A" w:rsidP="000D41FB">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in the context of an Information alleging State offences</w:t>
      </w:r>
      <w:r w:rsidRPr="00B40A77">
        <w:rPr>
          <w:rFonts w:cs="Times New Roman"/>
          <w:color w:val="000000" w:themeColor="text1"/>
        </w:rPr>
        <w:t>—</w:t>
      </w:r>
      <w:r w:rsidR="00960509" w:rsidRPr="00B40A77">
        <w:rPr>
          <w:color w:val="000000" w:themeColor="text1"/>
        </w:rPr>
        <w:t xml:space="preserve">a defendant or youth </w:t>
      </w:r>
      <w:r w:rsidR="00F0544B" w:rsidRPr="00B40A77">
        <w:rPr>
          <w:color w:val="000000" w:themeColor="text1"/>
          <w:lang w:val="en-US"/>
        </w:rPr>
        <w:t xml:space="preserve">was </w:t>
      </w:r>
      <w:r w:rsidRPr="00B40A77">
        <w:rPr>
          <w:color w:val="000000" w:themeColor="text1"/>
        </w:rPr>
        <w:t xml:space="preserve">mentally </w:t>
      </w:r>
      <w:r w:rsidR="00960509" w:rsidRPr="00B40A77">
        <w:rPr>
          <w:color w:val="000000" w:themeColor="text1"/>
        </w:rPr>
        <w:t xml:space="preserve">incompetent </w:t>
      </w:r>
      <w:r w:rsidRPr="00B40A77">
        <w:rPr>
          <w:color w:val="000000" w:themeColor="text1"/>
        </w:rPr>
        <w:t xml:space="preserve">to </w:t>
      </w:r>
      <w:r w:rsidR="00960509" w:rsidRPr="00B40A77">
        <w:rPr>
          <w:color w:val="000000" w:themeColor="text1"/>
        </w:rPr>
        <w:t xml:space="preserve">commit a charged </w:t>
      </w:r>
      <w:r w:rsidRPr="00B40A77">
        <w:rPr>
          <w:color w:val="000000" w:themeColor="text1"/>
        </w:rPr>
        <w:t>offence within the meaning of section</w:t>
      </w:r>
      <w:r w:rsidR="00D61599" w:rsidRPr="00B40A77">
        <w:rPr>
          <w:color w:val="000000" w:themeColor="text1"/>
        </w:rPr>
        <w:t> </w:t>
      </w:r>
      <w:r w:rsidRPr="00B40A77">
        <w:rPr>
          <w:color w:val="000000" w:themeColor="text1"/>
        </w:rPr>
        <w:t xml:space="preserve">269C of the </w:t>
      </w:r>
      <w:r w:rsidR="00B8730A" w:rsidRPr="00B40A77">
        <w:rPr>
          <w:color w:val="000000" w:themeColor="text1"/>
          <w:u w:val="single"/>
        </w:rPr>
        <w:t>Consolidation Act</w:t>
      </w:r>
      <w:r w:rsidRPr="00B40A77">
        <w:rPr>
          <w:color w:val="000000" w:themeColor="text1"/>
          <w:lang w:val="en-US"/>
        </w:rPr>
        <w:t>;</w:t>
      </w:r>
    </w:p>
    <w:p w14:paraId="44F5CF16" w14:textId="4FCAC239" w:rsidR="00D8777A" w:rsidRPr="00B40A77" w:rsidRDefault="00D8777A" w:rsidP="000D41FB">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the context of an Information alleging Commonwealth offences</w:t>
      </w:r>
      <w:r w:rsidRPr="00B40A77">
        <w:rPr>
          <w:rFonts w:cs="Times New Roman"/>
          <w:color w:val="000000" w:themeColor="text1"/>
        </w:rPr>
        <w:t>—</w:t>
      </w:r>
      <w:r w:rsidR="00960509" w:rsidRPr="00B40A77">
        <w:rPr>
          <w:color w:val="000000" w:themeColor="text1"/>
        </w:rPr>
        <w:t xml:space="preserve">a defendant or youth </w:t>
      </w:r>
      <w:r w:rsidR="00960509" w:rsidRPr="00B40A77">
        <w:rPr>
          <w:color w:val="000000" w:themeColor="text1"/>
          <w:lang w:val="en-US"/>
        </w:rPr>
        <w:t xml:space="preserve">was not </w:t>
      </w:r>
      <w:r w:rsidR="00BF5076" w:rsidRPr="00B40A77">
        <w:rPr>
          <w:color w:val="000000" w:themeColor="text1"/>
        </w:rPr>
        <w:t>criminally responsible for</w:t>
      </w:r>
      <w:r w:rsidR="00960509" w:rsidRPr="00B40A77">
        <w:rPr>
          <w:color w:val="000000" w:themeColor="text1"/>
        </w:rPr>
        <w:t xml:space="preserve"> a charged offence </w:t>
      </w:r>
      <w:r w:rsidR="00BF5076" w:rsidRPr="00B40A77">
        <w:rPr>
          <w:color w:val="000000" w:themeColor="text1"/>
        </w:rPr>
        <w:t>under</w:t>
      </w:r>
      <w:r w:rsidRPr="00B40A77">
        <w:rPr>
          <w:color w:val="000000" w:themeColor="text1"/>
        </w:rPr>
        <w:t xml:space="preserve"> </w:t>
      </w:r>
      <w:r w:rsidR="00BF5076" w:rsidRPr="00B40A77">
        <w:rPr>
          <w:color w:val="000000" w:themeColor="text1"/>
        </w:rPr>
        <w:t>section</w:t>
      </w:r>
      <w:r w:rsidR="00D61599" w:rsidRPr="00B40A77">
        <w:rPr>
          <w:color w:val="000000" w:themeColor="text1"/>
        </w:rPr>
        <w:t> </w:t>
      </w:r>
      <w:r w:rsidR="00BF5076" w:rsidRPr="00B40A77">
        <w:rPr>
          <w:color w:val="000000" w:themeColor="text1"/>
        </w:rPr>
        <w:t xml:space="preserve">7.3 of the </w:t>
      </w:r>
      <w:r w:rsidR="00BF5076" w:rsidRPr="00B40A77">
        <w:rPr>
          <w:i/>
          <w:color w:val="000000" w:themeColor="text1"/>
        </w:rPr>
        <w:t>Criminal Code</w:t>
      </w:r>
      <w:r w:rsidR="006B7D0A" w:rsidRPr="00B40A77">
        <w:rPr>
          <w:i/>
          <w:color w:val="000000" w:themeColor="text1"/>
        </w:rPr>
        <w:t xml:space="preserve"> </w:t>
      </w:r>
      <w:r w:rsidR="006B7D0A" w:rsidRPr="00B40A77">
        <w:rPr>
          <w:color w:val="000000" w:themeColor="text1"/>
          <w:lang w:val="en-US"/>
        </w:rPr>
        <w:t xml:space="preserve">enacted by the </w:t>
      </w:r>
      <w:r w:rsidR="006B7D0A" w:rsidRPr="00B40A77">
        <w:rPr>
          <w:i/>
          <w:color w:val="000000" w:themeColor="text1"/>
          <w:lang w:val="en-US"/>
        </w:rPr>
        <w:t>Criminal Code Act</w:t>
      </w:r>
      <w:r w:rsidR="00D61599" w:rsidRPr="00B40A77">
        <w:rPr>
          <w:i/>
          <w:color w:val="000000" w:themeColor="text1"/>
          <w:lang w:val="en-US"/>
        </w:rPr>
        <w:t> </w:t>
      </w:r>
      <w:r w:rsidR="006B7D0A" w:rsidRPr="00B40A77">
        <w:rPr>
          <w:i/>
          <w:color w:val="000000" w:themeColor="text1"/>
          <w:lang w:val="en-US"/>
        </w:rPr>
        <w:t xml:space="preserve">1995 </w:t>
      </w:r>
      <w:r w:rsidR="006B7D0A" w:rsidRPr="00B40A77">
        <w:rPr>
          <w:color w:val="000000" w:themeColor="text1"/>
          <w:lang w:val="en-US"/>
        </w:rPr>
        <w:t>(Cth)</w:t>
      </w:r>
      <w:r w:rsidR="00582FEB" w:rsidRPr="00B40A77">
        <w:rPr>
          <w:color w:val="000000" w:themeColor="text1"/>
          <w:lang w:val="en-US"/>
        </w:rPr>
        <w:t>;</w:t>
      </w:r>
    </w:p>
    <w:p w14:paraId="7AA7EF7B" w14:textId="33FC8772" w:rsidR="0081079B" w:rsidRPr="00B40A77" w:rsidRDefault="00F0544B" w:rsidP="000D41FB">
      <w:pPr>
        <w:pStyle w:val="Doublehangindent"/>
        <w:ind w:left="2007"/>
        <w:rPr>
          <w:color w:val="000000" w:themeColor="text1"/>
          <w:lang w:val="en-US"/>
        </w:rPr>
      </w:pPr>
      <w:r w:rsidRPr="00B40A77">
        <w:rPr>
          <w:color w:val="000000" w:themeColor="text1"/>
          <w:lang w:val="en-US"/>
        </w:rPr>
        <w:t>a</w:t>
      </w:r>
      <w:r w:rsidR="0081079B" w:rsidRPr="00B40A77">
        <w:rPr>
          <w:color w:val="000000" w:themeColor="text1"/>
          <w:lang w:val="en-US"/>
        </w:rPr>
        <w:t xml:space="preserve">nd </w:t>
      </w:r>
      <w:r w:rsidR="0081079B" w:rsidRPr="00B40A77">
        <w:rPr>
          <w:b/>
          <w:i/>
          <w:color w:val="000000" w:themeColor="text1"/>
          <w:lang w:val="en-US"/>
        </w:rPr>
        <w:t>mental competence</w:t>
      </w:r>
      <w:r w:rsidR="0081079B" w:rsidRPr="00B40A77">
        <w:rPr>
          <w:color w:val="000000" w:themeColor="text1"/>
          <w:lang w:val="en-US"/>
        </w:rPr>
        <w:t xml:space="preserve"> has the </w:t>
      </w:r>
      <w:r w:rsidRPr="00B40A77">
        <w:rPr>
          <w:color w:val="000000" w:themeColor="text1"/>
          <w:lang w:val="en-US"/>
        </w:rPr>
        <w:t>reverse meaning;</w:t>
      </w:r>
    </w:p>
    <w:p w14:paraId="44AAD3BF" w14:textId="77777777" w:rsidR="0004343F" w:rsidRPr="00B40A77" w:rsidRDefault="0004343F" w:rsidP="0004343F">
      <w:pPr>
        <w:pStyle w:val="Doubleindentedpara"/>
        <w:rPr>
          <w:b/>
          <w:i/>
          <w:color w:val="000000" w:themeColor="text1"/>
        </w:rPr>
      </w:pPr>
      <w:r w:rsidRPr="00B40A77">
        <w:rPr>
          <w:b/>
          <w:i/>
          <w:color w:val="000000" w:themeColor="text1"/>
        </w:rPr>
        <w:t>mentally incompetent</w:t>
      </w:r>
      <w:r w:rsidRPr="00B40A77">
        <w:rPr>
          <w:color w:val="000000" w:themeColor="text1"/>
        </w:rPr>
        <w:t xml:space="preserve">—see definition of </w:t>
      </w:r>
      <w:r w:rsidRPr="00B40A77">
        <w:rPr>
          <w:color w:val="000000" w:themeColor="text1"/>
          <w:u w:val="single"/>
        </w:rPr>
        <w:t>mental incompetence</w:t>
      </w:r>
      <w:r w:rsidRPr="00B40A77">
        <w:rPr>
          <w:color w:val="000000" w:themeColor="text1"/>
        </w:rPr>
        <w:t>;</w:t>
      </w:r>
    </w:p>
    <w:p w14:paraId="2B5A03EA" w14:textId="6C1AAE98" w:rsidR="00AD3332" w:rsidRPr="00B40A77" w:rsidRDefault="00AD3332" w:rsidP="00AD3332">
      <w:pPr>
        <w:pStyle w:val="Doubleindentedpara"/>
        <w:rPr>
          <w:color w:val="000000" w:themeColor="text1"/>
        </w:rPr>
      </w:pPr>
      <w:r w:rsidRPr="00B40A77">
        <w:rPr>
          <w:b/>
          <w:i/>
          <w:color w:val="000000" w:themeColor="text1"/>
        </w:rPr>
        <w:t>minor indictable offence</w:t>
      </w:r>
      <w:r w:rsidRPr="00B40A77">
        <w:rPr>
          <w:color w:val="000000" w:themeColor="text1"/>
        </w:rPr>
        <w:t xml:space="preserve"> means a minor indictable offence within the meaning of section 5(3)(a) of the </w:t>
      </w:r>
      <w:r w:rsidRPr="00B40A77">
        <w:rPr>
          <w:iCs/>
          <w:color w:val="000000" w:themeColor="text1"/>
          <w:u w:val="single"/>
        </w:rPr>
        <w:t>Procedure Act</w:t>
      </w:r>
      <w:r w:rsidRPr="00B40A77">
        <w:rPr>
          <w:color w:val="000000" w:themeColor="text1"/>
        </w:rPr>
        <w:t>;</w:t>
      </w:r>
    </w:p>
    <w:p w14:paraId="7F9B4360" w14:textId="77777777" w:rsidR="00A840B8" w:rsidRPr="00B40A77" w:rsidRDefault="00A840B8" w:rsidP="00A840B8">
      <w:pPr>
        <w:pStyle w:val="Doubleindentedpara"/>
        <w:rPr>
          <w:color w:val="000000" w:themeColor="text1"/>
        </w:rPr>
      </w:pPr>
      <w:r w:rsidRPr="00B40A77">
        <w:rPr>
          <w:b/>
          <w:i/>
          <w:color w:val="000000" w:themeColor="text1"/>
        </w:rPr>
        <w:t>notifiable offence</w:t>
      </w:r>
      <w:r w:rsidRPr="00B40A77">
        <w:rPr>
          <w:color w:val="000000" w:themeColor="text1"/>
        </w:rPr>
        <w:t xml:space="preserve"> means—</w:t>
      </w:r>
    </w:p>
    <w:p w14:paraId="1569BC5F" w14:textId="7ABC6B50" w:rsidR="00A840B8" w:rsidRPr="00B40A77" w:rsidRDefault="00A840B8" w:rsidP="00582FEB">
      <w:pPr>
        <w:pStyle w:val="Doublehangindent"/>
        <w:ind w:left="2007"/>
        <w:rPr>
          <w:rFonts w:cs="Arial"/>
          <w:bCs/>
          <w:color w:val="000000" w:themeColor="text1"/>
        </w:rPr>
      </w:pPr>
      <w:r w:rsidRPr="00B40A77">
        <w:rPr>
          <w:color w:val="000000" w:themeColor="text1"/>
          <w:lang w:val="en-US"/>
        </w:rPr>
        <w:t>(a)</w:t>
      </w:r>
      <w:r w:rsidRPr="00B40A77">
        <w:rPr>
          <w:color w:val="000000" w:themeColor="text1"/>
          <w:lang w:val="en-US"/>
        </w:rPr>
        <w:tab/>
      </w:r>
      <w:r w:rsidR="00F0544B" w:rsidRPr="00B40A77">
        <w:rPr>
          <w:color w:val="000000" w:themeColor="text1"/>
        </w:rPr>
        <w:t>a qualifying offence</w:t>
      </w:r>
      <w:r w:rsidRPr="00B40A77">
        <w:rPr>
          <w:color w:val="000000" w:themeColor="text1"/>
        </w:rPr>
        <w:t xml:space="preserve"> </w:t>
      </w:r>
      <w:r w:rsidRPr="00B40A77">
        <w:rPr>
          <w:rFonts w:cs="Arial"/>
          <w:color w:val="000000" w:themeColor="text1"/>
        </w:rPr>
        <w:t>within the meaning of the</w:t>
      </w:r>
      <w:r w:rsidRPr="00B40A77">
        <w:rPr>
          <w:rFonts w:cs="Arial"/>
          <w:bCs/>
          <w:color w:val="000000" w:themeColor="text1"/>
        </w:rPr>
        <w:t xml:space="preserve"> </w:t>
      </w:r>
      <w:r w:rsidRPr="00B40A77">
        <w:rPr>
          <w:rFonts w:cs="Arial"/>
          <w:bCs/>
          <w:i/>
          <w:iCs/>
          <w:color w:val="000000" w:themeColor="text1"/>
        </w:rPr>
        <w:t>Child</w:t>
      </w:r>
      <w:r w:rsidRPr="00B40A77">
        <w:rPr>
          <w:rFonts w:cs="Arial"/>
          <w:bCs/>
          <w:i/>
          <w:color w:val="000000" w:themeColor="text1"/>
        </w:rPr>
        <w:t>ren and Young People (Safety) Act 2017</w:t>
      </w:r>
      <w:r w:rsidRPr="00B40A77">
        <w:rPr>
          <w:rFonts w:cs="Arial"/>
          <w:bCs/>
          <w:color w:val="000000" w:themeColor="text1"/>
        </w:rPr>
        <w:t>;</w:t>
      </w:r>
    </w:p>
    <w:p w14:paraId="5AE5EA01" w14:textId="41A36A41" w:rsidR="00A840B8" w:rsidRPr="00B40A77" w:rsidRDefault="00F0544B" w:rsidP="00582FEB">
      <w:pPr>
        <w:pStyle w:val="Doublehangindent"/>
        <w:ind w:left="2007"/>
        <w:rPr>
          <w:rFonts w:cs="Arial"/>
          <w:bCs/>
          <w:color w:val="000000" w:themeColor="text1"/>
        </w:rPr>
      </w:pPr>
      <w:r w:rsidRPr="00B40A77">
        <w:rPr>
          <w:rFonts w:cs="Arial"/>
          <w:bCs/>
          <w:color w:val="000000" w:themeColor="text1"/>
        </w:rPr>
        <w:t>(b)</w:t>
      </w:r>
      <w:r w:rsidRPr="00B40A77">
        <w:rPr>
          <w:rFonts w:cs="Arial"/>
          <w:bCs/>
          <w:color w:val="000000" w:themeColor="text1"/>
        </w:rPr>
        <w:tab/>
        <w:t xml:space="preserve">a </w:t>
      </w:r>
      <w:r w:rsidR="00A840B8" w:rsidRPr="00B40A77">
        <w:rPr>
          <w:rFonts w:cs="Arial"/>
          <w:color w:val="000000" w:themeColor="text1"/>
        </w:rPr>
        <w:t>prescribed</w:t>
      </w:r>
      <w:r w:rsidRPr="00B40A77">
        <w:rPr>
          <w:rFonts w:cs="Arial"/>
          <w:color w:val="000000" w:themeColor="text1"/>
        </w:rPr>
        <w:t xml:space="preserve"> offence or </w:t>
      </w:r>
      <w:r w:rsidR="00A840B8" w:rsidRPr="00B40A77">
        <w:rPr>
          <w:rFonts w:cs="Arial"/>
          <w:color w:val="000000" w:themeColor="text1"/>
        </w:rPr>
        <w:t>presu</w:t>
      </w:r>
      <w:r w:rsidRPr="00B40A77">
        <w:rPr>
          <w:rFonts w:cs="Arial"/>
          <w:color w:val="000000" w:themeColor="text1"/>
        </w:rPr>
        <w:t>mptive disqualification offence</w:t>
      </w:r>
      <w:r w:rsidR="00A840B8" w:rsidRPr="00B40A77">
        <w:rPr>
          <w:rFonts w:cs="Arial"/>
          <w:color w:val="000000" w:themeColor="text1"/>
        </w:rPr>
        <w:t xml:space="preserve"> within the meaning of the</w:t>
      </w:r>
      <w:r w:rsidR="00A840B8" w:rsidRPr="00B40A77">
        <w:rPr>
          <w:rFonts w:cs="Arial"/>
          <w:bCs/>
          <w:color w:val="000000" w:themeColor="text1"/>
        </w:rPr>
        <w:t xml:space="preserve"> </w:t>
      </w:r>
      <w:r w:rsidR="00A840B8" w:rsidRPr="00B40A77">
        <w:rPr>
          <w:rFonts w:cs="Arial"/>
          <w:bCs/>
          <w:i/>
          <w:color w:val="000000" w:themeColor="text1"/>
        </w:rPr>
        <w:t>Child Safety (Prohibited Persons) Act 2016</w:t>
      </w:r>
      <w:r w:rsidR="00A840B8" w:rsidRPr="00B40A77">
        <w:rPr>
          <w:rFonts w:cs="Arial"/>
          <w:bCs/>
          <w:color w:val="000000" w:themeColor="text1"/>
        </w:rPr>
        <w:t>; or</w:t>
      </w:r>
    </w:p>
    <w:p w14:paraId="46D50A19" w14:textId="6252C482" w:rsidR="00A840B8" w:rsidRPr="00B40A77" w:rsidRDefault="00F0544B" w:rsidP="00582FEB">
      <w:pPr>
        <w:pStyle w:val="Doublehangindent"/>
        <w:ind w:left="2007"/>
        <w:rPr>
          <w:b/>
          <w:i/>
          <w:color w:val="000000" w:themeColor="text1"/>
        </w:rPr>
      </w:pPr>
      <w:r w:rsidRPr="00B40A77">
        <w:rPr>
          <w:rFonts w:cs="Arial"/>
          <w:bCs/>
          <w:color w:val="000000" w:themeColor="text1"/>
        </w:rPr>
        <w:t>(c)</w:t>
      </w:r>
      <w:r w:rsidRPr="00B40A77">
        <w:rPr>
          <w:rFonts w:cs="Arial"/>
          <w:bCs/>
          <w:color w:val="000000" w:themeColor="text1"/>
        </w:rPr>
        <w:tab/>
        <w:t xml:space="preserve">a </w:t>
      </w:r>
      <w:r w:rsidR="00EE1085" w:rsidRPr="00B40A77">
        <w:rPr>
          <w:rFonts w:cs="Arial"/>
          <w:color w:val="000000" w:themeColor="text1"/>
        </w:rPr>
        <w:t>disqualification</w:t>
      </w:r>
      <w:r w:rsidRPr="00B40A77">
        <w:rPr>
          <w:rFonts w:cs="Arial"/>
          <w:color w:val="000000" w:themeColor="text1"/>
        </w:rPr>
        <w:t xml:space="preserve"> offence or </w:t>
      </w:r>
      <w:r w:rsidR="00A840B8" w:rsidRPr="00B40A77">
        <w:rPr>
          <w:rFonts w:cs="Arial"/>
          <w:color w:val="000000" w:themeColor="text1"/>
        </w:rPr>
        <w:t>presu</w:t>
      </w:r>
      <w:r w:rsidRPr="00B40A77">
        <w:rPr>
          <w:rFonts w:cs="Arial"/>
          <w:color w:val="000000" w:themeColor="text1"/>
        </w:rPr>
        <w:t>mptive disqualification offence</w:t>
      </w:r>
      <w:r w:rsidR="00A840B8" w:rsidRPr="00B40A77">
        <w:rPr>
          <w:rFonts w:cs="Arial"/>
          <w:color w:val="000000" w:themeColor="text1"/>
        </w:rPr>
        <w:t xml:space="preserve"> within the meaning of the </w:t>
      </w:r>
      <w:r w:rsidR="00A840B8" w:rsidRPr="00B40A77">
        <w:rPr>
          <w:rFonts w:cs="Arial"/>
          <w:i/>
          <w:iCs/>
          <w:color w:val="000000" w:themeColor="text1"/>
        </w:rPr>
        <w:t>Disability Inclusion Act 2018</w:t>
      </w:r>
      <w:r w:rsidR="00A840B8" w:rsidRPr="00B40A77">
        <w:rPr>
          <w:rFonts w:cs="Times New Roman"/>
          <w:color w:val="000000" w:themeColor="text1"/>
        </w:rPr>
        <w:t>;</w:t>
      </w:r>
    </w:p>
    <w:p w14:paraId="673D3454" w14:textId="57408724" w:rsidR="00A417A5" w:rsidRPr="00B40A77" w:rsidRDefault="00A417A5" w:rsidP="00A417A5">
      <w:pPr>
        <w:pStyle w:val="Doubleindentedpara"/>
        <w:rPr>
          <w:color w:val="000000" w:themeColor="text1"/>
        </w:rPr>
      </w:pPr>
      <w:r w:rsidRPr="00B40A77">
        <w:rPr>
          <w:b/>
          <w:i/>
          <w:color w:val="000000" w:themeColor="text1"/>
        </w:rPr>
        <w:t>original service</w:t>
      </w:r>
      <w:r w:rsidRPr="00B40A77">
        <w:rPr>
          <w:color w:val="000000" w:themeColor="text1"/>
        </w:rPr>
        <w:t xml:space="preserve">—see </w:t>
      </w:r>
      <w:hyperlink w:anchor="_33.7—Original_service" w:history="1">
        <w:r w:rsidR="00F0544B" w:rsidRPr="00B40A77">
          <w:rPr>
            <w:rStyle w:val="Hyperlink"/>
            <w:color w:val="000000" w:themeColor="text1"/>
          </w:rPr>
          <w:t>rule 3</w:t>
        </w:r>
        <w:r w:rsidR="003E756C" w:rsidRPr="00B40A77">
          <w:rPr>
            <w:rStyle w:val="Hyperlink"/>
            <w:color w:val="000000" w:themeColor="text1"/>
          </w:rPr>
          <w:t>3</w:t>
        </w:r>
        <w:r w:rsidR="00F0544B" w:rsidRPr="00B40A77">
          <w:rPr>
            <w:rStyle w:val="Hyperlink"/>
            <w:color w:val="000000" w:themeColor="text1"/>
          </w:rPr>
          <w:t>.</w:t>
        </w:r>
        <w:r w:rsidR="003A1982" w:rsidRPr="00B40A77">
          <w:rPr>
            <w:rStyle w:val="Hyperlink"/>
            <w:color w:val="000000" w:themeColor="text1"/>
          </w:rPr>
          <w:t>7</w:t>
        </w:r>
      </w:hyperlink>
      <w:r w:rsidRPr="00B40A77">
        <w:rPr>
          <w:color w:val="000000" w:themeColor="text1"/>
        </w:rPr>
        <w:t>;</w:t>
      </w:r>
    </w:p>
    <w:p w14:paraId="47864C08" w14:textId="0B5F885E" w:rsidR="00467048" w:rsidRPr="00B40A77" w:rsidRDefault="00467048" w:rsidP="00467048">
      <w:pPr>
        <w:pStyle w:val="Doubleindentedpara"/>
        <w:rPr>
          <w:color w:val="000000" w:themeColor="text1"/>
        </w:rPr>
      </w:pPr>
      <w:r w:rsidRPr="00B40A77">
        <w:rPr>
          <w:b/>
          <w:i/>
          <w:color w:val="000000" w:themeColor="text1"/>
        </w:rPr>
        <w:t>party</w:t>
      </w:r>
      <w:r w:rsidR="00F0544B" w:rsidRPr="00B40A77">
        <w:rPr>
          <w:color w:val="000000" w:themeColor="text1"/>
        </w:rPr>
        <w:t xml:space="preserve"> means an inform</w:t>
      </w:r>
      <w:r w:rsidRPr="00B40A77">
        <w:rPr>
          <w:color w:val="000000" w:themeColor="text1"/>
        </w:rPr>
        <w:t xml:space="preserve">ant, </w:t>
      </w:r>
      <w:r w:rsidR="00F0544B" w:rsidRPr="00B40A77">
        <w:rPr>
          <w:color w:val="000000" w:themeColor="text1"/>
        </w:rPr>
        <w:t xml:space="preserve">defendant, </w:t>
      </w:r>
      <w:r w:rsidR="008A6E50" w:rsidRPr="00B40A77">
        <w:rPr>
          <w:color w:val="000000" w:themeColor="text1"/>
        </w:rPr>
        <w:t xml:space="preserve">the Crown, an </w:t>
      </w:r>
      <w:r w:rsidR="00A211DF" w:rsidRPr="00B40A77">
        <w:rPr>
          <w:color w:val="000000" w:themeColor="text1"/>
        </w:rPr>
        <w:t xml:space="preserve">applicant, an </w:t>
      </w:r>
      <w:r w:rsidRPr="00B40A77">
        <w:rPr>
          <w:color w:val="000000" w:themeColor="text1"/>
        </w:rPr>
        <w:t xml:space="preserve">appellant, </w:t>
      </w:r>
      <w:r w:rsidR="008A6E50" w:rsidRPr="00B40A77">
        <w:rPr>
          <w:color w:val="000000" w:themeColor="text1"/>
        </w:rPr>
        <w:t>a respondent</w:t>
      </w:r>
      <w:r w:rsidRPr="00B40A77">
        <w:rPr>
          <w:color w:val="000000" w:themeColor="text1"/>
        </w:rPr>
        <w:t xml:space="preserve"> or </w:t>
      </w:r>
      <w:r w:rsidR="008A6E50" w:rsidRPr="00B40A77">
        <w:rPr>
          <w:color w:val="000000" w:themeColor="text1"/>
        </w:rPr>
        <w:t xml:space="preserve">an </w:t>
      </w:r>
      <w:r w:rsidR="005A6381" w:rsidRPr="00B40A77">
        <w:rPr>
          <w:color w:val="000000" w:themeColor="text1"/>
          <w:u w:val="single"/>
        </w:rPr>
        <w:t>interested party</w:t>
      </w:r>
      <w:r w:rsidR="00D823FB" w:rsidRPr="00B40A77">
        <w:rPr>
          <w:color w:val="000000" w:themeColor="text1"/>
        </w:rPr>
        <w:t xml:space="preserve"> in a </w:t>
      </w:r>
      <w:r w:rsidR="00585AFC" w:rsidRPr="00B40A77">
        <w:rPr>
          <w:color w:val="000000" w:themeColor="text1"/>
        </w:rPr>
        <w:t>proceeding</w:t>
      </w:r>
      <w:r w:rsidR="00D823FB" w:rsidRPr="00B40A77">
        <w:rPr>
          <w:color w:val="000000" w:themeColor="text1"/>
        </w:rPr>
        <w:t xml:space="preserve"> or</w:t>
      </w:r>
      <w:r w:rsidR="00257443" w:rsidRPr="00B40A77">
        <w:rPr>
          <w:color w:val="000000" w:themeColor="text1"/>
        </w:rPr>
        <w:t xml:space="preserve"> appellate proceeding</w:t>
      </w:r>
      <w:r w:rsidRPr="00B40A77">
        <w:rPr>
          <w:color w:val="000000" w:themeColor="text1"/>
        </w:rPr>
        <w:t>;</w:t>
      </w:r>
    </w:p>
    <w:p w14:paraId="2BB8F43F" w14:textId="618D44AC" w:rsidR="00A417A5" w:rsidRPr="00B40A77" w:rsidRDefault="00A417A5" w:rsidP="00467048">
      <w:pPr>
        <w:pStyle w:val="Doubleindentedpara"/>
        <w:rPr>
          <w:color w:val="000000" w:themeColor="text1"/>
        </w:rPr>
      </w:pPr>
      <w:r w:rsidRPr="00B40A77">
        <w:rPr>
          <w:b/>
          <w:i/>
          <w:color w:val="000000" w:themeColor="text1"/>
        </w:rPr>
        <w:t>personal service</w:t>
      </w:r>
      <w:r w:rsidRPr="00B40A77">
        <w:rPr>
          <w:color w:val="000000" w:themeColor="text1"/>
        </w:rPr>
        <w:t xml:space="preserve">—see </w:t>
      </w:r>
      <w:hyperlink w:anchor="_42.1—Personal_service" w:history="1">
        <w:r w:rsidR="00502165" w:rsidRPr="00B40A77">
          <w:rPr>
            <w:rStyle w:val="Hyperlink"/>
            <w:color w:val="000000" w:themeColor="text1"/>
          </w:rPr>
          <w:t>rule 3</w:t>
        </w:r>
        <w:r w:rsidR="003E756C" w:rsidRPr="00B40A77">
          <w:rPr>
            <w:rStyle w:val="Hyperlink"/>
            <w:color w:val="000000" w:themeColor="text1"/>
          </w:rPr>
          <w:t>3</w:t>
        </w:r>
        <w:r w:rsidRPr="00B40A77">
          <w:rPr>
            <w:rStyle w:val="Hyperlink"/>
            <w:color w:val="000000" w:themeColor="text1"/>
          </w:rPr>
          <w:t>.1</w:t>
        </w:r>
      </w:hyperlink>
      <w:r w:rsidRPr="00B40A77">
        <w:rPr>
          <w:color w:val="000000" w:themeColor="text1"/>
        </w:rPr>
        <w:t>;</w:t>
      </w:r>
    </w:p>
    <w:p w14:paraId="350C9D32" w14:textId="0390571A" w:rsidR="00A417A5" w:rsidRPr="00B40A77" w:rsidRDefault="00A417A5" w:rsidP="00A417A5">
      <w:pPr>
        <w:pStyle w:val="Doubleindentedpara"/>
        <w:rPr>
          <w:color w:val="000000" w:themeColor="text1"/>
        </w:rPr>
      </w:pPr>
      <w:r w:rsidRPr="00B40A77">
        <w:rPr>
          <w:b/>
          <w:i/>
          <w:color w:val="000000" w:themeColor="text1"/>
        </w:rPr>
        <w:t>post service</w:t>
      </w:r>
      <w:r w:rsidRPr="00B40A77">
        <w:rPr>
          <w:color w:val="000000" w:themeColor="text1"/>
        </w:rPr>
        <w:t xml:space="preserve">—see </w:t>
      </w:r>
      <w:hyperlink w:anchor="_42.3—Post_service" w:history="1">
        <w:r w:rsidR="00502165" w:rsidRPr="00B40A77">
          <w:rPr>
            <w:rStyle w:val="Hyperlink"/>
            <w:color w:val="000000" w:themeColor="text1"/>
          </w:rPr>
          <w:t>rule 3</w:t>
        </w:r>
        <w:r w:rsidR="003E756C" w:rsidRPr="00B40A77">
          <w:rPr>
            <w:rStyle w:val="Hyperlink"/>
            <w:color w:val="000000" w:themeColor="text1"/>
          </w:rPr>
          <w:t>3</w:t>
        </w:r>
        <w:r w:rsidRPr="00B40A77">
          <w:rPr>
            <w:rStyle w:val="Hyperlink"/>
            <w:color w:val="000000" w:themeColor="text1"/>
          </w:rPr>
          <w:t>.</w:t>
        </w:r>
        <w:r w:rsidR="007C12EA" w:rsidRPr="00B40A77">
          <w:rPr>
            <w:rStyle w:val="Hyperlink"/>
            <w:color w:val="000000" w:themeColor="text1"/>
          </w:rPr>
          <w:t>4</w:t>
        </w:r>
      </w:hyperlink>
      <w:r w:rsidRPr="00B40A77">
        <w:rPr>
          <w:color w:val="000000" w:themeColor="text1"/>
        </w:rPr>
        <w:t>;</w:t>
      </w:r>
    </w:p>
    <w:p w14:paraId="33A9C1C2" w14:textId="780AE526" w:rsidR="00ED68CD" w:rsidRPr="00B40A77" w:rsidRDefault="00ED68CD" w:rsidP="00ED68CD">
      <w:pPr>
        <w:pStyle w:val="Doubleindentedpara"/>
        <w:rPr>
          <w:b/>
          <w:i/>
          <w:color w:val="000000" w:themeColor="text1"/>
        </w:rPr>
      </w:pPr>
      <w:r w:rsidRPr="00B40A77">
        <w:rPr>
          <w:b/>
          <w:i/>
          <w:color w:val="000000" w:themeColor="text1"/>
        </w:rPr>
        <w:lastRenderedPageBreak/>
        <w:t>pre-committal appearance</w:t>
      </w:r>
      <w:r w:rsidRPr="00B40A77">
        <w:rPr>
          <w:color w:val="000000" w:themeColor="text1"/>
        </w:rPr>
        <w:t xml:space="preserve"> means </w:t>
      </w:r>
      <w:r w:rsidR="006B0C32" w:rsidRPr="00B40A77">
        <w:rPr>
          <w:color w:val="000000" w:themeColor="text1"/>
        </w:rPr>
        <w:t>the first</w:t>
      </w:r>
      <w:r w:rsidRPr="00B40A77">
        <w:rPr>
          <w:color w:val="000000" w:themeColor="text1"/>
        </w:rPr>
        <w:t xml:space="preserve"> </w:t>
      </w:r>
      <w:r w:rsidRPr="00B40A77">
        <w:rPr>
          <w:color w:val="000000" w:themeColor="text1"/>
          <w:u w:val="single"/>
        </w:rPr>
        <w:t>hearing</w:t>
      </w:r>
      <w:r w:rsidRPr="00B40A77">
        <w:rPr>
          <w:color w:val="000000" w:themeColor="text1"/>
        </w:rPr>
        <w:t xml:space="preserve"> </w:t>
      </w:r>
      <w:r w:rsidR="006B0C32" w:rsidRPr="00B40A77">
        <w:rPr>
          <w:color w:val="000000" w:themeColor="text1"/>
        </w:rPr>
        <w:t xml:space="preserve">in a </w:t>
      </w:r>
      <w:r w:rsidR="003F3106" w:rsidRPr="00B40A77">
        <w:rPr>
          <w:color w:val="000000" w:themeColor="text1"/>
          <w:u w:val="single"/>
        </w:rPr>
        <w:t>committal proceeding</w:t>
      </w:r>
      <w:r w:rsidR="00F86170" w:rsidRPr="00B40A77">
        <w:rPr>
          <w:color w:val="000000" w:themeColor="text1"/>
        </w:rPr>
        <w:t xml:space="preserve">, </w:t>
      </w:r>
      <w:r w:rsidR="006B0C32" w:rsidRPr="00B40A77">
        <w:rPr>
          <w:color w:val="000000" w:themeColor="text1"/>
        </w:rPr>
        <w:t xml:space="preserve">any </w:t>
      </w:r>
      <w:r w:rsidR="005270A4" w:rsidRPr="00B40A77">
        <w:rPr>
          <w:color w:val="000000" w:themeColor="text1"/>
        </w:rPr>
        <w:t xml:space="preserve">adjourned </w:t>
      </w:r>
      <w:r w:rsidR="006B0C32" w:rsidRPr="00B40A77">
        <w:rPr>
          <w:color w:val="000000" w:themeColor="text1"/>
          <w:u w:val="single"/>
        </w:rPr>
        <w:t>hearing</w:t>
      </w:r>
      <w:r w:rsidR="006B0C32" w:rsidRPr="00B40A77">
        <w:rPr>
          <w:color w:val="000000" w:themeColor="text1"/>
        </w:rPr>
        <w:t xml:space="preserve"> </w:t>
      </w:r>
      <w:r w:rsidR="00EE4600" w:rsidRPr="00B40A77">
        <w:rPr>
          <w:color w:val="000000" w:themeColor="text1"/>
        </w:rPr>
        <w:t xml:space="preserve">of the first </w:t>
      </w:r>
      <w:r w:rsidR="003F3106" w:rsidRPr="00B40A77">
        <w:rPr>
          <w:color w:val="000000" w:themeColor="text1"/>
        </w:rPr>
        <w:t>hearing</w:t>
      </w:r>
      <w:r w:rsidR="00EE4600" w:rsidRPr="00B40A77">
        <w:rPr>
          <w:color w:val="000000" w:themeColor="text1"/>
        </w:rPr>
        <w:t xml:space="preserve">, the </w:t>
      </w:r>
      <w:r w:rsidR="00EE4600" w:rsidRPr="00B40A77">
        <w:rPr>
          <w:color w:val="000000" w:themeColor="text1"/>
          <w:u w:val="single"/>
        </w:rPr>
        <w:t>charge determination appearance</w:t>
      </w:r>
      <w:r w:rsidR="00EE4600" w:rsidRPr="00B40A77">
        <w:rPr>
          <w:color w:val="000000" w:themeColor="text1"/>
        </w:rPr>
        <w:t xml:space="preserve"> and any adjournment of the </w:t>
      </w:r>
      <w:r w:rsidR="00EE4600" w:rsidRPr="00B40A77">
        <w:rPr>
          <w:color w:val="000000" w:themeColor="text1"/>
          <w:u w:val="single"/>
        </w:rPr>
        <w:t>charge determination appearance</w:t>
      </w:r>
      <w:r w:rsidRPr="00B40A77">
        <w:rPr>
          <w:color w:val="000000" w:themeColor="text1"/>
        </w:rPr>
        <w:t>;</w:t>
      </w:r>
    </w:p>
    <w:p w14:paraId="3FF766D9" w14:textId="536A210A" w:rsidR="000164BB" w:rsidRPr="00B40A77" w:rsidRDefault="000164BB" w:rsidP="000164BB">
      <w:pPr>
        <w:pStyle w:val="Doubleindentedpara"/>
        <w:rPr>
          <w:b/>
          <w:i/>
          <w:color w:val="000000" w:themeColor="text1"/>
        </w:rPr>
      </w:pPr>
      <w:r w:rsidRPr="00B40A77">
        <w:rPr>
          <w:b/>
          <w:i/>
          <w:color w:val="000000" w:themeColor="text1"/>
        </w:rPr>
        <w:t>prescribed form</w:t>
      </w:r>
      <w:r w:rsidRPr="00B40A77">
        <w:rPr>
          <w:color w:val="000000" w:themeColor="text1"/>
        </w:rPr>
        <w:t xml:space="preserve">—see </w:t>
      </w:r>
      <w:hyperlink w:anchor="_31.3—Prescribed_forms" w:history="1">
        <w:r w:rsidRPr="00B40A77">
          <w:rPr>
            <w:rStyle w:val="Hyperlink"/>
            <w:color w:val="000000" w:themeColor="text1"/>
          </w:rPr>
          <w:t xml:space="preserve">rule </w:t>
        </w:r>
        <w:r w:rsidR="00DD7CE9" w:rsidRPr="00B40A77">
          <w:rPr>
            <w:rStyle w:val="Hyperlink"/>
            <w:color w:val="000000" w:themeColor="text1"/>
          </w:rPr>
          <w:t>28</w:t>
        </w:r>
        <w:r w:rsidR="0029097C" w:rsidRPr="00B40A77">
          <w:rPr>
            <w:rStyle w:val="Hyperlink"/>
            <w:color w:val="000000" w:themeColor="text1"/>
          </w:rPr>
          <w:t>.3</w:t>
        </w:r>
      </w:hyperlink>
      <w:r w:rsidRPr="00B40A77">
        <w:rPr>
          <w:color w:val="000000" w:themeColor="text1"/>
        </w:rPr>
        <w:t>;</w:t>
      </w:r>
    </w:p>
    <w:p w14:paraId="22E006A4" w14:textId="085050BA" w:rsidR="00436813" w:rsidRPr="00B40A77" w:rsidRDefault="00436813" w:rsidP="00436813">
      <w:pPr>
        <w:pStyle w:val="Doubleindentedpara"/>
        <w:rPr>
          <w:color w:val="000000" w:themeColor="text1"/>
        </w:rPr>
      </w:pPr>
      <w:r w:rsidRPr="00B40A77">
        <w:rPr>
          <w:b/>
          <w:i/>
          <w:color w:val="000000" w:themeColor="text1"/>
        </w:rPr>
        <w:t xml:space="preserve">pre-trial </w:t>
      </w:r>
      <w:r w:rsidR="00B8730A" w:rsidRPr="00B40A77">
        <w:rPr>
          <w:b/>
          <w:i/>
          <w:color w:val="000000" w:themeColor="text1"/>
        </w:rPr>
        <w:t>conference</w:t>
      </w:r>
      <w:r w:rsidR="00B8730A" w:rsidRPr="00B40A77">
        <w:rPr>
          <w:color w:val="000000" w:themeColor="text1"/>
        </w:rPr>
        <w:t xml:space="preserve">—see </w:t>
      </w:r>
      <w:hyperlink w:anchor="_76.3—Pre-trial_conference" w:history="1">
        <w:r w:rsidR="00B8730A" w:rsidRPr="00B40A77">
          <w:rPr>
            <w:rStyle w:val="Hyperlink"/>
            <w:color w:val="000000" w:themeColor="text1"/>
          </w:rPr>
          <w:t>rule 76.3</w:t>
        </w:r>
      </w:hyperlink>
      <w:r w:rsidR="00B8730A" w:rsidRPr="00B40A77">
        <w:rPr>
          <w:rStyle w:val="Hyperlink"/>
          <w:color w:val="000000" w:themeColor="text1"/>
          <w:u w:val="none"/>
        </w:rPr>
        <w:t xml:space="preserve"> and </w:t>
      </w:r>
      <w:hyperlink w:anchor="_101.1—Pre-trial_conference" w:history="1">
        <w:r w:rsidR="00B8730A" w:rsidRPr="00B40A77">
          <w:rPr>
            <w:rStyle w:val="Hyperlink"/>
            <w:color w:val="000000" w:themeColor="text1"/>
          </w:rPr>
          <w:t>rule 10</w:t>
        </w:r>
        <w:r w:rsidR="00A82FC3" w:rsidRPr="00B40A77">
          <w:rPr>
            <w:rStyle w:val="Hyperlink"/>
            <w:color w:val="000000" w:themeColor="text1"/>
          </w:rPr>
          <w:t>1</w:t>
        </w:r>
        <w:r w:rsidR="00B8730A" w:rsidRPr="00B40A77">
          <w:rPr>
            <w:rStyle w:val="Hyperlink"/>
            <w:color w:val="000000" w:themeColor="text1"/>
          </w:rPr>
          <w:t>.1</w:t>
        </w:r>
      </w:hyperlink>
      <w:r w:rsidRPr="00B40A77">
        <w:rPr>
          <w:color w:val="000000" w:themeColor="text1"/>
        </w:rPr>
        <w:t>;</w:t>
      </w:r>
    </w:p>
    <w:p w14:paraId="651DA935" w14:textId="77777777" w:rsidR="00CD48EC" w:rsidRPr="00B40A77" w:rsidRDefault="00CD48EC" w:rsidP="00CD48EC">
      <w:pPr>
        <w:pStyle w:val="Doubleindentedpara"/>
        <w:rPr>
          <w:color w:val="000000" w:themeColor="text1"/>
        </w:rPr>
      </w:pPr>
      <w:r w:rsidRPr="00B40A77">
        <w:rPr>
          <w:b/>
          <w:i/>
          <w:color w:val="000000" w:themeColor="text1"/>
        </w:rPr>
        <w:t xml:space="preserve">pre-trial conference date </w:t>
      </w:r>
      <w:r w:rsidRPr="00B40A77">
        <w:rPr>
          <w:color w:val="000000" w:themeColor="text1"/>
        </w:rPr>
        <w:t xml:space="preserve">means the date listed for a </w:t>
      </w:r>
      <w:r w:rsidRPr="00B40A77">
        <w:rPr>
          <w:color w:val="000000" w:themeColor="text1"/>
          <w:u w:val="single"/>
        </w:rPr>
        <w:t>pre-trial conference</w:t>
      </w:r>
      <w:r w:rsidRPr="00B40A77">
        <w:rPr>
          <w:color w:val="000000" w:themeColor="text1"/>
        </w:rPr>
        <w:t xml:space="preserve"> or, if there is to be no </w:t>
      </w:r>
      <w:r w:rsidRPr="00B40A77">
        <w:rPr>
          <w:color w:val="000000" w:themeColor="text1"/>
          <w:u w:val="single"/>
        </w:rPr>
        <w:t>pre-trial conference</w:t>
      </w:r>
      <w:r w:rsidRPr="00B40A77">
        <w:rPr>
          <w:color w:val="000000" w:themeColor="text1"/>
        </w:rPr>
        <w:t>, the date when the matter is to be listed for trial;</w:t>
      </w:r>
    </w:p>
    <w:p w14:paraId="3AE9DC59" w14:textId="16B365F8" w:rsidR="00740600" w:rsidRPr="00B40A77" w:rsidRDefault="00740600" w:rsidP="00740600">
      <w:pPr>
        <w:pStyle w:val="Doubleindentedpara"/>
        <w:rPr>
          <w:color w:val="000000" w:themeColor="text1"/>
        </w:rPr>
      </w:pPr>
      <w:r w:rsidRPr="00B40A77">
        <w:rPr>
          <w:b/>
          <w:i/>
          <w:color w:val="000000" w:themeColor="text1"/>
        </w:rPr>
        <w:t xml:space="preserve">pre-trial special hearing </w:t>
      </w:r>
      <w:r w:rsidRPr="00B40A77">
        <w:rPr>
          <w:color w:val="000000" w:themeColor="text1"/>
        </w:rPr>
        <w:t xml:space="preserve">means a pre-trial special hearing under section 12AB of the </w:t>
      </w:r>
      <w:r w:rsidRPr="00B40A77">
        <w:rPr>
          <w:color w:val="000000" w:themeColor="text1"/>
          <w:u w:val="single"/>
        </w:rPr>
        <w:t>Evidence Act</w:t>
      </w:r>
      <w:r w:rsidRPr="00B40A77">
        <w:rPr>
          <w:color w:val="000000" w:themeColor="text1"/>
        </w:rPr>
        <w:t>;</w:t>
      </w:r>
    </w:p>
    <w:p w14:paraId="11316AF3" w14:textId="27C1802D" w:rsidR="00467048" w:rsidRPr="00B40A77" w:rsidRDefault="00467048" w:rsidP="00467048">
      <w:pPr>
        <w:pStyle w:val="Doubleindentedpara"/>
        <w:rPr>
          <w:color w:val="000000" w:themeColor="text1"/>
        </w:rPr>
      </w:pPr>
      <w:bookmarkStart w:id="25" w:name="_Hlk173826468"/>
      <w:bookmarkStart w:id="26" w:name="_Hlk81201874"/>
      <w:r w:rsidRPr="00B40A77">
        <w:rPr>
          <w:b/>
          <w:i/>
          <w:color w:val="000000" w:themeColor="text1"/>
        </w:rPr>
        <w:t>Previous Rules</w:t>
      </w:r>
      <w:r w:rsidRPr="00B40A77">
        <w:rPr>
          <w:color w:val="000000" w:themeColor="text1"/>
        </w:rPr>
        <w:t xml:space="preserve"> means</w:t>
      </w:r>
      <w:r w:rsidR="007F0A87" w:rsidRPr="00B40A77">
        <w:rPr>
          <w:color w:val="000000" w:themeColor="text1"/>
        </w:rPr>
        <w:t>—</w:t>
      </w:r>
    </w:p>
    <w:p w14:paraId="2FE0B722" w14:textId="795DF2AB" w:rsidR="00467048" w:rsidRPr="00B40A77" w:rsidRDefault="00467048" w:rsidP="00953638">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in the context of the Supreme Court</w:t>
      </w:r>
      <w:r w:rsidR="000D602A" w:rsidRPr="00B40A77">
        <w:rPr>
          <w:rFonts w:cs="Times New Roman"/>
          <w:color w:val="000000" w:themeColor="text1"/>
        </w:rPr>
        <w:t>—</w:t>
      </w:r>
      <w:r w:rsidRPr="00B40A77">
        <w:rPr>
          <w:color w:val="000000" w:themeColor="text1"/>
          <w:lang w:val="en-US"/>
        </w:rPr>
        <w:t xml:space="preserve">the </w:t>
      </w:r>
      <w:r w:rsidR="0042331F" w:rsidRPr="00B40A77">
        <w:rPr>
          <w:i/>
          <w:color w:val="000000" w:themeColor="text1"/>
          <w:lang w:val="en-US"/>
        </w:rPr>
        <w:t>Supreme Court Criminal Rules 2014</w:t>
      </w:r>
      <w:r w:rsidR="00272B01" w:rsidRPr="00B40A77">
        <w:rPr>
          <w:i/>
          <w:color w:val="000000" w:themeColor="text1"/>
          <w:lang w:val="en-US"/>
        </w:rPr>
        <w:t xml:space="preserve"> </w:t>
      </w:r>
      <w:r w:rsidR="00272B01" w:rsidRPr="00B40A77">
        <w:rPr>
          <w:color w:val="000000" w:themeColor="text1"/>
          <w:lang w:val="en-US"/>
        </w:rPr>
        <w:t xml:space="preserve">and the </w:t>
      </w:r>
      <w:r w:rsidR="0042331F" w:rsidRPr="00B40A77">
        <w:rPr>
          <w:i/>
          <w:color w:val="000000" w:themeColor="text1"/>
          <w:lang w:val="en-US"/>
        </w:rPr>
        <w:t>Supreme Court Crimina</w:t>
      </w:r>
      <w:r w:rsidR="00272B01" w:rsidRPr="00B40A77">
        <w:rPr>
          <w:i/>
          <w:color w:val="000000" w:themeColor="text1"/>
          <w:lang w:val="en-US"/>
        </w:rPr>
        <w:t>l Supplementary Rules 2014</w:t>
      </w:r>
      <w:r w:rsidRPr="00B40A77">
        <w:rPr>
          <w:color w:val="000000" w:themeColor="text1"/>
          <w:lang w:val="en-US"/>
        </w:rPr>
        <w:t>;</w:t>
      </w:r>
    </w:p>
    <w:p w14:paraId="5ADE586F" w14:textId="69164FD1" w:rsidR="00467048" w:rsidRPr="00B40A77" w:rsidRDefault="00467048" w:rsidP="00953638">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the context of the District Court</w:t>
      </w:r>
      <w:r w:rsidR="000D602A" w:rsidRPr="00B40A77">
        <w:rPr>
          <w:rFonts w:cs="Times New Roman"/>
          <w:color w:val="000000" w:themeColor="text1"/>
        </w:rPr>
        <w:t>—</w:t>
      </w:r>
      <w:r w:rsidRPr="00B40A77">
        <w:rPr>
          <w:color w:val="000000" w:themeColor="text1"/>
          <w:lang w:val="en-US"/>
        </w:rPr>
        <w:t>the</w:t>
      </w:r>
      <w:r w:rsidRPr="00B40A77">
        <w:rPr>
          <w:i/>
          <w:color w:val="000000" w:themeColor="text1"/>
          <w:lang w:val="en-US"/>
        </w:rPr>
        <w:t xml:space="preserve"> District Court </w:t>
      </w:r>
      <w:r w:rsidR="0042331F" w:rsidRPr="00B40A77">
        <w:rPr>
          <w:i/>
          <w:color w:val="000000" w:themeColor="text1"/>
          <w:lang w:val="en-US"/>
        </w:rPr>
        <w:t xml:space="preserve">Criminal Rules 2014 </w:t>
      </w:r>
      <w:r w:rsidR="003F2EFF" w:rsidRPr="00B40A77">
        <w:rPr>
          <w:color w:val="000000" w:themeColor="text1"/>
          <w:lang w:val="en-US"/>
        </w:rPr>
        <w:t xml:space="preserve">and the </w:t>
      </w:r>
      <w:r w:rsidR="003F2EFF" w:rsidRPr="00B40A77">
        <w:rPr>
          <w:i/>
          <w:color w:val="000000" w:themeColor="text1"/>
          <w:lang w:val="en-US"/>
        </w:rPr>
        <w:t xml:space="preserve">District Court </w:t>
      </w:r>
      <w:r w:rsidR="0042331F" w:rsidRPr="00B40A77">
        <w:rPr>
          <w:i/>
          <w:color w:val="000000" w:themeColor="text1"/>
          <w:lang w:val="en-US"/>
        </w:rPr>
        <w:t>Criminal Supplementary Rules 2014</w:t>
      </w:r>
      <w:r w:rsidRPr="00B40A77">
        <w:rPr>
          <w:color w:val="000000" w:themeColor="text1"/>
          <w:lang w:val="en-US"/>
        </w:rPr>
        <w:t>;</w:t>
      </w:r>
    </w:p>
    <w:p w14:paraId="0B48B420" w14:textId="39AF1DB8" w:rsidR="00324213" w:rsidRPr="00B40A77" w:rsidRDefault="00324213" w:rsidP="00953638">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 xml:space="preserve">in the context of the </w:t>
      </w:r>
      <w:r w:rsidR="00FA463C" w:rsidRPr="00B40A77">
        <w:rPr>
          <w:color w:val="000000" w:themeColor="text1"/>
        </w:rPr>
        <w:t>Environment</w:t>
      </w:r>
      <w:r w:rsidR="00185246" w:rsidRPr="00B40A77">
        <w:rPr>
          <w:color w:val="000000" w:themeColor="text1"/>
        </w:rPr>
        <w:t>,</w:t>
      </w:r>
      <w:r w:rsidR="00FA463C" w:rsidRPr="00B40A77">
        <w:rPr>
          <w:color w:val="000000" w:themeColor="text1"/>
        </w:rPr>
        <w:t xml:space="preserve"> Resources and Development Court</w:t>
      </w:r>
      <w:r w:rsidRPr="00B40A77">
        <w:rPr>
          <w:rFonts w:cs="Times New Roman"/>
          <w:color w:val="000000" w:themeColor="text1"/>
        </w:rPr>
        <w:t>—</w:t>
      </w:r>
      <w:r w:rsidR="001A517E" w:rsidRPr="00B40A77">
        <w:rPr>
          <w:rFonts w:cs="Times New Roman"/>
          <w:color w:val="000000" w:themeColor="text1"/>
        </w:rPr>
        <w:t xml:space="preserve">Part 16 of the </w:t>
      </w:r>
      <w:r w:rsidR="0042331F" w:rsidRPr="00B40A77">
        <w:rPr>
          <w:i/>
          <w:color w:val="000000" w:themeColor="text1"/>
        </w:rPr>
        <w:t>Environment Resources and Development</w:t>
      </w:r>
      <w:r w:rsidR="0042331F" w:rsidRPr="00B40A77">
        <w:rPr>
          <w:color w:val="000000" w:themeColor="text1"/>
        </w:rPr>
        <w:t xml:space="preserve"> </w:t>
      </w:r>
      <w:r w:rsidR="0042331F" w:rsidRPr="00B40A77">
        <w:rPr>
          <w:i/>
          <w:color w:val="000000" w:themeColor="text1"/>
          <w:lang w:val="en-US"/>
        </w:rPr>
        <w:t>Rules 2003</w:t>
      </w:r>
      <w:r w:rsidR="0042331F" w:rsidRPr="00B40A77">
        <w:rPr>
          <w:color w:val="000000" w:themeColor="text1"/>
          <w:lang w:val="en-US"/>
        </w:rPr>
        <w:t>;</w:t>
      </w:r>
      <w:r w:rsidR="00EE55FD" w:rsidRPr="00B40A77">
        <w:rPr>
          <w:color w:val="000000" w:themeColor="text1"/>
          <w:lang w:val="en-US"/>
        </w:rPr>
        <w:t xml:space="preserve"> and</w:t>
      </w:r>
    </w:p>
    <w:p w14:paraId="721DC7F2" w14:textId="4EB21F32" w:rsidR="00324213" w:rsidRPr="00B40A77" w:rsidRDefault="00324213" w:rsidP="00953638">
      <w:pPr>
        <w:pStyle w:val="Doublehangindent"/>
        <w:ind w:left="2007"/>
        <w:rPr>
          <w:color w:val="000000" w:themeColor="text1"/>
          <w:lang w:val="en-US"/>
        </w:rPr>
      </w:pPr>
      <w:r w:rsidRPr="00B40A77">
        <w:rPr>
          <w:color w:val="000000" w:themeColor="text1"/>
          <w:lang w:val="en-US"/>
        </w:rPr>
        <w:t>(d)</w:t>
      </w:r>
      <w:r w:rsidRPr="00B40A77">
        <w:rPr>
          <w:color w:val="000000" w:themeColor="text1"/>
          <w:lang w:val="en-US"/>
        </w:rPr>
        <w:tab/>
        <w:t xml:space="preserve">in the context of the </w:t>
      </w:r>
      <w:r w:rsidR="001A517E" w:rsidRPr="00B40A77">
        <w:rPr>
          <w:color w:val="000000" w:themeColor="text1"/>
          <w:lang w:val="en-US"/>
        </w:rPr>
        <w:t>Youth</w:t>
      </w:r>
      <w:r w:rsidRPr="00B40A77">
        <w:rPr>
          <w:color w:val="000000" w:themeColor="text1"/>
          <w:lang w:val="en-US"/>
        </w:rPr>
        <w:t xml:space="preserve"> Court</w:t>
      </w:r>
      <w:r w:rsidRPr="00B40A77">
        <w:rPr>
          <w:rFonts w:cs="Times New Roman"/>
          <w:color w:val="000000" w:themeColor="text1"/>
        </w:rPr>
        <w:t>—</w:t>
      </w:r>
      <w:r w:rsidRPr="00B40A77">
        <w:rPr>
          <w:color w:val="000000" w:themeColor="text1"/>
          <w:lang w:val="en-US"/>
        </w:rPr>
        <w:t>the</w:t>
      </w:r>
      <w:r w:rsidRPr="00B40A77">
        <w:rPr>
          <w:i/>
          <w:color w:val="000000" w:themeColor="text1"/>
          <w:lang w:val="en-US"/>
        </w:rPr>
        <w:t xml:space="preserve"> </w:t>
      </w:r>
      <w:r w:rsidR="001A517E" w:rsidRPr="00B40A77">
        <w:rPr>
          <w:i/>
          <w:color w:val="000000" w:themeColor="text1"/>
          <w:lang w:val="en-US"/>
        </w:rPr>
        <w:t>Youth Court (Young Offenders) Rules 2016</w:t>
      </w:r>
      <w:r w:rsidR="000F2DD2" w:rsidRPr="00B40A77">
        <w:rPr>
          <w:color w:val="000000" w:themeColor="text1"/>
          <w:lang w:val="en-US"/>
        </w:rPr>
        <w:t xml:space="preserve"> </w:t>
      </w:r>
      <w:r w:rsidR="00AA7BC3" w:rsidRPr="00B40A77">
        <w:rPr>
          <w:color w:val="000000" w:themeColor="text1"/>
          <w:lang w:val="en-US"/>
        </w:rPr>
        <w:t>and</w:t>
      </w:r>
      <w:r w:rsidR="00501EEE" w:rsidRPr="00B40A77">
        <w:rPr>
          <w:color w:val="000000" w:themeColor="text1"/>
          <w:lang w:val="en-US"/>
        </w:rPr>
        <w:t xml:space="preserve"> </w:t>
      </w:r>
      <w:r w:rsidR="00AA7BC3" w:rsidRPr="00B40A77">
        <w:rPr>
          <w:color w:val="000000" w:themeColor="text1"/>
          <w:lang w:val="en-US"/>
        </w:rPr>
        <w:t xml:space="preserve">the </w:t>
      </w:r>
      <w:r w:rsidR="000F2DD2" w:rsidRPr="00B40A77">
        <w:rPr>
          <w:i/>
          <w:color w:val="000000" w:themeColor="text1"/>
          <w:lang w:val="en-US"/>
        </w:rPr>
        <w:t>Youth Court (General) Rules 2016</w:t>
      </w:r>
      <w:r w:rsidRPr="00B40A77">
        <w:rPr>
          <w:color w:val="000000" w:themeColor="text1"/>
          <w:lang w:val="en-US"/>
        </w:rPr>
        <w:t>;</w:t>
      </w:r>
    </w:p>
    <w:p w14:paraId="1EF3864C" w14:textId="53671953" w:rsidR="00467048" w:rsidRDefault="00324213" w:rsidP="00953638">
      <w:pPr>
        <w:pStyle w:val="Doublehangindent"/>
        <w:ind w:left="2007"/>
        <w:rPr>
          <w:color w:val="000000" w:themeColor="text1"/>
          <w:lang w:val="en-US"/>
        </w:rPr>
      </w:pPr>
      <w:r w:rsidRPr="00B40A77">
        <w:rPr>
          <w:color w:val="000000" w:themeColor="text1"/>
          <w:lang w:val="en-US"/>
        </w:rPr>
        <w:t>(e</w:t>
      </w:r>
      <w:r w:rsidR="00467048" w:rsidRPr="00B40A77">
        <w:rPr>
          <w:color w:val="000000" w:themeColor="text1"/>
          <w:lang w:val="en-US"/>
        </w:rPr>
        <w:t>)</w:t>
      </w:r>
      <w:r w:rsidR="00467048" w:rsidRPr="00B40A77">
        <w:rPr>
          <w:color w:val="000000" w:themeColor="text1"/>
          <w:lang w:val="en-US"/>
        </w:rPr>
        <w:tab/>
        <w:t>in the context of the Magistrates Court</w:t>
      </w:r>
      <w:r w:rsidR="000D602A" w:rsidRPr="00B40A77">
        <w:rPr>
          <w:rFonts w:cs="Times New Roman"/>
          <w:color w:val="000000" w:themeColor="text1"/>
        </w:rPr>
        <w:t>—</w:t>
      </w:r>
      <w:r w:rsidR="00467048" w:rsidRPr="00B40A77">
        <w:rPr>
          <w:color w:val="000000" w:themeColor="text1"/>
          <w:lang w:val="en-US"/>
        </w:rPr>
        <w:t>the</w:t>
      </w:r>
      <w:r w:rsidR="00467048" w:rsidRPr="00B40A77">
        <w:rPr>
          <w:i/>
          <w:color w:val="000000" w:themeColor="text1"/>
          <w:lang w:val="en-US"/>
        </w:rPr>
        <w:t xml:space="preserve"> Magistrates Court </w:t>
      </w:r>
      <w:r w:rsidR="00A510DF" w:rsidRPr="00B40A77">
        <w:rPr>
          <w:i/>
          <w:color w:val="000000" w:themeColor="text1"/>
          <w:lang w:val="en-US"/>
        </w:rPr>
        <w:t>Rules </w:t>
      </w:r>
      <w:r w:rsidR="0042331F" w:rsidRPr="00B40A77">
        <w:rPr>
          <w:i/>
          <w:color w:val="000000" w:themeColor="text1"/>
          <w:lang w:val="en-US"/>
        </w:rPr>
        <w:t>1992</w:t>
      </w:r>
      <w:r w:rsidR="00467048" w:rsidRPr="00B40A77">
        <w:rPr>
          <w:color w:val="000000" w:themeColor="text1"/>
          <w:lang w:val="en-US"/>
        </w:rPr>
        <w:t>;</w:t>
      </w:r>
    </w:p>
    <w:bookmarkEnd w:id="25"/>
    <w:p w14:paraId="6058EB37" w14:textId="77777777" w:rsidR="00E42B0F" w:rsidRPr="00B40A77" w:rsidRDefault="00E42B0F" w:rsidP="00E42B0F">
      <w:pPr>
        <w:pStyle w:val="Doubleindentedpara"/>
        <w:rPr>
          <w:color w:val="000000" w:themeColor="text1"/>
        </w:rPr>
      </w:pPr>
      <w:r w:rsidRPr="00B40A77">
        <w:rPr>
          <w:b/>
          <w:i/>
          <w:color w:val="000000" w:themeColor="text1"/>
        </w:rPr>
        <w:t xml:space="preserve">priority proceeding </w:t>
      </w:r>
      <w:r w:rsidRPr="00B40A77">
        <w:rPr>
          <w:color w:val="000000" w:themeColor="text1"/>
        </w:rPr>
        <w:t>means a proceeding in which a person—</w:t>
      </w:r>
    </w:p>
    <w:p w14:paraId="4E449A09" w14:textId="0C35AC1E" w:rsidR="00E42B0F" w:rsidRPr="00B40A77" w:rsidRDefault="00E42B0F" w:rsidP="00E42B0F">
      <w:pPr>
        <w:pStyle w:val="IndentedPara"/>
        <w:keepNext/>
        <w:keepLines/>
        <w:widowControl w:val="0"/>
        <w:numPr>
          <w:ilvl w:val="0"/>
          <w:numId w:val="1"/>
        </w:numPr>
        <w:overflowPunct w:val="0"/>
        <w:spacing w:before="0"/>
        <w:jc w:val="left"/>
        <w:textAlignment w:val="baseline"/>
        <w:rPr>
          <w:color w:val="000000" w:themeColor="text1"/>
        </w:rPr>
      </w:pPr>
      <w:r w:rsidRPr="00B40A77">
        <w:rPr>
          <w:color w:val="000000" w:themeColor="text1"/>
        </w:rPr>
        <w:t xml:space="preserve">is charged with a serious and organised crime offence within the meaning of section 5(1) of the </w:t>
      </w:r>
      <w:hyperlink w:anchor="_2.1—Definitions" w:history="1">
        <w:r w:rsidRPr="00B40A77">
          <w:rPr>
            <w:rStyle w:val="Hyperlink"/>
            <w:color w:val="000000" w:themeColor="text1"/>
            <w:szCs w:val="24"/>
          </w:rPr>
          <w:t>Consolidation Act</w:t>
        </w:r>
      </w:hyperlink>
      <w:r w:rsidRPr="00B40A77">
        <w:rPr>
          <w:i/>
          <w:iCs/>
          <w:color w:val="000000" w:themeColor="text1"/>
          <w:szCs w:val="24"/>
        </w:rPr>
        <w:t xml:space="preserve"> </w:t>
      </w:r>
      <w:r w:rsidRPr="00B40A77">
        <w:rPr>
          <w:color w:val="000000" w:themeColor="text1"/>
          <w:szCs w:val="24"/>
        </w:rPr>
        <w:t xml:space="preserve">and the proceeding is a “prescribed proceeding” within the meaning of section 127(2) of the </w:t>
      </w:r>
      <w:r w:rsidRPr="00B40A77">
        <w:rPr>
          <w:iCs/>
          <w:color w:val="000000" w:themeColor="text1"/>
          <w:szCs w:val="24"/>
          <w:u w:val="single"/>
        </w:rPr>
        <w:t>Procedure Act</w:t>
      </w:r>
      <w:r w:rsidRPr="00B40A77">
        <w:rPr>
          <w:color w:val="000000" w:themeColor="text1"/>
          <w:szCs w:val="24"/>
        </w:rPr>
        <w:t>;</w:t>
      </w:r>
    </w:p>
    <w:p w14:paraId="38D62B2E" w14:textId="77777777" w:rsidR="00E42B0F" w:rsidRPr="00B40A77" w:rsidRDefault="00E42B0F" w:rsidP="00E42B0F">
      <w:pPr>
        <w:pStyle w:val="IndentedPara"/>
        <w:widowControl w:val="0"/>
        <w:numPr>
          <w:ilvl w:val="0"/>
          <w:numId w:val="1"/>
        </w:numPr>
        <w:overflowPunct w:val="0"/>
        <w:jc w:val="left"/>
        <w:textAlignment w:val="baseline"/>
        <w:rPr>
          <w:color w:val="000000" w:themeColor="text1"/>
        </w:rPr>
      </w:pPr>
      <w:r w:rsidRPr="00B40A77">
        <w:rPr>
          <w:color w:val="000000" w:themeColor="text1"/>
        </w:rPr>
        <w:t xml:space="preserve">is a </w:t>
      </w:r>
      <w:r w:rsidRPr="00B40A77">
        <w:rPr>
          <w:color w:val="000000" w:themeColor="text1"/>
          <w:u w:val="single"/>
        </w:rPr>
        <w:t>serious and organised crime suspect</w:t>
      </w:r>
      <w:r w:rsidRPr="00B40A77">
        <w:rPr>
          <w:color w:val="000000" w:themeColor="text1"/>
        </w:rPr>
        <w:t>; or</w:t>
      </w:r>
    </w:p>
    <w:p w14:paraId="0B434A5F" w14:textId="77777777" w:rsidR="00E42B0F" w:rsidRPr="00B40A77" w:rsidRDefault="00E42B0F" w:rsidP="00E42B0F">
      <w:pPr>
        <w:pStyle w:val="IndentedPara"/>
        <w:keepNext/>
        <w:keepLines/>
        <w:numPr>
          <w:ilvl w:val="0"/>
          <w:numId w:val="1"/>
        </w:numPr>
        <w:overflowPunct w:val="0"/>
        <w:jc w:val="left"/>
        <w:textAlignment w:val="baseline"/>
        <w:rPr>
          <w:color w:val="000000" w:themeColor="text1"/>
        </w:rPr>
      </w:pPr>
      <w:r w:rsidRPr="00B40A77">
        <w:rPr>
          <w:color w:val="000000" w:themeColor="text1"/>
          <w:lang w:val="en-AU"/>
        </w:rPr>
        <w:t xml:space="preserve">is charged with a sexual offence within the meaning of section 48B of the </w:t>
      </w:r>
      <w:r w:rsidRPr="00B40A77">
        <w:rPr>
          <w:i/>
          <w:color w:val="000000" w:themeColor="text1"/>
          <w:lang w:val="en-AU"/>
        </w:rPr>
        <w:t>Magistrates Court Act 1991</w:t>
      </w:r>
      <w:r w:rsidRPr="00B40A77">
        <w:rPr>
          <w:iCs/>
          <w:color w:val="000000" w:themeColor="text1"/>
          <w:lang w:val="en-AU"/>
        </w:rPr>
        <w:t>,</w:t>
      </w:r>
      <w:r w:rsidRPr="00B40A77">
        <w:rPr>
          <w:color w:val="000000" w:themeColor="text1"/>
          <w:lang w:val="en-AU"/>
        </w:rPr>
        <w:t xml:space="preserve"> section 50B of the </w:t>
      </w:r>
      <w:r w:rsidRPr="00B40A77">
        <w:rPr>
          <w:i/>
          <w:color w:val="000000" w:themeColor="text1"/>
          <w:lang w:val="en-AU"/>
        </w:rPr>
        <w:t>District Court Act 1991</w:t>
      </w:r>
      <w:r w:rsidRPr="00B40A77">
        <w:rPr>
          <w:color w:val="000000" w:themeColor="text1"/>
          <w:lang w:val="en-AU"/>
        </w:rPr>
        <w:t xml:space="preserve"> or section 126A of the </w:t>
      </w:r>
      <w:r w:rsidRPr="00B40A77">
        <w:rPr>
          <w:i/>
          <w:color w:val="000000" w:themeColor="text1"/>
          <w:lang w:val="en-AU"/>
        </w:rPr>
        <w:t xml:space="preserve">Supreme Court Act 1935 </w:t>
      </w:r>
      <w:r w:rsidRPr="00B40A77">
        <w:rPr>
          <w:color w:val="000000" w:themeColor="text1"/>
          <w:lang w:val="en-AU"/>
        </w:rPr>
        <w:t xml:space="preserve">where </w:t>
      </w:r>
      <w:r w:rsidRPr="00B40A77">
        <w:rPr>
          <w:color w:val="000000" w:themeColor="text1"/>
        </w:rPr>
        <w:t>the alleged victim of the offence is a child or a person with a disability that adversely affects their capacity to give a coherent account of their experiences or to respond rationally to questions;</w:t>
      </w:r>
    </w:p>
    <w:bookmarkEnd w:id="26"/>
    <w:p w14:paraId="0FC3025A" w14:textId="02CA8E23" w:rsidR="00CB1D31" w:rsidRPr="00B40A77" w:rsidRDefault="00CB1D31" w:rsidP="00467048">
      <w:pPr>
        <w:pStyle w:val="Doublehangindent"/>
        <w:rPr>
          <w:color w:val="000000" w:themeColor="text1"/>
          <w:lang w:val="en-US"/>
        </w:rPr>
      </w:pPr>
      <w:r w:rsidRPr="00B40A77">
        <w:rPr>
          <w:b/>
          <w:i/>
          <w:color w:val="000000" w:themeColor="text1"/>
        </w:rPr>
        <w:t xml:space="preserve">Procedure Act </w:t>
      </w:r>
      <w:r w:rsidRPr="00B40A77">
        <w:rPr>
          <w:color w:val="000000" w:themeColor="text1"/>
        </w:rPr>
        <w:t xml:space="preserve">means the </w:t>
      </w:r>
      <w:r w:rsidR="004906C6" w:rsidRPr="00B40A77">
        <w:rPr>
          <w:i/>
          <w:color w:val="000000" w:themeColor="text1"/>
        </w:rPr>
        <w:t xml:space="preserve">Criminal </w:t>
      </w:r>
      <w:r w:rsidRPr="00B40A77">
        <w:rPr>
          <w:i/>
          <w:color w:val="000000" w:themeColor="text1"/>
        </w:rPr>
        <w:t>Procedure Act 1921</w:t>
      </w:r>
      <w:r w:rsidRPr="00B40A77">
        <w:rPr>
          <w:color w:val="000000" w:themeColor="text1"/>
        </w:rPr>
        <w:t>;</w:t>
      </w:r>
    </w:p>
    <w:p w14:paraId="52487EAF" w14:textId="775CE8A4" w:rsidR="002604FF" w:rsidRPr="00B40A77" w:rsidRDefault="002604FF" w:rsidP="00B04647">
      <w:pPr>
        <w:pStyle w:val="Doubleindentedpara"/>
        <w:rPr>
          <w:b/>
          <w:i/>
          <w:color w:val="000000" w:themeColor="text1"/>
        </w:rPr>
      </w:pPr>
      <w:r w:rsidRPr="00B40A77">
        <w:rPr>
          <w:b/>
          <w:i/>
          <w:color w:val="000000" w:themeColor="text1"/>
        </w:rPr>
        <w:t>proceeding</w:t>
      </w:r>
      <w:r w:rsidRPr="00B40A77">
        <w:rPr>
          <w:color w:val="000000" w:themeColor="text1"/>
        </w:rPr>
        <w:t>—see</w:t>
      </w:r>
      <w:r w:rsidRPr="00B40A77">
        <w:rPr>
          <w:bCs/>
          <w:i/>
          <w:color w:val="000000" w:themeColor="text1"/>
        </w:rPr>
        <w:t xml:space="preserve"> </w:t>
      </w:r>
      <w:r w:rsidR="00F742AE" w:rsidRPr="00B40A77">
        <w:rPr>
          <w:bCs/>
          <w:iCs/>
          <w:color w:val="000000" w:themeColor="text1"/>
        </w:rPr>
        <w:t xml:space="preserve">definition of </w:t>
      </w:r>
      <w:r w:rsidRPr="00B40A77">
        <w:rPr>
          <w:bCs/>
          <w:iCs/>
          <w:color w:val="000000" w:themeColor="text1"/>
          <w:u w:val="single"/>
        </w:rPr>
        <w:t>criminal proceeding</w:t>
      </w:r>
      <w:r w:rsidR="007F7969" w:rsidRPr="00B40A77">
        <w:rPr>
          <w:bCs/>
          <w:iCs/>
          <w:color w:val="000000" w:themeColor="text1"/>
        </w:rPr>
        <w:t>;</w:t>
      </w:r>
    </w:p>
    <w:p w14:paraId="65E9C444" w14:textId="0C2DC0C2" w:rsidR="00B04647" w:rsidRPr="00B40A77" w:rsidRDefault="00B04647" w:rsidP="00B04647">
      <w:pPr>
        <w:pStyle w:val="Doubleindentedpara"/>
        <w:rPr>
          <w:color w:val="000000" w:themeColor="text1"/>
        </w:rPr>
      </w:pPr>
      <w:r w:rsidRPr="00B40A77">
        <w:rPr>
          <w:b/>
          <w:i/>
          <w:color w:val="000000" w:themeColor="text1"/>
        </w:rPr>
        <w:t>prosecution</w:t>
      </w:r>
      <w:r w:rsidRPr="00B40A77">
        <w:rPr>
          <w:color w:val="000000" w:themeColor="text1"/>
        </w:rPr>
        <w:t xml:space="preserve"> means—</w:t>
      </w:r>
    </w:p>
    <w:p w14:paraId="541B5791" w14:textId="794C5AE3" w:rsidR="00B04647" w:rsidRPr="00B40A77" w:rsidRDefault="00B04647" w:rsidP="00953638">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 xml:space="preserve">in the context of a proceeding in a </w:t>
      </w:r>
      <w:r w:rsidRPr="00B40A77">
        <w:rPr>
          <w:color w:val="000000" w:themeColor="text1"/>
          <w:u w:val="single"/>
          <w:lang w:val="en-US"/>
        </w:rPr>
        <w:t>Lower Court</w:t>
      </w:r>
      <w:r w:rsidRPr="00B40A77">
        <w:rPr>
          <w:rFonts w:cs="Times New Roman"/>
          <w:color w:val="000000" w:themeColor="text1"/>
        </w:rPr>
        <w:t>—</w:t>
      </w:r>
      <w:r w:rsidRPr="00B40A77">
        <w:rPr>
          <w:color w:val="000000" w:themeColor="text1"/>
        </w:rPr>
        <w:t>the informant</w:t>
      </w:r>
      <w:r w:rsidRPr="00B40A77">
        <w:rPr>
          <w:color w:val="000000" w:themeColor="text1"/>
          <w:lang w:val="en-US"/>
        </w:rPr>
        <w:t>;</w:t>
      </w:r>
    </w:p>
    <w:p w14:paraId="37FB40F9" w14:textId="36265F62" w:rsidR="00B04647" w:rsidRPr="00B40A77" w:rsidRDefault="00B04647" w:rsidP="00953638">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 xml:space="preserve">in the context of a proceeding in a </w:t>
      </w:r>
      <w:r w:rsidRPr="00B40A77">
        <w:rPr>
          <w:color w:val="000000" w:themeColor="text1"/>
          <w:u w:val="single"/>
          <w:lang w:val="en-US"/>
        </w:rPr>
        <w:t>Higher Court</w:t>
      </w:r>
      <w:r w:rsidRPr="00B40A77">
        <w:rPr>
          <w:rFonts w:cs="Times New Roman"/>
          <w:color w:val="000000" w:themeColor="text1"/>
        </w:rPr>
        <w:t>—</w:t>
      </w:r>
      <w:r w:rsidRPr="00B40A77">
        <w:rPr>
          <w:color w:val="000000" w:themeColor="text1"/>
        </w:rPr>
        <w:t>the Director;</w:t>
      </w:r>
    </w:p>
    <w:p w14:paraId="7E5029D4" w14:textId="77777777" w:rsidR="00A43530" w:rsidRPr="00B40A77" w:rsidRDefault="00A43530" w:rsidP="00A43530">
      <w:pPr>
        <w:pStyle w:val="Doubleindentedpara"/>
        <w:rPr>
          <w:color w:val="000000" w:themeColor="text1"/>
        </w:rPr>
      </w:pPr>
      <w:bookmarkStart w:id="27" w:name="_Hlk80692128"/>
      <w:r w:rsidRPr="00B40A77">
        <w:rPr>
          <w:b/>
          <w:i/>
          <w:color w:val="000000" w:themeColor="text1"/>
        </w:rPr>
        <w:t xml:space="preserve">public authority </w:t>
      </w:r>
      <w:r w:rsidRPr="00B40A77">
        <w:rPr>
          <w:color w:val="000000" w:themeColor="text1"/>
        </w:rPr>
        <w:t>means</w:t>
      </w:r>
      <w:bookmarkEnd w:id="27"/>
      <w:r w:rsidRPr="00B40A77">
        <w:rPr>
          <w:color w:val="000000" w:themeColor="text1"/>
        </w:rPr>
        <w:t xml:space="preserve">— </w:t>
      </w:r>
    </w:p>
    <w:p w14:paraId="60707D24" w14:textId="77777777" w:rsidR="00B10E99" w:rsidRPr="00B40A77" w:rsidRDefault="00A43530" w:rsidP="00953638">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r>
      <w:r w:rsidR="00B10E99" w:rsidRPr="00B40A77">
        <w:rPr>
          <w:color w:val="000000" w:themeColor="text1"/>
          <w:lang w:val="en-US"/>
        </w:rPr>
        <w:t>the Commissioner of Police;</w:t>
      </w:r>
    </w:p>
    <w:p w14:paraId="1A947341" w14:textId="38C54022" w:rsidR="00B10E99" w:rsidRPr="00B40A77" w:rsidRDefault="00B10E99" w:rsidP="00953638">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 xml:space="preserve">an officer of the Australian Federal </w:t>
      </w:r>
      <w:r w:rsidR="00185246" w:rsidRPr="00B40A77">
        <w:rPr>
          <w:color w:val="000000" w:themeColor="text1"/>
          <w:lang w:val="en-US"/>
        </w:rPr>
        <w:t>P</w:t>
      </w:r>
      <w:r w:rsidRPr="00B40A77">
        <w:rPr>
          <w:color w:val="000000" w:themeColor="text1"/>
          <w:lang w:val="en-US"/>
        </w:rPr>
        <w:t>olice;</w:t>
      </w:r>
    </w:p>
    <w:p w14:paraId="6C1868F4" w14:textId="69FB9EC4" w:rsidR="00B10E99" w:rsidRPr="00B40A77" w:rsidRDefault="00B10E99" w:rsidP="00953638">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the Director;</w:t>
      </w:r>
    </w:p>
    <w:p w14:paraId="6461B814" w14:textId="6E4C2CD1" w:rsidR="00A43530" w:rsidRPr="00B40A77" w:rsidRDefault="00B10E99" w:rsidP="00953638">
      <w:pPr>
        <w:pStyle w:val="Doublehangindent"/>
        <w:ind w:left="2007"/>
        <w:rPr>
          <w:color w:val="000000" w:themeColor="text1"/>
          <w:lang w:val="en-US"/>
        </w:rPr>
      </w:pPr>
      <w:r w:rsidRPr="00B40A77">
        <w:rPr>
          <w:color w:val="000000" w:themeColor="text1"/>
          <w:lang w:val="en-US"/>
        </w:rPr>
        <w:lastRenderedPageBreak/>
        <w:t>(</w:t>
      </w:r>
      <w:r w:rsidR="001413A6" w:rsidRPr="00B40A77">
        <w:rPr>
          <w:color w:val="000000" w:themeColor="text1"/>
          <w:lang w:val="en-US"/>
        </w:rPr>
        <w:t>d</w:t>
      </w:r>
      <w:r w:rsidRPr="00B40A77">
        <w:rPr>
          <w:color w:val="000000" w:themeColor="text1"/>
          <w:lang w:val="en-US"/>
        </w:rPr>
        <w:t>)</w:t>
      </w:r>
      <w:r w:rsidRPr="00B40A77">
        <w:rPr>
          <w:color w:val="000000" w:themeColor="text1"/>
          <w:lang w:val="en-US"/>
        </w:rPr>
        <w:tab/>
      </w:r>
      <w:r w:rsidR="00A43530" w:rsidRPr="00B40A77">
        <w:rPr>
          <w:color w:val="000000" w:themeColor="text1"/>
          <w:lang w:val="en-US"/>
        </w:rPr>
        <w:t xml:space="preserve">an </w:t>
      </w:r>
      <w:r w:rsidRPr="00B40A77">
        <w:rPr>
          <w:color w:val="000000" w:themeColor="text1"/>
          <w:lang w:val="en-US"/>
        </w:rPr>
        <w:t xml:space="preserve">(other) </w:t>
      </w:r>
      <w:r w:rsidR="00A43530" w:rsidRPr="00B40A77">
        <w:rPr>
          <w:color w:val="000000" w:themeColor="text1"/>
          <w:lang w:val="en-US"/>
        </w:rPr>
        <w:t>instrumentality</w:t>
      </w:r>
      <w:r w:rsidR="00DB2C06" w:rsidRPr="00B40A77">
        <w:rPr>
          <w:color w:val="000000" w:themeColor="text1"/>
          <w:lang w:val="en-US"/>
        </w:rPr>
        <w:t xml:space="preserve">, </w:t>
      </w:r>
      <w:r w:rsidR="00A43530" w:rsidRPr="00B40A77">
        <w:rPr>
          <w:color w:val="000000" w:themeColor="text1"/>
          <w:lang w:val="en-US"/>
        </w:rPr>
        <w:t xml:space="preserve">agency </w:t>
      </w:r>
      <w:r w:rsidR="00DB2C06" w:rsidRPr="00B40A77">
        <w:rPr>
          <w:color w:val="000000" w:themeColor="text1"/>
          <w:lang w:val="en-US"/>
        </w:rPr>
        <w:t xml:space="preserve">or officer </w:t>
      </w:r>
      <w:r w:rsidR="00A43530" w:rsidRPr="00B40A77">
        <w:rPr>
          <w:color w:val="000000" w:themeColor="text1"/>
          <w:lang w:val="en-US"/>
        </w:rPr>
        <w:t xml:space="preserve">of the Crown in right of </w:t>
      </w:r>
      <w:r w:rsidR="00A43530" w:rsidRPr="00B40A77">
        <w:rPr>
          <w:color w:val="000000" w:themeColor="text1"/>
          <w:u w:val="single"/>
          <w:lang w:val="en-US"/>
        </w:rPr>
        <w:t>the State</w:t>
      </w:r>
      <w:r w:rsidR="00A43530" w:rsidRPr="00B40A77">
        <w:rPr>
          <w:color w:val="000000" w:themeColor="text1"/>
          <w:lang w:val="en-US"/>
        </w:rPr>
        <w:t xml:space="preserve"> or the Commonwealth having the legal capacity to institute and prosecute proceeding</w:t>
      </w:r>
      <w:r w:rsidR="00A43530" w:rsidRPr="00B40A77">
        <w:rPr>
          <w:color w:val="000000" w:themeColor="text1"/>
          <w:u w:val="single"/>
          <w:lang w:val="en-US"/>
        </w:rPr>
        <w:t>s</w:t>
      </w:r>
      <w:r w:rsidR="00A43530" w:rsidRPr="00B40A77">
        <w:rPr>
          <w:color w:val="000000" w:themeColor="text1"/>
          <w:lang w:val="en-US"/>
        </w:rPr>
        <w:t>;</w:t>
      </w:r>
    </w:p>
    <w:p w14:paraId="1CA0736E" w14:textId="22574304" w:rsidR="00A43530" w:rsidRPr="00B40A77" w:rsidRDefault="00B10E99" w:rsidP="00953638">
      <w:pPr>
        <w:pStyle w:val="Doublehangindent"/>
        <w:ind w:left="2007"/>
        <w:rPr>
          <w:color w:val="000000" w:themeColor="text1"/>
          <w:lang w:val="en-US"/>
        </w:rPr>
      </w:pPr>
      <w:r w:rsidRPr="00B40A77">
        <w:rPr>
          <w:color w:val="000000" w:themeColor="text1"/>
          <w:lang w:val="en-US"/>
        </w:rPr>
        <w:t>(f</w:t>
      </w:r>
      <w:r w:rsidR="00A43530" w:rsidRPr="00B40A77">
        <w:rPr>
          <w:color w:val="000000" w:themeColor="text1"/>
          <w:lang w:val="en-US"/>
        </w:rPr>
        <w:t>)</w:t>
      </w:r>
      <w:r w:rsidR="00A43530" w:rsidRPr="00B40A77">
        <w:rPr>
          <w:color w:val="000000" w:themeColor="text1"/>
          <w:lang w:val="en-US"/>
        </w:rPr>
        <w:tab/>
        <w:t>a council</w:t>
      </w:r>
      <w:r w:rsidR="008C231F" w:rsidRPr="00B40A77">
        <w:rPr>
          <w:color w:val="000000" w:themeColor="text1"/>
          <w:lang w:val="en-US"/>
        </w:rPr>
        <w:t xml:space="preserve"> constituted under the </w:t>
      </w:r>
      <w:r w:rsidR="008C231F" w:rsidRPr="00B40A77">
        <w:rPr>
          <w:i/>
          <w:color w:val="000000" w:themeColor="text1"/>
          <w:lang w:val="en-US"/>
        </w:rPr>
        <w:t>Local Government Act 1999</w:t>
      </w:r>
      <w:r w:rsidR="00A43530" w:rsidRPr="00B40A77">
        <w:rPr>
          <w:color w:val="000000" w:themeColor="text1"/>
          <w:lang w:val="en-US"/>
        </w:rPr>
        <w:t>;</w:t>
      </w:r>
    </w:p>
    <w:p w14:paraId="675F4434" w14:textId="24645D84" w:rsidR="00A43530" w:rsidRPr="00B40A77" w:rsidRDefault="00B10E99" w:rsidP="00953638">
      <w:pPr>
        <w:pStyle w:val="Doublehangindent"/>
        <w:ind w:left="2007"/>
        <w:rPr>
          <w:color w:val="000000" w:themeColor="text1"/>
          <w:lang w:val="en-US"/>
        </w:rPr>
      </w:pPr>
      <w:r w:rsidRPr="00B40A77">
        <w:rPr>
          <w:color w:val="000000" w:themeColor="text1"/>
          <w:lang w:val="en-US"/>
        </w:rPr>
        <w:t>(g</w:t>
      </w:r>
      <w:r w:rsidR="00A43530" w:rsidRPr="00B40A77">
        <w:rPr>
          <w:color w:val="000000" w:themeColor="text1"/>
          <w:lang w:val="en-US"/>
        </w:rPr>
        <w:t>)</w:t>
      </w:r>
      <w:r w:rsidR="00A43530" w:rsidRPr="00B40A77">
        <w:rPr>
          <w:color w:val="000000" w:themeColor="text1"/>
          <w:lang w:val="en-US"/>
        </w:rPr>
        <w:tab/>
      </w:r>
      <w:r w:rsidR="008C231F" w:rsidRPr="00B40A77">
        <w:rPr>
          <w:color w:val="000000" w:themeColor="text1"/>
          <w:lang w:val="en-US"/>
        </w:rPr>
        <w:t>the Royal Society for the Prevention of Cruelty to Animals</w:t>
      </w:r>
      <w:r w:rsidR="001413A6" w:rsidRPr="00B40A77">
        <w:rPr>
          <w:color w:val="000000" w:themeColor="text1"/>
          <w:lang w:val="en-US"/>
        </w:rPr>
        <w:t xml:space="preserve"> (SA) Inc</w:t>
      </w:r>
      <w:r w:rsidR="00A43530" w:rsidRPr="00B40A77">
        <w:rPr>
          <w:color w:val="000000" w:themeColor="text1"/>
          <w:lang w:val="en-US"/>
        </w:rPr>
        <w:t>; or</w:t>
      </w:r>
    </w:p>
    <w:p w14:paraId="4CC871AE" w14:textId="39645FA1" w:rsidR="00A43530" w:rsidRPr="00B40A77" w:rsidRDefault="00B10E99" w:rsidP="00953638">
      <w:pPr>
        <w:pStyle w:val="Doublehangindent"/>
        <w:ind w:left="2007"/>
        <w:rPr>
          <w:color w:val="000000" w:themeColor="text1"/>
          <w:lang w:val="en-US"/>
        </w:rPr>
      </w:pPr>
      <w:r w:rsidRPr="00B40A77">
        <w:rPr>
          <w:color w:val="000000" w:themeColor="text1"/>
          <w:lang w:val="en-US"/>
        </w:rPr>
        <w:t>(h</w:t>
      </w:r>
      <w:r w:rsidR="00A43530" w:rsidRPr="00B40A77">
        <w:rPr>
          <w:color w:val="000000" w:themeColor="text1"/>
          <w:lang w:val="en-US"/>
        </w:rPr>
        <w:t>)</w:t>
      </w:r>
      <w:r w:rsidR="00A43530" w:rsidRPr="00B40A77">
        <w:rPr>
          <w:color w:val="000000" w:themeColor="text1"/>
          <w:lang w:val="en-US"/>
        </w:rPr>
        <w:tab/>
      </w:r>
      <w:r w:rsidR="008C231F" w:rsidRPr="00B40A77">
        <w:rPr>
          <w:color w:val="000000" w:themeColor="text1"/>
          <w:lang w:val="en-US"/>
        </w:rPr>
        <w:t>an officer or employee of a body that is a public authority acting in that capacity</w:t>
      </w:r>
      <w:r w:rsidR="00A43530" w:rsidRPr="00B40A77">
        <w:rPr>
          <w:color w:val="000000" w:themeColor="text1"/>
          <w:lang w:val="en-US"/>
        </w:rPr>
        <w:t>;</w:t>
      </w:r>
    </w:p>
    <w:p w14:paraId="1B9BB649" w14:textId="0B5C82B6" w:rsidR="007A3F0B" w:rsidRPr="00B40A77" w:rsidRDefault="007A3F0B" w:rsidP="001E264A">
      <w:pPr>
        <w:pStyle w:val="Doublehangindent"/>
        <w:keepNext/>
        <w:keepLines/>
        <w:ind w:left="1134" w:firstLine="0"/>
        <w:rPr>
          <w:color w:val="000000" w:themeColor="text1"/>
        </w:rPr>
      </w:pPr>
      <w:bookmarkStart w:id="28" w:name="_Hlk80692396"/>
      <w:r w:rsidRPr="00B40A77">
        <w:rPr>
          <w:b/>
          <w:i/>
          <w:color w:val="000000" w:themeColor="text1"/>
        </w:rPr>
        <w:t xml:space="preserve">public officer </w:t>
      </w:r>
      <w:r w:rsidRPr="00B40A77">
        <w:rPr>
          <w:color w:val="000000" w:themeColor="text1"/>
        </w:rPr>
        <w:t>means</w:t>
      </w:r>
      <w:r w:rsidRPr="00B40A77">
        <w:rPr>
          <w:b/>
          <w:i/>
          <w:color w:val="000000" w:themeColor="text1"/>
        </w:rPr>
        <w:t xml:space="preserve"> </w:t>
      </w:r>
      <w:r w:rsidRPr="00B40A77">
        <w:rPr>
          <w:color w:val="000000" w:themeColor="text1"/>
        </w:rPr>
        <w:t xml:space="preserve">an officer or employee of </w:t>
      </w:r>
      <w:r w:rsidR="00AE328E" w:rsidRPr="00B40A77">
        <w:rPr>
          <w:color w:val="000000" w:themeColor="text1"/>
        </w:rPr>
        <w:t xml:space="preserve">a </w:t>
      </w:r>
      <w:r w:rsidR="00AE328E" w:rsidRPr="00B40A77">
        <w:rPr>
          <w:color w:val="000000" w:themeColor="text1"/>
          <w:u w:val="single"/>
        </w:rPr>
        <w:t>public authority</w:t>
      </w:r>
      <w:r w:rsidR="00DB2C06" w:rsidRPr="00B40A77">
        <w:rPr>
          <w:color w:val="000000" w:themeColor="text1"/>
          <w:lang w:val="en-US"/>
        </w:rPr>
        <w:t xml:space="preserve"> acting in that capacity</w:t>
      </w:r>
      <w:r w:rsidR="001E264A" w:rsidRPr="00B40A77">
        <w:rPr>
          <w:color w:val="000000" w:themeColor="text1"/>
          <w:lang w:val="en-US"/>
        </w:rPr>
        <w:t>;</w:t>
      </w:r>
    </w:p>
    <w:p w14:paraId="38E6111F" w14:textId="34B01424" w:rsidR="003D3396" w:rsidRPr="00B40A77" w:rsidRDefault="003D3396" w:rsidP="003D3396">
      <w:pPr>
        <w:pStyle w:val="Doublehangindent"/>
        <w:keepNext/>
        <w:keepLines/>
        <w:rPr>
          <w:color w:val="000000" w:themeColor="text1"/>
        </w:rPr>
      </w:pPr>
      <w:bookmarkStart w:id="29" w:name="_Hlk81201931"/>
      <w:bookmarkEnd w:id="28"/>
      <w:r w:rsidRPr="00B40A77">
        <w:rPr>
          <w:b/>
          <w:i/>
          <w:color w:val="000000" w:themeColor="text1"/>
        </w:rPr>
        <w:t xml:space="preserve">Principal Registrar </w:t>
      </w:r>
      <w:r w:rsidRPr="00B40A77">
        <w:rPr>
          <w:color w:val="000000" w:themeColor="text1"/>
        </w:rPr>
        <w:t xml:space="preserve">means— </w:t>
      </w:r>
    </w:p>
    <w:p w14:paraId="6D2BA222" w14:textId="77777777" w:rsidR="003D3396" w:rsidRPr="00B40A77" w:rsidRDefault="003D3396" w:rsidP="00953638">
      <w:pPr>
        <w:pStyle w:val="Doublehangindent"/>
        <w:keepNext/>
        <w:keepLines/>
        <w:ind w:left="2007"/>
        <w:rPr>
          <w:color w:val="000000" w:themeColor="text1"/>
          <w:lang w:val="en-US"/>
        </w:rPr>
      </w:pPr>
      <w:r w:rsidRPr="00B40A77">
        <w:rPr>
          <w:color w:val="000000" w:themeColor="text1"/>
          <w:lang w:val="en-US"/>
        </w:rPr>
        <w:t>(a)</w:t>
      </w:r>
      <w:r w:rsidRPr="00B40A77">
        <w:rPr>
          <w:color w:val="000000" w:themeColor="text1"/>
          <w:lang w:val="en-US"/>
        </w:rPr>
        <w:tab/>
        <w:t>in respect of the Supreme Court</w:t>
      </w:r>
      <w:r w:rsidRPr="00B40A77">
        <w:rPr>
          <w:rFonts w:cs="Times New Roman"/>
          <w:color w:val="000000" w:themeColor="text1"/>
        </w:rPr>
        <w:t>—</w:t>
      </w:r>
      <w:r w:rsidRPr="00B40A77">
        <w:rPr>
          <w:color w:val="000000" w:themeColor="text1"/>
          <w:lang w:val="en-US"/>
        </w:rPr>
        <w:t xml:space="preserve">the Registrar or Acting Registrar of the </w:t>
      </w:r>
      <w:r w:rsidRPr="00B40A77">
        <w:rPr>
          <w:color w:val="000000" w:themeColor="text1"/>
          <w:u w:val="single"/>
          <w:lang w:val="en-US"/>
        </w:rPr>
        <w:t>Court</w:t>
      </w:r>
      <w:r w:rsidRPr="00B40A77">
        <w:rPr>
          <w:color w:val="000000" w:themeColor="text1"/>
          <w:lang w:val="en-US"/>
        </w:rPr>
        <w:t xml:space="preserve"> and includes a person to whom a function of the Registrar has been delegated;</w:t>
      </w:r>
    </w:p>
    <w:p w14:paraId="3DF7E451" w14:textId="77777777" w:rsidR="003D3396" w:rsidRPr="00B40A77" w:rsidRDefault="003D3396" w:rsidP="00953638">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respect of the District Court</w:t>
      </w:r>
      <w:r w:rsidRPr="00B40A77">
        <w:rPr>
          <w:rFonts w:cs="Times New Roman"/>
          <w:color w:val="000000" w:themeColor="text1"/>
        </w:rPr>
        <w:t>—</w:t>
      </w:r>
      <w:r w:rsidRPr="00B40A77">
        <w:rPr>
          <w:color w:val="000000" w:themeColor="text1"/>
          <w:lang w:val="en-US"/>
        </w:rPr>
        <w:t xml:space="preserve">the Registrar or Acting Registrar of the </w:t>
      </w:r>
      <w:r w:rsidRPr="00B40A77">
        <w:rPr>
          <w:color w:val="000000" w:themeColor="text1"/>
          <w:u w:val="single"/>
          <w:lang w:val="en-US"/>
        </w:rPr>
        <w:t>Court</w:t>
      </w:r>
      <w:r w:rsidRPr="00B40A77">
        <w:rPr>
          <w:color w:val="000000" w:themeColor="text1"/>
          <w:lang w:val="en-US"/>
        </w:rPr>
        <w:t xml:space="preserve"> and includes a person to whom a function of the Registrar has been delegated;</w:t>
      </w:r>
    </w:p>
    <w:p w14:paraId="69FEDBE7" w14:textId="77777777" w:rsidR="003D3396" w:rsidRPr="00B40A77" w:rsidRDefault="003D3396" w:rsidP="00953638">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 xml:space="preserve">in respect of the </w:t>
      </w:r>
      <w:r w:rsidRPr="00B40A77">
        <w:rPr>
          <w:color w:val="000000" w:themeColor="text1"/>
        </w:rPr>
        <w:t>Environment, Resources and Development Court</w:t>
      </w:r>
      <w:r w:rsidRPr="00B40A77">
        <w:rPr>
          <w:rFonts w:cs="Times New Roman"/>
          <w:color w:val="000000" w:themeColor="text1"/>
        </w:rPr>
        <w:t>—</w:t>
      </w:r>
      <w:r w:rsidRPr="00B40A77">
        <w:rPr>
          <w:color w:val="000000" w:themeColor="text1"/>
          <w:lang w:val="en-US"/>
        </w:rPr>
        <w:t xml:space="preserve">the Registrar or Acting Registrar of the </w:t>
      </w:r>
      <w:r w:rsidRPr="00B40A77">
        <w:rPr>
          <w:color w:val="000000" w:themeColor="text1"/>
          <w:u w:val="single"/>
          <w:lang w:val="en-US"/>
        </w:rPr>
        <w:t>Court</w:t>
      </w:r>
      <w:r w:rsidRPr="00B40A77">
        <w:rPr>
          <w:color w:val="000000" w:themeColor="text1"/>
          <w:lang w:val="en-US"/>
        </w:rPr>
        <w:t xml:space="preserve"> and includes a person to whom a function of the Registrar has been delegated;</w:t>
      </w:r>
    </w:p>
    <w:p w14:paraId="71471D02" w14:textId="77777777" w:rsidR="003D3396" w:rsidRPr="00B40A77" w:rsidRDefault="003D3396" w:rsidP="00953638">
      <w:pPr>
        <w:pStyle w:val="Doublehangindent"/>
        <w:ind w:left="2007"/>
        <w:rPr>
          <w:color w:val="000000" w:themeColor="text1"/>
          <w:lang w:val="en-US"/>
        </w:rPr>
      </w:pPr>
      <w:r w:rsidRPr="00B40A77">
        <w:rPr>
          <w:color w:val="000000" w:themeColor="text1"/>
          <w:lang w:val="en-US"/>
        </w:rPr>
        <w:t>(d)</w:t>
      </w:r>
      <w:r w:rsidRPr="00B40A77">
        <w:rPr>
          <w:color w:val="000000" w:themeColor="text1"/>
          <w:lang w:val="en-US"/>
        </w:rPr>
        <w:tab/>
        <w:t>in respect of the Youth Court</w:t>
      </w:r>
      <w:r w:rsidRPr="00B40A77">
        <w:rPr>
          <w:rFonts w:cs="Times New Roman"/>
          <w:color w:val="000000" w:themeColor="text1"/>
        </w:rPr>
        <w:t>—</w:t>
      </w:r>
      <w:r w:rsidRPr="00B40A77">
        <w:rPr>
          <w:color w:val="000000" w:themeColor="text1"/>
          <w:lang w:val="en-US"/>
        </w:rPr>
        <w:t xml:space="preserve">the Registrar or Acting Registrar of the </w:t>
      </w:r>
      <w:r w:rsidRPr="00B40A77">
        <w:rPr>
          <w:color w:val="000000" w:themeColor="text1"/>
          <w:u w:val="single"/>
          <w:lang w:val="en-US"/>
        </w:rPr>
        <w:t>Court</w:t>
      </w:r>
      <w:r w:rsidRPr="00B40A77">
        <w:rPr>
          <w:color w:val="000000" w:themeColor="text1"/>
          <w:lang w:val="en-US"/>
        </w:rPr>
        <w:t xml:space="preserve"> and includes a person to whom a function of the Registrar has been delegated;</w:t>
      </w:r>
    </w:p>
    <w:p w14:paraId="5030CBBD" w14:textId="77777777" w:rsidR="003D3396" w:rsidRPr="00B40A77" w:rsidRDefault="003D3396" w:rsidP="00953638">
      <w:pPr>
        <w:pStyle w:val="Doublehangindent"/>
        <w:ind w:left="2007"/>
        <w:rPr>
          <w:color w:val="000000" w:themeColor="text1"/>
          <w:lang w:val="en-US"/>
        </w:rPr>
      </w:pPr>
      <w:r w:rsidRPr="00B40A77">
        <w:rPr>
          <w:color w:val="000000" w:themeColor="text1"/>
          <w:lang w:val="en-US"/>
        </w:rPr>
        <w:t>(e)</w:t>
      </w:r>
      <w:r w:rsidRPr="00B40A77">
        <w:rPr>
          <w:color w:val="000000" w:themeColor="text1"/>
          <w:lang w:val="en-US"/>
        </w:rPr>
        <w:tab/>
        <w:t>in respect of the Magistrates Court</w:t>
      </w:r>
      <w:r w:rsidRPr="00B40A77">
        <w:rPr>
          <w:rFonts w:cs="Times New Roman"/>
          <w:color w:val="000000" w:themeColor="text1"/>
        </w:rPr>
        <w:t>—</w:t>
      </w:r>
      <w:r w:rsidRPr="00B40A77">
        <w:rPr>
          <w:color w:val="000000" w:themeColor="text1"/>
          <w:lang w:val="en-US"/>
        </w:rPr>
        <w:t xml:space="preserve">the Principal Registrar or Acting Principal Registrar of the </w:t>
      </w:r>
      <w:r w:rsidRPr="00B40A77">
        <w:rPr>
          <w:color w:val="000000" w:themeColor="text1"/>
          <w:u w:val="single"/>
          <w:lang w:val="en-US"/>
        </w:rPr>
        <w:t>Court</w:t>
      </w:r>
      <w:r w:rsidRPr="00B40A77">
        <w:rPr>
          <w:color w:val="000000" w:themeColor="text1"/>
          <w:lang w:val="en-US"/>
        </w:rPr>
        <w:t xml:space="preserve"> and includes a person to whom a function of the Principal Registrar has been delegated;</w:t>
      </w:r>
    </w:p>
    <w:p w14:paraId="4A4B3C37" w14:textId="6B1D102D" w:rsidR="00047A0D" w:rsidRPr="00B40A77" w:rsidRDefault="00047A0D" w:rsidP="00047A0D">
      <w:pPr>
        <w:pStyle w:val="Doubleindentedpara"/>
        <w:rPr>
          <w:color w:val="000000" w:themeColor="text1"/>
        </w:rPr>
      </w:pPr>
      <w:r w:rsidRPr="00B40A77">
        <w:rPr>
          <w:b/>
          <w:i/>
          <w:color w:val="000000" w:themeColor="text1"/>
        </w:rPr>
        <w:t xml:space="preserve">Registrar </w:t>
      </w:r>
      <w:r w:rsidRPr="00B40A77">
        <w:rPr>
          <w:color w:val="000000" w:themeColor="text1"/>
        </w:rPr>
        <w:t xml:space="preserve">means— </w:t>
      </w:r>
    </w:p>
    <w:p w14:paraId="4351F26E" w14:textId="22638DBE" w:rsidR="00047A0D" w:rsidRPr="00B40A77" w:rsidRDefault="00047A0D" w:rsidP="00953638">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in respect of the Supreme Court</w:t>
      </w:r>
      <w:r w:rsidRPr="00B40A77">
        <w:rPr>
          <w:rFonts w:cs="Times New Roman"/>
          <w:color w:val="000000" w:themeColor="text1"/>
        </w:rPr>
        <w:t>—</w:t>
      </w:r>
      <w:r w:rsidRPr="00B40A77">
        <w:rPr>
          <w:color w:val="000000" w:themeColor="text1"/>
          <w:lang w:val="en-US"/>
        </w:rPr>
        <w:t xml:space="preserve">the Registrar, a Deputy Registrar or a person acting as the Registrar or a Deputy Registrar of the </w:t>
      </w:r>
      <w:r w:rsidRPr="00B40A77">
        <w:rPr>
          <w:color w:val="000000" w:themeColor="text1"/>
          <w:u w:val="single"/>
          <w:lang w:val="en-US"/>
        </w:rPr>
        <w:t>Court</w:t>
      </w:r>
      <w:r w:rsidR="00E01A90" w:rsidRPr="00B40A77">
        <w:rPr>
          <w:color w:val="000000" w:themeColor="text1"/>
          <w:lang w:val="en-US"/>
        </w:rPr>
        <w:t xml:space="preserve"> </w:t>
      </w:r>
      <w:r w:rsidR="003D3396" w:rsidRPr="00B40A77">
        <w:rPr>
          <w:color w:val="000000" w:themeColor="text1"/>
          <w:lang w:val="en-US"/>
        </w:rPr>
        <w:t>and includes a person to whom a function of the Registrar has been delegated</w:t>
      </w:r>
      <w:r w:rsidRPr="00B40A77">
        <w:rPr>
          <w:color w:val="000000" w:themeColor="text1"/>
          <w:lang w:val="en-US"/>
        </w:rPr>
        <w:t>;</w:t>
      </w:r>
    </w:p>
    <w:p w14:paraId="39CE47BE" w14:textId="60417DED" w:rsidR="00047A0D" w:rsidRPr="00B40A77" w:rsidRDefault="00047A0D" w:rsidP="00953638">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in respect of the District Court</w:t>
      </w:r>
      <w:r w:rsidRPr="00B40A77">
        <w:rPr>
          <w:rFonts w:cs="Times New Roman"/>
          <w:color w:val="000000" w:themeColor="text1"/>
        </w:rPr>
        <w:t>—</w:t>
      </w:r>
      <w:r w:rsidRPr="00B40A77">
        <w:rPr>
          <w:color w:val="000000" w:themeColor="text1"/>
          <w:lang w:val="en-US"/>
        </w:rPr>
        <w:t>th</w:t>
      </w:r>
      <w:r w:rsidR="00E01A90" w:rsidRPr="00B40A77">
        <w:rPr>
          <w:color w:val="000000" w:themeColor="text1"/>
          <w:lang w:val="en-US"/>
        </w:rPr>
        <w:t>e Registrar, a Deputy Registrar</w:t>
      </w:r>
      <w:r w:rsidRPr="00B40A77">
        <w:rPr>
          <w:color w:val="000000" w:themeColor="text1"/>
          <w:lang w:val="en-US"/>
        </w:rPr>
        <w:t xml:space="preserve"> or a person acting as the Registrar or a Deputy Registrar of the </w:t>
      </w:r>
      <w:r w:rsidR="003D3396" w:rsidRPr="00B40A77">
        <w:rPr>
          <w:color w:val="000000" w:themeColor="text1"/>
          <w:u w:val="single"/>
          <w:lang w:val="en-US"/>
        </w:rPr>
        <w:t>Court</w:t>
      </w:r>
      <w:r w:rsidR="003D3396" w:rsidRPr="00B40A77">
        <w:rPr>
          <w:color w:val="000000" w:themeColor="text1"/>
          <w:lang w:val="en-US"/>
        </w:rPr>
        <w:t xml:space="preserve"> and includes a person to whom a function of the Registrar has been delegated</w:t>
      </w:r>
      <w:r w:rsidRPr="00B40A77">
        <w:rPr>
          <w:color w:val="000000" w:themeColor="text1"/>
          <w:lang w:val="en-US"/>
        </w:rPr>
        <w:t>;</w:t>
      </w:r>
    </w:p>
    <w:p w14:paraId="28CC8835" w14:textId="4B88C703" w:rsidR="007E4DD3" w:rsidRPr="00B40A77" w:rsidRDefault="007E4DD3" w:rsidP="00953638">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 xml:space="preserve">in respect of the </w:t>
      </w:r>
      <w:r w:rsidRPr="00B40A77">
        <w:rPr>
          <w:color w:val="000000" w:themeColor="text1"/>
        </w:rPr>
        <w:t>Environment, Resources and Development Court</w:t>
      </w:r>
      <w:r w:rsidRPr="00B40A77">
        <w:rPr>
          <w:rFonts w:cs="Times New Roman"/>
          <w:color w:val="000000" w:themeColor="text1"/>
        </w:rPr>
        <w:t>—</w:t>
      </w:r>
      <w:r w:rsidRPr="00B40A77">
        <w:rPr>
          <w:color w:val="000000" w:themeColor="text1"/>
          <w:lang w:val="en-US"/>
        </w:rPr>
        <w:t xml:space="preserve">the Registrar </w:t>
      </w:r>
      <w:r w:rsidR="00E01A90" w:rsidRPr="00B40A77">
        <w:rPr>
          <w:color w:val="000000" w:themeColor="text1"/>
          <w:lang w:val="en-US"/>
        </w:rPr>
        <w:t xml:space="preserve">or a person acting as the Registrar of the </w:t>
      </w:r>
      <w:r w:rsidR="003D3396" w:rsidRPr="00B40A77">
        <w:rPr>
          <w:color w:val="000000" w:themeColor="text1"/>
          <w:u w:val="single"/>
          <w:lang w:val="en-US"/>
        </w:rPr>
        <w:t>Court</w:t>
      </w:r>
      <w:r w:rsidR="003D3396" w:rsidRPr="00B40A77">
        <w:rPr>
          <w:color w:val="000000" w:themeColor="text1"/>
          <w:lang w:val="en-US"/>
        </w:rPr>
        <w:t xml:space="preserve"> and includes a person to whom a function of the Registrar has been delegated</w:t>
      </w:r>
      <w:r w:rsidRPr="00B40A77">
        <w:rPr>
          <w:color w:val="000000" w:themeColor="text1"/>
          <w:lang w:val="en-US"/>
        </w:rPr>
        <w:t>;</w:t>
      </w:r>
    </w:p>
    <w:p w14:paraId="49921605" w14:textId="6660EE7D" w:rsidR="007E4DD3" w:rsidRPr="00B40A77" w:rsidRDefault="007E4DD3" w:rsidP="00953638">
      <w:pPr>
        <w:pStyle w:val="Doublehangindent"/>
        <w:ind w:left="2007"/>
        <w:rPr>
          <w:color w:val="000000" w:themeColor="text1"/>
          <w:lang w:val="en-US"/>
        </w:rPr>
      </w:pPr>
      <w:r w:rsidRPr="00B40A77">
        <w:rPr>
          <w:color w:val="000000" w:themeColor="text1"/>
          <w:lang w:val="en-US"/>
        </w:rPr>
        <w:t>(d)</w:t>
      </w:r>
      <w:r w:rsidRPr="00B40A77">
        <w:rPr>
          <w:color w:val="000000" w:themeColor="text1"/>
          <w:lang w:val="en-US"/>
        </w:rPr>
        <w:tab/>
        <w:t>in respect of the Youth Court</w:t>
      </w:r>
      <w:r w:rsidRPr="00B40A77">
        <w:rPr>
          <w:rFonts w:cs="Times New Roman"/>
          <w:color w:val="000000" w:themeColor="text1"/>
        </w:rPr>
        <w:t>—</w:t>
      </w:r>
      <w:r w:rsidRPr="00B40A77">
        <w:rPr>
          <w:color w:val="000000" w:themeColor="text1"/>
          <w:lang w:val="en-US"/>
        </w:rPr>
        <w:t xml:space="preserve">the Registrar </w:t>
      </w:r>
      <w:r w:rsidR="00167C3E" w:rsidRPr="00B40A77">
        <w:rPr>
          <w:color w:val="000000" w:themeColor="text1"/>
          <w:lang w:val="en-US"/>
        </w:rPr>
        <w:t>or Deputy Registrar or a person acting as the Registrar or a Deputy Registrar</w:t>
      </w:r>
      <w:r w:rsidR="00E01A90" w:rsidRPr="00B40A77">
        <w:rPr>
          <w:color w:val="000000" w:themeColor="text1"/>
          <w:lang w:val="en-US"/>
        </w:rPr>
        <w:t xml:space="preserve"> </w:t>
      </w:r>
      <w:r w:rsidRPr="00B40A77">
        <w:rPr>
          <w:color w:val="000000" w:themeColor="text1"/>
          <w:lang w:val="en-US"/>
        </w:rPr>
        <w:t xml:space="preserve">of the </w:t>
      </w:r>
      <w:r w:rsidR="003D3396" w:rsidRPr="00B40A77">
        <w:rPr>
          <w:color w:val="000000" w:themeColor="text1"/>
          <w:u w:val="single"/>
          <w:lang w:val="en-US"/>
        </w:rPr>
        <w:t>Court</w:t>
      </w:r>
      <w:r w:rsidR="003D3396" w:rsidRPr="00B40A77">
        <w:rPr>
          <w:color w:val="000000" w:themeColor="text1"/>
          <w:lang w:val="en-US"/>
        </w:rPr>
        <w:t xml:space="preserve"> and includes a person to whom a function of the Registrar has been delegated</w:t>
      </w:r>
      <w:r w:rsidRPr="00B40A77">
        <w:rPr>
          <w:color w:val="000000" w:themeColor="text1"/>
          <w:lang w:val="en-US"/>
        </w:rPr>
        <w:t>;</w:t>
      </w:r>
    </w:p>
    <w:p w14:paraId="39A31F70" w14:textId="58570475" w:rsidR="00047A0D" w:rsidRPr="00B40A77" w:rsidRDefault="007E4DD3" w:rsidP="00953638">
      <w:pPr>
        <w:pStyle w:val="Doublehangindent"/>
        <w:ind w:left="2007"/>
        <w:rPr>
          <w:color w:val="000000" w:themeColor="text1"/>
          <w:lang w:val="en-US"/>
        </w:rPr>
      </w:pPr>
      <w:r w:rsidRPr="00B40A77">
        <w:rPr>
          <w:color w:val="000000" w:themeColor="text1"/>
          <w:lang w:val="en-US"/>
        </w:rPr>
        <w:t>(e</w:t>
      </w:r>
      <w:r w:rsidR="00047A0D" w:rsidRPr="00B40A77">
        <w:rPr>
          <w:color w:val="000000" w:themeColor="text1"/>
          <w:lang w:val="en-US"/>
        </w:rPr>
        <w:t>)</w:t>
      </w:r>
      <w:r w:rsidR="00047A0D" w:rsidRPr="00B40A77">
        <w:rPr>
          <w:color w:val="000000" w:themeColor="text1"/>
          <w:lang w:val="en-US"/>
        </w:rPr>
        <w:tab/>
        <w:t>in respect of the Magistrates Court</w:t>
      </w:r>
      <w:r w:rsidR="00047A0D" w:rsidRPr="00B40A77">
        <w:rPr>
          <w:rFonts w:cs="Times New Roman"/>
          <w:color w:val="000000" w:themeColor="text1"/>
        </w:rPr>
        <w:t>—</w:t>
      </w:r>
      <w:r w:rsidR="00047A0D" w:rsidRPr="00B40A77">
        <w:rPr>
          <w:color w:val="000000" w:themeColor="text1"/>
          <w:lang w:val="en-US"/>
        </w:rPr>
        <w:t xml:space="preserve">the </w:t>
      </w:r>
      <w:r w:rsidR="00047A0D" w:rsidRPr="00B40A77">
        <w:rPr>
          <w:color w:val="000000" w:themeColor="text1"/>
          <w:u w:val="single"/>
          <w:lang w:val="en-US"/>
        </w:rPr>
        <w:t>Principal Registrar</w:t>
      </w:r>
      <w:r w:rsidR="00047A0D" w:rsidRPr="00B40A77">
        <w:rPr>
          <w:color w:val="000000" w:themeColor="text1"/>
          <w:lang w:val="en-US"/>
        </w:rPr>
        <w:t xml:space="preserve">, a Registrar, a Deputy Registrar or a person acting as the </w:t>
      </w:r>
      <w:r w:rsidR="00047A0D" w:rsidRPr="00B40A77">
        <w:rPr>
          <w:color w:val="000000" w:themeColor="text1"/>
          <w:u w:val="single"/>
          <w:lang w:val="en-US"/>
        </w:rPr>
        <w:t>Principal Registrar</w:t>
      </w:r>
      <w:r w:rsidR="00047A0D" w:rsidRPr="00B40A77">
        <w:rPr>
          <w:color w:val="000000" w:themeColor="text1"/>
          <w:lang w:val="en-US"/>
        </w:rPr>
        <w:t xml:space="preserve">, a Registrar or a Deputy Registrar of the </w:t>
      </w:r>
      <w:r w:rsidR="003D3396" w:rsidRPr="00B40A77">
        <w:rPr>
          <w:color w:val="000000" w:themeColor="text1"/>
          <w:lang w:val="en-US"/>
        </w:rPr>
        <w:t>Court</w:t>
      </w:r>
      <w:r w:rsidR="00047A0D" w:rsidRPr="00B40A77">
        <w:rPr>
          <w:color w:val="000000" w:themeColor="text1"/>
          <w:lang w:val="en-US"/>
        </w:rPr>
        <w:t>;</w:t>
      </w:r>
    </w:p>
    <w:bookmarkEnd w:id="29"/>
    <w:p w14:paraId="42CABB8D" w14:textId="0218A563" w:rsidR="00467048" w:rsidRPr="00B40A77" w:rsidRDefault="00467048" w:rsidP="007156D0">
      <w:pPr>
        <w:pStyle w:val="Doubleindentedpara"/>
        <w:rPr>
          <w:color w:val="000000" w:themeColor="text1"/>
        </w:rPr>
      </w:pPr>
      <w:r w:rsidRPr="00B40A77">
        <w:rPr>
          <w:b/>
          <w:i/>
          <w:color w:val="000000" w:themeColor="text1"/>
        </w:rPr>
        <w:t>respondent</w:t>
      </w:r>
      <w:r w:rsidR="000D602A" w:rsidRPr="00B40A77">
        <w:rPr>
          <w:color w:val="000000" w:themeColor="text1"/>
        </w:rPr>
        <w:t>—</w:t>
      </w:r>
      <w:r w:rsidRPr="00B40A77">
        <w:rPr>
          <w:color w:val="000000" w:themeColor="text1"/>
        </w:rPr>
        <w:t xml:space="preserve">see </w:t>
      </w:r>
      <w:hyperlink w:anchor="_21.1—Party_types" w:history="1">
        <w:r w:rsidRPr="00B40A77">
          <w:rPr>
            <w:rStyle w:val="Hyperlink"/>
            <w:color w:val="000000" w:themeColor="text1"/>
          </w:rPr>
          <w:t xml:space="preserve">rule </w:t>
        </w:r>
        <w:r w:rsidR="00DD7CE9" w:rsidRPr="00B40A77">
          <w:rPr>
            <w:rStyle w:val="Hyperlink"/>
            <w:color w:val="000000" w:themeColor="text1"/>
          </w:rPr>
          <w:t>23</w:t>
        </w:r>
        <w:r w:rsidRPr="00B40A77">
          <w:rPr>
            <w:rStyle w:val="Hyperlink"/>
            <w:color w:val="000000" w:themeColor="text1"/>
          </w:rPr>
          <w:t>.1</w:t>
        </w:r>
      </w:hyperlink>
      <w:r w:rsidRPr="00B40A77">
        <w:rPr>
          <w:color w:val="000000" w:themeColor="text1"/>
        </w:rPr>
        <w:t>;</w:t>
      </w:r>
    </w:p>
    <w:p w14:paraId="7689EB8F" w14:textId="7C90B35E" w:rsidR="00467048" w:rsidRPr="00B40A77" w:rsidRDefault="00467048" w:rsidP="00467048">
      <w:pPr>
        <w:pStyle w:val="Doubleindentedpara"/>
        <w:rPr>
          <w:color w:val="000000" w:themeColor="text1"/>
        </w:rPr>
      </w:pPr>
      <w:r w:rsidRPr="00B40A77">
        <w:rPr>
          <w:b/>
          <w:i/>
          <w:color w:val="000000" w:themeColor="text1"/>
        </w:rPr>
        <w:t xml:space="preserve">responsible solicitor </w:t>
      </w:r>
      <w:r w:rsidRPr="00B40A77">
        <w:rPr>
          <w:color w:val="000000" w:themeColor="text1"/>
        </w:rPr>
        <w:t>in a proceeding</w:t>
      </w:r>
      <w:bookmarkStart w:id="30" w:name="_Hlk29375458"/>
      <w:r w:rsidR="00C40922" w:rsidRPr="00B40A77">
        <w:rPr>
          <w:color w:val="000000" w:themeColor="text1"/>
        </w:rPr>
        <w:t>—</w:t>
      </w:r>
      <w:bookmarkEnd w:id="30"/>
      <w:r w:rsidRPr="00B40A77">
        <w:rPr>
          <w:color w:val="000000" w:themeColor="text1"/>
        </w:rPr>
        <w:t xml:space="preserve">see </w:t>
      </w:r>
      <w:hyperlink w:anchor="_25.3—Responsible_solicitor_acting" w:history="1">
        <w:r w:rsidRPr="00B40A77">
          <w:rPr>
            <w:rStyle w:val="Hyperlink"/>
            <w:color w:val="000000" w:themeColor="text1"/>
          </w:rPr>
          <w:t xml:space="preserve">rule </w:t>
        </w:r>
        <w:r w:rsidR="00AC3168" w:rsidRPr="00B40A77">
          <w:rPr>
            <w:rStyle w:val="Hyperlink"/>
            <w:color w:val="000000" w:themeColor="text1"/>
          </w:rPr>
          <w:t>2</w:t>
        </w:r>
        <w:r w:rsidR="00376FC8" w:rsidRPr="00B40A77">
          <w:rPr>
            <w:rStyle w:val="Hyperlink"/>
            <w:color w:val="000000" w:themeColor="text1"/>
          </w:rPr>
          <w:t>4</w:t>
        </w:r>
        <w:r w:rsidRPr="00B40A77">
          <w:rPr>
            <w:rStyle w:val="Hyperlink"/>
            <w:color w:val="000000" w:themeColor="text1"/>
          </w:rPr>
          <w:t>.3</w:t>
        </w:r>
      </w:hyperlink>
      <w:r w:rsidR="00376FC8" w:rsidRPr="00B40A77">
        <w:rPr>
          <w:rStyle w:val="Hyperlink"/>
          <w:color w:val="000000" w:themeColor="text1"/>
          <w:u w:val="none"/>
        </w:rPr>
        <w:t xml:space="preserve"> and </w:t>
      </w:r>
      <w:hyperlink w:anchor="_25.3—Responsible_solicitor" w:history="1">
        <w:r w:rsidR="00376FC8" w:rsidRPr="00B40A77">
          <w:rPr>
            <w:rStyle w:val="Hyperlink"/>
            <w:color w:val="000000" w:themeColor="text1"/>
          </w:rPr>
          <w:t>rule 25.3</w:t>
        </w:r>
      </w:hyperlink>
      <w:r w:rsidRPr="00B40A77">
        <w:rPr>
          <w:color w:val="000000" w:themeColor="text1"/>
        </w:rPr>
        <w:t>;</w:t>
      </w:r>
    </w:p>
    <w:p w14:paraId="495B6966" w14:textId="28378638" w:rsidR="00467048" w:rsidRPr="00B40A77" w:rsidRDefault="00467048" w:rsidP="00467048">
      <w:pPr>
        <w:pStyle w:val="Doubleindentedpara"/>
        <w:rPr>
          <w:color w:val="000000" w:themeColor="text1"/>
        </w:rPr>
      </w:pPr>
      <w:r w:rsidRPr="00B40A77">
        <w:rPr>
          <w:b/>
          <w:i/>
          <w:color w:val="000000" w:themeColor="text1"/>
        </w:rPr>
        <w:t xml:space="preserve">Rules </w:t>
      </w:r>
      <w:r w:rsidRPr="00B40A77">
        <w:rPr>
          <w:color w:val="000000" w:themeColor="text1"/>
        </w:rPr>
        <w:t>means the</w:t>
      </w:r>
      <w:r w:rsidR="00B859D0" w:rsidRPr="00B40A77">
        <w:rPr>
          <w:i/>
          <w:color w:val="000000" w:themeColor="text1"/>
        </w:rPr>
        <w:t xml:space="preserve"> </w:t>
      </w:r>
      <w:r w:rsidR="00ED61B0" w:rsidRPr="00B40A77">
        <w:rPr>
          <w:i/>
          <w:color w:val="000000" w:themeColor="text1"/>
        </w:rPr>
        <w:t>Joint</w:t>
      </w:r>
      <w:r w:rsidR="00EA4BBC" w:rsidRPr="00B40A77">
        <w:rPr>
          <w:i/>
          <w:color w:val="000000" w:themeColor="text1"/>
        </w:rPr>
        <w:t xml:space="preserve"> Criminal</w:t>
      </w:r>
      <w:r w:rsidR="00B859D0" w:rsidRPr="00B40A77">
        <w:rPr>
          <w:i/>
          <w:color w:val="000000" w:themeColor="text1"/>
        </w:rPr>
        <w:t xml:space="preserve"> Rules 202</w:t>
      </w:r>
      <w:r w:rsidR="00595864" w:rsidRPr="00B40A77">
        <w:rPr>
          <w:i/>
          <w:color w:val="000000" w:themeColor="text1"/>
        </w:rPr>
        <w:t>2</w:t>
      </w:r>
      <w:r w:rsidR="00BC4BB4" w:rsidRPr="00B40A77">
        <w:rPr>
          <w:i/>
          <w:color w:val="000000" w:themeColor="text1"/>
        </w:rPr>
        <w:t>;</w:t>
      </w:r>
    </w:p>
    <w:p w14:paraId="23BD694B" w14:textId="24B390CC" w:rsidR="00C56BAD" w:rsidRPr="00B40A77" w:rsidRDefault="00C56BAD" w:rsidP="00467048">
      <w:pPr>
        <w:pStyle w:val="Doubleindentedpara"/>
        <w:rPr>
          <w:b/>
          <w:i/>
          <w:color w:val="000000" w:themeColor="text1"/>
        </w:rPr>
      </w:pPr>
      <w:r w:rsidRPr="00B40A77">
        <w:rPr>
          <w:b/>
          <w:i/>
          <w:color w:val="000000" w:themeColor="text1"/>
        </w:rPr>
        <w:lastRenderedPageBreak/>
        <w:t xml:space="preserve">SAPOL </w:t>
      </w:r>
      <w:r w:rsidRPr="00B40A77">
        <w:rPr>
          <w:color w:val="000000" w:themeColor="text1"/>
        </w:rPr>
        <w:t xml:space="preserve">means South Australia Police within the meaning of section 4 of the </w:t>
      </w:r>
      <w:r w:rsidRPr="00B40A77">
        <w:rPr>
          <w:i/>
          <w:color w:val="000000" w:themeColor="text1"/>
        </w:rPr>
        <w:t>Police Act 1988</w:t>
      </w:r>
      <w:r w:rsidRPr="00B40A77">
        <w:rPr>
          <w:color w:val="000000" w:themeColor="text1"/>
        </w:rPr>
        <w:t>;</w:t>
      </w:r>
    </w:p>
    <w:p w14:paraId="158CAF4C" w14:textId="77777777" w:rsidR="002B4AFF" w:rsidRPr="00B40A77" w:rsidRDefault="002B4AFF" w:rsidP="002B4AFF">
      <w:pPr>
        <w:pStyle w:val="Doublehangindent"/>
        <w:keepNext/>
        <w:keepLines/>
        <w:rPr>
          <w:color w:val="000000" w:themeColor="text1"/>
        </w:rPr>
      </w:pPr>
      <w:r w:rsidRPr="00B40A77">
        <w:rPr>
          <w:b/>
          <w:i/>
          <w:color w:val="000000" w:themeColor="text1"/>
        </w:rPr>
        <w:t xml:space="preserve">SAPOL Prosecution Branch </w:t>
      </w:r>
      <w:r w:rsidRPr="00B40A77">
        <w:rPr>
          <w:color w:val="000000" w:themeColor="text1"/>
        </w:rPr>
        <w:t xml:space="preserve">means— </w:t>
      </w:r>
    </w:p>
    <w:p w14:paraId="512DAD9B" w14:textId="4C3D346C" w:rsidR="002B4AFF" w:rsidRPr="00B40A77" w:rsidRDefault="002B4AFF" w:rsidP="00953638">
      <w:pPr>
        <w:pStyle w:val="Doublehangindent"/>
        <w:keepNext/>
        <w:keepLines/>
        <w:ind w:left="2007"/>
        <w:rPr>
          <w:color w:val="000000" w:themeColor="text1"/>
          <w:lang w:val="en-US"/>
        </w:rPr>
      </w:pPr>
      <w:r w:rsidRPr="00B40A77">
        <w:rPr>
          <w:color w:val="000000" w:themeColor="text1"/>
          <w:lang w:val="en-US"/>
        </w:rPr>
        <w:t>(a)</w:t>
      </w:r>
      <w:r w:rsidRPr="00B40A77">
        <w:rPr>
          <w:color w:val="000000" w:themeColor="text1"/>
          <w:lang w:val="en-US"/>
        </w:rPr>
        <w:tab/>
        <w:t xml:space="preserve">the Prosecution Services Branch of </w:t>
      </w:r>
      <w:r w:rsidRPr="00B40A77">
        <w:rPr>
          <w:color w:val="000000" w:themeColor="text1"/>
          <w:u w:val="single"/>
          <w:lang w:val="en-US"/>
        </w:rPr>
        <w:t>SAPOL</w:t>
      </w:r>
      <w:r w:rsidRPr="00B40A77">
        <w:rPr>
          <w:color w:val="000000" w:themeColor="text1"/>
          <w:lang w:val="en-US"/>
        </w:rPr>
        <w:t>;</w:t>
      </w:r>
    </w:p>
    <w:p w14:paraId="7AC2E52D" w14:textId="02E2E87B" w:rsidR="002B4AFF" w:rsidRPr="00B40A77" w:rsidRDefault="002B4AFF" w:rsidP="00953638">
      <w:pPr>
        <w:pStyle w:val="Doublehangindent"/>
        <w:keepNext/>
        <w:keepLines/>
        <w:ind w:left="2007"/>
        <w:rPr>
          <w:color w:val="000000" w:themeColor="text1"/>
          <w:lang w:val="en-US"/>
        </w:rPr>
      </w:pPr>
      <w:r w:rsidRPr="00B40A77">
        <w:rPr>
          <w:color w:val="000000" w:themeColor="text1"/>
          <w:lang w:val="en-US"/>
        </w:rPr>
        <w:t>(b)</w:t>
      </w:r>
      <w:r w:rsidRPr="00B40A77">
        <w:rPr>
          <w:color w:val="000000" w:themeColor="text1"/>
          <w:lang w:val="en-US"/>
        </w:rPr>
        <w:tab/>
        <w:t xml:space="preserve">the Professional Conduct Section of the Ethical and Professional Services Branch of </w:t>
      </w:r>
      <w:r w:rsidRPr="00B40A77">
        <w:rPr>
          <w:color w:val="000000" w:themeColor="text1"/>
          <w:u w:val="single"/>
          <w:lang w:val="en-US"/>
        </w:rPr>
        <w:t>SAPOL</w:t>
      </w:r>
      <w:r w:rsidRPr="00B40A77">
        <w:rPr>
          <w:color w:val="000000" w:themeColor="text1"/>
          <w:lang w:val="en-US"/>
        </w:rPr>
        <w:t>; or</w:t>
      </w:r>
    </w:p>
    <w:p w14:paraId="0219F4A5" w14:textId="23B315F3" w:rsidR="002B4AFF" w:rsidRPr="00B40A77" w:rsidRDefault="002B4AFF" w:rsidP="00953638">
      <w:pPr>
        <w:pStyle w:val="Doublehangindent"/>
        <w:keepNext/>
        <w:keepLines/>
        <w:ind w:left="2007"/>
        <w:rPr>
          <w:color w:val="000000" w:themeColor="text1"/>
          <w:lang w:val="en-US"/>
        </w:rPr>
      </w:pPr>
      <w:r w:rsidRPr="00B40A77">
        <w:rPr>
          <w:color w:val="000000" w:themeColor="text1"/>
          <w:lang w:val="en-US"/>
        </w:rPr>
        <w:t>(c)</w:t>
      </w:r>
      <w:r w:rsidRPr="00B40A77">
        <w:rPr>
          <w:color w:val="000000" w:themeColor="text1"/>
          <w:lang w:val="en-US"/>
        </w:rPr>
        <w:tab/>
        <w:t xml:space="preserve">the </w:t>
      </w:r>
      <w:r w:rsidR="00E85555" w:rsidRPr="00B40A77">
        <w:rPr>
          <w:color w:val="000000" w:themeColor="text1"/>
          <w:lang w:val="en-US"/>
        </w:rPr>
        <w:t>Licensing Enforcement</w:t>
      </w:r>
      <w:r w:rsidRPr="00B40A77">
        <w:rPr>
          <w:color w:val="000000" w:themeColor="text1"/>
          <w:lang w:val="en-US"/>
        </w:rPr>
        <w:t xml:space="preserve"> Branch of </w:t>
      </w:r>
      <w:r w:rsidRPr="00B40A77">
        <w:rPr>
          <w:color w:val="000000" w:themeColor="text1"/>
          <w:u w:val="single"/>
          <w:lang w:val="en-US"/>
        </w:rPr>
        <w:t>SAPOL</w:t>
      </w:r>
      <w:r w:rsidRPr="00B40A77">
        <w:rPr>
          <w:color w:val="000000" w:themeColor="text1"/>
          <w:lang w:val="en-US"/>
        </w:rPr>
        <w:t>;</w:t>
      </w:r>
    </w:p>
    <w:p w14:paraId="479C490E" w14:textId="2571FDED" w:rsidR="00F57C28" w:rsidRPr="00B40A77" w:rsidRDefault="00F57C28" w:rsidP="00F57C28">
      <w:pPr>
        <w:pStyle w:val="Doubleindentedpara"/>
        <w:rPr>
          <w:color w:val="000000" w:themeColor="text1"/>
        </w:rPr>
      </w:pPr>
      <w:r w:rsidRPr="00B40A77">
        <w:rPr>
          <w:b/>
          <w:i/>
          <w:color w:val="000000" w:themeColor="text1"/>
        </w:rPr>
        <w:t xml:space="preserve">Senior Judge </w:t>
      </w:r>
      <w:r w:rsidRPr="00B40A77">
        <w:rPr>
          <w:color w:val="000000" w:themeColor="text1"/>
        </w:rPr>
        <w:t>means the Senior Judge of the Environment</w:t>
      </w:r>
      <w:r w:rsidR="000C0371" w:rsidRPr="00B40A77">
        <w:rPr>
          <w:color w:val="000000" w:themeColor="text1"/>
        </w:rPr>
        <w:t>,</w:t>
      </w:r>
      <w:r w:rsidRPr="00B40A77">
        <w:rPr>
          <w:color w:val="000000" w:themeColor="text1"/>
        </w:rPr>
        <w:t xml:space="preserve"> Resources and Development Court;</w:t>
      </w:r>
    </w:p>
    <w:p w14:paraId="37F07E29" w14:textId="77777777" w:rsidR="001B314C" w:rsidRPr="00B40A77" w:rsidRDefault="00A83A71" w:rsidP="005D2257">
      <w:pPr>
        <w:pStyle w:val="Doubleindentedpara"/>
        <w:keepNext/>
        <w:rPr>
          <w:bCs/>
          <w:iCs/>
          <w:color w:val="000000" w:themeColor="text1"/>
        </w:rPr>
      </w:pPr>
      <w:r w:rsidRPr="00B40A77">
        <w:rPr>
          <w:b/>
          <w:i/>
          <w:color w:val="000000" w:themeColor="text1"/>
        </w:rPr>
        <w:t xml:space="preserve">sentence </w:t>
      </w:r>
      <w:r w:rsidRPr="00B40A77">
        <w:rPr>
          <w:bCs/>
          <w:iCs/>
          <w:color w:val="000000" w:themeColor="text1"/>
        </w:rPr>
        <w:t>means</w:t>
      </w:r>
      <w:r w:rsidR="001B314C" w:rsidRPr="00B40A77">
        <w:rPr>
          <w:color w:val="000000" w:themeColor="text1"/>
        </w:rPr>
        <w:t>—</w:t>
      </w:r>
      <w:r w:rsidRPr="00B40A77">
        <w:rPr>
          <w:bCs/>
          <w:iCs/>
          <w:color w:val="000000" w:themeColor="text1"/>
        </w:rPr>
        <w:t xml:space="preserve"> </w:t>
      </w:r>
    </w:p>
    <w:p w14:paraId="6B543983" w14:textId="77777777" w:rsidR="00007DA4" w:rsidRPr="00B40A77" w:rsidRDefault="00007DA4" w:rsidP="005D2257">
      <w:pPr>
        <w:pStyle w:val="Doublehangindent"/>
        <w:keepLines/>
        <w:ind w:left="2007"/>
        <w:rPr>
          <w:color w:val="000000" w:themeColor="text1"/>
          <w:lang w:val="en-US"/>
        </w:rPr>
      </w:pPr>
      <w:r w:rsidRPr="00B40A77">
        <w:rPr>
          <w:color w:val="000000" w:themeColor="text1"/>
          <w:lang w:val="en-US"/>
        </w:rPr>
        <w:t>(a)</w:t>
      </w:r>
      <w:r w:rsidRPr="00B40A77">
        <w:rPr>
          <w:color w:val="000000" w:themeColor="text1"/>
          <w:lang w:val="en-US"/>
        </w:rPr>
        <w:tab/>
        <w:t xml:space="preserve">an order imposing or varying a penalty (for example imprisonment, a fine, a community service obligation or other obligation), including </w:t>
      </w:r>
      <w:r w:rsidRPr="00B40A77">
        <w:rPr>
          <w:color w:val="000000" w:themeColor="text1"/>
        </w:rPr>
        <w:t>fixing, extending or negating a non-parole period</w:t>
      </w:r>
      <w:r w:rsidRPr="00B40A77">
        <w:rPr>
          <w:color w:val="000000" w:themeColor="text1"/>
          <w:lang w:val="en-US"/>
        </w:rPr>
        <w:t>;</w:t>
      </w:r>
    </w:p>
    <w:p w14:paraId="192F3BAC" w14:textId="77777777" w:rsidR="00007DA4" w:rsidRPr="00B40A77" w:rsidRDefault="00007DA4" w:rsidP="005D2257">
      <w:pPr>
        <w:pStyle w:val="Doublehangindent"/>
        <w:keepLines/>
        <w:ind w:left="2007"/>
        <w:rPr>
          <w:color w:val="000000" w:themeColor="text1"/>
        </w:rPr>
      </w:pPr>
      <w:r w:rsidRPr="00B40A77">
        <w:rPr>
          <w:color w:val="000000" w:themeColor="text1"/>
          <w:lang w:val="en-US"/>
        </w:rPr>
        <w:t>(b)</w:t>
      </w:r>
      <w:r w:rsidRPr="00B40A77">
        <w:rPr>
          <w:color w:val="000000" w:themeColor="text1"/>
          <w:lang w:val="en-US"/>
        </w:rPr>
        <w:tab/>
      </w:r>
      <w:r w:rsidRPr="00B40A77">
        <w:rPr>
          <w:color w:val="000000" w:themeColor="text1"/>
        </w:rPr>
        <w:t>a decision to offer a defendant or youth an opportunity to enter into a bond, recognizance or other undertaking and entry into such a bond, recognizance or other undertaking;</w:t>
      </w:r>
    </w:p>
    <w:p w14:paraId="082ACBF8" w14:textId="77777777" w:rsidR="005D2257" w:rsidRPr="00B40A77" w:rsidRDefault="00007DA4" w:rsidP="005D2257">
      <w:pPr>
        <w:pStyle w:val="Doublehangindent"/>
        <w:keepLines/>
        <w:ind w:left="2007"/>
        <w:rPr>
          <w:color w:val="000000" w:themeColor="text1"/>
        </w:rPr>
      </w:pPr>
      <w:r w:rsidRPr="00B40A77">
        <w:rPr>
          <w:color w:val="000000" w:themeColor="text1"/>
        </w:rPr>
        <w:t>(c)</w:t>
      </w:r>
      <w:r w:rsidRPr="00B40A77">
        <w:rPr>
          <w:color w:val="000000" w:themeColor="text1"/>
        </w:rPr>
        <w:tab/>
        <w:t>any other order affecting penalty, including a decision to discharge a defendant or youth without imposing a penalty or without recording a conviction;</w:t>
      </w:r>
    </w:p>
    <w:p w14:paraId="57F9B4B6" w14:textId="20340EDC" w:rsidR="00007DA4" w:rsidRPr="00B40A77" w:rsidRDefault="00007DA4" w:rsidP="005D2257">
      <w:pPr>
        <w:pStyle w:val="Doublehangindent"/>
        <w:keepLines/>
        <w:ind w:left="2007"/>
        <w:rPr>
          <w:color w:val="000000" w:themeColor="text1"/>
        </w:rPr>
      </w:pPr>
      <w:r w:rsidRPr="00B40A77">
        <w:rPr>
          <w:color w:val="000000" w:themeColor="text1"/>
        </w:rPr>
        <w:t>(d)</w:t>
      </w:r>
      <w:r w:rsidRPr="00B40A77">
        <w:rPr>
          <w:color w:val="000000" w:themeColor="text1"/>
        </w:rPr>
        <w:tab/>
      </w:r>
      <w:r w:rsidRPr="00B40A77">
        <w:rPr>
          <w:color w:val="000000" w:themeColor="text1"/>
          <w:lang w:val="en-US"/>
        </w:rPr>
        <w:t>a costs order, an order for compensation or any other order that imposes an obligation for moneys to be paid in a proceeding; or</w:t>
      </w:r>
    </w:p>
    <w:p w14:paraId="106A772C" w14:textId="12A4138A" w:rsidR="00007DA4" w:rsidRPr="00B40A77" w:rsidRDefault="00007DA4" w:rsidP="005D2257">
      <w:pPr>
        <w:pStyle w:val="Doublehangindent"/>
        <w:keepLines/>
        <w:ind w:left="2007"/>
        <w:rPr>
          <w:color w:val="000000" w:themeColor="text1"/>
        </w:rPr>
      </w:pPr>
      <w:r w:rsidRPr="00B40A77">
        <w:rPr>
          <w:color w:val="000000" w:themeColor="text1"/>
        </w:rPr>
        <w:t>(e)</w:t>
      </w:r>
      <w:r w:rsidRPr="00B40A77">
        <w:rPr>
          <w:color w:val="000000" w:themeColor="text1"/>
        </w:rPr>
        <w:tab/>
        <w:t>any other order made in consequence of a defendant or youth being convicted or found guilty of an offence;</w:t>
      </w:r>
    </w:p>
    <w:p w14:paraId="0816487F" w14:textId="4DC0CCD4" w:rsidR="008C66F1" w:rsidRPr="00B40A77" w:rsidRDefault="008C66F1" w:rsidP="008C66F1">
      <w:pPr>
        <w:pStyle w:val="Doubleindentedpara"/>
        <w:rPr>
          <w:b/>
          <w:i/>
          <w:color w:val="000000" w:themeColor="text1"/>
        </w:rPr>
      </w:pPr>
      <w:r w:rsidRPr="00B40A77">
        <w:rPr>
          <w:b/>
          <w:i/>
          <w:color w:val="000000" w:themeColor="text1"/>
        </w:rPr>
        <w:t xml:space="preserve">sensitive material </w:t>
      </w:r>
      <w:r w:rsidRPr="00B40A77">
        <w:rPr>
          <w:bCs/>
          <w:iCs/>
          <w:color w:val="000000" w:themeColor="text1"/>
        </w:rPr>
        <w:t xml:space="preserve">has the </w:t>
      </w:r>
      <w:r w:rsidRPr="00B40A77">
        <w:rPr>
          <w:color w:val="000000" w:themeColor="text1"/>
        </w:rPr>
        <w:t>meaning given by section 67</w:t>
      </w:r>
      <w:r w:rsidR="00FC5F9D" w:rsidRPr="00B40A77">
        <w:rPr>
          <w:color w:val="000000" w:themeColor="text1"/>
        </w:rPr>
        <w:t>H</w:t>
      </w:r>
      <w:r w:rsidRPr="00B40A77">
        <w:rPr>
          <w:color w:val="000000" w:themeColor="text1"/>
        </w:rPr>
        <w:t xml:space="preserve"> of the </w:t>
      </w:r>
      <w:r w:rsidRPr="00B40A77">
        <w:rPr>
          <w:iCs/>
          <w:color w:val="000000" w:themeColor="text1"/>
          <w:u w:val="single"/>
        </w:rPr>
        <w:t>Evidence Act</w:t>
      </w:r>
      <w:r w:rsidRPr="00B40A77">
        <w:rPr>
          <w:color w:val="000000" w:themeColor="text1"/>
        </w:rPr>
        <w:t>;</w:t>
      </w:r>
    </w:p>
    <w:p w14:paraId="49A567D1" w14:textId="31C05C95" w:rsidR="00DC1B6F" w:rsidRPr="00B40A77" w:rsidRDefault="00DC1B6F" w:rsidP="00467048">
      <w:pPr>
        <w:pStyle w:val="Doubleindentedpara"/>
        <w:rPr>
          <w:b/>
          <w:i/>
          <w:color w:val="000000" w:themeColor="text1"/>
        </w:rPr>
      </w:pPr>
      <w:r w:rsidRPr="00B40A77">
        <w:rPr>
          <w:b/>
          <w:i/>
          <w:color w:val="000000" w:themeColor="text1"/>
        </w:rPr>
        <w:t xml:space="preserve">Sentencing Act </w:t>
      </w:r>
      <w:r w:rsidRPr="00B40A77">
        <w:rPr>
          <w:color w:val="000000" w:themeColor="text1"/>
        </w:rPr>
        <w:t xml:space="preserve">means the </w:t>
      </w:r>
      <w:r w:rsidRPr="00B40A77">
        <w:rPr>
          <w:i/>
          <w:color w:val="000000" w:themeColor="text1"/>
        </w:rPr>
        <w:t>Sentencing Act 2017</w:t>
      </w:r>
      <w:r w:rsidRPr="00B40A77">
        <w:rPr>
          <w:color w:val="000000" w:themeColor="text1"/>
        </w:rPr>
        <w:t>;</w:t>
      </w:r>
    </w:p>
    <w:p w14:paraId="7EFA3A32" w14:textId="43C4CC47" w:rsidR="006C0698" w:rsidRPr="00B40A77" w:rsidRDefault="006C0698" w:rsidP="006A5750">
      <w:pPr>
        <w:pStyle w:val="Doubleindentedpara"/>
        <w:keepLines/>
        <w:rPr>
          <w:b/>
          <w:i/>
          <w:color w:val="000000" w:themeColor="text1"/>
        </w:rPr>
      </w:pPr>
      <w:r w:rsidRPr="00B40A77">
        <w:rPr>
          <w:b/>
          <w:i/>
          <w:color w:val="000000" w:themeColor="text1"/>
        </w:rPr>
        <w:t xml:space="preserve">sentencing hearing </w:t>
      </w:r>
      <w:r w:rsidRPr="00B40A77">
        <w:rPr>
          <w:color w:val="000000" w:themeColor="text1"/>
        </w:rPr>
        <w:t xml:space="preserve">means a </w:t>
      </w:r>
      <w:r w:rsidRPr="00B40A77">
        <w:rPr>
          <w:color w:val="000000" w:themeColor="text1"/>
          <w:u w:val="single"/>
        </w:rPr>
        <w:t>hearing</w:t>
      </w:r>
      <w:r w:rsidRPr="00B40A77">
        <w:rPr>
          <w:color w:val="000000" w:themeColor="text1"/>
        </w:rPr>
        <w:t xml:space="preserve"> related to the orders to be made after a defendant or youth has</w:t>
      </w:r>
      <w:r w:rsidR="00AC3168" w:rsidRPr="00B40A77">
        <w:rPr>
          <w:color w:val="000000" w:themeColor="text1"/>
        </w:rPr>
        <w:t xml:space="preserve"> pleaded or been found guilty, </w:t>
      </w:r>
      <w:r w:rsidRPr="00B40A77">
        <w:rPr>
          <w:color w:val="000000" w:themeColor="text1"/>
        </w:rPr>
        <w:t xml:space="preserve">has been found </w:t>
      </w:r>
      <w:r w:rsidRPr="00B40A77">
        <w:rPr>
          <w:color w:val="000000" w:themeColor="text1"/>
          <w:u w:val="single"/>
        </w:rPr>
        <w:t>unfit to plead</w:t>
      </w:r>
      <w:r w:rsidRPr="00B40A77">
        <w:rPr>
          <w:color w:val="000000" w:themeColor="text1"/>
        </w:rPr>
        <w:t xml:space="preserve"> or has been found </w:t>
      </w:r>
      <w:r w:rsidRPr="00B40A77">
        <w:rPr>
          <w:color w:val="000000" w:themeColor="text1"/>
          <w:u w:val="single"/>
        </w:rPr>
        <w:t>mentally incompetent</w:t>
      </w:r>
      <w:r w:rsidRPr="00B40A77">
        <w:rPr>
          <w:color w:val="000000" w:themeColor="text1"/>
        </w:rPr>
        <w:t xml:space="preserve"> to commit </w:t>
      </w:r>
      <w:r w:rsidR="000D62B1" w:rsidRPr="00B40A77">
        <w:rPr>
          <w:color w:val="000000" w:themeColor="text1"/>
        </w:rPr>
        <w:t>a</w:t>
      </w:r>
      <w:r w:rsidR="000C0371" w:rsidRPr="00B40A77">
        <w:rPr>
          <w:color w:val="000000" w:themeColor="text1"/>
        </w:rPr>
        <w:t>n</w:t>
      </w:r>
      <w:r w:rsidRPr="00B40A77">
        <w:rPr>
          <w:color w:val="000000" w:themeColor="text1"/>
        </w:rPr>
        <w:t xml:space="preserve"> offence</w:t>
      </w:r>
      <w:r w:rsidR="000D62B1" w:rsidRPr="00B40A77">
        <w:rPr>
          <w:color w:val="000000" w:themeColor="text1"/>
        </w:rPr>
        <w:t xml:space="preserve"> (including a </w:t>
      </w:r>
      <w:r w:rsidR="000D62B1" w:rsidRPr="00B40A77">
        <w:rPr>
          <w:color w:val="000000" w:themeColor="text1"/>
          <w:u w:val="single"/>
        </w:rPr>
        <w:t>hearing</w:t>
      </w:r>
      <w:r w:rsidR="000D62B1" w:rsidRPr="00B40A77">
        <w:rPr>
          <w:color w:val="000000" w:themeColor="text1"/>
        </w:rPr>
        <w:t xml:space="preserve"> at which evidence is adduced or submissions made for that purpose or at which such orders are made)</w:t>
      </w:r>
      <w:r w:rsidRPr="00B40A77">
        <w:rPr>
          <w:color w:val="000000" w:themeColor="text1"/>
        </w:rPr>
        <w:t>;</w:t>
      </w:r>
    </w:p>
    <w:p w14:paraId="76CBA539" w14:textId="3D34BE26" w:rsidR="00C95D55" w:rsidRPr="00B40A77" w:rsidRDefault="00C95D55" w:rsidP="00C95D55">
      <w:pPr>
        <w:pStyle w:val="Hangindent"/>
        <w:ind w:firstLine="0"/>
        <w:rPr>
          <w:color w:val="000000" w:themeColor="text1"/>
          <w:lang w:val="en-US"/>
        </w:rPr>
      </w:pPr>
      <w:r w:rsidRPr="00B40A77">
        <w:rPr>
          <w:b/>
          <w:i/>
          <w:color w:val="000000" w:themeColor="text1"/>
          <w:szCs w:val="24"/>
          <w:lang w:val="en-US"/>
        </w:rPr>
        <w:t>serious and organised crime suspect</w:t>
      </w:r>
      <w:r w:rsidRPr="00B40A77">
        <w:rPr>
          <w:color w:val="000000" w:themeColor="text1"/>
          <w:szCs w:val="24"/>
          <w:lang w:val="en-US"/>
        </w:rPr>
        <w:t xml:space="preserve"> means a person who is the subject of a serious and organised crime suspect determination under section 3A of the </w:t>
      </w:r>
      <w:r w:rsidRPr="00B40A77">
        <w:rPr>
          <w:color w:val="000000" w:themeColor="text1"/>
          <w:szCs w:val="24"/>
          <w:u w:val="single"/>
          <w:lang w:val="en-US"/>
        </w:rPr>
        <w:t>Bail Act</w:t>
      </w:r>
      <w:r w:rsidRPr="00B40A77">
        <w:rPr>
          <w:color w:val="000000" w:themeColor="text1"/>
          <w:szCs w:val="24"/>
          <w:lang w:val="en-US"/>
        </w:rPr>
        <w:t>;</w:t>
      </w:r>
    </w:p>
    <w:p w14:paraId="6341DED4" w14:textId="364D4272" w:rsidR="006176DC" w:rsidRPr="00B40A77" w:rsidRDefault="006176DC" w:rsidP="00467048">
      <w:pPr>
        <w:pStyle w:val="Doubleindentedpara"/>
        <w:rPr>
          <w:color w:val="000000" w:themeColor="text1"/>
        </w:rPr>
      </w:pPr>
      <w:r w:rsidRPr="00B40A77">
        <w:rPr>
          <w:b/>
          <w:i/>
          <w:color w:val="000000" w:themeColor="text1"/>
        </w:rPr>
        <w:t>Service and Execution of Process Act</w:t>
      </w:r>
      <w:r w:rsidRPr="00B40A77">
        <w:rPr>
          <w:color w:val="000000" w:themeColor="text1"/>
        </w:rPr>
        <w:t xml:space="preserve"> means the </w:t>
      </w:r>
      <w:r w:rsidRPr="00B40A77">
        <w:rPr>
          <w:i/>
          <w:color w:val="000000" w:themeColor="text1"/>
        </w:rPr>
        <w:t>Service and Execution of Process Act 1992</w:t>
      </w:r>
      <w:r w:rsidRPr="00B40A77">
        <w:rPr>
          <w:color w:val="000000" w:themeColor="text1"/>
        </w:rPr>
        <w:t xml:space="preserve"> (Cth);</w:t>
      </w:r>
    </w:p>
    <w:p w14:paraId="3863405A" w14:textId="61E7B86C" w:rsidR="00893EA8" w:rsidRPr="00B40A77" w:rsidRDefault="00FF46DA" w:rsidP="00FF46DA">
      <w:pPr>
        <w:pStyle w:val="Hangindent"/>
        <w:ind w:firstLine="0"/>
        <w:rPr>
          <w:b/>
          <w:i/>
          <w:color w:val="000000" w:themeColor="text1"/>
        </w:rPr>
      </w:pPr>
      <w:r w:rsidRPr="00B40A77">
        <w:rPr>
          <w:rFonts w:cs="Times New Roman"/>
          <w:b/>
          <w:i/>
          <w:color w:val="000000" w:themeColor="text1"/>
        </w:rPr>
        <w:t xml:space="preserve">sheriff </w:t>
      </w:r>
      <w:r w:rsidRPr="00B40A77">
        <w:rPr>
          <w:rFonts w:cs="Times New Roman"/>
          <w:color w:val="000000" w:themeColor="text1"/>
        </w:rPr>
        <w:t xml:space="preserve">means the sheriff within the meaning of the </w:t>
      </w:r>
      <w:r w:rsidRPr="00B40A77">
        <w:rPr>
          <w:rFonts w:cs="Times New Roman"/>
          <w:i/>
          <w:color w:val="000000" w:themeColor="text1"/>
        </w:rPr>
        <w:t xml:space="preserve">Sheriff’s Act 1978 </w:t>
      </w:r>
      <w:r w:rsidRPr="00B40A77">
        <w:rPr>
          <w:rFonts w:cs="Times New Roman"/>
          <w:color w:val="000000" w:themeColor="text1"/>
        </w:rPr>
        <w:t>and</w:t>
      </w:r>
      <w:r w:rsidRPr="00B40A77">
        <w:rPr>
          <w:color w:val="000000" w:themeColor="text1"/>
        </w:rPr>
        <w:t xml:space="preserve"> where the context requires</w:t>
      </w:r>
      <w:r w:rsidR="00511E0D" w:rsidRPr="00B40A77">
        <w:rPr>
          <w:color w:val="000000" w:themeColor="text1"/>
        </w:rPr>
        <w:t xml:space="preserve"> </w:t>
      </w:r>
      <w:r w:rsidRPr="00B40A77">
        <w:rPr>
          <w:color w:val="000000" w:themeColor="text1"/>
        </w:rPr>
        <w:t xml:space="preserve">includes deputy sheriffs and sheriff’s officers within the meaning of section 6 of the </w:t>
      </w:r>
      <w:r w:rsidRPr="00B40A77">
        <w:rPr>
          <w:i/>
          <w:color w:val="000000" w:themeColor="text1"/>
        </w:rPr>
        <w:t>Sheriff’s Act 1978</w:t>
      </w:r>
      <w:r w:rsidRPr="00B40A77">
        <w:rPr>
          <w:color w:val="000000" w:themeColor="text1"/>
        </w:rPr>
        <w:t xml:space="preserve">; </w:t>
      </w:r>
    </w:p>
    <w:p w14:paraId="053FECC2" w14:textId="4B7BE199" w:rsidR="0005696D" w:rsidRPr="00B40A77" w:rsidRDefault="0005696D" w:rsidP="0005696D">
      <w:pPr>
        <w:pStyle w:val="Doubleindentedpara"/>
        <w:rPr>
          <w:color w:val="000000" w:themeColor="text1"/>
        </w:rPr>
      </w:pPr>
      <w:r w:rsidRPr="00B40A77">
        <w:rPr>
          <w:b/>
          <w:bCs/>
          <w:i/>
          <w:iCs/>
          <w:color w:val="000000" w:themeColor="text1"/>
        </w:rPr>
        <w:t xml:space="preserve">a </w:t>
      </w:r>
      <w:r w:rsidRPr="00B40A77">
        <w:rPr>
          <w:b/>
          <w:i/>
          <w:color w:val="000000" w:themeColor="text1"/>
        </w:rPr>
        <w:t xml:space="preserve">State </w:t>
      </w:r>
      <w:r w:rsidRPr="00B40A77">
        <w:rPr>
          <w:color w:val="000000" w:themeColor="text1"/>
        </w:rPr>
        <w:t>means a State of Australia, the Northern Territory or the Australian Capital Territory;</w:t>
      </w:r>
    </w:p>
    <w:p w14:paraId="006A71D9" w14:textId="77777777" w:rsidR="0005696D" w:rsidRPr="00B40A77" w:rsidRDefault="0005696D" w:rsidP="0005696D">
      <w:pPr>
        <w:pStyle w:val="Doubleindentedpara"/>
        <w:rPr>
          <w:color w:val="000000" w:themeColor="text1"/>
        </w:rPr>
      </w:pPr>
      <w:r w:rsidRPr="00B40A77">
        <w:rPr>
          <w:b/>
          <w:i/>
          <w:color w:val="000000" w:themeColor="text1"/>
        </w:rPr>
        <w:t xml:space="preserve">the State </w:t>
      </w:r>
      <w:r w:rsidRPr="00B40A77">
        <w:rPr>
          <w:color w:val="000000" w:themeColor="text1"/>
        </w:rPr>
        <w:t>means the State of South Australia;</w:t>
      </w:r>
    </w:p>
    <w:p w14:paraId="54CD1546" w14:textId="23CE77A5" w:rsidR="00467048" w:rsidRPr="00B40A77" w:rsidRDefault="00467048" w:rsidP="00467048">
      <w:pPr>
        <w:pStyle w:val="Doubleindentedpara"/>
        <w:rPr>
          <w:color w:val="000000" w:themeColor="text1"/>
        </w:rPr>
      </w:pPr>
      <w:r w:rsidRPr="00B40A77">
        <w:rPr>
          <w:b/>
          <w:i/>
          <w:color w:val="000000" w:themeColor="text1"/>
        </w:rPr>
        <w:t>statut</w:t>
      </w:r>
      <w:r w:rsidR="00511E0D" w:rsidRPr="00B40A77">
        <w:rPr>
          <w:b/>
          <w:i/>
          <w:color w:val="000000" w:themeColor="text1"/>
        </w:rPr>
        <w:t>ory provision</w:t>
      </w:r>
      <w:r w:rsidRPr="00B40A77">
        <w:rPr>
          <w:color w:val="000000" w:themeColor="text1"/>
        </w:rPr>
        <w:t xml:space="preserve"> includes</w:t>
      </w:r>
      <w:r w:rsidR="00C40922" w:rsidRPr="00B40A77">
        <w:rPr>
          <w:color w:val="000000" w:themeColor="text1"/>
        </w:rPr>
        <w:t>—</w:t>
      </w:r>
    </w:p>
    <w:p w14:paraId="5AB5EEC0" w14:textId="7C44CDA7" w:rsidR="00467048" w:rsidRPr="00B40A77" w:rsidRDefault="00467048" w:rsidP="000D41FB">
      <w:pPr>
        <w:pStyle w:val="Doublehangindent"/>
        <w:ind w:left="2007"/>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an Act within the meaning of the </w:t>
      </w:r>
      <w:r w:rsidR="00511E0D" w:rsidRPr="00B40A77">
        <w:rPr>
          <w:i/>
          <w:color w:val="000000" w:themeColor="text1"/>
          <w:lang w:val="en-US"/>
        </w:rPr>
        <w:t>Legislative</w:t>
      </w:r>
      <w:r w:rsidRPr="00B40A77">
        <w:rPr>
          <w:i/>
          <w:color w:val="000000" w:themeColor="text1"/>
          <w:lang w:val="en-US"/>
        </w:rPr>
        <w:t xml:space="preserve"> Interpretation Act</w:t>
      </w:r>
      <w:r w:rsidR="00410D6E" w:rsidRPr="00B40A77">
        <w:rPr>
          <w:i/>
          <w:color w:val="000000" w:themeColor="text1"/>
          <w:lang w:val="en-US"/>
        </w:rPr>
        <w:t xml:space="preserve"> 2021</w:t>
      </w:r>
      <w:r w:rsidRPr="00B40A77">
        <w:rPr>
          <w:color w:val="000000" w:themeColor="text1"/>
          <w:lang w:val="en-US"/>
        </w:rPr>
        <w:t xml:space="preserve"> and</w:t>
      </w:r>
      <w:r w:rsidR="00C44B09" w:rsidRPr="00B40A77">
        <w:rPr>
          <w:color w:val="000000" w:themeColor="text1"/>
          <w:lang w:val="en-US"/>
        </w:rPr>
        <w:t>,</w:t>
      </w:r>
      <w:r w:rsidRPr="00B40A77">
        <w:rPr>
          <w:color w:val="000000" w:themeColor="text1"/>
          <w:lang w:val="en-US"/>
        </w:rPr>
        <w:t xml:space="preserve"> where applicable</w:t>
      </w:r>
      <w:r w:rsidR="00C44B09" w:rsidRPr="00B40A77">
        <w:rPr>
          <w:color w:val="000000" w:themeColor="text1"/>
          <w:lang w:val="en-US"/>
        </w:rPr>
        <w:t>,</w:t>
      </w:r>
      <w:r w:rsidRPr="00B40A77">
        <w:rPr>
          <w:color w:val="000000" w:themeColor="text1"/>
          <w:lang w:val="en-US"/>
        </w:rPr>
        <w:t xml:space="preserve"> legislation of another polity that would be a</w:t>
      </w:r>
      <w:r w:rsidR="006451EF" w:rsidRPr="00B40A77">
        <w:rPr>
          <w:color w:val="000000" w:themeColor="text1"/>
          <w:lang w:val="en-US"/>
        </w:rPr>
        <w:t xml:space="preserve">n Act </w:t>
      </w:r>
      <w:r w:rsidRPr="00B40A77">
        <w:rPr>
          <w:color w:val="000000" w:themeColor="text1"/>
          <w:lang w:val="en-US"/>
        </w:rPr>
        <w:t>if made in or under the laws of South Australia;</w:t>
      </w:r>
    </w:p>
    <w:p w14:paraId="1095312A" w14:textId="5CB08841" w:rsidR="00467048" w:rsidRPr="00B40A77" w:rsidRDefault="00467048" w:rsidP="000D41FB">
      <w:pPr>
        <w:pStyle w:val="Doublehangindent"/>
        <w:ind w:left="2007"/>
        <w:rPr>
          <w:color w:val="000000" w:themeColor="text1"/>
          <w:lang w:val="en-US"/>
        </w:rPr>
      </w:pPr>
      <w:r w:rsidRPr="00B40A77">
        <w:rPr>
          <w:color w:val="000000" w:themeColor="text1"/>
          <w:lang w:val="en-US"/>
        </w:rPr>
        <w:t>(b)</w:t>
      </w:r>
      <w:r w:rsidRPr="00B40A77">
        <w:rPr>
          <w:color w:val="000000" w:themeColor="text1"/>
          <w:lang w:val="en-US"/>
        </w:rPr>
        <w:tab/>
        <w:t xml:space="preserve">a </w:t>
      </w:r>
      <w:r w:rsidR="002C1EDA" w:rsidRPr="00B40A77">
        <w:rPr>
          <w:color w:val="000000" w:themeColor="text1"/>
          <w:lang w:val="en-US"/>
        </w:rPr>
        <w:t>legislative</w:t>
      </w:r>
      <w:r w:rsidRPr="00B40A77">
        <w:rPr>
          <w:color w:val="000000" w:themeColor="text1"/>
          <w:lang w:val="en-US"/>
        </w:rPr>
        <w:t xml:space="preserve"> instrument within the meaning of the </w:t>
      </w:r>
      <w:r w:rsidR="00410D6E" w:rsidRPr="00B40A77">
        <w:rPr>
          <w:i/>
          <w:color w:val="000000" w:themeColor="text1"/>
          <w:lang w:val="en-US"/>
        </w:rPr>
        <w:t>Legislative Interpretation Act 2021</w:t>
      </w:r>
      <w:r w:rsidR="00410D6E" w:rsidRPr="00B40A77">
        <w:rPr>
          <w:color w:val="000000" w:themeColor="text1"/>
          <w:lang w:val="en-US"/>
        </w:rPr>
        <w:t xml:space="preserve"> </w:t>
      </w:r>
      <w:r w:rsidRPr="00B40A77">
        <w:rPr>
          <w:color w:val="000000" w:themeColor="text1"/>
          <w:lang w:val="en-US"/>
        </w:rPr>
        <w:t>and</w:t>
      </w:r>
      <w:r w:rsidR="00C44B09" w:rsidRPr="00B40A77">
        <w:rPr>
          <w:color w:val="000000" w:themeColor="text1"/>
          <w:lang w:val="en-US"/>
        </w:rPr>
        <w:t>,</w:t>
      </w:r>
      <w:r w:rsidRPr="00B40A77">
        <w:rPr>
          <w:color w:val="000000" w:themeColor="text1"/>
          <w:lang w:val="en-US"/>
        </w:rPr>
        <w:t xml:space="preserve"> where applicable</w:t>
      </w:r>
      <w:r w:rsidR="00C44B09" w:rsidRPr="00B40A77">
        <w:rPr>
          <w:color w:val="000000" w:themeColor="text1"/>
          <w:lang w:val="en-US"/>
        </w:rPr>
        <w:t>,</w:t>
      </w:r>
      <w:r w:rsidRPr="00B40A77">
        <w:rPr>
          <w:color w:val="000000" w:themeColor="text1"/>
          <w:lang w:val="en-US"/>
        </w:rPr>
        <w:t xml:space="preserve"> an instrument of another polity that would be a </w:t>
      </w:r>
      <w:r w:rsidR="002C1EDA" w:rsidRPr="00B40A77">
        <w:rPr>
          <w:color w:val="000000" w:themeColor="text1"/>
          <w:lang w:val="en-US"/>
        </w:rPr>
        <w:t>legislative</w:t>
      </w:r>
      <w:r w:rsidRPr="00B40A77">
        <w:rPr>
          <w:color w:val="000000" w:themeColor="text1"/>
          <w:lang w:val="en-US"/>
        </w:rPr>
        <w:t xml:space="preserve"> instrument if made in or under the laws of South Australia;</w:t>
      </w:r>
    </w:p>
    <w:p w14:paraId="468BE3EF" w14:textId="77777777" w:rsidR="00467048" w:rsidRPr="00B40A77" w:rsidRDefault="00467048" w:rsidP="000D41FB">
      <w:pPr>
        <w:pStyle w:val="Doublehangindent"/>
        <w:ind w:left="2007"/>
        <w:rPr>
          <w:color w:val="000000" w:themeColor="text1"/>
          <w:lang w:val="en-US"/>
        </w:rPr>
      </w:pPr>
      <w:r w:rsidRPr="00B40A77">
        <w:rPr>
          <w:color w:val="000000" w:themeColor="text1"/>
          <w:lang w:val="en-US"/>
        </w:rPr>
        <w:t>(c)</w:t>
      </w:r>
      <w:r w:rsidRPr="00B40A77">
        <w:rPr>
          <w:color w:val="000000" w:themeColor="text1"/>
          <w:lang w:val="en-US"/>
        </w:rPr>
        <w:tab/>
        <w:t>these Rules and any other applicable rules of court;</w:t>
      </w:r>
      <w:r w:rsidR="00C40922" w:rsidRPr="00B40A77">
        <w:rPr>
          <w:color w:val="000000" w:themeColor="text1"/>
          <w:lang w:val="en-US"/>
        </w:rPr>
        <w:t xml:space="preserve"> and</w:t>
      </w:r>
    </w:p>
    <w:p w14:paraId="7FB43331" w14:textId="28F712F4" w:rsidR="00467048" w:rsidRPr="00B40A77" w:rsidRDefault="00467048" w:rsidP="000D41FB">
      <w:pPr>
        <w:pStyle w:val="Doublehangindent"/>
        <w:ind w:left="2007"/>
        <w:rPr>
          <w:color w:val="000000" w:themeColor="text1"/>
          <w:lang w:val="en-US"/>
        </w:rPr>
      </w:pPr>
      <w:r w:rsidRPr="00B40A77">
        <w:rPr>
          <w:color w:val="000000" w:themeColor="text1"/>
          <w:lang w:val="en-US"/>
        </w:rPr>
        <w:t>(d)</w:t>
      </w:r>
      <w:r w:rsidRPr="00B40A77">
        <w:rPr>
          <w:color w:val="000000" w:themeColor="text1"/>
          <w:lang w:val="en-US"/>
        </w:rPr>
        <w:tab/>
        <w:t xml:space="preserve">a provision of such an Act, </w:t>
      </w:r>
      <w:r w:rsidR="002C1EDA" w:rsidRPr="00B40A77">
        <w:rPr>
          <w:color w:val="000000" w:themeColor="text1"/>
          <w:lang w:val="en-US"/>
        </w:rPr>
        <w:t>legislative</w:t>
      </w:r>
      <w:r w:rsidRPr="00B40A77">
        <w:rPr>
          <w:color w:val="000000" w:themeColor="text1"/>
          <w:lang w:val="en-US"/>
        </w:rPr>
        <w:t xml:space="preserve"> instrument or rules of court;</w:t>
      </w:r>
    </w:p>
    <w:p w14:paraId="3F1CEA2B" w14:textId="34B4573E" w:rsidR="00467048" w:rsidRPr="00B40A77" w:rsidRDefault="00467048" w:rsidP="00467048">
      <w:pPr>
        <w:pStyle w:val="Doubleindentedpara"/>
        <w:rPr>
          <w:color w:val="000000" w:themeColor="text1"/>
        </w:rPr>
      </w:pPr>
      <w:r w:rsidRPr="00B40A77">
        <w:rPr>
          <w:b/>
          <w:i/>
          <w:color w:val="000000" w:themeColor="text1"/>
        </w:rPr>
        <w:t>step</w:t>
      </w:r>
      <w:r w:rsidRPr="00B40A77">
        <w:rPr>
          <w:color w:val="000000" w:themeColor="text1"/>
        </w:rPr>
        <w:t xml:space="preserve"> in </w:t>
      </w:r>
      <w:r w:rsidR="00A83A71" w:rsidRPr="00B40A77">
        <w:rPr>
          <w:color w:val="000000" w:themeColor="text1"/>
        </w:rPr>
        <w:t xml:space="preserve">relation to </w:t>
      </w:r>
      <w:r w:rsidRPr="00B40A77">
        <w:rPr>
          <w:color w:val="000000" w:themeColor="text1"/>
        </w:rPr>
        <w:t>a proceeding or appellate proceeding includes a document filed, process issued, action taken or order made in the proceeding;</w:t>
      </w:r>
    </w:p>
    <w:p w14:paraId="535047C4" w14:textId="563E2223" w:rsidR="00801AE3" w:rsidRPr="00B40A77" w:rsidRDefault="0042083D" w:rsidP="00467048">
      <w:pPr>
        <w:pStyle w:val="Doubleindentedpara"/>
        <w:rPr>
          <w:color w:val="000000" w:themeColor="text1"/>
        </w:rPr>
      </w:pPr>
      <w:r w:rsidRPr="00B40A77">
        <w:rPr>
          <w:b/>
          <w:bCs/>
          <w:i/>
          <w:iCs/>
          <w:color w:val="000000" w:themeColor="text1"/>
        </w:rPr>
        <w:t>subpoena</w:t>
      </w:r>
      <w:r w:rsidR="00801AE3" w:rsidRPr="00B40A77">
        <w:rPr>
          <w:color w:val="000000" w:themeColor="text1"/>
        </w:rPr>
        <w:t>—see</w:t>
      </w:r>
      <w:r w:rsidR="00B91B5C" w:rsidRPr="00B40A77">
        <w:rPr>
          <w:color w:val="000000" w:themeColor="text1"/>
        </w:rPr>
        <w:t xml:space="preserve"> </w:t>
      </w:r>
      <w:hyperlink w:anchor="_122.1—Interpretation" w:history="1">
        <w:r w:rsidR="00B91B5C" w:rsidRPr="00B40A77">
          <w:rPr>
            <w:rStyle w:val="Hyperlink"/>
            <w:color w:val="000000" w:themeColor="text1"/>
          </w:rPr>
          <w:t>rule 122.1</w:t>
        </w:r>
      </w:hyperlink>
      <w:r w:rsidR="00801AE3" w:rsidRPr="00B40A77">
        <w:rPr>
          <w:color w:val="000000" w:themeColor="text1"/>
        </w:rPr>
        <w:t>;</w:t>
      </w:r>
    </w:p>
    <w:p w14:paraId="5C4D8819" w14:textId="532BC13E" w:rsidR="00AD3332" w:rsidRPr="00B40A77" w:rsidRDefault="00AD3332" w:rsidP="00AD3332">
      <w:pPr>
        <w:pStyle w:val="Doubleindentedpara"/>
        <w:rPr>
          <w:color w:val="000000" w:themeColor="text1"/>
        </w:rPr>
      </w:pPr>
      <w:r w:rsidRPr="00B40A77">
        <w:rPr>
          <w:b/>
          <w:i/>
          <w:color w:val="000000" w:themeColor="text1"/>
        </w:rPr>
        <w:t>summary offence</w:t>
      </w:r>
      <w:r w:rsidRPr="00B40A77">
        <w:rPr>
          <w:color w:val="000000" w:themeColor="text1"/>
        </w:rPr>
        <w:t xml:space="preserve"> means a summary offence withi</w:t>
      </w:r>
      <w:r w:rsidR="001F1618" w:rsidRPr="00B40A77">
        <w:rPr>
          <w:color w:val="000000" w:themeColor="text1"/>
        </w:rPr>
        <w:t>n the meaning of section 5(2)</w:t>
      </w:r>
      <w:r w:rsidRPr="00B40A77">
        <w:rPr>
          <w:color w:val="000000" w:themeColor="text1"/>
        </w:rPr>
        <w:t xml:space="preserve"> of the </w:t>
      </w:r>
      <w:r w:rsidRPr="00B40A77">
        <w:rPr>
          <w:color w:val="000000" w:themeColor="text1"/>
          <w:u w:val="single"/>
        </w:rPr>
        <w:t>Procedure Act</w:t>
      </w:r>
      <w:r w:rsidR="001F1618" w:rsidRPr="00B40A77">
        <w:rPr>
          <w:color w:val="000000" w:themeColor="text1"/>
        </w:rPr>
        <w:t xml:space="preserve"> or section 4H of the </w:t>
      </w:r>
      <w:r w:rsidR="001F1618" w:rsidRPr="00B40A77">
        <w:rPr>
          <w:color w:val="000000" w:themeColor="text1"/>
          <w:u w:val="single"/>
        </w:rPr>
        <w:t>Crimes Act</w:t>
      </w:r>
      <w:r w:rsidR="002C1EDA" w:rsidRPr="00B40A77">
        <w:rPr>
          <w:color w:val="000000" w:themeColor="text1"/>
        </w:rPr>
        <w:t xml:space="preserve"> as </w:t>
      </w:r>
      <w:r w:rsidR="009274D1" w:rsidRPr="00B40A77">
        <w:rPr>
          <w:color w:val="000000" w:themeColor="text1"/>
        </w:rPr>
        <w:t>the context requires</w:t>
      </w:r>
      <w:r w:rsidRPr="00B40A77">
        <w:rPr>
          <w:color w:val="000000" w:themeColor="text1"/>
        </w:rPr>
        <w:t>;</w:t>
      </w:r>
    </w:p>
    <w:p w14:paraId="156E765C" w14:textId="27952110" w:rsidR="00467048" w:rsidRPr="00B40A77" w:rsidRDefault="00467048" w:rsidP="00467048">
      <w:pPr>
        <w:pStyle w:val="Doubleindentedpara"/>
        <w:rPr>
          <w:color w:val="000000" w:themeColor="text1"/>
        </w:rPr>
      </w:pPr>
      <w:r w:rsidRPr="00B40A77">
        <w:rPr>
          <w:b/>
          <w:i/>
          <w:color w:val="000000" w:themeColor="text1"/>
        </w:rPr>
        <w:t>trial</w:t>
      </w:r>
      <w:r w:rsidR="002B1AF6" w:rsidRPr="00B40A77">
        <w:rPr>
          <w:color w:val="000000" w:themeColor="text1"/>
        </w:rPr>
        <w:t xml:space="preserve"> means a </w:t>
      </w:r>
      <w:r w:rsidR="002B1AF6" w:rsidRPr="00B40A77">
        <w:rPr>
          <w:color w:val="000000" w:themeColor="text1"/>
          <w:u w:val="single"/>
        </w:rPr>
        <w:t>hearing</w:t>
      </w:r>
      <w:r w:rsidR="002B1AF6" w:rsidRPr="00B40A77">
        <w:rPr>
          <w:color w:val="000000" w:themeColor="text1"/>
        </w:rPr>
        <w:t xml:space="preserve"> to determine whether the defendant or </w:t>
      </w:r>
      <w:r w:rsidR="007F546C" w:rsidRPr="00B40A77">
        <w:rPr>
          <w:color w:val="000000" w:themeColor="text1"/>
        </w:rPr>
        <w:t>youth</w:t>
      </w:r>
      <w:r w:rsidR="002B1AF6" w:rsidRPr="00B40A77">
        <w:rPr>
          <w:color w:val="000000" w:themeColor="text1"/>
        </w:rPr>
        <w:t xml:space="preserve"> is guilty or not guilty of </w:t>
      </w:r>
      <w:r w:rsidR="002C1EDA" w:rsidRPr="00B40A77">
        <w:rPr>
          <w:color w:val="000000" w:themeColor="text1"/>
        </w:rPr>
        <w:t>an</w:t>
      </w:r>
      <w:r w:rsidR="002B1AF6" w:rsidRPr="00B40A77">
        <w:rPr>
          <w:color w:val="000000" w:themeColor="text1"/>
        </w:rPr>
        <w:t xml:space="preserve"> offence charged</w:t>
      </w:r>
      <w:r w:rsidR="00E46B3A" w:rsidRPr="00B40A77">
        <w:rPr>
          <w:color w:val="000000" w:themeColor="text1"/>
        </w:rPr>
        <w:t xml:space="preserve"> or </w:t>
      </w:r>
      <w:r w:rsidR="006C0698" w:rsidRPr="00B40A77">
        <w:rPr>
          <w:color w:val="000000" w:themeColor="text1"/>
        </w:rPr>
        <w:t xml:space="preserve">is </w:t>
      </w:r>
      <w:r w:rsidR="006C0698" w:rsidRPr="00B40A77">
        <w:rPr>
          <w:color w:val="000000" w:themeColor="text1"/>
          <w:u w:val="single"/>
        </w:rPr>
        <w:t>unfit to stand trial</w:t>
      </w:r>
      <w:r w:rsidR="006C0698" w:rsidRPr="00B40A77">
        <w:rPr>
          <w:color w:val="000000" w:themeColor="text1"/>
        </w:rPr>
        <w:t xml:space="preserve"> or was </w:t>
      </w:r>
      <w:r w:rsidR="006C0698" w:rsidRPr="00B40A77">
        <w:rPr>
          <w:color w:val="000000" w:themeColor="text1"/>
          <w:u w:val="single"/>
        </w:rPr>
        <w:t>mentally incompetent</w:t>
      </w:r>
      <w:r w:rsidR="006C0698" w:rsidRPr="00B40A77">
        <w:rPr>
          <w:color w:val="000000" w:themeColor="text1"/>
        </w:rPr>
        <w:t xml:space="preserve"> to commit an offence charged</w:t>
      </w:r>
      <w:r w:rsidR="000D62B1" w:rsidRPr="00B40A77">
        <w:rPr>
          <w:color w:val="000000" w:themeColor="text1"/>
        </w:rPr>
        <w:t xml:space="preserve"> </w:t>
      </w:r>
      <w:r w:rsidR="00DE0F21" w:rsidRPr="00B40A77">
        <w:rPr>
          <w:color w:val="000000" w:themeColor="text1"/>
        </w:rPr>
        <w:t xml:space="preserve">or </w:t>
      </w:r>
      <w:r w:rsidR="009C4C16" w:rsidRPr="00B40A77">
        <w:rPr>
          <w:color w:val="000000" w:themeColor="text1"/>
        </w:rPr>
        <w:t xml:space="preserve">whether </w:t>
      </w:r>
      <w:r w:rsidR="00DE0F21" w:rsidRPr="00B40A77">
        <w:rPr>
          <w:color w:val="000000" w:themeColor="text1"/>
        </w:rPr>
        <w:t xml:space="preserve">the objective elements of </w:t>
      </w:r>
      <w:r w:rsidR="004C0928" w:rsidRPr="00B40A77">
        <w:rPr>
          <w:color w:val="000000" w:themeColor="text1"/>
        </w:rPr>
        <w:t>an</w:t>
      </w:r>
      <w:r w:rsidR="00DE0F21" w:rsidRPr="00B40A77">
        <w:rPr>
          <w:color w:val="000000" w:themeColor="text1"/>
        </w:rPr>
        <w:t xml:space="preserve"> </w:t>
      </w:r>
      <w:r w:rsidR="0075343D" w:rsidRPr="00B40A77">
        <w:rPr>
          <w:color w:val="000000" w:themeColor="text1"/>
        </w:rPr>
        <w:t xml:space="preserve">offence charged are established </w:t>
      </w:r>
      <w:r w:rsidR="000D62B1" w:rsidRPr="00B40A77">
        <w:rPr>
          <w:color w:val="000000" w:themeColor="text1"/>
        </w:rPr>
        <w:t>(and includes delivery of the verdict)</w:t>
      </w:r>
      <w:r w:rsidRPr="00B40A77">
        <w:rPr>
          <w:color w:val="000000" w:themeColor="text1"/>
        </w:rPr>
        <w:t>;</w:t>
      </w:r>
    </w:p>
    <w:p w14:paraId="49FCB9EE" w14:textId="70D3990A" w:rsidR="00BF31B5" w:rsidRPr="00B40A77" w:rsidRDefault="00BF31B5" w:rsidP="00BF31B5">
      <w:pPr>
        <w:pStyle w:val="Doubleindentedpara"/>
        <w:rPr>
          <w:color w:val="000000" w:themeColor="text1"/>
        </w:rPr>
      </w:pPr>
      <w:r w:rsidRPr="00B40A77">
        <w:rPr>
          <w:b/>
          <w:i/>
          <w:color w:val="000000" w:themeColor="text1"/>
        </w:rPr>
        <w:t>trial date</w:t>
      </w:r>
      <w:r w:rsidRPr="00B40A77">
        <w:rPr>
          <w:color w:val="000000" w:themeColor="text1"/>
        </w:rPr>
        <w:t xml:space="preserve"> means </w:t>
      </w:r>
      <w:r w:rsidR="00E46B3A" w:rsidRPr="00B40A77">
        <w:rPr>
          <w:color w:val="000000" w:themeColor="text1"/>
        </w:rPr>
        <w:t xml:space="preserve">the </w:t>
      </w:r>
      <w:r w:rsidR="00306FB4" w:rsidRPr="00B40A77">
        <w:rPr>
          <w:color w:val="000000" w:themeColor="text1"/>
        </w:rPr>
        <w:t xml:space="preserve">date listed for the </w:t>
      </w:r>
      <w:r w:rsidR="00E46B3A" w:rsidRPr="00B40A77">
        <w:rPr>
          <w:color w:val="000000" w:themeColor="text1"/>
          <w:u w:val="single"/>
        </w:rPr>
        <w:t>trial</w:t>
      </w:r>
      <w:r w:rsidR="00E46B3A" w:rsidRPr="00B40A77">
        <w:rPr>
          <w:color w:val="000000" w:themeColor="text1"/>
        </w:rPr>
        <w:t xml:space="preserve"> to commence</w:t>
      </w:r>
      <w:r w:rsidRPr="00B40A77">
        <w:rPr>
          <w:color w:val="000000" w:themeColor="text1"/>
        </w:rPr>
        <w:t>;</w:t>
      </w:r>
    </w:p>
    <w:p w14:paraId="26251AD0" w14:textId="77777777" w:rsidR="00646CB2" w:rsidRPr="00B40A77" w:rsidRDefault="00646CB2" w:rsidP="00646CB2">
      <w:pPr>
        <w:pStyle w:val="Doubleindentedpara"/>
        <w:rPr>
          <w:color w:val="000000" w:themeColor="text1"/>
        </w:rPr>
      </w:pPr>
      <w:r w:rsidRPr="00B40A77">
        <w:rPr>
          <w:b/>
          <w:i/>
          <w:color w:val="000000" w:themeColor="text1"/>
        </w:rPr>
        <w:t>unfit to stand trial</w:t>
      </w:r>
      <w:r w:rsidRPr="00B40A77">
        <w:rPr>
          <w:color w:val="000000" w:themeColor="text1"/>
        </w:rPr>
        <w:t xml:space="preserve"> means—</w:t>
      </w:r>
    </w:p>
    <w:p w14:paraId="78827261" w14:textId="19821ADA" w:rsidR="00646CB2" w:rsidRPr="00B40A77" w:rsidRDefault="00646CB2" w:rsidP="00953638">
      <w:pPr>
        <w:pStyle w:val="Doublehangindent"/>
        <w:ind w:left="2007"/>
        <w:rPr>
          <w:color w:val="000000" w:themeColor="text1"/>
          <w:lang w:val="en-US"/>
        </w:rPr>
      </w:pPr>
      <w:r w:rsidRPr="00B40A77">
        <w:rPr>
          <w:color w:val="000000" w:themeColor="text1"/>
          <w:lang w:val="en-US"/>
        </w:rPr>
        <w:t>(a)</w:t>
      </w:r>
      <w:r w:rsidRPr="00B40A77">
        <w:rPr>
          <w:color w:val="000000" w:themeColor="text1"/>
          <w:lang w:val="en-US"/>
        </w:rPr>
        <w:tab/>
        <w:t>in the context of an Information alleging State offences</w:t>
      </w:r>
      <w:r w:rsidRPr="00B40A77">
        <w:rPr>
          <w:rFonts w:cs="Times New Roman"/>
          <w:color w:val="000000" w:themeColor="text1"/>
        </w:rPr>
        <w:t>—</w:t>
      </w:r>
      <w:r w:rsidRPr="00B40A77">
        <w:rPr>
          <w:color w:val="000000" w:themeColor="text1"/>
          <w:lang w:val="en-US"/>
        </w:rPr>
        <w:t xml:space="preserve">a defendant or youth is </w:t>
      </w:r>
      <w:r w:rsidRPr="00B40A77">
        <w:rPr>
          <w:color w:val="000000" w:themeColor="text1"/>
        </w:rPr>
        <w:t xml:space="preserve">mentally unfit to stand trial on a charge of an offence within the meaning of section 269H of the </w:t>
      </w:r>
      <w:r w:rsidR="00B8730A" w:rsidRPr="00B40A77">
        <w:rPr>
          <w:color w:val="000000" w:themeColor="text1"/>
          <w:u w:val="single"/>
        </w:rPr>
        <w:t>Consolidation Act</w:t>
      </w:r>
      <w:r w:rsidRPr="00B40A77">
        <w:rPr>
          <w:color w:val="000000" w:themeColor="text1"/>
          <w:lang w:val="en-US"/>
        </w:rPr>
        <w:t>;</w:t>
      </w:r>
    </w:p>
    <w:p w14:paraId="3F6AE4C1" w14:textId="2F4CE760" w:rsidR="00646CB2" w:rsidRPr="00B40A77" w:rsidRDefault="00646CB2" w:rsidP="006A5750">
      <w:pPr>
        <w:pStyle w:val="Doublehangindent"/>
        <w:keepNext/>
        <w:ind w:left="2007"/>
        <w:rPr>
          <w:color w:val="000000" w:themeColor="text1"/>
          <w:lang w:val="en-US"/>
        </w:rPr>
      </w:pPr>
      <w:r w:rsidRPr="00B40A77">
        <w:rPr>
          <w:color w:val="000000" w:themeColor="text1"/>
          <w:lang w:val="en-US"/>
        </w:rPr>
        <w:t>(b)</w:t>
      </w:r>
      <w:r w:rsidRPr="00B40A77">
        <w:rPr>
          <w:color w:val="000000" w:themeColor="text1"/>
          <w:lang w:val="en-US"/>
        </w:rPr>
        <w:tab/>
        <w:t>in the context of an Information alleging Commonwealth offences</w:t>
      </w:r>
      <w:r w:rsidRPr="00B40A77">
        <w:rPr>
          <w:rFonts w:cs="Times New Roman"/>
          <w:color w:val="000000" w:themeColor="text1"/>
        </w:rPr>
        <w:t>—</w:t>
      </w:r>
      <w:r w:rsidR="00F0544B" w:rsidRPr="00B40A77">
        <w:rPr>
          <w:color w:val="000000" w:themeColor="text1"/>
          <w:lang w:val="en-US"/>
        </w:rPr>
        <w:t xml:space="preserve">a defendant or youth is </w:t>
      </w:r>
      <w:r w:rsidRPr="00B40A77">
        <w:rPr>
          <w:color w:val="000000" w:themeColor="text1"/>
        </w:rPr>
        <w:t xml:space="preserve">unfit to be tried on a charge of an offence within the meaning of section 20B of the </w:t>
      </w:r>
      <w:r w:rsidRPr="00B40A77">
        <w:rPr>
          <w:color w:val="000000" w:themeColor="text1"/>
          <w:u w:val="single"/>
        </w:rPr>
        <w:t>Crimes Act</w:t>
      </w:r>
      <w:r w:rsidRPr="00B40A77">
        <w:rPr>
          <w:color w:val="000000" w:themeColor="text1"/>
          <w:lang w:val="en-US"/>
        </w:rPr>
        <w:t>;</w:t>
      </w:r>
    </w:p>
    <w:p w14:paraId="2611AE92" w14:textId="0BF0F992" w:rsidR="00F0544B" w:rsidRPr="00B40A77" w:rsidRDefault="00F0544B" w:rsidP="00F0544B">
      <w:pPr>
        <w:pStyle w:val="Doublehangindent"/>
        <w:rPr>
          <w:color w:val="000000" w:themeColor="text1"/>
          <w:lang w:val="en-US"/>
        </w:rPr>
      </w:pPr>
      <w:r w:rsidRPr="00B40A77">
        <w:rPr>
          <w:color w:val="000000" w:themeColor="text1"/>
          <w:lang w:val="en-US"/>
        </w:rPr>
        <w:t xml:space="preserve">and </w:t>
      </w:r>
      <w:r w:rsidRPr="00B40A77">
        <w:rPr>
          <w:b/>
          <w:i/>
          <w:color w:val="000000" w:themeColor="text1"/>
        </w:rPr>
        <w:t>fit to stand trial</w:t>
      </w:r>
      <w:r w:rsidRPr="00B40A77">
        <w:rPr>
          <w:color w:val="000000" w:themeColor="text1"/>
        </w:rPr>
        <w:t xml:space="preserve"> </w:t>
      </w:r>
      <w:r w:rsidRPr="00B40A77">
        <w:rPr>
          <w:color w:val="000000" w:themeColor="text1"/>
          <w:lang w:val="en-US"/>
        </w:rPr>
        <w:t>has the reverse meaning;</w:t>
      </w:r>
    </w:p>
    <w:p w14:paraId="2F0AB1A4" w14:textId="77777777" w:rsidR="007E1B2A" w:rsidRPr="00B40A77" w:rsidRDefault="007E1B2A" w:rsidP="007E1B2A">
      <w:pPr>
        <w:pStyle w:val="Doubleindentedpara"/>
        <w:rPr>
          <w:color w:val="000000" w:themeColor="text1"/>
        </w:rPr>
      </w:pPr>
      <w:r w:rsidRPr="00B40A77">
        <w:rPr>
          <w:b/>
          <w:bCs/>
          <w:i/>
          <w:iCs/>
          <w:color w:val="000000" w:themeColor="text1"/>
        </w:rPr>
        <w:t xml:space="preserve">Uniform Special Statutory Rules </w:t>
      </w:r>
      <w:r w:rsidRPr="00B40A77">
        <w:rPr>
          <w:color w:val="000000" w:themeColor="text1"/>
        </w:rPr>
        <w:t xml:space="preserve">means </w:t>
      </w:r>
      <w:r w:rsidRPr="00B40A77">
        <w:rPr>
          <w:i/>
          <w:iCs/>
          <w:color w:val="000000" w:themeColor="text1"/>
        </w:rPr>
        <w:t>Uniform Special Statutory Rules 2022</w:t>
      </w:r>
      <w:r w:rsidRPr="00B40A77">
        <w:rPr>
          <w:color w:val="000000" w:themeColor="text1"/>
        </w:rPr>
        <w:t>;</w:t>
      </w:r>
    </w:p>
    <w:p w14:paraId="4FCC5BAC" w14:textId="0CADFF08" w:rsidR="007A5595" w:rsidRPr="00B40A77" w:rsidRDefault="00467048" w:rsidP="00467048">
      <w:pPr>
        <w:pStyle w:val="Doubleindentedpara"/>
        <w:rPr>
          <w:color w:val="000000" w:themeColor="text1"/>
        </w:rPr>
      </w:pPr>
      <w:r w:rsidRPr="00B40A77">
        <w:rPr>
          <w:b/>
          <w:i/>
          <w:color w:val="000000" w:themeColor="text1"/>
        </w:rPr>
        <w:t xml:space="preserve">without notice </w:t>
      </w:r>
      <w:r w:rsidRPr="00B40A77">
        <w:rPr>
          <w:color w:val="000000" w:themeColor="text1"/>
        </w:rPr>
        <w:t xml:space="preserve">means without serving or </w:t>
      </w:r>
      <w:r w:rsidR="001D6AA4" w:rsidRPr="00B40A77">
        <w:rPr>
          <w:color w:val="000000" w:themeColor="text1"/>
        </w:rPr>
        <w:t>inform</w:t>
      </w:r>
      <w:r w:rsidRPr="00B40A77">
        <w:rPr>
          <w:color w:val="000000" w:themeColor="text1"/>
        </w:rPr>
        <w:t xml:space="preserve">ing another party </w:t>
      </w:r>
      <w:r w:rsidR="00D63E84" w:rsidRPr="00B40A77">
        <w:rPr>
          <w:color w:val="000000" w:themeColor="text1"/>
        </w:rPr>
        <w:t xml:space="preserve">with or </w:t>
      </w:r>
      <w:r w:rsidRPr="00B40A77">
        <w:rPr>
          <w:color w:val="000000" w:themeColor="text1"/>
        </w:rPr>
        <w:t>of an application to be made to the Court</w:t>
      </w:r>
      <w:r w:rsidR="007A5595" w:rsidRPr="00B40A77">
        <w:rPr>
          <w:color w:val="000000" w:themeColor="text1"/>
        </w:rPr>
        <w:t xml:space="preserve">; </w:t>
      </w:r>
    </w:p>
    <w:p w14:paraId="03A51827" w14:textId="42D0C963" w:rsidR="002129E6" w:rsidRPr="00B40A77" w:rsidRDefault="002129E6" w:rsidP="00467048">
      <w:pPr>
        <w:pStyle w:val="Doubleindentedpara"/>
        <w:rPr>
          <w:color w:val="000000" w:themeColor="text1"/>
        </w:rPr>
      </w:pPr>
      <w:r w:rsidRPr="00B40A77">
        <w:rPr>
          <w:b/>
          <w:i/>
          <w:color w:val="000000" w:themeColor="text1"/>
        </w:rPr>
        <w:t xml:space="preserve">witness statement </w:t>
      </w:r>
      <w:r w:rsidRPr="00B40A77">
        <w:rPr>
          <w:color w:val="000000" w:themeColor="text1"/>
        </w:rPr>
        <w:t xml:space="preserve">means a witness statement in the form of an affidavit </w:t>
      </w:r>
      <w:r w:rsidR="006B6C39" w:rsidRPr="00B40A77">
        <w:rPr>
          <w:color w:val="000000" w:themeColor="text1"/>
        </w:rPr>
        <w:t xml:space="preserve">in compliance with section 111(4) or, if section 111(6) applies to the witness, in compliance with section 111(5) of the </w:t>
      </w:r>
      <w:r w:rsidR="006B6C39" w:rsidRPr="00B40A77">
        <w:rPr>
          <w:iCs/>
          <w:color w:val="000000" w:themeColor="text1"/>
          <w:u w:val="single"/>
        </w:rPr>
        <w:t>Procedure Act</w:t>
      </w:r>
      <w:r w:rsidR="006B6C39" w:rsidRPr="00B40A77">
        <w:rPr>
          <w:color w:val="000000" w:themeColor="text1"/>
        </w:rPr>
        <w:t>;</w:t>
      </w:r>
    </w:p>
    <w:p w14:paraId="31A8AC19" w14:textId="293AD123" w:rsidR="00053764" w:rsidRPr="00B40A77" w:rsidRDefault="00053764" w:rsidP="00467048">
      <w:pPr>
        <w:pStyle w:val="Doubleindentedpara"/>
        <w:rPr>
          <w:color w:val="000000" w:themeColor="text1"/>
        </w:rPr>
      </w:pPr>
      <w:r w:rsidRPr="00B40A77">
        <w:rPr>
          <w:b/>
          <w:i/>
          <w:color w:val="000000" w:themeColor="text1"/>
        </w:rPr>
        <w:t xml:space="preserve">Young Offenders Act </w:t>
      </w:r>
      <w:r w:rsidRPr="00B40A77">
        <w:rPr>
          <w:color w:val="000000" w:themeColor="text1"/>
        </w:rPr>
        <w:t xml:space="preserve">means the </w:t>
      </w:r>
      <w:r w:rsidRPr="00B40A77">
        <w:rPr>
          <w:i/>
          <w:color w:val="000000" w:themeColor="text1"/>
        </w:rPr>
        <w:t>Young Offenders Act 1993</w:t>
      </w:r>
      <w:r w:rsidR="00D63E84" w:rsidRPr="00B40A77">
        <w:rPr>
          <w:color w:val="000000" w:themeColor="text1"/>
        </w:rPr>
        <w:t>.</w:t>
      </w:r>
    </w:p>
    <w:p w14:paraId="1E3C2392" w14:textId="143E823A" w:rsidR="00E92F83" w:rsidRPr="00B40A77" w:rsidRDefault="00E92F83" w:rsidP="00641849">
      <w:pPr>
        <w:pStyle w:val="Hangindent"/>
        <w:keepNext/>
        <w:rPr>
          <w:color w:val="000000" w:themeColor="text1"/>
        </w:rPr>
      </w:pPr>
      <w:r w:rsidRPr="00B40A77">
        <w:rPr>
          <w:color w:val="000000" w:themeColor="text1"/>
          <w:lang w:val="en-US"/>
        </w:rPr>
        <w:t>(2)</w:t>
      </w:r>
      <w:r w:rsidRPr="00B40A77">
        <w:rPr>
          <w:color w:val="000000" w:themeColor="text1"/>
          <w:lang w:val="en-US"/>
        </w:rPr>
        <w:tab/>
        <w:t xml:space="preserve">In </w:t>
      </w:r>
      <w:r w:rsidR="001C7313" w:rsidRPr="00B40A77">
        <w:rPr>
          <w:color w:val="000000" w:themeColor="text1"/>
          <w:lang w:val="en-US"/>
        </w:rPr>
        <w:t>these Rules</w:t>
      </w:r>
      <w:r w:rsidRPr="00B40A77">
        <w:rPr>
          <w:color w:val="000000" w:themeColor="text1"/>
          <w:lang w:val="en-US"/>
        </w:rPr>
        <w:t>, unless the contrary intention appears</w:t>
      </w:r>
      <w:r w:rsidR="00F5016E" w:rsidRPr="00B40A77">
        <w:rPr>
          <w:color w:val="000000" w:themeColor="text1"/>
          <w:lang w:val="en-US"/>
        </w:rPr>
        <w:t xml:space="preserve">, </w:t>
      </w:r>
      <w:r w:rsidR="002F6FE1" w:rsidRPr="00B40A77">
        <w:rPr>
          <w:color w:val="000000" w:themeColor="text1"/>
        </w:rPr>
        <w:t xml:space="preserve">a term </w:t>
      </w:r>
      <w:r w:rsidRPr="00B40A77">
        <w:rPr>
          <w:color w:val="000000" w:themeColor="text1"/>
        </w:rPr>
        <w:t xml:space="preserve">defined in the </w:t>
      </w:r>
      <w:r w:rsidR="008D6E85" w:rsidRPr="00B40A77">
        <w:rPr>
          <w:color w:val="000000" w:themeColor="text1"/>
          <w:u w:val="single"/>
        </w:rPr>
        <w:t>Bail Act</w:t>
      </w:r>
      <w:r w:rsidR="008D6E85" w:rsidRPr="00B40A77">
        <w:rPr>
          <w:color w:val="000000" w:themeColor="text1"/>
        </w:rPr>
        <w:t xml:space="preserve">, </w:t>
      </w:r>
      <w:r w:rsidR="00AA5529" w:rsidRPr="00B40A77">
        <w:rPr>
          <w:color w:val="000000" w:themeColor="text1"/>
          <w:u w:val="single"/>
        </w:rPr>
        <w:t>Consolidation Act</w:t>
      </w:r>
      <w:r w:rsidR="00AA5529" w:rsidRPr="00B40A77">
        <w:rPr>
          <w:color w:val="000000" w:themeColor="text1"/>
        </w:rPr>
        <w:t xml:space="preserve">, </w:t>
      </w:r>
      <w:r w:rsidR="00AA5529" w:rsidRPr="00B40A77">
        <w:rPr>
          <w:color w:val="000000" w:themeColor="text1"/>
          <w:u w:val="single"/>
        </w:rPr>
        <w:t>Crimes Act</w:t>
      </w:r>
      <w:r w:rsidR="00AA5529" w:rsidRPr="00B40A77">
        <w:rPr>
          <w:color w:val="000000" w:themeColor="text1"/>
        </w:rPr>
        <w:t xml:space="preserve">, </w:t>
      </w:r>
      <w:r w:rsidR="00DC1B6F" w:rsidRPr="00B40A77">
        <w:rPr>
          <w:color w:val="000000" w:themeColor="text1"/>
          <w:u w:val="single"/>
        </w:rPr>
        <w:t xml:space="preserve">Procedure </w:t>
      </w:r>
      <w:hyperlink w:anchor="_2.1—Definitions" w:history="1">
        <w:r w:rsidR="00F5016E" w:rsidRPr="00B40A77">
          <w:rPr>
            <w:rStyle w:val="Hyperlink"/>
            <w:color w:val="000000" w:themeColor="text1"/>
          </w:rPr>
          <w:t>Act</w:t>
        </w:r>
      </w:hyperlink>
      <w:r w:rsidR="00F5016E" w:rsidRPr="00B40A77">
        <w:rPr>
          <w:color w:val="000000" w:themeColor="text1"/>
        </w:rPr>
        <w:t xml:space="preserve"> </w:t>
      </w:r>
      <w:r w:rsidR="00DC1B6F" w:rsidRPr="00B40A77">
        <w:rPr>
          <w:color w:val="000000" w:themeColor="text1"/>
        </w:rPr>
        <w:t xml:space="preserve">or </w:t>
      </w:r>
      <w:r w:rsidR="00DC1B6F" w:rsidRPr="00B40A77">
        <w:rPr>
          <w:color w:val="000000" w:themeColor="text1"/>
          <w:u w:val="single"/>
        </w:rPr>
        <w:t>Sentencing Act</w:t>
      </w:r>
      <w:r w:rsidR="00DC1B6F" w:rsidRPr="00B40A77">
        <w:rPr>
          <w:color w:val="000000" w:themeColor="text1"/>
        </w:rPr>
        <w:t xml:space="preserve"> </w:t>
      </w:r>
      <w:r w:rsidR="00580EDE" w:rsidRPr="00B40A77">
        <w:rPr>
          <w:color w:val="000000" w:themeColor="text1"/>
        </w:rPr>
        <w:t xml:space="preserve">that is not defined </w:t>
      </w:r>
      <w:r w:rsidR="00F5016E" w:rsidRPr="00B40A77">
        <w:rPr>
          <w:color w:val="000000" w:themeColor="text1"/>
        </w:rPr>
        <w:t xml:space="preserve">in </w:t>
      </w:r>
      <w:r w:rsidR="001C7313" w:rsidRPr="00B40A77">
        <w:rPr>
          <w:color w:val="000000" w:themeColor="text1"/>
        </w:rPr>
        <w:t>these Rules</w:t>
      </w:r>
      <w:r w:rsidRPr="00B40A77">
        <w:rPr>
          <w:color w:val="000000" w:themeColor="text1"/>
        </w:rPr>
        <w:t xml:space="preserve"> has the same meaning when used in </w:t>
      </w:r>
      <w:r w:rsidR="001C7313" w:rsidRPr="00B40A77">
        <w:rPr>
          <w:color w:val="000000" w:themeColor="text1"/>
        </w:rPr>
        <w:t>these Rules</w:t>
      </w:r>
      <w:r w:rsidRPr="00B40A77">
        <w:rPr>
          <w:color w:val="000000" w:themeColor="text1"/>
        </w:rPr>
        <w:t xml:space="preserve"> in respect of the Court</w:t>
      </w:r>
      <w:r w:rsidR="00F5016E" w:rsidRPr="00B40A77">
        <w:rPr>
          <w:color w:val="000000" w:themeColor="text1"/>
        </w:rPr>
        <w:t xml:space="preserve"> governed by </w:t>
      </w:r>
      <w:r w:rsidR="00DC1B6F" w:rsidRPr="00B40A77">
        <w:rPr>
          <w:color w:val="000000" w:themeColor="text1"/>
        </w:rPr>
        <w:t>that</w:t>
      </w:r>
      <w:r w:rsidR="0060495C" w:rsidRPr="00B40A77">
        <w:rPr>
          <w:color w:val="000000" w:themeColor="text1"/>
        </w:rPr>
        <w:t xml:space="preserve"> </w:t>
      </w:r>
      <w:hyperlink w:anchor="_2.1—Definitions" w:history="1">
        <w:r w:rsidR="0060495C" w:rsidRPr="00B40A77">
          <w:rPr>
            <w:rStyle w:val="Hyperlink"/>
            <w:color w:val="000000" w:themeColor="text1"/>
            <w:u w:val="none"/>
          </w:rPr>
          <w:t>Act</w:t>
        </w:r>
      </w:hyperlink>
      <w:r w:rsidRPr="00B40A77">
        <w:rPr>
          <w:color w:val="000000" w:themeColor="text1"/>
        </w:rPr>
        <w:t>.</w:t>
      </w:r>
    </w:p>
    <w:p w14:paraId="042D5483" w14:textId="77777777" w:rsidR="00E92F83" w:rsidRPr="00B40A77" w:rsidRDefault="003E2AEB" w:rsidP="00F815AA">
      <w:pPr>
        <w:pStyle w:val="NoteHeader"/>
        <w:keepNext/>
        <w:ind w:left="567" w:firstLine="567"/>
        <w:rPr>
          <w:color w:val="000000" w:themeColor="text1"/>
        </w:rPr>
      </w:pPr>
      <w:r w:rsidRPr="00B40A77">
        <w:rPr>
          <w:color w:val="000000" w:themeColor="text1"/>
        </w:rPr>
        <w:t>Note</w:t>
      </w:r>
      <w:r w:rsidR="005808DE" w:rsidRPr="00B40A77">
        <w:rPr>
          <w:color w:val="000000" w:themeColor="text1"/>
        </w:rPr>
        <w:t>s</w:t>
      </w:r>
      <w:r w:rsidR="00E92F83" w:rsidRPr="00B40A77">
        <w:rPr>
          <w:color w:val="000000" w:themeColor="text1"/>
        </w:rPr>
        <w:t>—</w:t>
      </w:r>
    </w:p>
    <w:p w14:paraId="5A0FC91B" w14:textId="7AD22068" w:rsidR="00E92F83" w:rsidRPr="00B40A77" w:rsidRDefault="003E2AEB" w:rsidP="003D16F5">
      <w:pPr>
        <w:pStyle w:val="NoteText"/>
        <w:rPr>
          <w:color w:val="000000" w:themeColor="text1"/>
        </w:rPr>
      </w:pPr>
      <w:r w:rsidRPr="00B40A77">
        <w:rPr>
          <w:color w:val="000000" w:themeColor="text1"/>
        </w:rPr>
        <w:t xml:space="preserve">Section </w:t>
      </w:r>
      <w:r w:rsidR="00D63E84" w:rsidRPr="00B40A77">
        <w:rPr>
          <w:color w:val="000000" w:themeColor="text1"/>
        </w:rPr>
        <w:t>7</w:t>
      </w:r>
      <w:r w:rsidRPr="00B40A77">
        <w:rPr>
          <w:color w:val="000000" w:themeColor="text1"/>
        </w:rPr>
        <w:t xml:space="preserve"> of the </w:t>
      </w:r>
      <w:r w:rsidR="00D63E84" w:rsidRPr="00B40A77">
        <w:rPr>
          <w:i/>
          <w:color w:val="000000" w:themeColor="text1"/>
        </w:rPr>
        <w:t>Legislation</w:t>
      </w:r>
      <w:r w:rsidRPr="00B40A77">
        <w:rPr>
          <w:i/>
          <w:color w:val="000000" w:themeColor="text1"/>
        </w:rPr>
        <w:t xml:space="preserve"> Interpretation Act </w:t>
      </w:r>
      <w:r w:rsidR="00D63E84" w:rsidRPr="00B40A77">
        <w:rPr>
          <w:i/>
          <w:color w:val="000000" w:themeColor="text1"/>
        </w:rPr>
        <w:t>2021</w:t>
      </w:r>
      <w:r w:rsidRPr="00B40A77">
        <w:rPr>
          <w:color w:val="000000" w:themeColor="text1"/>
        </w:rPr>
        <w:t xml:space="preserve"> provides that, if a word or phrase has a defined meaning, other parts of speech and grammatical forms of the word or phrase have, unless the contrary intention appears, corresponding meanings.</w:t>
      </w:r>
    </w:p>
    <w:p w14:paraId="38C31CD2" w14:textId="77777777" w:rsidR="00C7099C" w:rsidRPr="00B40A77" w:rsidRDefault="00C7099C" w:rsidP="00C7099C">
      <w:pPr>
        <w:pStyle w:val="NoteText"/>
        <w:rPr>
          <w:color w:val="000000" w:themeColor="text1"/>
        </w:rPr>
      </w:pPr>
      <w:r w:rsidRPr="00B40A77">
        <w:rPr>
          <w:color w:val="000000" w:themeColor="text1"/>
        </w:rPr>
        <w:t xml:space="preserve">A term that is defined in this rule or at the beginning of a Chapter, Part, Division, Subdivision or in a rule is underlined to indicate that it is a defined term, unless it is a commonly used term. </w:t>
      </w:r>
      <w:r w:rsidRPr="00B40A77">
        <w:rPr>
          <w:color w:val="000000" w:themeColor="text1"/>
        </w:rPr>
        <w:lastRenderedPageBreak/>
        <w:t>However, an underlined term may bear a different meaning to the defined meaning where the context so indicates.</w:t>
      </w:r>
    </w:p>
    <w:p w14:paraId="47A06D83" w14:textId="06BECEFD" w:rsidR="005808DE" w:rsidRPr="00B40A77" w:rsidRDefault="000816D0" w:rsidP="005808DE">
      <w:pPr>
        <w:pStyle w:val="NoteText"/>
        <w:rPr>
          <w:color w:val="000000" w:themeColor="text1"/>
        </w:rPr>
      </w:pPr>
      <w:r w:rsidRPr="00B40A77">
        <w:rPr>
          <w:color w:val="000000" w:themeColor="text1"/>
        </w:rPr>
        <w:t>C</w:t>
      </w:r>
      <w:r w:rsidR="00140997" w:rsidRPr="00B40A77">
        <w:rPr>
          <w:color w:val="000000" w:themeColor="text1"/>
        </w:rPr>
        <w:t>ertain c</w:t>
      </w:r>
      <w:r w:rsidR="005808DE" w:rsidRPr="00B40A77">
        <w:rPr>
          <w:color w:val="000000" w:themeColor="text1"/>
        </w:rPr>
        <w:t xml:space="preserve">ommonly used terms </w:t>
      </w:r>
      <w:r w:rsidRPr="00B40A77">
        <w:rPr>
          <w:color w:val="000000" w:themeColor="text1"/>
        </w:rPr>
        <w:t>ar</w:t>
      </w:r>
      <w:r w:rsidR="005808DE" w:rsidRPr="00B40A77">
        <w:rPr>
          <w:color w:val="000000" w:themeColor="text1"/>
        </w:rPr>
        <w:t>e</w:t>
      </w:r>
      <w:r w:rsidR="00FE6EBD" w:rsidRPr="00B40A77">
        <w:rPr>
          <w:color w:val="000000" w:themeColor="text1"/>
        </w:rPr>
        <w:t xml:space="preserve"> not underlined or hyperlinked to their definitions. They are</w:t>
      </w:r>
      <w:r w:rsidR="005808DE" w:rsidRPr="00B40A77">
        <w:rPr>
          <w:color w:val="000000" w:themeColor="text1"/>
        </w:rPr>
        <w:t>:</w:t>
      </w:r>
    </w:p>
    <w:p w14:paraId="73DB4154" w14:textId="2F365A29" w:rsidR="004A43B0" w:rsidRPr="00B40A77" w:rsidRDefault="004A43B0" w:rsidP="00C8425C">
      <w:pPr>
        <w:pStyle w:val="NoteText"/>
        <w:rPr>
          <w:b/>
          <w:i/>
          <w:color w:val="000000" w:themeColor="text1"/>
        </w:rPr>
      </w:pPr>
      <w:r w:rsidRPr="00B40A77">
        <w:rPr>
          <w:b/>
          <w:i/>
          <w:color w:val="000000" w:themeColor="text1"/>
        </w:rPr>
        <w:t>appeal</w:t>
      </w:r>
    </w:p>
    <w:p w14:paraId="6720E5D3" w14:textId="6D5869AF" w:rsidR="00B069D2" w:rsidRPr="00B40A77" w:rsidRDefault="00B069D2" w:rsidP="00C8425C">
      <w:pPr>
        <w:pStyle w:val="NoteText"/>
        <w:rPr>
          <w:b/>
          <w:i/>
          <w:color w:val="000000" w:themeColor="text1"/>
        </w:rPr>
      </w:pPr>
      <w:r w:rsidRPr="00B40A77">
        <w:rPr>
          <w:b/>
          <w:i/>
          <w:color w:val="000000" w:themeColor="text1"/>
        </w:rPr>
        <w:t>appellant</w:t>
      </w:r>
    </w:p>
    <w:p w14:paraId="16991855" w14:textId="1E70C421" w:rsidR="00B069D2" w:rsidRPr="00B40A77" w:rsidRDefault="00B069D2" w:rsidP="00C8425C">
      <w:pPr>
        <w:pStyle w:val="NoteText"/>
        <w:rPr>
          <w:b/>
          <w:i/>
          <w:color w:val="000000" w:themeColor="text1"/>
        </w:rPr>
      </w:pPr>
      <w:r w:rsidRPr="00B40A77">
        <w:rPr>
          <w:b/>
          <w:i/>
          <w:color w:val="000000" w:themeColor="text1"/>
        </w:rPr>
        <w:t>appellate proceeding</w:t>
      </w:r>
    </w:p>
    <w:p w14:paraId="1705EAAD" w14:textId="5908AB8A" w:rsidR="00B069D2" w:rsidRPr="00B40A77" w:rsidRDefault="00B069D2" w:rsidP="00B069D2">
      <w:pPr>
        <w:pStyle w:val="NoteText"/>
        <w:rPr>
          <w:b/>
          <w:i/>
          <w:color w:val="000000" w:themeColor="text1"/>
        </w:rPr>
      </w:pPr>
      <w:r w:rsidRPr="00B40A77">
        <w:rPr>
          <w:b/>
          <w:i/>
          <w:color w:val="000000" w:themeColor="text1"/>
        </w:rPr>
        <w:t>applicant</w:t>
      </w:r>
    </w:p>
    <w:p w14:paraId="511648AF" w14:textId="5E23985D" w:rsidR="00A24E10" w:rsidRPr="00B40A77" w:rsidRDefault="00A24E10" w:rsidP="00C8425C">
      <w:pPr>
        <w:pStyle w:val="NoteText"/>
        <w:rPr>
          <w:b/>
          <w:i/>
          <w:color w:val="000000" w:themeColor="text1"/>
        </w:rPr>
      </w:pPr>
      <w:r w:rsidRPr="00B40A77">
        <w:rPr>
          <w:b/>
          <w:i/>
          <w:color w:val="000000" w:themeColor="text1"/>
        </w:rPr>
        <w:t>Bail Act</w:t>
      </w:r>
    </w:p>
    <w:p w14:paraId="54352798" w14:textId="18ADB9F8" w:rsidR="00B069D2" w:rsidRPr="00B40A77" w:rsidRDefault="00B069D2" w:rsidP="00C8425C">
      <w:pPr>
        <w:pStyle w:val="NoteText"/>
        <w:rPr>
          <w:b/>
          <w:i/>
          <w:color w:val="000000" w:themeColor="text1"/>
        </w:rPr>
      </w:pPr>
      <w:r w:rsidRPr="00B40A77">
        <w:rPr>
          <w:b/>
          <w:i/>
          <w:color w:val="000000" w:themeColor="text1"/>
        </w:rPr>
        <w:t>Commissioner of Police</w:t>
      </w:r>
    </w:p>
    <w:p w14:paraId="6D52CC58" w14:textId="3CA9ABEB" w:rsidR="00C8425C" w:rsidRPr="00B40A77" w:rsidRDefault="00C8425C" w:rsidP="00C8425C">
      <w:pPr>
        <w:pStyle w:val="NoteText"/>
        <w:rPr>
          <w:b/>
          <w:i/>
          <w:color w:val="000000" w:themeColor="text1"/>
        </w:rPr>
      </w:pPr>
      <w:r w:rsidRPr="00B40A77">
        <w:rPr>
          <w:b/>
          <w:i/>
          <w:color w:val="000000" w:themeColor="text1"/>
        </w:rPr>
        <w:t>Consolidation Act</w:t>
      </w:r>
    </w:p>
    <w:p w14:paraId="0E25CB3D" w14:textId="73AD1ACA" w:rsidR="005808DE" w:rsidRPr="00B40A77" w:rsidRDefault="005808DE" w:rsidP="005808DE">
      <w:pPr>
        <w:pStyle w:val="NoteText"/>
        <w:rPr>
          <w:b/>
          <w:i/>
          <w:color w:val="000000" w:themeColor="text1"/>
        </w:rPr>
      </w:pPr>
      <w:r w:rsidRPr="00B40A77">
        <w:rPr>
          <w:b/>
          <w:i/>
          <w:color w:val="000000" w:themeColor="text1"/>
        </w:rPr>
        <w:t>Court</w:t>
      </w:r>
    </w:p>
    <w:p w14:paraId="3D2B0BB4" w14:textId="5BC41F28" w:rsidR="00C8425C" w:rsidRPr="00B40A77" w:rsidRDefault="00C8425C" w:rsidP="005808DE">
      <w:pPr>
        <w:pStyle w:val="NoteText"/>
        <w:rPr>
          <w:b/>
          <w:i/>
          <w:color w:val="000000" w:themeColor="text1"/>
        </w:rPr>
      </w:pPr>
      <w:r w:rsidRPr="00B40A77">
        <w:rPr>
          <w:b/>
          <w:i/>
          <w:color w:val="000000" w:themeColor="text1"/>
        </w:rPr>
        <w:t>Crimes Act</w:t>
      </w:r>
    </w:p>
    <w:p w14:paraId="2F564008" w14:textId="40EC67AE" w:rsidR="00B069D2" w:rsidRPr="00B40A77" w:rsidRDefault="00B069D2" w:rsidP="005808DE">
      <w:pPr>
        <w:pStyle w:val="NoteText"/>
        <w:rPr>
          <w:b/>
          <w:i/>
          <w:color w:val="000000" w:themeColor="text1"/>
        </w:rPr>
      </w:pPr>
      <w:r w:rsidRPr="00B40A77">
        <w:rPr>
          <w:b/>
          <w:i/>
          <w:color w:val="000000" w:themeColor="text1"/>
        </w:rPr>
        <w:t>Director</w:t>
      </w:r>
    </w:p>
    <w:p w14:paraId="2764F0DE" w14:textId="7B4FBDA3" w:rsidR="001B2C41" w:rsidRPr="00B40A77" w:rsidRDefault="001B2C41" w:rsidP="005808DE">
      <w:pPr>
        <w:pStyle w:val="NoteText"/>
        <w:rPr>
          <w:b/>
          <w:i/>
          <w:color w:val="000000" w:themeColor="text1"/>
        </w:rPr>
      </w:pPr>
      <w:r w:rsidRPr="00B40A77">
        <w:rPr>
          <w:b/>
          <w:i/>
          <w:color w:val="000000" w:themeColor="text1"/>
        </w:rPr>
        <w:t xml:space="preserve">document </w:t>
      </w:r>
    </w:p>
    <w:p w14:paraId="137D7361" w14:textId="50FD76C4" w:rsidR="00C8425C" w:rsidRPr="00B40A77" w:rsidRDefault="00C8425C" w:rsidP="005808DE">
      <w:pPr>
        <w:pStyle w:val="NoteText"/>
        <w:rPr>
          <w:b/>
          <w:i/>
          <w:color w:val="000000" w:themeColor="text1"/>
        </w:rPr>
      </w:pPr>
      <w:r w:rsidRPr="00B40A77">
        <w:rPr>
          <w:b/>
          <w:i/>
          <w:color w:val="000000" w:themeColor="text1"/>
        </w:rPr>
        <w:t>Evidence Act</w:t>
      </w:r>
    </w:p>
    <w:p w14:paraId="17F1DBC9" w14:textId="63CEE6E9" w:rsidR="001B2C41" w:rsidRPr="00B40A77" w:rsidRDefault="001B2C41" w:rsidP="005808DE">
      <w:pPr>
        <w:pStyle w:val="NoteText"/>
        <w:rPr>
          <w:b/>
          <w:i/>
          <w:color w:val="000000" w:themeColor="text1"/>
        </w:rPr>
      </w:pPr>
      <w:r w:rsidRPr="00B40A77">
        <w:rPr>
          <w:b/>
          <w:i/>
          <w:color w:val="000000" w:themeColor="text1"/>
        </w:rPr>
        <w:t xml:space="preserve">judicial officer </w:t>
      </w:r>
    </w:p>
    <w:p w14:paraId="1F3E2711" w14:textId="77777777" w:rsidR="00B95261" w:rsidRPr="00B40A77" w:rsidRDefault="00B95261" w:rsidP="005808DE">
      <w:pPr>
        <w:pStyle w:val="NoteText"/>
        <w:rPr>
          <w:b/>
          <w:i/>
          <w:color w:val="000000" w:themeColor="text1"/>
        </w:rPr>
      </w:pPr>
      <w:r w:rsidRPr="00B40A77">
        <w:rPr>
          <w:b/>
          <w:i/>
          <w:color w:val="000000" w:themeColor="text1"/>
        </w:rPr>
        <w:t xml:space="preserve">Juries Act </w:t>
      </w:r>
    </w:p>
    <w:p w14:paraId="348973EE" w14:textId="01A482E4" w:rsidR="0052147B" w:rsidRPr="00B40A77" w:rsidRDefault="001B2C41" w:rsidP="005808DE">
      <w:pPr>
        <w:pStyle w:val="NoteText"/>
        <w:rPr>
          <w:b/>
          <w:i/>
          <w:color w:val="000000" w:themeColor="text1"/>
        </w:rPr>
      </w:pPr>
      <w:r w:rsidRPr="00B40A77">
        <w:rPr>
          <w:b/>
          <w:i/>
          <w:color w:val="000000" w:themeColor="text1"/>
        </w:rPr>
        <w:t>law firm</w:t>
      </w:r>
    </w:p>
    <w:p w14:paraId="183136FF" w14:textId="77777777" w:rsidR="001B2C41" w:rsidRPr="00B40A77" w:rsidRDefault="0052147B" w:rsidP="005808DE">
      <w:pPr>
        <w:pStyle w:val="NoteText"/>
        <w:rPr>
          <w:b/>
          <w:i/>
          <w:color w:val="000000" w:themeColor="text1"/>
        </w:rPr>
      </w:pPr>
      <w:r w:rsidRPr="00B40A77">
        <w:rPr>
          <w:b/>
          <w:i/>
          <w:color w:val="000000" w:themeColor="text1"/>
        </w:rPr>
        <w:t>lawyer</w:t>
      </w:r>
      <w:r w:rsidR="001B2C41" w:rsidRPr="00B40A77">
        <w:rPr>
          <w:b/>
          <w:i/>
          <w:color w:val="000000" w:themeColor="text1"/>
        </w:rPr>
        <w:t xml:space="preserve"> </w:t>
      </w:r>
    </w:p>
    <w:p w14:paraId="79BAC68F" w14:textId="77777777" w:rsidR="005808DE" w:rsidRPr="00B40A77" w:rsidRDefault="005808DE" w:rsidP="005808DE">
      <w:pPr>
        <w:pStyle w:val="NoteText"/>
        <w:rPr>
          <w:b/>
          <w:i/>
          <w:color w:val="000000" w:themeColor="text1"/>
        </w:rPr>
      </w:pPr>
      <w:r w:rsidRPr="00B40A77">
        <w:rPr>
          <w:b/>
          <w:i/>
          <w:color w:val="000000" w:themeColor="text1"/>
        </w:rPr>
        <w:t>party</w:t>
      </w:r>
    </w:p>
    <w:p w14:paraId="0D6063A6" w14:textId="77777777" w:rsidR="0029097C" w:rsidRPr="00B40A77" w:rsidRDefault="0029097C" w:rsidP="005808DE">
      <w:pPr>
        <w:pStyle w:val="NoteText"/>
        <w:rPr>
          <w:b/>
          <w:i/>
          <w:color w:val="000000" w:themeColor="text1"/>
        </w:rPr>
      </w:pPr>
      <w:r w:rsidRPr="00B40A77">
        <w:rPr>
          <w:b/>
          <w:i/>
          <w:color w:val="000000" w:themeColor="text1"/>
        </w:rPr>
        <w:t xml:space="preserve">prescribed form </w:t>
      </w:r>
    </w:p>
    <w:p w14:paraId="7F5B1C7D" w14:textId="7A7679BC" w:rsidR="00C8425C" w:rsidRPr="00B40A77" w:rsidRDefault="00C8425C" w:rsidP="00C8425C">
      <w:pPr>
        <w:pStyle w:val="NoteText"/>
        <w:rPr>
          <w:b/>
          <w:i/>
          <w:color w:val="000000" w:themeColor="text1"/>
        </w:rPr>
      </w:pPr>
      <w:r w:rsidRPr="00B40A77">
        <w:rPr>
          <w:b/>
          <w:i/>
          <w:color w:val="000000" w:themeColor="text1"/>
        </w:rPr>
        <w:t>Procedure Act</w:t>
      </w:r>
    </w:p>
    <w:p w14:paraId="45DB9485" w14:textId="316B547C" w:rsidR="005808DE" w:rsidRPr="00B40A77" w:rsidRDefault="005808DE" w:rsidP="005808DE">
      <w:pPr>
        <w:pStyle w:val="NoteText"/>
        <w:rPr>
          <w:b/>
          <w:i/>
          <w:color w:val="000000" w:themeColor="text1"/>
        </w:rPr>
      </w:pPr>
      <w:r w:rsidRPr="00B40A77">
        <w:rPr>
          <w:b/>
          <w:i/>
          <w:color w:val="000000" w:themeColor="text1"/>
        </w:rPr>
        <w:t>proceeding</w:t>
      </w:r>
    </w:p>
    <w:p w14:paraId="7D94F355" w14:textId="5E883DEB" w:rsidR="00AA5529" w:rsidRPr="00B40A77" w:rsidRDefault="00AA5529" w:rsidP="005808DE">
      <w:pPr>
        <w:pStyle w:val="NoteText"/>
        <w:rPr>
          <w:b/>
          <w:i/>
          <w:color w:val="000000" w:themeColor="text1"/>
        </w:rPr>
      </w:pPr>
      <w:r w:rsidRPr="00B40A77">
        <w:rPr>
          <w:b/>
          <w:i/>
          <w:color w:val="000000" w:themeColor="text1"/>
        </w:rPr>
        <w:t>prosecution</w:t>
      </w:r>
    </w:p>
    <w:p w14:paraId="2BBC582F" w14:textId="61C3B9DA" w:rsidR="00AA5529" w:rsidRPr="00B40A77" w:rsidRDefault="00AA5529" w:rsidP="005808DE">
      <w:pPr>
        <w:pStyle w:val="NoteText"/>
        <w:rPr>
          <w:b/>
          <w:i/>
          <w:color w:val="000000" w:themeColor="text1"/>
        </w:rPr>
      </w:pPr>
      <w:r w:rsidRPr="00B40A77">
        <w:rPr>
          <w:b/>
          <w:i/>
          <w:color w:val="000000" w:themeColor="text1"/>
        </w:rPr>
        <w:t>respondent</w:t>
      </w:r>
    </w:p>
    <w:p w14:paraId="63C6FB74" w14:textId="4DD07416" w:rsidR="00896161" w:rsidRPr="00B40A77" w:rsidRDefault="0027258B" w:rsidP="00896161">
      <w:pPr>
        <w:pStyle w:val="NoteText"/>
        <w:rPr>
          <w:b/>
          <w:i/>
          <w:color w:val="000000" w:themeColor="text1"/>
        </w:rPr>
      </w:pPr>
      <w:r w:rsidRPr="00B40A77">
        <w:rPr>
          <w:b/>
          <w:i/>
          <w:color w:val="000000" w:themeColor="text1"/>
        </w:rPr>
        <w:t>Rules</w:t>
      </w:r>
    </w:p>
    <w:p w14:paraId="63B5FF85" w14:textId="4DD07416" w:rsidR="00C8425C" w:rsidRPr="00B40A77" w:rsidRDefault="00C8425C" w:rsidP="005808DE">
      <w:pPr>
        <w:pStyle w:val="NoteText"/>
        <w:rPr>
          <w:b/>
          <w:i/>
          <w:color w:val="000000" w:themeColor="text1"/>
        </w:rPr>
      </w:pPr>
      <w:r w:rsidRPr="00B40A77">
        <w:rPr>
          <w:b/>
          <w:i/>
          <w:color w:val="000000" w:themeColor="text1"/>
        </w:rPr>
        <w:t>Sentencing Act</w:t>
      </w:r>
    </w:p>
    <w:p w14:paraId="2C647AE4" w14:textId="18DEB235" w:rsidR="000842FC" w:rsidRPr="00B40A77" w:rsidRDefault="000842FC" w:rsidP="003D16F5">
      <w:pPr>
        <w:pStyle w:val="NoteText"/>
        <w:rPr>
          <w:b/>
          <w:i/>
          <w:color w:val="000000" w:themeColor="text1"/>
        </w:rPr>
      </w:pPr>
      <w:r w:rsidRPr="00B40A77">
        <w:rPr>
          <w:b/>
          <w:i/>
          <w:color w:val="000000" w:themeColor="text1"/>
        </w:rPr>
        <w:t xml:space="preserve">Service and Execution of Process Act </w:t>
      </w:r>
    </w:p>
    <w:p w14:paraId="326758C5" w14:textId="3D62B8F2" w:rsidR="00AA5529" w:rsidRPr="00B40A77" w:rsidRDefault="00AA5529" w:rsidP="003D16F5">
      <w:pPr>
        <w:pStyle w:val="NoteText"/>
        <w:rPr>
          <w:b/>
          <w:i/>
          <w:color w:val="000000" w:themeColor="text1"/>
        </w:rPr>
      </w:pPr>
      <w:r w:rsidRPr="00B40A77">
        <w:rPr>
          <w:b/>
          <w:i/>
          <w:color w:val="000000" w:themeColor="text1"/>
        </w:rPr>
        <w:t>statutory provision</w:t>
      </w:r>
    </w:p>
    <w:p w14:paraId="7833DD0F" w14:textId="68B0A799" w:rsidR="00C8425C" w:rsidRPr="00B40A77" w:rsidRDefault="00C8425C" w:rsidP="003D16F5">
      <w:pPr>
        <w:pStyle w:val="NoteText"/>
        <w:rPr>
          <w:b/>
          <w:i/>
          <w:color w:val="000000" w:themeColor="text1"/>
        </w:rPr>
      </w:pPr>
      <w:r w:rsidRPr="00B40A77">
        <w:rPr>
          <w:b/>
          <w:i/>
          <w:color w:val="000000" w:themeColor="text1"/>
        </w:rPr>
        <w:t>Young Offenders Act</w:t>
      </w:r>
    </w:p>
    <w:p w14:paraId="5C1A7532" w14:textId="43290CD9" w:rsidR="00AA5529" w:rsidRPr="00B40A77" w:rsidRDefault="00AA5529" w:rsidP="003D16F5">
      <w:pPr>
        <w:pStyle w:val="NoteText"/>
        <w:rPr>
          <w:b/>
          <w:i/>
          <w:color w:val="000000" w:themeColor="text1"/>
        </w:rPr>
      </w:pPr>
      <w:r w:rsidRPr="00B40A77">
        <w:rPr>
          <w:b/>
          <w:i/>
          <w:color w:val="000000" w:themeColor="text1"/>
        </w:rPr>
        <w:t>youth</w:t>
      </w:r>
    </w:p>
    <w:p w14:paraId="3864CB0B" w14:textId="77777777" w:rsidR="00E92F83" w:rsidRPr="00B40A77" w:rsidRDefault="00E92F83" w:rsidP="004057D2">
      <w:pPr>
        <w:pStyle w:val="Heading4"/>
        <w:rPr>
          <w:color w:val="000000" w:themeColor="text1"/>
        </w:rPr>
      </w:pPr>
      <w:bookmarkStart w:id="31" w:name="_Toc175238728"/>
      <w:bookmarkStart w:id="32" w:name="_Hlk24620648"/>
      <w:r w:rsidRPr="00B40A77">
        <w:rPr>
          <w:color w:val="000000" w:themeColor="text1"/>
        </w:rPr>
        <w:t>2.2—Calculation of time</w:t>
      </w:r>
      <w:bookmarkEnd w:id="31"/>
    </w:p>
    <w:p w14:paraId="0DCE3B65" w14:textId="2427D352" w:rsidR="00E92F83" w:rsidRPr="00B40A77" w:rsidRDefault="00E92F83" w:rsidP="003D16F5">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 to</w:t>
      </w:r>
      <w:r w:rsidR="00F2534D" w:rsidRPr="00B40A77">
        <w:rPr>
          <w:color w:val="000000" w:themeColor="text1"/>
          <w:lang w:val="en-US"/>
        </w:rPr>
        <w:t xml:space="preserve"> the calculation of </w:t>
      </w:r>
      <w:r w:rsidRPr="00B40A77">
        <w:rPr>
          <w:color w:val="000000" w:themeColor="text1"/>
          <w:lang w:val="en-US"/>
        </w:rPr>
        <w:t xml:space="preserve">time fixed by or under </w:t>
      </w:r>
      <w:r w:rsidR="001C7313" w:rsidRPr="00B40A77">
        <w:rPr>
          <w:color w:val="000000" w:themeColor="text1"/>
          <w:lang w:val="en-US"/>
        </w:rPr>
        <w:t>these Rules</w:t>
      </w:r>
      <w:r w:rsidRPr="00B40A77">
        <w:rPr>
          <w:color w:val="000000" w:themeColor="text1"/>
          <w:lang w:val="en-US"/>
        </w:rPr>
        <w:t xml:space="preserve"> or an order of </w:t>
      </w:r>
      <w:r w:rsidR="002F6FE1" w:rsidRPr="00B40A77">
        <w:rPr>
          <w:color w:val="000000" w:themeColor="text1"/>
          <w:lang w:val="en-US"/>
        </w:rPr>
        <w:t xml:space="preserve">the </w:t>
      </w:r>
      <w:r w:rsidR="003E5BBB" w:rsidRPr="00B40A77">
        <w:rPr>
          <w:color w:val="000000" w:themeColor="text1"/>
        </w:rPr>
        <w:t xml:space="preserve">Court </w:t>
      </w:r>
      <w:r w:rsidR="002F6FE1" w:rsidRPr="00B40A77">
        <w:rPr>
          <w:color w:val="000000" w:themeColor="text1"/>
          <w:lang w:val="en-US"/>
        </w:rPr>
        <w:t xml:space="preserve">and is subject to </w:t>
      </w:r>
      <w:r w:rsidRPr="00B40A77">
        <w:rPr>
          <w:color w:val="000000" w:themeColor="text1"/>
          <w:lang w:val="en-US"/>
        </w:rPr>
        <w:t>manifestation of a contrary intention.</w:t>
      </w:r>
    </w:p>
    <w:p w14:paraId="3BC9465E" w14:textId="77777777" w:rsidR="00E92F83" w:rsidRPr="00B40A77" w:rsidRDefault="00E92F83" w:rsidP="003D16F5">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reference to a </w:t>
      </w:r>
      <w:r w:rsidRPr="00B40A77">
        <w:rPr>
          <w:b/>
          <w:i/>
          <w:color w:val="000000" w:themeColor="text1"/>
          <w:lang w:val="en-US"/>
        </w:rPr>
        <w:t>day</w:t>
      </w:r>
      <w:r w:rsidRPr="00B40A77">
        <w:rPr>
          <w:color w:val="000000" w:themeColor="text1"/>
          <w:lang w:val="en-US"/>
        </w:rPr>
        <w:t xml:space="preserve"> is a reference to a calendar day.</w:t>
      </w:r>
    </w:p>
    <w:p w14:paraId="339D523A" w14:textId="46F19DCF" w:rsidR="00E92F83" w:rsidRPr="00B40A77" w:rsidRDefault="00E92F83" w:rsidP="00174664">
      <w:pPr>
        <w:pStyle w:val="Hangindent"/>
        <w:keepNext/>
        <w:rPr>
          <w:color w:val="000000" w:themeColor="text1"/>
          <w:lang w:val="en-US"/>
        </w:rPr>
      </w:pPr>
      <w:r w:rsidRPr="00B40A77">
        <w:rPr>
          <w:color w:val="000000" w:themeColor="text1"/>
          <w:lang w:val="en-US"/>
        </w:rPr>
        <w:lastRenderedPageBreak/>
        <w:t>(3)</w:t>
      </w:r>
      <w:r w:rsidRPr="00B40A77">
        <w:rPr>
          <w:color w:val="000000" w:themeColor="text1"/>
          <w:lang w:val="en-US"/>
        </w:rPr>
        <w:tab/>
        <w:t xml:space="preserve">If time is fixed by reference to a date or event, the day of the date </w:t>
      </w:r>
      <w:r w:rsidR="00351F1C" w:rsidRPr="00B40A77">
        <w:rPr>
          <w:color w:val="000000" w:themeColor="text1"/>
          <w:lang w:val="en-US"/>
        </w:rPr>
        <w:t xml:space="preserve">or </w:t>
      </w:r>
      <w:r w:rsidRPr="00B40A77">
        <w:rPr>
          <w:color w:val="000000" w:themeColor="text1"/>
          <w:lang w:val="en-US"/>
        </w:rPr>
        <w:t>on which the event occurs is not to be counted.</w:t>
      </w:r>
    </w:p>
    <w:p w14:paraId="356838E3" w14:textId="77777777" w:rsidR="00E92F83" w:rsidRPr="00B40A77" w:rsidRDefault="00E92F83" w:rsidP="006A5750">
      <w:pPr>
        <w:pStyle w:val="NoteHeader"/>
        <w:keepNext/>
        <w:rPr>
          <w:color w:val="000000" w:themeColor="text1"/>
        </w:rPr>
      </w:pPr>
      <w:r w:rsidRPr="00B40A77">
        <w:rPr>
          <w:color w:val="000000" w:themeColor="text1"/>
        </w:rPr>
        <w:t>Examples—</w:t>
      </w:r>
    </w:p>
    <w:p w14:paraId="7A5B30AE" w14:textId="63C6C834" w:rsidR="00E92F83" w:rsidRPr="00B40A77" w:rsidRDefault="00E92F83" w:rsidP="006A5750">
      <w:pPr>
        <w:pStyle w:val="NoteText"/>
        <w:keepNext/>
        <w:rPr>
          <w:color w:val="000000" w:themeColor="text1"/>
        </w:rPr>
      </w:pPr>
      <w:r w:rsidRPr="00B40A77">
        <w:rPr>
          <w:color w:val="000000" w:themeColor="text1"/>
        </w:rPr>
        <w:t xml:space="preserve">On 1 March, the </w:t>
      </w:r>
      <w:r w:rsidR="003E5BBB" w:rsidRPr="00B40A77">
        <w:rPr>
          <w:color w:val="000000" w:themeColor="text1"/>
        </w:rPr>
        <w:t xml:space="preserve">Court </w:t>
      </w:r>
      <w:r w:rsidRPr="00B40A77">
        <w:rPr>
          <w:color w:val="000000" w:themeColor="text1"/>
        </w:rPr>
        <w:t xml:space="preserve">orders a </w:t>
      </w:r>
      <w:r w:rsidR="00CF4056" w:rsidRPr="00B40A77">
        <w:rPr>
          <w:color w:val="000000" w:themeColor="text1"/>
        </w:rPr>
        <w:t>party</w:t>
      </w:r>
      <w:r w:rsidRPr="00B40A77">
        <w:rPr>
          <w:color w:val="000000" w:themeColor="text1"/>
        </w:rPr>
        <w:t xml:space="preserve"> to file a document within 14 days. The </w:t>
      </w:r>
      <w:r w:rsidR="00CF4056" w:rsidRPr="00B40A77">
        <w:rPr>
          <w:color w:val="000000" w:themeColor="text1"/>
        </w:rPr>
        <w:t>party</w:t>
      </w:r>
      <w:r w:rsidRPr="00B40A77">
        <w:rPr>
          <w:color w:val="000000" w:themeColor="text1"/>
        </w:rPr>
        <w:t xml:space="preserve"> must file the document by no later than 15 March.</w:t>
      </w:r>
    </w:p>
    <w:p w14:paraId="176789B6" w14:textId="3D16A37E" w:rsidR="00E92F83" w:rsidRPr="00B40A77" w:rsidRDefault="004209E2" w:rsidP="003D16F5">
      <w:pPr>
        <w:pStyle w:val="NoteText"/>
        <w:rPr>
          <w:color w:val="000000" w:themeColor="text1"/>
        </w:rPr>
      </w:pPr>
      <w:r w:rsidRPr="00B40A77">
        <w:rPr>
          <w:color w:val="000000" w:themeColor="text1"/>
        </w:rPr>
        <w:t xml:space="preserve">The </w:t>
      </w:r>
      <w:r w:rsidR="003E5BBB" w:rsidRPr="00B40A77">
        <w:rPr>
          <w:color w:val="000000" w:themeColor="text1"/>
        </w:rPr>
        <w:t xml:space="preserve">Court </w:t>
      </w:r>
      <w:r w:rsidR="00E92F83" w:rsidRPr="00B40A77">
        <w:rPr>
          <w:color w:val="000000" w:themeColor="text1"/>
        </w:rPr>
        <w:t xml:space="preserve">orders a </w:t>
      </w:r>
      <w:r w:rsidR="00CF4056" w:rsidRPr="00B40A77">
        <w:rPr>
          <w:color w:val="000000" w:themeColor="text1"/>
        </w:rPr>
        <w:t>party</w:t>
      </w:r>
      <w:r w:rsidR="00E92F83" w:rsidRPr="00B40A77">
        <w:rPr>
          <w:color w:val="000000" w:themeColor="text1"/>
        </w:rPr>
        <w:t xml:space="preserve"> to file a document at least 14 days before a </w:t>
      </w:r>
      <w:hyperlink w:anchor="_2.1—Definitions" w:history="1">
        <w:r w:rsidR="00E92F83" w:rsidRPr="00B40A77">
          <w:rPr>
            <w:rStyle w:val="Hyperlink"/>
            <w:color w:val="000000" w:themeColor="text1"/>
          </w:rPr>
          <w:t>hearing</w:t>
        </w:r>
      </w:hyperlink>
      <w:r w:rsidR="00E92F83" w:rsidRPr="00B40A77">
        <w:rPr>
          <w:color w:val="000000" w:themeColor="text1"/>
        </w:rPr>
        <w:t xml:space="preserve"> scheduled on 31</w:t>
      </w:r>
      <w:r w:rsidR="00046CD8" w:rsidRPr="00B40A77">
        <w:rPr>
          <w:color w:val="000000" w:themeColor="text1"/>
        </w:rPr>
        <w:t> </w:t>
      </w:r>
      <w:r w:rsidR="00E92F83" w:rsidRPr="00B40A77">
        <w:rPr>
          <w:color w:val="000000" w:themeColor="text1"/>
        </w:rPr>
        <w:t xml:space="preserve">March. The </w:t>
      </w:r>
      <w:r w:rsidR="00CF4056" w:rsidRPr="00B40A77">
        <w:rPr>
          <w:color w:val="000000" w:themeColor="text1"/>
        </w:rPr>
        <w:t>party</w:t>
      </w:r>
      <w:r w:rsidR="00E92F83" w:rsidRPr="00B40A77">
        <w:rPr>
          <w:color w:val="000000" w:themeColor="text1"/>
        </w:rPr>
        <w:t xml:space="preserve"> must file the document by no later than 16 March.</w:t>
      </w:r>
    </w:p>
    <w:p w14:paraId="7A1AC063" w14:textId="77777777" w:rsidR="00E92F83" w:rsidRPr="00B40A77" w:rsidRDefault="00E92F83" w:rsidP="00D12426">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326E1D" w:rsidRPr="00B40A77">
        <w:rPr>
          <w:color w:val="000000" w:themeColor="text1"/>
          <w:lang w:val="en-US"/>
        </w:rPr>
        <w:t xml:space="preserve">When </w:t>
      </w:r>
      <w:r w:rsidRPr="00B40A77">
        <w:rPr>
          <w:color w:val="000000" w:themeColor="text1"/>
          <w:lang w:val="en-US"/>
        </w:rPr>
        <w:t xml:space="preserve">the time </w:t>
      </w:r>
      <w:r w:rsidR="003B61EC" w:rsidRPr="00B40A77">
        <w:rPr>
          <w:color w:val="000000" w:themeColor="text1"/>
          <w:lang w:val="en-US"/>
        </w:rPr>
        <w:t>for</w:t>
      </w:r>
      <w:r w:rsidRPr="00B40A77">
        <w:rPr>
          <w:color w:val="000000" w:themeColor="text1"/>
          <w:lang w:val="en-US"/>
        </w:rPr>
        <w:t xml:space="preserve"> </w:t>
      </w:r>
      <w:r w:rsidR="00AF240C" w:rsidRPr="00B40A77">
        <w:rPr>
          <w:color w:val="000000" w:themeColor="text1"/>
          <w:lang w:val="en-US"/>
        </w:rPr>
        <w:t>a document</w:t>
      </w:r>
      <w:r w:rsidR="009A3747" w:rsidRPr="00B40A77">
        <w:rPr>
          <w:color w:val="000000" w:themeColor="text1"/>
          <w:lang w:val="en-US"/>
        </w:rPr>
        <w:t xml:space="preserve"> to be filed</w:t>
      </w:r>
      <w:r w:rsidRPr="00B40A77">
        <w:rPr>
          <w:color w:val="000000" w:themeColor="text1"/>
          <w:lang w:val="en-US"/>
        </w:rPr>
        <w:t xml:space="preserve"> is fixed prospectively, if that pe</w:t>
      </w:r>
      <w:r w:rsidR="00A74411" w:rsidRPr="00B40A77">
        <w:rPr>
          <w:color w:val="000000" w:themeColor="text1"/>
          <w:lang w:val="en-US"/>
        </w:rPr>
        <w:t>riod would otherwise end on a day when</w:t>
      </w:r>
      <w:r w:rsidRPr="00B40A77">
        <w:rPr>
          <w:color w:val="000000" w:themeColor="text1"/>
          <w:lang w:val="en-US"/>
        </w:rPr>
        <w:t xml:space="preserve"> the Registry is closed, that period is extended to end on the next day on which the Registry is open.</w:t>
      </w:r>
    </w:p>
    <w:p w14:paraId="6F539BC9" w14:textId="77777777" w:rsidR="007C4E34" w:rsidRPr="00B40A77" w:rsidRDefault="00EA2A62" w:rsidP="002B2797">
      <w:pPr>
        <w:pStyle w:val="Doubleindentedpara"/>
        <w:keepNext/>
        <w:ind w:left="567"/>
        <w:rPr>
          <w:i/>
          <w:color w:val="000000" w:themeColor="text1"/>
          <w:sz w:val="24"/>
        </w:rPr>
      </w:pPr>
      <w:r w:rsidRPr="00B40A77">
        <w:rPr>
          <w:i/>
          <w:color w:val="000000" w:themeColor="text1"/>
          <w:sz w:val="24"/>
        </w:rPr>
        <w:t>Supreme Court and District Court</w:t>
      </w:r>
    </w:p>
    <w:p w14:paraId="758C57BE" w14:textId="288AE9FF" w:rsidR="00036FA5" w:rsidRPr="00B40A77" w:rsidRDefault="00FD1569" w:rsidP="00FD1569">
      <w:pPr>
        <w:pStyle w:val="Hangindent"/>
        <w:rPr>
          <w:color w:val="000000" w:themeColor="text1"/>
          <w:lang w:val="en-US"/>
        </w:rPr>
      </w:pPr>
      <w:r w:rsidRPr="00B40A77">
        <w:rPr>
          <w:color w:val="000000" w:themeColor="text1"/>
          <w:lang w:val="en-US"/>
        </w:rPr>
        <w:t>(5)</w:t>
      </w:r>
      <w:r w:rsidRPr="00B40A77">
        <w:rPr>
          <w:color w:val="000000" w:themeColor="text1"/>
          <w:lang w:val="en-US"/>
        </w:rPr>
        <w:tab/>
      </w:r>
      <w:r w:rsidR="007C4E34" w:rsidRPr="00B40A77">
        <w:rPr>
          <w:color w:val="000000" w:themeColor="text1"/>
          <w:lang w:val="en-US"/>
        </w:rPr>
        <w:t>T</w:t>
      </w:r>
      <w:r w:rsidR="00036FA5" w:rsidRPr="00B40A77">
        <w:rPr>
          <w:color w:val="000000" w:themeColor="text1"/>
          <w:lang w:val="en-US"/>
        </w:rPr>
        <w:t xml:space="preserve">ime does not run </w:t>
      </w:r>
      <w:r w:rsidR="00436F79" w:rsidRPr="00B40A77">
        <w:rPr>
          <w:color w:val="000000" w:themeColor="text1"/>
          <w:lang w:val="en-US"/>
        </w:rPr>
        <w:t xml:space="preserve">between </w:t>
      </w:r>
      <w:r w:rsidR="00580EDE" w:rsidRPr="00B40A77">
        <w:rPr>
          <w:color w:val="000000" w:themeColor="text1"/>
          <w:lang w:val="en-US"/>
        </w:rPr>
        <w:t>25 </w:t>
      </w:r>
      <w:r w:rsidR="00436F79" w:rsidRPr="00B40A77">
        <w:rPr>
          <w:color w:val="000000" w:themeColor="text1"/>
          <w:lang w:val="en-US"/>
        </w:rPr>
        <w:t>December and</w:t>
      </w:r>
      <w:r w:rsidR="00036FA5" w:rsidRPr="00B40A77">
        <w:rPr>
          <w:color w:val="000000" w:themeColor="text1"/>
          <w:lang w:val="en-US"/>
        </w:rPr>
        <w:t xml:space="preserve"> 1 January</w:t>
      </w:r>
      <w:r w:rsidR="00436F79" w:rsidRPr="00B40A77">
        <w:rPr>
          <w:color w:val="000000" w:themeColor="text1"/>
          <w:lang w:val="en-US"/>
        </w:rPr>
        <w:t xml:space="preserve"> for the purpose of the period fixed by </w:t>
      </w:r>
      <w:r w:rsidR="001C7313" w:rsidRPr="00B40A77">
        <w:rPr>
          <w:color w:val="000000" w:themeColor="text1"/>
          <w:lang w:val="en-US"/>
        </w:rPr>
        <w:t>these Rules</w:t>
      </w:r>
      <w:r w:rsidR="00436F79" w:rsidRPr="00B40A77">
        <w:rPr>
          <w:color w:val="000000" w:themeColor="text1"/>
          <w:lang w:val="en-US"/>
        </w:rPr>
        <w:t xml:space="preserve"> for </w:t>
      </w:r>
      <w:r w:rsidR="00F56E23" w:rsidRPr="00B40A77">
        <w:rPr>
          <w:color w:val="000000" w:themeColor="text1"/>
          <w:lang w:val="en-US"/>
        </w:rPr>
        <w:t xml:space="preserve">filing an appeal or taking a </w:t>
      </w:r>
      <w:hyperlink w:anchor="_2.1—Definitions" w:history="1">
        <w:r w:rsidR="0042083D" w:rsidRPr="00B40A77">
          <w:rPr>
            <w:rStyle w:val="Hyperlink"/>
            <w:color w:val="000000" w:themeColor="text1"/>
            <w:lang w:val="en-US"/>
          </w:rPr>
          <w:t>step</w:t>
        </w:r>
      </w:hyperlink>
      <w:r w:rsidR="00F56E23" w:rsidRPr="00B40A77">
        <w:rPr>
          <w:color w:val="000000" w:themeColor="text1"/>
          <w:lang w:val="en-US"/>
        </w:rPr>
        <w:t xml:space="preserve"> in a proceeding or appellate proceeding.</w:t>
      </w:r>
    </w:p>
    <w:p w14:paraId="240EF941" w14:textId="7C50E8F5" w:rsidR="00E92F83" w:rsidRPr="00B40A77" w:rsidRDefault="00E92F83" w:rsidP="004057D2">
      <w:pPr>
        <w:pStyle w:val="Heading4"/>
        <w:rPr>
          <w:color w:val="000000" w:themeColor="text1"/>
        </w:rPr>
      </w:pPr>
      <w:bookmarkStart w:id="33" w:name="_Toc175238729"/>
      <w:bookmarkEnd w:id="32"/>
      <w:r w:rsidRPr="00B40A77">
        <w:rPr>
          <w:color w:val="000000" w:themeColor="text1"/>
        </w:rPr>
        <w:t>2.3—Interpretation</w:t>
      </w:r>
      <w:bookmarkEnd w:id="33"/>
    </w:p>
    <w:p w14:paraId="010991C8" w14:textId="743FB194" w:rsidR="00E92F83" w:rsidRPr="00B40A77" w:rsidRDefault="00E92F83" w:rsidP="006A5750">
      <w:pPr>
        <w:pStyle w:val="Hangindent"/>
        <w:keepNext/>
        <w:rPr>
          <w:color w:val="000000" w:themeColor="text1"/>
        </w:rPr>
      </w:pPr>
      <w:bookmarkStart w:id="34" w:name="_Hlk86166385"/>
      <w:r w:rsidRPr="00B40A77">
        <w:rPr>
          <w:color w:val="000000" w:themeColor="text1"/>
          <w:lang w:val="en-US"/>
        </w:rPr>
        <w:t>(1)</w:t>
      </w:r>
      <w:r w:rsidRPr="00B40A77">
        <w:rPr>
          <w:color w:val="000000" w:themeColor="text1"/>
          <w:lang w:val="en-US"/>
        </w:rPr>
        <w:tab/>
        <w:t xml:space="preserve">In </w:t>
      </w:r>
      <w:r w:rsidR="001C7313" w:rsidRPr="00B40A77">
        <w:rPr>
          <w:color w:val="000000" w:themeColor="text1"/>
          <w:lang w:val="en-US"/>
        </w:rPr>
        <w:t>these Rules</w:t>
      </w:r>
      <w:r w:rsidR="00532AD4" w:rsidRPr="00B40A77">
        <w:rPr>
          <w:color w:val="000000" w:themeColor="text1"/>
          <w:lang w:val="en-US"/>
        </w:rPr>
        <w:t xml:space="preserve">, </w:t>
      </w:r>
      <w:r w:rsidRPr="00B40A77">
        <w:rPr>
          <w:color w:val="000000" w:themeColor="text1"/>
        </w:rPr>
        <w:t>notes</w:t>
      </w:r>
      <w:r w:rsidR="002B379C" w:rsidRPr="00B40A77">
        <w:rPr>
          <w:color w:val="000000" w:themeColor="text1"/>
        </w:rPr>
        <w:t>,</w:t>
      </w:r>
      <w:r w:rsidRPr="00B40A77">
        <w:rPr>
          <w:color w:val="000000" w:themeColor="text1"/>
        </w:rPr>
        <w:t xml:space="preserve"> </w:t>
      </w:r>
      <w:r w:rsidR="0004578D" w:rsidRPr="00B40A77">
        <w:rPr>
          <w:color w:val="000000" w:themeColor="text1"/>
        </w:rPr>
        <w:t>examples and</w:t>
      </w:r>
      <w:r w:rsidR="00BF3E00" w:rsidRPr="00B40A77">
        <w:rPr>
          <w:color w:val="000000" w:themeColor="text1"/>
        </w:rPr>
        <w:t xml:space="preserve"> </w:t>
      </w:r>
      <w:r w:rsidR="002B379C" w:rsidRPr="00B40A77">
        <w:rPr>
          <w:color w:val="000000" w:themeColor="text1"/>
        </w:rPr>
        <w:t xml:space="preserve">references to </w:t>
      </w:r>
      <w:hyperlink w:anchor="_31.1—Definitions" w:history="1">
        <w:r w:rsidR="006467A8" w:rsidRPr="00B40A77">
          <w:rPr>
            <w:rStyle w:val="Hyperlink"/>
            <w:color w:val="000000" w:themeColor="text1"/>
          </w:rPr>
          <w:t>prescribed forms</w:t>
        </w:r>
      </w:hyperlink>
      <w:r w:rsidR="002B379C" w:rsidRPr="00B40A77">
        <w:rPr>
          <w:color w:val="000000" w:themeColor="text1"/>
        </w:rPr>
        <w:t xml:space="preserve"> </w:t>
      </w:r>
      <w:r w:rsidR="00CC4BF6" w:rsidRPr="00B40A77">
        <w:rPr>
          <w:color w:val="000000" w:themeColor="text1"/>
        </w:rPr>
        <w:t>are</w:t>
      </w:r>
      <w:r w:rsidRPr="00B40A77">
        <w:rPr>
          <w:color w:val="000000" w:themeColor="text1"/>
        </w:rPr>
        <w:t xml:space="preserve"> part of </w:t>
      </w:r>
      <w:r w:rsidR="001C7313" w:rsidRPr="00B40A77">
        <w:rPr>
          <w:color w:val="000000" w:themeColor="text1"/>
        </w:rPr>
        <w:t>these Rules</w:t>
      </w:r>
      <w:r w:rsidR="003B61EC" w:rsidRPr="00B40A77">
        <w:rPr>
          <w:color w:val="000000" w:themeColor="text1"/>
        </w:rPr>
        <w:t>.</w:t>
      </w:r>
    </w:p>
    <w:p w14:paraId="672A5B3A" w14:textId="77777777" w:rsidR="00E92F83" w:rsidRPr="00B40A77" w:rsidRDefault="003B61EC" w:rsidP="006A5750">
      <w:pPr>
        <w:pStyle w:val="NoteHeader"/>
        <w:keepNext/>
        <w:rPr>
          <w:color w:val="000000" w:themeColor="text1"/>
        </w:rPr>
      </w:pPr>
      <w:r w:rsidRPr="00B40A77">
        <w:rPr>
          <w:color w:val="000000" w:themeColor="text1"/>
        </w:rPr>
        <w:t>N</w:t>
      </w:r>
      <w:r w:rsidR="008061A5" w:rsidRPr="00B40A77">
        <w:rPr>
          <w:color w:val="000000" w:themeColor="text1"/>
        </w:rPr>
        <w:t>ote</w:t>
      </w:r>
      <w:r w:rsidR="00E92F83" w:rsidRPr="00B40A77">
        <w:rPr>
          <w:color w:val="000000" w:themeColor="text1"/>
        </w:rPr>
        <w:t>—</w:t>
      </w:r>
    </w:p>
    <w:p w14:paraId="5EFABB67" w14:textId="19E68785" w:rsidR="00E92F83" w:rsidRPr="00B40A77" w:rsidRDefault="00E92F83" w:rsidP="003D16F5">
      <w:pPr>
        <w:pStyle w:val="NoteText"/>
        <w:rPr>
          <w:color w:val="000000" w:themeColor="text1"/>
        </w:rPr>
      </w:pPr>
      <w:r w:rsidRPr="00B40A77">
        <w:rPr>
          <w:color w:val="000000" w:themeColor="text1"/>
        </w:rPr>
        <w:t xml:space="preserve">Section 19 of the </w:t>
      </w:r>
      <w:r w:rsidR="002912C2" w:rsidRPr="00B40A77">
        <w:rPr>
          <w:i/>
          <w:color w:val="000000" w:themeColor="text1"/>
        </w:rPr>
        <w:t>Legislation Interpretation Act 2021</w:t>
      </w:r>
      <w:r w:rsidRPr="00B40A77">
        <w:rPr>
          <w:i/>
          <w:color w:val="000000" w:themeColor="text1"/>
        </w:rPr>
        <w:t xml:space="preserve"> </w:t>
      </w:r>
      <w:r w:rsidRPr="00B40A77">
        <w:rPr>
          <w:color w:val="000000" w:themeColor="text1"/>
        </w:rPr>
        <w:t>identif</w:t>
      </w:r>
      <w:r w:rsidR="00C7099C" w:rsidRPr="00B40A77">
        <w:rPr>
          <w:color w:val="000000" w:themeColor="text1"/>
        </w:rPr>
        <w:t>ies</w:t>
      </w:r>
      <w:r w:rsidRPr="00B40A77">
        <w:rPr>
          <w:color w:val="000000" w:themeColor="text1"/>
        </w:rPr>
        <w:t xml:space="preserve"> material that, subject to </w:t>
      </w:r>
      <w:r w:rsidR="00BA7DB3" w:rsidRPr="00B40A77">
        <w:rPr>
          <w:color w:val="000000" w:themeColor="text1"/>
        </w:rPr>
        <w:t xml:space="preserve">any </w:t>
      </w:r>
      <w:r w:rsidRPr="00B40A77">
        <w:rPr>
          <w:color w:val="000000" w:themeColor="text1"/>
        </w:rPr>
        <w:t xml:space="preserve">express provision to the contrary, does and does not form part of </w:t>
      </w:r>
      <w:r w:rsidR="00C7099C" w:rsidRPr="00B40A77">
        <w:rPr>
          <w:color w:val="000000" w:themeColor="text1"/>
        </w:rPr>
        <w:t>a</w:t>
      </w:r>
      <w:r w:rsidR="002912C2" w:rsidRPr="00B40A77">
        <w:rPr>
          <w:color w:val="000000" w:themeColor="text1"/>
        </w:rPr>
        <w:t xml:space="preserve"> legislative instrument</w:t>
      </w:r>
      <w:r w:rsidRPr="00B40A77">
        <w:rPr>
          <w:color w:val="000000" w:themeColor="text1"/>
        </w:rPr>
        <w:t xml:space="preserve">. </w:t>
      </w:r>
    </w:p>
    <w:p w14:paraId="53F442F9" w14:textId="77777777" w:rsidR="00E92F83" w:rsidRPr="00B40A77" w:rsidRDefault="00E92F83" w:rsidP="003D16F5">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In </w:t>
      </w:r>
      <w:r w:rsidR="001C7313" w:rsidRPr="00B40A77">
        <w:rPr>
          <w:color w:val="000000" w:themeColor="text1"/>
          <w:lang w:val="en-US"/>
        </w:rPr>
        <w:t>these Rules</w:t>
      </w:r>
      <w:r w:rsidRPr="00B40A77">
        <w:rPr>
          <w:color w:val="000000" w:themeColor="text1"/>
          <w:lang w:val="en-US"/>
        </w:rPr>
        <w:t>, unless the contrary intention appears</w:t>
      </w:r>
      <w:r w:rsidR="00326E1D" w:rsidRPr="00B40A77">
        <w:rPr>
          <w:rFonts w:cs="Times New Roman"/>
          <w:color w:val="000000" w:themeColor="text1"/>
        </w:rPr>
        <w:t>—</w:t>
      </w:r>
    </w:p>
    <w:p w14:paraId="5CBA1B27" w14:textId="77777777" w:rsidR="00E92F83" w:rsidRPr="00B40A77" w:rsidRDefault="00E92F83" w:rsidP="003D16F5">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FA47DF" w:rsidRPr="00B40A77">
        <w:rPr>
          <w:color w:val="000000" w:themeColor="text1"/>
          <w:lang w:val="en-US"/>
        </w:rPr>
        <w:t xml:space="preserve">if the word “or” appears at the end of the penultimate item in a list, all of the preceding </w:t>
      </w:r>
      <w:r w:rsidR="003B61EC" w:rsidRPr="00B40A77">
        <w:rPr>
          <w:color w:val="000000" w:themeColor="text1"/>
          <w:lang w:val="en-US"/>
        </w:rPr>
        <w:t xml:space="preserve">items in the list </w:t>
      </w:r>
      <w:r w:rsidR="00FA47DF" w:rsidRPr="00B40A77">
        <w:rPr>
          <w:color w:val="000000" w:themeColor="text1"/>
          <w:lang w:val="en-US"/>
        </w:rPr>
        <w:t>are to be read as if the word “or” appeared at the end of each;</w:t>
      </w:r>
      <w:r w:rsidR="00584B15" w:rsidRPr="00B40A77">
        <w:rPr>
          <w:color w:val="000000" w:themeColor="text1"/>
          <w:lang w:val="en-US"/>
        </w:rPr>
        <w:t xml:space="preserve"> and</w:t>
      </w:r>
    </w:p>
    <w:p w14:paraId="6AB0990F" w14:textId="77777777" w:rsidR="00E92F83" w:rsidRPr="00B40A77" w:rsidRDefault="00ED010A" w:rsidP="006A5750">
      <w:pPr>
        <w:pStyle w:val="Doublehangindent"/>
        <w:keepNext/>
        <w:rPr>
          <w:color w:val="000000" w:themeColor="text1"/>
          <w:lang w:val="en-US"/>
        </w:rPr>
      </w:pPr>
      <w:r w:rsidRPr="00B40A77">
        <w:rPr>
          <w:color w:val="000000" w:themeColor="text1"/>
          <w:lang w:val="en-US"/>
        </w:rPr>
        <w:t>(b</w:t>
      </w:r>
      <w:r w:rsidR="00FA47DF" w:rsidRPr="00B40A77">
        <w:rPr>
          <w:color w:val="000000" w:themeColor="text1"/>
          <w:lang w:val="en-US"/>
        </w:rPr>
        <w:t>)</w:t>
      </w:r>
      <w:r w:rsidR="00FA47DF" w:rsidRPr="00B40A77">
        <w:rPr>
          <w:color w:val="000000" w:themeColor="text1"/>
          <w:lang w:val="en-US"/>
        </w:rPr>
        <w:tab/>
        <w:t xml:space="preserve">if the word “and” appears at the end of the penultimate item in a list, all of the preceding </w:t>
      </w:r>
      <w:r w:rsidR="003B61EC" w:rsidRPr="00B40A77">
        <w:rPr>
          <w:color w:val="000000" w:themeColor="text1"/>
          <w:lang w:val="en-US"/>
        </w:rPr>
        <w:t xml:space="preserve">items in the list </w:t>
      </w:r>
      <w:r w:rsidR="00FA47DF" w:rsidRPr="00B40A77">
        <w:rPr>
          <w:color w:val="000000" w:themeColor="text1"/>
          <w:lang w:val="en-US"/>
        </w:rPr>
        <w:t>are to be read as if the word “and” appeared at the end of each</w:t>
      </w:r>
      <w:r w:rsidR="00584B15" w:rsidRPr="00B40A77">
        <w:rPr>
          <w:color w:val="000000" w:themeColor="text1"/>
          <w:lang w:val="en-US"/>
        </w:rPr>
        <w:t>.</w:t>
      </w:r>
    </w:p>
    <w:p w14:paraId="75C983F8" w14:textId="77777777" w:rsidR="00452733" w:rsidRPr="00B40A77" w:rsidRDefault="003B61EC" w:rsidP="00E168E0">
      <w:pPr>
        <w:pStyle w:val="NoteHeader"/>
        <w:keepNext/>
        <w:rPr>
          <w:color w:val="000000" w:themeColor="text1"/>
        </w:rPr>
      </w:pPr>
      <w:r w:rsidRPr="00B40A77">
        <w:rPr>
          <w:color w:val="000000" w:themeColor="text1"/>
        </w:rPr>
        <w:t>N</w:t>
      </w:r>
      <w:r w:rsidR="008061A5" w:rsidRPr="00B40A77">
        <w:rPr>
          <w:color w:val="000000" w:themeColor="text1"/>
        </w:rPr>
        <w:t>ote</w:t>
      </w:r>
      <w:r w:rsidR="00E92F83" w:rsidRPr="00B40A77">
        <w:rPr>
          <w:color w:val="000000" w:themeColor="text1"/>
        </w:rPr>
        <w:t>—</w:t>
      </w:r>
    </w:p>
    <w:p w14:paraId="7A711858" w14:textId="6A3D6C38" w:rsidR="00E92F83" w:rsidRPr="00B40A77" w:rsidRDefault="00E92F83" w:rsidP="00E168E0">
      <w:pPr>
        <w:pStyle w:val="NoteText"/>
        <w:rPr>
          <w:color w:val="000000" w:themeColor="text1"/>
        </w:rPr>
      </w:pPr>
      <w:r w:rsidRPr="00B40A77">
        <w:rPr>
          <w:color w:val="000000" w:themeColor="text1"/>
        </w:rPr>
        <w:t>Sections</w:t>
      </w:r>
      <w:r w:rsidR="00532AD4" w:rsidRPr="00B40A77">
        <w:rPr>
          <w:color w:val="000000" w:themeColor="text1"/>
        </w:rPr>
        <w:t xml:space="preserve"> 6 to 20</w:t>
      </w:r>
      <w:r w:rsidRPr="00B40A77">
        <w:rPr>
          <w:color w:val="000000" w:themeColor="text1"/>
        </w:rPr>
        <w:t xml:space="preserve"> of the </w:t>
      </w:r>
      <w:r w:rsidR="002912C2" w:rsidRPr="00B40A77">
        <w:rPr>
          <w:i/>
          <w:color w:val="000000" w:themeColor="text1"/>
        </w:rPr>
        <w:t>Legislation Interpretation Act 2021</w:t>
      </w:r>
      <w:r w:rsidRPr="00B40A77">
        <w:rPr>
          <w:i/>
          <w:color w:val="000000" w:themeColor="text1"/>
        </w:rPr>
        <w:t xml:space="preserve"> </w:t>
      </w:r>
      <w:r w:rsidRPr="00B40A77">
        <w:rPr>
          <w:color w:val="000000" w:themeColor="text1"/>
        </w:rPr>
        <w:t>contain rules of construct</w:t>
      </w:r>
      <w:r w:rsidR="00183F1F" w:rsidRPr="00B40A77">
        <w:rPr>
          <w:color w:val="000000" w:themeColor="text1"/>
        </w:rPr>
        <w:t>ion.</w:t>
      </w:r>
      <w:r w:rsidR="00452733" w:rsidRPr="00B40A77">
        <w:rPr>
          <w:color w:val="000000" w:themeColor="text1"/>
        </w:rPr>
        <w:t xml:space="preserve"> </w:t>
      </w:r>
      <w:r w:rsidR="00BA7DB3" w:rsidRPr="00B40A77">
        <w:rPr>
          <w:color w:val="000000" w:themeColor="text1"/>
        </w:rPr>
        <w:t xml:space="preserve">Those </w:t>
      </w:r>
      <w:r w:rsidRPr="00B40A77">
        <w:rPr>
          <w:color w:val="000000" w:themeColor="text1"/>
        </w:rPr>
        <w:t xml:space="preserve">rules of construction apply to </w:t>
      </w:r>
      <w:r w:rsidR="001C7313" w:rsidRPr="00B40A77">
        <w:rPr>
          <w:color w:val="000000" w:themeColor="text1"/>
        </w:rPr>
        <w:t>these Rules</w:t>
      </w:r>
      <w:r w:rsidRPr="00B40A77">
        <w:rPr>
          <w:color w:val="000000" w:themeColor="text1"/>
        </w:rPr>
        <w:t xml:space="preserve"> subject to manifestation of a contrary intention.</w:t>
      </w:r>
    </w:p>
    <w:p w14:paraId="5FBFE1BA" w14:textId="19189821" w:rsidR="007D4092" w:rsidRPr="00B40A77" w:rsidRDefault="007D4092" w:rsidP="004057D2">
      <w:pPr>
        <w:pStyle w:val="Heading4"/>
        <w:rPr>
          <w:color w:val="000000" w:themeColor="text1"/>
        </w:rPr>
      </w:pPr>
      <w:bookmarkStart w:id="35" w:name="_Toc175238730"/>
      <w:bookmarkEnd w:id="34"/>
      <w:r w:rsidRPr="00B40A77">
        <w:rPr>
          <w:color w:val="000000" w:themeColor="text1"/>
        </w:rPr>
        <w:t>2.</w:t>
      </w:r>
      <w:r w:rsidR="00467048" w:rsidRPr="00B40A77">
        <w:rPr>
          <w:color w:val="000000" w:themeColor="text1"/>
        </w:rPr>
        <w:t>4</w:t>
      </w:r>
      <w:r w:rsidRPr="00B40A77">
        <w:rPr>
          <w:color w:val="000000" w:themeColor="text1"/>
        </w:rPr>
        <w:t>—Statutory equivalent language</w:t>
      </w:r>
      <w:bookmarkEnd w:id="35"/>
    </w:p>
    <w:p w14:paraId="107E2A2B" w14:textId="01468C2F" w:rsidR="007D4092" w:rsidRPr="00B40A77" w:rsidRDefault="00496EA6" w:rsidP="00496EA6">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7D4092" w:rsidRPr="00B40A77">
        <w:rPr>
          <w:color w:val="000000" w:themeColor="text1"/>
          <w:lang w:val="en-US"/>
        </w:rPr>
        <w:t xml:space="preserve">In </w:t>
      </w:r>
      <w:r w:rsidR="001C7313" w:rsidRPr="00B40A77">
        <w:rPr>
          <w:color w:val="000000" w:themeColor="text1"/>
          <w:lang w:val="en-US"/>
        </w:rPr>
        <w:t>these Rules</w:t>
      </w:r>
      <w:r w:rsidR="007D4092" w:rsidRPr="00B40A77">
        <w:rPr>
          <w:color w:val="000000" w:themeColor="text1"/>
          <w:lang w:val="en-US"/>
        </w:rPr>
        <w:t>,</w:t>
      </w:r>
      <w:r w:rsidR="00EE49F6" w:rsidRPr="00B40A77">
        <w:rPr>
          <w:color w:val="000000" w:themeColor="text1"/>
          <w:lang w:val="en-US"/>
        </w:rPr>
        <w:t xml:space="preserve"> </w:t>
      </w:r>
      <w:r w:rsidR="008B28B7" w:rsidRPr="00B40A77">
        <w:rPr>
          <w:color w:val="000000" w:themeColor="text1"/>
          <w:lang w:val="en-US"/>
        </w:rPr>
        <w:t xml:space="preserve">if an applicable </w:t>
      </w:r>
      <w:r w:rsidR="00532AD4" w:rsidRPr="00B40A77">
        <w:rPr>
          <w:color w:val="000000" w:themeColor="text1"/>
          <w:lang w:val="en-US"/>
        </w:rPr>
        <w:t>statutory provision</w:t>
      </w:r>
      <w:r w:rsidR="008B28B7" w:rsidRPr="00B40A77">
        <w:rPr>
          <w:color w:val="000000" w:themeColor="text1"/>
          <w:lang w:val="en-US"/>
        </w:rPr>
        <w:t xml:space="preserve"> refers to permission to </w:t>
      </w:r>
      <w:r w:rsidR="00CD36D6" w:rsidRPr="00B40A77">
        <w:rPr>
          <w:color w:val="000000" w:themeColor="text1"/>
          <w:lang w:val="en-US"/>
        </w:rPr>
        <w:t>appeal</w:t>
      </w:r>
      <w:r w:rsidR="008B28B7" w:rsidRPr="00B40A77">
        <w:rPr>
          <w:color w:val="000000" w:themeColor="text1"/>
          <w:lang w:val="en-US"/>
        </w:rPr>
        <w:t xml:space="preserve"> or to take a </w:t>
      </w:r>
      <w:hyperlink w:anchor="_2.1—Definitions" w:history="1">
        <w:r w:rsidR="0042083D" w:rsidRPr="00B40A77">
          <w:rPr>
            <w:rStyle w:val="Hyperlink"/>
            <w:color w:val="000000" w:themeColor="text1"/>
            <w:lang w:val="en-US"/>
          </w:rPr>
          <w:t>step</w:t>
        </w:r>
      </w:hyperlink>
      <w:r w:rsidR="008B28B7" w:rsidRPr="00B40A77">
        <w:rPr>
          <w:color w:val="000000" w:themeColor="text1"/>
          <w:lang w:val="en-US"/>
        </w:rPr>
        <w:t xml:space="preserve"> in </w:t>
      </w:r>
      <w:r w:rsidR="00FD37BD" w:rsidRPr="00B40A77">
        <w:rPr>
          <w:color w:val="000000" w:themeColor="text1"/>
          <w:lang w:val="en-US"/>
        </w:rPr>
        <w:t>a proceeding</w:t>
      </w:r>
      <w:r w:rsidR="008B28B7" w:rsidRPr="00B40A77">
        <w:rPr>
          <w:color w:val="000000" w:themeColor="text1"/>
          <w:lang w:val="en-US"/>
        </w:rPr>
        <w:t xml:space="preserve">, a reference in </w:t>
      </w:r>
      <w:r w:rsidR="001C7313" w:rsidRPr="00B40A77">
        <w:rPr>
          <w:color w:val="000000" w:themeColor="text1"/>
          <w:lang w:val="en-US"/>
        </w:rPr>
        <w:t>these Rules</w:t>
      </w:r>
      <w:r w:rsidR="008B28B7" w:rsidRPr="00B40A77">
        <w:rPr>
          <w:color w:val="000000" w:themeColor="text1"/>
          <w:lang w:val="en-US"/>
        </w:rPr>
        <w:t xml:space="preserve"> to leave to </w:t>
      </w:r>
      <w:r w:rsidR="00CD36D6" w:rsidRPr="00B40A77">
        <w:rPr>
          <w:color w:val="000000" w:themeColor="text1"/>
          <w:lang w:val="en-US"/>
        </w:rPr>
        <w:t>appeal</w:t>
      </w:r>
      <w:r w:rsidR="008B28B7" w:rsidRPr="00B40A77">
        <w:rPr>
          <w:color w:val="000000" w:themeColor="text1"/>
          <w:lang w:val="en-US"/>
        </w:rPr>
        <w:t xml:space="preserve"> or </w:t>
      </w:r>
      <w:r w:rsidR="008061A5" w:rsidRPr="00B40A77">
        <w:rPr>
          <w:color w:val="000000" w:themeColor="text1"/>
          <w:lang w:val="en-US"/>
        </w:rPr>
        <w:t xml:space="preserve">leave </w:t>
      </w:r>
      <w:r w:rsidR="008B28B7" w:rsidRPr="00B40A77">
        <w:rPr>
          <w:color w:val="000000" w:themeColor="text1"/>
          <w:lang w:val="en-US"/>
        </w:rPr>
        <w:t xml:space="preserve">to take a </w:t>
      </w:r>
      <w:hyperlink w:anchor="_2.1—Definitions" w:history="1">
        <w:r w:rsidR="0042083D" w:rsidRPr="00B40A77">
          <w:rPr>
            <w:rStyle w:val="Hyperlink"/>
            <w:color w:val="000000" w:themeColor="text1"/>
            <w:lang w:val="en-US"/>
          </w:rPr>
          <w:t>step</w:t>
        </w:r>
      </w:hyperlink>
      <w:r w:rsidR="008B28B7" w:rsidRPr="00B40A77">
        <w:rPr>
          <w:color w:val="000000" w:themeColor="text1"/>
          <w:lang w:val="en-US"/>
        </w:rPr>
        <w:t xml:space="preserve"> in </w:t>
      </w:r>
      <w:r w:rsidR="00FD37BD" w:rsidRPr="00B40A77">
        <w:rPr>
          <w:color w:val="000000" w:themeColor="text1"/>
          <w:lang w:val="en-US"/>
        </w:rPr>
        <w:t>a proceeding</w:t>
      </w:r>
      <w:r w:rsidR="008B28B7" w:rsidRPr="00B40A77">
        <w:rPr>
          <w:color w:val="000000" w:themeColor="text1"/>
          <w:lang w:val="en-US"/>
        </w:rPr>
        <w:t xml:space="preserve"> is to be understood as a reference to permission to </w:t>
      </w:r>
      <w:r w:rsidR="00CD36D6" w:rsidRPr="00B40A77">
        <w:rPr>
          <w:color w:val="000000" w:themeColor="text1"/>
          <w:lang w:val="en-US"/>
        </w:rPr>
        <w:t>appeal</w:t>
      </w:r>
      <w:r w:rsidR="008B28B7" w:rsidRPr="00B40A77">
        <w:rPr>
          <w:color w:val="000000" w:themeColor="text1"/>
          <w:lang w:val="en-US"/>
        </w:rPr>
        <w:t xml:space="preserve"> or to take a </w:t>
      </w:r>
      <w:hyperlink w:anchor="_2.1—Definitions" w:history="1">
        <w:r w:rsidR="0042083D" w:rsidRPr="00B40A77">
          <w:rPr>
            <w:rStyle w:val="Hyperlink"/>
            <w:color w:val="000000" w:themeColor="text1"/>
            <w:lang w:val="en-US"/>
          </w:rPr>
          <w:t>step</w:t>
        </w:r>
      </w:hyperlink>
      <w:r w:rsidR="008B28B7" w:rsidRPr="00B40A77">
        <w:rPr>
          <w:color w:val="000000" w:themeColor="text1"/>
          <w:lang w:val="en-US"/>
        </w:rPr>
        <w:t xml:space="preserve"> in </w:t>
      </w:r>
      <w:r w:rsidR="00FD37BD" w:rsidRPr="00B40A77">
        <w:rPr>
          <w:color w:val="000000" w:themeColor="text1"/>
          <w:lang w:val="en-US"/>
        </w:rPr>
        <w:t>a proceeding</w:t>
      </w:r>
      <w:r w:rsidR="00EE49F6" w:rsidRPr="00B40A77">
        <w:rPr>
          <w:color w:val="000000" w:themeColor="text1"/>
          <w:lang w:val="en-US"/>
        </w:rPr>
        <w:t>.</w:t>
      </w:r>
    </w:p>
    <w:p w14:paraId="2960FFFE" w14:textId="0A7CA1E6" w:rsidR="00034E79" w:rsidRPr="00B40A77" w:rsidRDefault="00034E79" w:rsidP="00034E7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In these Rules, if an applicable statutory provision refers to a </w:t>
      </w:r>
      <w:r w:rsidR="00135EC7" w:rsidRPr="00B40A77">
        <w:rPr>
          <w:color w:val="000000" w:themeColor="text1"/>
          <w:lang w:val="en-US"/>
        </w:rPr>
        <w:t>summons to a witness</w:t>
      </w:r>
      <w:r w:rsidRPr="00B40A77">
        <w:rPr>
          <w:color w:val="000000" w:themeColor="text1"/>
          <w:lang w:val="en-US"/>
        </w:rPr>
        <w:t xml:space="preserve">, a reference in these Rules to a </w:t>
      </w:r>
      <w:hyperlink w:anchor="_122.1—Interpretation" w:history="1">
        <w:r w:rsidR="001F0AB4" w:rsidRPr="00B40A77">
          <w:rPr>
            <w:rStyle w:val="Hyperlink"/>
            <w:color w:val="000000" w:themeColor="text1"/>
            <w:lang w:val="en-US"/>
          </w:rPr>
          <w:t>subpoena</w:t>
        </w:r>
      </w:hyperlink>
      <w:r w:rsidRPr="00B40A77">
        <w:rPr>
          <w:color w:val="000000" w:themeColor="text1"/>
          <w:lang w:val="en-US"/>
        </w:rPr>
        <w:t xml:space="preserve"> is to be understood as a reference to a </w:t>
      </w:r>
      <w:r w:rsidR="00135EC7" w:rsidRPr="00B40A77">
        <w:rPr>
          <w:color w:val="000000" w:themeColor="text1"/>
          <w:lang w:val="en-US"/>
        </w:rPr>
        <w:t>summons to a witness</w:t>
      </w:r>
      <w:r w:rsidRPr="00B40A77">
        <w:rPr>
          <w:color w:val="000000" w:themeColor="text1"/>
          <w:lang w:val="en-US"/>
        </w:rPr>
        <w:t>.</w:t>
      </w:r>
    </w:p>
    <w:p w14:paraId="5B47443A" w14:textId="668E60EB" w:rsidR="007C18C7" w:rsidRPr="00B40A77" w:rsidRDefault="000056D2" w:rsidP="001103F0">
      <w:pPr>
        <w:pStyle w:val="Heading2"/>
        <w:keepNext/>
        <w:rPr>
          <w:color w:val="000000" w:themeColor="text1"/>
        </w:rPr>
      </w:pPr>
      <w:bookmarkStart w:id="36" w:name="_Toc175238731"/>
      <w:r w:rsidRPr="00B40A77">
        <w:rPr>
          <w:color w:val="000000" w:themeColor="text1"/>
        </w:rPr>
        <w:lastRenderedPageBreak/>
        <w:t>Part 3</w:t>
      </w:r>
      <w:r w:rsidR="007C18C7" w:rsidRPr="00B40A77">
        <w:rPr>
          <w:color w:val="000000" w:themeColor="text1"/>
        </w:rPr>
        <w:t>—</w:t>
      </w:r>
      <w:r w:rsidR="000E0801" w:rsidRPr="00B40A77">
        <w:rPr>
          <w:color w:val="000000" w:themeColor="text1"/>
        </w:rPr>
        <w:t>Power of Chief Judicial Officer to vary rules</w:t>
      </w:r>
      <w:bookmarkEnd w:id="36"/>
      <w:r w:rsidR="000E0801" w:rsidRPr="00B40A77">
        <w:rPr>
          <w:color w:val="000000" w:themeColor="text1"/>
        </w:rPr>
        <w:t xml:space="preserve"> </w:t>
      </w:r>
    </w:p>
    <w:p w14:paraId="58115B3B" w14:textId="4CE63A9C" w:rsidR="007C18C7" w:rsidRPr="00B40A77" w:rsidRDefault="000056D2" w:rsidP="004057D2">
      <w:pPr>
        <w:pStyle w:val="Heading4"/>
        <w:rPr>
          <w:color w:val="000000" w:themeColor="text1"/>
        </w:rPr>
      </w:pPr>
      <w:bookmarkStart w:id="37" w:name="_Toc175238732"/>
      <w:bookmarkStart w:id="38" w:name="_Hlk86235862"/>
      <w:r w:rsidRPr="00B40A77">
        <w:rPr>
          <w:color w:val="000000" w:themeColor="text1"/>
        </w:rPr>
        <w:t>3</w:t>
      </w:r>
      <w:r w:rsidR="000E0801" w:rsidRPr="00B40A77">
        <w:rPr>
          <w:color w:val="000000" w:themeColor="text1"/>
        </w:rPr>
        <w:t>.1—Emergency power</w:t>
      </w:r>
      <w:bookmarkEnd w:id="37"/>
    </w:p>
    <w:p w14:paraId="2CE5D16F" w14:textId="77777777" w:rsidR="007C18C7" w:rsidRPr="00B40A77" w:rsidRDefault="000E0801"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This rule applies </w:t>
      </w:r>
      <w:r w:rsidR="00D54E09" w:rsidRPr="00B40A77">
        <w:rPr>
          <w:color w:val="000000" w:themeColor="text1"/>
          <w:lang w:val="en-US"/>
        </w:rPr>
        <w:t>if</w:t>
      </w:r>
      <w:r w:rsidR="007C18C7" w:rsidRPr="00B40A77">
        <w:rPr>
          <w:color w:val="000000" w:themeColor="text1"/>
        </w:rPr>
        <w:t>—</w:t>
      </w:r>
    </w:p>
    <w:p w14:paraId="07A0517D" w14:textId="6A5B9838" w:rsidR="00D54E09" w:rsidRPr="00B40A77" w:rsidRDefault="00D54E09" w:rsidP="00D54E09">
      <w:pPr>
        <w:pStyle w:val="Doublehangindent"/>
        <w:rPr>
          <w:color w:val="000000" w:themeColor="text1"/>
          <w:lang w:val="en-US"/>
        </w:rPr>
      </w:pPr>
      <w:r w:rsidRPr="00B40A77">
        <w:rPr>
          <w:color w:val="000000" w:themeColor="text1"/>
          <w:lang w:val="en-US"/>
        </w:rPr>
        <w:t>(a)</w:t>
      </w:r>
      <w:r w:rsidRPr="00B40A77">
        <w:rPr>
          <w:color w:val="000000" w:themeColor="text1"/>
          <w:lang w:val="en-US"/>
        </w:rPr>
        <w:tab/>
      </w:r>
      <w:hyperlink w:anchor="_2.1—Definitions" w:history="1">
        <w:r w:rsidR="00AA6FCA" w:rsidRPr="00B40A77">
          <w:rPr>
            <w:rStyle w:val="Hyperlink"/>
            <w:color w:val="000000" w:themeColor="text1"/>
            <w:lang w:val="en-US"/>
          </w:rPr>
          <w:t>the State</w:t>
        </w:r>
      </w:hyperlink>
      <w:r w:rsidRPr="00B40A77">
        <w:rPr>
          <w:color w:val="000000" w:themeColor="text1"/>
          <w:lang w:val="en-US"/>
        </w:rPr>
        <w:t xml:space="preserve"> or Federal Government declares, or exercises powers based on there being, </w:t>
      </w:r>
      <w:r w:rsidR="00F85310" w:rsidRPr="00B40A77">
        <w:rPr>
          <w:color w:val="000000" w:themeColor="text1"/>
          <w:lang w:val="en-US"/>
        </w:rPr>
        <w:t>the existence</w:t>
      </w:r>
      <w:r w:rsidRPr="00B40A77">
        <w:rPr>
          <w:color w:val="000000" w:themeColor="text1"/>
          <w:lang w:val="en-US"/>
        </w:rPr>
        <w:t xml:space="preserve"> of emergency</w:t>
      </w:r>
      <w:r w:rsidR="00F85310" w:rsidRPr="00B40A77">
        <w:rPr>
          <w:color w:val="000000" w:themeColor="text1"/>
          <w:lang w:val="en-US"/>
        </w:rPr>
        <w:t xml:space="preserve"> conditions</w:t>
      </w:r>
      <w:r w:rsidRPr="00B40A77">
        <w:rPr>
          <w:color w:val="000000" w:themeColor="text1"/>
          <w:lang w:val="en-US"/>
        </w:rPr>
        <w:t>; or</w:t>
      </w:r>
    </w:p>
    <w:p w14:paraId="2C62EACC" w14:textId="56EB935E" w:rsidR="00D54E09" w:rsidRPr="00B40A77" w:rsidRDefault="00D54E09" w:rsidP="00D54E0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determines that emergency conditions affecting the </w:t>
      </w:r>
      <w:r w:rsidR="003E5BBB" w:rsidRPr="00B40A77">
        <w:rPr>
          <w:color w:val="000000" w:themeColor="text1"/>
        </w:rPr>
        <w:t xml:space="preserve">Court </w:t>
      </w:r>
      <w:r w:rsidRPr="00B40A77">
        <w:rPr>
          <w:color w:val="000000" w:themeColor="text1"/>
          <w:lang w:val="en-US"/>
        </w:rPr>
        <w:t>or the community justif</w:t>
      </w:r>
      <w:r w:rsidR="00F85310" w:rsidRPr="00B40A77">
        <w:rPr>
          <w:color w:val="000000" w:themeColor="text1"/>
          <w:lang w:val="en-US"/>
        </w:rPr>
        <w:t>y</w:t>
      </w:r>
      <w:r w:rsidRPr="00B40A77">
        <w:rPr>
          <w:color w:val="000000" w:themeColor="text1"/>
          <w:lang w:val="en-US"/>
        </w:rPr>
        <w:t xml:space="preserve"> exercise of the power conferred by this rule.</w:t>
      </w:r>
    </w:p>
    <w:p w14:paraId="69D66B66" w14:textId="2681586A" w:rsidR="00D54E09" w:rsidRPr="00B40A77" w:rsidRDefault="00D54E09" w:rsidP="00D54E0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When this rule applies, 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may </w:t>
      </w:r>
      <w:r w:rsidR="00EE767C" w:rsidRPr="00B40A77">
        <w:rPr>
          <w:color w:val="000000" w:themeColor="text1"/>
        </w:rPr>
        <w:t xml:space="preserve">declare that </w:t>
      </w:r>
      <w:r w:rsidR="00EE767C" w:rsidRPr="00B40A77">
        <w:rPr>
          <w:color w:val="000000" w:themeColor="text1"/>
          <w:lang w:val="en-US"/>
        </w:rPr>
        <w:t>particular</w:t>
      </w:r>
      <w:r w:rsidR="00EE767C" w:rsidRPr="00B40A77">
        <w:rPr>
          <w:color w:val="000000" w:themeColor="text1"/>
        </w:rPr>
        <w:t xml:space="preserve"> rules are modified or disapplied in </w:t>
      </w:r>
      <w:r w:rsidR="00EE767C" w:rsidRPr="00B40A77">
        <w:rPr>
          <w:color w:val="000000" w:themeColor="text1"/>
          <w:lang w:val="en-US"/>
        </w:rPr>
        <w:t>particular</w:t>
      </w:r>
      <w:r w:rsidR="00EE767C" w:rsidRPr="00B40A77">
        <w:rPr>
          <w:color w:val="000000" w:themeColor="text1"/>
        </w:rPr>
        <w:t xml:space="preserve"> circumstances</w:t>
      </w:r>
      <w:r w:rsidRPr="00B40A77">
        <w:rPr>
          <w:color w:val="000000" w:themeColor="text1"/>
          <w:lang w:val="en-US"/>
        </w:rPr>
        <w:t xml:space="preserve"> in a manner </w:t>
      </w:r>
      <w:r w:rsidR="00864D02" w:rsidRPr="00B40A77">
        <w:rPr>
          <w:color w:val="000000" w:themeColor="text1"/>
          <w:lang w:val="en-US"/>
        </w:rPr>
        <w:t xml:space="preserve">and for a time </w:t>
      </w:r>
      <w:r w:rsidRPr="00B40A77">
        <w:rPr>
          <w:color w:val="000000" w:themeColor="text1"/>
          <w:lang w:val="en-US"/>
        </w:rPr>
        <w:t xml:space="preserve">that is necessary or desirable </w:t>
      </w:r>
      <w:r w:rsidR="00F85310" w:rsidRPr="00B40A77">
        <w:rPr>
          <w:color w:val="000000" w:themeColor="text1"/>
          <w:lang w:val="en-US"/>
        </w:rPr>
        <w:t xml:space="preserve">to deal with the emergency conditions </w:t>
      </w:r>
      <w:r w:rsidR="00864D02" w:rsidRPr="00B40A77">
        <w:rPr>
          <w:color w:val="000000" w:themeColor="text1"/>
          <w:lang w:val="en-US"/>
        </w:rPr>
        <w:t>giving rise to the existence of the power conferred by this rule.</w:t>
      </w:r>
    </w:p>
    <w:p w14:paraId="61E31958" w14:textId="0B3DF2D7" w:rsidR="00D82985" w:rsidRPr="00B40A77" w:rsidRDefault="00D10EDF" w:rsidP="00D54E09">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w:t>
      </w:r>
      <w:r w:rsidR="00EE767C" w:rsidRPr="00B40A77">
        <w:rPr>
          <w:color w:val="000000" w:themeColor="text1"/>
          <w:lang w:val="en-US"/>
        </w:rPr>
        <w:t xml:space="preserve">declaration </w:t>
      </w:r>
      <w:r w:rsidRPr="00B40A77">
        <w:rPr>
          <w:color w:val="000000" w:themeColor="text1"/>
          <w:lang w:val="en-US"/>
        </w:rPr>
        <w:t>under subrule</w:t>
      </w:r>
      <w:r w:rsidR="001B1E8A" w:rsidRPr="00B40A77">
        <w:rPr>
          <w:color w:val="000000" w:themeColor="text1"/>
          <w:lang w:val="en-US"/>
        </w:rPr>
        <w:t> </w:t>
      </w:r>
      <w:r w:rsidRPr="00B40A77">
        <w:rPr>
          <w:color w:val="000000" w:themeColor="text1"/>
          <w:lang w:val="en-US"/>
        </w:rPr>
        <w:t>(</w:t>
      </w:r>
      <w:r w:rsidR="002E0264" w:rsidRPr="00B40A77">
        <w:rPr>
          <w:color w:val="000000" w:themeColor="text1"/>
          <w:lang w:val="en-US"/>
        </w:rPr>
        <w:t>2</w:t>
      </w:r>
      <w:r w:rsidRPr="00B40A77">
        <w:rPr>
          <w:color w:val="000000" w:themeColor="text1"/>
          <w:lang w:val="en-US"/>
        </w:rPr>
        <w:t>) may apply to</w:t>
      </w:r>
      <w:r w:rsidR="00D82985" w:rsidRPr="00B40A77">
        <w:rPr>
          <w:color w:val="000000" w:themeColor="text1"/>
        </w:rPr>
        <w:t>—</w:t>
      </w:r>
    </w:p>
    <w:p w14:paraId="60503762" w14:textId="77777777" w:rsidR="00D10EDF" w:rsidRPr="00B40A77" w:rsidRDefault="00D82985" w:rsidP="00D82985">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D10EDF" w:rsidRPr="00B40A77">
        <w:rPr>
          <w:color w:val="000000" w:themeColor="text1"/>
          <w:lang w:val="en-US"/>
        </w:rPr>
        <w:t>a particular proceeding or class of proceeding</w:t>
      </w:r>
      <w:r w:rsidRPr="00B40A77">
        <w:rPr>
          <w:color w:val="000000" w:themeColor="text1"/>
          <w:lang w:val="en-US"/>
        </w:rPr>
        <w:t>s;</w:t>
      </w:r>
    </w:p>
    <w:p w14:paraId="00699275" w14:textId="77777777" w:rsidR="00D82985" w:rsidRPr="00B40A77" w:rsidRDefault="00E33833" w:rsidP="00D82985">
      <w:pPr>
        <w:pStyle w:val="Doublehangindent"/>
        <w:rPr>
          <w:color w:val="000000" w:themeColor="text1"/>
          <w:lang w:val="en-US"/>
        </w:rPr>
      </w:pPr>
      <w:r w:rsidRPr="00B40A77">
        <w:rPr>
          <w:color w:val="000000" w:themeColor="text1"/>
          <w:lang w:val="en-US"/>
        </w:rPr>
        <w:t>(b)</w:t>
      </w:r>
      <w:r w:rsidRPr="00B40A77">
        <w:rPr>
          <w:color w:val="000000" w:themeColor="text1"/>
          <w:lang w:val="en-US"/>
        </w:rPr>
        <w:tab/>
        <w:t>a particular party</w:t>
      </w:r>
      <w:r w:rsidR="00D82985" w:rsidRPr="00B40A77">
        <w:rPr>
          <w:color w:val="000000" w:themeColor="text1"/>
          <w:lang w:val="en-US"/>
        </w:rPr>
        <w:t xml:space="preserve"> or class of parties;</w:t>
      </w:r>
    </w:p>
    <w:p w14:paraId="6D243C89" w14:textId="110E7EDC" w:rsidR="00D82985" w:rsidRPr="00B40A77" w:rsidRDefault="00D82985" w:rsidP="00D82985">
      <w:pPr>
        <w:pStyle w:val="Doublehangindent"/>
        <w:rPr>
          <w:color w:val="000000" w:themeColor="text1"/>
          <w:lang w:val="en-US"/>
        </w:rPr>
      </w:pPr>
      <w:r w:rsidRPr="00B40A77">
        <w:rPr>
          <w:color w:val="000000" w:themeColor="text1"/>
          <w:lang w:val="en-US"/>
        </w:rPr>
        <w:t>(</w:t>
      </w:r>
      <w:r w:rsidR="00E33833" w:rsidRPr="00B40A77">
        <w:rPr>
          <w:color w:val="000000" w:themeColor="text1"/>
          <w:lang w:val="en-US"/>
        </w:rPr>
        <w:t>c</w:t>
      </w:r>
      <w:r w:rsidRPr="00B40A77">
        <w:rPr>
          <w:color w:val="000000" w:themeColor="text1"/>
          <w:lang w:val="en-US"/>
        </w:rPr>
        <w:t>)</w:t>
      </w:r>
      <w:r w:rsidRPr="00B40A77">
        <w:rPr>
          <w:color w:val="000000" w:themeColor="text1"/>
          <w:lang w:val="en-US"/>
        </w:rPr>
        <w:tab/>
        <w:t xml:space="preserve">a particular </w:t>
      </w:r>
      <w:r w:rsidR="001327AD" w:rsidRPr="00B40A77">
        <w:rPr>
          <w:color w:val="000000" w:themeColor="text1"/>
          <w:lang w:val="en-US"/>
        </w:rPr>
        <w:t>lawyer</w:t>
      </w:r>
      <w:r w:rsidRPr="00B40A77">
        <w:rPr>
          <w:color w:val="000000" w:themeColor="text1"/>
          <w:lang w:val="en-US"/>
        </w:rPr>
        <w:t xml:space="preserve"> </w:t>
      </w:r>
      <w:r w:rsidR="00AD7289" w:rsidRPr="00B40A77">
        <w:rPr>
          <w:color w:val="000000" w:themeColor="text1"/>
          <w:lang w:val="en-US"/>
        </w:rPr>
        <w:t xml:space="preserve">or law firm </w:t>
      </w:r>
      <w:r w:rsidRPr="00B40A77">
        <w:rPr>
          <w:color w:val="000000" w:themeColor="text1"/>
          <w:lang w:val="en-US"/>
        </w:rPr>
        <w:t xml:space="preserve">or class of </w:t>
      </w:r>
      <w:r w:rsidR="001327AD" w:rsidRPr="00B40A77">
        <w:rPr>
          <w:color w:val="000000" w:themeColor="text1"/>
          <w:lang w:val="en-US"/>
        </w:rPr>
        <w:t>lawyers</w:t>
      </w:r>
      <w:r w:rsidRPr="00B40A77">
        <w:rPr>
          <w:color w:val="000000" w:themeColor="text1"/>
          <w:lang w:val="en-US"/>
        </w:rPr>
        <w:t>;</w:t>
      </w:r>
      <w:r w:rsidR="001327AD" w:rsidRPr="00B40A77">
        <w:rPr>
          <w:color w:val="000000" w:themeColor="text1"/>
          <w:lang w:val="en-US"/>
        </w:rPr>
        <w:t xml:space="preserve"> or</w:t>
      </w:r>
    </w:p>
    <w:p w14:paraId="22335027" w14:textId="15977E72" w:rsidR="00D82985" w:rsidRPr="00B40A77" w:rsidRDefault="00E33833" w:rsidP="00D82985">
      <w:pPr>
        <w:pStyle w:val="Doublehangindent"/>
        <w:rPr>
          <w:color w:val="000000" w:themeColor="text1"/>
          <w:lang w:val="en-US"/>
        </w:rPr>
      </w:pPr>
      <w:r w:rsidRPr="00B40A77">
        <w:rPr>
          <w:color w:val="000000" w:themeColor="text1"/>
          <w:lang w:val="en-US"/>
        </w:rPr>
        <w:t>(d</w:t>
      </w:r>
      <w:r w:rsidR="00D82985" w:rsidRPr="00B40A77">
        <w:rPr>
          <w:color w:val="000000" w:themeColor="text1"/>
          <w:lang w:val="en-US"/>
        </w:rPr>
        <w:t>)</w:t>
      </w:r>
      <w:r w:rsidR="00D82985" w:rsidRPr="00B40A77">
        <w:rPr>
          <w:color w:val="000000" w:themeColor="text1"/>
          <w:lang w:val="en-US"/>
        </w:rPr>
        <w:tab/>
        <w:t xml:space="preserve">a particular </w:t>
      </w:r>
      <w:hyperlink w:anchor="_2.1—Definitions" w:history="1">
        <w:r w:rsidR="0042083D" w:rsidRPr="00B40A77">
          <w:rPr>
            <w:rStyle w:val="Hyperlink"/>
            <w:color w:val="000000" w:themeColor="text1"/>
            <w:lang w:val="en-US"/>
          </w:rPr>
          <w:t>step</w:t>
        </w:r>
      </w:hyperlink>
      <w:r w:rsidR="00D82985" w:rsidRPr="00B40A77">
        <w:rPr>
          <w:color w:val="000000" w:themeColor="text1"/>
          <w:lang w:val="en-US"/>
        </w:rPr>
        <w:t xml:space="preserve"> or class of </w:t>
      </w:r>
      <w:hyperlink w:anchor="_2.1—Definitions" w:history="1">
        <w:r w:rsidR="0042083D" w:rsidRPr="00B40A77">
          <w:rPr>
            <w:rStyle w:val="Hyperlink"/>
            <w:color w:val="000000" w:themeColor="text1"/>
            <w:lang w:val="en-US"/>
          </w:rPr>
          <w:t>step</w:t>
        </w:r>
      </w:hyperlink>
      <w:r w:rsidR="001327AD" w:rsidRPr="00B40A77">
        <w:rPr>
          <w:color w:val="000000" w:themeColor="text1"/>
          <w:u w:val="single"/>
          <w:lang w:val="en-US"/>
        </w:rPr>
        <w:t>s</w:t>
      </w:r>
      <w:r w:rsidR="001327AD" w:rsidRPr="00B40A77">
        <w:rPr>
          <w:color w:val="000000" w:themeColor="text1"/>
          <w:lang w:val="en-US"/>
        </w:rPr>
        <w:t>.</w:t>
      </w:r>
    </w:p>
    <w:p w14:paraId="099ED822" w14:textId="2DFC1A43" w:rsidR="00D82985" w:rsidRPr="00B40A77" w:rsidRDefault="00C4655A" w:rsidP="00452733">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D61876" w:rsidRPr="00B40A77">
        <w:rPr>
          <w:color w:val="000000" w:themeColor="text1"/>
          <w:lang w:val="en-US"/>
        </w:rPr>
        <w:t xml:space="preserve">The </w:t>
      </w:r>
      <w:hyperlink w:anchor="_2.1—Definitions" w:history="1">
        <w:r w:rsidR="00872C58" w:rsidRPr="00B40A77">
          <w:rPr>
            <w:rStyle w:val="Hyperlink"/>
            <w:color w:val="000000" w:themeColor="text1"/>
            <w:lang w:val="en-US"/>
          </w:rPr>
          <w:t xml:space="preserve">Principal </w:t>
        </w:r>
        <w:r w:rsidRPr="00B40A77">
          <w:rPr>
            <w:rStyle w:val="Hyperlink"/>
            <w:color w:val="000000" w:themeColor="text1"/>
            <w:lang w:val="en-US"/>
          </w:rPr>
          <w:t>Registrar</w:t>
        </w:r>
      </w:hyperlink>
      <w:r w:rsidRPr="00B40A77">
        <w:rPr>
          <w:color w:val="000000" w:themeColor="text1"/>
          <w:lang w:val="en-US"/>
        </w:rPr>
        <w:t xml:space="preserve"> must publish any </w:t>
      </w:r>
      <w:r w:rsidR="00EE767C" w:rsidRPr="00B40A77">
        <w:rPr>
          <w:color w:val="000000" w:themeColor="text1"/>
          <w:lang w:val="en-US"/>
        </w:rPr>
        <w:t>declar</w:t>
      </w:r>
      <w:r w:rsidRPr="00B40A77">
        <w:rPr>
          <w:color w:val="000000" w:themeColor="text1"/>
          <w:lang w:val="en-US"/>
        </w:rPr>
        <w:t xml:space="preserve">ation made under this rule on the </w:t>
      </w:r>
      <w:hyperlink w:anchor="_2.1—Definitions" w:history="1">
        <w:r w:rsidRPr="00B40A77">
          <w:rPr>
            <w:rStyle w:val="Hyperlink"/>
            <w:color w:val="000000" w:themeColor="text1"/>
            <w:lang w:val="en-US"/>
          </w:rPr>
          <w:t>CAA website</w:t>
        </w:r>
      </w:hyperlink>
      <w:r w:rsidRPr="00B40A77">
        <w:rPr>
          <w:color w:val="000000" w:themeColor="text1"/>
          <w:lang w:val="en-US"/>
        </w:rPr>
        <w:t>.</w:t>
      </w:r>
      <w:bookmarkEnd w:id="38"/>
    </w:p>
    <w:p w14:paraId="2DD64B19" w14:textId="77777777" w:rsidR="00AA400C" w:rsidRPr="00B40A77" w:rsidRDefault="00AA400C" w:rsidP="00D54E09">
      <w:pPr>
        <w:pStyle w:val="Doublehangindent"/>
        <w:rPr>
          <w:color w:val="000000" w:themeColor="text1"/>
          <w:lang w:val="en-US"/>
        </w:rPr>
      </w:pPr>
      <w:r w:rsidRPr="00B40A77">
        <w:rPr>
          <w:color w:val="000000" w:themeColor="text1"/>
          <w:lang w:val="en-US"/>
        </w:rPr>
        <w:br w:type="page"/>
      </w:r>
    </w:p>
    <w:p w14:paraId="110BC125" w14:textId="545E0C3F" w:rsidR="001C3EA1" w:rsidRPr="00B40A77" w:rsidRDefault="001C3EA1" w:rsidP="001103F0">
      <w:pPr>
        <w:pStyle w:val="Heading1"/>
        <w:rPr>
          <w:color w:val="000000" w:themeColor="text1"/>
        </w:rPr>
      </w:pPr>
      <w:bookmarkStart w:id="39" w:name="_Toc175238733"/>
      <w:bookmarkStart w:id="40" w:name="_Hlk107841752"/>
      <w:r w:rsidRPr="00B40A77">
        <w:rPr>
          <w:color w:val="000000" w:themeColor="text1"/>
        </w:rPr>
        <w:lastRenderedPageBreak/>
        <w:t>Chapter 2—</w:t>
      </w:r>
      <w:r w:rsidR="003756AC" w:rsidRPr="00B40A77">
        <w:rPr>
          <w:color w:val="000000" w:themeColor="text1"/>
        </w:rPr>
        <w:t>General</w:t>
      </w:r>
      <w:bookmarkEnd w:id="39"/>
    </w:p>
    <w:p w14:paraId="0AFD71BA" w14:textId="006C392F" w:rsidR="00892F6B" w:rsidRPr="00B40A77" w:rsidRDefault="001C3EA1" w:rsidP="001103F0">
      <w:pPr>
        <w:pStyle w:val="Heading2"/>
        <w:keepNext/>
        <w:rPr>
          <w:color w:val="000000" w:themeColor="text1"/>
        </w:rPr>
      </w:pPr>
      <w:bookmarkStart w:id="41" w:name="_Toc175238734"/>
      <w:bookmarkEnd w:id="40"/>
      <w:r w:rsidRPr="00B40A77">
        <w:rPr>
          <w:color w:val="000000" w:themeColor="text1"/>
        </w:rPr>
        <w:t>Part 1—</w:t>
      </w:r>
      <w:r w:rsidR="007A505B" w:rsidRPr="00B40A77">
        <w:rPr>
          <w:color w:val="000000" w:themeColor="text1"/>
        </w:rPr>
        <w:t>The Court</w:t>
      </w:r>
      <w:bookmarkEnd w:id="41"/>
    </w:p>
    <w:p w14:paraId="242E7BEA" w14:textId="5CEB3228" w:rsidR="007A505B" w:rsidRPr="00B40A77" w:rsidRDefault="007A505B" w:rsidP="007A505B">
      <w:pPr>
        <w:pStyle w:val="Heading3"/>
        <w:rPr>
          <w:color w:val="000000" w:themeColor="text1"/>
        </w:rPr>
      </w:pPr>
      <w:bookmarkStart w:id="42" w:name="_Toc175238735"/>
      <w:r w:rsidRPr="00B40A77">
        <w:rPr>
          <w:color w:val="000000" w:themeColor="text1"/>
        </w:rPr>
        <w:t>Division 1—Jurisdiction</w:t>
      </w:r>
      <w:bookmarkEnd w:id="42"/>
    </w:p>
    <w:p w14:paraId="6E70B08A" w14:textId="77777777" w:rsidR="002F5C21" w:rsidRPr="00B40A77" w:rsidRDefault="002F5C21" w:rsidP="00E200BE">
      <w:pPr>
        <w:pStyle w:val="NoteHeader"/>
        <w:keepNext/>
        <w:ind w:left="567"/>
        <w:rPr>
          <w:color w:val="000000" w:themeColor="text1"/>
        </w:rPr>
      </w:pPr>
      <w:bookmarkStart w:id="43" w:name="_11.1—Original_jurisdiction—Supreme_"/>
      <w:bookmarkEnd w:id="43"/>
      <w:r w:rsidRPr="00B40A77">
        <w:rPr>
          <w:color w:val="000000" w:themeColor="text1"/>
        </w:rPr>
        <w:t>Note—</w:t>
      </w:r>
    </w:p>
    <w:p w14:paraId="74319B1C" w14:textId="3B88409A" w:rsidR="002F5C21" w:rsidRPr="00B40A77" w:rsidRDefault="002F5C21" w:rsidP="00E200BE">
      <w:pPr>
        <w:pStyle w:val="NoteText"/>
        <w:ind w:left="851"/>
        <w:rPr>
          <w:color w:val="000000" w:themeColor="text1"/>
        </w:rPr>
      </w:pPr>
      <w:r w:rsidRPr="00B40A77">
        <w:rPr>
          <w:color w:val="000000" w:themeColor="text1"/>
        </w:rPr>
        <w:t xml:space="preserve">This Division addresses original jurisdiction. Appellate jurisdiction is addressed in </w:t>
      </w:r>
      <w:hyperlink w:anchor="_Chapter_9—Appellate_Proceedings" w:history="1">
        <w:r w:rsidRPr="00B40A77">
          <w:rPr>
            <w:rStyle w:val="Hyperlink"/>
            <w:color w:val="000000" w:themeColor="text1"/>
          </w:rPr>
          <w:t>Chapter</w:t>
        </w:r>
        <w:r w:rsidR="00582B40" w:rsidRPr="00B40A77">
          <w:rPr>
            <w:rStyle w:val="Hyperlink"/>
            <w:color w:val="000000" w:themeColor="text1"/>
          </w:rPr>
          <w:t> </w:t>
        </w:r>
        <w:r w:rsidR="00717BAF" w:rsidRPr="00B40A77">
          <w:rPr>
            <w:rStyle w:val="Hyperlink"/>
            <w:color w:val="000000" w:themeColor="text1"/>
          </w:rPr>
          <w:t>9</w:t>
        </w:r>
      </w:hyperlink>
      <w:r w:rsidRPr="00B40A77">
        <w:rPr>
          <w:color w:val="000000" w:themeColor="text1"/>
        </w:rPr>
        <w:t>.</w:t>
      </w:r>
    </w:p>
    <w:p w14:paraId="035FCA33" w14:textId="77777777" w:rsidR="001C3EA1" w:rsidRPr="00B40A77" w:rsidRDefault="009C0945" w:rsidP="004057D2">
      <w:pPr>
        <w:pStyle w:val="Heading4"/>
        <w:rPr>
          <w:color w:val="000000" w:themeColor="text1"/>
        </w:rPr>
      </w:pPr>
      <w:bookmarkStart w:id="44" w:name="_Toc175238736"/>
      <w:r w:rsidRPr="00B40A77">
        <w:rPr>
          <w:color w:val="000000" w:themeColor="text1"/>
        </w:rPr>
        <w:t>11</w:t>
      </w:r>
      <w:r w:rsidR="001C3EA1" w:rsidRPr="00B40A77">
        <w:rPr>
          <w:color w:val="000000" w:themeColor="text1"/>
        </w:rPr>
        <w:t>.1—Original jurisdiction</w:t>
      </w:r>
      <w:r w:rsidR="008A01A2" w:rsidRPr="00B40A77">
        <w:rPr>
          <w:color w:val="000000" w:themeColor="text1"/>
        </w:rPr>
        <w:t>—Supreme Court</w:t>
      </w:r>
      <w:bookmarkEnd w:id="44"/>
    </w:p>
    <w:p w14:paraId="0CDCB6EF" w14:textId="5E9B0C7A" w:rsidR="00DD2319" w:rsidRPr="00B40A77" w:rsidRDefault="00C318DD" w:rsidP="00641849">
      <w:pPr>
        <w:pStyle w:val="Hangindent"/>
        <w:keepNext/>
        <w:ind w:left="567" w:firstLine="0"/>
        <w:rPr>
          <w:color w:val="000000" w:themeColor="text1"/>
          <w:lang w:val="en-US"/>
        </w:rPr>
      </w:pPr>
      <w:r w:rsidRPr="00B40A77">
        <w:rPr>
          <w:color w:val="000000" w:themeColor="text1"/>
          <w:lang w:val="en-US"/>
        </w:rPr>
        <w:t>T</w:t>
      </w:r>
      <w:r w:rsidR="00DD2319" w:rsidRPr="00B40A77">
        <w:rPr>
          <w:color w:val="000000" w:themeColor="text1"/>
          <w:lang w:val="en-US"/>
        </w:rPr>
        <w:t>he jurisdiction of the Supreme C</w:t>
      </w:r>
      <w:r w:rsidR="00717BAF" w:rsidRPr="00B40A77">
        <w:rPr>
          <w:color w:val="000000" w:themeColor="text1"/>
          <w:lang w:val="en-US"/>
        </w:rPr>
        <w:t>ourt may be exercised by a Justice</w:t>
      </w:r>
      <w:r w:rsidR="00220DD2" w:rsidRPr="00B40A77">
        <w:rPr>
          <w:color w:val="000000" w:themeColor="text1"/>
          <w:lang w:val="en-US"/>
        </w:rPr>
        <w:t xml:space="preserve"> </w:t>
      </w:r>
      <w:hyperlink w:anchor="_2.1—Definitions" w:history="1">
        <w:r w:rsidR="00220DD2" w:rsidRPr="00B40A77">
          <w:rPr>
            <w:rStyle w:val="Hyperlink"/>
            <w:color w:val="000000" w:themeColor="text1"/>
            <w:lang w:val="en-US"/>
          </w:rPr>
          <w:t>in court</w:t>
        </w:r>
      </w:hyperlink>
      <w:r w:rsidR="00220DD2" w:rsidRPr="00B40A77">
        <w:rPr>
          <w:color w:val="000000" w:themeColor="text1"/>
          <w:lang w:val="en-US"/>
        </w:rPr>
        <w:t xml:space="preserve"> or</w:t>
      </w:r>
      <w:r w:rsidR="00DD2319" w:rsidRPr="00B40A77">
        <w:rPr>
          <w:color w:val="000000" w:themeColor="text1"/>
          <w:lang w:val="en-US"/>
        </w:rPr>
        <w:t xml:space="preserve"> </w:t>
      </w:r>
      <w:hyperlink w:anchor="_2.1—Definitions" w:history="1">
        <w:r w:rsidR="00220DD2" w:rsidRPr="00B40A77">
          <w:rPr>
            <w:rStyle w:val="Hyperlink"/>
            <w:color w:val="000000" w:themeColor="text1"/>
            <w:lang w:val="en-US"/>
          </w:rPr>
          <w:t>in chambers</w:t>
        </w:r>
      </w:hyperlink>
      <w:r w:rsidR="00220DD2" w:rsidRPr="00B40A77">
        <w:rPr>
          <w:rStyle w:val="Hyperlink"/>
          <w:color w:val="000000" w:themeColor="text1"/>
          <w:lang w:val="en-US"/>
        </w:rPr>
        <w:t xml:space="preserve"> </w:t>
      </w:r>
      <w:r w:rsidR="00DD2319" w:rsidRPr="00B40A77">
        <w:rPr>
          <w:color w:val="000000" w:themeColor="text1"/>
          <w:lang w:val="en-US"/>
        </w:rPr>
        <w:t>in all proceedings.</w:t>
      </w:r>
    </w:p>
    <w:p w14:paraId="42C694D2" w14:textId="1C84E231" w:rsidR="008E225E" w:rsidRPr="00B40A77" w:rsidRDefault="008E225E" w:rsidP="00F815AA">
      <w:pPr>
        <w:pStyle w:val="NoteHeader"/>
        <w:keepNext/>
        <w:ind w:left="567"/>
        <w:rPr>
          <w:color w:val="000000" w:themeColor="text1"/>
        </w:rPr>
      </w:pPr>
      <w:r w:rsidRPr="00B40A77">
        <w:rPr>
          <w:color w:val="000000" w:themeColor="text1"/>
        </w:rPr>
        <w:t>Note—</w:t>
      </w:r>
    </w:p>
    <w:p w14:paraId="04ED1180" w14:textId="77777777" w:rsidR="008E225E" w:rsidRPr="00B40A77" w:rsidRDefault="008E225E" w:rsidP="00452733">
      <w:pPr>
        <w:pStyle w:val="NoteText"/>
        <w:ind w:left="851"/>
        <w:rPr>
          <w:color w:val="000000" w:themeColor="text1"/>
        </w:rPr>
      </w:pPr>
      <w:r w:rsidRPr="00B40A77">
        <w:rPr>
          <w:color w:val="000000" w:themeColor="text1"/>
        </w:rPr>
        <w:t xml:space="preserve">Section 46A of the </w:t>
      </w:r>
      <w:r w:rsidRPr="00B40A77">
        <w:rPr>
          <w:i/>
          <w:color w:val="000000" w:themeColor="text1"/>
        </w:rPr>
        <w:t>Supreme Court Act 1935</w:t>
      </w:r>
      <w:r w:rsidRPr="00B40A77">
        <w:rPr>
          <w:color w:val="000000" w:themeColor="text1"/>
        </w:rPr>
        <w:t xml:space="preserve"> provides that, subject to any provision of an Act or any rule to the contrary, the court’s proceedings must be open to the public.</w:t>
      </w:r>
    </w:p>
    <w:p w14:paraId="21E87ABC" w14:textId="77777777" w:rsidR="008C03CB" w:rsidRPr="00B40A77" w:rsidRDefault="009C0945" w:rsidP="004057D2">
      <w:pPr>
        <w:pStyle w:val="Heading4"/>
        <w:rPr>
          <w:color w:val="000000" w:themeColor="text1"/>
        </w:rPr>
      </w:pPr>
      <w:bookmarkStart w:id="45" w:name="_11.2—Original_jurisdiction—District"/>
      <w:bookmarkStart w:id="46" w:name="_Toc175238737"/>
      <w:bookmarkEnd w:id="45"/>
      <w:r w:rsidRPr="00B40A77">
        <w:rPr>
          <w:color w:val="000000" w:themeColor="text1"/>
        </w:rPr>
        <w:t>11</w:t>
      </w:r>
      <w:r w:rsidR="008C03CB" w:rsidRPr="00B40A77">
        <w:rPr>
          <w:color w:val="000000" w:themeColor="text1"/>
        </w:rPr>
        <w:t>.2—Original jurisdiction—District Court</w:t>
      </w:r>
      <w:bookmarkEnd w:id="46"/>
    </w:p>
    <w:p w14:paraId="395DC067" w14:textId="4D1FC1DA" w:rsidR="00572C92" w:rsidRPr="00572C92" w:rsidRDefault="00572C92" w:rsidP="00572C92">
      <w:pPr>
        <w:pStyle w:val="Hangindent"/>
        <w:keepNext/>
        <w:rPr>
          <w:lang w:val="en-US"/>
        </w:rPr>
      </w:pPr>
      <w:bookmarkStart w:id="47" w:name="_11.3—Original_jurisdiction—Magistra"/>
      <w:bookmarkEnd w:id="47"/>
      <w:r w:rsidRPr="00572C92">
        <w:rPr>
          <w:lang w:val="en-US"/>
        </w:rPr>
        <w:t>(1)</w:t>
      </w:r>
      <w:r w:rsidRPr="00572C92">
        <w:rPr>
          <w:lang w:val="en-US"/>
        </w:rPr>
        <w:tab/>
        <w:t xml:space="preserve">The jurisdiction of the District Court may be exercised by a Judge </w:t>
      </w:r>
      <w:hyperlink w:anchor="_2.1—Definitions" w:history="1">
        <w:r w:rsidRPr="00572C92">
          <w:rPr>
            <w:rStyle w:val="Hyperlink"/>
            <w:color w:val="auto"/>
            <w:lang w:val="en-US"/>
          </w:rPr>
          <w:t>in court</w:t>
        </w:r>
      </w:hyperlink>
      <w:r w:rsidRPr="00572C92">
        <w:rPr>
          <w:lang w:val="en-US"/>
        </w:rPr>
        <w:t xml:space="preserve"> or </w:t>
      </w:r>
      <w:hyperlink w:anchor="_2.1—Definitions" w:history="1">
        <w:r w:rsidRPr="00572C92">
          <w:rPr>
            <w:rStyle w:val="Hyperlink"/>
            <w:color w:val="auto"/>
            <w:lang w:val="en-US"/>
          </w:rPr>
          <w:t>in chambers</w:t>
        </w:r>
      </w:hyperlink>
      <w:r w:rsidRPr="00572C92">
        <w:rPr>
          <w:rStyle w:val="Hyperlink"/>
          <w:color w:val="auto"/>
          <w:lang w:val="en-US"/>
        </w:rPr>
        <w:t xml:space="preserve"> </w:t>
      </w:r>
      <w:r w:rsidRPr="00572C92">
        <w:rPr>
          <w:lang w:val="en-US"/>
        </w:rPr>
        <w:t>in all proceedings.</w:t>
      </w:r>
    </w:p>
    <w:p w14:paraId="5CAAEF08" w14:textId="77777777" w:rsidR="00572C92" w:rsidRPr="00572C92" w:rsidRDefault="00572C92" w:rsidP="00572C92">
      <w:pPr>
        <w:pStyle w:val="NoteHeader"/>
        <w:keepNext/>
      </w:pPr>
      <w:r w:rsidRPr="00572C92">
        <w:t>Note—</w:t>
      </w:r>
    </w:p>
    <w:p w14:paraId="24A0E7EA" w14:textId="77777777" w:rsidR="00572C92" w:rsidRPr="00572C92" w:rsidRDefault="00572C92" w:rsidP="00572C92">
      <w:pPr>
        <w:pStyle w:val="NoteText"/>
      </w:pPr>
      <w:r w:rsidRPr="00572C92">
        <w:t xml:space="preserve">Section 23 of the </w:t>
      </w:r>
      <w:r w:rsidRPr="00572C92">
        <w:rPr>
          <w:i/>
        </w:rPr>
        <w:t xml:space="preserve">District Court Act 1991 </w:t>
      </w:r>
      <w:r w:rsidRPr="00572C92">
        <w:t>provides that, subject to any Act or rule to the contrary, the court’s proceedings must be open to the public.</w:t>
      </w:r>
    </w:p>
    <w:p w14:paraId="4BEDC5F6" w14:textId="4F61847C" w:rsidR="00572C92" w:rsidRPr="00572C92" w:rsidRDefault="00572C92" w:rsidP="00572C92">
      <w:pPr>
        <w:pStyle w:val="Hangindent"/>
        <w:keepNext/>
        <w:keepLines/>
      </w:pPr>
      <w:r w:rsidRPr="00572C92">
        <w:rPr>
          <w:lang w:val="en-US"/>
        </w:rPr>
        <w:t>(2)</w:t>
      </w:r>
      <w:r w:rsidRPr="00572C92">
        <w:rPr>
          <w:lang w:val="en-US"/>
        </w:rPr>
        <w:tab/>
        <w:t xml:space="preserve">The jurisdiction of the District Court </w:t>
      </w:r>
      <w:r w:rsidRPr="00572C92">
        <w:t xml:space="preserve">to hear and determine an interlocutory application or make interlocutory orders (which for the avoidance of doubt do not include a variation or enforcement application or order governed by </w:t>
      </w:r>
      <w:hyperlink w:anchor="_Chapter_8—Variation_and" w:history="1">
        <w:r w:rsidRPr="00572C92">
          <w:rPr>
            <w:rStyle w:val="Hyperlink"/>
            <w:color w:val="auto"/>
          </w:rPr>
          <w:t>Chapter 8</w:t>
        </w:r>
      </w:hyperlink>
      <w:r w:rsidRPr="00572C92">
        <w:t xml:space="preserve">) </w:t>
      </w:r>
      <w:r w:rsidRPr="00572C92">
        <w:rPr>
          <w:lang w:val="en-US"/>
        </w:rPr>
        <w:t xml:space="preserve">may be exercised by an Associate Judge or Judicial Registrar </w:t>
      </w:r>
      <w:hyperlink w:anchor="_2.1—Definitions" w:history="1">
        <w:r w:rsidRPr="00572C92">
          <w:rPr>
            <w:rStyle w:val="Hyperlink"/>
            <w:color w:val="auto"/>
            <w:lang w:val="en-US"/>
          </w:rPr>
          <w:t>in court</w:t>
        </w:r>
      </w:hyperlink>
      <w:r w:rsidRPr="00572C92">
        <w:rPr>
          <w:lang w:val="en-US"/>
        </w:rPr>
        <w:t xml:space="preserve"> or </w:t>
      </w:r>
      <w:hyperlink w:anchor="_2.1—Definitions" w:history="1">
        <w:r w:rsidRPr="00572C92">
          <w:rPr>
            <w:rStyle w:val="Hyperlink"/>
            <w:color w:val="auto"/>
            <w:lang w:val="en-US"/>
          </w:rPr>
          <w:t>in chambers</w:t>
        </w:r>
      </w:hyperlink>
      <w:r w:rsidRPr="00572C92">
        <w:rPr>
          <w:rStyle w:val="Hyperlink"/>
          <w:color w:val="auto"/>
          <w:lang w:val="en-US"/>
        </w:rPr>
        <w:t xml:space="preserve"> </w:t>
      </w:r>
      <w:r w:rsidRPr="00572C92">
        <w:rPr>
          <w:lang w:val="en-US"/>
        </w:rPr>
        <w:t xml:space="preserve">in proceedings to the extent that the </w:t>
      </w:r>
      <w:hyperlink w:anchor="_2.1—Definitions" w:history="1">
        <w:r w:rsidRPr="00572C92">
          <w:rPr>
            <w:rStyle w:val="Hyperlink"/>
            <w:color w:val="auto"/>
            <w:lang w:val="en-US"/>
          </w:rPr>
          <w:t>Chief Judge</w:t>
        </w:r>
      </w:hyperlink>
      <w:r w:rsidRPr="00572C92">
        <w:rPr>
          <w:lang w:val="en-US"/>
        </w:rPr>
        <w:t xml:space="preserve"> directs.</w:t>
      </w:r>
    </w:p>
    <w:p w14:paraId="7BD052EB" w14:textId="77777777" w:rsidR="00572C92" w:rsidRPr="00572C92" w:rsidRDefault="00572C92" w:rsidP="00572C92">
      <w:pPr>
        <w:pStyle w:val="NoteHeader"/>
        <w:keepNext/>
        <w:ind w:left="1985" w:hanging="851"/>
      </w:pPr>
      <w:r w:rsidRPr="00572C92">
        <w:t>Note—</w:t>
      </w:r>
    </w:p>
    <w:p w14:paraId="0209F870" w14:textId="6B24705F" w:rsidR="00572C92" w:rsidRPr="00572C92" w:rsidRDefault="00572C92" w:rsidP="00572C92">
      <w:pPr>
        <w:pStyle w:val="NoteText"/>
      </w:pPr>
      <w:r w:rsidRPr="00572C92">
        <w:t xml:space="preserve">Section 20(1)(b) of the </w:t>
      </w:r>
      <w:r w:rsidRPr="00572C92">
        <w:rPr>
          <w:i/>
        </w:rPr>
        <w:t>District Court Act 1991</w:t>
      </w:r>
      <w:r w:rsidRPr="00572C92">
        <w:t xml:space="preserve"> provides that, subject to that section, if a matter lies within a jurisdiction of the Court conferred by any statute or the rules on Associate Judges, the Court may be constituted of an Associate Judge. Section 51(1)(b) empowers the Court to make rules authorising Associate Judges or Judicial Registrars to exercise any part of the jurisdiction of the Court. Section 16C(1) provides that Judicial Registrars may exercise such jurisdiction of the Court as assigned by the </w:t>
      </w:r>
      <w:hyperlink w:anchor="_2.1—Definitions" w:history="1">
        <w:r w:rsidRPr="00572C92">
          <w:rPr>
            <w:rStyle w:val="Hyperlink"/>
            <w:color w:val="auto"/>
          </w:rPr>
          <w:t>Chief Judge</w:t>
        </w:r>
      </w:hyperlink>
      <w:r w:rsidRPr="00572C92">
        <w:t xml:space="preserve"> or the rules.</w:t>
      </w:r>
    </w:p>
    <w:p w14:paraId="2908DC62" w14:textId="36277791" w:rsidR="008C03CB" w:rsidRPr="00B40A77" w:rsidRDefault="009C0945" w:rsidP="004057D2">
      <w:pPr>
        <w:pStyle w:val="Heading4"/>
        <w:rPr>
          <w:color w:val="000000" w:themeColor="text1"/>
        </w:rPr>
      </w:pPr>
      <w:bookmarkStart w:id="48" w:name="_11.3—Original_jurisdiction—Environm"/>
      <w:bookmarkStart w:id="49" w:name="_Toc175238738"/>
      <w:bookmarkEnd w:id="48"/>
      <w:r w:rsidRPr="00B40A77">
        <w:rPr>
          <w:color w:val="000000" w:themeColor="text1"/>
        </w:rPr>
        <w:t>11</w:t>
      </w:r>
      <w:r w:rsidR="008C03CB" w:rsidRPr="00B40A77">
        <w:rPr>
          <w:color w:val="000000" w:themeColor="text1"/>
        </w:rPr>
        <w:t>.3—O</w:t>
      </w:r>
      <w:r w:rsidR="001A4C28" w:rsidRPr="00B40A77">
        <w:rPr>
          <w:color w:val="000000" w:themeColor="text1"/>
        </w:rPr>
        <w:t xml:space="preserve">riginal jurisdiction—Environment Resources and Development </w:t>
      </w:r>
      <w:r w:rsidR="008C03CB" w:rsidRPr="00B40A77">
        <w:rPr>
          <w:color w:val="000000" w:themeColor="text1"/>
        </w:rPr>
        <w:t>Court</w:t>
      </w:r>
      <w:bookmarkEnd w:id="49"/>
    </w:p>
    <w:p w14:paraId="53FB5898" w14:textId="51EBA659" w:rsidR="00E2186F" w:rsidRPr="00B40A77" w:rsidRDefault="00E2186F" w:rsidP="002E0D10">
      <w:pPr>
        <w:pStyle w:val="Hangindent"/>
        <w:ind w:left="567" w:firstLine="0"/>
        <w:rPr>
          <w:color w:val="000000" w:themeColor="text1"/>
          <w:lang w:val="en-US"/>
        </w:rPr>
      </w:pPr>
      <w:r w:rsidRPr="00B40A77">
        <w:rPr>
          <w:color w:val="000000" w:themeColor="text1"/>
          <w:lang w:val="en-US"/>
        </w:rPr>
        <w:t xml:space="preserve">The jurisdiction of the </w:t>
      </w:r>
      <w:r w:rsidR="001A4C28" w:rsidRPr="00B40A77">
        <w:rPr>
          <w:color w:val="000000" w:themeColor="text1"/>
          <w:lang w:val="en-US"/>
        </w:rPr>
        <w:t>Environment</w:t>
      </w:r>
      <w:r w:rsidR="005F3639" w:rsidRPr="00B40A77">
        <w:rPr>
          <w:color w:val="000000" w:themeColor="text1"/>
          <w:lang w:val="en-US"/>
        </w:rPr>
        <w:t>,</w:t>
      </w:r>
      <w:r w:rsidR="001A4C28" w:rsidRPr="00B40A77">
        <w:rPr>
          <w:color w:val="000000" w:themeColor="text1"/>
          <w:lang w:val="en-US"/>
        </w:rPr>
        <w:t xml:space="preserve"> Resources and Development Court </w:t>
      </w:r>
      <w:r w:rsidR="00BC6098" w:rsidRPr="00B40A77">
        <w:rPr>
          <w:color w:val="000000" w:themeColor="text1"/>
          <w:lang w:val="en-US"/>
        </w:rPr>
        <w:t xml:space="preserve">may be exercised by </w:t>
      </w:r>
      <w:r w:rsidR="008342F4" w:rsidRPr="00B40A77">
        <w:rPr>
          <w:color w:val="000000" w:themeColor="text1"/>
          <w:lang w:val="en-US"/>
        </w:rPr>
        <w:t xml:space="preserve">a </w:t>
      </w:r>
      <w:r w:rsidR="001A4C28" w:rsidRPr="00B40A77">
        <w:rPr>
          <w:color w:val="000000" w:themeColor="text1"/>
          <w:lang w:val="en-US"/>
        </w:rPr>
        <w:t xml:space="preserve">Judge </w:t>
      </w:r>
      <w:hyperlink w:anchor="_2.1—Definitions" w:history="1">
        <w:r w:rsidR="00307014" w:rsidRPr="00B40A77">
          <w:rPr>
            <w:rStyle w:val="Hyperlink"/>
            <w:color w:val="000000" w:themeColor="text1"/>
            <w:lang w:val="en-US"/>
          </w:rPr>
          <w:t>in court</w:t>
        </w:r>
      </w:hyperlink>
      <w:r w:rsidR="008342F4" w:rsidRPr="00B40A77">
        <w:rPr>
          <w:color w:val="000000" w:themeColor="text1"/>
          <w:lang w:val="en-US"/>
        </w:rPr>
        <w:t xml:space="preserve"> or </w:t>
      </w:r>
      <w:hyperlink w:anchor="_2.1—Definitions" w:history="1">
        <w:hyperlink w:anchor="_2.1—Definitions" w:history="1">
          <w:r w:rsidR="00E83325" w:rsidRPr="00B40A77">
            <w:rPr>
              <w:rStyle w:val="Hyperlink"/>
              <w:color w:val="000000" w:themeColor="text1"/>
              <w:lang w:val="en-US"/>
            </w:rPr>
            <w:t>in chambers</w:t>
          </w:r>
        </w:hyperlink>
      </w:hyperlink>
      <w:r w:rsidR="008342F4" w:rsidRPr="00B40A77">
        <w:rPr>
          <w:color w:val="000000" w:themeColor="text1"/>
        </w:rPr>
        <w:t xml:space="preserve"> </w:t>
      </w:r>
      <w:r w:rsidR="008342F4" w:rsidRPr="00B40A77">
        <w:rPr>
          <w:color w:val="000000" w:themeColor="text1"/>
          <w:lang w:val="en-US"/>
        </w:rPr>
        <w:t>in all proceedings.</w:t>
      </w:r>
    </w:p>
    <w:p w14:paraId="2E409F2C" w14:textId="65569336" w:rsidR="00C318DD" w:rsidRPr="00B40A77" w:rsidRDefault="00C318DD" w:rsidP="00C318DD">
      <w:pPr>
        <w:pStyle w:val="Heading4"/>
        <w:rPr>
          <w:color w:val="000000" w:themeColor="text1"/>
        </w:rPr>
      </w:pPr>
      <w:bookmarkStart w:id="50" w:name="_11.4—Original_jurisdiction—Youth_Co"/>
      <w:bookmarkStart w:id="51" w:name="_Toc175238739"/>
      <w:bookmarkEnd w:id="50"/>
      <w:r w:rsidRPr="00B40A77">
        <w:rPr>
          <w:color w:val="000000" w:themeColor="text1"/>
        </w:rPr>
        <w:t>11.</w:t>
      </w:r>
      <w:r w:rsidR="00711A2F" w:rsidRPr="00B40A77">
        <w:rPr>
          <w:color w:val="000000" w:themeColor="text1"/>
        </w:rPr>
        <w:t>4</w:t>
      </w:r>
      <w:r w:rsidRPr="00B40A77">
        <w:rPr>
          <w:color w:val="000000" w:themeColor="text1"/>
        </w:rPr>
        <w:t>—Original jurisdiction—Youth Court</w:t>
      </w:r>
      <w:bookmarkEnd w:id="51"/>
    </w:p>
    <w:p w14:paraId="0027367A" w14:textId="11CD3B29" w:rsidR="00C318DD" w:rsidRPr="00B40A77" w:rsidRDefault="0063321F" w:rsidP="00C318DD">
      <w:pPr>
        <w:pStyle w:val="Hangindent"/>
        <w:rPr>
          <w:color w:val="000000" w:themeColor="text1"/>
          <w:lang w:val="en-US"/>
        </w:rPr>
      </w:pPr>
      <w:r w:rsidRPr="00B40A77">
        <w:rPr>
          <w:color w:val="000000" w:themeColor="text1"/>
          <w:lang w:val="en-US"/>
        </w:rPr>
        <w:t>(</w:t>
      </w:r>
      <w:r w:rsidR="00C318DD" w:rsidRPr="00B40A77">
        <w:rPr>
          <w:color w:val="000000" w:themeColor="text1"/>
          <w:lang w:val="en-US"/>
        </w:rPr>
        <w:t>1)</w:t>
      </w:r>
      <w:r w:rsidR="00C318DD" w:rsidRPr="00B40A77">
        <w:rPr>
          <w:color w:val="000000" w:themeColor="text1"/>
          <w:lang w:val="en-US"/>
        </w:rPr>
        <w:tab/>
        <w:t xml:space="preserve">The jurisdiction of the </w:t>
      </w:r>
      <w:r w:rsidR="004428F5" w:rsidRPr="00B40A77">
        <w:rPr>
          <w:color w:val="000000" w:themeColor="text1"/>
          <w:lang w:val="en-US"/>
        </w:rPr>
        <w:t>Youth Court may be exercised by the</w:t>
      </w:r>
      <w:r w:rsidR="00C318DD" w:rsidRPr="00B40A77">
        <w:rPr>
          <w:color w:val="000000" w:themeColor="text1"/>
          <w:lang w:val="en-US"/>
        </w:rPr>
        <w:t xml:space="preserve"> Judge </w:t>
      </w:r>
      <w:r w:rsidR="004428F5" w:rsidRPr="00B40A77">
        <w:rPr>
          <w:color w:val="000000" w:themeColor="text1"/>
          <w:lang w:val="en-US"/>
        </w:rPr>
        <w:t xml:space="preserve">or a Magistrate </w:t>
      </w:r>
      <w:hyperlink w:anchor="_2.1—Definitions" w:history="1">
        <w:r w:rsidR="00307014" w:rsidRPr="00B40A77">
          <w:rPr>
            <w:rStyle w:val="Hyperlink"/>
            <w:color w:val="000000" w:themeColor="text1"/>
            <w:lang w:val="en-US"/>
          </w:rPr>
          <w:t>in court</w:t>
        </w:r>
      </w:hyperlink>
      <w:r w:rsidR="00C318DD" w:rsidRPr="00B40A77">
        <w:rPr>
          <w:color w:val="000000" w:themeColor="text1"/>
          <w:lang w:val="en-US"/>
        </w:rPr>
        <w:t xml:space="preserve"> or </w:t>
      </w:r>
      <w:hyperlink w:anchor="_2.1—Definitions" w:history="1">
        <w:hyperlink w:anchor="_2.1—Definitions" w:history="1">
          <w:r w:rsidR="00E83325" w:rsidRPr="00B40A77">
            <w:rPr>
              <w:rStyle w:val="Hyperlink"/>
              <w:color w:val="000000" w:themeColor="text1"/>
              <w:lang w:val="en-US"/>
            </w:rPr>
            <w:t>in chambers</w:t>
          </w:r>
        </w:hyperlink>
      </w:hyperlink>
      <w:r w:rsidR="00C318DD" w:rsidRPr="00B40A77">
        <w:rPr>
          <w:rStyle w:val="Hyperlink"/>
          <w:color w:val="000000" w:themeColor="text1"/>
          <w:u w:val="none"/>
          <w:lang w:val="en-US"/>
        </w:rPr>
        <w:t xml:space="preserve"> </w:t>
      </w:r>
      <w:r w:rsidR="00C318DD" w:rsidRPr="00B40A77">
        <w:rPr>
          <w:color w:val="000000" w:themeColor="text1"/>
          <w:lang w:val="en-US"/>
        </w:rPr>
        <w:t>in all proceedings.</w:t>
      </w:r>
    </w:p>
    <w:p w14:paraId="0D336CDF" w14:textId="565A4517" w:rsidR="004428F5" w:rsidRPr="00B40A77" w:rsidRDefault="004428F5" w:rsidP="004428F5">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9C4C16" w:rsidRPr="00B40A77">
        <w:rPr>
          <w:color w:val="000000" w:themeColor="text1"/>
          <w:lang w:val="en-US"/>
        </w:rPr>
        <w:t>If there is no Judge, Magistrate or Judicial Registrar available to constitute the Court, t</w:t>
      </w:r>
      <w:r w:rsidRPr="00B40A77">
        <w:rPr>
          <w:color w:val="000000" w:themeColor="text1"/>
          <w:lang w:val="en-US"/>
        </w:rPr>
        <w:t xml:space="preserve">he jurisdiction of the Youth Court may be exercised, subject to the limitations imposed by the </w:t>
      </w:r>
      <w:r w:rsidRPr="00B40A77">
        <w:rPr>
          <w:i/>
          <w:color w:val="000000" w:themeColor="text1"/>
        </w:rPr>
        <w:t>Youth Court Act 1993</w:t>
      </w:r>
      <w:r w:rsidRPr="00B40A77">
        <w:rPr>
          <w:color w:val="000000" w:themeColor="text1"/>
        </w:rPr>
        <w:t>,</w:t>
      </w:r>
      <w:r w:rsidRPr="00B40A77">
        <w:rPr>
          <w:color w:val="000000" w:themeColor="text1"/>
          <w:lang w:val="en-US"/>
        </w:rPr>
        <w:t xml:space="preserve"> by a </w:t>
      </w:r>
      <w:r w:rsidR="00717BAF" w:rsidRPr="00B40A77">
        <w:rPr>
          <w:color w:val="000000" w:themeColor="text1"/>
          <w:lang w:val="en-US"/>
        </w:rPr>
        <w:t>Special Justice</w:t>
      </w:r>
      <w:r w:rsidRPr="00B40A77">
        <w:rPr>
          <w:color w:val="000000" w:themeColor="text1"/>
          <w:lang w:val="en-US"/>
        </w:rPr>
        <w:t xml:space="preserve">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hyperlink w:anchor="_2.1—Definitions" w:history="1">
          <w:r w:rsidR="00E83325" w:rsidRPr="00B40A77">
            <w:rPr>
              <w:rStyle w:val="Hyperlink"/>
              <w:color w:val="000000" w:themeColor="text1"/>
              <w:lang w:val="en-US"/>
            </w:rPr>
            <w:t>in chambers</w:t>
          </w:r>
        </w:hyperlink>
      </w:hyperlink>
      <w:r w:rsidRPr="00B40A77">
        <w:rPr>
          <w:rStyle w:val="Hyperlink"/>
          <w:color w:val="000000" w:themeColor="text1"/>
          <w:u w:val="none"/>
          <w:lang w:val="en-US"/>
        </w:rPr>
        <w:t xml:space="preserve"> </w:t>
      </w:r>
      <w:r w:rsidRPr="00B40A77">
        <w:rPr>
          <w:color w:val="000000" w:themeColor="text1"/>
          <w:lang w:val="en-US"/>
        </w:rPr>
        <w:t>in relation to matters of a class specified by the Judge.</w:t>
      </w:r>
    </w:p>
    <w:p w14:paraId="66749D1E" w14:textId="0CEE11E5" w:rsidR="00C318DD" w:rsidRPr="00B40A77" w:rsidRDefault="00C318DD" w:rsidP="004428F5">
      <w:pPr>
        <w:pStyle w:val="Hangindent"/>
        <w:rPr>
          <w:color w:val="000000" w:themeColor="text1"/>
        </w:rPr>
      </w:pPr>
      <w:r w:rsidRPr="00B40A77">
        <w:rPr>
          <w:color w:val="000000" w:themeColor="text1"/>
        </w:rPr>
        <w:t>(3)</w:t>
      </w:r>
      <w:r w:rsidRPr="00B40A77">
        <w:rPr>
          <w:color w:val="000000" w:themeColor="text1"/>
        </w:rPr>
        <w:tab/>
        <w:t xml:space="preserve">A </w:t>
      </w:r>
      <w:r w:rsidR="00717BAF" w:rsidRPr="00B40A77">
        <w:rPr>
          <w:color w:val="000000" w:themeColor="text1"/>
          <w:lang w:val="en-US"/>
        </w:rPr>
        <w:t>Special Justice</w:t>
      </w:r>
      <w:r w:rsidRPr="00B40A77">
        <w:rPr>
          <w:color w:val="000000" w:themeColor="text1"/>
        </w:rPr>
        <w:t xml:space="preserve"> may refer a matter in respect of which </w:t>
      </w:r>
      <w:r w:rsidR="00717BAF" w:rsidRPr="00B40A77">
        <w:rPr>
          <w:color w:val="000000" w:themeColor="text1"/>
        </w:rPr>
        <w:t xml:space="preserve">the </w:t>
      </w:r>
      <w:r w:rsidR="00717BAF" w:rsidRPr="00B40A77">
        <w:rPr>
          <w:color w:val="000000" w:themeColor="text1"/>
          <w:lang w:val="en-US"/>
        </w:rPr>
        <w:t>Special Justice</w:t>
      </w:r>
      <w:r w:rsidR="004428F5" w:rsidRPr="00B40A77">
        <w:rPr>
          <w:color w:val="000000" w:themeColor="text1"/>
          <w:lang w:val="en-US"/>
        </w:rPr>
        <w:t xml:space="preserve"> </w:t>
      </w:r>
      <w:r w:rsidRPr="00B40A77">
        <w:rPr>
          <w:color w:val="000000" w:themeColor="text1"/>
        </w:rPr>
        <w:t xml:space="preserve">has jurisdiction to </w:t>
      </w:r>
      <w:r w:rsidR="004428F5" w:rsidRPr="00B40A77">
        <w:rPr>
          <w:color w:val="000000" w:themeColor="text1"/>
          <w:lang w:val="en-US"/>
        </w:rPr>
        <w:t>the Judge or a Magistrate</w:t>
      </w:r>
      <w:r w:rsidRPr="00B40A77">
        <w:rPr>
          <w:color w:val="000000" w:themeColor="text1"/>
        </w:rPr>
        <w:t>.</w:t>
      </w:r>
    </w:p>
    <w:p w14:paraId="4C24E17C" w14:textId="60196091" w:rsidR="00BD4949" w:rsidRPr="00B40A77" w:rsidRDefault="004A73A0" w:rsidP="006A5750">
      <w:pPr>
        <w:pStyle w:val="Hangindent"/>
        <w:keepNext/>
        <w:rPr>
          <w:color w:val="000000" w:themeColor="text1"/>
          <w:lang w:val="en-US"/>
        </w:rPr>
      </w:pPr>
      <w:r w:rsidRPr="00B40A77">
        <w:rPr>
          <w:color w:val="000000" w:themeColor="text1"/>
          <w:lang w:val="en-US"/>
        </w:rPr>
        <w:lastRenderedPageBreak/>
        <w:t>(4)</w:t>
      </w:r>
      <w:r w:rsidRPr="00B40A77">
        <w:rPr>
          <w:color w:val="000000" w:themeColor="text1"/>
          <w:lang w:val="en-US"/>
        </w:rPr>
        <w:tab/>
        <w:t>The jurisdiction of the Youth Court to adjourn a proceeding may be exercised by</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w:t>
      </w:r>
    </w:p>
    <w:p w14:paraId="22BC6530" w14:textId="77777777" w:rsidR="00C318DD" w:rsidRPr="00B40A77" w:rsidRDefault="00C318DD" w:rsidP="006A5750">
      <w:pPr>
        <w:pStyle w:val="NoteHeader"/>
        <w:keepNext/>
        <w:rPr>
          <w:color w:val="000000" w:themeColor="text1"/>
        </w:rPr>
      </w:pPr>
      <w:r w:rsidRPr="00B40A77">
        <w:rPr>
          <w:color w:val="000000" w:themeColor="text1"/>
        </w:rPr>
        <w:t>Notes—</w:t>
      </w:r>
    </w:p>
    <w:p w14:paraId="12C12843" w14:textId="19FB2121" w:rsidR="004428F5" w:rsidRPr="00B40A77" w:rsidRDefault="00713C2E" w:rsidP="004428F5">
      <w:pPr>
        <w:pStyle w:val="NoteText"/>
        <w:rPr>
          <w:color w:val="000000" w:themeColor="text1"/>
        </w:rPr>
      </w:pPr>
      <w:r w:rsidRPr="00B40A77">
        <w:rPr>
          <w:color w:val="000000" w:themeColor="text1"/>
        </w:rPr>
        <w:t>Section 14(3</w:t>
      </w:r>
      <w:r w:rsidR="004428F5" w:rsidRPr="00B40A77">
        <w:rPr>
          <w:color w:val="000000" w:themeColor="text1"/>
        </w:rPr>
        <w:t xml:space="preserve">) of the </w:t>
      </w:r>
      <w:r w:rsidR="000B3112" w:rsidRPr="00B40A77">
        <w:rPr>
          <w:i/>
          <w:color w:val="000000" w:themeColor="text1"/>
        </w:rPr>
        <w:t>Youth Court Act 1993</w:t>
      </w:r>
      <w:r w:rsidR="004428F5" w:rsidRPr="00B40A77">
        <w:rPr>
          <w:color w:val="000000" w:themeColor="text1"/>
        </w:rPr>
        <w:t xml:space="preserve"> provides that the Court may be constituted of a </w:t>
      </w:r>
      <w:r w:rsidR="00717BAF" w:rsidRPr="00B40A77">
        <w:rPr>
          <w:color w:val="000000" w:themeColor="text1"/>
        </w:rPr>
        <w:t>Special Justice</w:t>
      </w:r>
      <w:r w:rsidR="004428F5" w:rsidRPr="00B40A77">
        <w:rPr>
          <w:color w:val="000000" w:themeColor="text1"/>
        </w:rPr>
        <w:t xml:space="preserve"> if there is no </w:t>
      </w:r>
      <w:r w:rsidR="000B3112" w:rsidRPr="00B40A77">
        <w:rPr>
          <w:color w:val="000000" w:themeColor="text1"/>
        </w:rPr>
        <w:t>Judge</w:t>
      </w:r>
      <w:r w:rsidR="004637BE" w:rsidRPr="00B40A77">
        <w:rPr>
          <w:color w:val="000000" w:themeColor="text1"/>
        </w:rPr>
        <w:t>,</w:t>
      </w:r>
      <w:r w:rsidR="000B3112" w:rsidRPr="00B40A77">
        <w:rPr>
          <w:color w:val="000000" w:themeColor="text1"/>
        </w:rPr>
        <w:t xml:space="preserve"> Magistrate or</w:t>
      </w:r>
      <w:r w:rsidR="004637BE" w:rsidRPr="00B40A77">
        <w:rPr>
          <w:color w:val="000000" w:themeColor="text1"/>
        </w:rPr>
        <w:t xml:space="preserve"> Judicial Registrar</w:t>
      </w:r>
      <w:r w:rsidR="004428F5" w:rsidRPr="00B40A77">
        <w:rPr>
          <w:color w:val="000000" w:themeColor="text1"/>
        </w:rPr>
        <w:t xml:space="preserve"> available</w:t>
      </w:r>
      <w:r w:rsidR="000B3112" w:rsidRPr="00B40A77">
        <w:rPr>
          <w:color w:val="000000" w:themeColor="text1"/>
        </w:rPr>
        <w:t xml:space="preserve"> </w:t>
      </w:r>
      <w:r w:rsidR="000B3112" w:rsidRPr="00B40A77">
        <w:rPr>
          <w:color w:val="000000" w:themeColor="text1"/>
          <w:lang w:val="en-US"/>
        </w:rPr>
        <w:t>to constitute the Court</w:t>
      </w:r>
      <w:r w:rsidR="004428F5" w:rsidRPr="00B40A77">
        <w:rPr>
          <w:color w:val="000000" w:themeColor="text1"/>
        </w:rPr>
        <w:t>.</w:t>
      </w:r>
    </w:p>
    <w:p w14:paraId="3BE040CF" w14:textId="63F2BE8A" w:rsidR="004A73A0" w:rsidRPr="00B40A77" w:rsidRDefault="004A73A0" w:rsidP="004428F5">
      <w:pPr>
        <w:pStyle w:val="NoteText"/>
        <w:rPr>
          <w:color w:val="000000" w:themeColor="text1"/>
        </w:rPr>
      </w:pPr>
      <w:r w:rsidRPr="00B40A77">
        <w:rPr>
          <w:color w:val="000000" w:themeColor="text1"/>
        </w:rPr>
        <w:t xml:space="preserve">Section 14(7)(b) of the </w:t>
      </w:r>
      <w:r w:rsidRPr="00B40A77">
        <w:rPr>
          <w:i/>
          <w:color w:val="000000" w:themeColor="text1"/>
        </w:rPr>
        <w:t>Youth Court Act 1993</w:t>
      </w:r>
      <w:r w:rsidRPr="00B40A77">
        <w:rPr>
          <w:color w:val="000000" w:themeColor="text1"/>
        </w:rPr>
        <w:t xml:space="preserve"> provides that the Registrar may adjourn proceedings.</w:t>
      </w:r>
    </w:p>
    <w:p w14:paraId="25F766D3" w14:textId="7DE579A3" w:rsidR="001A4C28" w:rsidRPr="00B40A77" w:rsidRDefault="00C318DD" w:rsidP="001A4C28">
      <w:pPr>
        <w:pStyle w:val="Heading4"/>
        <w:rPr>
          <w:color w:val="000000" w:themeColor="text1"/>
        </w:rPr>
      </w:pPr>
      <w:bookmarkStart w:id="52" w:name="_11.5—Original_jurisdiction—Magistra"/>
      <w:bookmarkStart w:id="53" w:name="_Toc175238740"/>
      <w:bookmarkEnd w:id="52"/>
      <w:r w:rsidRPr="00B40A77">
        <w:rPr>
          <w:color w:val="000000" w:themeColor="text1"/>
        </w:rPr>
        <w:t>11.5</w:t>
      </w:r>
      <w:r w:rsidR="001A4C28" w:rsidRPr="00B40A77">
        <w:rPr>
          <w:color w:val="000000" w:themeColor="text1"/>
        </w:rPr>
        <w:t>—Original jurisdiction—Magistrates Court</w:t>
      </w:r>
      <w:bookmarkEnd w:id="53"/>
    </w:p>
    <w:p w14:paraId="1F307DA7" w14:textId="441B36B4" w:rsidR="001A4C28" w:rsidRPr="00B40A77" w:rsidRDefault="001A4C28" w:rsidP="001A4C28">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jurisdiction of the Magistrates Court may be exercised by a Magistrate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hyperlink w:anchor="_2.1—Definitions" w:history="1">
          <w:r w:rsidR="00E83325" w:rsidRPr="00B40A77">
            <w:rPr>
              <w:rStyle w:val="Hyperlink"/>
              <w:color w:val="000000" w:themeColor="text1"/>
              <w:lang w:val="en-US"/>
            </w:rPr>
            <w:t>in chambers</w:t>
          </w:r>
        </w:hyperlink>
      </w:hyperlink>
      <w:r w:rsidRPr="00B40A77">
        <w:rPr>
          <w:rStyle w:val="Hyperlink"/>
          <w:color w:val="000000" w:themeColor="text1"/>
          <w:u w:val="none"/>
          <w:lang w:val="en-US"/>
        </w:rPr>
        <w:t xml:space="preserve"> </w:t>
      </w:r>
      <w:r w:rsidRPr="00B40A77">
        <w:rPr>
          <w:color w:val="000000" w:themeColor="text1"/>
          <w:lang w:val="en-US"/>
        </w:rPr>
        <w:t>in all proceedings.</w:t>
      </w:r>
    </w:p>
    <w:p w14:paraId="225130B5" w14:textId="0FA58915" w:rsidR="001A4C28" w:rsidRPr="00B40A77" w:rsidRDefault="001A4C28" w:rsidP="001A4C28">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jurisdiction of the Magistrates Court may be exercised, subject to the limitations imposed by the </w:t>
      </w:r>
      <w:r w:rsidRPr="00B40A77">
        <w:rPr>
          <w:i/>
          <w:color w:val="000000" w:themeColor="text1"/>
        </w:rPr>
        <w:t>Magistrates Court Act 1991</w:t>
      </w:r>
      <w:r w:rsidRPr="00B40A77">
        <w:rPr>
          <w:color w:val="000000" w:themeColor="text1"/>
        </w:rPr>
        <w:t>,</w:t>
      </w:r>
      <w:r w:rsidRPr="00B40A77">
        <w:rPr>
          <w:color w:val="000000" w:themeColor="text1"/>
          <w:lang w:val="en-US"/>
        </w:rPr>
        <w:t xml:space="preserve"> by a Judicial Registrar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r w:rsidRPr="00B40A77">
          <w:rPr>
            <w:rStyle w:val="Hyperlink"/>
            <w:color w:val="000000" w:themeColor="text1"/>
            <w:lang w:val="en-US"/>
          </w:rPr>
          <w:t>in chambers</w:t>
        </w:r>
      </w:hyperlink>
      <w:r w:rsidRPr="00B40A77">
        <w:rPr>
          <w:rStyle w:val="Hyperlink"/>
          <w:color w:val="000000" w:themeColor="text1"/>
          <w:u w:val="none"/>
          <w:lang w:val="en-US"/>
        </w:rPr>
        <w:t xml:space="preserve"> </w:t>
      </w:r>
      <w:r w:rsidRPr="00B40A77">
        <w:rPr>
          <w:color w:val="000000" w:themeColor="text1"/>
          <w:lang w:val="en-US"/>
        </w:rPr>
        <w:t xml:space="preserve">in relation to matters of a class specified by the </w:t>
      </w:r>
      <w:hyperlink w:anchor="_2.1—Definitions" w:history="1">
        <w:r w:rsidRPr="00B40A77">
          <w:rPr>
            <w:rStyle w:val="Hyperlink"/>
            <w:color w:val="000000" w:themeColor="text1"/>
            <w:lang w:val="en-US"/>
          </w:rPr>
          <w:t>Chief Magistrate</w:t>
        </w:r>
      </w:hyperlink>
      <w:r w:rsidRPr="00B40A77">
        <w:rPr>
          <w:color w:val="000000" w:themeColor="text1"/>
          <w:lang w:val="en-US"/>
        </w:rPr>
        <w:t>.</w:t>
      </w:r>
    </w:p>
    <w:p w14:paraId="1FC65CB5" w14:textId="0156F5C7" w:rsidR="001A4C28" w:rsidRPr="00B40A77" w:rsidRDefault="001A4C28" w:rsidP="001A4C28">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jurisdiction of the Magistrates Court may be exercised, subject to the limitations imposed by the </w:t>
      </w:r>
      <w:r w:rsidRPr="00B40A77">
        <w:rPr>
          <w:i/>
          <w:color w:val="000000" w:themeColor="text1"/>
        </w:rPr>
        <w:t>Magistrates Court Act 1991</w:t>
      </w:r>
      <w:r w:rsidRPr="00B40A77">
        <w:rPr>
          <w:color w:val="000000" w:themeColor="text1"/>
        </w:rPr>
        <w:t>,</w:t>
      </w:r>
      <w:r w:rsidRPr="00B40A77">
        <w:rPr>
          <w:color w:val="000000" w:themeColor="text1"/>
          <w:lang w:val="en-US"/>
        </w:rPr>
        <w:t xml:space="preserve"> by a </w:t>
      </w:r>
      <w:r w:rsidR="00717BAF" w:rsidRPr="00B40A77">
        <w:rPr>
          <w:color w:val="000000" w:themeColor="text1"/>
          <w:lang w:val="en-US"/>
        </w:rPr>
        <w:t>Special Justice</w:t>
      </w:r>
      <w:r w:rsidRPr="00B40A77">
        <w:rPr>
          <w:color w:val="000000" w:themeColor="text1"/>
          <w:lang w:val="en-US"/>
        </w:rPr>
        <w:t xml:space="preserve">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r w:rsidRPr="00B40A77">
          <w:rPr>
            <w:rStyle w:val="Hyperlink"/>
            <w:color w:val="000000" w:themeColor="text1"/>
            <w:lang w:val="en-US"/>
          </w:rPr>
          <w:t>in chambers</w:t>
        </w:r>
      </w:hyperlink>
      <w:r w:rsidRPr="00B40A77">
        <w:rPr>
          <w:rStyle w:val="Hyperlink"/>
          <w:color w:val="000000" w:themeColor="text1"/>
          <w:u w:val="none"/>
          <w:lang w:val="en-US"/>
        </w:rPr>
        <w:t xml:space="preserve"> </w:t>
      </w:r>
      <w:r w:rsidRPr="00B40A77">
        <w:rPr>
          <w:color w:val="000000" w:themeColor="text1"/>
          <w:lang w:val="en-US"/>
        </w:rPr>
        <w:t>in relation to</w:t>
      </w:r>
      <w:r w:rsidRPr="00B40A77">
        <w:rPr>
          <w:color w:val="000000" w:themeColor="text1"/>
        </w:rPr>
        <w:t>—</w:t>
      </w:r>
    </w:p>
    <w:p w14:paraId="17DF5423" w14:textId="77777777" w:rsidR="001A4C28" w:rsidRPr="00B40A77" w:rsidRDefault="001A4C28" w:rsidP="001A4C28">
      <w:pPr>
        <w:pStyle w:val="Doublehangindent"/>
        <w:rPr>
          <w:color w:val="000000" w:themeColor="text1"/>
        </w:rPr>
      </w:pPr>
      <w:r w:rsidRPr="00B40A77">
        <w:rPr>
          <w:color w:val="000000" w:themeColor="text1"/>
        </w:rPr>
        <w:t>(a)</w:t>
      </w:r>
      <w:r w:rsidRPr="00B40A77">
        <w:rPr>
          <w:color w:val="000000" w:themeColor="text1"/>
        </w:rPr>
        <w:tab/>
        <w:t xml:space="preserve">a charge of an offence referred to in section 9A(1)(b) of the </w:t>
      </w:r>
      <w:r w:rsidRPr="00B40A77">
        <w:rPr>
          <w:i/>
          <w:color w:val="000000" w:themeColor="text1"/>
        </w:rPr>
        <w:t>Magistrates Court Act 1991</w:t>
      </w:r>
      <w:r w:rsidRPr="00B40A77">
        <w:rPr>
          <w:color w:val="000000" w:themeColor="text1"/>
        </w:rPr>
        <w:t>; or</w:t>
      </w:r>
    </w:p>
    <w:p w14:paraId="6DAB8805" w14:textId="001F777D" w:rsidR="001A4C28" w:rsidRPr="00B40A77" w:rsidRDefault="001A4C28" w:rsidP="001A4C28">
      <w:pPr>
        <w:pStyle w:val="Doublehangindent"/>
        <w:rPr>
          <w:color w:val="000000" w:themeColor="text1"/>
        </w:rPr>
      </w:pPr>
      <w:r w:rsidRPr="00B40A77">
        <w:rPr>
          <w:color w:val="000000" w:themeColor="text1"/>
        </w:rPr>
        <w:t>(b)</w:t>
      </w:r>
      <w:r w:rsidRPr="00B40A77">
        <w:rPr>
          <w:color w:val="000000" w:themeColor="text1"/>
        </w:rPr>
        <w:tab/>
        <w:t xml:space="preserve">matters of a class specified by the </w:t>
      </w:r>
      <w:hyperlink w:anchor="_2.1—Definitions" w:history="1">
        <w:r w:rsidR="001742C0" w:rsidRPr="00B40A77">
          <w:rPr>
            <w:rStyle w:val="Hyperlink"/>
            <w:color w:val="000000" w:themeColor="text1"/>
            <w:lang w:val="en-US"/>
          </w:rPr>
          <w:t>Chief Magistrate</w:t>
        </w:r>
      </w:hyperlink>
      <w:r w:rsidRPr="00B40A77">
        <w:rPr>
          <w:color w:val="000000" w:themeColor="text1"/>
        </w:rPr>
        <w:t xml:space="preserve"> if there is no Magistrate or Judicial Registrar available</w:t>
      </w:r>
      <w:r w:rsidR="004428F5" w:rsidRPr="00B40A77">
        <w:rPr>
          <w:color w:val="000000" w:themeColor="text1"/>
        </w:rPr>
        <w:t xml:space="preserve"> </w:t>
      </w:r>
      <w:r w:rsidR="004428F5" w:rsidRPr="00B40A77">
        <w:rPr>
          <w:color w:val="000000" w:themeColor="text1"/>
          <w:lang w:val="en-US"/>
        </w:rPr>
        <w:t>to constitute the Court</w:t>
      </w:r>
      <w:r w:rsidRPr="00B40A77">
        <w:rPr>
          <w:color w:val="000000" w:themeColor="text1"/>
        </w:rPr>
        <w:t>.</w:t>
      </w:r>
    </w:p>
    <w:p w14:paraId="688E28B1" w14:textId="295D041E" w:rsidR="001A4C28" w:rsidRPr="00B40A77" w:rsidRDefault="001A4C28" w:rsidP="001A4C28">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jurisdiction of the Magistrates Court may be exercised by two justices of the peace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r w:rsidRPr="00B40A77">
          <w:rPr>
            <w:rStyle w:val="Hyperlink"/>
            <w:color w:val="000000" w:themeColor="text1"/>
            <w:lang w:val="en-US"/>
          </w:rPr>
          <w:t>in chambers</w:t>
        </w:r>
      </w:hyperlink>
      <w:r w:rsidRPr="00B40A77">
        <w:rPr>
          <w:rStyle w:val="Hyperlink"/>
          <w:color w:val="000000" w:themeColor="text1"/>
          <w:u w:val="none"/>
          <w:lang w:val="en-US"/>
        </w:rPr>
        <w:t xml:space="preserve"> </w:t>
      </w:r>
      <w:r w:rsidRPr="00B40A77">
        <w:rPr>
          <w:color w:val="000000" w:themeColor="text1"/>
          <w:lang w:val="en-US"/>
        </w:rPr>
        <w:t>in relation to</w:t>
      </w:r>
      <w:r w:rsidRPr="00B40A77">
        <w:rPr>
          <w:color w:val="000000" w:themeColor="text1"/>
        </w:rPr>
        <w:t xml:space="preserve"> a </w:t>
      </w:r>
      <w:hyperlink w:anchor="_2.1—Definitions" w:history="1">
        <w:r w:rsidRPr="00B40A77">
          <w:rPr>
            <w:rStyle w:val="Hyperlink"/>
            <w:color w:val="000000" w:themeColor="text1"/>
          </w:rPr>
          <w:t>bail application</w:t>
        </w:r>
      </w:hyperlink>
      <w:r w:rsidRPr="00B40A77">
        <w:rPr>
          <w:color w:val="000000" w:themeColor="text1"/>
        </w:rPr>
        <w:t xml:space="preserve"> if there is no Magistrate, Judicial Registrar or </w:t>
      </w:r>
      <w:r w:rsidR="00717BAF" w:rsidRPr="00B40A77">
        <w:rPr>
          <w:color w:val="000000" w:themeColor="text1"/>
        </w:rPr>
        <w:t>Special Justice</w:t>
      </w:r>
      <w:r w:rsidRPr="00B40A77">
        <w:rPr>
          <w:color w:val="000000" w:themeColor="text1"/>
        </w:rPr>
        <w:t xml:space="preserve"> available.</w:t>
      </w:r>
    </w:p>
    <w:p w14:paraId="30BBF853" w14:textId="1C3CB909" w:rsidR="001A4C28" w:rsidRPr="00B40A77" w:rsidRDefault="001A4C28" w:rsidP="006A5750">
      <w:pPr>
        <w:pStyle w:val="Hangindent"/>
        <w:keepNext/>
        <w:rPr>
          <w:color w:val="000000" w:themeColor="text1"/>
          <w:lang w:val="en-US"/>
        </w:rPr>
      </w:pPr>
      <w:r w:rsidRPr="00B40A77">
        <w:rPr>
          <w:color w:val="000000" w:themeColor="text1"/>
        </w:rPr>
        <w:t>(5)</w:t>
      </w:r>
      <w:r w:rsidRPr="00B40A77">
        <w:rPr>
          <w:color w:val="000000" w:themeColor="text1"/>
        </w:rPr>
        <w:tab/>
        <w:t xml:space="preserve">A Judicial Registrar, </w:t>
      </w:r>
      <w:r w:rsidR="00717BAF" w:rsidRPr="00B40A77">
        <w:rPr>
          <w:color w:val="000000" w:themeColor="text1"/>
        </w:rPr>
        <w:t>Special Justice</w:t>
      </w:r>
      <w:r w:rsidRPr="00B40A77">
        <w:rPr>
          <w:color w:val="000000" w:themeColor="text1"/>
        </w:rPr>
        <w:t xml:space="preserve"> or two justices of the peace may refer a matter in respect of which they have jurisdiction to a Magistrate.</w:t>
      </w:r>
    </w:p>
    <w:p w14:paraId="363262D1" w14:textId="77777777" w:rsidR="001A4C28" w:rsidRPr="00B40A77" w:rsidRDefault="001A4C28" w:rsidP="006A5750">
      <w:pPr>
        <w:pStyle w:val="NoteHeader"/>
        <w:keepNext/>
        <w:rPr>
          <w:color w:val="000000" w:themeColor="text1"/>
        </w:rPr>
      </w:pPr>
      <w:r w:rsidRPr="00B40A77">
        <w:rPr>
          <w:color w:val="000000" w:themeColor="text1"/>
        </w:rPr>
        <w:t>Notes—</w:t>
      </w:r>
    </w:p>
    <w:p w14:paraId="4605BD86" w14:textId="44A1F89A" w:rsidR="001A4C28" w:rsidRPr="00B40A77" w:rsidRDefault="001A4C28" w:rsidP="001A4C28">
      <w:pPr>
        <w:pStyle w:val="NoteText"/>
        <w:rPr>
          <w:color w:val="000000" w:themeColor="text1"/>
        </w:rPr>
      </w:pPr>
      <w:r w:rsidRPr="00B40A77">
        <w:rPr>
          <w:color w:val="000000" w:themeColor="text1"/>
        </w:rPr>
        <w:t>Section 7A(1</w:t>
      </w:r>
      <w:r w:rsidR="009B75EF" w:rsidRPr="00B40A77">
        <w:rPr>
          <w:color w:val="000000" w:themeColor="text1"/>
        </w:rPr>
        <w:t>a</w:t>
      </w:r>
      <w:r w:rsidRPr="00B40A77">
        <w:rPr>
          <w:color w:val="000000" w:themeColor="text1"/>
        </w:rPr>
        <w:t xml:space="preserve">) of the </w:t>
      </w:r>
      <w:r w:rsidRPr="00B40A77">
        <w:rPr>
          <w:i/>
          <w:color w:val="000000" w:themeColor="text1"/>
        </w:rPr>
        <w:t>Magistrates Court Act 1991</w:t>
      </w:r>
      <w:r w:rsidRPr="00B40A77">
        <w:rPr>
          <w:color w:val="000000" w:themeColor="text1"/>
        </w:rPr>
        <w:t xml:space="preserve"> provides that Judicial Registrars may exercise such jurisdiction of the Court as assigned by the </w:t>
      </w:r>
      <w:r w:rsidR="001742C0" w:rsidRPr="00B40A77">
        <w:rPr>
          <w:color w:val="000000" w:themeColor="text1"/>
          <w:lang w:val="en-US"/>
        </w:rPr>
        <w:t>Chief Magistrate</w:t>
      </w:r>
      <w:r w:rsidRPr="00B40A77">
        <w:rPr>
          <w:color w:val="000000" w:themeColor="text1"/>
        </w:rPr>
        <w:t xml:space="preserve"> or the rules.</w:t>
      </w:r>
    </w:p>
    <w:p w14:paraId="65449019" w14:textId="52B35EB5" w:rsidR="001A4C28" w:rsidRPr="00B40A77" w:rsidDel="00101C79" w:rsidRDefault="001A4C28" w:rsidP="001A4C28">
      <w:pPr>
        <w:pStyle w:val="NoteText"/>
        <w:rPr>
          <w:color w:val="000000" w:themeColor="text1"/>
        </w:rPr>
      </w:pPr>
      <w:r w:rsidRPr="00B40A77" w:rsidDel="00101C79">
        <w:rPr>
          <w:color w:val="000000" w:themeColor="text1"/>
        </w:rPr>
        <w:t>Section 7A(2)(</w:t>
      </w:r>
      <w:r w:rsidR="00D777D6" w:rsidRPr="00B40A77" w:rsidDel="00101C79">
        <w:rPr>
          <w:color w:val="000000" w:themeColor="text1"/>
        </w:rPr>
        <w:t>c</w:t>
      </w:r>
      <w:r w:rsidRPr="00B40A77" w:rsidDel="00101C79">
        <w:rPr>
          <w:color w:val="000000" w:themeColor="text1"/>
        </w:rPr>
        <w:t xml:space="preserve">) of the </w:t>
      </w:r>
      <w:r w:rsidRPr="00B40A77" w:rsidDel="00101C79">
        <w:rPr>
          <w:i/>
          <w:color w:val="000000" w:themeColor="text1"/>
        </w:rPr>
        <w:t>Magistrates Court Act 1991</w:t>
      </w:r>
      <w:r w:rsidRPr="00B40A77" w:rsidDel="00101C79">
        <w:rPr>
          <w:color w:val="000000" w:themeColor="text1"/>
        </w:rPr>
        <w:t xml:space="preserve"> provides that the Court may be constituted of a </w:t>
      </w:r>
      <w:r w:rsidR="00717BAF" w:rsidRPr="00B40A77" w:rsidDel="00101C79">
        <w:rPr>
          <w:color w:val="000000" w:themeColor="text1"/>
        </w:rPr>
        <w:t>Special Justice</w:t>
      </w:r>
      <w:r w:rsidRPr="00B40A77" w:rsidDel="00101C79">
        <w:rPr>
          <w:color w:val="000000" w:themeColor="text1"/>
        </w:rPr>
        <w:t xml:space="preserve"> if there is no Magistrate or Judicial Registrar available.</w:t>
      </w:r>
    </w:p>
    <w:p w14:paraId="125907CB" w14:textId="0B26F47E" w:rsidR="001A4C28" w:rsidRPr="00B40A77" w:rsidRDefault="001A4C28" w:rsidP="001A4C28">
      <w:pPr>
        <w:pStyle w:val="NoteText"/>
        <w:rPr>
          <w:color w:val="000000" w:themeColor="text1"/>
        </w:rPr>
      </w:pPr>
      <w:r w:rsidRPr="00B40A77">
        <w:rPr>
          <w:color w:val="000000" w:themeColor="text1"/>
        </w:rPr>
        <w:t xml:space="preserve">Section 7A(2)(a) of the </w:t>
      </w:r>
      <w:r w:rsidRPr="00B40A77">
        <w:rPr>
          <w:i/>
          <w:color w:val="000000" w:themeColor="text1"/>
        </w:rPr>
        <w:t>Magistrates Court Act 1991</w:t>
      </w:r>
      <w:r w:rsidRPr="00B40A77">
        <w:rPr>
          <w:color w:val="000000" w:themeColor="text1"/>
        </w:rPr>
        <w:t xml:space="preserve"> provides that the Court may be constituted of a </w:t>
      </w:r>
      <w:r w:rsidR="00717BAF" w:rsidRPr="00B40A77">
        <w:rPr>
          <w:color w:val="000000" w:themeColor="text1"/>
        </w:rPr>
        <w:t>Special Justice</w:t>
      </w:r>
      <w:r w:rsidRPr="00B40A77">
        <w:rPr>
          <w:color w:val="000000" w:themeColor="text1"/>
        </w:rPr>
        <w:t xml:space="preserve"> in its Petty Sessions Division and section</w:t>
      </w:r>
      <w:r w:rsidR="000E08AE" w:rsidRPr="00B40A77">
        <w:rPr>
          <w:color w:val="000000" w:themeColor="text1"/>
        </w:rPr>
        <w:t> </w:t>
      </w:r>
      <w:r w:rsidRPr="00B40A77">
        <w:rPr>
          <w:color w:val="000000" w:themeColor="text1"/>
        </w:rPr>
        <w:t>9A(1)(b) provides that the Court</w:t>
      </w:r>
      <w:r w:rsidR="00717BAF" w:rsidRPr="00B40A77">
        <w:rPr>
          <w:color w:val="000000" w:themeColor="text1"/>
        </w:rPr>
        <w:t xml:space="preserve"> in its Petty Sessions Division</w:t>
      </w:r>
      <w:r w:rsidR="006F3A0A" w:rsidRPr="00B40A77">
        <w:rPr>
          <w:color w:val="000000" w:themeColor="text1"/>
        </w:rPr>
        <w:t xml:space="preserve"> </w:t>
      </w:r>
      <w:r w:rsidRPr="00B40A77">
        <w:rPr>
          <w:color w:val="000000" w:themeColor="text1"/>
        </w:rPr>
        <w:t>has jurisdiction to hear and determine any of the charges identified in subparagraphs (i), (ii) or (iii) the</w:t>
      </w:r>
      <w:r w:rsidR="006F3A0A" w:rsidRPr="00B40A77">
        <w:rPr>
          <w:color w:val="000000" w:themeColor="text1"/>
        </w:rPr>
        <w:t>r</w:t>
      </w:r>
      <w:r w:rsidRPr="00B40A77">
        <w:rPr>
          <w:color w:val="000000" w:themeColor="text1"/>
        </w:rPr>
        <w:t>eof.</w:t>
      </w:r>
    </w:p>
    <w:p w14:paraId="73450AC8" w14:textId="355154FC" w:rsidR="009601B5" w:rsidRPr="00B40A77" w:rsidRDefault="009601B5" w:rsidP="001A4C28">
      <w:pPr>
        <w:pStyle w:val="NoteText"/>
        <w:rPr>
          <w:iCs/>
          <w:color w:val="000000" w:themeColor="text1"/>
        </w:rPr>
      </w:pPr>
      <w:r w:rsidRPr="00B40A77">
        <w:rPr>
          <w:color w:val="000000" w:themeColor="text1"/>
        </w:rPr>
        <w:t xml:space="preserve">Section 7A(2a) of the </w:t>
      </w:r>
      <w:r w:rsidRPr="00B40A77">
        <w:rPr>
          <w:i/>
          <w:color w:val="000000" w:themeColor="text1"/>
        </w:rPr>
        <w:t>Magistrates Court Act 1991</w:t>
      </w:r>
      <w:r w:rsidRPr="00B40A77">
        <w:rPr>
          <w:iCs/>
          <w:color w:val="000000" w:themeColor="text1"/>
        </w:rPr>
        <w:t xml:space="preserve"> provides that the Court may be constituted of </w:t>
      </w:r>
      <w:r w:rsidR="0025768F" w:rsidRPr="00B40A77">
        <w:rPr>
          <w:iCs/>
          <w:color w:val="000000" w:themeColor="text1"/>
        </w:rPr>
        <w:t>2 </w:t>
      </w:r>
      <w:r w:rsidRPr="00B40A77">
        <w:rPr>
          <w:iCs/>
          <w:color w:val="000000" w:themeColor="text1"/>
        </w:rPr>
        <w:t>justices for the purpose</w:t>
      </w:r>
      <w:r w:rsidR="00606701" w:rsidRPr="00B40A77">
        <w:rPr>
          <w:iCs/>
          <w:color w:val="000000" w:themeColor="text1"/>
        </w:rPr>
        <w:t>s</w:t>
      </w:r>
      <w:r w:rsidRPr="00B40A77">
        <w:rPr>
          <w:iCs/>
          <w:color w:val="000000" w:themeColor="text1"/>
        </w:rPr>
        <w:t xml:space="preserve"> of an application under the Bail Act if no Magistrate, Judicial </w:t>
      </w:r>
      <w:r w:rsidR="00D065EB" w:rsidRPr="00B40A77">
        <w:rPr>
          <w:iCs/>
          <w:color w:val="000000" w:themeColor="text1"/>
        </w:rPr>
        <w:t>Registrar or Special Justice is available.</w:t>
      </w:r>
    </w:p>
    <w:p w14:paraId="14F355E6" w14:textId="17D20D81" w:rsidR="00242A48" w:rsidRPr="00B40A77" w:rsidRDefault="00242A48" w:rsidP="00242A48">
      <w:pPr>
        <w:pStyle w:val="NoteText"/>
        <w:rPr>
          <w:color w:val="000000" w:themeColor="text1"/>
        </w:rPr>
      </w:pPr>
      <w:r w:rsidRPr="00B40A77">
        <w:rPr>
          <w:color w:val="000000" w:themeColor="text1"/>
        </w:rPr>
        <w:t xml:space="preserve">Section 15(b) of the </w:t>
      </w:r>
      <w:r w:rsidRPr="00B40A77">
        <w:rPr>
          <w:i/>
          <w:color w:val="000000" w:themeColor="text1"/>
        </w:rPr>
        <w:t>Magistrates Court Act 1991</w:t>
      </w:r>
      <w:r w:rsidRPr="00B40A77">
        <w:rPr>
          <w:iCs/>
          <w:color w:val="000000" w:themeColor="text1"/>
        </w:rPr>
        <w:t xml:space="preserve"> </w:t>
      </w:r>
      <w:r w:rsidRPr="00B40A77">
        <w:rPr>
          <w:color w:val="000000" w:themeColor="text1"/>
        </w:rPr>
        <w:t>provides that a Registrar may adjourn proceedings.</w:t>
      </w:r>
    </w:p>
    <w:p w14:paraId="7C8CC21F" w14:textId="1D41757D" w:rsidR="001A4C28" w:rsidRPr="00B40A77" w:rsidRDefault="001A4C28" w:rsidP="001A4C28">
      <w:pPr>
        <w:pStyle w:val="NoteText"/>
        <w:rPr>
          <w:color w:val="000000" w:themeColor="text1"/>
        </w:rPr>
      </w:pPr>
      <w:r w:rsidRPr="00B40A77">
        <w:rPr>
          <w:color w:val="000000" w:themeColor="text1"/>
        </w:rPr>
        <w:t xml:space="preserve">Section 18 of the </w:t>
      </w:r>
      <w:r w:rsidRPr="00B40A77">
        <w:rPr>
          <w:i/>
          <w:color w:val="000000" w:themeColor="text1"/>
        </w:rPr>
        <w:t>Magistrates Court Act 1991</w:t>
      </w:r>
      <w:r w:rsidRPr="00B40A77">
        <w:rPr>
          <w:color w:val="000000" w:themeColor="text1"/>
        </w:rPr>
        <w:t xml:space="preserve"> provides that, subject to any Act or rule to the contrary, the court’s proceedings must be open to the public.</w:t>
      </w:r>
    </w:p>
    <w:p w14:paraId="46D62C0B" w14:textId="2AF8D9E5" w:rsidR="00DF1A38" w:rsidRPr="00B40A77" w:rsidRDefault="007A505B" w:rsidP="007A505B">
      <w:pPr>
        <w:pStyle w:val="Heading3"/>
        <w:rPr>
          <w:color w:val="000000" w:themeColor="text1"/>
        </w:rPr>
      </w:pPr>
      <w:bookmarkStart w:id="54" w:name="_Toc175238741"/>
      <w:r w:rsidRPr="00B40A77">
        <w:rPr>
          <w:color w:val="000000" w:themeColor="text1"/>
        </w:rPr>
        <w:lastRenderedPageBreak/>
        <w:t>Division</w:t>
      </w:r>
      <w:r w:rsidR="00DF1A38" w:rsidRPr="00B40A77">
        <w:rPr>
          <w:color w:val="000000" w:themeColor="text1"/>
        </w:rPr>
        <w:t xml:space="preserve"> 2—Judicial powers</w:t>
      </w:r>
      <w:bookmarkEnd w:id="54"/>
    </w:p>
    <w:p w14:paraId="21648F05" w14:textId="77777777" w:rsidR="002465A6" w:rsidRPr="00B40A77" w:rsidRDefault="009C0945" w:rsidP="004057D2">
      <w:pPr>
        <w:pStyle w:val="Heading4"/>
        <w:rPr>
          <w:color w:val="000000" w:themeColor="text1"/>
        </w:rPr>
      </w:pPr>
      <w:bookmarkStart w:id="55" w:name="_Toc175238742"/>
      <w:r w:rsidRPr="00B40A77">
        <w:rPr>
          <w:color w:val="000000" w:themeColor="text1"/>
        </w:rPr>
        <w:t>12</w:t>
      </w:r>
      <w:r w:rsidR="009F244F" w:rsidRPr="00B40A77">
        <w:rPr>
          <w:color w:val="000000" w:themeColor="text1"/>
        </w:rPr>
        <w:t>.1</w:t>
      </w:r>
      <w:r w:rsidR="002465A6" w:rsidRPr="00B40A77">
        <w:rPr>
          <w:color w:val="000000" w:themeColor="text1"/>
        </w:rPr>
        <w:t xml:space="preserve">—General </w:t>
      </w:r>
      <w:r w:rsidR="00662772" w:rsidRPr="00B40A77">
        <w:rPr>
          <w:color w:val="000000" w:themeColor="text1"/>
        </w:rPr>
        <w:t>powers</w:t>
      </w:r>
      <w:bookmarkEnd w:id="55"/>
    </w:p>
    <w:p w14:paraId="29CF714F" w14:textId="2E14C889" w:rsidR="002465A6" w:rsidRPr="00B40A77" w:rsidRDefault="002465A6" w:rsidP="006F4200">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r w:rsidR="003E5BBB" w:rsidRPr="00B40A77">
        <w:rPr>
          <w:color w:val="000000" w:themeColor="text1"/>
        </w:rPr>
        <w:t xml:space="preserve">Court </w:t>
      </w:r>
      <w:r w:rsidRPr="00B40A77">
        <w:rPr>
          <w:color w:val="000000" w:themeColor="text1"/>
          <w:lang w:val="en-US"/>
        </w:rPr>
        <w:t xml:space="preserve">may </w:t>
      </w:r>
      <w:r w:rsidR="006F4E64" w:rsidRPr="00B40A77">
        <w:rPr>
          <w:color w:val="000000" w:themeColor="text1"/>
          <w:lang w:val="en-US"/>
        </w:rPr>
        <w:t>on its own initiative</w:t>
      </w:r>
      <w:r w:rsidR="003A3B4F" w:rsidRPr="00B40A77">
        <w:rPr>
          <w:color w:val="000000" w:themeColor="text1"/>
          <w:lang w:val="en-US"/>
        </w:rPr>
        <w:t>,</w:t>
      </w:r>
      <w:r w:rsidR="006F4E64" w:rsidRPr="00B40A77">
        <w:rPr>
          <w:color w:val="000000" w:themeColor="text1"/>
          <w:lang w:val="en-US"/>
        </w:rPr>
        <w:t xml:space="preserve"> </w:t>
      </w:r>
      <w:r w:rsidR="00A35CE7" w:rsidRPr="00B40A77">
        <w:rPr>
          <w:color w:val="000000" w:themeColor="text1"/>
          <w:lang w:val="en-US"/>
        </w:rPr>
        <w:t xml:space="preserve">or on application by </w:t>
      </w:r>
      <w:r w:rsidR="005C4E3A" w:rsidRPr="00B40A77">
        <w:rPr>
          <w:color w:val="000000" w:themeColor="text1"/>
          <w:lang w:val="en-US"/>
        </w:rPr>
        <w:t>any</w:t>
      </w:r>
      <w:r w:rsidR="00A35CE7" w:rsidRPr="00B40A77">
        <w:rPr>
          <w:color w:val="000000" w:themeColor="text1"/>
          <w:lang w:val="en-US"/>
        </w:rPr>
        <w:t xml:space="preserve"> person</w:t>
      </w:r>
      <w:r w:rsidR="003A3B4F" w:rsidRPr="00B40A77">
        <w:rPr>
          <w:color w:val="000000" w:themeColor="text1"/>
          <w:lang w:val="en-US"/>
        </w:rPr>
        <w:t>,</w:t>
      </w:r>
      <w:r w:rsidR="00A35CE7" w:rsidRPr="00B40A77">
        <w:rPr>
          <w:color w:val="000000" w:themeColor="text1"/>
          <w:lang w:val="en-US"/>
        </w:rPr>
        <w:t xml:space="preserve"> </w:t>
      </w:r>
      <w:r w:rsidRPr="00B40A77">
        <w:rPr>
          <w:color w:val="000000" w:themeColor="text1"/>
          <w:lang w:val="en-US"/>
        </w:rPr>
        <w:t>make any order that it considers appropriate in the interests of justice.</w:t>
      </w:r>
    </w:p>
    <w:p w14:paraId="163AA9E9" w14:textId="23C10F9A" w:rsidR="002465A6" w:rsidRPr="00B40A77" w:rsidRDefault="002465A6" w:rsidP="00F815AA">
      <w:pPr>
        <w:pStyle w:val="Hangindent"/>
        <w:keepNext/>
        <w:rPr>
          <w:color w:val="000000" w:themeColor="text1"/>
          <w:lang w:val="en-US"/>
        </w:rPr>
      </w:pPr>
      <w:r w:rsidRPr="00B40A77">
        <w:rPr>
          <w:color w:val="000000" w:themeColor="text1"/>
          <w:lang w:val="en-US"/>
        </w:rPr>
        <w:t>(2)</w:t>
      </w:r>
      <w:r w:rsidRPr="00B40A77">
        <w:rPr>
          <w:color w:val="000000" w:themeColor="text1"/>
          <w:lang w:val="en-US"/>
        </w:rPr>
        <w:tab/>
      </w:r>
      <w:r w:rsidR="00254455" w:rsidRPr="00B40A77">
        <w:rPr>
          <w:color w:val="000000" w:themeColor="text1"/>
          <w:lang w:val="en-US"/>
        </w:rPr>
        <w:t>Without affecting the generality of subrule (1),</w:t>
      </w:r>
      <w:r w:rsidRPr="00B40A77">
        <w:rPr>
          <w:color w:val="000000" w:themeColor="text1"/>
          <w:lang w:val="en-US"/>
        </w:rPr>
        <w:t xml:space="preserve"> the </w:t>
      </w:r>
      <w:r w:rsidR="003E5BBB" w:rsidRPr="00B40A77">
        <w:rPr>
          <w:color w:val="000000" w:themeColor="text1"/>
        </w:rPr>
        <w:t xml:space="preserve">Court </w:t>
      </w:r>
      <w:r w:rsidRPr="00B40A77">
        <w:rPr>
          <w:color w:val="000000" w:themeColor="text1"/>
          <w:lang w:val="en-US"/>
        </w:rPr>
        <w:t>may</w:t>
      </w:r>
      <w:r w:rsidR="005F4F6D" w:rsidRPr="00B40A77">
        <w:rPr>
          <w:color w:val="000000" w:themeColor="text1"/>
        </w:rPr>
        <w:t>—</w:t>
      </w:r>
    </w:p>
    <w:p w14:paraId="63950AB0" w14:textId="77777777" w:rsidR="002465A6" w:rsidRPr="00B40A77" w:rsidRDefault="005C4E3A" w:rsidP="006F4200">
      <w:pPr>
        <w:pStyle w:val="Doublehangindent"/>
        <w:rPr>
          <w:color w:val="000000" w:themeColor="text1"/>
        </w:rPr>
      </w:pPr>
      <w:r w:rsidRPr="00B40A77">
        <w:rPr>
          <w:color w:val="000000" w:themeColor="text1"/>
        </w:rPr>
        <w:t>(a)</w:t>
      </w:r>
      <w:r w:rsidRPr="00B40A77">
        <w:rPr>
          <w:color w:val="000000" w:themeColor="text1"/>
        </w:rPr>
        <w:tab/>
      </w:r>
      <w:r w:rsidR="002465A6" w:rsidRPr="00B40A77">
        <w:rPr>
          <w:color w:val="000000" w:themeColor="text1"/>
        </w:rPr>
        <w:t xml:space="preserve">order that a provision of </w:t>
      </w:r>
      <w:r w:rsidR="001C7313" w:rsidRPr="00B40A77">
        <w:rPr>
          <w:color w:val="000000" w:themeColor="text1"/>
        </w:rPr>
        <w:t>these Rules</w:t>
      </w:r>
      <w:r w:rsidR="002465A6" w:rsidRPr="00B40A77">
        <w:rPr>
          <w:color w:val="000000" w:themeColor="text1"/>
        </w:rPr>
        <w:t xml:space="preserve"> not apply or apply in a modified way or </w:t>
      </w:r>
      <w:r w:rsidR="006F4E64" w:rsidRPr="00B40A77">
        <w:rPr>
          <w:color w:val="000000" w:themeColor="text1"/>
        </w:rPr>
        <w:t xml:space="preserve">dispense with compliance </w:t>
      </w:r>
      <w:r w:rsidR="00D03C05" w:rsidRPr="00B40A77">
        <w:rPr>
          <w:color w:val="000000" w:themeColor="text1"/>
        </w:rPr>
        <w:t>(</w:t>
      </w:r>
      <w:r w:rsidR="002465A6" w:rsidRPr="00B40A77">
        <w:rPr>
          <w:color w:val="000000" w:themeColor="text1"/>
        </w:rPr>
        <w:t>whether before or after compliance is or was required</w:t>
      </w:r>
      <w:r w:rsidR="006D115D" w:rsidRPr="00B40A77">
        <w:rPr>
          <w:color w:val="000000" w:themeColor="text1"/>
        </w:rPr>
        <w:t>)</w:t>
      </w:r>
      <w:r w:rsidR="002465A6" w:rsidRPr="00B40A77">
        <w:rPr>
          <w:color w:val="000000" w:themeColor="text1"/>
        </w:rPr>
        <w:t>;</w:t>
      </w:r>
    </w:p>
    <w:p w14:paraId="67C7E0DF" w14:textId="77777777" w:rsidR="002465A6" w:rsidRPr="00B40A77" w:rsidRDefault="002465A6" w:rsidP="006F4200">
      <w:pPr>
        <w:pStyle w:val="Doublehangindent"/>
        <w:rPr>
          <w:color w:val="000000" w:themeColor="text1"/>
        </w:rPr>
      </w:pPr>
      <w:r w:rsidRPr="00B40A77">
        <w:rPr>
          <w:color w:val="000000" w:themeColor="text1"/>
        </w:rPr>
        <w:t>(b)</w:t>
      </w:r>
      <w:r w:rsidRPr="00B40A77">
        <w:rPr>
          <w:color w:val="000000" w:themeColor="text1"/>
        </w:rPr>
        <w:tab/>
        <w:t>make an order that is incon</w:t>
      </w:r>
      <w:r w:rsidR="00E03C38" w:rsidRPr="00B40A77">
        <w:rPr>
          <w:color w:val="000000" w:themeColor="text1"/>
        </w:rPr>
        <w:t>sistent with or in lieu of</w:t>
      </w:r>
      <w:r w:rsidRPr="00B40A77">
        <w:rPr>
          <w:color w:val="000000" w:themeColor="text1"/>
        </w:rPr>
        <w:t xml:space="preserve"> a provision of </w:t>
      </w:r>
      <w:r w:rsidR="001C7313" w:rsidRPr="00B40A77">
        <w:rPr>
          <w:color w:val="000000" w:themeColor="text1"/>
        </w:rPr>
        <w:t>these Rules</w:t>
      </w:r>
      <w:r w:rsidRPr="00B40A77">
        <w:rPr>
          <w:color w:val="000000" w:themeColor="text1"/>
        </w:rPr>
        <w:t>;</w:t>
      </w:r>
    </w:p>
    <w:p w14:paraId="7A0AAA2B" w14:textId="77777777" w:rsidR="002465A6" w:rsidRPr="00B40A77" w:rsidRDefault="00D03C05" w:rsidP="006F4200">
      <w:pPr>
        <w:pStyle w:val="Doublehangindent"/>
        <w:rPr>
          <w:color w:val="000000" w:themeColor="text1"/>
        </w:rPr>
      </w:pPr>
      <w:r w:rsidRPr="00B40A77">
        <w:rPr>
          <w:color w:val="000000" w:themeColor="text1"/>
        </w:rPr>
        <w:t>(c)</w:t>
      </w:r>
      <w:r w:rsidRPr="00B40A77">
        <w:rPr>
          <w:color w:val="000000" w:themeColor="text1"/>
        </w:rPr>
        <w:tab/>
        <w:t xml:space="preserve">fix </w:t>
      </w:r>
      <w:r w:rsidR="002465A6" w:rsidRPr="00B40A77">
        <w:rPr>
          <w:color w:val="000000" w:themeColor="text1"/>
        </w:rPr>
        <w:t xml:space="preserve">or vary the time fixed by or under a provision of </w:t>
      </w:r>
      <w:r w:rsidR="001C7313" w:rsidRPr="00B40A77">
        <w:rPr>
          <w:color w:val="000000" w:themeColor="text1"/>
        </w:rPr>
        <w:t>these Rules</w:t>
      </w:r>
      <w:r w:rsidR="002465A6" w:rsidRPr="00B40A77">
        <w:rPr>
          <w:color w:val="000000" w:themeColor="text1"/>
        </w:rPr>
        <w:t xml:space="preserve"> or a court order;</w:t>
      </w:r>
    </w:p>
    <w:p w14:paraId="062F27B0" w14:textId="77777777" w:rsidR="002465A6" w:rsidRPr="00B40A77" w:rsidRDefault="002465A6" w:rsidP="006F4200">
      <w:pPr>
        <w:pStyle w:val="Doublehangindent"/>
        <w:rPr>
          <w:color w:val="000000" w:themeColor="text1"/>
        </w:rPr>
      </w:pPr>
      <w:r w:rsidRPr="00B40A77">
        <w:rPr>
          <w:color w:val="000000" w:themeColor="text1"/>
        </w:rPr>
        <w:t>(d)</w:t>
      </w:r>
      <w:r w:rsidRPr="00B40A77">
        <w:rPr>
          <w:color w:val="000000" w:themeColor="text1"/>
        </w:rPr>
        <w:tab/>
        <w:t>make an order subject to conditions;</w:t>
      </w:r>
    </w:p>
    <w:p w14:paraId="5A124C59" w14:textId="77777777" w:rsidR="002465A6" w:rsidRPr="00B40A77" w:rsidRDefault="002465A6" w:rsidP="006F4200">
      <w:pPr>
        <w:pStyle w:val="Doublehangindent"/>
        <w:rPr>
          <w:color w:val="000000" w:themeColor="text1"/>
        </w:rPr>
      </w:pPr>
      <w:r w:rsidRPr="00B40A77">
        <w:rPr>
          <w:color w:val="000000" w:themeColor="text1"/>
        </w:rPr>
        <w:t>(e)</w:t>
      </w:r>
      <w:r w:rsidRPr="00B40A77">
        <w:rPr>
          <w:color w:val="000000" w:themeColor="text1"/>
        </w:rPr>
        <w:tab/>
        <w:t>specify consequences of an event referred to in</w:t>
      </w:r>
      <w:r w:rsidR="00B714A8" w:rsidRPr="00B40A77">
        <w:rPr>
          <w:color w:val="000000" w:themeColor="text1"/>
        </w:rPr>
        <w:t>,</w:t>
      </w:r>
      <w:r w:rsidRPr="00B40A77">
        <w:rPr>
          <w:color w:val="000000" w:themeColor="text1"/>
        </w:rPr>
        <w:t xml:space="preserve"> or </w:t>
      </w:r>
      <w:r w:rsidR="00B714A8" w:rsidRPr="00B40A77">
        <w:rPr>
          <w:color w:val="000000" w:themeColor="text1"/>
        </w:rPr>
        <w:t xml:space="preserve">of </w:t>
      </w:r>
      <w:r w:rsidRPr="00B40A77">
        <w:rPr>
          <w:color w:val="000000" w:themeColor="text1"/>
        </w:rPr>
        <w:t>non-compliance with</w:t>
      </w:r>
      <w:r w:rsidR="00B714A8" w:rsidRPr="00B40A77">
        <w:rPr>
          <w:color w:val="000000" w:themeColor="text1"/>
        </w:rPr>
        <w:t>,</w:t>
      </w:r>
      <w:r w:rsidRPr="00B40A77">
        <w:rPr>
          <w:color w:val="000000" w:themeColor="text1"/>
        </w:rPr>
        <w:t xml:space="preserve"> an order;</w:t>
      </w:r>
    </w:p>
    <w:p w14:paraId="0B07E221" w14:textId="77777777" w:rsidR="005C4E3A" w:rsidRPr="00B40A77" w:rsidRDefault="005C4E3A" w:rsidP="006F4200">
      <w:pPr>
        <w:pStyle w:val="Doublehangindent"/>
        <w:rPr>
          <w:color w:val="000000" w:themeColor="text1"/>
        </w:rPr>
      </w:pPr>
      <w:r w:rsidRPr="00B40A77">
        <w:rPr>
          <w:color w:val="000000" w:themeColor="text1"/>
        </w:rPr>
        <w:t>(f)</w:t>
      </w:r>
      <w:r w:rsidRPr="00B40A77">
        <w:rPr>
          <w:color w:val="000000" w:themeColor="text1"/>
        </w:rPr>
        <w:tab/>
        <w:t xml:space="preserve">make or refuse any order sought by a </w:t>
      </w:r>
      <w:r w:rsidR="00D03C05" w:rsidRPr="00B40A77">
        <w:rPr>
          <w:color w:val="000000" w:themeColor="text1"/>
        </w:rPr>
        <w:t xml:space="preserve">person </w:t>
      </w:r>
      <w:r w:rsidRPr="00B40A77">
        <w:rPr>
          <w:color w:val="000000" w:themeColor="text1"/>
        </w:rPr>
        <w:t>or make a different order;</w:t>
      </w:r>
    </w:p>
    <w:p w14:paraId="487ABFC3" w14:textId="77777777" w:rsidR="002465A6" w:rsidRPr="00B40A77" w:rsidRDefault="005C4E3A" w:rsidP="006F4200">
      <w:pPr>
        <w:pStyle w:val="Doublehangindent"/>
        <w:rPr>
          <w:color w:val="000000" w:themeColor="text1"/>
        </w:rPr>
      </w:pPr>
      <w:r w:rsidRPr="00B40A77">
        <w:rPr>
          <w:color w:val="000000" w:themeColor="text1"/>
        </w:rPr>
        <w:t>(g)</w:t>
      </w:r>
      <w:r w:rsidRPr="00B40A77">
        <w:rPr>
          <w:color w:val="000000" w:themeColor="text1"/>
        </w:rPr>
        <w:tab/>
      </w:r>
      <w:r w:rsidR="00D03C05" w:rsidRPr="00B40A77">
        <w:rPr>
          <w:color w:val="000000" w:themeColor="text1"/>
        </w:rPr>
        <w:t>make an</w:t>
      </w:r>
      <w:r w:rsidR="002465A6" w:rsidRPr="00B40A77">
        <w:rPr>
          <w:color w:val="000000" w:themeColor="text1"/>
        </w:rPr>
        <w:t xml:space="preserve"> order on its own initiative;</w:t>
      </w:r>
    </w:p>
    <w:p w14:paraId="281B8963" w14:textId="7073AA31" w:rsidR="00E03C38" w:rsidRPr="00B40A77" w:rsidRDefault="00E03C38" w:rsidP="006F4200">
      <w:pPr>
        <w:pStyle w:val="Doublehangindent"/>
        <w:rPr>
          <w:color w:val="000000" w:themeColor="text1"/>
        </w:rPr>
      </w:pPr>
      <w:r w:rsidRPr="00B40A77">
        <w:rPr>
          <w:color w:val="000000" w:themeColor="text1"/>
        </w:rPr>
        <w:t>(h)</w:t>
      </w:r>
      <w:r w:rsidRPr="00B40A77">
        <w:rPr>
          <w:color w:val="000000" w:themeColor="text1"/>
        </w:rPr>
        <w:tab/>
        <w:t xml:space="preserve">set aside a </w:t>
      </w:r>
      <w:hyperlink w:anchor="_2.1—Definitions" w:history="1">
        <w:r w:rsidR="0042083D" w:rsidRPr="00B40A77">
          <w:rPr>
            <w:rStyle w:val="Hyperlink"/>
            <w:color w:val="000000" w:themeColor="text1"/>
            <w:lang w:val="en-US"/>
          </w:rPr>
          <w:t>step</w:t>
        </w:r>
      </w:hyperlink>
      <w:r w:rsidRPr="00B40A77">
        <w:rPr>
          <w:color w:val="000000" w:themeColor="text1"/>
        </w:rPr>
        <w:t xml:space="preserve"> taken in </w:t>
      </w:r>
      <w:r w:rsidR="00FD37BD" w:rsidRPr="00B40A77">
        <w:rPr>
          <w:color w:val="000000" w:themeColor="text1"/>
        </w:rPr>
        <w:t>a proceeding</w:t>
      </w:r>
      <w:r w:rsidRPr="00B40A77">
        <w:rPr>
          <w:color w:val="000000" w:themeColor="text1"/>
        </w:rPr>
        <w:t xml:space="preserve"> in breach of </w:t>
      </w:r>
      <w:r w:rsidR="001C7313" w:rsidRPr="00B40A77">
        <w:rPr>
          <w:color w:val="000000" w:themeColor="text1"/>
        </w:rPr>
        <w:t>these Rules</w:t>
      </w:r>
      <w:r w:rsidRPr="00B40A77">
        <w:rPr>
          <w:color w:val="000000" w:themeColor="text1"/>
        </w:rPr>
        <w:t xml:space="preserve"> or an order</w:t>
      </w:r>
      <w:r w:rsidR="000D0668" w:rsidRPr="00B40A77">
        <w:rPr>
          <w:color w:val="000000" w:themeColor="text1"/>
        </w:rPr>
        <w:t>,</w:t>
      </w:r>
      <w:r w:rsidRPr="00B40A77">
        <w:rPr>
          <w:color w:val="000000" w:themeColor="text1"/>
        </w:rPr>
        <w:t xml:space="preserve"> or for other cause;</w:t>
      </w:r>
    </w:p>
    <w:p w14:paraId="437263DF" w14:textId="20551BF4" w:rsidR="00A35CE7" w:rsidRPr="00B40A77" w:rsidRDefault="00E03C38" w:rsidP="006F4200">
      <w:pPr>
        <w:pStyle w:val="Doublehangindent"/>
        <w:rPr>
          <w:color w:val="000000" w:themeColor="text1"/>
        </w:rPr>
      </w:pPr>
      <w:r w:rsidRPr="00B40A77">
        <w:rPr>
          <w:color w:val="000000" w:themeColor="text1"/>
        </w:rPr>
        <w:t>(i</w:t>
      </w:r>
      <w:r w:rsidR="00C07738" w:rsidRPr="00B40A77">
        <w:rPr>
          <w:color w:val="000000" w:themeColor="text1"/>
        </w:rPr>
        <w:t>)</w:t>
      </w:r>
      <w:r w:rsidR="005C4E3A" w:rsidRPr="00B40A77">
        <w:rPr>
          <w:color w:val="000000" w:themeColor="text1"/>
        </w:rPr>
        <w:tab/>
      </w:r>
      <w:r w:rsidR="002465A6" w:rsidRPr="00B40A77">
        <w:rPr>
          <w:color w:val="000000" w:themeColor="text1"/>
        </w:rPr>
        <w:t xml:space="preserve">direct </w:t>
      </w:r>
      <w:hyperlink w:anchor="_2.1—Definitions" w:history="1">
        <w:r w:rsidR="003652C7" w:rsidRPr="00B40A77">
          <w:rPr>
            <w:rStyle w:val="Hyperlink"/>
            <w:color w:val="000000" w:themeColor="text1"/>
            <w:u w:val="none"/>
          </w:rPr>
          <w:t>the</w:t>
        </w:r>
        <w:r w:rsidR="00833922" w:rsidRPr="00B40A77">
          <w:rPr>
            <w:rStyle w:val="Hyperlink"/>
            <w:color w:val="000000" w:themeColor="text1"/>
            <w:u w:val="none"/>
          </w:rPr>
          <w:t xml:space="preserve"> </w:t>
        </w:r>
        <w:r w:rsidR="00833922" w:rsidRPr="00B40A77">
          <w:rPr>
            <w:rStyle w:val="Hyperlink"/>
            <w:color w:val="000000" w:themeColor="text1"/>
          </w:rPr>
          <w:t>Registrar</w:t>
        </w:r>
      </w:hyperlink>
      <w:r w:rsidR="002465A6" w:rsidRPr="00B40A77">
        <w:rPr>
          <w:color w:val="000000" w:themeColor="text1"/>
        </w:rPr>
        <w:t xml:space="preserve"> to do or not to do a thing</w:t>
      </w:r>
      <w:r w:rsidR="00A35CE7" w:rsidRPr="00B40A77">
        <w:rPr>
          <w:color w:val="000000" w:themeColor="text1"/>
        </w:rPr>
        <w:t>;</w:t>
      </w:r>
    </w:p>
    <w:p w14:paraId="1C76DD54" w14:textId="62644BDE" w:rsidR="000625AA" w:rsidRPr="00B40A77" w:rsidRDefault="003A3B4F" w:rsidP="006F4200">
      <w:pPr>
        <w:pStyle w:val="Doublehangindent"/>
        <w:rPr>
          <w:color w:val="000000" w:themeColor="text1"/>
        </w:rPr>
      </w:pPr>
      <w:r w:rsidRPr="00B40A77">
        <w:rPr>
          <w:color w:val="000000" w:themeColor="text1"/>
        </w:rPr>
        <w:t>(</w:t>
      </w:r>
      <w:r w:rsidR="0063321F" w:rsidRPr="00B40A77">
        <w:rPr>
          <w:color w:val="000000" w:themeColor="text1"/>
        </w:rPr>
        <w:t>j</w:t>
      </w:r>
      <w:r w:rsidR="00705092" w:rsidRPr="00B40A77">
        <w:rPr>
          <w:color w:val="000000" w:themeColor="text1"/>
        </w:rPr>
        <w:t>)</w:t>
      </w:r>
      <w:r w:rsidR="00705092" w:rsidRPr="00B40A77">
        <w:rPr>
          <w:color w:val="000000" w:themeColor="text1"/>
        </w:rPr>
        <w:tab/>
        <w:t xml:space="preserve">make an order </w:t>
      </w:r>
      <w:r w:rsidRPr="00B40A77">
        <w:rPr>
          <w:color w:val="000000" w:themeColor="text1"/>
        </w:rPr>
        <w:t>about</w:t>
      </w:r>
      <w:r w:rsidR="00F83774" w:rsidRPr="00B40A77">
        <w:rPr>
          <w:color w:val="000000" w:themeColor="text1"/>
        </w:rPr>
        <w:t xml:space="preserve"> </w:t>
      </w:r>
      <w:r w:rsidR="00705092" w:rsidRPr="00B40A77">
        <w:rPr>
          <w:color w:val="000000" w:themeColor="text1"/>
        </w:rPr>
        <w:t>the form of a document to be filed</w:t>
      </w:r>
      <w:r w:rsidRPr="00B40A77">
        <w:rPr>
          <w:color w:val="000000" w:themeColor="text1"/>
        </w:rPr>
        <w:t>,</w:t>
      </w:r>
      <w:r w:rsidR="00705092" w:rsidRPr="00B40A77">
        <w:rPr>
          <w:color w:val="000000" w:themeColor="text1"/>
        </w:rPr>
        <w:t xml:space="preserve"> including imposing additional requirements about the filing or form of documents;</w:t>
      </w:r>
    </w:p>
    <w:p w14:paraId="1715A5CD" w14:textId="3CBF638F" w:rsidR="000B7B8A" w:rsidRPr="00B40A77" w:rsidRDefault="003A3B4F" w:rsidP="006F4200">
      <w:pPr>
        <w:pStyle w:val="Doublehangindent"/>
        <w:rPr>
          <w:color w:val="000000" w:themeColor="text1"/>
        </w:rPr>
      </w:pPr>
      <w:r w:rsidRPr="00B40A77">
        <w:rPr>
          <w:color w:val="000000" w:themeColor="text1"/>
        </w:rPr>
        <w:t>(</w:t>
      </w:r>
      <w:r w:rsidR="0063321F" w:rsidRPr="00B40A77">
        <w:rPr>
          <w:color w:val="000000" w:themeColor="text1"/>
        </w:rPr>
        <w:t>k</w:t>
      </w:r>
      <w:r w:rsidR="000B7B8A" w:rsidRPr="00B40A77">
        <w:rPr>
          <w:color w:val="000000" w:themeColor="text1"/>
        </w:rPr>
        <w:t>)</w:t>
      </w:r>
      <w:r w:rsidR="000B7B8A" w:rsidRPr="00B40A77">
        <w:rPr>
          <w:color w:val="000000" w:themeColor="text1"/>
        </w:rPr>
        <w:tab/>
        <w:t>order the amendment of</w:t>
      </w:r>
      <w:r w:rsidR="00B714A8" w:rsidRPr="00B40A77">
        <w:rPr>
          <w:color w:val="000000" w:themeColor="text1"/>
        </w:rPr>
        <w:t>,</w:t>
      </w:r>
      <w:r w:rsidR="000B7B8A" w:rsidRPr="00B40A77">
        <w:rPr>
          <w:color w:val="000000" w:themeColor="text1"/>
        </w:rPr>
        <w:t xml:space="preserve"> or itself amend</w:t>
      </w:r>
      <w:r w:rsidR="00B714A8" w:rsidRPr="00B40A77">
        <w:rPr>
          <w:color w:val="000000" w:themeColor="text1"/>
        </w:rPr>
        <w:t>,</w:t>
      </w:r>
      <w:r w:rsidR="000B7B8A" w:rsidRPr="00B40A77">
        <w:rPr>
          <w:color w:val="000000" w:themeColor="text1"/>
        </w:rPr>
        <w:t xml:space="preserve"> a document;</w:t>
      </w:r>
    </w:p>
    <w:p w14:paraId="34866B7C" w14:textId="155B2B9C" w:rsidR="00072872" w:rsidRPr="00B40A77" w:rsidRDefault="003A3B4F" w:rsidP="006F4200">
      <w:pPr>
        <w:pStyle w:val="Doublehangindent"/>
        <w:rPr>
          <w:color w:val="000000" w:themeColor="text1"/>
        </w:rPr>
      </w:pPr>
      <w:r w:rsidRPr="00B40A77">
        <w:rPr>
          <w:color w:val="000000" w:themeColor="text1"/>
        </w:rPr>
        <w:t>(</w:t>
      </w:r>
      <w:r w:rsidR="0063321F" w:rsidRPr="00B40A77">
        <w:rPr>
          <w:color w:val="000000" w:themeColor="text1"/>
        </w:rPr>
        <w:t>l</w:t>
      </w:r>
      <w:r w:rsidR="00072872" w:rsidRPr="00B40A77">
        <w:rPr>
          <w:color w:val="000000" w:themeColor="text1"/>
        </w:rPr>
        <w:t>)</w:t>
      </w:r>
      <w:r w:rsidR="00072872" w:rsidRPr="00B40A77">
        <w:rPr>
          <w:color w:val="000000" w:themeColor="text1"/>
        </w:rPr>
        <w:tab/>
        <w:t xml:space="preserve">order that a document be uplifted and removed from </w:t>
      </w:r>
      <w:r w:rsidR="009274D1" w:rsidRPr="00B40A77">
        <w:rPr>
          <w:color w:val="000000" w:themeColor="text1"/>
        </w:rPr>
        <w:t>a</w:t>
      </w:r>
      <w:r w:rsidR="00072872" w:rsidRPr="00B40A77">
        <w:rPr>
          <w:color w:val="000000" w:themeColor="text1"/>
        </w:rPr>
        <w:t xml:space="preserve"> file;</w:t>
      </w:r>
    </w:p>
    <w:p w14:paraId="23D64EDD" w14:textId="65A4BE29" w:rsidR="00572074" w:rsidRPr="00B40A77" w:rsidRDefault="003A3B4F" w:rsidP="006F4200">
      <w:pPr>
        <w:pStyle w:val="Doublehangindent"/>
        <w:rPr>
          <w:color w:val="000000" w:themeColor="text1"/>
        </w:rPr>
      </w:pPr>
      <w:r w:rsidRPr="00B40A77">
        <w:rPr>
          <w:color w:val="000000" w:themeColor="text1"/>
        </w:rPr>
        <w:t>(</w:t>
      </w:r>
      <w:r w:rsidR="0063321F" w:rsidRPr="00B40A77">
        <w:rPr>
          <w:color w:val="000000" w:themeColor="text1"/>
        </w:rPr>
        <w:t>m</w:t>
      </w:r>
      <w:r w:rsidR="00572074" w:rsidRPr="00B40A77">
        <w:rPr>
          <w:color w:val="000000" w:themeColor="text1"/>
        </w:rPr>
        <w:t>)</w:t>
      </w:r>
      <w:r w:rsidR="00572074" w:rsidRPr="00B40A77">
        <w:rPr>
          <w:color w:val="000000" w:themeColor="text1"/>
        </w:rPr>
        <w:tab/>
        <w:t xml:space="preserve">order production of a document notwithstanding that a </w:t>
      </w:r>
      <w:r w:rsidR="00872D66" w:rsidRPr="00B40A77">
        <w:rPr>
          <w:color w:val="000000" w:themeColor="text1"/>
        </w:rPr>
        <w:t>lawyer</w:t>
      </w:r>
      <w:r w:rsidR="00572074" w:rsidRPr="00B40A77">
        <w:rPr>
          <w:color w:val="000000" w:themeColor="text1"/>
        </w:rPr>
        <w:t xml:space="preserve"> or other person claims a lien over it;</w:t>
      </w:r>
    </w:p>
    <w:p w14:paraId="6F9C2D74" w14:textId="7C1E26BF" w:rsidR="00FE45BF" w:rsidRPr="00B40A77" w:rsidRDefault="00FE45BF" w:rsidP="006F4200">
      <w:pPr>
        <w:pStyle w:val="Doublehangindent"/>
        <w:rPr>
          <w:color w:val="000000" w:themeColor="text1"/>
        </w:rPr>
      </w:pPr>
      <w:r w:rsidRPr="00B40A77">
        <w:rPr>
          <w:color w:val="000000" w:themeColor="text1"/>
        </w:rPr>
        <w:t>(</w:t>
      </w:r>
      <w:r w:rsidR="0063321F" w:rsidRPr="00B40A77">
        <w:rPr>
          <w:color w:val="000000" w:themeColor="text1"/>
        </w:rPr>
        <w:t>n</w:t>
      </w:r>
      <w:r w:rsidRPr="00B40A77">
        <w:rPr>
          <w:color w:val="000000" w:themeColor="text1"/>
        </w:rPr>
        <w:t>)</w:t>
      </w:r>
      <w:r w:rsidRPr="00B40A77">
        <w:rPr>
          <w:color w:val="000000" w:themeColor="text1"/>
        </w:rPr>
        <w:tab/>
        <w:t xml:space="preserve">order the stay of </w:t>
      </w:r>
      <w:r w:rsidR="00FD37BD" w:rsidRPr="00B40A77">
        <w:rPr>
          <w:color w:val="000000" w:themeColor="text1"/>
        </w:rPr>
        <w:t>a proceeding</w:t>
      </w:r>
      <w:r w:rsidRPr="00B40A77">
        <w:rPr>
          <w:color w:val="000000" w:themeColor="text1"/>
        </w:rPr>
        <w:t xml:space="preserve">, of a </w:t>
      </w:r>
      <w:hyperlink w:anchor="_2.1—Definitions" w:history="1">
        <w:r w:rsidR="0042083D" w:rsidRPr="00B40A77">
          <w:rPr>
            <w:rStyle w:val="Hyperlink"/>
            <w:color w:val="000000" w:themeColor="text1"/>
            <w:lang w:val="en-US"/>
          </w:rPr>
          <w:t>step</w:t>
        </w:r>
      </w:hyperlink>
      <w:r w:rsidRPr="00B40A77">
        <w:rPr>
          <w:color w:val="000000" w:themeColor="text1"/>
        </w:rPr>
        <w:t xml:space="preserve"> in or order made in </w:t>
      </w:r>
      <w:r w:rsidR="00FD37BD" w:rsidRPr="00B40A77">
        <w:rPr>
          <w:color w:val="000000" w:themeColor="text1"/>
        </w:rPr>
        <w:t>a proceeding</w:t>
      </w:r>
      <w:r w:rsidR="003A3B4F" w:rsidRPr="00B40A77">
        <w:rPr>
          <w:color w:val="000000" w:themeColor="text1"/>
        </w:rPr>
        <w:t>,</w:t>
      </w:r>
      <w:r w:rsidRPr="00B40A77">
        <w:rPr>
          <w:color w:val="000000" w:themeColor="text1"/>
        </w:rPr>
        <w:t xml:space="preserve"> or</w:t>
      </w:r>
      <w:r w:rsidR="008B04C2" w:rsidRPr="00B40A77">
        <w:rPr>
          <w:color w:val="000000" w:themeColor="text1"/>
        </w:rPr>
        <w:t xml:space="preserve"> of enforcement of an</w:t>
      </w:r>
      <w:r w:rsidRPr="00B40A77">
        <w:rPr>
          <w:color w:val="000000" w:themeColor="text1"/>
        </w:rPr>
        <w:t xml:space="preserve"> order;</w:t>
      </w:r>
      <w:r w:rsidR="00B714A8" w:rsidRPr="00B40A77">
        <w:rPr>
          <w:color w:val="000000" w:themeColor="text1"/>
        </w:rPr>
        <w:t xml:space="preserve"> or</w:t>
      </w:r>
    </w:p>
    <w:p w14:paraId="5588ABAF" w14:textId="166FE351" w:rsidR="004D0F5E" w:rsidRPr="00B40A77" w:rsidRDefault="003A3B4F" w:rsidP="006F4200">
      <w:pPr>
        <w:pStyle w:val="Doublehangindent"/>
        <w:rPr>
          <w:color w:val="000000" w:themeColor="text1"/>
        </w:rPr>
      </w:pPr>
      <w:r w:rsidRPr="00B40A77">
        <w:rPr>
          <w:color w:val="000000" w:themeColor="text1"/>
        </w:rPr>
        <w:t>(</w:t>
      </w:r>
      <w:r w:rsidR="0063321F" w:rsidRPr="00B40A77">
        <w:rPr>
          <w:color w:val="000000" w:themeColor="text1"/>
        </w:rPr>
        <w:t>o</w:t>
      </w:r>
      <w:r w:rsidR="004D0F5E" w:rsidRPr="00B40A77">
        <w:rPr>
          <w:color w:val="000000" w:themeColor="text1"/>
        </w:rPr>
        <w:t>)</w:t>
      </w:r>
      <w:r w:rsidR="004D0F5E" w:rsidRPr="00B40A77">
        <w:rPr>
          <w:color w:val="000000" w:themeColor="text1"/>
        </w:rPr>
        <w:tab/>
      </w:r>
      <w:r w:rsidR="002834F7" w:rsidRPr="00B40A77">
        <w:rPr>
          <w:color w:val="000000" w:themeColor="text1"/>
        </w:rPr>
        <w:t xml:space="preserve">to the extent that the </w:t>
      </w:r>
      <w:r w:rsidR="003E5BBB" w:rsidRPr="00B40A77">
        <w:rPr>
          <w:color w:val="000000" w:themeColor="text1"/>
        </w:rPr>
        <w:t xml:space="preserve">Court </w:t>
      </w:r>
      <w:r w:rsidR="002834F7" w:rsidRPr="00B40A77">
        <w:rPr>
          <w:color w:val="000000" w:themeColor="text1"/>
        </w:rPr>
        <w:t xml:space="preserve">has jurisdiction to do so, </w:t>
      </w:r>
      <w:r w:rsidR="004D0F5E" w:rsidRPr="00B40A77">
        <w:rPr>
          <w:color w:val="000000" w:themeColor="text1"/>
        </w:rPr>
        <w:t>make any order as to costs.</w:t>
      </w:r>
    </w:p>
    <w:p w14:paraId="772F2BD1" w14:textId="3B0A0A54" w:rsidR="00F94825" w:rsidRPr="00B40A77" w:rsidRDefault="00F94825" w:rsidP="00B446E2">
      <w:pPr>
        <w:pStyle w:val="Hangindent"/>
        <w:rPr>
          <w:rFonts w:ascii="Arial" w:hAnsi="Arial" w:cs="Arial"/>
          <w:color w:val="000000" w:themeColor="text1"/>
          <w:sz w:val="18"/>
          <w:szCs w:val="26"/>
          <w:lang w:val="en-US"/>
        </w:rPr>
      </w:pPr>
      <w:r w:rsidRPr="00B40A77">
        <w:rPr>
          <w:color w:val="000000" w:themeColor="text1"/>
          <w:lang w:val="en-US"/>
        </w:rPr>
        <w:t>(3)</w:t>
      </w:r>
      <w:r w:rsidRPr="00B40A77">
        <w:rPr>
          <w:color w:val="000000" w:themeColor="text1"/>
          <w:lang w:val="en-US"/>
        </w:rPr>
        <w:tab/>
        <w:t>Without affecting the generality of subrule</w:t>
      </w:r>
      <w:r w:rsidR="001B1E8A" w:rsidRPr="00B40A77">
        <w:rPr>
          <w:color w:val="000000" w:themeColor="text1"/>
          <w:lang w:val="en-US"/>
        </w:rPr>
        <w:t> </w:t>
      </w:r>
      <w:r w:rsidRPr="00B40A77">
        <w:rPr>
          <w:color w:val="000000" w:themeColor="text1"/>
          <w:lang w:val="en-US"/>
        </w:rPr>
        <w:t xml:space="preserve">(1), the </w:t>
      </w:r>
      <w:r w:rsidR="003E5BBB" w:rsidRPr="00B40A77">
        <w:rPr>
          <w:color w:val="000000" w:themeColor="text1"/>
        </w:rPr>
        <w:t xml:space="preserve">Court </w:t>
      </w:r>
      <w:r w:rsidRPr="00B40A77">
        <w:rPr>
          <w:color w:val="000000" w:themeColor="text1"/>
          <w:lang w:val="en-US"/>
        </w:rPr>
        <w:t xml:space="preserve">may give directions about the procedure to be followed in </w:t>
      </w:r>
      <w:r w:rsidR="00FD37BD" w:rsidRPr="00B40A77">
        <w:rPr>
          <w:color w:val="000000" w:themeColor="text1"/>
          <w:lang w:val="en-US"/>
        </w:rPr>
        <w:t>a proceeding</w:t>
      </w:r>
      <w:r w:rsidRPr="00B40A77">
        <w:rPr>
          <w:color w:val="000000" w:themeColor="text1"/>
          <w:lang w:val="en-US"/>
        </w:rPr>
        <w:t>—</w:t>
      </w:r>
    </w:p>
    <w:p w14:paraId="67B0E98F" w14:textId="77777777" w:rsidR="00F94825" w:rsidRPr="00B40A77" w:rsidRDefault="00F94825" w:rsidP="00B446E2">
      <w:pPr>
        <w:pStyle w:val="Doublehangindent"/>
        <w:rPr>
          <w:color w:val="000000" w:themeColor="text1"/>
        </w:rPr>
      </w:pPr>
      <w:r w:rsidRPr="00B40A77">
        <w:rPr>
          <w:color w:val="000000" w:themeColor="text1"/>
        </w:rPr>
        <w:t>(a)</w:t>
      </w:r>
      <w:r w:rsidRPr="00B40A77">
        <w:rPr>
          <w:color w:val="000000" w:themeColor="text1"/>
        </w:rPr>
        <w:tab/>
        <w:t xml:space="preserve">when </w:t>
      </w:r>
      <w:r w:rsidR="001C7313" w:rsidRPr="00B40A77">
        <w:rPr>
          <w:color w:val="000000" w:themeColor="text1"/>
        </w:rPr>
        <w:t>these Rules</w:t>
      </w:r>
      <w:r w:rsidRPr="00B40A77">
        <w:rPr>
          <w:color w:val="000000" w:themeColor="text1"/>
        </w:rPr>
        <w:t xml:space="preserve"> do not address or address fully a procedural matter that arises in </w:t>
      </w:r>
      <w:r w:rsidR="00FD37BD" w:rsidRPr="00B40A77">
        <w:rPr>
          <w:color w:val="000000" w:themeColor="text1"/>
        </w:rPr>
        <w:t>a proceeding</w:t>
      </w:r>
      <w:r w:rsidRPr="00B40A77">
        <w:rPr>
          <w:color w:val="000000" w:themeColor="text1"/>
        </w:rPr>
        <w:t xml:space="preserve">; </w:t>
      </w:r>
    </w:p>
    <w:p w14:paraId="08FCFDE0" w14:textId="77777777" w:rsidR="00F94825" w:rsidRPr="00B40A77" w:rsidRDefault="00F94825" w:rsidP="00B446E2">
      <w:pPr>
        <w:pStyle w:val="Doublehangindent"/>
        <w:rPr>
          <w:color w:val="000000" w:themeColor="text1"/>
        </w:rPr>
      </w:pPr>
      <w:r w:rsidRPr="00B40A77">
        <w:rPr>
          <w:color w:val="000000" w:themeColor="text1"/>
        </w:rPr>
        <w:t>(b)</w:t>
      </w:r>
      <w:r w:rsidRPr="00B40A77">
        <w:rPr>
          <w:color w:val="000000" w:themeColor="text1"/>
        </w:rPr>
        <w:tab/>
        <w:t>to resolve uncertainty about the correct procedure to be adopted</w:t>
      </w:r>
      <w:r w:rsidR="003A3B4F" w:rsidRPr="00B40A77">
        <w:rPr>
          <w:color w:val="000000" w:themeColor="text1"/>
        </w:rPr>
        <w:t>,</w:t>
      </w:r>
      <w:r w:rsidR="00A90650" w:rsidRPr="00B40A77">
        <w:rPr>
          <w:color w:val="000000" w:themeColor="text1"/>
        </w:rPr>
        <w:t xml:space="preserve"> </w:t>
      </w:r>
      <w:r w:rsidR="00A90650" w:rsidRPr="00B40A77">
        <w:rPr>
          <w:color w:val="000000" w:themeColor="text1"/>
          <w:lang w:eastAsia="en-AU"/>
        </w:rPr>
        <w:t xml:space="preserve">including commencing </w:t>
      </w:r>
      <w:r w:rsidR="00FD37BD" w:rsidRPr="00B40A77">
        <w:rPr>
          <w:color w:val="000000" w:themeColor="text1"/>
          <w:lang w:eastAsia="en-AU"/>
        </w:rPr>
        <w:t>a proceeding</w:t>
      </w:r>
      <w:r w:rsidR="00A90650" w:rsidRPr="00B40A77">
        <w:rPr>
          <w:color w:val="000000" w:themeColor="text1"/>
          <w:lang w:eastAsia="en-AU"/>
        </w:rPr>
        <w:t xml:space="preserve"> or </w:t>
      </w:r>
      <w:r w:rsidR="002866DD" w:rsidRPr="00B40A77">
        <w:rPr>
          <w:color w:val="000000" w:themeColor="text1"/>
          <w:lang w:eastAsia="en-AU"/>
        </w:rPr>
        <w:t>appellate proceeding</w:t>
      </w:r>
      <w:r w:rsidRPr="00B40A77">
        <w:rPr>
          <w:color w:val="000000" w:themeColor="text1"/>
        </w:rPr>
        <w:t>; or</w:t>
      </w:r>
    </w:p>
    <w:p w14:paraId="6CA43591" w14:textId="7361888E" w:rsidR="00F94825" w:rsidRPr="00B40A77" w:rsidRDefault="00F94825" w:rsidP="00B446E2">
      <w:pPr>
        <w:pStyle w:val="Doublehangindent"/>
        <w:rPr>
          <w:color w:val="000000" w:themeColor="text1"/>
        </w:rPr>
      </w:pPr>
      <w:r w:rsidRPr="00B40A77">
        <w:rPr>
          <w:color w:val="000000" w:themeColor="text1"/>
        </w:rPr>
        <w:t>(c)</w:t>
      </w:r>
      <w:r w:rsidRPr="00B40A77">
        <w:rPr>
          <w:color w:val="000000" w:themeColor="text1"/>
        </w:rPr>
        <w:tab/>
      </w:r>
      <w:r w:rsidR="00CA3386" w:rsidRPr="00B40A77">
        <w:rPr>
          <w:color w:val="000000" w:themeColor="text1"/>
        </w:rPr>
        <w:t>in any other case</w:t>
      </w:r>
      <w:r w:rsidR="00A90650" w:rsidRPr="00B40A77">
        <w:rPr>
          <w:color w:val="000000" w:themeColor="text1"/>
        </w:rPr>
        <w:t xml:space="preserve">, when the </w:t>
      </w:r>
      <w:r w:rsidR="003E5BBB" w:rsidRPr="00B40A77">
        <w:rPr>
          <w:color w:val="000000" w:themeColor="text1"/>
        </w:rPr>
        <w:t xml:space="preserve">Court </w:t>
      </w:r>
      <w:r w:rsidR="00A90650" w:rsidRPr="00B40A77">
        <w:rPr>
          <w:color w:val="000000" w:themeColor="text1"/>
        </w:rPr>
        <w:t>thinks fit</w:t>
      </w:r>
      <w:r w:rsidRPr="00B40A77">
        <w:rPr>
          <w:color w:val="000000" w:themeColor="text1"/>
        </w:rPr>
        <w:t>.</w:t>
      </w:r>
    </w:p>
    <w:p w14:paraId="72A7E88B" w14:textId="1F04E00B" w:rsidR="002465A6" w:rsidRPr="00B40A77" w:rsidRDefault="000D350A" w:rsidP="006F4200">
      <w:pPr>
        <w:pStyle w:val="Hangindent"/>
        <w:rPr>
          <w:color w:val="000000" w:themeColor="text1"/>
          <w:lang w:val="en-US"/>
        </w:rPr>
      </w:pPr>
      <w:r w:rsidRPr="00B40A77">
        <w:rPr>
          <w:color w:val="000000" w:themeColor="text1"/>
          <w:lang w:val="en-US"/>
        </w:rPr>
        <w:t>(</w:t>
      </w:r>
      <w:r w:rsidR="006D115D" w:rsidRPr="00B40A77">
        <w:rPr>
          <w:color w:val="000000" w:themeColor="text1"/>
          <w:lang w:val="en-US"/>
        </w:rPr>
        <w:t>4</w:t>
      </w:r>
      <w:r w:rsidR="002465A6" w:rsidRPr="00B40A77">
        <w:rPr>
          <w:color w:val="000000" w:themeColor="text1"/>
          <w:lang w:val="en-US"/>
        </w:rPr>
        <w:t>)</w:t>
      </w:r>
      <w:r w:rsidR="002465A6" w:rsidRPr="00B40A77">
        <w:rPr>
          <w:color w:val="000000" w:themeColor="text1"/>
          <w:lang w:val="en-US"/>
        </w:rPr>
        <w:tab/>
        <w:t xml:space="preserve">The conferral by </w:t>
      </w:r>
      <w:r w:rsidR="001C7313" w:rsidRPr="00B40A77">
        <w:rPr>
          <w:color w:val="000000" w:themeColor="text1"/>
          <w:lang w:val="en-US"/>
        </w:rPr>
        <w:t>these Rules</w:t>
      </w:r>
      <w:r w:rsidR="002465A6" w:rsidRPr="00B40A77">
        <w:rPr>
          <w:color w:val="000000" w:themeColor="text1"/>
          <w:lang w:val="en-US"/>
        </w:rPr>
        <w:t xml:space="preserve"> of specific powers on the </w:t>
      </w:r>
      <w:r w:rsidR="003E5BBB" w:rsidRPr="00B40A77">
        <w:rPr>
          <w:color w:val="000000" w:themeColor="text1"/>
        </w:rPr>
        <w:t xml:space="preserve">Court </w:t>
      </w:r>
      <w:r w:rsidR="002465A6" w:rsidRPr="00B40A77">
        <w:rPr>
          <w:color w:val="000000" w:themeColor="text1"/>
          <w:lang w:val="en-US"/>
        </w:rPr>
        <w:t>does not affect the generality of the power conferred by this rule.</w:t>
      </w:r>
    </w:p>
    <w:p w14:paraId="32D9FF82" w14:textId="2BCBDD88" w:rsidR="00245F9B" w:rsidRPr="00B40A77" w:rsidRDefault="00245F9B" w:rsidP="00245F9B">
      <w:pPr>
        <w:pStyle w:val="Heading3"/>
        <w:rPr>
          <w:color w:val="000000" w:themeColor="text1"/>
        </w:rPr>
      </w:pPr>
      <w:bookmarkStart w:id="56" w:name="_Toc175238743"/>
      <w:r w:rsidRPr="00B40A77">
        <w:rPr>
          <w:color w:val="000000" w:themeColor="text1"/>
        </w:rPr>
        <w:t>Division 3—Divisions</w:t>
      </w:r>
      <w:bookmarkEnd w:id="56"/>
    </w:p>
    <w:p w14:paraId="702BEDA6" w14:textId="27339D10" w:rsidR="00245F9B" w:rsidRPr="00B40A77" w:rsidRDefault="00711A2F" w:rsidP="00245F9B">
      <w:pPr>
        <w:pStyle w:val="Heading4"/>
        <w:rPr>
          <w:color w:val="000000" w:themeColor="text1"/>
        </w:rPr>
      </w:pPr>
      <w:bookmarkStart w:id="57" w:name="_Toc175238744"/>
      <w:r w:rsidRPr="00B40A77">
        <w:rPr>
          <w:color w:val="000000" w:themeColor="text1"/>
        </w:rPr>
        <w:t>13</w:t>
      </w:r>
      <w:r w:rsidR="00245F9B" w:rsidRPr="00B40A77">
        <w:rPr>
          <w:color w:val="000000" w:themeColor="text1"/>
        </w:rPr>
        <w:t>.1—Supreme Court</w:t>
      </w:r>
      <w:bookmarkEnd w:id="57"/>
    </w:p>
    <w:p w14:paraId="6048E7D3" w14:textId="2BC155B0" w:rsidR="00245F9B" w:rsidRPr="00B40A77" w:rsidRDefault="00245F9B" w:rsidP="00245F9B">
      <w:pPr>
        <w:pStyle w:val="IndentedPara"/>
        <w:rPr>
          <w:color w:val="000000" w:themeColor="text1"/>
        </w:rPr>
      </w:pPr>
      <w:r w:rsidRPr="00B40A77">
        <w:rPr>
          <w:color w:val="000000" w:themeColor="text1"/>
        </w:rPr>
        <w:t xml:space="preserve">These Rules govern proceedings in the General Division and the </w:t>
      </w:r>
      <w:hyperlink w:anchor="_2.1—Definitions" w:history="1">
        <w:r w:rsidR="00350C21" w:rsidRPr="00B40A77">
          <w:rPr>
            <w:rStyle w:val="Hyperlink"/>
            <w:color w:val="000000" w:themeColor="text1"/>
          </w:rPr>
          <w:t>Court of Appeal</w:t>
        </w:r>
      </w:hyperlink>
      <w:r w:rsidRPr="00B40A77">
        <w:rPr>
          <w:color w:val="000000" w:themeColor="text1"/>
        </w:rPr>
        <w:t>.</w:t>
      </w:r>
    </w:p>
    <w:p w14:paraId="67F2607E" w14:textId="09AF2F65" w:rsidR="00245F9B" w:rsidRPr="00B40A77" w:rsidRDefault="00711A2F" w:rsidP="00245F9B">
      <w:pPr>
        <w:pStyle w:val="Heading4"/>
        <w:rPr>
          <w:color w:val="000000" w:themeColor="text1"/>
        </w:rPr>
      </w:pPr>
      <w:bookmarkStart w:id="58" w:name="_Toc175238745"/>
      <w:r w:rsidRPr="00B40A77">
        <w:rPr>
          <w:color w:val="000000" w:themeColor="text1"/>
        </w:rPr>
        <w:lastRenderedPageBreak/>
        <w:t>13</w:t>
      </w:r>
      <w:r w:rsidR="00245F9B" w:rsidRPr="00B40A77">
        <w:rPr>
          <w:color w:val="000000" w:themeColor="text1"/>
        </w:rPr>
        <w:t>.2—District Court</w:t>
      </w:r>
      <w:bookmarkEnd w:id="58"/>
    </w:p>
    <w:p w14:paraId="586CAF9E" w14:textId="77777777" w:rsidR="00245F9B" w:rsidRPr="00B40A77" w:rsidRDefault="00245F9B" w:rsidP="00245F9B">
      <w:pPr>
        <w:pStyle w:val="Hangindent"/>
        <w:rPr>
          <w:color w:val="000000" w:themeColor="text1"/>
          <w:lang w:val="en-US"/>
        </w:rPr>
      </w:pPr>
      <w:r w:rsidRPr="00B40A77">
        <w:rPr>
          <w:color w:val="000000" w:themeColor="text1"/>
          <w:lang w:val="en-US"/>
        </w:rPr>
        <w:t>(1)</w:t>
      </w:r>
      <w:r w:rsidRPr="00B40A77">
        <w:rPr>
          <w:color w:val="000000" w:themeColor="text1"/>
          <w:lang w:val="en-US"/>
        </w:rPr>
        <w:tab/>
        <w:t>These Rules govern proceedings in the Criminal Division of the Court.</w:t>
      </w:r>
    </w:p>
    <w:p w14:paraId="5C9A252D" w14:textId="4B87204F" w:rsidR="00245F9B" w:rsidRPr="00B40A77" w:rsidRDefault="00245F9B" w:rsidP="00641849">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t>
      </w:r>
      <w:hyperlink w:anchor="_2.1—Definitions" w:history="1">
        <w:hyperlink w:anchor="_2.1—Definitions" w:history="1">
          <w:r w:rsidR="00B9204D" w:rsidRPr="00B40A77">
            <w:rPr>
              <w:rStyle w:val="Hyperlink"/>
              <w:color w:val="000000" w:themeColor="text1"/>
              <w:lang w:val="en-US"/>
            </w:rPr>
            <w:t>Chief Judge</w:t>
          </w:r>
        </w:hyperlink>
      </w:hyperlink>
      <w:r w:rsidRPr="00B40A77">
        <w:rPr>
          <w:color w:val="000000" w:themeColor="text1"/>
          <w:lang w:val="en-US"/>
        </w:rPr>
        <w:t xml:space="preserve"> may give directions relating to the assignment of proceedings to a division of the Court, the assignment of judicial officers to manage and hear proceedings in a division of the Court, or the administration of a division of the Court. </w:t>
      </w:r>
    </w:p>
    <w:p w14:paraId="209114F4" w14:textId="26BA3F12" w:rsidR="00245F9B" w:rsidRPr="00B40A77" w:rsidRDefault="00245F9B" w:rsidP="003B64D7">
      <w:pPr>
        <w:pStyle w:val="NoteHeader"/>
        <w:keepNext/>
        <w:rPr>
          <w:color w:val="000000" w:themeColor="text1"/>
        </w:rPr>
      </w:pPr>
      <w:r w:rsidRPr="00B40A77">
        <w:rPr>
          <w:color w:val="000000" w:themeColor="text1"/>
        </w:rPr>
        <w:t>Note</w:t>
      </w:r>
      <w:r w:rsidR="00786278" w:rsidRPr="00B40A77">
        <w:rPr>
          <w:color w:val="000000" w:themeColor="text1"/>
        </w:rPr>
        <w:t>s</w:t>
      </w:r>
      <w:r w:rsidRPr="00B40A77">
        <w:rPr>
          <w:color w:val="000000" w:themeColor="text1"/>
        </w:rPr>
        <w:t>—</w:t>
      </w:r>
    </w:p>
    <w:p w14:paraId="617069E5" w14:textId="5D39A5E4" w:rsidR="00786278" w:rsidRPr="00B40A77" w:rsidRDefault="00245F9B" w:rsidP="00245F9B">
      <w:pPr>
        <w:pStyle w:val="NoteText"/>
        <w:rPr>
          <w:color w:val="000000" w:themeColor="text1"/>
        </w:rPr>
      </w:pPr>
      <w:r w:rsidRPr="00B40A77">
        <w:rPr>
          <w:color w:val="000000" w:themeColor="text1"/>
        </w:rPr>
        <w:t xml:space="preserve">Section 7 of the </w:t>
      </w:r>
      <w:r w:rsidRPr="00B40A77">
        <w:rPr>
          <w:i/>
          <w:color w:val="000000" w:themeColor="text1"/>
        </w:rPr>
        <w:t>District Court Act 1991</w:t>
      </w:r>
      <w:r w:rsidRPr="00B40A77">
        <w:rPr>
          <w:color w:val="000000" w:themeColor="text1"/>
        </w:rPr>
        <w:t xml:space="preserve"> divides the Court into </w:t>
      </w:r>
      <w:r w:rsidR="00733428" w:rsidRPr="00B40A77">
        <w:rPr>
          <w:color w:val="000000" w:themeColor="text1"/>
        </w:rPr>
        <w:t>four</w:t>
      </w:r>
      <w:r w:rsidRPr="00B40A77">
        <w:rPr>
          <w:color w:val="000000" w:themeColor="text1"/>
        </w:rPr>
        <w:t xml:space="preserve"> divisions being the Civil,</w:t>
      </w:r>
      <w:r w:rsidR="00F63A68" w:rsidRPr="00B40A77">
        <w:rPr>
          <w:color w:val="000000" w:themeColor="text1"/>
        </w:rPr>
        <w:t xml:space="preserve"> Criminal,</w:t>
      </w:r>
      <w:r w:rsidRPr="00B40A77">
        <w:rPr>
          <w:color w:val="000000" w:themeColor="text1"/>
        </w:rPr>
        <w:t xml:space="preserve"> Criminal Injuries and Administrative and Disciplinary Divisions.</w:t>
      </w:r>
    </w:p>
    <w:p w14:paraId="78DD93CD" w14:textId="2A7E8DE2" w:rsidR="00245F9B" w:rsidRPr="00B40A77" w:rsidRDefault="00245F9B" w:rsidP="00245F9B">
      <w:pPr>
        <w:pStyle w:val="NoteText"/>
        <w:rPr>
          <w:color w:val="000000" w:themeColor="text1"/>
        </w:rPr>
      </w:pPr>
      <w:r w:rsidRPr="00B40A77">
        <w:rPr>
          <w:color w:val="000000" w:themeColor="text1"/>
        </w:rPr>
        <w:t xml:space="preserve">These Rules do not govern proceedings in the Civil, Criminal Injuries </w:t>
      </w:r>
      <w:r w:rsidR="00081672" w:rsidRPr="00B40A77">
        <w:rPr>
          <w:color w:val="000000" w:themeColor="text1"/>
        </w:rPr>
        <w:t>or</w:t>
      </w:r>
      <w:r w:rsidRPr="00B40A77">
        <w:rPr>
          <w:color w:val="000000" w:themeColor="text1"/>
        </w:rPr>
        <w:t xml:space="preserve"> Administrative and Disciplinary Divisions.</w:t>
      </w:r>
    </w:p>
    <w:p w14:paraId="677C2465" w14:textId="27D245AA" w:rsidR="00245F9B" w:rsidRPr="00B40A77" w:rsidRDefault="00711A2F" w:rsidP="00245F9B">
      <w:pPr>
        <w:pStyle w:val="Heading4"/>
        <w:rPr>
          <w:color w:val="000000" w:themeColor="text1"/>
        </w:rPr>
      </w:pPr>
      <w:bookmarkStart w:id="59" w:name="_Toc175238746"/>
      <w:bookmarkStart w:id="60" w:name="_Hlk136011146"/>
      <w:r w:rsidRPr="00B40A77">
        <w:rPr>
          <w:color w:val="000000" w:themeColor="text1"/>
        </w:rPr>
        <w:t>13</w:t>
      </w:r>
      <w:r w:rsidR="00245F9B" w:rsidRPr="00B40A77">
        <w:rPr>
          <w:color w:val="000000" w:themeColor="text1"/>
        </w:rPr>
        <w:t>.3—Magistrates Court</w:t>
      </w:r>
      <w:bookmarkEnd w:id="59"/>
    </w:p>
    <w:p w14:paraId="208D1986" w14:textId="77777777" w:rsidR="00245F9B" w:rsidRPr="00B40A77" w:rsidRDefault="00245F9B" w:rsidP="00245F9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These Rules govern proceedings in the </w:t>
      </w:r>
      <w:r w:rsidRPr="00B40A77">
        <w:rPr>
          <w:color w:val="000000" w:themeColor="text1"/>
        </w:rPr>
        <w:t xml:space="preserve">Criminal and Petty Sessions </w:t>
      </w:r>
      <w:r w:rsidRPr="00B40A77">
        <w:rPr>
          <w:color w:val="000000" w:themeColor="text1"/>
          <w:lang w:val="en-US"/>
        </w:rPr>
        <w:t xml:space="preserve">Divisions of the Court other than </w:t>
      </w:r>
      <w:r w:rsidRPr="00B40A77">
        <w:rPr>
          <w:color w:val="000000" w:themeColor="text1"/>
        </w:rPr>
        <w:t xml:space="preserve">reviews of decisions of the Chief Recovery Officer under section 23 of the </w:t>
      </w:r>
      <w:r w:rsidRPr="00B40A77">
        <w:rPr>
          <w:i/>
          <w:color w:val="000000" w:themeColor="text1"/>
        </w:rPr>
        <w:t>Fines Enforcement and Debt Recovery Act 2017</w:t>
      </w:r>
      <w:r w:rsidRPr="00B40A77">
        <w:rPr>
          <w:color w:val="000000" w:themeColor="text1"/>
          <w:lang w:val="en-US"/>
        </w:rPr>
        <w:t>.</w:t>
      </w:r>
    </w:p>
    <w:p w14:paraId="6018F38F" w14:textId="104A2945" w:rsidR="00245F9B" w:rsidRPr="00B40A77" w:rsidRDefault="00245F9B" w:rsidP="006A575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t>
      </w:r>
      <w:hyperlink w:anchor="_2.1—Definitions" w:history="1">
        <w:hyperlink w:anchor="_2.1—Definitions" w:history="1">
          <w:r w:rsidR="001742C0" w:rsidRPr="00B40A77">
            <w:rPr>
              <w:rStyle w:val="Hyperlink"/>
              <w:color w:val="000000" w:themeColor="text1"/>
              <w:lang w:val="en-US"/>
            </w:rPr>
            <w:t>Chief Magistrate</w:t>
          </w:r>
        </w:hyperlink>
      </w:hyperlink>
      <w:r w:rsidRPr="00B40A77">
        <w:rPr>
          <w:color w:val="000000" w:themeColor="text1"/>
          <w:lang w:val="en-US"/>
        </w:rPr>
        <w:t xml:space="preserve"> may give directions relating to the assignment of proceedings to a division of the Court, the assignment of judicial officers to manage and hear proceedings in a division of the Court, or the administration of a division of the Court. </w:t>
      </w:r>
    </w:p>
    <w:p w14:paraId="38449289" w14:textId="6BD11986" w:rsidR="00245F9B" w:rsidRPr="00B40A77" w:rsidRDefault="00245F9B" w:rsidP="006A5750">
      <w:pPr>
        <w:pStyle w:val="NoteHeader"/>
        <w:keepNext/>
        <w:keepLines/>
        <w:rPr>
          <w:color w:val="000000" w:themeColor="text1"/>
        </w:rPr>
      </w:pPr>
      <w:r w:rsidRPr="00B40A77">
        <w:rPr>
          <w:color w:val="000000" w:themeColor="text1"/>
        </w:rPr>
        <w:t>Note</w:t>
      </w:r>
      <w:r w:rsidR="00786278" w:rsidRPr="00B40A77">
        <w:rPr>
          <w:color w:val="000000" w:themeColor="text1"/>
        </w:rPr>
        <w:t>s</w:t>
      </w:r>
      <w:r w:rsidRPr="00B40A77">
        <w:rPr>
          <w:color w:val="000000" w:themeColor="text1"/>
        </w:rPr>
        <w:t>—</w:t>
      </w:r>
    </w:p>
    <w:p w14:paraId="272FDEF5" w14:textId="0A48B375" w:rsidR="00786278" w:rsidRPr="00B40A77" w:rsidRDefault="00245F9B" w:rsidP="0063321F">
      <w:pPr>
        <w:pStyle w:val="NoteText"/>
        <w:keepLines/>
        <w:rPr>
          <w:color w:val="000000" w:themeColor="text1"/>
        </w:rPr>
      </w:pPr>
      <w:r w:rsidRPr="00B40A77">
        <w:rPr>
          <w:color w:val="000000" w:themeColor="text1"/>
        </w:rPr>
        <w:t xml:space="preserve">Section 7 of the </w:t>
      </w:r>
      <w:r w:rsidRPr="00B40A77">
        <w:rPr>
          <w:i/>
          <w:color w:val="000000" w:themeColor="text1"/>
        </w:rPr>
        <w:t>Magistrates Court Act</w:t>
      </w:r>
      <w:r w:rsidRPr="00B40A77">
        <w:rPr>
          <w:color w:val="000000" w:themeColor="text1"/>
        </w:rPr>
        <w:t xml:space="preserve"> </w:t>
      </w:r>
      <w:r w:rsidRPr="00B40A77">
        <w:rPr>
          <w:i/>
          <w:color w:val="000000" w:themeColor="text1"/>
          <w:lang w:val="en-US"/>
        </w:rPr>
        <w:t xml:space="preserve">1991 </w:t>
      </w:r>
      <w:r w:rsidRPr="00B40A77">
        <w:rPr>
          <w:color w:val="000000" w:themeColor="text1"/>
        </w:rPr>
        <w:t xml:space="preserve">divides the Court into </w:t>
      </w:r>
      <w:r w:rsidR="00B85DCA" w:rsidRPr="00B40A77">
        <w:rPr>
          <w:color w:val="000000" w:themeColor="text1"/>
        </w:rPr>
        <w:t>six</w:t>
      </w:r>
      <w:r w:rsidRPr="00B40A77">
        <w:rPr>
          <w:color w:val="000000" w:themeColor="text1"/>
        </w:rPr>
        <w:t xml:space="preserve"> divisions being the Civil (General Claims), Civil (Consumer and Business) and Civil (Minor Claims) Divisions as well as the Criminal </w:t>
      </w:r>
      <w:r w:rsidR="00C20C9C" w:rsidRPr="00B40A77">
        <w:rPr>
          <w:color w:val="000000" w:themeColor="text1"/>
        </w:rPr>
        <w:t>Division</w:t>
      </w:r>
      <w:r w:rsidR="00B85DCA" w:rsidRPr="00B40A77">
        <w:rPr>
          <w:color w:val="000000" w:themeColor="text1"/>
        </w:rPr>
        <w:t>,</w:t>
      </w:r>
      <w:r w:rsidR="00C20C9C" w:rsidRPr="00B40A77">
        <w:rPr>
          <w:color w:val="000000" w:themeColor="text1"/>
        </w:rPr>
        <w:t xml:space="preserve"> </w:t>
      </w:r>
      <w:r w:rsidR="00B85DCA" w:rsidRPr="00B40A77">
        <w:rPr>
          <w:color w:val="000000" w:themeColor="text1"/>
        </w:rPr>
        <w:t xml:space="preserve">the Nunga Court Division </w:t>
      </w:r>
      <w:r w:rsidRPr="00B40A77">
        <w:rPr>
          <w:color w:val="000000" w:themeColor="text1"/>
        </w:rPr>
        <w:t>and Petty Sessions Division</w:t>
      </w:r>
      <w:r w:rsidR="00116D1D" w:rsidRPr="00B40A77">
        <w:rPr>
          <w:color w:val="000000" w:themeColor="text1"/>
        </w:rPr>
        <w:t>.</w:t>
      </w:r>
      <w:r w:rsidRPr="00B40A77">
        <w:rPr>
          <w:color w:val="000000" w:themeColor="text1"/>
        </w:rPr>
        <w:t xml:space="preserve"> </w:t>
      </w:r>
    </w:p>
    <w:p w14:paraId="39B66697" w14:textId="5415F164" w:rsidR="00245F9B" w:rsidRPr="00B40A77" w:rsidRDefault="00245F9B" w:rsidP="0063321F">
      <w:pPr>
        <w:pStyle w:val="NoteText"/>
        <w:keepLines/>
        <w:rPr>
          <w:color w:val="000000" w:themeColor="text1"/>
        </w:rPr>
      </w:pPr>
      <w:r w:rsidRPr="00B40A77">
        <w:rPr>
          <w:color w:val="000000" w:themeColor="text1"/>
        </w:rPr>
        <w:t xml:space="preserve">These Rules do not govern proceedings in the Civil (General Claims), Civil (Consumer and Business) </w:t>
      </w:r>
      <w:r w:rsidR="00081672" w:rsidRPr="00B40A77">
        <w:rPr>
          <w:color w:val="000000" w:themeColor="text1"/>
        </w:rPr>
        <w:t>or</w:t>
      </w:r>
      <w:r w:rsidRPr="00B40A77">
        <w:rPr>
          <w:color w:val="000000" w:themeColor="text1"/>
        </w:rPr>
        <w:t xml:space="preserve"> Civil (Minor Claims) Divisions.</w:t>
      </w:r>
    </w:p>
    <w:p w14:paraId="23553E39" w14:textId="347E4866" w:rsidR="0016165D" w:rsidRPr="00B40A77" w:rsidRDefault="00724873" w:rsidP="0063321F">
      <w:pPr>
        <w:pStyle w:val="NoteText"/>
        <w:keepLines/>
        <w:rPr>
          <w:color w:val="000000" w:themeColor="text1"/>
        </w:rPr>
      </w:pPr>
      <w:r w:rsidRPr="00B40A77">
        <w:rPr>
          <w:color w:val="000000" w:themeColor="text1"/>
        </w:rPr>
        <w:t>Reviews of decisions of the Chief Recovery Officer under section</w:t>
      </w:r>
      <w:r w:rsidR="000E08AE" w:rsidRPr="00B40A77">
        <w:rPr>
          <w:color w:val="000000" w:themeColor="text1"/>
        </w:rPr>
        <w:t> </w:t>
      </w:r>
      <w:r w:rsidRPr="00B40A77">
        <w:rPr>
          <w:color w:val="000000" w:themeColor="text1"/>
        </w:rPr>
        <w:t xml:space="preserve">23 of the </w:t>
      </w:r>
      <w:r w:rsidRPr="00B40A77">
        <w:rPr>
          <w:i/>
          <w:color w:val="000000" w:themeColor="text1"/>
        </w:rPr>
        <w:t xml:space="preserve">Fines Enforcement and Debt Recovery Act 2017 </w:t>
      </w:r>
      <w:r w:rsidRPr="00B40A77">
        <w:rPr>
          <w:color w:val="000000" w:themeColor="text1"/>
        </w:rPr>
        <w:t xml:space="preserve">in the Petty Sessions </w:t>
      </w:r>
      <w:r w:rsidRPr="00B40A77">
        <w:rPr>
          <w:color w:val="000000" w:themeColor="text1"/>
          <w:lang w:val="en-US"/>
        </w:rPr>
        <w:t xml:space="preserve">Divisions of the Court </w:t>
      </w:r>
      <w:r w:rsidRPr="00B40A77">
        <w:rPr>
          <w:color w:val="000000" w:themeColor="text1"/>
        </w:rPr>
        <w:t xml:space="preserve">are governed by the </w:t>
      </w:r>
      <w:r w:rsidRPr="00B40A77">
        <w:rPr>
          <w:i/>
          <w:color w:val="000000" w:themeColor="text1"/>
        </w:rPr>
        <w:t>Uniform Civil Rules 2020</w:t>
      </w:r>
      <w:r w:rsidRPr="00B40A77">
        <w:rPr>
          <w:color w:val="000000" w:themeColor="text1"/>
        </w:rPr>
        <w:t>.</w:t>
      </w:r>
    </w:p>
    <w:p w14:paraId="28ACA26E" w14:textId="17225E09" w:rsidR="00687DA5" w:rsidRPr="00B40A77" w:rsidRDefault="00687DA5" w:rsidP="00687DA5">
      <w:pPr>
        <w:pStyle w:val="Heading3"/>
        <w:rPr>
          <w:color w:val="000000" w:themeColor="text1"/>
        </w:rPr>
      </w:pPr>
      <w:bookmarkStart w:id="61" w:name="_Toc175238747"/>
      <w:bookmarkEnd w:id="60"/>
      <w:r w:rsidRPr="00B40A77">
        <w:rPr>
          <w:color w:val="000000" w:themeColor="text1"/>
        </w:rPr>
        <w:t>Division 4—Lists</w:t>
      </w:r>
      <w:bookmarkEnd w:id="61"/>
    </w:p>
    <w:p w14:paraId="0E317126" w14:textId="4B13D0C3" w:rsidR="00687DA5" w:rsidRPr="00B40A77" w:rsidRDefault="00687DA5" w:rsidP="00687DA5">
      <w:pPr>
        <w:pStyle w:val="Heading4"/>
        <w:rPr>
          <w:color w:val="000000" w:themeColor="text1"/>
        </w:rPr>
      </w:pPr>
      <w:bookmarkStart w:id="62" w:name="_Toc65163479"/>
      <w:bookmarkStart w:id="63" w:name="_Toc175238748"/>
      <w:r w:rsidRPr="00B40A77">
        <w:rPr>
          <w:color w:val="000000" w:themeColor="text1"/>
        </w:rPr>
        <w:t>14.1—Establishment of lists</w:t>
      </w:r>
      <w:bookmarkEnd w:id="62"/>
      <w:bookmarkEnd w:id="63"/>
    </w:p>
    <w:p w14:paraId="19CE79F5" w14:textId="1DF429FC" w:rsidR="00687DA5" w:rsidRPr="00B40A77" w:rsidRDefault="005D1041" w:rsidP="00687DA5">
      <w:pPr>
        <w:pStyle w:val="Hangindent"/>
        <w:rPr>
          <w:color w:val="000000" w:themeColor="text1"/>
          <w:lang w:val="en-US"/>
        </w:rPr>
      </w:pPr>
      <w:r w:rsidRPr="00B40A77">
        <w:rPr>
          <w:color w:val="000000" w:themeColor="text1"/>
          <w:lang w:val="en-US"/>
        </w:rPr>
        <w:t>(1)</w:t>
      </w:r>
      <w:r w:rsidRPr="00B40A77">
        <w:rPr>
          <w:color w:val="000000" w:themeColor="text1"/>
          <w:lang w:val="en-US"/>
        </w:rPr>
        <w:tab/>
        <w:t>This Division</w:t>
      </w:r>
      <w:r w:rsidR="00687DA5" w:rsidRPr="00B40A77">
        <w:rPr>
          <w:color w:val="000000" w:themeColor="text1"/>
          <w:lang w:val="en-US"/>
        </w:rPr>
        <w:t xml:space="preserve"> creates or continues certain lists, being defined categories of proceedings </w:t>
      </w:r>
      <w:r w:rsidRPr="00B40A77">
        <w:rPr>
          <w:color w:val="000000" w:themeColor="text1"/>
          <w:lang w:val="en-US"/>
        </w:rPr>
        <w:t xml:space="preserve">or types of hearings </w:t>
      </w:r>
      <w:r w:rsidR="00687DA5" w:rsidRPr="00B40A77">
        <w:rPr>
          <w:color w:val="000000" w:themeColor="text1"/>
          <w:lang w:val="en-US"/>
        </w:rPr>
        <w:t>that are convenient to manage in distinct lists.</w:t>
      </w:r>
    </w:p>
    <w:p w14:paraId="21297A96" w14:textId="081DEEA6" w:rsidR="00687DA5" w:rsidRPr="00B40A77" w:rsidRDefault="00687DA5" w:rsidP="00687DA5">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may </w:t>
      </w:r>
      <w:r w:rsidR="00845657" w:rsidRPr="00B40A77">
        <w:rPr>
          <w:color w:val="000000" w:themeColor="text1"/>
          <w:lang w:val="en-US"/>
        </w:rPr>
        <w:t xml:space="preserve">re-define an existing list or </w:t>
      </w:r>
      <w:r w:rsidRPr="00B40A77">
        <w:rPr>
          <w:color w:val="000000" w:themeColor="text1"/>
          <w:lang w:val="en-US"/>
        </w:rPr>
        <w:t xml:space="preserve">establish </w:t>
      </w:r>
      <w:r w:rsidR="00845657" w:rsidRPr="00B40A77">
        <w:rPr>
          <w:color w:val="000000" w:themeColor="text1"/>
          <w:lang w:val="en-US"/>
        </w:rPr>
        <w:t>another list</w:t>
      </w:r>
      <w:r w:rsidRPr="00B40A77">
        <w:rPr>
          <w:color w:val="000000" w:themeColor="text1"/>
          <w:lang w:val="en-US"/>
        </w:rPr>
        <w:t xml:space="preserve"> for the management and hearing of defined categories of proceedings</w:t>
      </w:r>
      <w:r w:rsidR="00845657" w:rsidRPr="00B40A77">
        <w:rPr>
          <w:color w:val="000000" w:themeColor="text1"/>
          <w:lang w:val="en-US"/>
        </w:rPr>
        <w:t xml:space="preserve"> or types of hearings</w:t>
      </w:r>
      <w:r w:rsidRPr="00B40A77">
        <w:rPr>
          <w:color w:val="000000" w:themeColor="text1"/>
          <w:lang w:val="en-US"/>
        </w:rPr>
        <w:t>.</w:t>
      </w:r>
    </w:p>
    <w:p w14:paraId="4F509C92" w14:textId="04411787" w:rsidR="00687DA5" w:rsidRPr="00B40A77" w:rsidRDefault="005D1041" w:rsidP="00687DA5">
      <w:pPr>
        <w:pStyle w:val="Heading4"/>
        <w:rPr>
          <w:color w:val="000000" w:themeColor="text1"/>
        </w:rPr>
      </w:pPr>
      <w:bookmarkStart w:id="64" w:name="_311.3—Management_of_proceedings"/>
      <w:bookmarkStart w:id="65" w:name="_Toc26880766"/>
      <w:bookmarkStart w:id="66" w:name="_Toc65163480"/>
      <w:bookmarkStart w:id="67" w:name="_Toc175238749"/>
      <w:bookmarkStart w:id="68" w:name="_Hlk31647775"/>
      <w:bookmarkEnd w:id="64"/>
      <w:r w:rsidRPr="00B40A77">
        <w:rPr>
          <w:color w:val="000000" w:themeColor="text1"/>
        </w:rPr>
        <w:t>14.2</w:t>
      </w:r>
      <w:r w:rsidR="00687DA5" w:rsidRPr="00B40A77">
        <w:rPr>
          <w:color w:val="000000" w:themeColor="text1"/>
        </w:rPr>
        <w:t>—Management of proceedings</w:t>
      </w:r>
      <w:bookmarkEnd w:id="65"/>
      <w:bookmarkEnd w:id="66"/>
      <w:bookmarkEnd w:id="67"/>
    </w:p>
    <w:p w14:paraId="6293756A" w14:textId="13974953" w:rsidR="00687DA5" w:rsidRPr="00B40A77" w:rsidRDefault="00687DA5" w:rsidP="00687DA5">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may</w:t>
      </w:r>
      <w:r w:rsidRPr="00B40A77">
        <w:rPr>
          <w:rFonts w:cs="Times New Roman"/>
          <w:color w:val="000000" w:themeColor="text1"/>
        </w:rPr>
        <w:t xml:space="preserve"> </w:t>
      </w:r>
      <w:r w:rsidRPr="00B40A77">
        <w:rPr>
          <w:color w:val="000000" w:themeColor="text1"/>
          <w:lang w:val="en-US"/>
        </w:rPr>
        <w:t xml:space="preserve">appoint a judicial officer of the </w:t>
      </w:r>
      <w:r w:rsidR="003E5BBB" w:rsidRPr="00B40A77">
        <w:rPr>
          <w:color w:val="000000" w:themeColor="text1"/>
        </w:rPr>
        <w:t xml:space="preserve">Court </w:t>
      </w:r>
      <w:r w:rsidRPr="00B40A77">
        <w:rPr>
          <w:color w:val="000000" w:themeColor="text1"/>
          <w:lang w:val="en-US"/>
        </w:rPr>
        <w:t xml:space="preserve">as a </w:t>
      </w:r>
      <w:hyperlink w:anchor="_311.1—Definitions" w:history="1">
        <w:r w:rsidRPr="00B40A77">
          <w:rPr>
            <w:rStyle w:val="Hyperlink"/>
            <w:color w:val="000000" w:themeColor="text1"/>
            <w:u w:val="none"/>
            <w:lang w:val="en-US"/>
          </w:rPr>
          <w:t>managing Judge</w:t>
        </w:r>
      </w:hyperlink>
      <w:r w:rsidRPr="00B40A77">
        <w:rPr>
          <w:color w:val="000000" w:themeColor="text1"/>
          <w:lang w:val="en-US"/>
        </w:rPr>
        <w:t xml:space="preserve"> </w:t>
      </w:r>
      <w:r w:rsidR="00387E21" w:rsidRPr="00B40A77">
        <w:rPr>
          <w:color w:val="000000" w:themeColor="text1"/>
          <w:lang w:val="en-US"/>
        </w:rPr>
        <w:t xml:space="preserve">or Magistrate </w:t>
      </w:r>
      <w:r w:rsidRPr="00B40A77">
        <w:rPr>
          <w:color w:val="000000" w:themeColor="text1"/>
          <w:lang w:val="en-US"/>
        </w:rPr>
        <w:t xml:space="preserve">of a list. </w:t>
      </w:r>
    </w:p>
    <w:p w14:paraId="4ACC2328" w14:textId="01F213B5" w:rsidR="00687DA5" w:rsidRPr="00B40A77" w:rsidRDefault="00687DA5" w:rsidP="00387E21">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or the </w:t>
      </w:r>
      <w:hyperlink w:anchor="_311.1—Definitions" w:history="1">
        <w:hyperlink w:anchor="_311.1—Definitions" w:history="1">
          <w:r w:rsidR="00387E21" w:rsidRPr="00B40A77">
            <w:rPr>
              <w:rStyle w:val="Hyperlink"/>
              <w:color w:val="000000" w:themeColor="text1"/>
              <w:u w:val="none"/>
              <w:lang w:val="en-US"/>
            </w:rPr>
            <w:t>managing Judge</w:t>
          </w:r>
        </w:hyperlink>
        <w:r w:rsidR="00387E21" w:rsidRPr="00B40A77">
          <w:rPr>
            <w:color w:val="000000" w:themeColor="text1"/>
            <w:lang w:val="en-US"/>
          </w:rPr>
          <w:t xml:space="preserve"> or Magistrate </w:t>
        </w:r>
      </w:hyperlink>
      <w:r w:rsidRPr="00B40A77">
        <w:rPr>
          <w:color w:val="000000" w:themeColor="text1"/>
          <w:lang w:val="en-US"/>
        </w:rPr>
        <w:t xml:space="preserve">may give directions </w:t>
      </w:r>
      <w:r w:rsidR="00724873" w:rsidRPr="00B40A77">
        <w:rPr>
          <w:color w:val="000000" w:themeColor="text1"/>
          <w:lang w:val="en-US"/>
        </w:rPr>
        <w:t xml:space="preserve">about </w:t>
      </w:r>
      <w:r w:rsidR="00387E21" w:rsidRPr="00B40A77">
        <w:rPr>
          <w:color w:val="000000" w:themeColor="text1"/>
          <w:lang w:val="en-US"/>
        </w:rPr>
        <w:t>proceedings in a list</w:t>
      </w:r>
      <w:r w:rsidRPr="00B40A77">
        <w:rPr>
          <w:color w:val="000000" w:themeColor="text1"/>
          <w:lang w:val="en-US"/>
        </w:rPr>
        <w:t>.</w:t>
      </w:r>
    </w:p>
    <w:p w14:paraId="01E02D2E" w14:textId="1F2A4A45" w:rsidR="00687DA5" w:rsidRPr="00B40A77" w:rsidRDefault="003061FF" w:rsidP="00687DA5">
      <w:pPr>
        <w:pStyle w:val="Heading4"/>
        <w:rPr>
          <w:color w:val="000000" w:themeColor="text1"/>
        </w:rPr>
      </w:pPr>
      <w:bookmarkStart w:id="69" w:name="_Toc175238750"/>
      <w:bookmarkStart w:id="70" w:name="_Hlk69294152"/>
      <w:bookmarkEnd w:id="68"/>
      <w:r w:rsidRPr="00B40A77">
        <w:rPr>
          <w:color w:val="000000" w:themeColor="text1"/>
        </w:rPr>
        <w:t>14.3</w:t>
      </w:r>
      <w:r w:rsidR="00687DA5" w:rsidRPr="00B40A77">
        <w:rPr>
          <w:color w:val="000000" w:themeColor="text1"/>
        </w:rPr>
        <w:t>—Supreme Court</w:t>
      </w:r>
      <w:bookmarkEnd w:id="69"/>
    </w:p>
    <w:p w14:paraId="61FA6066" w14:textId="6D43A772" w:rsidR="003061FF" w:rsidRPr="00B40A77" w:rsidRDefault="003061FF" w:rsidP="003061FF">
      <w:pPr>
        <w:pStyle w:val="IndentedPara"/>
        <w:rPr>
          <w:color w:val="000000" w:themeColor="text1"/>
        </w:rPr>
      </w:pPr>
      <w:r w:rsidRPr="00B40A77">
        <w:rPr>
          <w:color w:val="000000" w:themeColor="text1"/>
        </w:rPr>
        <w:t>The following lists are established—</w:t>
      </w:r>
    </w:p>
    <w:p w14:paraId="5D510511" w14:textId="4BB5751A" w:rsidR="003061FF" w:rsidRPr="00B40A77" w:rsidRDefault="003061FF" w:rsidP="003061FF">
      <w:pPr>
        <w:pStyle w:val="Hangindent"/>
        <w:rPr>
          <w:color w:val="000000" w:themeColor="text1"/>
        </w:rPr>
      </w:pPr>
      <w:r w:rsidRPr="00B40A77">
        <w:rPr>
          <w:color w:val="000000" w:themeColor="text1"/>
        </w:rPr>
        <w:t>(a)</w:t>
      </w:r>
      <w:r w:rsidRPr="00B40A77">
        <w:rPr>
          <w:color w:val="000000" w:themeColor="text1"/>
        </w:rPr>
        <w:tab/>
      </w:r>
      <w:r w:rsidR="009274D1" w:rsidRPr="00B40A77">
        <w:rPr>
          <w:color w:val="000000" w:themeColor="text1"/>
        </w:rPr>
        <w:t>A</w:t>
      </w:r>
      <w:r w:rsidR="00595C04" w:rsidRPr="00B40A77">
        <w:rPr>
          <w:color w:val="000000" w:themeColor="text1"/>
        </w:rPr>
        <w:t>rraignment list—</w:t>
      </w:r>
      <w:r w:rsidR="00F50554" w:rsidRPr="00B40A77">
        <w:rPr>
          <w:color w:val="000000" w:themeColor="text1"/>
        </w:rPr>
        <w:t>for the first arraignment on a committal for trial</w:t>
      </w:r>
      <w:r w:rsidR="008D55E2" w:rsidRPr="00B40A77">
        <w:rPr>
          <w:color w:val="000000" w:themeColor="text1"/>
        </w:rPr>
        <w:t xml:space="preserve"> (including as to fitness to be tried</w:t>
      </w:r>
      <w:r w:rsidR="00790794" w:rsidRPr="00B40A77">
        <w:rPr>
          <w:color w:val="000000" w:themeColor="text1"/>
        </w:rPr>
        <w:t xml:space="preserve"> or </w:t>
      </w:r>
      <w:hyperlink w:anchor="_2.1—Definitions" w:history="1">
        <w:r w:rsidR="00790794" w:rsidRPr="00B40A77">
          <w:rPr>
            <w:rStyle w:val="Hyperlink"/>
            <w:color w:val="000000" w:themeColor="text1"/>
          </w:rPr>
          <w:t>mental competence</w:t>
        </w:r>
      </w:hyperlink>
      <w:r w:rsidR="008D55E2" w:rsidRPr="00B40A77">
        <w:rPr>
          <w:color w:val="000000" w:themeColor="text1"/>
        </w:rPr>
        <w:t>) or</w:t>
      </w:r>
      <w:r w:rsidR="00730C7C" w:rsidRPr="00B40A77">
        <w:rPr>
          <w:color w:val="000000" w:themeColor="text1"/>
        </w:rPr>
        <w:t xml:space="preserve"> </w:t>
      </w:r>
      <w:hyperlink w:anchor="_2.1—Definitions" w:history="1">
        <w:r w:rsidR="00730C7C" w:rsidRPr="00B40A77">
          <w:rPr>
            <w:rStyle w:val="Hyperlink"/>
            <w:color w:val="000000" w:themeColor="text1"/>
          </w:rPr>
          <w:t>sentenc</w:t>
        </w:r>
        <w:r w:rsidR="002A49EB" w:rsidRPr="00B40A77">
          <w:rPr>
            <w:rStyle w:val="Hyperlink"/>
            <w:color w:val="000000" w:themeColor="text1"/>
          </w:rPr>
          <w:t>e</w:t>
        </w:r>
      </w:hyperlink>
      <w:r w:rsidR="00790794" w:rsidRPr="00B40A77">
        <w:rPr>
          <w:color w:val="000000" w:themeColor="text1"/>
        </w:rPr>
        <w:t>;</w:t>
      </w:r>
      <w:r w:rsidR="00F50554" w:rsidRPr="00B40A77">
        <w:rPr>
          <w:color w:val="000000" w:themeColor="text1"/>
        </w:rPr>
        <w:t xml:space="preserve"> on a remittal after appeal</w:t>
      </w:r>
      <w:r w:rsidR="00790794" w:rsidRPr="00B40A77">
        <w:rPr>
          <w:color w:val="000000" w:themeColor="text1"/>
        </w:rPr>
        <w:t>;</w:t>
      </w:r>
      <w:r w:rsidR="00F50554" w:rsidRPr="00B40A77">
        <w:rPr>
          <w:color w:val="000000" w:themeColor="text1"/>
        </w:rPr>
        <w:t xml:space="preserve"> after </w:t>
      </w:r>
      <w:r w:rsidR="00F50554" w:rsidRPr="00B40A77">
        <w:rPr>
          <w:color w:val="000000" w:themeColor="text1"/>
        </w:rPr>
        <w:lastRenderedPageBreak/>
        <w:t>withdrawal of a guilty plea</w:t>
      </w:r>
      <w:r w:rsidR="00790794" w:rsidRPr="00B40A77">
        <w:rPr>
          <w:color w:val="000000" w:themeColor="text1"/>
        </w:rPr>
        <w:t>;</w:t>
      </w:r>
      <w:r w:rsidR="00F50554" w:rsidRPr="00B40A77">
        <w:rPr>
          <w:color w:val="000000" w:themeColor="text1"/>
        </w:rPr>
        <w:t xml:space="preserve"> on an ex officio </w:t>
      </w:r>
      <w:r w:rsidR="006A45F7" w:rsidRPr="00B40A77">
        <w:rPr>
          <w:color w:val="000000" w:themeColor="text1"/>
        </w:rPr>
        <w:t>I</w:t>
      </w:r>
      <w:r w:rsidR="00F50554" w:rsidRPr="00B40A77">
        <w:rPr>
          <w:color w:val="000000" w:themeColor="text1"/>
        </w:rPr>
        <w:t>nformation</w:t>
      </w:r>
      <w:r w:rsidR="00790794" w:rsidRPr="00B40A77">
        <w:rPr>
          <w:color w:val="000000" w:themeColor="text1"/>
        </w:rPr>
        <w:t>;</w:t>
      </w:r>
      <w:r w:rsidR="00F50554" w:rsidRPr="00B40A77">
        <w:rPr>
          <w:color w:val="000000" w:themeColor="text1"/>
        </w:rPr>
        <w:t xml:space="preserve"> or on </w:t>
      </w:r>
      <w:r w:rsidR="008D55E2" w:rsidRPr="00B40A77">
        <w:rPr>
          <w:color w:val="000000" w:themeColor="text1"/>
        </w:rPr>
        <w:t>a variation, revocation or enforcement application</w:t>
      </w:r>
      <w:r w:rsidR="00790794" w:rsidRPr="00B40A77">
        <w:rPr>
          <w:color w:val="000000" w:themeColor="text1"/>
        </w:rPr>
        <w:t>;</w:t>
      </w:r>
      <w:r w:rsidR="00F50554" w:rsidRPr="00B40A77">
        <w:rPr>
          <w:color w:val="000000" w:themeColor="text1"/>
        </w:rPr>
        <w:t xml:space="preserve"> or an arraignment adjourned from a previous arraignment</w:t>
      </w:r>
      <w:r w:rsidR="00595C04" w:rsidRPr="00B40A77">
        <w:rPr>
          <w:color w:val="000000" w:themeColor="text1"/>
        </w:rPr>
        <w:t>;</w:t>
      </w:r>
    </w:p>
    <w:p w14:paraId="67392190" w14:textId="2169764C" w:rsidR="00595C04" w:rsidRPr="00B40A77" w:rsidRDefault="002D4534" w:rsidP="003061FF">
      <w:pPr>
        <w:pStyle w:val="Hangindent"/>
        <w:rPr>
          <w:color w:val="000000" w:themeColor="text1"/>
        </w:rPr>
      </w:pPr>
      <w:r w:rsidRPr="00B40A77">
        <w:rPr>
          <w:color w:val="000000" w:themeColor="text1"/>
        </w:rPr>
        <w:t>(b)</w:t>
      </w:r>
      <w:r w:rsidRPr="00B40A77">
        <w:rPr>
          <w:color w:val="000000" w:themeColor="text1"/>
        </w:rPr>
        <w:tab/>
      </w:r>
      <w:r w:rsidR="009274D1" w:rsidRPr="00B40A77">
        <w:rPr>
          <w:color w:val="000000" w:themeColor="text1"/>
        </w:rPr>
        <w:t>D</w:t>
      </w:r>
      <w:r w:rsidRPr="00B40A77">
        <w:rPr>
          <w:color w:val="000000" w:themeColor="text1"/>
        </w:rPr>
        <w:t xml:space="preserve">irections hearing list—for the first </w:t>
      </w:r>
      <w:hyperlink w:anchor="_2.1—Definitions" w:history="1">
        <w:r w:rsidRPr="00B40A77">
          <w:rPr>
            <w:rStyle w:val="Hyperlink"/>
            <w:color w:val="000000" w:themeColor="text1"/>
          </w:rPr>
          <w:t>directions hearin</w:t>
        </w:r>
        <w:r w:rsidR="00C5599C" w:rsidRPr="00B40A77">
          <w:rPr>
            <w:rStyle w:val="Hyperlink"/>
            <w:color w:val="000000" w:themeColor="text1"/>
          </w:rPr>
          <w:t>g</w:t>
        </w:r>
      </w:hyperlink>
      <w:r w:rsidR="00C5599C" w:rsidRPr="00B40A77">
        <w:rPr>
          <w:color w:val="000000" w:themeColor="text1"/>
        </w:rPr>
        <w:t xml:space="preserve"> and any subsequent </w:t>
      </w:r>
      <w:hyperlink w:anchor="_2.1—Definitions" w:history="1">
        <w:r w:rsidR="00DE5E20" w:rsidRPr="00B40A77">
          <w:rPr>
            <w:rStyle w:val="Hyperlink"/>
            <w:color w:val="000000" w:themeColor="text1"/>
          </w:rPr>
          <w:t>directions hearing</w:t>
        </w:r>
      </w:hyperlink>
      <w:r w:rsidRPr="00B40A77">
        <w:rPr>
          <w:color w:val="000000" w:themeColor="text1"/>
        </w:rPr>
        <w:t>;</w:t>
      </w:r>
      <w:r w:rsidR="002C3A40" w:rsidRPr="00B40A77">
        <w:rPr>
          <w:color w:val="000000" w:themeColor="text1"/>
        </w:rPr>
        <w:t xml:space="preserve"> and</w:t>
      </w:r>
    </w:p>
    <w:p w14:paraId="0BE4FAB9" w14:textId="65EBF921" w:rsidR="002D4534" w:rsidRPr="00B40A77" w:rsidRDefault="002D4534" w:rsidP="003061FF">
      <w:pPr>
        <w:pStyle w:val="Hangindent"/>
        <w:rPr>
          <w:color w:val="000000" w:themeColor="text1"/>
        </w:rPr>
      </w:pPr>
      <w:r w:rsidRPr="00B40A77">
        <w:rPr>
          <w:color w:val="000000" w:themeColor="text1"/>
        </w:rPr>
        <w:t>(c)</w:t>
      </w:r>
      <w:r w:rsidRPr="00B40A77">
        <w:rPr>
          <w:color w:val="000000" w:themeColor="text1"/>
        </w:rPr>
        <w:tab/>
      </w:r>
      <w:r w:rsidR="009274D1" w:rsidRPr="00B40A77">
        <w:rPr>
          <w:color w:val="000000" w:themeColor="text1"/>
        </w:rPr>
        <w:t>A</w:t>
      </w:r>
      <w:r w:rsidRPr="00B40A77">
        <w:rPr>
          <w:color w:val="000000" w:themeColor="text1"/>
        </w:rPr>
        <w:t xml:space="preserve">ppeal callover list—for the listing of appellate proceedings before the </w:t>
      </w:r>
      <w:hyperlink w:anchor="_2.1—Definitions" w:history="1">
        <w:r w:rsidR="00350C21" w:rsidRPr="00B40A77">
          <w:rPr>
            <w:rStyle w:val="Hyperlink"/>
            <w:color w:val="000000" w:themeColor="text1"/>
            <w:lang w:val="en-US"/>
          </w:rPr>
          <w:t>Court of Appeal</w:t>
        </w:r>
      </w:hyperlink>
      <w:r w:rsidRPr="00B40A77">
        <w:rPr>
          <w:color w:val="000000" w:themeColor="text1"/>
        </w:rPr>
        <w:t>.</w:t>
      </w:r>
    </w:p>
    <w:p w14:paraId="459B7B11" w14:textId="0402FBAC" w:rsidR="002D4534" w:rsidRPr="00B40A77" w:rsidRDefault="002D4534" w:rsidP="002D4534">
      <w:pPr>
        <w:pStyle w:val="Heading4"/>
        <w:rPr>
          <w:color w:val="000000" w:themeColor="text1"/>
        </w:rPr>
      </w:pPr>
      <w:bookmarkStart w:id="71" w:name="_Toc175238751"/>
      <w:r w:rsidRPr="00B40A77">
        <w:rPr>
          <w:color w:val="000000" w:themeColor="text1"/>
        </w:rPr>
        <w:t>14.4</w:t>
      </w:r>
      <w:r w:rsidR="00C5599C" w:rsidRPr="00B40A77">
        <w:rPr>
          <w:color w:val="000000" w:themeColor="text1"/>
        </w:rPr>
        <w:t>—District</w:t>
      </w:r>
      <w:r w:rsidRPr="00B40A77">
        <w:rPr>
          <w:color w:val="000000" w:themeColor="text1"/>
        </w:rPr>
        <w:t xml:space="preserve"> Court</w:t>
      </w:r>
      <w:bookmarkEnd w:id="71"/>
    </w:p>
    <w:p w14:paraId="78CD2439" w14:textId="77777777" w:rsidR="002D4534" w:rsidRPr="00B40A77" w:rsidRDefault="002D4534" w:rsidP="0063321F">
      <w:pPr>
        <w:pStyle w:val="IndentedPara"/>
        <w:keepNext/>
        <w:rPr>
          <w:color w:val="000000" w:themeColor="text1"/>
        </w:rPr>
      </w:pPr>
      <w:r w:rsidRPr="00B40A77">
        <w:rPr>
          <w:color w:val="000000" w:themeColor="text1"/>
        </w:rPr>
        <w:t>The following lists are established—</w:t>
      </w:r>
    </w:p>
    <w:p w14:paraId="70F391DF" w14:textId="28C157AF" w:rsidR="002D4534" w:rsidRPr="00B40A77" w:rsidRDefault="0040641C" w:rsidP="002D4534">
      <w:pPr>
        <w:pStyle w:val="Hangindent"/>
        <w:rPr>
          <w:color w:val="000000" w:themeColor="text1"/>
        </w:rPr>
      </w:pPr>
      <w:r w:rsidRPr="00B40A77">
        <w:rPr>
          <w:color w:val="000000" w:themeColor="text1"/>
        </w:rPr>
        <w:t>(a)</w:t>
      </w:r>
      <w:r w:rsidRPr="00B40A77">
        <w:rPr>
          <w:color w:val="000000" w:themeColor="text1"/>
        </w:rPr>
        <w:tab/>
        <w:t>A</w:t>
      </w:r>
      <w:r w:rsidR="002D4534" w:rsidRPr="00B40A77">
        <w:rPr>
          <w:color w:val="000000" w:themeColor="text1"/>
        </w:rPr>
        <w:t xml:space="preserve">rraignment </w:t>
      </w:r>
      <w:r w:rsidR="00C5599C" w:rsidRPr="00B40A77">
        <w:rPr>
          <w:color w:val="000000" w:themeColor="text1"/>
        </w:rPr>
        <w:t xml:space="preserve">(not guilty) </w:t>
      </w:r>
      <w:r w:rsidR="002D4534" w:rsidRPr="00B40A77">
        <w:rPr>
          <w:color w:val="000000" w:themeColor="text1"/>
        </w:rPr>
        <w:t>list—for the first arraignm</w:t>
      </w:r>
      <w:r w:rsidR="00F50554" w:rsidRPr="00B40A77">
        <w:rPr>
          <w:color w:val="000000" w:themeColor="text1"/>
        </w:rPr>
        <w:t>ent in Adelaide</w:t>
      </w:r>
      <w:r w:rsidR="002D4534" w:rsidRPr="00B40A77">
        <w:rPr>
          <w:color w:val="000000" w:themeColor="text1"/>
        </w:rPr>
        <w:t xml:space="preserve"> </w:t>
      </w:r>
      <w:r w:rsidR="00C5599C" w:rsidRPr="00B40A77">
        <w:rPr>
          <w:color w:val="000000" w:themeColor="text1"/>
        </w:rPr>
        <w:t>on a committal for trial</w:t>
      </w:r>
      <w:r w:rsidR="008D55E2" w:rsidRPr="00B40A77">
        <w:rPr>
          <w:color w:val="000000" w:themeColor="text1"/>
        </w:rPr>
        <w:t xml:space="preserve"> (including as to </w:t>
      </w:r>
      <w:r w:rsidR="008D55E2" w:rsidRPr="00B40A77">
        <w:rPr>
          <w:color w:val="000000" w:themeColor="text1"/>
          <w:u w:val="single"/>
        </w:rPr>
        <w:t>fitness to be tried</w:t>
      </w:r>
      <w:r w:rsidR="00012313" w:rsidRPr="00B40A77">
        <w:rPr>
          <w:color w:val="000000" w:themeColor="text1"/>
        </w:rPr>
        <w:t xml:space="preserve"> or </w:t>
      </w:r>
      <w:hyperlink w:anchor="_2.1—Definitions" w:history="1">
        <w:r w:rsidR="00175487" w:rsidRPr="00B40A77">
          <w:rPr>
            <w:rStyle w:val="Hyperlink"/>
            <w:color w:val="000000" w:themeColor="text1"/>
          </w:rPr>
          <w:t>mental competence</w:t>
        </w:r>
      </w:hyperlink>
      <w:r w:rsidR="008D55E2" w:rsidRPr="00B40A77">
        <w:rPr>
          <w:color w:val="000000" w:themeColor="text1"/>
        </w:rPr>
        <w:t>)</w:t>
      </w:r>
      <w:r w:rsidR="00F50554" w:rsidRPr="00B40A77">
        <w:rPr>
          <w:color w:val="000000" w:themeColor="text1"/>
        </w:rPr>
        <w:t>, on a</w:t>
      </w:r>
      <w:r w:rsidR="00A9248E" w:rsidRPr="00B40A77">
        <w:rPr>
          <w:color w:val="000000" w:themeColor="text1"/>
        </w:rPr>
        <w:t xml:space="preserve"> </w:t>
      </w:r>
      <w:r w:rsidR="00F50554" w:rsidRPr="00B40A77">
        <w:rPr>
          <w:color w:val="000000" w:themeColor="text1"/>
        </w:rPr>
        <w:t>remittal after appeal</w:t>
      </w:r>
      <w:r w:rsidR="00790794" w:rsidRPr="00B40A77">
        <w:rPr>
          <w:color w:val="000000" w:themeColor="text1"/>
        </w:rPr>
        <w:t>;</w:t>
      </w:r>
      <w:r w:rsidR="00F50554" w:rsidRPr="00B40A77">
        <w:rPr>
          <w:color w:val="000000" w:themeColor="text1"/>
        </w:rPr>
        <w:t xml:space="preserve"> after withdrawal of a guilty plea</w:t>
      </w:r>
      <w:r w:rsidR="00790794" w:rsidRPr="00B40A77">
        <w:rPr>
          <w:color w:val="000000" w:themeColor="text1"/>
        </w:rPr>
        <w:t>;</w:t>
      </w:r>
      <w:r w:rsidR="00F50554" w:rsidRPr="00B40A77">
        <w:rPr>
          <w:color w:val="000000" w:themeColor="text1"/>
        </w:rPr>
        <w:t xml:space="preserve"> on an ex officio </w:t>
      </w:r>
      <w:r w:rsidR="006A45F7" w:rsidRPr="00B40A77">
        <w:rPr>
          <w:color w:val="000000" w:themeColor="text1"/>
        </w:rPr>
        <w:t>I</w:t>
      </w:r>
      <w:r w:rsidR="00F50554" w:rsidRPr="00B40A77">
        <w:rPr>
          <w:color w:val="000000" w:themeColor="text1"/>
        </w:rPr>
        <w:t>nformation</w:t>
      </w:r>
      <w:r w:rsidR="00790794" w:rsidRPr="00B40A77">
        <w:rPr>
          <w:color w:val="000000" w:themeColor="text1"/>
        </w:rPr>
        <w:t>;</w:t>
      </w:r>
      <w:r w:rsidR="00FF6496" w:rsidRPr="00B40A77">
        <w:rPr>
          <w:color w:val="000000" w:themeColor="text1"/>
        </w:rPr>
        <w:t xml:space="preserve"> </w:t>
      </w:r>
      <w:r w:rsidR="00790794" w:rsidRPr="00B40A77">
        <w:rPr>
          <w:color w:val="000000" w:themeColor="text1"/>
        </w:rPr>
        <w:t xml:space="preserve">or </w:t>
      </w:r>
      <w:r w:rsidR="008D55E2" w:rsidRPr="00B40A77">
        <w:rPr>
          <w:color w:val="000000" w:themeColor="text1"/>
        </w:rPr>
        <w:t>on a variation, revocation or enforcement application</w:t>
      </w:r>
      <w:r w:rsidR="00790794" w:rsidRPr="00B40A77">
        <w:rPr>
          <w:color w:val="000000" w:themeColor="text1"/>
        </w:rPr>
        <w:t>;</w:t>
      </w:r>
      <w:r w:rsidR="008D55E2" w:rsidRPr="00B40A77">
        <w:rPr>
          <w:color w:val="000000" w:themeColor="text1"/>
        </w:rPr>
        <w:t xml:space="preserve"> or an arraignment </w:t>
      </w:r>
      <w:r w:rsidR="002D4534" w:rsidRPr="00B40A77">
        <w:rPr>
          <w:color w:val="000000" w:themeColor="text1"/>
        </w:rPr>
        <w:t>adjourned from a previous arraignment;</w:t>
      </w:r>
    </w:p>
    <w:p w14:paraId="6ED2AF14" w14:textId="1C4D8F3F" w:rsidR="00C5599C" w:rsidRPr="00B40A77" w:rsidRDefault="0040641C" w:rsidP="00C5599C">
      <w:pPr>
        <w:pStyle w:val="Hangindent"/>
        <w:rPr>
          <w:color w:val="000000" w:themeColor="text1"/>
        </w:rPr>
      </w:pPr>
      <w:r w:rsidRPr="00B40A77">
        <w:rPr>
          <w:color w:val="000000" w:themeColor="text1"/>
        </w:rPr>
        <w:t>(b)</w:t>
      </w:r>
      <w:r w:rsidRPr="00B40A77">
        <w:rPr>
          <w:color w:val="000000" w:themeColor="text1"/>
        </w:rPr>
        <w:tab/>
        <w:t>A</w:t>
      </w:r>
      <w:r w:rsidR="00C5599C" w:rsidRPr="00B40A77">
        <w:rPr>
          <w:color w:val="000000" w:themeColor="text1"/>
        </w:rPr>
        <w:t xml:space="preserve">rraignment (guilty) list—for the first arraignment in </w:t>
      </w:r>
      <w:r w:rsidR="00F50554" w:rsidRPr="00B40A77">
        <w:rPr>
          <w:color w:val="000000" w:themeColor="text1"/>
        </w:rPr>
        <w:t xml:space="preserve">Adelaide </w:t>
      </w:r>
      <w:r w:rsidR="00C5599C" w:rsidRPr="00B40A77">
        <w:rPr>
          <w:color w:val="000000" w:themeColor="text1"/>
        </w:rPr>
        <w:t xml:space="preserve">on a committal for </w:t>
      </w:r>
      <w:hyperlink w:anchor="_2.1—Definitions" w:history="1">
        <w:r w:rsidR="00596ADA" w:rsidRPr="00B40A77">
          <w:rPr>
            <w:rStyle w:val="Hyperlink"/>
            <w:color w:val="000000" w:themeColor="text1"/>
          </w:rPr>
          <w:t>sentence</w:t>
        </w:r>
      </w:hyperlink>
      <w:r w:rsidR="00790794" w:rsidRPr="00B40A77">
        <w:rPr>
          <w:color w:val="000000" w:themeColor="text1"/>
        </w:rPr>
        <w:t>;</w:t>
      </w:r>
      <w:r w:rsidR="00C5599C" w:rsidRPr="00B40A77">
        <w:rPr>
          <w:color w:val="000000" w:themeColor="text1"/>
        </w:rPr>
        <w:t xml:space="preserve"> when a defendan</w:t>
      </w:r>
      <w:r w:rsidR="00F50554" w:rsidRPr="00B40A77">
        <w:rPr>
          <w:color w:val="000000" w:themeColor="text1"/>
        </w:rPr>
        <w:t>t intends to plead guilty</w:t>
      </w:r>
      <w:r w:rsidR="00790794" w:rsidRPr="00B40A77">
        <w:rPr>
          <w:color w:val="000000" w:themeColor="text1"/>
        </w:rPr>
        <w:t>;</w:t>
      </w:r>
      <w:r w:rsidR="00F50554" w:rsidRPr="00B40A77">
        <w:rPr>
          <w:color w:val="000000" w:themeColor="text1"/>
        </w:rPr>
        <w:t xml:space="preserve"> or on an allegation of breach of bond</w:t>
      </w:r>
      <w:r w:rsidR="00790794" w:rsidRPr="00B40A77">
        <w:rPr>
          <w:color w:val="000000" w:themeColor="text1"/>
        </w:rPr>
        <w:t>;</w:t>
      </w:r>
      <w:r w:rsidR="00F50554" w:rsidRPr="00B40A77">
        <w:rPr>
          <w:color w:val="000000" w:themeColor="text1"/>
        </w:rPr>
        <w:t xml:space="preserve"> or an</w:t>
      </w:r>
      <w:r w:rsidR="00C5599C" w:rsidRPr="00B40A77">
        <w:rPr>
          <w:color w:val="000000" w:themeColor="text1"/>
        </w:rPr>
        <w:t xml:space="preserve"> arraignment adjourned from a previous arraignment;</w:t>
      </w:r>
    </w:p>
    <w:p w14:paraId="21383B5E" w14:textId="6940AD95" w:rsidR="0040641C" w:rsidRPr="00B40A77" w:rsidRDefault="0040641C" w:rsidP="0040641C">
      <w:pPr>
        <w:pStyle w:val="Hangindent"/>
        <w:rPr>
          <w:color w:val="000000" w:themeColor="text1"/>
        </w:rPr>
      </w:pPr>
      <w:r w:rsidRPr="00B40A77">
        <w:rPr>
          <w:color w:val="000000" w:themeColor="text1"/>
        </w:rPr>
        <w:t>(c)</w:t>
      </w:r>
      <w:r w:rsidRPr="00B40A77">
        <w:rPr>
          <w:color w:val="000000" w:themeColor="text1"/>
        </w:rPr>
        <w:tab/>
        <w:t>Circuit arraignment list—for the first arraignment in Port Augusta or Mount Gambier on a committal for trial</w:t>
      </w:r>
      <w:r w:rsidR="008D55E2" w:rsidRPr="00B40A77">
        <w:rPr>
          <w:color w:val="000000" w:themeColor="text1"/>
        </w:rPr>
        <w:t xml:space="preserve"> (including as to </w:t>
      </w:r>
      <w:r w:rsidR="008D55E2" w:rsidRPr="00B40A77">
        <w:rPr>
          <w:color w:val="000000" w:themeColor="text1"/>
          <w:u w:val="single"/>
        </w:rPr>
        <w:t>fitness to be tried</w:t>
      </w:r>
      <w:r w:rsidR="00012313" w:rsidRPr="00B40A77">
        <w:rPr>
          <w:color w:val="000000" w:themeColor="text1"/>
        </w:rPr>
        <w:t xml:space="preserve"> or </w:t>
      </w:r>
      <w:hyperlink w:anchor="_2.1—Definitions" w:history="1">
        <w:r w:rsidR="00175487" w:rsidRPr="00B40A77">
          <w:rPr>
            <w:rStyle w:val="Hyperlink"/>
            <w:color w:val="000000" w:themeColor="text1"/>
          </w:rPr>
          <w:t>mental competence</w:t>
        </w:r>
      </w:hyperlink>
      <w:r w:rsidR="008D55E2" w:rsidRPr="00B40A77">
        <w:rPr>
          <w:color w:val="000000" w:themeColor="text1"/>
        </w:rPr>
        <w:t xml:space="preserve">) or </w:t>
      </w:r>
      <w:hyperlink w:anchor="_2.1—Definitions" w:history="1">
        <w:r w:rsidR="00596ADA" w:rsidRPr="00B40A77">
          <w:rPr>
            <w:rStyle w:val="Hyperlink"/>
            <w:color w:val="000000" w:themeColor="text1"/>
          </w:rPr>
          <w:t>sentence</w:t>
        </w:r>
      </w:hyperlink>
      <w:r w:rsidR="00790794" w:rsidRPr="00B40A77">
        <w:rPr>
          <w:color w:val="000000" w:themeColor="text1"/>
        </w:rPr>
        <w:t>;</w:t>
      </w:r>
      <w:r w:rsidRPr="00B40A77">
        <w:rPr>
          <w:color w:val="000000" w:themeColor="text1"/>
        </w:rPr>
        <w:t xml:space="preserve"> on a remittal after appeal</w:t>
      </w:r>
      <w:r w:rsidR="00790794" w:rsidRPr="00B40A77">
        <w:rPr>
          <w:color w:val="000000" w:themeColor="text1"/>
        </w:rPr>
        <w:t>;</w:t>
      </w:r>
      <w:r w:rsidRPr="00B40A77">
        <w:rPr>
          <w:color w:val="000000" w:themeColor="text1"/>
        </w:rPr>
        <w:t xml:space="preserve"> after withdrawal of a guilty plea</w:t>
      </w:r>
      <w:r w:rsidR="00790794" w:rsidRPr="00B40A77">
        <w:rPr>
          <w:color w:val="000000" w:themeColor="text1"/>
        </w:rPr>
        <w:t>;</w:t>
      </w:r>
      <w:r w:rsidRPr="00B40A77">
        <w:rPr>
          <w:color w:val="000000" w:themeColor="text1"/>
        </w:rPr>
        <w:t xml:space="preserve"> on an ex officio </w:t>
      </w:r>
      <w:r w:rsidR="006A45F7" w:rsidRPr="00B40A77">
        <w:rPr>
          <w:color w:val="000000" w:themeColor="text1"/>
        </w:rPr>
        <w:t>I</w:t>
      </w:r>
      <w:r w:rsidRPr="00B40A77">
        <w:rPr>
          <w:color w:val="000000" w:themeColor="text1"/>
        </w:rPr>
        <w:t>nformation</w:t>
      </w:r>
      <w:r w:rsidR="00790794" w:rsidRPr="00B40A77">
        <w:rPr>
          <w:color w:val="000000" w:themeColor="text1"/>
        </w:rPr>
        <w:t>;</w:t>
      </w:r>
      <w:r w:rsidRPr="00B40A77">
        <w:rPr>
          <w:color w:val="000000" w:themeColor="text1"/>
        </w:rPr>
        <w:t xml:space="preserve"> </w:t>
      </w:r>
      <w:r w:rsidR="002A49EB" w:rsidRPr="00B40A77">
        <w:rPr>
          <w:color w:val="000000" w:themeColor="text1"/>
        </w:rPr>
        <w:t>or on variation, revocation or enforcement application</w:t>
      </w:r>
      <w:r w:rsidR="00790794" w:rsidRPr="00B40A77">
        <w:rPr>
          <w:color w:val="000000" w:themeColor="text1"/>
        </w:rPr>
        <w:t>;</w:t>
      </w:r>
      <w:r w:rsidR="002A49EB" w:rsidRPr="00B40A77">
        <w:rPr>
          <w:color w:val="000000" w:themeColor="text1"/>
        </w:rPr>
        <w:t xml:space="preserve"> </w:t>
      </w:r>
      <w:r w:rsidRPr="00B40A77">
        <w:rPr>
          <w:color w:val="000000" w:themeColor="text1"/>
        </w:rPr>
        <w:t>or an arraignment adjourned from a previous arraignment;</w:t>
      </w:r>
    </w:p>
    <w:p w14:paraId="4B2FF8E5" w14:textId="71501F51" w:rsidR="002D4534" w:rsidRPr="00B40A77" w:rsidRDefault="0040641C" w:rsidP="00C5599C">
      <w:pPr>
        <w:pStyle w:val="Hangindent"/>
        <w:rPr>
          <w:color w:val="000000" w:themeColor="text1"/>
        </w:rPr>
      </w:pPr>
      <w:r w:rsidRPr="00B40A77">
        <w:rPr>
          <w:color w:val="000000" w:themeColor="text1"/>
        </w:rPr>
        <w:t>(d</w:t>
      </w:r>
      <w:r w:rsidR="002D4534" w:rsidRPr="00B40A77">
        <w:rPr>
          <w:color w:val="000000" w:themeColor="text1"/>
        </w:rPr>
        <w:t>)</w:t>
      </w:r>
      <w:r w:rsidR="002D4534" w:rsidRPr="00B40A77">
        <w:rPr>
          <w:color w:val="000000" w:themeColor="text1"/>
        </w:rPr>
        <w:tab/>
      </w:r>
      <w:r w:rsidRPr="00B40A77">
        <w:rPr>
          <w:color w:val="000000" w:themeColor="text1"/>
        </w:rPr>
        <w:t>F</w:t>
      </w:r>
      <w:r w:rsidR="00C5599C" w:rsidRPr="00B40A77">
        <w:rPr>
          <w:color w:val="000000" w:themeColor="text1"/>
        </w:rPr>
        <w:t xml:space="preserve">irst </w:t>
      </w:r>
      <w:r w:rsidR="00281D35" w:rsidRPr="00B40A77">
        <w:rPr>
          <w:color w:val="000000" w:themeColor="text1"/>
        </w:rPr>
        <w:t>directions hearing callover</w:t>
      </w:r>
      <w:r w:rsidRPr="00B40A77">
        <w:rPr>
          <w:color w:val="000000" w:themeColor="text1"/>
        </w:rPr>
        <w:t xml:space="preserve"> list</w:t>
      </w:r>
      <w:r w:rsidR="002D4534" w:rsidRPr="00B40A77">
        <w:rPr>
          <w:color w:val="000000" w:themeColor="text1"/>
        </w:rPr>
        <w:t xml:space="preserve">—for the first </w:t>
      </w:r>
      <w:hyperlink w:anchor="_2.1—Definitions" w:history="1">
        <w:r w:rsidR="00DE5E20" w:rsidRPr="00B40A77">
          <w:rPr>
            <w:rStyle w:val="Hyperlink"/>
            <w:color w:val="000000" w:themeColor="text1"/>
          </w:rPr>
          <w:t>directions hearing</w:t>
        </w:r>
      </w:hyperlink>
      <w:r w:rsidR="004350E8" w:rsidRPr="00B40A77">
        <w:rPr>
          <w:color w:val="000000" w:themeColor="text1"/>
        </w:rPr>
        <w:t xml:space="preserve"> </w:t>
      </w:r>
      <w:r w:rsidR="00254455" w:rsidRPr="00B40A77">
        <w:rPr>
          <w:color w:val="000000" w:themeColor="text1"/>
        </w:rPr>
        <w:t>after arraignment and for the hearing of other applications as determined by the Court</w:t>
      </w:r>
      <w:r w:rsidR="002D4534" w:rsidRPr="00B40A77">
        <w:rPr>
          <w:color w:val="000000" w:themeColor="text1"/>
        </w:rPr>
        <w:t>;</w:t>
      </w:r>
    </w:p>
    <w:p w14:paraId="40DCF74A" w14:textId="207BD037" w:rsidR="0040641C" w:rsidRPr="00B40A77" w:rsidRDefault="0040641C" w:rsidP="0040641C">
      <w:pPr>
        <w:pStyle w:val="Hangindent"/>
        <w:rPr>
          <w:color w:val="000000" w:themeColor="text1"/>
        </w:rPr>
      </w:pPr>
      <w:r w:rsidRPr="00B40A77">
        <w:rPr>
          <w:color w:val="000000" w:themeColor="text1"/>
        </w:rPr>
        <w:t>(e)</w:t>
      </w:r>
      <w:r w:rsidRPr="00B40A77">
        <w:rPr>
          <w:color w:val="000000" w:themeColor="text1"/>
        </w:rPr>
        <w:tab/>
        <w:t xml:space="preserve">Second directions hearing callover list—for </w:t>
      </w:r>
      <w:r w:rsidR="00254455" w:rsidRPr="00B40A77">
        <w:rPr>
          <w:color w:val="000000" w:themeColor="text1"/>
        </w:rPr>
        <w:t>a</w:t>
      </w:r>
      <w:r w:rsidRPr="00B40A77">
        <w:rPr>
          <w:color w:val="000000" w:themeColor="text1"/>
        </w:rPr>
        <w:t xml:space="preserve"> </w:t>
      </w:r>
      <w:hyperlink w:anchor="_2.1—Definitions" w:history="1">
        <w:r w:rsidR="00DE5E20" w:rsidRPr="00B40A77">
          <w:rPr>
            <w:rStyle w:val="Hyperlink"/>
            <w:color w:val="000000" w:themeColor="text1"/>
          </w:rPr>
          <w:t>directions hearing</w:t>
        </w:r>
      </w:hyperlink>
      <w:r w:rsidRPr="00B40A77">
        <w:rPr>
          <w:color w:val="000000" w:themeColor="text1"/>
        </w:rPr>
        <w:t xml:space="preserve"> </w:t>
      </w:r>
      <w:r w:rsidR="00254455" w:rsidRPr="00B40A77">
        <w:rPr>
          <w:color w:val="000000" w:themeColor="text1"/>
        </w:rPr>
        <w:t xml:space="preserve">approximately four weeks before the </w:t>
      </w:r>
      <w:hyperlink w:anchor="_2.1—Definitions" w:history="1">
        <w:r w:rsidR="00254455" w:rsidRPr="00B40A77">
          <w:rPr>
            <w:rStyle w:val="Hyperlink"/>
            <w:color w:val="000000" w:themeColor="text1"/>
          </w:rPr>
          <w:t>trial date</w:t>
        </w:r>
      </w:hyperlink>
      <w:r w:rsidR="00336F80" w:rsidRPr="00B40A77">
        <w:rPr>
          <w:color w:val="000000" w:themeColor="text1"/>
        </w:rPr>
        <w:t xml:space="preserve"> </w:t>
      </w:r>
      <w:r w:rsidR="00254455" w:rsidRPr="00B40A77">
        <w:rPr>
          <w:color w:val="000000" w:themeColor="text1"/>
        </w:rPr>
        <w:t xml:space="preserve">and for the hearing of other applications as determined by the </w:t>
      </w:r>
      <w:r w:rsidR="003E5BBB" w:rsidRPr="00B40A77">
        <w:rPr>
          <w:color w:val="000000" w:themeColor="text1"/>
        </w:rPr>
        <w:t xml:space="preserve">Court </w:t>
      </w:r>
      <w:r w:rsidRPr="00B40A77">
        <w:rPr>
          <w:color w:val="000000" w:themeColor="text1"/>
        </w:rPr>
        <w:t xml:space="preserve">before trial and any other </w:t>
      </w:r>
      <w:hyperlink w:anchor="_2.1—Definitions" w:history="1">
        <w:r w:rsidR="00DE5E20" w:rsidRPr="00B40A77">
          <w:rPr>
            <w:rStyle w:val="Hyperlink"/>
            <w:color w:val="000000" w:themeColor="text1"/>
          </w:rPr>
          <w:t>directions hearing</w:t>
        </w:r>
      </w:hyperlink>
      <w:r w:rsidRPr="00B40A77">
        <w:rPr>
          <w:color w:val="000000" w:themeColor="text1"/>
        </w:rPr>
        <w:t xml:space="preserve"> on an application listed for a </w:t>
      </w:r>
      <w:r w:rsidR="005C1FD1" w:rsidRPr="00B40A77">
        <w:rPr>
          <w:color w:val="000000" w:themeColor="text1"/>
        </w:rPr>
        <w:t>second</w:t>
      </w:r>
      <w:r w:rsidRPr="00B40A77">
        <w:rPr>
          <w:color w:val="000000" w:themeColor="text1"/>
        </w:rPr>
        <w:t xml:space="preserve"> directions hearing callover;</w:t>
      </w:r>
    </w:p>
    <w:p w14:paraId="6A6A4216" w14:textId="544BAE10" w:rsidR="0040641C" w:rsidRPr="00B40A77" w:rsidRDefault="0040641C" w:rsidP="00C5599C">
      <w:pPr>
        <w:pStyle w:val="Hangindent"/>
        <w:rPr>
          <w:color w:val="000000" w:themeColor="text1"/>
        </w:rPr>
      </w:pPr>
      <w:r w:rsidRPr="00B40A77">
        <w:rPr>
          <w:color w:val="000000" w:themeColor="text1"/>
        </w:rPr>
        <w:t>(f)</w:t>
      </w:r>
      <w:r w:rsidRPr="00B40A77">
        <w:rPr>
          <w:color w:val="000000" w:themeColor="text1"/>
        </w:rPr>
        <w:tab/>
        <w:t>Circuit callover list—for listing trials at Port Augusta or Mount Gambier;</w:t>
      </w:r>
    </w:p>
    <w:p w14:paraId="62FF269C" w14:textId="48EF9C21" w:rsidR="00DE6735" w:rsidRPr="00B40A77" w:rsidRDefault="0040641C" w:rsidP="00C5599C">
      <w:pPr>
        <w:pStyle w:val="Hangindent"/>
        <w:rPr>
          <w:color w:val="000000" w:themeColor="text1"/>
        </w:rPr>
      </w:pPr>
      <w:r w:rsidRPr="00B40A77">
        <w:rPr>
          <w:color w:val="000000" w:themeColor="text1"/>
        </w:rPr>
        <w:t>(g)</w:t>
      </w:r>
      <w:r w:rsidRPr="00B40A77">
        <w:rPr>
          <w:color w:val="000000" w:themeColor="text1"/>
        </w:rPr>
        <w:tab/>
      </w:r>
      <w:r w:rsidR="00DE6735" w:rsidRPr="00B40A77">
        <w:rPr>
          <w:color w:val="000000" w:themeColor="text1"/>
        </w:rPr>
        <w:t>Bail list</w:t>
      </w:r>
      <w:r w:rsidRPr="00B40A77">
        <w:rPr>
          <w:color w:val="000000" w:themeColor="text1"/>
        </w:rPr>
        <w:t xml:space="preserve">—for </w:t>
      </w:r>
      <w:hyperlink w:anchor="_2.1—Definitions" w:history="1">
        <w:r w:rsidRPr="00B40A77">
          <w:rPr>
            <w:rStyle w:val="Hyperlink"/>
            <w:color w:val="000000" w:themeColor="text1"/>
          </w:rPr>
          <w:t>bail applications</w:t>
        </w:r>
      </w:hyperlink>
      <w:r w:rsidRPr="00B40A77">
        <w:rPr>
          <w:color w:val="000000" w:themeColor="text1"/>
        </w:rPr>
        <w:t xml:space="preserve"> not addressed in another list</w:t>
      </w:r>
      <w:r w:rsidR="0092569C" w:rsidRPr="00B40A77">
        <w:rPr>
          <w:color w:val="000000" w:themeColor="text1"/>
        </w:rPr>
        <w:t>;</w:t>
      </w:r>
    </w:p>
    <w:p w14:paraId="558FCD4E" w14:textId="2B458923" w:rsidR="00DE6735" w:rsidRPr="00B40A77" w:rsidRDefault="00DE6735" w:rsidP="00DE6735">
      <w:pPr>
        <w:pStyle w:val="Hangindent"/>
        <w:rPr>
          <w:color w:val="000000" w:themeColor="text1"/>
        </w:rPr>
      </w:pPr>
      <w:r w:rsidRPr="00B40A77">
        <w:rPr>
          <w:color w:val="000000" w:themeColor="text1"/>
        </w:rPr>
        <w:t>(</w:t>
      </w:r>
      <w:r w:rsidR="0040641C" w:rsidRPr="00B40A77">
        <w:rPr>
          <w:color w:val="000000" w:themeColor="text1"/>
        </w:rPr>
        <w:t>h</w:t>
      </w:r>
      <w:r w:rsidRPr="00B40A77">
        <w:rPr>
          <w:color w:val="000000" w:themeColor="text1"/>
        </w:rPr>
        <w:t>)</w:t>
      </w:r>
      <w:r w:rsidRPr="00B40A77">
        <w:rPr>
          <w:color w:val="000000" w:themeColor="text1"/>
        </w:rPr>
        <w:tab/>
        <w:t>Pre-trial conference list—</w:t>
      </w:r>
      <w:r w:rsidR="005C1FD1" w:rsidRPr="00B40A77">
        <w:rPr>
          <w:color w:val="000000" w:themeColor="text1"/>
        </w:rPr>
        <w:t xml:space="preserve">for </w:t>
      </w:r>
      <w:hyperlink w:anchor="_2.1—Definitions" w:history="1">
        <w:r w:rsidR="00012B38" w:rsidRPr="00B40A77">
          <w:rPr>
            <w:rStyle w:val="Hyperlink"/>
            <w:color w:val="000000" w:themeColor="text1"/>
            <w:lang w:val="en-US"/>
          </w:rPr>
          <w:t>pre-trial conference</w:t>
        </w:r>
      </w:hyperlink>
      <w:r w:rsidRPr="00B40A77">
        <w:rPr>
          <w:color w:val="000000" w:themeColor="text1"/>
          <w:u w:val="single"/>
        </w:rPr>
        <w:t>s</w:t>
      </w:r>
      <w:r w:rsidR="00012313" w:rsidRPr="00B40A77">
        <w:rPr>
          <w:color w:val="000000" w:themeColor="text1"/>
        </w:rPr>
        <w:t>.</w:t>
      </w:r>
    </w:p>
    <w:p w14:paraId="5DB9F478" w14:textId="628D37A0" w:rsidR="00C15F4F" w:rsidRPr="00B40A77" w:rsidRDefault="00C15F4F" w:rsidP="00C15F4F">
      <w:pPr>
        <w:pStyle w:val="Heading4"/>
        <w:rPr>
          <w:color w:val="000000" w:themeColor="text1"/>
        </w:rPr>
      </w:pPr>
      <w:bookmarkStart w:id="72" w:name="_Toc175238752"/>
      <w:bookmarkEnd w:id="70"/>
      <w:r w:rsidRPr="00B40A77">
        <w:rPr>
          <w:color w:val="000000" w:themeColor="text1"/>
        </w:rPr>
        <w:t>14.5—Youth Court</w:t>
      </w:r>
      <w:bookmarkEnd w:id="72"/>
    </w:p>
    <w:p w14:paraId="41E47576" w14:textId="77777777" w:rsidR="00C15F4F" w:rsidRPr="00B40A77" w:rsidRDefault="00C15F4F" w:rsidP="00C15F4F">
      <w:pPr>
        <w:pStyle w:val="IndentedPara"/>
        <w:rPr>
          <w:color w:val="000000" w:themeColor="text1"/>
        </w:rPr>
      </w:pPr>
      <w:r w:rsidRPr="00B40A77">
        <w:rPr>
          <w:color w:val="000000" w:themeColor="text1"/>
        </w:rPr>
        <w:t>The following lists are established—</w:t>
      </w:r>
    </w:p>
    <w:p w14:paraId="747B0FD9" w14:textId="25AAD3D1" w:rsidR="00C15F4F" w:rsidRPr="00B40A77" w:rsidRDefault="002F6067" w:rsidP="00C15F4F">
      <w:pPr>
        <w:pStyle w:val="Hangindent"/>
        <w:rPr>
          <w:color w:val="000000" w:themeColor="text1"/>
        </w:rPr>
      </w:pPr>
      <w:r w:rsidRPr="00B40A77">
        <w:rPr>
          <w:color w:val="000000" w:themeColor="text1"/>
        </w:rPr>
        <w:t>(a)</w:t>
      </w:r>
      <w:r w:rsidRPr="00B40A77">
        <w:rPr>
          <w:color w:val="000000" w:themeColor="text1"/>
        </w:rPr>
        <w:tab/>
        <w:t>Treatment Intervention Court</w:t>
      </w:r>
      <w:r w:rsidR="00C15F4F" w:rsidRPr="00B40A77">
        <w:rPr>
          <w:color w:val="000000" w:themeColor="text1"/>
        </w:rPr>
        <w:t xml:space="preserve"> list—</w:t>
      </w:r>
      <w:r w:rsidR="00901007" w:rsidRPr="00B40A77">
        <w:rPr>
          <w:color w:val="000000" w:themeColor="text1"/>
        </w:rPr>
        <w:t xml:space="preserve">for hearings in matters where drug addiction </w:t>
      </w:r>
      <w:r w:rsidR="00304C98" w:rsidRPr="00B40A77">
        <w:rPr>
          <w:color w:val="000000" w:themeColor="text1"/>
        </w:rPr>
        <w:t xml:space="preserve">or mental </w:t>
      </w:r>
      <w:r w:rsidR="00444A38" w:rsidRPr="00B40A77">
        <w:rPr>
          <w:color w:val="000000" w:themeColor="text1"/>
        </w:rPr>
        <w:t xml:space="preserve">impairment </w:t>
      </w:r>
      <w:r w:rsidR="00901007" w:rsidRPr="00B40A77">
        <w:rPr>
          <w:color w:val="000000" w:themeColor="text1"/>
        </w:rPr>
        <w:t xml:space="preserve">is a criminogenic factor suitable to be managed with a view to the </w:t>
      </w:r>
      <w:r w:rsidR="005C1FD1" w:rsidRPr="00B40A77">
        <w:rPr>
          <w:color w:val="000000" w:themeColor="text1"/>
        </w:rPr>
        <w:t>youth</w:t>
      </w:r>
      <w:r w:rsidR="00901007" w:rsidRPr="00B40A77">
        <w:rPr>
          <w:color w:val="000000" w:themeColor="text1"/>
        </w:rPr>
        <w:t xml:space="preserve">’s rehabilitation before determination of </w:t>
      </w:r>
      <w:hyperlink w:anchor="_2.1—Definitions" w:history="1">
        <w:r w:rsidR="00596ADA" w:rsidRPr="00B40A77">
          <w:rPr>
            <w:rStyle w:val="Hyperlink"/>
            <w:color w:val="000000" w:themeColor="text1"/>
          </w:rPr>
          <w:t>sentence</w:t>
        </w:r>
      </w:hyperlink>
      <w:r w:rsidR="00C15F4F" w:rsidRPr="00B40A77">
        <w:rPr>
          <w:color w:val="000000" w:themeColor="text1"/>
        </w:rPr>
        <w:t>;</w:t>
      </w:r>
    </w:p>
    <w:p w14:paraId="301BEBD3" w14:textId="258CB312" w:rsidR="00C15F4F" w:rsidRPr="00B40A77" w:rsidRDefault="00C15F4F" w:rsidP="00C15F4F">
      <w:pPr>
        <w:pStyle w:val="Hangindent"/>
        <w:rPr>
          <w:color w:val="000000" w:themeColor="text1"/>
        </w:rPr>
      </w:pPr>
      <w:r w:rsidRPr="00B40A77">
        <w:rPr>
          <w:color w:val="000000" w:themeColor="text1"/>
        </w:rPr>
        <w:t>(b)</w:t>
      </w:r>
      <w:r w:rsidRPr="00B40A77">
        <w:rPr>
          <w:color w:val="000000" w:themeColor="text1"/>
        </w:rPr>
        <w:tab/>
      </w:r>
      <w:r w:rsidR="002F6067" w:rsidRPr="00B40A77">
        <w:rPr>
          <w:color w:val="000000" w:themeColor="text1"/>
        </w:rPr>
        <w:t>Aboriginal Sentencing Court</w:t>
      </w:r>
      <w:r w:rsidRPr="00B40A77">
        <w:rPr>
          <w:color w:val="000000" w:themeColor="text1"/>
        </w:rPr>
        <w:t xml:space="preserve"> list—</w:t>
      </w:r>
      <w:r w:rsidR="00901007" w:rsidRPr="00B40A77">
        <w:rPr>
          <w:color w:val="000000" w:themeColor="text1"/>
        </w:rPr>
        <w:t xml:space="preserve">for </w:t>
      </w:r>
      <w:bookmarkStart w:id="73" w:name="_Hlk110772944"/>
      <w:r w:rsidR="006D6EB8" w:rsidRPr="00B40A77">
        <w:rPr>
          <w:color w:val="000000" w:themeColor="text1"/>
          <w:u w:val="single"/>
        </w:rPr>
        <w:fldChar w:fldCharType="begin"/>
      </w:r>
      <w:r w:rsidR="006D6EB8" w:rsidRPr="00B40A77">
        <w:rPr>
          <w:color w:val="000000" w:themeColor="text1"/>
          <w:u w:val="single"/>
        </w:rPr>
        <w:instrText xml:space="preserve"> HYPERLINK  \l "_2.1—Definitions" </w:instrText>
      </w:r>
      <w:r w:rsidR="006D6EB8" w:rsidRPr="00B40A77">
        <w:rPr>
          <w:color w:val="000000" w:themeColor="text1"/>
          <w:u w:val="single"/>
        </w:rPr>
      </w:r>
      <w:r w:rsidR="006D6EB8" w:rsidRPr="00B40A77">
        <w:rPr>
          <w:color w:val="000000" w:themeColor="text1"/>
          <w:u w:val="single"/>
        </w:rPr>
        <w:fldChar w:fldCharType="separate"/>
      </w:r>
      <w:r w:rsidR="00901007" w:rsidRPr="00B40A77">
        <w:rPr>
          <w:rStyle w:val="Hyperlink"/>
          <w:color w:val="000000" w:themeColor="text1"/>
        </w:rPr>
        <w:t>sentencing hearing</w:t>
      </w:r>
      <w:r w:rsidR="006D6EB8" w:rsidRPr="00B40A77">
        <w:rPr>
          <w:color w:val="000000" w:themeColor="text1"/>
          <w:u w:val="single"/>
        </w:rPr>
        <w:fldChar w:fldCharType="end"/>
      </w:r>
      <w:bookmarkEnd w:id="73"/>
      <w:r w:rsidR="00901007" w:rsidRPr="00B40A77">
        <w:rPr>
          <w:color w:val="000000" w:themeColor="text1"/>
          <w:u w:val="single"/>
        </w:rPr>
        <w:t>s</w:t>
      </w:r>
      <w:r w:rsidR="00901007" w:rsidRPr="00B40A77">
        <w:rPr>
          <w:color w:val="000000" w:themeColor="text1"/>
        </w:rPr>
        <w:t xml:space="preserve"> in matters where the </w:t>
      </w:r>
      <w:r w:rsidR="005C1FD1" w:rsidRPr="00B40A77">
        <w:rPr>
          <w:color w:val="000000" w:themeColor="text1"/>
        </w:rPr>
        <w:t xml:space="preserve">youth </w:t>
      </w:r>
      <w:r w:rsidR="00901007" w:rsidRPr="00B40A77">
        <w:rPr>
          <w:color w:val="000000" w:themeColor="text1"/>
        </w:rPr>
        <w:t>is Aboriginal</w:t>
      </w:r>
      <w:r w:rsidRPr="00B40A77">
        <w:rPr>
          <w:color w:val="000000" w:themeColor="text1"/>
        </w:rPr>
        <w:t>;</w:t>
      </w:r>
    </w:p>
    <w:p w14:paraId="3A32B806" w14:textId="14981AE4" w:rsidR="00C15F4F" w:rsidRPr="00B40A77" w:rsidRDefault="00C15F4F" w:rsidP="00C15F4F">
      <w:pPr>
        <w:pStyle w:val="Hangindent"/>
        <w:rPr>
          <w:color w:val="000000" w:themeColor="text1"/>
        </w:rPr>
      </w:pPr>
      <w:r w:rsidRPr="00B40A77">
        <w:rPr>
          <w:color w:val="000000" w:themeColor="text1"/>
        </w:rPr>
        <w:t>(c)</w:t>
      </w:r>
      <w:r w:rsidRPr="00B40A77">
        <w:rPr>
          <w:color w:val="000000" w:themeColor="text1"/>
        </w:rPr>
        <w:tab/>
      </w:r>
      <w:r w:rsidR="002F6067" w:rsidRPr="00B40A77">
        <w:rPr>
          <w:color w:val="000000" w:themeColor="text1"/>
        </w:rPr>
        <w:t>Department of Transport</w:t>
      </w:r>
      <w:r w:rsidRPr="00B40A77">
        <w:rPr>
          <w:color w:val="000000" w:themeColor="text1"/>
        </w:rPr>
        <w:t xml:space="preserve"> list—</w:t>
      </w:r>
      <w:r w:rsidR="003E432B" w:rsidRPr="00B40A77">
        <w:rPr>
          <w:color w:val="000000" w:themeColor="text1"/>
        </w:rPr>
        <w:t xml:space="preserve">hearings in matters where the offences charged are </w:t>
      </w:r>
      <w:r w:rsidR="009274D1" w:rsidRPr="00B40A77">
        <w:rPr>
          <w:color w:val="000000" w:themeColor="text1"/>
        </w:rPr>
        <w:t xml:space="preserve">in connection with </w:t>
      </w:r>
      <w:r w:rsidR="003E432B" w:rsidRPr="00B40A77">
        <w:rPr>
          <w:color w:val="000000" w:themeColor="text1"/>
        </w:rPr>
        <w:t>public transport</w:t>
      </w:r>
      <w:r w:rsidRPr="00B40A77">
        <w:rPr>
          <w:color w:val="000000" w:themeColor="text1"/>
        </w:rPr>
        <w:t>;</w:t>
      </w:r>
    </w:p>
    <w:p w14:paraId="46CA84C3" w14:textId="21BE9195" w:rsidR="00C15F4F" w:rsidRPr="00B40A77" w:rsidRDefault="00845657" w:rsidP="00845657">
      <w:pPr>
        <w:pStyle w:val="Hangindent"/>
        <w:rPr>
          <w:color w:val="000000" w:themeColor="text1"/>
        </w:rPr>
      </w:pPr>
      <w:r w:rsidRPr="00B40A77">
        <w:rPr>
          <w:color w:val="000000" w:themeColor="text1"/>
        </w:rPr>
        <w:t>(d)</w:t>
      </w:r>
      <w:r w:rsidRPr="00B40A77">
        <w:rPr>
          <w:color w:val="000000" w:themeColor="text1"/>
        </w:rPr>
        <w:tab/>
      </w:r>
      <w:r w:rsidR="00901007" w:rsidRPr="00B40A77">
        <w:rPr>
          <w:color w:val="000000" w:themeColor="text1"/>
        </w:rPr>
        <w:t>P</w:t>
      </w:r>
      <w:r w:rsidR="002F6067" w:rsidRPr="00B40A77">
        <w:rPr>
          <w:color w:val="000000" w:themeColor="text1"/>
        </w:rPr>
        <w:t xml:space="preserve">re-trial conference </w:t>
      </w:r>
      <w:r w:rsidR="00C15F4F" w:rsidRPr="00B40A77">
        <w:rPr>
          <w:color w:val="000000" w:themeColor="text1"/>
        </w:rPr>
        <w:t>list—</w:t>
      </w:r>
      <w:r w:rsidR="005C1FD1" w:rsidRPr="00B40A77">
        <w:rPr>
          <w:color w:val="000000" w:themeColor="text1"/>
        </w:rPr>
        <w:t xml:space="preserve">for </w:t>
      </w:r>
      <w:hyperlink w:anchor="_2.1—Definitions" w:history="1">
        <w:r w:rsidR="00012B38" w:rsidRPr="00B40A77">
          <w:rPr>
            <w:rStyle w:val="Hyperlink"/>
            <w:color w:val="000000" w:themeColor="text1"/>
            <w:lang w:val="en-US"/>
          </w:rPr>
          <w:t>pre-trial conference</w:t>
        </w:r>
      </w:hyperlink>
      <w:r w:rsidR="002F6067" w:rsidRPr="00B40A77">
        <w:rPr>
          <w:color w:val="000000" w:themeColor="text1"/>
          <w:u w:val="single"/>
        </w:rPr>
        <w:t>s</w:t>
      </w:r>
      <w:r w:rsidR="002F6067" w:rsidRPr="00B40A77">
        <w:rPr>
          <w:color w:val="000000" w:themeColor="text1"/>
        </w:rPr>
        <w:t>;</w:t>
      </w:r>
    </w:p>
    <w:p w14:paraId="27A659BD" w14:textId="68DA5E72" w:rsidR="002F6067" w:rsidRPr="00B40A77" w:rsidRDefault="00203DF3" w:rsidP="002F6067">
      <w:pPr>
        <w:pStyle w:val="Hangindent"/>
        <w:rPr>
          <w:color w:val="000000" w:themeColor="text1"/>
        </w:rPr>
      </w:pPr>
      <w:r w:rsidRPr="00B40A77">
        <w:rPr>
          <w:color w:val="000000" w:themeColor="text1"/>
        </w:rPr>
        <w:t>(e</w:t>
      </w:r>
      <w:r w:rsidR="002F6067" w:rsidRPr="00B40A77">
        <w:rPr>
          <w:color w:val="000000" w:themeColor="text1"/>
        </w:rPr>
        <w:t>)</w:t>
      </w:r>
      <w:r w:rsidR="002F6067" w:rsidRPr="00B40A77">
        <w:rPr>
          <w:color w:val="000000" w:themeColor="text1"/>
        </w:rPr>
        <w:tab/>
      </w:r>
      <w:r w:rsidR="00901007" w:rsidRPr="00B40A77">
        <w:rPr>
          <w:color w:val="000000" w:themeColor="text1"/>
        </w:rPr>
        <w:t>V</w:t>
      </w:r>
      <w:r w:rsidR="003E432B" w:rsidRPr="00B40A77">
        <w:rPr>
          <w:color w:val="000000" w:themeColor="text1"/>
        </w:rPr>
        <w:t>ideo</w:t>
      </w:r>
      <w:r w:rsidR="002F6067" w:rsidRPr="00B40A77">
        <w:rPr>
          <w:color w:val="000000" w:themeColor="text1"/>
        </w:rPr>
        <w:t xml:space="preserve"> conference list—</w:t>
      </w:r>
      <w:r w:rsidR="003E432B" w:rsidRPr="00B40A77">
        <w:rPr>
          <w:color w:val="000000" w:themeColor="text1"/>
        </w:rPr>
        <w:t xml:space="preserve">for hearings where </w:t>
      </w:r>
      <w:r w:rsidR="00081672" w:rsidRPr="00B40A77">
        <w:rPr>
          <w:color w:val="000000" w:themeColor="text1"/>
        </w:rPr>
        <w:t>a</w:t>
      </w:r>
      <w:r w:rsidR="003E432B" w:rsidRPr="00B40A77">
        <w:rPr>
          <w:color w:val="000000" w:themeColor="text1"/>
        </w:rPr>
        <w:t xml:space="preserve"> youth</w:t>
      </w:r>
      <w:r w:rsidR="001E7664" w:rsidRPr="00B40A77">
        <w:rPr>
          <w:color w:val="000000" w:themeColor="text1"/>
        </w:rPr>
        <w:t xml:space="preserve"> is in detention</w:t>
      </w:r>
      <w:r w:rsidR="005C1FD1" w:rsidRPr="00B40A77">
        <w:rPr>
          <w:color w:val="000000" w:themeColor="text1"/>
        </w:rPr>
        <w:t>.</w:t>
      </w:r>
    </w:p>
    <w:p w14:paraId="26A5E8C0" w14:textId="77777777" w:rsidR="0077040E" w:rsidRPr="00B40A77" w:rsidRDefault="0077040E" w:rsidP="0077040E">
      <w:pPr>
        <w:pStyle w:val="Heading4"/>
        <w:rPr>
          <w:color w:val="000000" w:themeColor="text1"/>
        </w:rPr>
      </w:pPr>
      <w:bookmarkStart w:id="74" w:name="_Toc175238753"/>
      <w:bookmarkStart w:id="75" w:name="_Hlk71048685"/>
      <w:r w:rsidRPr="00B40A77">
        <w:rPr>
          <w:color w:val="000000" w:themeColor="text1"/>
        </w:rPr>
        <w:lastRenderedPageBreak/>
        <w:t>14.6—Magistrates Court</w:t>
      </w:r>
      <w:bookmarkEnd w:id="74"/>
    </w:p>
    <w:p w14:paraId="45DEE1E5" w14:textId="77777777" w:rsidR="0077040E" w:rsidRPr="00B40A77" w:rsidRDefault="0077040E" w:rsidP="0025768F">
      <w:pPr>
        <w:pStyle w:val="IndentedPara"/>
        <w:keepNext/>
        <w:rPr>
          <w:color w:val="000000" w:themeColor="text1"/>
        </w:rPr>
      </w:pPr>
      <w:r w:rsidRPr="00B40A77">
        <w:rPr>
          <w:color w:val="000000" w:themeColor="text1"/>
        </w:rPr>
        <w:t>The following lists are established—</w:t>
      </w:r>
    </w:p>
    <w:p w14:paraId="128CE75C" w14:textId="26E3C504" w:rsidR="0077040E" w:rsidRPr="00B40A77" w:rsidRDefault="0077040E" w:rsidP="0077040E">
      <w:pPr>
        <w:pStyle w:val="Hangindent"/>
        <w:rPr>
          <w:color w:val="000000" w:themeColor="text1"/>
        </w:rPr>
      </w:pPr>
      <w:r w:rsidRPr="00B40A77">
        <w:rPr>
          <w:color w:val="000000" w:themeColor="text1"/>
        </w:rPr>
        <w:t>(a)</w:t>
      </w:r>
      <w:r w:rsidRPr="00B40A77">
        <w:rPr>
          <w:color w:val="000000" w:themeColor="text1"/>
        </w:rPr>
        <w:tab/>
        <w:t xml:space="preserve">Treatment Intervention Court list—for </w:t>
      </w:r>
      <w:r w:rsidR="00287185" w:rsidRPr="00B40A77">
        <w:rPr>
          <w:color w:val="000000" w:themeColor="text1"/>
        </w:rPr>
        <w:t xml:space="preserve">hearings in </w:t>
      </w:r>
      <w:r w:rsidRPr="00B40A77">
        <w:rPr>
          <w:color w:val="000000" w:themeColor="text1"/>
        </w:rPr>
        <w:t xml:space="preserve">matters </w:t>
      </w:r>
      <w:r w:rsidR="00901007" w:rsidRPr="00B40A77">
        <w:rPr>
          <w:color w:val="000000" w:themeColor="text1"/>
        </w:rPr>
        <w:t xml:space="preserve">where </w:t>
      </w:r>
      <w:r w:rsidRPr="00B40A77">
        <w:rPr>
          <w:color w:val="000000" w:themeColor="text1"/>
        </w:rPr>
        <w:t>drug addiction is a criminogenic factor suitable to be managed with a view to the defendant</w:t>
      </w:r>
      <w:r w:rsidR="00287185" w:rsidRPr="00B40A77">
        <w:rPr>
          <w:color w:val="000000" w:themeColor="text1"/>
        </w:rPr>
        <w:t>’s</w:t>
      </w:r>
      <w:r w:rsidRPr="00B40A77">
        <w:rPr>
          <w:color w:val="000000" w:themeColor="text1"/>
        </w:rPr>
        <w:t xml:space="preserve"> rehabilitation before determination of </w:t>
      </w:r>
      <w:hyperlink w:anchor="_2.1—Definitions" w:history="1">
        <w:r w:rsidR="00596ADA" w:rsidRPr="00B40A77">
          <w:rPr>
            <w:rStyle w:val="Hyperlink"/>
            <w:color w:val="000000" w:themeColor="text1"/>
          </w:rPr>
          <w:t>sentence</w:t>
        </w:r>
      </w:hyperlink>
      <w:r w:rsidRPr="00B40A77">
        <w:rPr>
          <w:color w:val="000000" w:themeColor="text1"/>
        </w:rPr>
        <w:t>;</w:t>
      </w:r>
    </w:p>
    <w:p w14:paraId="42946DBE" w14:textId="0B09F3A9" w:rsidR="0077040E" w:rsidRPr="00B40A77" w:rsidRDefault="00287185" w:rsidP="0077040E">
      <w:pPr>
        <w:pStyle w:val="Hangindent"/>
        <w:rPr>
          <w:color w:val="000000" w:themeColor="text1"/>
        </w:rPr>
      </w:pPr>
      <w:r w:rsidRPr="00B40A77">
        <w:rPr>
          <w:color w:val="000000" w:themeColor="text1"/>
        </w:rPr>
        <w:t>(b</w:t>
      </w:r>
      <w:r w:rsidR="0077040E" w:rsidRPr="00B40A77">
        <w:rPr>
          <w:color w:val="000000" w:themeColor="text1"/>
        </w:rPr>
        <w:t>)</w:t>
      </w:r>
      <w:r w:rsidR="0077040E" w:rsidRPr="00B40A77">
        <w:rPr>
          <w:color w:val="000000" w:themeColor="text1"/>
        </w:rPr>
        <w:tab/>
        <w:t xml:space="preserve">Family Violence Court list—for </w:t>
      </w:r>
      <w:r w:rsidRPr="00B40A77">
        <w:rPr>
          <w:color w:val="000000" w:themeColor="text1"/>
        </w:rPr>
        <w:t xml:space="preserve">hearings in </w:t>
      </w:r>
      <w:r w:rsidR="0077040E" w:rsidRPr="00B40A77">
        <w:rPr>
          <w:color w:val="000000" w:themeColor="text1"/>
        </w:rPr>
        <w:t xml:space="preserve">matters </w:t>
      </w:r>
      <w:r w:rsidR="00901007" w:rsidRPr="00B40A77">
        <w:rPr>
          <w:color w:val="000000" w:themeColor="text1"/>
        </w:rPr>
        <w:t xml:space="preserve">where </w:t>
      </w:r>
      <w:r w:rsidRPr="00B40A77">
        <w:rPr>
          <w:color w:val="000000" w:themeColor="text1"/>
        </w:rPr>
        <w:t>family violence</w:t>
      </w:r>
      <w:r w:rsidR="0077040E" w:rsidRPr="00B40A77">
        <w:rPr>
          <w:color w:val="000000" w:themeColor="text1"/>
        </w:rPr>
        <w:t xml:space="preserve"> is a criminogenic factor suitable to be managed with a view to the </w:t>
      </w:r>
      <w:r w:rsidRPr="00B40A77">
        <w:rPr>
          <w:color w:val="000000" w:themeColor="text1"/>
        </w:rPr>
        <w:t xml:space="preserve">defendant’s rehabilitation </w:t>
      </w:r>
      <w:r w:rsidR="0077040E" w:rsidRPr="00B40A77">
        <w:rPr>
          <w:color w:val="000000" w:themeColor="text1"/>
        </w:rPr>
        <w:t xml:space="preserve">before determination of guilt or </w:t>
      </w:r>
      <w:hyperlink w:anchor="_2.1—Definitions" w:history="1">
        <w:r w:rsidR="00596ADA" w:rsidRPr="00B40A77">
          <w:rPr>
            <w:rStyle w:val="Hyperlink"/>
            <w:color w:val="000000" w:themeColor="text1"/>
          </w:rPr>
          <w:t>sentence</w:t>
        </w:r>
      </w:hyperlink>
      <w:r w:rsidR="0077040E" w:rsidRPr="00B40A77">
        <w:rPr>
          <w:color w:val="000000" w:themeColor="text1"/>
        </w:rPr>
        <w:t>;</w:t>
      </w:r>
    </w:p>
    <w:p w14:paraId="5342EA23" w14:textId="534D74E5" w:rsidR="0077040E" w:rsidRPr="00B40A77" w:rsidRDefault="00287185" w:rsidP="0077040E">
      <w:pPr>
        <w:pStyle w:val="Hangindent"/>
        <w:rPr>
          <w:color w:val="000000" w:themeColor="text1"/>
        </w:rPr>
      </w:pPr>
      <w:r w:rsidRPr="00B40A77">
        <w:rPr>
          <w:color w:val="000000" w:themeColor="text1"/>
        </w:rPr>
        <w:t>(c</w:t>
      </w:r>
      <w:r w:rsidR="0077040E" w:rsidRPr="00B40A77">
        <w:rPr>
          <w:color w:val="000000" w:themeColor="text1"/>
        </w:rPr>
        <w:t>)</w:t>
      </w:r>
      <w:r w:rsidR="0077040E" w:rsidRPr="00B40A77">
        <w:rPr>
          <w:color w:val="000000" w:themeColor="text1"/>
        </w:rPr>
        <w:tab/>
        <w:t>Aboriginal Community Court list—</w:t>
      </w:r>
      <w:r w:rsidRPr="00B40A77">
        <w:rPr>
          <w:color w:val="000000" w:themeColor="text1"/>
        </w:rPr>
        <w:t>for hearings in matters where the defenda</w:t>
      </w:r>
      <w:r w:rsidR="002B20DD" w:rsidRPr="00B40A77">
        <w:rPr>
          <w:color w:val="000000" w:themeColor="text1"/>
        </w:rPr>
        <w:t>nt is Aboriginal</w:t>
      </w:r>
      <w:r w:rsidR="0077040E" w:rsidRPr="00B40A77">
        <w:rPr>
          <w:color w:val="000000" w:themeColor="text1"/>
        </w:rPr>
        <w:t>;</w:t>
      </w:r>
    </w:p>
    <w:p w14:paraId="3638DC94" w14:textId="17D55FA2" w:rsidR="00930208" w:rsidRPr="00B40A77" w:rsidRDefault="002B20DD" w:rsidP="00930208">
      <w:pPr>
        <w:pStyle w:val="Hangindent"/>
        <w:rPr>
          <w:color w:val="000000" w:themeColor="text1"/>
        </w:rPr>
      </w:pPr>
      <w:r w:rsidRPr="00B40A77">
        <w:rPr>
          <w:color w:val="000000" w:themeColor="text1"/>
        </w:rPr>
        <w:t>(d)</w:t>
      </w:r>
      <w:r w:rsidRPr="00B40A77">
        <w:rPr>
          <w:color w:val="000000" w:themeColor="text1"/>
        </w:rPr>
        <w:tab/>
        <w:t>Aboriginal Sentencing</w:t>
      </w:r>
      <w:r w:rsidR="00930208" w:rsidRPr="00B40A77">
        <w:rPr>
          <w:color w:val="000000" w:themeColor="text1"/>
        </w:rPr>
        <w:t xml:space="preserve"> Court list—for </w:t>
      </w:r>
      <w:hyperlink w:anchor="_2.1—Definitions" w:history="1">
        <w:r w:rsidR="006D6EB8" w:rsidRPr="00B40A77">
          <w:rPr>
            <w:rStyle w:val="Hyperlink"/>
            <w:color w:val="000000" w:themeColor="text1"/>
          </w:rPr>
          <w:t>sentencing hearing</w:t>
        </w:r>
      </w:hyperlink>
      <w:r w:rsidR="00930208" w:rsidRPr="00B40A77">
        <w:rPr>
          <w:color w:val="000000" w:themeColor="text1"/>
          <w:u w:val="single"/>
        </w:rPr>
        <w:t>s</w:t>
      </w:r>
      <w:r w:rsidR="00930208" w:rsidRPr="00B40A77">
        <w:rPr>
          <w:color w:val="000000" w:themeColor="text1"/>
        </w:rPr>
        <w:t xml:space="preserve"> in matters where the defendant is Aboriginal and has pleaded guilty;</w:t>
      </w:r>
    </w:p>
    <w:p w14:paraId="491D31EE" w14:textId="6FC27708" w:rsidR="0077040E" w:rsidRPr="00B40A77" w:rsidRDefault="002B20DD" w:rsidP="00930208">
      <w:pPr>
        <w:pStyle w:val="Hangindent"/>
        <w:rPr>
          <w:color w:val="000000" w:themeColor="text1"/>
        </w:rPr>
      </w:pPr>
      <w:r w:rsidRPr="00B40A77">
        <w:rPr>
          <w:color w:val="000000" w:themeColor="text1"/>
        </w:rPr>
        <w:t>(e</w:t>
      </w:r>
      <w:r w:rsidR="0077040E" w:rsidRPr="00B40A77">
        <w:rPr>
          <w:color w:val="000000" w:themeColor="text1"/>
        </w:rPr>
        <w:t>)</w:t>
      </w:r>
      <w:r w:rsidR="0077040E" w:rsidRPr="00B40A77">
        <w:rPr>
          <w:color w:val="000000" w:themeColor="text1"/>
        </w:rPr>
        <w:tab/>
        <w:t>Nunga Court list—</w:t>
      </w:r>
      <w:r w:rsidR="009026C2" w:rsidRPr="00B40A77">
        <w:rPr>
          <w:color w:val="000000" w:themeColor="text1"/>
        </w:rPr>
        <w:t xml:space="preserve">for hearings in matters where the defendant is Aboriginal and has a continuing connection with the Aboriginal community in an area serviced by a Nunga Court established by direction of the </w:t>
      </w:r>
      <w:hyperlink w:anchor="_2.1—Definitions" w:history="1">
        <w:r w:rsidR="001742C0" w:rsidRPr="00B40A77">
          <w:rPr>
            <w:rStyle w:val="Hyperlink"/>
            <w:color w:val="000000" w:themeColor="text1"/>
            <w:lang w:val="en-US"/>
          </w:rPr>
          <w:t>Chief Magistrate</w:t>
        </w:r>
      </w:hyperlink>
      <w:r w:rsidR="0077040E" w:rsidRPr="00B40A77">
        <w:rPr>
          <w:color w:val="000000" w:themeColor="text1"/>
        </w:rPr>
        <w:t>;</w:t>
      </w:r>
    </w:p>
    <w:bookmarkEnd w:id="75"/>
    <w:p w14:paraId="360C4A41" w14:textId="22A1392A" w:rsidR="0077040E" w:rsidRPr="00B40A77" w:rsidRDefault="00287185" w:rsidP="0077040E">
      <w:pPr>
        <w:pStyle w:val="Hangindent"/>
        <w:rPr>
          <w:color w:val="000000" w:themeColor="text1"/>
        </w:rPr>
      </w:pPr>
      <w:r w:rsidRPr="00B40A77">
        <w:rPr>
          <w:color w:val="000000" w:themeColor="text1"/>
        </w:rPr>
        <w:t>(</w:t>
      </w:r>
      <w:r w:rsidR="0063321F" w:rsidRPr="00B40A77">
        <w:rPr>
          <w:color w:val="000000" w:themeColor="text1"/>
        </w:rPr>
        <w:t>f</w:t>
      </w:r>
      <w:r w:rsidR="0077040E" w:rsidRPr="00B40A77">
        <w:rPr>
          <w:color w:val="000000" w:themeColor="text1"/>
        </w:rPr>
        <w:t>)</w:t>
      </w:r>
      <w:r w:rsidR="0077040E" w:rsidRPr="00B40A77">
        <w:rPr>
          <w:color w:val="000000" w:themeColor="text1"/>
        </w:rPr>
        <w:tab/>
        <w:t>Part 8A list—</w:t>
      </w:r>
      <w:r w:rsidRPr="00B40A77">
        <w:rPr>
          <w:color w:val="000000" w:themeColor="text1"/>
        </w:rPr>
        <w:t xml:space="preserve">for hearings </w:t>
      </w:r>
      <w:r w:rsidR="00901007" w:rsidRPr="00B40A77">
        <w:rPr>
          <w:color w:val="000000" w:themeColor="text1"/>
        </w:rPr>
        <w:t xml:space="preserve">in matters where an issue has been raised </w:t>
      </w:r>
      <w:r w:rsidR="002E1D51" w:rsidRPr="00B40A77">
        <w:rPr>
          <w:color w:val="000000" w:themeColor="text1"/>
        </w:rPr>
        <w:t xml:space="preserve">as to whether the defendant is </w:t>
      </w:r>
      <w:hyperlink w:anchor="_2.1—Definitions" w:history="1">
        <w:r w:rsidR="00901007" w:rsidRPr="00B40A77">
          <w:rPr>
            <w:rStyle w:val="Hyperlink"/>
            <w:color w:val="000000" w:themeColor="text1"/>
          </w:rPr>
          <w:t xml:space="preserve">fit to </w:t>
        </w:r>
        <w:r w:rsidR="006D22A9" w:rsidRPr="00B40A77">
          <w:rPr>
            <w:rStyle w:val="Hyperlink"/>
            <w:color w:val="000000" w:themeColor="text1"/>
          </w:rPr>
          <w:t>stand trial</w:t>
        </w:r>
      </w:hyperlink>
      <w:r w:rsidR="00901007" w:rsidRPr="00B40A77">
        <w:rPr>
          <w:color w:val="000000" w:themeColor="text1"/>
        </w:rPr>
        <w:t xml:space="preserve"> or </w:t>
      </w:r>
      <w:r w:rsidR="004D45EF" w:rsidRPr="00B40A77">
        <w:rPr>
          <w:color w:val="000000" w:themeColor="text1"/>
        </w:rPr>
        <w:t xml:space="preserve">with regard to </w:t>
      </w:r>
      <w:r w:rsidR="002E1D51" w:rsidRPr="00B40A77">
        <w:rPr>
          <w:color w:val="000000" w:themeColor="text1"/>
        </w:rPr>
        <w:t xml:space="preserve">their </w:t>
      </w:r>
      <w:hyperlink w:anchor="_2.1—Definitions" w:history="1">
        <w:r w:rsidR="00175487" w:rsidRPr="00B40A77">
          <w:rPr>
            <w:rStyle w:val="Hyperlink"/>
            <w:color w:val="000000" w:themeColor="text1"/>
          </w:rPr>
          <w:t>mental competence</w:t>
        </w:r>
      </w:hyperlink>
      <w:r w:rsidR="00901007" w:rsidRPr="00B40A77">
        <w:rPr>
          <w:color w:val="000000" w:themeColor="text1"/>
        </w:rPr>
        <w:t xml:space="preserve"> to commit an offence charged</w:t>
      </w:r>
      <w:r w:rsidR="0077040E" w:rsidRPr="00B40A77">
        <w:rPr>
          <w:color w:val="000000" w:themeColor="text1"/>
        </w:rPr>
        <w:t>;</w:t>
      </w:r>
    </w:p>
    <w:p w14:paraId="3ED43E96" w14:textId="35FA860A" w:rsidR="00901007" w:rsidRPr="00B40A77" w:rsidRDefault="00901007" w:rsidP="0077040E">
      <w:pPr>
        <w:pStyle w:val="Hangindent"/>
        <w:rPr>
          <w:color w:val="000000" w:themeColor="text1"/>
        </w:rPr>
      </w:pPr>
      <w:r w:rsidRPr="00B40A77">
        <w:rPr>
          <w:color w:val="000000" w:themeColor="text1"/>
        </w:rPr>
        <w:t>(</w:t>
      </w:r>
      <w:r w:rsidR="0063321F" w:rsidRPr="00B40A77">
        <w:rPr>
          <w:color w:val="000000" w:themeColor="text1"/>
        </w:rPr>
        <w:t>g</w:t>
      </w:r>
      <w:r w:rsidRPr="00B40A77">
        <w:rPr>
          <w:color w:val="000000" w:themeColor="text1"/>
        </w:rPr>
        <w:t>)</w:t>
      </w:r>
      <w:r w:rsidRPr="00B40A77">
        <w:rPr>
          <w:color w:val="000000" w:themeColor="text1"/>
        </w:rPr>
        <w:tab/>
        <w:t xml:space="preserve">Tax list—for hearings in matters where the </w:t>
      </w:r>
      <w:r w:rsidR="0055268C" w:rsidRPr="00B40A77">
        <w:rPr>
          <w:color w:val="000000" w:themeColor="text1"/>
        </w:rPr>
        <w:t>offences charged are Commonwealth taxation offences;</w:t>
      </w:r>
    </w:p>
    <w:p w14:paraId="038CA765" w14:textId="3A091022" w:rsidR="0077040E" w:rsidRPr="00B40A77" w:rsidRDefault="00E235CB" w:rsidP="0055268C">
      <w:pPr>
        <w:pStyle w:val="Hangindent"/>
        <w:rPr>
          <w:color w:val="000000" w:themeColor="text1"/>
        </w:rPr>
      </w:pPr>
      <w:r w:rsidRPr="00B40A77">
        <w:rPr>
          <w:color w:val="000000" w:themeColor="text1"/>
        </w:rPr>
        <w:t>(</w:t>
      </w:r>
      <w:r w:rsidR="0063321F" w:rsidRPr="00B40A77">
        <w:rPr>
          <w:color w:val="000000" w:themeColor="text1"/>
        </w:rPr>
        <w:t>h</w:t>
      </w:r>
      <w:r w:rsidR="0055268C" w:rsidRPr="00B40A77">
        <w:rPr>
          <w:color w:val="000000" w:themeColor="text1"/>
        </w:rPr>
        <w:t>)</w:t>
      </w:r>
      <w:r w:rsidR="0055268C" w:rsidRPr="00B40A77">
        <w:rPr>
          <w:color w:val="000000" w:themeColor="text1"/>
        </w:rPr>
        <w:tab/>
        <w:t xml:space="preserve">Commonwealth prosecutions </w:t>
      </w:r>
      <w:r w:rsidR="0077040E" w:rsidRPr="00B40A77">
        <w:rPr>
          <w:color w:val="000000" w:themeColor="text1"/>
        </w:rPr>
        <w:t>list—</w:t>
      </w:r>
      <w:r w:rsidR="0055268C" w:rsidRPr="00B40A77">
        <w:rPr>
          <w:color w:val="000000" w:themeColor="text1"/>
        </w:rPr>
        <w:t>for hearings in matters where the offences charged are Commonwealth offences other than taxation offences</w:t>
      </w:r>
      <w:r w:rsidR="0077040E" w:rsidRPr="00B40A77">
        <w:rPr>
          <w:color w:val="000000" w:themeColor="text1"/>
        </w:rPr>
        <w:t>;</w:t>
      </w:r>
    </w:p>
    <w:p w14:paraId="45FE85BD" w14:textId="70965808" w:rsidR="0077040E" w:rsidRPr="00B40A77" w:rsidRDefault="0077040E" w:rsidP="0077040E">
      <w:pPr>
        <w:pStyle w:val="Hangindent"/>
        <w:rPr>
          <w:color w:val="000000" w:themeColor="text1"/>
        </w:rPr>
      </w:pPr>
      <w:r w:rsidRPr="00B40A77">
        <w:rPr>
          <w:color w:val="000000" w:themeColor="text1"/>
        </w:rPr>
        <w:t>(</w:t>
      </w:r>
      <w:r w:rsidR="0063321F" w:rsidRPr="00B40A77">
        <w:rPr>
          <w:color w:val="000000" w:themeColor="text1"/>
        </w:rPr>
        <w:t>i</w:t>
      </w:r>
      <w:r w:rsidR="00444A38" w:rsidRPr="00B40A77">
        <w:rPr>
          <w:color w:val="000000" w:themeColor="text1"/>
        </w:rPr>
        <w:t>)</w:t>
      </w:r>
      <w:r w:rsidR="00444A38" w:rsidRPr="00B40A77">
        <w:rPr>
          <w:color w:val="000000" w:themeColor="text1"/>
        </w:rPr>
        <w:tab/>
        <w:t>C</w:t>
      </w:r>
      <w:r w:rsidRPr="00B40A77">
        <w:rPr>
          <w:color w:val="000000" w:themeColor="text1"/>
        </w:rPr>
        <w:t>ommittal list—</w:t>
      </w:r>
      <w:r w:rsidR="00E235CB" w:rsidRPr="00B40A77">
        <w:rPr>
          <w:color w:val="000000" w:themeColor="text1"/>
        </w:rPr>
        <w:t xml:space="preserve">for </w:t>
      </w:r>
      <w:r w:rsidRPr="00B40A77">
        <w:rPr>
          <w:color w:val="000000" w:themeColor="text1"/>
        </w:rPr>
        <w:t xml:space="preserve">hearings of major indictable and </w:t>
      </w:r>
      <w:hyperlink w:anchor="_2.1—Definitions" w:history="1">
        <w:r w:rsidRPr="00B40A77">
          <w:rPr>
            <w:rStyle w:val="Hyperlink"/>
            <w:color w:val="000000" w:themeColor="text1"/>
          </w:rPr>
          <w:t xml:space="preserve">Commonwealth indictable </w:t>
        </w:r>
        <w:r w:rsidR="009274D1" w:rsidRPr="00B40A77">
          <w:rPr>
            <w:rStyle w:val="Hyperlink"/>
            <w:color w:val="000000" w:themeColor="text1"/>
          </w:rPr>
          <w:t>offence</w:t>
        </w:r>
      </w:hyperlink>
      <w:r w:rsidR="009274D1" w:rsidRPr="00B40A77">
        <w:rPr>
          <w:color w:val="000000" w:themeColor="text1"/>
          <w:u w:val="single"/>
        </w:rPr>
        <w:t>s</w:t>
      </w:r>
      <w:r w:rsidRPr="00B40A77">
        <w:rPr>
          <w:color w:val="000000" w:themeColor="text1"/>
        </w:rPr>
        <w:t xml:space="preserve"> after the first </w:t>
      </w:r>
      <w:hyperlink w:anchor="_2.1—Definitions" w:history="1">
        <w:r w:rsidR="006D6EB8" w:rsidRPr="00B40A77">
          <w:rPr>
            <w:rStyle w:val="Hyperlink"/>
            <w:color w:val="000000" w:themeColor="text1"/>
          </w:rPr>
          <w:t>hearing</w:t>
        </w:r>
      </w:hyperlink>
      <w:r w:rsidRPr="00B40A77">
        <w:rPr>
          <w:color w:val="000000" w:themeColor="text1"/>
        </w:rPr>
        <w:t xml:space="preserve"> (unless the proceeding is not to be the subject of a committal) and of minor indictable matte</w:t>
      </w:r>
      <w:r w:rsidR="000E3C43" w:rsidRPr="00B40A77">
        <w:rPr>
          <w:color w:val="000000" w:themeColor="text1"/>
        </w:rPr>
        <w:t>r</w:t>
      </w:r>
      <w:r w:rsidRPr="00B40A77">
        <w:rPr>
          <w:color w:val="000000" w:themeColor="text1"/>
        </w:rPr>
        <w:t>s when the defendant has elected to be t</w:t>
      </w:r>
      <w:r w:rsidR="001B2B13" w:rsidRPr="00B40A77">
        <w:rPr>
          <w:color w:val="000000" w:themeColor="text1"/>
        </w:rPr>
        <w:t>ri</w:t>
      </w:r>
      <w:r w:rsidRPr="00B40A77">
        <w:rPr>
          <w:color w:val="000000" w:themeColor="text1"/>
        </w:rPr>
        <w:t xml:space="preserve">ed in a </w:t>
      </w:r>
      <w:hyperlink w:anchor="_2.1—Definitions" w:history="1">
        <w:r w:rsidRPr="00B40A77">
          <w:rPr>
            <w:rStyle w:val="Hyperlink"/>
            <w:color w:val="000000" w:themeColor="text1"/>
          </w:rPr>
          <w:t>Higher Court</w:t>
        </w:r>
      </w:hyperlink>
      <w:r w:rsidRPr="00B40A77">
        <w:rPr>
          <w:color w:val="000000" w:themeColor="text1"/>
        </w:rPr>
        <w:t>;</w:t>
      </w:r>
    </w:p>
    <w:p w14:paraId="524B3965" w14:textId="52BC2737" w:rsidR="00444A38" w:rsidRPr="00B40A77" w:rsidRDefault="00444A38" w:rsidP="00444A38">
      <w:pPr>
        <w:pStyle w:val="Hangindent"/>
        <w:rPr>
          <w:color w:val="000000" w:themeColor="text1"/>
        </w:rPr>
      </w:pPr>
      <w:r w:rsidRPr="00B40A77">
        <w:rPr>
          <w:color w:val="000000" w:themeColor="text1"/>
        </w:rPr>
        <w:t>(</w:t>
      </w:r>
      <w:r w:rsidR="0063321F" w:rsidRPr="00B40A77">
        <w:rPr>
          <w:color w:val="000000" w:themeColor="text1"/>
        </w:rPr>
        <w:t>j</w:t>
      </w:r>
      <w:r w:rsidRPr="00B40A77">
        <w:rPr>
          <w:color w:val="000000" w:themeColor="text1"/>
        </w:rPr>
        <w:t>)</w:t>
      </w:r>
      <w:r w:rsidRPr="00B40A77">
        <w:rPr>
          <w:color w:val="000000" w:themeColor="text1"/>
        </w:rPr>
        <w:tab/>
        <w:t>Committal severed files list</w:t>
      </w:r>
      <w:r w:rsidR="00E52DBA" w:rsidRPr="00B40A77">
        <w:rPr>
          <w:color w:val="000000" w:themeColor="text1"/>
        </w:rPr>
        <w:t>—</w:t>
      </w:r>
      <w:r w:rsidRPr="00B40A77">
        <w:rPr>
          <w:color w:val="000000" w:themeColor="text1"/>
        </w:rPr>
        <w:t xml:space="preserve">for proceedings charging summary or </w:t>
      </w:r>
      <w:hyperlink w:anchor="_2.1—Definitions" w:history="1">
        <w:r w:rsidR="005A680E" w:rsidRPr="00B40A77">
          <w:rPr>
            <w:rStyle w:val="Hyperlink"/>
            <w:color w:val="000000" w:themeColor="text1"/>
          </w:rPr>
          <w:t>minor indictable offence</w:t>
        </w:r>
      </w:hyperlink>
      <w:r w:rsidRPr="00B40A77">
        <w:rPr>
          <w:color w:val="000000" w:themeColor="text1"/>
          <w:u w:val="single"/>
        </w:rPr>
        <w:t>s</w:t>
      </w:r>
      <w:r w:rsidRPr="00B40A77">
        <w:rPr>
          <w:color w:val="000000" w:themeColor="text1"/>
        </w:rPr>
        <w:t xml:space="preserve"> arising out of the same facts as a major indictable proceeding and which</w:t>
      </w:r>
      <w:r w:rsidR="001B1AB1" w:rsidRPr="00B40A77">
        <w:rPr>
          <w:color w:val="000000" w:themeColor="text1"/>
        </w:rPr>
        <w:t xml:space="preserve"> </w:t>
      </w:r>
      <w:r w:rsidR="00693098" w:rsidRPr="00B40A77">
        <w:rPr>
          <w:color w:val="000000" w:themeColor="text1"/>
        </w:rPr>
        <w:t xml:space="preserve">are </w:t>
      </w:r>
      <w:r w:rsidRPr="00B40A77">
        <w:rPr>
          <w:color w:val="000000" w:themeColor="text1"/>
        </w:rPr>
        <w:t>await</w:t>
      </w:r>
      <w:r w:rsidR="00693098" w:rsidRPr="00B40A77">
        <w:rPr>
          <w:color w:val="000000" w:themeColor="text1"/>
        </w:rPr>
        <w:t>ing</w:t>
      </w:r>
      <w:r w:rsidRPr="00B40A77">
        <w:rPr>
          <w:color w:val="000000" w:themeColor="text1"/>
        </w:rPr>
        <w:t xml:space="preserve"> the outcome of the major indictable proceeding</w:t>
      </w:r>
      <w:r w:rsidR="00546844" w:rsidRPr="00B40A77">
        <w:rPr>
          <w:color w:val="000000" w:themeColor="text1"/>
        </w:rPr>
        <w:t>;</w:t>
      </w:r>
    </w:p>
    <w:p w14:paraId="5B117AE4" w14:textId="17394093" w:rsidR="00957647" w:rsidRPr="00B40A77" w:rsidRDefault="00E235CB" w:rsidP="00957647">
      <w:pPr>
        <w:pStyle w:val="Hangindent"/>
        <w:rPr>
          <w:color w:val="000000" w:themeColor="text1"/>
        </w:rPr>
      </w:pPr>
      <w:r w:rsidRPr="00B40A77">
        <w:rPr>
          <w:color w:val="000000" w:themeColor="text1"/>
        </w:rPr>
        <w:t>(</w:t>
      </w:r>
      <w:r w:rsidR="0063321F" w:rsidRPr="00B40A77">
        <w:rPr>
          <w:color w:val="000000" w:themeColor="text1"/>
        </w:rPr>
        <w:t>k</w:t>
      </w:r>
      <w:r w:rsidR="00957647" w:rsidRPr="00B40A77">
        <w:rPr>
          <w:color w:val="000000" w:themeColor="text1"/>
        </w:rPr>
        <w:t>)</w:t>
      </w:r>
      <w:r w:rsidR="00957647" w:rsidRPr="00B40A77">
        <w:rPr>
          <w:color w:val="000000" w:themeColor="text1"/>
        </w:rPr>
        <w:tab/>
        <w:t>Pre-trial conference list—</w:t>
      </w:r>
      <w:r w:rsidRPr="00B40A77">
        <w:rPr>
          <w:color w:val="000000" w:themeColor="text1"/>
        </w:rPr>
        <w:t xml:space="preserve">for </w:t>
      </w:r>
      <w:hyperlink w:anchor="_2.1—Definitions" w:history="1">
        <w:r w:rsidR="00012B38" w:rsidRPr="00B40A77">
          <w:rPr>
            <w:rStyle w:val="Hyperlink"/>
            <w:color w:val="000000" w:themeColor="text1"/>
            <w:lang w:val="en-US"/>
          </w:rPr>
          <w:t>pre-trial conference</w:t>
        </w:r>
      </w:hyperlink>
      <w:r w:rsidR="00957647" w:rsidRPr="00B40A77">
        <w:rPr>
          <w:color w:val="000000" w:themeColor="text1"/>
          <w:u w:val="single"/>
        </w:rPr>
        <w:t>s</w:t>
      </w:r>
      <w:r w:rsidR="00957647" w:rsidRPr="00B40A77">
        <w:rPr>
          <w:color w:val="000000" w:themeColor="text1"/>
        </w:rPr>
        <w:t>;</w:t>
      </w:r>
    </w:p>
    <w:p w14:paraId="6B59B18E" w14:textId="0A6F07D8" w:rsidR="00444A38" w:rsidRPr="00B40A77" w:rsidRDefault="00E235CB" w:rsidP="00444A38">
      <w:pPr>
        <w:pStyle w:val="Hangindent"/>
        <w:rPr>
          <w:color w:val="000000" w:themeColor="text1"/>
        </w:rPr>
      </w:pPr>
      <w:r w:rsidRPr="00B40A77">
        <w:rPr>
          <w:color w:val="000000" w:themeColor="text1"/>
        </w:rPr>
        <w:t>(</w:t>
      </w:r>
      <w:r w:rsidR="0063321F" w:rsidRPr="00B40A77">
        <w:rPr>
          <w:color w:val="000000" w:themeColor="text1"/>
        </w:rPr>
        <w:t>l</w:t>
      </w:r>
      <w:r w:rsidR="00444A38" w:rsidRPr="00B40A77">
        <w:rPr>
          <w:color w:val="000000" w:themeColor="text1"/>
        </w:rPr>
        <w:t>)</w:t>
      </w:r>
      <w:r w:rsidR="00444A38" w:rsidRPr="00B40A77">
        <w:rPr>
          <w:color w:val="000000" w:themeColor="text1"/>
        </w:rPr>
        <w:tab/>
        <w:t>Pre-trial conference following files list</w:t>
      </w:r>
      <w:r w:rsidR="00546844" w:rsidRPr="00B40A77">
        <w:rPr>
          <w:color w:val="000000" w:themeColor="text1"/>
        </w:rPr>
        <w:t>—</w:t>
      </w:r>
      <w:r w:rsidR="00444A38" w:rsidRPr="00B40A77">
        <w:rPr>
          <w:color w:val="000000" w:themeColor="text1"/>
        </w:rPr>
        <w:t xml:space="preserve">for uncontested proceedings awaiting </w:t>
      </w:r>
      <w:r w:rsidR="00693098" w:rsidRPr="00B40A77">
        <w:rPr>
          <w:color w:val="000000" w:themeColor="text1"/>
        </w:rPr>
        <w:t xml:space="preserve">the outcome of </w:t>
      </w:r>
      <w:r w:rsidR="00444A38" w:rsidRPr="00B40A77">
        <w:rPr>
          <w:color w:val="000000" w:themeColor="text1"/>
        </w:rPr>
        <w:t xml:space="preserve">contested </w:t>
      </w:r>
      <w:r w:rsidR="00546844" w:rsidRPr="00B40A77">
        <w:rPr>
          <w:color w:val="000000" w:themeColor="text1"/>
        </w:rPr>
        <w:t xml:space="preserve">proceedings listed for </w:t>
      </w:r>
      <w:hyperlink w:anchor="_2.1—Definitions" w:history="1">
        <w:r w:rsidR="00012B38" w:rsidRPr="00B40A77">
          <w:rPr>
            <w:rStyle w:val="Hyperlink"/>
            <w:color w:val="000000" w:themeColor="text1"/>
            <w:lang w:val="en-US"/>
          </w:rPr>
          <w:t>pre-trial conference</w:t>
        </w:r>
      </w:hyperlink>
      <w:r w:rsidR="00546844" w:rsidRPr="00B40A77">
        <w:rPr>
          <w:color w:val="000000" w:themeColor="text1"/>
        </w:rPr>
        <w:t>;</w:t>
      </w:r>
    </w:p>
    <w:p w14:paraId="505D7867" w14:textId="1C662271" w:rsidR="0077040E" w:rsidRPr="00B40A77" w:rsidRDefault="00812CED" w:rsidP="00957647">
      <w:pPr>
        <w:pStyle w:val="Hangindent"/>
        <w:rPr>
          <w:color w:val="000000" w:themeColor="text1"/>
        </w:rPr>
      </w:pPr>
      <w:r w:rsidRPr="00B40A77">
        <w:rPr>
          <w:color w:val="000000" w:themeColor="text1"/>
        </w:rPr>
        <w:t>(</w:t>
      </w:r>
      <w:r w:rsidR="0063321F" w:rsidRPr="00B40A77">
        <w:rPr>
          <w:color w:val="000000" w:themeColor="text1"/>
        </w:rPr>
        <w:t>m</w:t>
      </w:r>
      <w:r w:rsidR="00957647" w:rsidRPr="00B40A77">
        <w:rPr>
          <w:color w:val="000000" w:themeColor="text1"/>
        </w:rPr>
        <w:t>)</w:t>
      </w:r>
      <w:r w:rsidR="00957647" w:rsidRPr="00B40A77">
        <w:rPr>
          <w:color w:val="000000" w:themeColor="text1"/>
        </w:rPr>
        <w:tab/>
        <w:t>T</w:t>
      </w:r>
      <w:r w:rsidR="0077040E" w:rsidRPr="00B40A77">
        <w:rPr>
          <w:color w:val="000000" w:themeColor="text1"/>
        </w:rPr>
        <w:t>rial callover list</w:t>
      </w:r>
      <w:r w:rsidR="00957647" w:rsidRPr="00B40A77">
        <w:rPr>
          <w:color w:val="000000" w:themeColor="text1"/>
        </w:rPr>
        <w:t>—</w:t>
      </w:r>
      <w:r w:rsidR="003E72EC" w:rsidRPr="00B40A77">
        <w:rPr>
          <w:color w:val="000000" w:themeColor="text1"/>
        </w:rPr>
        <w:t xml:space="preserve">for </w:t>
      </w:r>
      <w:r w:rsidR="00B845C7" w:rsidRPr="00B40A77">
        <w:rPr>
          <w:color w:val="000000" w:themeColor="text1"/>
        </w:rPr>
        <w:t xml:space="preserve">the </w:t>
      </w:r>
      <w:r w:rsidR="003E72EC" w:rsidRPr="00B40A77">
        <w:rPr>
          <w:color w:val="000000" w:themeColor="text1"/>
        </w:rPr>
        <w:t>allocati</w:t>
      </w:r>
      <w:r w:rsidR="00B845C7" w:rsidRPr="00B40A77">
        <w:rPr>
          <w:color w:val="000000" w:themeColor="text1"/>
        </w:rPr>
        <w:t>on</w:t>
      </w:r>
      <w:r w:rsidR="003E72EC" w:rsidRPr="00B40A77">
        <w:rPr>
          <w:color w:val="000000" w:themeColor="text1"/>
        </w:rPr>
        <w:t xml:space="preserve"> </w:t>
      </w:r>
      <w:r w:rsidR="00B845C7" w:rsidRPr="00B40A77">
        <w:rPr>
          <w:color w:val="000000" w:themeColor="text1"/>
        </w:rPr>
        <w:t xml:space="preserve">of </w:t>
      </w:r>
      <w:r w:rsidR="003E72EC" w:rsidRPr="00B40A77">
        <w:rPr>
          <w:color w:val="000000" w:themeColor="text1"/>
        </w:rPr>
        <w:t xml:space="preserve">trials </w:t>
      </w:r>
      <w:r w:rsidR="00957647" w:rsidRPr="00B40A77">
        <w:rPr>
          <w:color w:val="000000" w:themeColor="text1"/>
        </w:rPr>
        <w:t xml:space="preserve">to Magistrates and courtrooms </w:t>
      </w:r>
      <w:r w:rsidR="00B845C7" w:rsidRPr="00B40A77">
        <w:rPr>
          <w:color w:val="000000" w:themeColor="text1"/>
        </w:rPr>
        <w:t xml:space="preserve">on the morning of trial </w:t>
      </w:r>
      <w:r w:rsidR="00957647" w:rsidRPr="00B40A77">
        <w:rPr>
          <w:color w:val="000000" w:themeColor="text1"/>
        </w:rPr>
        <w:t xml:space="preserve">and </w:t>
      </w:r>
      <w:r w:rsidR="00B845C7" w:rsidRPr="00B40A77">
        <w:rPr>
          <w:color w:val="000000" w:themeColor="text1"/>
        </w:rPr>
        <w:t xml:space="preserve">for the </w:t>
      </w:r>
      <w:r w:rsidR="00957647" w:rsidRPr="00B40A77">
        <w:rPr>
          <w:color w:val="000000" w:themeColor="text1"/>
        </w:rPr>
        <w:t>hea</w:t>
      </w:r>
      <w:r w:rsidR="00546844" w:rsidRPr="00B40A77">
        <w:rPr>
          <w:color w:val="000000" w:themeColor="text1"/>
        </w:rPr>
        <w:t>ring of pre-trial applications;</w:t>
      </w:r>
    </w:p>
    <w:p w14:paraId="126DEF34" w14:textId="7118487A" w:rsidR="00546844" w:rsidRPr="00B40A77" w:rsidRDefault="00E235CB" w:rsidP="00957647">
      <w:pPr>
        <w:pStyle w:val="Hangindent"/>
        <w:rPr>
          <w:color w:val="000000" w:themeColor="text1"/>
        </w:rPr>
      </w:pPr>
      <w:r w:rsidRPr="00B40A77">
        <w:rPr>
          <w:color w:val="000000" w:themeColor="text1"/>
        </w:rPr>
        <w:t>(</w:t>
      </w:r>
      <w:r w:rsidR="0063321F" w:rsidRPr="00B40A77">
        <w:rPr>
          <w:color w:val="000000" w:themeColor="text1"/>
        </w:rPr>
        <w:t>n</w:t>
      </w:r>
      <w:r w:rsidR="00546844" w:rsidRPr="00B40A77">
        <w:rPr>
          <w:color w:val="000000" w:themeColor="text1"/>
        </w:rPr>
        <w:t>)</w:t>
      </w:r>
      <w:r w:rsidR="00546844" w:rsidRPr="00B40A77">
        <w:rPr>
          <w:color w:val="000000" w:themeColor="text1"/>
        </w:rPr>
        <w:tab/>
        <w:t>Special Justices list—for proceedings capable of being finalised by a Special Justice.</w:t>
      </w:r>
    </w:p>
    <w:p w14:paraId="26586568" w14:textId="402B4058" w:rsidR="000B29F4" w:rsidRPr="00B40A77" w:rsidRDefault="000B29F4" w:rsidP="000B29F4">
      <w:pPr>
        <w:pStyle w:val="Heading3"/>
        <w:rPr>
          <w:color w:val="000000" w:themeColor="text1"/>
        </w:rPr>
      </w:pPr>
      <w:bookmarkStart w:id="76" w:name="_Toc175238754"/>
      <w:r w:rsidRPr="00B40A77">
        <w:rPr>
          <w:color w:val="000000" w:themeColor="text1"/>
        </w:rPr>
        <w:t>Division 5—Sittings</w:t>
      </w:r>
      <w:bookmarkEnd w:id="76"/>
    </w:p>
    <w:p w14:paraId="283713CF" w14:textId="5F16A695" w:rsidR="000B29F4" w:rsidRPr="00B40A77" w:rsidRDefault="000B29F4" w:rsidP="000B29F4">
      <w:pPr>
        <w:pStyle w:val="Heading4"/>
        <w:rPr>
          <w:color w:val="000000" w:themeColor="text1"/>
        </w:rPr>
      </w:pPr>
      <w:bookmarkStart w:id="77" w:name="_Toc175238755"/>
      <w:r w:rsidRPr="00B40A77">
        <w:rPr>
          <w:color w:val="000000" w:themeColor="text1"/>
        </w:rPr>
        <w:t>15.1—Sittings</w:t>
      </w:r>
      <w:bookmarkEnd w:id="77"/>
    </w:p>
    <w:p w14:paraId="7274CF19" w14:textId="4C5D1D13" w:rsidR="000B29F4" w:rsidRPr="00B40A77" w:rsidRDefault="00B04EEA" w:rsidP="00211EE4">
      <w:pPr>
        <w:pStyle w:val="Hangindent"/>
        <w:keepNext/>
        <w:ind w:left="567" w:firstLine="0"/>
        <w:rPr>
          <w:color w:val="000000" w:themeColor="text1"/>
          <w:lang w:val="en-US"/>
        </w:rPr>
      </w:pPr>
      <w:r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t>
      </w:r>
      <w:r w:rsidR="00EE5609" w:rsidRPr="00B40A77">
        <w:rPr>
          <w:color w:val="000000" w:themeColor="text1"/>
          <w:lang w:val="en-US"/>
        </w:rPr>
        <w:t xml:space="preserve">must publish determinations </w:t>
      </w:r>
      <w:r w:rsidRPr="00B40A77">
        <w:rPr>
          <w:color w:val="000000" w:themeColor="text1"/>
          <w:lang w:val="en-US"/>
        </w:rPr>
        <w:t>by t</w:t>
      </w:r>
      <w:r w:rsidRPr="00B40A77">
        <w:rPr>
          <w:color w:val="000000" w:themeColor="text1"/>
        </w:rPr>
        <w:t xml:space="preserve">he </w:t>
      </w:r>
      <w:hyperlink w:anchor="_2.1—Definitions" w:history="1">
        <w:r w:rsidRPr="00B40A77">
          <w:rPr>
            <w:color w:val="000000" w:themeColor="text1"/>
            <w:u w:val="single"/>
          </w:rPr>
          <w:t>Chief Judicial Officer</w:t>
        </w:r>
      </w:hyperlink>
      <w:r w:rsidRPr="00B40A77">
        <w:rPr>
          <w:color w:val="000000" w:themeColor="text1"/>
        </w:rPr>
        <w:t xml:space="preserve"> of the times and places at which the </w:t>
      </w:r>
      <w:r w:rsidR="003E5BBB" w:rsidRPr="00B40A77">
        <w:rPr>
          <w:color w:val="000000" w:themeColor="text1"/>
        </w:rPr>
        <w:t xml:space="preserve">Court </w:t>
      </w:r>
      <w:r w:rsidRPr="00B40A77">
        <w:rPr>
          <w:color w:val="000000" w:themeColor="text1"/>
        </w:rPr>
        <w:t xml:space="preserve">will sit </w:t>
      </w:r>
      <w:r w:rsidR="000B29F4" w:rsidRPr="00B40A77">
        <w:rPr>
          <w:color w:val="000000" w:themeColor="text1"/>
          <w:lang w:val="en-US"/>
        </w:rPr>
        <w:t xml:space="preserve">on the </w:t>
      </w:r>
      <w:hyperlink w:anchor="_2.1—Definitions" w:history="1">
        <w:r w:rsidR="000B29F4" w:rsidRPr="00B40A77">
          <w:rPr>
            <w:rStyle w:val="Hyperlink"/>
            <w:color w:val="000000" w:themeColor="text1"/>
            <w:lang w:val="en-US"/>
          </w:rPr>
          <w:t>CAA website</w:t>
        </w:r>
      </w:hyperlink>
      <w:r w:rsidR="000B29F4" w:rsidRPr="00B40A77">
        <w:rPr>
          <w:color w:val="000000" w:themeColor="text1"/>
          <w:lang w:val="en-US"/>
        </w:rPr>
        <w:t>.</w:t>
      </w:r>
    </w:p>
    <w:p w14:paraId="4F1DE35A" w14:textId="77777777" w:rsidR="00B04EEA" w:rsidRPr="00B40A77" w:rsidRDefault="00B04EEA" w:rsidP="00452733">
      <w:pPr>
        <w:pStyle w:val="NoteHeader"/>
        <w:keepNext/>
        <w:keepLines/>
        <w:ind w:left="567"/>
        <w:rPr>
          <w:color w:val="000000" w:themeColor="text1"/>
        </w:rPr>
      </w:pPr>
      <w:r w:rsidRPr="00B40A77">
        <w:rPr>
          <w:color w:val="000000" w:themeColor="text1"/>
        </w:rPr>
        <w:t>Notes—</w:t>
      </w:r>
    </w:p>
    <w:p w14:paraId="491AB96D" w14:textId="0EF2E2D3" w:rsidR="007476C5" w:rsidRPr="00B40A77" w:rsidRDefault="00B04EEA" w:rsidP="00435662">
      <w:pPr>
        <w:pStyle w:val="NoteText"/>
        <w:keepLines/>
        <w:ind w:left="851"/>
        <w:rPr>
          <w:color w:val="000000" w:themeColor="text1"/>
        </w:rPr>
      </w:pPr>
      <w:r w:rsidRPr="00B40A77">
        <w:rPr>
          <w:color w:val="000000" w:themeColor="text1"/>
        </w:rPr>
        <w:t xml:space="preserve">Section 45 of the </w:t>
      </w:r>
      <w:r w:rsidRPr="00B40A77">
        <w:rPr>
          <w:i/>
          <w:iCs/>
          <w:color w:val="000000" w:themeColor="text1"/>
        </w:rPr>
        <w:t>Supreme Court Act 1935</w:t>
      </w:r>
      <w:r w:rsidRPr="00B40A77">
        <w:rPr>
          <w:color w:val="000000" w:themeColor="text1"/>
        </w:rPr>
        <w:t xml:space="preserve"> </w:t>
      </w:r>
      <w:r w:rsidR="007476C5" w:rsidRPr="00B40A77">
        <w:rPr>
          <w:color w:val="000000" w:themeColor="text1"/>
        </w:rPr>
        <w:t xml:space="preserve">provides for the Court to sit as such times and places as the Chief Justice (in respect of the general division) or President (in respect of the appeal division) direct. </w:t>
      </w:r>
    </w:p>
    <w:p w14:paraId="454A036C" w14:textId="2B31323A" w:rsidR="007476C5" w:rsidRPr="00B40A77" w:rsidRDefault="007476C5">
      <w:pPr>
        <w:pStyle w:val="NoteText"/>
        <w:keepLines/>
        <w:ind w:left="851"/>
        <w:rPr>
          <w:color w:val="000000" w:themeColor="text1"/>
        </w:rPr>
      </w:pPr>
      <w:r w:rsidRPr="00B40A77">
        <w:rPr>
          <w:color w:val="000000" w:themeColor="text1"/>
        </w:rPr>
        <w:lastRenderedPageBreak/>
        <w:t xml:space="preserve">Section 21 of the </w:t>
      </w:r>
      <w:r w:rsidRPr="00B40A77">
        <w:rPr>
          <w:i/>
          <w:iCs/>
          <w:color w:val="000000" w:themeColor="text1"/>
        </w:rPr>
        <w:t>District Court Act 1991</w:t>
      </w:r>
      <w:r w:rsidRPr="00B40A77">
        <w:rPr>
          <w:color w:val="000000" w:themeColor="text1"/>
        </w:rPr>
        <w:t xml:space="preserve"> provides for the Court to sit as such times and places as the </w:t>
      </w:r>
      <w:hyperlink w:anchor="_2.1—Definitions" w:history="1">
        <w:r w:rsidR="00B9204D" w:rsidRPr="00B40A77">
          <w:rPr>
            <w:rStyle w:val="Hyperlink"/>
            <w:color w:val="000000" w:themeColor="text1"/>
            <w:lang w:val="en-US"/>
          </w:rPr>
          <w:t>Chief Judge</w:t>
        </w:r>
      </w:hyperlink>
      <w:r w:rsidRPr="00B40A77">
        <w:rPr>
          <w:color w:val="000000" w:themeColor="text1"/>
        </w:rPr>
        <w:t xml:space="preserve"> directs. </w:t>
      </w:r>
    </w:p>
    <w:p w14:paraId="3BFFE27D" w14:textId="1960AA1F" w:rsidR="007476C5" w:rsidRPr="00B40A77" w:rsidRDefault="007476C5">
      <w:pPr>
        <w:pStyle w:val="NoteText"/>
        <w:keepLines/>
        <w:ind w:left="851"/>
        <w:rPr>
          <w:color w:val="000000" w:themeColor="text1"/>
        </w:rPr>
      </w:pPr>
      <w:r w:rsidRPr="00B40A77">
        <w:rPr>
          <w:color w:val="000000" w:themeColor="text1"/>
        </w:rPr>
        <w:t xml:space="preserve">Section 18 of the </w:t>
      </w:r>
      <w:r w:rsidRPr="00B40A77">
        <w:rPr>
          <w:i/>
          <w:iCs/>
          <w:color w:val="000000" w:themeColor="text1"/>
        </w:rPr>
        <w:t>Environment, Resources and Development Court Act 199</w:t>
      </w:r>
      <w:r w:rsidR="00C20C9C" w:rsidRPr="00B40A77">
        <w:rPr>
          <w:i/>
          <w:iCs/>
          <w:color w:val="000000" w:themeColor="text1"/>
        </w:rPr>
        <w:t>3</w:t>
      </w:r>
      <w:r w:rsidRPr="00B40A77">
        <w:rPr>
          <w:color w:val="000000" w:themeColor="text1"/>
        </w:rPr>
        <w:t xml:space="preserve"> provides for the Court to sit as such times and places as the </w:t>
      </w:r>
      <w:hyperlink w:anchor="_2.1—Definitions" w:history="1">
        <w:r w:rsidRPr="00B40A77">
          <w:rPr>
            <w:rStyle w:val="Hyperlink"/>
            <w:color w:val="000000" w:themeColor="text1"/>
          </w:rPr>
          <w:t>Senior Judge</w:t>
        </w:r>
      </w:hyperlink>
      <w:r w:rsidRPr="00B40A77">
        <w:rPr>
          <w:color w:val="000000" w:themeColor="text1"/>
        </w:rPr>
        <w:t xml:space="preserve"> directs. </w:t>
      </w:r>
    </w:p>
    <w:p w14:paraId="2C823BB0" w14:textId="1C508096" w:rsidR="007476C5" w:rsidRPr="00B40A77" w:rsidRDefault="007476C5">
      <w:pPr>
        <w:pStyle w:val="NoteText"/>
        <w:keepLines/>
        <w:ind w:left="851"/>
        <w:rPr>
          <w:color w:val="000000" w:themeColor="text1"/>
        </w:rPr>
      </w:pPr>
      <w:r w:rsidRPr="00B40A77">
        <w:rPr>
          <w:color w:val="000000" w:themeColor="text1"/>
        </w:rPr>
        <w:t>Section 1</w:t>
      </w:r>
      <w:r w:rsidR="00110491" w:rsidRPr="00B40A77">
        <w:rPr>
          <w:color w:val="000000" w:themeColor="text1"/>
        </w:rPr>
        <w:t>5</w:t>
      </w:r>
      <w:r w:rsidRPr="00B40A77">
        <w:rPr>
          <w:color w:val="000000" w:themeColor="text1"/>
        </w:rPr>
        <w:t xml:space="preserve"> of the </w:t>
      </w:r>
      <w:r w:rsidR="00110491" w:rsidRPr="00B40A77">
        <w:rPr>
          <w:i/>
          <w:iCs/>
          <w:color w:val="000000" w:themeColor="text1"/>
        </w:rPr>
        <w:t>Youth</w:t>
      </w:r>
      <w:r w:rsidRPr="00B40A77">
        <w:rPr>
          <w:i/>
          <w:iCs/>
          <w:color w:val="000000" w:themeColor="text1"/>
        </w:rPr>
        <w:t xml:space="preserve"> Court Act 199</w:t>
      </w:r>
      <w:r w:rsidR="00110491" w:rsidRPr="00B40A77">
        <w:rPr>
          <w:i/>
          <w:iCs/>
          <w:color w:val="000000" w:themeColor="text1"/>
        </w:rPr>
        <w:t>3</w:t>
      </w:r>
      <w:r w:rsidRPr="00B40A77">
        <w:rPr>
          <w:color w:val="000000" w:themeColor="text1"/>
        </w:rPr>
        <w:t xml:space="preserve"> provides for the Court to sit as such times and places as the Judge directs. </w:t>
      </w:r>
    </w:p>
    <w:p w14:paraId="1B38A196" w14:textId="09414BB2" w:rsidR="007476C5" w:rsidRPr="00B40A77" w:rsidRDefault="007476C5">
      <w:pPr>
        <w:pStyle w:val="NoteText"/>
        <w:keepLines/>
        <w:ind w:left="851"/>
        <w:rPr>
          <w:color w:val="000000" w:themeColor="text1"/>
        </w:rPr>
      </w:pPr>
      <w:r w:rsidRPr="00B40A77">
        <w:rPr>
          <w:color w:val="000000" w:themeColor="text1"/>
        </w:rPr>
        <w:t xml:space="preserve">Section 16 of the </w:t>
      </w:r>
      <w:r w:rsidRPr="00B40A77">
        <w:rPr>
          <w:i/>
          <w:iCs/>
          <w:color w:val="000000" w:themeColor="text1"/>
        </w:rPr>
        <w:t>Magistrates Court Act 1991</w:t>
      </w:r>
      <w:r w:rsidRPr="00B40A77">
        <w:rPr>
          <w:color w:val="000000" w:themeColor="text1"/>
        </w:rPr>
        <w:t xml:space="preserve"> provides for the Court to sit as such times and places as the </w:t>
      </w:r>
      <w:r w:rsidR="001742C0" w:rsidRPr="00B40A77">
        <w:rPr>
          <w:color w:val="000000" w:themeColor="text1"/>
          <w:lang w:val="en-US"/>
        </w:rPr>
        <w:t>Chief Magistrate</w:t>
      </w:r>
      <w:r w:rsidRPr="00B40A77">
        <w:rPr>
          <w:color w:val="000000" w:themeColor="text1"/>
        </w:rPr>
        <w:t xml:space="preserve"> directs. </w:t>
      </w:r>
    </w:p>
    <w:p w14:paraId="160C676A" w14:textId="1A3C5915" w:rsidR="00E92F83" w:rsidRPr="00B40A77" w:rsidRDefault="003C1E71" w:rsidP="001103F0">
      <w:pPr>
        <w:pStyle w:val="Heading2"/>
        <w:keepNext/>
        <w:rPr>
          <w:color w:val="000000" w:themeColor="text1"/>
        </w:rPr>
      </w:pPr>
      <w:bookmarkStart w:id="78" w:name="_Toc175238756"/>
      <w:r w:rsidRPr="00B40A77">
        <w:rPr>
          <w:color w:val="000000" w:themeColor="text1"/>
        </w:rPr>
        <w:t>Part 2</w:t>
      </w:r>
      <w:r w:rsidR="006F4200" w:rsidRPr="00B40A77">
        <w:rPr>
          <w:color w:val="000000" w:themeColor="text1"/>
        </w:rPr>
        <w:t>—</w:t>
      </w:r>
      <w:r w:rsidR="00662772" w:rsidRPr="00B40A77">
        <w:rPr>
          <w:color w:val="000000" w:themeColor="text1"/>
        </w:rPr>
        <w:t>Administration</w:t>
      </w:r>
      <w:r w:rsidRPr="00B40A77">
        <w:rPr>
          <w:color w:val="000000" w:themeColor="text1"/>
        </w:rPr>
        <w:t xml:space="preserve"> of the Court</w:t>
      </w:r>
      <w:bookmarkEnd w:id="78"/>
    </w:p>
    <w:p w14:paraId="74E7FBE3" w14:textId="157DEB75" w:rsidR="001B62DC" w:rsidRPr="00B40A77" w:rsidRDefault="003C1E71" w:rsidP="00390A7B">
      <w:pPr>
        <w:pStyle w:val="Heading3"/>
        <w:rPr>
          <w:color w:val="000000" w:themeColor="text1"/>
        </w:rPr>
      </w:pPr>
      <w:bookmarkStart w:id="79" w:name="_Toc175238757"/>
      <w:r w:rsidRPr="00B40A77">
        <w:rPr>
          <w:color w:val="000000" w:themeColor="text1"/>
        </w:rPr>
        <w:t>D</w:t>
      </w:r>
      <w:r w:rsidR="001B62DC" w:rsidRPr="00B40A77">
        <w:rPr>
          <w:color w:val="000000" w:themeColor="text1"/>
        </w:rPr>
        <w:t>ivision 1</w:t>
      </w:r>
      <w:r w:rsidR="006F4200" w:rsidRPr="00B40A77">
        <w:rPr>
          <w:color w:val="000000" w:themeColor="text1"/>
        </w:rPr>
        <w:t>—</w:t>
      </w:r>
      <w:r w:rsidR="001B62DC" w:rsidRPr="00B40A77">
        <w:rPr>
          <w:color w:val="000000" w:themeColor="text1"/>
        </w:rPr>
        <w:t>General</w:t>
      </w:r>
      <w:bookmarkEnd w:id="79"/>
    </w:p>
    <w:p w14:paraId="02B71E04" w14:textId="451B95FA" w:rsidR="005F79D6" w:rsidRPr="00B40A77" w:rsidRDefault="006C7682" w:rsidP="004057D2">
      <w:pPr>
        <w:pStyle w:val="Heading4"/>
        <w:rPr>
          <w:color w:val="000000" w:themeColor="text1"/>
        </w:rPr>
      </w:pPr>
      <w:bookmarkStart w:id="80" w:name="_Toc175238758"/>
      <w:r w:rsidRPr="00B40A77">
        <w:rPr>
          <w:color w:val="000000" w:themeColor="text1"/>
        </w:rPr>
        <w:t>1</w:t>
      </w:r>
      <w:r w:rsidR="00866E49" w:rsidRPr="00B40A77">
        <w:rPr>
          <w:color w:val="000000" w:themeColor="text1"/>
        </w:rPr>
        <w:t>6</w:t>
      </w:r>
      <w:r w:rsidR="009F244F" w:rsidRPr="00B40A77">
        <w:rPr>
          <w:color w:val="000000" w:themeColor="text1"/>
        </w:rPr>
        <w:t>.1</w:t>
      </w:r>
      <w:r w:rsidR="008B5DFB" w:rsidRPr="00B40A77">
        <w:rPr>
          <w:color w:val="000000" w:themeColor="text1"/>
        </w:rPr>
        <w:t>—</w:t>
      </w:r>
      <w:r w:rsidR="00290582" w:rsidRPr="00B40A77">
        <w:rPr>
          <w:color w:val="000000" w:themeColor="text1"/>
        </w:rPr>
        <w:t>Chief Judicial Officer</w:t>
      </w:r>
      <w:bookmarkEnd w:id="80"/>
    </w:p>
    <w:p w14:paraId="46073E51" w14:textId="278E0C90" w:rsidR="005F79D6" w:rsidRPr="00B40A77" w:rsidRDefault="00B714A8" w:rsidP="00FA3880">
      <w:pPr>
        <w:pStyle w:val="Hangindent"/>
        <w:rPr>
          <w:color w:val="000000" w:themeColor="text1"/>
        </w:rPr>
      </w:pPr>
      <w:r w:rsidRPr="00B40A77">
        <w:rPr>
          <w:color w:val="000000" w:themeColor="text1"/>
        </w:rPr>
        <w:t>(1)</w:t>
      </w:r>
      <w:r w:rsidRPr="00B40A77">
        <w:rPr>
          <w:color w:val="000000" w:themeColor="text1"/>
        </w:rPr>
        <w:tab/>
      </w:r>
      <w:r w:rsidR="005F79D6" w:rsidRPr="00B40A77">
        <w:rPr>
          <w:color w:val="000000" w:themeColor="text1"/>
        </w:rPr>
        <w:t xml:space="preserve">The </w:t>
      </w:r>
      <w:hyperlink w:anchor="_2.1—Definitions" w:history="1">
        <w:r w:rsidR="00DC3868" w:rsidRPr="00B40A77">
          <w:rPr>
            <w:rStyle w:val="Hyperlink"/>
            <w:color w:val="000000" w:themeColor="text1"/>
          </w:rPr>
          <w:t>Chief Judicial Officer</w:t>
        </w:r>
      </w:hyperlink>
      <w:r w:rsidR="00290582" w:rsidRPr="00B40A77">
        <w:rPr>
          <w:color w:val="000000" w:themeColor="text1"/>
        </w:rPr>
        <w:t xml:space="preserve"> </w:t>
      </w:r>
      <w:r w:rsidR="005F79D6" w:rsidRPr="00B40A77">
        <w:rPr>
          <w:color w:val="000000" w:themeColor="text1"/>
        </w:rPr>
        <w:t xml:space="preserve">may </w:t>
      </w:r>
      <w:r w:rsidR="00290582" w:rsidRPr="00B40A77">
        <w:rPr>
          <w:color w:val="000000" w:themeColor="text1"/>
        </w:rPr>
        <w:t xml:space="preserve">delegate any administrative function conferred on </w:t>
      </w:r>
      <w:r w:rsidR="001F3C0F" w:rsidRPr="00B40A77">
        <w:rPr>
          <w:color w:val="000000" w:themeColor="text1"/>
        </w:rPr>
        <w:t xml:space="preserve">the </w:t>
      </w:r>
      <w:hyperlink w:anchor="_2.1—Definitions" w:history="1">
        <w:r w:rsidR="00DC3868" w:rsidRPr="00B40A77">
          <w:rPr>
            <w:rStyle w:val="Hyperlink"/>
            <w:color w:val="000000" w:themeColor="text1"/>
          </w:rPr>
          <w:t>Chief Judicial Officer</w:t>
        </w:r>
      </w:hyperlink>
      <w:r w:rsidR="00290582" w:rsidRPr="00B40A77">
        <w:rPr>
          <w:color w:val="000000" w:themeColor="text1"/>
        </w:rPr>
        <w:t xml:space="preserve"> to another </w:t>
      </w:r>
      <w:r w:rsidR="000C317F" w:rsidRPr="00B40A77">
        <w:rPr>
          <w:color w:val="000000" w:themeColor="text1"/>
        </w:rPr>
        <w:t>judicial officer</w:t>
      </w:r>
      <w:r w:rsidR="005F79D6" w:rsidRPr="00B40A77">
        <w:rPr>
          <w:color w:val="000000" w:themeColor="text1"/>
        </w:rPr>
        <w:t>.</w:t>
      </w:r>
    </w:p>
    <w:p w14:paraId="1EEE927B" w14:textId="2C9ED2C2" w:rsidR="00B714A8" w:rsidRPr="00B40A77" w:rsidRDefault="00B714A8" w:rsidP="00FA3880">
      <w:pPr>
        <w:pStyle w:val="Hangindent"/>
        <w:rPr>
          <w:color w:val="000000" w:themeColor="text1"/>
        </w:rPr>
      </w:pPr>
      <w:r w:rsidRPr="00B40A77">
        <w:rPr>
          <w:color w:val="000000" w:themeColor="text1"/>
        </w:rPr>
        <w:t>(2)</w:t>
      </w:r>
      <w:r w:rsidRPr="00B40A77">
        <w:rPr>
          <w:color w:val="000000" w:themeColor="text1"/>
        </w:rPr>
        <w:tab/>
        <w:t>A delegation under subrule</w:t>
      </w:r>
      <w:r w:rsidR="001B1E8A" w:rsidRPr="00B40A77">
        <w:rPr>
          <w:color w:val="000000" w:themeColor="text1"/>
        </w:rPr>
        <w:t> </w:t>
      </w:r>
      <w:r w:rsidRPr="00B40A77">
        <w:rPr>
          <w:color w:val="000000" w:themeColor="text1"/>
        </w:rPr>
        <w:t>(1)—</w:t>
      </w:r>
    </w:p>
    <w:p w14:paraId="41763620" w14:textId="77777777" w:rsidR="00B714A8" w:rsidRPr="00B40A77" w:rsidRDefault="00B714A8" w:rsidP="00FA3880">
      <w:pPr>
        <w:pStyle w:val="Doublehangindent"/>
        <w:rPr>
          <w:color w:val="000000" w:themeColor="text1"/>
        </w:rPr>
      </w:pPr>
      <w:r w:rsidRPr="00B40A77">
        <w:rPr>
          <w:color w:val="000000" w:themeColor="text1"/>
        </w:rPr>
        <w:t>(a)</w:t>
      </w:r>
      <w:r w:rsidRPr="00B40A77">
        <w:rPr>
          <w:color w:val="000000" w:themeColor="text1"/>
        </w:rPr>
        <w:tab/>
        <w:t>must be by instrument in writing;</w:t>
      </w:r>
    </w:p>
    <w:p w14:paraId="6F07415D" w14:textId="77777777" w:rsidR="00B714A8" w:rsidRPr="00B40A77" w:rsidRDefault="00B714A8" w:rsidP="00FA3880">
      <w:pPr>
        <w:pStyle w:val="Doublehangindent"/>
        <w:rPr>
          <w:color w:val="000000" w:themeColor="text1"/>
        </w:rPr>
      </w:pPr>
      <w:r w:rsidRPr="00B40A77">
        <w:rPr>
          <w:color w:val="000000" w:themeColor="text1"/>
        </w:rPr>
        <w:t>(b)</w:t>
      </w:r>
      <w:r w:rsidRPr="00B40A77">
        <w:rPr>
          <w:color w:val="000000" w:themeColor="text1"/>
        </w:rPr>
        <w:tab/>
        <w:t>may be absolute or conditional;</w:t>
      </w:r>
    </w:p>
    <w:p w14:paraId="04638187" w14:textId="0F84AEF5" w:rsidR="00B714A8" w:rsidRPr="00B40A77" w:rsidRDefault="00B714A8" w:rsidP="00FA3880">
      <w:pPr>
        <w:pStyle w:val="Doublehangindent"/>
        <w:rPr>
          <w:color w:val="000000" w:themeColor="text1"/>
        </w:rPr>
      </w:pPr>
      <w:r w:rsidRPr="00B40A77">
        <w:rPr>
          <w:color w:val="000000" w:themeColor="text1"/>
        </w:rPr>
        <w:t>(c)</w:t>
      </w:r>
      <w:r w:rsidRPr="00B40A77">
        <w:rPr>
          <w:color w:val="000000" w:themeColor="text1"/>
        </w:rPr>
        <w:tab/>
        <w:t xml:space="preserve">does not derogate from the power of the </w:t>
      </w:r>
      <w:hyperlink w:anchor="_2.1—Definitions" w:history="1">
        <w:r w:rsidR="00B9204D" w:rsidRPr="00B40A77">
          <w:rPr>
            <w:rStyle w:val="Hyperlink"/>
            <w:color w:val="000000" w:themeColor="text1"/>
          </w:rPr>
          <w:t>Chief Judicial Officer</w:t>
        </w:r>
      </w:hyperlink>
      <w:r w:rsidR="00B9204D" w:rsidRPr="00B40A77">
        <w:rPr>
          <w:rStyle w:val="Hyperlink"/>
          <w:color w:val="000000" w:themeColor="text1"/>
          <w:u w:val="none"/>
        </w:rPr>
        <w:t xml:space="preserve"> </w:t>
      </w:r>
      <w:r w:rsidRPr="00B40A77">
        <w:rPr>
          <w:color w:val="000000" w:themeColor="text1"/>
        </w:rPr>
        <w:t>to act in any matter; and</w:t>
      </w:r>
    </w:p>
    <w:p w14:paraId="786CCB84" w14:textId="77777777" w:rsidR="00B714A8" w:rsidRPr="00B40A77" w:rsidRDefault="00B714A8" w:rsidP="00FA3880">
      <w:pPr>
        <w:pStyle w:val="Doublehangindent"/>
        <w:rPr>
          <w:color w:val="000000" w:themeColor="text1"/>
        </w:rPr>
      </w:pPr>
      <w:r w:rsidRPr="00B40A77">
        <w:rPr>
          <w:color w:val="000000" w:themeColor="text1"/>
        </w:rPr>
        <w:t>(d)</w:t>
      </w:r>
      <w:r w:rsidRPr="00B40A77">
        <w:rPr>
          <w:color w:val="000000" w:themeColor="text1"/>
        </w:rPr>
        <w:tab/>
        <w:t xml:space="preserve">is </w:t>
      </w:r>
      <w:r w:rsidR="00E51740" w:rsidRPr="00B40A77">
        <w:rPr>
          <w:color w:val="000000" w:themeColor="text1"/>
        </w:rPr>
        <w:t>revocable</w:t>
      </w:r>
      <w:r w:rsidRPr="00B40A77">
        <w:rPr>
          <w:color w:val="000000" w:themeColor="text1"/>
        </w:rPr>
        <w:t xml:space="preserve"> at will. </w:t>
      </w:r>
    </w:p>
    <w:p w14:paraId="00C87EFE" w14:textId="254A4A73" w:rsidR="00B714A8" w:rsidRPr="00B40A77" w:rsidRDefault="00B714A8" w:rsidP="0066422E">
      <w:pPr>
        <w:pStyle w:val="Hangindent"/>
        <w:rPr>
          <w:color w:val="000000" w:themeColor="text1"/>
        </w:rPr>
      </w:pPr>
      <w:r w:rsidRPr="00B40A77">
        <w:rPr>
          <w:color w:val="000000" w:themeColor="text1"/>
        </w:rPr>
        <w:t>(3)</w:t>
      </w:r>
      <w:r w:rsidRPr="00B40A77">
        <w:rPr>
          <w:color w:val="000000" w:themeColor="text1"/>
        </w:rPr>
        <w:tab/>
        <w:t>A function delegated under subrule</w:t>
      </w:r>
      <w:r w:rsidR="001B1E8A" w:rsidRPr="00B40A77">
        <w:rPr>
          <w:color w:val="000000" w:themeColor="text1"/>
        </w:rPr>
        <w:t> </w:t>
      </w:r>
      <w:r w:rsidRPr="00B40A77">
        <w:rPr>
          <w:color w:val="000000" w:themeColor="text1"/>
        </w:rPr>
        <w:t xml:space="preserve">(1) may, if the instrument of delegation so </w:t>
      </w:r>
      <w:r w:rsidR="00E44F76" w:rsidRPr="00B40A77">
        <w:rPr>
          <w:color w:val="000000" w:themeColor="text1"/>
        </w:rPr>
        <w:t>provides, be further delegated.</w:t>
      </w:r>
    </w:p>
    <w:p w14:paraId="38622527" w14:textId="0FA5FD69" w:rsidR="008C7FA6" w:rsidRPr="00B40A77" w:rsidRDefault="006C7682" w:rsidP="004057D2">
      <w:pPr>
        <w:pStyle w:val="Heading4"/>
        <w:rPr>
          <w:color w:val="000000" w:themeColor="text1"/>
        </w:rPr>
      </w:pPr>
      <w:bookmarkStart w:id="81" w:name="_13.2—Registrar"/>
      <w:bookmarkStart w:id="82" w:name="_16.2—Registrar"/>
      <w:bookmarkStart w:id="83" w:name="_Toc175238759"/>
      <w:bookmarkEnd w:id="81"/>
      <w:bookmarkEnd w:id="82"/>
      <w:r w:rsidRPr="00B40A77">
        <w:rPr>
          <w:color w:val="000000" w:themeColor="text1"/>
        </w:rPr>
        <w:t>1</w:t>
      </w:r>
      <w:r w:rsidR="00866E49" w:rsidRPr="00B40A77">
        <w:rPr>
          <w:color w:val="000000" w:themeColor="text1"/>
        </w:rPr>
        <w:t>6</w:t>
      </w:r>
      <w:r w:rsidR="00E92F83" w:rsidRPr="00B40A77">
        <w:rPr>
          <w:color w:val="000000" w:themeColor="text1"/>
        </w:rPr>
        <w:t>.2</w:t>
      </w:r>
      <w:r w:rsidR="008C7FA6" w:rsidRPr="00B40A77">
        <w:rPr>
          <w:color w:val="000000" w:themeColor="text1"/>
        </w:rPr>
        <w:t>—Registrar</w:t>
      </w:r>
      <w:bookmarkEnd w:id="83"/>
    </w:p>
    <w:p w14:paraId="28381752" w14:textId="70389AC8" w:rsidR="008C7FA6" w:rsidRPr="00B40A77" w:rsidRDefault="001B62DC" w:rsidP="005B4986">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101703"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w:t>
      </w:r>
      <w:r w:rsidR="008C7FA6" w:rsidRPr="00B40A77">
        <w:rPr>
          <w:color w:val="000000" w:themeColor="text1"/>
          <w:lang w:val="en-US"/>
        </w:rPr>
        <w:t xml:space="preserve"> establish systems</w:t>
      </w:r>
      <w:r w:rsidR="00B714A8" w:rsidRPr="00B40A77">
        <w:rPr>
          <w:color w:val="000000" w:themeColor="text1"/>
        </w:rPr>
        <w:t>—</w:t>
      </w:r>
    </w:p>
    <w:p w14:paraId="0AE36994" w14:textId="61F7D7EA" w:rsidR="008C7FA6" w:rsidRPr="00B40A77" w:rsidRDefault="008C7FA6" w:rsidP="005B4986">
      <w:pPr>
        <w:pStyle w:val="Doublehangindent"/>
        <w:rPr>
          <w:color w:val="000000" w:themeColor="text1"/>
          <w:lang w:val="en-US"/>
        </w:rPr>
      </w:pPr>
      <w:r w:rsidRPr="00B40A77">
        <w:rPr>
          <w:color w:val="000000" w:themeColor="text1"/>
          <w:lang w:val="en-US"/>
        </w:rPr>
        <w:t>(a)</w:t>
      </w:r>
      <w:r w:rsidRPr="00B40A77">
        <w:rPr>
          <w:color w:val="000000" w:themeColor="text1"/>
          <w:lang w:val="en-US"/>
        </w:rPr>
        <w:tab/>
        <w:t>for filing documents in the Court;</w:t>
      </w:r>
    </w:p>
    <w:p w14:paraId="5155FC80" w14:textId="77777777" w:rsidR="008C7FA6" w:rsidRPr="00B40A77" w:rsidRDefault="008C7FA6" w:rsidP="005B4986">
      <w:pPr>
        <w:pStyle w:val="Doublehangindent"/>
        <w:rPr>
          <w:color w:val="000000" w:themeColor="text1"/>
          <w:lang w:val="en-US"/>
        </w:rPr>
      </w:pPr>
      <w:r w:rsidRPr="00B40A77">
        <w:rPr>
          <w:color w:val="000000" w:themeColor="text1"/>
          <w:lang w:val="en-US"/>
        </w:rPr>
        <w:t>(b)</w:t>
      </w:r>
      <w:r w:rsidRPr="00B40A77">
        <w:rPr>
          <w:color w:val="000000" w:themeColor="text1"/>
          <w:lang w:val="en-US"/>
        </w:rPr>
        <w:tab/>
        <w:t>for issuing the Court’s process;</w:t>
      </w:r>
    </w:p>
    <w:p w14:paraId="6AC49B01" w14:textId="4696EA2F" w:rsidR="008C7FA6" w:rsidRPr="00B40A77" w:rsidRDefault="008C7FA6" w:rsidP="005B4986">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for communication within the </w:t>
      </w:r>
      <w:hyperlink w:anchor="_2.1—Definitions" w:history="1">
        <w:r w:rsidR="003E5BBB" w:rsidRPr="00B40A77">
          <w:rPr>
            <w:rStyle w:val="Hyperlink"/>
            <w:color w:val="000000" w:themeColor="text1"/>
          </w:rPr>
          <w:t>Court</w:t>
        </w:r>
      </w:hyperlink>
      <w:r w:rsidR="003E5BBB" w:rsidRPr="00B40A77">
        <w:rPr>
          <w:color w:val="000000" w:themeColor="text1"/>
        </w:rPr>
        <w:t xml:space="preserve"> </w:t>
      </w:r>
      <w:r w:rsidRPr="00B40A77">
        <w:rPr>
          <w:color w:val="000000" w:themeColor="text1"/>
          <w:lang w:val="en-US"/>
        </w:rPr>
        <w:t xml:space="preserve">and between the </w:t>
      </w:r>
      <w:r w:rsidR="003E5BBB" w:rsidRPr="00B40A77">
        <w:rPr>
          <w:color w:val="000000" w:themeColor="text1"/>
        </w:rPr>
        <w:t xml:space="preserve">Court </w:t>
      </w:r>
      <w:r w:rsidRPr="00B40A77">
        <w:rPr>
          <w:color w:val="000000" w:themeColor="text1"/>
          <w:lang w:val="en-US"/>
        </w:rPr>
        <w:t>and other persons;</w:t>
      </w:r>
    </w:p>
    <w:p w14:paraId="137B73C5" w14:textId="53676655" w:rsidR="008C7FA6" w:rsidRPr="00B40A77" w:rsidRDefault="008C7FA6" w:rsidP="005B4986">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for listing </w:t>
      </w:r>
      <w:hyperlink w:anchor="_2.1—Definitions" w:history="1">
        <w:r w:rsidR="006D6EB8" w:rsidRPr="00B40A77">
          <w:rPr>
            <w:rStyle w:val="Hyperlink"/>
            <w:color w:val="000000" w:themeColor="text1"/>
          </w:rPr>
          <w:t>hearing</w:t>
        </w:r>
      </w:hyperlink>
      <w:r w:rsidRPr="00B40A77">
        <w:rPr>
          <w:color w:val="000000" w:themeColor="text1"/>
          <w:u w:val="single"/>
          <w:lang w:val="en-US"/>
        </w:rPr>
        <w:t>s</w:t>
      </w:r>
      <w:r w:rsidRPr="00B40A77">
        <w:rPr>
          <w:color w:val="000000" w:themeColor="text1"/>
          <w:lang w:val="en-US"/>
        </w:rPr>
        <w:t xml:space="preserve"> and </w:t>
      </w:r>
      <w:hyperlink w:anchor="_2.1—Definitions" w:history="1">
        <w:r w:rsidRPr="00B40A77">
          <w:rPr>
            <w:rStyle w:val="Hyperlink"/>
            <w:color w:val="000000" w:themeColor="text1"/>
            <w:lang w:val="en-US"/>
          </w:rPr>
          <w:t>trials</w:t>
        </w:r>
      </w:hyperlink>
      <w:r w:rsidRPr="00B40A77">
        <w:rPr>
          <w:color w:val="000000" w:themeColor="text1"/>
          <w:lang w:val="en-US"/>
        </w:rPr>
        <w:t>;</w:t>
      </w:r>
    </w:p>
    <w:p w14:paraId="02151088" w14:textId="77777777" w:rsidR="008C7FA6" w:rsidRPr="00B40A77" w:rsidRDefault="008C7FA6" w:rsidP="005B4986">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for </w:t>
      </w:r>
      <w:r w:rsidR="000C4E65" w:rsidRPr="00B40A77">
        <w:rPr>
          <w:color w:val="000000" w:themeColor="text1"/>
          <w:lang w:val="en-US"/>
        </w:rPr>
        <w:t>creation</w:t>
      </w:r>
      <w:r w:rsidRPr="00B40A77">
        <w:rPr>
          <w:color w:val="000000" w:themeColor="text1"/>
          <w:lang w:val="en-US"/>
        </w:rPr>
        <w:t xml:space="preserve">, retention and destruction of </w:t>
      </w:r>
      <w:r w:rsidR="001B62DC" w:rsidRPr="00B40A77">
        <w:rPr>
          <w:color w:val="000000" w:themeColor="text1"/>
          <w:lang w:val="en-US"/>
        </w:rPr>
        <w:t xml:space="preserve">official </w:t>
      </w:r>
      <w:r w:rsidRPr="00B40A77">
        <w:rPr>
          <w:color w:val="000000" w:themeColor="text1"/>
          <w:lang w:val="en-US"/>
        </w:rPr>
        <w:t>re</w:t>
      </w:r>
      <w:r w:rsidR="001B62DC" w:rsidRPr="00B40A77">
        <w:rPr>
          <w:color w:val="000000" w:themeColor="text1"/>
          <w:lang w:val="en-US"/>
        </w:rPr>
        <w:t>cords of the Court</w:t>
      </w:r>
      <w:r w:rsidRPr="00B40A77">
        <w:rPr>
          <w:color w:val="000000" w:themeColor="text1"/>
          <w:lang w:val="en-US"/>
        </w:rPr>
        <w:t>;</w:t>
      </w:r>
    </w:p>
    <w:p w14:paraId="7D27DB36" w14:textId="77777777" w:rsidR="00CB712C" w:rsidRPr="00B40A77" w:rsidRDefault="008C7FA6" w:rsidP="005B4986">
      <w:pPr>
        <w:pStyle w:val="Doublehangindent"/>
        <w:rPr>
          <w:color w:val="000000" w:themeColor="text1"/>
        </w:rPr>
      </w:pPr>
      <w:r w:rsidRPr="00B40A77">
        <w:rPr>
          <w:color w:val="000000" w:themeColor="text1"/>
          <w:lang w:val="en-US"/>
        </w:rPr>
        <w:t>(f)</w:t>
      </w:r>
      <w:r w:rsidRPr="00B40A77">
        <w:rPr>
          <w:color w:val="000000" w:themeColor="text1"/>
          <w:lang w:val="en-US"/>
        </w:rPr>
        <w:tab/>
        <w:t>for receipt, retention and return or destruction of documents and things</w:t>
      </w:r>
      <w:r w:rsidR="00CB712C" w:rsidRPr="00B40A77">
        <w:rPr>
          <w:color w:val="000000" w:themeColor="text1"/>
        </w:rPr>
        <w:t>—</w:t>
      </w:r>
    </w:p>
    <w:p w14:paraId="7D11B475" w14:textId="77777777" w:rsidR="00CB712C" w:rsidRPr="00B40A77" w:rsidRDefault="00CB712C" w:rsidP="008E7C9A">
      <w:pPr>
        <w:pStyle w:val="Triplehangindent"/>
        <w:rPr>
          <w:color w:val="000000" w:themeColor="text1"/>
        </w:rPr>
      </w:pPr>
      <w:r w:rsidRPr="00B40A77">
        <w:rPr>
          <w:color w:val="000000" w:themeColor="text1"/>
        </w:rPr>
        <w:t>(i)</w:t>
      </w:r>
      <w:r w:rsidRPr="00B40A77">
        <w:rPr>
          <w:color w:val="000000" w:themeColor="text1"/>
        </w:rPr>
        <w:tab/>
      </w:r>
      <w:r w:rsidR="008C7FA6" w:rsidRPr="00B40A77">
        <w:rPr>
          <w:color w:val="000000" w:themeColor="text1"/>
        </w:rPr>
        <w:t>tendered in proceedings</w:t>
      </w:r>
      <w:r w:rsidRPr="00B40A77">
        <w:rPr>
          <w:color w:val="000000" w:themeColor="text1"/>
        </w:rPr>
        <w:t>;</w:t>
      </w:r>
    </w:p>
    <w:p w14:paraId="2B44D76E" w14:textId="40CDB3DB" w:rsidR="00CB712C" w:rsidRPr="00B40A77" w:rsidRDefault="00CB712C" w:rsidP="008E7C9A">
      <w:pPr>
        <w:pStyle w:val="Triplehangindent"/>
        <w:rPr>
          <w:color w:val="000000" w:themeColor="text1"/>
        </w:rPr>
      </w:pPr>
      <w:r w:rsidRPr="00B40A77">
        <w:rPr>
          <w:color w:val="000000" w:themeColor="text1"/>
        </w:rPr>
        <w:t>(ii)</w:t>
      </w:r>
      <w:r w:rsidRPr="00B40A77">
        <w:rPr>
          <w:color w:val="000000" w:themeColor="text1"/>
        </w:rPr>
        <w:tab/>
      </w:r>
      <w:r w:rsidR="008C7FA6" w:rsidRPr="00B40A77">
        <w:rPr>
          <w:color w:val="000000" w:themeColor="text1"/>
        </w:rPr>
        <w:t xml:space="preserve">produced in response to a </w:t>
      </w:r>
      <w:hyperlink w:anchor="_122.1—Interpretation" w:history="1">
        <w:r w:rsidR="00135EC7" w:rsidRPr="00B40A77">
          <w:rPr>
            <w:rStyle w:val="Hyperlink"/>
            <w:color w:val="000000" w:themeColor="text1"/>
          </w:rPr>
          <w:t>subpoena</w:t>
        </w:r>
      </w:hyperlink>
      <w:r w:rsidRPr="00B40A77">
        <w:rPr>
          <w:color w:val="000000" w:themeColor="text1"/>
        </w:rPr>
        <w:t>;</w:t>
      </w:r>
      <w:r w:rsidR="008C7FA6" w:rsidRPr="00B40A77">
        <w:rPr>
          <w:color w:val="000000" w:themeColor="text1"/>
        </w:rPr>
        <w:t xml:space="preserve"> or </w:t>
      </w:r>
    </w:p>
    <w:p w14:paraId="0B09523C" w14:textId="77777777" w:rsidR="008C7FA6" w:rsidRPr="00B40A77" w:rsidRDefault="00CB712C" w:rsidP="008E7C9A">
      <w:pPr>
        <w:pStyle w:val="Triplehangindent"/>
        <w:rPr>
          <w:color w:val="000000" w:themeColor="text1"/>
        </w:rPr>
      </w:pPr>
      <w:r w:rsidRPr="00B40A77">
        <w:rPr>
          <w:color w:val="000000" w:themeColor="text1"/>
        </w:rPr>
        <w:t>(iii)</w:t>
      </w:r>
      <w:r w:rsidRPr="00B40A77">
        <w:rPr>
          <w:color w:val="000000" w:themeColor="text1"/>
        </w:rPr>
        <w:tab/>
      </w:r>
      <w:r w:rsidR="008C7FA6" w:rsidRPr="00B40A77">
        <w:rPr>
          <w:color w:val="000000" w:themeColor="text1"/>
        </w:rPr>
        <w:t>otherwise delivered into the custody of the Court;</w:t>
      </w:r>
      <w:r w:rsidR="00E51740" w:rsidRPr="00B40A77">
        <w:rPr>
          <w:color w:val="000000" w:themeColor="text1"/>
        </w:rPr>
        <w:t xml:space="preserve"> and</w:t>
      </w:r>
    </w:p>
    <w:p w14:paraId="7FA46EE8" w14:textId="2E799E65" w:rsidR="008C7FA6" w:rsidRPr="00B40A77" w:rsidRDefault="008C7FA6" w:rsidP="005B4986">
      <w:pPr>
        <w:pStyle w:val="Doublehangindent"/>
        <w:rPr>
          <w:color w:val="000000" w:themeColor="text1"/>
          <w:lang w:val="en-US"/>
        </w:rPr>
      </w:pPr>
      <w:r w:rsidRPr="00B40A77">
        <w:rPr>
          <w:color w:val="000000" w:themeColor="text1"/>
          <w:lang w:val="en-US"/>
        </w:rPr>
        <w:t>(g)</w:t>
      </w:r>
      <w:r w:rsidRPr="00B40A77">
        <w:rPr>
          <w:color w:val="000000" w:themeColor="text1"/>
          <w:lang w:val="en-US"/>
        </w:rPr>
        <w:tab/>
        <w:t xml:space="preserve">for controlled access by </w:t>
      </w:r>
      <w:hyperlink w:anchor="_2.1—Definitions" w:history="1">
        <w:r w:rsidR="001B2B13" w:rsidRPr="00B40A77">
          <w:rPr>
            <w:rStyle w:val="Hyperlink"/>
            <w:color w:val="000000" w:themeColor="text1"/>
            <w:lang w:val="en-US"/>
          </w:rPr>
          <w:t>court</w:t>
        </w:r>
        <w:r w:rsidRPr="00B40A77">
          <w:rPr>
            <w:rStyle w:val="Hyperlink"/>
            <w:color w:val="000000" w:themeColor="text1"/>
            <w:lang w:val="en-US"/>
          </w:rPr>
          <w:t xml:space="preserve"> officer</w:t>
        </w:r>
      </w:hyperlink>
      <w:r w:rsidRPr="00B40A77">
        <w:rPr>
          <w:color w:val="000000" w:themeColor="text1"/>
          <w:u w:val="single"/>
          <w:lang w:val="en-US"/>
        </w:rPr>
        <w:t>s</w:t>
      </w:r>
      <w:r w:rsidRPr="00B40A77">
        <w:rPr>
          <w:color w:val="000000" w:themeColor="text1"/>
          <w:lang w:val="en-US"/>
        </w:rPr>
        <w:t xml:space="preserve"> and other persons to court records.</w:t>
      </w:r>
    </w:p>
    <w:p w14:paraId="3C20AD73" w14:textId="0ABE4743" w:rsidR="00D54F1B" w:rsidRPr="00B40A77" w:rsidRDefault="00D54F1B" w:rsidP="005B4986">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a </w:t>
      </w:r>
      <w:r w:rsidR="00532AD4" w:rsidRPr="00B40A77">
        <w:rPr>
          <w:color w:val="000000" w:themeColor="text1"/>
          <w:lang w:val="en-US"/>
        </w:rPr>
        <w:t>statutory provision</w:t>
      </w:r>
      <w:r w:rsidRPr="00B40A77">
        <w:rPr>
          <w:color w:val="000000" w:themeColor="text1"/>
          <w:lang w:val="en-US"/>
        </w:rPr>
        <w:t xml:space="preserve"> assigns an administrative function to the Court, the function is to be carried out by </w:t>
      </w:r>
      <w:r w:rsidR="00101703"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t>
      </w:r>
    </w:p>
    <w:p w14:paraId="4CAAEFF7" w14:textId="67B53D6A" w:rsidR="00606D5E" w:rsidRDefault="00606D5E" w:rsidP="005B4986">
      <w:pPr>
        <w:pStyle w:val="Hangindent"/>
        <w:rPr>
          <w:color w:val="000000" w:themeColor="text1"/>
          <w:lang w:val="en-US"/>
        </w:rPr>
      </w:pPr>
      <w:r w:rsidRPr="00B40A77">
        <w:rPr>
          <w:color w:val="000000" w:themeColor="text1"/>
          <w:lang w:val="en-US"/>
        </w:rPr>
        <w:t>(</w:t>
      </w:r>
      <w:r w:rsidR="006427FA" w:rsidRPr="00B40A77">
        <w:rPr>
          <w:color w:val="000000" w:themeColor="text1"/>
          <w:lang w:val="en-US"/>
        </w:rPr>
        <w:t>3</w:t>
      </w:r>
      <w:r w:rsidRPr="00B40A77">
        <w:rPr>
          <w:color w:val="000000" w:themeColor="text1"/>
          <w:lang w:val="en-US"/>
        </w:rPr>
        <w:t>)</w:t>
      </w:r>
      <w:r w:rsidRPr="00B40A77">
        <w:rPr>
          <w:color w:val="000000" w:themeColor="text1"/>
          <w:lang w:val="en-US"/>
        </w:rPr>
        <w:tab/>
      </w:r>
      <w:r w:rsidR="00101703"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may delegate </w:t>
      </w:r>
      <w:r w:rsidR="00FC2D91" w:rsidRPr="00B40A77">
        <w:rPr>
          <w:color w:val="000000" w:themeColor="text1"/>
          <w:lang w:val="en-US"/>
        </w:rPr>
        <w:t xml:space="preserve">or assign </w:t>
      </w:r>
      <w:r w:rsidRPr="00B40A77">
        <w:rPr>
          <w:color w:val="000000" w:themeColor="text1"/>
          <w:lang w:val="en-US"/>
        </w:rPr>
        <w:t xml:space="preserve">an administrative function conferred on </w:t>
      </w:r>
      <w:r w:rsidR="00101703"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by </w:t>
      </w:r>
      <w:r w:rsidR="001C7313" w:rsidRPr="00B40A77">
        <w:rPr>
          <w:color w:val="000000" w:themeColor="text1"/>
          <w:lang w:val="en-US"/>
        </w:rPr>
        <w:t>these Rules</w:t>
      </w:r>
      <w:r w:rsidRPr="00B40A77">
        <w:rPr>
          <w:color w:val="000000" w:themeColor="text1"/>
          <w:lang w:val="en-US"/>
        </w:rPr>
        <w:t xml:space="preserve"> to another officer of the </w:t>
      </w:r>
      <w:r w:rsidR="003E5BBB" w:rsidRPr="00B40A77">
        <w:rPr>
          <w:color w:val="000000" w:themeColor="text1"/>
        </w:rPr>
        <w:t xml:space="preserve">Court </w:t>
      </w:r>
      <w:r w:rsidRPr="00B40A77">
        <w:rPr>
          <w:color w:val="000000" w:themeColor="text1"/>
          <w:lang w:val="en-US"/>
        </w:rPr>
        <w:t xml:space="preserve">indefinitely or for such period and subject to such conditions as </w:t>
      </w:r>
      <w:hyperlink w:anchor="_2.1—Definitions" w:history="1">
        <w:r w:rsidR="00833922" w:rsidRPr="00B40A77">
          <w:rPr>
            <w:rStyle w:val="Hyperlink"/>
            <w:color w:val="000000" w:themeColor="text1"/>
            <w:u w:val="none"/>
            <w:lang w:val="en-US"/>
          </w:rPr>
          <w:t>t</w:t>
        </w:r>
        <w:r w:rsidR="00101703" w:rsidRPr="00B40A77">
          <w:rPr>
            <w:color w:val="000000" w:themeColor="text1"/>
          </w:rPr>
          <w:t xml:space="preserve">he </w:t>
        </w:r>
        <w:hyperlink w:anchor="_2.1—Definitions" w:history="1">
          <w:r w:rsidR="00D61876" w:rsidRPr="00B40A77">
            <w:rPr>
              <w:rStyle w:val="Hyperlink"/>
              <w:color w:val="000000" w:themeColor="text1"/>
              <w:lang w:val="en-US"/>
            </w:rPr>
            <w:t>Principal Registrar</w:t>
          </w:r>
        </w:hyperlink>
        <w:r w:rsidR="00101703" w:rsidRPr="00B40A77">
          <w:rPr>
            <w:color w:val="000000" w:themeColor="text1"/>
            <w:lang w:val="en-US"/>
          </w:rPr>
          <w:t xml:space="preserve"> </w:t>
        </w:r>
      </w:hyperlink>
      <w:r w:rsidRPr="00B40A77">
        <w:rPr>
          <w:color w:val="000000" w:themeColor="text1"/>
          <w:lang w:val="en-US"/>
        </w:rPr>
        <w:t>thinks fit.</w:t>
      </w:r>
    </w:p>
    <w:p w14:paraId="3EA56D4F" w14:textId="70142BB5" w:rsidR="00A656BE" w:rsidRPr="00B40A77" w:rsidRDefault="00A656BE" w:rsidP="00A656BE">
      <w:pPr>
        <w:pStyle w:val="Hangindent"/>
        <w:rPr>
          <w:color w:val="000000" w:themeColor="text1"/>
        </w:rPr>
      </w:pPr>
      <w:r w:rsidRPr="00B40A77">
        <w:rPr>
          <w:color w:val="000000" w:themeColor="text1"/>
          <w:lang w:val="en-US"/>
        </w:rPr>
        <w:t>(</w:t>
      </w:r>
      <w:r>
        <w:rPr>
          <w:color w:val="000000" w:themeColor="text1"/>
          <w:lang w:val="en-US"/>
        </w:rPr>
        <w:t>4</w:t>
      </w:r>
      <w:r w:rsidRPr="00B40A77">
        <w:rPr>
          <w:color w:val="000000" w:themeColor="text1"/>
          <w:lang w:val="en-US"/>
        </w:rPr>
        <w:t>)</w:t>
      </w:r>
      <w:r w:rsidRPr="00B40A77">
        <w:rPr>
          <w:color w:val="000000" w:themeColor="text1"/>
          <w:lang w:val="en-US"/>
        </w:rPr>
        <w:tab/>
      </w:r>
      <w:r w:rsidRPr="00B40A77">
        <w:rPr>
          <w:color w:val="000000" w:themeColor="text1"/>
        </w:rPr>
        <w:t>A delegation under subrule (</w:t>
      </w:r>
      <w:r>
        <w:rPr>
          <w:color w:val="000000" w:themeColor="text1"/>
        </w:rPr>
        <w:t>2</w:t>
      </w:r>
      <w:r w:rsidRPr="00B40A77">
        <w:rPr>
          <w:color w:val="000000" w:themeColor="text1"/>
        </w:rPr>
        <w:t>) or (</w:t>
      </w:r>
      <w:r>
        <w:rPr>
          <w:color w:val="000000" w:themeColor="text1"/>
        </w:rPr>
        <w:t>3</w:t>
      </w:r>
      <w:r w:rsidRPr="00B40A77">
        <w:rPr>
          <w:color w:val="000000" w:themeColor="text1"/>
        </w:rPr>
        <w:t>)—</w:t>
      </w:r>
    </w:p>
    <w:p w14:paraId="6B5F4078" w14:textId="77777777" w:rsidR="00A656BE" w:rsidRPr="00B40A77" w:rsidRDefault="00A656BE" w:rsidP="00A656BE">
      <w:pPr>
        <w:pStyle w:val="Doublehangindent"/>
        <w:rPr>
          <w:color w:val="000000" w:themeColor="text1"/>
        </w:rPr>
      </w:pPr>
      <w:r w:rsidRPr="00B40A77">
        <w:rPr>
          <w:color w:val="000000" w:themeColor="text1"/>
        </w:rPr>
        <w:lastRenderedPageBreak/>
        <w:t>(a)</w:t>
      </w:r>
      <w:r w:rsidRPr="00B40A77">
        <w:rPr>
          <w:color w:val="000000" w:themeColor="text1"/>
        </w:rPr>
        <w:tab/>
        <w:t>must be by instrument in writing;</w:t>
      </w:r>
    </w:p>
    <w:p w14:paraId="40393474" w14:textId="77777777" w:rsidR="00A656BE" w:rsidRPr="00B40A77" w:rsidRDefault="00A656BE" w:rsidP="00A656BE">
      <w:pPr>
        <w:pStyle w:val="Doublehangindent"/>
        <w:rPr>
          <w:color w:val="000000" w:themeColor="text1"/>
        </w:rPr>
      </w:pPr>
      <w:r w:rsidRPr="00B40A77">
        <w:rPr>
          <w:color w:val="000000" w:themeColor="text1"/>
        </w:rPr>
        <w:t>(b)</w:t>
      </w:r>
      <w:r w:rsidRPr="00B40A77">
        <w:rPr>
          <w:color w:val="000000" w:themeColor="text1"/>
        </w:rPr>
        <w:tab/>
        <w:t>may be absolute or conditional;</w:t>
      </w:r>
    </w:p>
    <w:p w14:paraId="6D9E1F87" w14:textId="77777777" w:rsidR="00A656BE" w:rsidRPr="00B40A77" w:rsidRDefault="00A656BE" w:rsidP="00A656BE">
      <w:pPr>
        <w:pStyle w:val="Doublehangindent"/>
        <w:rPr>
          <w:color w:val="000000" w:themeColor="text1"/>
        </w:rPr>
      </w:pPr>
      <w:r w:rsidRPr="00B40A77">
        <w:rPr>
          <w:color w:val="000000" w:themeColor="text1"/>
        </w:rPr>
        <w:t>(c)</w:t>
      </w:r>
      <w:r w:rsidRPr="00B40A77">
        <w:rPr>
          <w:color w:val="000000" w:themeColor="text1"/>
        </w:rPr>
        <w:tab/>
        <w:t>does not derogate from the power of the delegating officer to act in any matter; and</w:t>
      </w:r>
    </w:p>
    <w:p w14:paraId="662C72A1" w14:textId="77777777" w:rsidR="00A656BE" w:rsidRPr="00B40A77" w:rsidRDefault="00A656BE" w:rsidP="00A656BE">
      <w:pPr>
        <w:pStyle w:val="Doublehangindent"/>
        <w:rPr>
          <w:color w:val="000000" w:themeColor="text1"/>
        </w:rPr>
      </w:pPr>
      <w:r w:rsidRPr="00B40A77">
        <w:rPr>
          <w:color w:val="000000" w:themeColor="text1"/>
        </w:rPr>
        <w:t>(d)</w:t>
      </w:r>
      <w:r w:rsidRPr="00B40A77">
        <w:rPr>
          <w:color w:val="000000" w:themeColor="text1"/>
        </w:rPr>
        <w:tab/>
        <w:t>is revocable at will.</w:t>
      </w:r>
    </w:p>
    <w:p w14:paraId="52367C9A" w14:textId="2F01EAF8" w:rsidR="00A656BE" w:rsidRPr="00B40A77" w:rsidRDefault="00A656BE" w:rsidP="00A656BE">
      <w:pPr>
        <w:pStyle w:val="Hangindent"/>
        <w:keepNext/>
        <w:rPr>
          <w:color w:val="000000" w:themeColor="text1"/>
        </w:rPr>
      </w:pPr>
      <w:r w:rsidRPr="00B40A77">
        <w:rPr>
          <w:color w:val="000000" w:themeColor="text1"/>
          <w:lang w:val="en-US"/>
        </w:rPr>
        <w:t>(</w:t>
      </w:r>
      <w:r>
        <w:rPr>
          <w:color w:val="000000" w:themeColor="text1"/>
          <w:lang w:val="en-US"/>
        </w:rPr>
        <w:t>5</w:t>
      </w:r>
      <w:r w:rsidRPr="00B40A77">
        <w:rPr>
          <w:color w:val="000000" w:themeColor="text1"/>
          <w:lang w:val="en-US"/>
        </w:rPr>
        <w:t>)</w:t>
      </w:r>
      <w:r w:rsidRPr="00B40A77">
        <w:rPr>
          <w:color w:val="000000" w:themeColor="text1"/>
          <w:lang w:val="en-US"/>
        </w:rPr>
        <w:tab/>
        <w:t xml:space="preserve">A person who wishes to ask the </w:t>
      </w:r>
      <w:r w:rsidRPr="00B40A77">
        <w:rPr>
          <w:color w:val="000000" w:themeColor="text1"/>
        </w:rPr>
        <w:t xml:space="preserve">Court </w:t>
      </w:r>
      <w:r w:rsidRPr="00B40A77">
        <w:rPr>
          <w:color w:val="000000" w:themeColor="text1"/>
          <w:lang w:val="en-US"/>
        </w:rPr>
        <w:t xml:space="preserve">to carry out an administrative function </w:t>
      </w:r>
      <w:r w:rsidRPr="00B40A77">
        <w:rPr>
          <w:color w:val="000000" w:themeColor="text1"/>
        </w:rPr>
        <w:t xml:space="preserve">must file an application to </w:t>
      </w:r>
      <w:hyperlink w:anchor="_2.1—Definitions" w:history="1">
        <w:r w:rsidRPr="00B40A77">
          <w:rPr>
            <w:rStyle w:val="Hyperlink"/>
            <w:color w:val="000000" w:themeColor="text1"/>
          </w:rPr>
          <w:t>Registrar</w:t>
        </w:r>
      </w:hyperlink>
      <w:r w:rsidRPr="00B40A77">
        <w:rPr>
          <w:color w:val="000000" w:themeColor="text1"/>
        </w:rPr>
        <w:t xml:space="preserve"> in the prescribed form.</w:t>
      </w:r>
    </w:p>
    <w:p w14:paraId="0F57124A" w14:textId="77777777" w:rsidR="00A656BE" w:rsidRPr="00B40A77" w:rsidRDefault="00A656BE" w:rsidP="00A656BE">
      <w:pPr>
        <w:pStyle w:val="NoteHeader"/>
        <w:keepNext/>
        <w:rPr>
          <w:color w:val="000000" w:themeColor="text1"/>
        </w:rPr>
      </w:pPr>
      <w:r w:rsidRPr="00B40A77">
        <w:rPr>
          <w:color w:val="000000" w:themeColor="text1"/>
        </w:rPr>
        <w:t>Prescribed form—</w:t>
      </w:r>
    </w:p>
    <w:p w14:paraId="1A655B68" w14:textId="779FEF4D" w:rsidR="00A656BE" w:rsidRPr="00B40A77" w:rsidRDefault="00A656BE" w:rsidP="00A656BE">
      <w:pPr>
        <w:pStyle w:val="NoteText"/>
        <w:keepNext/>
        <w:rPr>
          <w:color w:val="000000" w:themeColor="text1"/>
        </w:rPr>
      </w:pPr>
      <w:r w:rsidRPr="00B40A77">
        <w:rPr>
          <w:color w:val="000000" w:themeColor="text1"/>
        </w:rPr>
        <w:t xml:space="preserve">Form 91 </w:t>
      </w:r>
      <w:hyperlink r:id="rId16" w:history="1">
        <w:r w:rsidRPr="00B40A77">
          <w:rPr>
            <w:rStyle w:val="Hyperlink"/>
            <w:color w:val="000000" w:themeColor="text1"/>
          </w:rPr>
          <w:t>Application to Registrar</w:t>
        </w:r>
      </w:hyperlink>
    </w:p>
    <w:p w14:paraId="3D7052F0" w14:textId="77777777" w:rsidR="00A656BE" w:rsidRPr="00B40A77" w:rsidRDefault="00A656BE" w:rsidP="00A656BE">
      <w:pPr>
        <w:pStyle w:val="NoteHeader"/>
        <w:keepNext/>
        <w:rPr>
          <w:color w:val="000000" w:themeColor="text1"/>
          <w:lang w:val="en-US"/>
        </w:rPr>
      </w:pPr>
      <w:r w:rsidRPr="00B40A77">
        <w:rPr>
          <w:color w:val="000000" w:themeColor="text1"/>
        </w:rPr>
        <w:t>Notes</w:t>
      </w:r>
      <w:r w:rsidRPr="00B40A77">
        <w:rPr>
          <w:color w:val="000000" w:themeColor="text1"/>
          <w:lang w:val="en-US"/>
        </w:rPr>
        <w:t>—</w:t>
      </w:r>
    </w:p>
    <w:p w14:paraId="192A96D5" w14:textId="681ABD8B" w:rsidR="00A656BE" w:rsidRPr="00B40A77" w:rsidRDefault="00A656BE" w:rsidP="00A656BE">
      <w:pPr>
        <w:pStyle w:val="NoteText"/>
        <w:keepNext/>
        <w:rPr>
          <w:color w:val="000000" w:themeColor="text1"/>
        </w:rPr>
      </w:pPr>
      <w:r w:rsidRPr="00B40A77">
        <w:rPr>
          <w:color w:val="000000" w:themeColor="text1"/>
        </w:rPr>
        <w:t xml:space="preserve">See also the specific forms prescribed for specific proceedings by </w:t>
      </w:r>
      <w:hyperlink w:anchor="_13.11—Remission_or_reduction" w:history="1">
        <w:r w:rsidRPr="00B40A77">
          <w:rPr>
            <w:rStyle w:val="Hyperlink"/>
            <w:color w:val="000000" w:themeColor="text1"/>
          </w:rPr>
          <w:t>rule 19.1</w:t>
        </w:r>
      </w:hyperlink>
      <w:r w:rsidRPr="00B40A77">
        <w:rPr>
          <w:color w:val="000000" w:themeColor="text1"/>
        </w:rPr>
        <w:t xml:space="preserve"> and </w:t>
      </w:r>
      <w:hyperlink w:anchor="_129.3—Application_to_set" w:history="1">
        <w:r w:rsidRPr="00B40A77">
          <w:rPr>
            <w:rStyle w:val="Hyperlink"/>
            <w:color w:val="000000" w:themeColor="text1"/>
          </w:rPr>
          <w:t>rule 129.3</w:t>
        </w:r>
      </w:hyperlink>
      <w:r w:rsidRPr="00B40A77">
        <w:rPr>
          <w:color w:val="000000" w:themeColor="text1"/>
        </w:rPr>
        <w:t>(2) and (3).</w:t>
      </w:r>
    </w:p>
    <w:p w14:paraId="11E93476" w14:textId="64E67408" w:rsidR="00A656BE" w:rsidRPr="00B40A77" w:rsidRDefault="00A656BE" w:rsidP="00A656BE">
      <w:pPr>
        <w:pStyle w:val="NoteText"/>
        <w:rPr>
          <w:color w:val="000000" w:themeColor="text1"/>
        </w:rPr>
      </w:pPr>
      <w:r w:rsidRPr="00B40A77">
        <w:rPr>
          <w:color w:val="000000" w:themeColor="text1"/>
          <w:lang w:val="en-US"/>
        </w:rPr>
        <w:tab/>
        <w:t xml:space="preserve">If these Rules require a proceeding to be instituted by filing an application to </w:t>
      </w:r>
      <w:hyperlink w:anchor="_2.1—Definitions" w:history="1">
        <w:r w:rsidRPr="00B40A77">
          <w:rPr>
            <w:rStyle w:val="Hyperlink"/>
            <w:color w:val="000000" w:themeColor="text1"/>
            <w:lang w:val="en-US"/>
          </w:rPr>
          <w:t>Registrar</w:t>
        </w:r>
      </w:hyperlink>
      <w:r w:rsidRPr="00B40A77">
        <w:rPr>
          <w:color w:val="000000" w:themeColor="text1"/>
          <w:lang w:val="en-US"/>
        </w:rPr>
        <w:t xml:space="preserve"> in the prescribed form without identifying a specific form, the prescribed form is </w:t>
      </w:r>
      <w:r w:rsidRPr="00B40A77">
        <w:rPr>
          <w:color w:val="000000" w:themeColor="text1"/>
        </w:rPr>
        <w:t xml:space="preserve">Form 91 </w:t>
      </w:r>
      <w:r w:rsidRPr="00B40A77">
        <w:rPr>
          <w:color w:val="000000" w:themeColor="text1"/>
          <w:u w:val="single"/>
        </w:rPr>
        <w:t>Application to Registrar</w:t>
      </w:r>
      <w:r w:rsidRPr="00B40A77">
        <w:rPr>
          <w:color w:val="000000" w:themeColor="text1"/>
          <w:lang w:val="en-US"/>
        </w:rPr>
        <w:t>.</w:t>
      </w:r>
    </w:p>
    <w:p w14:paraId="049784CF" w14:textId="63B1A715" w:rsidR="00B864C4" w:rsidRPr="00B40A77" w:rsidRDefault="000802FD" w:rsidP="004057D2">
      <w:pPr>
        <w:pStyle w:val="Heading4"/>
        <w:rPr>
          <w:color w:val="000000" w:themeColor="text1"/>
        </w:rPr>
      </w:pPr>
      <w:bookmarkStart w:id="84" w:name="_13.3—Registrar_may_seek"/>
      <w:bookmarkStart w:id="85" w:name="_Toc175238760"/>
      <w:bookmarkEnd w:id="84"/>
      <w:r w:rsidRPr="00B40A77">
        <w:rPr>
          <w:color w:val="000000" w:themeColor="text1"/>
        </w:rPr>
        <w:t>1</w:t>
      </w:r>
      <w:r w:rsidR="00866E49" w:rsidRPr="00B40A77">
        <w:rPr>
          <w:color w:val="000000" w:themeColor="text1"/>
        </w:rPr>
        <w:t>6</w:t>
      </w:r>
      <w:r w:rsidR="00E92F83" w:rsidRPr="00B40A77">
        <w:rPr>
          <w:color w:val="000000" w:themeColor="text1"/>
        </w:rPr>
        <w:t>.3</w:t>
      </w:r>
      <w:r w:rsidR="00B864C4" w:rsidRPr="00B40A77">
        <w:rPr>
          <w:color w:val="000000" w:themeColor="text1"/>
        </w:rPr>
        <w:t>—</w:t>
      </w:r>
      <w:r w:rsidR="003E1E98" w:rsidRPr="00B40A77">
        <w:rPr>
          <w:color w:val="000000" w:themeColor="text1"/>
        </w:rPr>
        <w:t>S</w:t>
      </w:r>
      <w:r w:rsidR="00B864C4" w:rsidRPr="00B40A77">
        <w:rPr>
          <w:color w:val="000000" w:themeColor="text1"/>
        </w:rPr>
        <w:t>eek directions</w:t>
      </w:r>
      <w:bookmarkEnd w:id="85"/>
    </w:p>
    <w:p w14:paraId="43CE9AFE" w14:textId="3DE76C4F" w:rsidR="00D378E7" w:rsidRPr="00B40A77" w:rsidRDefault="00D378E7" w:rsidP="005B4986">
      <w:pPr>
        <w:pStyle w:val="Hangindent"/>
        <w:rPr>
          <w:color w:val="000000" w:themeColor="text1"/>
        </w:rPr>
      </w:pPr>
      <w:r w:rsidRPr="00B40A77">
        <w:rPr>
          <w:color w:val="000000" w:themeColor="text1"/>
        </w:rPr>
        <w:t>(1)</w:t>
      </w:r>
      <w:r w:rsidRPr="00B40A77">
        <w:rPr>
          <w:color w:val="000000" w:themeColor="text1"/>
        </w:rPr>
        <w:tab/>
      </w:r>
      <w:hyperlink w:anchor="_2.1—Definitions" w:history="1">
        <w:r w:rsidR="003E1E98" w:rsidRPr="00B40A77">
          <w:rPr>
            <w:rStyle w:val="Hyperlink"/>
            <w:color w:val="000000" w:themeColor="text1"/>
            <w:u w:val="none"/>
          </w:rPr>
          <w:t>The</w:t>
        </w:r>
        <w:r w:rsidR="00833922" w:rsidRPr="00B40A77">
          <w:rPr>
            <w:rStyle w:val="Hyperlink"/>
            <w:color w:val="000000" w:themeColor="text1"/>
            <w:u w:val="none"/>
          </w:rPr>
          <w:t xml:space="preserve"> </w:t>
        </w:r>
        <w:hyperlink w:anchor="_2.1—Definitions" w:history="1">
          <w:r w:rsidR="00D61876" w:rsidRPr="00B40A77">
            <w:rPr>
              <w:rStyle w:val="Hyperlink"/>
              <w:color w:val="000000" w:themeColor="text1"/>
              <w:lang w:val="en-US"/>
            </w:rPr>
            <w:t>Principal Registrar</w:t>
          </w:r>
        </w:hyperlink>
      </w:hyperlink>
      <w:r w:rsidR="00B32CE2" w:rsidRPr="00B40A77">
        <w:rPr>
          <w:rStyle w:val="Hyperlink"/>
          <w:color w:val="000000" w:themeColor="text1"/>
          <w:u w:val="none"/>
        </w:rPr>
        <w:t xml:space="preserve">, a </w:t>
      </w:r>
      <w:hyperlink w:anchor="_2.1—Definitions" w:history="1">
        <w:r w:rsidR="00B32CE2" w:rsidRPr="00B40A77">
          <w:rPr>
            <w:rStyle w:val="Hyperlink"/>
            <w:color w:val="000000" w:themeColor="text1"/>
          </w:rPr>
          <w:t>Registrar</w:t>
        </w:r>
      </w:hyperlink>
      <w:r w:rsidRPr="00B40A77">
        <w:rPr>
          <w:color w:val="000000" w:themeColor="text1"/>
        </w:rPr>
        <w:t xml:space="preserve"> </w:t>
      </w:r>
      <w:r w:rsidR="003E1E98" w:rsidRPr="00B40A77">
        <w:rPr>
          <w:color w:val="000000" w:themeColor="text1"/>
        </w:rPr>
        <w:t xml:space="preserve">or </w:t>
      </w:r>
      <w:hyperlink w:anchor="_2.1—Definitions" w:history="1">
        <w:r w:rsidR="00C737E1" w:rsidRPr="00B40A77">
          <w:rPr>
            <w:rStyle w:val="Hyperlink"/>
            <w:color w:val="000000" w:themeColor="text1"/>
            <w:lang w:val="en-US"/>
          </w:rPr>
          <w:t>court officer</w:t>
        </w:r>
      </w:hyperlink>
      <w:r w:rsidR="003E1E98" w:rsidRPr="00B40A77">
        <w:rPr>
          <w:color w:val="000000" w:themeColor="text1"/>
        </w:rPr>
        <w:t xml:space="preserve"> </w:t>
      </w:r>
      <w:r w:rsidRPr="00B40A77">
        <w:rPr>
          <w:color w:val="000000" w:themeColor="text1"/>
        </w:rPr>
        <w:t xml:space="preserve">may </w:t>
      </w:r>
      <w:r w:rsidR="00A35618" w:rsidRPr="00B40A77">
        <w:rPr>
          <w:color w:val="000000" w:themeColor="text1"/>
        </w:rPr>
        <w:t xml:space="preserve">refer to the </w:t>
      </w:r>
      <w:r w:rsidR="003E5BBB" w:rsidRPr="00B40A77">
        <w:rPr>
          <w:color w:val="000000" w:themeColor="text1"/>
        </w:rPr>
        <w:t xml:space="preserve">Court </w:t>
      </w:r>
      <w:r w:rsidR="00A35618" w:rsidRPr="00B40A77">
        <w:rPr>
          <w:color w:val="000000" w:themeColor="text1"/>
        </w:rPr>
        <w:t>any question arising in the course of the performance of an administrative function</w:t>
      </w:r>
      <w:r w:rsidR="001B62DC" w:rsidRPr="00B40A77">
        <w:rPr>
          <w:color w:val="000000" w:themeColor="text1"/>
        </w:rPr>
        <w:t>.</w:t>
      </w:r>
    </w:p>
    <w:p w14:paraId="681CD90A" w14:textId="4BDB6736" w:rsidR="00A35618" w:rsidRPr="00B40A77" w:rsidRDefault="00B8034A" w:rsidP="005B4986">
      <w:pPr>
        <w:pStyle w:val="Hangindent"/>
        <w:rPr>
          <w:color w:val="000000" w:themeColor="text1"/>
        </w:rPr>
      </w:pPr>
      <w:r w:rsidRPr="00B40A77">
        <w:rPr>
          <w:color w:val="000000" w:themeColor="text1"/>
        </w:rPr>
        <w:t>(2)</w:t>
      </w:r>
      <w:r w:rsidRPr="00B40A77">
        <w:rPr>
          <w:color w:val="000000" w:themeColor="text1"/>
        </w:rPr>
        <w:tab/>
      </w:r>
      <w:r w:rsidR="007322A7" w:rsidRPr="00B40A77">
        <w:rPr>
          <w:color w:val="000000" w:themeColor="text1"/>
        </w:rPr>
        <w:t xml:space="preserve">The </w:t>
      </w:r>
      <w:r w:rsidR="003E5BBB" w:rsidRPr="00B40A77">
        <w:rPr>
          <w:color w:val="000000" w:themeColor="text1"/>
        </w:rPr>
        <w:t xml:space="preserve">Court </w:t>
      </w:r>
      <w:r w:rsidR="00A35618" w:rsidRPr="00B40A77">
        <w:rPr>
          <w:color w:val="000000" w:themeColor="text1"/>
        </w:rPr>
        <w:t>may on such referral</w:t>
      </w:r>
      <w:r w:rsidR="00E51740" w:rsidRPr="00B40A77">
        <w:rPr>
          <w:rFonts w:cs="Times New Roman"/>
          <w:color w:val="000000" w:themeColor="text1"/>
        </w:rPr>
        <w:t>—</w:t>
      </w:r>
    </w:p>
    <w:p w14:paraId="35BF3B83" w14:textId="77777777" w:rsidR="00A35618" w:rsidRPr="00B40A77" w:rsidRDefault="00A35618" w:rsidP="005B4986">
      <w:pPr>
        <w:pStyle w:val="Doublehangindent"/>
        <w:rPr>
          <w:color w:val="000000" w:themeColor="text1"/>
          <w:lang w:val="en-US"/>
        </w:rPr>
      </w:pPr>
      <w:r w:rsidRPr="00B40A77">
        <w:rPr>
          <w:color w:val="000000" w:themeColor="text1"/>
          <w:lang w:val="en-US"/>
        </w:rPr>
        <w:t xml:space="preserve">(a) </w:t>
      </w:r>
      <w:r w:rsidRPr="00B40A77">
        <w:rPr>
          <w:color w:val="000000" w:themeColor="text1"/>
          <w:lang w:val="en-US"/>
        </w:rPr>
        <w:tab/>
        <w:t xml:space="preserve">give such directions as </w:t>
      </w:r>
      <w:r w:rsidR="001B62DC" w:rsidRPr="00B40A77">
        <w:rPr>
          <w:color w:val="000000" w:themeColor="text1"/>
          <w:lang w:val="en-US"/>
        </w:rPr>
        <w:t xml:space="preserve">it </w:t>
      </w:r>
      <w:r w:rsidR="00B86B2B" w:rsidRPr="00B40A77">
        <w:rPr>
          <w:color w:val="000000" w:themeColor="text1"/>
          <w:lang w:val="en-US"/>
        </w:rPr>
        <w:t>thinks fit</w:t>
      </w:r>
      <w:r w:rsidRPr="00B40A77">
        <w:rPr>
          <w:color w:val="000000" w:themeColor="text1"/>
          <w:lang w:val="en-US"/>
        </w:rPr>
        <w:t>; or</w:t>
      </w:r>
    </w:p>
    <w:p w14:paraId="045AD321" w14:textId="77777777" w:rsidR="00A35618" w:rsidRPr="00B40A77" w:rsidRDefault="00A35618" w:rsidP="005B4986">
      <w:pPr>
        <w:pStyle w:val="Doublehangindent"/>
        <w:rPr>
          <w:color w:val="000000" w:themeColor="text1"/>
          <w:lang w:val="en-US"/>
        </w:rPr>
      </w:pPr>
      <w:r w:rsidRPr="00B40A77">
        <w:rPr>
          <w:color w:val="000000" w:themeColor="text1"/>
          <w:lang w:val="en-US"/>
        </w:rPr>
        <w:t>(b)</w:t>
      </w:r>
      <w:r w:rsidRPr="00B40A77">
        <w:rPr>
          <w:color w:val="000000" w:themeColor="text1"/>
          <w:lang w:val="en-US"/>
        </w:rPr>
        <w:tab/>
        <w:t>assume control of the matter.</w:t>
      </w:r>
    </w:p>
    <w:p w14:paraId="2B6257DB" w14:textId="6700A372" w:rsidR="00A35618" w:rsidRPr="00B40A77" w:rsidRDefault="000802FD" w:rsidP="004057D2">
      <w:pPr>
        <w:pStyle w:val="Heading4"/>
        <w:rPr>
          <w:color w:val="000000" w:themeColor="text1"/>
        </w:rPr>
      </w:pPr>
      <w:bookmarkStart w:id="86" w:name="_Toc175238761"/>
      <w:r w:rsidRPr="00B40A77">
        <w:rPr>
          <w:color w:val="000000" w:themeColor="text1"/>
        </w:rPr>
        <w:t>1</w:t>
      </w:r>
      <w:r w:rsidR="00866E49" w:rsidRPr="00B40A77">
        <w:rPr>
          <w:color w:val="000000" w:themeColor="text1"/>
        </w:rPr>
        <w:t>6</w:t>
      </w:r>
      <w:r w:rsidR="00E92F83" w:rsidRPr="00B40A77">
        <w:rPr>
          <w:color w:val="000000" w:themeColor="text1"/>
        </w:rPr>
        <w:t>.4</w:t>
      </w:r>
      <w:r w:rsidR="00A35618" w:rsidRPr="00B40A77">
        <w:rPr>
          <w:color w:val="000000" w:themeColor="text1"/>
        </w:rPr>
        <w:t xml:space="preserve">—Review of </w:t>
      </w:r>
      <w:r w:rsidR="00015FAF" w:rsidRPr="00B40A77">
        <w:rPr>
          <w:color w:val="000000" w:themeColor="text1"/>
        </w:rPr>
        <w:t xml:space="preserve">exercise of </w:t>
      </w:r>
      <w:r w:rsidR="003E1E98" w:rsidRPr="00B40A77">
        <w:rPr>
          <w:color w:val="000000" w:themeColor="text1"/>
        </w:rPr>
        <w:t xml:space="preserve">administrative </w:t>
      </w:r>
      <w:r w:rsidR="00015FAF" w:rsidRPr="00B40A77">
        <w:rPr>
          <w:color w:val="000000" w:themeColor="text1"/>
        </w:rPr>
        <w:t>function</w:t>
      </w:r>
      <w:bookmarkEnd w:id="86"/>
    </w:p>
    <w:p w14:paraId="76D12F3E" w14:textId="7688E749" w:rsidR="005063BF" w:rsidRPr="00B40A77" w:rsidRDefault="005063BF" w:rsidP="005063BF">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hyperlink w:anchor="_2.1—Definitions" w:history="1">
        <w:r w:rsidR="003E5BBB" w:rsidRPr="00B40A77">
          <w:rPr>
            <w:rStyle w:val="Hyperlink"/>
            <w:color w:val="000000" w:themeColor="text1"/>
          </w:rPr>
          <w:t>Court</w:t>
        </w:r>
      </w:hyperlink>
      <w:r w:rsidR="003E5BBB" w:rsidRPr="00B40A77">
        <w:rPr>
          <w:color w:val="000000" w:themeColor="text1"/>
        </w:rPr>
        <w:t xml:space="preserve"> </w:t>
      </w:r>
      <w:r w:rsidRPr="00B40A77">
        <w:rPr>
          <w:color w:val="000000" w:themeColor="text1"/>
          <w:lang w:val="en-US"/>
        </w:rPr>
        <w:t>may</w:t>
      </w:r>
      <w:r w:rsidR="00434BDF" w:rsidRPr="00B40A77">
        <w:rPr>
          <w:color w:val="000000" w:themeColor="text1"/>
          <w:lang w:val="en-US"/>
        </w:rPr>
        <w:t xml:space="preserve">, on application by a person having an interest in the exercise or on its own </w:t>
      </w:r>
      <w:r w:rsidR="00536366" w:rsidRPr="00B40A77">
        <w:rPr>
          <w:color w:val="000000" w:themeColor="text1"/>
          <w:lang w:val="en-US"/>
        </w:rPr>
        <w:t>initiative</w:t>
      </w:r>
      <w:r w:rsidR="00434BDF" w:rsidRPr="00B40A77">
        <w:rPr>
          <w:color w:val="000000" w:themeColor="text1"/>
          <w:lang w:val="en-US"/>
        </w:rPr>
        <w:t>,</w:t>
      </w:r>
      <w:r w:rsidRPr="00B40A77">
        <w:rPr>
          <w:color w:val="000000" w:themeColor="text1"/>
          <w:lang w:val="en-US"/>
        </w:rPr>
        <w:t xml:space="preserve"> review an exercise of administrative power by </w:t>
      </w:r>
      <w:r w:rsidR="007D308A"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007D308A" w:rsidRPr="00B40A77">
        <w:rPr>
          <w:color w:val="000000" w:themeColor="text1"/>
        </w:rPr>
        <w:t>, a Registrar</w:t>
      </w:r>
      <w:r w:rsidRPr="00B40A77">
        <w:rPr>
          <w:color w:val="000000" w:themeColor="text1"/>
          <w:lang w:val="en-US"/>
        </w:rPr>
        <w:t xml:space="preserve"> </w:t>
      </w:r>
      <w:r w:rsidR="003E1E98" w:rsidRPr="00B40A77">
        <w:rPr>
          <w:color w:val="000000" w:themeColor="text1"/>
          <w:lang w:val="en-US"/>
        </w:rPr>
        <w:t xml:space="preserve">or </w:t>
      </w:r>
      <w:hyperlink w:anchor="_2.1—Definitions" w:history="1">
        <w:r w:rsidR="00C737E1" w:rsidRPr="00B40A77">
          <w:rPr>
            <w:rStyle w:val="Hyperlink"/>
            <w:color w:val="000000" w:themeColor="text1"/>
            <w:lang w:val="en-US"/>
          </w:rPr>
          <w:t>court officer</w:t>
        </w:r>
      </w:hyperlink>
      <w:r w:rsidR="003E1E98" w:rsidRPr="00B40A77">
        <w:rPr>
          <w:color w:val="000000" w:themeColor="text1"/>
          <w:lang w:val="en-US"/>
        </w:rPr>
        <w:t xml:space="preserve"> </w:t>
      </w:r>
      <w:r w:rsidRPr="00B40A77">
        <w:rPr>
          <w:color w:val="000000" w:themeColor="text1"/>
          <w:lang w:val="en-US"/>
        </w:rPr>
        <w:t>and may make such orders as it thinks fit with respect to the matter in relation to which the power was exercised.</w:t>
      </w:r>
    </w:p>
    <w:p w14:paraId="520E50B0" w14:textId="7D1DC551" w:rsidR="005063BF" w:rsidRPr="00B40A77" w:rsidRDefault="005063BF" w:rsidP="006A575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An application for review must be made as soon as practicable, and in any event within</w:t>
      </w:r>
      <w:r w:rsidR="00234D99" w:rsidRPr="00B40A77">
        <w:rPr>
          <w:color w:val="000000" w:themeColor="text1"/>
          <w:lang w:val="en-US"/>
        </w:rPr>
        <w:t> </w:t>
      </w:r>
      <w:r w:rsidRPr="00B40A77">
        <w:rPr>
          <w:color w:val="000000" w:themeColor="text1"/>
          <w:lang w:val="en-US"/>
        </w:rPr>
        <w:t>7</w:t>
      </w:r>
      <w:r w:rsidR="00234D99" w:rsidRPr="00B40A77">
        <w:rPr>
          <w:color w:val="000000" w:themeColor="text1"/>
          <w:lang w:val="en-US"/>
        </w:rPr>
        <w:t> </w:t>
      </w:r>
      <w:r w:rsidRPr="00B40A77">
        <w:rPr>
          <w:color w:val="000000" w:themeColor="text1"/>
          <w:lang w:val="en-US"/>
        </w:rPr>
        <w:t>days after the exercise of power the subject of the application</w:t>
      </w:r>
      <w:r w:rsidR="00B148D1" w:rsidRPr="00B40A77">
        <w:rPr>
          <w:color w:val="000000" w:themeColor="text1"/>
          <w:lang w:val="en-US"/>
        </w:rPr>
        <w:t>,</w:t>
      </w:r>
      <w:r w:rsidRPr="00B40A77">
        <w:rPr>
          <w:rFonts w:cs="Times New Roman"/>
          <w:color w:val="000000" w:themeColor="text1"/>
        </w:rPr>
        <w:t xml:space="preserve"> by </w:t>
      </w:r>
      <w:r w:rsidR="003E7CD3" w:rsidRPr="00B40A77">
        <w:rPr>
          <w:rFonts w:cs="Times New Roman"/>
          <w:color w:val="000000" w:themeColor="text1"/>
        </w:rPr>
        <w:t xml:space="preserve">an </w:t>
      </w:r>
      <w:r w:rsidR="00FA4048" w:rsidRPr="00B40A77">
        <w:rPr>
          <w:rFonts w:cs="Times New Roman"/>
          <w:color w:val="000000" w:themeColor="text1"/>
        </w:rPr>
        <w:t xml:space="preserve">interlocutory application </w:t>
      </w:r>
      <w:r w:rsidR="002A2EA2" w:rsidRPr="00B40A77">
        <w:rPr>
          <w:color w:val="000000" w:themeColor="text1"/>
          <w:lang w:val="en-US"/>
        </w:rPr>
        <w:t xml:space="preserve">in accordance with </w:t>
      </w:r>
      <w:hyperlink w:anchor="_39.1—Written_application" w:history="1">
        <w:r w:rsidR="002A2EA2" w:rsidRPr="00B40A77">
          <w:rPr>
            <w:rStyle w:val="Hyperlink"/>
            <w:color w:val="000000" w:themeColor="text1"/>
            <w:lang w:val="en-US"/>
          </w:rPr>
          <w:t>rule 39.1</w:t>
        </w:r>
      </w:hyperlink>
      <w:r w:rsidR="002A2EA2" w:rsidRPr="00B40A77">
        <w:rPr>
          <w:color w:val="000000" w:themeColor="text1"/>
          <w:lang w:val="en-US"/>
        </w:rPr>
        <w:t xml:space="preserve"> </w:t>
      </w:r>
      <w:r w:rsidRPr="00B40A77">
        <w:rPr>
          <w:rFonts w:cs="Times New Roman"/>
          <w:color w:val="000000" w:themeColor="text1"/>
        </w:rPr>
        <w:t>suppor</w:t>
      </w:r>
      <w:r w:rsidR="0017286B" w:rsidRPr="00B40A77">
        <w:rPr>
          <w:rFonts w:cs="Times New Roman"/>
          <w:color w:val="000000" w:themeColor="text1"/>
        </w:rPr>
        <w:t>ted by an affidavit</w:t>
      </w:r>
      <w:r w:rsidRPr="00B40A77">
        <w:rPr>
          <w:rFonts w:cs="Times New Roman"/>
          <w:color w:val="000000" w:themeColor="text1"/>
        </w:rPr>
        <w:t>.</w:t>
      </w:r>
    </w:p>
    <w:p w14:paraId="0A3A50D3" w14:textId="77777777" w:rsidR="005063BF" w:rsidRPr="00B40A77" w:rsidRDefault="005063BF" w:rsidP="006A5750">
      <w:pPr>
        <w:pStyle w:val="NoteHeader"/>
        <w:keepNext/>
        <w:rPr>
          <w:color w:val="000000" w:themeColor="text1"/>
        </w:rPr>
      </w:pPr>
      <w:r w:rsidRPr="00B40A77">
        <w:rPr>
          <w:color w:val="000000" w:themeColor="text1"/>
        </w:rPr>
        <w:t>Notes—</w:t>
      </w:r>
    </w:p>
    <w:p w14:paraId="7A3B5CCE" w14:textId="06C74189" w:rsidR="005063BF" w:rsidRPr="00B40A77" w:rsidRDefault="005063BF" w:rsidP="005063BF">
      <w:pPr>
        <w:pStyle w:val="NoteText"/>
        <w:rPr>
          <w:color w:val="000000" w:themeColor="text1"/>
        </w:rPr>
      </w:pPr>
      <w:r w:rsidRPr="00B40A77">
        <w:rPr>
          <w:color w:val="000000" w:themeColor="text1"/>
        </w:rPr>
        <w:t>An exercise</w:t>
      </w:r>
      <w:r w:rsidR="00993E94" w:rsidRPr="00B40A77">
        <w:rPr>
          <w:color w:val="000000" w:themeColor="text1"/>
        </w:rPr>
        <w:t xml:space="preserve">, either at first instance by </w:t>
      </w:r>
      <w:r w:rsidR="00B32CE2" w:rsidRPr="00B40A77">
        <w:rPr>
          <w:color w:val="000000" w:themeColor="text1"/>
        </w:rPr>
        <w:t xml:space="preserve">the </w:t>
      </w:r>
      <w:hyperlink w:anchor="_2.1—Definitions" w:history="1">
        <w:r w:rsidR="00D61876" w:rsidRPr="00B40A77">
          <w:rPr>
            <w:rStyle w:val="Hyperlink"/>
            <w:color w:val="000000" w:themeColor="text1"/>
            <w:lang w:val="en-US"/>
          </w:rPr>
          <w:t>Principal Registrar</w:t>
        </w:r>
      </w:hyperlink>
      <w:r w:rsidR="00B32CE2" w:rsidRPr="00B40A77">
        <w:rPr>
          <w:color w:val="000000" w:themeColor="text1"/>
        </w:rPr>
        <w:t xml:space="preserve">, </w:t>
      </w:r>
      <w:hyperlink w:anchor="_2.1—Definitions" w:history="1">
        <w:r w:rsidR="00FC2D91" w:rsidRPr="00B40A77">
          <w:rPr>
            <w:rStyle w:val="Hyperlink"/>
            <w:color w:val="000000" w:themeColor="text1"/>
            <w:u w:val="none"/>
          </w:rPr>
          <w:t>a</w:t>
        </w:r>
        <w:r w:rsidR="00993E94" w:rsidRPr="00B40A77">
          <w:rPr>
            <w:rStyle w:val="Hyperlink"/>
            <w:color w:val="000000" w:themeColor="text1"/>
            <w:u w:val="none"/>
          </w:rPr>
          <w:t xml:space="preserve"> </w:t>
        </w:r>
        <w:r w:rsidR="00993E94" w:rsidRPr="00B40A77">
          <w:rPr>
            <w:rStyle w:val="Hyperlink"/>
            <w:color w:val="000000" w:themeColor="text1"/>
          </w:rPr>
          <w:t>Registrar</w:t>
        </w:r>
      </w:hyperlink>
      <w:r w:rsidR="00993E94" w:rsidRPr="00B40A77">
        <w:rPr>
          <w:color w:val="000000" w:themeColor="text1"/>
        </w:rPr>
        <w:t xml:space="preserve"> </w:t>
      </w:r>
      <w:r w:rsidR="00B32CE2" w:rsidRPr="00B40A77">
        <w:rPr>
          <w:color w:val="000000" w:themeColor="text1"/>
        </w:rPr>
        <w:t xml:space="preserve">or </w:t>
      </w:r>
      <w:hyperlink w:anchor="_2.1—Definitions" w:history="1">
        <w:r w:rsidR="00C737E1" w:rsidRPr="00B40A77">
          <w:rPr>
            <w:rStyle w:val="Hyperlink"/>
            <w:color w:val="000000" w:themeColor="text1"/>
            <w:lang w:val="en-US"/>
          </w:rPr>
          <w:t>court officer</w:t>
        </w:r>
      </w:hyperlink>
      <w:r w:rsidR="00B32CE2" w:rsidRPr="00B40A77">
        <w:rPr>
          <w:color w:val="000000" w:themeColor="text1"/>
        </w:rPr>
        <w:t xml:space="preserve">, </w:t>
      </w:r>
      <w:r w:rsidR="00993E94" w:rsidRPr="00B40A77">
        <w:rPr>
          <w:color w:val="000000" w:themeColor="text1"/>
        </w:rPr>
        <w:t xml:space="preserve">or by a </w:t>
      </w:r>
      <w:r w:rsidR="0017286B" w:rsidRPr="00B40A77">
        <w:rPr>
          <w:color w:val="000000" w:themeColor="text1"/>
        </w:rPr>
        <w:t xml:space="preserve">Judge or </w:t>
      </w:r>
      <w:r w:rsidR="00993E94" w:rsidRPr="00B40A77">
        <w:rPr>
          <w:color w:val="000000" w:themeColor="text1"/>
        </w:rPr>
        <w:t>Magistrate on review under this rule</w:t>
      </w:r>
      <w:r w:rsidR="005F46FD" w:rsidRPr="00B40A77">
        <w:rPr>
          <w:color w:val="000000" w:themeColor="text1"/>
        </w:rPr>
        <w:t>,</w:t>
      </w:r>
      <w:r w:rsidRPr="00B40A77">
        <w:rPr>
          <w:color w:val="000000" w:themeColor="text1"/>
        </w:rPr>
        <w:t xml:space="preserve"> of administrative power (as opposed to judicial </w:t>
      </w:r>
      <w:r w:rsidR="005F46FD" w:rsidRPr="00B40A77">
        <w:rPr>
          <w:color w:val="000000" w:themeColor="text1"/>
        </w:rPr>
        <w:t>power) is not subject to appeal</w:t>
      </w:r>
      <w:r w:rsidRPr="00B40A77">
        <w:rPr>
          <w:color w:val="000000" w:themeColor="text1"/>
        </w:rPr>
        <w:t xml:space="preserve">. </w:t>
      </w:r>
    </w:p>
    <w:p w14:paraId="6BFE979F" w14:textId="75696CD9" w:rsidR="005063BF" w:rsidRPr="00B40A77" w:rsidRDefault="005063BF" w:rsidP="005063BF">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An application for review under subrule</w:t>
      </w:r>
      <w:r w:rsidR="001B1E8A" w:rsidRPr="00B40A77">
        <w:rPr>
          <w:rFonts w:cs="Times New Roman"/>
          <w:color w:val="000000" w:themeColor="text1"/>
        </w:rPr>
        <w:t> </w:t>
      </w:r>
      <w:r w:rsidRPr="00B40A77">
        <w:rPr>
          <w:rFonts w:cs="Times New Roman"/>
          <w:color w:val="000000" w:themeColor="text1"/>
        </w:rPr>
        <w:t xml:space="preserve">(2) may not be made if the exercise </w:t>
      </w:r>
      <w:r w:rsidR="0029409E" w:rsidRPr="00B40A77">
        <w:rPr>
          <w:rFonts w:cs="Times New Roman"/>
          <w:color w:val="000000" w:themeColor="text1"/>
        </w:rPr>
        <w:t>of administrative</w:t>
      </w:r>
      <w:r w:rsidRPr="00B40A77">
        <w:rPr>
          <w:color w:val="000000" w:themeColor="text1"/>
          <w:lang w:val="en-US"/>
        </w:rPr>
        <w:t xml:space="preserve"> power by </w:t>
      </w:r>
      <w:hyperlink w:anchor="_2.1—Definitions" w:history="1">
        <w:r w:rsidR="003E1E98" w:rsidRPr="00B40A77">
          <w:rPr>
            <w:rStyle w:val="Hyperlink"/>
            <w:color w:val="000000" w:themeColor="text1"/>
            <w:u w:val="none"/>
          </w:rPr>
          <w:t>the</w:t>
        </w:r>
        <w:r w:rsidR="007D308A" w:rsidRPr="00B40A77">
          <w:rPr>
            <w:rStyle w:val="Hyperlink"/>
            <w:color w:val="000000" w:themeColor="text1"/>
            <w:u w:val="none"/>
          </w:rPr>
          <w:t xml:space="preserve"> </w:t>
        </w:r>
        <w:hyperlink w:anchor="_2.1—Definitions" w:history="1">
          <w:r w:rsidR="00D61876" w:rsidRPr="00B40A77">
            <w:rPr>
              <w:rStyle w:val="Hyperlink"/>
              <w:color w:val="000000" w:themeColor="text1"/>
              <w:lang w:val="en-US"/>
            </w:rPr>
            <w:t>Principal Registrar</w:t>
          </w:r>
        </w:hyperlink>
        <w:r w:rsidR="007D308A" w:rsidRPr="00B40A77">
          <w:rPr>
            <w:rStyle w:val="Hyperlink"/>
            <w:color w:val="000000" w:themeColor="text1"/>
            <w:u w:val="none"/>
          </w:rPr>
          <w:t>, a</w:t>
        </w:r>
        <w:r w:rsidR="006F66CD" w:rsidRPr="00B40A77">
          <w:rPr>
            <w:rStyle w:val="Hyperlink"/>
            <w:color w:val="000000" w:themeColor="text1"/>
            <w:u w:val="none"/>
          </w:rPr>
          <w:t xml:space="preserve"> </w:t>
        </w:r>
        <w:r w:rsidR="006F66CD" w:rsidRPr="00B40A77">
          <w:rPr>
            <w:rStyle w:val="Hyperlink"/>
            <w:color w:val="000000" w:themeColor="text1"/>
          </w:rPr>
          <w:t>Registrar</w:t>
        </w:r>
      </w:hyperlink>
      <w:r w:rsidRPr="00B40A77">
        <w:rPr>
          <w:color w:val="000000" w:themeColor="text1"/>
          <w:lang w:val="en-US"/>
        </w:rPr>
        <w:t xml:space="preserve"> </w:t>
      </w:r>
      <w:r w:rsidR="003E1E98" w:rsidRPr="00B40A77">
        <w:rPr>
          <w:color w:val="000000" w:themeColor="text1"/>
          <w:lang w:val="en-US"/>
        </w:rPr>
        <w:t xml:space="preserve">or </w:t>
      </w:r>
      <w:hyperlink w:anchor="_2.1—Definitions" w:history="1">
        <w:r w:rsidR="00C737E1" w:rsidRPr="00B40A77">
          <w:rPr>
            <w:rStyle w:val="Hyperlink"/>
            <w:color w:val="000000" w:themeColor="text1"/>
            <w:lang w:val="en-US"/>
          </w:rPr>
          <w:t>court officer</w:t>
        </w:r>
      </w:hyperlink>
      <w:r w:rsidR="003E1E98" w:rsidRPr="00B40A77">
        <w:rPr>
          <w:color w:val="000000" w:themeColor="text1"/>
          <w:lang w:val="en-US"/>
        </w:rPr>
        <w:t xml:space="preserve"> </w:t>
      </w:r>
      <w:r w:rsidRPr="00B40A77">
        <w:rPr>
          <w:color w:val="000000" w:themeColor="text1"/>
          <w:lang w:val="en-US"/>
        </w:rPr>
        <w:t xml:space="preserve">was pursuant to a direction by the </w:t>
      </w:r>
      <w:r w:rsidR="003E5BBB" w:rsidRPr="00B40A77">
        <w:rPr>
          <w:color w:val="000000" w:themeColor="text1"/>
        </w:rPr>
        <w:t xml:space="preserve">Court </w:t>
      </w:r>
      <w:r w:rsidRPr="00B40A77">
        <w:rPr>
          <w:color w:val="000000" w:themeColor="text1"/>
          <w:lang w:val="en-US"/>
        </w:rPr>
        <w:t xml:space="preserve">under </w:t>
      </w:r>
      <w:hyperlink w:anchor="_13.3—Registrar_may_seek" w:history="1">
        <w:r w:rsidR="00BF2DEE" w:rsidRPr="00B40A77">
          <w:rPr>
            <w:rStyle w:val="Hyperlink"/>
            <w:color w:val="000000" w:themeColor="text1"/>
            <w:lang w:val="en-US"/>
          </w:rPr>
          <w:t xml:space="preserve">rule </w:t>
        </w:r>
        <w:r w:rsidR="000517E6" w:rsidRPr="00B40A77">
          <w:rPr>
            <w:rStyle w:val="Hyperlink"/>
            <w:color w:val="000000" w:themeColor="text1"/>
            <w:lang w:val="en-US"/>
          </w:rPr>
          <w:t>16</w:t>
        </w:r>
        <w:r w:rsidRPr="00B40A77">
          <w:rPr>
            <w:rStyle w:val="Hyperlink"/>
            <w:color w:val="000000" w:themeColor="text1"/>
            <w:lang w:val="en-US"/>
          </w:rPr>
          <w:t>.3</w:t>
        </w:r>
      </w:hyperlink>
      <w:r w:rsidRPr="00B40A77">
        <w:rPr>
          <w:rFonts w:cs="Times New Roman"/>
          <w:color w:val="000000" w:themeColor="text1"/>
        </w:rPr>
        <w:t>.</w:t>
      </w:r>
    </w:p>
    <w:p w14:paraId="210B8FB9" w14:textId="6881A948" w:rsidR="005063BF" w:rsidRPr="00B40A77" w:rsidRDefault="005063BF" w:rsidP="005063BF">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t xml:space="preserve">Unless the </w:t>
      </w:r>
      <w:r w:rsidR="003E5BBB" w:rsidRPr="00B40A77">
        <w:rPr>
          <w:color w:val="000000" w:themeColor="text1"/>
        </w:rPr>
        <w:t xml:space="preserve">Court </w:t>
      </w:r>
      <w:r w:rsidRPr="00B40A77">
        <w:rPr>
          <w:rFonts w:cs="Times New Roman"/>
          <w:color w:val="000000" w:themeColor="text1"/>
        </w:rPr>
        <w:t>otherwise orders and subject to subrule</w:t>
      </w:r>
      <w:r w:rsidR="001B1E8A" w:rsidRPr="00B40A77">
        <w:rPr>
          <w:rFonts w:cs="Times New Roman"/>
          <w:color w:val="000000" w:themeColor="text1"/>
        </w:rPr>
        <w:t> </w:t>
      </w:r>
      <w:r w:rsidRPr="00B40A77">
        <w:rPr>
          <w:rFonts w:cs="Times New Roman"/>
          <w:color w:val="000000" w:themeColor="text1"/>
        </w:rPr>
        <w:t>(5), an application for review under subrule</w:t>
      </w:r>
      <w:r w:rsidR="001B1E8A" w:rsidRPr="00B40A77">
        <w:rPr>
          <w:rFonts w:cs="Times New Roman"/>
          <w:color w:val="000000" w:themeColor="text1"/>
        </w:rPr>
        <w:t> </w:t>
      </w:r>
      <w:r w:rsidRPr="00B40A77">
        <w:rPr>
          <w:rFonts w:cs="Times New Roman"/>
          <w:color w:val="000000" w:themeColor="text1"/>
        </w:rPr>
        <w:t xml:space="preserve">(2) will be listed for </w:t>
      </w:r>
      <w:hyperlink w:anchor="_2.1—Definitions" w:history="1">
        <w:r w:rsidR="006D6EB8" w:rsidRPr="00B40A77">
          <w:rPr>
            <w:rStyle w:val="Hyperlink"/>
            <w:color w:val="000000" w:themeColor="text1"/>
          </w:rPr>
          <w:t>hearing</w:t>
        </w:r>
      </w:hyperlink>
      <w:r w:rsidRPr="00B40A77">
        <w:rPr>
          <w:rFonts w:cs="Times New Roman"/>
          <w:color w:val="000000" w:themeColor="text1"/>
        </w:rPr>
        <w:t xml:space="preserve"> before</w:t>
      </w:r>
      <w:r w:rsidRPr="00B40A77">
        <w:rPr>
          <w:color w:val="000000" w:themeColor="text1"/>
        </w:rPr>
        <w:t>—</w:t>
      </w:r>
    </w:p>
    <w:p w14:paraId="1A89135D" w14:textId="77777777" w:rsidR="00B67F35" w:rsidRPr="00B40A77" w:rsidRDefault="005063BF" w:rsidP="005063BF">
      <w:pPr>
        <w:pStyle w:val="Doublehangindent"/>
        <w:rPr>
          <w:color w:val="000000" w:themeColor="text1"/>
          <w:lang w:val="en-US"/>
        </w:rPr>
      </w:pPr>
      <w:r w:rsidRPr="00B40A77">
        <w:rPr>
          <w:rFonts w:cs="Times New Roman"/>
          <w:color w:val="000000" w:themeColor="text1"/>
        </w:rPr>
        <w:t>(a)</w:t>
      </w:r>
      <w:r w:rsidRPr="00B40A77">
        <w:rPr>
          <w:rFonts w:cs="Times New Roman"/>
          <w:color w:val="000000" w:themeColor="text1"/>
        </w:rPr>
        <w:tab/>
      </w:r>
      <w:r w:rsidR="00B67F35" w:rsidRPr="00B40A77">
        <w:rPr>
          <w:color w:val="000000" w:themeColor="text1"/>
          <w:lang w:val="en-US"/>
        </w:rPr>
        <w:t>a Judge in the Supreme Court;</w:t>
      </w:r>
    </w:p>
    <w:p w14:paraId="24C98B25" w14:textId="7FE841BE" w:rsidR="005063BF" w:rsidRPr="00B40A77" w:rsidRDefault="005063BF" w:rsidP="005063BF">
      <w:pPr>
        <w:pStyle w:val="Doublehangindent"/>
        <w:rPr>
          <w:color w:val="000000" w:themeColor="text1"/>
          <w:lang w:val="en-US"/>
        </w:rPr>
      </w:pPr>
      <w:r w:rsidRPr="00B40A77">
        <w:rPr>
          <w:rFonts w:cs="Times New Roman"/>
          <w:color w:val="000000" w:themeColor="text1"/>
        </w:rPr>
        <w:t>(b)</w:t>
      </w:r>
      <w:r w:rsidRPr="00B40A77">
        <w:rPr>
          <w:rFonts w:cs="Times New Roman"/>
          <w:color w:val="000000" w:themeColor="text1"/>
        </w:rPr>
        <w:tab/>
      </w:r>
      <w:r w:rsidRPr="00B40A77">
        <w:rPr>
          <w:color w:val="000000" w:themeColor="text1"/>
          <w:lang w:val="en-US"/>
        </w:rPr>
        <w:t xml:space="preserve">a </w:t>
      </w:r>
      <w:r w:rsidR="00B67F35" w:rsidRPr="00B40A77">
        <w:rPr>
          <w:color w:val="000000" w:themeColor="text1"/>
          <w:lang w:val="en-US"/>
        </w:rPr>
        <w:t>Judge</w:t>
      </w:r>
      <w:r w:rsidRPr="00B40A77">
        <w:rPr>
          <w:color w:val="000000" w:themeColor="text1"/>
          <w:lang w:val="en-US"/>
        </w:rPr>
        <w:t xml:space="preserve"> in the District Court;</w:t>
      </w:r>
    </w:p>
    <w:p w14:paraId="396A945D" w14:textId="6DB7F3B2" w:rsidR="00B67F35" w:rsidRPr="00B40A77" w:rsidRDefault="00B67F35" w:rsidP="00B67F35">
      <w:pPr>
        <w:pStyle w:val="Doublehangindent"/>
        <w:rPr>
          <w:color w:val="000000" w:themeColor="text1"/>
          <w:lang w:val="en-US"/>
        </w:rPr>
      </w:pPr>
      <w:r w:rsidRPr="00B40A77">
        <w:rPr>
          <w:rFonts w:cs="Times New Roman"/>
          <w:color w:val="000000" w:themeColor="text1"/>
        </w:rPr>
        <w:t>(c)</w:t>
      </w:r>
      <w:r w:rsidRPr="00B40A77">
        <w:rPr>
          <w:rFonts w:cs="Times New Roman"/>
          <w:color w:val="000000" w:themeColor="text1"/>
        </w:rPr>
        <w:tab/>
      </w:r>
      <w:r w:rsidRPr="00B40A77">
        <w:rPr>
          <w:color w:val="000000" w:themeColor="text1"/>
          <w:lang w:val="en-US"/>
        </w:rPr>
        <w:t xml:space="preserve">a Judge in the </w:t>
      </w:r>
      <w:r w:rsidRPr="00B40A77">
        <w:rPr>
          <w:color w:val="000000" w:themeColor="text1"/>
        </w:rPr>
        <w:t>Environment</w:t>
      </w:r>
      <w:r w:rsidR="009F17E4" w:rsidRPr="00B40A77">
        <w:rPr>
          <w:color w:val="000000" w:themeColor="text1"/>
        </w:rPr>
        <w:t>,</w:t>
      </w:r>
      <w:r w:rsidRPr="00B40A77">
        <w:rPr>
          <w:color w:val="000000" w:themeColor="text1"/>
        </w:rPr>
        <w:t xml:space="preserve"> Resources and Development </w:t>
      </w:r>
      <w:r w:rsidRPr="00B40A77">
        <w:rPr>
          <w:color w:val="000000" w:themeColor="text1"/>
          <w:lang w:val="en-US"/>
        </w:rPr>
        <w:t>Court;</w:t>
      </w:r>
    </w:p>
    <w:p w14:paraId="5384E7EC" w14:textId="6DE99759" w:rsidR="00B67F35" w:rsidRPr="00B40A77" w:rsidRDefault="00B67F35" w:rsidP="00B67F35">
      <w:pPr>
        <w:pStyle w:val="Doublehangindent"/>
        <w:rPr>
          <w:color w:val="000000" w:themeColor="text1"/>
          <w:lang w:val="en-US"/>
        </w:rPr>
      </w:pPr>
      <w:r w:rsidRPr="00B40A77">
        <w:rPr>
          <w:rFonts w:cs="Times New Roman"/>
          <w:color w:val="000000" w:themeColor="text1"/>
        </w:rPr>
        <w:lastRenderedPageBreak/>
        <w:t>(d)</w:t>
      </w:r>
      <w:r w:rsidRPr="00B40A77">
        <w:rPr>
          <w:rFonts w:cs="Times New Roman"/>
          <w:color w:val="000000" w:themeColor="text1"/>
        </w:rPr>
        <w:tab/>
      </w:r>
      <w:r w:rsidR="000517E6" w:rsidRPr="00B40A77">
        <w:rPr>
          <w:rFonts w:cs="Times New Roman"/>
          <w:color w:val="000000" w:themeColor="text1"/>
        </w:rPr>
        <w:t xml:space="preserve">the Judge or </w:t>
      </w:r>
      <w:r w:rsidRPr="00B40A77">
        <w:rPr>
          <w:color w:val="000000" w:themeColor="text1"/>
          <w:lang w:val="en-US"/>
        </w:rPr>
        <w:t>a Magistrate in the Youth Court;</w:t>
      </w:r>
      <w:r w:rsidR="009F17E4" w:rsidRPr="00B40A77">
        <w:rPr>
          <w:color w:val="000000" w:themeColor="text1"/>
          <w:lang w:val="en-US"/>
        </w:rPr>
        <w:t xml:space="preserve"> </w:t>
      </w:r>
    </w:p>
    <w:p w14:paraId="62EBCDA6" w14:textId="0F7F142A" w:rsidR="005063BF" w:rsidRPr="00B40A77" w:rsidRDefault="00B67F35" w:rsidP="005063BF">
      <w:pPr>
        <w:pStyle w:val="Doublehangindent"/>
        <w:rPr>
          <w:color w:val="000000" w:themeColor="text1"/>
          <w:lang w:val="en-US"/>
        </w:rPr>
      </w:pPr>
      <w:r w:rsidRPr="00B40A77">
        <w:rPr>
          <w:rFonts w:cs="Times New Roman"/>
          <w:color w:val="000000" w:themeColor="text1"/>
        </w:rPr>
        <w:t>(e</w:t>
      </w:r>
      <w:r w:rsidR="005063BF" w:rsidRPr="00B40A77">
        <w:rPr>
          <w:rFonts w:cs="Times New Roman"/>
          <w:color w:val="000000" w:themeColor="text1"/>
        </w:rPr>
        <w:t>)</w:t>
      </w:r>
      <w:r w:rsidR="005063BF" w:rsidRPr="00B40A77">
        <w:rPr>
          <w:rFonts w:cs="Times New Roman"/>
          <w:color w:val="000000" w:themeColor="text1"/>
        </w:rPr>
        <w:tab/>
      </w:r>
      <w:r w:rsidRPr="00B40A77">
        <w:rPr>
          <w:color w:val="000000" w:themeColor="text1"/>
          <w:lang w:val="en-US"/>
        </w:rPr>
        <w:t>a Magistrate in the Magistrates Court</w:t>
      </w:r>
      <w:r w:rsidR="005063BF" w:rsidRPr="00B40A77">
        <w:rPr>
          <w:color w:val="000000" w:themeColor="text1"/>
          <w:lang w:val="en-US"/>
        </w:rPr>
        <w:t>.</w:t>
      </w:r>
    </w:p>
    <w:p w14:paraId="0B3D56E3" w14:textId="51482804" w:rsidR="005063BF" w:rsidRPr="00B40A77" w:rsidRDefault="005063BF" w:rsidP="005063BF">
      <w:pPr>
        <w:pStyle w:val="Hangindent"/>
        <w:rPr>
          <w:rFonts w:cs="Times New Roman"/>
          <w:color w:val="000000" w:themeColor="text1"/>
        </w:rPr>
      </w:pPr>
      <w:r w:rsidRPr="00B40A77">
        <w:rPr>
          <w:rFonts w:cs="Times New Roman"/>
          <w:color w:val="000000" w:themeColor="text1"/>
        </w:rPr>
        <w:t>(5)</w:t>
      </w:r>
      <w:r w:rsidRPr="00B40A77">
        <w:rPr>
          <w:rFonts w:cs="Times New Roman"/>
          <w:color w:val="000000" w:themeColor="text1"/>
        </w:rPr>
        <w:tab/>
        <w:t xml:space="preserve">A review may be determined without a </w:t>
      </w:r>
      <w:hyperlink w:anchor="_2.1—Definitions" w:history="1">
        <w:r w:rsidR="006D6EB8" w:rsidRPr="00B40A77">
          <w:rPr>
            <w:rStyle w:val="Hyperlink"/>
            <w:color w:val="000000" w:themeColor="text1"/>
          </w:rPr>
          <w:t>hearing</w:t>
        </w:r>
      </w:hyperlink>
      <w:r w:rsidRPr="00B40A77">
        <w:rPr>
          <w:rFonts w:cs="Times New Roman"/>
          <w:color w:val="000000" w:themeColor="text1"/>
        </w:rPr>
        <w:t xml:space="preserve"> if the</w:t>
      </w:r>
      <w:r w:rsidR="00434BDF" w:rsidRPr="00B40A77">
        <w:rPr>
          <w:rFonts w:cs="Times New Roman"/>
          <w:color w:val="000000" w:themeColor="text1"/>
        </w:rPr>
        <w:t xml:space="preserve"> judicial officer conducting the</w:t>
      </w:r>
      <w:r w:rsidR="005F46FD" w:rsidRPr="00B40A77">
        <w:rPr>
          <w:rFonts w:cs="Times New Roman"/>
          <w:color w:val="000000" w:themeColor="text1"/>
        </w:rPr>
        <w:t xml:space="preserve"> review</w:t>
      </w:r>
      <w:r w:rsidRPr="00B40A77">
        <w:rPr>
          <w:rFonts w:cs="Times New Roman"/>
          <w:color w:val="000000" w:themeColor="text1"/>
        </w:rPr>
        <w:t xml:space="preserve"> thinks fit.</w:t>
      </w:r>
    </w:p>
    <w:p w14:paraId="4B902313" w14:textId="6FF323AA" w:rsidR="00B0314D" w:rsidRPr="00B40A77" w:rsidRDefault="00097345" w:rsidP="00390A7B">
      <w:pPr>
        <w:pStyle w:val="Heading3"/>
        <w:rPr>
          <w:color w:val="000000" w:themeColor="text1"/>
        </w:rPr>
      </w:pPr>
      <w:bookmarkStart w:id="87" w:name="_Toc175238762"/>
      <w:r w:rsidRPr="00B40A77">
        <w:rPr>
          <w:color w:val="000000" w:themeColor="text1"/>
        </w:rPr>
        <w:t>D</w:t>
      </w:r>
      <w:r w:rsidR="007A505B" w:rsidRPr="00B40A77">
        <w:rPr>
          <w:color w:val="000000" w:themeColor="text1"/>
        </w:rPr>
        <w:t xml:space="preserve">ivision </w:t>
      </w:r>
      <w:r w:rsidR="007408ED" w:rsidRPr="00B40A77">
        <w:rPr>
          <w:color w:val="000000" w:themeColor="text1"/>
        </w:rPr>
        <w:t>2</w:t>
      </w:r>
      <w:r w:rsidR="00B0314D" w:rsidRPr="00B40A77">
        <w:rPr>
          <w:color w:val="000000" w:themeColor="text1"/>
        </w:rPr>
        <w:t>—Registry</w:t>
      </w:r>
      <w:bookmarkEnd w:id="87"/>
    </w:p>
    <w:p w14:paraId="739E7D85" w14:textId="04DCE979" w:rsidR="00B0314D" w:rsidRPr="00B40A77" w:rsidRDefault="00866E49" w:rsidP="004057D2">
      <w:pPr>
        <w:pStyle w:val="Heading4"/>
        <w:rPr>
          <w:color w:val="000000" w:themeColor="text1"/>
        </w:rPr>
      </w:pPr>
      <w:bookmarkStart w:id="88" w:name="_Toc175238763"/>
      <w:r w:rsidRPr="00B40A77">
        <w:rPr>
          <w:color w:val="000000" w:themeColor="text1"/>
        </w:rPr>
        <w:t>17</w:t>
      </w:r>
      <w:r w:rsidR="007408ED" w:rsidRPr="00B40A77">
        <w:rPr>
          <w:color w:val="000000" w:themeColor="text1"/>
        </w:rPr>
        <w:t>.1</w:t>
      </w:r>
      <w:r w:rsidR="004624B0" w:rsidRPr="00B40A77">
        <w:rPr>
          <w:color w:val="000000" w:themeColor="text1"/>
        </w:rPr>
        <w:t>—</w:t>
      </w:r>
      <w:r w:rsidR="003D1D7D" w:rsidRPr="00B40A77">
        <w:rPr>
          <w:color w:val="000000" w:themeColor="text1"/>
        </w:rPr>
        <w:t>Registr</w:t>
      </w:r>
      <w:r w:rsidR="00B0314D" w:rsidRPr="00B40A77">
        <w:rPr>
          <w:color w:val="000000" w:themeColor="text1"/>
        </w:rPr>
        <w:t>y</w:t>
      </w:r>
      <w:r w:rsidR="004624B0" w:rsidRPr="00B40A77">
        <w:rPr>
          <w:color w:val="000000" w:themeColor="text1"/>
        </w:rPr>
        <w:t xml:space="preserve"> hours</w:t>
      </w:r>
      <w:bookmarkEnd w:id="88"/>
    </w:p>
    <w:p w14:paraId="22424D8E" w14:textId="5D281ED2" w:rsidR="00B0314D" w:rsidRPr="00B40A77" w:rsidRDefault="00B0314D" w:rsidP="00B0314D">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504B86" w:rsidRPr="00B40A77">
        <w:rPr>
          <w:color w:val="000000" w:themeColor="text1"/>
          <w:lang w:val="en-US"/>
        </w:rPr>
        <w:t xml:space="preserve">must </w:t>
      </w:r>
      <w:r w:rsidRPr="00B40A77">
        <w:rPr>
          <w:color w:val="000000" w:themeColor="text1"/>
          <w:lang w:val="en-US"/>
        </w:rPr>
        <w:t xml:space="preserve">determine </w:t>
      </w:r>
      <w:r w:rsidR="00167FB3" w:rsidRPr="00B40A77">
        <w:rPr>
          <w:color w:val="000000" w:themeColor="text1"/>
          <w:lang w:val="en-US"/>
        </w:rPr>
        <w:t>when</w:t>
      </w:r>
      <w:r w:rsidRPr="00B40A77">
        <w:rPr>
          <w:color w:val="000000" w:themeColor="text1"/>
          <w:lang w:val="en-US"/>
        </w:rPr>
        <w:t xml:space="preserve"> the Registry is </w:t>
      </w:r>
      <w:r w:rsidR="00167FB3" w:rsidRPr="00B40A77">
        <w:rPr>
          <w:color w:val="000000" w:themeColor="text1"/>
          <w:lang w:val="en-US"/>
        </w:rPr>
        <w:t xml:space="preserve">to be </w:t>
      </w:r>
      <w:r w:rsidRPr="00B40A77">
        <w:rPr>
          <w:color w:val="000000" w:themeColor="text1"/>
          <w:lang w:val="en-US"/>
        </w:rPr>
        <w:t>open for business.</w:t>
      </w:r>
    </w:p>
    <w:p w14:paraId="64A60C56" w14:textId="7559C058" w:rsidR="00B0314D" w:rsidRPr="00B40A77" w:rsidRDefault="003D1D7D" w:rsidP="00B0314D">
      <w:pPr>
        <w:pStyle w:val="Hangindent"/>
        <w:rPr>
          <w:color w:val="000000" w:themeColor="text1"/>
          <w:lang w:val="en-US"/>
        </w:rPr>
      </w:pPr>
      <w:r w:rsidRPr="00B40A77">
        <w:rPr>
          <w:color w:val="000000" w:themeColor="text1"/>
          <w:lang w:val="en-US"/>
        </w:rPr>
        <w:t>(2</w:t>
      </w:r>
      <w:r w:rsidR="00B0314D" w:rsidRPr="00B40A77">
        <w:rPr>
          <w:color w:val="000000" w:themeColor="text1"/>
          <w:lang w:val="en-US"/>
        </w:rPr>
        <w:t>)</w:t>
      </w:r>
      <w:r w:rsidR="00B0314D"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504B86" w:rsidRPr="00B40A77">
        <w:rPr>
          <w:color w:val="000000" w:themeColor="text1"/>
          <w:lang w:val="en-US"/>
        </w:rPr>
        <w:t>must</w:t>
      </w:r>
      <w:r w:rsidRPr="00B40A77">
        <w:rPr>
          <w:color w:val="000000" w:themeColor="text1"/>
          <w:lang w:val="en-US"/>
        </w:rPr>
        <w:t xml:space="preserve"> </w:t>
      </w:r>
      <w:r w:rsidR="00EF42C0" w:rsidRPr="00B40A77">
        <w:rPr>
          <w:color w:val="000000" w:themeColor="text1"/>
          <w:lang w:val="en-US"/>
        </w:rPr>
        <w:t>establish</w:t>
      </w:r>
      <w:r w:rsidRPr="00B40A77">
        <w:rPr>
          <w:color w:val="000000" w:themeColor="text1"/>
          <w:lang w:val="en-US"/>
        </w:rPr>
        <w:t xml:space="preserve"> procedures for a </w:t>
      </w:r>
      <w:r w:rsidR="000C2585" w:rsidRPr="00B40A77">
        <w:rPr>
          <w:color w:val="000000" w:themeColor="text1"/>
          <w:lang w:val="en-US"/>
        </w:rPr>
        <w:t>party</w:t>
      </w:r>
      <w:r w:rsidRPr="00B40A77">
        <w:rPr>
          <w:color w:val="000000" w:themeColor="text1"/>
          <w:lang w:val="en-US"/>
        </w:rPr>
        <w:t xml:space="preserve"> or </w:t>
      </w:r>
      <w:r w:rsidR="00872D66" w:rsidRPr="00B40A77">
        <w:rPr>
          <w:color w:val="000000" w:themeColor="text1"/>
          <w:lang w:val="en-US"/>
        </w:rPr>
        <w:t>lawyer</w:t>
      </w:r>
      <w:r w:rsidRPr="00B40A77">
        <w:rPr>
          <w:color w:val="000000" w:themeColor="text1"/>
          <w:lang w:val="en-US"/>
        </w:rPr>
        <w:t xml:space="preserve"> to request the performance of a function by </w:t>
      </w:r>
      <w:r w:rsidR="00B0314D" w:rsidRPr="00B40A77">
        <w:rPr>
          <w:color w:val="000000" w:themeColor="text1"/>
          <w:lang w:val="en-US"/>
        </w:rPr>
        <w:t>t</w:t>
      </w:r>
      <w:r w:rsidRPr="00B40A77">
        <w:rPr>
          <w:color w:val="000000" w:themeColor="text1"/>
          <w:lang w:val="en-US"/>
        </w:rPr>
        <w:t xml:space="preserve">he Registry (relating to the filing of an urgent document or listing of an urgent </w:t>
      </w:r>
      <w:hyperlink w:anchor="_2.1—Definitions" w:history="1">
        <w:r w:rsidR="006D6EB8" w:rsidRPr="00B40A77">
          <w:rPr>
            <w:rStyle w:val="Hyperlink"/>
            <w:color w:val="000000" w:themeColor="text1"/>
          </w:rPr>
          <w:t>hearing</w:t>
        </w:r>
      </w:hyperlink>
      <w:r w:rsidR="00EF42C0" w:rsidRPr="00B40A77">
        <w:rPr>
          <w:color w:val="000000" w:themeColor="text1"/>
          <w:lang w:val="en-US"/>
        </w:rPr>
        <w:t xml:space="preserve"> or otherwise), upon payment of </w:t>
      </w:r>
      <w:r w:rsidR="00CB712C" w:rsidRPr="00B40A77">
        <w:rPr>
          <w:color w:val="000000" w:themeColor="text1"/>
          <w:lang w:val="en-US"/>
        </w:rPr>
        <w:t>the prescribed</w:t>
      </w:r>
      <w:r w:rsidR="00EF42C0" w:rsidRPr="00B40A77">
        <w:rPr>
          <w:color w:val="000000" w:themeColor="text1"/>
          <w:lang w:val="en-US"/>
        </w:rPr>
        <w:t xml:space="preserve"> fee,</w:t>
      </w:r>
      <w:r w:rsidRPr="00B40A77">
        <w:rPr>
          <w:color w:val="000000" w:themeColor="text1"/>
          <w:lang w:val="en-US"/>
        </w:rPr>
        <w:t xml:space="preserve"> when the Registry is not open for business.</w:t>
      </w:r>
    </w:p>
    <w:p w14:paraId="51343195" w14:textId="3BD514F8" w:rsidR="003D1D7D" w:rsidRPr="00B40A77" w:rsidRDefault="003D1D7D" w:rsidP="00B0314D">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publish the </w:t>
      </w:r>
      <w:r w:rsidR="005F3EE4" w:rsidRPr="00B40A77">
        <w:rPr>
          <w:color w:val="000000" w:themeColor="text1"/>
          <w:lang w:val="en-US"/>
        </w:rPr>
        <w:t xml:space="preserve">opening hours </w:t>
      </w:r>
      <w:r w:rsidRPr="00B40A77">
        <w:rPr>
          <w:color w:val="000000" w:themeColor="text1"/>
          <w:lang w:val="en-US"/>
        </w:rPr>
        <w:t>and procedures</w:t>
      </w:r>
      <w:r w:rsidR="00EF42C0" w:rsidRPr="00B40A77">
        <w:rPr>
          <w:color w:val="000000" w:themeColor="text1"/>
          <w:lang w:val="en-US"/>
        </w:rPr>
        <w:t xml:space="preserve"> referred to in this r</w:t>
      </w:r>
      <w:r w:rsidR="00167FB3" w:rsidRPr="00B40A77">
        <w:rPr>
          <w:color w:val="000000" w:themeColor="text1"/>
          <w:lang w:val="en-US"/>
        </w:rPr>
        <w:t xml:space="preserve">ule on the </w:t>
      </w:r>
      <w:hyperlink w:anchor="_2.1—Definitions" w:history="1">
        <w:r w:rsidR="00DC3868" w:rsidRPr="00B40A77">
          <w:rPr>
            <w:rStyle w:val="Hyperlink"/>
            <w:color w:val="000000" w:themeColor="text1"/>
            <w:lang w:val="en-US"/>
          </w:rPr>
          <w:t>CAA website</w:t>
        </w:r>
      </w:hyperlink>
      <w:r w:rsidR="00167FB3" w:rsidRPr="00B40A77">
        <w:rPr>
          <w:color w:val="000000" w:themeColor="text1"/>
          <w:lang w:val="en-US"/>
        </w:rPr>
        <w:t>.</w:t>
      </w:r>
    </w:p>
    <w:p w14:paraId="5A5F0203" w14:textId="1B168262" w:rsidR="004624B0" w:rsidRPr="00B40A77" w:rsidRDefault="007408ED" w:rsidP="00390A7B">
      <w:pPr>
        <w:pStyle w:val="Heading3"/>
        <w:rPr>
          <w:color w:val="000000" w:themeColor="text1"/>
        </w:rPr>
      </w:pPr>
      <w:bookmarkStart w:id="89" w:name="_Toc175238764"/>
      <w:r w:rsidRPr="00B40A77">
        <w:rPr>
          <w:color w:val="000000" w:themeColor="text1"/>
        </w:rPr>
        <w:t>D</w:t>
      </w:r>
      <w:r w:rsidR="007A505B" w:rsidRPr="00B40A77">
        <w:rPr>
          <w:color w:val="000000" w:themeColor="text1"/>
        </w:rPr>
        <w:t>ivision</w:t>
      </w:r>
      <w:r w:rsidRPr="00B40A77">
        <w:rPr>
          <w:color w:val="000000" w:themeColor="text1"/>
        </w:rPr>
        <w:t xml:space="preserve"> 3</w:t>
      </w:r>
      <w:r w:rsidR="004624B0" w:rsidRPr="00B40A77">
        <w:rPr>
          <w:color w:val="000000" w:themeColor="text1"/>
        </w:rPr>
        <w:t>—Access to court documents</w:t>
      </w:r>
      <w:bookmarkEnd w:id="89"/>
    </w:p>
    <w:p w14:paraId="09DD019D" w14:textId="36D453A5" w:rsidR="004624B0" w:rsidRPr="00B40A77" w:rsidRDefault="00866E49" w:rsidP="004057D2">
      <w:pPr>
        <w:pStyle w:val="Heading4"/>
        <w:rPr>
          <w:color w:val="000000" w:themeColor="text1"/>
        </w:rPr>
      </w:pPr>
      <w:bookmarkStart w:id="90" w:name="_Toc175238765"/>
      <w:r w:rsidRPr="00B40A77">
        <w:rPr>
          <w:color w:val="000000" w:themeColor="text1"/>
        </w:rPr>
        <w:t>18</w:t>
      </w:r>
      <w:r w:rsidR="007408ED" w:rsidRPr="00B40A77">
        <w:rPr>
          <w:color w:val="000000" w:themeColor="text1"/>
        </w:rPr>
        <w:t>.1</w:t>
      </w:r>
      <w:r w:rsidR="004624B0" w:rsidRPr="00B40A77">
        <w:rPr>
          <w:color w:val="000000" w:themeColor="text1"/>
        </w:rPr>
        <w:t>—</w:t>
      </w:r>
      <w:r w:rsidR="00EF42C0" w:rsidRPr="00B40A77">
        <w:rPr>
          <w:color w:val="000000" w:themeColor="text1"/>
        </w:rPr>
        <w:t>Document access</w:t>
      </w:r>
      <w:bookmarkEnd w:id="90"/>
    </w:p>
    <w:p w14:paraId="7E939350" w14:textId="1C7D08EA" w:rsidR="00EF42C0" w:rsidRPr="00B40A77" w:rsidRDefault="00375DF9" w:rsidP="004624B0">
      <w:pPr>
        <w:pStyle w:val="Hangindent"/>
        <w:rPr>
          <w:color w:val="000000" w:themeColor="text1"/>
        </w:rPr>
      </w:pPr>
      <w:r w:rsidRPr="00B40A77">
        <w:rPr>
          <w:color w:val="000000" w:themeColor="text1"/>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004624B0" w:rsidRPr="00B40A77">
        <w:rPr>
          <w:color w:val="000000" w:themeColor="text1"/>
          <w:lang w:val="en-US"/>
        </w:rPr>
        <w:t xml:space="preserve"> </w:t>
      </w:r>
      <w:r w:rsidR="00504B86" w:rsidRPr="00B40A77">
        <w:rPr>
          <w:color w:val="000000" w:themeColor="text1"/>
          <w:lang w:val="en-US"/>
        </w:rPr>
        <w:t>must</w:t>
      </w:r>
      <w:r w:rsidR="004624B0" w:rsidRPr="00B40A77">
        <w:rPr>
          <w:color w:val="000000" w:themeColor="text1"/>
          <w:lang w:val="en-US"/>
        </w:rPr>
        <w:t xml:space="preserve"> </w:t>
      </w:r>
      <w:r w:rsidR="00EF42C0" w:rsidRPr="00B40A77">
        <w:rPr>
          <w:color w:val="000000" w:themeColor="text1"/>
          <w:lang w:val="en-US"/>
        </w:rPr>
        <w:t xml:space="preserve">establish practices and </w:t>
      </w:r>
      <w:r w:rsidR="00EA6BFD" w:rsidRPr="00B40A77">
        <w:rPr>
          <w:color w:val="000000" w:themeColor="text1"/>
          <w:lang w:val="en-US"/>
        </w:rPr>
        <w:t>procedures</w:t>
      </w:r>
      <w:r w:rsidR="00EF42C0" w:rsidRPr="00B40A77">
        <w:rPr>
          <w:color w:val="000000" w:themeColor="text1"/>
        </w:rPr>
        <w:t>—</w:t>
      </w:r>
    </w:p>
    <w:p w14:paraId="7E875580" w14:textId="7CD50892" w:rsidR="00EF42C0" w:rsidRPr="00B40A77" w:rsidRDefault="00EF42C0" w:rsidP="00504B86">
      <w:pPr>
        <w:pStyle w:val="Hangindent"/>
        <w:rPr>
          <w:color w:val="000000" w:themeColor="text1"/>
          <w:lang w:val="en-US"/>
        </w:rPr>
      </w:pPr>
      <w:r w:rsidRPr="00B40A77">
        <w:rPr>
          <w:color w:val="000000" w:themeColor="text1"/>
          <w:lang w:val="en-US"/>
        </w:rPr>
        <w:t>(a)</w:t>
      </w:r>
      <w:r w:rsidRPr="00B40A77">
        <w:rPr>
          <w:color w:val="000000" w:themeColor="text1"/>
          <w:lang w:val="en-US"/>
        </w:rPr>
        <w:tab/>
      </w:r>
      <w:r w:rsidR="00EA6BFD" w:rsidRPr="00B40A77">
        <w:rPr>
          <w:color w:val="000000" w:themeColor="text1"/>
          <w:lang w:val="en-US"/>
        </w:rPr>
        <w:t xml:space="preserve">determining </w:t>
      </w:r>
      <w:r w:rsidRPr="00B40A77">
        <w:rPr>
          <w:color w:val="000000" w:themeColor="text1"/>
          <w:lang w:val="en-US"/>
        </w:rPr>
        <w:t xml:space="preserve">what </w:t>
      </w:r>
      <w:r w:rsidR="006A70EB" w:rsidRPr="00B40A77">
        <w:rPr>
          <w:color w:val="000000" w:themeColor="text1"/>
          <w:lang w:val="en-US"/>
        </w:rPr>
        <w:t>i</w:t>
      </w:r>
      <w:r w:rsidR="00600147" w:rsidRPr="00B40A77">
        <w:rPr>
          <w:color w:val="000000" w:themeColor="text1"/>
          <w:lang w:val="en-US"/>
        </w:rPr>
        <w:t>nformation</w:t>
      </w:r>
      <w:r w:rsidRPr="00B40A77">
        <w:rPr>
          <w:color w:val="000000" w:themeColor="text1"/>
          <w:lang w:val="en-US"/>
        </w:rPr>
        <w:t xml:space="preserve"> or documents in respect of </w:t>
      </w:r>
      <w:r w:rsidR="00FD37BD" w:rsidRPr="00B40A77">
        <w:rPr>
          <w:color w:val="000000" w:themeColor="text1"/>
          <w:lang w:val="en-US"/>
        </w:rPr>
        <w:t>a proceeding</w:t>
      </w:r>
      <w:r w:rsidRPr="00B40A77">
        <w:rPr>
          <w:color w:val="000000" w:themeColor="text1"/>
          <w:lang w:val="en-US"/>
        </w:rPr>
        <w:t xml:space="preserve"> are accessible to parties, </w:t>
      </w:r>
      <w:r w:rsidR="00872D66" w:rsidRPr="00B40A77">
        <w:rPr>
          <w:color w:val="000000" w:themeColor="text1"/>
          <w:lang w:val="en-US"/>
        </w:rPr>
        <w:t>lawyers</w:t>
      </w:r>
      <w:r w:rsidRPr="00B40A77">
        <w:rPr>
          <w:color w:val="000000" w:themeColor="text1"/>
          <w:lang w:val="en-US"/>
        </w:rPr>
        <w:t>, members of the public or any other class of persons;</w:t>
      </w:r>
      <w:r w:rsidR="00430208" w:rsidRPr="00B40A77">
        <w:rPr>
          <w:color w:val="000000" w:themeColor="text1"/>
          <w:lang w:val="en-US"/>
        </w:rPr>
        <w:t xml:space="preserve"> and</w:t>
      </w:r>
    </w:p>
    <w:p w14:paraId="28E81001" w14:textId="7C0896BA" w:rsidR="004624B0" w:rsidRPr="00B40A77" w:rsidRDefault="00EF42C0" w:rsidP="00504B86">
      <w:pPr>
        <w:pStyle w:val="Hangindent"/>
        <w:rPr>
          <w:color w:val="000000" w:themeColor="text1"/>
          <w:lang w:val="en-US"/>
        </w:rPr>
      </w:pPr>
      <w:r w:rsidRPr="00B40A77">
        <w:rPr>
          <w:color w:val="000000" w:themeColor="text1"/>
          <w:lang w:val="en-US"/>
        </w:rPr>
        <w:t>(b)</w:t>
      </w:r>
      <w:r w:rsidRPr="00B40A77">
        <w:rPr>
          <w:color w:val="000000" w:themeColor="text1"/>
          <w:lang w:val="en-US"/>
        </w:rPr>
        <w:tab/>
      </w:r>
      <w:r w:rsidR="004624B0" w:rsidRPr="00B40A77">
        <w:rPr>
          <w:color w:val="000000" w:themeColor="text1"/>
          <w:lang w:val="en-US"/>
        </w:rPr>
        <w:t xml:space="preserve">for a </w:t>
      </w:r>
      <w:r w:rsidRPr="00B40A77">
        <w:rPr>
          <w:color w:val="000000" w:themeColor="text1"/>
          <w:lang w:val="en-US"/>
        </w:rPr>
        <w:t>person t</w:t>
      </w:r>
      <w:r w:rsidR="004624B0" w:rsidRPr="00B40A77">
        <w:rPr>
          <w:color w:val="000000" w:themeColor="text1"/>
          <w:lang w:val="en-US"/>
        </w:rPr>
        <w:t xml:space="preserve">o request </w:t>
      </w:r>
      <w:r w:rsidR="00EA6BFD" w:rsidRPr="00B40A77">
        <w:rPr>
          <w:color w:val="000000" w:themeColor="text1"/>
          <w:lang w:val="en-US"/>
        </w:rPr>
        <w:t xml:space="preserve">access to </w:t>
      </w:r>
      <w:r w:rsidR="006A70EB" w:rsidRPr="00B40A77">
        <w:rPr>
          <w:color w:val="000000" w:themeColor="text1"/>
          <w:lang w:val="en-US"/>
        </w:rPr>
        <w:t>i</w:t>
      </w:r>
      <w:r w:rsidR="00600147" w:rsidRPr="00B40A77">
        <w:rPr>
          <w:color w:val="000000" w:themeColor="text1"/>
          <w:lang w:val="en-US"/>
        </w:rPr>
        <w:t>nformation</w:t>
      </w:r>
      <w:r w:rsidRPr="00B40A77">
        <w:rPr>
          <w:color w:val="000000" w:themeColor="text1"/>
          <w:lang w:val="en-US"/>
        </w:rPr>
        <w:t xml:space="preserve"> or documents </w:t>
      </w:r>
      <w:r w:rsidR="00EA6BFD" w:rsidRPr="00B40A77">
        <w:rPr>
          <w:color w:val="000000" w:themeColor="text1"/>
          <w:lang w:val="en-US"/>
        </w:rPr>
        <w:t xml:space="preserve">or copies of </w:t>
      </w:r>
      <w:r w:rsidR="00B446E2" w:rsidRPr="00B40A77">
        <w:rPr>
          <w:color w:val="000000" w:themeColor="text1"/>
          <w:lang w:val="en-US"/>
        </w:rPr>
        <w:t>d</w:t>
      </w:r>
      <w:r w:rsidR="00EA6BFD" w:rsidRPr="00B40A77">
        <w:rPr>
          <w:color w:val="000000" w:themeColor="text1"/>
          <w:lang w:val="en-US"/>
        </w:rPr>
        <w:t xml:space="preserve">ocuments </w:t>
      </w:r>
      <w:r w:rsidRPr="00B40A77">
        <w:rPr>
          <w:color w:val="000000" w:themeColor="text1"/>
          <w:lang w:val="en-US"/>
        </w:rPr>
        <w:t xml:space="preserve">in respect of </w:t>
      </w:r>
      <w:r w:rsidR="00FD37BD" w:rsidRPr="00B40A77">
        <w:rPr>
          <w:color w:val="000000" w:themeColor="text1"/>
          <w:lang w:val="en-US"/>
        </w:rPr>
        <w:t>a proceeding</w:t>
      </w:r>
      <w:r w:rsidRPr="00B40A77">
        <w:rPr>
          <w:color w:val="000000" w:themeColor="text1"/>
          <w:lang w:val="en-US"/>
        </w:rPr>
        <w:t xml:space="preserve"> (</w:t>
      </w:r>
      <w:r w:rsidR="004624B0" w:rsidRPr="00B40A77">
        <w:rPr>
          <w:color w:val="000000" w:themeColor="text1"/>
          <w:lang w:val="en-US"/>
        </w:rPr>
        <w:t>whe</w:t>
      </w:r>
      <w:r w:rsidRPr="00B40A77">
        <w:rPr>
          <w:color w:val="000000" w:themeColor="text1"/>
          <w:lang w:val="en-US"/>
        </w:rPr>
        <w:t>n applicable on payment of a</w:t>
      </w:r>
      <w:r w:rsidR="004624B0" w:rsidRPr="00B40A77">
        <w:rPr>
          <w:color w:val="000000" w:themeColor="text1"/>
          <w:lang w:val="en-US"/>
        </w:rPr>
        <w:t xml:space="preserve"> fee).</w:t>
      </w:r>
    </w:p>
    <w:p w14:paraId="55AAA5B5" w14:textId="2084D422" w:rsidR="006A70EB" w:rsidRPr="00B40A77" w:rsidRDefault="00866E49" w:rsidP="00A30963">
      <w:pPr>
        <w:pStyle w:val="Heading4"/>
        <w:rPr>
          <w:color w:val="000000" w:themeColor="text1"/>
        </w:rPr>
      </w:pPr>
      <w:bookmarkStart w:id="91" w:name="_Toc60133515"/>
      <w:bookmarkStart w:id="92" w:name="_Toc175238766"/>
      <w:r w:rsidRPr="00B40A77">
        <w:rPr>
          <w:color w:val="000000" w:themeColor="text1"/>
        </w:rPr>
        <w:t>18</w:t>
      </w:r>
      <w:r w:rsidR="006A70EB" w:rsidRPr="00B40A77">
        <w:rPr>
          <w:color w:val="000000" w:themeColor="text1"/>
        </w:rPr>
        <w:t>.2—Production of court records</w:t>
      </w:r>
      <w:bookmarkEnd w:id="91"/>
      <w:bookmarkEnd w:id="92"/>
    </w:p>
    <w:p w14:paraId="0EA3F935" w14:textId="15F86C36" w:rsidR="006A70EB" w:rsidRPr="00B40A77" w:rsidRDefault="006A70EB" w:rsidP="006A70EB">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 to a request by a</w:t>
      </w:r>
      <w:r w:rsidR="004137B9" w:rsidRPr="00B40A77">
        <w:rPr>
          <w:color w:val="000000" w:themeColor="text1"/>
          <w:lang w:val="en-US"/>
        </w:rPr>
        <w:t>nother</w:t>
      </w:r>
      <w:r w:rsidRPr="00B40A77">
        <w:rPr>
          <w:color w:val="000000" w:themeColor="text1"/>
          <w:lang w:val="en-US"/>
        </w:rPr>
        <w:t xml:space="preserve"> court or tribunal, including an umpire or arbitrator, for production of a </w:t>
      </w:r>
      <w:r w:rsidR="000517E6" w:rsidRPr="00B40A77">
        <w:rPr>
          <w:color w:val="000000" w:themeColor="text1"/>
          <w:lang w:val="en-US"/>
        </w:rPr>
        <w:t xml:space="preserve">hard copy </w:t>
      </w:r>
      <w:r w:rsidRPr="00B40A77">
        <w:rPr>
          <w:color w:val="000000" w:themeColor="text1"/>
          <w:lang w:val="en-US"/>
        </w:rPr>
        <w:t>court record</w:t>
      </w:r>
      <w:r w:rsidR="007D308A" w:rsidRPr="00B40A77">
        <w:rPr>
          <w:color w:val="000000" w:themeColor="text1"/>
          <w:lang w:val="en-US"/>
        </w:rPr>
        <w:t xml:space="preserve"> of the Court</w:t>
      </w:r>
      <w:r w:rsidRPr="00B40A77">
        <w:rPr>
          <w:color w:val="000000" w:themeColor="text1"/>
          <w:lang w:val="en-US"/>
        </w:rPr>
        <w:t>.</w:t>
      </w:r>
    </w:p>
    <w:p w14:paraId="1F9DCA26" w14:textId="3C0BB006" w:rsidR="00CA7FB1" w:rsidRPr="00B40A77" w:rsidRDefault="00DF1CAD" w:rsidP="00CA7FB1">
      <w:pPr>
        <w:pStyle w:val="Hangindent"/>
        <w:rPr>
          <w:color w:val="000000" w:themeColor="text1"/>
          <w:lang w:val="en-US"/>
        </w:rPr>
      </w:pPr>
      <w:r w:rsidRPr="00B40A77">
        <w:rPr>
          <w:color w:val="000000" w:themeColor="text1"/>
          <w:lang w:val="en-US"/>
        </w:rPr>
        <w:t>(2)</w:t>
      </w:r>
      <w:r w:rsidRPr="00B40A77">
        <w:rPr>
          <w:color w:val="000000" w:themeColor="text1"/>
          <w:lang w:val="en-US"/>
        </w:rPr>
        <w:tab/>
        <w:t>Subject to subrule</w:t>
      </w:r>
      <w:r w:rsidR="001B1E8A" w:rsidRPr="00B40A77">
        <w:rPr>
          <w:color w:val="000000" w:themeColor="text1"/>
          <w:lang w:val="en-US"/>
        </w:rPr>
        <w:t> </w:t>
      </w:r>
      <w:r w:rsidRPr="00B40A77">
        <w:rPr>
          <w:color w:val="000000" w:themeColor="text1"/>
          <w:lang w:val="en-US"/>
        </w:rPr>
        <w:t>(4</w:t>
      </w:r>
      <w:r w:rsidR="006A70EB" w:rsidRPr="00B40A77">
        <w:rPr>
          <w:color w:val="000000" w:themeColor="text1"/>
          <w:lang w:val="en-US"/>
        </w:rPr>
        <w:t xml:space="preserve">), unless </w:t>
      </w:r>
      <w:r w:rsidR="003E1E98" w:rsidRPr="00B40A77">
        <w:rPr>
          <w:color w:val="000000" w:themeColor="text1"/>
          <w:lang w:val="en-US"/>
        </w:rPr>
        <w:t>the</w:t>
      </w:r>
      <w:r w:rsidR="007D308A"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007D308A" w:rsidRPr="00B40A77">
        <w:rPr>
          <w:color w:val="000000" w:themeColor="text1"/>
          <w:lang w:val="en-US"/>
        </w:rPr>
        <w:t xml:space="preserve"> or a</w:t>
      </w:r>
      <w:r w:rsidR="006A70EB" w:rsidRPr="00B40A77">
        <w:rPr>
          <w:color w:val="000000" w:themeColor="text1"/>
          <w:lang w:val="en-US"/>
        </w:rPr>
        <w:t xml:space="preserve"> </w:t>
      </w:r>
      <w:hyperlink w:anchor="_2.1—Definitions" w:history="1">
        <w:r w:rsidR="006A70EB" w:rsidRPr="00B40A77">
          <w:rPr>
            <w:rStyle w:val="Hyperlink"/>
            <w:color w:val="000000" w:themeColor="text1"/>
            <w:lang w:val="en-US"/>
          </w:rPr>
          <w:t>Registrar</w:t>
        </w:r>
      </w:hyperlink>
      <w:r w:rsidR="006A70EB" w:rsidRPr="00B40A77">
        <w:rPr>
          <w:color w:val="000000" w:themeColor="text1"/>
          <w:lang w:val="en-US"/>
        </w:rPr>
        <w:t xml:space="preserve"> is satisfied that there is good reason why the original of a record should be produced, the</w:t>
      </w:r>
      <w:r w:rsidR="004679D8" w:rsidRPr="00B40A77">
        <w:rPr>
          <w:color w:val="000000" w:themeColor="text1"/>
          <w:lang w:val="en-US"/>
        </w:rPr>
        <w:t>y are</w:t>
      </w:r>
      <w:r w:rsidR="006A70EB" w:rsidRPr="00B40A77">
        <w:rPr>
          <w:color w:val="000000" w:themeColor="text1"/>
          <w:lang w:val="en-US"/>
        </w:rPr>
        <w:t xml:space="preserve"> to answer a request for production of a court record by sending a copy of the record certified to be a true copy</w:t>
      </w:r>
      <w:r w:rsidR="00CA7FB1" w:rsidRPr="00B40A77">
        <w:rPr>
          <w:color w:val="000000" w:themeColor="text1"/>
          <w:lang w:val="en-US"/>
        </w:rPr>
        <w:t>, which need not be returned to the Court.</w:t>
      </w:r>
    </w:p>
    <w:p w14:paraId="439C21AC" w14:textId="32AC8FBA" w:rsidR="006A70EB" w:rsidRPr="00B40A77" w:rsidRDefault="00CA7FB1" w:rsidP="006A70EB">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6A70EB" w:rsidRPr="00B40A77">
        <w:rPr>
          <w:color w:val="000000" w:themeColor="text1"/>
          <w:lang w:val="en-US"/>
        </w:rPr>
        <w:t xml:space="preserve">The court or tribunal requesting production of the record is liable to pay the charges prescribed by </w:t>
      </w:r>
      <w:r w:rsidR="009274D1" w:rsidRPr="00B40A77">
        <w:rPr>
          <w:color w:val="000000" w:themeColor="text1"/>
          <w:lang w:val="en-US"/>
        </w:rPr>
        <w:t>notice</w:t>
      </w:r>
      <w:r w:rsidR="006A70EB" w:rsidRPr="00B40A77">
        <w:rPr>
          <w:color w:val="000000" w:themeColor="text1"/>
          <w:lang w:val="en-US"/>
        </w:rPr>
        <w:t xml:space="preserve"> for the copy. </w:t>
      </w:r>
    </w:p>
    <w:p w14:paraId="57C49EE5" w14:textId="754BD5C4" w:rsidR="006A70EB" w:rsidRPr="00B40A77" w:rsidRDefault="00CA7FB1" w:rsidP="006A70EB">
      <w:pPr>
        <w:pStyle w:val="Hangindent"/>
        <w:rPr>
          <w:color w:val="000000" w:themeColor="text1"/>
          <w:lang w:val="en-US"/>
        </w:rPr>
      </w:pPr>
      <w:r w:rsidRPr="00B40A77">
        <w:rPr>
          <w:color w:val="000000" w:themeColor="text1"/>
          <w:lang w:val="en-US"/>
        </w:rPr>
        <w:t>(4</w:t>
      </w:r>
      <w:r w:rsidR="006A70EB" w:rsidRPr="00B40A77">
        <w:rPr>
          <w:color w:val="000000" w:themeColor="text1"/>
          <w:lang w:val="en-US"/>
        </w:rPr>
        <w:t>)</w:t>
      </w:r>
      <w:r w:rsidR="006A70EB" w:rsidRPr="00B40A77">
        <w:rPr>
          <w:color w:val="000000" w:themeColor="text1"/>
          <w:lang w:val="en-US"/>
        </w:rPr>
        <w:tab/>
        <w:t xml:space="preserve">The </w:t>
      </w:r>
      <w:r w:rsidR="003E5BBB" w:rsidRPr="00B40A77">
        <w:rPr>
          <w:color w:val="000000" w:themeColor="text1"/>
        </w:rPr>
        <w:t xml:space="preserve">Court </w:t>
      </w:r>
      <w:r w:rsidR="006A70EB" w:rsidRPr="00B40A77">
        <w:rPr>
          <w:color w:val="000000" w:themeColor="text1"/>
          <w:lang w:val="en-US"/>
        </w:rPr>
        <w:t xml:space="preserve">may direct that the original court record be produced subject to such conditions, if any, as the </w:t>
      </w:r>
      <w:r w:rsidR="003E5BBB" w:rsidRPr="00B40A77">
        <w:rPr>
          <w:color w:val="000000" w:themeColor="text1"/>
        </w:rPr>
        <w:t xml:space="preserve">Court </w:t>
      </w:r>
      <w:r w:rsidR="006A70EB" w:rsidRPr="00B40A77">
        <w:rPr>
          <w:color w:val="000000" w:themeColor="text1"/>
          <w:lang w:val="en-US"/>
        </w:rPr>
        <w:t>thinks fit.</w:t>
      </w:r>
    </w:p>
    <w:p w14:paraId="2D10A81C" w14:textId="08742721" w:rsidR="006A70EB" w:rsidRPr="00B40A77" w:rsidRDefault="00CA7FB1" w:rsidP="006A70EB">
      <w:pPr>
        <w:pStyle w:val="Hangindent"/>
        <w:rPr>
          <w:color w:val="000000" w:themeColor="text1"/>
          <w:lang w:val="en-US"/>
        </w:rPr>
      </w:pPr>
      <w:r w:rsidRPr="00B40A77">
        <w:rPr>
          <w:color w:val="000000" w:themeColor="text1"/>
          <w:lang w:val="en-US"/>
        </w:rPr>
        <w:t>(5</w:t>
      </w:r>
      <w:r w:rsidR="006A70EB" w:rsidRPr="00B40A77">
        <w:rPr>
          <w:color w:val="000000" w:themeColor="text1"/>
          <w:lang w:val="en-US"/>
        </w:rPr>
        <w:t>)</w:t>
      </w:r>
      <w:r w:rsidR="006A70EB" w:rsidRPr="00B40A77">
        <w:rPr>
          <w:color w:val="000000" w:themeColor="text1"/>
          <w:lang w:val="en-US"/>
        </w:rPr>
        <w:tab/>
        <w:t xml:space="preserve">If the </w:t>
      </w:r>
      <w:r w:rsidR="003E5BBB" w:rsidRPr="00B40A77">
        <w:rPr>
          <w:color w:val="000000" w:themeColor="text1"/>
        </w:rPr>
        <w:t xml:space="preserve">Court </w:t>
      </w:r>
      <w:r w:rsidR="006A70EB" w:rsidRPr="00B40A77">
        <w:rPr>
          <w:color w:val="000000" w:themeColor="text1"/>
          <w:lang w:val="en-US"/>
        </w:rPr>
        <w:t xml:space="preserve">directs or </w:t>
      </w:r>
      <w:r w:rsidR="006F66C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7D308A" w:rsidRPr="00B40A77">
        <w:rPr>
          <w:color w:val="000000" w:themeColor="text1"/>
          <w:lang w:val="en-US"/>
        </w:rPr>
        <w:t xml:space="preserve"> or a </w:t>
      </w:r>
      <w:hyperlink w:anchor="_2.1—Definitions" w:history="1">
        <w:r w:rsidR="0072128D" w:rsidRPr="00B40A77">
          <w:rPr>
            <w:rStyle w:val="Hyperlink"/>
            <w:color w:val="000000" w:themeColor="text1"/>
            <w:lang w:val="en-US"/>
          </w:rPr>
          <w:t>Registrar</w:t>
        </w:r>
      </w:hyperlink>
      <w:r w:rsidR="006A70EB" w:rsidRPr="00B40A77">
        <w:rPr>
          <w:color w:val="000000" w:themeColor="text1"/>
          <w:lang w:val="en-US"/>
        </w:rPr>
        <w:t xml:space="preserve"> decides that </w:t>
      </w:r>
      <w:r w:rsidR="00653855" w:rsidRPr="00B40A77">
        <w:rPr>
          <w:color w:val="000000" w:themeColor="text1"/>
          <w:lang w:val="en-US"/>
        </w:rPr>
        <w:t>an</w:t>
      </w:r>
      <w:r w:rsidR="006A70EB" w:rsidRPr="00B40A77">
        <w:rPr>
          <w:color w:val="000000" w:themeColor="text1"/>
          <w:lang w:val="en-US"/>
        </w:rPr>
        <w:t xml:space="preserve"> original court record </w:t>
      </w:r>
      <w:r w:rsidR="00012253" w:rsidRPr="00B40A77">
        <w:rPr>
          <w:color w:val="000000" w:themeColor="text1"/>
          <w:lang w:val="en-US"/>
        </w:rPr>
        <w:t xml:space="preserve">should </w:t>
      </w:r>
      <w:r w:rsidR="006A70EB" w:rsidRPr="00B40A77">
        <w:rPr>
          <w:color w:val="000000" w:themeColor="text1"/>
          <w:lang w:val="en-US"/>
        </w:rPr>
        <w:t xml:space="preserve">be produced, subject to any condition stipulated by the </w:t>
      </w:r>
      <w:r w:rsidR="003E5BBB" w:rsidRPr="00B40A77">
        <w:rPr>
          <w:color w:val="000000" w:themeColor="text1"/>
        </w:rPr>
        <w:t xml:space="preserve">Court </w:t>
      </w:r>
      <w:r w:rsidR="006A70EB" w:rsidRPr="00B40A77">
        <w:rPr>
          <w:color w:val="000000" w:themeColor="text1"/>
          <w:lang w:val="en-US"/>
        </w:rPr>
        <w:t xml:space="preserve">or </w:t>
      </w:r>
      <w:r w:rsidR="006F66C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7D308A" w:rsidRPr="00B40A77">
        <w:rPr>
          <w:color w:val="000000" w:themeColor="text1"/>
          <w:lang w:val="en-US"/>
        </w:rPr>
        <w:t xml:space="preserve"> or a </w:t>
      </w:r>
      <w:hyperlink w:anchor="_2.1—Definitions" w:history="1">
        <w:r w:rsidR="0072128D" w:rsidRPr="00B40A77">
          <w:rPr>
            <w:rStyle w:val="Hyperlink"/>
            <w:color w:val="000000" w:themeColor="text1"/>
            <w:lang w:val="en-US"/>
          </w:rPr>
          <w:t>Registrar</w:t>
        </w:r>
      </w:hyperlink>
      <w:r w:rsidR="006A70EB" w:rsidRPr="00B40A77">
        <w:rPr>
          <w:color w:val="000000" w:themeColor="text1"/>
          <w:lang w:val="en-US"/>
        </w:rPr>
        <w:t xml:space="preserve">, </w:t>
      </w:r>
      <w:r w:rsidR="00330A7E" w:rsidRPr="00B40A77">
        <w:rPr>
          <w:color w:val="000000" w:themeColor="text1"/>
          <w:lang w:val="en-US"/>
        </w:rPr>
        <w:t xml:space="preserve">a copy of the record </w:t>
      </w:r>
      <w:r w:rsidR="004679D8" w:rsidRPr="00B40A77">
        <w:rPr>
          <w:color w:val="000000" w:themeColor="text1"/>
          <w:lang w:val="en-US"/>
        </w:rPr>
        <w:t xml:space="preserve">must first be </w:t>
      </w:r>
      <w:r w:rsidR="00653855" w:rsidRPr="00B40A77">
        <w:rPr>
          <w:color w:val="000000" w:themeColor="text1"/>
          <w:lang w:val="en-US"/>
        </w:rPr>
        <w:t>made</w:t>
      </w:r>
      <w:r w:rsidR="003D2DD3" w:rsidRPr="00B40A77">
        <w:rPr>
          <w:color w:val="000000" w:themeColor="text1"/>
          <w:lang w:val="en-US"/>
        </w:rPr>
        <w:t>,</w:t>
      </w:r>
      <w:r w:rsidR="00653855" w:rsidRPr="00B40A77">
        <w:rPr>
          <w:color w:val="000000" w:themeColor="text1"/>
          <w:lang w:val="en-US"/>
        </w:rPr>
        <w:t xml:space="preserve"> </w:t>
      </w:r>
      <w:r w:rsidR="00330A7E" w:rsidRPr="00B40A77">
        <w:rPr>
          <w:color w:val="000000" w:themeColor="text1"/>
          <w:lang w:val="en-US"/>
        </w:rPr>
        <w:t xml:space="preserve">and then </w:t>
      </w:r>
      <w:r w:rsidR="006A70EB" w:rsidRPr="00B40A77">
        <w:rPr>
          <w:color w:val="000000" w:themeColor="text1"/>
          <w:lang w:val="en-US"/>
        </w:rPr>
        <w:t xml:space="preserve">the original record </w:t>
      </w:r>
      <w:r w:rsidR="00136D9A" w:rsidRPr="00B40A77">
        <w:rPr>
          <w:color w:val="000000" w:themeColor="text1"/>
          <w:lang w:val="en-US"/>
        </w:rPr>
        <w:t>is to</w:t>
      </w:r>
      <w:r w:rsidR="003D2DD3" w:rsidRPr="00B40A77">
        <w:rPr>
          <w:color w:val="000000" w:themeColor="text1"/>
          <w:lang w:val="en-US"/>
        </w:rPr>
        <w:t xml:space="preserve"> be </w:t>
      </w:r>
      <w:r w:rsidR="004679D8" w:rsidRPr="00B40A77">
        <w:rPr>
          <w:color w:val="000000" w:themeColor="text1"/>
          <w:lang w:val="en-US"/>
        </w:rPr>
        <w:t xml:space="preserve">sent </w:t>
      </w:r>
      <w:r w:rsidR="006A70EB" w:rsidRPr="00B40A77">
        <w:rPr>
          <w:color w:val="000000" w:themeColor="text1"/>
          <w:lang w:val="en-US"/>
        </w:rPr>
        <w:t xml:space="preserve">to the requesting court or tribunal together with a certificate certifying that the record was filed in or is in the custody of the </w:t>
      </w:r>
      <w:r w:rsidR="003E5BBB" w:rsidRPr="00B40A77">
        <w:rPr>
          <w:color w:val="000000" w:themeColor="text1"/>
        </w:rPr>
        <w:t xml:space="preserve">Court </w:t>
      </w:r>
      <w:r w:rsidR="00012253" w:rsidRPr="00B40A77">
        <w:rPr>
          <w:color w:val="000000" w:themeColor="text1"/>
          <w:lang w:val="en-US"/>
        </w:rPr>
        <w:t xml:space="preserve">and specifying the date </w:t>
      </w:r>
      <w:r w:rsidR="003D2DD3" w:rsidRPr="00B40A77">
        <w:rPr>
          <w:color w:val="000000" w:themeColor="text1"/>
          <w:lang w:val="en-US"/>
        </w:rPr>
        <w:t xml:space="preserve">of filing </w:t>
      </w:r>
      <w:r w:rsidR="00012253" w:rsidRPr="00B40A77">
        <w:rPr>
          <w:color w:val="000000" w:themeColor="text1"/>
          <w:lang w:val="en-US"/>
        </w:rPr>
        <w:t xml:space="preserve">and </w:t>
      </w:r>
      <w:r w:rsidR="003D2DD3" w:rsidRPr="00B40A77">
        <w:rPr>
          <w:color w:val="000000" w:themeColor="text1"/>
          <w:lang w:val="en-US"/>
        </w:rPr>
        <w:t xml:space="preserve">the </w:t>
      </w:r>
      <w:r w:rsidR="00012253" w:rsidRPr="00B40A77">
        <w:rPr>
          <w:color w:val="000000" w:themeColor="text1"/>
          <w:lang w:val="en-US"/>
        </w:rPr>
        <w:t>proceeding</w:t>
      </w:r>
      <w:r w:rsidR="006A70EB" w:rsidRPr="00B40A77">
        <w:rPr>
          <w:color w:val="000000" w:themeColor="text1"/>
          <w:lang w:val="en-US"/>
        </w:rPr>
        <w:t xml:space="preserve"> in which it was filed.</w:t>
      </w:r>
    </w:p>
    <w:p w14:paraId="695F27DB" w14:textId="77777777" w:rsidR="00012253" w:rsidRPr="00B40A77" w:rsidRDefault="00CA7FB1" w:rsidP="00012253">
      <w:pPr>
        <w:pStyle w:val="Hangindent"/>
        <w:rPr>
          <w:color w:val="000000" w:themeColor="text1"/>
        </w:rPr>
      </w:pPr>
      <w:r w:rsidRPr="00B40A77">
        <w:rPr>
          <w:color w:val="000000" w:themeColor="text1"/>
          <w:lang w:val="en-US"/>
        </w:rPr>
        <w:t>(6)</w:t>
      </w:r>
      <w:r w:rsidRPr="00B40A77">
        <w:rPr>
          <w:color w:val="000000" w:themeColor="text1"/>
          <w:lang w:val="en-US"/>
        </w:rPr>
        <w:tab/>
        <w:t>T</w:t>
      </w:r>
      <w:r w:rsidR="006A70EB" w:rsidRPr="00B40A77">
        <w:rPr>
          <w:color w:val="000000" w:themeColor="text1"/>
          <w:lang w:val="en-US"/>
        </w:rPr>
        <w:t xml:space="preserve">he original record </w:t>
      </w:r>
      <w:r w:rsidRPr="00B40A77">
        <w:rPr>
          <w:color w:val="000000" w:themeColor="text1"/>
          <w:lang w:val="en-US"/>
        </w:rPr>
        <w:t>must</w:t>
      </w:r>
      <w:r w:rsidR="006A70EB" w:rsidRPr="00B40A77">
        <w:rPr>
          <w:color w:val="000000" w:themeColor="text1"/>
          <w:lang w:val="en-US"/>
        </w:rPr>
        <w:t xml:space="preserve"> be sent to the requesting court or tribunal</w:t>
      </w:r>
      <w:r w:rsidR="00012253" w:rsidRPr="00B40A77">
        <w:rPr>
          <w:color w:val="000000" w:themeColor="text1"/>
        </w:rPr>
        <w:t>—</w:t>
      </w:r>
    </w:p>
    <w:p w14:paraId="730E09BE" w14:textId="46674DBB" w:rsidR="006A70EB" w:rsidRPr="00B40A77" w:rsidRDefault="00CA7FB1" w:rsidP="00CA7FB1">
      <w:pPr>
        <w:pStyle w:val="Doublehangindent"/>
        <w:rPr>
          <w:color w:val="000000" w:themeColor="text1"/>
          <w:lang w:val="en-US"/>
        </w:rPr>
      </w:pPr>
      <w:r w:rsidRPr="00B40A77">
        <w:rPr>
          <w:color w:val="000000" w:themeColor="text1"/>
          <w:lang w:val="en-US"/>
        </w:rPr>
        <w:t>(a)</w:t>
      </w:r>
      <w:r w:rsidRPr="00B40A77">
        <w:rPr>
          <w:color w:val="000000" w:themeColor="text1"/>
          <w:lang w:val="en-US"/>
        </w:rPr>
        <w:tab/>
        <w:t>by courier or certified mail; or</w:t>
      </w:r>
    </w:p>
    <w:p w14:paraId="7C98BA7A" w14:textId="0DE06170" w:rsidR="006A70EB" w:rsidRPr="00B40A77" w:rsidRDefault="00CA7FB1" w:rsidP="00CA7FB1">
      <w:pPr>
        <w:pStyle w:val="Doublehangindent"/>
        <w:rPr>
          <w:color w:val="000000" w:themeColor="text1"/>
          <w:lang w:val="en-US"/>
        </w:rPr>
      </w:pPr>
      <w:r w:rsidRPr="00B40A77">
        <w:rPr>
          <w:color w:val="000000" w:themeColor="text1"/>
          <w:lang w:val="en-US"/>
        </w:rPr>
        <w:t>(b)</w:t>
      </w:r>
      <w:r w:rsidRPr="00B40A77">
        <w:rPr>
          <w:color w:val="000000" w:themeColor="text1"/>
          <w:lang w:val="en-US"/>
        </w:rPr>
        <w:tab/>
        <w:t>i</w:t>
      </w:r>
      <w:r w:rsidR="006A70EB" w:rsidRPr="00B40A77">
        <w:rPr>
          <w:color w:val="000000" w:themeColor="text1"/>
          <w:lang w:val="en-US"/>
        </w:rPr>
        <w:t xml:space="preserve">f </w:t>
      </w:r>
      <w:r w:rsidR="006F66C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7D308A" w:rsidRPr="00B40A77">
        <w:rPr>
          <w:color w:val="000000" w:themeColor="text1"/>
          <w:lang w:val="en-US"/>
        </w:rPr>
        <w:t xml:space="preserve"> or a </w:t>
      </w:r>
      <w:hyperlink w:anchor="_2.1—Definitions" w:history="1">
        <w:r w:rsidR="0072128D" w:rsidRPr="00B40A77">
          <w:rPr>
            <w:rStyle w:val="Hyperlink"/>
            <w:color w:val="000000" w:themeColor="text1"/>
            <w:lang w:val="en-US"/>
          </w:rPr>
          <w:t>Registrar</w:t>
        </w:r>
      </w:hyperlink>
      <w:r w:rsidR="006A70EB" w:rsidRPr="00B40A77">
        <w:rPr>
          <w:color w:val="000000" w:themeColor="text1"/>
          <w:lang w:val="en-US"/>
        </w:rPr>
        <w:t xml:space="preserve"> thinks fit, </w:t>
      </w:r>
      <w:r w:rsidRPr="00B40A77">
        <w:rPr>
          <w:color w:val="000000" w:themeColor="text1"/>
          <w:lang w:val="en-US"/>
        </w:rPr>
        <w:t>by</w:t>
      </w:r>
      <w:r w:rsidR="00B7446F" w:rsidRPr="00B40A77">
        <w:rPr>
          <w:color w:val="000000" w:themeColor="text1"/>
          <w:lang w:val="en-US"/>
        </w:rPr>
        <w:t xml:space="preserve"> hand delivery by</w:t>
      </w:r>
      <w:r w:rsidR="006A70EB" w:rsidRPr="00B40A77">
        <w:rPr>
          <w:color w:val="000000" w:themeColor="text1"/>
          <w:lang w:val="en-US"/>
        </w:rPr>
        <w:t xml:space="preserve"> an officer of the Court.</w:t>
      </w:r>
    </w:p>
    <w:p w14:paraId="0A36CF49" w14:textId="40CB789B" w:rsidR="006A70EB" w:rsidRPr="00B40A77" w:rsidRDefault="006A70EB" w:rsidP="006A70EB">
      <w:pPr>
        <w:pStyle w:val="Hangindent"/>
        <w:rPr>
          <w:color w:val="000000" w:themeColor="text1"/>
        </w:rPr>
      </w:pPr>
      <w:r w:rsidRPr="00B40A77">
        <w:rPr>
          <w:color w:val="000000" w:themeColor="text1"/>
          <w:lang w:val="en-US"/>
        </w:rPr>
        <w:lastRenderedPageBreak/>
        <w:t>(7)</w:t>
      </w:r>
      <w:r w:rsidRPr="00B40A77">
        <w:rPr>
          <w:color w:val="000000" w:themeColor="text1"/>
          <w:lang w:val="en-US"/>
        </w:rPr>
        <w:tab/>
        <w:t xml:space="preserve">The court or tribunal to which an original record is sent under this rule </w:t>
      </w:r>
      <w:r w:rsidR="00B7446F" w:rsidRPr="00B40A77">
        <w:rPr>
          <w:color w:val="000000" w:themeColor="text1"/>
          <w:lang w:val="en-US"/>
        </w:rPr>
        <w:t>must</w:t>
      </w:r>
      <w:r w:rsidRPr="00B40A77">
        <w:rPr>
          <w:color w:val="000000" w:themeColor="text1"/>
        </w:rPr>
        <w:t>—</w:t>
      </w:r>
    </w:p>
    <w:p w14:paraId="73BAEBD3" w14:textId="77777777" w:rsidR="006A70EB" w:rsidRPr="00B40A77" w:rsidRDefault="006A70EB" w:rsidP="00CA7FB1">
      <w:pPr>
        <w:pStyle w:val="Doublehangindent"/>
        <w:rPr>
          <w:color w:val="000000" w:themeColor="text1"/>
          <w:lang w:val="en-US"/>
        </w:rPr>
      </w:pPr>
      <w:r w:rsidRPr="00B40A77">
        <w:rPr>
          <w:color w:val="000000" w:themeColor="text1"/>
          <w:lang w:val="en-US"/>
        </w:rPr>
        <w:t>(a)</w:t>
      </w:r>
      <w:r w:rsidRPr="00B40A77">
        <w:rPr>
          <w:color w:val="000000" w:themeColor="text1"/>
          <w:lang w:val="en-US"/>
        </w:rPr>
        <w:tab/>
        <w:t>keep the record in safe custody; and</w:t>
      </w:r>
    </w:p>
    <w:p w14:paraId="64F5E25B" w14:textId="7406BF28" w:rsidR="006A70EB" w:rsidRPr="00B40A77" w:rsidRDefault="006A70EB" w:rsidP="00CA7FB1">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return it by </w:t>
      </w:r>
      <w:r w:rsidR="00B7446F" w:rsidRPr="00B40A77">
        <w:rPr>
          <w:color w:val="000000" w:themeColor="text1"/>
          <w:lang w:val="en-US"/>
        </w:rPr>
        <w:t xml:space="preserve">courier or certified mail </w:t>
      </w:r>
      <w:r w:rsidRPr="00B40A77">
        <w:rPr>
          <w:color w:val="000000" w:themeColor="text1"/>
          <w:lang w:val="en-US"/>
        </w:rPr>
        <w:t xml:space="preserve">to </w:t>
      </w:r>
      <w:r w:rsidR="006F66C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immediately</w:t>
      </w:r>
      <w:r w:rsidR="000E3C43" w:rsidRPr="00B40A77">
        <w:rPr>
          <w:color w:val="000000" w:themeColor="text1"/>
          <w:lang w:val="en-US"/>
        </w:rPr>
        <w:t xml:space="preserve"> </w:t>
      </w:r>
      <w:r w:rsidR="004137B9" w:rsidRPr="00B40A77">
        <w:rPr>
          <w:color w:val="000000" w:themeColor="text1"/>
          <w:lang w:val="en-US"/>
        </w:rPr>
        <w:t>after</w:t>
      </w:r>
      <w:r w:rsidRPr="00B40A77">
        <w:rPr>
          <w:color w:val="000000" w:themeColor="text1"/>
          <w:lang w:val="en-US"/>
        </w:rPr>
        <w:t xml:space="preserve"> it is no longer required.</w:t>
      </w:r>
    </w:p>
    <w:p w14:paraId="47F99BB1" w14:textId="41E04795" w:rsidR="006A70EB" w:rsidRPr="00B40A77" w:rsidRDefault="00B7446F" w:rsidP="006A70EB">
      <w:pPr>
        <w:pStyle w:val="Hangindent"/>
        <w:rPr>
          <w:color w:val="000000" w:themeColor="text1"/>
          <w:lang w:val="en-US"/>
        </w:rPr>
      </w:pPr>
      <w:r w:rsidRPr="00B40A77">
        <w:rPr>
          <w:color w:val="000000" w:themeColor="text1"/>
          <w:lang w:val="en-US"/>
        </w:rPr>
        <w:t>(8)</w:t>
      </w:r>
      <w:r w:rsidRPr="00B40A77">
        <w:rPr>
          <w:color w:val="000000" w:themeColor="text1"/>
          <w:lang w:val="en-US"/>
        </w:rPr>
        <w:tab/>
      </w:r>
      <w:r w:rsidR="006F66C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6A70EB" w:rsidRPr="00B40A77">
        <w:rPr>
          <w:color w:val="000000" w:themeColor="text1"/>
          <w:lang w:val="en-US"/>
        </w:rPr>
        <w:t xml:space="preserve"> </w:t>
      </w:r>
      <w:r w:rsidRPr="00B40A77">
        <w:rPr>
          <w:color w:val="000000" w:themeColor="text1"/>
          <w:lang w:val="en-US"/>
        </w:rPr>
        <w:t>must</w:t>
      </w:r>
      <w:r w:rsidR="006A70EB" w:rsidRPr="00B40A77">
        <w:rPr>
          <w:color w:val="000000" w:themeColor="text1"/>
          <w:lang w:val="en-US"/>
        </w:rPr>
        <w:t xml:space="preserve"> ensure that each original record is duly returned within a reasonable time.</w:t>
      </w:r>
    </w:p>
    <w:p w14:paraId="3F7CF303" w14:textId="78747961" w:rsidR="00B7446F" w:rsidRPr="00B40A77" w:rsidRDefault="00B7446F" w:rsidP="006A70EB">
      <w:pPr>
        <w:pStyle w:val="Hangindent"/>
        <w:rPr>
          <w:color w:val="000000" w:themeColor="text1"/>
          <w:lang w:val="en-US"/>
        </w:rPr>
      </w:pPr>
      <w:r w:rsidRPr="00B40A77">
        <w:rPr>
          <w:color w:val="000000" w:themeColor="text1"/>
          <w:lang w:val="en-US"/>
        </w:rPr>
        <w:t>(9)</w:t>
      </w:r>
      <w:r w:rsidRPr="00B40A77">
        <w:rPr>
          <w:color w:val="000000" w:themeColor="text1"/>
          <w:lang w:val="en-US"/>
        </w:rPr>
        <w:tab/>
      </w:r>
      <w:r w:rsidR="006F66CD"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w:t>
      </w:r>
      <w:r w:rsidR="004679D8" w:rsidRPr="00B40A77">
        <w:rPr>
          <w:color w:val="000000" w:themeColor="text1"/>
          <w:lang w:val="en-US"/>
        </w:rPr>
        <w:t xml:space="preserve">cause to be </w:t>
      </w:r>
      <w:r w:rsidRPr="00B40A77">
        <w:rPr>
          <w:color w:val="000000" w:themeColor="text1"/>
          <w:lang w:val="en-US"/>
        </w:rPr>
        <w:t>ke</w:t>
      </w:r>
      <w:r w:rsidR="004679D8" w:rsidRPr="00B40A77">
        <w:rPr>
          <w:color w:val="000000" w:themeColor="text1"/>
          <w:lang w:val="en-US"/>
        </w:rPr>
        <w:t>pt</w:t>
      </w:r>
      <w:r w:rsidRPr="00B40A77">
        <w:rPr>
          <w:color w:val="000000" w:themeColor="text1"/>
          <w:lang w:val="en-US"/>
        </w:rPr>
        <w:t xml:space="preserve"> a register containing a description of any original record sent, the date on which it is sent, the court or tribunal to which it is sent and the date of its return. </w:t>
      </w:r>
    </w:p>
    <w:p w14:paraId="69BABD9E" w14:textId="108E4F04" w:rsidR="00142116" w:rsidRPr="00B40A77" w:rsidRDefault="007408ED" w:rsidP="00390A7B">
      <w:pPr>
        <w:pStyle w:val="Heading3"/>
        <w:rPr>
          <w:color w:val="000000" w:themeColor="text1"/>
        </w:rPr>
      </w:pPr>
      <w:bookmarkStart w:id="93" w:name="_Toc175238767"/>
      <w:r w:rsidRPr="00B40A77">
        <w:rPr>
          <w:color w:val="000000" w:themeColor="text1"/>
        </w:rPr>
        <w:t>D</w:t>
      </w:r>
      <w:r w:rsidR="007A505B" w:rsidRPr="00B40A77">
        <w:rPr>
          <w:color w:val="000000" w:themeColor="text1"/>
        </w:rPr>
        <w:t>ivision</w:t>
      </w:r>
      <w:r w:rsidRPr="00B40A77">
        <w:rPr>
          <w:color w:val="000000" w:themeColor="text1"/>
        </w:rPr>
        <w:t xml:space="preserve"> 4</w:t>
      </w:r>
      <w:r w:rsidR="00142116" w:rsidRPr="00B40A77">
        <w:rPr>
          <w:color w:val="000000" w:themeColor="text1"/>
        </w:rPr>
        <w:t>—Court fees</w:t>
      </w:r>
      <w:bookmarkEnd w:id="93"/>
    </w:p>
    <w:p w14:paraId="3C094CA3" w14:textId="2483DB4B" w:rsidR="00142116" w:rsidRPr="00B40A77" w:rsidRDefault="00866E49" w:rsidP="004057D2">
      <w:pPr>
        <w:pStyle w:val="Heading4"/>
        <w:rPr>
          <w:color w:val="000000" w:themeColor="text1"/>
        </w:rPr>
      </w:pPr>
      <w:bookmarkStart w:id="94" w:name="_13.11—Remission_or_reduction"/>
      <w:bookmarkStart w:id="95" w:name="_Toc175238768"/>
      <w:bookmarkEnd w:id="94"/>
      <w:r w:rsidRPr="00B40A77">
        <w:rPr>
          <w:color w:val="000000" w:themeColor="text1"/>
        </w:rPr>
        <w:t>19</w:t>
      </w:r>
      <w:r w:rsidR="007408ED" w:rsidRPr="00B40A77">
        <w:rPr>
          <w:color w:val="000000" w:themeColor="text1"/>
        </w:rPr>
        <w:t>.</w:t>
      </w:r>
      <w:r w:rsidR="00645AEB" w:rsidRPr="00B40A77">
        <w:rPr>
          <w:color w:val="000000" w:themeColor="text1"/>
        </w:rPr>
        <w:t>1</w:t>
      </w:r>
      <w:r w:rsidR="00142116" w:rsidRPr="00B40A77">
        <w:rPr>
          <w:color w:val="000000" w:themeColor="text1"/>
        </w:rPr>
        <w:t>—</w:t>
      </w:r>
      <w:r w:rsidR="00645AEB" w:rsidRPr="00B40A77">
        <w:rPr>
          <w:color w:val="000000" w:themeColor="text1"/>
        </w:rPr>
        <w:t>Remission or reduction</w:t>
      </w:r>
      <w:bookmarkEnd w:id="95"/>
    </w:p>
    <w:p w14:paraId="4BCDD4D1" w14:textId="2761814A" w:rsidR="00142116" w:rsidRPr="00B40A77" w:rsidRDefault="00142116" w:rsidP="0021731F">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645AEB" w:rsidRPr="00B40A77">
        <w:rPr>
          <w:color w:val="000000" w:themeColor="text1"/>
          <w:lang w:val="en-US"/>
        </w:rPr>
        <w:t xml:space="preserve">An application for </w:t>
      </w:r>
      <w:r w:rsidR="0021731F" w:rsidRPr="00B40A77">
        <w:rPr>
          <w:color w:val="000000" w:themeColor="text1"/>
          <w:lang w:val="en-US"/>
        </w:rPr>
        <w:t xml:space="preserve">remission or reduction of the fee to institute a proceeding </w:t>
      </w:r>
      <w:r w:rsidR="00941C03" w:rsidRPr="00B40A77">
        <w:rPr>
          <w:color w:val="000000" w:themeColor="text1"/>
          <w:lang w:val="en-US"/>
        </w:rPr>
        <w:t xml:space="preserve">or appellate proceeding </w:t>
      </w:r>
      <w:r w:rsidR="00D25D2B" w:rsidRPr="00B40A77">
        <w:rPr>
          <w:color w:val="000000" w:themeColor="text1"/>
          <w:lang w:val="en-US"/>
        </w:rPr>
        <w:t>must</w:t>
      </w:r>
      <w:r w:rsidR="0021731F" w:rsidRPr="00B40A77">
        <w:rPr>
          <w:color w:val="000000" w:themeColor="text1"/>
          <w:lang w:val="en-US"/>
        </w:rPr>
        <w:t xml:space="preserve"> be made by an </w:t>
      </w:r>
      <w:r w:rsidR="005E5EC6" w:rsidRPr="00B40A77">
        <w:rPr>
          <w:color w:val="000000" w:themeColor="text1"/>
          <w:lang w:val="en-US"/>
        </w:rPr>
        <w:t>a</w:t>
      </w:r>
      <w:r w:rsidR="0021731F" w:rsidRPr="00B40A77">
        <w:rPr>
          <w:color w:val="000000" w:themeColor="text1"/>
          <w:lang w:val="en-US"/>
        </w:rPr>
        <w:t>pplication to</w:t>
      </w:r>
      <w:r w:rsidR="005E5EC6" w:rsidRPr="00B40A77">
        <w:rPr>
          <w:color w:val="000000" w:themeColor="text1"/>
          <w:lang w:val="en-US"/>
        </w:rPr>
        <w:t xml:space="preserve"> </w:t>
      </w:r>
      <w:r w:rsidR="003D2DD3" w:rsidRPr="00B40A77">
        <w:rPr>
          <w:color w:val="000000" w:themeColor="text1"/>
          <w:lang w:val="en-US"/>
        </w:rPr>
        <w:t xml:space="preserve">the </w:t>
      </w:r>
      <w:hyperlink w:anchor="_2.1—Definitions" w:history="1">
        <w:r w:rsidR="0072128D" w:rsidRPr="00B40A77">
          <w:rPr>
            <w:rStyle w:val="Hyperlink"/>
            <w:color w:val="000000" w:themeColor="text1"/>
            <w:lang w:val="en-US"/>
          </w:rPr>
          <w:t>Registrar</w:t>
        </w:r>
      </w:hyperlink>
      <w:r w:rsidR="0021731F" w:rsidRPr="00B40A77">
        <w:rPr>
          <w:color w:val="000000" w:themeColor="text1"/>
          <w:lang w:val="en-US"/>
        </w:rPr>
        <w:t xml:space="preserve"> for remission or reduction of fees </w:t>
      </w:r>
      <w:r w:rsidR="00B219CD" w:rsidRPr="00B40A77">
        <w:rPr>
          <w:color w:val="000000" w:themeColor="text1"/>
          <w:lang w:val="en-US"/>
        </w:rPr>
        <w:t xml:space="preserve">in the prescribed form </w:t>
      </w:r>
      <w:r w:rsidR="0021731F" w:rsidRPr="00B40A77">
        <w:rPr>
          <w:color w:val="000000" w:themeColor="text1"/>
          <w:lang w:val="en-US"/>
        </w:rPr>
        <w:t>lodged at the Registry.</w:t>
      </w:r>
    </w:p>
    <w:p w14:paraId="326A3A55" w14:textId="62A9C1E2" w:rsidR="0021731F" w:rsidRPr="00B40A77" w:rsidRDefault="0021731F" w:rsidP="006A575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An application for remission or reduction of a fee otherwise payable in an existing proceeding </w:t>
      </w:r>
      <w:r w:rsidR="00941C03" w:rsidRPr="00B40A77">
        <w:rPr>
          <w:color w:val="000000" w:themeColor="text1"/>
          <w:lang w:val="en-US"/>
        </w:rPr>
        <w:t xml:space="preserve">or appellate proceeding </w:t>
      </w:r>
      <w:r w:rsidR="002F0F88" w:rsidRPr="00B40A77">
        <w:rPr>
          <w:color w:val="000000" w:themeColor="text1"/>
          <w:lang w:val="en-US"/>
        </w:rPr>
        <w:t>must</w:t>
      </w:r>
      <w:r w:rsidRPr="00B40A77">
        <w:rPr>
          <w:color w:val="000000" w:themeColor="text1"/>
          <w:lang w:val="en-US"/>
        </w:rPr>
        <w:t xml:space="preserve"> be made by </w:t>
      </w:r>
      <w:r w:rsidR="005E5EC6" w:rsidRPr="00B40A77">
        <w:rPr>
          <w:color w:val="000000" w:themeColor="text1"/>
          <w:lang w:val="en-US"/>
        </w:rPr>
        <w:t xml:space="preserve">filing </w:t>
      </w:r>
      <w:r w:rsidR="000314DD" w:rsidRPr="00B40A77">
        <w:rPr>
          <w:color w:val="000000" w:themeColor="text1"/>
          <w:lang w:val="en-US"/>
        </w:rPr>
        <w:t xml:space="preserve">in that proceeding </w:t>
      </w:r>
      <w:r w:rsidRPr="00B40A77">
        <w:rPr>
          <w:color w:val="000000" w:themeColor="text1"/>
          <w:lang w:val="en-US"/>
        </w:rPr>
        <w:t xml:space="preserve">an </w:t>
      </w:r>
      <w:r w:rsidR="005E5EC6" w:rsidRPr="00B40A77">
        <w:rPr>
          <w:color w:val="000000" w:themeColor="text1"/>
          <w:lang w:val="en-US"/>
        </w:rPr>
        <w:t>a</w:t>
      </w:r>
      <w:r w:rsidRPr="00B40A77">
        <w:rPr>
          <w:color w:val="000000" w:themeColor="text1"/>
          <w:lang w:val="en-US"/>
        </w:rPr>
        <w:t xml:space="preserve">pplication to </w:t>
      </w:r>
      <w:r w:rsidR="003D2DD3" w:rsidRPr="00B40A77">
        <w:rPr>
          <w:color w:val="000000" w:themeColor="text1"/>
          <w:lang w:val="en-US"/>
        </w:rPr>
        <w:t xml:space="preserve">the </w:t>
      </w:r>
      <w:hyperlink w:anchor="_2.1—Definitions" w:history="1">
        <w:r w:rsidR="0072128D" w:rsidRPr="00B40A77">
          <w:rPr>
            <w:rStyle w:val="Hyperlink"/>
            <w:color w:val="000000" w:themeColor="text1"/>
            <w:lang w:val="en-US"/>
          </w:rPr>
          <w:t>Registrar</w:t>
        </w:r>
      </w:hyperlink>
      <w:r w:rsidRPr="00B40A77">
        <w:rPr>
          <w:color w:val="000000" w:themeColor="text1"/>
          <w:lang w:val="en-US"/>
        </w:rPr>
        <w:t xml:space="preserve"> for remission or reduction of fees</w:t>
      </w:r>
      <w:r w:rsidR="00B219CD" w:rsidRPr="00B40A77">
        <w:rPr>
          <w:color w:val="000000" w:themeColor="text1"/>
          <w:lang w:val="en-US"/>
        </w:rPr>
        <w:t xml:space="preserve"> </w:t>
      </w:r>
      <w:r w:rsidR="005E5EC6" w:rsidRPr="00B40A77">
        <w:rPr>
          <w:color w:val="000000" w:themeColor="text1"/>
          <w:lang w:val="en-US"/>
        </w:rPr>
        <w:t>i</w:t>
      </w:r>
      <w:r w:rsidR="00B219CD" w:rsidRPr="00B40A77">
        <w:rPr>
          <w:color w:val="000000" w:themeColor="text1"/>
          <w:lang w:val="en-US"/>
        </w:rPr>
        <w:t>n the prescribed form</w:t>
      </w:r>
      <w:r w:rsidRPr="00B40A77">
        <w:rPr>
          <w:color w:val="000000" w:themeColor="text1"/>
          <w:lang w:val="en-US"/>
        </w:rPr>
        <w:t>.</w:t>
      </w:r>
    </w:p>
    <w:p w14:paraId="304C91A4" w14:textId="77777777" w:rsidR="0021731F" w:rsidRPr="00B40A77" w:rsidRDefault="0021731F" w:rsidP="006A5750">
      <w:pPr>
        <w:pStyle w:val="NoteHeader"/>
        <w:keepNext/>
        <w:rPr>
          <w:color w:val="000000" w:themeColor="text1"/>
        </w:rPr>
      </w:pPr>
      <w:r w:rsidRPr="00B40A77">
        <w:rPr>
          <w:color w:val="000000" w:themeColor="text1"/>
        </w:rPr>
        <w:t>Prescribed form—</w:t>
      </w:r>
    </w:p>
    <w:p w14:paraId="047C145A" w14:textId="6FF5EFDC" w:rsidR="0021731F" w:rsidRPr="00B40A77" w:rsidRDefault="0021731F" w:rsidP="005276B3">
      <w:pPr>
        <w:pStyle w:val="NoteText"/>
        <w:rPr>
          <w:rStyle w:val="Hyperlink"/>
          <w:color w:val="000000" w:themeColor="text1"/>
        </w:rPr>
      </w:pPr>
      <w:r w:rsidRPr="00B40A77">
        <w:rPr>
          <w:color w:val="000000" w:themeColor="text1"/>
        </w:rPr>
        <w:t xml:space="preserve">Form </w:t>
      </w:r>
      <w:r w:rsidR="001111F1" w:rsidRPr="00B40A77">
        <w:rPr>
          <w:color w:val="000000" w:themeColor="text1"/>
        </w:rPr>
        <w:t>91</w:t>
      </w:r>
      <w:r w:rsidRPr="00B40A77">
        <w:rPr>
          <w:color w:val="000000" w:themeColor="text1"/>
        </w:rPr>
        <w:t xml:space="preserve">A </w:t>
      </w:r>
      <w:r w:rsidRPr="00B40A77">
        <w:rPr>
          <w:color w:val="000000" w:themeColor="text1"/>
          <w:u w:val="single"/>
        </w:rPr>
        <w:t xml:space="preserve">Application to Registrar </w:t>
      </w:r>
      <w:r w:rsidR="003B18BA" w:rsidRPr="00B40A77">
        <w:rPr>
          <w:color w:val="000000" w:themeColor="text1"/>
          <w:u w:val="single"/>
        </w:rPr>
        <w:t>for</w:t>
      </w:r>
      <w:r w:rsidR="00FD55F0" w:rsidRPr="00B40A77">
        <w:rPr>
          <w:color w:val="000000" w:themeColor="text1"/>
          <w:u w:val="single"/>
        </w:rPr>
        <w:t xml:space="preserve"> Remission or Reduction of Court Fee</w:t>
      </w:r>
      <w:r w:rsidR="003869E5" w:rsidRPr="00B40A77">
        <w:rPr>
          <w:color w:val="000000" w:themeColor="text1"/>
          <w:u w:val="single"/>
        </w:rPr>
        <w:t>s</w:t>
      </w:r>
    </w:p>
    <w:p w14:paraId="4BEE7717" w14:textId="39995688" w:rsidR="00666A26" w:rsidRPr="00B40A77" w:rsidRDefault="00866E49" w:rsidP="00666A26">
      <w:pPr>
        <w:pStyle w:val="Heading4"/>
        <w:rPr>
          <w:color w:val="000000" w:themeColor="text1"/>
        </w:rPr>
      </w:pPr>
      <w:bookmarkStart w:id="96" w:name="_Toc40173030"/>
      <w:bookmarkStart w:id="97" w:name="_Toc175238769"/>
      <w:r w:rsidRPr="00B40A77">
        <w:rPr>
          <w:color w:val="000000" w:themeColor="text1"/>
        </w:rPr>
        <w:t>19</w:t>
      </w:r>
      <w:r w:rsidR="006F4B1E" w:rsidRPr="00B40A77">
        <w:rPr>
          <w:color w:val="000000" w:themeColor="text1"/>
        </w:rPr>
        <w:t>.2</w:t>
      </w:r>
      <w:r w:rsidR="00666A26" w:rsidRPr="00B40A77">
        <w:rPr>
          <w:color w:val="000000" w:themeColor="text1"/>
        </w:rPr>
        <w:t>—Summary recovery</w:t>
      </w:r>
      <w:bookmarkEnd w:id="96"/>
      <w:bookmarkEnd w:id="97"/>
    </w:p>
    <w:p w14:paraId="165B7849" w14:textId="349A4D67" w:rsidR="00666A26" w:rsidRPr="00B40A77" w:rsidRDefault="00666A26" w:rsidP="00666A26">
      <w:pPr>
        <w:pStyle w:val="Hangindent"/>
        <w:rPr>
          <w:color w:val="000000" w:themeColor="text1"/>
          <w:lang w:val="en-US"/>
        </w:rPr>
      </w:pPr>
      <w:r w:rsidRPr="00B40A77">
        <w:rPr>
          <w:color w:val="000000" w:themeColor="text1"/>
          <w:lang w:val="en-US"/>
        </w:rPr>
        <w:t>(1)</w:t>
      </w:r>
      <w:r w:rsidRPr="00B40A77">
        <w:rPr>
          <w:color w:val="000000" w:themeColor="text1"/>
          <w:lang w:val="en-US"/>
        </w:rPr>
        <w:tab/>
      </w:r>
      <w:hyperlink w:anchor="_2.1—Definitions" w:history="1">
        <w:r w:rsidR="003E1E98" w:rsidRPr="00B40A77">
          <w:rPr>
            <w:rStyle w:val="Hyperlink"/>
            <w:color w:val="000000" w:themeColor="text1"/>
            <w:u w:val="none"/>
            <w:lang w:val="en-US"/>
          </w:rPr>
          <w:t>The</w:t>
        </w:r>
        <w:r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report to the </w:t>
      </w:r>
      <w:r w:rsidR="006D4F8B" w:rsidRPr="00B40A77">
        <w:rPr>
          <w:color w:val="000000" w:themeColor="text1"/>
        </w:rPr>
        <w:t xml:space="preserve">Court </w:t>
      </w:r>
      <w:r w:rsidRPr="00B40A77">
        <w:rPr>
          <w:color w:val="000000" w:themeColor="text1"/>
          <w:lang w:val="en-US"/>
        </w:rPr>
        <w:t>a default by a party or lawyer in payment of a fee when due.</w:t>
      </w:r>
    </w:p>
    <w:p w14:paraId="4E225492" w14:textId="1BDCD6E9" w:rsidR="00666A26" w:rsidRPr="00B40A77" w:rsidRDefault="00666A26" w:rsidP="006A575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t>
      </w:r>
      <w:r w:rsidR="006D4F8B" w:rsidRPr="00B40A77">
        <w:rPr>
          <w:color w:val="000000" w:themeColor="text1"/>
        </w:rPr>
        <w:t xml:space="preserve">Court </w:t>
      </w:r>
      <w:r w:rsidRPr="00B40A77">
        <w:rPr>
          <w:color w:val="000000" w:themeColor="text1"/>
          <w:lang w:val="en-US"/>
        </w:rPr>
        <w:t xml:space="preserve">will list the matter for </w:t>
      </w:r>
      <w:hyperlink w:anchor="_2.1—Definitions" w:history="1">
        <w:r w:rsidR="006D6EB8" w:rsidRPr="00B40A77">
          <w:rPr>
            <w:rStyle w:val="Hyperlink"/>
            <w:color w:val="000000" w:themeColor="text1"/>
          </w:rPr>
          <w:t>hearing</w:t>
        </w:r>
      </w:hyperlink>
      <w:r w:rsidRPr="00B40A77">
        <w:rPr>
          <w:color w:val="000000" w:themeColor="text1"/>
          <w:lang w:val="en-US"/>
        </w:rPr>
        <w:t xml:space="preserve"> and</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w:t>
      </w:r>
      <w:r w:rsidR="004679D8" w:rsidRPr="00B40A77">
        <w:rPr>
          <w:color w:val="000000" w:themeColor="text1"/>
          <w:lang w:val="en-US"/>
        </w:rPr>
        <w:t xml:space="preserve">ensure that </w:t>
      </w:r>
      <w:r w:rsidRPr="00B40A77">
        <w:rPr>
          <w:color w:val="000000" w:themeColor="text1"/>
          <w:lang w:val="en-US"/>
        </w:rPr>
        <w:t xml:space="preserve">notice of the </w:t>
      </w:r>
      <w:hyperlink w:anchor="_2.1—Definitions" w:history="1">
        <w:r w:rsidR="006D6EB8" w:rsidRPr="00B40A77">
          <w:rPr>
            <w:rStyle w:val="Hyperlink"/>
            <w:color w:val="000000" w:themeColor="text1"/>
          </w:rPr>
          <w:t>hearing</w:t>
        </w:r>
      </w:hyperlink>
      <w:r w:rsidRPr="00B40A77">
        <w:rPr>
          <w:color w:val="000000" w:themeColor="text1"/>
          <w:lang w:val="en-US"/>
        </w:rPr>
        <w:t xml:space="preserve"> in the prescribed form </w:t>
      </w:r>
      <w:r w:rsidR="004679D8" w:rsidRPr="00B40A77">
        <w:rPr>
          <w:color w:val="000000" w:themeColor="text1"/>
          <w:lang w:val="en-US"/>
        </w:rPr>
        <w:t xml:space="preserve">is given </w:t>
      </w:r>
      <w:r w:rsidRPr="00B40A77">
        <w:rPr>
          <w:color w:val="000000" w:themeColor="text1"/>
          <w:lang w:val="en-US"/>
        </w:rPr>
        <w:t>to the party or lawyer in question.</w:t>
      </w:r>
    </w:p>
    <w:p w14:paraId="16134CE4" w14:textId="77777777" w:rsidR="00666A26" w:rsidRPr="00B40A77" w:rsidRDefault="00666A26" w:rsidP="006A5750">
      <w:pPr>
        <w:pStyle w:val="NoteHeader"/>
        <w:keepNext/>
        <w:rPr>
          <w:color w:val="000000" w:themeColor="text1"/>
        </w:rPr>
      </w:pPr>
      <w:r w:rsidRPr="00B40A77">
        <w:rPr>
          <w:color w:val="000000" w:themeColor="text1"/>
        </w:rPr>
        <w:t>Prescribed form—</w:t>
      </w:r>
    </w:p>
    <w:p w14:paraId="7D799739" w14:textId="1779A3E0" w:rsidR="00666A26" w:rsidRPr="00B40A77" w:rsidRDefault="00666A26" w:rsidP="00666A26">
      <w:pPr>
        <w:pStyle w:val="NoteText"/>
        <w:rPr>
          <w:color w:val="000000" w:themeColor="text1"/>
        </w:rPr>
      </w:pPr>
      <w:r w:rsidRPr="00B40A77">
        <w:rPr>
          <w:color w:val="000000" w:themeColor="text1"/>
        </w:rPr>
        <w:t xml:space="preserve">Form </w:t>
      </w:r>
      <w:r w:rsidR="003F6224" w:rsidRPr="00B40A77">
        <w:rPr>
          <w:color w:val="000000" w:themeColor="text1"/>
        </w:rPr>
        <w:t>98</w:t>
      </w:r>
      <w:r w:rsidRPr="00B40A77">
        <w:rPr>
          <w:color w:val="000000" w:themeColor="text1"/>
        </w:rPr>
        <w:t xml:space="preserve"> </w:t>
      </w:r>
      <w:r w:rsidRPr="00B40A77">
        <w:rPr>
          <w:color w:val="000000" w:themeColor="text1"/>
          <w:u w:val="single"/>
        </w:rPr>
        <w:t>Notice of Hearing</w:t>
      </w:r>
    </w:p>
    <w:p w14:paraId="3CAB6217" w14:textId="35B66EC0" w:rsidR="00666A26" w:rsidRPr="00B40A77" w:rsidRDefault="00666A26" w:rsidP="00666A26">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922A9C"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with the agreement of the Crown Solicitor, commit to the Crown Solicitor the conduct of the proceeding by</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w:t>
      </w:r>
    </w:p>
    <w:p w14:paraId="15DED3EA" w14:textId="3CF8F744" w:rsidR="00666A26" w:rsidRPr="00B40A77" w:rsidRDefault="00666A26" w:rsidP="00666A26">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w:t>
      </w:r>
      <w:r w:rsidR="006D4F8B" w:rsidRPr="00B40A77">
        <w:rPr>
          <w:color w:val="000000" w:themeColor="text1"/>
        </w:rPr>
        <w:t xml:space="preserve">Court </w:t>
      </w:r>
      <w:r w:rsidRPr="00B40A77">
        <w:rPr>
          <w:color w:val="000000" w:themeColor="text1"/>
          <w:lang w:val="en-US"/>
        </w:rPr>
        <w:t>may, if satisfied that the fee is owing by the party or lawyer in question, make such order as it thinks fit to enforce payment, including (without limitation)</w:t>
      </w:r>
      <w:r w:rsidRPr="00B40A77">
        <w:rPr>
          <w:color w:val="000000" w:themeColor="text1"/>
        </w:rPr>
        <w:t>—</w:t>
      </w:r>
    </w:p>
    <w:p w14:paraId="20747D65" w14:textId="77777777" w:rsidR="00666A26" w:rsidRPr="00B40A77" w:rsidRDefault="00666A26" w:rsidP="00666A26">
      <w:pPr>
        <w:pStyle w:val="Doublehangindent"/>
        <w:rPr>
          <w:color w:val="000000" w:themeColor="text1"/>
          <w:lang w:val="en-US"/>
        </w:rPr>
      </w:pPr>
      <w:r w:rsidRPr="00B40A77">
        <w:rPr>
          <w:color w:val="000000" w:themeColor="text1"/>
          <w:lang w:val="en-US"/>
        </w:rPr>
        <w:t>(a)</w:t>
      </w:r>
      <w:r w:rsidRPr="00B40A77">
        <w:rPr>
          <w:color w:val="000000" w:themeColor="text1"/>
          <w:lang w:val="en-US"/>
        </w:rPr>
        <w:tab/>
        <w:t>an order granting judgment in favour of the Courts Administration Authority against the party or lawyer in question; or</w:t>
      </w:r>
    </w:p>
    <w:p w14:paraId="3E427D0E" w14:textId="7F88F966" w:rsidR="007408ED" w:rsidRPr="00B40A77" w:rsidRDefault="00666A26" w:rsidP="00666A26">
      <w:pPr>
        <w:pStyle w:val="Doublehangindent"/>
        <w:rPr>
          <w:color w:val="000000" w:themeColor="text1"/>
          <w:lang w:val="en-US"/>
        </w:rPr>
      </w:pPr>
      <w:r w:rsidRPr="00B40A77">
        <w:rPr>
          <w:color w:val="000000" w:themeColor="text1"/>
          <w:lang w:val="en-US"/>
        </w:rPr>
        <w:t>(b)</w:t>
      </w:r>
      <w:r w:rsidRPr="00B40A77">
        <w:rPr>
          <w:color w:val="000000" w:themeColor="text1"/>
          <w:lang w:val="en-US"/>
        </w:rPr>
        <w:tab/>
        <w:t>an order as to costs.</w:t>
      </w:r>
    </w:p>
    <w:p w14:paraId="7F4F5A02" w14:textId="13B7419A" w:rsidR="003F6224" w:rsidRPr="00B40A77" w:rsidRDefault="003F6224" w:rsidP="003F6224">
      <w:pPr>
        <w:pStyle w:val="Heading3"/>
        <w:rPr>
          <w:color w:val="000000" w:themeColor="text1"/>
        </w:rPr>
      </w:pPr>
      <w:bookmarkStart w:id="98" w:name="_Toc175238770"/>
      <w:r w:rsidRPr="00B40A77">
        <w:rPr>
          <w:color w:val="000000" w:themeColor="text1"/>
        </w:rPr>
        <w:t>Division 5—Notices from the Court</w:t>
      </w:r>
      <w:bookmarkEnd w:id="98"/>
    </w:p>
    <w:p w14:paraId="223D0334" w14:textId="4727450E" w:rsidR="003F6224" w:rsidRPr="00B40A77" w:rsidRDefault="00866E49" w:rsidP="003F6224">
      <w:pPr>
        <w:pStyle w:val="Heading4"/>
        <w:rPr>
          <w:color w:val="000000" w:themeColor="text1"/>
        </w:rPr>
      </w:pPr>
      <w:bookmarkStart w:id="99" w:name="_Toc175238771"/>
      <w:r w:rsidRPr="00B40A77">
        <w:rPr>
          <w:color w:val="000000" w:themeColor="text1"/>
        </w:rPr>
        <w:t>20</w:t>
      </w:r>
      <w:r w:rsidR="003F6224" w:rsidRPr="00B40A77">
        <w:rPr>
          <w:color w:val="000000" w:themeColor="text1"/>
        </w:rPr>
        <w:t>.1—Notices</w:t>
      </w:r>
      <w:bookmarkEnd w:id="99"/>
    </w:p>
    <w:p w14:paraId="19B09AC4" w14:textId="32C38242" w:rsidR="003F6224" w:rsidRPr="00B40A77" w:rsidRDefault="000E3C43" w:rsidP="003F6224">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3F6224" w:rsidRPr="00B40A77">
        <w:rPr>
          <w:color w:val="000000" w:themeColor="text1"/>
          <w:lang w:val="en-US"/>
        </w:rPr>
        <w:t xml:space="preserve">If these Rules or a direction by the </w:t>
      </w:r>
      <w:r w:rsidR="006D4F8B" w:rsidRPr="00B40A77">
        <w:rPr>
          <w:color w:val="000000" w:themeColor="text1"/>
        </w:rPr>
        <w:t xml:space="preserve">Court </w:t>
      </w:r>
      <w:r w:rsidR="004679D8" w:rsidRPr="00B40A77">
        <w:rPr>
          <w:color w:val="000000" w:themeColor="text1"/>
          <w:lang w:val="en-US"/>
        </w:rPr>
        <w:t>require</w:t>
      </w:r>
      <w:r w:rsidR="003F6224" w:rsidRPr="00B40A77">
        <w:rPr>
          <w:color w:val="000000" w:themeColor="text1"/>
          <w:lang w:val="en-US"/>
        </w:rPr>
        <w:t xml:space="preserve"> written notification </w:t>
      </w:r>
      <w:r w:rsidR="004679D8" w:rsidRPr="00B40A77">
        <w:rPr>
          <w:color w:val="000000" w:themeColor="text1"/>
          <w:lang w:val="en-US"/>
        </w:rPr>
        <w:t xml:space="preserve">to be given </w:t>
      </w:r>
      <w:r w:rsidR="003F6224" w:rsidRPr="00B40A77">
        <w:rPr>
          <w:color w:val="000000" w:themeColor="text1"/>
          <w:lang w:val="en-US"/>
        </w:rPr>
        <w:t>to a party or other person</w:t>
      </w:r>
      <w:r w:rsidR="0047609C" w:rsidRPr="00B40A77">
        <w:rPr>
          <w:color w:val="000000" w:themeColor="text1"/>
          <w:lang w:val="en-US"/>
        </w:rPr>
        <w:t xml:space="preserve"> other than notice of a </w:t>
      </w:r>
      <w:hyperlink w:anchor="_2.1—Definitions" w:history="1">
        <w:r w:rsidR="006D6EB8" w:rsidRPr="00B40A77">
          <w:rPr>
            <w:rStyle w:val="Hyperlink"/>
            <w:color w:val="000000" w:themeColor="text1"/>
          </w:rPr>
          <w:t>hearing</w:t>
        </w:r>
      </w:hyperlink>
      <w:r w:rsidR="0047609C" w:rsidRPr="00B40A77">
        <w:rPr>
          <w:color w:val="000000" w:themeColor="text1"/>
          <w:lang w:val="en-US"/>
        </w:rPr>
        <w:t xml:space="preserve"> or trial,</w:t>
      </w:r>
      <w:r w:rsidR="003F6224" w:rsidRPr="00B40A77">
        <w:rPr>
          <w:color w:val="000000" w:themeColor="text1"/>
          <w:lang w:val="en-US"/>
        </w:rPr>
        <w:t xml:space="preserve"> the notification must be made</w:t>
      </w:r>
      <w:r w:rsidR="006A3873" w:rsidRPr="00B40A77">
        <w:rPr>
          <w:color w:val="000000" w:themeColor="text1"/>
        </w:rPr>
        <w:t>—</w:t>
      </w:r>
    </w:p>
    <w:p w14:paraId="069F5570" w14:textId="6B6ECD42" w:rsidR="003F6224" w:rsidRPr="00B40A77" w:rsidRDefault="003F6224" w:rsidP="00E96D5A">
      <w:pPr>
        <w:pStyle w:val="Doublehangindent"/>
        <w:keepNext/>
        <w:rPr>
          <w:color w:val="000000" w:themeColor="text1"/>
          <w:lang w:val="en-US"/>
        </w:rPr>
      </w:pPr>
      <w:r w:rsidRPr="00B40A77">
        <w:rPr>
          <w:color w:val="000000" w:themeColor="text1"/>
          <w:lang w:val="en-US"/>
        </w:rPr>
        <w:lastRenderedPageBreak/>
        <w:t>(a)</w:t>
      </w:r>
      <w:r w:rsidRPr="00B40A77">
        <w:rPr>
          <w:color w:val="000000" w:themeColor="text1"/>
          <w:lang w:val="en-US"/>
        </w:rPr>
        <w:tab/>
        <w:t>by the relevant notice in the prescribed form; or</w:t>
      </w:r>
    </w:p>
    <w:p w14:paraId="521D3755" w14:textId="3BC46D20" w:rsidR="003F6224" w:rsidRPr="00B40A77" w:rsidRDefault="003F6224" w:rsidP="00E96D5A">
      <w:pPr>
        <w:pStyle w:val="NoteHeader"/>
        <w:keepNext/>
        <w:ind w:left="1701"/>
        <w:rPr>
          <w:color w:val="000000" w:themeColor="text1"/>
        </w:rPr>
      </w:pPr>
      <w:r w:rsidRPr="00B40A77">
        <w:rPr>
          <w:color w:val="000000" w:themeColor="text1"/>
        </w:rPr>
        <w:t>Prescribed forms—</w:t>
      </w:r>
    </w:p>
    <w:p w14:paraId="45E09EFB" w14:textId="1168F4E6" w:rsidR="003F6224" w:rsidRPr="00B40A77" w:rsidRDefault="003F6224" w:rsidP="00E96D5A">
      <w:pPr>
        <w:pStyle w:val="NoteText"/>
        <w:keepNext/>
        <w:ind w:left="1985"/>
        <w:rPr>
          <w:color w:val="000000" w:themeColor="text1"/>
        </w:rPr>
      </w:pPr>
      <w:r w:rsidRPr="00B40A77">
        <w:rPr>
          <w:color w:val="000000" w:themeColor="text1"/>
        </w:rPr>
        <w:t xml:space="preserve">Form 97 </w:t>
      </w:r>
      <w:hyperlink r:id="rId17" w:history="1">
        <w:r w:rsidRPr="00B40A77">
          <w:rPr>
            <w:rStyle w:val="Hyperlink"/>
            <w:color w:val="000000" w:themeColor="text1"/>
          </w:rPr>
          <w:t>Notice from Court</w:t>
        </w:r>
      </w:hyperlink>
    </w:p>
    <w:p w14:paraId="0A49ED31" w14:textId="0287C3A5" w:rsidR="0047609C" w:rsidRPr="00B40A77" w:rsidRDefault="003F6224" w:rsidP="00E96D5A">
      <w:pPr>
        <w:pStyle w:val="NoteText"/>
        <w:ind w:left="1985"/>
        <w:rPr>
          <w:color w:val="000000" w:themeColor="text1"/>
        </w:rPr>
      </w:pPr>
      <w:r w:rsidRPr="00B40A77">
        <w:rPr>
          <w:color w:val="000000" w:themeColor="text1"/>
        </w:rPr>
        <w:t>For</w:t>
      </w:r>
      <w:r w:rsidR="0047609C" w:rsidRPr="00B40A77">
        <w:rPr>
          <w:color w:val="000000" w:themeColor="text1"/>
        </w:rPr>
        <w:t>m</w:t>
      </w:r>
      <w:r w:rsidRPr="00B40A77">
        <w:rPr>
          <w:color w:val="000000" w:themeColor="text1"/>
        </w:rPr>
        <w:t xml:space="preserve"> </w:t>
      </w:r>
      <w:r w:rsidR="00BD7702" w:rsidRPr="00B40A77">
        <w:rPr>
          <w:color w:val="000000" w:themeColor="text1"/>
        </w:rPr>
        <w:t>30</w:t>
      </w:r>
      <w:r w:rsidRPr="00B40A77">
        <w:rPr>
          <w:color w:val="000000" w:themeColor="text1"/>
        </w:rPr>
        <w:t xml:space="preserve"> </w:t>
      </w:r>
      <w:hyperlink r:id="rId18" w:history="1">
        <w:r w:rsidRPr="00B40A77">
          <w:rPr>
            <w:rStyle w:val="Hyperlink"/>
            <w:color w:val="000000" w:themeColor="text1"/>
          </w:rPr>
          <w:t>Notice of Order f</w:t>
        </w:r>
        <w:r w:rsidR="0047609C" w:rsidRPr="00B40A77">
          <w:rPr>
            <w:rStyle w:val="Hyperlink"/>
            <w:color w:val="000000" w:themeColor="text1"/>
          </w:rPr>
          <w:t>or Stay of Release o</w:t>
        </w:r>
        <w:r w:rsidR="0094451F" w:rsidRPr="00B40A77">
          <w:rPr>
            <w:rStyle w:val="Hyperlink"/>
            <w:color w:val="000000" w:themeColor="text1"/>
          </w:rPr>
          <w:t>n Application f</w:t>
        </w:r>
        <w:r w:rsidRPr="00B40A77">
          <w:rPr>
            <w:rStyle w:val="Hyperlink"/>
            <w:color w:val="000000" w:themeColor="text1"/>
          </w:rPr>
          <w:t>or Review</w:t>
        </w:r>
      </w:hyperlink>
    </w:p>
    <w:p w14:paraId="62956D5C" w14:textId="2D694B3D" w:rsidR="003F6224" w:rsidRPr="00B40A77" w:rsidRDefault="003F6224" w:rsidP="00E96D5A">
      <w:pPr>
        <w:pStyle w:val="NoteText"/>
        <w:ind w:left="1985"/>
        <w:rPr>
          <w:color w:val="000000" w:themeColor="text1"/>
        </w:rPr>
      </w:pPr>
      <w:r w:rsidRPr="00B40A77">
        <w:rPr>
          <w:color w:val="000000" w:themeColor="text1"/>
        </w:rPr>
        <w:t xml:space="preserve">Form </w:t>
      </w:r>
      <w:r w:rsidR="001A48C6" w:rsidRPr="00B40A77">
        <w:rPr>
          <w:color w:val="000000" w:themeColor="text1"/>
        </w:rPr>
        <w:t>14</w:t>
      </w:r>
      <w:r w:rsidR="0094451F" w:rsidRPr="00B40A77">
        <w:rPr>
          <w:color w:val="000000" w:themeColor="text1"/>
        </w:rPr>
        <w:t xml:space="preserve">8 </w:t>
      </w:r>
      <w:hyperlink r:id="rId19" w:history="1">
        <w:r w:rsidR="001A48C6" w:rsidRPr="00B40A77">
          <w:rPr>
            <w:rStyle w:val="Hyperlink"/>
            <w:color w:val="000000" w:themeColor="text1"/>
          </w:rPr>
          <w:t>Notice of Penalty Imposed</w:t>
        </w:r>
      </w:hyperlink>
    </w:p>
    <w:p w14:paraId="252C7037" w14:textId="3B7822C7" w:rsidR="0094451F" w:rsidRPr="00B40A77" w:rsidRDefault="0094451F" w:rsidP="00E96D5A">
      <w:pPr>
        <w:pStyle w:val="NoteText"/>
        <w:ind w:left="1985"/>
        <w:rPr>
          <w:color w:val="000000" w:themeColor="text1"/>
        </w:rPr>
      </w:pPr>
      <w:r w:rsidRPr="00B40A77">
        <w:rPr>
          <w:color w:val="000000" w:themeColor="text1"/>
        </w:rPr>
        <w:t xml:space="preserve">Form 149 </w:t>
      </w:r>
      <w:hyperlink r:id="rId20" w:history="1">
        <w:r w:rsidRPr="00B40A77">
          <w:rPr>
            <w:rStyle w:val="Hyperlink"/>
            <w:color w:val="000000" w:themeColor="text1"/>
          </w:rPr>
          <w:t>Notice for the Payment of Money (Youth Court</w:t>
        </w:r>
      </w:hyperlink>
      <w:r w:rsidRPr="00B40A77">
        <w:rPr>
          <w:color w:val="000000" w:themeColor="text1"/>
          <w:u w:val="single"/>
        </w:rPr>
        <w:t>)</w:t>
      </w:r>
    </w:p>
    <w:p w14:paraId="657548B8" w14:textId="0ADAFEF1" w:rsidR="00987819" w:rsidRPr="00B40A77" w:rsidRDefault="00987819" w:rsidP="00E96D5A">
      <w:pPr>
        <w:pStyle w:val="NoteText"/>
        <w:ind w:left="1985"/>
        <w:rPr>
          <w:color w:val="000000" w:themeColor="text1"/>
        </w:rPr>
      </w:pPr>
      <w:r w:rsidRPr="00B40A77">
        <w:rPr>
          <w:color w:val="000000" w:themeColor="text1"/>
        </w:rPr>
        <w:t xml:space="preserve">Form 151 </w:t>
      </w:r>
      <w:hyperlink r:id="rId21" w:history="1">
        <w:r w:rsidRPr="00B40A77">
          <w:rPr>
            <w:rStyle w:val="Hyperlink"/>
            <w:color w:val="000000" w:themeColor="text1"/>
          </w:rPr>
          <w:t>Notice of Qualify</w:t>
        </w:r>
        <w:r w:rsidR="007F6982" w:rsidRPr="00B40A77">
          <w:rPr>
            <w:rStyle w:val="Hyperlink"/>
            <w:color w:val="000000" w:themeColor="text1"/>
          </w:rPr>
          <w:t>ing</w:t>
        </w:r>
        <w:r w:rsidRPr="00B40A77">
          <w:rPr>
            <w:rStyle w:val="Hyperlink"/>
            <w:color w:val="000000" w:themeColor="text1"/>
          </w:rPr>
          <w:t xml:space="preserve"> Offence</w:t>
        </w:r>
      </w:hyperlink>
    </w:p>
    <w:p w14:paraId="38A2742C" w14:textId="0E732471" w:rsidR="00987819" w:rsidRPr="00B40A77" w:rsidRDefault="00987819" w:rsidP="00E96D5A">
      <w:pPr>
        <w:pStyle w:val="NoteText"/>
        <w:ind w:left="1985"/>
        <w:rPr>
          <w:color w:val="000000" w:themeColor="text1"/>
        </w:rPr>
      </w:pPr>
      <w:r w:rsidRPr="00B40A77">
        <w:rPr>
          <w:color w:val="000000" w:themeColor="text1"/>
        </w:rPr>
        <w:t xml:space="preserve">Form 152 </w:t>
      </w:r>
      <w:hyperlink r:id="rId22" w:history="1">
        <w:r w:rsidRPr="00B40A77">
          <w:rPr>
            <w:rStyle w:val="Hyperlink"/>
            <w:color w:val="000000" w:themeColor="text1"/>
          </w:rPr>
          <w:t>Notice of Prescribed, Disqualification</w:t>
        </w:r>
        <w:r w:rsidR="007F6982" w:rsidRPr="00B40A77">
          <w:rPr>
            <w:rStyle w:val="Hyperlink"/>
            <w:color w:val="000000" w:themeColor="text1"/>
          </w:rPr>
          <w:t xml:space="preserve"> and or</w:t>
        </w:r>
        <w:r w:rsidRPr="00B40A77">
          <w:rPr>
            <w:rStyle w:val="Hyperlink"/>
            <w:color w:val="000000" w:themeColor="text1"/>
          </w:rPr>
          <w:t xml:space="preserve"> Presumptive Disqualification Offence</w:t>
        </w:r>
      </w:hyperlink>
    </w:p>
    <w:p w14:paraId="1CCF72DB" w14:textId="7249C210" w:rsidR="00987819" w:rsidRPr="00B40A77" w:rsidRDefault="00987819" w:rsidP="00E96D5A">
      <w:pPr>
        <w:pStyle w:val="NoteText"/>
        <w:ind w:left="1985"/>
        <w:rPr>
          <w:color w:val="000000" w:themeColor="text1"/>
        </w:rPr>
      </w:pPr>
      <w:r w:rsidRPr="00B40A77">
        <w:rPr>
          <w:color w:val="000000" w:themeColor="text1"/>
        </w:rPr>
        <w:t>Form 15</w:t>
      </w:r>
      <w:r w:rsidR="00B743AE" w:rsidRPr="00B40A77">
        <w:rPr>
          <w:color w:val="000000" w:themeColor="text1"/>
        </w:rPr>
        <w:t>3</w:t>
      </w:r>
      <w:r w:rsidRPr="00B40A77">
        <w:rPr>
          <w:color w:val="000000" w:themeColor="text1"/>
        </w:rPr>
        <w:t xml:space="preserve"> </w:t>
      </w:r>
      <w:hyperlink r:id="rId23" w:history="1">
        <w:r w:rsidRPr="00B40A77">
          <w:rPr>
            <w:rStyle w:val="Hyperlink"/>
            <w:color w:val="000000" w:themeColor="text1"/>
          </w:rPr>
          <w:t>Notice of Intervention Order</w:t>
        </w:r>
      </w:hyperlink>
    </w:p>
    <w:p w14:paraId="16D9EA5E" w14:textId="12A6D6CD" w:rsidR="00E96D5A" w:rsidRPr="00B40A77" w:rsidRDefault="00B743AE" w:rsidP="00E96D5A">
      <w:pPr>
        <w:pStyle w:val="NoteText"/>
        <w:ind w:left="1985"/>
        <w:rPr>
          <w:color w:val="000000" w:themeColor="text1"/>
        </w:rPr>
      </w:pPr>
      <w:r w:rsidRPr="00B40A77">
        <w:rPr>
          <w:color w:val="000000" w:themeColor="text1"/>
        </w:rPr>
        <w:t xml:space="preserve">Form </w:t>
      </w:r>
      <w:r w:rsidR="007757D4" w:rsidRPr="00B40A77">
        <w:rPr>
          <w:color w:val="000000" w:themeColor="text1"/>
        </w:rPr>
        <w:t>154</w:t>
      </w:r>
      <w:r w:rsidRPr="00B40A77">
        <w:rPr>
          <w:color w:val="000000" w:themeColor="text1"/>
        </w:rPr>
        <w:t xml:space="preserve"> </w:t>
      </w:r>
      <w:hyperlink r:id="rId24" w:history="1">
        <w:r w:rsidRPr="00B40A77">
          <w:rPr>
            <w:rStyle w:val="Hyperlink"/>
            <w:color w:val="000000" w:themeColor="text1"/>
          </w:rPr>
          <w:t xml:space="preserve">Notice </w:t>
        </w:r>
        <w:r w:rsidR="007757D4" w:rsidRPr="00B40A77">
          <w:rPr>
            <w:rStyle w:val="Hyperlink"/>
            <w:color w:val="000000" w:themeColor="text1"/>
          </w:rPr>
          <w:t xml:space="preserve">that </w:t>
        </w:r>
        <w:r w:rsidR="00B66A06" w:rsidRPr="00B40A77">
          <w:rPr>
            <w:rStyle w:val="Hyperlink"/>
            <w:color w:val="000000" w:themeColor="text1"/>
          </w:rPr>
          <w:t xml:space="preserve">Person </w:t>
        </w:r>
        <w:r w:rsidR="007F6982" w:rsidRPr="00B40A77">
          <w:rPr>
            <w:rStyle w:val="Hyperlink"/>
            <w:color w:val="000000" w:themeColor="text1"/>
          </w:rPr>
          <w:t xml:space="preserve">has been </w:t>
        </w:r>
        <w:r w:rsidR="007757D4" w:rsidRPr="00B40A77">
          <w:rPr>
            <w:rStyle w:val="Hyperlink"/>
            <w:color w:val="000000" w:themeColor="text1"/>
          </w:rPr>
          <w:t>Declared Liable to Supervision</w:t>
        </w:r>
      </w:hyperlink>
    </w:p>
    <w:p w14:paraId="1721D8B5" w14:textId="258B3B09" w:rsidR="00953322" w:rsidRPr="00B40A77" w:rsidRDefault="00953322" w:rsidP="00E96D5A">
      <w:pPr>
        <w:pStyle w:val="NoteText"/>
        <w:ind w:left="1985"/>
        <w:rPr>
          <w:color w:val="000000" w:themeColor="text1"/>
        </w:rPr>
      </w:pPr>
      <w:r w:rsidRPr="00B40A77">
        <w:rPr>
          <w:color w:val="000000" w:themeColor="text1"/>
        </w:rPr>
        <w:t xml:space="preserve">Form </w:t>
      </w:r>
      <w:r w:rsidR="006D72D1" w:rsidRPr="00B40A77">
        <w:rPr>
          <w:color w:val="000000" w:themeColor="text1"/>
        </w:rPr>
        <w:t>18</w:t>
      </w:r>
      <w:r w:rsidR="007F6982" w:rsidRPr="00B40A77">
        <w:rPr>
          <w:color w:val="000000" w:themeColor="text1"/>
        </w:rPr>
        <w:t>9</w:t>
      </w:r>
      <w:r w:rsidR="006D72D1" w:rsidRPr="00B40A77">
        <w:rPr>
          <w:color w:val="000000" w:themeColor="text1"/>
        </w:rPr>
        <w:t xml:space="preserve"> </w:t>
      </w:r>
      <w:hyperlink r:id="rId25" w:history="1">
        <w:r w:rsidR="006D72D1" w:rsidRPr="00B40A77">
          <w:rPr>
            <w:rStyle w:val="Hyperlink"/>
            <w:color w:val="000000" w:themeColor="text1"/>
          </w:rPr>
          <w:t>Notice o</w:t>
        </w:r>
        <w:r w:rsidRPr="00B40A77">
          <w:rPr>
            <w:rStyle w:val="Hyperlink"/>
            <w:color w:val="000000" w:themeColor="text1"/>
          </w:rPr>
          <w:t>f Judge’s Decision to Refuse Application</w:t>
        </w:r>
      </w:hyperlink>
    </w:p>
    <w:p w14:paraId="230A2B9D" w14:textId="69648376" w:rsidR="00BC4C9E" w:rsidRPr="00B40A77" w:rsidRDefault="00A32223" w:rsidP="00E96D5A">
      <w:pPr>
        <w:pStyle w:val="Doublehangindent"/>
        <w:ind w:left="2268" w:hanging="261"/>
        <w:rPr>
          <w:rFonts w:cs="Times New Roman"/>
          <w:color w:val="000000" w:themeColor="text1"/>
          <w:sz w:val="20"/>
          <w:szCs w:val="20"/>
        </w:rPr>
      </w:pPr>
      <w:r w:rsidRPr="00B40A77">
        <w:rPr>
          <w:rFonts w:cs="Times New Roman"/>
          <w:color w:val="000000" w:themeColor="text1"/>
          <w:sz w:val="20"/>
          <w:szCs w:val="20"/>
        </w:rPr>
        <w:t xml:space="preserve">Form </w:t>
      </w:r>
      <w:r w:rsidR="007F6982" w:rsidRPr="00B40A77">
        <w:rPr>
          <w:rFonts w:cs="Times New Roman"/>
          <w:color w:val="000000" w:themeColor="text1"/>
          <w:sz w:val="20"/>
          <w:szCs w:val="20"/>
        </w:rPr>
        <w:t>200</w:t>
      </w:r>
      <w:r w:rsidR="00BC4C9E" w:rsidRPr="00B40A77">
        <w:rPr>
          <w:rFonts w:cs="Times New Roman"/>
          <w:color w:val="000000" w:themeColor="text1"/>
          <w:sz w:val="20"/>
          <w:szCs w:val="20"/>
        </w:rPr>
        <w:t xml:space="preserve"> </w:t>
      </w:r>
      <w:hyperlink r:id="rId26" w:history="1">
        <w:r w:rsidR="00BC4C9E" w:rsidRPr="00B40A77">
          <w:rPr>
            <w:rStyle w:val="Hyperlink"/>
            <w:rFonts w:cs="Times New Roman"/>
            <w:color w:val="000000" w:themeColor="text1"/>
            <w:sz w:val="20"/>
            <w:szCs w:val="20"/>
          </w:rPr>
          <w:t>Notice of Final Determination of Appellate Proceeding</w:t>
        </w:r>
      </w:hyperlink>
    </w:p>
    <w:p w14:paraId="6E4BFFBD" w14:textId="2277B18F" w:rsidR="003F6224" w:rsidRPr="00B40A77" w:rsidRDefault="003F6224" w:rsidP="00102B38">
      <w:pPr>
        <w:pStyle w:val="Doublehangindent"/>
        <w:rPr>
          <w:color w:val="000000" w:themeColor="text1"/>
          <w:lang w:val="en-US"/>
        </w:rPr>
      </w:pPr>
      <w:r w:rsidRPr="00B40A77">
        <w:rPr>
          <w:color w:val="000000" w:themeColor="text1"/>
          <w:lang w:val="en-US"/>
        </w:rPr>
        <w:t>(b)</w:t>
      </w:r>
      <w:r w:rsidRPr="00B40A77">
        <w:rPr>
          <w:color w:val="000000" w:themeColor="text1"/>
          <w:lang w:val="en-US"/>
        </w:rPr>
        <w:tab/>
        <w:t>as directed by the Court.</w:t>
      </w:r>
    </w:p>
    <w:p w14:paraId="51080431" w14:textId="62008AE2" w:rsidR="007005A4" w:rsidRPr="00B40A77" w:rsidRDefault="007005A4" w:rsidP="007005A4">
      <w:pPr>
        <w:pStyle w:val="Heading3"/>
        <w:rPr>
          <w:color w:val="000000" w:themeColor="text1"/>
        </w:rPr>
      </w:pPr>
      <w:bookmarkStart w:id="100" w:name="_Toc175238772"/>
      <w:r w:rsidRPr="00B40A77">
        <w:rPr>
          <w:color w:val="000000" w:themeColor="text1"/>
        </w:rPr>
        <w:t>Division</w:t>
      </w:r>
      <w:r w:rsidR="003F6224" w:rsidRPr="00B40A77">
        <w:rPr>
          <w:color w:val="000000" w:themeColor="text1"/>
        </w:rPr>
        <w:t xml:space="preserve"> 6</w:t>
      </w:r>
      <w:r w:rsidRPr="00B40A77">
        <w:rPr>
          <w:color w:val="000000" w:themeColor="text1"/>
        </w:rPr>
        <w:t>—Advisors, elders and experts</w:t>
      </w:r>
      <w:r w:rsidR="00A156F1" w:rsidRPr="00B40A77">
        <w:rPr>
          <w:color w:val="000000" w:themeColor="text1"/>
        </w:rPr>
        <w:t>: Lower Courts</w:t>
      </w:r>
      <w:bookmarkEnd w:id="100"/>
    </w:p>
    <w:p w14:paraId="3B95A3B1" w14:textId="08EE1A64" w:rsidR="007005A4" w:rsidRPr="00B40A77" w:rsidRDefault="00866E49" w:rsidP="007005A4">
      <w:pPr>
        <w:pStyle w:val="Heading4"/>
        <w:rPr>
          <w:color w:val="000000" w:themeColor="text1"/>
        </w:rPr>
      </w:pPr>
      <w:bookmarkStart w:id="101" w:name="_Toc175238773"/>
      <w:r w:rsidRPr="00B40A77">
        <w:rPr>
          <w:color w:val="000000" w:themeColor="text1"/>
        </w:rPr>
        <w:t>21</w:t>
      </w:r>
      <w:r w:rsidR="007005A4" w:rsidRPr="00B40A77">
        <w:rPr>
          <w:color w:val="000000" w:themeColor="text1"/>
        </w:rPr>
        <w:t>.1—Appointment and remuneration</w:t>
      </w:r>
      <w:bookmarkEnd w:id="101"/>
    </w:p>
    <w:p w14:paraId="6F41E4B4" w14:textId="501432BD" w:rsidR="007005A4" w:rsidRPr="00B40A77" w:rsidRDefault="007005A4" w:rsidP="007005A4">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r w:rsidR="006D4F8B" w:rsidRPr="00B40A77">
        <w:rPr>
          <w:color w:val="000000" w:themeColor="text1"/>
        </w:rPr>
        <w:t xml:space="preserve">Court </w:t>
      </w:r>
      <w:r w:rsidRPr="00B40A77">
        <w:rPr>
          <w:color w:val="000000" w:themeColor="text1"/>
          <w:lang w:val="en-US"/>
        </w:rPr>
        <w:t xml:space="preserve">may appoint such cultural advisors, Aboriginal elders </w:t>
      </w:r>
      <w:r w:rsidR="000517E6" w:rsidRPr="00B40A77">
        <w:rPr>
          <w:color w:val="000000" w:themeColor="text1"/>
          <w:lang w:val="en-US"/>
        </w:rPr>
        <w:t xml:space="preserve">or respected persons </w:t>
      </w:r>
      <w:r w:rsidRPr="00B40A77">
        <w:rPr>
          <w:color w:val="000000" w:themeColor="text1"/>
          <w:lang w:val="en-US"/>
        </w:rPr>
        <w:t xml:space="preserve">or </w:t>
      </w:r>
      <w:hyperlink w:anchor="_2.1—Definitions" w:history="1">
        <w:r w:rsidRPr="00B40A77">
          <w:rPr>
            <w:rStyle w:val="Hyperlink"/>
            <w:color w:val="000000" w:themeColor="text1"/>
            <w:lang w:val="en-US"/>
          </w:rPr>
          <w:t>exp</w:t>
        </w:r>
        <w:r w:rsidR="006D72D1" w:rsidRPr="00B40A77">
          <w:rPr>
            <w:rStyle w:val="Hyperlink"/>
            <w:color w:val="000000" w:themeColor="text1"/>
            <w:lang w:val="en-US"/>
          </w:rPr>
          <w:t>ert</w:t>
        </w:r>
      </w:hyperlink>
      <w:r w:rsidR="006D72D1" w:rsidRPr="00B40A77">
        <w:rPr>
          <w:color w:val="000000" w:themeColor="text1"/>
          <w:u w:val="single"/>
          <w:lang w:val="en-US"/>
        </w:rPr>
        <w:t>s</w:t>
      </w:r>
      <w:r w:rsidR="006D72D1" w:rsidRPr="00B40A77">
        <w:rPr>
          <w:color w:val="000000" w:themeColor="text1"/>
          <w:lang w:val="en-US"/>
        </w:rPr>
        <w:t xml:space="preserve"> within any field as it thinks</w:t>
      </w:r>
      <w:r w:rsidRPr="00B40A77">
        <w:rPr>
          <w:color w:val="000000" w:themeColor="text1"/>
          <w:lang w:val="en-US"/>
        </w:rPr>
        <w:t xml:space="preserve"> fit to advise it in the conduct of its work.</w:t>
      </w:r>
    </w:p>
    <w:p w14:paraId="20776D78" w14:textId="2BF22338" w:rsidR="007005A4" w:rsidRPr="00B40A77" w:rsidRDefault="007005A4" w:rsidP="007005A4">
      <w:pPr>
        <w:pStyle w:val="Hangindent"/>
        <w:rPr>
          <w:color w:val="000000" w:themeColor="text1"/>
        </w:rPr>
      </w:pPr>
      <w:r w:rsidRPr="00B40A77">
        <w:rPr>
          <w:color w:val="000000" w:themeColor="text1"/>
          <w:lang w:val="en-US"/>
        </w:rPr>
        <w:t>(2)</w:t>
      </w:r>
      <w:r w:rsidRPr="00B40A77">
        <w:rPr>
          <w:color w:val="000000" w:themeColor="text1"/>
          <w:lang w:val="en-US"/>
        </w:rPr>
        <w:tab/>
        <w:t xml:space="preserve">The </w:t>
      </w:r>
      <w:r w:rsidR="006D4F8B" w:rsidRPr="00B40A77">
        <w:rPr>
          <w:color w:val="000000" w:themeColor="text1"/>
        </w:rPr>
        <w:t xml:space="preserve">Court </w:t>
      </w:r>
      <w:r w:rsidRPr="00B40A77">
        <w:rPr>
          <w:color w:val="000000" w:themeColor="text1"/>
          <w:lang w:val="en-US"/>
        </w:rPr>
        <w:t xml:space="preserve">may pay such advisors, elders or </w:t>
      </w:r>
      <w:hyperlink w:anchor="_2.1—Definitions" w:history="1">
        <w:r w:rsidR="000475CD" w:rsidRPr="00B40A77">
          <w:rPr>
            <w:rStyle w:val="Hyperlink"/>
            <w:color w:val="000000" w:themeColor="text1"/>
            <w:lang w:val="en-US"/>
          </w:rPr>
          <w:t>expert</w:t>
        </w:r>
      </w:hyperlink>
      <w:r w:rsidRPr="00B40A77">
        <w:rPr>
          <w:color w:val="000000" w:themeColor="text1"/>
          <w:u w:val="single"/>
          <w:lang w:val="en-US"/>
        </w:rPr>
        <w:t>s</w:t>
      </w:r>
      <w:r w:rsidRPr="00B40A77">
        <w:rPr>
          <w:color w:val="000000" w:themeColor="text1"/>
          <w:lang w:val="en-US"/>
        </w:rPr>
        <w:t xml:space="preserve"> in accordance with rates determined by</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w:t>
      </w:r>
    </w:p>
    <w:p w14:paraId="1FEC3B54" w14:textId="18A581F6" w:rsidR="007408ED" w:rsidRPr="00B40A77" w:rsidRDefault="007408ED" w:rsidP="001103F0">
      <w:pPr>
        <w:pStyle w:val="Heading2"/>
        <w:keepNext/>
        <w:rPr>
          <w:color w:val="000000" w:themeColor="text1"/>
        </w:rPr>
      </w:pPr>
      <w:bookmarkStart w:id="102" w:name="_Toc175238774"/>
      <w:r w:rsidRPr="00B40A77">
        <w:rPr>
          <w:color w:val="000000" w:themeColor="text1"/>
        </w:rPr>
        <w:t>Part 3—Electronic court management system</w:t>
      </w:r>
      <w:bookmarkEnd w:id="102"/>
    </w:p>
    <w:p w14:paraId="44ACD8E9" w14:textId="7B70D681" w:rsidR="007408ED" w:rsidRPr="00B40A77" w:rsidRDefault="00866E49" w:rsidP="007408ED">
      <w:pPr>
        <w:pStyle w:val="Heading4"/>
        <w:rPr>
          <w:color w:val="000000" w:themeColor="text1"/>
        </w:rPr>
      </w:pPr>
      <w:bookmarkStart w:id="103" w:name="_13.5—Establishment_and_operation"/>
      <w:bookmarkStart w:id="104" w:name="_22.1—Establishment_and_operation"/>
      <w:bookmarkStart w:id="105" w:name="_Toc175238775"/>
      <w:bookmarkStart w:id="106" w:name="_Hlk37761349"/>
      <w:bookmarkEnd w:id="103"/>
      <w:bookmarkEnd w:id="104"/>
      <w:r w:rsidRPr="00B40A77">
        <w:rPr>
          <w:color w:val="000000" w:themeColor="text1"/>
        </w:rPr>
        <w:t>22</w:t>
      </w:r>
      <w:r w:rsidR="007408ED" w:rsidRPr="00B40A77">
        <w:rPr>
          <w:color w:val="000000" w:themeColor="text1"/>
        </w:rPr>
        <w:t>.1—Establishment and operation</w:t>
      </w:r>
      <w:bookmarkEnd w:id="105"/>
    </w:p>
    <w:p w14:paraId="360A42DA" w14:textId="63ED6827" w:rsidR="007408ED" w:rsidRPr="00B40A77" w:rsidRDefault="007408ED" w:rsidP="007408ED">
      <w:pPr>
        <w:pStyle w:val="Hangindent"/>
        <w:rPr>
          <w:color w:val="000000" w:themeColor="text1"/>
          <w:lang w:val="en-US"/>
        </w:rPr>
      </w:pPr>
      <w:bookmarkStart w:id="107" w:name="_Hlk37761399"/>
      <w:r w:rsidRPr="00B40A77">
        <w:rPr>
          <w:color w:val="000000" w:themeColor="text1"/>
          <w:lang w:val="en-US"/>
        </w:rPr>
        <w:t>(1)</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establish </w:t>
      </w:r>
      <w:r w:rsidR="00B66A30" w:rsidRPr="00B40A77">
        <w:rPr>
          <w:color w:val="000000" w:themeColor="text1"/>
          <w:lang w:val="en-US"/>
        </w:rPr>
        <w:t>and admin</w:t>
      </w:r>
      <w:r w:rsidR="005C2642" w:rsidRPr="00B40A77">
        <w:rPr>
          <w:color w:val="000000" w:themeColor="text1"/>
          <w:lang w:val="en-US"/>
        </w:rPr>
        <w:t>i</w:t>
      </w:r>
      <w:r w:rsidR="00B66A30" w:rsidRPr="00B40A77">
        <w:rPr>
          <w:color w:val="000000" w:themeColor="text1"/>
          <w:lang w:val="en-US"/>
        </w:rPr>
        <w:t xml:space="preserve">ster </w:t>
      </w:r>
      <w:r w:rsidRPr="00B40A77">
        <w:rPr>
          <w:color w:val="000000" w:themeColor="text1"/>
          <w:lang w:val="en-US"/>
        </w:rPr>
        <w:t>an electronic court management system (</w:t>
      </w:r>
      <w:r w:rsidRPr="00B40A77">
        <w:rPr>
          <w:b/>
          <w:i/>
          <w:color w:val="000000" w:themeColor="text1"/>
          <w:lang w:val="en-US"/>
        </w:rPr>
        <w:t>Electronic System</w:t>
      </w:r>
      <w:r w:rsidRPr="00B40A77">
        <w:rPr>
          <w:color w:val="000000" w:themeColor="text1"/>
          <w:lang w:val="en-US"/>
        </w:rPr>
        <w:t>) to perform such of</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’s general functions (including those referred to in </w:t>
      </w:r>
      <w:hyperlink w:anchor="_13.2—Registrar" w:history="1">
        <w:r w:rsidRPr="00B40A77">
          <w:rPr>
            <w:rStyle w:val="Hyperlink"/>
            <w:color w:val="000000" w:themeColor="text1"/>
            <w:lang w:val="en-US"/>
          </w:rPr>
          <w:t>rule 1</w:t>
        </w:r>
        <w:r w:rsidR="00866E49" w:rsidRPr="00B40A77">
          <w:rPr>
            <w:rStyle w:val="Hyperlink"/>
            <w:color w:val="000000" w:themeColor="text1"/>
            <w:lang w:val="en-US"/>
          </w:rPr>
          <w:t>6</w:t>
        </w:r>
        <w:r w:rsidRPr="00B40A77">
          <w:rPr>
            <w:rStyle w:val="Hyperlink"/>
            <w:color w:val="000000" w:themeColor="text1"/>
            <w:lang w:val="en-US"/>
          </w:rPr>
          <w:t>.2</w:t>
        </w:r>
      </w:hyperlink>
      <w:r w:rsidRPr="00B40A77">
        <w:rPr>
          <w:color w:val="000000" w:themeColor="text1"/>
          <w:lang w:val="en-US"/>
        </w:rPr>
        <w:t xml:space="preserve">) and for use by </w:t>
      </w:r>
      <w:hyperlink w:anchor="_2.1—Definitions" w:history="1">
        <w:r w:rsidR="00C737E1" w:rsidRPr="00B40A77">
          <w:rPr>
            <w:rStyle w:val="Hyperlink"/>
            <w:color w:val="000000" w:themeColor="text1"/>
            <w:lang w:val="en-US"/>
          </w:rPr>
          <w:t>court officer</w:t>
        </w:r>
      </w:hyperlink>
      <w:r w:rsidRPr="00B40A77">
        <w:rPr>
          <w:color w:val="000000" w:themeColor="text1"/>
          <w:u w:val="single"/>
          <w:lang w:val="en-US"/>
        </w:rPr>
        <w:t>s</w:t>
      </w:r>
      <w:r w:rsidRPr="00B40A77">
        <w:rPr>
          <w:color w:val="000000" w:themeColor="text1"/>
          <w:lang w:val="en-US"/>
        </w:rPr>
        <w:t xml:space="preserve"> and external users as</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determines.</w:t>
      </w:r>
    </w:p>
    <w:p w14:paraId="42B387BA" w14:textId="25C19F2C" w:rsidR="007408ED" w:rsidRPr="00B40A77" w:rsidRDefault="007408ED" w:rsidP="007408ED">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For example, the </w:t>
      </w:r>
      <w:hyperlink w:anchor="_22.1—Establishment_and_operation" w:history="1">
        <w:r w:rsidRPr="00B40A77">
          <w:rPr>
            <w:rStyle w:val="Hyperlink"/>
            <w:color w:val="000000" w:themeColor="text1"/>
            <w:lang w:val="en-US"/>
          </w:rPr>
          <w:t>Electronic System</w:t>
        </w:r>
      </w:hyperlink>
      <w:r w:rsidRPr="00B40A77">
        <w:rPr>
          <w:color w:val="000000" w:themeColor="text1"/>
          <w:lang w:val="en-US"/>
        </w:rPr>
        <w:t xml:space="preserve"> may enable</w:t>
      </w:r>
      <w:r w:rsidRPr="00B40A77">
        <w:rPr>
          <w:rFonts w:cs="Times New Roman"/>
          <w:color w:val="000000" w:themeColor="text1"/>
        </w:rPr>
        <w:t>—</w:t>
      </w:r>
    </w:p>
    <w:p w14:paraId="7C6ABEF0" w14:textId="77777777" w:rsidR="007408ED" w:rsidRPr="00B40A77" w:rsidRDefault="007408ED" w:rsidP="007408ED">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creation, filing or service of documents in electronic form;</w:t>
      </w:r>
    </w:p>
    <w:p w14:paraId="262BEB42" w14:textId="77777777" w:rsidR="007408ED" w:rsidRPr="00B40A77" w:rsidRDefault="007408ED" w:rsidP="007408ED">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use of electronic signatures by parties, lawyers or other persons;</w:t>
      </w:r>
    </w:p>
    <w:p w14:paraId="7DED165E" w14:textId="77777777" w:rsidR="007408ED" w:rsidRPr="00B40A77" w:rsidRDefault="007408ED" w:rsidP="007408ED">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electronic issue of the Court’s process;</w:t>
      </w:r>
    </w:p>
    <w:p w14:paraId="0B801AB9" w14:textId="10043042" w:rsidR="007408ED" w:rsidRPr="00B40A77" w:rsidRDefault="007408ED" w:rsidP="007408ED">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use of electronic signatures by </w:t>
      </w:r>
      <w:hyperlink w:anchor="_2.1—Definitions" w:history="1">
        <w:r w:rsidR="00C737E1" w:rsidRPr="00B40A77">
          <w:rPr>
            <w:rStyle w:val="Hyperlink"/>
            <w:color w:val="000000" w:themeColor="text1"/>
            <w:lang w:val="en-US"/>
          </w:rPr>
          <w:t>court officer</w:t>
        </w:r>
      </w:hyperlink>
      <w:r w:rsidRPr="00B40A77">
        <w:rPr>
          <w:color w:val="000000" w:themeColor="text1"/>
          <w:u w:val="single"/>
          <w:lang w:val="en-US"/>
        </w:rPr>
        <w:t>s</w:t>
      </w:r>
      <w:r w:rsidRPr="00B40A77">
        <w:rPr>
          <w:color w:val="000000" w:themeColor="text1"/>
          <w:lang w:val="en-US"/>
        </w:rPr>
        <w:t>, sheriff’s officers or other persons performing functions on behalf of the Court;</w:t>
      </w:r>
    </w:p>
    <w:p w14:paraId="4C8DE760" w14:textId="180364F8" w:rsidR="007408ED" w:rsidRPr="00B40A77" w:rsidRDefault="007408ED" w:rsidP="007408ED">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communications between users and the </w:t>
      </w:r>
      <w:r w:rsidR="006D4F8B" w:rsidRPr="00B40A77">
        <w:rPr>
          <w:color w:val="000000" w:themeColor="text1"/>
        </w:rPr>
        <w:t xml:space="preserve">Court </w:t>
      </w:r>
      <w:r w:rsidRPr="00B40A77">
        <w:rPr>
          <w:color w:val="000000" w:themeColor="text1"/>
          <w:lang w:val="en-US"/>
        </w:rPr>
        <w:t>in electronic form;</w:t>
      </w:r>
    </w:p>
    <w:p w14:paraId="7AF2223E" w14:textId="45C79236" w:rsidR="007408ED" w:rsidRPr="00B40A77" w:rsidRDefault="007408ED" w:rsidP="007408ED">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the electronic listing of </w:t>
      </w:r>
      <w:hyperlink w:anchor="_2.1—Definitions" w:history="1">
        <w:r w:rsidR="006D6EB8" w:rsidRPr="00B40A77">
          <w:rPr>
            <w:rStyle w:val="Hyperlink"/>
            <w:color w:val="000000" w:themeColor="text1"/>
          </w:rPr>
          <w:t>hearing</w:t>
        </w:r>
      </w:hyperlink>
      <w:r w:rsidRPr="00B40A77">
        <w:rPr>
          <w:color w:val="000000" w:themeColor="text1"/>
          <w:u w:val="single"/>
          <w:lang w:val="en-US"/>
        </w:rPr>
        <w:t>s</w:t>
      </w:r>
      <w:r w:rsidR="004A0F53" w:rsidRPr="00B40A77">
        <w:rPr>
          <w:color w:val="000000" w:themeColor="text1"/>
          <w:lang w:val="en-US"/>
        </w:rPr>
        <w:t xml:space="preserve"> </w:t>
      </w:r>
      <w:r w:rsidRPr="00B40A77">
        <w:rPr>
          <w:color w:val="000000" w:themeColor="text1"/>
          <w:lang w:val="en-US"/>
        </w:rPr>
        <w:t xml:space="preserve">and </w:t>
      </w:r>
      <w:hyperlink w:anchor="_2.1—Definitions" w:history="1">
        <w:r w:rsidRPr="00B40A77">
          <w:rPr>
            <w:rStyle w:val="Hyperlink"/>
            <w:color w:val="000000" w:themeColor="text1"/>
            <w:lang w:val="en-US"/>
          </w:rPr>
          <w:t>trials</w:t>
        </w:r>
      </w:hyperlink>
      <w:r w:rsidRPr="00B40A77">
        <w:rPr>
          <w:color w:val="000000" w:themeColor="text1"/>
          <w:lang w:val="en-US"/>
        </w:rPr>
        <w:t>;</w:t>
      </w:r>
    </w:p>
    <w:p w14:paraId="36189298" w14:textId="77777777" w:rsidR="007408ED" w:rsidRPr="00B40A77" w:rsidRDefault="007408ED" w:rsidP="007408ED">
      <w:pPr>
        <w:pStyle w:val="Doublehangindent"/>
        <w:rPr>
          <w:color w:val="000000" w:themeColor="text1"/>
          <w:lang w:val="en-US"/>
        </w:rPr>
      </w:pPr>
      <w:r w:rsidRPr="00B40A77">
        <w:rPr>
          <w:color w:val="000000" w:themeColor="text1"/>
          <w:lang w:val="en-US"/>
        </w:rPr>
        <w:t>(g)</w:t>
      </w:r>
      <w:r w:rsidRPr="00B40A77">
        <w:rPr>
          <w:color w:val="000000" w:themeColor="text1"/>
          <w:lang w:val="en-US"/>
        </w:rPr>
        <w:tab/>
        <w:t>the creation, retention or deletion of electronic records of proceedings in the Court;</w:t>
      </w:r>
    </w:p>
    <w:p w14:paraId="67BCA49D" w14:textId="1440FF5B" w:rsidR="007408ED" w:rsidRPr="00B40A77" w:rsidRDefault="007408ED" w:rsidP="007408ED">
      <w:pPr>
        <w:pStyle w:val="Doublehangindent"/>
        <w:rPr>
          <w:color w:val="000000" w:themeColor="text1"/>
          <w:lang w:val="en-US"/>
        </w:rPr>
      </w:pPr>
      <w:r w:rsidRPr="00B40A77">
        <w:rPr>
          <w:color w:val="000000" w:themeColor="text1"/>
          <w:lang w:val="en-US"/>
        </w:rPr>
        <w:t>(h)</w:t>
      </w:r>
      <w:r w:rsidRPr="00B40A77">
        <w:rPr>
          <w:color w:val="000000" w:themeColor="text1"/>
          <w:lang w:val="en-US"/>
        </w:rPr>
        <w:tab/>
        <w:t xml:space="preserve">the receipt, retention or deletion of electronic documents tendered in proceedings, produced in response to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or otherwise produced to the Court; or</w:t>
      </w:r>
    </w:p>
    <w:p w14:paraId="4B03FB3E" w14:textId="77777777" w:rsidR="007408ED" w:rsidRPr="00B40A77" w:rsidRDefault="007408ED" w:rsidP="007408ED">
      <w:pPr>
        <w:pStyle w:val="Doublehangindent"/>
        <w:rPr>
          <w:color w:val="000000" w:themeColor="text1"/>
          <w:lang w:val="en-US"/>
        </w:rPr>
      </w:pPr>
      <w:r w:rsidRPr="00B40A77">
        <w:rPr>
          <w:color w:val="000000" w:themeColor="text1"/>
          <w:lang w:val="en-US"/>
        </w:rPr>
        <w:lastRenderedPageBreak/>
        <w:t>(i)</w:t>
      </w:r>
      <w:r w:rsidRPr="00B40A77">
        <w:rPr>
          <w:color w:val="000000" w:themeColor="text1"/>
          <w:lang w:val="en-US"/>
        </w:rPr>
        <w:tab/>
        <w:t>controlled access by internal or external users to court records.</w:t>
      </w:r>
    </w:p>
    <w:bookmarkEnd w:id="107"/>
    <w:p w14:paraId="72CA5C0D" w14:textId="68D4D76D" w:rsidR="007408ED" w:rsidRPr="00B40A77" w:rsidRDefault="007408ED" w:rsidP="007408ED">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determine that it is mandatory that all or specified classes of documents lodged for filing by all or specified classes of persons be filed electronically via the </w:t>
      </w:r>
      <w:hyperlink w:anchor="_22.1—Establishment_and_operation" w:history="1">
        <w:r w:rsidR="00E81F20" w:rsidRPr="00B40A77">
          <w:rPr>
            <w:rStyle w:val="Hyperlink"/>
            <w:color w:val="000000" w:themeColor="text1"/>
            <w:lang w:val="en-US"/>
          </w:rPr>
          <w:t>Electronic System</w:t>
        </w:r>
      </w:hyperlink>
      <w:r w:rsidR="00E902A0" w:rsidRPr="00B40A77">
        <w:rPr>
          <w:color w:val="000000" w:themeColor="text1"/>
          <w:lang w:val="en-US"/>
        </w:rPr>
        <w:t>,</w:t>
      </w:r>
      <w:r w:rsidRPr="00B40A77">
        <w:rPr>
          <w:color w:val="000000" w:themeColor="text1"/>
          <w:lang w:val="en-US"/>
        </w:rPr>
        <w:t xml:space="preserve"> and to that extent</w:t>
      </w:r>
      <w:r w:rsidR="00E902A0" w:rsidRPr="00B40A77">
        <w:rPr>
          <w:color w:val="000000" w:themeColor="text1"/>
          <w:lang w:val="en-US"/>
        </w:rPr>
        <w:t>,</w:t>
      </w:r>
      <w:r w:rsidRPr="00B40A77">
        <w:rPr>
          <w:color w:val="000000" w:themeColor="text1"/>
          <w:lang w:val="en-US"/>
        </w:rPr>
        <w:t xml:space="preserve"> the Registry will not accept physical documents for filing.</w:t>
      </w:r>
    </w:p>
    <w:p w14:paraId="583A5974" w14:textId="55ED2700" w:rsidR="007408ED" w:rsidRPr="00B40A77" w:rsidRDefault="007408ED" w:rsidP="007408ED">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may be established </w:t>
      </w:r>
      <w:r w:rsidR="00B66A30" w:rsidRPr="00B40A77">
        <w:rPr>
          <w:color w:val="000000" w:themeColor="text1"/>
          <w:lang w:val="en-US"/>
        </w:rPr>
        <w:t>and admin</w:t>
      </w:r>
      <w:r w:rsidR="00014254" w:rsidRPr="00B40A77">
        <w:rPr>
          <w:color w:val="000000" w:themeColor="text1"/>
          <w:lang w:val="en-US"/>
        </w:rPr>
        <w:t>i</w:t>
      </w:r>
      <w:r w:rsidR="00B66A30" w:rsidRPr="00B40A77">
        <w:rPr>
          <w:color w:val="000000" w:themeColor="text1"/>
          <w:lang w:val="en-US"/>
        </w:rPr>
        <w:t xml:space="preserve">stered </w:t>
      </w:r>
      <w:r w:rsidRPr="00B40A77">
        <w:rPr>
          <w:color w:val="000000" w:themeColor="text1"/>
          <w:lang w:val="en-US"/>
        </w:rPr>
        <w:t>by</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in conjunction with other courts.</w:t>
      </w:r>
    </w:p>
    <w:p w14:paraId="5186A55C" w14:textId="557563CF" w:rsidR="007408ED" w:rsidRPr="00B40A77" w:rsidRDefault="007408ED" w:rsidP="007408ED">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it is mandatory for a person to file a document electronically via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w:t>
      </w:r>
      <w:hyperlink w:anchor="_2.1—Definitions" w:history="1">
        <w:r w:rsidR="00776737" w:rsidRPr="00B40A77">
          <w:rPr>
            <w:rStyle w:val="Hyperlink"/>
            <w:color w:val="000000" w:themeColor="text1"/>
            <w:u w:val="none"/>
            <w:lang w:val="en-US"/>
          </w:rPr>
          <w:t>the</w:t>
        </w:r>
        <w:r w:rsidR="006F66CD"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hyperlink>
      <w:r w:rsidR="00D92EE1" w:rsidRPr="00B40A77">
        <w:rPr>
          <w:rStyle w:val="Hyperlink"/>
          <w:color w:val="000000" w:themeColor="text1"/>
          <w:u w:val="none"/>
          <w:lang w:val="en-US"/>
        </w:rPr>
        <w:t xml:space="preserve">, a </w:t>
      </w:r>
      <w:r w:rsidR="00D92EE1" w:rsidRPr="00B40A77">
        <w:rPr>
          <w:rStyle w:val="Hyperlink"/>
          <w:color w:val="000000" w:themeColor="text1"/>
          <w:lang w:val="en-US"/>
        </w:rPr>
        <w:t>Registrar</w:t>
      </w:r>
      <w:r w:rsidRPr="00B40A77">
        <w:rPr>
          <w:color w:val="000000" w:themeColor="text1"/>
          <w:lang w:val="en-US"/>
        </w:rPr>
        <w:t xml:space="preserve"> or the </w:t>
      </w:r>
      <w:r w:rsidR="006D4F8B" w:rsidRPr="00B40A77">
        <w:rPr>
          <w:color w:val="000000" w:themeColor="text1"/>
        </w:rPr>
        <w:t xml:space="preserve">Court </w:t>
      </w:r>
      <w:r w:rsidRPr="00B40A77">
        <w:rPr>
          <w:color w:val="000000" w:themeColor="text1"/>
          <w:lang w:val="en-US"/>
        </w:rPr>
        <w:t xml:space="preserve">may waive that requirement if and to such extent and on such conditions as </w:t>
      </w:r>
      <w:r w:rsidR="00FC5441" w:rsidRPr="00B40A77">
        <w:rPr>
          <w:color w:val="000000" w:themeColor="text1"/>
          <w:lang w:val="en-US"/>
        </w:rPr>
        <w:t>they</w:t>
      </w:r>
      <w:r w:rsidRPr="00B40A77">
        <w:rPr>
          <w:color w:val="000000" w:themeColor="text1"/>
          <w:lang w:val="en-US"/>
        </w:rPr>
        <w:t xml:space="preserve"> think fit.</w:t>
      </w:r>
    </w:p>
    <w:p w14:paraId="35829BAE" w14:textId="7835F72A" w:rsidR="007408ED" w:rsidRPr="00B40A77" w:rsidRDefault="00866E49" w:rsidP="007408ED">
      <w:pPr>
        <w:pStyle w:val="Heading4"/>
        <w:rPr>
          <w:color w:val="000000" w:themeColor="text1"/>
        </w:rPr>
      </w:pPr>
      <w:bookmarkStart w:id="108" w:name="_Toc175238776"/>
      <w:bookmarkEnd w:id="106"/>
      <w:r w:rsidRPr="00B40A77">
        <w:rPr>
          <w:color w:val="000000" w:themeColor="text1"/>
        </w:rPr>
        <w:t>22</w:t>
      </w:r>
      <w:r w:rsidR="007408ED" w:rsidRPr="00B40A77">
        <w:rPr>
          <w:color w:val="000000" w:themeColor="text1"/>
        </w:rPr>
        <w:t>.2—Registered users</w:t>
      </w:r>
      <w:bookmarkEnd w:id="108"/>
    </w:p>
    <w:p w14:paraId="6E9B3335" w14:textId="07AED532" w:rsidR="007408ED" w:rsidRPr="00B40A77" w:rsidRDefault="007408ED" w:rsidP="007408ED">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FC5441" w:rsidRPr="00B40A77">
        <w:rPr>
          <w:color w:val="000000" w:themeColor="text1"/>
          <w:lang w:val="en-US"/>
        </w:rPr>
        <w:t>A</w:t>
      </w:r>
      <w:r w:rsidRPr="00B40A77">
        <w:rPr>
          <w:color w:val="000000" w:themeColor="text1"/>
          <w:lang w:val="en-US"/>
        </w:rPr>
        <w:t xml:space="preserve"> person other than a </w:t>
      </w:r>
      <w:hyperlink w:anchor="_2.1—Definitions" w:history="1">
        <w:r w:rsidR="00C737E1" w:rsidRPr="00B40A77">
          <w:rPr>
            <w:rStyle w:val="Hyperlink"/>
            <w:color w:val="000000" w:themeColor="text1"/>
            <w:lang w:val="en-US"/>
          </w:rPr>
          <w:t>court officer</w:t>
        </w:r>
      </w:hyperlink>
      <w:r w:rsidRPr="00B40A77">
        <w:rPr>
          <w:color w:val="000000" w:themeColor="text1"/>
          <w:lang w:val="en-US"/>
        </w:rPr>
        <w:t xml:space="preserve"> of a court participating in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w:t>
      </w:r>
      <w:r w:rsidR="00FC5441" w:rsidRPr="00B40A77">
        <w:rPr>
          <w:color w:val="000000" w:themeColor="text1"/>
          <w:lang w:val="en-US"/>
        </w:rPr>
        <w:t xml:space="preserve">is only permitted </w:t>
      </w:r>
      <w:r w:rsidRPr="00B40A77">
        <w:rPr>
          <w:color w:val="000000" w:themeColor="text1"/>
          <w:lang w:val="en-US"/>
        </w:rPr>
        <w:t xml:space="preserve">to have access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if the person is a registered user.</w:t>
      </w:r>
    </w:p>
    <w:p w14:paraId="53085FA7" w14:textId="74E32ACB" w:rsidR="007408ED" w:rsidRPr="00B40A77" w:rsidRDefault="007408ED" w:rsidP="007408ED">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establish a system for a person to become a registered user and may exercise a general discretion whether to admit a person as a registered user.</w:t>
      </w:r>
    </w:p>
    <w:p w14:paraId="034A7CFD" w14:textId="05BDD0FF" w:rsidR="007408ED" w:rsidRPr="00B40A77" w:rsidRDefault="007408ED" w:rsidP="007408ED">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impose conditions on the use of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by registered users, a class of registered users or individual registered users.</w:t>
      </w:r>
    </w:p>
    <w:p w14:paraId="5BA997ED" w14:textId="4E2F2AA0" w:rsidR="007408ED" w:rsidRPr="00B40A77" w:rsidRDefault="007408ED" w:rsidP="007408ED">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cancel the registration of a person if, in the opinion of</w:t>
      </w:r>
      <w:r w:rsidR="00922A9C"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the person</w:t>
      </w:r>
      <w:r w:rsidRPr="00B40A77">
        <w:rPr>
          <w:rFonts w:cs="Times New Roman"/>
          <w:color w:val="000000" w:themeColor="text1"/>
        </w:rPr>
        <w:t>—</w:t>
      </w:r>
    </w:p>
    <w:p w14:paraId="14364AC6" w14:textId="77777777" w:rsidR="007408ED" w:rsidRPr="00B40A77" w:rsidRDefault="007408ED" w:rsidP="007408ED">
      <w:pPr>
        <w:pStyle w:val="Doublehangindent"/>
        <w:rPr>
          <w:color w:val="000000" w:themeColor="text1"/>
          <w:lang w:val="en-US"/>
        </w:rPr>
      </w:pPr>
      <w:r w:rsidRPr="00B40A77">
        <w:rPr>
          <w:color w:val="000000" w:themeColor="text1"/>
          <w:lang w:val="en-US"/>
        </w:rPr>
        <w:t>(a)</w:t>
      </w:r>
      <w:r w:rsidRPr="00B40A77">
        <w:rPr>
          <w:color w:val="000000" w:themeColor="text1"/>
          <w:lang w:val="en-US"/>
        </w:rPr>
        <w:tab/>
        <w:t>is not a fit and proper person to be a registered user;</w:t>
      </w:r>
    </w:p>
    <w:p w14:paraId="01DF5916" w14:textId="77777777" w:rsidR="007408ED" w:rsidRPr="00B40A77" w:rsidRDefault="007408ED" w:rsidP="007408ED">
      <w:pPr>
        <w:pStyle w:val="Doublehangindent"/>
        <w:rPr>
          <w:color w:val="000000" w:themeColor="text1"/>
          <w:lang w:val="en-US"/>
        </w:rPr>
      </w:pPr>
      <w:r w:rsidRPr="00B40A77">
        <w:rPr>
          <w:color w:val="000000" w:themeColor="text1"/>
          <w:lang w:val="en-US"/>
        </w:rPr>
        <w:t>(b)</w:t>
      </w:r>
      <w:r w:rsidRPr="00B40A77">
        <w:rPr>
          <w:color w:val="000000" w:themeColor="text1"/>
          <w:lang w:val="en-US"/>
        </w:rPr>
        <w:tab/>
        <w:t>should not have been admitted as a registered user; or</w:t>
      </w:r>
    </w:p>
    <w:p w14:paraId="70695B95" w14:textId="724A4082" w:rsidR="007408ED" w:rsidRPr="00B40A77" w:rsidRDefault="007408ED" w:rsidP="007408ED">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has breached a condition of the terms of use of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published by</w:t>
      </w:r>
      <w:r w:rsidR="00375DF9" w:rsidRPr="00B40A77">
        <w:rPr>
          <w:color w:val="000000" w:themeColor="text1"/>
          <w:lang w:val="en-US"/>
        </w:rPr>
        <w:t xml:space="preserve"> the</w:t>
      </w:r>
      <w:r w:rsidRPr="00B40A77">
        <w:rPr>
          <w:color w:val="000000" w:themeColor="text1"/>
          <w:lang w:val="en-US"/>
        </w:rPr>
        <w:t xml:space="preserv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’s portal</w:t>
      </w:r>
      <w:r w:rsidR="00D92EE1" w:rsidRPr="00B40A77">
        <w:rPr>
          <w:color w:val="000000" w:themeColor="text1"/>
          <w:lang w:val="en-US"/>
        </w:rPr>
        <w:t xml:space="preserve"> or </w:t>
      </w:r>
      <w:hyperlink w:anchor="_2.1—Definitions" w:history="1">
        <w:r w:rsidR="00D92EE1" w:rsidRPr="00B40A77">
          <w:rPr>
            <w:rStyle w:val="Hyperlink"/>
            <w:color w:val="000000" w:themeColor="text1"/>
          </w:rPr>
          <w:t>CAA website</w:t>
        </w:r>
        <w:r w:rsidRPr="00B40A77">
          <w:rPr>
            <w:rStyle w:val="Hyperlink"/>
            <w:color w:val="000000" w:themeColor="text1"/>
            <w:lang w:val="en-US"/>
          </w:rPr>
          <w:t>.</w:t>
        </w:r>
      </w:hyperlink>
    </w:p>
    <w:p w14:paraId="14EB64FC" w14:textId="47FDE3D1" w:rsidR="007408ED" w:rsidRPr="00B40A77" w:rsidRDefault="00866E49" w:rsidP="007408ED">
      <w:pPr>
        <w:pStyle w:val="Heading4"/>
        <w:rPr>
          <w:color w:val="000000" w:themeColor="text1"/>
        </w:rPr>
      </w:pPr>
      <w:bookmarkStart w:id="109" w:name="_Toc385334730"/>
      <w:bookmarkStart w:id="110" w:name="_Toc5281755"/>
      <w:bookmarkStart w:id="111" w:name="_Toc175238777"/>
      <w:bookmarkStart w:id="112" w:name="_Hlk96242770"/>
      <w:r w:rsidRPr="00B40A77">
        <w:rPr>
          <w:color w:val="000000" w:themeColor="text1"/>
        </w:rPr>
        <w:t>22</w:t>
      </w:r>
      <w:r w:rsidR="007408ED" w:rsidRPr="00B40A77">
        <w:rPr>
          <w:color w:val="000000" w:themeColor="text1"/>
        </w:rPr>
        <w:t>.3—</w:t>
      </w:r>
      <w:bookmarkEnd w:id="109"/>
      <w:bookmarkEnd w:id="110"/>
      <w:r w:rsidR="007408ED" w:rsidRPr="00B40A77">
        <w:rPr>
          <w:color w:val="000000" w:themeColor="text1"/>
        </w:rPr>
        <w:t>Originals of documents uploaded into Electronic System</w:t>
      </w:r>
      <w:bookmarkEnd w:id="111"/>
    </w:p>
    <w:p w14:paraId="054BB42D" w14:textId="15C3BC31" w:rsidR="00914D4B" w:rsidRPr="00B40A77" w:rsidRDefault="00BD1E02" w:rsidP="00BD1E02">
      <w:pPr>
        <w:pStyle w:val="Hangindent"/>
        <w:rPr>
          <w:color w:val="000000" w:themeColor="text1"/>
          <w:lang w:val="en-GB"/>
        </w:rPr>
      </w:pPr>
      <w:r w:rsidRPr="00B40A77">
        <w:rPr>
          <w:color w:val="000000" w:themeColor="text1"/>
          <w:lang w:val="en-GB"/>
        </w:rPr>
        <w:t>(1)</w:t>
      </w:r>
      <w:r w:rsidRPr="00B40A77">
        <w:rPr>
          <w:color w:val="000000" w:themeColor="text1"/>
          <w:lang w:val="en-GB"/>
        </w:rPr>
        <w:tab/>
      </w:r>
      <w:r w:rsidR="00026DD2" w:rsidRPr="00B40A77">
        <w:rPr>
          <w:color w:val="000000" w:themeColor="text1"/>
          <w:lang w:val="en-GB"/>
        </w:rPr>
        <w:t xml:space="preserve">This rule applies </w:t>
      </w:r>
      <w:r w:rsidR="00A7057E" w:rsidRPr="00B40A77">
        <w:rPr>
          <w:color w:val="000000" w:themeColor="text1"/>
          <w:lang w:val="en-GB"/>
        </w:rPr>
        <w:t xml:space="preserve">to </w:t>
      </w:r>
      <w:r w:rsidR="00914D4B" w:rsidRPr="00B40A77">
        <w:rPr>
          <w:color w:val="000000" w:themeColor="text1"/>
          <w:lang w:val="en-GB"/>
        </w:rPr>
        <w:t xml:space="preserve">a </w:t>
      </w:r>
      <w:hyperlink w:anchor="_2.1—Definitions" w:history="1">
        <w:r w:rsidR="005A6381" w:rsidRPr="00B40A77">
          <w:rPr>
            <w:rStyle w:val="Hyperlink"/>
            <w:rFonts w:cs="Times New Roman"/>
            <w:color w:val="000000" w:themeColor="text1"/>
            <w:lang w:val="en-US"/>
          </w:rPr>
          <w:t>law firm or office</w:t>
        </w:r>
      </w:hyperlink>
      <w:r w:rsidR="00914D4B" w:rsidRPr="00B40A77">
        <w:rPr>
          <w:color w:val="000000" w:themeColor="text1"/>
          <w:lang w:val="en-GB"/>
        </w:rPr>
        <w:t xml:space="preserve">, other representative of a party or an unrepresented party who uploads a document electronically to the </w:t>
      </w:r>
      <w:hyperlink w:anchor="_22.1—Establishment_and_operation" w:history="1">
        <w:r w:rsidR="00E81F20" w:rsidRPr="00B40A77">
          <w:rPr>
            <w:rStyle w:val="Hyperlink"/>
            <w:color w:val="000000" w:themeColor="text1"/>
            <w:lang w:val="en-US"/>
          </w:rPr>
          <w:t>Electronic System</w:t>
        </w:r>
      </w:hyperlink>
      <w:r w:rsidR="00914D4B" w:rsidRPr="00B40A77">
        <w:rPr>
          <w:color w:val="000000" w:themeColor="text1"/>
          <w:lang w:val="en-GB"/>
        </w:rPr>
        <w:t>.</w:t>
      </w:r>
    </w:p>
    <w:p w14:paraId="27BB8A65" w14:textId="111773AD" w:rsidR="00BD1E02" w:rsidRPr="00B40A77" w:rsidRDefault="00914D4B" w:rsidP="00BD1E02">
      <w:pPr>
        <w:pStyle w:val="Hangindent"/>
        <w:rPr>
          <w:color w:val="000000" w:themeColor="text1"/>
          <w:lang w:val="en-US"/>
        </w:rPr>
      </w:pPr>
      <w:r w:rsidRPr="00B40A77">
        <w:rPr>
          <w:color w:val="000000" w:themeColor="text1"/>
          <w:lang w:val="en-GB"/>
        </w:rPr>
        <w:t>(2)</w:t>
      </w:r>
      <w:r w:rsidRPr="00B40A77">
        <w:rPr>
          <w:color w:val="000000" w:themeColor="text1"/>
          <w:lang w:val="en-GB"/>
        </w:rPr>
        <w:tab/>
      </w:r>
      <w:r w:rsidR="00BD1E02" w:rsidRPr="00B40A77">
        <w:rPr>
          <w:color w:val="000000" w:themeColor="text1"/>
          <w:lang w:val="en-GB"/>
        </w:rPr>
        <w:t>A document comprising or including an affidavit</w:t>
      </w:r>
      <w:r w:rsidR="006A577D" w:rsidRPr="00B40A77">
        <w:rPr>
          <w:color w:val="000000" w:themeColor="text1"/>
          <w:lang w:val="en-GB"/>
        </w:rPr>
        <w:t>,</w:t>
      </w:r>
      <w:r w:rsidR="00BD1E02" w:rsidRPr="00B40A77">
        <w:rPr>
          <w:color w:val="000000" w:themeColor="text1"/>
          <w:lang w:val="en-GB"/>
        </w:rPr>
        <w:t xml:space="preserve"> </w:t>
      </w:r>
      <w:r w:rsidRPr="00B40A77">
        <w:rPr>
          <w:color w:val="000000" w:themeColor="text1"/>
          <w:lang w:val="en-GB"/>
        </w:rPr>
        <w:t>the original of which is in hard copy form</w:t>
      </w:r>
      <w:r w:rsidR="006A577D" w:rsidRPr="00B40A77">
        <w:rPr>
          <w:color w:val="000000" w:themeColor="text1"/>
          <w:lang w:val="en-GB"/>
        </w:rPr>
        <w:t xml:space="preserve"> and</w:t>
      </w:r>
      <w:r w:rsidRPr="00B40A77">
        <w:rPr>
          <w:color w:val="000000" w:themeColor="text1"/>
          <w:lang w:val="en-GB"/>
        </w:rPr>
        <w:t xml:space="preserve"> </w:t>
      </w:r>
      <w:r w:rsidR="00136D9A" w:rsidRPr="00B40A77">
        <w:rPr>
          <w:color w:val="000000" w:themeColor="text1"/>
          <w:lang w:val="en-GB"/>
        </w:rPr>
        <w:t xml:space="preserve">which is </w:t>
      </w:r>
      <w:r w:rsidR="00BD1E02" w:rsidRPr="00B40A77">
        <w:rPr>
          <w:color w:val="000000" w:themeColor="text1"/>
          <w:lang w:val="en-GB"/>
        </w:rPr>
        <w:t xml:space="preserve">uploaded electronically to the </w:t>
      </w:r>
      <w:hyperlink w:anchor="_22.1—Establishment_and_operation" w:history="1">
        <w:r w:rsidR="00E81F20" w:rsidRPr="00B40A77">
          <w:rPr>
            <w:rStyle w:val="Hyperlink"/>
            <w:color w:val="000000" w:themeColor="text1"/>
            <w:lang w:val="en-US"/>
          </w:rPr>
          <w:t>Electronic System</w:t>
        </w:r>
      </w:hyperlink>
      <w:r w:rsidR="006A577D" w:rsidRPr="00B40A77">
        <w:rPr>
          <w:color w:val="000000" w:themeColor="text1"/>
          <w:lang w:val="en-GB"/>
        </w:rPr>
        <w:t>,</w:t>
      </w:r>
      <w:r w:rsidR="00BD1E02" w:rsidRPr="00B40A77">
        <w:rPr>
          <w:color w:val="000000" w:themeColor="text1"/>
          <w:lang w:val="en-US"/>
        </w:rPr>
        <w:t xml:space="preserve"> must be uploaded by scanning the original bearing the original signature of the deponent and attesting witness and not by scanning a copy.</w:t>
      </w:r>
    </w:p>
    <w:p w14:paraId="4F3B6E59" w14:textId="4BBD7F73" w:rsidR="00BD1E02" w:rsidRPr="00B40A77" w:rsidRDefault="00BD1E02" w:rsidP="00BD1E02">
      <w:pPr>
        <w:pStyle w:val="Hangindent"/>
        <w:rPr>
          <w:color w:val="000000" w:themeColor="text1"/>
          <w:lang w:val="en-US"/>
        </w:rPr>
      </w:pPr>
      <w:r w:rsidRPr="00B40A77">
        <w:rPr>
          <w:color w:val="000000" w:themeColor="text1"/>
          <w:lang w:val="en-GB"/>
        </w:rPr>
        <w:t>(</w:t>
      </w:r>
      <w:r w:rsidR="00914D4B" w:rsidRPr="00B40A77">
        <w:rPr>
          <w:color w:val="000000" w:themeColor="text1"/>
          <w:lang w:val="en-GB"/>
        </w:rPr>
        <w:t>3</w:t>
      </w:r>
      <w:r w:rsidRPr="00B40A77">
        <w:rPr>
          <w:color w:val="000000" w:themeColor="text1"/>
          <w:lang w:val="en-GB"/>
        </w:rPr>
        <w:t>)</w:t>
      </w:r>
      <w:r w:rsidRPr="00B40A77">
        <w:rPr>
          <w:color w:val="000000" w:themeColor="text1"/>
          <w:lang w:val="en-GB"/>
        </w:rPr>
        <w:tab/>
      </w:r>
      <w:r w:rsidR="00914D4B" w:rsidRPr="00B40A77">
        <w:rPr>
          <w:color w:val="000000" w:themeColor="text1"/>
          <w:lang w:val="en-GB"/>
        </w:rPr>
        <w:t xml:space="preserve">A person or entity to whom this rule applies who uploads a document electronically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GB"/>
        </w:rPr>
        <w:t xml:space="preserve"> </w:t>
      </w:r>
      <w:r w:rsidRPr="00B40A77">
        <w:rPr>
          <w:color w:val="000000" w:themeColor="text1"/>
          <w:lang w:val="en-US"/>
        </w:rPr>
        <w:t xml:space="preserve">undertakes to the </w:t>
      </w:r>
      <w:r w:rsidR="006D4F8B" w:rsidRPr="00B40A77">
        <w:rPr>
          <w:color w:val="000000" w:themeColor="text1"/>
        </w:rPr>
        <w:t xml:space="preserve">Court </w:t>
      </w:r>
      <w:r w:rsidRPr="00B40A77">
        <w:rPr>
          <w:color w:val="000000" w:themeColor="text1"/>
          <w:lang w:val="en-US"/>
        </w:rPr>
        <w:t>that</w:t>
      </w:r>
      <w:r w:rsidRPr="00B40A77">
        <w:rPr>
          <w:rFonts w:cs="Times New Roman"/>
          <w:color w:val="000000" w:themeColor="text1"/>
        </w:rPr>
        <w:t>—</w:t>
      </w:r>
    </w:p>
    <w:p w14:paraId="3D5C58E9" w14:textId="4BA16582" w:rsidR="00BD1E02" w:rsidRPr="00B40A77" w:rsidRDefault="00BD1E02" w:rsidP="00BD1E02">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document uploaded is identical to the original document;</w:t>
      </w:r>
    </w:p>
    <w:p w14:paraId="78D244A0" w14:textId="748A138B" w:rsidR="00BD1E02" w:rsidRPr="00B40A77" w:rsidRDefault="00BD1E02" w:rsidP="00BD1E02">
      <w:pPr>
        <w:pStyle w:val="Doublehangindent"/>
        <w:rPr>
          <w:rFonts w:cs="Times New Roman"/>
          <w:color w:val="000000" w:themeColor="text1"/>
        </w:rPr>
      </w:pPr>
      <w:r w:rsidRPr="00B40A77">
        <w:rPr>
          <w:color w:val="000000" w:themeColor="text1"/>
          <w:lang w:val="en-US"/>
        </w:rPr>
        <w:t>(b)</w:t>
      </w:r>
      <w:r w:rsidRPr="00B40A77">
        <w:rPr>
          <w:color w:val="000000" w:themeColor="text1"/>
          <w:lang w:val="en-US"/>
        </w:rPr>
        <w:tab/>
        <w:t xml:space="preserve">if the </w:t>
      </w:r>
      <w:r w:rsidRPr="00B40A77">
        <w:rPr>
          <w:color w:val="000000" w:themeColor="text1"/>
          <w:lang w:val="en-GB"/>
        </w:rPr>
        <w:t>document comprises or includ</w:t>
      </w:r>
      <w:r w:rsidR="00127FE1" w:rsidRPr="00B40A77">
        <w:rPr>
          <w:color w:val="000000" w:themeColor="text1"/>
          <w:lang w:val="en-GB"/>
        </w:rPr>
        <w:t>es</w:t>
      </w:r>
      <w:r w:rsidRPr="00B40A77">
        <w:rPr>
          <w:color w:val="000000" w:themeColor="text1"/>
          <w:lang w:val="en-GB"/>
        </w:rPr>
        <w:t xml:space="preserve"> an affidavit</w:t>
      </w:r>
      <w:r w:rsidR="00697A9D" w:rsidRPr="00B40A77">
        <w:rPr>
          <w:color w:val="000000" w:themeColor="text1"/>
          <w:lang w:val="en-GB"/>
        </w:rPr>
        <w:t>,</w:t>
      </w:r>
      <w:r w:rsidR="004D2B46" w:rsidRPr="00B40A77">
        <w:rPr>
          <w:color w:val="000000" w:themeColor="text1"/>
          <w:lang w:val="en-GB"/>
        </w:rPr>
        <w:t xml:space="preserve"> the original </w:t>
      </w:r>
      <w:r w:rsidR="00A7057E" w:rsidRPr="00B40A77">
        <w:rPr>
          <w:color w:val="000000" w:themeColor="text1"/>
          <w:lang w:val="en-GB"/>
        </w:rPr>
        <w:t xml:space="preserve">signed version of which </w:t>
      </w:r>
      <w:r w:rsidR="004D2B46" w:rsidRPr="00B40A77">
        <w:rPr>
          <w:color w:val="000000" w:themeColor="text1"/>
          <w:lang w:val="en-GB"/>
        </w:rPr>
        <w:t>is in hard copy form</w:t>
      </w:r>
      <w:r w:rsidRPr="00B40A77">
        <w:rPr>
          <w:rFonts w:cs="Times New Roman"/>
          <w:color w:val="000000" w:themeColor="text1"/>
        </w:rPr>
        <w:t>—</w:t>
      </w:r>
    </w:p>
    <w:p w14:paraId="7DE6FDB6" w14:textId="4138B00D" w:rsidR="00BD1E02" w:rsidRPr="00B40A77" w:rsidRDefault="00BD1E02" w:rsidP="00BD1E02">
      <w:pPr>
        <w:pStyle w:val="Doublehangindent"/>
        <w:ind w:left="2160" w:hanging="471"/>
        <w:rPr>
          <w:color w:val="000000" w:themeColor="text1"/>
          <w:lang w:val="en-US"/>
        </w:rPr>
      </w:pPr>
      <w:r w:rsidRPr="00B40A77">
        <w:rPr>
          <w:rFonts w:cs="Times New Roman"/>
          <w:color w:val="000000" w:themeColor="text1"/>
        </w:rPr>
        <w:t>(i)</w:t>
      </w:r>
      <w:r w:rsidRPr="00B40A77">
        <w:rPr>
          <w:rFonts w:cs="Times New Roman"/>
          <w:color w:val="000000" w:themeColor="text1"/>
        </w:rPr>
        <w:tab/>
        <w:t xml:space="preserve">that </w:t>
      </w:r>
      <w:r w:rsidRPr="00B40A77">
        <w:rPr>
          <w:color w:val="000000" w:themeColor="text1"/>
          <w:lang w:val="en-US"/>
        </w:rPr>
        <w:t>the document uploaded is the original document bearing the original signature of the deponent and attesting witness and not a copy; and</w:t>
      </w:r>
    </w:p>
    <w:p w14:paraId="0543A245" w14:textId="6ABF3B6B" w:rsidR="00BD1E02" w:rsidRPr="00B40A77" w:rsidRDefault="00BD1E02" w:rsidP="00BD1E02">
      <w:pPr>
        <w:pStyle w:val="Doublehangindent"/>
        <w:ind w:left="2160" w:hanging="471"/>
        <w:rPr>
          <w:color w:val="000000" w:themeColor="text1"/>
          <w:lang w:val="en-US"/>
        </w:rPr>
      </w:pPr>
      <w:r w:rsidRPr="00B40A77">
        <w:rPr>
          <w:color w:val="000000" w:themeColor="text1"/>
          <w:lang w:val="en-US"/>
        </w:rPr>
        <w:t>(ii)</w:t>
      </w:r>
      <w:r w:rsidRPr="00B40A77">
        <w:rPr>
          <w:color w:val="000000" w:themeColor="text1"/>
          <w:lang w:val="en-US"/>
        </w:rPr>
        <w:tab/>
        <w:t xml:space="preserve">to retain possession of the original document until finalisation of </w:t>
      </w:r>
      <w:r w:rsidRPr="00B40A77">
        <w:rPr>
          <w:color w:val="000000" w:themeColor="text1"/>
        </w:rPr>
        <w:t>the</w:t>
      </w:r>
      <w:r w:rsidRPr="00B40A77">
        <w:rPr>
          <w:color w:val="000000" w:themeColor="text1"/>
          <w:lang w:val="en-US"/>
        </w:rPr>
        <w:t xml:space="preserve"> proceeding and any appeal and expiration of any appeal period</w:t>
      </w:r>
      <w:r w:rsidR="00A7057E" w:rsidRPr="00B40A77">
        <w:rPr>
          <w:color w:val="000000" w:themeColor="text1"/>
          <w:lang w:val="en-US"/>
        </w:rPr>
        <w:t>;</w:t>
      </w:r>
    </w:p>
    <w:p w14:paraId="1F0FAC37" w14:textId="13FAA016" w:rsidR="00A7057E" w:rsidRPr="00B40A77" w:rsidRDefault="00A7057E" w:rsidP="00A7057E">
      <w:pPr>
        <w:pStyle w:val="Doublehangindent"/>
        <w:rPr>
          <w:rFonts w:cs="Times New Roman"/>
          <w:color w:val="000000" w:themeColor="text1"/>
        </w:rPr>
      </w:pPr>
      <w:r w:rsidRPr="00B40A77">
        <w:rPr>
          <w:color w:val="000000" w:themeColor="text1"/>
          <w:lang w:val="en-US"/>
        </w:rPr>
        <w:lastRenderedPageBreak/>
        <w:t>(c)</w:t>
      </w:r>
      <w:r w:rsidRPr="00B40A77">
        <w:rPr>
          <w:color w:val="000000" w:themeColor="text1"/>
          <w:lang w:val="en-US"/>
        </w:rPr>
        <w:tab/>
        <w:t xml:space="preserve">if the </w:t>
      </w:r>
      <w:r w:rsidRPr="00B40A77">
        <w:rPr>
          <w:color w:val="000000" w:themeColor="text1"/>
          <w:lang w:val="en-GB"/>
        </w:rPr>
        <w:t>document comprises or includes an affidavit</w:t>
      </w:r>
      <w:r w:rsidR="00697A9D" w:rsidRPr="00B40A77">
        <w:rPr>
          <w:color w:val="000000" w:themeColor="text1"/>
          <w:lang w:val="en-GB"/>
        </w:rPr>
        <w:t>,</w:t>
      </w:r>
      <w:r w:rsidRPr="00B40A77">
        <w:rPr>
          <w:color w:val="000000" w:themeColor="text1"/>
          <w:lang w:val="en-GB"/>
        </w:rPr>
        <w:t xml:space="preserve"> the original signed version of which is in electronic form</w:t>
      </w:r>
      <w:r w:rsidRPr="00B40A77">
        <w:rPr>
          <w:rFonts w:cs="Times New Roman"/>
          <w:color w:val="000000" w:themeColor="text1"/>
        </w:rPr>
        <w:t>—</w:t>
      </w:r>
    </w:p>
    <w:p w14:paraId="374E8AAE" w14:textId="633CEEC3" w:rsidR="00A7057E" w:rsidRPr="00B40A77" w:rsidRDefault="00A7057E" w:rsidP="00A7057E">
      <w:pPr>
        <w:pStyle w:val="Doublehangindent"/>
        <w:ind w:left="2160" w:hanging="471"/>
        <w:rPr>
          <w:color w:val="000000" w:themeColor="text1"/>
          <w:lang w:val="en-US"/>
        </w:rPr>
      </w:pPr>
      <w:r w:rsidRPr="00B40A77">
        <w:rPr>
          <w:rFonts w:cs="Times New Roman"/>
          <w:color w:val="000000" w:themeColor="text1"/>
        </w:rPr>
        <w:t>(i)</w:t>
      </w:r>
      <w:r w:rsidRPr="00B40A77">
        <w:rPr>
          <w:rFonts w:cs="Times New Roman"/>
          <w:color w:val="000000" w:themeColor="text1"/>
        </w:rPr>
        <w:tab/>
        <w:t xml:space="preserve">that </w:t>
      </w:r>
      <w:r w:rsidRPr="00B40A77">
        <w:rPr>
          <w:color w:val="000000" w:themeColor="text1"/>
          <w:lang w:val="en-US"/>
        </w:rPr>
        <w:t>the document uploaded is identical to the original electronic document bearing the signature of the deponent and attesting witness and not a copy;</w:t>
      </w:r>
      <w:r w:rsidR="00A437D3" w:rsidRPr="00B40A77">
        <w:rPr>
          <w:color w:val="000000" w:themeColor="text1"/>
          <w:lang w:val="en-US"/>
        </w:rPr>
        <w:t> </w:t>
      </w:r>
      <w:r w:rsidRPr="00B40A77">
        <w:rPr>
          <w:color w:val="000000" w:themeColor="text1"/>
          <w:lang w:val="en-US"/>
        </w:rPr>
        <w:t>and</w:t>
      </w:r>
    </w:p>
    <w:p w14:paraId="038EF9BE" w14:textId="39A7FC38" w:rsidR="00A7057E" w:rsidRPr="00B40A77" w:rsidRDefault="00A7057E" w:rsidP="00A437D3">
      <w:pPr>
        <w:pStyle w:val="Doublehangindent"/>
        <w:ind w:left="2160" w:hanging="471"/>
        <w:rPr>
          <w:color w:val="000000" w:themeColor="text1"/>
          <w:lang w:val="en-US"/>
        </w:rPr>
      </w:pPr>
      <w:r w:rsidRPr="00B40A77">
        <w:rPr>
          <w:color w:val="000000" w:themeColor="text1"/>
          <w:lang w:val="en-US"/>
        </w:rPr>
        <w:t>(ii)</w:t>
      </w:r>
      <w:r w:rsidRPr="00B40A77">
        <w:rPr>
          <w:color w:val="000000" w:themeColor="text1"/>
          <w:lang w:val="en-US"/>
        </w:rPr>
        <w:tab/>
        <w:t xml:space="preserve">to retain possession of the original electronic document until finalisation of </w:t>
      </w:r>
      <w:r w:rsidRPr="00B40A77">
        <w:rPr>
          <w:color w:val="000000" w:themeColor="text1"/>
        </w:rPr>
        <w:t>the</w:t>
      </w:r>
      <w:r w:rsidRPr="00B40A77">
        <w:rPr>
          <w:color w:val="000000" w:themeColor="text1"/>
          <w:lang w:val="en-US"/>
        </w:rPr>
        <w:t xml:space="preserve"> proceeding and any appeal and expiration of any appeal period.</w:t>
      </w:r>
      <w:bookmarkEnd w:id="112"/>
    </w:p>
    <w:p w14:paraId="0F7F7DB8" w14:textId="2A006AAF" w:rsidR="007408ED" w:rsidRPr="00B40A77" w:rsidRDefault="00866E49" w:rsidP="007408ED">
      <w:pPr>
        <w:pStyle w:val="Heading4"/>
        <w:rPr>
          <w:color w:val="000000" w:themeColor="text1"/>
        </w:rPr>
      </w:pPr>
      <w:bookmarkStart w:id="113" w:name="_Toc175238778"/>
      <w:r w:rsidRPr="00B40A77">
        <w:rPr>
          <w:color w:val="000000" w:themeColor="text1"/>
        </w:rPr>
        <w:t>22</w:t>
      </w:r>
      <w:r w:rsidR="007408ED" w:rsidRPr="00B40A77">
        <w:rPr>
          <w:color w:val="000000" w:themeColor="text1"/>
        </w:rPr>
        <w:t>.4—Official record of the Court</w:t>
      </w:r>
      <w:bookmarkEnd w:id="113"/>
    </w:p>
    <w:p w14:paraId="2906C3C7" w14:textId="650DBE3A" w:rsidR="007408ED" w:rsidRPr="00B40A77" w:rsidRDefault="007408ED" w:rsidP="007408ED">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document is filed with, or issued by, the </w:t>
      </w:r>
      <w:r w:rsidR="006D4F8B" w:rsidRPr="00B40A77">
        <w:rPr>
          <w:color w:val="000000" w:themeColor="text1"/>
        </w:rPr>
        <w:t xml:space="preserve">Court </w:t>
      </w:r>
      <w:r w:rsidRPr="00B40A77">
        <w:rPr>
          <w:color w:val="000000" w:themeColor="text1"/>
          <w:lang w:val="en-US"/>
        </w:rPr>
        <w:t xml:space="preserve">in electronic form or converted by the </w:t>
      </w:r>
      <w:r w:rsidR="006D4F8B" w:rsidRPr="00B40A77">
        <w:rPr>
          <w:color w:val="000000" w:themeColor="text1"/>
        </w:rPr>
        <w:t xml:space="preserve">Court </w:t>
      </w:r>
      <w:r w:rsidRPr="00B40A77">
        <w:rPr>
          <w:color w:val="000000" w:themeColor="text1"/>
          <w:lang w:val="en-US"/>
        </w:rPr>
        <w:t>by scanning or otherwise into electronic form, the document in electronic form represents the official record.</w:t>
      </w:r>
    </w:p>
    <w:p w14:paraId="2FFB46D0" w14:textId="3E9DD130" w:rsidR="00666A26" w:rsidRPr="00B40A77" w:rsidRDefault="007408ED" w:rsidP="001A1B27">
      <w:pPr>
        <w:pStyle w:val="Hangindent"/>
        <w:rPr>
          <w:color w:val="000000" w:themeColor="text1"/>
          <w:lang w:val="en-US"/>
        </w:rPr>
      </w:pPr>
      <w:r w:rsidRPr="00B40A77">
        <w:rPr>
          <w:color w:val="000000" w:themeColor="text1"/>
          <w:lang w:val="en-US"/>
        </w:rPr>
        <w:t>(2)</w:t>
      </w:r>
      <w:r w:rsidRPr="00B40A77">
        <w:rPr>
          <w:color w:val="000000" w:themeColor="text1"/>
          <w:lang w:val="en-US"/>
        </w:rPr>
        <w:tab/>
        <w:t>If no electronic version of a document is created by the Court, the physical document is the official record.</w:t>
      </w:r>
    </w:p>
    <w:p w14:paraId="1B7E2170" w14:textId="62265031" w:rsidR="00A351F3" w:rsidRPr="00B40A77" w:rsidRDefault="00A351F3" w:rsidP="001103F0">
      <w:pPr>
        <w:pStyle w:val="Heading2"/>
        <w:keepNext/>
        <w:rPr>
          <w:color w:val="000000" w:themeColor="text1"/>
        </w:rPr>
      </w:pPr>
      <w:bookmarkStart w:id="114" w:name="_Toc175238779"/>
      <w:bookmarkStart w:id="115" w:name="_Hlk81202101"/>
      <w:r w:rsidRPr="00B40A77">
        <w:rPr>
          <w:color w:val="000000" w:themeColor="text1"/>
        </w:rPr>
        <w:t>Part 4—Parties and representation</w:t>
      </w:r>
      <w:bookmarkEnd w:id="114"/>
    </w:p>
    <w:p w14:paraId="50D58287" w14:textId="77777777" w:rsidR="00A351F3" w:rsidRPr="00B40A77" w:rsidRDefault="00A351F3" w:rsidP="001103F0">
      <w:pPr>
        <w:pStyle w:val="Heading3"/>
        <w:rPr>
          <w:color w:val="000000" w:themeColor="text1"/>
        </w:rPr>
      </w:pPr>
      <w:bookmarkStart w:id="116" w:name="_21.1—Party_types"/>
      <w:bookmarkStart w:id="117" w:name="_Toc175238780"/>
      <w:bookmarkEnd w:id="116"/>
      <w:r w:rsidRPr="00B40A77">
        <w:rPr>
          <w:color w:val="000000" w:themeColor="text1"/>
        </w:rPr>
        <w:t>Division 1—Parties</w:t>
      </w:r>
      <w:bookmarkEnd w:id="117"/>
    </w:p>
    <w:p w14:paraId="29FD61C4" w14:textId="57DFA291" w:rsidR="00A351F3" w:rsidRPr="00B40A77" w:rsidRDefault="00866E49" w:rsidP="00A351F3">
      <w:pPr>
        <w:pStyle w:val="Heading4"/>
        <w:rPr>
          <w:color w:val="000000" w:themeColor="text1"/>
        </w:rPr>
      </w:pPr>
      <w:bookmarkStart w:id="118" w:name="_23.1—Party_types"/>
      <w:bookmarkStart w:id="119" w:name="_Toc175238781"/>
      <w:bookmarkEnd w:id="118"/>
      <w:r w:rsidRPr="00B40A77">
        <w:rPr>
          <w:color w:val="000000" w:themeColor="text1"/>
        </w:rPr>
        <w:t>23</w:t>
      </w:r>
      <w:r w:rsidR="00A351F3" w:rsidRPr="00B40A77">
        <w:rPr>
          <w:color w:val="000000" w:themeColor="text1"/>
        </w:rPr>
        <w:t>.1—Party types</w:t>
      </w:r>
      <w:bookmarkEnd w:id="119"/>
    </w:p>
    <w:p w14:paraId="789C652E" w14:textId="69B04208"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3F0DCC" w:rsidRPr="00B40A77">
        <w:rPr>
          <w:color w:val="000000" w:themeColor="text1"/>
          <w:lang w:val="en-US"/>
        </w:rPr>
        <w:t>Subject to subrule</w:t>
      </w:r>
      <w:r w:rsidR="00CA0667" w:rsidRPr="00B40A77">
        <w:rPr>
          <w:color w:val="000000" w:themeColor="text1"/>
          <w:lang w:val="en-US"/>
        </w:rPr>
        <w:t>s</w:t>
      </w:r>
      <w:r w:rsidR="001B1E8A" w:rsidRPr="00B40A77">
        <w:rPr>
          <w:color w:val="000000" w:themeColor="text1"/>
          <w:lang w:val="en-US"/>
        </w:rPr>
        <w:t> </w:t>
      </w:r>
      <w:r w:rsidR="003F0DCC" w:rsidRPr="00B40A77">
        <w:rPr>
          <w:color w:val="000000" w:themeColor="text1"/>
          <w:lang w:val="en-US"/>
        </w:rPr>
        <w:t>(4) and</w:t>
      </w:r>
      <w:r w:rsidR="001B1E8A" w:rsidRPr="00B40A77">
        <w:rPr>
          <w:color w:val="000000" w:themeColor="text1"/>
          <w:lang w:val="en-US"/>
        </w:rPr>
        <w:t> </w:t>
      </w:r>
      <w:r w:rsidR="003F0DCC" w:rsidRPr="00B40A77">
        <w:rPr>
          <w:color w:val="000000" w:themeColor="text1"/>
          <w:lang w:val="en-US"/>
        </w:rPr>
        <w:t>(6), p</w:t>
      </w:r>
      <w:r w:rsidRPr="00B40A77">
        <w:rPr>
          <w:color w:val="000000" w:themeColor="text1"/>
          <w:lang w:val="en-US"/>
        </w:rPr>
        <w:t>arties to a proceeding in the Magistrates Court and Environment</w:t>
      </w:r>
      <w:r w:rsidR="005C5E7A" w:rsidRPr="00B40A77">
        <w:rPr>
          <w:color w:val="000000" w:themeColor="text1"/>
          <w:lang w:val="en-US"/>
        </w:rPr>
        <w:t>,</w:t>
      </w:r>
      <w:r w:rsidRPr="00B40A77">
        <w:rPr>
          <w:color w:val="000000" w:themeColor="text1"/>
          <w:lang w:val="en-US"/>
        </w:rPr>
        <w:t xml:space="preserve"> Resources and Development Court are the informant prosecuting the proceeding and the defendant against whom the proceeding is brought.</w:t>
      </w:r>
    </w:p>
    <w:p w14:paraId="22E292C5" w14:textId="0DDA390F"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F0DCC" w:rsidRPr="00B40A77">
        <w:rPr>
          <w:color w:val="000000" w:themeColor="text1"/>
          <w:lang w:val="en-US"/>
        </w:rPr>
        <w:t>Subject to subrule</w:t>
      </w:r>
      <w:r w:rsidR="00CA0667" w:rsidRPr="00B40A77">
        <w:rPr>
          <w:color w:val="000000" w:themeColor="text1"/>
          <w:lang w:val="en-US"/>
        </w:rPr>
        <w:t>s</w:t>
      </w:r>
      <w:r w:rsidR="001B1E8A" w:rsidRPr="00B40A77">
        <w:rPr>
          <w:color w:val="000000" w:themeColor="text1"/>
          <w:lang w:val="en-US"/>
        </w:rPr>
        <w:t> </w:t>
      </w:r>
      <w:r w:rsidR="003F0DCC" w:rsidRPr="00B40A77">
        <w:rPr>
          <w:color w:val="000000" w:themeColor="text1"/>
          <w:lang w:val="en-US"/>
        </w:rPr>
        <w:t>(4) and</w:t>
      </w:r>
      <w:r w:rsidR="001B1E8A" w:rsidRPr="00B40A77">
        <w:rPr>
          <w:color w:val="000000" w:themeColor="text1"/>
          <w:lang w:val="en-US"/>
        </w:rPr>
        <w:t> </w:t>
      </w:r>
      <w:r w:rsidR="003F0DCC" w:rsidRPr="00B40A77">
        <w:rPr>
          <w:color w:val="000000" w:themeColor="text1"/>
          <w:lang w:val="en-US"/>
        </w:rPr>
        <w:t>(6), p</w:t>
      </w:r>
      <w:r w:rsidRPr="00B40A77">
        <w:rPr>
          <w:color w:val="000000" w:themeColor="text1"/>
          <w:lang w:val="en-US"/>
        </w:rPr>
        <w:t>arties to a proceeding in the Youth Court are the informa</w:t>
      </w:r>
      <w:r w:rsidR="00C24CB8" w:rsidRPr="00B40A77">
        <w:rPr>
          <w:color w:val="000000" w:themeColor="text1"/>
          <w:lang w:val="en-US"/>
        </w:rPr>
        <w:t>nt prosecuting the proceeding and</w:t>
      </w:r>
      <w:r w:rsidRPr="00B40A77">
        <w:rPr>
          <w:color w:val="000000" w:themeColor="text1"/>
          <w:lang w:val="en-US"/>
        </w:rPr>
        <w:t xml:space="preserve"> the youth against whom the proceeding is brought.</w:t>
      </w:r>
    </w:p>
    <w:p w14:paraId="6925492F" w14:textId="0B9CBAE9"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3F0DCC" w:rsidRPr="00B40A77">
        <w:rPr>
          <w:color w:val="000000" w:themeColor="text1"/>
          <w:lang w:val="en-US"/>
        </w:rPr>
        <w:t>Subject to subrule</w:t>
      </w:r>
      <w:r w:rsidR="00CA0667" w:rsidRPr="00B40A77">
        <w:rPr>
          <w:color w:val="000000" w:themeColor="text1"/>
          <w:lang w:val="en-US"/>
        </w:rPr>
        <w:t>s</w:t>
      </w:r>
      <w:r w:rsidR="001B1E8A" w:rsidRPr="00B40A77">
        <w:rPr>
          <w:color w:val="000000" w:themeColor="text1"/>
          <w:lang w:val="en-US"/>
        </w:rPr>
        <w:t> </w:t>
      </w:r>
      <w:r w:rsidR="003F0DCC" w:rsidRPr="00B40A77">
        <w:rPr>
          <w:color w:val="000000" w:themeColor="text1"/>
          <w:lang w:val="en-US"/>
        </w:rPr>
        <w:t>(4) and</w:t>
      </w:r>
      <w:r w:rsidR="001B1E8A" w:rsidRPr="00B40A77">
        <w:rPr>
          <w:color w:val="000000" w:themeColor="text1"/>
          <w:lang w:val="en-US"/>
        </w:rPr>
        <w:t> </w:t>
      </w:r>
      <w:r w:rsidR="003F0DCC" w:rsidRPr="00B40A77">
        <w:rPr>
          <w:color w:val="000000" w:themeColor="text1"/>
          <w:lang w:val="en-US"/>
        </w:rPr>
        <w:t>(6), p</w:t>
      </w:r>
      <w:r w:rsidRPr="00B40A77">
        <w:rPr>
          <w:color w:val="000000" w:themeColor="text1"/>
          <w:lang w:val="en-US"/>
        </w:rPr>
        <w:t>arties to a proceeding in the Supreme Court and District Court are the Queen</w:t>
      </w:r>
      <w:r w:rsidR="00541709" w:rsidRPr="00B40A77">
        <w:rPr>
          <w:color w:val="000000" w:themeColor="text1"/>
          <w:lang w:val="en-US"/>
        </w:rPr>
        <w:t xml:space="preserve"> or King (as the case may be)</w:t>
      </w:r>
      <w:r w:rsidRPr="00B40A77">
        <w:rPr>
          <w:color w:val="000000" w:themeColor="text1"/>
          <w:lang w:val="en-US"/>
        </w:rPr>
        <w:t>, with the Director prosecuting the proceeding, and the defendant against whom the proceeding is brought.</w:t>
      </w:r>
    </w:p>
    <w:p w14:paraId="5BEAF460" w14:textId="3FCF432E" w:rsidR="003F0DCC" w:rsidRPr="00B40A77" w:rsidRDefault="00A351F3" w:rsidP="00A351F3">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3F0DCC" w:rsidRPr="00B40A77">
        <w:rPr>
          <w:color w:val="000000" w:themeColor="text1"/>
          <w:lang w:val="en-US"/>
        </w:rPr>
        <w:t xml:space="preserve">Parties to a </w:t>
      </w:r>
      <w:r w:rsidR="00F44B9C" w:rsidRPr="00B40A77">
        <w:rPr>
          <w:color w:val="000000" w:themeColor="text1"/>
          <w:lang w:val="en-US"/>
        </w:rPr>
        <w:t xml:space="preserve">new </w:t>
      </w:r>
      <w:r w:rsidR="003F0DCC" w:rsidRPr="00B40A77">
        <w:rPr>
          <w:color w:val="000000" w:themeColor="text1"/>
          <w:lang w:val="en-US"/>
        </w:rPr>
        <w:t>variation or enforcement</w:t>
      </w:r>
      <w:r w:rsidR="0054567C" w:rsidRPr="00B40A77">
        <w:rPr>
          <w:color w:val="000000" w:themeColor="text1"/>
          <w:lang w:val="en-US"/>
        </w:rPr>
        <w:t xml:space="preserve"> proceeding governed by </w:t>
      </w:r>
      <w:hyperlink w:anchor="_Chapter_8—Variation_and" w:history="1">
        <w:r w:rsidR="00B11E11" w:rsidRPr="00B40A77">
          <w:rPr>
            <w:rStyle w:val="Hyperlink"/>
            <w:color w:val="000000" w:themeColor="text1"/>
          </w:rPr>
          <w:t>Chapter</w:t>
        </w:r>
        <w:r w:rsidR="00582B40" w:rsidRPr="00B40A77">
          <w:rPr>
            <w:rStyle w:val="Hyperlink"/>
            <w:color w:val="000000" w:themeColor="text1"/>
          </w:rPr>
          <w:t> </w:t>
        </w:r>
        <w:r w:rsidR="00B11E11" w:rsidRPr="00B40A77">
          <w:rPr>
            <w:rStyle w:val="Hyperlink"/>
            <w:color w:val="000000" w:themeColor="text1"/>
          </w:rPr>
          <w:t>8</w:t>
        </w:r>
      </w:hyperlink>
      <w:r w:rsidR="00F44B9C" w:rsidRPr="00B40A77">
        <w:rPr>
          <w:color w:val="000000" w:themeColor="text1"/>
          <w:lang w:val="en-US"/>
        </w:rPr>
        <w:t xml:space="preserve"> </w:t>
      </w:r>
      <w:r w:rsidR="0054567C" w:rsidRPr="00B40A77">
        <w:rPr>
          <w:color w:val="000000" w:themeColor="text1"/>
          <w:lang w:val="en-US"/>
        </w:rPr>
        <w:t>are the applicant bringing the variation or enforcement application</w:t>
      </w:r>
      <w:r w:rsidR="00134DE8" w:rsidRPr="00B40A77">
        <w:rPr>
          <w:color w:val="000000" w:themeColor="text1"/>
          <w:lang w:val="en-US"/>
        </w:rPr>
        <w:t xml:space="preserve"> and</w:t>
      </w:r>
      <w:r w:rsidR="0054567C" w:rsidRPr="00B40A77">
        <w:rPr>
          <w:color w:val="000000" w:themeColor="text1"/>
          <w:lang w:val="en-US"/>
        </w:rPr>
        <w:t xml:space="preserve"> the respondent against whom </w:t>
      </w:r>
      <w:r w:rsidR="00697A9D" w:rsidRPr="00B40A77">
        <w:rPr>
          <w:color w:val="000000" w:themeColor="text1"/>
          <w:lang w:val="en-US"/>
        </w:rPr>
        <w:t>the application</w:t>
      </w:r>
      <w:r w:rsidR="0054567C" w:rsidRPr="00B40A77">
        <w:rPr>
          <w:color w:val="000000" w:themeColor="text1"/>
          <w:lang w:val="en-US"/>
        </w:rPr>
        <w:t xml:space="preserve"> is brought.</w:t>
      </w:r>
    </w:p>
    <w:p w14:paraId="56758410" w14:textId="0D5124D7" w:rsidR="00A351F3" w:rsidRPr="00B40A77" w:rsidRDefault="003F0DCC" w:rsidP="00A351F3">
      <w:pPr>
        <w:pStyle w:val="Hangindent"/>
        <w:rPr>
          <w:color w:val="000000" w:themeColor="text1"/>
          <w:lang w:val="en-US"/>
        </w:rPr>
      </w:pPr>
      <w:r w:rsidRPr="00B40A77">
        <w:rPr>
          <w:color w:val="000000" w:themeColor="text1"/>
          <w:lang w:val="en-US"/>
        </w:rPr>
        <w:t>(5)</w:t>
      </w:r>
      <w:r w:rsidRPr="00B40A77">
        <w:rPr>
          <w:color w:val="000000" w:themeColor="text1"/>
          <w:lang w:val="en-US"/>
        </w:rPr>
        <w:tab/>
      </w:r>
      <w:r w:rsidR="00A351F3" w:rsidRPr="00B40A77">
        <w:rPr>
          <w:color w:val="000000" w:themeColor="text1"/>
          <w:lang w:val="en-US"/>
        </w:rPr>
        <w:t xml:space="preserve">Parties to an appellate proceeding </w:t>
      </w:r>
      <w:r w:rsidR="0054567C" w:rsidRPr="00B40A77">
        <w:rPr>
          <w:color w:val="000000" w:themeColor="text1"/>
          <w:lang w:val="en-US"/>
        </w:rPr>
        <w:t xml:space="preserve">governed by </w:t>
      </w:r>
      <w:hyperlink w:anchor="_Chapter_9—Appellate_Proceedings" w:history="1">
        <w:r w:rsidR="0054567C" w:rsidRPr="00B40A77">
          <w:rPr>
            <w:rStyle w:val="Hyperlink"/>
            <w:color w:val="000000" w:themeColor="text1"/>
            <w:lang w:val="en-US"/>
          </w:rPr>
          <w:t>Chapter</w:t>
        </w:r>
        <w:r w:rsidR="00582B40" w:rsidRPr="00B40A77">
          <w:rPr>
            <w:rStyle w:val="Hyperlink"/>
            <w:color w:val="000000" w:themeColor="text1"/>
            <w:lang w:val="en-US"/>
          </w:rPr>
          <w:t> </w:t>
        </w:r>
        <w:r w:rsidR="0054567C" w:rsidRPr="00B40A77">
          <w:rPr>
            <w:rStyle w:val="Hyperlink"/>
            <w:color w:val="000000" w:themeColor="text1"/>
            <w:lang w:val="en-US"/>
          </w:rPr>
          <w:t>9</w:t>
        </w:r>
      </w:hyperlink>
      <w:r w:rsidR="0054567C" w:rsidRPr="00B40A77">
        <w:rPr>
          <w:color w:val="000000" w:themeColor="text1"/>
          <w:lang w:val="en-US"/>
        </w:rPr>
        <w:t xml:space="preserve"> </w:t>
      </w:r>
      <w:r w:rsidR="00A351F3" w:rsidRPr="00B40A77">
        <w:rPr>
          <w:color w:val="000000" w:themeColor="text1"/>
          <w:lang w:val="en-US"/>
        </w:rPr>
        <w:t xml:space="preserve">are the appellant </w:t>
      </w:r>
      <w:r w:rsidR="0054567C" w:rsidRPr="00B40A77">
        <w:rPr>
          <w:color w:val="000000" w:themeColor="text1"/>
          <w:lang w:val="en-US"/>
        </w:rPr>
        <w:t xml:space="preserve">bringing </w:t>
      </w:r>
      <w:r w:rsidR="00A351F3" w:rsidRPr="00B40A77">
        <w:rPr>
          <w:color w:val="000000" w:themeColor="text1"/>
          <w:lang w:val="en-US"/>
        </w:rPr>
        <w:t>the appellate proceeding</w:t>
      </w:r>
      <w:r w:rsidR="00941C03" w:rsidRPr="00B40A77">
        <w:rPr>
          <w:color w:val="000000" w:themeColor="text1"/>
          <w:lang w:val="en-US"/>
        </w:rPr>
        <w:t xml:space="preserve"> and</w:t>
      </w:r>
      <w:r w:rsidR="00A351F3" w:rsidRPr="00B40A77">
        <w:rPr>
          <w:color w:val="000000" w:themeColor="text1"/>
          <w:lang w:val="en-US"/>
        </w:rPr>
        <w:t xml:space="preserve"> the respondent</w:t>
      </w:r>
      <w:r w:rsidR="0054567C" w:rsidRPr="00B40A77">
        <w:rPr>
          <w:color w:val="000000" w:themeColor="text1"/>
          <w:lang w:val="en-US"/>
        </w:rPr>
        <w:t xml:space="preserve"> against whom the appellate proceeding is</w:t>
      </w:r>
      <w:r w:rsidR="0054567C" w:rsidRPr="00B40A77">
        <w:rPr>
          <w:color w:val="000000" w:themeColor="text1"/>
          <w:u w:val="single"/>
          <w:lang w:val="en-US"/>
        </w:rPr>
        <w:t xml:space="preserve"> </w:t>
      </w:r>
      <w:r w:rsidR="0054567C" w:rsidRPr="00B40A77">
        <w:rPr>
          <w:color w:val="000000" w:themeColor="text1"/>
          <w:lang w:val="en-US"/>
        </w:rPr>
        <w:t>brought</w:t>
      </w:r>
      <w:r w:rsidR="00A351F3" w:rsidRPr="00B40A77">
        <w:rPr>
          <w:color w:val="000000" w:themeColor="text1"/>
          <w:lang w:val="en-US"/>
        </w:rPr>
        <w:t>.</w:t>
      </w:r>
    </w:p>
    <w:p w14:paraId="75583A8B" w14:textId="7CFEF982" w:rsidR="00A351F3" w:rsidRPr="00B40A77" w:rsidRDefault="00A351F3" w:rsidP="00174664">
      <w:pPr>
        <w:pStyle w:val="Hangindent"/>
        <w:keepNext/>
        <w:rPr>
          <w:color w:val="000000" w:themeColor="text1"/>
          <w:lang w:val="en-US"/>
        </w:rPr>
      </w:pPr>
      <w:r w:rsidRPr="00B40A77">
        <w:rPr>
          <w:color w:val="000000" w:themeColor="text1"/>
          <w:lang w:val="en-US"/>
        </w:rPr>
        <w:t>(</w:t>
      </w:r>
      <w:r w:rsidR="003F0DCC" w:rsidRPr="00B40A77">
        <w:rPr>
          <w:color w:val="000000" w:themeColor="text1"/>
          <w:lang w:val="en-US"/>
        </w:rPr>
        <w:t>6</w:t>
      </w:r>
      <w:r w:rsidRPr="00B40A77">
        <w:rPr>
          <w:color w:val="000000" w:themeColor="text1"/>
          <w:lang w:val="en-US"/>
        </w:rPr>
        <w:t>)</w:t>
      </w:r>
      <w:r w:rsidRPr="00B40A77">
        <w:rPr>
          <w:color w:val="000000" w:themeColor="text1"/>
          <w:lang w:val="en-US"/>
        </w:rPr>
        <w:tab/>
        <w:t xml:space="preserve">The </w:t>
      </w:r>
      <w:r w:rsidR="006D4F8B" w:rsidRPr="00B40A77">
        <w:rPr>
          <w:color w:val="000000" w:themeColor="text1"/>
        </w:rPr>
        <w:t xml:space="preserve">Court </w:t>
      </w:r>
      <w:r w:rsidRPr="00B40A77">
        <w:rPr>
          <w:color w:val="000000" w:themeColor="text1"/>
          <w:lang w:val="en-US"/>
        </w:rPr>
        <w:t>may</w:t>
      </w:r>
      <w:r w:rsidR="00697A9D" w:rsidRPr="00B40A77">
        <w:rPr>
          <w:color w:val="000000" w:themeColor="text1"/>
          <w:lang w:val="en-US"/>
        </w:rPr>
        <w:t>,</w:t>
      </w:r>
      <w:r w:rsidRPr="00B40A77">
        <w:rPr>
          <w:color w:val="000000" w:themeColor="text1"/>
          <w:lang w:val="en-US"/>
        </w:rPr>
        <w:t xml:space="preserve"> if it thinks fit</w:t>
      </w:r>
      <w:r w:rsidR="00697A9D" w:rsidRPr="00B40A77">
        <w:rPr>
          <w:color w:val="000000" w:themeColor="text1"/>
          <w:lang w:val="en-US"/>
        </w:rPr>
        <w:t>,</w:t>
      </w:r>
      <w:r w:rsidRPr="00B40A77">
        <w:rPr>
          <w:color w:val="000000" w:themeColor="text1"/>
          <w:lang w:val="en-US"/>
        </w:rPr>
        <w:t xml:space="preserve"> join another person as an </w:t>
      </w:r>
      <w:hyperlink w:anchor="_23.1—Party_types" w:history="1">
        <w:r w:rsidRPr="00B40A77">
          <w:rPr>
            <w:rStyle w:val="Hyperlink"/>
            <w:color w:val="000000" w:themeColor="text1"/>
            <w:lang w:val="en-US"/>
          </w:rPr>
          <w:t>interested party</w:t>
        </w:r>
      </w:hyperlink>
      <w:r w:rsidRPr="00B40A77">
        <w:rPr>
          <w:color w:val="000000" w:themeColor="text1"/>
          <w:lang w:val="en-US"/>
        </w:rPr>
        <w:t xml:space="preserve"> in a proceeding or appellate proceeding.</w:t>
      </w:r>
    </w:p>
    <w:p w14:paraId="54CAD371" w14:textId="7D9C7901" w:rsidR="00A351F3" w:rsidRPr="00B40A77" w:rsidRDefault="00A351F3" w:rsidP="00174664">
      <w:pPr>
        <w:pStyle w:val="NoteHeader"/>
        <w:keepNext/>
        <w:rPr>
          <w:color w:val="000000" w:themeColor="text1"/>
        </w:rPr>
      </w:pPr>
      <w:r w:rsidRPr="00B40A77">
        <w:rPr>
          <w:color w:val="000000" w:themeColor="text1"/>
        </w:rPr>
        <w:t>Example</w:t>
      </w:r>
      <w:r w:rsidR="003F0DCC" w:rsidRPr="00B40A77">
        <w:rPr>
          <w:color w:val="000000" w:themeColor="text1"/>
        </w:rPr>
        <w:t>s</w:t>
      </w:r>
      <w:r w:rsidRPr="00B40A77">
        <w:rPr>
          <w:color w:val="000000" w:themeColor="text1"/>
        </w:rPr>
        <w:t>—</w:t>
      </w:r>
    </w:p>
    <w:p w14:paraId="776A0064" w14:textId="5CB6F346" w:rsidR="003F0DCC" w:rsidRPr="00B40A77" w:rsidRDefault="00A351F3" w:rsidP="00A351F3">
      <w:pPr>
        <w:pStyle w:val="NoteText"/>
        <w:rPr>
          <w:color w:val="000000" w:themeColor="text1"/>
        </w:rPr>
      </w:pPr>
      <w:r w:rsidRPr="00B40A77">
        <w:rPr>
          <w:color w:val="000000" w:themeColor="text1"/>
        </w:rPr>
        <w:t xml:space="preserve">If it is alleged in a proceeding that a non-party is guilty of contempt, the </w:t>
      </w:r>
      <w:r w:rsidR="006D4F8B" w:rsidRPr="00B40A77">
        <w:rPr>
          <w:color w:val="000000" w:themeColor="text1"/>
        </w:rPr>
        <w:t xml:space="preserve">Court </w:t>
      </w:r>
      <w:r w:rsidRPr="00B40A77">
        <w:rPr>
          <w:color w:val="000000" w:themeColor="text1"/>
        </w:rPr>
        <w:t xml:space="preserve">might join the person alleged to be in contempt as an </w:t>
      </w:r>
      <w:hyperlink w:anchor="_23.1—Party_types" w:history="1">
        <w:r w:rsidR="00F36C60" w:rsidRPr="00B40A77">
          <w:rPr>
            <w:rStyle w:val="Hyperlink"/>
            <w:color w:val="000000" w:themeColor="text1"/>
            <w:lang w:val="en-US"/>
          </w:rPr>
          <w:t>interested party</w:t>
        </w:r>
      </w:hyperlink>
      <w:r w:rsidRPr="00B40A77">
        <w:rPr>
          <w:color w:val="000000" w:themeColor="text1"/>
        </w:rPr>
        <w:t>.</w:t>
      </w:r>
    </w:p>
    <w:p w14:paraId="1F584843" w14:textId="786C13D7" w:rsidR="00A351F3" w:rsidRPr="00B40A77" w:rsidRDefault="00A351F3" w:rsidP="00174664">
      <w:pPr>
        <w:pStyle w:val="Hangindent"/>
        <w:keepNext/>
        <w:rPr>
          <w:color w:val="000000" w:themeColor="text1"/>
          <w:lang w:val="en-US"/>
        </w:rPr>
      </w:pPr>
      <w:r w:rsidRPr="00B40A77">
        <w:rPr>
          <w:color w:val="000000" w:themeColor="text1"/>
          <w:lang w:val="en-US"/>
        </w:rPr>
        <w:lastRenderedPageBreak/>
        <w:t>(</w:t>
      </w:r>
      <w:r w:rsidR="003F0DCC" w:rsidRPr="00B40A77">
        <w:rPr>
          <w:color w:val="000000" w:themeColor="text1"/>
          <w:lang w:val="en-US"/>
        </w:rPr>
        <w:t>7</w:t>
      </w:r>
      <w:r w:rsidRPr="00B40A77">
        <w:rPr>
          <w:color w:val="000000" w:themeColor="text1"/>
          <w:lang w:val="en-US"/>
        </w:rPr>
        <w:t>)</w:t>
      </w:r>
      <w:r w:rsidRPr="00B40A77">
        <w:rPr>
          <w:color w:val="000000" w:themeColor="text1"/>
          <w:lang w:val="en-US"/>
        </w:rPr>
        <w:tab/>
        <w:t xml:space="preserve">When there are multiple parties of the same party type (for example, </w:t>
      </w:r>
      <w:r w:rsidR="00F44B9C" w:rsidRPr="00B40A77">
        <w:rPr>
          <w:color w:val="000000" w:themeColor="text1"/>
          <w:lang w:val="en-US"/>
        </w:rPr>
        <w:t>two</w:t>
      </w:r>
      <w:r w:rsidRPr="00B40A77">
        <w:rPr>
          <w:color w:val="000000" w:themeColor="text1"/>
          <w:lang w:val="en-US"/>
        </w:rPr>
        <w:t xml:space="preserve"> defendants), the first named party of that type is designated as [Party Type] 1 and so on. </w:t>
      </w:r>
    </w:p>
    <w:p w14:paraId="362ABAB0" w14:textId="247EFA4D" w:rsidR="00DF431A" w:rsidRPr="00B40A77" w:rsidRDefault="00DF431A" w:rsidP="00174664">
      <w:pPr>
        <w:pStyle w:val="NoteHeader"/>
        <w:keepNext/>
        <w:rPr>
          <w:color w:val="000000" w:themeColor="text1"/>
        </w:rPr>
      </w:pPr>
      <w:r w:rsidRPr="00B40A77">
        <w:rPr>
          <w:color w:val="000000" w:themeColor="text1"/>
        </w:rPr>
        <w:t>Example—</w:t>
      </w:r>
    </w:p>
    <w:p w14:paraId="32E4811F" w14:textId="77777777" w:rsidR="00DF431A" w:rsidRPr="00B40A77" w:rsidRDefault="00DF431A" w:rsidP="00174664">
      <w:pPr>
        <w:pStyle w:val="NoteText"/>
        <w:keepNext/>
        <w:rPr>
          <w:color w:val="000000" w:themeColor="text1"/>
        </w:rPr>
      </w:pPr>
      <w:r w:rsidRPr="00B40A77">
        <w:rPr>
          <w:color w:val="000000" w:themeColor="text1"/>
        </w:rPr>
        <w:t>John Doe</w:t>
      </w:r>
    </w:p>
    <w:p w14:paraId="2048D0CD" w14:textId="73E74334" w:rsidR="00DF431A" w:rsidRPr="00B40A77" w:rsidRDefault="00DF431A" w:rsidP="00174664">
      <w:pPr>
        <w:pStyle w:val="NoteText"/>
        <w:keepNext/>
        <w:spacing w:before="0"/>
        <w:rPr>
          <w:color w:val="000000" w:themeColor="text1"/>
        </w:rPr>
      </w:pPr>
      <w:r w:rsidRPr="00B40A77">
        <w:rPr>
          <w:color w:val="000000" w:themeColor="text1"/>
        </w:rPr>
        <w:t>First Defendant</w:t>
      </w:r>
      <w:r w:rsidR="00541709" w:rsidRPr="00B40A77">
        <w:rPr>
          <w:color w:val="000000" w:themeColor="text1"/>
        </w:rPr>
        <w:t xml:space="preserve"> or Defendant 1</w:t>
      </w:r>
    </w:p>
    <w:p w14:paraId="7FCD09DF" w14:textId="505618AA" w:rsidR="00DF431A" w:rsidRPr="00B40A77" w:rsidRDefault="00DF431A" w:rsidP="00174664">
      <w:pPr>
        <w:pStyle w:val="NoteText"/>
        <w:keepNext/>
        <w:rPr>
          <w:color w:val="000000" w:themeColor="text1"/>
        </w:rPr>
      </w:pPr>
      <w:r w:rsidRPr="00B40A77">
        <w:rPr>
          <w:color w:val="000000" w:themeColor="text1"/>
        </w:rPr>
        <w:t>Jane Doe</w:t>
      </w:r>
    </w:p>
    <w:p w14:paraId="11FD1A5C" w14:textId="7816BEDA" w:rsidR="00DF431A" w:rsidRPr="00B40A77" w:rsidRDefault="00DF431A" w:rsidP="00DF431A">
      <w:pPr>
        <w:pStyle w:val="NoteText"/>
        <w:spacing w:before="0"/>
        <w:rPr>
          <w:color w:val="000000" w:themeColor="text1"/>
        </w:rPr>
      </w:pPr>
      <w:r w:rsidRPr="00B40A77">
        <w:rPr>
          <w:color w:val="000000" w:themeColor="text1"/>
        </w:rPr>
        <w:t>Second Defendant</w:t>
      </w:r>
      <w:r w:rsidR="00541709" w:rsidRPr="00B40A77">
        <w:rPr>
          <w:color w:val="000000" w:themeColor="text1"/>
        </w:rPr>
        <w:t xml:space="preserve"> or Defendant 2</w:t>
      </w:r>
    </w:p>
    <w:p w14:paraId="18D8E4C5" w14:textId="044D9E93" w:rsidR="00A351F3" w:rsidRPr="00B40A77" w:rsidRDefault="00866E49" w:rsidP="00A351F3">
      <w:pPr>
        <w:pStyle w:val="Heading4"/>
        <w:rPr>
          <w:color w:val="000000" w:themeColor="text1"/>
        </w:rPr>
      </w:pPr>
      <w:bookmarkStart w:id="120" w:name="_21.3—Multiple_applicants"/>
      <w:bookmarkStart w:id="121" w:name="_Toc175238782"/>
      <w:bookmarkStart w:id="122" w:name="_Hlk84681439"/>
      <w:bookmarkEnd w:id="120"/>
      <w:r w:rsidRPr="00B40A77">
        <w:rPr>
          <w:color w:val="000000" w:themeColor="text1"/>
        </w:rPr>
        <w:t>23</w:t>
      </w:r>
      <w:r w:rsidR="00A351F3" w:rsidRPr="00B40A77">
        <w:rPr>
          <w:color w:val="000000" w:themeColor="text1"/>
        </w:rPr>
        <w:t xml:space="preserve">.2—Identity of </w:t>
      </w:r>
      <w:r w:rsidR="008E7830" w:rsidRPr="00B40A77">
        <w:rPr>
          <w:color w:val="000000" w:themeColor="text1"/>
        </w:rPr>
        <w:t>informant in Lower Courts</w:t>
      </w:r>
      <w:bookmarkEnd w:id="121"/>
    </w:p>
    <w:p w14:paraId="6A3C4C2D" w14:textId="77777777" w:rsidR="008E7830" w:rsidRPr="00B40A77" w:rsidRDefault="00A351F3" w:rsidP="008E7830">
      <w:pPr>
        <w:pStyle w:val="Hangindent"/>
        <w:rPr>
          <w:color w:val="000000" w:themeColor="text1"/>
        </w:rPr>
      </w:pPr>
      <w:r w:rsidRPr="00B40A77">
        <w:rPr>
          <w:color w:val="000000" w:themeColor="text1"/>
          <w:lang w:val="en-US"/>
        </w:rPr>
        <w:t>(1)</w:t>
      </w:r>
      <w:r w:rsidRPr="00B40A77">
        <w:rPr>
          <w:color w:val="000000" w:themeColor="text1"/>
          <w:lang w:val="en-US"/>
        </w:rPr>
        <w:tab/>
      </w:r>
      <w:r w:rsidR="008E7830" w:rsidRPr="00B40A77">
        <w:rPr>
          <w:color w:val="000000" w:themeColor="text1"/>
          <w:lang w:val="en-US"/>
        </w:rPr>
        <w:t>In this rule</w:t>
      </w:r>
      <w:r w:rsidR="008E7830" w:rsidRPr="00B40A77">
        <w:rPr>
          <w:color w:val="000000" w:themeColor="text1"/>
        </w:rPr>
        <w:t>—</w:t>
      </w:r>
    </w:p>
    <w:p w14:paraId="47BB38D8" w14:textId="719FB8CA" w:rsidR="008E7830" w:rsidRPr="00B40A77" w:rsidRDefault="008E7830" w:rsidP="00A437D3">
      <w:pPr>
        <w:pStyle w:val="IndentedPara"/>
        <w:ind w:left="1134"/>
        <w:rPr>
          <w:color w:val="000000" w:themeColor="text1"/>
        </w:rPr>
      </w:pPr>
      <w:r w:rsidRPr="00B40A77">
        <w:rPr>
          <w:b/>
          <w:bCs/>
          <w:i/>
          <w:iCs/>
          <w:color w:val="000000" w:themeColor="text1"/>
        </w:rPr>
        <w:t>body corporate</w:t>
      </w:r>
      <w:r w:rsidRPr="00B40A77">
        <w:rPr>
          <w:color w:val="000000" w:themeColor="text1"/>
        </w:rPr>
        <w:t xml:space="preserve"> means a </w:t>
      </w:r>
      <w:hyperlink w:anchor="_2.1—Definitions" w:history="1">
        <w:r w:rsidRPr="00B40A77">
          <w:rPr>
            <w:rStyle w:val="Hyperlink"/>
            <w:color w:val="000000" w:themeColor="text1"/>
          </w:rPr>
          <w:t>company</w:t>
        </w:r>
      </w:hyperlink>
      <w:r w:rsidRPr="00B40A77">
        <w:rPr>
          <w:color w:val="000000" w:themeColor="text1"/>
        </w:rPr>
        <w:t xml:space="preserve"> or a body corporate created by or under a statutory provision;</w:t>
      </w:r>
    </w:p>
    <w:p w14:paraId="4FAC7F00" w14:textId="747ABDC0" w:rsidR="00C919D9" w:rsidRPr="00B40A77" w:rsidRDefault="00C919D9" w:rsidP="00C919D9">
      <w:pPr>
        <w:pStyle w:val="Hangindent"/>
        <w:ind w:firstLine="0"/>
        <w:rPr>
          <w:color w:val="000000" w:themeColor="text1"/>
          <w:lang w:val="en-US"/>
        </w:rPr>
      </w:pPr>
      <w:r w:rsidRPr="00B40A77">
        <w:rPr>
          <w:b/>
          <w:bCs/>
          <w:i/>
          <w:iCs/>
          <w:color w:val="000000" w:themeColor="text1"/>
          <w:lang w:val="en-US"/>
        </w:rPr>
        <w:t>individual</w:t>
      </w:r>
      <w:r w:rsidRPr="00B40A77">
        <w:rPr>
          <w:color w:val="000000" w:themeColor="text1"/>
          <w:lang w:val="en-US"/>
        </w:rPr>
        <w:t xml:space="preserve"> means a natural person;</w:t>
      </w:r>
    </w:p>
    <w:p w14:paraId="0DA1BD0A" w14:textId="0A72E2FD" w:rsidR="008E7830" w:rsidRPr="00B40A77" w:rsidRDefault="00C919D9" w:rsidP="00A437D3">
      <w:pPr>
        <w:pStyle w:val="IndentedPara"/>
        <w:ind w:left="1134"/>
        <w:rPr>
          <w:color w:val="000000" w:themeColor="text1"/>
        </w:rPr>
      </w:pPr>
      <w:r w:rsidRPr="00B40A77">
        <w:rPr>
          <w:b/>
          <w:bCs/>
          <w:i/>
          <w:iCs/>
          <w:color w:val="000000" w:themeColor="text1"/>
        </w:rPr>
        <w:t>officer holder</w:t>
      </w:r>
      <w:r w:rsidR="008E7830" w:rsidRPr="00B40A77">
        <w:rPr>
          <w:color w:val="000000" w:themeColor="text1"/>
        </w:rPr>
        <w:t xml:space="preserve"> means </w:t>
      </w:r>
      <w:r w:rsidRPr="00B40A77">
        <w:rPr>
          <w:color w:val="000000" w:themeColor="text1"/>
        </w:rPr>
        <w:t xml:space="preserve">the holder </w:t>
      </w:r>
      <w:r w:rsidR="00F44B9C" w:rsidRPr="00B40A77">
        <w:rPr>
          <w:color w:val="000000" w:themeColor="text1"/>
        </w:rPr>
        <w:t>(</w:t>
      </w:r>
      <w:r w:rsidRPr="00B40A77">
        <w:rPr>
          <w:color w:val="000000" w:themeColor="text1"/>
        </w:rPr>
        <w:t>from time to time</w:t>
      </w:r>
      <w:r w:rsidR="00F44B9C" w:rsidRPr="00B40A77">
        <w:rPr>
          <w:color w:val="000000" w:themeColor="text1"/>
        </w:rPr>
        <w:t>)</w:t>
      </w:r>
      <w:r w:rsidRPr="00B40A77">
        <w:rPr>
          <w:color w:val="000000" w:themeColor="text1"/>
        </w:rPr>
        <w:t xml:space="preserve"> of an office created by </w:t>
      </w:r>
      <w:r w:rsidR="008E7830" w:rsidRPr="00B40A77">
        <w:rPr>
          <w:color w:val="000000" w:themeColor="text1"/>
        </w:rPr>
        <w:t xml:space="preserve">a statutory </w:t>
      </w:r>
      <w:r w:rsidR="00F44B9C" w:rsidRPr="00B40A77">
        <w:rPr>
          <w:color w:val="000000" w:themeColor="text1"/>
        </w:rPr>
        <w:t>provision.</w:t>
      </w:r>
    </w:p>
    <w:p w14:paraId="019ADDCE" w14:textId="1FA7A044" w:rsidR="008E7830" w:rsidRPr="00B40A77" w:rsidRDefault="00C919D9"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8E7830" w:rsidRPr="00B40A77">
        <w:rPr>
          <w:color w:val="000000" w:themeColor="text1"/>
          <w:lang w:val="en-US"/>
        </w:rPr>
        <w:t xml:space="preserve">The informant may be an </w:t>
      </w:r>
      <w:r w:rsidR="008E7830" w:rsidRPr="00B40A77">
        <w:rPr>
          <w:color w:val="000000" w:themeColor="text1"/>
          <w:u w:val="single"/>
          <w:lang w:val="en-US"/>
        </w:rPr>
        <w:t>individual</w:t>
      </w:r>
      <w:r w:rsidR="008E7830" w:rsidRPr="00B40A77">
        <w:rPr>
          <w:color w:val="000000" w:themeColor="text1"/>
          <w:lang w:val="en-US"/>
        </w:rPr>
        <w:t xml:space="preserve">, a </w:t>
      </w:r>
      <w:r w:rsidR="008E7830" w:rsidRPr="00B40A77">
        <w:rPr>
          <w:color w:val="000000" w:themeColor="text1"/>
          <w:u w:val="single"/>
          <w:lang w:val="en-US"/>
        </w:rPr>
        <w:t>body corporate</w:t>
      </w:r>
      <w:r w:rsidR="008E7830" w:rsidRPr="00B40A77">
        <w:rPr>
          <w:color w:val="000000" w:themeColor="text1"/>
          <w:lang w:val="en-US"/>
        </w:rPr>
        <w:t xml:space="preserve"> of an </w:t>
      </w:r>
      <w:r w:rsidR="008E7830" w:rsidRPr="00B40A77">
        <w:rPr>
          <w:color w:val="000000" w:themeColor="text1"/>
          <w:u w:val="single"/>
          <w:lang w:val="en-US"/>
        </w:rPr>
        <w:t>office holder</w:t>
      </w:r>
      <w:r w:rsidRPr="00B40A77">
        <w:rPr>
          <w:color w:val="000000" w:themeColor="text1"/>
          <w:lang w:val="en-US"/>
        </w:rPr>
        <w:t>.</w:t>
      </w:r>
    </w:p>
    <w:p w14:paraId="4E0C3B4F" w14:textId="67E98DAD" w:rsidR="00004068" w:rsidRPr="00B40A77" w:rsidRDefault="00C919D9" w:rsidP="00174664">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If the informant is an i</w:t>
      </w:r>
      <w:r w:rsidRPr="00B40A77">
        <w:rPr>
          <w:color w:val="000000" w:themeColor="text1"/>
          <w:u w:val="single"/>
          <w:lang w:val="en-US"/>
        </w:rPr>
        <w:t>ndividual</w:t>
      </w:r>
      <w:r w:rsidRPr="00B40A77">
        <w:rPr>
          <w:color w:val="000000" w:themeColor="text1"/>
          <w:lang w:val="en-US"/>
        </w:rPr>
        <w:t xml:space="preserve"> who brings the proceeding because they hold a position within an organisation, the title of the informant may be shown as the name of the individual with the position and organisation shown in parenthesis after the name </w:t>
      </w:r>
      <w:r w:rsidR="00A77DF2" w:rsidRPr="00B40A77">
        <w:rPr>
          <w:color w:val="000000" w:themeColor="text1"/>
          <w:lang w:val="en-US"/>
        </w:rPr>
        <w:t>(for the avoidance of doubt,</w:t>
      </w:r>
      <w:r w:rsidRPr="00B40A77">
        <w:rPr>
          <w:color w:val="000000" w:themeColor="text1"/>
          <w:lang w:val="en-US"/>
        </w:rPr>
        <w:t xml:space="preserve"> the words in parenthesis do not affect </w:t>
      </w:r>
      <w:r w:rsidR="00004068" w:rsidRPr="00B40A77">
        <w:rPr>
          <w:color w:val="000000" w:themeColor="text1"/>
          <w:lang w:val="en-US"/>
        </w:rPr>
        <w:t xml:space="preserve">the fact that the informant is the </w:t>
      </w:r>
      <w:r w:rsidR="00004068" w:rsidRPr="00B40A77">
        <w:rPr>
          <w:color w:val="000000" w:themeColor="text1"/>
          <w:u w:val="single"/>
          <w:lang w:val="en-US"/>
        </w:rPr>
        <w:t>individual</w:t>
      </w:r>
      <w:r w:rsidR="00004068" w:rsidRPr="00B40A77">
        <w:rPr>
          <w:color w:val="000000" w:themeColor="text1"/>
          <w:lang w:val="en-US"/>
        </w:rPr>
        <w:t xml:space="preserve"> and not the holder of the position</w:t>
      </w:r>
      <w:r w:rsidR="00A77DF2" w:rsidRPr="00B40A77">
        <w:rPr>
          <w:color w:val="000000" w:themeColor="text1"/>
          <w:lang w:val="en-US"/>
        </w:rPr>
        <w:t>)</w:t>
      </w:r>
      <w:r w:rsidR="00004068" w:rsidRPr="00B40A77">
        <w:rPr>
          <w:color w:val="000000" w:themeColor="text1"/>
          <w:lang w:val="en-US"/>
        </w:rPr>
        <w:t>.</w:t>
      </w:r>
    </w:p>
    <w:p w14:paraId="04A118B8" w14:textId="6D32975F" w:rsidR="00004068" w:rsidRPr="00B40A77" w:rsidRDefault="00004068" w:rsidP="00E96D5A">
      <w:pPr>
        <w:pStyle w:val="NoteHeader"/>
        <w:keepNext/>
        <w:rPr>
          <w:color w:val="000000" w:themeColor="text1"/>
        </w:rPr>
      </w:pPr>
      <w:r w:rsidRPr="00B40A77">
        <w:rPr>
          <w:color w:val="000000" w:themeColor="text1"/>
        </w:rPr>
        <w:t>Example—</w:t>
      </w:r>
    </w:p>
    <w:p w14:paraId="51DD6F77" w14:textId="2C88A5DF" w:rsidR="00004068" w:rsidRPr="00B40A77" w:rsidRDefault="00004068" w:rsidP="008F382C">
      <w:pPr>
        <w:pStyle w:val="NoteText"/>
        <w:rPr>
          <w:color w:val="000000" w:themeColor="text1"/>
          <w:lang w:val="en-US"/>
        </w:rPr>
      </w:pPr>
      <w:r w:rsidRPr="00B40A77">
        <w:rPr>
          <w:color w:val="000000" w:themeColor="text1"/>
        </w:rPr>
        <w:t>If the informant is shown as “Jane Smith (Chief Executive Officer, Department of Justice)” [where the Department of Justice is a hypothetical Department of the South Australian government], the informant is Jane Smith and not the CEO of that Department from time to time.</w:t>
      </w:r>
    </w:p>
    <w:p w14:paraId="0F215841" w14:textId="1CE9C314" w:rsidR="00004068" w:rsidRPr="00B40A77" w:rsidRDefault="00004068" w:rsidP="00174664">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 xml:space="preserve">If the informant is an </w:t>
      </w:r>
      <w:r w:rsidRPr="00B40A77">
        <w:rPr>
          <w:color w:val="000000" w:themeColor="text1"/>
          <w:u w:val="single"/>
          <w:lang w:val="en-US"/>
        </w:rPr>
        <w:t>office holder</w:t>
      </w:r>
      <w:r w:rsidRPr="00B40A77">
        <w:rPr>
          <w:color w:val="000000" w:themeColor="text1"/>
          <w:lang w:val="en-US"/>
        </w:rPr>
        <w:t xml:space="preserve"> who brings the proceeding </w:t>
      </w:r>
      <w:r w:rsidR="0070715F" w:rsidRPr="00B40A77">
        <w:rPr>
          <w:color w:val="000000" w:themeColor="text1"/>
          <w:lang w:val="en-US"/>
        </w:rPr>
        <w:t xml:space="preserve">in the name of the office, the </w:t>
      </w:r>
      <w:r w:rsidRPr="00B40A77">
        <w:rPr>
          <w:color w:val="000000" w:themeColor="text1"/>
          <w:lang w:val="en-US"/>
        </w:rPr>
        <w:t xml:space="preserve">title of the informant </w:t>
      </w:r>
      <w:r w:rsidR="00F44B9C" w:rsidRPr="00B40A77">
        <w:rPr>
          <w:color w:val="000000" w:themeColor="text1"/>
          <w:lang w:val="en-US"/>
        </w:rPr>
        <w:t>is to</w:t>
      </w:r>
      <w:r w:rsidR="0070715F" w:rsidRPr="00B40A77">
        <w:rPr>
          <w:color w:val="000000" w:themeColor="text1"/>
          <w:lang w:val="en-US"/>
        </w:rPr>
        <w:t xml:space="preserve"> be shown </w:t>
      </w:r>
      <w:r w:rsidRPr="00B40A77">
        <w:rPr>
          <w:color w:val="000000" w:themeColor="text1"/>
          <w:lang w:val="en-US"/>
        </w:rPr>
        <w:t xml:space="preserve">as the name of the </w:t>
      </w:r>
      <w:r w:rsidR="0070715F" w:rsidRPr="00B40A77">
        <w:rPr>
          <w:color w:val="000000" w:themeColor="text1"/>
          <w:lang w:val="en-US"/>
        </w:rPr>
        <w:t xml:space="preserve">office and </w:t>
      </w:r>
      <w:r w:rsidRPr="00B40A77">
        <w:rPr>
          <w:color w:val="000000" w:themeColor="text1"/>
          <w:lang w:val="en-US"/>
        </w:rPr>
        <w:t xml:space="preserve">the informant is the </w:t>
      </w:r>
      <w:r w:rsidR="00F44B9C" w:rsidRPr="00B40A77">
        <w:rPr>
          <w:color w:val="000000" w:themeColor="text1"/>
          <w:lang w:val="en-US"/>
        </w:rPr>
        <w:t>person</w:t>
      </w:r>
      <w:r w:rsidRPr="00B40A77">
        <w:rPr>
          <w:color w:val="000000" w:themeColor="text1"/>
          <w:lang w:val="en-US"/>
        </w:rPr>
        <w:t xml:space="preserve"> </w:t>
      </w:r>
      <w:r w:rsidR="0070715F" w:rsidRPr="00B40A77">
        <w:rPr>
          <w:color w:val="000000" w:themeColor="text1"/>
          <w:lang w:val="en-US"/>
        </w:rPr>
        <w:t>holding that office from time to time</w:t>
      </w:r>
      <w:r w:rsidRPr="00B40A77">
        <w:rPr>
          <w:color w:val="000000" w:themeColor="text1"/>
          <w:lang w:val="en-US"/>
        </w:rPr>
        <w:t>.</w:t>
      </w:r>
    </w:p>
    <w:p w14:paraId="0D436C64" w14:textId="77777777" w:rsidR="00004068" w:rsidRPr="00B40A77" w:rsidRDefault="00004068" w:rsidP="00E96D5A">
      <w:pPr>
        <w:pStyle w:val="NoteHeader"/>
        <w:keepNext/>
        <w:rPr>
          <w:color w:val="000000" w:themeColor="text1"/>
        </w:rPr>
      </w:pPr>
      <w:r w:rsidRPr="00B40A77">
        <w:rPr>
          <w:color w:val="000000" w:themeColor="text1"/>
        </w:rPr>
        <w:t>Example—</w:t>
      </w:r>
    </w:p>
    <w:p w14:paraId="7CBC0F7D" w14:textId="244551AF" w:rsidR="00C919D9" w:rsidRPr="00B40A77" w:rsidRDefault="00004068" w:rsidP="0070715F">
      <w:pPr>
        <w:pStyle w:val="NoteText"/>
        <w:rPr>
          <w:color w:val="000000" w:themeColor="text1"/>
          <w:lang w:val="en-US"/>
        </w:rPr>
      </w:pPr>
      <w:r w:rsidRPr="00B40A77">
        <w:rPr>
          <w:color w:val="000000" w:themeColor="text1"/>
        </w:rPr>
        <w:t>If the informant is shown as “</w:t>
      </w:r>
      <w:r w:rsidR="0070715F" w:rsidRPr="00B40A77">
        <w:rPr>
          <w:color w:val="000000" w:themeColor="text1"/>
        </w:rPr>
        <w:t>Commissioner of Police</w:t>
      </w:r>
      <w:r w:rsidRPr="00B40A77">
        <w:rPr>
          <w:color w:val="000000" w:themeColor="text1"/>
        </w:rPr>
        <w:t xml:space="preserve">”, the informant is </w:t>
      </w:r>
      <w:r w:rsidR="0070715F" w:rsidRPr="00B40A77">
        <w:rPr>
          <w:color w:val="000000" w:themeColor="text1"/>
        </w:rPr>
        <w:t xml:space="preserve">the Commissioner of Police appointed under section 12 of the </w:t>
      </w:r>
      <w:r w:rsidR="0070715F" w:rsidRPr="00B40A77">
        <w:rPr>
          <w:i/>
          <w:iCs/>
          <w:color w:val="000000" w:themeColor="text1"/>
        </w:rPr>
        <w:t>Police Act 1988</w:t>
      </w:r>
      <w:r w:rsidR="0070715F" w:rsidRPr="00B40A77">
        <w:rPr>
          <w:color w:val="000000" w:themeColor="text1"/>
        </w:rPr>
        <w:t xml:space="preserve"> or its successor.</w:t>
      </w:r>
    </w:p>
    <w:p w14:paraId="53CD1668" w14:textId="4FDA2F58" w:rsidR="00A351F3" w:rsidRPr="00B40A77" w:rsidRDefault="0070715F" w:rsidP="00A351F3">
      <w:pPr>
        <w:pStyle w:val="Hangindent"/>
        <w:rPr>
          <w:color w:val="000000" w:themeColor="text1"/>
          <w:lang w:val="en-US"/>
        </w:rPr>
      </w:pPr>
      <w:r w:rsidRPr="00B40A77">
        <w:rPr>
          <w:color w:val="000000" w:themeColor="text1"/>
          <w:lang w:val="en-US"/>
        </w:rPr>
        <w:t>(5)</w:t>
      </w:r>
      <w:r w:rsidRPr="00B40A77">
        <w:rPr>
          <w:color w:val="000000" w:themeColor="text1"/>
          <w:lang w:val="en-US"/>
        </w:rPr>
        <w:tab/>
      </w:r>
      <w:r w:rsidR="00A351F3" w:rsidRPr="00B40A77">
        <w:rPr>
          <w:color w:val="000000" w:themeColor="text1"/>
          <w:lang w:val="en-US"/>
        </w:rPr>
        <w:t>I</w:t>
      </w:r>
      <w:r w:rsidR="009A08E1" w:rsidRPr="00B40A77">
        <w:rPr>
          <w:color w:val="000000" w:themeColor="text1"/>
          <w:lang w:val="en-US"/>
        </w:rPr>
        <w:t>n</w:t>
      </w:r>
      <w:r w:rsidR="00A351F3" w:rsidRPr="00B40A77">
        <w:rPr>
          <w:color w:val="000000" w:themeColor="text1"/>
          <w:lang w:val="en-US"/>
        </w:rPr>
        <w:t xml:space="preserve"> a pro</w:t>
      </w:r>
      <w:r w:rsidR="00E94BFE" w:rsidRPr="00B40A77">
        <w:rPr>
          <w:color w:val="000000" w:themeColor="text1"/>
          <w:lang w:val="en-US"/>
        </w:rPr>
        <w:t xml:space="preserve">secution by </w:t>
      </w:r>
      <w:hyperlink w:anchor="_2.1—Definitions" w:history="1">
        <w:r w:rsidR="00E94BFE" w:rsidRPr="00B40A77">
          <w:rPr>
            <w:rStyle w:val="Hyperlink"/>
            <w:color w:val="000000" w:themeColor="text1"/>
            <w:lang w:val="en-US"/>
          </w:rPr>
          <w:t>SAPOL</w:t>
        </w:r>
      </w:hyperlink>
      <w:r w:rsidR="00E94BFE" w:rsidRPr="00B40A77">
        <w:rPr>
          <w:color w:val="000000" w:themeColor="text1"/>
          <w:lang w:val="en-US"/>
        </w:rPr>
        <w:t xml:space="preserve"> in a </w:t>
      </w:r>
      <w:hyperlink w:anchor="_2.1—Definitions" w:history="1">
        <w:r w:rsidR="00981911" w:rsidRPr="00B40A77">
          <w:rPr>
            <w:rStyle w:val="Hyperlink"/>
            <w:color w:val="000000" w:themeColor="text1"/>
          </w:rPr>
          <w:t>Lower Court</w:t>
        </w:r>
      </w:hyperlink>
      <w:r w:rsidR="00A351F3" w:rsidRPr="00B40A77">
        <w:rPr>
          <w:color w:val="000000" w:themeColor="text1"/>
          <w:lang w:val="en-US"/>
        </w:rPr>
        <w:t xml:space="preserve">, the prosecution is to be brought by and in the name of Commissioner of Police as </w:t>
      </w:r>
      <w:r w:rsidR="00A77DF2" w:rsidRPr="00B40A77">
        <w:rPr>
          <w:color w:val="000000" w:themeColor="text1"/>
          <w:lang w:val="en-US"/>
        </w:rPr>
        <w:t xml:space="preserve">the </w:t>
      </w:r>
      <w:r w:rsidR="00A351F3" w:rsidRPr="00B40A77">
        <w:rPr>
          <w:color w:val="000000" w:themeColor="text1"/>
          <w:lang w:val="en-US"/>
        </w:rPr>
        <w:t>informant.</w:t>
      </w:r>
    </w:p>
    <w:p w14:paraId="7DE18080" w14:textId="7A6089FC" w:rsidR="00A351F3" w:rsidRPr="00B40A77" w:rsidRDefault="00A351F3" w:rsidP="00A351F3">
      <w:pPr>
        <w:pStyle w:val="Hangindent"/>
        <w:rPr>
          <w:color w:val="000000" w:themeColor="text1"/>
          <w:lang w:val="en-US"/>
        </w:rPr>
      </w:pPr>
      <w:r w:rsidRPr="00B40A77">
        <w:rPr>
          <w:color w:val="000000" w:themeColor="text1"/>
          <w:lang w:val="en-US"/>
        </w:rPr>
        <w:t>(</w:t>
      </w:r>
      <w:r w:rsidR="0070715F" w:rsidRPr="00B40A77">
        <w:rPr>
          <w:color w:val="000000" w:themeColor="text1"/>
          <w:lang w:val="en-US"/>
        </w:rPr>
        <w:t>6</w:t>
      </w:r>
      <w:r w:rsidRPr="00B40A77">
        <w:rPr>
          <w:color w:val="000000" w:themeColor="text1"/>
          <w:lang w:val="en-US"/>
        </w:rPr>
        <w:t>)</w:t>
      </w:r>
      <w:r w:rsidRPr="00B40A77">
        <w:rPr>
          <w:color w:val="000000" w:themeColor="text1"/>
          <w:lang w:val="en-US"/>
        </w:rPr>
        <w:tab/>
        <w:t xml:space="preserve">The </w:t>
      </w:r>
      <w:r w:rsidR="001E2199" w:rsidRPr="00B40A77">
        <w:rPr>
          <w:color w:val="000000" w:themeColor="text1"/>
          <w:lang w:val="en-US"/>
        </w:rPr>
        <w:t xml:space="preserve">Commissioner of Police </w:t>
      </w:r>
      <w:r w:rsidRPr="00B40A77">
        <w:rPr>
          <w:color w:val="000000" w:themeColor="text1"/>
          <w:lang w:val="en-US"/>
        </w:rPr>
        <w:t xml:space="preserve">may delegate </w:t>
      </w:r>
      <w:r w:rsidR="007B4182" w:rsidRPr="00B40A77">
        <w:rPr>
          <w:color w:val="000000" w:themeColor="text1"/>
          <w:lang w:val="en-US"/>
        </w:rPr>
        <w:t xml:space="preserve">or otherwise authorise </w:t>
      </w:r>
      <w:r w:rsidRPr="00B40A77">
        <w:rPr>
          <w:color w:val="000000" w:themeColor="text1"/>
          <w:lang w:val="en-US"/>
        </w:rPr>
        <w:t>the function of instituting or conducting a proceeding or appellate proceeding in the name of the Commissioner of Police.</w:t>
      </w:r>
    </w:p>
    <w:p w14:paraId="4F0B9DD8" w14:textId="6A60C856" w:rsidR="00A351F3" w:rsidRPr="00B40A77" w:rsidRDefault="00866E49" w:rsidP="00A351F3">
      <w:pPr>
        <w:pStyle w:val="Heading4"/>
        <w:rPr>
          <w:color w:val="000000" w:themeColor="text1"/>
        </w:rPr>
      </w:pPr>
      <w:bookmarkStart w:id="123" w:name="_Toc19182937"/>
      <w:bookmarkStart w:id="124" w:name="_Toc175238783"/>
      <w:bookmarkEnd w:id="122"/>
      <w:r w:rsidRPr="00B40A77">
        <w:rPr>
          <w:color w:val="000000" w:themeColor="text1"/>
        </w:rPr>
        <w:t>23</w:t>
      </w:r>
      <w:r w:rsidR="00A351F3" w:rsidRPr="00B40A77">
        <w:rPr>
          <w:color w:val="000000" w:themeColor="text1"/>
        </w:rPr>
        <w:t>.3—Change of parties</w:t>
      </w:r>
      <w:bookmarkEnd w:id="123"/>
      <w:bookmarkEnd w:id="124"/>
    </w:p>
    <w:p w14:paraId="0BB33E50" w14:textId="2CC6EFE1" w:rsidR="00A351F3" w:rsidRPr="00B40A77" w:rsidRDefault="00A351F3" w:rsidP="00A351F3">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The </w:t>
      </w:r>
      <w:r w:rsidR="006D4F8B" w:rsidRPr="00B40A77">
        <w:rPr>
          <w:color w:val="000000" w:themeColor="text1"/>
        </w:rPr>
        <w:t xml:space="preserve">Court </w:t>
      </w:r>
      <w:r w:rsidRPr="00B40A77">
        <w:rPr>
          <w:rFonts w:cs="Times New Roman"/>
          <w:color w:val="000000" w:themeColor="text1"/>
        </w:rPr>
        <w:t xml:space="preserve">may at any stage order the joinder or disjoinder of a party to </w:t>
      </w:r>
      <w:r w:rsidRPr="00B40A77">
        <w:rPr>
          <w:color w:val="000000" w:themeColor="text1"/>
          <w:lang w:val="en-US"/>
        </w:rPr>
        <w:t>a proceeding</w:t>
      </w:r>
      <w:r w:rsidRPr="00B40A77">
        <w:rPr>
          <w:rFonts w:cs="Times New Roman"/>
          <w:color w:val="000000" w:themeColor="text1"/>
        </w:rPr>
        <w:t xml:space="preserve"> </w:t>
      </w:r>
      <w:r w:rsidRPr="00B40A77">
        <w:rPr>
          <w:color w:val="000000" w:themeColor="text1"/>
          <w:lang w:val="en-US"/>
        </w:rPr>
        <w:t>or appellate proceeding</w:t>
      </w:r>
      <w:r w:rsidRPr="00B40A77">
        <w:rPr>
          <w:rFonts w:cs="Times New Roman"/>
          <w:color w:val="000000" w:themeColor="text1"/>
        </w:rPr>
        <w:t xml:space="preserve"> on such conditions as it thinks fit.</w:t>
      </w:r>
    </w:p>
    <w:p w14:paraId="766A4A8B" w14:textId="3789A95E"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w:t>
      </w:r>
      <w:r w:rsidR="006D4F8B" w:rsidRPr="00B40A77">
        <w:rPr>
          <w:color w:val="000000" w:themeColor="text1"/>
        </w:rPr>
        <w:t xml:space="preserve">Court </w:t>
      </w:r>
      <w:r w:rsidRPr="00B40A77">
        <w:rPr>
          <w:rFonts w:cs="Times New Roman"/>
          <w:color w:val="000000" w:themeColor="text1"/>
        </w:rPr>
        <w:t>may at any stage order the correction of the name of a party.</w:t>
      </w:r>
    </w:p>
    <w:p w14:paraId="66BA9B46" w14:textId="46112DF0" w:rsidR="00A351F3" w:rsidRPr="00B40A77" w:rsidRDefault="00A351F3" w:rsidP="00A351F3">
      <w:pPr>
        <w:pStyle w:val="Hangindent"/>
        <w:rPr>
          <w:color w:val="000000" w:themeColor="text1"/>
          <w:lang w:val="en-US"/>
        </w:rPr>
      </w:pPr>
      <w:r w:rsidRPr="00B40A77">
        <w:rPr>
          <w:rFonts w:cs="Times New Roman"/>
          <w:color w:val="000000" w:themeColor="text1"/>
        </w:rPr>
        <w:t>(3</w:t>
      </w:r>
      <w:r w:rsidR="000D651E" w:rsidRPr="00B40A77">
        <w:rPr>
          <w:rFonts w:cs="Times New Roman"/>
          <w:color w:val="000000" w:themeColor="text1"/>
        </w:rPr>
        <w:t>)</w:t>
      </w:r>
      <w:r w:rsidR="000D651E" w:rsidRPr="00B40A77">
        <w:rPr>
          <w:rFonts w:cs="Times New Roman"/>
          <w:color w:val="000000" w:themeColor="text1"/>
        </w:rPr>
        <w:tab/>
        <w:t xml:space="preserve">If </w:t>
      </w:r>
      <w:r w:rsidR="00A77DF2" w:rsidRPr="00B40A77">
        <w:rPr>
          <w:rFonts w:cs="Times New Roman"/>
          <w:color w:val="000000" w:themeColor="text1"/>
        </w:rPr>
        <w:t>the</w:t>
      </w:r>
      <w:r w:rsidRPr="00B40A77">
        <w:rPr>
          <w:rFonts w:cs="Times New Roman"/>
          <w:color w:val="000000" w:themeColor="text1"/>
        </w:rPr>
        <w:t xml:space="preserve"> informant dies or becomes unable or unwilling to continue to conduct a proceeding or </w:t>
      </w:r>
      <w:r w:rsidR="009A08E1" w:rsidRPr="00B40A77">
        <w:rPr>
          <w:rFonts w:cs="Times New Roman"/>
          <w:color w:val="000000" w:themeColor="text1"/>
        </w:rPr>
        <w:t xml:space="preserve">to </w:t>
      </w:r>
      <w:r w:rsidRPr="00B40A77">
        <w:rPr>
          <w:rFonts w:cs="Times New Roman"/>
          <w:color w:val="000000" w:themeColor="text1"/>
        </w:rPr>
        <w:t xml:space="preserve">conduct or defend an appellate proceeding as </w:t>
      </w:r>
      <w:r w:rsidR="00D5560D" w:rsidRPr="00B40A77">
        <w:rPr>
          <w:rFonts w:cs="Times New Roman"/>
          <w:color w:val="000000" w:themeColor="text1"/>
        </w:rPr>
        <w:t xml:space="preserve">the </w:t>
      </w:r>
      <w:r w:rsidRPr="00B40A77">
        <w:rPr>
          <w:rFonts w:cs="Times New Roman"/>
          <w:color w:val="000000" w:themeColor="text1"/>
        </w:rPr>
        <w:t xml:space="preserve">appellant or </w:t>
      </w:r>
      <w:r w:rsidRPr="00B40A77">
        <w:rPr>
          <w:rFonts w:cs="Times New Roman"/>
          <w:color w:val="000000" w:themeColor="text1"/>
        </w:rPr>
        <w:lastRenderedPageBreak/>
        <w:t xml:space="preserve">respondent, the </w:t>
      </w:r>
      <w:r w:rsidR="006D4F8B" w:rsidRPr="00B40A77">
        <w:rPr>
          <w:color w:val="000000" w:themeColor="text1"/>
        </w:rPr>
        <w:t xml:space="preserve">Court </w:t>
      </w:r>
      <w:r w:rsidRPr="00B40A77">
        <w:rPr>
          <w:rFonts w:cs="Times New Roman"/>
          <w:color w:val="000000" w:themeColor="text1"/>
        </w:rPr>
        <w:t xml:space="preserve">may </w:t>
      </w:r>
      <w:r w:rsidRPr="00B40A77">
        <w:rPr>
          <w:color w:val="000000" w:themeColor="text1"/>
        </w:rPr>
        <w:t xml:space="preserve">order the substitution of another person as </w:t>
      </w:r>
      <w:r w:rsidR="00D5560D" w:rsidRPr="00B40A77">
        <w:rPr>
          <w:color w:val="000000" w:themeColor="text1"/>
        </w:rPr>
        <w:t xml:space="preserve">the </w:t>
      </w:r>
      <w:r w:rsidRPr="00B40A77">
        <w:rPr>
          <w:color w:val="000000" w:themeColor="text1"/>
        </w:rPr>
        <w:t>informant, appellant or respondent as the case may be.</w:t>
      </w:r>
    </w:p>
    <w:p w14:paraId="1FE3B21C" w14:textId="77777777" w:rsidR="00A351F3" w:rsidRPr="00B40A77" w:rsidRDefault="00A351F3" w:rsidP="00A351F3">
      <w:pPr>
        <w:pStyle w:val="Heading3"/>
        <w:rPr>
          <w:color w:val="000000" w:themeColor="text1"/>
        </w:rPr>
      </w:pPr>
      <w:bookmarkStart w:id="125" w:name="_21.5—Multiple_interested_parties"/>
      <w:bookmarkStart w:id="126" w:name="_Division_2—Representation:_lawyers"/>
      <w:bookmarkStart w:id="127" w:name="_Toc175238784"/>
      <w:bookmarkStart w:id="128" w:name="_Hlk34036938"/>
      <w:bookmarkEnd w:id="125"/>
      <w:bookmarkEnd w:id="126"/>
      <w:r w:rsidRPr="00B40A77">
        <w:rPr>
          <w:color w:val="000000" w:themeColor="text1"/>
        </w:rPr>
        <w:t>Division 2—Representation: lawyers</w:t>
      </w:r>
      <w:bookmarkEnd w:id="127"/>
    </w:p>
    <w:p w14:paraId="7D34A24D" w14:textId="6BFAF2C6" w:rsidR="00A351F3" w:rsidRPr="00B40A77" w:rsidRDefault="00A351F3" w:rsidP="00A351F3">
      <w:pPr>
        <w:pStyle w:val="Heading4"/>
        <w:rPr>
          <w:color w:val="000000" w:themeColor="text1"/>
        </w:rPr>
      </w:pPr>
      <w:bookmarkStart w:id="129" w:name="_Toc175238785"/>
      <w:bookmarkStart w:id="130" w:name="_Hlk31704206"/>
      <w:r w:rsidRPr="00B40A77">
        <w:rPr>
          <w:color w:val="000000" w:themeColor="text1"/>
        </w:rPr>
        <w:t>2</w:t>
      </w:r>
      <w:r w:rsidR="00866E49" w:rsidRPr="00B40A77">
        <w:rPr>
          <w:color w:val="000000" w:themeColor="text1"/>
        </w:rPr>
        <w:t>4</w:t>
      </w:r>
      <w:r w:rsidRPr="00B40A77">
        <w:rPr>
          <w:color w:val="000000" w:themeColor="text1"/>
        </w:rPr>
        <w:t>.1—Right of representation of parties</w:t>
      </w:r>
      <w:bookmarkEnd w:id="129"/>
    </w:p>
    <w:p w14:paraId="674364C6" w14:textId="549CC154" w:rsidR="00A351F3" w:rsidRPr="00B40A77" w:rsidRDefault="00A351F3" w:rsidP="00A351F3">
      <w:pPr>
        <w:pStyle w:val="Hangindent"/>
        <w:ind w:left="567" w:firstLine="0"/>
        <w:rPr>
          <w:color w:val="000000" w:themeColor="text1"/>
        </w:rPr>
      </w:pPr>
      <w:r w:rsidRPr="00B40A77">
        <w:rPr>
          <w:color w:val="000000" w:themeColor="text1"/>
        </w:rPr>
        <w:t xml:space="preserve">A party may be represented in a proceeding </w:t>
      </w:r>
      <w:r w:rsidRPr="00B40A77">
        <w:rPr>
          <w:rFonts w:cs="Times New Roman"/>
          <w:color w:val="000000" w:themeColor="text1"/>
        </w:rPr>
        <w:t>or appellate proceeding</w:t>
      </w:r>
      <w:r w:rsidRPr="00B40A77">
        <w:rPr>
          <w:color w:val="000000" w:themeColor="text1"/>
        </w:rPr>
        <w:t xml:space="preserve"> by a law firm legally entitled to practise in South Australia.</w:t>
      </w:r>
    </w:p>
    <w:p w14:paraId="1F7DE310" w14:textId="1BF5DB91" w:rsidR="00A351F3" w:rsidRPr="00B40A77" w:rsidRDefault="00866E49" w:rsidP="00A351F3">
      <w:pPr>
        <w:pStyle w:val="Heading4"/>
        <w:rPr>
          <w:color w:val="000000" w:themeColor="text1"/>
        </w:rPr>
      </w:pPr>
      <w:bookmarkStart w:id="131" w:name="_25.2—Law_firm_acting"/>
      <w:bookmarkStart w:id="132" w:name="_24.2—Law_firm_acting"/>
      <w:bookmarkStart w:id="133" w:name="_Toc175238786"/>
      <w:bookmarkStart w:id="134" w:name="_Hlk31965126"/>
      <w:bookmarkEnd w:id="130"/>
      <w:bookmarkEnd w:id="131"/>
      <w:bookmarkEnd w:id="132"/>
      <w:r w:rsidRPr="00B40A77">
        <w:rPr>
          <w:color w:val="000000" w:themeColor="text1"/>
        </w:rPr>
        <w:t>24</w:t>
      </w:r>
      <w:r w:rsidR="00A351F3" w:rsidRPr="00B40A77">
        <w:rPr>
          <w:color w:val="000000" w:themeColor="text1"/>
        </w:rPr>
        <w:t>.2—Law firm acting for party</w:t>
      </w:r>
      <w:bookmarkEnd w:id="133"/>
    </w:p>
    <w:p w14:paraId="3B7C9C34" w14:textId="6B8F66AC" w:rsidR="00A351F3" w:rsidRPr="00B40A77" w:rsidRDefault="00A351F3" w:rsidP="00E96D5A">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 law firm retained to act for a party in a proceeding </w:t>
      </w:r>
      <w:r w:rsidRPr="00B40A77">
        <w:rPr>
          <w:rFonts w:cs="Times New Roman"/>
          <w:color w:val="000000" w:themeColor="text1"/>
        </w:rPr>
        <w:t>or appellate proceeding</w:t>
      </w:r>
      <w:r w:rsidRPr="00B40A77">
        <w:rPr>
          <w:color w:val="000000" w:themeColor="text1"/>
          <w:lang w:val="en-US"/>
        </w:rPr>
        <w:t xml:space="preserve"> must file a notice of acting </w:t>
      </w:r>
      <w:r w:rsidR="005D3888" w:rsidRPr="00B40A77">
        <w:rPr>
          <w:color w:val="000000" w:themeColor="text1"/>
          <w:lang w:val="en-US"/>
        </w:rPr>
        <w:t xml:space="preserve">in the prescribed form </w:t>
      </w:r>
      <w:r w:rsidRPr="00B40A77">
        <w:rPr>
          <w:color w:val="000000" w:themeColor="text1"/>
          <w:lang w:val="en-US"/>
        </w:rPr>
        <w:t>for the party in the proceeding as soon as practicable after acceptance of the retainer.</w:t>
      </w:r>
    </w:p>
    <w:p w14:paraId="368143FE" w14:textId="77777777" w:rsidR="00A351F3" w:rsidRPr="00B40A77" w:rsidRDefault="00A351F3" w:rsidP="00E96D5A">
      <w:pPr>
        <w:pStyle w:val="NoteHeader"/>
        <w:keepNext/>
        <w:rPr>
          <w:color w:val="000000" w:themeColor="text1"/>
        </w:rPr>
      </w:pPr>
      <w:r w:rsidRPr="00B40A77">
        <w:rPr>
          <w:color w:val="000000" w:themeColor="text1"/>
        </w:rPr>
        <w:t>Prescribed form—</w:t>
      </w:r>
    </w:p>
    <w:p w14:paraId="181A3D98" w14:textId="005722BB" w:rsidR="00A351F3" w:rsidRPr="00B40A77" w:rsidRDefault="00A351F3" w:rsidP="00173536">
      <w:pPr>
        <w:pStyle w:val="NoteText"/>
        <w:keepNext/>
        <w:rPr>
          <w:rStyle w:val="Hyperlink"/>
          <w:color w:val="000000" w:themeColor="text1"/>
        </w:rPr>
      </w:pPr>
      <w:r w:rsidRPr="00B40A77">
        <w:rPr>
          <w:color w:val="000000" w:themeColor="text1"/>
        </w:rPr>
        <w:t>Form 1</w:t>
      </w:r>
      <w:r w:rsidR="007F0A8D" w:rsidRPr="00B40A77">
        <w:rPr>
          <w:color w:val="000000" w:themeColor="text1"/>
        </w:rPr>
        <w:t>4</w:t>
      </w:r>
      <w:r w:rsidRPr="00B40A77">
        <w:rPr>
          <w:color w:val="000000" w:themeColor="text1"/>
        </w:rPr>
        <w:t xml:space="preserve"> </w:t>
      </w:r>
      <w:hyperlink r:id="rId27" w:history="1">
        <w:r w:rsidRPr="00B40A77">
          <w:rPr>
            <w:rStyle w:val="Hyperlink"/>
            <w:color w:val="000000" w:themeColor="text1"/>
          </w:rPr>
          <w:t>Notice of Acting</w:t>
        </w:r>
      </w:hyperlink>
    </w:p>
    <w:p w14:paraId="1EBEC006" w14:textId="3254847C" w:rsidR="002B5D02" w:rsidRPr="00B40A77" w:rsidRDefault="002B5D02" w:rsidP="00E96D5A">
      <w:pPr>
        <w:pStyle w:val="NoteHeader"/>
        <w:keepNext/>
        <w:rPr>
          <w:color w:val="000000" w:themeColor="text1"/>
        </w:rPr>
      </w:pPr>
      <w:r w:rsidRPr="00B40A77">
        <w:rPr>
          <w:color w:val="000000" w:themeColor="text1"/>
        </w:rPr>
        <w:t>Note—</w:t>
      </w:r>
    </w:p>
    <w:p w14:paraId="1426F988" w14:textId="74EDDCFF" w:rsidR="003A2B3F" w:rsidRPr="00B40A77" w:rsidRDefault="002B5D02" w:rsidP="005D3888">
      <w:pPr>
        <w:pStyle w:val="NoteText"/>
        <w:rPr>
          <w:color w:val="000000" w:themeColor="text1"/>
        </w:rPr>
      </w:pPr>
      <w:r w:rsidRPr="00B40A77">
        <w:rPr>
          <w:color w:val="000000" w:themeColor="text1"/>
        </w:rPr>
        <w:t xml:space="preserve">A duty solicitor who appears on a </w:t>
      </w:r>
      <w:r w:rsidR="00D5560D" w:rsidRPr="00B40A77">
        <w:rPr>
          <w:color w:val="000000" w:themeColor="text1"/>
        </w:rPr>
        <w:t>one-off</w:t>
      </w:r>
      <w:r w:rsidRPr="00B40A77">
        <w:rPr>
          <w:color w:val="000000" w:themeColor="text1"/>
        </w:rPr>
        <w:t xml:space="preserve"> basis for a defendant or youth</w:t>
      </w:r>
      <w:r w:rsidR="00370F2E" w:rsidRPr="00B40A77">
        <w:rPr>
          <w:color w:val="000000" w:themeColor="text1"/>
        </w:rPr>
        <w:t xml:space="preserve"> is not regarded, for the purpose of this rule, as being retained to act for the defendant or youth in the proceeding and is not required to file a notice of acting.</w:t>
      </w:r>
    </w:p>
    <w:p w14:paraId="41B9AD49" w14:textId="3CD9423D" w:rsidR="00A351F3" w:rsidRPr="00B40A77" w:rsidRDefault="00A351F3" w:rsidP="00E96D5A">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A party who is no longer represented by a law firm in a proceeding</w:t>
      </w:r>
      <w:r w:rsidRPr="00B40A77">
        <w:rPr>
          <w:rFonts w:cs="Times New Roman"/>
          <w:color w:val="000000" w:themeColor="text1"/>
        </w:rPr>
        <w:t xml:space="preserve"> or appellate proceeding</w:t>
      </w:r>
      <w:r w:rsidRPr="00B40A77">
        <w:rPr>
          <w:color w:val="000000" w:themeColor="text1"/>
          <w:lang w:val="en-US"/>
        </w:rPr>
        <w:t xml:space="preserve"> must file a notice of acting in the prescribed form as soon as practicable after termination of the law firm’s retainer</w:t>
      </w:r>
      <w:r w:rsidR="00D5560D" w:rsidRPr="00B40A77">
        <w:rPr>
          <w:color w:val="000000" w:themeColor="text1"/>
          <w:lang w:val="en-US"/>
        </w:rPr>
        <w:t>,</w:t>
      </w:r>
      <w:r w:rsidRPr="00B40A77">
        <w:rPr>
          <w:color w:val="000000" w:themeColor="text1"/>
          <w:lang w:val="en-US"/>
        </w:rPr>
        <w:t xml:space="preserve"> unless a different law firm has been retained to represent the party in the proceeding</w:t>
      </w:r>
      <w:r w:rsidR="005D3888" w:rsidRPr="00B40A77">
        <w:rPr>
          <w:color w:val="000000" w:themeColor="text1"/>
          <w:lang w:val="en-US"/>
        </w:rPr>
        <w:t xml:space="preserve"> and the new law firm files a notice of acting</w:t>
      </w:r>
      <w:r w:rsidRPr="00B40A77">
        <w:rPr>
          <w:color w:val="000000" w:themeColor="text1"/>
          <w:lang w:val="en-US"/>
        </w:rPr>
        <w:t>.</w:t>
      </w:r>
    </w:p>
    <w:p w14:paraId="0B39A4C9" w14:textId="77777777" w:rsidR="00A351F3" w:rsidRPr="00B40A77" w:rsidRDefault="00A351F3" w:rsidP="00E96D5A">
      <w:pPr>
        <w:pStyle w:val="NoteHeader"/>
        <w:keepNext/>
        <w:rPr>
          <w:color w:val="000000" w:themeColor="text1"/>
        </w:rPr>
      </w:pPr>
      <w:r w:rsidRPr="00B40A77">
        <w:rPr>
          <w:color w:val="000000" w:themeColor="text1"/>
        </w:rPr>
        <w:t>Prescribed form—</w:t>
      </w:r>
    </w:p>
    <w:p w14:paraId="3D736FA3" w14:textId="29DC18A8" w:rsidR="00A351F3" w:rsidRPr="00B40A77" w:rsidRDefault="00A351F3" w:rsidP="00A351F3">
      <w:pPr>
        <w:pStyle w:val="NoteText"/>
        <w:rPr>
          <w:color w:val="000000" w:themeColor="text1"/>
        </w:rPr>
      </w:pPr>
      <w:r w:rsidRPr="00B40A77">
        <w:rPr>
          <w:color w:val="000000" w:themeColor="text1"/>
        </w:rPr>
        <w:t>Form 1</w:t>
      </w:r>
      <w:r w:rsidR="007F0A8D" w:rsidRPr="00B40A77">
        <w:rPr>
          <w:color w:val="000000" w:themeColor="text1"/>
        </w:rPr>
        <w:t>4</w:t>
      </w:r>
      <w:r w:rsidRPr="00B40A77">
        <w:rPr>
          <w:color w:val="000000" w:themeColor="text1"/>
        </w:rPr>
        <w:t xml:space="preserve"> </w:t>
      </w:r>
      <w:hyperlink r:id="rId28" w:history="1">
        <w:r w:rsidRPr="00B40A77">
          <w:rPr>
            <w:rStyle w:val="Hyperlink"/>
            <w:color w:val="000000" w:themeColor="text1"/>
          </w:rPr>
          <w:t>Notice of Acting</w:t>
        </w:r>
      </w:hyperlink>
    </w:p>
    <w:p w14:paraId="108E9809" w14:textId="0C7653F0" w:rsidR="00A351F3" w:rsidRPr="00B40A77" w:rsidRDefault="00A351F3" w:rsidP="00A351F3">
      <w:pPr>
        <w:pStyle w:val="Hangindent"/>
        <w:rPr>
          <w:rFonts w:cs="Times New Roman"/>
          <w:color w:val="000000" w:themeColor="text1"/>
        </w:rPr>
      </w:pPr>
      <w:r w:rsidRPr="00B40A77">
        <w:rPr>
          <w:color w:val="000000" w:themeColor="text1"/>
          <w:lang w:val="en-US"/>
        </w:rPr>
        <w:t>(3)</w:t>
      </w:r>
      <w:r w:rsidRPr="00B40A77">
        <w:rPr>
          <w:color w:val="000000" w:themeColor="text1"/>
          <w:lang w:val="en-US"/>
        </w:rPr>
        <w:tab/>
        <w:t xml:space="preserve">A law firm whose retainer to act for a party in a proceeding </w:t>
      </w:r>
      <w:r w:rsidRPr="00B40A77">
        <w:rPr>
          <w:rFonts w:cs="Times New Roman"/>
          <w:color w:val="000000" w:themeColor="text1"/>
        </w:rPr>
        <w:t>or appellate proceeding</w:t>
      </w:r>
      <w:r w:rsidRPr="00B40A77">
        <w:rPr>
          <w:color w:val="000000" w:themeColor="text1"/>
          <w:lang w:val="en-US"/>
        </w:rPr>
        <w:t xml:space="preserve"> has been terminated must, if a notice of acting by another law firm or the party is not filed within 7</w:t>
      </w:r>
      <w:r w:rsidR="00234D99" w:rsidRPr="00B40A77">
        <w:rPr>
          <w:color w:val="000000" w:themeColor="text1"/>
          <w:lang w:val="en-US"/>
        </w:rPr>
        <w:t> </w:t>
      </w:r>
      <w:r w:rsidRPr="00B40A77">
        <w:rPr>
          <w:color w:val="000000" w:themeColor="text1"/>
          <w:lang w:val="en-US"/>
        </w:rPr>
        <w:t>days</w:t>
      </w:r>
      <w:r w:rsidRPr="00B40A77">
        <w:rPr>
          <w:rFonts w:cs="Times New Roman"/>
          <w:color w:val="000000" w:themeColor="text1"/>
        </w:rPr>
        <w:t>—</w:t>
      </w:r>
    </w:p>
    <w:p w14:paraId="496B4040" w14:textId="40FC24F1" w:rsidR="00A351F3" w:rsidRPr="00B40A77" w:rsidRDefault="003B249D" w:rsidP="00E96D5A">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file and serve on </w:t>
      </w:r>
      <w:r w:rsidR="000E75C6" w:rsidRPr="00B40A77">
        <w:rPr>
          <w:color w:val="000000" w:themeColor="text1"/>
          <w:lang w:val="en-US"/>
        </w:rPr>
        <w:t xml:space="preserve">its client an interlocutory application </w:t>
      </w:r>
      <w:r w:rsidR="005D3888" w:rsidRPr="00B40A77">
        <w:rPr>
          <w:color w:val="000000" w:themeColor="text1"/>
          <w:lang w:val="en-US"/>
        </w:rPr>
        <w:t xml:space="preserve">in the prescribed form supported by an affidavit in the prescribed form </w:t>
      </w:r>
      <w:r w:rsidR="000E75C6" w:rsidRPr="00B40A77">
        <w:rPr>
          <w:color w:val="000000" w:themeColor="text1"/>
          <w:lang w:val="en-US"/>
        </w:rPr>
        <w:t>seeking leave to cease to act</w:t>
      </w:r>
      <w:r w:rsidR="00A351F3" w:rsidRPr="00B40A77">
        <w:rPr>
          <w:color w:val="000000" w:themeColor="text1"/>
          <w:lang w:val="en-US"/>
        </w:rPr>
        <w:t>; and</w:t>
      </w:r>
    </w:p>
    <w:p w14:paraId="64C5221F" w14:textId="2422185B" w:rsidR="005D3888" w:rsidRPr="00B40A77" w:rsidRDefault="005D3888" w:rsidP="00E96D5A">
      <w:pPr>
        <w:pStyle w:val="NoteHeader"/>
        <w:keepNext/>
        <w:ind w:left="1395" w:firstLine="306"/>
        <w:rPr>
          <w:color w:val="000000" w:themeColor="text1"/>
        </w:rPr>
      </w:pPr>
      <w:r w:rsidRPr="00B40A77">
        <w:rPr>
          <w:color w:val="000000" w:themeColor="text1"/>
        </w:rPr>
        <w:t>Prescribed forms—</w:t>
      </w:r>
    </w:p>
    <w:p w14:paraId="3653B5D3" w14:textId="7BAAABC3" w:rsidR="005D3888" w:rsidRPr="00B40A77" w:rsidRDefault="005D3888" w:rsidP="00140E21">
      <w:pPr>
        <w:pStyle w:val="NoteText"/>
        <w:ind w:left="2160"/>
        <w:rPr>
          <w:color w:val="000000" w:themeColor="text1"/>
          <w:lang w:val="en-US"/>
        </w:rPr>
      </w:pPr>
      <w:r w:rsidRPr="00B40A77">
        <w:rPr>
          <w:color w:val="000000" w:themeColor="text1"/>
        </w:rPr>
        <w:t>Form 92</w:t>
      </w:r>
      <w:hyperlink r:id="rId29" w:history="1">
        <w:r w:rsidRPr="00B40A77">
          <w:rPr>
            <w:rStyle w:val="Hyperlink"/>
            <w:color w:val="000000" w:themeColor="text1"/>
          </w:rPr>
          <w:t xml:space="preserve"> Interlocutory </w:t>
        </w:r>
        <w:r w:rsidRPr="00B40A77">
          <w:rPr>
            <w:rStyle w:val="Hyperlink"/>
            <w:color w:val="000000" w:themeColor="text1"/>
            <w:lang w:val="en-US"/>
          </w:rPr>
          <w:t>Application</w:t>
        </w:r>
      </w:hyperlink>
    </w:p>
    <w:p w14:paraId="60512765" w14:textId="5D8C520C" w:rsidR="005D3888" w:rsidRPr="00B40A77" w:rsidRDefault="005D3888" w:rsidP="005D3888">
      <w:pPr>
        <w:pStyle w:val="NoteText"/>
        <w:ind w:left="1657" w:firstLine="503"/>
        <w:rPr>
          <w:color w:val="000000" w:themeColor="text1"/>
          <w:lang w:val="en-US"/>
        </w:rPr>
      </w:pPr>
      <w:r w:rsidRPr="00B40A77">
        <w:rPr>
          <w:color w:val="000000" w:themeColor="text1"/>
        </w:rPr>
        <w:t xml:space="preserve">Form 93 </w:t>
      </w:r>
      <w:hyperlink r:id="rId30" w:history="1">
        <w:r w:rsidRPr="00B40A77">
          <w:rPr>
            <w:rStyle w:val="Hyperlink"/>
            <w:color w:val="000000" w:themeColor="text1"/>
          </w:rPr>
          <w:t>Affidavit</w:t>
        </w:r>
      </w:hyperlink>
    </w:p>
    <w:p w14:paraId="328CACD2" w14:textId="6B347A16"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appear at the next </w:t>
      </w:r>
      <w:hyperlink w:anchor="_2.1—Definitions" w:history="1">
        <w:r w:rsidR="006D6EB8" w:rsidRPr="00B40A77">
          <w:rPr>
            <w:rStyle w:val="Hyperlink"/>
            <w:color w:val="000000" w:themeColor="text1"/>
          </w:rPr>
          <w:t>hearing</w:t>
        </w:r>
      </w:hyperlink>
      <w:r w:rsidRPr="00B40A77">
        <w:rPr>
          <w:color w:val="000000" w:themeColor="text1"/>
          <w:lang w:val="en-US"/>
        </w:rPr>
        <w:t xml:space="preserve"> of the proceeding to seek appropriate orders.</w:t>
      </w:r>
    </w:p>
    <w:p w14:paraId="6A84FF2A" w14:textId="6F3DD11C" w:rsidR="00A351F3" w:rsidRPr="00B40A77" w:rsidRDefault="000D651E" w:rsidP="00A351F3">
      <w:pPr>
        <w:pStyle w:val="Hangindent"/>
        <w:rPr>
          <w:color w:val="000000" w:themeColor="text1"/>
          <w:lang w:val="en-US"/>
        </w:rPr>
      </w:pPr>
      <w:r w:rsidRPr="00B40A77">
        <w:rPr>
          <w:color w:val="000000" w:themeColor="text1"/>
          <w:lang w:val="en-US"/>
        </w:rPr>
        <w:t>(4</w:t>
      </w:r>
      <w:r w:rsidR="00A351F3" w:rsidRPr="00B40A77">
        <w:rPr>
          <w:color w:val="000000" w:themeColor="text1"/>
          <w:lang w:val="en-US"/>
        </w:rPr>
        <w:t>)</w:t>
      </w:r>
      <w:r w:rsidR="00A351F3" w:rsidRPr="00B40A77">
        <w:rPr>
          <w:color w:val="000000" w:themeColor="text1"/>
          <w:lang w:val="en-US"/>
        </w:rPr>
        <w:tab/>
        <w:t xml:space="preserve">A law firm is to be regarded as representing a party in a proceeding </w:t>
      </w:r>
      <w:r w:rsidR="00A351F3" w:rsidRPr="00B40A77">
        <w:rPr>
          <w:rFonts w:cs="Times New Roman"/>
          <w:color w:val="000000" w:themeColor="text1"/>
        </w:rPr>
        <w:t>or appellate proceeding</w:t>
      </w:r>
      <w:r w:rsidR="00A351F3" w:rsidRPr="00B40A77">
        <w:rPr>
          <w:color w:val="000000" w:themeColor="text1"/>
          <w:lang w:val="en-US"/>
        </w:rPr>
        <w:t xml:space="preserve"> if and from the time when</w:t>
      </w:r>
      <w:r w:rsidR="00A351F3" w:rsidRPr="00B40A77">
        <w:rPr>
          <w:rFonts w:cs="Times New Roman"/>
          <w:color w:val="000000" w:themeColor="text1"/>
        </w:rPr>
        <w:t>—</w:t>
      </w:r>
    </w:p>
    <w:p w14:paraId="0B3DCD7F"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law firm files a notice of acting for the party in the proceeding; or</w:t>
      </w:r>
    </w:p>
    <w:p w14:paraId="5D012F71" w14:textId="7F03C608" w:rsidR="00A351F3" w:rsidRPr="00B40A77" w:rsidRDefault="00A351F3" w:rsidP="00E96D5A">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the law firm’s name is announced to the </w:t>
      </w:r>
      <w:r w:rsidR="006D4F8B" w:rsidRPr="00B40A77">
        <w:rPr>
          <w:color w:val="000000" w:themeColor="text1"/>
        </w:rPr>
        <w:t xml:space="preserve">Court </w:t>
      </w:r>
      <w:r w:rsidRPr="00B40A77">
        <w:rPr>
          <w:color w:val="000000" w:themeColor="text1"/>
          <w:lang w:val="en-US"/>
        </w:rPr>
        <w:t xml:space="preserve">as the party’s law firm by a lawyer appearing </w:t>
      </w:r>
      <w:r w:rsidR="00307014" w:rsidRPr="00B40A77">
        <w:rPr>
          <w:color w:val="000000" w:themeColor="text1"/>
          <w:lang w:val="en-US"/>
        </w:rPr>
        <w:t>in court</w:t>
      </w:r>
      <w:r w:rsidRPr="00B40A77">
        <w:rPr>
          <w:color w:val="000000" w:themeColor="text1"/>
          <w:lang w:val="en-US"/>
        </w:rPr>
        <w:t xml:space="preserve"> to represent the party in the proceeding.</w:t>
      </w:r>
    </w:p>
    <w:p w14:paraId="60EC63BD" w14:textId="5187F480" w:rsidR="005A7BBD" w:rsidRPr="00B40A77" w:rsidRDefault="005A7BBD" w:rsidP="00E96D5A">
      <w:pPr>
        <w:pStyle w:val="NoteHeader"/>
        <w:keepNext/>
        <w:ind w:left="1701"/>
        <w:rPr>
          <w:color w:val="000000" w:themeColor="text1"/>
        </w:rPr>
      </w:pPr>
      <w:r w:rsidRPr="00B40A77">
        <w:rPr>
          <w:color w:val="000000" w:themeColor="text1"/>
        </w:rPr>
        <w:t>Note—</w:t>
      </w:r>
    </w:p>
    <w:p w14:paraId="59A8806D" w14:textId="573C9521" w:rsidR="005A7BBD" w:rsidRPr="00B40A77" w:rsidRDefault="005A7BBD" w:rsidP="00452733">
      <w:pPr>
        <w:pStyle w:val="NoteText"/>
        <w:ind w:left="1985"/>
        <w:rPr>
          <w:color w:val="000000" w:themeColor="text1"/>
          <w:lang w:val="en-US"/>
        </w:rPr>
      </w:pPr>
      <w:r w:rsidRPr="00B40A77">
        <w:rPr>
          <w:color w:val="000000" w:themeColor="text1"/>
        </w:rPr>
        <w:t xml:space="preserve">A lawyer who appears as a friend of the </w:t>
      </w:r>
      <w:hyperlink w:anchor="_2.1—Definitions" w:history="1">
        <w:r w:rsidR="006D4F8B" w:rsidRPr="00B40A77">
          <w:rPr>
            <w:rStyle w:val="Hyperlink"/>
            <w:color w:val="000000" w:themeColor="text1"/>
          </w:rPr>
          <w:t>Court</w:t>
        </w:r>
      </w:hyperlink>
      <w:r w:rsidR="006D4F8B" w:rsidRPr="00B40A77">
        <w:rPr>
          <w:color w:val="000000" w:themeColor="text1"/>
        </w:rPr>
        <w:t xml:space="preserve"> </w:t>
      </w:r>
      <w:r w:rsidRPr="00B40A77">
        <w:rPr>
          <w:color w:val="000000" w:themeColor="text1"/>
        </w:rPr>
        <w:t>is not regarded as representing a party in the proceeding.</w:t>
      </w:r>
    </w:p>
    <w:p w14:paraId="42AC9D6C" w14:textId="77777777" w:rsidR="008627C6" w:rsidRDefault="008627C6" w:rsidP="00A351F3">
      <w:pPr>
        <w:pStyle w:val="Hangindent"/>
        <w:rPr>
          <w:color w:val="000000" w:themeColor="text1"/>
          <w:lang w:val="en-US"/>
        </w:rPr>
      </w:pPr>
    </w:p>
    <w:p w14:paraId="2E70EAF3" w14:textId="77777777" w:rsidR="008627C6" w:rsidRDefault="008627C6" w:rsidP="00A351F3">
      <w:pPr>
        <w:pStyle w:val="Hangindent"/>
        <w:rPr>
          <w:color w:val="000000" w:themeColor="text1"/>
          <w:lang w:val="en-US"/>
        </w:rPr>
      </w:pPr>
    </w:p>
    <w:p w14:paraId="63338FBB" w14:textId="377167E8" w:rsidR="008627C6" w:rsidRPr="001015A3" w:rsidRDefault="008627C6" w:rsidP="008627C6">
      <w:pPr>
        <w:pStyle w:val="Hangindent"/>
        <w:rPr>
          <w:color w:val="000000" w:themeColor="text1"/>
          <w:u w:val="single"/>
          <w:lang w:val="en-US"/>
        </w:rPr>
      </w:pPr>
      <w:r w:rsidRPr="001015A3">
        <w:rPr>
          <w:color w:val="000000" w:themeColor="text1"/>
          <w:lang w:val="en-US"/>
        </w:rPr>
        <w:lastRenderedPageBreak/>
        <w:t>(</w:t>
      </w:r>
      <w:r>
        <w:rPr>
          <w:color w:val="000000" w:themeColor="text1"/>
          <w:lang w:val="en-US"/>
        </w:rPr>
        <w:t>4A</w:t>
      </w:r>
      <w:r w:rsidRPr="001015A3">
        <w:rPr>
          <w:color w:val="000000" w:themeColor="text1"/>
          <w:lang w:val="en-US"/>
        </w:rPr>
        <w:t xml:space="preserve">) </w:t>
      </w:r>
      <w:r>
        <w:rPr>
          <w:color w:val="000000" w:themeColor="text1"/>
          <w:lang w:val="en-US"/>
        </w:rPr>
        <w:tab/>
      </w:r>
      <w:r w:rsidRPr="001015A3">
        <w:rPr>
          <w:color w:val="000000" w:themeColor="text1"/>
          <w:lang w:val="en-US"/>
        </w:rPr>
        <w:t xml:space="preserve">A law firm </w:t>
      </w:r>
      <w:r>
        <w:rPr>
          <w:color w:val="000000" w:themeColor="text1"/>
          <w:lang w:val="en-US"/>
        </w:rPr>
        <w:t>is to be regarded as representing a defendant in a proceeding</w:t>
      </w:r>
      <w:r w:rsidRPr="00FB3118">
        <w:rPr>
          <w:color w:val="000000" w:themeColor="text1"/>
          <w:lang w:val="en-US"/>
        </w:rPr>
        <w:t xml:space="preserve"> </w:t>
      </w:r>
      <w:r w:rsidRPr="001015A3">
        <w:rPr>
          <w:color w:val="000000" w:themeColor="text1"/>
          <w:lang w:val="en-US"/>
        </w:rPr>
        <w:t xml:space="preserve">in a </w:t>
      </w:r>
      <w:r w:rsidRPr="001015A3">
        <w:rPr>
          <w:color w:val="000000" w:themeColor="text1"/>
          <w:u w:val="single"/>
          <w:lang w:val="en-US"/>
        </w:rPr>
        <w:t>Higher Court</w:t>
      </w:r>
      <w:r>
        <w:rPr>
          <w:color w:val="000000" w:themeColor="text1"/>
          <w:u w:val="single"/>
          <w:lang w:val="en-US"/>
        </w:rPr>
        <w:t xml:space="preserve"> </w:t>
      </w:r>
      <w:r w:rsidRPr="00FB3118">
        <w:rPr>
          <w:color w:val="000000" w:themeColor="text1"/>
          <w:lang w:val="en-US"/>
        </w:rPr>
        <w:t>from the commencement of that proceeding</w:t>
      </w:r>
      <w:r>
        <w:rPr>
          <w:color w:val="000000" w:themeColor="text1"/>
          <w:lang w:val="en-US"/>
        </w:rPr>
        <w:t xml:space="preserve"> if the defendant was committed by a</w:t>
      </w:r>
      <w:r w:rsidRPr="001015A3">
        <w:rPr>
          <w:color w:val="000000" w:themeColor="text1"/>
          <w:lang w:val="en-US"/>
        </w:rPr>
        <w:t xml:space="preserve"> </w:t>
      </w:r>
      <w:r w:rsidRPr="001015A3">
        <w:rPr>
          <w:color w:val="000000" w:themeColor="text1"/>
          <w:u w:val="single"/>
          <w:lang w:val="en-US"/>
        </w:rPr>
        <w:t>Lower Court</w:t>
      </w:r>
      <w:r>
        <w:rPr>
          <w:color w:val="000000" w:themeColor="text1"/>
          <w:lang w:val="en-US"/>
        </w:rPr>
        <w:t xml:space="preserve"> for </w:t>
      </w:r>
      <w:r w:rsidRPr="001015A3">
        <w:rPr>
          <w:color w:val="000000" w:themeColor="text1"/>
          <w:lang w:val="en-US"/>
        </w:rPr>
        <w:t>trial or sentence</w:t>
      </w:r>
      <w:r w:rsidRPr="00FB3118">
        <w:rPr>
          <w:color w:val="000000" w:themeColor="text1"/>
          <w:lang w:val="en-US"/>
        </w:rPr>
        <w:t xml:space="preserve"> </w:t>
      </w:r>
      <w:r>
        <w:rPr>
          <w:color w:val="000000" w:themeColor="text1"/>
          <w:lang w:val="en-US"/>
        </w:rPr>
        <w:t xml:space="preserve">and the law firm was regarded as representing that defendant or youth </w:t>
      </w:r>
      <w:r w:rsidRPr="001015A3">
        <w:rPr>
          <w:color w:val="000000" w:themeColor="text1"/>
          <w:lang w:val="en-US"/>
        </w:rPr>
        <w:t xml:space="preserve">in </w:t>
      </w:r>
      <w:r>
        <w:rPr>
          <w:color w:val="000000" w:themeColor="text1"/>
          <w:lang w:val="en-US"/>
        </w:rPr>
        <w:t>the</w:t>
      </w:r>
      <w:r w:rsidRPr="001015A3">
        <w:rPr>
          <w:color w:val="000000" w:themeColor="text1"/>
          <w:lang w:val="en-US"/>
        </w:rPr>
        <w:t xml:space="preserve"> proceeding in </w:t>
      </w:r>
      <w:r>
        <w:rPr>
          <w:color w:val="000000" w:themeColor="text1"/>
          <w:lang w:val="en-US"/>
        </w:rPr>
        <w:t>the</w:t>
      </w:r>
      <w:r w:rsidRPr="001015A3">
        <w:rPr>
          <w:color w:val="000000" w:themeColor="text1"/>
          <w:lang w:val="en-US"/>
        </w:rPr>
        <w:t xml:space="preserve"> </w:t>
      </w:r>
      <w:r w:rsidRPr="001015A3">
        <w:rPr>
          <w:color w:val="000000" w:themeColor="text1"/>
          <w:u w:val="single"/>
          <w:lang w:val="en-US"/>
        </w:rPr>
        <w:t>Lower Court</w:t>
      </w:r>
      <w:r w:rsidRPr="001015A3">
        <w:rPr>
          <w:color w:val="000000" w:themeColor="text1"/>
          <w:lang w:val="en-US"/>
        </w:rPr>
        <w:t xml:space="preserve"> at the time of committal for</w:t>
      </w:r>
      <w:r>
        <w:rPr>
          <w:color w:val="000000" w:themeColor="text1"/>
          <w:lang w:val="en-US"/>
        </w:rPr>
        <w:t xml:space="preserve"> </w:t>
      </w:r>
      <w:r w:rsidRPr="001015A3">
        <w:rPr>
          <w:color w:val="000000" w:themeColor="text1"/>
          <w:lang w:val="en-US"/>
        </w:rPr>
        <w:t>trial or sentence</w:t>
      </w:r>
      <w:r w:rsidRPr="001218F9">
        <w:rPr>
          <w:color w:val="000000" w:themeColor="text1"/>
          <w:lang w:val="en-US"/>
        </w:rPr>
        <w:t>.</w:t>
      </w:r>
    </w:p>
    <w:p w14:paraId="1185E5A2" w14:textId="7E5E9F80" w:rsidR="00A351F3" w:rsidRPr="00B40A77" w:rsidRDefault="00A351F3" w:rsidP="00A351F3">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A law firm is to be regarded as ceasing to represent a party in a proceeding </w:t>
      </w:r>
      <w:r w:rsidRPr="00B40A77">
        <w:rPr>
          <w:rFonts w:cs="Times New Roman"/>
          <w:color w:val="000000" w:themeColor="text1"/>
        </w:rPr>
        <w:t>or appellate proceeding</w:t>
      </w:r>
      <w:r w:rsidRPr="00B40A77">
        <w:rPr>
          <w:color w:val="000000" w:themeColor="text1"/>
          <w:lang w:val="en-US"/>
        </w:rPr>
        <w:t xml:space="preserve"> if and from the time when</w:t>
      </w:r>
      <w:r w:rsidRPr="00B40A77">
        <w:rPr>
          <w:rFonts w:cs="Times New Roman"/>
          <w:color w:val="000000" w:themeColor="text1"/>
        </w:rPr>
        <w:t>—</w:t>
      </w:r>
    </w:p>
    <w:p w14:paraId="58C73AB0" w14:textId="00C7E2D9"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a different law firm files a notice of acting for the party in the proceeding under subrule</w:t>
      </w:r>
      <w:r w:rsidR="00505080" w:rsidRPr="00B40A77">
        <w:rPr>
          <w:color w:val="000000" w:themeColor="text1"/>
          <w:lang w:val="en-US"/>
        </w:rPr>
        <w:t> </w:t>
      </w:r>
      <w:r w:rsidRPr="00B40A77">
        <w:rPr>
          <w:color w:val="000000" w:themeColor="text1"/>
          <w:lang w:val="en-US"/>
        </w:rPr>
        <w:t>(1);</w:t>
      </w:r>
    </w:p>
    <w:p w14:paraId="5B416169" w14:textId="7F441F7D" w:rsidR="00A351F3" w:rsidRPr="00B40A77" w:rsidRDefault="00A351F3" w:rsidP="000D651E">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party files a notice of acting in the</w:t>
      </w:r>
      <w:r w:rsidR="000D651E" w:rsidRPr="00B40A77">
        <w:rPr>
          <w:color w:val="000000" w:themeColor="text1"/>
          <w:lang w:val="en-US"/>
        </w:rPr>
        <w:t xml:space="preserve"> proceeding under subrule</w:t>
      </w:r>
      <w:r w:rsidR="00505080" w:rsidRPr="00B40A77">
        <w:rPr>
          <w:color w:val="000000" w:themeColor="text1"/>
          <w:lang w:val="en-US"/>
        </w:rPr>
        <w:t> </w:t>
      </w:r>
      <w:r w:rsidR="000D651E" w:rsidRPr="00B40A77">
        <w:rPr>
          <w:color w:val="000000" w:themeColor="text1"/>
          <w:lang w:val="en-US"/>
        </w:rPr>
        <w:t xml:space="preserve">(2); </w:t>
      </w:r>
      <w:r w:rsidRPr="00B40A77">
        <w:rPr>
          <w:color w:val="000000" w:themeColor="text1"/>
          <w:lang w:val="en-US"/>
        </w:rPr>
        <w:t>or</w:t>
      </w:r>
    </w:p>
    <w:p w14:paraId="7642EDF4" w14:textId="46EA6C9D" w:rsidR="00A351F3" w:rsidRPr="00B40A77" w:rsidRDefault="000D651E" w:rsidP="00A351F3">
      <w:pPr>
        <w:pStyle w:val="Doublehangindent"/>
        <w:rPr>
          <w:color w:val="000000" w:themeColor="text1"/>
          <w:lang w:val="en-US"/>
        </w:rPr>
      </w:pPr>
      <w:r w:rsidRPr="00B40A77">
        <w:rPr>
          <w:color w:val="000000" w:themeColor="text1"/>
          <w:lang w:val="en-US"/>
        </w:rPr>
        <w:t>(c</w:t>
      </w:r>
      <w:r w:rsidR="00A351F3" w:rsidRPr="00B40A77">
        <w:rPr>
          <w:color w:val="000000" w:themeColor="text1"/>
          <w:lang w:val="en-US"/>
        </w:rPr>
        <w:t>)</w:t>
      </w:r>
      <w:r w:rsidR="00A351F3" w:rsidRPr="00B40A77">
        <w:rPr>
          <w:color w:val="000000" w:themeColor="text1"/>
          <w:lang w:val="en-US"/>
        </w:rPr>
        <w:tab/>
        <w:t xml:space="preserve">the </w:t>
      </w:r>
      <w:r w:rsidR="006D4F8B" w:rsidRPr="00B40A77">
        <w:rPr>
          <w:color w:val="000000" w:themeColor="text1"/>
        </w:rPr>
        <w:t xml:space="preserve">Court </w:t>
      </w:r>
      <w:r w:rsidR="00A351F3" w:rsidRPr="00B40A77">
        <w:rPr>
          <w:color w:val="000000" w:themeColor="text1"/>
          <w:lang w:val="en-US"/>
        </w:rPr>
        <w:t>so orders.</w:t>
      </w:r>
    </w:p>
    <w:p w14:paraId="00AFB0AA" w14:textId="304A685A" w:rsidR="00A351F3" w:rsidRPr="00B40A77" w:rsidRDefault="00A351F3" w:rsidP="00E96D5A">
      <w:pPr>
        <w:pStyle w:val="Hangindent"/>
        <w:keepNext/>
        <w:rPr>
          <w:color w:val="000000" w:themeColor="text1"/>
          <w:lang w:val="en-US"/>
        </w:rPr>
      </w:pPr>
      <w:r w:rsidRPr="00B40A77">
        <w:rPr>
          <w:color w:val="000000" w:themeColor="text1"/>
          <w:lang w:val="en-US"/>
        </w:rPr>
        <w:t>(6)</w:t>
      </w:r>
      <w:r w:rsidRPr="00B40A77">
        <w:rPr>
          <w:color w:val="000000" w:themeColor="text1"/>
          <w:lang w:val="en-US"/>
        </w:rPr>
        <w:tab/>
        <w:t>If there is a change in the physical address, email address or telephone number of a l</w:t>
      </w:r>
      <w:r w:rsidR="008D14D5" w:rsidRPr="00B40A77">
        <w:rPr>
          <w:color w:val="000000" w:themeColor="text1"/>
          <w:lang w:val="en-US"/>
        </w:rPr>
        <w:t>a</w:t>
      </w:r>
      <w:r w:rsidRPr="00B40A77">
        <w:rPr>
          <w:color w:val="000000" w:themeColor="text1"/>
          <w:lang w:val="en-US"/>
        </w:rPr>
        <w:t xml:space="preserve">w firm </w:t>
      </w:r>
      <w:r w:rsidR="00C041A3" w:rsidRPr="00B40A77">
        <w:rPr>
          <w:color w:val="000000" w:themeColor="text1"/>
          <w:lang w:val="en-US"/>
        </w:rPr>
        <w:t xml:space="preserve">or the </w:t>
      </w:r>
      <w:hyperlink w:anchor="_24.3—Responsible_solicitor_acting" w:history="1">
        <w:r w:rsidR="00C041A3" w:rsidRPr="00B40A77">
          <w:rPr>
            <w:rStyle w:val="Hyperlink"/>
            <w:color w:val="000000" w:themeColor="text1"/>
            <w:lang w:val="en-US"/>
          </w:rPr>
          <w:t>responsible solicitor</w:t>
        </w:r>
      </w:hyperlink>
      <w:r w:rsidR="00C041A3" w:rsidRPr="00B40A77">
        <w:rPr>
          <w:color w:val="000000" w:themeColor="text1"/>
          <w:lang w:val="en-US"/>
        </w:rPr>
        <w:t xml:space="preserve"> </w:t>
      </w:r>
      <w:r w:rsidRPr="00B40A77">
        <w:rPr>
          <w:color w:val="000000" w:themeColor="text1"/>
          <w:lang w:val="en-US"/>
        </w:rPr>
        <w:t xml:space="preserve">shown in a party’s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a notice of change of </w:t>
      </w:r>
      <w:hyperlink w:anchor="_2.1—Definitions" w:history="1">
        <w:hyperlink w:anchor="_2.1—Definitions" w:history="1">
          <w:r w:rsidR="00691176" w:rsidRPr="00B40A77">
            <w:rPr>
              <w:rStyle w:val="Hyperlink"/>
              <w:color w:val="000000" w:themeColor="text1"/>
              <w:lang w:val="en-US"/>
            </w:rPr>
            <w:t>address for service</w:t>
          </w:r>
        </w:hyperlink>
        <w:r w:rsidR="00691176" w:rsidRPr="00B40A77">
          <w:rPr>
            <w:color w:val="000000" w:themeColor="text1"/>
            <w:lang w:val="en-US"/>
          </w:rPr>
          <w:t xml:space="preserve"> </w:t>
        </w:r>
      </w:hyperlink>
      <w:r w:rsidRPr="00B40A77">
        <w:rPr>
          <w:color w:val="000000" w:themeColor="text1"/>
          <w:lang w:val="en-US"/>
        </w:rPr>
        <w:t>must be filed and served on all parties within 7</w:t>
      </w:r>
      <w:r w:rsidR="00234D99" w:rsidRPr="00B40A77">
        <w:rPr>
          <w:color w:val="000000" w:themeColor="text1"/>
          <w:lang w:val="en-US"/>
        </w:rPr>
        <w:t> </w:t>
      </w:r>
      <w:r w:rsidRPr="00B40A77">
        <w:rPr>
          <w:color w:val="000000" w:themeColor="text1"/>
          <w:lang w:val="en-US"/>
        </w:rPr>
        <w:t>days.</w:t>
      </w:r>
    </w:p>
    <w:p w14:paraId="6F192985" w14:textId="77777777" w:rsidR="00A351F3" w:rsidRPr="00B40A77" w:rsidRDefault="00A351F3" w:rsidP="00E96D5A">
      <w:pPr>
        <w:pStyle w:val="NoteHeader"/>
        <w:keepNext/>
        <w:rPr>
          <w:color w:val="000000" w:themeColor="text1"/>
        </w:rPr>
      </w:pPr>
      <w:r w:rsidRPr="00B40A77">
        <w:rPr>
          <w:color w:val="000000" w:themeColor="text1"/>
        </w:rPr>
        <w:t>Prescribed form—</w:t>
      </w:r>
    </w:p>
    <w:p w14:paraId="335AC343" w14:textId="3192104D" w:rsidR="00A351F3" w:rsidRPr="00B40A77" w:rsidRDefault="00A351F3" w:rsidP="00A351F3">
      <w:pPr>
        <w:pStyle w:val="NoteText"/>
        <w:rPr>
          <w:color w:val="000000" w:themeColor="text1"/>
        </w:rPr>
      </w:pPr>
      <w:r w:rsidRPr="00B40A77">
        <w:rPr>
          <w:color w:val="000000" w:themeColor="text1"/>
        </w:rPr>
        <w:t>Form</w:t>
      </w:r>
      <w:r w:rsidR="007F0A8D" w:rsidRPr="00B40A77">
        <w:rPr>
          <w:color w:val="000000" w:themeColor="text1"/>
        </w:rPr>
        <w:t xml:space="preserve"> 15</w:t>
      </w:r>
      <w:r w:rsidRPr="00B40A77">
        <w:rPr>
          <w:color w:val="000000" w:themeColor="text1"/>
        </w:rPr>
        <w:t xml:space="preserve"> </w:t>
      </w:r>
      <w:hyperlink r:id="rId31" w:history="1">
        <w:r w:rsidRPr="00B40A77">
          <w:rPr>
            <w:rStyle w:val="Hyperlink"/>
            <w:color w:val="000000" w:themeColor="text1"/>
          </w:rPr>
          <w:t>Notice of Change of Address for Service</w:t>
        </w:r>
      </w:hyperlink>
      <w:r w:rsidR="001A3E7C" w:rsidRPr="00B40A77">
        <w:rPr>
          <w:rStyle w:val="Hyperlink"/>
          <w:color w:val="000000" w:themeColor="text1"/>
        </w:rPr>
        <w:t xml:space="preserve"> </w:t>
      </w:r>
    </w:p>
    <w:p w14:paraId="3C01AE97" w14:textId="43A35A4E" w:rsidR="00A351F3" w:rsidRPr="00B40A77" w:rsidRDefault="00866E49" w:rsidP="00A351F3">
      <w:pPr>
        <w:pStyle w:val="Heading4"/>
        <w:rPr>
          <w:color w:val="000000" w:themeColor="text1"/>
        </w:rPr>
      </w:pPr>
      <w:bookmarkStart w:id="135" w:name="_25.3—Responsible_solicitor_acting"/>
      <w:bookmarkStart w:id="136" w:name="_24.3—Responsible_solicitor_acting"/>
      <w:bookmarkStart w:id="137" w:name="_Toc175238787"/>
      <w:bookmarkEnd w:id="134"/>
      <w:bookmarkEnd w:id="135"/>
      <w:bookmarkEnd w:id="136"/>
      <w:r w:rsidRPr="00B40A77">
        <w:rPr>
          <w:color w:val="000000" w:themeColor="text1"/>
        </w:rPr>
        <w:t>24</w:t>
      </w:r>
      <w:r w:rsidR="00A351F3" w:rsidRPr="00B40A77">
        <w:rPr>
          <w:color w:val="000000" w:themeColor="text1"/>
        </w:rPr>
        <w:t>.3—Responsible solicitor acting for party</w:t>
      </w:r>
      <w:bookmarkEnd w:id="137"/>
      <w:r w:rsidR="00A351F3" w:rsidRPr="00B40A77">
        <w:rPr>
          <w:color w:val="000000" w:themeColor="text1"/>
        </w:rPr>
        <w:t xml:space="preserve"> </w:t>
      </w:r>
    </w:p>
    <w:p w14:paraId="2793BB1D" w14:textId="6C2A7C8E" w:rsidR="00A351F3" w:rsidRPr="00B40A77" w:rsidRDefault="00A351F3" w:rsidP="00641849">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When a law firm commences to represent a party in a proceeding</w:t>
      </w:r>
      <w:r w:rsidRPr="00B40A77">
        <w:rPr>
          <w:rFonts w:cs="Times New Roman"/>
          <w:color w:val="000000" w:themeColor="text1"/>
        </w:rPr>
        <w:t xml:space="preserve"> or appellate proceeding</w:t>
      </w:r>
      <w:r w:rsidRPr="00B40A77">
        <w:rPr>
          <w:color w:val="000000" w:themeColor="text1"/>
          <w:lang w:val="en-US"/>
        </w:rPr>
        <w:t xml:space="preserve">, it must nominate an individual solicitor who </w:t>
      </w:r>
      <w:r w:rsidR="005A7BBD" w:rsidRPr="00B40A77">
        <w:rPr>
          <w:color w:val="000000" w:themeColor="text1"/>
          <w:lang w:val="en-US"/>
        </w:rPr>
        <w:t xml:space="preserve">has the overall </w:t>
      </w:r>
      <w:r w:rsidRPr="00B40A77">
        <w:rPr>
          <w:color w:val="000000" w:themeColor="text1"/>
          <w:lang w:val="en-US"/>
        </w:rPr>
        <w:t>responsib</w:t>
      </w:r>
      <w:r w:rsidR="005A7BBD" w:rsidRPr="00B40A77">
        <w:rPr>
          <w:color w:val="000000" w:themeColor="text1"/>
          <w:lang w:val="en-US"/>
        </w:rPr>
        <w:t>ility</w:t>
      </w:r>
      <w:r w:rsidRPr="00B40A77">
        <w:rPr>
          <w:color w:val="000000" w:themeColor="text1"/>
          <w:lang w:val="en-US"/>
        </w:rPr>
        <w:t xml:space="preserve"> for representation of the party in the proceeding (the</w:t>
      </w:r>
      <w:r w:rsidRPr="00B40A77">
        <w:rPr>
          <w:b/>
          <w:i/>
          <w:color w:val="000000" w:themeColor="text1"/>
          <w:lang w:val="en-US"/>
        </w:rPr>
        <w:t xml:space="preserve"> responsible solicitor</w:t>
      </w:r>
      <w:r w:rsidRPr="00B40A77">
        <w:rPr>
          <w:color w:val="000000" w:themeColor="text1"/>
          <w:lang w:val="en-US"/>
        </w:rPr>
        <w:t>).</w:t>
      </w:r>
    </w:p>
    <w:p w14:paraId="7A2CCA25" w14:textId="5C15D54F" w:rsidR="005A7BBD" w:rsidRPr="00B40A77" w:rsidRDefault="005A7BBD" w:rsidP="00E96D5A">
      <w:pPr>
        <w:pStyle w:val="NoteHeader"/>
        <w:keepNext/>
        <w:rPr>
          <w:color w:val="000000" w:themeColor="text1"/>
        </w:rPr>
      </w:pPr>
      <w:r w:rsidRPr="00B40A77">
        <w:rPr>
          <w:color w:val="000000" w:themeColor="text1"/>
        </w:rPr>
        <w:t>Note—</w:t>
      </w:r>
    </w:p>
    <w:p w14:paraId="775A44C9" w14:textId="1A2A55C1" w:rsidR="005A7BBD" w:rsidRPr="00B40A77" w:rsidRDefault="005A7BBD" w:rsidP="00DC46E1">
      <w:pPr>
        <w:pStyle w:val="NoteText"/>
        <w:rPr>
          <w:color w:val="000000" w:themeColor="text1"/>
          <w:lang w:val="en-US"/>
        </w:rPr>
      </w:pPr>
      <w:r w:rsidRPr="00B40A77">
        <w:rPr>
          <w:color w:val="000000" w:themeColor="text1"/>
        </w:rPr>
        <w:t xml:space="preserve">The mere fact that a lawyer undertakes work on a matter (including appearing at a </w:t>
      </w:r>
      <w:hyperlink w:anchor="_2.1—Definitions" w:history="1">
        <w:r w:rsidR="00CE7A79" w:rsidRPr="00B40A77">
          <w:rPr>
            <w:rStyle w:val="Hyperlink"/>
            <w:color w:val="000000" w:themeColor="text1"/>
          </w:rPr>
          <w:t>hearing</w:t>
        </w:r>
      </w:hyperlink>
      <w:r w:rsidRPr="00B40A77">
        <w:rPr>
          <w:color w:val="000000" w:themeColor="text1"/>
        </w:rPr>
        <w:t xml:space="preserve">) does not entail that the lawyer is the </w:t>
      </w:r>
      <w:hyperlink w:anchor="_2.1—Definitions" w:history="1">
        <w:r w:rsidR="0027258B" w:rsidRPr="00B40A77">
          <w:rPr>
            <w:rStyle w:val="Hyperlink"/>
            <w:color w:val="000000" w:themeColor="text1"/>
            <w:lang w:val="en-US"/>
          </w:rPr>
          <w:t>responsible solicitor</w:t>
        </w:r>
      </w:hyperlink>
      <w:r w:rsidRPr="00B40A77">
        <w:rPr>
          <w:color w:val="000000" w:themeColor="text1"/>
        </w:rPr>
        <w:t xml:space="preserve"> if there is a lawyer </w:t>
      </w:r>
      <w:r w:rsidR="00FC3800" w:rsidRPr="00B40A77">
        <w:rPr>
          <w:color w:val="000000" w:themeColor="text1"/>
        </w:rPr>
        <w:t xml:space="preserve">on record as the </w:t>
      </w:r>
      <w:hyperlink w:anchor="_2.1—Definitions" w:history="1">
        <w:r w:rsidR="0027258B" w:rsidRPr="00B40A77">
          <w:rPr>
            <w:rStyle w:val="Hyperlink"/>
            <w:color w:val="000000" w:themeColor="text1"/>
            <w:lang w:val="en-US"/>
          </w:rPr>
          <w:t>responsible solicitor</w:t>
        </w:r>
      </w:hyperlink>
      <w:r w:rsidR="00FC3800" w:rsidRPr="00B40A77">
        <w:rPr>
          <w:color w:val="000000" w:themeColor="text1"/>
        </w:rPr>
        <w:t xml:space="preserve"> </w:t>
      </w:r>
      <w:r w:rsidRPr="00B40A77">
        <w:rPr>
          <w:color w:val="000000" w:themeColor="text1"/>
        </w:rPr>
        <w:t>who continues to have overall responsibility for the conduct of the matter.</w:t>
      </w:r>
    </w:p>
    <w:p w14:paraId="1C41BC47" w14:textId="53184723" w:rsidR="008627C6" w:rsidRPr="001015A3" w:rsidRDefault="008627C6" w:rsidP="001667E3">
      <w:pPr>
        <w:pStyle w:val="Hangindent"/>
        <w:rPr>
          <w:color w:val="000000" w:themeColor="text1"/>
          <w:u w:val="single"/>
          <w:lang w:val="en-US"/>
        </w:rPr>
      </w:pPr>
      <w:r w:rsidRPr="001015A3">
        <w:rPr>
          <w:color w:val="000000" w:themeColor="text1"/>
          <w:lang w:val="en-US"/>
        </w:rPr>
        <w:t>(</w:t>
      </w:r>
      <w:r>
        <w:rPr>
          <w:color w:val="000000" w:themeColor="text1"/>
          <w:lang w:val="en-US"/>
        </w:rPr>
        <w:t>1A</w:t>
      </w:r>
      <w:r w:rsidRPr="001015A3">
        <w:rPr>
          <w:color w:val="000000" w:themeColor="text1"/>
          <w:lang w:val="en-US"/>
        </w:rPr>
        <w:t>)</w:t>
      </w:r>
      <w:bookmarkStart w:id="138" w:name="_Hlk151564481"/>
      <w:r w:rsidR="001667E3">
        <w:rPr>
          <w:color w:val="000000" w:themeColor="text1"/>
          <w:lang w:val="en-US"/>
        </w:rPr>
        <w:tab/>
      </w:r>
      <w:r>
        <w:rPr>
          <w:color w:val="000000" w:themeColor="text1"/>
          <w:lang w:val="en-US"/>
        </w:rPr>
        <w:t>When a</w:t>
      </w:r>
      <w:r w:rsidRPr="001015A3">
        <w:rPr>
          <w:color w:val="000000" w:themeColor="text1"/>
          <w:lang w:val="en-US"/>
        </w:rPr>
        <w:t xml:space="preserve"> law firm </w:t>
      </w:r>
      <w:r>
        <w:rPr>
          <w:color w:val="000000" w:themeColor="text1"/>
          <w:lang w:val="en-US"/>
        </w:rPr>
        <w:t xml:space="preserve">is to be regarded as representing a defendant as a result of the operation of </w:t>
      </w:r>
      <w:r>
        <w:rPr>
          <w:sz w:val="24"/>
          <w:szCs w:val="24"/>
        </w:rPr>
        <w:t xml:space="preserve">subrule 24.2(4A), the person who was the </w:t>
      </w:r>
      <w:r w:rsidRPr="001015A3">
        <w:rPr>
          <w:color w:val="000000" w:themeColor="text1"/>
          <w:u w:val="single"/>
          <w:lang w:val="en-US"/>
        </w:rPr>
        <w:t>responsible solicitor</w:t>
      </w:r>
      <w:r w:rsidRPr="001015A3">
        <w:rPr>
          <w:color w:val="000000" w:themeColor="text1"/>
          <w:lang w:val="en-US"/>
        </w:rPr>
        <w:t xml:space="preserve"> </w:t>
      </w:r>
      <w:r>
        <w:rPr>
          <w:color w:val="000000" w:themeColor="text1"/>
          <w:lang w:val="en-US"/>
        </w:rPr>
        <w:t xml:space="preserve">at that </w:t>
      </w:r>
      <w:r w:rsidRPr="001015A3">
        <w:rPr>
          <w:color w:val="000000" w:themeColor="text1"/>
          <w:lang w:val="en-US"/>
        </w:rPr>
        <w:t xml:space="preserve">law firm in </w:t>
      </w:r>
      <w:r>
        <w:rPr>
          <w:color w:val="000000" w:themeColor="text1"/>
          <w:lang w:val="en-US"/>
        </w:rPr>
        <w:t>the</w:t>
      </w:r>
      <w:r w:rsidRPr="001015A3">
        <w:rPr>
          <w:color w:val="000000" w:themeColor="text1"/>
          <w:lang w:val="en-US"/>
        </w:rPr>
        <w:t xml:space="preserve"> proceeding in </w:t>
      </w:r>
      <w:r>
        <w:rPr>
          <w:color w:val="000000" w:themeColor="text1"/>
          <w:lang w:val="en-US"/>
        </w:rPr>
        <w:t>the</w:t>
      </w:r>
      <w:r w:rsidRPr="001015A3">
        <w:rPr>
          <w:color w:val="000000" w:themeColor="text1"/>
          <w:lang w:val="en-US"/>
        </w:rPr>
        <w:t xml:space="preserve"> </w:t>
      </w:r>
      <w:r w:rsidRPr="001015A3">
        <w:rPr>
          <w:color w:val="000000" w:themeColor="text1"/>
          <w:u w:val="single"/>
          <w:lang w:val="en-US"/>
        </w:rPr>
        <w:t>Lower Court</w:t>
      </w:r>
      <w:r w:rsidRPr="001015A3">
        <w:rPr>
          <w:color w:val="000000" w:themeColor="text1"/>
          <w:lang w:val="en-US"/>
        </w:rPr>
        <w:t xml:space="preserve"> at the time of committal for trial or sentence </w:t>
      </w:r>
      <w:r>
        <w:rPr>
          <w:color w:val="000000" w:themeColor="text1"/>
          <w:lang w:val="en-US"/>
        </w:rPr>
        <w:t xml:space="preserve">is to be regarded as the </w:t>
      </w:r>
      <w:r w:rsidRPr="001015A3">
        <w:rPr>
          <w:color w:val="000000" w:themeColor="text1"/>
          <w:u w:val="single"/>
          <w:lang w:val="en-US"/>
        </w:rPr>
        <w:t>responsible solicitor</w:t>
      </w:r>
      <w:r w:rsidRPr="001015A3">
        <w:rPr>
          <w:color w:val="000000" w:themeColor="text1"/>
          <w:lang w:val="en-US"/>
        </w:rPr>
        <w:t xml:space="preserve"> </w:t>
      </w:r>
      <w:r>
        <w:rPr>
          <w:color w:val="000000" w:themeColor="text1"/>
          <w:lang w:val="en-US"/>
        </w:rPr>
        <w:t xml:space="preserve">at that law firm in the </w:t>
      </w:r>
      <w:r w:rsidRPr="001015A3">
        <w:rPr>
          <w:color w:val="000000" w:themeColor="text1"/>
          <w:lang w:val="en-US"/>
        </w:rPr>
        <w:t xml:space="preserve">proceeding in the </w:t>
      </w:r>
      <w:r w:rsidRPr="001015A3">
        <w:rPr>
          <w:color w:val="000000" w:themeColor="text1"/>
          <w:u w:val="single"/>
          <w:lang w:val="en-US"/>
        </w:rPr>
        <w:t>Higher Court</w:t>
      </w:r>
      <w:r w:rsidRPr="001015A3">
        <w:rPr>
          <w:color w:val="000000" w:themeColor="text1"/>
          <w:lang w:val="en-US"/>
        </w:rPr>
        <w:t xml:space="preserve"> </w:t>
      </w:r>
      <w:r w:rsidRPr="00FB3118">
        <w:rPr>
          <w:color w:val="000000" w:themeColor="text1"/>
          <w:lang w:val="en-US"/>
        </w:rPr>
        <w:t>from the commencement of that proceeding</w:t>
      </w:r>
      <w:r>
        <w:rPr>
          <w:color w:val="000000" w:themeColor="text1"/>
          <w:lang w:val="en-US"/>
        </w:rPr>
        <w:t xml:space="preserve"> </w:t>
      </w:r>
      <w:r w:rsidRPr="001015A3">
        <w:rPr>
          <w:color w:val="000000" w:themeColor="text1"/>
          <w:lang w:val="en-US"/>
        </w:rPr>
        <w:t xml:space="preserve">in the </w:t>
      </w:r>
      <w:r w:rsidRPr="001015A3">
        <w:rPr>
          <w:color w:val="000000" w:themeColor="text1"/>
          <w:u w:val="single"/>
          <w:lang w:val="en-US"/>
        </w:rPr>
        <w:t>Higher Court.</w:t>
      </w:r>
      <w:bookmarkEnd w:id="138"/>
    </w:p>
    <w:p w14:paraId="697DFC5B" w14:textId="6528836F"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law firm may file a notice of acting nominating a different individual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w:t>
      </w:r>
    </w:p>
    <w:p w14:paraId="21473170" w14:textId="6BADB646"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An individual nominated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 xml:space="preserve"> continues to </w:t>
      </w:r>
      <w:r w:rsidR="00330EF4" w:rsidRPr="00B40A77">
        <w:rPr>
          <w:color w:val="000000" w:themeColor="text1"/>
          <w:lang w:val="en-US"/>
        </w:rPr>
        <w:t xml:space="preserve">have overall </w:t>
      </w:r>
      <w:r w:rsidRPr="00B40A77">
        <w:rPr>
          <w:color w:val="000000" w:themeColor="text1"/>
          <w:lang w:val="en-US"/>
        </w:rPr>
        <w:t>responsib</w:t>
      </w:r>
      <w:r w:rsidR="00330EF4" w:rsidRPr="00B40A77">
        <w:rPr>
          <w:color w:val="000000" w:themeColor="text1"/>
          <w:lang w:val="en-US"/>
        </w:rPr>
        <w:t>ility</w:t>
      </w:r>
      <w:r w:rsidRPr="00B40A77">
        <w:rPr>
          <w:color w:val="000000" w:themeColor="text1"/>
          <w:lang w:val="en-US"/>
        </w:rPr>
        <w:t xml:space="preserve"> for representation of the party in the proceeding </w:t>
      </w:r>
      <w:r w:rsidRPr="00B40A77">
        <w:rPr>
          <w:rFonts w:cs="Times New Roman"/>
          <w:color w:val="000000" w:themeColor="text1"/>
        </w:rPr>
        <w:t>or appellate proceeding</w:t>
      </w:r>
      <w:r w:rsidRPr="00B40A77">
        <w:rPr>
          <w:color w:val="000000" w:themeColor="text1"/>
          <w:lang w:val="en-US"/>
        </w:rPr>
        <w:t xml:space="preserve"> unless and until the law firm files a notice of acting nominating a different individual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w:t>
      </w:r>
    </w:p>
    <w:p w14:paraId="43404B43" w14:textId="382895F4" w:rsidR="00A351F3" w:rsidRPr="00B40A77" w:rsidRDefault="00866E49" w:rsidP="00A351F3">
      <w:pPr>
        <w:pStyle w:val="Heading4"/>
        <w:rPr>
          <w:color w:val="000000" w:themeColor="text1"/>
        </w:rPr>
      </w:pPr>
      <w:bookmarkStart w:id="139" w:name="_Toc175238788"/>
      <w:bookmarkStart w:id="140" w:name="_Hlk31704220"/>
      <w:r w:rsidRPr="00B40A77">
        <w:rPr>
          <w:color w:val="000000" w:themeColor="text1"/>
        </w:rPr>
        <w:t>24</w:t>
      </w:r>
      <w:r w:rsidR="00A351F3" w:rsidRPr="00B40A77">
        <w:rPr>
          <w:color w:val="000000" w:themeColor="text1"/>
        </w:rPr>
        <w:t>.4—Counsel for party</w:t>
      </w:r>
      <w:bookmarkEnd w:id="139"/>
    </w:p>
    <w:p w14:paraId="14941E50" w14:textId="77777777" w:rsidR="00A351F3" w:rsidRPr="00B40A77" w:rsidRDefault="00A351F3" w:rsidP="00A351F3">
      <w:pPr>
        <w:pStyle w:val="Hangindent"/>
        <w:keepNext/>
        <w:keepLines/>
        <w:ind w:left="567" w:firstLine="0"/>
        <w:rPr>
          <w:color w:val="000000" w:themeColor="text1"/>
        </w:rPr>
      </w:pPr>
      <w:r w:rsidRPr="00B40A77">
        <w:rPr>
          <w:color w:val="000000" w:themeColor="text1"/>
        </w:rPr>
        <w:t xml:space="preserve">A party may appear or be represented in a proceeding </w:t>
      </w:r>
      <w:r w:rsidRPr="00B40A77">
        <w:rPr>
          <w:rFonts w:cs="Times New Roman"/>
          <w:color w:val="000000" w:themeColor="text1"/>
        </w:rPr>
        <w:t>or appellate proceeding</w:t>
      </w:r>
      <w:r w:rsidRPr="00B40A77">
        <w:rPr>
          <w:color w:val="000000" w:themeColor="text1"/>
        </w:rPr>
        <w:t xml:space="preserve"> by one or more counsel who is a solicitor or barrister legally entitled to practise in South Australia.</w:t>
      </w:r>
    </w:p>
    <w:p w14:paraId="1BC5B0F8" w14:textId="45577AD9" w:rsidR="0011322F" w:rsidRPr="00B40A77" w:rsidRDefault="0011322F" w:rsidP="0011322F">
      <w:pPr>
        <w:pStyle w:val="Heading3"/>
        <w:rPr>
          <w:color w:val="000000" w:themeColor="text1"/>
        </w:rPr>
      </w:pPr>
      <w:bookmarkStart w:id="141" w:name="_Division_3—_Representation:"/>
      <w:bookmarkStart w:id="142" w:name="_Toc175238789"/>
      <w:bookmarkEnd w:id="140"/>
      <w:bookmarkEnd w:id="141"/>
      <w:r w:rsidRPr="00B40A77">
        <w:rPr>
          <w:color w:val="000000" w:themeColor="text1"/>
        </w:rPr>
        <w:t>Division 3—Representation: police prosecution</w:t>
      </w:r>
      <w:bookmarkEnd w:id="142"/>
    </w:p>
    <w:p w14:paraId="1B3C1830" w14:textId="77777777" w:rsidR="00F84EA7" w:rsidRPr="00B40A77" w:rsidRDefault="00F84EA7" w:rsidP="00E200BE">
      <w:pPr>
        <w:pStyle w:val="NoteHeader"/>
        <w:keepNext/>
        <w:ind w:left="567"/>
        <w:rPr>
          <w:color w:val="000000" w:themeColor="text1"/>
        </w:rPr>
      </w:pPr>
      <w:r w:rsidRPr="00B40A77">
        <w:rPr>
          <w:color w:val="000000" w:themeColor="text1"/>
        </w:rPr>
        <w:t>Note—</w:t>
      </w:r>
    </w:p>
    <w:p w14:paraId="6B78B38A" w14:textId="02369E42" w:rsidR="00F84EA7" w:rsidRPr="00B40A77" w:rsidRDefault="00F84EA7" w:rsidP="00E200BE">
      <w:pPr>
        <w:pStyle w:val="NoteText"/>
        <w:ind w:left="851"/>
        <w:rPr>
          <w:color w:val="000000" w:themeColor="text1"/>
          <w:lang w:val="en-US"/>
        </w:rPr>
      </w:pPr>
      <w:r w:rsidRPr="00B40A77">
        <w:rPr>
          <w:color w:val="000000" w:themeColor="text1"/>
        </w:rPr>
        <w:t xml:space="preserve">The rules in this Division do not prevent the </w:t>
      </w:r>
      <w:r w:rsidR="001E2199" w:rsidRPr="00B40A77">
        <w:rPr>
          <w:color w:val="000000" w:themeColor="text1"/>
          <w:lang w:val="en-US"/>
        </w:rPr>
        <w:t xml:space="preserve">Commissioner of Police </w:t>
      </w:r>
      <w:r w:rsidRPr="00B40A77">
        <w:rPr>
          <w:color w:val="000000" w:themeColor="text1"/>
        </w:rPr>
        <w:t xml:space="preserve">being represented by a law firm (such as the Director or the Crown Solicitor’s Office) or a lawyer under </w:t>
      </w:r>
      <w:hyperlink w:anchor="_Division_2—Representation:_lawyers" w:history="1">
        <w:r w:rsidRPr="00B40A77">
          <w:rPr>
            <w:rStyle w:val="Hyperlink"/>
            <w:color w:val="000000" w:themeColor="text1"/>
          </w:rPr>
          <w:t>Division 2</w:t>
        </w:r>
      </w:hyperlink>
      <w:r w:rsidRPr="00B40A77">
        <w:rPr>
          <w:color w:val="000000" w:themeColor="text1"/>
        </w:rPr>
        <w:t>.</w:t>
      </w:r>
    </w:p>
    <w:p w14:paraId="1FD6B6EA" w14:textId="77777777" w:rsidR="00F84EA7" w:rsidRPr="00B40A77" w:rsidRDefault="00F84EA7" w:rsidP="00F84EA7">
      <w:pPr>
        <w:pStyle w:val="Heading4"/>
        <w:rPr>
          <w:color w:val="000000" w:themeColor="text1"/>
        </w:rPr>
      </w:pPr>
      <w:bookmarkStart w:id="143" w:name="_Toc175238790"/>
      <w:r w:rsidRPr="00B40A77">
        <w:rPr>
          <w:color w:val="000000" w:themeColor="text1"/>
        </w:rPr>
        <w:lastRenderedPageBreak/>
        <w:t>25.1—Right of representation of Commissioner</w:t>
      </w:r>
      <w:bookmarkEnd w:id="143"/>
    </w:p>
    <w:p w14:paraId="0B33F85E" w14:textId="3F1F92FD" w:rsidR="00F84EA7" w:rsidRPr="00B40A77" w:rsidRDefault="00F84EA7" w:rsidP="00F84EA7">
      <w:pPr>
        <w:pStyle w:val="Hangindent"/>
        <w:ind w:left="567" w:firstLine="0"/>
        <w:rPr>
          <w:color w:val="000000" w:themeColor="text1"/>
        </w:rPr>
      </w:pPr>
      <w:r w:rsidRPr="00B40A77">
        <w:rPr>
          <w:color w:val="000000" w:themeColor="text1"/>
        </w:rPr>
        <w:t xml:space="preserve">The </w:t>
      </w:r>
      <w:r w:rsidR="001E2199" w:rsidRPr="00B40A77">
        <w:rPr>
          <w:color w:val="000000" w:themeColor="text1"/>
          <w:lang w:val="en-US"/>
        </w:rPr>
        <w:t xml:space="preserve">Commissioner of Police </w:t>
      </w:r>
      <w:r w:rsidRPr="00B40A77">
        <w:rPr>
          <w:color w:val="000000" w:themeColor="text1"/>
        </w:rPr>
        <w:t>as an informant</w:t>
      </w:r>
      <w:r w:rsidR="007E3170" w:rsidRPr="00B40A77">
        <w:rPr>
          <w:color w:val="000000" w:themeColor="text1"/>
        </w:rPr>
        <w:t xml:space="preserve">, or as an applicant or respondent in a variation or revocation or enforcement proceeding governed by </w:t>
      </w:r>
      <w:hyperlink w:anchor="_Chapter_8—Variation_and" w:history="1">
        <w:r w:rsidR="007E3170" w:rsidRPr="00B40A77">
          <w:rPr>
            <w:rStyle w:val="Hyperlink"/>
            <w:color w:val="000000" w:themeColor="text1"/>
          </w:rPr>
          <w:t>Chapter</w:t>
        </w:r>
        <w:r w:rsidR="00582B40" w:rsidRPr="00B40A77">
          <w:rPr>
            <w:rStyle w:val="Hyperlink"/>
            <w:color w:val="000000" w:themeColor="text1"/>
          </w:rPr>
          <w:t> </w:t>
        </w:r>
        <w:r w:rsidR="00B11E11" w:rsidRPr="00B40A77">
          <w:rPr>
            <w:rStyle w:val="Hyperlink"/>
            <w:color w:val="000000" w:themeColor="text1"/>
          </w:rPr>
          <w:t>8</w:t>
        </w:r>
      </w:hyperlink>
      <w:r w:rsidR="007E3170" w:rsidRPr="00B40A77">
        <w:rPr>
          <w:color w:val="000000" w:themeColor="text1"/>
        </w:rPr>
        <w:t>,</w:t>
      </w:r>
      <w:r w:rsidRPr="00B40A77">
        <w:rPr>
          <w:color w:val="000000" w:themeColor="text1"/>
        </w:rPr>
        <w:t xml:space="preserve"> may be represented in a proceeding by the </w:t>
      </w:r>
      <w:hyperlink w:anchor="_2.1—Definitions" w:history="1">
        <w:r w:rsidR="00E85555" w:rsidRPr="00B40A77">
          <w:rPr>
            <w:rStyle w:val="Hyperlink"/>
            <w:color w:val="000000" w:themeColor="text1"/>
          </w:rPr>
          <w:t>SAPOL Prosecution Branch</w:t>
        </w:r>
      </w:hyperlink>
      <w:r w:rsidRPr="00B40A77">
        <w:rPr>
          <w:color w:val="000000" w:themeColor="text1"/>
        </w:rPr>
        <w:t>.</w:t>
      </w:r>
    </w:p>
    <w:p w14:paraId="6965EE21" w14:textId="13225AB1" w:rsidR="0011322F" w:rsidRPr="00B40A77" w:rsidRDefault="0011322F" w:rsidP="0011322F">
      <w:pPr>
        <w:pStyle w:val="Heading4"/>
        <w:rPr>
          <w:color w:val="000000" w:themeColor="text1"/>
        </w:rPr>
      </w:pPr>
      <w:bookmarkStart w:id="144" w:name="_25.2—SAPOL_Prosecution_Branch"/>
      <w:bookmarkStart w:id="145" w:name="_Toc175238791"/>
      <w:bookmarkEnd w:id="144"/>
      <w:r w:rsidRPr="00B40A77">
        <w:rPr>
          <w:color w:val="000000" w:themeColor="text1"/>
        </w:rPr>
        <w:t>25.2—</w:t>
      </w:r>
      <w:r w:rsidR="00E85555" w:rsidRPr="00B40A77">
        <w:rPr>
          <w:color w:val="000000" w:themeColor="text1"/>
        </w:rPr>
        <w:t xml:space="preserve">SAPOL Prosecution Branch </w:t>
      </w:r>
      <w:r w:rsidRPr="00B40A77">
        <w:rPr>
          <w:color w:val="000000" w:themeColor="text1"/>
        </w:rPr>
        <w:t>acting for Commissioner</w:t>
      </w:r>
      <w:bookmarkEnd w:id="145"/>
    </w:p>
    <w:p w14:paraId="066D46A0" w14:textId="4ECFBA8F" w:rsidR="0011322F" w:rsidRPr="00B40A77" w:rsidRDefault="0011322F" w:rsidP="0011322F">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59480A" w:rsidRPr="00B40A77">
        <w:rPr>
          <w:color w:val="000000" w:themeColor="text1"/>
          <w:lang w:val="en-US"/>
        </w:rPr>
        <w:t xml:space="preserve">If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0059480A" w:rsidRPr="00B40A77">
        <w:rPr>
          <w:color w:val="000000" w:themeColor="text1"/>
          <w:lang w:val="en-US"/>
        </w:rPr>
        <w:t xml:space="preserve">representing the </w:t>
      </w:r>
      <w:r w:rsidR="001E2199" w:rsidRPr="00B40A77">
        <w:rPr>
          <w:color w:val="000000" w:themeColor="text1"/>
          <w:lang w:val="en-US"/>
        </w:rPr>
        <w:t xml:space="preserve">Commissioner of Police </w:t>
      </w:r>
      <w:r w:rsidR="0059480A" w:rsidRPr="00B40A77">
        <w:rPr>
          <w:color w:val="000000" w:themeColor="text1"/>
          <w:lang w:val="en-US"/>
        </w:rPr>
        <w:t xml:space="preserve">files a document in a </w:t>
      </w:r>
      <w:r w:rsidRPr="00B40A77">
        <w:rPr>
          <w:color w:val="000000" w:themeColor="text1"/>
          <w:lang w:val="en-US"/>
        </w:rPr>
        <w:t>proceeding</w:t>
      </w:r>
      <w:r w:rsidR="00DC46E1" w:rsidRPr="00B40A77">
        <w:rPr>
          <w:color w:val="000000" w:themeColor="text1"/>
          <w:lang w:val="en-US"/>
        </w:rPr>
        <w:t xml:space="preserve">,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00DC46E1" w:rsidRPr="00B40A77">
        <w:rPr>
          <w:color w:val="000000" w:themeColor="text1"/>
        </w:rPr>
        <w:t>must be shown in the filing party details box as the “law firm/office”</w:t>
      </w:r>
      <w:r w:rsidR="00DC46E1" w:rsidRPr="00B40A77">
        <w:rPr>
          <w:color w:val="000000" w:themeColor="text1"/>
          <w:lang w:val="en-US"/>
        </w:rPr>
        <w:t>.</w:t>
      </w:r>
    </w:p>
    <w:p w14:paraId="2ED23626" w14:textId="7F91A198" w:rsidR="0011322F" w:rsidRPr="00B40A77" w:rsidRDefault="00DC46E1" w:rsidP="00FF63D9">
      <w:pPr>
        <w:pStyle w:val="Hangindent"/>
        <w:keepNext/>
        <w:rPr>
          <w:color w:val="000000" w:themeColor="text1"/>
          <w:lang w:val="en-US"/>
        </w:rPr>
      </w:pPr>
      <w:r w:rsidRPr="00B40A77">
        <w:rPr>
          <w:color w:val="000000" w:themeColor="text1"/>
          <w:lang w:val="en-US"/>
        </w:rPr>
        <w:t>(2</w:t>
      </w:r>
      <w:r w:rsidR="0011322F" w:rsidRPr="00B40A77">
        <w:rPr>
          <w:color w:val="000000" w:themeColor="text1"/>
          <w:lang w:val="en-US"/>
        </w:rPr>
        <w:t>)</w:t>
      </w:r>
      <w:r w:rsidR="0011322F" w:rsidRPr="00B40A77">
        <w:rPr>
          <w:color w:val="000000" w:themeColor="text1"/>
          <w:lang w:val="en-US"/>
        </w:rPr>
        <w:tab/>
        <w:t xml:space="preserve">If there is a change in the physical address, email address or telephone number of </w:t>
      </w:r>
      <w:r w:rsidRPr="00B40A77">
        <w:rPr>
          <w:color w:val="000000" w:themeColor="text1"/>
          <w:lang w:val="en-US"/>
        </w:rPr>
        <w:t xml:space="preserve">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Pr="00B40A77">
        <w:rPr>
          <w:color w:val="000000" w:themeColor="text1"/>
          <w:lang w:val="en-US"/>
        </w:rPr>
        <w:t xml:space="preserve">shown in </w:t>
      </w:r>
      <w:r w:rsidR="007E3170" w:rsidRPr="00B40A77">
        <w:rPr>
          <w:color w:val="000000" w:themeColor="text1"/>
          <w:lang w:val="en-US"/>
        </w:rPr>
        <w:t>the Commissioner</w:t>
      </w:r>
      <w:r w:rsidRPr="00B40A77">
        <w:rPr>
          <w:color w:val="000000" w:themeColor="text1"/>
          <w:lang w:val="en-US"/>
        </w:rPr>
        <w:t>’s</w:t>
      </w:r>
      <w:r w:rsidR="0011322F" w:rsidRPr="00B40A77">
        <w:rPr>
          <w:color w:val="000000" w:themeColor="text1"/>
          <w:lang w:val="en-US"/>
        </w:rPr>
        <w:t xml:space="preserve"> </w:t>
      </w:r>
      <w:hyperlink w:anchor="_2.1—Definitions" w:history="1">
        <w:r w:rsidR="0011322F" w:rsidRPr="00B40A77">
          <w:rPr>
            <w:rStyle w:val="Hyperlink"/>
            <w:color w:val="000000" w:themeColor="text1"/>
            <w:lang w:val="en-US"/>
          </w:rPr>
          <w:t>address for service</w:t>
        </w:r>
      </w:hyperlink>
      <w:r w:rsidR="0011322F" w:rsidRPr="00B40A77">
        <w:rPr>
          <w:color w:val="000000" w:themeColor="text1"/>
          <w:lang w:val="en-US"/>
        </w:rPr>
        <w:t xml:space="preserve">, a notice of change of </w:t>
      </w:r>
      <w:hyperlink w:anchor="_2.1—Definitions" w:history="1">
        <w:r w:rsidR="00691176" w:rsidRPr="00B40A77">
          <w:rPr>
            <w:rStyle w:val="Hyperlink"/>
            <w:color w:val="000000" w:themeColor="text1"/>
            <w:lang w:val="en-US"/>
          </w:rPr>
          <w:t>address for service</w:t>
        </w:r>
      </w:hyperlink>
      <w:r w:rsidR="00691176" w:rsidRPr="00B40A77">
        <w:rPr>
          <w:color w:val="000000" w:themeColor="text1"/>
          <w:lang w:val="en-US"/>
        </w:rPr>
        <w:t xml:space="preserve"> </w:t>
      </w:r>
      <w:r w:rsidR="0011322F" w:rsidRPr="00B40A77">
        <w:rPr>
          <w:color w:val="000000" w:themeColor="text1"/>
          <w:lang w:val="en-US"/>
        </w:rPr>
        <w:t>must be filed and served on all parties within 7</w:t>
      </w:r>
      <w:r w:rsidR="00234D99" w:rsidRPr="00B40A77">
        <w:rPr>
          <w:color w:val="000000" w:themeColor="text1"/>
          <w:lang w:val="en-US"/>
        </w:rPr>
        <w:t> </w:t>
      </w:r>
      <w:r w:rsidR="0011322F" w:rsidRPr="00B40A77">
        <w:rPr>
          <w:color w:val="000000" w:themeColor="text1"/>
          <w:lang w:val="en-US"/>
        </w:rPr>
        <w:t>days.</w:t>
      </w:r>
    </w:p>
    <w:p w14:paraId="51740DB2" w14:textId="77777777" w:rsidR="0011322F" w:rsidRPr="00B40A77" w:rsidRDefault="0011322F" w:rsidP="00E96D5A">
      <w:pPr>
        <w:pStyle w:val="NoteHeader"/>
        <w:keepNext/>
        <w:rPr>
          <w:color w:val="000000" w:themeColor="text1"/>
        </w:rPr>
      </w:pPr>
      <w:r w:rsidRPr="00B40A77">
        <w:rPr>
          <w:color w:val="000000" w:themeColor="text1"/>
        </w:rPr>
        <w:t>Prescribed form—</w:t>
      </w:r>
    </w:p>
    <w:p w14:paraId="6C3E40D9" w14:textId="10F13D3B" w:rsidR="0011322F" w:rsidRPr="00B40A77" w:rsidRDefault="0011322F" w:rsidP="0011322F">
      <w:pPr>
        <w:pStyle w:val="NoteText"/>
        <w:rPr>
          <w:color w:val="000000" w:themeColor="text1"/>
        </w:rPr>
      </w:pPr>
      <w:r w:rsidRPr="00B40A77">
        <w:rPr>
          <w:color w:val="000000" w:themeColor="text1"/>
        </w:rPr>
        <w:t>Form 1</w:t>
      </w:r>
      <w:r w:rsidR="007F0A8D" w:rsidRPr="00B40A77">
        <w:rPr>
          <w:color w:val="000000" w:themeColor="text1"/>
        </w:rPr>
        <w:t>5</w:t>
      </w:r>
      <w:r w:rsidRPr="00B40A77">
        <w:rPr>
          <w:color w:val="000000" w:themeColor="text1"/>
        </w:rPr>
        <w:t xml:space="preserve"> </w:t>
      </w:r>
      <w:hyperlink r:id="rId32" w:history="1">
        <w:r w:rsidRPr="00B40A77">
          <w:rPr>
            <w:rStyle w:val="Hyperlink"/>
            <w:color w:val="000000" w:themeColor="text1"/>
          </w:rPr>
          <w:t>Notice of Change of Address for Service</w:t>
        </w:r>
      </w:hyperlink>
    </w:p>
    <w:p w14:paraId="2B4AC735" w14:textId="5B2B6205" w:rsidR="0011322F" w:rsidRPr="00B40A77" w:rsidRDefault="00C750BE" w:rsidP="0011322F">
      <w:pPr>
        <w:pStyle w:val="Heading4"/>
        <w:rPr>
          <w:color w:val="000000" w:themeColor="text1"/>
        </w:rPr>
      </w:pPr>
      <w:bookmarkStart w:id="146" w:name="_25.3—Responsible_solicitor"/>
      <w:bookmarkStart w:id="147" w:name="_Toc175238792"/>
      <w:bookmarkEnd w:id="146"/>
      <w:r w:rsidRPr="00B40A77">
        <w:rPr>
          <w:color w:val="000000" w:themeColor="text1"/>
        </w:rPr>
        <w:t>25</w:t>
      </w:r>
      <w:r w:rsidR="0011322F" w:rsidRPr="00B40A77">
        <w:rPr>
          <w:color w:val="000000" w:themeColor="text1"/>
        </w:rPr>
        <w:t>.3—Responsible solicitor</w:t>
      </w:r>
      <w:bookmarkEnd w:id="147"/>
      <w:r w:rsidR="0011322F" w:rsidRPr="00B40A77">
        <w:rPr>
          <w:color w:val="000000" w:themeColor="text1"/>
        </w:rPr>
        <w:t xml:space="preserve"> </w:t>
      </w:r>
    </w:p>
    <w:p w14:paraId="6EC91830" w14:textId="11C6C166" w:rsidR="0011322F" w:rsidRPr="00B40A77" w:rsidRDefault="0011322F" w:rsidP="00641849">
      <w:pPr>
        <w:pStyle w:val="Hangindent"/>
        <w:keepNext/>
        <w:keepLines/>
        <w:rPr>
          <w:color w:val="000000" w:themeColor="text1"/>
          <w:lang w:val="en-US"/>
        </w:rPr>
      </w:pPr>
      <w:r w:rsidRPr="00B40A77">
        <w:rPr>
          <w:color w:val="000000" w:themeColor="text1"/>
          <w:lang w:val="en-US"/>
        </w:rPr>
        <w:t>(1)</w:t>
      </w:r>
      <w:r w:rsidRPr="00B40A77">
        <w:rPr>
          <w:color w:val="000000" w:themeColor="text1"/>
          <w:lang w:val="en-US"/>
        </w:rPr>
        <w:tab/>
      </w:r>
      <w:r w:rsidR="00DC46E1" w:rsidRPr="00B40A77">
        <w:rPr>
          <w:color w:val="000000" w:themeColor="text1"/>
          <w:lang w:val="en-US"/>
        </w:rPr>
        <w:t xml:space="preserve">If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00DC46E1" w:rsidRPr="00B40A77">
        <w:rPr>
          <w:color w:val="000000" w:themeColor="text1"/>
          <w:lang w:val="en-US"/>
        </w:rPr>
        <w:t>is representing the Commissioner of Police, it may</w:t>
      </w:r>
      <w:r w:rsidR="006F7442" w:rsidRPr="00B40A77">
        <w:rPr>
          <w:color w:val="000000" w:themeColor="text1"/>
          <w:lang w:val="en-US"/>
        </w:rPr>
        <w:t>,</w:t>
      </w:r>
      <w:r w:rsidR="00DC46E1" w:rsidRPr="00B40A77">
        <w:rPr>
          <w:color w:val="000000" w:themeColor="text1"/>
          <w:lang w:val="en-US"/>
        </w:rPr>
        <w:t xml:space="preserve"> but is not required to</w:t>
      </w:r>
      <w:r w:rsidR="006F7442" w:rsidRPr="00B40A77">
        <w:rPr>
          <w:color w:val="000000" w:themeColor="text1"/>
          <w:lang w:val="en-US"/>
        </w:rPr>
        <w:t>,</w:t>
      </w:r>
      <w:r w:rsidR="00DC46E1" w:rsidRPr="00B40A77">
        <w:rPr>
          <w:color w:val="000000" w:themeColor="text1"/>
          <w:lang w:val="en-US"/>
        </w:rPr>
        <w:t xml:space="preserve"> </w:t>
      </w:r>
      <w:r w:rsidRPr="00B40A77">
        <w:rPr>
          <w:color w:val="000000" w:themeColor="text1"/>
          <w:lang w:val="en-US"/>
        </w:rPr>
        <w:t xml:space="preserve">nominate an individual </w:t>
      </w:r>
      <w:r w:rsidR="00DC46E1" w:rsidRPr="00B40A77">
        <w:rPr>
          <w:color w:val="000000" w:themeColor="text1"/>
        </w:rPr>
        <w:t>sworn police prosecutor or prosecuting solicitor</w:t>
      </w:r>
      <w:r w:rsidRPr="00B40A77">
        <w:rPr>
          <w:color w:val="000000" w:themeColor="text1"/>
          <w:lang w:val="en-US"/>
        </w:rPr>
        <w:t xml:space="preserve"> who </w:t>
      </w:r>
      <w:r w:rsidR="00DC46E1" w:rsidRPr="00B40A77">
        <w:rPr>
          <w:color w:val="000000" w:themeColor="text1"/>
          <w:lang w:val="en-US"/>
        </w:rPr>
        <w:t xml:space="preserve">has the overall responsibility for representation of the </w:t>
      </w:r>
      <w:r w:rsidR="001E2199" w:rsidRPr="00B40A77">
        <w:rPr>
          <w:color w:val="000000" w:themeColor="text1"/>
          <w:lang w:val="en-US"/>
        </w:rPr>
        <w:t xml:space="preserve">Commissioner of Police </w:t>
      </w:r>
      <w:r w:rsidRPr="00B40A77">
        <w:rPr>
          <w:color w:val="000000" w:themeColor="text1"/>
          <w:lang w:val="en-US"/>
        </w:rPr>
        <w:t>in the proceeding (the</w:t>
      </w:r>
      <w:r w:rsidRPr="00B40A77">
        <w:rPr>
          <w:b/>
          <w:i/>
          <w:color w:val="000000" w:themeColor="text1"/>
          <w:lang w:val="en-US"/>
        </w:rPr>
        <w:t xml:space="preserve"> responsible solicitor</w:t>
      </w:r>
      <w:r w:rsidRPr="00B40A77">
        <w:rPr>
          <w:color w:val="000000" w:themeColor="text1"/>
          <w:lang w:val="en-US"/>
        </w:rPr>
        <w:t>).</w:t>
      </w:r>
    </w:p>
    <w:p w14:paraId="1FA94AE1" w14:textId="77777777" w:rsidR="002B0663" w:rsidRPr="00B40A77" w:rsidRDefault="002B0663" w:rsidP="00E96D5A">
      <w:pPr>
        <w:pStyle w:val="NoteHeader"/>
        <w:keepNext/>
        <w:rPr>
          <w:color w:val="000000" w:themeColor="text1"/>
        </w:rPr>
      </w:pPr>
      <w:r w:rsidRPr="00B40A77">
        <w:rPr>
          <w:color w:val="000000" w:themeColor="text1"/>
        </w:rPr>
        <w:t>Note—</w:t>
      </w:r>
    </w:p>
    <w:p w14:paraId="2599FDC6" w14:textId="36F208EC" w:rsidR="002B0663" w:rsidRPr="00B40A77" w:rsidRDefault="002B0663" w:rsidP="002B0663">
      <w:pPr>
        <w:pStyle w:val="NoteText"/>
        <w:rPr>
          <w:color w:val="000000" w:themeColor="text1"/>
          <w:lang w:val="en-US"/>
        </w:rPr>
      </w:pPr>
      <w:r w:rsidRPr="00B40A77">
        <w:rPr>
          <w:color w:val="000000" w:themeColor="text1"/>
        </w:rPr>
        <w:t xml:space="preserve">The fact that a </w:t>
      </w:r>
      <w:r w:rsidR="001B1E56" w:rsidRPr="00B40A77">
        <w:rPr>
          <w:color w:val="000000" w:themeColor="text1"/>
        </w:rPr>
        <w:t xml:space="preserve">sworn police prosecutor is not a </w:t>
      </w:r>
      <w:r w:rsidRPr="00B40A77">
        <w:rPr>
          <w:color w:val="000000" w:themeColor="text1"/>
        </w:rPr>
        <w:t>lawyer</w:t>
      </w:r>
      <w:r w:rsidR="001B1E56" w:rsidRPr="00B40A77">
        <w:rPr>
          <w:color w:val="000000" w:themeColor="text1"/>
        </w:rPr>
        <w:t xml:space="preserve"> does to prevent the prosecutor being regarded as the “responsible solicitor”</w:t>
      </w:r>
      <w:r w:rsidRPr="00B40A77">
        <w:rPr>
          <w:color w:val="000000" w:themeColor="text1"/>
        </w:rPr>
        <w:t>.</w:t>
      </w:r>
    </w:p>
    <w:p w14:paraId="33B1E4C5" w14:textId="4F044822" w:rsidR="0011322F" w:rsidRPr="00B40A77" w:rsidRDefault="0011322F" w:rsidP="0011322F">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30EF4" w:rsidRPr="00B40A77">
        <w:rPr>
          <w:color w:val="000000" w:themeColor="text1"/>
          <w:lang w:val="en-US"/>
        </w:rPr>
        <w:t xml:space="preserve">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Pr="00B40A77">
        <w:rPr>
          <w:color w:val="000000" w:themeColor="text1"/>
          <w:lang w:val="en-US"/>
        </w:rPr>
        <w:t xml:space="preserve">may file a notice of acting nominating a different individual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w:t>
      </w:r>
    </w:p>
    <w:p w14:paraId="4AA232CE" w14:textId="17B4AAF3" w:rsidR="0011322F" w:rsidRPr="00B40A77" w:rsidRDefault="0011322F" w:rsidP="0011322F">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An individual nominated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 xml:space="preserve"> continues to </w:t>
      </w:r>
      <w:r w:rsidR="00330EF4" w:rsidRPr="00B40A77">
        <w:rPr>
          <w:color w:val="000000" w:themeColor="text1"/>
          <w:lang w:val="en-US"/>
        </w:rPr>
        <w:t xml:space="preserve">have overall responsibility for representation of the </w:t>
      </w:r>
      <w:r w:rsidR="001E2199" w:rsidRPr="00B40A77">
        <w:rPr>
          <w:color w:val="000000" w:themeColor="text1"/>
          <w:lang w:val="en-US"/>
        </w:rPr>
        <w:t xml:space="preserve">Commissioner of Police </w:t>
      </w:r>
      <w:r w:rsidRPr="00B40A77">
        <w:rPr>
          <w:color w:val="000000" w:themeColor="text1"/>
          <w:lang w:val="en-US"/>
        </w:rPr>
        <w:t xml:space="preserve">in the proceeding unless and until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Pr="00B40A77">
        <w:rPr>
          <w:color w:val="000000" w:themeColor="text1"/>
          <w:lang w:val="en-US"/>
        </w:rPr>
        <w:t xml:space="preserve">files a notice of acting nominating a different individual as the </w:t>
      </w:r>
      <w:hyperlink w:anchor="_2.1—Definitions" w:history="1">
        <w:r w:rsidRPr="00B40A77">
          <w:rPr>
            <w:rStyle w:val="Hyperlink"/>
            <w:color w:val="000000" w:themeColor="text1"/>
            <w:lang w:val="en-US"/>
          </w:rPr>
          <w:t>responsible solicitor</w:t>
        </w:r>
      </w:hyperlink>
      <w:r w:rsidRPr="00B40A77">
        <w:rPr>
          <w:color w:val="000000" w:themeColor="text1"/>
          <w:lang w:val="en-US"/>
        </w:rPr>
        <w:t>.</w:t>
      </w:r>
    </w:p>
    <w:p w14:paraId="4B83EF7D" w14:textId="4B306262" w:rsidR="0011322F" w:rsidRPr="00B40A77" w:rsidRDefault="00C750BE" w:rsidP="0011322F">
      <w:pPr>
        <w:pStyle w:val="Heading4"/>
        <w:rPr>
          <w:color w:val="000000" w:themeColor="text1"/>
        </w:rPr>
      </w:pPr>
      <w:bookmarkStart w:id="148" w:name="_Toc175238793"/>
      <w:r w:rsidRPr="00B40A77">
        <w:rPr>
          <w:color w:val="000000" w:themeColor="text1"/>
        </w:rPr>
        <w:t>25</w:t>
      </w:r>
      <w:r w:rsidR="0011322F" w:rsidRPr="00B40A77">
        <w:rPr>
          <w:color w:val="000000" w:themeColor="text1"/>
        </w:rPr>
        <w:t>.4—Counsel for Commissioner</w:t>
      </w:r>
      <w:bookmarkEnd w:id="148"/>
    </w:p>
    <w:p w14:paraId="1F876268" w14:textId="1B8DD692" w:rsidR="0011322F" w:rsidRPr="00B40A77" w:rsidRDefault="0011322F" w:rsidP="0011322F">
      <w:pPr>
        <w:pStyle w:val="Hangindent"/>
        <w:keepNext/>
        <w:keepLines/>
        <w:ind w:left="567" w:firstLine="0"/>
        <w:rPr>
          <w:color w:val="000000" w:themeColor="text1"/>
        </w:rPr>
      </w:pPr>
      <w:r w:rsidRPr="00B40A77">
        <w:rPr>
          <w:color w:val="000000" w:themeColor="text1"/>
        </w:rPr>
        <w:t xml:space="preserve">The </w:t>
      </w:r>
      <w:hyperlink w:anchor="_2.1—Definitions" w:history="1">
        <w:r w:rsidR="001E2199" w:rsidRPr="00B40A77">
          <w:rPr>
            <w:rStyle w:val="Hyperlink"/>
            <w:color w:val="000000" w:themeColor="text1"/>
            <w:lang w:val="en-US"/>
          </w:rPr>
          <w:t>Commissioner of Police</w:t>
        </w:r>
      </w:hyperlink>
      <w:r w:rsidR="001E2199" w:rsidRPr="00B40A77">
        <w:rPr>
          <w:color w:val="000000" w:themeColor="text1"/>
          <w:lang w:val="en-US"/>
        </w:rPr>
        <w:t xml:space="preserve"> </w:t>
      </w:r>
      <w:r w:rsidRPr="00B40A77">
        <w:rPr>
          <w:color w:val="000000" w:themeColor="text1"/>
        </w:rPr>
        <w:t>as informant</w:t>
      </w:r>
      <w:r w:rsidR="00524190" w:rsidRPr="00B40A77">
        <w:rPr>
          <w:color w:val="000000" w:themeColor="text1"/>
        </w:rPr>
        <w:t xml:space="preserve">, or as an applicant or respondent in a variation or revocation or enforcement proceeding governed by </w:t>
      </w:r>
      <w:hyperlink w:anchor="_Chapter_8—Variation_and" w:history="1">
        <w:r w:rsidR="00524190" w:rsidRPr="00B40A77">
          <w:rPr>
            <w:rStyle w:val="Hyperlink"/>
            <w:color w:val="000000" w:themeColor="text1"/>
          </w:rPr>
          <w:t>Chapter</w:t>
        </w:r>
        <w:r w:rsidR="00582B40" w:rsidRPr="00B40A77">
          <w:rPr>
            <w:rStyle w:val="Hyperlink"/>
            <w:color w:val="000000" w:themeColor="text1"/>
          </w:rPr>
          <w:t> </w:t>
        </w:r>
        <w:r w:rsidR="00B11E11" w:rsidRPr="00B40A77">
          <w:rPr>
            <w:rStyle w:val="Hyperlink"/>
            <w:color w:val="000000" w:themeColor="text1"/>
          </w:rPr>
          <w:t>8</w:t>
        </w:r>
      </w:hyperlink>
      <w:r w:rsidR="00524190" w:rsidRPr="00B40A77">
        <w:rPr>
          <w:color w:val="000000" w:themeColor="text1"/>
        </w:rPr>
        <w:t xml:space="preserve">, </w:t>
      </w:r>
      <w:r w:rsidRPr="00B40A77">
        <w:rPr>
          <w:color w:val="000000" w:themeColor="text1"/>
        </w:rPr>
        <w:t xml:space="preserve">may appear or be represented in a proceeding by a sworn police prosecutor or prosecuting solicitor of the </w:t>
      </w:r>
      <w:r w:rsidRPr="00B40A77">
        <w:rPr>
          <w:color w:val="000000" w:themeColor="text1"/>
          <w:u w:val="single"/>
        </w:rPr>
        <w:t>Prosecution Services Branch</w:t>
      </w:r>
      <w:r w:rsidRPr="00B40A77">
        <w:rPr>
          <w:color w:val="000000" w:themeColor="text1"/>
        </w:rPr>
        <w:t>.</w:t>
      </w:r>
    </w:p>
    <w:p w14:paraId="27D6FB03" w14:textId="1F4A11CD" w:rsidR="0011322F" w:rsidRPr="00B40A77" w:rsidRDefault="00C750BE" w:rsidP="0011322F">
      <w:pPr>
        <w:pStyle w:val="Heading4"/>
        <w:rPr>
          <w:color w:val="000000" w:themeColor="text1"/>
        </w:rPr>
      </w:pPr>
      <w:bookmarkStart w:id="149" w:name="_Toc175238794"/>
      <w:r w:rsidRPr="00B40A77">
        <w:rPr>
          <w:color w:val="000000" w:themeColor="text1"/>
        </w:rPr>
        <w:t>25</w:t>
      </w:r>
      <w:r w:rsidR="0011322F" w:rsidRPr="00B40A77">
        <w:rPr>
          <w:color w:val="000000" w:themeColor="text1"/>
        </w:rPr>
        <w:t>.5—Commissioner bound by conduct of Prosecution Services Branch</w:t>
      </w:r>
      <w:bookmarkEnd w:id="149"/>
    </w:p>
    <w:p w14:paraId="4A3A7E61" w14:textId="2B6D65C6" w:rsidR="0011322F" w:rsidRPr="00B40A77" w:rsidRDefault="0011322F" w:rsidP="00C750BE">
      <w:pPr>
        <w:pStyle w:val="Hangindent"/>
        <w:ind w:left="567" w:firstLine="0"/>
        <w:rPr>
          <w:color w:val="000000" w:themeColor="text1"/>
          <w:lang w:val="en-US"/>
        </w:rPr>
      </w:pPr>
      <w:r w:rsidRPr="00B40A77">
        <w:rPr>
          <w:color w:val="000000" w:themeColor="text1"/>
        </w:rPr>
        <w:t xml:space="preserve">The </w:t>
      </w:r>
      <w:r w:rsidR="001E2199" w:rsidRPr="00B40A77">
        <w:rPr>
          <w:color w:val="000000" w:themeColor="text1"/>
          <w:lang w:val="en-US"/>
        </w:rPr>
        <w:t xml:space="preserve">Commissioner of Police </w:t>
      </w:r>
      <w:r w:rsidRPr="00B40A77">
        <w:rPr>
          <w:color w:val="000000" w:themeColor="text1"/>
          <w:lang w:val="en-US"/>
        </w:rPr>
        <w:t xml:space="preserve">bound by the conduct of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00330EF4" w:rsidRPr="00B40A77">
        <w:rPr>
          <w:color w:val="000000" w:themeColor="text1"/>
          <w:lang w:val="en-US"/>
        </w:rPr>
        <w:t xml:space="preserve">and a </w:t>
      </w:r>
      <w:r w:rsidR="00330EF4" w:rsidRPr="00B40A77">
        <w:rPr>
          <w:color w:val="000000" w:themeColor="text1"/>
        </w:rPr>
        <w:t>police prosecutor or prosecuting solicitor</w:t>
      </w:r>
      <w:r w:rsidRPr="00B40A77">
        <w:rPr>
          <w:color w:val="000000" w:themeColor="text1"/>
          <w:lang w:val="en-US"/>
        </w:rPr>
        <w:t xml:space="preserve"> representing</w:t>
      </w:r>
      <w:r w:rsidR="00C750BE" w:rsidRPr="00B40A77">
        <w:rPr>
          <w:color w:val="000000" w:themeColor="text1"/>
          <w:lang w:val="en-US"/>
        </w:rPr>
        <w:t xml:space="preserve"> </w:t>
      </w:r>
      <w:r w:rsidR="00330EF4" w:rsidRPr="00B40A77">
        <w:rPr>
          <w:color w:val="000000" w:themeColor="text1"/>
          <w:lang w:val="en-US"/>
        </w:rPr>
        <w:t xml:space="preserve">or appearing for </w:t>
      </w:r>
      <w:r w:rsidR="00C750BE" w:rsidRPr="00B40A77">
        <w:rPr>
          <w:color w:val="000000" w:themeColor="text1"/>
          <w:lang w:val="en-US"/>
        </w:rPr>
        <w:t>the Commissioner</w:t>
      </w:r>
      <w:r w:rsidRPr="00B40A77">
        <w:rPr>
          <w:color w:val="000000" w:themeColor="text1"/>
          <w:lang w:val="en-US"/>
        </w:rPr>
        <w:t xml:space="preserve"> in the proceeding.</w:t>
      </w:r>
    </w:p>
    <w:p w14:paraId="39F4FD86" w14:textId="685F372D" w:rsidR="00C750BE" w:rsidRPr="00B40A77" w:rsidRDefault="00C750BE" w:rsidP="00C750BE">
      <w:pPr>
        <w:pStyle w:val="Heading4"/>
        <w:rPr>
          <w:color w:val="000000" w:themeColor="text1"/>
        </w:rPr>
      </w:pPr>
      <w:bookmarkStart w:id="150" w:name="_Toc175238795"/>
      <w:r w:rsidRPr="00B40A77">
        <w:rPr>
          <w:color w:val="000000" w:themeColor="text1"/>
        </w:rPr>
        <w:t>25.6—Duties to the Court</w:t>
      </w:r>
      <w:bookmarkEnd w:id="150"/>
    </w:p>
    <w:p w14:paraId="69CAF171" w14:textId="1EE62264" w:rsidR="00C750BE" w:rsidRPr="00B40A77" w:rsidRDefault="00C750BE" w:rsidP="00330EF4">
      <w:pPr>
        <w:pStyle w:val="Hangindent"/>
        <w:ind w:left="567" w:firstLine="0"/>
        <w:rPr>
          <w:color w:val="000000" w:themeColor="text1"/>
        </w:rPr>
      </w:pPr>
      <w:r w:rsidRPr="00B40A77">
        <w:rPr>
          <w:color w:val="000000" w:themeColor="text1"/>
        </w:rPr>
        <w:t xml:space="preserve">A </w:t>
      </w:r>
      <w:r w:rsidR="005E3944" w:rsidRPr="00B40A77">
        <w:rPr>
          <w:color w:val="000000" w:themeColor="text1"/>
        </w:rPr>
        <w:t>police prosecutor and a</w:t>
      </w:r>
      <w:r w:rsidRPr="00B40A77">
        <w:rPr>
          <w:color w:val="000000" w:themeColor="text1"/>
        </w:rPr>
        <w:t xml:space="preserve"> prosecuting solicitor of the </w:t>
      </w:r>
      <w:hyperlink w:anchor="_2.1—Definitions" w:history="1">
        <w:r w:rsidR="00344475" w:rsidRPr="00B40A77">
          <w:rPr>
            <w:rStyle w:val="Hyperlink"/>
            <w:color w:val="000000" w:themeColor="text1"/>
          </w:rPr>
          <w:t>SAPOL Prosecution Branch</w:t>
        </w:r>
      </w:hyperlink>
      <w:r w:rsidR="00E85555" w:rsidRPr="00B40A77">
        <w:rPr>
          <w:color w:val="000000" w:themeColor="text1"/>
        </w:rPr>
        <w:t xml:space="preserve"> </w:t>
      </w:r>
      <w:r w:rsidRPr="00B40A77">
        <w:rPr>
          <w:color w:val="000000" w:themeColor="text1"/>
          <w:lang w:val="en-US"/>
        </w:rPr>
        <w:t xml:space="preserve">who </w:t>
      </w:r>
      <w:r w:rsidR="00330EF4" w:rsidRPr="00B40A77">
        <w:rPr>
          <w:color w:val="000000" w:themeColor="text1"/>
          <w:lang w:val="en-US"/>
        </w:rPr>
        <w:t xml:space="preserve">represents or </w:t>
      </w:r>
      <w:r w:rsidRPr="00B40A77">
        <w:rPr>
          <w:color w:val="000000" w:themeColor="text1"/>
          <w:lang w:val="en-US"/>
        </w:rPr>
        <w:t xml:space="preserve">appears for the </w:t>
      </w:r>
      <w:r w:rsidR="001E2199" w:rsidRPr="00B40A77">
        <w:rPr>
          <w:color w:val="000000" w:themeColor="text1"/>
          <w:lang w:val="en-US"/>
        </w:rPr>
        <w:t xml:space="preserve">Commissioner of Police </w:t>
      </w:r>
      <w:r w:rsidR="005E3944" w:rsidRPr="00B40A77">
        <w:rPr>
          <w:color w:val="000000" w:themeColor="text1"/>
          <w:lang w:val="en-US"/>
        </w:rPr>
        <w:t xml:space="preserve">as </w:t>
      </w:r>
      <w:r w:rsidR="00C920E3" w:rsidRPr="00B40A77">
        <w:rPr>
          <w:color w:val="000000" w:themeColor="text1"/>
          <w:lang w:val="en-US"/>
        </w:rPr>
        <w:t xml:space="preserve">an </w:t>
      </w:r>
      <w:r w:rsidR="005E3944" w:rsidRPr="00B40A77">
        <w:rPr>
          <w:color w:val="000000" w:themeColor="text1"/>
          <w:lang w:val="en-US"/>
        </w:rPr>
        <w:t>informant</w:t>
      </w:r>
      <w:r w:rsidR="009F5997" w:rsidRPr="00B40A77">
        <w:rPr>
          <w:color w:val="000000" w:themeColor="text1"/>
          <w:lang w:val="en-US"/>
        </w:rPr>
        <w:t xml:space="preserve">, </w:t>
      </w:r>
      <w:r w:rsidR="00C920E3" w:rsidRPr="00B40A77">
        <w:rPr>
          <w:color w:val="000000" w:themeColor="text1"/>
          <w:lang w:val="en-US"/>
        </w:rPr>
        <w:t xml:space="preserve">an applicant or </w:t>
      </w:r>
      <w:r w:rsidR="009F5997" w:rsidRPr="00B40A77">
        <w:rPr>
          <w:color w:val="000000" w:themeColor="text1"/>
          <w:lang w:val="en-US"/>
        </w:rPr>
        <w:t xml:space="preserve">a </w:t>
      </w:r>
      <w:r w:rsidR="00C920E3" w:rsidRPr="00B40A77">
        <w:rPr>
          <w:color w:val="000000" w:themeColor="text1"/>
          <w:lang w:val="en-US"/>
        </w:rPr>
        <w:t>respondent</w:t>
      </w:r>
      <w:r w:rsidR="005E3944" w:rsidRPr="00B40A77">
        <w:rPr>
          <w:color w:val="000000" w:themeColor="text1"/>
          <w:lang w:val="en-US"/>
        </w:rPr>
        <w:t xml:space="preserve"> in a</w:t>
      </w:r>
      <w:r w:rsidRPr="00B40A77">
        <w:rPr>
          <w:color w:val="000000" w:themeColor="text1"/>
          <w:lang w:val="en-US"/>
        </w:rPr>
        <w:t xml:space="preserve"> proceeding</w:t>
      </w:r>
      <w:r w:rsidR="005E3944" w:rsidRPr="00B40A77">
        <w:rPr>
          <w:color w:val="000000" w:themeColor="text1"/>
          <w:lang w:val="en-US"/>
        </w:rPr>
        <w:t xml:space="preserve"> owes the same duties to the Court as </w:t>
      </w:r>
      <w:r w:rsidR="00330EF4" w:rsidRPr="00B40A77">
        <w:rPr>
          <w:color w:val="000000" w:themeColor="text1"/>
          <w:lang w:val="en-US"/>
        </w:rPr>
        <w:t xml:space="preserve">solicitors and </w:t>
      </w:r>
      <w:r w:rsidR="005E3944" w:rsidRPr="00B40A77">
        <w:rPr>
          <w:color w:val="000000" w:themeColor="text1"/>
          <w:lang w:val="en-US"/>
        </w:rPr>
        <w:t xml:space="preserve">counsel </w:t>
      </w:r>
      <w:r w:rsidR="00330EF4" w:rsidRPr="00B40A77">
        <w:rPr>
          <w:color w:val="000000" w:themeColor="text1"/>
          <w:lang w:val="en-US"/>
        </w:rPr>
        <w:t>representing or</w:t>
      </w:r>
      <w:r w:rsidR="005E3944" w:rsidRPr="00B40A77">
        <w:rPr>
          <w:color w:val="000000" w:themeColor="text1"/>
          <w:lang w:val="en-US"/>
        </w:rPr>
        <w:t xml:space="preserve"> appearing for a</w:t>
      </w:r>
      <w:r w:rsidR="001B1E56" w:rsidRPr="00B40A77">
        <w:rPr>
          <w:color w:val="000000" w:themeColor="text1"/>
          <w:lang w:val="en-US"/>
        </w:rPr>
        <w:t>n</w:t>
      </w:r>
      <w:r w:rsidR="005E3944" w:rsidRPr="00B40A77">
        <w:rPr>
          <w:color w:val="000000" w:themeColor="text1"/>
          <w:lang w:val="en-US"/>
        </w:rPr>
        <w:t xml:space="preserve"> informant </w:t>
      </w:r>
      <w:r w:rsidR="006F02BF" w:rsidRPr="00B40A77">
        <w:rPr>
          <w:color w:val="000000" w:themeColor="text1"/>
          <w:lang w:val="en-US"/>
        </w:rPr>
        <w:t xml:space="preserve">or applicant or </w:t>
      </w:r>
      <w:r w:rsidR="001358C9" w:rsidRPr="00B40A77">
        <w:rPr>
          <w:color w:val="000000" w:themeColor="text1"/>
          <w:lang w:val="en-US"/>
        </w:rPr>
        <w:t xml:space="preserve">respondent </w:t>
      </w:r>
      <w:r w:rsidR="009F5997" w:rsidRPr="00B40A77">
        <w:rPr>
          <w:color w:val="000000" w:themeColor="text1"/>
          <w:lang w:val="en-US"/>
        </w:rPr>
        <w:t xml:space="preserve">respectively </w:t>
      </w:r>
      <w:r w:rsidR="005E3944" w:rsidRPr="00B40A77">
        <w:rPr>
          <w:color w:val="000000" w:themeColor="text1"/>
          <w:lang w:val="en-US"/>
        </w:rPr>
        <w:t>owe to the Court</w:t>
      </w:r>
      <w:r w:rsidRPr="00B40A77">
        <w:rPr>
          <w:color w:val="000000" w:themeColor="text1"/>
          <w:lang w:val="en-US"/>
        </w:rPr>
        <w:t>.</w:t>
      </w:r>
    </w:p>
    <w:p w14:paraId="3B38D9E9" w14:textId="3063EE59" w:rsidR="00A351F3" w:rsidRPr="00B40A77" w:rsidRDefault="00A351F3" w:rsidP="00A351F3">
      <w:pPr>
        <w:pStyle w:val="Heading3"/>
        <w:rPr>
          <w:color w:val="000000" w:themeColor="text1"/>
        </w:rPr>
      </w:pPr>
      <w:bookmarkStart w:id="151" w:name="_Toc175238796"/>
      <w:r w:rsidRPr="00B40A77">
        <w:rPr>
          <w:color w:val="000000" w:themeColor="text1"/>
        </w:rPr>
        <w:lastRenderedPageBreak/>
        <w:t xml:space="preserve">Division </w:t>
      </w:r>
      <w:r w:rsidR="001B1E56" w:rsidRPr="00B40A77">
        <w:rPr>
          <w:color w:val="000000" w:themeColor="text1"/>
        </w:rPr>
        <w:t>4</w:t>
      </w:r>
      <w:r w:rsidRPr="00B40A77">
        <w:rPr>
          <w:color w:val="000000" w:themeColor="text1"/>
        </w:rPr>
        <w:t>— Representation: non-lawyers</w:t>
      </w:r>
      <w:bookmarkEnd w:id="151"/>
    </w:p>
    <w:p w14:paraId="0F0CA374" w14:textId="478E0DF5" w:rsidR="00A351F3" w:rsidRPr="00B40A77" w:rsidRDefault="00866E49" w:rsidP="00A351F3">
      <w:pPr>
        <w:pStyle w:val="Heading4"/>
        <w:rPr>
          <w:color w:val="000000" w:themeColor="text1"/>
        </w:rPr>
      </w:pPr>
      <w:bookmarkStart w:id="152" w:name="_26.1—No_right_of"/>
      <w:bookmarkStart w:id="153" w:name="_Toc175238797"/>
      <w:bookmarkStart w:id="154" w:name="_Hlk31704221"/>
      <w:bookmarkEnd w:id="152"/>
      <w:r w:rsidRPr="00B40A77">
        <w:rPr>
          <w:color w:val="000000" w:themeColor="text1"/>
        </w:rPr>
        <w:t>2</w:t>
      </w:r>
      <w:r w:rsidR="00376FC8" w:rsidRPr="00B40A77">
        <w:rPr>
          <w:color w:val="000000" w:themeColor="text1"/>
        </w:rPr>
        <w:t>6</w:t>
      </w:r>
      <w:r w:rsidR="00A351F3" w:rsidRPr="00B40A77">
        <w:rPr>
          <w:color w:val="000000" w:themeColor="text1"/>
        </w:rPr>
        <w:t>.1—No right of representation by non-lawyer</w:t>
      </w:r>
      <w:bookmarkEnd w:id="153"/>
    </w:p>
    <w:p w14:paraId="72E74A84" w14:textId="7DC21869"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Subject to </w:t>
      </w:r>
      <w:hyperlink w:anchor="_Division_3—_Representation:" w:history="1">
        <w:r w:rsidR="001B1E56" w:rsidRPr="00B40A77">
          <w:rPr>
            <w:rStyle w:val="Hyperlink"/>
            <w:color w:val="000000" w:themeColor="text1"/>
            <w:lang w:val="en-US"/>
          </w:rPr>
          <w:t>Division 3</w:t>
        </w:r>
      </w:hyperlink>
      <w:r w:rsidR="006F7442" w:rsidRPr="00B40A77">
        <w:rPr>
          <w:color w:val="000000" w:themeColor="text1"/>
          <w:lang w:val="en-US"/>
        </w:rPr>
        <w:t xml:space="preserve"> and</w:t>
      </w:r>
      <w:r w:rsidR="001B1E56" w:rsidRPr="00B40A77">
        <w:rPr>
          <w:color w:val="000000" w:themeColor="text1"/>
          <w:lang w:val="en-US"/>
        </w:rPr>
        <w:t xml:space="preserve"> </w:t>
      </w:r>
      <w:r w:rsidRPr="00B40A77">
        <w:rPr>
          <w:color w:val="000000" w:themeColor="text1"/>
          <w:lang w:val="en-US"/>
        </w:rPr>
        <w:t xml:space="preserve">the following subrules and any applicable </w:t>
      </w:r>
      <w:r w:rsidR="00532AD4" w:rsidRPr="00B40A77">
        <w:rPr>
          <w:color w:val="000000" w:themeColor="text1"/>
          <w:lang w:val="en-US"/>
        </w:rPr>
        <w:t>statutory provision</w:t>
      </w:r>
      <w:r w:rsidRPr="00B40A77">
        <w:rPr>
          <w:color w:val="000000" w:themeColor="text1"/>
          <w:lang w:val="en-US"/>
        </w:rPr>
        <w:t xml:space="preserve">, a person may not be represented </w:t>
      </w:r>
      <w:r w:rsidR="001B1E56" w:rsidRPr="00B40A77">
        <w:rPr>
          <w:color w:val="000000" w:themeColor="text1"/>
          <w:lang w:val="en-US"/>
        </w:rPr>
        <w:t xml:space="preserve">or appear </w:t>
      </w:r>
      <w:r w:rsidRPr="00B40A77">
        <w:rPr>
          <w:color w:val="000000" w:themeColor="text1"/>
          <w:lang w:val="en-US"/>
        </w:rPr>
        <w:t xml:space="preserve">in a proceeding </w:t>
      </w:r>
      <w:r w:rsidRPr="00B40A77">
        <w:rPr>
          <w:rFonts w:cs="Times New Roman"/>
          <w:color w:val="000000" w:themeColor="text1"/>
        </w:rPr>
        <w:t>or appellate proceeding</w:t>
      </w:r>
      <w:r w:rsidRPr="00B40A77">
        <w:rPr>
          <w:color w:val="000000" w:themeColor="text1"/>
          <w:lang w:val="en-US"/>
        </w:rPr>
        <w:t xml:space="preserve"> by a person other than a </w:t>
      </w:r>
      <w:r w:rsidR="00C041A3" w:rsidRPr="00B40A77">
        <w:rPr>
          <w:color w:val="000000" w:themeColor="text1"/>
          <w:lang w:val="en-US"/>
        </w:rPr>
        <w:t xml:space="preserve">law firm or </w:t>
      </w:r>
      <w:r w:rsidRPr="00B40A77">
        <w:rPr>
          <w:color w:val="000000" w:themeColor="text1"/>
          <w:lang w:val="en-US"/>
        </w:rPr>
        <w:t>lawyer legally entitled to practice in South Australia.</w:t>
      </w:r>
    </w:p>
    <w:p w14:paraId="2E229EB1" w14:textId="30E973D3"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To avoid doubt, this rule does not prevent an individual from acting or appearin</w:t>
      </w:r>
      <w:r w:rsidR="003868A5" w:rsidRPr="00B40A77">
        <w:rPr>
          <w:color w:val="000000" w:themeColor="text1"/>
          <w:lang w:val="en-US"/>
        </w:rPr>
        <w:t>g as a self-represented party</w:t>
      </w:r>
      <w:r w:rsidRPr="00B40A77">
        <w:rPr>
          <w:color w:val="000000" w:themeColor="text1"/>
          <w:lang w:val="en-US"/>
        </w:rPr>
        <w:t xml:space="preserve"> without any representation.</w:t>
      </w:r>
    </w:p>
    <w:p w14:paraId="62FBA73A" w14:textId="260CD082" w:rsidR="005E3944" w:rsidRPr="00B40A77" w:rsidRDefault="00963A1E" w:rsidP="005E3944">
      <w:pPr>
        <w:pStyle w:val="Hangindent"/>
        <w:rPr>
          <w:color w:val="000000" w:themeColor="text1"/>
        </w:rPr>
      </w:pPr>
      <w:bookmarkStart w:id="155" w:name="_Hlk80688158"/>
      <w:r w:rsidRPr="00B40A77">
        <w:rPr>
          <w:color w:val="000000" w:themeColor="text1"/>
          <w:lang w:val="en-US"/>
        </w:rPr>
        <w:t>(3)</w:t>
      </w:r>
      <w:r w:rsidRPr="00B40A77">
        <w:rPr>
          <w:color w:val="000000" w:themeColor="text1"/>
          <w:lang w:val="en-US"/>
        </w:rPr>
        <w:tab/>
      </w:r>
      <w:r w:rsidR="005E3944" w:rsidRPr="00B40A77">
        <w:rPr>
          <w:color w:val="000000" w:themeColor="text1"/>
        </w:rPr>
        <w:t xml:space="preserve">The Court may give leave for a person other than a law firm or lawyer to represent or appear for the informant in a proceeding </w:t>
      </w:r>
      <w:r w:rsidR="005E3944" w:rsidRPr="00B40A77">
        <w:rPr>
          <w:rFonts w:cs="Times New Roman"/>
          <w:color w:val="000000" w:themeColor="text1"/>
        </w:rPr>
        <w:t>or appellate proceeding</w:t>
      </w:r>
      <w:r w:rsidR="005E3944" w:rsidRPr="00B40A77">
        <w:rPr>
          <w:color w:val="000000" w:themeColor="text1"/>
        </w:rPr>
        <w:t xml:space="preserve"> on such terms as the Court thinks fit if—</w:t>
      </w:r>
    </w:p>
    <w:p w14:paraId="6B4B58AC" w14:textId="1A2F7C4B" w:rsidR="005E3944" w:rsidRPr="00B40A77" w:rsidRDefault="00C86D7B" w:rsidP="005E3944">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informant is a </w:t>
      </w:r>
      <w:hyperlink w:anchor="_2.1—Definitions" w:history="1">
        <w:r w:rsidR="006B222C" w:rsidRPr="00B40A77">
          <w:rPr>
            <w:rStyle w:val="Hyperlink"/>
            <w:color w:val="000000" w:themeColor="text1"/>
            <w:lang w:val="en-US"/>
          </w:rPr>
          <w:t>public authority</w:t>
        </w:r>
      </w:hyperlink>
      <w:r w:rsidR="005E3944" w:rsidRPr="00B40A77">
        <w:rPr>
          <w:color w:val="000000" w:themeColor="text1"/>
          <w:lang w:val="en-US"/>
        </w:rPr>
        <w:t>;</w:t>
      </w:r>
    </w:p>
    <w:p w14:paraId="4495C14F" w14:textId="228E5409" w:rsidR="005E3944" w:rsidRPr="00B40A77" w:rsidRDefault="005E3944" w:rsidP="005E3944">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representative is </w:t>
      </w:r>
      <w:r w:rsidR="00AE328E" w:rsidRPr="00B40A77">
        <w:rPr>
          <w:color w:val="000000" w:themeColor="text1"/>
          <w:lang w:val="en-US"/>
        </w:rPr>
        <w:t xml:space="preserve">a </w:t>
      </w:r>
      <w:hyperlink w:anchor="_2.1—Definitions" w:history="1">
        <w:r w:rsidR="00AE328E" w:rsidRPr="00B40A77">
          <w:rPr>
            <w:rStyle w:val="Hyperlink"/>
            <w:color w:val="000000" w:themeColor="text1"/>
            <w:lang w:val="en-US"/>
          </w:rPr>
          <w:t>public officer</w:t>
        </w:r>
      </w:hyperlink>
      <w:r w:rsidR="00AE328E" w:rsidRPr="00B40A77">
        <w:rPr>
          <w:color w:val="000000" w:themeColor="text1"/>
          <w:lang w:val="en-US"/>
        </w:rPr>
        <w:t xml:space="preserve"> of the </w:t>
      </w:r>
      <w:hyperlink w:anchor="_2.1—Definitions" w:history="1">
        <w:r w:rsidR="00732D46" w:rsidRPr="00B40A77">
          <w:rPr>
            <w:rStyle w:val="Hyperlink"/>
            <w:color w:val="000000" w:themeColor="text1"/>
            <w:lang w:val="en-US"/>
          </w:rPr>
          <w:t>public authority</w:t>
        </w:r>
      </w:hyperlink>
      <w:r w:rsidRPr="00B40A77">
        <w:rPr>
          <w:color w:val="000000" w:themeColor="text1"/>
          <w:lang w:val="en-US"/>
        </w:rPr>
        <w:t>;</w:t>
      </w:r>
    </w:p>
    <w:p w14:paraId="4025D33C" w14:textId="5F3170DB" w:rsidR="005E3944" w:rsidRPr="00B40A77" w:rsidRDefault="005E3944" w:rsidP="005E3944">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w:t>
      </w:r>
      <w:r w:rsidR="00AE328E" w:rsidRPr="00B40A77">
        <w:rPr>
          <w:color w:val="000000" w:themeColor="text1"/>
          <w:lang w:val="en-US"/>
        </w:rPr>
        <w:t>representative</w:t>
      </w:r>
      <w:r w:rsidRPr="00B40A77">
        <w:rPr>
          <w:color w:val="000000" w:themeColor="text1"/>
          <w:lang w:val="en-US"/>
        </w:rPr>
        <w:t xml:space="preserve"> has power to bind the </w:t>
      </w:r>
      <w:r w:rsidR="00AE328E" w:rsidRPr="00B40A77">
        <w:rPr>
          <w:color w:val="000000" w:themeColor="text1"/>
          <w:lang w:val="en-US"/>
        </w:rPr>
        <w:t>informant</w:t>
      </w:r>
      <w:r w:rsidRPr="00B40A77">
        <w:rPr>
          <w:color w:val="000000" w:themeColor="text1"/>
          <w:lang w:val="en-US"/>
        </w:rPr>
        <w:t xml:space="preserve"> in the proceeding; and</w:t>
      </w:r>
    </w:p>
    <w:p w14:paraId="7AB5B4BB" w14:textId="19F4CB8C" w:rsidR="001B1E56" w:rsidRPr="00B40A77" w:rsidRDefault="005E3944" w:rsidP="001B1E56">
      <w:pPr>
        <w:pStyle w:val="Doublehangindent"/>
        <w:rPr>
          <w:color w:val="000000" w:themeColor="text1"/>
          <w:lang w:val="en-US"/>
        </w:rPr>
      </w:pPr>
      <w:r w:rsidRPr="00B40A77">
        <w:rPr>
          <w:color w:val="000000" w:themeColor="text1"/>
          <w:lang w:val="en-US"/>
        </w:rPr>
        <w:t>(d)</w:t>
      </w:r>
      <w:r w:rsidR="001B1E56" w:rsidRPr="00B40A77">
        <w:rPr>
          <w:color w:val="000000" w:themeColor="text1"/>
          <w:lang w:val="en-US"/>
        </w:rPr>
        <w:tab/>
      </w:r>
      <w:r w:rsidRPr="00B40A77">
        <w:rPr>
          <w:color w:val="000000" w:themeColor="text1"/>
          <w:lang w:val="en-US"/>
        </w:rPr>
        <w:t>the Court considers that it is in the interests of justice to give such leave.</w:t>
      </w:r>
      <w:bookmarkEnd w:id="155"/>
    </w:p>
    <w:p w14:paraId="012EC625" w14:textId="3020F076" w:rsidR="00A351F3" w:rsidRPr="00B40A77" w:rsidRDefault="00A351F3" w:rsidP="00A351F3">
      <w:pPr>
        <w:pStyle w:val="Hangindent"/>
        <w:rPr>
          <w:color w:val="000000" w:themeColor="text1"/>
        </w:rPr>
      </w:pPr>
      <w:r w:rsidRPr="00B40A77">
        <w:rPr>
          <w:color w:val="000000" w:themeColor="text1"/>
        </w:rPr>
        <w:t>(</w:t>
      </w:r>
      <w:r w:rsidR="00963A1E" w:rsidRPr="00B40A77">
        <w:rPr>
          <w:color w:val="000000" w:themeColor="text1"/>
        </w:rPr>
        <w:t>4</w:t>
      </w:r>
      <w:r w:rsidRPr="00B40A77">
        <w:rPr>
          <w:color w:val="000000" w:themeColor="text1"/>
        </w:rPr>
        <w:t>)</w:t>
      </w:r>
      <w:r w:rsidRPr="00B40A77">
        <w:rPr>
          <w:color w:val="000000" w:themeColor="text1"/>
        </w:rPr>
        <w:tab/>
        <w:t xml:space="preserve">The Court may give leave for a person other than a law firm </w:t>
      </w:r>
      <w:r w:rsidR="005E3944" w:rsidRPr="00B40A77">
        <w:rPr>
          <w:color w:val="000000" w:themeColor="text1"/>
        </w:rPr>
        <w:t xml:space="preserve">or lawyer </w:t>
      </w:r>
      <w:r w:rsidRPr="00B40A77">
        <w:rPr>
          <w:color w:val="000000" w:themeColor="text1"/>
        </w:rPr>
        <w:t xml:space="preserve">to represent or appear for a party in a proceeding </w:t>
      </w:r>
      <w:r w:rsidRPr="00B40A77">
        <w:rPr>
          <w:rFonts w:cs="Times New Roman"/>
          <w:color w:val="000000" w:themeColor="text1"/>
        </w:rPr>
        <w:t>or appellate proceeding</w:t>
      </w:r>
      <w:r w:rsidRPr="00B40A77">
        <w:rPr>
          <w:color w:val="000000" w:themeColor="text1"/>
        </w:rPr>
        <w:t xml:space="preserve"> on such terms as the Court thinks fit if—</w:t>
      </w:r>
    </w:p>
    <w:p w14:paraId="7A7424BF" w14:textId="6A6797AC"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party is a </w:t>
      </w:r>
      <w:hyperlink w:anchor="_2.1—Definitions" w:history="1">
        <w:hyperlink w:anchor="_2.1—Definitions" w:history="1">
          <w:r w:rsidR="00350C21" w:rsidRPr="00B40A77">
            <w:rPr>
              <w:rStyle w:val="Hyperlink"/>
              <w:color w:val="000000" w:themeColor="text1"/>
            </w:rPr>
            <w:t>company</w:t>
          </w:r>
        </w:hyperlink>
      </w:hyperlink>
      <w:r w:rsidR="00170F29" w:rsidRPr="00B40A77">
        <w:rPr>
          <w:rStyle w:val="Hyperlink"/>
          <w:color w:val="000000" w:themeColor="text1"/>
          <w:u w:val="none"/>
          <w:lang w:val="en-US"/>
        </w:rPr>
        <w:t xml:space="preserve"> or other legal entity not being an individual</w:t>
      </w:r>
      <w:r w:rsidRPr="00B40A77">
        <w:rPr>
          <w:color w:val="000000" w:themeColor="text1"/>
          <w:lang w:val="en-US"/>
        </w:rPr>
        <w:t>;</w:t>
      </w:r>
    </w:p>
    <w:p w14:paraId="54B2B324" w14:textId="6638883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representative is a director of the </w:t>
      </w:r>
      <w:hyperlink w:anchor="_2.1—Definitions" w:history="1">
        <w:hyperlink w:anchor="_2.1—Definitions" w:history="1">
          <w:r w:rsidR="00350C21" w:rsidRPr="00B40A77">
            <w:rPr>
              <w:rStyle w:val="Hyperlink"/>
              <w:color w:val="000000" w:themeColor="text1"/>
            </w:rPr>
            <w:t>company</w:t>
          </w:r>
        </w:hyperlink>
      </w:hyperlink>
      <w:r w:rsidR="00170F29" w:rsidRPr="00B40A77">
        <w:rPr>
          <w:rStyle w:val="Hyperlink"/>
          <w:color w:val="000000" w:themeColor="text1"/>
          <w:lang w:val="en-US"/>
        </w:rPr>
        <w:t xml:space="preserve"> </w:t>
      </w:r>
      <w:r w:rsidR="00170F29" w:rsidRPr="00B40A77">
        <w:rPr>
          <w:rStyle w:val="Hyperlink"/>
          <w:color w:val="000000" w:themeColor="text1"/>
          <w:u w:val="none"/>
          <w:lang w:val="en-US"/>
        </w:rPr>
        <w:t>or officer of the other legal entity</w:t>
      </w:r>
      <w:r w:rsidRPr="00B40A77">
        <w:rPr>
          <w:color w:val="000000" w:themeColor="text1"/>
          <w:lang w:val="en-US"/>
        </w:rPr>
        <w:t>;</w:t>
      </w:r>
    </w:p>
    <w:p w14:paraId="668F45EA" w14:textId="06C367D7"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w:t>
      </w:r>
      <w:r w:rsidR="00AE328E" w:rsidRPr="00B40A77">
        <w:rPr>
          <w:color w:val="000000" w:themeColor="text1"/>
          <w:lang w:val="en-US"/>
        </w:rPr>
        <w:t>representative</w:t>
      </w:r>
      <w:r w:rsidRPr="00B40A77">
        <w:rPr>
          <w:color w:val="000000" w:themeColor="text1"/>
          <w:lang w:val="en-US"/>
        </w:rPr>
        <w:t xml:space="preserve"> has power to bind the party</w:t>
      </w:r>
      <w:r w:rsidR="00AE328E" w:rsidRPr="00B40A77">
        <w:rPr>
          <w:color w:val="000000" w:themeColor="text1"/>
          <w:lang w:val="en-US"/>
        </w:rPr>
        <w:t xml:space="preserve"> </w:t>
      </w:r>
      <w:r w:rsidRPr="00B40A77">
        <w:rPr>
          <w:color w:val="000000" w:themeColor="text1"/>
          <w:lang w:val="en-US"/>
        </w:rPr>
        <w:t>in the proceeding; and</w:t>
      </w:r>
    </w:p>
    <w:p w14:paraId="217A1A0C" w14:textId="77777777"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the Court considers that it is in the interests of justice to give such leave.</w:t>
      </w:r>
    </w:p>
    <w:p w14:paraId="6445F162" w14:textId="0B85DBE5" w:rsidR="00A351F3" w:rsidRPr="00B40A77" w:rsidRDefault="00A351F3" w:rsidP="00A351F3">
      <w:pPr>
        <w:pStyle w:val="Hangindent"/>
        <w:rPr>
          <w:color w:val="000000" w:themeColor="text1"/>
        </w:rPr>
      </w:pPr>
      <w:r w:rsidRPr="00B40A77">
        <w:rPr>
          <w:color w:val="000000" w:themeColor="text1"/>
          <w:lang w:val="en-US"/>
        </w:rPr>
        <w:t>(</w:t>
      </w:r>
      <w:r w:rsidR="00963A1E" w:rsidRPr="00B40A77">
        <w:rPr>
          <w:color w:val="000000" w:themeColor="text1"/>
          <w:lang w:val="en-US"/>
        </w:rPr>
        <w:t>5</w:t>
      </w:r>
      <w:r w:rsidRPr="00B40A77">
        <w:rPr>
          <w:color w:val="000000" w:themeColor="text1"/>
          <w:lang w:val="en-US"/>
        </w:rPr>
        <w:t>)</w:t>
      </w:r>
      <w:r w:rsidRPr="00B40A77">
        <w:rPr>
          <w:color w:val="000000" w:themeColor="text1"/>
          <w:lang w:val="en-US"/>
        </w:rPr>
        <w:tab/>
      </w:r>
      <w:r w:rsidRPr="00B40A77">
        <w:rPr>
          <w:color w:val="000000" w:themeColor="text1"/>
        </w:rPr>
        <w:t>The Court may</w:t>
      </w:r>
      <w:r w:rsidR="00697A9D" w:rsidRPr="00B40A77">
        <w:rPr>
          <w:color w:val="000000" w:themeColor="text1"/>
        </w:rPr>
        <w:t>,</w:t>
      </w:r>
      <w:r w:rsidRPr="00B40A77">
        <w:rPr>
          <w:color w:val="000000" w:themeColor="text1"/>
        </w:rPr>
        <w:t xml:space="preserve"> if it thinks fit</w:t>
      </w:r>
      <w:r w:rsidR="00697A9D" w:rsidRPr="00B40A77">
        <w:rPr>
          <w:color w:val="000000" w:themeColor="text1"/>
        </w:rPr>
        <w:t>,</w:t>
      </w:r>
      <w:r w:rsidRPr="00B40A77">
        <w:rPr>
          <w:color w:val="000000" w:themeColor="text1"/>
        </w:rPr>
        <w:t xml:space="preserve"> give leav</w:t>
      </w:r>
      <w:r w:rsidR="003868A5" w:rsidRPr="00B40A77">
        <w:rPr>
          <w:color w:val="000000" w:themeColor="text1"/>
        </w:rPr>
        <w:t>e to a self-represented party</w:t>
      </w:r>
      <w:r w:rsidRPr="00B40A77">
        <w:rPr>
          <w:color w:val="000000" w:themeColor="text1"/>
        </w:rPr>
        <w:t xml:space="preserve"> to be assisted in the presentation of their case at a </w:t>
      </w:r>
      <w:hyperlink w:anchor="_2.1—Definitions" w:history="1">
        <w:hyperlink w:anchor="_2.1—Definitions" w:history="1">
          <w:r w:rsidR="00CE7A79" w:rsidRPr="00B40A77">
            <w:rPr>
              <w:rStyle w:val="Hyperlink"/>
              <w:color w:val="000000" w:themeColor="text1"/>
            </w:rPr>
            <w:t>hearing</w:t>
          </w:r>
        </w:hyperlink>
      </w:hyperlink>
      <w:r w:rsidRPr="00B40A77">
        <w:rPr>
          <w:color w:val="000000" w:themeColor="text1"/>
        </w:rPr>
        <w:t xml:space="preserve"> </w:t>
      </w:r>
      <w:r w:rsidR="007A1BD6" w:rsidRPr="00B40A77">
        <w:rPr>
          <w:color w:val="000000" w:themeColor="text1"/>
        </w:rPr>
        <w:t xml:space="preserve">or </w:t>
      </w:r>
      <w:r w:rsidR="007A1BD6" w:rsidRPr="00B40A77">
        <w:rPr>
          <w:color w:val="000000" w:themeColor="text1"/>
          <w:u w:val="single"/>
        </w:rPr>
        <w:t>trial</w:t>
      </w:r>
      <w:r w:rsidR="007A1BD6" w:rsidRPr="00B40A77">
        <w:rPr>
          <w:color w:val="000000" w:themeColor="text1"/>
        </w:rPr>
        <w:t xml:space="preserve"> </w:t>
      </w:r>
      <w:r w:rsidRPr="00B40A77">
        <w:rPr>
          <w:color w:val="000000" w:themeColor="text1"/>
        </w:rPr>
        <w:t>by a person approved by the Court but, unless the Court otherwise orders, such leave does not permit the person assisting to address the Court.</w:t>
      </w:r>
    </w:p>
    <w:p w14:paraId="6A4A3130" w14:textId="081D5B49" w:rsidR="00A351F3" w:rsidRPr="00B40A77" w:rsidRDefault="00A351F3" w:rsidP="00A351F3">
      <w:pPr>
        <w:pStyle w:val="Heading3"/>
        <w:rPr>
          <w:color w:val="000000" w:themeColor="text1"/>
        </w:rPr>
      </w:pPr>
      <w:bookmarkStart w:id="156" w:name="_Toc175238798"/>
      <w:bookmarkEnd w:id="115"/>
      <w:r w:rsidRPr="00B40A77">
        <w:rPr>
          <w:color w:val="000000" w:themeColor="text1"/>
        </w:rPr>
        <w:t xml:space="preserve">Division </w:t>
      </w:r>
      <w:r w:rsidR="001B1E56" w:rsidRPr="00B40A77">
        <w:rPr>
          <w:color w:val="000000" w:themeColor="text1"/>
        </w:rPr>
        <w:t>5</w:t>
      </w:r>
      <w:r w:rsidR="000262F8" w:rsidRPr="00B40A77">
        <w:rPr>
          <w:color w:val="000000" w:themeColor="text1"/>
        </w:rPr>
        <w:t>—O</w:t>
      </w:r>
      <w:r w:rsidRPr="00B40A77">
        <w:rPr>
          <w:color w:val="000000" w:themeColor="text1"/>
        </w:rPr>
        <w:t>bligations of parties and lawyers</w:t>
      </w:r>
      <w:bookmarkEnd w:id="156"/>
    </w:p>
    <w:p w14:paraId="3B4DF08E" w14:textId="1BA6E867" w:rsidR="00A351F3" w:rsidRPr="00B40A77" w:rsidRDefault="00866E49" w:rsidP="00A351F3">
      <w:pPr>
        <w:pStyle w:val="Heading4"/>
        <w:rPr>
          <w:color w:val="000000" w:themeColor="text1"/>
        </w:rPr>
      </w:pPr>
      <w:bookmarkStart w:id="157" w:name="_3.1—Overarching_obligations"/>
      <w:bookmarkStart w:id="158" w:name="_27.1—Overarching_obligations"/>
      <w:bookmarkStart w:id="159" w:name="_Toc175238799"/>
      <w:bookmarkStart w:id="160" w:name="_Hlk110620021"/>
      <w:bookmarkEnd w:id="157"/>
      <w:bookmarkEnd w:id="158"/>
      <w:r w:rsidRPr="00B40A77">
        <w:rPr>
          <w:color w:val="000000" w:themeColor="text1"/>
        </w:rPr>
        <w:t>2</w:t>
      </w:r>
      <w:r w:rsidR="00F20F0A" w:rsidRPr="00B40A77">
        <w:rPr>
          <w:color w:val="000000" w:themeColor="text1"/>
        </w:rPr>
        <w:t>7</w:t>
      </w:r>
      <w:r w:rsidR="00A351F3" w:rsidRPr="00B40A77">
        <w:rPr>
          <w:color w:val="000000" w:themeColor="text1"/>
        </w:rPr>
        <w:t>.1—Overarching obligations</w:t>
      </w:r>
      <w:bookmarkEnd w:id="159"/>
    </w:p>
    <w:p w14:paraId="38124390" w14:textId="423036E3"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party </w:t>
      </w:r>
      <w:r w:rsidR="00922FEA" w:rsidRPr="00B40A77">
        <w:rPr>
          <w:color w:val="000000" w:themeColor="text1"/>
          <w:lang w:val="en-US"/>
        </w:rPr>
        <w:t xml:space="preserve">(other than a youth in the Youth Court) </w:t>
      </w:r>
      <w:r w:rsidRPr="00B40A77">
        <w:rPr>
          <w:color w:val="000000" w:themeColor="text1"/>
          <w:lang w:val="en-US"/>
        </w:rPr>
        <w:t>must in relation to a proceeding or an appellate proceeding</w:t>
      </w:r>
      <w:r w:rsidRPr="00B40A77">
        <w:rPr>
          <w:color w:val="000000" w:themeColor="text1"/>
        </w:rPr>
        <w:t>—</w:t>
      </w:r>
    </w:p>
    <w:p w14:paraId="2FB6CC32"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act honestly;</w:t>
      </w:r>
    </w:p>
    <w:p w14:paraId="12C46EB0"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not engage in misleading conduct;</w:t>
      </w:r>
    </w:p>
    <w:p w14:paraId="14D70538" w14:textId="29518C53"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not take a </w:t>
      </w:r>
      <w:hyperlink w:anchor="_2.1—Definitions" w:history="1">
        <w:r w:rsidR="0042083D" w:rsidRPr="00B40A77">
          <w:rPr>
            <w:rStyle w:val="Hyperlink"/>
            <w:color w:val="000000" w:themeColor="text1"/>
            <w:lang w:val="en-US"/>
          </w:rPr>
          <w:t>step</w:t>
        </w:r>
      </w:hyperlink>
      <w:r w:rsidRPr="00B40A77">
        <w:rPr>
          <w:color w:val="000000" w:themeColor="text1"/>
          <w:lang w:val="en-US"/>
        </w:rPr>
        <w:t xml:space="preserve"> that is frivolous, vexatious or an abuse of process;</w:t>
      </w:r>
    </w:p>
    <w:p w14:paraId="6D4D0939" w14:textId="77A53823" w:rsidR="00A351F3" w:rsidRPr="00B40A77" w:rsidRDefault="00B712C3" w:rsidP="00A351F3">
      <w:pPr>
        <w:pStyle w:val="Doublehangindent"/>
        <w:rPr>
          <w:color w:val="000000" w:themeColor="text1"/>
          <w:lang w:val="en-US"/>
        </w:rPr>
      </w:pPr>
      <w:r w:rsidRPr="00B40A77">
        <w:rPr>
          <w:color w:val="000000" w:themeColor="text1"/>
          <w:lang w:val="en-US"/>
        </w:rPr>
        <w:t>(</w:t>
      </w:r>
      <w:r w:rsidR="0061372B" w:rsidRPr="00B40A77">
        <w:rPr>
          <w:color w:val="000000" w:themeColor="text1"/>
          <w:lang w:val="en-US"/>
        </w:rPr>
        <w:t>d</w:t>
      </w:r>
      <w:r w:rsidR="00A351F3" w:rsidRPr="00B40A77">
        <w:rPr>
          <w:color w:val="000000" w:themeColor="text1"/>
          <w:lang w:val="en-US"/>
        </w:rPr>
        <w:t>)</w:t>
      </w:r>
      <w:r w:rsidR="00A351F3" w:rsidRPr="00B40A77">
        <w:rPr>
          <w:color w:val="000000" w:themeColor="text1"/>
          <w:lang w:val="en-US"/>
        </w:rPr>
        <w:tab/>
        <w:t xml:space="preserve">be prepared for and ready to proceed with a </w:t>
      </w:r>
      <w:hyperlink w:anchor="_2.1—Definitions" w:history="1">
        <w:hyperlink w:anchor="_2.1—Definitions" w:history="1">
          <w:r w:rsidR="00CE7A79" w:rsidRPr="00B40A77">
            <w:rPr>
              <w:rStyle w:val="Hyperlink"/>
              <w:color w:val="000000" w:themeColor="text1"/>
            </w:rPr>
            <w:t>hearing</w:t>
          </w:r>
        </w:hyperlink>
      </w:hyperlink>
      <w:r w:rsidR="00A351F3" w:rsidRPr="00B40A77">
        <w:rPr>
          <w:color w:val="000000" w:themeColor="text1"/>
          <w:lang w:val="en-US"/>
        </w:rPr>
        <w:t xml:space="preserve">, </w:t>
      </w:r>
      <w:hyperlink w:anchor="_2.1—Definitions" w:history="1">
        <w:r w:rsidR="00A351F3" w:rsidRPr="00B40A77">
          <w:rPr>
            <w:rStyle w:val="Hyperlink"/>
            <w:color w:val="000000" w:themeColor="text1"/>
            <w:lang w:val="en-US"/>
          </w:rPr>
          <w:t>trial</w:t>
        </w:r>
      </w:hyperlink>
      <w:r w:rsidR="00A351F3" w:rsidRPr="00B40A77">
        <w:rPr>
          <w:color w:val="000000" w:themeColor="text1"/>
          <w:lang w:val="en-US"/>
        </w:rPr>
        <w:t xml:space="preserve"> or </w:t>
      </w:r>
      <w:hyperlink w:anchor="_2.1—Definitions" w:history="1">
        <w:r w:rsidR="00A351F3" w:rsidRPr="00B40A77">
          <w:rPr>
            <w:rStyle w:val="Hyperlink"/>
            <w:color w:val="000000" w:themeColor="text1"/>
            <w:lang w:val="en-US"/>
          </w:rPr>
          <w:t>appellate hearing</w:t>
        </w:r>
      </w:hyperlink>
      <w:r w:rsidR="00A351F3" w:rsidRPr="00B40A77">
        <w:rPr>
          <w:color w:val="000000" w:themeColor="text1"/>
          <w:lang w:val="en-US"/>
        </w:rPr>
        <w:t xml:space="preserve"> at the appointed time; and</w:t>
      </w:r>
    </w:p>
    <w:p w14:paraId="3F67AF51" w14:textId="68CB6ADA" w:rsidR="00A351F3" w:rsidRPr="00B40A77" w:rsidRDefault="00B712C3" w:rsidP="00A351F3">
      <w:pPr>
        <w:pStyle w:val="Doublehangindent"/>
        <w:rPr>
          <w:color w:val="000000" w:themeColor="text1"/>
          <w:lang w:val="en-US"/>
        </w:rPr>
      </w:pPr>
      <w:r w:rsidRPr="00B40A77">
        <w:rPr>
          <w:color w:val="000000" w:themeColor="text1"/>
          <w:lang w:val="en-US"/>
        </w:rPr>
        <w:t>(</w:t>
      </w:r>
      <w:r w:rsidR="0061372B" w:rsidRPr="00B40A77">
        <w:rPr>
          <w:color w:val="000000" w:themeColor="text1"/>
          <w:lang w:val="en-US"/>
        </w:rPr>
        <w:t>e</w:t>
      </w:r>
      <w:r w:rsidR="00A351F3" w:rsidRPr="00B40A77">
        <w:rPr>
          <w:color w:val="000000" w:themeColor="text1"/>
          <w:lang w:val="en-US"/>
        </w:rPr>
        <w:t>)</w:t>
      </w:r>
      <w:r w:rsidR="00A351F3" w:rsidRPr="00B40A77">
        <w:rPr>
          <w:color w:val="000000" w:themeColor="text1"/>
          <w:lang w:val="en-US"/>
        </w:rPr>
        <w:tab/>
        <w:t>use reasonable endeavours to act promptly and minimise delay.</w:t>
      </w:r>
    </w:p>
    <w:p w14:paraId="07BD8794" w14:textId="742835C7"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lawyer acting or appearing for a party </w:t>
      </w:r>
      <w:r w:rsidR="00922FEA" w:rsidRPr="00B40A77">
        <w:rPr>
          <w:color w:val="000000" w:themeColor="text1"/>
          <w:lang w:val="en-US"/>
        </w:rPr>
        <w:t xml:space="preserve">(including a youth) </w:t>
      </w:r>
      <w:r w:rsidRPr="00B40A77">
        <w:rPr>
          <w:color w:val="000000" w:themeColor="text1"/>
          <w:lang w:val="en-US"/>
        </w:rPr>
        <w:t>must, in relation to a proceeding or an appellate proceeding</w:t>
      </w:r>
      <w:r w:rsidRPr="00B40A77">
        <w:rPr>
          <w:color w:val="000000" w:themeColor="text1"/>
        </w:rPr>
        <w:t xml:space="preserve">— </w:t>
      </w:r>
    </w:p>
    <w:p w14:paraId="0D06E161" w14:textId="29796805"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act in accordance with subrule</w:t>
      </w:r>
      <w:r w:rsidR="0061372B" w:rsidRPr="00B40A77">
        <w:rPr>
          <w:color w:val="000000" w:themeColor="text1"/>
          <w:lang w:val="en-US"/>
        </w:rPr>
        <w:t> </w:t>
      </w:r>
      <w:r w:rsidRPr="00B40A77">
        <w:rPr>
          <w:color w:val="000000" w:themeColor="text1"/>
          <w:lang w:val="en-US"/>
        </w:rPr>
        <w:t>(1); and</w:t>
      </w:r>
    </w:p>
    <w:p w14:paraId="5C010AF2" w14:textId="6439D8DB" w:rsidR="00A351F3" w:rsidRPr="00B40A77" w:rsidRDefault="00A351F3" w:rsidP="00A351F3">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not engage in conduct that causes or permits that party to act contrary to subrule</w:t>
      </w:r>
      <w:r w:rsidR="006F7442" w:rsidRPr="00B40A77">
        <w:rPr>
          <w:color w:val="000000" w:themeColor="text1"/>
          <w:lang w:val="en-US"/>
        </w:rPr>
        <w:t> </w:t>
      </w:r>
      <w:r w:rsidRPr="00B40A77">
        <w:rPr>
          <w:color w:val="000000" w:themeColor="text1"/>
          <w:lang w:val="en-US"/>
        </w:rPr>
        <w:t>(1).</w:t>
      </w:r>
    </w:p>
    <w:bookmarkEnd w:id="160"/>
    <w:p w14:paraId="04C8D8D5" w14:textId="1867A17C" w:rsidR="00B9708D" w:rsidRPr="00B40A77" w:rsidRDefault="00B9708D" w:rsidP="00B9708D">
      <w:pPr>
        <w:pStyle w:val="Hangindent"/>
        <w:rPr>
          <w:color w:val="000000" w:themeColor="text1"/>
          <w:lang w:val="en-US"/>
        </w:rPr>
      </w:pPr>
      <w:r w:rsidRPr="00B40A77">
        <w:rPr>
          <w:color w:val="000000" w:themeColor="text1"/>
          <w:lang w:val="en-US"/>
        </w:rPr>
        <w:t>(</w:t>
      </w:r>
      <w:r w:rsidR="00A156F1" w:rsidRPr="00B40A77">
        <w:rPr>
          <w:color w:val="000000" w:themeColor="text1"/>
          <w:lang w:val="en-US"/>
        </w:rPr>
        <w:t>3</w:t>
      </w:r>
      <w:r w:rsidRPr="00B40A77">
        <w:rPr>
          <w:color w:val="000000" w:themeColor="text1"/>
          <w:lang w:val="en-US"/>
        </w:rPr>
        <w:t>)</w:t>
      </w:r>
      <w:r w:rsidRPr="00B40A77">
        <w:rPr>
          <w:color w:val="000000" w:themeColor="text1"/>
          <w:lang w:val="en-US"/>
        </w:rPr>
        <w:tab/>
        <w:t xml:space="preserve">If a party is represented by a lawyer and the lawyer has reason to believe that they may not be ready to proceed to trial on the </w:t>
      </w:r>
      <w:hyperlink w:anchor="_2.1—Definitions" w:history="1">
        <w:r w:rsidR="00117D7C" w:rsidRPr="00B40A77">
          <w:rPr>
            <w:rStyle w:val="Hyperlink"/>
            <w:color w:val="000000" w:themeColor="text1"/>
          </w:rPr>
          <w:t>trial date</w:t>
        </w:r>
      </w:hyperlink>
      <w:r w:rsidRPr="00B40A77">
        <w:rPr>
          <w:color w:val="000000" w:themeColor="text1"/>
          <w:lang w:val="en-US"/>
        </w:rPr>
        <w:t>, the lawyer must</w:t>
      </w:r>
      <w:r w:rsidRPr="00B40A77">
        <w:rPr>
          <w:color w:val="000000" w:themeColor="text1"/>
        </w:rPr>
        <w:t>—</w:t>
      </w:r>
    </w:p>
    <w:p w14:paraId="28330EC4" w14:textId="5AAAD4CF" w:rsidR="00B9708D" w:rsidRPr="00B40A77" w:rsidRDefault="00B9708D" w:rsidP="00B9708D">
      <w:pPr>
        <w:pStyle w:val="Doublehangindent"/>
        <w:rPr>
          <w:color w:val="000000" w:themeColor="text1"/>
          <w:lang w:val="en-US"/>
        </w:rPr>
      </w:pPr>
      <w:r w:rsidRPr="00B40A77">
        <w:rPr>
          <w:color w:val="000000" w:themeColor="text1"/>
          <w:lang w:val="en-US"/>
        </w:rPr>
        <w:t>(a)</w:t>
      </w:r>
      <w:r w:rsidRPr="00B40A77">
        <w:rPr>
          <w:color w:val="000000" w:themeColor="text1"/>
          <w:lang w:val="en-US"/>
        </w:rPr>
        <w:tab/>
        <w:t>expeditiously inquire into the matte</w:t>
      </w:r>
      <w:r w:rsidR="002368B9" w:rsidRPr="00B40A77">
        <w:rPr>
          <w:color w:val="000000" w:themeColor="text1"/>
          <w:lang w:val="en-US"/>
        </w:rPr>
        <w:t xml:space="preserve">r that may result on their not </w:t>
      </w:r>
      <w:r w:rsidRPr="00B40A77">
        <w:rPr>
          <w:color w:val="000000" w:themeColor="text1"/>
          <w:lang w:val="en-US"/>
        </w:rPr>
        <w:t xml:space="preserve">being </w:t>
      </w:r>
      <w:r w:rsidR="002368B9" w:rsidRPr="00B40A77">
        <w:rPr>
          <w:color w:val="000000" w:themeColor="text1"/>
          <w:lang w:val="en-US"/>
        </w:rPr>
        <w:t xml:space="preserve">ready to proceed to trial on the </w:t>
      </w:r>
      <w:hyperlink w:anchor="_2.1—Definitions" w:history="1">
        <w:r w:rsidR="004740A2" w:rsidRPr="00B40A77">
          <w:rPr>
            <w:rStyle w:val="Hyperlink"/>
            <w:color w:val="000000" w:themeColor="text1"/>
          </w:rPr>
          <w:t>trial date</w:t>
        </w:r>
      </w:hyperlink>
      <w:r w:rsidRPr="00B40A77">
        <w:rPr>
          <w:color w:val="000000" w:themeColor="text1"/>
          <w:lang w:val="en-US"/>
        </w:rPr>
        <w:t>; and</w:t>
      </w:r>
    </w:p>
    <w:p w14:paraId="49CA2F33" w14:textId="66B2DCF8" w:rsidR="00B9708D" w:rsidRPr="00B40A77" w:rsidRDefault="00B9708D" w:rsidP="00B9708D">
      <w:pPr>
        <w:pStyle w:val="Doublehangindent"/>
        <w:rPr>
          <w:color w:val="000000" w:themeColor="text1"/>
          <w:lang w:val="en-US"/>
        </w:rPr>
      </w:pPr>
      <w:r w:rsidRPr="00B40A77">
        <w:rPr>
          <w:color w:val="000000" w:themeColor="text1"/>
          <w:lang w:val="en-US"/>
        </w:rPr>
        <w:t>(b)</w:t>
      </w:r>
      <w:r w:rsidRPr="00B40A77">
        <w:rPr>
          <w:color w:val="000000" w:themeColor="text1"/>
          <w:lang w:val="en-US"/>
        </w:rPr>
        <w:tab/>
        <w:t>inform the Court that there is or may be an issue about the</w:t>
      </w:r>
      <w:r w:rsidR="002368B9" w:rsidRPr="00B40A77">
        <w:rPr>
          <w:color w:val="000000" w:themeColor="text1"/>
          <w:lang w:val="en-US"/>
        </w:rPr>
        <w:t xml:space="preserve">ir readiness to proceed to trial on the </w:t>
      </w:r>
      <w:hyperlink w:anchor="_2.1—Definitions" w:history="1">
        <w:r w:rsidR="004740A2" w:rsidRPr="00B40A77">
          <w:rPr>
            <w:rStyle w:val="Hyperlink"/>
            <w:color w:val="000000" w:themeColor="text1"/>
          </w:rPr>
          <w:t>trial date</w:t>
        </w:r>
      </w:hyperlink>
      <w:r w:rsidRPr="00B40A77">
        <w:rPr>
          <w:color w:val="000000" w:themeColor="text1"/>
          <w:lang w:val="en-US"/>
        </w:rPr>
        <w:t xml:space="preserve"> as soon as practicable.</w:t>
      </w:r>
    </w:p>
    <w:p w14:paraId="7E351795" w14:textId="76D3F2C7" w:rsidR="002368B9" w:rsidRPr="00B40A77" w:rsidRDefault="002368B9" w:rsidP="002368B9">
      <w:pPr>
        <w:pStyle w:val="Hangindent"/>
        <w:rPr>
          <w:color w:val="000000" w:themeColor="text1"/>
          <w:lang w:val="en-US"/>
        </w:rPr>
      </w:pPr>
      <w:r w:rsidRPr="00B40A77">
        <w:rPr>
          <w:color w:val="000000" w:themeColor="text1"/>
          <w:lang w:val="en-US"/>
        </w:rPr>
        <w:t>(</w:t>
      </w:r>
      <w:r w:rsidR="00A156F1" w:rsidRPr="00B40A77">
        <w:rPr>
          <w:color w:val="000000" w:themeColor="text1"/>
          <w:lang w:val="en-US"/>
        </w:rPr>
        <w:t>4</w:t>
      </w:r>
      <w:r w:rsidRPr="00B40A77">
        <w:rPr>
          <w:color w:val="000000" w:themeColor="text1"/>
          <w:lang w:val="en-US"/>
        </w:rPr>
        <w:t>)</w:t>
      </w:r>
      <w:r w:rsidRPr="00B40A77">
        <w:rPr>
          <w:color w:val="000000" w:themeColor="text1"/>
          <w:lang w:val="en-US"/>
        </w:rPr>
        <w:tab/>
        <w:t xml:space="preserve">If a party is not represented by a lawyer and the party has reason to believe that they may not be ready to proceed to trial on the </w:t>
      </w:r>
      <w:hyperlink w:anchor="_2.1—Definitions" w:history="1">
        <w:r w:rsidR="004740A2" w:rsidRPr="00B40A77">
          <w:rPr>
            <w:rStyle w:val="Hyperlink"/>
            <w:color w:val="000000" w:themeColor="text1"/>
          </w:rPr>
          <w:t>trial date</w:t>
        </w:r>
      </w:hyperlink>
      <w:r w:rsidRPr="00B40A77">
        <w:rPr>
          <w:color w:val="000000" w:themeColor="text1"/>
          <w:lang w:val="en-US"/>
        </w:rPr>
        <w:t>, the party must</w:t>
      </w:r>
      <w:r w:rsidRPr="00B40A77">
        <w:rPr>
          <w:color w:val="000000" w:themeColor="text1"/>
        </w:rPr>
        <w:t>—</w:t>
      </w:r>
    </w:p>
    <w:p w14:paraId="55D6B540" w14:textId="3C15B095" w:rsidR="002368B9" w:rsidRPr="00B40A77" w:rsidRDefault="002368B9" w:rsidP="002368B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the matter that may result on their not being ready to proceed to trial on the </w:t>
      </w:r>
      <w:hyperlink w:anchor="_2.1—Definitions" w:history="1">
        <w:r w:rsidR="004740A2" w:rsidRPr="00B40A77">
          <w:rPr>
            <w:rStyle w:val="Hyperlink"/>
            <w:color w:val="000000" w:themeColor="text1"/>
          </w:rPr>
          <w:t>trial date</w:t>
        </w:r>
      </w:hyperlink>
      <w:r w:rsidRPr="00B40A77">
        <w:rPr>
          <w:color w:val="000000" w:themeColor="text1"/>
          <w:lang w:val="en-US"/>
        </w:rPr>
        <w:t>; and</w:t>
      </w:r>
    </w:p>
    <w:p w14:paraId="42DEE03F" w14:textId="27241A60" w:rsidR="00B9708D" w:rsidRPr="00B40A77" w:rsidRDefault="002368B9" w:rsidP="009A08E1">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that there is or may be an issue about their readiness to proceed to trial on the </w:t>
      </w:r>
      <w:hyperlink w:anchor="_2.1—Definitions" w:history="1">
        <w:r w:rsidR="004740A2" w:rsidRPr="00B40A77">
          <w:rPr>
            <w:rStyle w:val="Hyperlink"/>
            <w:color w:val="000000" w:themeColor="text1"/>
          </w:rPr>
          <w:t>trial date</w:t>
        </w:r>
      </w:hyperlink>
      <w:r w:rsidRPr="00B40A77">
        <w:rPr>
          <w:color w:val="000000" w:themeColor="text1"/>
          <w:lang w:val="en-US"/>
        </w:rPr>
        <w:t xml:space="preserve"> as soon as practicable.</w:t>
      </w:r>
    </w:p>
    <w:p w14:paraId="40C0DB69" w14:textId="2ABBCE5D" w:rsidR="00A351F3" w:rsidRPr="00B40A77" w:rsidRDefault="00866E49" w:rsidP="00A351F3">
      <w:pPr>
        <w:pStyle w:val="Heading4"/>
        <w:rPr>
          <w:color w:val="000000" w:themeColor="text1"/>
        </w:rPr>
      </w:pPr>
      <w:bookmarkStart w:id="161" w:name="_3.2—Breach_of_obligations"/>
      <w:bookmarkStart w:id="162" w:name="_Toc175238800"/>
      <w:bookmarkStart w:id="163" w:name="_Hlk83707347"/>
      <w:bookmarkEnd w:id="161"/>
      <w:r w:rsidRPr="00B40A77">
        <w:rPr>
          <w:color w:val="000000" w:themeColor="text1"/>
        </w:rPr>
        <w:t>2</w:t>
      </w:r>
      <w:r w:rsidR="00F20F0A" w:rsidRPr="00B40A77">
        <w:rPr>
          <w:color w:val="000000" w:themeColor="text1"/>
        </w:rPr>
        <w:t>7</w:t>
      </w:r>
      <w:r w:rsidR="00A351F3" w:rsidRPr="00B40A77">
        <w:rPr>
          <w:color w:val="000000" w:themeColor="text1"/>
        </w:rPr>
        <w:t>.2—Breach of obligations</w:t>
      </w:r>
      <w:bookmarkEnd w:id="162"/>
    </w:p>
    <w:p w14:paraId="41AE22D0" w14:textId="2F148AF9" w:rsidR="00A351F3" w:rsidRPr="00B40A77" w:rsidRDefault="00A351F3" w:rsidP="00A351F3">
      <w:pPr>
        <w:pStyle w:val="Hangindent"/>
        <w:rPr>
          <w:color w:val="000000" w:themeColor="text1"/>
        </w:rPr>
      </w:pPr>
      <w:r w:rsidRPr="00B40A77">
        <w:rPr>
          <w:color w:val="000000" w:themeColor="text1"/>
        </w:rPr>
        <w:t>(1)</w:t>
      </w:r>
      <w:r w:rsidRPr="00B40A77">
        <w:rPr>
          <w:color w:val="000000" w:themeColor="text1"/>
        </w:rPr>
        <w:tab/>
        <w:t>In exercising any power in relation to a proceeding or</w:t>
      </w:r>
      <w:r w:rsidRPr="00B40A77">
        <w:rPr>
          <w:color w:val="000000" w:themeColor="text1"/>
          <w:lang w:val="en-US"/>
        </w:rPr>
        <w:t xml:space="preserve"> appellate proceeding</w:t>
      </w:r>
      <w:r w:rsidRPr="00B40A77">
        <w:rPr>
          <w:color w:val="000000" w:themeColor="text1"/>
        </w:rPr>
        <w:t xml:space="preserve">, the Court may take into account a failure by a person to comply with the obligations imposed by </w:t>
      </w:r>
      <w:hyperlink w:anchor="_27.1—Overarching_obligations" w:history="1">
        <w:r w:rsidR="00B712C3" w:rsidRPr="00B40A77">
          <w:rPr>
            <w:rStyle w:val="Hyperlink"/>
            <w:color w:val="000000" w:themeColor="text1"/>
          </w:rPr>
          <w:t>rule</w:t>
        </w:r>
        <w:r w:rsidR="0061372B" w:rsidRPr="00B40A77">
          <w:rPr>
            <w:rStyle w:val="Hyperlink"/>
            <w:color w:val="000000" w:themeColor="text1"/>
          </w:rPr>
          <w:t> </w:t>
        </w:r>
        <w:r w:rsidR="00B712C3" w:rsidRPr="00B40A77">
          <w:rPr>
            <w:rStyle w:val="Hyperlink"/>
            <w:color w:val="000000" w:themeColor="text1"/>
          </w:rPr>
          <w:t>2</w:t>
        </w:r>
        <w:r w:rsidR="00823D54" w:rsidRPr="00B40A77">
          <w:rPr>
            <w:rStyle w:val="Hyperlink"/>
            <w:color w:val="000000" w:themeColor="text1"/>
          </w:rPr>
          <w:t>7</w:t>
        </w:r>
        <w:r w:rsidRPr="00B40A77">
          <w:rPr>
            <w:rStyle w:val="Hyperlink"/>
            <w:color w:val="000000" w:themeColor="text1"/>
          </w:rPr>
          <w:t>.1</w:t>
        </w:r>
      </w:hyperlink>
      <w:r w:rsidR="00B712C3" w:rsidRPr="00B40A77">
        <w:rPr>
          <w:color w:val="000000" w:themeColor="text1"/>
        </w:rPr>
        <w:t>.</w:t>
      </w:r>
    </w:p>
    <w:p w14:paraId="507A4CF8" w14:textId="422451D7" w:rsidR="00A351F3" w:rsidRPr="00B40A77" w:rsidRDefault="00A351F3" w:rsidP="00A351F3">
      <w:pPr>
        <w:pStyle w:val="Hangindent"/>
        <w:rPr>
          <w:color w:val="000000" w:themeColor="text1"/>
        </w:rPr>
      </w:pPr>
      <w:r w:rsidRPr="00B40A77">
        <w:rPr>
          <w:color w:val="000000" w:themeColor="text1"/>
        </w:rPr>
        <w:t>(2)</w:t>
      </w:r>
      <w:r w:rsidRPr="00B40A77">
        <w:rPr>
          <w:color w:val="000000" w:themeColor="text1"/>
        </w:rPr>
        <w:tab/>
        <w:t xml:space="preserve">The Court may make such order as it thinks fit in the interests of justice by reason of a failure by a person to comply with </w:t>
      </w:r>
      <w:r w:rsidR="005B03FA" w:rsidRPr="00B40A77">
        <w:rPr>
          <w:color w:val="000000" w:themeColor="text1"/>
        </w:rPr>
        <w:t>t</w:t>
      </w:r>
      <w:r w:rsidR="00B712C3" w:rsidRPr="00B40A77">
        <w:rPr>
          <w:color w:val="000000" w:themeColor="text1"/>
        </w:rPr>
        <w:t xml:space="preserve">he obligations imposed by </w:t>
      </w:r>
      <w:hyperlink w:anchor="_27.1—Overarching_obligations" w:history="1">
        <w:r w:rsidR="0002162A" w:rsidRPr="00B40A77">
          <w:rPr>
            <w:rStyle w:val="Hyperlink"/>
            <w:color w:val="000000" w:themeColor="text1"/>
          </w:rPr>
          <w:t>rule</w:t>
        </w:r>
        <w:r w:rsidR="0061372B" w:rsidRPr="00B40A77">
          <w:rPr>
            <w:rStyle w:val="Hyperlink"/>
            <w:color w:val="000000" w:themeColor="text1"/>
          </w:rPr>
          <w:t> </w:t>
        </w:r>
        <w:r w:rsidR="0002162A" w:rsidRPr="00B40A77">
          <w:rPr>
            <w:rStyle w:val="Hyperlink"/>
            <w:color w:val="000000" w:themeColor="text1"/>
          </w:rPr>
          <w:t>27.1</w:t>
        </w:r>
      </w:hyperlink>
      <w:r w:rsidRPr="00B40A77">
        <w:rPr>
          <w:color w:val="000000" w:themeColor="text1"/>
        </w:rPr>
        <w:t>.</w:t>
      </w:r>
    </w:p>
    <w:p w14:paraId="7EE7A3E7" w14:textId="59B72C74" w:rsidR="00A351F3" w:rsidRPr="00B40A77" w:rsidRDefault="00A351F3" w:rsidP="00A351F3">
      <w:pPr>
        <w:pStyle w:val="Hangindent"/>
        <w:rPr>
          <w:color w:val="000000" w:themeColor="text1"/>
        </w:rPr>
      </w:pPr>
      <w:r w:rsidRPr="00B40A77">
        <w:rPr>
          <w:color w:val="000000" w:themeColor="text1"/>
        </w:rPr>
        <w:t>(3)</w:t>
      </w:r>
      <w:r w:rsidRPr="00B40A77">
        <w:rPr>
          <w:color w:val="000000" w:themeColor="text1"/>
        </w:rPr>
        <w:tab/>
        <w:t xml:space="preserve">A </w:t>
      </w:r>
      <w:hyperlink w:anchor="_2.1—Definitions" w:history="1">
        <w:r w:rsidR="004740A2" w:rsidRPr="00B40A77">
          <w:rPr>
            <w:rStyle w:val="Hyperlink"/>
            <w:color w:val="000000" w:themeColor="text1"/>
          </w:rPr>
          <w:t>trial date</w:t>
        </w:r>
      </w:hyperlink>
      <w:r w:rsidRPr="00B40A77">
        <w:rPr>
          <w:color w:val="000000" w:themeColor="text1"/>
        </w:rPr>
        <w:t xml:space="preserve"> that has been fixed will not be postponed unless the justice of the case, assessed having regard to the </w:t>
      </w:r>
      <w:r w:rsidR="00B712C3" w:rsidRPr="00B40A77">
        <w:rPr>
          <w:color w:val="000000" w:themeColor="text1"/>
        </w:rPr>
        <w:t xml:space="preserve">obligations imposed by </w:t>
      </w:r>
      <w:hyperlink w:anchor="_27.1—Overarching_obligations" w:history="1">
        <w:r w:rsidR="0002162A" w:rsidRPr="00B40A77">
          <w:rPr>
            <w:rStyle w:val="Hyperlink"/>
            <w:color w:val="000000" w:themeColor="text1"/>
          </w:rPr>
          <w:t>rule</w:t>
        </w:r>
        <w:r w:rsidR="0061372B" w:rsidRPr="00B40A77">
          <w:rPr>
            <w:rStyle w:val="Hyperlink"/>
            <w:color w:val="000000" w:themeColor="text1"/>
          </w:rPr>
          <w:t> </w:t>
        </w:r>
        <w:r w:rsidR="0002162A" w:rsidRPr="00B40A77">
          <w:rPr>
            <w:rStyle w:val="Hyperlink"/>
            <w:color w:val="000000" w:themeColor="text1"/>
          </w:rPr>
          <w:t>27.1</w:t>
        </w:r>
      </w:hyperlink>
      <w:r w:rsidRPr="00B40A77">
        <w:rPr>
          <w:color w:val="000000" w:themeColor="text1"/>
        </w:rPr>
        <w:t>, so requires.</w:t>
      </w:r>
    </w:p>
    <w:p w14:paraId="54271095" w14:textId="717DE231" w:rsidR="0001004C" w:rsidRPr="00B40A77" w:rsidRDefault="00A351F3" w:rsidP="00A351F3">
      <w:pPr>
        <w:pStyle w:val="Hangindent"/>
        <w:rPr>
          <w:color w:val="000000" w:themeColor="text1"/>
        </w:rPr>
      </w:pPr>
      <w:r w:rsidRPr="00B40A77">
        <w:rPr>
          <w:color w:val="000000" w:themeColor="text1"/>
        </w:rPr>
        <w:t>(4)</w:t>
      </w:r>
      <w:r w:rsidRPr="00B40A77">
        <w:rPr>
          <w:color w:val="000000" w:themeColor="text1"/>
        </w:rPr>
        <w:tab/>
        <w:t>If an application is made at or shortly before trial to amend the Information or for any other order which application ought to have been made earlier, the Court may</w:t>
      </w:r>
      <w:r w:rsidR="00185571" w:rsidRPr="00B40A77">
        <w:rPr>
          <w:color w:val="000000" w:themeColor="text1"/>
        </w:rPr>
        <w:t>, if it thinks fit,</w:t>
      </w:r>
      <w:r w:rsidR="00E16800" w:rsidRPr="00B40A77">
        <w:rPr>
          <w:color w:val="000000" w:themeColor="text1"/>
        </w:rPr>
        <w:t xml:space="preserve"> refuse such application</w:t>
      </w:r>
      <w:r w:rsidR="0001004C" w:rsidRPr="00B40A77">
        <w:rPr>
          <w:color w:val="000000" w:themeColor="text1"/>
        </w:rPr>
        <w:t>—</w:t>
      </w:r>
    </w:p>
    <w:p w14:paraId="5C37D84D" w14:textId="7DC44523" w:rsidR="0001004C" w:rsidRPr="00B40A77" w:rsidRDefault="0001004C" w:rsidP="0001004C">
      <w:pPr>
        <w:pStyle w:val="Doublehangindent"/>
        <w:rPr>
          <w:color w:val="000000" w:themeColor="text1"/>
        </w:rPr>
      </w:pPr>
      <w:r w:rsidRPr="00B40A77">
        <w:rPr>
          <w:color w:val="000000" w:themeColor="text1"/>
        </w:rPr>
        <w:t>(a)</w:t>
      </w:r>
      <w:r w:rsidRPr="00B40A77">
        <w:rPr>
          <w:color w:val="000000" w:themeColor="text1"/>
        </w:rPr>
        <w:tab/>
      </w:r>
      <w:r w:rsidR="00A351F3" w:rsidRPr="00B40A77">
        <w:rPr>
          <w:color w:val="000000" w:themeColor="text1"/>
        </w:rPr>
        <w:t>if the grant of the application would cause the postponement or adjournment of the trial</w:t>
      </w:r>
      <w:r w:rsidRPr="00B40A77">
        <w:rPr>
          <w:color w:val="000000" w:themeColor="text1"/>
        </w:rPr>
        <w:t>;</w:t>
      </w:r>
    </w:p>
    <w:p w14:paraId="7C22F035" w14:textId="68E4E7EF" w:rsidR="0001004C" w:rsidRPr="00B40A77" w:rsidRDefault="0001004C" w:rsidP="0001004C">
      <w:pPr>
        <w:pStyle w:val="Doublehangindent"/>
        <w:rPr>
          <w:color w:val="000000" w:themeColor="text1"/>
        </w:rPr>
      </w:pPr>
      <w:r w:rsidRPr="00B40A77">
        <w:rPr>
          <w:color w:val="000000" w:themeColor="text1"/>
        </w:rPr>
        <w:t>(b)</w:t>
      </w:r>
      <w:r w:rsidRPr="00B40A77">
        <w:rPr>
          <w:color w:val="000000" w:themeColor="text1"/>
        </w:rPr>
        <w:tab/>
      </w:r>
      <w:r w:rsidR="00A351F3" w:rsidRPr="00B40A77">
        <w:rPr>
          <w:color w:val="000000" w:themeColor="text1"/>
        </w:rPr>
        <w:t>in order to protect the integrity of the Court’s caseflow management system</w:t>
      </w:r>
      <w:r w:rsidRPr="00B40A77">
        <w:rPr>
          <w:color w:val="000000" w:themeColor="text1"/>
        </w:rPr>
        <w:t>;</w:t>
      </w:r>
      <w:r w:rsidR="00A351F3" w:rsidRPr="00B40A77">
        <w:rPr>
          <w:color w:val="000000" w:themeColor="text1"/>
        </w:rPr>
        <w:t xml:space="preserve"> </w:t>
      </w:r>
      <w:r w:rsidR="006B6B27" w:rsidRPr="00B40A77">
        <w:rPr>
          <w:color w:val="000000" w:themeColor="text1"/>
        </w:rPr>
        <w:t>or</w:t>
      </w:r>
    </w:p>
    <w:p w14:paraId="1787BEA5" w14:textId="30A2A4E0" w:rsidR="00A351F3" w:rsidRPr="00B40A77" w:rsidRDefault="0001004C" w:rsidP="00185571">
      <w:pPr>
        <w:pStyle w:val="Doublehangindent"/>
        <w:rPr>
          <w:color w:val="000000" w:themeColor="text1"/>
        </w:rPr>
      </w:pPr>
      <w:r w:rsidRPr="00B40A77">
        <w:rPr>
          <w:color w:val="000000" w:themeColor="text1"/>
        </w:rPr>
        <w:t>(c)</w:t>
      </w:r>
      <w:r w:rsidRPr="00B40A77">
        <w:rPr>
          <w:color w:val="000000" w:themeColor="text1"/>
        </w:rPr>
        <w:tab/>
      </w:r>
      <w:r w:rsidR="00185571" w:rsidRPr="00B40A77">
        <w:rPr>
          <w:color w:val="000000" w:themeColor="text1"/>
        </w:rPr>
        <w:t xml:space="preserve">in order </w:t>
      </w:r>
      <w:r w:rsidRPr="00B40A77">
        <w:rPr>
          <w:color w:val="000000" w:themeColor="text1"/>
        </w:rPr>
        <w:t>t</w:t>
      </w:r>
      <w:r w:rsidR="00A351F3" w:rsidRPr="00B40A77">
        <w:rPr>
          <w:color w:val="000000" w:themeColor="text1"/>
        </w:rPr>
        <w:t>o implement the Court's requirement that trials proceed at the time appointed for trial.</w:t>
      </w:r>
      <w:bookmarkEnd w:id="128"/>
      <w:bookmarkEnd w:id="154"/>
    </w:p>
    <w:p w14:paraId="635D100C" w14:textId="61051471" w:rsidR="000262F8" w:rsidRPr="00B40A77" w:rsidRDefault="00866E49" w:rsidP="000262F8">
      <w:pPr>
        <w:pStyle w:val="Heading4"/>
        <w:rPr>
          <w:color w:val="000000" w:themeColor="text1"/>
        </w:rPr>
      </w:pPr>
      <w:bookmarkStart w:id="164" w:name="_Toc175238801"/>
      <w:bookmarkEnd w:id="163"/>
      <w:r w:rsidRPr="00B40A77">
        <w:rPr>
          <w:color w:val="000000" w:themeColor="text1"/>
        </w:rPr>
        <w:t>2</w:t>
      </w:r>
      <w:r w:rsidR="00F20F0A" w:rsidRPr="00B40A77">
        <w:rPr>
          <w:color w:val="000000" w:themeColor="text1"/>
        </w:rPr>
        <w:t>7</w:t>
      </w:r>
      <w:r w:rsidRPr="00B40A77">
        <w:rPr>
          <w:color w:val="000000" w:themeColor="text1"/>
        </w:rPr>
        <w:t>.3</w:t>
      </w:r>
      <w:r w:rsidR="000262F8" w:rsidRPr="00B40A77">
        <w:rPr>
          <w:color w:val="000000" w:themeColor="text1"/>
        </w:rPr>
        <w:t>—Communications with the Court</w:t>
      </w:r>
      <w:bookmarkEnd w:id="164"/>
    </w:p>
    <w:p w14:paraId="043D9692" w14:textId="74A76E0C" w:rsidR="000262F8" w:rsidRPr="00B40A77" w:rsidRDefault="000262F8" w:rsidP="000262F8">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establish protocols relating to communications by email or telephone between parties or their lawyers and the Court.</w:t>
      </w:r>
    </w:p>
    <w:p w14:paraId="49C61C55" w14:textId="7EFDDFF2" w:rsidR="000262F8" w:rsidRPr="00B40A77" w:rsidRDefault="000262F8" w:rsidP="000262F8">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75DF9"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publish the protocols referred to in this rule on the </w:t>
      </w:r>
      <w:hyperlink w:anchor="_2.1—Definitions" w:history="1">
        <w:r w:rsidRPr="00B40A77">
          <w:rPr>
            <w:rStyle w:val="Hyperlink"/>
            <w:color w:val="000000" w:themeColor="text1"/>
            <w:lang w:val="en-US"/>
          </w:rPr>
          <w:t>CAA website</w:t>
        </w:r>
      </w:hyperlink>
      <w:r w:rsidRPr="00B40A77">
        <w:rPr>
          <w:color w:val="000000" w:themeColor="text1"/>
          <w:lang w:val="en-US"/>
        </w:rPr>
        <w:t>.</w:t>
      </w:r>
    </w:p>
    <w:p w14:paraId="6DFC518D" w14:textId="72190092" w:rsidR="00A351F3" w:rsidRPr="00B40A77" w:rsidRDefault="00A351F3" w:rsidP="001103F0">
      <w:pPr>
        <w:pStyle w:val="Heading2"/>
        <w:keepNext/>
        <w:rPr>
          <w:color w:val="000000" w:themeColor="text1"/>
        </w:rPr>
      </w:pPr>
      <w:bookmarkStart w:id="165" w:name="_Toc175238802"/>
      <w:r w:rsidRPr="00B40A77">
        <w:rPr>
          <w:color w:val="000000" w:themeColor="text1"/>
        </w:rPr>
        <w:lastRenderedPageBreak/>
        <w:t>Part 5—Documents</w:t>
      </w:r>
      <w:bookmarkEnd w:id="165"/>
    </w:p>
    <w:p w14:paraId="03D16F09" w14:textId="77777777" w:rsidR="00A351F3" w:rsidRPr="00B40A77" w:rsidRDefault="00A351F3" w:rsidP="00A351F3">
      <w:pPr>
        <w:pStyle w:val="Heading3"/>
        <w:rPr>
          <w:color w:val="000000" w:themeColor="text1"/>
        </w:rPr>
      </w:pPr>
      <w:bookmarkStart w:id="166" w:name="_Toc175238803"/>
      <w:r w:rsidRPr="00B40A77">
        <w:rPr>
          <w:color w:val="000000" w:themeColor="text1"/>
        </w:rPr>
        <w:t>Division 1—Document form and content</w:t>
      </w:r>
      <w:bookmarkEnd w:id="166"/>
    </w:p>
    <w:p w14:paraId="149D5376" w14:textId="77777777" w:rsidR="00A351F3" w:rsidRPr="00B40A77" w:rsidRDefault="00A351F3" w:rsidP="00A351F3">
      <w:pPr>
        <w:pStyle w:val="Heading3"/>
        <w:rPr>
          <w:color w:val="000000" w:themeColor="text1"/>
        </w:rPr>
      </w:pPr>
      <w:bookmarkStart w:id="167" w:name="_Toc175238804"/>
      <w:r w:rsidRPr="00B40A77">
        <w:rPr>
          <w:color w:val="000000" w:themeColor="text1"/>
        </w:rPr>
        <w:t>Subdivision 1—General</w:t>
      </w:r>
      <w:bookmarkEnd w:id="167"/>
      <w:r w:rsidRPr="00B40A77">
        <w:rPr>
          <w:color w:val="000000" w:themeColor="text1"/>
        </w:rPr>
        <w:t xml:space="preserve"> </w:t>
      </w:r>
    </w:p>
    <w:p w14:paraId="72978944" w14:textId="36A65F31" w:rsidR="00A351F3" w:rsidRPr="00B40A77" w:rsidRDefault="00295291" w:rsidP="00A351F3">
      <w:pPr>
        <w:pStyle w:val="Heading4"/>
        <w:rPr>
          <w:color w:val="000000" w:themeColor="text1"/>
        </w:rPr>
      </w:pPr>
      <w:bookmarkStart w:id="168" w:name="_31.1—Definitions"/>
      <w:bookmarkStart w:id="169" w:name="_28.1—Definitions"/>
      <w:bookmarkStart w:id="170" w:name="_Toc175238805"/>
      <w:bookmarkEnd w:id="168"/>
      <w:bookmarkEnd w:id="169"/>
      <w:r w:rsidRPr="00B40A77">
        <w:rPr>
          <w:color w:val="000000" w:themeColor="text1"/>
        </w:rPr>
        <w:t>2</w:t>
      </w:r>
      <w:r w:rsidR="00F20F0A" w:rsidRPr="00B40A77">
        <w:rPr>
          <w:color w:val="000000" w:themeColor="text1"/>
        </w:rPr>
        <w:t>8</w:t>
      </w:r>
      <w:r w:rsidR="00A351F3" w:rsidRPr="00B40A77">
        <w:rPr>
          <w:color w:val="000000" w:themeColor="text1"/>
        </w:rPr>
        <w:t>.1—Definitions</w:t>
      </w:r>
      <w:bookmarkEnd w:id="170"/>
    </w:p>
    <w:p w14:paraId="3A79E6C5" w14:textId="1A412858" w:rsidR="00A351F3" w:rsidRPr="00B40A77" w:rsidRDefault="00A351F3" w:rsidP="00A37E9E">
      <w:pPr>
        <w:pStyle w:val="IndentedPara"/>
        <w:keepNext/>
        <w:rPr>
          <w:color w:val="000000" w:themeColor="text1"/>
        </w:rPr>
      </w:pPr>
      <w:r w:rsidRPr="00B40A77">
        <w:rPr>
          <w:color w:val="000000" w:themeColor="text1"/>
        </w:rPr>
        <w:t>In this Part—</w:t>
      </w:r>
    </w:p>
    <w:p w14:paraId="46AE39FD" w14:textId="6C854D42" w:rsidR="00A351F3" w:rsidRPr="00B40A77" w:rsidRDefault="00A351F3" w:rsidP="00C67365">
      <w:pPr>
        <w:pStyle w:val="Hangindent"/>
        <w:keepNext/>
        <w:rPr>
          <w:color w:val="000000" w:themeColor="text1"/>
        </w:rPr>
      </w:pPr>
      <w:r w:rsidRPr="00B40A77">
        <w:rPr>
          <w:b/>
          <w:i/>
          <w:color w:val="000000" w:themeColor="text1"/>
          <w:lang w:val="en-US"/>
        </w:rPr>
        <w:t>prescribed formats</w:t>
      </w:r>
      <w:r w:rsidRPr="00B40A77">
        <w:rPr>
          <w:color w:val="000000" w:themeColor="text1"/>
        </w:rPr>
        <w:t xml:space="preserve">—see </w:t>
      </w:r>
      <w:hyperlink w:anchor="_31.2—Prescribed_formats_and" w:history="1">
        <w:r w:rsidRPr="00B40A77">
          <w:rPr>
            <w:rStyle w:val="Hyperlink"/>
            <w:color w:val="000000" w:themeColor="text1"/>
          </w:rPr>
          <w:t xml:space="preserve">rule </w:t>
        </w:r>
        <w:r w:rsidR="0063121A" w:rsidRPr="00B40A77">
          <w:rPr>
            <w:rStyle w:val="Hyperlink"/>
            <w:color w:val="000000" w:themeColor="text1"/>
          </w:rPr>
          <w:t>2</w:t>
        </w:r>
        <w:r w:rsidR="00823D54" w:rsidRPr="00B40A77">
          <w:rPr>
            <w:rStyle w:val="Hyperlink"/>
            <w:color w:val="000000" w:themeColor="text1"/>
          </w:rPr>
          <w:t>8</w:t>
        </w:r>
        <w:r w:rsidRPr="00B40A77">
          <w:rPr>
            <w:rStyle w:val="Hyperlink"/>
            <w:color w:val="000000" w:themeColor="text1"/>
          </w:rPr>
          <w:t>.2</w:t>
        </w:r>
      </w:hyperlink>
      <w:r w:rsidRPr="00B40A77">
        <w:rPr>
          <w:color w:val="000000" w:themeColor="text1"/>
        </w:rPr>
        <w:t>.</w:t>
      </w:r>
    </w:p>
    <w:p w14:paraId="1F53F5FA" w14:textId="50F1D10A" w:rsidR="00C920E3" w:rsidRPr="00B40A77" w:rsidRDefault="00C920E3" w:rsidP="00A351F3">
      <w:pPr>
        <w:pStyle w:val="Hangindent"/>
        <w:rPr>
          <w:color w:val="000000" w:themeColor="text1"/>
          <w:u w:val="single"/>
        </w:rPr>
      </w:pPr>
      <w:r w:rsidRPr="00B40A77">
        <w:rPr>
          <w:b/>
          <w:i/>
          <w:color w:val="000000" w:themeColor="text1"/>
          <w:lang w:val="en-US"/>
        </w:rPr>
        <w:t>prescribed forms</w:t>
      </w:r>
      <w:r w:rsidRPr="00B40A77">
        <w:rPr>
          <w:color w:val="000000" w:themeColor="text1"/>
        </w:rPr>
        <w:t xml:space="preserve">—see </w:t>
      </w:r>
      <w:hyperlink w:anchor="_28.3—Prescribed_forms" w:history="1">
        <w:r w:rsidRPr="00B40A77">
          <w:rPr>
            <w:rStyle w:val="Hyperlink"/>
            <w:color w:val="000000" w:themeColor="text1"/>
          </w:rPr>
          <w:t>rule 28.3</w:t>
        </w:r>
      </w:hyperlink>
      <w:r w:rsidRPr="00B40A77">
        <w:rPr>
          <w:color w:val="000000" w:themeColor="text1"/>
        </w:rPr>
        <w:t>.</w:t>
      </w:r>
    </w:p>
    <w:p w14:paraId="24F36A11" w14:textId="0D42D7BD" w:rsidR="00A351F3" w:rsidRPr="00B40A77" w:rsidRDefault="00295291" w:rsidP="00A351F3">
      <w:pPr>
        <w:pStyle w:val="Heading4"/>
        <w:rPr>
          <w:color w:val="000000" w:themeColor="text1"/>
        </w:rPr>
      </w:pPr>
      <w:bookmarkStart w:id="171" w:name="_31.2—Prescribed_formats_and"/>
      <w:bookmarkStart w:id="172" w:name="_Toc175238806"/>
      <w:bookmarkEnd w:id="171"/>
      <w:r w:rsidRPr="00B40A77">
        <w:rPr>
          <w:color w:val="000000" w:themeColor="text1"/>
        </w:rPr>
        <w:t>2</w:t>
      </w:r>
      <w:r w:rsidR="00F20F0A" w:rsidRPr="00B40A77">
        <w:rPr>
          <w:color w:val="000000" w:themeColor="text1"/>
        </w:rPr>
        <w:t>8</w:t>
      </w:r>
      <w:r w:rsidR="00A351F3" w:rsidRPr="00B40A77">
        <w:rPr>
          <w:color w:val="000000" w:themeColor="text1"/>
        </w:rPr>
        <w:t>.2—Prescribed formats and layout of filed documents</w:t>
      </w:r>
      <w:bookmarkEnd w:id="172"/>
    </w:p>
    <w:p w14:paraId="2938C8C5" w14:textId="16CC0994" w:rsidR="00A351F3" w:rsidRPr="00B40A77" w:rsidRDefault="00A351F3" w:rsidP="00A351F3">
      <w:pPr>
        <w:pStyle w:val="Hangindent"/>
        <w:rPr>
          <w:color w:val="000000" w:themeColor="text1"/>
        </w:rPr>
      </w:pPr>
      <w:r w:rsidRPr="00B40A77">
        <w:rPr>
          <w:color w:val="000000" w:themeColor="text1"/>
        </w:rPr>
        <w:t>(1)</w:t>
      </w:r>
      <w:r w:rsidRPr="00B40A77">
        <w:rPr>
          <w:color w:val="000000" w:themeColor="text1"/>
        </w:rPr>
        <w:tab/>
      </w:r>
      <w:r w:rsidR="00D71C23" w:rsidRPr="00B40A77">
        <w:rPr>
          <w:color w:val="000000" w:themeColor="text1"/>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must prescribe—</w:t>
      </w:r>
    </w:p>
    <w:p w14:paraId="027B090F"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physical format of documents in physical or electronic form; and</w:t>
      </w:r>
    </w:p>
    <w:p w14:paraId="45172F9C"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electronic file format of documents in electronic form;</w:t>
      </w:r>
    </w:p>
    <w:p w14:paraId="258A3F21" w14:textId="77777777" w:rsidR="00A351F3" w:rsidRPr="00B40A77" w:rsidRDefault="00A351F3" w:rsidP="00A351F3">
      <w:pPr>
        <w:pStyle w:val="Doubleindentedpara"/>
        <w:rPr>
          <w:color w:val="000000" w:themeColor="text1"/>
        </w:rPr>
      </w:pPr>
      <w:r w:rsidRPr="00B40A77">
        <w:rPr>
          <w:color w:val="000000" w:themeColor="text1"/>
        </w:rPr>
        <w:t>required in respect of documents to be filed at court (</w:t>
      </w:r>
      <w:r w:rsidRPr="00B40A77">
        <w:rPr>
          <w:b/>
          <w:i/>
          <w:color w:val="000000" w:themeColor="text1"/>
        </w:rPr>
        <w:t>prescribed formats</w:t>
      </w:r>
      <w:r w:rsidRPr="00B40A77">
        <w:rPr>
          <w:color w:val="000000" w:themeColor="text1"/>
        </w:rPr>
        <w:t>).</w:t>
      </w:r>
    </w:p>
    <w:p w14:paraId="617028A9" w14:textId="3B2FCC18" w:rsidR="00A351F3" w:rsidRPr="00B40A77" w:rsidRDefault="00295291" w:rsidP="00A351F3">
      <w:pPr>
        <w:pStyle w:val="Heading4"/>
        <w:rPr>
          <w:color w:val="000000" w:themeColor="text1"/>
        </w:rPr>
      </w:pPr>
      <w:bookmarkStart w:id="173" w:name="_31.3—Prescribed_forms"/>
      <w:bookmarkStart w:id="174" w:name="_28.3—Prescribed_forms"/>
      <w:bookmarkStart w:id="175" w:name="_Toc175238807"/>
      <w:bookmarkEnd w:id="173"/>
      <w:bookmarkEnd w:id="174"/>
      <w:r w:rsidRPr="00B40A77">
        <w:rPr>
          <w:color w:val="000000" w:themeColor="text1"/>
        </w:rPr>
        <w:t>2</w:t>
      </w:r>
      <w:r w:rsidR="00F20F0A" w:rsidRPr="00B40A77">
        <w:rPr>
          <w:color w:val="000000" w:themeColor="text1"/>
        </w:rPr>
        <w:t>8</w:t>
      </w:r>
      <w:r w:rsidR="00A351F3" w:rsidRPr="00B40A77">
        <w:rPr>
          <w:color w:val="000000" w:themeColor="text1"/>
        </w:rPr>
        <w:t>.3—Prescribed forms</w:t>
      </w:r>
      <w:bookmarkEnd w:id="175"/>
    </w:p>
    <w:p w14:paraId="26D4B456" w14:textId="2C98268B" w:rsidR="00A351F3" w:rsidRPr="00B40A77" w:rsidRDefault="00A351F3" w:rsidP="00A351F3">
      <w:pPr>
        <w:pStyle w:val="Hangindent"/>
        <w:rPr>
          <w:color w:val="000000" w:themeColor="text1"/>
        </w:rPr>
      </w:pPr>
      <w:r w:rsidRPr="00B40A77">
        <w:rPr>
          <w:color w:val="000000" w:themeColor="text1"/>
        </w:rPr>
        <w:t>(1)</w:t>
      </w:r>
      <w:r w:rsidRPr="00B40A77">
        <w:rPr>
          <w:color w:val="000000" w:themeColor="text1"/>
        </w:rPr>
        <w:tab/>
        <w:t xml:space="preserve">The forms contained in </w:t>
      </w:r>
      <w:hyperlink w:anchor="_Schedule_2—Forms" w:history="1">
        <w:r w:rsidRPr="00B40A77">
          <w:rPr>
            <w:rStyle w:val="Hyperlink"/>
            <w:color w:val="000000" w:themeColor="text1"/>
          </w:rPr>
          <w:t>Schedule 2</w:t>
        </w:r>
      </w:hyperlink>
      <w:r w:rsidRPr="00B40A77">
        <w:rPr>
          <w:color w:val="000000" w:themeColor="text1"/>
        </w:rPr>
        <w:t xml:space="preserve"> prescribe the form and content of defined types of documents to be filed at court (</w:t>
      </w:r>
      <w:r w:rsidRPr="00B40A77">
        <w:rPr>
          <w:b/>
          <w:i/>
          <w:color w:val="000000" w:themeColor="text1"/>
          <w:lang w:val="en-US"/>
        </w:rPr>
        <w:t>prescribed forms</w:t>
      </w:r>
      <w:r w:rsidRPr="00B40A77">
        <w:rPr>
          <w:color w:val="000000" w:themeColor="text1"/>
          <w:lang w:val="en-US"/>
        </w:rPr>
        <w:t>)</w:t>
      </w:r>
      <w:r w:rsidRPr="00B40A77">
        <w:rPr>
          <w:color w:val="000000" w:themeColor="text1"/>
        </w:rPr>
        <w:t>.</w:t>
      </w:r>
    </w:p>
    <w:p w14:paraId="49171205" w14:textId="640B69AD" w:rsidR="00A351F3" w:rsidRPr="00B40A77" w:rsidRDefault="00A351F3" w:rsidP="00A351F3">
      <w:pPr>
        <w:pStyle w:val="Hangindent"/>
        <w:rPr>
          <w:color w:val="000000" w:themeColor="text1"/>
          <w:lang w:val="en-US"/>
        </w:rPr>
      </w:pPr>
      <w:bookmarkStart w:id="176" w:name="_Hlk35939426"/>
      <w:r w:rsidRPr="00B40A77">
        <w:rPr>
          <w:color w:val="000000" w:themeColor="text1"/>
        </w:rPr>
        <w:t>(2)</w:t>
      </w:r>
      <w:r w:rsidRPr="00B40A77">
        <w:rPr>
          <w:color w:val="000000" w:themeColor="text1"/>
        </w:rPr>
        <w:tab/>
        <w:t xml:space="preserve">If a proceeding is </w:t>
      </w:r>
      <w:r w:rsidRPr="00B40A77">
        <w:rPr>
          <w:color w:val="000000" w:themeColor="text1"/>
          <w:lang w:val="en-US"/>
        </w:rPr>
        <w:t xml:space="preserve">in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a document filed in the proceeding must show “Court of Appeal” in the court heading immediately below the name of the court and reference to the criminal jurisdiction.</w:t>
      </w:r>
    </w:p>
    <w:bookmarkEnd w:id="176"/>
    <w:p w14:paraId="151B2E4C" w14:textId="24E2011E" w:rsidR="00A351F3" w:rsidRPr="00B40A77" w:rsidRDefault="00A351F3" w:rsidP="00A351F3">
      <w:pPr>
        <w:pStyle w:val="Hangindent"/>
        <w:rPr>
          <w:color w:val="000000" w:themeColor="text1"/>
        </w:rPr>
      </w:pPr>
      <w:r w:rsidRPr="00B40A77">
        <w:rPr>
          <w:color w:val="000000" w:themeColor="text1"/>
        </w:rPr>
        <w:t>(3)</w:t>
      </w:r>
      <w:r w:rsidRPr="00B40A77">
        <w:rPr>
          <w:color w:val="000000" w:themeColor="text1"/>
        </w:rPr>
        <w:tab/>
        <w:t xml:space="preserve">The </w:t>
      </w:r>
      <w:hyperlink w:anchor="_2.1—Definitions" w:history="1">
        <w:r w:rsidRPr="00B40A77">
          <w:rPr>
            <w:rStyle w:val="Hyperlink"/>
            <w:color w:val="000000" w:themeColor="text1"/>
          </w:rPr>
          <w:t>Chief Judicial Officer</w:t>
        </w:r>
      </w:hyperlink>
      <w:r w:rsidRPr="00B40A77">
        <w:rPr>
          <w:color w:val="000000" w:themeColor="text1"/>
        </w:rPr>
        <w:t xml:space="preserve"> may—</w:t>
      </w:r>
    </w:p>
    <w:p w14:paraId="4ECBE357" w14:textId="0D51ABA0"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modify or delete a prescribed form contained in </w:t>
      </w:r>
      <w:hyperlink w:anchor="_Schedule_2—Forms" w:history="1">
        <w:r w:rsidR="0061372B" w:rsidRPr="00B40A77">
          <w:rPr>
            <w:rStyle w:val="Hyperlink"/>
            <w:color w:val="000000" w:themeColor="text1"/>
          </w:rPr>
          <w:t>Schedule 2</w:t>
        </w:r>
      </w:hyperlink>
      <w:r w:rsidRPr="00B40A77">
        <w:rPr>
          <w:color w:val="000000" w:themeColor="text1"/>
          <w:lang w:val="en-US"/>
        </w:rPr>
        <w:t>; or</w:t>
      </w:r>
    </w:p>
    <w:p w14:paraId="7EDD5040"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prescribe the form and content of additional defined types of documents to be filed at court </w:t>
      </w:r>
      <w:r w:rsidRPr="00B40A77">
        <w:rPr>
          <w:color w:val="000000" w:themeColor="text1"/>
        </w:rPr>
        <w:t>(</w:t>
      </w:r>
      <w:r w:rsidRPr="00B40A77">
        <w:rPr>
          <w:b/>
          <w:i/>
          <w:color w:val="000000" w:themeColor="text1"/>
          <w:lang w:val="en-US"/>
        </w:rPr>
        <w:t>prescribed forms</w:t>
      </w:r>
      <w:r w:rsidRPr="00B40A77">
        <w:rPr>
          <w:color w:val="000000" w:themeColor="text1"/>
          <w:lang w:val="en-US"/>
        </w:rPr>
        <w:t>).</w:t>
      </w:r>
    </w:p>
    <w:p w14:paraId="0B5CAAAE" w14:textId="1131D6CB" w:rsidR="00A351F3" w:rsidRPr="00B40A77" w:rsidRDefault="00A351F3" w:rsidP="00A351F3">
      <w:pPr>
        <w:pStyle w:val="Hangindent"/>
        <w:rPr>
          <w:color w:val="000000" w:themeColor="text1"/>
        </w:rPr>
      </w:pPr>
      <w:r w:rsidRPr="00B40A77">
        <w:rPr>
          <w:color w:val="000000" w:themeColor="text1"/>
        </w:rPr>
        <w:t>(4)</w:t>
      </w:r>
      <w:r w:rsidRPr="00B40A77">
        <w:rPr>
          <w:color w:val="000000" w:themeColor="text1"/>
        </w:rPr>
        <w:tab/>
        <w:t>When these Rules refer to a prescribed form, that form (as modified under subrule</w:t>
      </w:r>
      <w:r w:rsidR="008B6C02" w:rsidRPr="00B40A77">
        <w:rPr>
          <w:color w:val="000000" w:themeColor="text1"/>
        </w:rPr>
        <w:t> </w:t>
      </w:r>
      <w:r w:rsidRPr="00B40A77">
        <w:rPr>
          <w:color w:val="000000" w:themeColor="text1"/>
        </w:rPr>
        <w:t xml:space="preserve">(3) when applicable) must, subject to </w:t>
      </w:r>
      <w:hyperlink w:anchor="_31.5—Compliance_with_prescribed" w:history="1">
        <w:r w:rsidRPr="00B40A77">
          <w:rPr>
            <w:rStyle w:val="Hyperlink"/>
            <w:color w:val="000000" w:themeColor="text1"/>
          </w:rPr>
          <w:t xml:space="preserve">rule </w:t>
        </w:r>
        <w:r w:rsidR="00295291" w:rsidRPr="00B40A77">
          <w:rPr>
            <w:rStyle w:val="Hyperlink"/>
            <w:color w:val="000000" w:themeColor="text1"/>
          </w:rPr>
          <w:t>2</w:t>
        </w:r>
        <w:r w:rsidR="00823D54" w:rsidRPr="00B40A77">
          <w:rPr>
            <w:rStyle w:val="Hyperlink"/>
            <w:color w:val="000000" w:themeColor="text1"/>
          </w:rPr>
          <w:t>8</w:t>
        </w:r>
        <w:r w:rsidRPr="00B40A77">
          <w:rPr>
            <w:rStyle w:val="Hyperlink"/>
            <w:color w:val="000000" w:themeColor="text1"/>
          </w:rPr>
          <w:t>.5</w:t>
        </w:r>
      </w:hyperlink>
      <w:r w:rsidRPr="00B40A77">
        <w:rPr>
          <w:color w:val="000000" w:themeColor="text1"/>
          <w:u w:val="single"/>
        </w:rPr>
        <w:t>,</w:t>
      </w:r>
      <w:r w:rsidRPr="00B40A77">
        <w:rPr>
          <w:color w:val="000000" w:themeColor="text1"/>
        </w:rPr>
        <w:t xml:space="preserve"> be used for that purpose or in those circumstances.</w:t>
      </w:r>
    </w:p>
    <w:p w14:paraId="4D7DFB6F" w14:textId="3D6CAF52" w:rsidR="00661C1C" w:rsidRPr="00B40A77" w:rsidRDefault="00661C1C" w:rsidP="00A37E9E">
      <w:pPr>
        <w:pStyle w:val="Hangindent"/>
        <w:keepNext/>
        <w:rPr>
          <w:color w:val="000000" w:themeColor="text1"/>
        </w:rPr>
      </w:pPr>
      <w:r w:rsidRPr="00B40A77">
        <w:rPr>
          <w:color w:val="000000" w:themeColor="text1"/>
        </w:rPr>
        <w:t>(5)</w:t>
      </w:r>
      <w:r w:rsidRPr="00B40A77">
        <w:rPr>
          <w:color w:val="000000" w:themeColor="text1"/>
        </w:rPr>
        <w:tab/>
        <w:t>If there is no specific prescribed form for a particular type of document, the generic prescribed form must be used.</w:t>
      </w:r>
    </w:p>
    <w:p w14:paraId="30047632" w14:textId="485FF65D" w:rsidR="005F62DB" w:rsidRPr="00B40A77" w:rsidRDefault="005F62DB" w:rsidP="00A37E9E">
      <w:pPr>
        <w:pStyle w:val="NoteHeader"/>
        <w:keepNext/>
        <w:rPr>
          <w:color w:val="000000" w:themeColor="text1"/>
        </w:rPr>
      </w:pPr>
      <w:r w:rsidRPr="00B40A77">
        <w:rPr>
          <w:color w:val="000000" w:themeColor="text1"/>
        </w:rPr>
        <w:t>Prescribed form—</w:t>
      </w:r>
    </w:p>
    <w:p w14:paraId="7D92E7E1" w14:textId="4009F007" w:rsidR="005F62DB" w:rsidRPr="00B40A77" w:rsidRDefault="005F62DB" w:rsidP="005F62DB">
      <w:pPr>
        <w:pStyle w:val="NoteText"/>
        <w:rPr>
          <w:color w:val="000000" w:themeColor="text1"/>
        </w:rPr>
      </w:pPr>
      <w:r w:rsidRPr="00B40A77">
        <w:rPr>
          <w:color w:val="000000" w:themeColor="text1"/>
        </w:rPr>
        <w:t>F</w:t>
      </w:r>
      <w:r w:rsidR="003A385B" w:rsidRPr="00B40A77">
        <w:rPr>
          <w:color w:val="000000" w:themeColor="text1"/>
        </w:rPr>
        <w:t>orm 2</w:t>
      </w:r>
      <w:r w:rsidR="007F6982" w:rsidRPr="00B40A77">
        <w:rPr>
          <w:color w:val="000000" w:themeColor="text1"/>
        </w:rPr>
        <w:t>2</w:t>
      </w:r>
      <w:r w:rsidR="003A385B" w:rsidRPr="00B40A77">
        <w:rPr>
          <w:color w:val="000000" w:themeColor="text1"/>
        </w:rPr>
        <w:t>1</w:t>
      </w:r>
      <w:r w:rsidRPr="00B40A77">
        <w:rPr>
          <w:color w:val="000000" w:themeColor="text1"/>
        </w:rPr>
        <w:t xml:space="preserve"> </w:t>
      </w:r>
      <w:hyperlink r:id="rId33" w:history="1">
        <w:r w:rsidRPr="00B40A77">
          <w:rPr>
            <w:rStyle w:val="Hyperlink"/>
            <w:color w:val="000000" w:themeColor="text1"/>
          </w:rPr>
          <w:t>Miscellaneous</w:t>
        </w:r>
      </w:hyperlink>
    </w:p>
    <w:p w14:paraId="3B5FB352" w14:textId="01868903" w:rsidR="00EE14FA" w:rsidRPr="00B40A77" w:rsidRDefault="00EE14FA" w:rsidP="00EE14FA">
      <w:pPr>
        <w:pStyle w:val="Hangindent"/>
        <w:rPr>
          <w:color w:val="000000" w:themeColor="text1"/>
        </w:rPr>
      </w:pPr>
      <w:r w:rsidRPr="00B40A77">
        <w:rPr>
          <w:color w:val="000000" w:themeColor="text1"/>
        </w:rPr>
        <w:t>(6)</w:t>
      </w:r>
      <w:r w:rsidRPr="00B40A77">
        <w:rPr>
          <w:color w:val="000000" w:themeColor="text1"/>
        </w:rPr>
        <w:tab/>
        <w:t>Subrule</w:t>
      </w:r>
      <w:r w:rsidR="00505080" w:rsidRPr="00B40A77">
        <w:rPr>
          <w:color w:val="000000" w:themeColor="text1"/>
        </w:rPr>
        <w:t> </w:t>
      </w:r>
      <w:r w:rsidRPr="00B40A77">
        <w:rPr>
          <w:color w:val="000000" w:themeColor="text1"/>
        </w:rPr>
        <w:t>(7) applies when these Rules refer to a prescribed form that is—</w:t>
      </w:r>
    </w:p>
    <w:p w14:paraId="616F241C" w14:textId="6BA235FD" w:rsidR="00EE14FA" w:rsidRPr="00B40A77" w:rsidRDefault="00EE14FA" w:rsidP="00EE14FA">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an order to be used in specific circumstances (as opposed to the generic form</w:t>
      </w:r>
      <w:r w:rsidR="00077DEB" w:rsidRPr="00B40A77">
        <w:rPr>
          <w:color w:val="000000" w:themeColor="text1"/>
        </w:rPr>
        <w:t>s being</w:t>
      </w:r>
      <w:r w:rsidR="00E13F59" w:rsidRPr="00B40A77">
        <w:rPr>
          <w:color w:val="000000" w:themeColor="text1"/>
        </w:rPr>
        <w:t xml:space="preserve"> Form </w:t>
      </w:r>
      <w:r w:rsidR="002121B2" w:rsidRPr="00B40A77">
        <w:rPr>
          <w:color w:val="000000" w:themeColor="text1"/>
        </w:rPr>
        <w:t>100</w:t>
      </w:r>
      <w:r w:rsidR="00D61599" w:rsidRPr="00B40A77">
        <w:rPr>
          <w:color w:val="000000" w:themeColor="text1"/>
        </w:rPr>
        <w:t>,</w:t>
      </w:r>
      <w:r w:rsidR="00E13F59" w:rsidRPr="00B40A77">
        <w:rPr>
          <w:color w:val="000000" w:themeColor="text1"/>
        </w:rPr>
        <w:t xml:space="preserve"> Form 142</w:t>
      </w:r>
      <w:r w:rsidR="00D01629" w:rsidRPr="00B40A77">
        <w:rPr>
          <w:color w:val="000000" w:themeColor="text1"/>
        </w:rPr>
        <w:t xml:space="preserve"> </w:t>
      </w:r>
      <w:r w:rsidR="00087989" w:rsidRPr="00B40A77">
        <w:rPr>
          <w:color w:val="000000" w:themeColor="text1"/>
        </w:rPr>
        <w:t>and</w:t>
      </w:r>
      <w:r w:rsidR="00D01629" w:rsidRPr="00B40A77">
        <w:rPr>
          <w:color w:val="000000" w:themeColor="text1"/>
        </w:rPr>
        <w:t xml:space="preserve"> Form 199</w:t>
      </w:r>
      <w:r w:rsidR="003A7E47" w:rsidRPr="00B40A77">
        <w:rPr>
          <w:color w:val="000000" w:themeColor="text1"/>
        </w:rPr>
        <w:t>)</w:t>
      </w:r>
      <w:r w:rsidRPr="00B40A77">
        <w:rPr>
          <w:color w:val="000000" w:themeColor="text1"/>
          <w:lang w:val="en-US"/>
        </w:rPr>
        <w:t>;</w:t>
      </w:r>
    </w:p>
    <w:p w14:paraId="44485727" w14:textId="732A5306" w:rsidR="00EE14FA" w:rsidRPr="00B40A77" w:rsidRDefault="00EE14FA" w:rsidP="00EE14FA">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 bail agreement, bond, recognizance, guarantee or other document </w:t>
      </w:r>
      <w:r w:rsidR="003A7E47" w:rsidRPr="00B40A77">
        <w:rPr>
          <w:color w:val="000000" w:themeColor="text1"/>
          <w:lang w:val="en-US"/>
        </w:rPr>
        <w:t>agreed or executed by a party or other person; or</w:t>
      </w:r>
    </w:p>
    <w:p w14:paraId="63DBCF60" w14:textId="7FCB1BF2" w:rsidR="003A7E47" w:rsidRPr="00B40A77" w:rsidRDefault="003A7E47" w:rsidP="00EE14FA">
      <w:pPr>
        <w:pStyle w:val="Doublehangindent"/>
        <w:rPr>
          <w:color w:val="000000" w:themeColor="text1"/>
          <w:lang w:val="en-US"/>
        </w:rPr>
      </w:pPr>
      <w:r w:rsidRPr="00B40A77">
        <w:rPr>
          <w:color w:val="000000" w:themeColor="text1"/>
          <w:lang w:val="en-US"/>
        </w:rPr>
        <w:t>(c)</w:t>
      </w:r>
      <w:r w:rsidRPr="00B40A77">
        <w:rPr>
          <w:color w:val="000000" w:themeColor="text1"/>
          <w:lang w:val="en-US"/>
        </w:rPr>
        <w:tab/>
        <w:t>any other document issued by the Court or to which the Court is a party.</w:t>
      </w:r>
    </w:p>
    <w:p w14:paraId="563AD29F" w14:textId="0218F4B0" w:rsidR="00EE14FA" w:rsidRPr="00B40A77" w:rsidRDefault="003A7E47" w:rsidP="003A7E47">
      <w:pPr>
        <w:pStyle w:val="Hangindent"/>
        <w:rPr>
          <w:color w:val="000000" w:themeColor="text1"/>
        </w:rPr>
      </w:pPr>
      <w:r w:rsidRPr="00B40A77">
        <w:rPr>
          <w:color w:val="000000" w:themeColor="text1"/>
        </w:rPr>
        <w:t>(7)</w:t>
      </w:r>
      <w:r w:rsidRPr="00B40A77">
        <w:rPr>
          <w:color w:val="000000" w:themeColor="text1"/>
        </w:rPr>
        <w:tab/>
        <w:t>The content of a form referred to subrule</w:t>
      </w:r>
      <w:r w:rsidR="008B6C02" w:rsidRPr="00B40A77">
        <w:rPr>
          <w:color w:val="000000" w:themeColor="text1"/>
        </w:rPr>
        <w:t> </w:t>
      </w:r>
      <w:r w:rsidRPr="00B40A77">
        <w:rPr>
          <w:color w:val="000000" w:themeColor="text1"/>
        </w:rPr>
        <w:t xml:space="preserve">(6) </w:t>
      </w:r>
      <w:r w:rsidR="00EE14FA" w:rsidRPr="00B40A77">
        <w:rPr>
          <w:color w:val="000000" w:themeColor="text1"/>
        </w:rPr>
        <w:t>is presumptive only and the wording of orders</w:t>
      </w:r>
      <w:r w:rsidRPr="00B40A77">
        <w:rPr>
          <w:color w:val="000000" w:themeColor="text1"/>
        </w:rPr>
        <w:t xml:space="preserve">, </w:t>
      </w:r>
      <w:r w:rsidR="00EE14FA" w:rsidRPr="00B40A77">
        <w:rPr>
          <w:color w:val="000000" w:themeColor="text1"/>
        </w:rPr>
        <w:t>conditions or other</w:t>
      </w:r>
      <w:r w:rsidRPr="00B40A77">
        <w:rPr>
          <w:color w:val="000000" w:themeColor="text1"/>
        </w:rPr>
        <w:t xml:space="preserve"> content</w:t>
      </w:r>
      <w:r w:rsidR="00EE14FA" w:rsidRPr="00B40A77">
        <w:rPr>
          <w:color w:val="000000" w:themeColor="text1"/>
        </w:rPr>
        <w:t xml:space="preserve"> may be changed </w:t>
      </w:r>
      <w:r w:rsidRPr="00B40A77">
        <w:rPr>
          <w:color w:val="000000" w:themeColor="text1"/>
        </w:rPr>
        <w:t>by the Court</w:t>
      </w:r>
      <w:r w:rsidR="00EE14FA" w:rsidRPr="00B40A77">
        <w:rPr>
          <w:color w:val="000000" w:themeColor="text1"/>
        </w:rPr>
        <w:t>.</w:t>
      </w:r>
    </w:p>
    <w:p w14:paraId="11F286A5" w14:textId="77777777" w:rsidR="00F00E58" w:rsidRPr="00B40A77" w:rsidRDefault="00F00E58" w:rsidP="00F00E58">
      <w:pPr>
        <w:pStyle w:val="Hangindent"/>
        <w:rPr>
          <w:color w:val="000000" w:themeColor="text1"/>
        </w:rPr>
      </w:pPr>
      <w:r w:rsidRPr="00B40A77">
        <w:rPr>
          <w:color w:val="000000" w:themeColor="text1"/>
        </w:rPr>
        <w:t>(8)</w:t>
      </w:r>
      <w:r w:rsidRPr="00B40A77">
        <w:rPr>
          <w:color w:val="000000" w:themeColor="text1"/>
        </w:rPr>
        <w:tab/>
        <w:t>If the number of a prescribed form has the suffix “e”, it—</w:t>
      </w:r>
    </w:p>
    <w:p w14:paraId="742D6D5A" w14:textId="77777777" w:rsidR="004408A3" w:rsidRPr="00B40A77" w:rsidRDefault="00F00E58" w:rsidP="00F00E58">
      <w:pPr>
        <w:pStyle w:val="Doublehangindent"/>
        <w:rPr>
          <w:color w:val="000000" w:themeColor="text1"/>
        </w:rPr>
      </w:pPr>
      <w:r w:rsidRPr="00B40A77">
        <w:rPr>
          <w:color w:val="000000" w:themeColor="text1"/>
          <w:lang w:val="en-US"/>
        </w:rPr>
        <w:lastRenderedPageBreak/>
        <w:t>(a)</w:t>
      </w:r>
      <w:r w:rsidRPr="00B40A77">
        <w:rPr>
          <w:color w:val="000000" w:themeColor="text1"/>
          <w:lang w:val="en-US"/>
        </w:rPr>
        <w:tab/>
      </w:r>
      <w:r w:rsidRPr="00B40A77">
        <w:rPr>
          <w:color w:val="000000" w:themeColor="text1"/>
        </w:rPr>
        <w:t>must be used if the form is filed using the Electronic System</w:t>
      </w:r>
      <w:r w:rsidR="004408A3" w:rsidRPr="00B40A77">
        <w:rPr>
          <w:color w:val="000000" w:themeColor="text1"/>
        </w:rPr>
        <w:t>;</w:t>
      </w:r>
      <w:r w:rsidRPr="00B40A77">
        <w:rPr>
          <w:color w:val="000000" w:themeColor="text1"/>
        </w:rPr>
        <w:t xml:space="preserve"> and </w:t>
      </w:r>
    </w:p>
    <w:p w14:paraId="126FB5FE" w14:textId="04E0E5D4" w:rsidR="00F00E58" w:rsidRPr="00B40A77" w:rsidRDefault="004408A3" w:rsidP="00F00E58">
      <w:pPr>
        <w:pStyle w:val="Doublehangindent"/>
        <w:rPr>
          <w:color w:val="000000" w:themeColor="text1"/>
        </w:rPr>
      </w:pPr>
      <w:r w:rsidRPr="00B40A77">
        <w:rPr>
          <w:color w:val="000000" w:themeColor="text1"/>
        </w:rPr>
        <w:t>(b)</w:t>
      </w:r>
      <w:r w:rsidRPr="00B40A77">
        <w:rPr>
          <w:color w:val="000000" w:themeColor="text1"/>
        </w:rPr>
        <w:tab/>
      </w:r>
      <w:r w:rsidR="00F00E58" w:rsidRPr="00B40A77">
        <w:rPr>
          <w:color w:val="000000" w:themeColor="text1"/>
        </w:rPr>
        <w:t>may be used if the form is filed physically at a registry of the Court if the form is complet</w:t>
      </w:r>
      <w:r w:rsidRPr="00B40A77">
        <w:rPr>
          <w:color w:val="000000" w:themeColor="text1"/>
        </w:rPr>
        <w:t>ed electronically</w:t>
      </w:r>
      <w:r w:rsidR="00F00E58" w:rsidRPr="00B40A77">
        <w:rPr>
          <w:color w:val="000000" w:themeColor="text1"/>
        </w:rPr>
        <w:t>.</w:t>
      </w:r>
    </w:p>
    <w:p w14:paraId="395CD1D1" w14:textId="4F4E6934" w:rsidR="00F00E58" w:rsidRPr="00B40A77" w:rsidRDefault="00F00E58" w:rsidP="00F00E58">
      <w:pPr>
        <w:pStyle w:val="Hangindent"/>
        <w:rPr>
          <w:color w:val="000000" w:themeColor="text1"/>
        </w:rPr>
      </w:pPr>
      <w:r w:rsidRPr="00B40A77">
        <w:rPr>
          <w:color w:val="000000" w:themeColor="text1"/>
        </w:rPr>
        <w:t>(9)</w:t>
      </w:r>
      <w:r w:rsidRPr="00B40A77">
        <w:rPr>
          <w:color w:val="000000" w:themeColor="text1"/>
        </w:rPr>
        <w:tab/>
        <w:t>If the number of a prescribed form has the suffix “h”, it may be used if the form is filed physically at a registry of the Court</w:t>
      </w:r>
      <w:r w:rsidR="004408A3" w:rsidRPr="00B40A77">
        <w:rPr>
          <w:color w:val="000000" w:themeColor="text1"/>
        </w:rPr>
        <w:t xml:space="preserve"> if the form is completed manually</w:t>
      </w:r>
      <w:r w:rsidRPr="00B40A77">
        <w:rPr>
          <w:color w:val="000000" w:themeColor="text1"/>
        </w:rPr>
        <w:t>.</w:t>
      </w:r>
    </w:p>
    <w:p w14:paraId="7D0C7966" w14:textId="56AC5B4F" w:rsidR="00A351F3" w:rsidRPr="00B40A77" w:rsidRDefault="00295291" w:rsidP="00A351F3">
      <w:pPr>
        <w:pStyle w:val="Heading4"/>
        <w:rPr>
          <w:color w:val="000000" w:themeColor="text1"/>
        </w:rPr>
      </w:pPr>
      <w:bookmarkStart w:id="177" w:name="_Toc175238808"/>
      <w:r w:rsidRPr="00B40A77">
        <w:rPr>
          <w:color w:val="000000" w:themeColor="text1"/>
        </w:rPr>
        <w:t>2</w:t>
      </w:r>
      <w:r w:rsidR="00F20F0A" w:rsidRPr="00B40A77">
        <w:rPr>
          <w:color w:val="000000" w:themeColor="text1"/>
        </w:rPr>
        <w:t>8</w:t>
      </w:r>
      <w:r w:rsidR="00A351F3" w:rsidRPr="00B40A77">
        <w:rPr>
          <w:color w:val="000000" w:themeColor="text1"/>
        </w:rPr>
        <w:t>.4—Publication of prescribed requirements</w:t>
      </w:r>
      <w:bookmarkEnd w:id="177"/>
    </w:p>
    <w:p w14:paraId="629A33FD" w14:textId="36F5384B" w:rsidR="00A351F3" w:rsidRPr="00B40A77" w:rsidRDefault="00D71C23" w:rsidP="00A351F3">
      <w:pPr>
        <w:pStyle w:val="Hangindent"/>
        <w:ind w:left="567" w:firstLine="0"/>
        <w:rPr>
          <w:color w:val="000000" w:themeColor="text1"/>
          <w:lang w:val="en-US"/>
        </w:rPr>
      </w:pPr>
      <w:r w:rsidRPr="00B40A77">
        <w:rPr>
          <w:color w:val="000000" w:themeColor="text1"/>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00A351F3" w:rsidRPr="00B40A77">
        <w:rPr>
          <w:color w:val="000000" w:themeColor="text1"/>
          <w:lang w:val="en-US"/>
        </w:rPr>
        <w:t xml:space="preserve"> must cause the </w:t>
      </w:r>
      <w:hyperlink w:anchor="_31.1—Definitions" w:history="1">
        <w:r w:rsidR="00A351F3" w:rsidRPr="00B40A77">
          <w:rPr>
            <w:rStyle w:val="Hyperlink"/>
            <w:color w:val="000000" w:themeColor="text1"/>
            <w:lang w:val="en-US"/>
          </w:rPr>
          <w:t>prescribed formats</w:t>
        </w:r>
      </w:hyperlink>
      <w:r w:rsidR="00A351F3" w:rsidRPr="00B40A77">
        <w:rPr>
          <w:color w:val="000000" w:themeColor="text1"/>
          <w:lang w:val="en-US"/>
        </w:rPr>
        <w:t xml:space="preserve"> and </w:t>
      </w:r>
      <w:hyperlink w:anchor="_28.1—Definitions" w:history="1">
        <w:r w:rsidR="00A351F3" w:rsidRPr="00B40A77">
          <w:rPr>
            <w:rStyle w:val="Hyperlink"/>
            <w:color w:val="000000" w:themeColor="text1"/>
            <w:lang w:val="en-US"/>
          </w:rPr>
          <w:t>prescribed forms</w:t>
        </w:r>
      </w:hyperlink>
      <w:r w:rsidR="00A351F3" w:rsidRPr="00B40A77">
        <w:rPr>
          <w:color w:val="000000" w:themeColor="text1"/>
          <w:lang w:val="en-US"/>
        </w:rPr>
        <w:t xml:space="preserve"> in force from time to time to be published on the </w:t>
      </w:r>
      <w:hyperlink w:anchor="_2.1—Definitions" w:history="1">
        <w:r w:rsidR="00A351F3" w:rsidRPr="00B40A77">
          <w:rPr>
            <w:rStyle w:val="Hyperlink"/>
            <w:color w:val="000000" w:themeColor="text1"/>
            <w:lang w:val="en-US"/>
          </w:rPr>
          <w:t>CAA website</w:t>
        </w:r>
      </w:hyperlink>
      <w:r w:rsidR="00A351F3" w:rsidRPr="00B40A77">
        <w:rPr>
          <w:color w:val="000000" w:themeColor="text1"/>
          <w:lang w:val="en-US"/>
        </w:rPr>
        <w:t>.</w:t>
      </w:r>
    </w:p>
    <w:p w14:paraId="50C96D84" w14:textId="52D7F378" w:rsidR="00A351F3" w:rsidRPr="00B40A77" w:rsidRDefault="00295291" w:rsidP="00A351F3">
      <w:pPr>
        <w:pStyle w:val="Heading4"/>
        <w:rPr>
          <w:color w:val="000000" w:themeColor="text1"/>
        </w:rPr>
      </w:pPr>
      <w:bookmarkStart w:id="178" w:name="_31.5—Compliance_with_prescribed"/>
      <w:bookmarkStart w:id="179" w:name="_Toc175238809"/>
      <w:bookmarkEnd w:id="178"/>
      <w:r w:rsidRPr="00B40A77">
        <w:rPr>
          <w:color w:val="000000" w:themeColor="text1"/>
        </w:rPr>
        <w:t>2</w:t>
      </w:r>
      <w:r w:rsidR="00F20F0A" w:rsidRPr="00B40A77">
        <w:rPr>
          <w:color w:val="000000" w:themeColor="text1"/>
        </w:rPr>
        <w:t>8</w:t>
      </w:r>
      <w:r w:rsidR="00A351F3" w:rsidRPr="00B40A77">
        <w:rPr>
          <w:color w:val="000000" w:themeColor="text1"/>
        </w:rPr>
        <w:t>.5—Compliance with prescribed requirements</w:t>
      </w:r>
      <w:bookmarkEnd w:id="179"/>
    </w:p>
    <w:p w14:paraId="5A7B3D6A" w14:textId="7BE555A6"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document to be filed in a proceeding must be in accordance with the requirements contained under </w:t>
      </w:r>
      <w:hyperlink w:anchor="_31.2—Prescribed_formats_and" w:history="1">
        <w:r w:rsidRPr="00B40A77">
          <w:rPr>
            <w:rStyle w:val="Hyperlink"/>
            <w:color w:val="000000" w:themeColor="text1"/>
            <w:lang w:val="en-US"/>
          </w:rPr>
          <w:t>r</w:t>
        </w:r>
        <w:r w:rsidR="00295291" w:rsidRPr="00B40A77">
          <w:rPr>
            <w:rStyle w:val="Hyperlink"/>
            <w:color w:val="000000" w:themeColor="text1"/>
            <w:lang w:val="en-US"/>
          </w:rPr>
          <w:t>ule</w:t>
        </w:r>
        <w:r w:rsidR="008B6C02" w:rsidRPr="00B40A77">
          <w:rPr>
            <w:rStyle w:val="Hyperlink"/>
            <w:color w:val="000000" w:themeColor="text1"/>
            <w:lang w:val="en-US"/>
          </w:rPr>
          <w:t> </w:t>
        </w:r>
        <w:r w:rsidR="00295291" w:rsidRPr="00B40A77">
          <w:rPr>
            <w:rStyle w:val="Hyperlink"/>
            <w:color w:val="000000" w:themeColor="text1"/>
            <w:lang w:val="en-US"/>
          </w:rPr>
          <w:t>2</w:t>
        </w:r>
        <w:r w:rsidR="00823D54" w:rsidRPr="00B40A77">
          <w:rPr>
            <w:rStyle w:val="Hyperlink"/>
            <w:color w:val="000000" w:themeColor="text1"/>
            <w:lang w:val="en-US"/>
          </w:rPr>
          <w:t>8</w:t>
        </w:r>
        <w:r w:rsidRPr="00B40A77">
          <w:rPr>
            <w:rStyle w:val="Hyperlink"/>
            <w:color w:val="000000" w:themeColor="text1"/>
            <w:lang w:val="en-US"/>
          </w:rPr>
          <w:t>.2</w:t>
        </w:r>
      </w:hyperlink>
      <w:r w:rsidRPr="00B40A77">
        <w:rPr>
          <w:color w:val="000000" w:themeColor="text1"/>
          <w:lang w:val="en-US"/>
        </w:rPr>
        <w:t xml:space="preserve"> and in </w:t>
      </w:r>
      <w:hyperlink w:anchor="_31.3—Prescribed_forms" w:history="1">
        <w:r w:rsidRPr="00B40A77">
          <w:rPr>
            <w:rStyle w:val="Hyperlink"/>
            <w:color w:val="000000" w:themeColor="text1"/>
            <w:lang w:val="en-US"/>
          </w:rPr>
          <w:t>rule</w:t>
        </w:r>
        <w:r w:rsidR="008B6C02" w:rsidRPr="00B40A77">
          <w:rPr>
            <w:rStyle w:val="Hyperlink"/>
            <w:color w:val="000000" w:themeColor="text1"/>
            <w:lang w:val="en-US"/>
          </w:rPr>
          <w:t> </w:t>
        </w:r>
        <w:r w:rsidR="00295291" w:rsidRPr="00B40A77">
          <w:rPr>
            <w:rStyle w:val="Hyperlink"/>
            <w:color w:val="000000" w:themeColor="text1"/>
            <w:lang w:val="en-US"/>
          </w:rPr>
          <w:t>2</w:t>
        </w:r>
        <w:r w:rsidR="00823D54" w:rsidRPr="00B40A77">
          <w:rPr>
            <w:rStyle w:val="Hyperlink"/>
            <w:color w:val="000000" w:themeColor="text1"/>
            <w:lang w:val="en-US"/>
          </w:rPr>
          <w:t>8</w:t>
        </w:r>
        <w:r w:rsidRPr="00B40A77">
          <w:rPr>
            <w:rStyle w:val="Hyperlink"/>
            <w:color w:val="000000" w:themeColor="text1"/>
            <w:lang w:val="en-US"/>
          </w:rPr>
          <w:t>.3</w:t>
        </w:r>
      </w:hyperlink>
      <w:r w:rsidRPr="00B40A77">
        <w:rPr>
          <w:color w:val="000000" w:themeColor="text1"/>
          <w:lang w:val="en-US"/>
        </w:rPr>
        <w:t>.</w:t>
      </w:r>
    </w:p>
    <w:p w14:paraId="44EFEAE4" w14:textId="1749FD1E"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A document that does not substantially comply with subrule</w:t>
      </w:r>
      <w:r w:rsidR="008B6C02" w:rsidRPr="00B40A77">
        <w:rPr>
          <w:color w:val="000000" w:themeColor="text1"/>
          <w:lang w:val="en-US"/>
        </w:rPr>
        <w:t> </w:t>
      </w:r>
      <w:r w:rsidRPr="00B40A77">
        <w:rPr>
          <w:color w:val="000000" w:themeColor="text1"/>
          <w:lang w:val="en-US"/>
        </w:rPr>
        <w:t xml:space="preserve">(1) may be rejected for filing by </w:t>
      </w:r>
      <w:hyperlink w:anchor="_2.1—Definitions" w:history="1">
        <w:r w:rsidR="00776737" w:rsidRPr="00B40A77">
          <w:rPr>
            <w:rStyle w:val="Hyperlink"/>
            <w:color w:val="000000" w:themeColor="text1"/>
            <w:u w:val="none"/>
            <w:lang w:val="en-US"/>
          </w:rPr>
          <w:t>the</w:t>
        </w:r>
        <w:r w:rsidRPr="00B40A77">
          <w:rPr>
            <w:rStyle w:val="Hyperlink"/>
            <w:color w:val="000000" w:themeColor="text1"/>
            <w:u w:val="none"/>
            <w:lang w:val="en-US"/>
          </w:rPr>
          <w:t xml:space="preserve"> </w:t>
        </w:r>
        <w:r w:rsidRPr="00B40A77">
          <w:rPr>
            <w:rStyle w:val="Hyperlink"/>
            <w:color w:val="000000" w:themeColor="text1"/>
            <w:lang w:val="en-US"/>
          </w:rPr>
          <w:t>Registrar</w:t>
        </w:r>
      </w:hyperlink>
      <w:r w:rsidRPr="00B40A77">
        <w:rPr>
          <w:color w:val="000000" w:themeColor="text1"/>
          <w:lang w:val="en-US"/>
        </w:rPr>
        <w:t xml:space="preserve"> or by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w:t>
      </w:r>
    </w:p>
    <w:p w14:paraId="43130F6F" w14:textId="2A0B9F06"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Court may give directions about the format or form of documents to be filed at court in a proceeding, including varying the requirements contained under </w:t>
      </w:r>
      <w:hyperlink w:anchor="_31.2—Prescribed_formats_and" w:history="1">
        <w:r w:rsidR="00295291" w:rsidRPr="00B40A77">
          <w:rPr>
            <w:rStyle w:val="Hyperlink"/>
            <w:color w:val="000000" w:themeColor="text1"/>
            <w:lang w:val="en-US"/>
          </w:rPr>
          <w:t>rule 2</w:t>
        </w:r>
        <w:r w:rsidR="007D6E57" w:rsidRPr="00B40A77">
          <w:rPr>
            <w:rStyle w:val="Hyperlink"/>
            <w:color w:val="000000" w:themeColor="text1"/>
            <w:lang w:val="en-US"/>
          </w:rPr>
          <w:t>8</w:t>
        </w:r>
        <w:r w:rsidR="008B6C02" w:rsidRPr="00B40A77">
          <w:rPr>
            <w:rStyle w:val="Hyperlink"/>
            <w:color w:val="000000" w:themeColor="text1"/>
            <w:lang w:val="en-US"/>
          </w:rPr>
          <w:t> </w:t>
        </w:r>
        <w:r w:rsidRPr="00B40A77">
          <w:rPr>
            <w:rStyle w:val="Hyperlink"/>
            <w:color w:val="000000" w:themeColor="text1"/>
            <w:lang w:val="en-US"/>
          </w:rPr>
          <w:t>2</w:t>
        </w:r>
      </w:hyperlink>
      <w:r w:rsidRPr="00B40A77">
        <w:rPr>
          <w:color w:val="000000" w:themeColor="text1"/>
          <w:lang w:val="en-US"/>
        </w:rPr>
        <w:t xml:space="preserve"> and in </w:t>
      </w:r>
      <w:hyperlink w:anchor="_31.3—Prescribed_forms" w:history="1">
        <w:r w:rsidRPr="00B40A77">
          <w:rPr>
            <w:rStyle w:val="Hyperlink"/>
            <w:color w:val="000000" w:themeColor="text1"/>
            <w:lang w:val="en-US"/>
          </w:rPr>
          <w:t xml:space="preserve">rule </w:t>
        </w:r>
        <w:r w:rsidR="00295291" w:rsidRPr="00B40A77">
          <w:rPr>
            <w:rStyle w:val="Hyperlink"/>
            <w:color w:val="000000" w:themeColor="text1"/>
            <w:lang w:val="en-US"/>
          </w:rPr>
          <w:t>2</w:t>
        </w:r>
        <w:r w:rsidR="007D6E57" w:rsidRPr="00B40A77">
          <w:rPr>
            <w:rStyle w:val="Hyperlink"/>
            <w:color w:val="000000" w:themeColor="text1"/>
            <w:lang w:val="en-US"/>
          </w:rPr>
          <w:t>8</w:t>
        </w:r>
        <w:r w:rsidR="008B6C02" w:rsidRPr="00B40A77">
          <w:rPr>
            <w:rStyle w:val="Hyperlink"/>
            <w:color w:val="000000" w:themeColor="text1"/>
            <w:lang w:val="en-US"/>
          </w:rPr>
          <w:t> </w:t>
        </w:r>
        <w:r w:rsidRPr="00B40A77">
          <w:rPr>
            <w:rStyle w:val="Hyperlink"/>
            <w:color w:val="000000" w:themeColor="text1"/>
            <w:lang w:val="en-US"/>
          </w:rPr>
          <w:t>3</w:t>
        </w:r>
      </w:hyperlink>
      <w:r w:rsidRPr="00B40A77">
        <w:rPr>
          <w:color w:val="000000" w:themeColor="text1"/>
          <w:u w:val="single"/>
          <w:lang w:val="en-US"/>
        </w:rPr>
        <w:t>.</w:t>
      </w:r>
    </w:p>
    <w:p w14:paraId="4D43F0A9" w14:textId="53C07382" w:rsidR="00A351F3" w:rsidRPr="00B40A77" w:rsidRDefault="007964C3" w:rsidP="00A351F3">
      <w:pPr>
        <w:pStyle w:val="Heading4"/>
        <w:rPr>
          <w:color w:val="000000" w:themeColor="text1"/>
        </w:rPr>
      </w:pPr>
      <w:bookmarkStart w:id="180" w:name="_Toc175238810"/>
      <w:r w:rsidRPr="00B40A77">
        <w:rPr>
          <w:color w:val="000000" w:themeColor="text1"/>
        </w:rPr>
        <w:t>2</w:t>
      </w:r>
      <w:r w:rsidR="00F20F0A" w:rsidRPr="00B40A77">
        <w:rPr>
          <w:color w:val="000000" w:themeColor="text1"/>
        </w:rPr>
        <w:t>8</w:t>
      </w:r>
      <w:r w:rsidR="00A351F3" w:rsidRPr="00B40A77">
        <w:rPr>
          <w:color w:val="000000" w:themeColor="text1"/>
        </w:rPr>
        <w:t xml:space="preserve">.6—Document </w:t>
      </w:r>
      <w:r w:rsidRPr="00B40A77">
        <w:rPr>
          <w:color w:val="000000" w:themeColor="text1"/>
        </w:rPr>
        <w:t xml:space="preserve">drawn or </w:t>
      </w:r>
      <w:r w:rsidR="00A351F3" w:rsidRPr="00B40A77">
        <w:rPr>
          <w:color w:val="000000" w:themeColor="text1"/>
        </w:rPr>
        <w:t>settled by counsel</w:t>
      </w:r>
      <w:bookmarkEnd w:id="180"/>
    </w:p>
    <w:p w14:paraId="42746D58" w14:textId="77777777" w:rsidR="00A351F3" w:rsidRPr="00B40A77" w:rsidRDefault="00A351F3" w:rsidP="00A351F3">
      <w:pPr>
        <w:pStyle w:val="Hangindent"/>
        <w:ind w:left="562" w:firstLine="0"/>
        <w:rPr>
          <w:color w:val="000000" w:themeColor="text1"/>
          <w:lang w:val="en-US"/>
        </w:rPr>
      </w:pPr>
      <w:r w:rsidRPr="00B40A77">
        <w:rPr>
          <w:color w:val="000000" w:themeColor="text1"/>
          <w:lang w:val="en-US"/>
        </w:rPr>
        <w:t>There is no need for the name or signature of counsel who drafts or settles a document to be filed in a proceeding to appear on the document other than a summary of argument or written submissions.</w:t>
      </w:r>
    </w:p>
    <w:p w14:paraId="07939CAB" w14:textId="77777777" w:rsidR="00A351F3" w:rsidRPr="00B40A77" w:rsidRDefault="00A351F3" w:rsidP="00A351F3">
      <w:pPr>
        <w:pStyle w:val="Heading3"/>
        <w:rPr>
          <w:color w:val="000000" w:themeColor="text1"/>
        </w:rPr>
      </w:pPr>
      <w:bookmarkStart w:id="181" w:name="_Toc175238811"/>
      <w:bookmarkStart w:id="182" w:name="_Hlk30152764"/>
      <w:r w:rsidRPr="00B40A77">
        <w:rPr>
          <w:color w:val="000000" w:themeColor="text1"/>
        </w:rPr>
        <w:t>Subdivision 2—Affidavits</w:t>
      </w:r>
      <w:bookmarkEnd w:id="181"/>
      <w:r w:rsidRPr="00B40A77">
        <w:rPr>
          <w:color w:val="000000" w:themeColor="text1"/>
        </w:rPr>
        <w:t xml:space="preserve"> </w:t>
      </w:r>
    </w:p>
    <w:p w14:paraId="44EDFB7A" w14:textId="66A14785" w:rsidR="00A351F3" w:rsidRPr="00B40A77" w:rsidRDefault="001719A3" w:rsidP="00A351F3">
      <w:pPr>
        <w:pStyle w:val="Heading4"/>
        <w:rPr>
          <w:color w:val="000000" w:themeColor="text1"/>
        </w:rPr>
      </w:pPr>
      <w:bookmarkStart w:id="183" w:name="_31.7—Form_and_content"/>
      <w:bookmarkStart w:id="184" w:name="_Toc175238812"/>
      <w:bookmarkEnd w:id="183"/>
      <w:r w:rsidRPr="00B40A77">
        <w:rPr>
          <w:color w:val="000000" w:themeColor="text1"/>
        </w:rPr>
        <w:t>2</w:t>
      </w:r>
      <w:r w:rsidR="00F20F0A" w:rsidRPr="00B40A77">
        <w:rPr>
          <w:color w:val="000000" w:themeColor="text1"/>
        </w:rPr>
        <w:t>8</w:t>
      </w:r>
      <w:r w:rsidR="00A351F3" w:rsidRPr="00B40A77">
        <w:rPr>
          <w:color w:val="000000" w:themeColor="text1"/>
        </w:rPr>
        <w:t>.7—Form and content</w:t>
      </w:r>
      <w:bookmarkEnd w:id="184"/>
    </w:p>
    <w:p w14:paraId="78D5495D" w14:textId="77777777" w:rsidR="00A351F3" w:rsidRPr="00B40A77" w:rsidRDefault="00A351F3" w:rsidP="008B6C02">
      <w:pPr>
        <w:pStyle w:val="Hangindent"/>
        <w:keepNext/>
        <w:rPr>
          <w:rFonts w:cs="Times New Roman"/>
          <w:color w:val="000000" w:themeColor="text1"/>
        </w:rPr>
      </w:pPr>
      <w:r w:rsidRPr="00B40A77">
        <w:rPr>
          <w:rFonts w:cs="Times New Roman"/>
          <w:color w:val="000000" w:themeColor="text1"/>
        </w:rPr>
        <w:t>(1)</w:t>
      </w:r>
      <w:r w:rsidRPr="00B40A77">
        <w:rPr>
          <w:rFonts w:cs="Times New Roman"/>
          <w:color w:val="000000" w:themeColor="text1"/>
        </w:rPr>
        <w:tab/>
        <w:t>An affidavit must be in the prescribed form.</w:t>
      </w:r>
    </w:p>
    <w:p w14:paraId="296C7105" w14:textId="77777777" w:rsidR="00A351F3" w:rsidRPr="00B40A77" w:rsidRDefault="00A351F3" w:rsidP="00E13A93">
      <w:pPr>
        <w:pStyle w:val="NoteHeader"/>
        <w:keepNext/>
        <w:rPr>
          <w:color w:val="000000" w:themeColor="text1"/>
        </w:rPr>
      </w:pPr>
      <w:r w:rsidRPr="00B40A77">
        <w:rPr>
          <w:color w:val="000000" w:themeColor="text1"/>
        </w:rPr>
        <w:t>Prescribed forms—</w:t>
      </w:r>
    </w:p>
    <w:p w14:paraId="40388696" w14:textId="1AE0656D" w:rsidR="00A351F3" w:rsidRPr="00B40A77" w:rsidRDefault="00A351F3" w:rsidP="00AA301B">
      <w:pPr>
        <w:pStyle w:val="NoteText"/>
        <w:keepNext/>
        <w:rPr>
          <w:color w:val="000000" w:themeColor="text1"/>
        </w:rPr>
      </w:pPr>
      <w:r w:rsidRPr="00B40A77">
        <w:rPr>
          <w:color w:val="000000" w:themeColor="text1"/>
        </w:rPr>
        <w:t xml:space="preserve">Form 93 </w:t>
      </w:r>
      <w:hyperlink r:id="rId34" w:history="1">
        <w:r w:rsidRPr="00B40A77">
          <w:rPr>
            <w:rStyle w:val="Hyperlink"/>
            <w:color w:val="000000" w:themeColor="text1"/>
          </w:rPr>
          <w:t>Affidavit</w:t>
        </w:r>
      </w:hyperlink>
    </w:p>
    <w:p w14:paraId="5390040E" w14:textId="2D9FBB93" w:rsidR="00A351F3" w:rsidRPr="00B40A77" w:rsidRDefault="00A351F3" w:rsidP="00AA301B">
      <w:pPr>
        <w:pStyle w:val="NoteText"/>
        <w:keepNext/>
        <w:rPr>
          <w:color w:val="000000" w:themeColor="text1"/>
        </w:rPr>
      </w:pPr>
      <w:r w:rsidRPr="00B40A77">
        <w:rPr>
          <w:color w:val="000000" w:themeColor="text1"/>
        </w:rPr>
        <w:t xml:space="preserve">Form 94 </w:t>
      </w:r>
      <w:hyperlink r:id="rId35" w:history="1">
        <w:r w:rsidRPr="00B40A77">
          <w:rPr>
            <w:rStyle w:val="Hyperlink"/>
            <w:color w:val="000000" w:themeColor="text1"/>
          </w:rPr>
          <w:t xml:space="preserve">Exhibit </w:t>
        </w:r>
        <w:r w:rsidR="00716D5C" w:rsidRPr="00B40A77">
          <w:rPr>
            <w:rStyle w:val="Hyperlink"/>
            <w:color w:val="000000" w:themeColor="text1"/>
          </w:rPr>
          <w:t>F</w:t>
        </w:r>
        <w:r w:rsidRPr="00B40A77">
          <w:rPr>
            <w:rStyle w:val="Hyperlink"/>
            <w:color w:val="000000" w:themeColor="text1"/>
          </w:rPr>
          <w:t xml:space="preserve">ront </w:t>
        </w:r>
        <w:r w:rsidR="00716D5C" w:rsidRPr="00B40A77">
          <w:rPr>
            <w:rStyle w:val="Hyperlink"/>
            <w:color w:val="000000" w:themeColor="text1"/>
          </w:rPr>
          <w:t>S</w:t>
        </w:r>
        <w:r w:rsidRPr="00B40A77">
          <w:rPr>
            <w:rStyle w:val="Hyperlink"/>
            <w:color w:val="000000" w:themeColor="text1"/>
          </w:rPr>
          <w:t>heet</w:t>
        </w:r>
      </w:hyperlink>
    </w:p>
    <w:p w14:paraId="10166DC9" w14:textId="02963461" w:rsidR="00370F2E" w:rsidRPr="00B40A77" w:rsidRDefault="00370F2E" w:rsidP="00E13A93">
      <w:pPr>
        <w:pStyle w:val="NoteHeader"/>
        <w:keepNext/>
        <w:rPr>
          <w:color w:val="000000" w:themeColor="text1"/>
        </w:rPr>
      </w:pPr>
      <w:r w:rsidRPr="00B40A77">
        <w:rPr>
          <w:color w:val="000000" w:themeColor="text1"/>
        </w:rPr>
        <w:t>Note—</w:t>
      </w:r>
    </w:p>
    <w:p w14:paraId="347BB02B" w14:textId="63EBB9FC" w:rsidR="00370F2E" w:rsidRPr="00B40A77" w:rsidRDefault="00370F2E" w:rsidP="00A351F3">
      <w:pPr>
        <w:pStyle w:val="NoteText"/>
        <w:rPr>
          <w:color w:val="000000" w:themeColor="text1"/>
        </w:rPr>
      </w:pPr>
      <w:r w:rsidRPr="00B40A77">
        <w:rPr>
          <w:color w:val="000000" w:themeColor="text1"/>
        </w:rPr>
        <w:t xml:space="preserve">This rule applies to all affidavits governed by these Rules including </w:t>
      </w:r>
      <w:hyperlink w:anchor="_2.1—Definitions" w:history="1">
        <w:r w:rsidR="00F5292A" w:rsidRPr="00B40A77">
          <w:rPr>
            <w:rStyle w:val="Hyperlink"/>
            <w:color w:val="000000" w:themeColor="text1"/>
            <w:lang w:val="en-US"/>
          </w:rPr>
          <w:t>witness statement</w:t>
        </w:r>
      </w:hyperlink>
      <w:r w:rsidRPr="00B40A77">
        <w:rPr>
          <w:color w:val="000000" w:themeColor="text1"/>
          <w:u w:val="single"/>
        </w:rPr>
        <w:t>s</w:t>
      </w:r>
      <w:r w:rsidRPr="00B40A77">
        <w:rPr>
          <w:color w:val="000000" w:themeColor="text1"/>
        </w:rPr>
        <w:t xml:space="preserve"> that are in the form of an affidavit.</w:t>
      </w:r>
    </w:p>
    <w:bookmarkEnd w:id="182"/>
    <w:p w14:paraId="56F86593" w14:textId="29F5AE97"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An affidavit must contain the address of the deponent but the address</w:t>
      </w:r>
      <w:r w:rsidRPr="00B40A77">
        <w:rPr>
          <w:color w:val="000000" w:themeColor="text1"/>
        </w:rPr>
        <w:t>—</w:t>
      </w:r>
    </w:p>
    <w:p w14:paraId="125DA61A"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may be a business address at which the deponent is regularly in attendance; or</w:t>
      </w:r>
    </w:p>
    <w:p w14:paraId="2DB9E3ED" w14:textId="198ADED2"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if the deponent reasonably fears that disclosure of their address will endanger the deponent or another person or if the Court so orders</w:t>
      </w:r>
      <w:r w:rsidR="00C916F8" w:rsidRPr="00B40A77">
        <w:rPr>
          <w:color w:val="000000" w:themeColor="text1"/>
        </w:rPr>
        <w:t xml:space="preserve"> and</w:t>
      </w:r>
      <w:r w:rsidRPr="00B40A77">
        <w:rPr>
          <w:rFonts w:cs="Times New Roman"/>
          <w:color w:val="000000" w:themeColor="text1"/>
        </w:rPr>
        <w:t>—</w:t>
      </w:r>
    </w:p>
    <w:p w14:paraId="4F69C294" w14:textId="5AC866B9" w:rsidR="00A351F3" w:rsidRPr="00B40A77" w:rsidRDefault="00A351F3" w:rsidP="00A351F3">
      <w:pPr>
        <w:pStyle w:val="Triplehangindent"/>
        <w:rPr>
          <w:color w:val="000000" w:themeColor="text1"/>
        </w:rPr>
      </w:pPr>
      <w:r w:rsidRPr="00B40A77">
        <w:rPr>
          <w:color w:val="000000" w:themeColor="text1"/>
        </w:rPr>
        <w:t>(i)</w:t>
      </w:r>
      <w:r w:rsidRPr="00B40A77">
        <w:rPr>
          <w:color w:val="000000" w:themeColor="text1"/>
        </w:rPr>
        <w:tab/>
        <w:t xml:space="preserve">if a </w:t>
      </w:r>
      <w:hyperlink w:anchor="_2.1—Definitions" w:history="1">
        <w:hyperlink w:anchor="_2.1—Definitions" w:history="1">
          <w:r w:rsidR="005A6381" w:rsidRPr="00B40A77">
            <w:rPr>
              <w:rStyle w:val="Hyperlink"/>
              <w:color w:val="000000" w:themeColor="text1"/>
            </w:rPr>
            <w:t>law firm or office</w:t>
          </w:r>
        </w:hyperlink>
      </w:hyperlink>
      <w:r w:rsidRPr="00B40A77">
        <w:rPr>
          <w:color w:val="000000" w:themeColor="text1"/>
        </w:rPr>
        <w:t xml:space="preserve"> acts for the deponent—may be care of that </w:t>
      </w:r>
      <w:hyperlink w:anchor="_2.1—Definitions" w:history="1">
        <w:hyperlink w:anchor="_2.1—Definitions" w:history="1">
          <w:r w:rsidR="005A6381" w:rsidRPr="00B40A77">
            <w:rPr>
              <w:rStyle w:val="Hyperlink"/>
              <w:color w:val="000000" w:themeColor="text1"/>
            </w:rPr>
            <w:t>law firm or office</w:t>
          </w:r>
        </w:hyperlink>
      </w:hyperlink>
      <w:r w:rsidRPr="00B40A77">
        <w:rPr>
          <w:color w:val="000000" w:themeColor="text1"/>
        </w:rPr>
        <w:t>;</w:t>
      </w:r>
    </w:p>
    <w:p w14:paraId="275A8C8C" w14:textId="60D47176" w:rsidR="00A351F3" w:rsidRPr="00B40A77" w:rsidRDefault="00A351F3" w:rsidP="00A351F3">
      <w:pPr>
        <w:pStyle w:val="Triplehangindent"/>
        <w:rPr>
          <w:color w:val="000000" w:themeColor="text1"/>
        </w:rPr>
      </w:pPr>
      <w:r w:rsidRPr="00B40A77">
        <w:rPr>
          <w:color w:val="000000" w:themeColor="text1"/>
        </w:rPr>
        <w:t>(ii)</w:t>
      </w:r>
      <w:r w:rsidRPr="00B40A77">
        <w:rPr>
          <w:color w:val="000000" w:themeColor="text1"/>
        </w:rPr>
        <w:tab/>
        <w:t xml:space="preserve">if a </w:t>
      </w:r>
      <w:hyperlink w:anchor="_2.1—Definitions" w:history="1">
        <w:hyperlink w:anchor="_2.1—Definitions" w:history="1">
          <w:r w:rsidR="005A6381" w:rsidRPr="00B40A77">
            <w:rPr>
              <w:rStyle w:val="Hyperlink"/>
              <w:color w:val="000000" w:themeColor="text1"/>
            </w:rPr>
            <w:t>law firm or office</w:t>
          </w:r>
        </w:hyperlink>
      </w:hyperlink>
      <w:r w:rsidR="00B84C55" w:rsidRPr="00B40A77">
        <w:rPr>
          <w:color w:val="000000" w:themeColor="text1"/>
        </w:rPr>
        <w:t xml:space="preserve"> </w:t>
      </w:r>
      <w:r w:rsidRPr="00B40A77">
        <w:rPr>
          <w:color w:val="000000" w:themeColor="text1"/>
        </w:rPr>
        <w:t xml:space="preserve">acts for the party filing the affidavit—may be care of that </w:t>
      </w:r>
      <w:hyperlink w:anchor="_2.1—Definitions" w:history="1">
        <w:hyperlink w:anchor="_2.1—Definitions" w:history="1">
          <w:r w:rsidR="005A6381" w:rsidRPr="00B40A77">
            <w:rPr>
              <w:rStyle w:val="Hyperlink"/>
              <w:color w:val="000000" w:themeColor="text1"/>
            </w:rPr>
            <w:t>law firm or office</w:t>
          </w:r>
        </w:hyperlink>
      </w:hyperlink>
      <w:r w:rsidRPr="00B40A77">
        <w:rPr>
          <w:color w:val="000000" w:themeColor="text1"/>
        </w:rPr>
        <w:t>; or</w:t>
      </w:r>
    </w:p>
    <w:p w14:paraId="57CE9619" w14:textId="511199C0" w:rsidR="00A351F3" w:rsidRPr="00B40A77" w:rsidRDefault="00A351F3" w:rsidP="00A351F3">
      <w:pPr>
        <w:pStyle w:val="Triplehangindent"/>
        <w:rPr>
          <w:color w:val="000000" w:themeColor="text1"/>
        </w:rPr>
      </w:pPr>
      <w:r w:rsidRPr="00B40A77">
        <w:rPr>
          <w:color w:val="000000" w:themeColor="text1"/>
        </w:rPr>
        <w:t>(iii)</w:t>
      </w:r>
      <w:r w:rsidRPr="00B40A77">
        <w:rPr>
          <w:color w:val="000000" w:themeColor="text1"/>
        </w:rPr>
        <w:tab/>
        <w:t xml:space="preserve">in any other case—may be shown instead on a separate document filed on a court access basis as defined in </w:t>
      </w:r>
      <w:hyperlink w:anchor="_32.2—Filing_of_documents" w:history="1">
        <w:r w:rsidR="001719A3" w:rsidRPr="00B40A77">
          <w:rPr>
            <w:rStyle w:val="Hyperlink"/>
            <w:color w:val="000000" w:themeColor="text1"/>
          </w:rPr>
          <w:t>rule 2</w:t>
        </w:r>
        <w:r w:rsidR="007D6E57" w:rsidRPr="00B40A77">
          <w:rPr>
            <w:rStyle w:val="Hyperlink"/>
            <w:color w:val="000000" w:themeColor="text1"/>
          </w:rPr>
          <w:t>9</w:t>
        </w:r>
        <w:r w:rsidRPr="00B40A77">
          <w:rPr>
            <w:rStyle w:val="Hyperlink"/>
            <w:color w:val="000000" w:themeColor="text1"/>
          </w:rPr>
          <w:t>.2</w:t>
        </w:r>
      </w:hyperlink>
      <w:r w:rsidRPr="00B40A77">
        <w:rPr>
          <w:color w:val="000000" w:themeColor="text1"/>
        </w:rPr>
        <w:t>.</w:t>
      </w:r>
    </w:p>
    <w:p w14:paraId="2B61229D" w14:textId="2B444B72" w:rsidR="00A351F3" w:rsidRPr="00B40A77" w:rsidRDefault="00A351F3" w:rsidP="00A351F3">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An affidavit must be witnessed and attested by a</w:t>
      </w:r>
      <w:r w:rsidR="009B2D88" w:rsidRPr="00B40A77">
        <w:rPr>
          <w:rFonts w:cs="Times New Roman"/>
          <w:color w:val="000000" w:themeColor="text1"/>
        </w:rPr>
        <w:t xml:space="preserve">n </w:t>
      </w:r>
      <w:r w:rsidR="009B2D88" w:rsidRPr="00B40A77">
        <w:rPr>
          <w:rFonts w:cs="Times New Roman"/>
          <w:color w:val="000000" w:themeColor="text1"/>
          <w:u w:val="single"/>
        </w:rPr>
        <w:t>attesting witness</w:t>
      </w:r>
      <w:r w:rsidRPr="00B40A77">
        <w:rPr>
          <w:rFonts w:cs="Times New Roman"/>
          <w:color w:val="000000" w:themeColor="text1"/>
        </w:rPr>
        <w:t xml:space="preserve"> under </w:t>
      </w:r>
      <w:hyperlink w:anchor="_31.9—Attesting_witness" w:history="1">
        <w:r w:rsidRPr="00B40A77">
          <w:rPr>
            <w:rStyle w:val="Hyperlink"/>
            <w:rFonts w:cs="Times New Roman"/>
            <w:color w:val="000000" w:themeColor="text1"/>
          </w:rPr>
          <w:t xml:space="preserve">rule </w:t>
        </w:r>
        <w:r w:rsidR="001719A3" w:rsidRPr="00B40A77">
          <w:rPr>
            <w:rStyle w:val="Hyperlink"/>
            <w:rFonts w:cs="Times New Roman"/>
            <w:color w:val="000000" w:themeColor="text1"/>
          </w:rPr>
          <w:t>2</w:t>
        </w:r>
        <w:r w:rsidR="007D6E57" w:rsidRPr="00B40A77">
          <w:rPr>
            <w:rStyle w:val="Hyperlink"/>
            <w:rFonts w:cs="Times New Roman"/>
            <w:color w:val="000000" w:themeColor="text1"/>
          </w:rPr>
          <w:t>8</w:t>
        </w:r>
        <w:r w:rsidRPr="00B40A77">
          <w:rPr>
            <w:rStyle w:val="Hyperlink"/>
            <w:rFonts w:cs="Times New Roman"/>
            <w:color w:val="000000" w:themeColor="text1"/>
          </w:rPr>
          <w:t>.9</w:t>
        </w:r>
      </w:hyperlink>
      <w:r w:rsidRPr="00B40A77">
        <w:rPr>
          <w:rFonts w:cs="Times New Roman"/>
          <w:color w:val="000000" w:themeColor="text1"/>
        </w:rPr>
        <w:t>.</w:t>
      </w:r>
    </w:p>
    <w:p w14:paraId="4879993B"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lastRenderedPageBreak/>
        <w:t>(4)</w:t>
      </w:r>
      <w:r w:rsidRPr="00B40A77">
        <w:rPr>
          <w:rFonts w:cs="Times New Roman"/>
          <w:color w:val="000000" w:themeColor="text1"/>
        </w:rPr>
        <w:tab/>
        <w:t>Each page of an affidavit must be dated and signed at the foot by the deponent and attesting witness.</w:t>
      </w:r>
    </w:p>
    <w:p w14:paraId="7BF84F1C"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(5)</w:t>
      </w:r>
      <w:r w:rsidRPr="00B40A77">
        <w:rPr>
          <w:rFonts w:cs="Times New Roman"/>
          <w:color w:val="000000" w:themeColor="text1"/>
        </w:rPr>
        <w:tab/>
        <w:t>The signing clause of an affidavit must</w:t>
      </w:r>
      <w:r w:rsidRPr="00B40A77">
        <w:rPr>
          <w:color w:val="000000" w:themeColor="text1"/>
        </w:rPr>
        <w:t>—</w:t>
      </w:r>
    </w:p>
    <w:p w14:paraId="7FFFEDD6" w14:textId="66CEB41C"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subject to subrules</w:t>
      </w:r>
      <w:r w:rsidR="001B1E8A" w:rsidRPr="00B40A77">
        <w:rPr>
          <w:color w:val="000000" w:themeColor="text1"/>
        </w:rPr>
        <w:t> </w:t>
      </w:r>
      <w:r w:rsidRPr="00B40A77">
        <w:rPr>
          <w:color w:val="000000" w:themeColor="text1"/>
        </w:rPr>
        <w:t>(6) and</w:t>
      </w:r>
      <w:r w:rsidR="001B1E8A" w:rsidRPr="00B40A77">
        <w:rPr>
          <w:color w:val="000000" w:themeColor="text1"/>
        </w:rPr>
        <w:t> </w:t>
      </w:r>
      <w:r w:rsidRPr="00B40A77">
        <w:rPr>
          <w:color w:val="000000" w:themeColor="text1"/>
        </w:rPr>
        <w:t>(7), be signed by the deponent;</w:t>
      </w:r>
    </w:p>
    <w:p w14:paraId="185436F0"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show the name, qualification and address of and be signed by the attesting witness; and</w:t>
      </w:r>
    </w:p>
    <w:p w14:paraId="71CC42F7"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follow immediately on from the text of the affidavit (not on a separate page).</w:t>
      </w:r>
    </w:p>
    <w:p w14:paraId="4431FD42"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(6)</w:t>
      </w:r>
      <w:r w:rsidRPr="00B40A77">
        <w:rPr>
          <w:rFonts w:cs="Times New Roman"/>
          <w:color w:val="000000" w:themeColor="text1"/>
        </w:rPr>
        <w:tab/>
        <w:t>If the deponent is illiterate or blind</w:t>
      </w:r>
      <w:r w:rsidRPr="00B40A77">
        <w:rPr>
          <w:color w:val="000000" w:themeColor="text1"/>
        </w:rPr>
        <w:t>—</w:t>
      </w:r>
    </w:p>
    <w:p w14:paraId="4CCDACCF"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the affidavit must be read to the deponent in the presence of the attesting witness;</w:t>
      </w:r>
    </w:p>
    <w:p w14:paraId="096B6741"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the deponent must indicate that the deponent approves the content of the affidavit; and</w:t>
      </w:r>
    </w:p>
    <w:p w14:paraId="7864EB39"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the attesting witness must state the above matters in the attestation clause.</w:t>
      </w:r>
    </w:p>
    <w:p w14:paraId="52A0D5E7"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(7)</w:t>
      </w:r>
      <w:r w:rsidRPr="00B40A77">
        <w:rPr>
          <w:rFonts w:cs="Times New Roman"/>
          <w:color w:val="000000" w:themeColor="text1"/>
        </w:rPr>
        <w:tab/>
        <w:t>If the affidavit is in English and the deponent does not sufficiently understand English</w:t>
      </w:r>
      <w:r w:rsidRPr="00B40A77">
        <w:rPr>
          <w:color w:val="000000" w:themeColor="text1"/>
        </w:rPr>
        <w:t>—</w:t>
      </w:r>
    </w:p>
    <w:p w14:paraId="7F3AE3D8"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an accredited interpreter must interpret its content to the deponent in the presence of the attesting witness;</w:t>
      </w:r>
    </w:p>
    <w:p w14:paraId="1143C903"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the deponent must indicate that the deponent approves its content in the presence of the attesting witness (via the interpreter if necessary);</w:t>
      </w:r>
    </w:p>
    <w:p w14:paraId="70832F29"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the interpreter must interpret the oath or affirmation to the deponent;</w:t>
      </w:r>
    </w:p>
    <w:p w14:paraId="73B52523" w14:textId="5B93E0DF" w:rsidR="00A351F3" w:rsidRPr="00B40A77" w:rsidRDefault="00A351F3" w:rsidP="00A351F3">
      <w:pPr>
        <w:pStyle w:val="Doublehangindent"/>
        <w:rPr>
          <w:color w:val="000000" w:themeColor="text1"/>
        </w:rPr>
      </w:pPr>
      <w:r w:rsidRPr="00B40A77">
        <w:rPr>
          <w:color w:val="000000" w:themeColor="text1"/>
        </w:rPr>
        <w:t>(d)</w:t>
      </w:r>
      <w:r w:rsidRPr="00B40A77">
        <w:rPr>
          <w:color w:val="000000" w:themeColor="text1"/>
        </w:rPr>
        <w:tab/>
        <w:t>the deponent must swear or affirm that the content of the</w:t>
      </w:r>
      <w:r w:rsidR="008E248F" w:rsidRPr="00B40A77">
        <w:rPr>
          <w:color w:val="000000" w:themeColor="text1"/>
        </w:rPr>
        <w:t xml:space="preserve"> affidavit</w:t>
      </w:r>
      <w:r w:rsidRPr="00B40A77">
        <w:rPr>
          <w:color w:val="000000" w:themeColor="text1"/>
        </w:rPr>
        <w:t xml:space="preserve"> is true (via the interpreter if necessary); and</w:t>
      </w:r>
    </w:p>
    <w:p w14:paraId="075EA9A1" w14:textId="77777777" w:rsidR="00A351F3" w:rsidRPr="00B40A77" w:rsidRDefault="00A351F3" w:rsidP="00AA301B">
      <w:pPr>
        <w:pStyle w:val="Doublehangindent"/>
        <w:keepNext/>
        <w:rPr>
          <w:color w:val="000000" w:themeColor="text1"/>
        </w:rPr>
      </w:pPr>
      <w:r w:rsidRPr="00B40A77">
        <w:rPr>
          <w:color w:val="000000" w:themeColor="text1"/>
        </w:rPr>
        <w:t>(e)</w:t>
      </w:r>
      <w:r w:rsidRPr="00B40A77">
        <w:rPr>
          <w:color w:val="000000" w:themeColor="text1"/>
        </w:rPr>
        <w:tab/>
        <w:t>the attesting witness must state the above matters in the attestation clause.</w:t>
      </w:r>
    </w:p>
    <w:p w14:paraId="559E26FB" w14:textId="77777777" w:rsidR="00A351F3" w:rsidRPr="00B40A77" w:rsidRDefault="00A351F3" w:rsidP="00E13A93">
      <w:pPr>
        <w:pStyle w:val="NoteHeader"/>
        <w:keepNext/>
        <w:ind w:left="1701"/>
        <w:rPr>
          <w:color w:val="000000" w:themeColor="text1"/>
        </w:rPr>
      </w:pPr>
      <w:r w:rsidRPr="00B40A77">
        <w:rPr>
          <w:color w:val="000000" w:themeColor="text1"/>
        </w:rPr>
        <w:t>Note—</w:t>
      </w:r>
    </w:p>
    <w:p w14:paraId="2F4A4C71" w14:textId="465A8F3E" w:rsidR="00A351F3" w:rsidRPr="00B40A77" w:rsidRDefault="00A351F3" w:rsidP="00452733">
      <w:pPr>
        <w:pStyle w:val="NoteText"/>
        <w:ind w:left="1985"/>
        <w:rPr>
          <w:color w:val="000000" w:themeColor="text1"/>
        </w:rPr>
      </w:pPr>
      <w:r w:rsidRPr="00B40A77">
        <w:rPr>
          <w:color w:val="000000" w:themeColor="text1"/>
        </w:rPr>
        <w:t xml:space="preserve">Section 14(2) of the </w:t>
      </w:r>
      <w:r w:rsidRPr="00B40A77">
        <w:rPr>
          <w:iCs/>
          <w:color w:val="000000" w:themeColor="text1"/>
        </w:rPr>
        <w:t>Evidence Act</w:t>
      </w:r>
      <w:r w:rsidRPr="00B40A77">
        <w:rPr>
          <w:i/>
          <w:color w:val="000000" w:themeColor="text1"/>
        </w:rPr>
        <w:t xml:space="preserve"> </w:t>
      </w:r>
      <w:r w:rsidRPr="00B40A77">
        <w:rPr>
          <w:color w:val="000000" w:themeColor="text1"/>
        </w:rPr>
        <w:t>provides for the making of an affidavit or other written deposition in a language other than English.</w:t>
      </w:r>
    </w:p>
    <w:p w14:paraId="50635C0C" w14:textId="34223DFA" w:rsidR="00A351F3" w:rsidRPr="00B40A77" w:rsidRDefault="00A351F3" w:rsidP="00A351F3">
      <w:pPr>
        <w:pStyle w:val="Hangindent"/>
        <w:rPr>
          <w:rFonts w:cs="Times New Roman"/>
          <w:color w:val="000000" w:themeColor="text1"/>
        </w:rPr>
      </w:pPr>
      <w:r w:rsidRPr="00B40A77">
        <w:rPr>
          <w:rFonts w:cs="Times New Roman"/>
          <w:color w:val="000000" w:themeColor="text1"/>
        </w:rPr>
        <w:t>(8)</w:t>
      </w:r>
      <w:r w:rsidRPr="00B40A77">
        <w:rPr>
          <w:rFonts w:cs="Times New Roman"/>
          <w:color w:val="000000" w:themeColor="text1"/>
        </w:rPr>
        <w:tab/>
        <w:t xml:space="preserve">Unless there is a specific reason to do so, an affidavit </w:t>
      </w:r>
      <w:r w:rsidR="00707224" w:rsidRPr="00B40A77">
        <w:rPr>
          <w:rFonts w:cs="Times New Roman"/>
          <w:color w:val="000000" w:themeColor="text1"/>
        </w:rPr>
        <w:t>must</w:t>
      </w:r>
      <w:r w:rsidRPr="00B40A77">
        <w:rPr>
          <w:rFonts w:cs="Times New Roman"/>
          <w:color w:val="000000" w:themeColor="text1"/>
        </w:rPr>
        <w:t xml:space="preserve"> not exhibit a copy of a document already on the court file but only describe it (by reference to its name, date and filed document number) so that it can be identified.</w:t>
      </w:r>
    </w:p>
    <w:p w14:paraId="0ECF1FC4"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(9)</w:t>
      </w:r>
      <w:r w:rsidRPr="00B40A77">
        <w:rPr>
          <w:rFonts w:cs="Times New Roman"/>
          <w:color w:val="000000" w:themeColor="text1"/>
        </w:rPr>
        <w:tab/>
        <w:t>If an affidavit refers to an exhibit or exhibits</w:t>
      </w:r>
      <w:r w:rsidRPr="00B40A77">
        <w:rPr>
          <w:color w:val="000000" w:themeColor="text1"/>
        </w:rPr>
        <w:t>—</w:t>
      </w:r>
    </w:p>
    <w:p w14:paraId="3B0248CB"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each exhibit must be identified by a combination of the deponent’s initials and a number;</w:t>
      </w:r>
    </w:p>
    <w:p w14:paraId="61AF5C20"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subject to paragraph (c), the number component must start at 1 for the first exhibit and continue consecutively for subsequent exhibits;</w:t>
      </w:r>
    </w:p>
    <w:p w14:paraId="1F6E234D"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the numbering of exhibits to a further affidavit by the same deponent filed in the proceeding must be consecutive to the numbering of the previous affidavit’s exhibits;</w:t>
      </w:r>
    </w:p>
    <w:p w14:paraId="5F4CF51F" w14:textId="39D0FEE2" w:rsidR="00A351F3" w:rsidRPr="00B40A77" w:rsidRDefault="00A351F3" w:rsidP="00A351F3">
      <w:pPr>
        <w:pStyle w:val="Doublehangindent"/>
        <w:rPr>
          <w:color w:val="000000" w:themeColor="text1"/>
        </w:rPr>
      </w:pPr>
      <w:r w:rsidRPr="00B40A77">
        <w:rPr>
          <w:color w:val="000000" w:themeColor="text1"/>
        </w:rPr>
        <w:t>(d)</w:t>
      </w:r>
      <w:r w:rsidRPr="00B40A77">
        <w:rPr>
          <w:color w:val="000000" w:themeColor="text1"/>
        </w:rPr>
        <w:tab/>
        <w:t xml:space="preserve">if there are </w:t>
      </w:r>
      <w:r w:rsidR="00AB23B6" w:rsidRPr="00B40A77">
        <w:rPr>
          <w:color w:val="000000" w:themeColor="text1"/>
        </w:rPr>
        <w:t>2</w:t>
      </w:r>
      <w:r w:rsidRPr="00B40A77">
        <w:rPr>
          <w:color w:val="000000" w:themeColor="text1"/>
        </w:rPr>
        <w:t xml:space="preserve"> or more exhibits, the affidavit must include an index to the exhibits (showing number, short description and page number) immediately after the body of the affidavit and </w:t>
      </w:r>
      <w:r w:rsidR="008E0CCF" w:rsidRPr="00B40A77">
        <w:rPr>
          <w:color w:val="000000" w:themeColor="text1"/>
        </w:rPr>
        <w:t xml:space="preserve">immediately after </w:t>
      </w:r>
      <w:r w:rsidRPr="00B40A77">
        <w:rPr>
          <w:color w:val="000000" w:themeColor="text1"/>
        </w:rPr>
        <w:t>the exhibit front sheet to the exhibits referred to in paragraph (e); and</w:t>
      </w:r>
    </w:p>
    <w:p w14:paraId="2664904A" w14:textId="77777777" w:rsidR="00A351F3" w:rsidRPr="00B40A77" w:rsidRDefault="00A351F3" w:rsidP="00A37E9E">
      <w:pPr>
        <w:pStyle w:val="Doublehangindent"/>
        <w:keepNext/>
        <w:rPr>
          <w:color w:val="000000" w:themeColor="text1"/>
        </w:rPr>
      </w:pPr>
      <w:r w:rsidRPr="00B40A77">
        <w:rPr>
          <w:color w:val="000000" w:themeColor="text1"/>
        </w:rPr>
        <w:lastRenderedPageBreak/>
        <w:t>(e)</w:t>
      </w:r>
      <w:r w:rsidRPr="00B40A77">
        <w:rPr>
          <w:color w:val="000000" w:themeColor="text1"/>
        </w:rPr>
        <w:tab/>
        <w:t>the exhibit or exhibits must have a single exhibit front sheet (covering all exhibits when there is more than one) in the prescribed form signed and dated by the deponent and attesting witness.</w:t>
      </w:r>
    </w:p>
    <w:p w14:paraId="7B001B2E" w14:textId="77777777" w:rsidR="00A351F3" w:rsidRPr="00B40A77" w:rsidRDefault="00A351F3" w:rsidP="00A37E9E">
      <w:pPr>
        <w:pStyle w:val="NoteHeader"/>
        <w:keepNext/>
        <w:ind w:left="1701"/>
        <w:rPr>
          <w:color w:val="000000" w:themeColor="text1"/>
        </w:rPr>
      </w:pPr>
      <w:r w:rsidRPr="00B40A77">
        <w:rPr>
          <w:color w:val="000000" w:themeColor="text1"/>
        </w:rPr>
        <w:t>Prescribed form—</w:t>
      </w:r>
    </w:p>
    <w:p w14:paraId="4E1FABAC" w14:textId="760F0F14" w:rsidR="00A351F3" w:rsidRPr="00B40A77" w:rsidRDefault="00A351F3" w:rsidP="008E5410">
      <w:pPr>
        <w:pStyle w:val="NoteText"/>
        <w:ind w:left="1985"/>
        <w:rPr>
          <w:color w:val="000000" w:themeColor="text1"/>
        </w:rPr>
      </w:pPr>
      <w:r w:rsidRPr="00B40A77">
        <w:rPr>
          <w:color w:val="000000" w:themeColor="text1"/>
        </w:rPr>
        <w:t xml:space="preserve">Form 94 </w:t>
      </w:r>
      <w:hyperlink r:id="rId36" w:history="1">
        <w:r w:rsidRPr="00B40A77">
          <w:rPr>
            <w:rStyle w:val="Hyperlink"/>
            <w:color w:val="000000" w:themeColor="text1"/>
          </w:rPr>
          <w:t xml:space="preserve">Exhibit </w:t>
        </w:r>
        <w:r w:rsidR="00716D5C" w:rsidRPr="00B40A77">
          <w:rPr>
            <w:rStyle w:val="Hyperlink"/>
            <w:color w:val="000000" w:themeColor="text1"/>
          </w:rPr>
          <w:t>F</w:t>
        </w:r>
        <w:r w:rsidRPr="00B40A77">
          <w:rPr>
            <w:rStyle w:val="Hyperlink"/>
            <w:color w:val="000000" w:themeColor="text1"/>
          </w:rPr>
          <w:t xml:space="preserve">ront </w:t>
        </w:r>
        <w:r w:rsidR="00716D5C" w:rsidRPr="00B40A77">
          <w:rPr>
            <w:rStyle w:val="Hyperlink"/>
            <w:color w:val="000000" w:themeColor="text1"/>
          </w:rPr>
          <w:t>S</w:t>
        </w:r>
        <w:r w:rsidRPr="00B40A77">
          <w:rPr>
            <w:rStyle w:val="Hyperlink"/>
            <w:color w:val="000000" w:themeColor="text1"/>
          </w:rPr>
          <w:t>heet</w:t>
        </w:r>
      </w:hyperlink>
    </w:p>
    <w:p w14:paraId="3009B7FB"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(10)</w:t>
      </w:r>
      <w:r w:rsidRPr="00B40A77">
        <w:rPr>
          <w:rFonts w:cs="Times New Roman"/>
          <w:color w:val="000000" w:themeColor="text1"/>
        </w:rPr>
        <w:tab/>
        <w:t>If an affidavit refers to a sequence of documents (such as a sequence of correspondence), the sequence should be made a single exhibit.</w:t>
      </w:r>
    </w:p>
    <w:p w14:paraId="7FE3F17F"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(11)</w:t>
      </w:r>
      <w:r w:rsidRPr="00B40A77">
        <w:rPr>
          <w:rFonts w:cs="Times New Roman"/>
          <w:color w:val="000000" w:themeColor="text1"/>
        </w:rPr>
        <w:tab/>
        <w:t xml:space="preserve">An affidavit </w:t>
      </w:r>
      <w:r w:rsidRPr="00B40A77">
        <w:rPr>
          <w:color w:val="000000" w:themeColor="text1"/>
        </w:rPr>
        <w:t>must</w:t>
      </w:r>
      <w:r w:rsidRPr="00B40A77">
        <w:rPr>
          <w:rFonts w:cs="Times New Roman"/>
          <w:color w:val="000000" w:themeColor="text1"/>
        </w:rPr>
        <w:t xml:space="preserve"> contain a single pagination sequence commencing with the first page of the affidavit and ending with the last page of the last exhibit.</w:t>
      </w:r>
    </w:p>
    <w:p w14:paraId="66B482C1"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(12)</w:t>
      </w:r>
      <w:r w:rsidRPr="00B40A77">
        <w:rPr>
          <w:rFonts w:cs="Times New Roman"/>
          <w:color w:val="000000" w:themeColor="text1"/>
        </w:rPr>
        <w:tab/>
        <w:t>If an affidavit is permitted to contain hearsay, it must in respect of each statement based on hearsay</w:t>
      </w:r>
      <w:r w:rsidRPr="00B40A77">
        <w:rPr>
          <w:color w:val="000000" w:themeColor="text1"/>
        </w:rPr>
        <w:t>—</w:t>
      </w:r>
    </w:p>
    <w:p w14:paraId="36091C6D"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state that the deponent believes the statement;</w:t>
      </w:r>
    </w:p>
    <w:p w14:paraId="1694542C"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identify the source of the statement (for example, the person who made the statement to the deponent or the document from which the deponent obtained the statement); and</w:t>
      </w:r>
    </w:p>
    <w:p w14:paraId="536DD5E7" w14:textId="43D8CEE2"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 xml:space="preserve">make it clear that the hearsay is </w:t>
      </w:r>
      <w:r w:rsidR="00D61917" w:rsidRPr="00B40A77">
        <w:rPr>
          <w:color w:val="000000" w:themeColor="text1"/>
        </w:rPr>
        <w:t>firsthand</w:t>
      </w:r>
      <w:r w:rsidRPr="00B40A77">
        <w:rPr>
          <w:color w:val="000000" w:themeColor="text1"/>
        </w:rPr>
        <w:t xml:space="preserve"> hearsay.</w:t>
      </w:r>
    </w:p>
    <w:p w14:paraId="0BE8211F" w14:textId="7307B394" w:rsidR="00A351F3" w:rsidRPr="00B40A77" w:rsidRDefault="001719A3" w:rsidP="00A351F3">
      <w:pPr>
        <w:pStyle w:val="Heading4"/>
        <w:rPr>
          <w:color w:val="000000" w:themeColor="text1"/>
        </w:rPr>
      </w:pPr>
      <w:bookmarkStart w:id="185" w:name="_Toc175238813"/>
      <w:bookmarkStart w:id="186" w:name="_Hlk27034291"/>
      <w:r w:rsidRPr="00B40A77">
        <w:rPr>
          <w:color w:val="000000" w:themeColor="text1"/>
        </w:rPr>
        <w:t>2</w:t>
      </w:r>
      <w:r w:rsidR="00F20F0A" w:rsidRPr="00B40A77">
        <w:rPr>
          <w:color w:val="000000" w:themeColor="text1"/>
        </w:rPr>
        <w:t>8</w:t>
      </w:r>
      <w:r w:rsidR="00A351F3" w:rsidRPr="00B40A77">
        <w:rPr>
          <w:color w:val="000000" w:themeColor="text1"/>
        </w:rPr>
        <w:t>.8—Composition</w:t>
      </w:r>
      <w:bookmarkEnd w:id="185"/>
    </w:p>
    <w:p w14:paraId="634B6A57" w14:textId="196FABC6" w:rsidR="00A351F3" w:rsidRPr="00B40A77" w:rsidRDefault="00A351F3" w:rsidP="00FF63D9">
      <w:pPr>
        <w:pStyle w:val="Hangindent"/>
        <w:keepNex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This rule applies in respect of an affidavit filed by a party </w:t>
      </w:r>
      <w:r w:rsidR="00084F36" w:rsidRPr="00B40A77">
        <w:rPr>
          <w:color w:val="000000" w:themeColor="text1"/>
        </w:rPr>
        <w:t>as a physical version</w:t>
      </w:r>
      <w:r w:rsidR="00084F36" w:rsidRPr="00B40A77">
        <w:rPr>
          <w:rFonts w:cs="Times New Roman"/>
          <w:color w:val="000000" w:themeColor="text1"/>
        </w:rPr>
        <w:t xml:space="preserve"> </w:t>
      </w:r>
      <w:r w:rsidRPr="00B40A77">
        <w:rPr>
          <w:rFonts w:cs="Times New Roman"/>
          <w:color w:val="000000" w:themeColor="text1"/>
        </w:rPr>
        <w:t>if</w:t>
      </w:r>
      <w:r w:rsidRPr="00B40A77">
        <w:rPr>
          <w:color w:val="000000" w:themeColor="text1"/>
        </w:rPr>
        <w:t>—</w:t>
      </w:r>
    </w:p>
    <w:p w14:paraId="5F3B81C4" w14:textId="72DC42E6"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 xml:space="preserve">unless the Court otherwise orders, it contains </w:t>
      </w:r>
      <w:r w:rsidR="00084F36" w:rsidRPr="00B40A77">
        <w:rPr>
          <w:color w:val="000000" w:themeColor="text1"/>
        </w:rPr>
        <w:t>five</w:t>
      </w:r>
      <w:r w:rsidRPr="00B40A77">
        <w:rPr>
          <w:color w:val="000000" w:themeColor="text1"/>
        </w:rPr>
        <w:t xml:space="preserve"> or more exhibits or the exhibits comprise 50 or more pages; </w:t>
      </w:r>
    </w:p>
    <w:p w14:paraId="08EE2734"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the filing party so elects; or</w:t>
      </w:r>
    </w:p>
    <w:p w14:paraId="3362B80E"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the Court so orders.</w:t>
      </w:r>
    </w:p>
    <w:p w14:paraId="6D3BB378" w14:textId="05F9DD83" w:rsidR="00A351F3" w:rsidRPr="00B40A77" w:rsidRDefault="00A351F3" w:rsidP="008B6C02">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An affidavit to which this rule applie</w:t>
      </w:r>
      <w:r w:rsidR="00084F36" w:rsidRPr="00B40A77">
        <w:rPr>
          <w:rFonts w:cs="Times New Roman"/>
          <w:color w:val="000000" w:themeColor="text1"/>
        </w:rPr>
        <w:t>s</w:t>
      </w:r>
      <w:r w:rsidRPr="00B40A77">
        <w:rPr>
          <w:color w:val="000000" w:themeColor="text1"/>
        </w:rPr>
        <w:t>—</w:t>
      </w:r>
    </w:p>
    <w:p w14:paraId="26610040" w14:textId="3FE2225F"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r>
      <w:r w:rsidRPr="00B40A77">
        <w:rPr>
          <w:rFonts w:cs="Times New Roman"/>
          <w:color w:val="000000" w:themeColor="text1"/>
        </w:rPr>
        <w:t>must be filed without the pages being stapled, bound or otherwise physically joined</w:t>
      </w:r>
      <w:r w:rsidRPr="00B40A77">
        <w:rPr>
          <w:color w:val="000000" w:themeColor="text1"/>
        </w:rPr>
        <w:t>;</w:t>
      </w:r>
      <w:r w:rsidR="003E1798" w:rsidRPr="00B40A77">
        <w:rPr>
          <w:color w:val="000000" w:themeColor="text1"/>
        </w:rPr>
        <w:t xml:space="preserve"> and</w:t>
      </w:r>
    </w:p>
    <w:p w14:paraId="72536240" w14:textId="5A5C80F9" w:rsidR="00A351F3" w:rsidRPr="00B40A77" w:rsidRDefault="00A351F3" w:rsidP="00A351F3">
      <w:pPr>
        <w:pStyle w:val="Doublehangindent"/>
        <w:rPr>
          <w:color w:val="000000" w:themeColor="text1"/>
        </w:rPr>
      </w:pPr>
      <w:r w:rsidRPr="00B40A77">
        <w:rPr>
          <w:color w:val="000000" w:themeColor="text1"/>
        </w:rPr>
        <w:t>(b)</w:t>
      </w:r>
      <w:r w:rsidR="003E1798" w:rsidRPr="00B40A77">
        <w:rPr>
          <w:color w:val="000000" w:themeColor="text1"/>
        </w:rPr>
        <w:tab/>
      </w:r>
      <w:r w:rsidRPr="00B40A77">
        <w:rPr>
          <w:color w:val="000000" w:themeColor="text1"/>
        </w:rPr>
        <w:t xml:space="preserve">must have </w:t>
      </w:r>
      <w:r w:rsidRPr="00B40A77">
        <w:rPr>
          <w:rFonts w:cs="Times New Roman"/>
          <w:color w:val="000000" w:themeColor="text1"/>
        </w:rPr>
        <w:t xml:space="preserve">each exhibit </w:t>
      </w:r>
      <w:r w:rsidRPr="00B40A77">
        <w:rPr>
          <w:color w:val="000000" w:themeColor="text1"/>
        </w:rPr>
        <w:t>clearly marked with its exhibit designation and tagged so that its commencement can be seen</w:t>
      </w:r>
      <w:r w:rsidR="003E1798" w:rsidRPr="00B40A77">
        <w:rPr>
          <w:color w:val="000000" w:themeColor="text1"/>
        </w:rPr>
        <w:t xml:space="preserve"> without opening the bundle.</w:t>
      </w:r>
    </w:p>
    <w:p w14:paraId="3132CBE6" w14:textId="3CBD2122" w:rsidR="00A351F3" w:rsidRPr="00B40A77" w:rsidRDefault="001719A3" w:rsidP="00A351F3">
      <w:pPr>
        <w:pStyle w:val="Heading4"/>
        <w:rPr>
          <w:color w:val="000000" w:themeColor="text1"/>
        </w:rPr>
      </w:pPr>
      <w:bookmarkStart w:id="187" w:name="_31.9—Attesting_witness"/>
      <w:bookmarkStart w:id="188" w:name="_Toc175238814"/>
      <w:bookmarkEnd w:id="186"/>
      <w:bookmarkEnd w:id="187"/>
      <w:r w:rsidRPr="00B40A77">
        <w:rPr>
          <w:color w:val="000000" w:themeColor="text1"/>
        </w:rPr>
        <w:t>2</w:t>
      </w:r>
      <w:r w:rsidR="00F20F0A" w:rsidRPr="00B40A77">
        <w:rPr>
          <w:color w:val="000000" w:themeColor="text1"/>
        </w:rPr>
        <w:t>8</w:t>
      </w:r>
      <w:r w:rsidR="00A351F3" w:rsidRPr="00B40A77">
        <w:rPr>
          <w:color w:val="000000" w:themeColor="text1"/>
        </w:rPr>
        <w:t>.9—Attesting witness</w:t>
      </w:r>
      <w:bookmarkEnd w:id="188"/>
    </w:p>
    <w:p w14:paraId="04C504C9" w14:textId="3AC27B16" w:rsidR="00A351F3" w:rsidRPr="00B40A77" w:rsidRDefault="00A351F3" w:rsidP="00A351F3">
      <w:pPr>
        <w:pStyle w:val="Hangindent"/>
        <w:rPr>
          <w:rFonts w:cs="Times New Roman"/>
          <w:bCs/>
          <w:iCs/>
          <w:color w:val="000000" w:themeColor="text1"/>
        </w:rPr>
      </w:pPr>
      <w:r w:rsidRPr="00B40A77">
        <w:rPr>
          <w:rFonts w:cs="Times New Roman"/>
          <w:color w:val="000000" w:themeColor="text1"/>
        </w:rPr>
        <w:t>(1)</w:t>
      </w:r>
      <w:r w:rsidRPr="00B40A77">
        <w:rPr>
          <w:rFonts w:cs="Times New Roman"/>
          <w:color w:val="000000" w:themeColor="text1"/>
        </w:rPr>
        <w:tab/>
      </w:r>
      <w:r w:rsidR="009B2D88" w:rsidRPr="00B40A77">
        <w:rPr>
          <w:rFonts w:cs="Times New Roman"/>
          <w:color w:val="000000" w:themeColor="text1"/>
        </w:rPr>
        <w:t xml:space="preserve">The attesting witness to </w:t>
      </w:r>
      <w:r w:rsidR="000022E6" w:rsidRPr="00B40A77">
        <w:rPr>
          <w:rFonts w:cs="Times New Roman"/>
          <w:color w:val="000000" w:themeColor="text1"/>
        </w:rPr>
        <w:t xml:space="preserve">an affidavit </w:t>
      </w:r>
      <w:r w:rsidR="009B2D88" w:rsidRPr="00B40A77">
        <w:rPr>
          <w:rFonts w:cs="Times New Roman"/>
          <w:color w:val="000000" w:themeColor="text1"/>
        </w:rPr>
        <w:t xml:space="preserve">must be an </w:t>
      </w:r>
      <w:hyperlink w:anchor="_2.1—Definitions" w:history="1">
        <w:r w:rsidRPr="00B40A77">
          <w:rPr>
            <w:rStyle w:val="Hyperlink"/>
            <w:rFonts w:cs="Times New Roman"/>
            <w:bCs/>
            <w:iCs/>
            <w:color w:val="000000" w:themeColor="text1"/>
          </w:rPr>
          <w:t>authorised witness</w:t>
        </w:r>
      </w:hyperlink>
      <w:r w:rsidR="009B2D88" w:rsidRPr="00B40A77">
        <w:rPr>
          <w:rFonts w:cs="Times New Roman"/>
          <w:bCs/>
          <w:iCs/>
          <w:color w:val="000000" w:themeColor="text1"/>
        </w:rPr>
        <w:t>.</w:t>
      </w:r>
    </w:p>
    <w:p w14:paraId="3D059652"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An affidavit may not be made before the party or an employee or agent of the party filing it unless</w:t>
      </w:r>
      <w:r w:rsidRPr="00B40A77">
        <w:rPr>
          <w:color w:val="000000" w:themeColor="text1"/>
        </w:rPr>
        <w:t>—</w:t>
      </w:r>
      <w:r w:rsidRPr="00B40A77">
        <w:rPr>
          <w:rFonts w:cs="Times New Roman"/>
          <w:color w:val="000000" w:themeColor="text1"/>
        </w:rPr>
        <w:t xml:space="preserve"> </w:t>
      </w:r>
    </w:p>
    <w:p w14:paraId="7372D4DF" w14:textId="77777777" w:rsidR="00F839B2"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the attesting witness is a lawyer acting for the party;</w:t>
      </w:r>
    </w:p>
    <w:p w14:paraId="1A6492F2" w14:textId="03798DEB" w:rsidR="00A351F3" w:rsidRPr="00B40A77" w:rsidRDefault="00F839B2" w:rsidP="00A351F3">
      <w:pPr>
        <w:pStyle w:val="Doublehangindent"/>
        <w:rPr>
          <w:color w:val="000000" w:themeColor="text1"/>
        </w:rPr>
      </w:pPr>
      <w:bookmarkStart w:id="189" w:name="_Hlk96449970"/>
      <w:r w:rsidRPr="00B40A77">
        <w:rPr>
          <w:color w:val="000000" w:themeColor="text1"/>
        </w:rPr>
        <w:t>(b)</w:t>
      </w:r>
      <w:r w:rsidRPr="00B40A77">
        <w:rPr>
          <w:color w:val="000000" w:themeColor="text1"/>
        </w:rPr>
        <w:tab/>
      </w:r>
      <w:r w:rsidR="00A351F3" w:rsidRPr="00B40A77">
        <w:rPr>
          <w:color w:val="000000" w:themeColor="text1"/>
        </w:rPr>
        <w:t xml:space="preserve"> </w:t>
      </w:r>
      <w:r w:rsidRPr="00B40A77">
        <w:rPr>
          <w:color w:val="000000" w:themeColor="text1"/>
        </w:rPr>
        <w:t>the attesting witness is a police officer who is not the party; or</w:t>
      </w:r>
    </w:p>
    <w:bookmarkEnd w:id="189"/>
    <w:p w14:paraId="1F660883" w14:textId="22D1E292" w:rsidR="00A351F3" w:rsidRPr="00B40A77" w:rsidRDefault="00A351F3" w:rsidP="00A351F3">
      <w:pPr>
        <w:pStyle w:val="Doublehangindent"/>
        <w:rPr>
          <w:color w:val="000000" w:themeColor="text1"/>
        </w:rPr>
      </w:pPr>
      <w:r w:rsidRPr="00B40A77">
        <w:rPr>
          <w:color w:val="000000" w:themeColor="text1"/>
        </w:rPr>
        <w:t>(</w:t>
      </w:r>
      <w:r w:rsidR="00F839B2" w:rsidRPr="00B40A77">
        <w:rPr>
          <w:color w:val="000000" w:themeColor="text1"/>
        </w:rPr>
        <w:t>c</w:t>
      </w:r>
      <w:r w:rsidRPr="00B40A77">
        <w:rPr>
          <w:color w:val="000000" w:themeColor="text1"/>
        </w:rPr>
        <w:t>)</w:t>
      </w:r>
      <w:r w:rsidRPr="00B40A77">
        <w:rPr>
          <w:color w:val="000000" w:themeColor="text1"/>
        </w:rPr>
        <w:tab/>
        <w:t xml:space="preserve">the party is the Crown. </w:t>
      </w:r>
    </w:p>
    <w:p w14:paraId="02C83E8F" w14:textId="4F3A327A" w:rsidR="00984439" w:rsidRPr="00B40A77" w:rsidRDefault="00984439" w:rsidP="00984439">
      <w:pPr>
        <w:pStyle w:val="Heading4"/>
        <w:rPr>
          <w:color w:val="000000" w:themeColor="text1"/>
        </w:rPr>
      </w:pPr>
      <w:bookmarkStart w:id="190" w:name="_Toc175238815"/>
      <w:bookmarkStart w:id="191" w:name="_Hlk107840678"/>
      <w:r w:rsidRPr="00B40A77">
        <w:rPr>
          <w:color w:val="000000" w:themeColor="text1"/>
        </w:rPr>
        <w:t>28.10—Original of affidavit uploaded into Electronic System</w:t>
      </w:r>
      <w:bookmarkEnd w:id="190"/>
    </w:p>
    <w:p w14:paraId="5714A015" w14:textId="3624130B" w:rsidR="00984439" w:rsidRPr="00B40A77" w:rsidRDefault="00984439" w:rsidP="00984439">
      <w:pPr>
        <w:pStyle w:val="Hangindent"/>
        <w:rPr>
          <w:color w:val="000000" w:themeColor="text1"/>
          <w:lang w:val="en-GB"/>
        </w:rPr>
      </w:pPr>
      <w:r w:rsidRPr="00B40A77">
        <w:rPr>
          <w:color w:val="000000" w:themeColor="text1"/>
          <w:lang w:val="en-GB"/>
        </w:rPr>
        <w:t>(1)</w:t>
      </w:r>
      <w:r w:rsidRPr="00B40A77">
        <w:rPr>
          <w:color w:val="000000" w:themeColor="text1"/>
          <w:lang w:val="en-GB"/>
        </w:rPr>
        <w:tab/>
        <w:t xml:space="preserve">This rule applies to a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GB"/>
        </w:rPr>
        <w:t xml:space="preserve">, other representative of a party or an unrepresented party who uploads a document comprises or includes an affidavit electronically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GB"/>
        </w:rPr>
        <w:t xml:space="preserve"> or files with or produces to the Court such a document for the Court to upload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GB"/>
        </w:rPr>
        <w:t>.</w:t>
      </w:r>
    </w:p>
    <w:p w14:paraId="3058CA32" w14:textId="21CEFD0B" w:rsidR="00AD3F9F" w:rsidRPr="00B40A77" w:rsidRDefault="00984439">
      <w:pPr>
        <w:pStyle w:val="Hangindent"/>
        <w:rPr>
          <w:color w:val="000000" w:themeColor="text1"/>
          <w:lang w:val="en-GB"/>
        </w:rPr>
      </w:pPr>
      <w:r w:rsidRPr="00B40A77">
        <w:rPr>
          <w:color w:val="000000" w:themeColor="text1"/>
          <w:lang w:val="en-GB"/>
        </w:rPr>
        <w:lastRenderedPageBreak/>
        <w:t>(2)</w:t>
      </w:r>
      <w:r w:rsidRPr="00B40A77">
        <w:rPr>
          <w:color w:val="000000" w:themeColor="text1"/>
          <w:lang w:val="en-GB"/>
        </w:rPr>
        <w:tab/>
        <w:t>A person or entity to whom this rule applies undertakes to the Court to retain possession of the original document until finalisation of the proceeding and any appeal and expiration of any appeal period.</w:t>
      </w:r>
    </w:p>
    <w:p w14:paraId="10545A82" w14:textId="77777777" w:rsidR="009176FC" w:rsidRPr="00B40A77" w:rsidRDefault="009176FC" w:rsidP="009176FC">
      <w:pPr>
        <w:pStyle w:val="Heading3"/>
        <w:rPr>
          <w:color w:val="000000" w:themeColor="text1"/>
        </w:rPr>
      </w:pPr>
      <w:bookmarkStart w:id="192" w:name="_Toc175238816"/>
      <w:bookmarkStart w:id="193" w:name="_Toc60131584"/>
      <w:bookmarkEnd w:id="191"/>
      <w:r w:rsidRPr="00B40A77">
        <w:rPr>
          <w:color w:val="000000" w:themeColor="text1"/>
        </w:rPr>
        <w:t>Subdivision 3—Sensitive material</w:t>
      </w:r>
      <w:bookmarkEnd w:id="192"/>
    </w:p>
    <w:p w14:paraId="0758A724" w14:textId="77777777" w:rsidR="009E55D0" w:rsidRPr="00B40A77" w:rsidRDefault="009E55D0" w:rsidP="009E55D0">
      <w:pPr>
        <w:pStyle w:val="Heading4"/>
        <w:rPr>
          <w:color w:val="000000" w:themeColor="text1"/>
        </w:rPr>
      </w:pPr>
      <w:bookmarkStart w:id="194" w:name="_Toc111525481"/>
      <w:bookmarkStart w:id="195" w:name="_Toc175238817"/>
      <w:r w:rsidRPr="00B40A77">
        <w:rPr>
          <w:color w:val="000000" w:themeColor="text1"/>
        </w:rPr>
        <w:t>28.11—Production of sensitive material</w:t>
      </w:r>
      <w:bookmarkEnd w:id="194"/>
      <w:bookmarkEnd w:id="195"/>
    </w:p>
    <w:p w14:paraId="6F10C952" w14:textId="20FB6A82" w:rsidR="009E55D0" w:rsidRPr="00B40A77" w:rsidRDefault="009E55D0" w:rsidP="009E55D0">
      <w:pPr>
        <w:pStyle w:val="Hangindent"/>
        <w:rPr>
          <w:color w:val="000000" w:themeColor="text1"/>
        </w:rPr>
      </w:pPr>
      <w:r w:rsidRPr="00B40A77">
        <w:rPr>
          <w:color w:val="000000" w:themeColor="text1"/>
        </w:rPr>
        <w:t>(1)</w:t>
      </w:r>
      <w:r w:rsidRPr="00B40A77">
        <w:rPr>
          <w:color w:val="000000" w:themeColor="text1"/>
        </w:rPr>
        <w:tab/>
        <w:t xml:space="preserve">This rule applies if a party files, tenders or otherwise produces to the Court </w:t>
      </w:r>
      <w:hyperlink w:anchor="_2.1—Definitions" w:history="1">
        <w:r w:rsidRPr="00B40A77">
          <w:rPr>
            <w:rStyle w:val="Hyperlink"/>
            <w:color w:val="000000" w:themeColor="text1"/>
          </w:rPr>
          <w:t>sensitive material</w:t>
        </w:r>
      </w:hyperlink>
      <w:r w:rsidRPr="00B40A77">
        <w:rPr>
          <w:color w:val="000000" w:themeColor="text1"/>
        </w:rPr>
        <w:t>.</w:t>
      </w:r>
    </w:p>
    <w:p w14:paraId="7208464C" w14:textId="6831CB13" w:rsidR="009E55D0" w:rsidRPr="00B40A77" w:rsidRDefault="009E55D0" w:rsidP="009E55D0">
      <w:pPr>
        <w:pStyle w:val="Hangindent"/>
        <w:rPr>
          <w:color w:val="000000" w:themeColor="text1"/>
          <w:u w:val="single"/>
        </w:rPr>
      </w:pPr>
      <w:r w:rsidRPr="00B40A77">
        <w:rPr>
          <w:color w:val="000000" w:themeColor="text1"/>
        </w:rPr>
        <w:t>(2)</w:t>
      </w:r>
      <w:r w:rsidRPr="00B40A77">
        <w:rPr>
          <w:color w:val="000000" w:themeColor="text1"/>
        </w:rPr>
        <w:tab/>
        <w:t xml:space="preserve">Before a party files, tenders or otherwise produces to the Court </w:t>
      </w:r>
      <w:hyperlink w:anchor="_2.1—Definitions" w:history="1">
        <w:r w:rsidRPr="00B40A77">
          <w:rPr>
            <w:rStyle w:val="Hyperlink"/>
            <w:color w:val="000000" w:themeColor="text1"/>
          </w:rPr>
          <w:t>sensitive material</w:t>
        </w:r>
      </w:hyperlink>
      <w:r w:rsidRPr="00B40A77">
        <w:rPr>
          <w:color w:val="000000" w:themeColor="text1"/>
        </w:rPr>
        <w:t>, the party must</w:t>
      </w:r>
      <w:r w:rsidRPr="00B40A77">
        <w:rPr>
          <w:color w:val="000000" w:themeColor="text1"/>
          <w:lang w:val="en-US"/>
        </w:rPr>
        <w:t>—</w:t>
      </w:r>
    </w:p>
    <w:p w14:paraId="427DC706" w14:textId="4F6AC7B7" w:rsidR="009E55D0" w:rsidRPr="00B40A77" w:rsidRDefault="009E55D0" w:rsidP="009E55D0">
      <w:pPr>
        <w:pStyle w:val="Doublehangindent"/>
        <w:rPr>
          <w:color w:val="000000" w:themeColor="text1"/>
        </w:rPr>
      </w:pPr>
      <w:r w:rsidRPr="00B40A77">
        <w:rPr>
          <w:color w:val="000000" w:themeColor="text1"/>
        </w:rPr>
        <w:t>(a)</w:t>
      </w:r>
      <w:r w:rsidRPr="00B40A77">
        <w:rPr>
          <w:color w:val="000000" w:themeColor="text1"/>
        </w:rPr>
        <w:tab/>
        <w:t xml:space="preserve">inform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 xml:space="preserve"> or the Court</w:t>
      </w:r>
      <w:r w:rsidRPr="00B40A77">
        <w:rPr>
          <w:color w:val="000000" w:themeColor="text1"/>
        </w:rPr>
        <w:t xml:space="preserve"> of the intention to file, tender or produce the </w:t>
      </w:r>
      <w:hyperlink w:anchor="_2.1—Definitions" w:history="1">
        <w:r w:rsidRPr="00B40A77">
          <w:rPr>
            <w:rStyle w:val="Hyperlink"/>
            <w:color w:val="000000" w:themeColor="text1"/>
          </w:rPr>
          <w:t>sensitive material</w:t>
        </w:r>
      </w:hyperlink>
      <w:r w:rsidRPr="00B40A77">
        <w:rPr>
          <w:color w:val="000000" w:themeColor="text1"/>
        </w:rPr>
        <w:t>;</w:t>
      </w:r>
    </w:p>
    <w:p w14:paraId="6E48FCEE" w14:textId="4E7C967D" w:rsidR="009E55D0" w:rsidRPr="00B40A77" w:rsidRDefault="009E55D0" w:rsidP="009E55D0">
      <w:pPr>
        <w:pStyle w:val="Doublehangindent"/>
        <w:rPr>
          <w:color w:val="000000" w:themeColor="text1"/>
        </w:rPr>
      </w:pPr>
      <w:r w:rsidRPr="00B40A77">
        <w:rPr>
          <w:color w:val="000000" w:themeColor="text1"/>
        </w:rPr>
        <w:t>(b)</w:t>
      </w:r>
      <w:r w:rsidRPr="00B40A77">
        <w:rPr>
          <w:color w:val="000000" w:themeColor="text1"/>
        </w:rPr>
        <w:tab/>
        <w:t xml:space="preserve">inform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 xml:space="preserve"> or the Court </w:t>
      </w:r>
      <w:r w:rsidRPr="00B40A77">
        <w:rPr>
          <w:color w:val="000000" w:themeColor="text1"/>
        </w:rPr>
        <w:t>of any special computer software or hardware required to access the material;</w:t>
      </w:r>
    </w:p>
    <w:p w14:paraId="011C28CE" w14:textId="1CA61F8A" w:rsidR="009E55D0" w:rsidRPr="00B40A77" w:rsidRDefault="009E55D0" w:rsidP="009E55D0">
      <w:pPr>
        <w:pStyle w:val="Doublehangindent"/>
        <w:rPr>
          <w:color w:val="000000" w:themeColor="text1"/>
        </w:rPr>
      </w:pPr>
      <w:r w:rsidRPr="00B40A77">
        <w:rPr>
          <w:color w:val="000000" w:themeColor="text1"/>
        </w:rPr>
        <w:t>(c)</w:t>
      </w:r>
      <w:r w:rsidRPr="00B40A77">
        <w:rPr>
          <w:color w:val="000000" w:themeColor="text1"/>
        </w:rPr>
        <w:tab/>
        <w:t xml:space="preserve">inform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 xml:space="preserve"> or the Court</w:t>
      </w:r>
      <w:r w:rsidRPr="00B40A77">
        <w:rPr>
          <w:color w:val="000000" w:themeColor="text1"/>
        </w:rPr>
        <w:t xml:space="preserve"> of any conditions imposed by the prosecution under section 67I of the Evidence Act on access to the defence to the material;</w:t>
      </w:r>
    </w:p>
    <w:p w14:paraId="30562182" w14:textId="2C14BAB7" w:rsidR="009E55D0" w:rsidRPr="00B40A77" w:rsidRDefault="009E55D0" w:rsidP="009E55D0">
      <w:pPr>
        <w:pStyle w:val="Doublehangindent"/>
        <w:rPr>
          <w:color w:val="000000" w:themeColor="text1"/>
        </w:rPr>
      </w:pPr>
      <w:r w:rsidRPr="00B40A77">
        <w:rPr>
          <w:color w:val="000000" w:themeColor="text1"/>
        </w:rPr>
        <w:t>(d)</w:t>
      </w:r>
      <w:r w:rsidRPr="00B40A77">
        <w:rPr>
          <w:color w:val="000000" w:themeColor="text1"/>
        </w:rPr>
        <w:tab/>
        <w:t xml:space="preserve">upon request by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 xml:space="preserve"> or the Court</w:t>
      </w:r>
      <w:r w:rsidRPr="00B40A77">
        <w:rPr>
          <w:color w:val="000000" w:themeColor="text1"/>
        </w:rPr>
        <w:t>, provide any special computer software or hardware required to access the material; and</w:t>
      </w:r>
    </w:p>
    <w:p w14:paraId="73503451" w14:textId="324BC032" w:rsidR="009E55D0" w:rsidRPr="00B40A77" w:rsidRDefault="009E55D0" w:rsidP="009E55D0">
      <w:pPr>
        <w:pStyle w:val="Doublehangindent"/>
        <w:rPr>
          <w:color w:val="000000" w:themeColor="text1"/>
        </w:rPr>
      </w:pPr>
      <w:r w:rsidRPr="00B40A77">
        <w:rPr>
          <w:color w:val="000000" w:themeColor="text1"/>
        </w:rPr>
        <w:t>(e)</w:t>
      </w:r>
      <w:r w:rsidRPr="00B40A77">
        <w:rPr>
          <w:color w:val="000000" w:themeColor="text1"/>
        </w:rPr>
        <w:tab/>
        <w:t xml:space="preserve">comply with any direction given by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 xml:space="preserve"> or the Court</w:t>
      </w:r>
      <w:r w:rsidRPr="00B40A77">
        <w:rPr>
          <w:color w:val="000000" w:themeColor="text1"/>
        </w:rPr>
        <w:t xml:space="preserve"> as to the method of production to the Court of the material, including whether it is to be produced in physical or electronic form.</w:t>
      </w:r>
    </w:p>
    <w:p w14:paraId="66F406B0" w14:textId="1CB2BE77" w:rsidR="009E55D0" w:rsidRPr="00B40A77" w:rsidRDefault="009E55D0" w:rsidP="009E55D0">
      <w:pPr>
        <w:pStyle w:val="Hangindent"/>
        <w:keepLines/>
        <w:rPr>
          <w:color w:val="000000" w:themeColor="text1"/>
          <w:lang w:val="en-US"/>
        </w:rPr>
      </w:pPr>
      <w:r w:rsidRPr="00B40A77">
        <w:rPr>
          <w:color w:val="000000" w:themeColor="text1"/>
        </w:rPr>
        <w:t>(3)</w:t>
      </w:r>
      <w:r w:rsidRPr="00B40A77">
        <w:rPr>
          <w:color w:val="000000" w:themeColor="text1"/>
        </w:rPr>
        <w:tab/>
        <w:t xml:space="preserve">A party who files, tenders or otherwise produces to the Court </w:t>
      </w:r>
      <w:hyperlink w:anchor="_2.1—Definitions" w:history="1">
        <w:r w:rsidRPr="00B40A77">
          <w:rPr>
            <w:rStyle w:val="Hyperlink"/>
            <w:color w:val="000000" w:themeColor="text1"/>
          </w:rPr>
          <w:t>sensitive material</w:t>
        </w:r>
      </w:hyperlink>
      <w:r w:rsidRPr="00B40A77">
        <w:rPr>
          <w:color w:val="000000" w:themeColor="text1"/>
        </w:rPr>
        <w:t xml:space="preserve"> in electronic form must, subject to any contrary direction by the </w:t>
      </w:r>
      <w:hyperlink w:anchor="_2.1—Definitions" w:history="1">
        <w:r w:rsidRPr="00B40A77">
          <w:rPr>
            <w:rStyle w:val="Hyperlink"/>
            <w:color w:val="000000" w:themeColor="text1"/>
            <w:lang w:val="en-US"/>
          </w:rPr>
          <w:t>Principal Registrar</w:t>
        </w:r>
      </w:hyperlink>
      <w:r w:rsidRPr="00B40A77">
        <w:rPr>
          <w:color w:val="000000" w:themeColor="text1"/>
        </w:rPr>
        <w:t xml:space="preserve"> or order by the Court, produce it on a </w:t>
      </w:r>
      <w:r w:rsidRPr="00B40A77">
        <w:rPr>
          <w:color w:val="000000" w:themeColor="text1"/>
          <w:lang w:val="en-US"/>
        </w:rPr>
        <w:t>USB drive contained in a sealed envelope marked with the title and case number of the proceeding, a description of the material, the name of the party producing it and any code needed to access it.</w:t>
      </w:r>
    </w:p>
    <w:p w14:paraId="3AB18EE4" w14:textId="698B490B" w:rsidR="009E55D0" w:rsidRPr="00B40A77" w:rsidRDefault="009E55D0" w:rsidP="009E55D0">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after </w:t>
      </w:r>
      <w:hyperlink w:anchor="_2.1—Definitions" w:history="1">
        <w:r w:rsidRPr="00B40A77">
          <w:rPr>
            <w:rStyle w:val="Hyperlink"/>
            <w:color w:val="000000" w:themeColor="text1"/>
          </w:rPr>
          <w:t>sensitive material</w:t>
        </w:r>
      </w:hyperlink>
      <w:r w:rsidRPr="00B40A77">
        <w:rPr>
          <w:color w:val="000000" w:themeColor="text1"/>
          <w:lang w:val="en-US"/>
        </w:rPr>
        <w:t xml:space="preserve"> is first produced to the Court, the prosecution determines to impose </w:t>
      </w:r>
      <w:r w:rsidRPr="00B40A77">
        <w:rPr>
          <w:color w:val="000000" w:themeColor="text1"/>
        </w:rPr>
        <w:t xml:space="preserve">any conditions under </w:t>
      </w:r>
      <w:r w:rsidRPr="00B40A77">
        <w:rPr>
          <w:color w:val="000000" w:themeColor="text1"/>
          <w:lang w:val="en-US"/>
        </w:rPr>
        <w:t xml:space="preserve">section 67I of the Evidence Act </w:t>
      </w:r>
      <w:r w:rsidRPr="00B40A77">
        <w:rPr>
          <w:color w:val="000000" w:themeColor="text1"/>
        </w:rPr>
        <w:t xml:space="preserve">on access to the defence to the </w:t>
      </w:r>
      <w:hyperlink w:anchor="_2.1—Definitions" w:history="1">
        <w:r w:rsidRPr="00B40A77">
          <w:rPr>
            <w:rStyle w:val="Hyperlink"/>
            <w:color w:val="000000" w:themeColor="text1"/>
          </w:rPr>
          <w:t>sensitive material</w:t>
        </w:r>
      </w:hyperlink>
      <w:r w:rsidRPr="00B40A77">
        <w:rPr>
          <w:i/>
          <w:iCs/>
          <w:color w:val="000000" w:themeColor="text1"/>
        </w:rPr>
        <w:t>,</w:t>
      </w:r>
      <w:r w:rsidRPr="00B40A77">
        <w:rPr>
          <w:color w:val="000000" w:themeColor="text1"/>
        </w:rPr>
        <w:t xml:space="preserve"> the prosecution must inform the </w:t>
      </w:r>
      <w:hyperlink w:anchor="_2.1—Definitions" w:history="1">
        <w:r w:rsidRPr="00B40A77">
          <w:rPr>
            <w:rStyle w:val="Hyperlink"/>
            <w:color w:val="000000" w:themeColor="text1"/>
            <w:lang w:val="en-US"/>
          </w:rPr>
          <w:t>Principal Registrar</w:t>
        </w:r>
      </w:hyperlink>
      <w:r w:rsidRPr="00B40A77">
        <w:rPr>
          <w:color w:val="000000" w:themeColor="text1"/>
        </w:rPr>
        <w:t xml:space="preserve"> of as soon as practicable</w:t>
      </w:r>
    </w:p>
    <w:p w14:paraId="7D80075F" w14:textId="7E5BC6C5" w:rsidR="009176FC" w:rsidRPr="00B40A77" w:rsidRDefault="009176FC" w:rsidP="009176FC">
      <w:pPr>
        <w:pStyle w:val="Heading4"/>
        <w:rPr>
          <w:color w:val="000000" w:themeColor="text1"/>
        </w:rPr>
      </w:pPr>
      <w:bookmarkStart w:id="196" w:name="_Toc175238818"/>
      <w:bookmarkEnd w:id="193"/>
      <w:r w:rsidRPr="00B40A77">
        <w:rPr>
          <w:color w:val="000000" w:themeColor="text1"/>
        </w:rPr>
        <w:t>28.12—</w:t>
      </w:r>
      <w:r w:rsidR="00126603" w:rsidRPr="00B40A77">
        <w:rPr>
          <w:color w:val="000000" w:themeColor="text1"/>
        </w:rPr>
        <w:t>Filing o</w:t>
      </w:r>
      <w:r w:rsidR="009E55D0" w:rsidRPr="00B40A77">
        <w:rPr>
          <w:color w:val="000000" w:themeColor="text1"/>
        </w:rPr>
        <w:t>f</w:t>
      </w:r>
      <w:r w:rsidR="00126603" w:rsidRPr="00B40A77">
        <w:rPr>
          <w:color w:val="000000" w:themeColor="text1"/>
        </w:rPr>
        <w:t xml:space="preserve"> </w:t>
      </w:r>
      <w:r w:rsidR="00572636" w:rsidRPr="00B40A77">
        <w:rPr>
          <w:color w:val="000000" w:themeColor="text1"/>
        </w:rPr>
        <w:t>sensitive</w:t>
      </w:r>
      <w:r w:rsidR="00126603" w:rsidRPr="00B40A77">
        <w:rPr>
          <w:color w:val="000000" w:themeColor="text1"/>
        </w:rPr>
        <w:t xml:space="preserve"> material</w:t>
      </w:r>
      <w:bookmarkEnd w:id="196"/>
    </w:p>
    <w:p w14:paraId="128AE11B" w14:textId="1F7E1685" w:rsidR="00126603" w:rsidRPr="00B40A77" w:rsidRDefault="00126603" w:rsidP="00126603">
      <w:pPr>
        <w:pStyle w:val="Hangindent"/>
        <w:rPr>
          <w:color w:val="000000" w:themeColor="text1"/>
        </w:rPr>
      </w:pPr>
      <w:r w:rsidRPr="00B40A77">
        <w:rPr>
          <w:color w:val="000000" w:themeColor="text1"/>
        </w:rPr>
        <w:t>(1)</w:t>
      </w:r>
      <w:r w:rsidRPr="00B40A77">
        <w:rPr>
          <w:color w:val="000000" w:themeColor="text1"/>
        </w:rPr>
        <w:tab/>
        <w:t xml:space="preserve">This rule applies if a party files </w:t>
      </w:r>
      <w:hyperlink w:anchor="_2.1—Definitions" w:history="1">
        <w:r w:rsidR="00572636"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w:t>
      </w:r>
    </w:p>
    <w:p w14:paraId="74EA7B75" w14:textId="4332B8E5" w:rsidR="00126603" w:rsidRPr="00B40A77" w:rsidRDefault="00126603" w:rsidP="00126603">
      <w:pPr>
        <w:pStyle w:val="Hangindent"/>
        <w:rPr>
          <w:rStyle w:val="Hyperlink"/>
          <w:color w:val="000000" w:themeColor="text1"/>
        </w:rPr>
      </w:pPr>
      <w:r w:rsidRPr="00B40A77">
        <w:rPr>
          <w:color w:val="000000" w:themeColor="text1"/>
        </w:rPr>
        <w:t>(2)</w:t>
      </w:r>
      <w:r w:rsidRPr="00B40A77">
        <w:rPr>
          <w:color w:val="000000" w:themeColor="text1"/>
        </w:rPr>
        <w:tab/>
        <w:t xml:space="preserve">If a party files a document that has an attachment (whether in physical or electronic form) that comprises or includes </w:t>
      </w:r>
      <w:hyperlink w:anchor="_2.1—Definitions" w:history="1">
        <w:r w:rsidR="00572636" w:rsidRPr="00B40A77">
          <w:rPr>
            <w:rStyle w:val="Hyperlink"/>
            <w:color w:val="000000" w:themeColor="text1"/>
          </w:rPr>
          <w:t>sensitive</w:t>
        </w:r>
        <w:r w:rsidRPr="00B40A77">
          <w:rPr>
            <w:rStyle w:val="Hyperlink"/>
            <w:color w:val="000000" w:themeColor="text1"/>
          </w:rPr>
          <w:t xml:space="preserve"> material</w:t>
        </w:r>
      </w:hyperlink>
      <w:r w:rsidRPr="00B40A77">
        <w:rPr>
          <w:rStyle w:val="Hyperlink"/>
          <w:color w:val="000000" w:themeColor="text1"/>
        </w:rPr>
        <w:t>, the attachment must not be filed electronically but mu</w:t>
      </w:r>
      <w:r w:rsidR="00F01B22" w:rsidRPr="00B40A77">
        <w:rPr>
          <w:rStyle w:val="Hyperlink"/>
          <w:color w:val="000000" w:themeColor="text1"/>
        </w:rPr>
        <w:t>s</w:t>
      </w:r>
      <w:r w:rsidRPr="00B40A77">
        <w:rPr>
          <w:rStyle w:val="Hyperlink"/>
          <w:color w:val="000000" w:themeColor="text1"/>
        </w:rPr>
        <w:t>t be filed physically in accordance with the provisions of this rule.</w:t>
      </w:r>
    </w:p>
    <w:p w14:paraId="628F2F9D" w14:textId="77777777" w:rsidR="00126603" w:rsidRPr="00B40A77" w:rsidRDefault="00126603" w:rsidP="00126603">
      <w:pPr>
        <w:pStyle w:val="NoteHeader"/>
        <w:keepNext/>
        <w:ind w:left="1985" w:hanging="851"/>
        <w:rPr>
          <w:color w:val="000000" w:themeColor="text1"/>
        </w:rPr>
      </w:pPr>
      <w:r w:rsidRPr="00B40A77">
        <w:rPr>
          <w:color w:val="000000" w:themeColor="text1"/>
        </w:rPr>
        <w:t>Example—</w:t>
      </w:r>
    </w:p>
    <w:p w14:paraId="2A227A78" w14:textId="7AD4A69F" w:rsidR="00126603" w:rsidRPr="00B40A77" w:rsidRDefault="00126603" w:rsidP="00126603">
      <w:pPr>
        <w:pStyle w:val="NoteText"/>
        <w:rPr>
          <w:color w:val="000000" w:themeColor="text1"/>
        </w:rPr>
      </w:pPr>
      <w:r w:rsidRPr="00B40A77">
        <w:rPr>
          <w:color w:val="000000" w:themeColor="text1"/>
        </w:rPr>
        <w:t xml:space="preserve">If an item of evidentiary material comprising </w:t>
      </w:r>
      <w:r w:rsidR="00572636" w:rsidRPr="00B40A77">
        <w:rPr>
          <w:rStyle w:val="Hyperlink"/>
          <w:rFonts w:cstheme="minorBidi"/>
          <w:color w:val="000000" w:themeColor="text1"/>
        </w:rPr>
        <w:t>sensitive</w:t>
      </w:r>
      <w:r w:rsidRPr="00B40A77">
        <w:rPr>
          <w:rStyle w:val="Hyperlink"/>
          <w:rFonts w:cstheme="minorBidi"/>
          <w:color w:val="000000" w:themeColor="text1"/>
        </w:rPr>
        <w:t xml:space="preserve"> material</w:t>
      </w:r>
      <w:r w:rsidRPr="00B40A77">
        <w:rPr>
          <w:color w:val="000000" w:themeColor="text1"/>
        </w:rPr>
        <w:t xml:space="preserve"> is listed in an evidentiary material brief and would otherwise be filed electronically with the evidentiary material brief, the item must not be filed electronically but must be filed </w:t>
      </w:r>
      <w:r w:rsidRPr="00B40A77">
        <w:rPr>
          <w:rStyle w:val="Hyperlink"/>
          <w:color w:val="000000" w:themeColor="text1"/>
        </w:rPr>
        <w:t xml:space="preserve">physically in accordance with the provisions of this rule. </w:t>
      </w:r>
      <w:r w:rsidRPr="00B40A77">
        <w:rPr>
          <w:color w:val="000000" w:themeColor="text1"/>
        </w:rPr>
        <w:t>The balance of the</w:t>
      </w:r>
      <w:r w:rsidRPr="00B40A77">
        <w:rPr>
          <w:rStyle w:val="Hyperlink"/>
          <w:color w:val="000000" w:themeColor="text1"/>
          <w:u w:val="none"/>
        </w:rPr>
        <w:t xml:space="preserve"> </w:t>
      </w:r>
      <w:r w:rsidRPr="00B40A77">
        <w:rPr>
          <w:color w:val="000000" w:themeColor="text1"/>
        </w:rPr>
        <w:t>evidentiary material brief must be filed electronically when these Rules require electronic filing.</w:t>
      </w:r>
    </w:p>
    <w:p w14:paraId="07C11EAB" w14:textId="0BEBF519" w:rsidR="00126603" w:rsidRPr="00B40A77" w:rsidRDefault="00126603" w:rsidP="00126603">
      <w:pPr>
        <w:pStyle w:val="Hangindent"/>
        <w:rPr>
          <w:rStyle w:val="Hyperlink"/>
          <w:color w:val="000000" w:themeColor="text1"/>
        </w:rPr>
      </w:pPr>
      <w:r w:rsidRPr="00B40A77">
        <w:rPr>
          <w:color w:val="000000" w:themeColor="text1"/>
        </w:rPr>
        <w:lastRenderedPageBreak/>
        <w:t>(3)</w:t>
      </w:r>
      <w:r w:rsidRPr="00B40A77">
        <w:rPr>
          <w:color w:val="000000" w:themeColor="text1"/>
        </w:rPr>
        <w:tab/>
        <w:t xml:space="preserve">If a party files a document that comprises or includes </w:t>
      </w:r>
      <w:hyperlink w:anchor="_2.1—Definitions" w:history="1">
        <w:r w:rsidR="00FC7ED7" w:rsidRPr="00B40A77">
          <w:rPr>
            <w:rStyle w:val="Hyperlink"/>
            <w:color w:val="000000" w:themeColor="text1"/>
          </w:rPr>
          <w:t>sensitive</w:t>
        </w:r>
        <w:r w:rsidRPr="00B40A77">
          <w:rPr>
            <w:rStyle w:val="Hyperlink"/>
            <w:color w:val="000000" w:themeColor="text1"/>
          </w:rPr>
          <w:t xml:space="preserve"> material</w:t>
        </w:r>
      </w:hyperlink>
      <w:r w:rsidRPr="00B40A77">
        <w:rPr>
          <w:rStyle w:val="Hyperlink"/>
          <w:color w:val="000000" w:themeColor="text1"/>
        </w:rPr>
        <w:t>, the document must not be filed electronically but mu</w:t>
      </w:r>
      <w:r w:rsidR="00F01B22" w:rsidRPr="00B40A77">
        <w:rPr>
          <w:rStyle w:val="Hyperlink"/>
          <w:color w:val="000000" w:themeColor="text1"/>
        </w:rPr>
        <w:t>s</w:t>
      </w:r>
      <w:r w:rsidRPr="00B40A77">
        <w:rPr>
          <w:rStyle w:val="Hyperlink"/>
          <w:color w:val="000000" w:themeColor="text1"/>
        </w:rPr>
        <w:t>t be filed physically in accordance with the provisions of this rule.</w:t>
      </w:r>
    </w:p>
    <w:p w14:paraId="16C24E21" w14:textId="73760327" w:rsidR="00126603" w:rsidRPr="00B40A77" w:rsidRDefault="00126603" w:rsidP="00126603">
      <w:pPr>
        <w:pStyle w:val="Hangindent"/>
        <w:rPr>
          <w:color w:val="000000" w:themeColor="text1"/>
        </w:rPr>
      </w:pPr>
      <w:r w:rsidRPr="00B40A77">
        <w:rPr>
          <w:color w:val="000000" w:themeColor="text1"/>
        </w:rPr>
        <w:t>(4)</w:t>
      </w:r>
      <w:r w:rsidRPr="00B40A77">
        <w:rPr>
          <w:color w:val="000000" w:themeColor="text1"/>
        </w:rPr>
        <w:tab/>
      </w:r>
      <w:r w:rsidR="00FC7ED7" w:rsidRPr="00B40A77">
        <w:rPr>
          <w:rStyle w:val="Hyperlink"/>
          <w:color w:val="000000" w:themeColor="text1"/>
        </w:rPr>
        <w:t>Sensitive</w:t>
      </w:r>
      <w:r w:rsidRPr="00B40A77">
        <w:rPr>
          <w:rStyle w:val="Hyperlink"/>
          <w:color w:val="000000" w:themeColor="text1"/>
        </w:rPr>
        <w:t xml:space="preserve"> material</w:t>
      </w:r>
      <w:r w:rsidRPr="00B40A77">
        <w:rPr>
          <w:color w:val="000000" w:themeColor="text1"/>
        </w:rPr>
        <w:t xml:space="preserve"> filed under this rule must—</w:t>
      </w:r>
    </w:p>
    <w:p w14:paraId="373C10D2" w14:textId="77777777" w:rsidR="00126603" w:rsidRPr="00B40A77" w:rsidRDefault="00126603" w:rsidP="004510C4">
      <w:pPr>
        <w:pStyle w:val="Doublehangindent"/>
        <w:rPr>
          <w:color w:val="000000" w:themeColor="text1"/>
        </w:rPr>
      </w:pPr>
      <w:r w:rsidRPr="00B40A77">
        <w:rPr>
          <w:color w:val="000000" w:themeColor="text1"/>
        </w:rPr>
        <w:t>(a)</w:t>
      </w:r>
      <w:r w:rsidRPr="00B40A77">
        <w:rPr>
          <w:color w:val="000000" w:themeColor="text1"/>
        </w:rPr>
        <w:tab/>
        <w:t xml:space="preserve">be filed </w:t>
      </w:r>
      <w:r w:rsidRPr="00B40A77">
        <w:rPr>
          <w:color w:val="000000" w:themeColor="text1"/>
          <w:lang w:val="en-US"/>
        </w:rPr>
        <w:t>in a sealed envelope marked with the title and case number of the proceeding, a description of the material and the name of the party producing it;</w:t>
      </w:r>
    </w:p>
    <w:p w14:paraId="165E110C" w14:textId="77777777" w:rsidR="00126603" w:rsidRPr="00B40A77" w:rsidRDefault="00126603" w:rsidP="004510C4">
      <w:pPr>
        <w:pStyle w:val="Doublehangindent"/>
        <w:rPr>
          <w:color w:val="000000" w:themeColor="text1"/>
        </w:rPr>
      </w:pPr>
      <w:r w:rsidRPr="00B40A77">
        <w:rPr>
          <w:color w:val="000000" w:themeColor="text1"/>
        </w:rPr>
        <w:t>(b)</w:t>
      </w:r>
      <w:r w:rsidRPr="00B40A77">
        <w:rPr>
          <w:color w:val="000000" w:themeColor="text1"/>
        </w:rPr>
        <w:tab/>
        <w:t>be accompanied by a document identifying any conditions imposed by the prosecution under section 67I of the Evidence Act on access of the defence to the material;</w:t>
      </w:r>
    </w:p>
    <w:p w14:paraId="31C0BB26" w14:textId="77777777" w:rsidR="00126603" w:rsidRPr="00B40A77" w:rsidRDefault="00126603" w:rsidP="004510C4">
      <w:pPr>
        <w:pStyle w:val="Doublehangindent"/>
        <w:rPr>
          <w:color w:val="000000" w:themeColor="text1"/>
          <w:lang w:val="en-US"/>
        </w:rPr>
      </w:pPr>
      <w:r w:rsidRPr="00B40A77">
        <w:rPr>
          <w:color w:val="000000" w:themeColor="text1"/>
        </w:rPr>
        <w:t>(c)</w:t>
      </w:r>
      <w:r w:rsidRPr="00B40A77">
        <w:rPr>
          <w:color w:val="000000" w:themeColor="text1"/>
        </w:rPr>
        <w:tab/>
        <w:t xml:space="preserve">if and to the extent that it comprises electronic material, be contained on a </w:t>
      </w:r>
      <w:r w:rsidRPr="00B40A77">
        <w:rPr>
          <w:color w:val="000000" w:themeColor="text1"/>
          <w:lang w:val="en-US"/>
        </w:rPr>
        <w:t>USB drive in the sealed envelope and accompanied by any instructions or code needed to access it.</w:t>
      </w:r>
    </w:p>
    <w:p w14:paraId="49D866B6" w14:textId="3C2EE67E" w:rsidR="00126603" w:rsidRPr="00B40A77" w:rsidRDefault="00126603" w:rsidP="004510C4">
      <w:pPr>
        <w:pStyle w:val="Doublehangindent"/>
        <w:ind w:left="1134"/>
        <w:rPr>
          <w:color w:val="000000" w:themeColor="text1"/>
        </w:rPr>
      </w:pPr>
      <w:r w:rsidRPr="00B40A77">
        <w:rPr>
          <w:color w:val="000000" w:themeColor="text1"/>
          <w:lang w:val="en-US"/>
        </w:rPr>
        <w:t>(5)</w:t>
      </w:r>
      <w:r w:rsidRPr="00B40A77">
        <w:rPr>
          <w:color w:val="000000" w:themeColor="text1"/>
          <w:lang w:val="en-US"/>
        </w:rPr>
        <w:tab/>
        <w:t xml:space="preserve">A party who files </w:t>
      </w:r>
      <w:hyperlink w:anchor="_2.1—Definitions" w:history="1">
        <w:r w:rsidR="00FC7ED7" w:rsidRPr="00B40A77">
          <w:rPr>
            <w:rStyle w:val="Hyperlink"/>
            <w:color w:val="000000" w:themeColor="text1"/>
          </w:rPr>
          <w:t>sensitive</w:t>
        </w:r>
        <w:r w:rsidRPr="00B40A77">
          <w:rPr>
            <w:rStyle w:val="Hyperlink"/>
            <w:color w:val="000000" w:themeColor="text1"/>
          </w:rPr>
          <w:t xml:space="preserve"> material</w:t>
        </w:r>
      </w:hyperlink>
      <w:r w:rsidRPr="00B40A77">
        <w:rPr>
          <w:rStyle w:val="Hyperlink"/>
          <w:color w:val="000000" w:themeColor="text1"/>
        </w:rPr>
        <w:t xml:space="preserve"> </w:t>
      </w:r>
      <w:r w:rsidRPr="00B40A77">
        <w:rPr>
          <w:color w:val="000000" w:themeColor="text1"/>
          <w:lang w:val="en-US"/>
        </w:rPr>
        <w:t xml:space="preserve">under this rule must, </w:t>
      </w:r>
      <w:r w:rsidRPr="00B40A77">
        <w:rPr>
          <w:color w:val="000000" w:themeColor="text1"/>
        </w:rPr>
        <w:t xml:space="preserve">upon request by the </w:t>
      </w:r>
      <w:hyperlink w:anchor="_2.1—Definitions" w:history="1">
        <w:r w:rsidRPr="00B40A77">
          <w:rPr>
            <w:rStyle w:val="Hyperlink"/>
            <w:color w:val="000000" w:themeColor="text1"/>
            <w:lang w:val="en-US"/>
          </w:rPr>
          <w:t>Principal Registrar</w:t>
        </w:r>
      </w:hyperlink>
      <w:r w:rsidRPr="00B40A77">
        <w:rPr>
          <w:color w:val="000000" w:themeColor="text1"/>
        </w:rPr>
        <w:t>, provide any special computer software or hardware required to access the material.</w:t>
      </w:r>
    </w:p>
    <w:p w14:paraId="0DE94004" w14:textId="247E70DB" w:rsidR="00126603" w:rsidRPr="00B40A77" w:rsidRDefault="00126603" w:rsidP="004510C4">
      <w:pPr>
        <w:pStyle w:val="Hangindent"/>
        <w:rPr>
          <w:color w:val="000000" w:themeColor="text1"/>
        </w:rPr>
      </w:pPr>
      <w:r w:rsidRPr="00B40A77">
        <w:rPr>
          <w:color w:val="000000" w:themeColor="text1"/>
          <w:lang w:val="en-US"/>
        </w:rPr>
        <w:t>(6)</w:t>
      </w:r>
      <w:r w:rsidRPr="00B40A77">
        <w:rPr>
          <w:color w:val="000000" w:themeColor="text1"/>
          <w:lang w:val="en-US"/>
        </w:rPr>
        <w:tab/>
        <w:t xml:space="preserve">If, after </w:t>
      </w:r>
      <w:hyperlink w:anchor="_2.1—Definitions" w:history="1">
        <w:r w:rsidR="00FC7ED7"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lang w:val="en-US"/>
        </w:rPr>
        <w:t xml:space="preserve"> is filed, the prosecution determines to impose </w:t>
      </w:r>
      <w:r w:rsidRPr="00B40A77">
        <w:rPr>
          <w:color w:val="000000" w:themeColor="text1"/>
        </w:rPr>
        <w:t xml:space="preserve">any conditions under section </w:t>
      </w:r>
      <w:r w:rsidRPr="00B40A77">
        <w:rPr>
          <w:color w:val="000000" w:themeColor="text1"/>
          <w:lang w:val="en-US"/>
        </w:rPr>
        <w:t xml:space="preserve">67I of the Evidence Act </w:t>
      </w:r>
      <w:r w:rsidRPr="00B40A77">
        <w:rPr>
          <w:color w:val="000000" w:themeColor="text1"/>
        </w:rPr>
        <w:t xml:space="preserve">on access of the defence to the </w:t>
      </w:r>
      <w:hyperlink w:anchor="_2.1—Definitions" w:history="1">
        <w:r w:rsidR="00FC7ED7" w:rsidRPr="00B40A77">
          <w:rPr>
            <w:rStyle w:val="Hyperlink"/>
            <w:color w:val="000000" w:themeColor="text1"/>
          </w:rPr>
          <w:t>sensitive</w:t>
        </w:r>
        <w:r w:rsidRPr="00B40A77">
          <w:rPr>
            <w:rStyle w:val="Hyperlink"/>
            <w:color w:val="000000" w:themeColor="text1"/>
          </w:rPr>
          <w:t xml:space="preserve"> material</w:t>
        </w:r>
      </w:hyperlink>
      <w:r w:rsidRPr="00B40A77">
        <w:rPr>
          <w:i/>
          <w:iCs/>
          <w:color w:val="000000" w:themeColor="text1"/>
        </w:rPr>
        <w:t>,</w:t>
      </w:r>
      <w:r w:rsidRPr="00B40A77">
        <w:rPr>
          <w:color w:val="000000" w:themeColor="text1"/>
        </w:rPr>
        <w:t xml:space="preserve"> the prosecution must inform the </w:t>
      </w:r>
      <w:hyperlink w:anchor="_2.1—Definitions" w:history="1">
        <w:r w:rsidRPr="00B40A77">
          <w:rPr>
            <w:rStyle w:val="Hyperlink"/>
            <w:color w:val="000000" w:themeColor="text1"/>
            <w:lang w:val="en-US"/>
          </w:rPr>
          <w:t>Principal Registrar</w:t>
        </w:r>
      </w:hyperlink>
      <w:r w:rsidRPr="00B40A77">
        <w:rPr>
          <w:color w:val="000000" w:themeColor="text1"/>
        </w:rPr>
        <w:t xml:space="preserve"> as soon as practicable.</w:t>
      </w:r>
    </w:p>
    <w:p w14:paraId="7FA32843" w14:textId="5D1611F0" w:rsidR="004510C4" w:rsidRPr="00B40A77" w:rsidRDefault="004510C4" w:rsidP="004510C4">
      <w:pPr>
        <w:pStyle w:val="Heading4"/>
        <w:rPr>
          <w:color w:val="000000" w:themeColor="text1"/>
        </w:rPr>
      </w:pPr>
      <w:bookmarkStart w:id="197" w:name="_Toc175238819"/>
      <w:r w:rsidRPr="00B40A77">
        <w:rPr>
          <w:color w:val="000000" w:themeColor="text1"/>
        </w:rPr>
        <w:t xml:space="preserve">28.13—Other production of </w:t>
      </w:r>
      <w:r w:rsidR="00FC7ED7" w:rsidRPr="00B40A77">
        <w:rPr>
          <w:color w:val="000000" w:themeColor="text1"/>
        </w:rPr>
        <w:t>sensitive</w:t>
      </w:r>
      <w:r w:rsidRPr="00B40A77">
        <w:rPr>
          <w:color w:val="000000" w:themeColor="text1"/>
        </w:rPr>
        <w:t xml:space="preserve"> material</w:t>
      </w:r>
      <w:bookmarkEnd w:id="197"/>
    </w:p>
    <w:p w14:paraId="314C8668" w14:textId="21BC473E" w:rsidR="004510C4" w:rsidRPr="00B40A77" w:rsidRDefault="004510C4" w:rsidP="004510C4">
      <w:pPr>
        <w:pStyle w:val="Hangindent"/>
        <w:rPr>
          <w:color w:val="000000" w:themeColor="text1"/>
        </w:rPr>
      </w:pPr>
      <w:r w:rsidRPr="00B40A77">
        <w:rPr>
          <w:color w:val="000000" w:themeColor="text1"/>
        </w:rPr>
        <w:t>(1)</w:t>
      </w:r>
      <w:r w:rsidRPr="00B40A77">
        <w:rPr>
          <w:color w:val="000000" w:themeColor="text1"/>
        </w:rPr>
        <w:tab/>
        <w:t xml:space="preserve">This rule applies if a party tenders or otherwise produces to the Court </w:t>
      </w:r>
      <w:hyperlink w:anchor="_2.1—Definitions" w:history="1">
        <w:r w:rsidR="00FC7ED7" w:rsidRPr="00B40A77">
          <w:rPr>
            <w:rStyle w:val="Hyperlink"/>
            <w:color w:val="000000" w:themeColor="text1"/>
          </w:rPr>
          <w:t>sensitive</w:t>
        </w:r>
        <w:r w:rsidRPr="00B40A77">
          <w:rPr>
            <w:rStyle w:val="Hyperlink"/>
            <w:color w:val="000000" w:themeColor="text1"/>
          </w:rPr>
          <w:t xml:space="preserve"> material</w:t>
        </w:r>
      </w:hyperlink>
      <w:r w:rsidRPr="00B40A77">
        <w:rPr>
          <w:rStyle w:val="Hyperlink"/>
          <w:color w:val="000000" w:themeColor="text1"/>
        </w:rPr>
        <w:t xml:space="preserve"> other than by filing it under rule 28.12</w:t>
      </w:r>
      <w:r w:rsidRPr="00B40A77">
        <w:rPr>
          <w:color w:val="000000" w:themeColor="text1"/>
        </w:rPr>
        <w:t>.</w:t>
      </w:r>
    </w:p>
    <w:p w14:paraId="5FCD1C1F" w14:textId="7C0A24A0" w:rsidR="004510C4" w:rsidRPr="00B40A77" w:rsidRDefault="004510C4" w:rsidP="004510C4">
      <w:pPr>
        <w:pStyle w:val="Hangindent"/>
        <w:rPr>
          <w:color w:val="000000" w:themeColor="text1"/>
        </w:rPr>
      </w:pPr>
      <w:r w:rsidRPr="00B40A77">
        <w:rPr>
          <w:color w:val="000000" w:themeColor="text1"/>
        </w:rPr>
        <w:t>(2)</w:t>
      </w:r>
      <w:r w:rsidRPr="00B40A77">
        <w:rPr>
          <w:color w:val="000000" w:themeColor="text1"/>
        </w:rPr>
        <w:tab/>
      </w:r>
      <w:r w:rsidR="00FC7ED7" w:rsidRPr="00B40A77">
        <w:rPr>
          <w:rStyle w:val="Hyperlink"/>
          <w:color w:val="000000" w:themeColor="text1"/>
        </w:rPr>
        <w:t>Sensitive</w:t>
      </w:r>
      <w:r w:rsidRPr="00B40A77">
        <w:rPr>
          <w:rStyle w:val="Hyperlink"/>
          <w:color w:val="000000" w:themeColor="text1"/>
        </w:rPr>
        <w:t xml:space="preserve"> material</w:t>
      </w:r>
      <w:r w:rsidRPr="00B40A77">
        <w:rPr>
          <w:color w:val="000000" w:themeColor="text1"/>
        </w:rPr>
        <w:t xml:space="preserve"> tendered or produced to the Court under this rule must—</w:t>
      </w:r>
    </w:p>
    <w:p w14:paraId="5ABCB105" w14:textId="77777777" w:rsidR="004510C4" w:rsidRPr="00B40A77" w:rsidRDefault="004510C4" w:rsidP="004510C4">
      <w:pPr>
        <w:pStyle w:val="Doublehangindent"/>
        <w:rPr>
          <w:color w:val="000000" w:themeColor="text1"/>
        </w:rPr>
      </w:pPr>
      <w:r w:rsidRPr="00B40A77">
        <w:rPr>
          <w:color w:val="000000" w:themeColor="text1"/>
        </w:rPr>
        <w:t>(a)</w:t>
      </w:r>
      <w:r w:rsidRPr="00B40A77">
        <w:rPr>
          <w:color w:val="000000" w:themeColor="text1"/>
        </w:rPr>
        <w:tab/>
        <w:t xml:space="preserve">be produced </w:t>
      </w:r>
      <w:r w:rsidRPr="00B40A77">
        <w:rPr>
          <w:color w:val="000000" w:themeColor="text1"/>
          <w:lang w:val="en-US"/>
        </w:rPr>
        <w:t>in a sealed envelope marked with the title and case number of the proceeding, a description of the material and the name of the party producing it;</w:t>
      </w:r>
    </w:p>
    <w:p w14:paraId="13DFEBE7" w14:textId="77777777" w:rsidR="004510C4" w:rsidRPr="00B40A77" w:rsidRDefault="004510C4" w:rsidP="004510C4">
      <w:pPr>
        <w:pStyle w:val="Doublehangindent"/>
        <w:rPr>
          <w:color w:val="000000" w:themeColor="text1"/>
        </w:rPr>
      </w:pPr>
      <w:r w:rsidRPr="00B40A77">
        <w:rPr>
          <w:color w:val="000000" w:themeColor="text1"/>
        </w:rPr>
        <w:t>(b)</w:t>
      </w:r>
      <w:r w:rsidRPr="00B40A77">
        <w:rPr>
          <w:color w:val="000000" w:themeColor="text1"/>
        </w:rPr>
        <w:tab/>
        <w:t>be accompanied by a document identifying any conditions imposed by the prosecution under section 67I of the Evidence Act on access of the defence to the material;</w:t>
      </w:r>
    </w:p>
    <w:p w14:paraId="1069C3A7" w14:textId="77777777" w:rsidR="004510C4" w:rsidRPr="00B40A77" w:rsidRDefault="004510C4" w:rsidP="004510C4">
      <w:pPr>
        <w:pStyle w:val="Doublehangindent"/>
        <w:rPr>
          <w:color w:val="000000" w:themeColor="text1"/>
          <w:lang w:val="en-US"/>
        </w:rPr>
      </w:pPr>
      <w:r w:rsidRPr="00B40A77">
        <w:rPr>
          <w:color w:val="000000" w:themeColor="text1"/>
        </w:rPr>
        <w:t>(c)</w:t>
      </w:r>
      <w:r w:rsidRPr="00B40A77">
        <w:rPr>
          <w:color w:val="000000" w:themeColor="text1"/>
        </w:rPr>
        <w:tab/>
        <w:t xml:space="preserve">if and to the extent that it comprises electronic material, be contained on a </w:t>
      </w:r>
      <w:r w:rsidRPr="00B40A77">
        <w:rPr>
          <w:color w:val="000000" w:themeColor="text1"/>
          <w:lang w:val="en-US"/>
        </w:rPr>
        <w:t>USB drive in the sealed envelope and accompanied by any instructions or code needed to access it.</w:t>
      </w:r>
    </w:p>
    <w:p w14:paraId="4483A320" w14:textId="4F05EC84" w:rsidR="004510C4" w:rsidRPr="00B40A77" w:rsidRDefault="004510C4" w:rsidP="004510C4">
      <w:pPr>
        <w:pStyle w:val="Doublehangindent"/>
        <w:ind w:left="1134"/>
        <w:rPr>
          <w:color w:val="000000" w:themeColor="text1"/>
        </w:rPr>
      </w:pPr>
      <w:r w:rsidRPr="00B40A77">
        <w:rPr>
          <w:color w:val="000000" w:themeColor="text1"/>
          <w:lang w:val="en-US"/>
        </w:rPr>
        <w:t>(3)</w:t>
      </w:r>
      <w:r w:rsidRPr="00B40A77">
        <w:rPr>
          <w:color w:val="000000" w:themeColor="text1"/>
          <w:lang w:val="en-US"/>
        </w:rPr>
        <w:tab/>
        <w:t xml:space="preserve">A party who produces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00100E42" w:rsidRPr="00B40A77">
        <w:rPr>
          <w:rStyle w:val="Hyperlink"/>
          <w:color w:val="000000" w:themeColor="text1"/>
        </w:rPr>
        <w:t xml:space="preserve"> </w:t>
      </w:r>
      <w:r w:rsidRPr="00B40A77">
        <w:rPr>
          <w:color w:val="000000" w:themeColor="text1"/>
          <w:lang w:val="en-US"/>
        </w:rPr>
        <w:t xml:space="preserve">under this rule must, </w:t>
      </w:r>
      <w:r w:rsidRPr="00B40A77">
        <w:rPr>
          <w:color w:val="000000" w:themeColor="text1"/>
        </w:rPr>
        <w:t>upon request by the Court, provide any special computer software or hardware required to access the material.</w:t>
      </w:r>
    </w:p>
    <w:p w14:paraId="0915EB14" w14:textId="2C9EA8B7" w:rsidR="004510C4" w:rsidRPr="00B40A77" w:rsidRDefault="004510C4" w:rsidP="004510C4">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after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lang w:val="en-US"/>
        </w:rPr>
        <w:t xml:space="preserve"> is produced, the prosecution determines to impose </w:t>
      </w:r>
      <w:r w:rsidRPr="00B40A77">
        <w:rPr>
          <w:color w:val="000000" w:themeColor="text1"/>
        </w:rPr>
        <w:t xml:space="preserve">any conditions under </w:t>
      </w:r>
      <w:r w:rsidRPr="00B40A77">
        <w:rPr>
          <w:color w:val="000000" w:themeColor="text1"/>
          <w:lang w:val="en-US"/>
        </w:rPr>
        <w:t xml:space="preserve">section 67I of the Evidence Act </w:t>
      </w:r>
      <w:r w:rsidRPr="00B40A77">
        <w:rPr>
          <w:color w:val="000000" w:themeColor="text1"/>
        </w:rPr>
        <w:t xml:space="preserve">on access of the defence to the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i/>
          <w:iCs/>
          <w:color w:val="000000" w:themeColor="text1"/>
        </w:rPr>
        <w:t>,</w:t>
      </w:r>
      <w:r w:rsidRPr="00B40A77">
        <w:rPr>
          <w:color w:val="000000" w:themeColor="text1"/>
        </w:rPr>
        <w:t xml:space="preserve"> the prosecution must inform </w:t>
      </w:r>
      <w:r w:rsidRPr="00B40A77">
        <w:rPr>
          <w:color w:val="000000" w:themeColor="text1"/>
          <w:lang w:val="en-US"/>
        </w:rPr>
        <w:t xml:space="preserve">the </w:t>
      </w:r>
      <w:hyperlink w:anchor="_2.1—Definitions" w:history="1">
        <w:r w:rsidRPr="00B40A77">
          <w:rPr>
            <w:color w:val="000000" w:themeColor="text1"/>
          </w:rPr>
          <w:t>Court</w:t>
        </w:r>
      </w:hyperlink>
      <w:r w:rsidRPr="00B40A77">
        <w:rPr>
          <w:color w:val="000000" w:themeColor="text1"/>
          <w:lang w:val="en-US"/>
        </w:rPr>
        <w:t xml:space="preserve"> of as soon</w:t>
      </w:r>
      <w:r w:rsidRPr="00B40A77">
        <w:rPr>
          <w:color w:val="000000" w:themeColor="text1"/>
        </w:rPr>
        <w:t xml:space="preserve"> as practicable.</w:t>
      </w:r>
    </w:p>
    <w:p w14:paraId="64A90A83" w14:textId="6E31DCA9" w:rsidR="004510C4" w:rsidRPr="00B40A77" w:rsidRDefault="004510C4">
      <w:pPr>
        <w:spacing w:before="0" w:after="160" w:line="259" w:lineRule="auto"/>
        <w:rPr>
          <w:color w:val="000000" w:themeColor="text1"/>
          <w:lang w:val="en-US"/>
        </w:rPr>
      </w:pPr>
      <w:r w:rsidRPr="00B40A77">
        <w:rPr>
          <w:color w:val="000000" w:themeColor="text1"/>
          <w:lang w:val="en-US"/>
        </w:rPr>
        <w:br w:type="page"/>
      </w:r>
    </w:p>
    <w:p w14:paraId="4F4E74C3" w14:textId="5F3A34F2" w:rsidR="004510C4" w:rsidRPr="00B40A77" w:rsidRDefault="004510C4" w:rsidP="004510C4">
      <w:pPr>
        <w:pStyle w:val="Heading4"/>
        <w:rPr>
          <w:color w:val="000000" w:themeColor="text1"/>
        </w:rPr>
      </w:pPr>
      <w:bookmarkStart w:id="198" w:name="_Toc175238820"/>
      <w:r w:rsidRPr="00B40A77">
        <w:rPr>
          <w:color w:val="000000" w:themeColor="text1"/>
        </w:rPr>
        <w:lastRenderedPageBreak/>
        <w:t xml:space="preserve">28.14—Access to </w:t>
      </w:r>
      <w:r w:rsidR="00100E42" w:rsidRPr="00B40A77">
        <w:rPr>
          <w:color w:val="000000" w:themeColor="text1"/>
        </w:rPr>
        <w:t>sensitive</w:t>
      </w:r>
      <w:r w:rsidRPr="00B40A77">
        <w:rPr>
          <w:color w:val="000000" w:themeColor="text1"/>
        </w:rPr>
        <w:t xml:space="preserve"> material</w:t>
      </w:r>
      <w:bookmarkEnd w:id="198"/>
    </w:p>
    <w:p w14:paraId="0FE22CA4" w14:textId="5DBB2C9A" w:rsidR="004510C4" w:rsidRPr="00B40A77" w:rsidRDefault="004510C4" w:rsidP="00D07A52">
      <w:pPr>
        <w:pStyle w:val="Hangindent"/>
        <w:rPr>
          <w:color w:val="000000" w:themeColor="text1"/>
        </w:rPr>
      </w:pPr>
      <w:r w:rsidRPr="00B40A77">
        <w:rPr>
          <w:color w:val="000000" w:themeColor="text1"/>
        </w:rPr>
        <w:t>(1)</w:t>
      </w:r>
      <w:r w:rsidRPr="00B40A77">
        <w:rPr>
          <w:color w:val="000000" w:themeColor="text1"/>
        </w:rPr>
        <w:tab/>
        <w:t xml:space="preserve">The Court will keep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and any relative code in secure storage.</w:t>
      </w:r>
    </w:p>
    <w:p w14:paraId="72D75436" w14:textId="70AAEBA8" w:rsidR="004510C4" w:rsidRPr="00B40A77" w:rsidRDefault="004510C4" w:rsidP="00D07A52">
      <w:pPr>
        <w:pStyle w:val="Hangindent"/>
        <w:rPr>
          <w:color w:val="000000" w:themeColor="text1"/>
        </w:rPr>
      </w:pPr>
      <w:r w:rsidRPr="00B40A77">
        <w:rPr>
          <w:color w:val="000000" w:themeColor="text1"/>
        </w:rPr>
        <w:t>(2)</w:t>
      </w:r>
      <w:r w:rsidRPr="00B40A77">
        <w:rPr>
          <w:color w:val="000000" w:themeColor="text1"/>
        </w:rPr>
        <w:tab/>
        <w:t xml:space="preserve">Subject to any statutory provision to the contrary,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and any relative code </w:t>
      </w:r>
      <w:r w:rsidR="00100E42" w:rsidRPr="00B40A77">
        <w:rPr>
          <w:color w:val="000000" w:themeColor="text1"/>
        </w:rPr>
        <w:t xml:space="preserve">kept by the Court </w:t>
      </w:r>
      <w:r w:rsidRPr="00B40A77">
        <w:rPr>
          <w:color w:val="000000" w:themeColor="text1"/>
        </w:rPr>
        <w:t>may only be accessed</w:t>
      </w:r>
      <w:r w:rsidR="00100E42" w:rsidRPr="00B40A77">
        <w:rPr>
          <w:color w:val="000000" w:themeColor="text1"/>
        </w:rPr>
        <w:t xml:space="preserve"> by a party or third person</w:t>
      </w:r>
      <w:r w:rsidRPr="00B40A77">
        <w:rPr>
          <w:color w:val="000000" w:themeColor="text1"/>
        </w:rPr>
        <w:t>—</w:t>
      </w:r>
    </w:p>
    <w:p w14:paraId="49C68424" w14:textId="77777777" w:rsidR="004510C4" w:rsidRPr="00B40A77" w:rsidRDefault="004510C4" w:rsidP="00D07A52">
      <w:pPr>
        <w:pStyle w:val="Doublehangindent"/>
        <w:rPr>
          <w:color w:val="000000" w:themeColor="text1"/>
        </w:rPr>
      </w:pPr>
      <w:r w:rsidRPr="00B40A77">
        <w:rPr>
          <w:color w:val="000000" w:themeColor="text1"/>
        </w:rPr>
        <w:t>(a)</w:t>
      </w:r>
      <w:r w:rsidRPr="00B40A77">
        <w:rPr>
          <w:color w:val="000000" w:themeColor="text1"/>
        </w:rPr>
        <w:tab/>
        <w:t>by order of the Court;</w:t>
      </w:r>
    </w:p>
    <w:p w14:paraId="5FC841E7" w14:textId="77777777" w:rsidR="004510C4" w:rsidRPr="00B40A77" w:rsidRDefault="004510C4" w:rsidP="00D07A52">
      <w:pPr>
        <w:pStyle w:val="Doublehangindent"/>
        <w:rPr>
          <w:color w:val="000000" w:themeColor="text1"/>
        </w:rPr>
      </w:pPr>
      <w:r w:rsidRPr="00B40A77">
        <w:rPr>
          <w:color w:val="000000" w:themeColor="text1"/>
        </w:rPr>
        <w:t>(b)</w:t>
      </w:r>
      <w:r w:rsidRPr="00B40A77">
        <w:rPr>
          <w:color w:val="000000" w:themeColor="text1"/>
        </w:rPr>
        <w:tab/>
        <w:t>for the purpose of the proceeding in which the material is received into the custody of the Court; and</w:t>
      </w:r>
    </w:p>
    <w:p w14:paraId="2095192E" w14:textId="681F7275" w:rsidR="004510C4" w:rsidRPr="00B40A77" w:rsidRDefault="004510C4" w:rsidP="00D07A52">
      <w:pPr>
        <w:pStyle w:val="Doublehangindent"/>
        <w:rPr>
          <w:color w:val="000000" w:themeColor="text1"/>
        </w:rPr>
      </w:pPr>
      <w:r w:rsidRPr="00B40A77">
        <w:rPr>
          <w:color w:val="000000" w:themeColor="text1"/>
        </w:rPr>
        <w:t>(c)</w:t>
      </w:r>
      <w:r w:rsidRPr="00B40A77">
        <w:rPr>
          <w:color w:val="000000" w:themeColor="text1"/>
        </w:rPr>
        <w:tab/>
        <w:t xml:space="preserve">if in electronic format—on a computer caused to be maintained by the </w:t>
      </w:r>
      <w:hyperlink w:anchor="_2.1—Definitions" w:history="1">
        <w:r w:rsidRPr="00B40A77">
          <w:rPr>
            <w:rStyle w:val="Hyperlink"/>
            <w:color w:val="000000" w:themeColor="text1"/>
            <w:lang w:val="en-US"/>
          </w:rPr>
          <w:t>Principal Registrar</w:t>
        </w:r>
      </w:hyperlink>
      <w:r w:rsidRPr="00B40A77">
        <w:rPr>
          <w:rStyle w:val="Hyperlink"/>
          <w:color w:val="000000" w:themeColor="text1"/>
          <w:lang w:val="en-US"/>
        </w:rPr>
        <w:t>,</w:t>
      </w:r>
      <w:r w:rsidRPr="00B40A77">
        <w:rPr>
          <w:color w:val="000000" w:themeColor="text1"/>
        </w:rPr>
        <w:t xml:space="preserve"> or provided by the producing party, for that purpose.</w:t>
      </w:r>
    </w:p>
    <w:p w14:paraId="12F3C085" w14:textId="77777777" w:rsidR="004510C4" w:rsidRPr="00B40A77" w:rsidRDefault="004510C4" w:rsidP="00D07A52">
      <w:pPr>
        <w:pStyle w:val="Hangindent"/>
        <w:ind w:left="1985" w:hanging="1418"/>
        <w:rPr>
          <w:i/>
          <w:iCs/>
          <w:color w:val="000000" w:themeColor="text1"/>
        </w:rPr>
      </w:pPr>
      <w:r w:rsidRPr="00B40A77">
        <w:rPr>
          <w:i/>
          <w:iCs/>
          <w:color w:val="000000" w:themeColor="text1"/>
        </w:rPr>
        <w:t>Higher Courts</w:t>
      </w:r>
    </w:p>
    <w:p w14:paraId="2C2D7ABF" w14:textId="342CD907" w:rsidR="004510C4" w:rsidRPr="00B40A77" w:rsidRDefault="004510C4" w:rsidP="00D07A52">
      <w:pPr>
        <w:pStyle w:val="Hangindent"/>
        <w:rPr>
          <w:color w:val="000000" w:themeColor="text1"/>
        </w:rPr>
      </w:pPr>
      <w:r w:rsidRPr="00B40A77">
        <w:rPr>
          <w:color w:val="000000" w:themeColor="text1"/>
        </w:rPr>
        <w:t>(3)</w:t>
      </w:r>
      <w:r w:rsidRPr="00B40A77">
        <w:rPr>
          <w:color w:val="000000" w:themeColor="text1"/>
        </w:rPr>
        <w:tab/>
        <w:t xml:space="preserve">If copies of exhibits containing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are provided during a trial to assist the jury, at the conclusion of the trial, the </w:t>
      </w:r>
      <w:hyperlink w:anchor="_2.1—Definitions" w:history="1">
        <w:r w:rsidRPr="00B40A77">
          <w:rPr>
            <w:rStyle w:val="Hyperlink"/>
            <w:color w:val="000000" w:themeColor="text1"/>
          </w:rPr>
          <w:t>Sheriff</w:t>
        </w:r>
      </w:hyperlink>
      <w:r w:rsidRPr="00B40A77">
        <w:rPr>
          <w:color w:val="000000" w:themeColor="text1"/>
        </w:rPr>
        <w:t xml:space="preserve"> must ensure that all </w:t>
      </w:r>
      <w:r w:rsidR="00100E42" w:rsidRPr="00B40A77">
        <w:rPr>
          <w:color w:val="000000" w:themeColor="text1"/>
        </w:rPr>
        <w:t xml:space="preserve">of the </w:t>
      </w:r>
      <w:r w:rsidRPr="00B40A77">
        <w:rPr>
          <w:color w:val="000000" w:themeColor="text1"/>
        </w:rPr>
        <w:t xml:space="preserve">copies of the </w:t>
      </w:r>
      <w:hyperlink w:anchor="_2.1—Definitions" w:history="1">
        <w:r w:rsidR="00100E42"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are retrieved from the jury and delivered to the </w:t>
      </w:r>
      <w:hyperlink w:anchor="_2.1—Definitions" w:history="1">
        <w:r w:rsidRPr="00B40A77">
          <w:rPr>
            <w:rStyle w:val="Hyperlink"/>
            <w:color w:val="000000" w:themeColor="text1"/>
            <w:lang w:val="en-US"/>
          </w:rPr>
          <w:t>Principal Registrar</w:t>
        </w:r>
      </w:hyperlink>
      <w:r w:rsidR="00F02A2E" w:rsidRPr="00B40A77">
        <w:rPr>
          <w:color w:val="000000" w:themeColor="text1"/>
        </w:rPr>
        <w:t>.</w:t>
      </w:r>
    </w:p>
    <w:p w14:paraId="100C1017" w14:textId="77777777" w:rsidR="004510C4" w:rsidRPr="00B40A77" w:rsidRDefault="004510C4" w:rsidP="00D07A52">
      <w:pPr>
        <w:pStyle w:val="Hangindent"/>
        <w:ind w:left="1985" w:hanging="1418"/>
        <w:rPr>
          <w:i/>
          <w:iCs/>
          <w:color w:val="000000" w:themeColor="text1"/>
        </w:rPr>
      </w:pPr>
      <w:r w:rsidRPr="00B40A77">
        <w:rPr>
          <w:i/>
          <w:iCs/>
          <w:color w:val="000000" w:themeColor="text1"/>
        </w:rPr>
        <w:t>All Courts</w:t>
      </w:r>
    </w:p>
    <w:p w14:paraId="39D1F84E" w14:textId="7C1DE522" w:rsidR="004510C4" w:rsidRPr="00B40A77" w:rsidRDefault="004510C4" w:rsidP="00D07A52">
      <w:pPr>
        <w:pStyle w:val="Hangindent"/>
        <w:rPr>
          <w:color w:val="000000" w:themeColor="text1"/>
        </w:rPr>
      </w:pPr>
      <w:r w:rsidRPr="00B40A77">
        <w:rPr>
          <w:color w:val="000000" w:themeColor="text1"/>
        </w:rPr>
        <w:t>(4)</w:t>
      </w:r>
      <w:r w:rsidRPr="00B40A77">
        <w:rPr>
          <w:color w:val="000000" w:themeColor="text1"/>
        </w:rPr>
        <w:tab/>
        <w:t xml:space="preserve">When access to the </w:t>
      </w:r>
      <w:hyperlink w:anchor="_2.1—Definitions" w:history="1">
        <w:r w:rsidR="00F02A2E"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is no longer required for the purpose of the proceeding, the material and any relative code are to be returned to the </w:t>
      </w:r>
      <w:hyperlink w:anchor="_2.1—Definitions" w:history="1">
        <w:r w:rsidRPr="00B40A77">
          <w:rPr>
            <w:rStyle w:val="Hyperlink"/>
            <w:color w:val="000000" w:themeColor="text1"/>
            <w:lang w:val="en-US"/>
          </w:rPr>
          <w:t>Principal Registrar</w:t>
        </w:r>
      </w:hyperlink>
      <w:r w:rsidRPr="00B40A77">
        <w:rPr>
          <w:color w:val="000000" w:themeColor="text1"/>
        </w:rPr>
        <w:t xml:space="preserve"> and the </w:t>
      </w:r>
      <w:hyperlink w:anchor="_2.1—Definitions" w:history="1">
        <w:r w:rsidRPr="00B40A77">
          <w:rPr>
            <w:rStyle w:val="Hyperlink"/>
            <w:color w:val="000000" w:themeColor="text1"/>
            <w:lang w:val="en-US"/>
          </w:rPr>
          <w:t>Principal Registrar</w:t>
        </w:r>
      </w:hyperlink>
      <w:r w:rsidRPr="00B40A77">
        <w:rPr>
          <w:color w:val="000000" w:themeColor="text1"/>
        </w:rPr>
        <w:t xml:space="preserve"> must</w:t>
      </w:r>
      <w:r w:rsidRPr="00B40A77">
        <w:rPr>
          <w:color w:val="000000" w:themeColor="text1"/>
          <w:lang w:val="en-US"/>
        </w:rPr>
        <w:t>—</w:t>
      </w:r>
    </w:p>
    <w:p w14:paraId="472F99C8" w14:textId="77777777" w:rsidR="004510C4" w:rsidRPr="00B40A77" w:rsidRDefault="004510C4" w:rsidP="00D07A52">
      <w:pPr>
        <w:pStyle w:val="Hangindent"/>
        <w:ind w:left="1701"/>
        <w:rPr>
          <w:color w:val="000000" w:themeColor="text1"/>
        </w:rPr>
      </w:pPr>
      <w:r w:rsidRPr="00B40A77">
        <w:rPr>
          <w:color w:val="000000" w:themeColor="text1"/>
        </w:rPr>
        <w:t>(a)</w:t>
      </w:r>
      <w:r w:rsidRPr="00B40A77">
        <w:rPr>
          <w:color w:val="000000" w:themeColor="text1"/>
        </w:rPr>
        <w:tab/>
        <w:t>cause any images to be erased from all drives of the computer;</w:t>
      </w:r>
    </w:p>
    <w:p w14:paraId="082B7882" w14:textId="21EC5026" w:rsidR="004510C4" w:rsidRPr="00B40A77" w:rsidRDefault="004510C4" w:rsidP="00D07A52">
      <w:pPr>
        <w:pStyle w:val="Hangindent"/>
        <w:ind w:left="1701"/>
        <w:rPr>
          <w:color w:val="000000" w:themeColor="text1"/>
        </w:rPr>
      </w:pPr>
      <w:r w:rsidRPr="00B40A77">
        <w:rPr>
          <w:color w:val="000000" w:themeColor="text1"/>
        </w:rPr>
        <w:t>(b)</w:t>
      </w:r>
      <w:r w:rsidRPr="00B40A77">
        <w:rPr>
          <w:color w:val="000000" w:themeColor="text1"/>
        </w:rPr>
        <w:tab/>
        <w:t xml:space="preserve">cause the </w:t>
      </w:r>
      <w:hyperlink w:anchor="_2.1—Definitions" w:history="1">
        <w:r w:rsidR="00F02A2E"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and any relative code to be placed in a sealed envelope marked “Not to be opened except by order of a [Judge or Magistrate as the case may be]”; and</w:t>
      </w:r>
    </w:p>
    <w:p w14:paraId="06BAC775" w14:textId="77777777" w:rsidR="004510C4" w:rsidRPr="00B40A77" w:rsidRDefault="004510C4" w:rsidP="00D07A52">
      <w:pPr>
        <w:pStyle w:val="Hangindent"/>
        <w:ind w:left="1701"/>
        <w:rPr>
          <w:color w:val="000000" w:themeColor="text1"/>
        </w:rPr>
      </w:pPr>
      <w:r w:rsidRPr="00B40A77">
        <w:rPr>
          <w:color w:val="000000" w:themeColor="text1"/>
        </w:rPr>
        <w:t>(c)</w:t>
      </w:r>
      <w:r w:rsidRPr="00B40A77">
        <w:rPr>
          <w:color w:val="000000" w:themeColor="text1"/>
        </w:rPr>
        <w:tab/>
        <w:t>cause the envelope to be placed in secure storage.</w:t>
      </w:r>
    </w:p>
    <w:p w14:paraId="468277C5" w14:textId="79D1699D" w:rsidR="004510C4" w:rsidRPr="00B40A77" w:rsidRDefault="004510C4" w:rsidP="00D07A52">
      <w:pPr>
        <w:pStyle w:val="Hangindent"/>
        <w:rPr>
          <w:color w:val="000000" w:themeColor="text1"/>
        </w:rPr>
      </w:pPr>
      <w:r w:rsidRPr="00B40A77">
        <w:rPr>
          <w:color w:val="000000" w:themeColor="text1"/>
        </w:rPr>
        <w:t>(5)</w:t>
      </w:r>
      <w:r w:rsidRPr="00B40A77">
        <w:rPr>
          <w:b/>
          <w:color w:val="000000" w:themeColor="text1"/>
        </w:rPr>
        <w:tab/>
      </w:r>
      <w:r w:rsidRPr="00B40A77">
        <w:rPr>
          <w:color w:val="000000" w:themeColor="text1"/>
        </w:rPr>
        <w:t xml:space="preserve">Unless the Court otherwise orders, no later than six months after finalisation of the proceeding including any appeal, the </w:t>
      </w:r>
      <w:hyperlink w:anchor="_2.1—Definitions" w:history="1">
        <w:r w:rsidRPr="00B40A77">
          <w:rPr>
            <w:rStyle w:val="Hyperlink"/>
            <w:color w:val="000000" w:themeColor="text1"/>
            <w:lang w:val="en-US"/>
          </w:rPr>
          <w:t>Principal Registrar</w:t>
        </w:r>
      </w:hyperlink>
      <w:r w:rsidRPr="00B40A77">
        <w:rPr>
          <w:color w:val="000000" w:themeColor="text1"/>
        </w:rPr>
        <w:t xml:space="preserve"> must cause the </w:t>
      </w:r>
      <w:hyperlink w:anchor="_2.1—Definitions" w:history="1">
        <w:r w:rsidR="00F02A2E"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and any relative code to be returned to the party who produced it.</w:t>
      </w:r>
    </w:p>
    <w:p w14:paraId="1639971D" w14:textId="71CD971B" w:rsidR="004510C4" w:rsidRPr="00B40A77" w:rsidRDefault="004510C4" w:rsidP="00D07A52">
      <w:pPr>
        <w:pStyle w:val="Hangindent"/>
        <w:rPr>
          <w:color w:val="000000" w:themeColor="text1"/>
        </w:rPr>
      </w:pPr>
      <w:r w:rsidRPr="00B40A77">
        <w:rPr>
          <w:color w:val="000000" w:themeColor="text1"/>
        </w:rPr>
        <w:t>(6)</w:t>
      </w:r>
      <w:r w:rsidRPr="00B40A77">
        <w:rPr>
          <w:color w:val="000000" w:themeColor="text1"/>
        </w:rPr>
        <w:tab/>
        <w:t xml:space="preserve">After finalisation of the proceeding including any appeal, a sealed envelope containing </w:t>
      </w:r>
      <w:hyperlink w:anchor="_2.1—Definitions" w:history="1">
        <w:r w:rsidR="00F02A2E" w:rsidRPr="00B40A77">
          <w:rPr>
            <w:rStyle w:val="Hyperlink"/>
            <w:color w:val="000000" w:themeColor="text1"/>
          </w:rPr>
          <w:t>sensitive</w:t>
        </w:r>
        <w:r w:rsidRPr="00B40A77">
          <w:rPr>
            <w:rStyle w:val="Hyperlink"/>
            <w:color w:val="000000" w:themeColor="text1"/>
          </w:rPr>
          <w:t xml:space="preserve"> material</w:t>
        </w:r>
      </w:hyperlink>
      <w:r w:rsidRPr="00B40A77">
        <w:rPr>
          <w:color w:val="000000" w:themeColor="text1"/>
        </w:rPr>
        <w:t xml:space="preserve"> may only be opened by order of the Court or for the purpose of complying with subrule (5).</w:t>
      </w:r>
    </w:p>
    <w:p w14:paraId="28613EB7" w14:textId="4172DA6A" w:rsidR="00A351F3" w:rsidRPr="00B40A77" w:rsidRDefault="004510C4" w:rsidP="00A351F3">
      <w:pPr>
        <w:pStyle w:val="Heading3"/>
        <w:rPr>
          <w:color w:val="000000" w:themeColor="text1"/>
        </w:rPr>
      </w:pPr>
      <w:bookmarkStart w:id="199" w:name="_Toc175238821"/>
      <w:r w:rsidRPr="00B40A77">
        <w:rPr>
          <w:color w:val="000000" w:themeColor="text1"/>
        </w:rPr>
        <w:t>D</w:t>
      </w:r>
      <w:r w:rsidR="00A351F3" w:rsidRPr="00B40A77">
        <w:rPr>
          <w:color w:val="000000" w:themeColor="text1"/>
        </w:rPr>
        <w:t>ivision 2—Filing of documents</w:t>
      </w:r>
      <w:bookmarkEnd w:id="199"/>
    </w:p>
    <w:p w14:paraId="35AFC401" w14:textId="0CC84C4F" w:rsidR="00A351F3" w:rsidRPr="00B40A77" w:rsidRDefault="001719A3" w:rsidP="00A351F3">
      <w:pPr>
        <w:pStyle w:val="Heading4"/>
        <w:rPr>
          <w:color w:val="000000" w:themeColor="text1"/>
        </w:rPr>
      </w:pPr>
      <w:bookmarkStart w:id="200" w:name="_32.1—Filing_of_documents"/>
      <w:bookmarkStart w:id="201" w:name="_Toc175238822"/>
      <w:bookmarkStart w:id="202" w:name="_Hlk22827840"/>
      <w:bookmarkStart w:id="203" w:name="_Hlk25043732"/>
      <w:bookmarkEnd w:id="200"/>
      <w:r w:rsidRPr="00B40A77">
        <w:rPr>
          <w:color w:val="000000" w:themeColor="text1"/>
        </w:rPr>
        <w:t>2</w:t>
      </w:r>
      <w:r w:rsidR="00F20F0A" w:rsidRPr="00B40A77">
        <w:rPr>
          <w:color w:val="000000" w:themeColor="text1"/>
        </w:rPr>
        <w:t>9</w:t>
      </w:r>
      <w:r w:rsidR="00A351F3" w:rsidRPr="00B40A77">
        <w:rPr>
          <w:color w:val="000000" w:themeColor="text1"/>
        </w:rPr>
        <w:t>.1—Filing of documents</w:t>
      </w:r>
      <w:bookmarkEnd w:id="201"/>
    </w:p>
    <w:p w14:paraId="32FF25D1" w14:textId="772AED4D"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Subject to subrule</w:t>
      </w:r>
      <w:r w:rsidR="00505080" w:rsidRPr="00B40A77">
        <w:rPr>
          <w:color w:val="000000" w:themeColor="text1"/>
          <w:lang w:val="en-US"/>
        </w:rPr>
        <w:t> </w:t>
      </w:r>
      <w:r w:rsidRPr="00B40A77">
        <w:rPr>
          <w:color w:val="000000" w:themeColor="text1"/>
          <w:lang w:val="en-US"/>
        </w:rPr>
        <w:t xml:space="preserve">(3) and </w:t>
      </w:r>
      <w:hyperlink w:anchor="_32.3—Rejection_of_document" w:history="1">
        <w:r w:rsidRPr="00B40A77">
          <w:rPr>
            <w:rStyle w:val="Hyperlink"/>
            <w:color w:val="000000" w:themeColor="text1"/>
            <w:lang w:val="en-US"/>
          </w:rPr>
          <w:t xml:space="preserve">rule </w:t>
        </w:r>
        <w:r w:rsidR="00203D65" w:rsidRPr="00B40A77">
          <w:rPr>
            <w:rStyle w:val="Hyperlink"/>
            <w:color w:val="000000" w:themeColor="text1"/>
            <w:lang w:val="en-US"/>
          </w:rPr>
          <w:t>2</w:t>
        </w:r>
        <w:r w:rsidR="007D6E57" w:rsidRPr="00B40A77">
          <w:rPr>
            <w:rStyle w:val="Hyperlink"/>
            <w:color w:val="000000" w:themeColor="text1"/>
            <w:lang w:val="en-US"/>
          </w:rPr>
          <w:t>9</w:t>
        </w:r>
        <w:r w:rsidRPr="00B40A77">
          <w:rPr>
            <w:rStyle w:val="Hyperlink"/>
            <w:color w:val="000000" w:themeColor="text1"/>
            <w:lang w:val="en-US"/>
          </w:rPr>
          <w:t>.3</w:t>
        </w:r>
      </w:hyperlink>
      <w:r w:rsidRPr="00B40A77">
        <w:rPr>
          <w:color w:val="000000" w:themeColor="text1"/>
          <w:lang w:val="en-US"/>
        </w:rPr>
        <w:t>, a document lodged for filing in electronic form</w:t>
      </w:r>
      <w:r w:rsidRPr="00B40A77">
        <w:rPr>
          <w:color w:val="000000" w:themeColor="text1"/>
        </w:rPr>
        <w:t>—</w:t>
      </w:r>
    </w:p>
    <w:p w14:paraId="015A9966" w14:textId="44DEA4F9"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if it is the first document to be filed for a proceeding</w:t>
      </w:r>
      <w:r w:rsidRPr="00B40A77">
        <w:rPr>
          <w:color w:val="000000" w:themeColor="text1"/>
        </w:rPr>
        <w:t>—</w:t>
      </w:r>
      <w:r w:rsidRPr="00B40A77">
        <w:rPr>
          <w:color w:val="000000" w:themeColor="text1"/>
          <w:lang w:val="en-US"/>
        </w:rPr>
        <w:t xml:space="preserve">is conditionally accepted for filing if a case number is allocated to the proceeding, a filed document number is allocated to the document and the Court’s seal is applied to the document by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w:t>
      </w:r>
    </w:p>
    <w:p w14:paraId="0BBB82B3" w14:textId="2C6BC3FE"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any other case</w:t>
      </w:r>
      <w:r w:rsidRPr="00B40A77">
        <w:rPr>
          <w:color w:val="000000" w:themeColor="text1"/>
        </w:rPr>
        <w:t>—</w:t>
      </w:r>
      <w:r w:rsidRPr="00B40A77">
        <w:rPr>
          <w:color w:val="000000" w:themeColor="text1"/>
          <w:lang w:val="en-US"/>
        </w:rPr>
        <w:t xml:space="preserve">is conditionally accepted for filing if a filed document number is allocated, or the Court’s seal is applied, to the document (as applicable) by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w:t>
      </w:r>
    </w:p>
    <w:p w14:paraId="3391B9B0" w14:textId="77777777"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if accepted for filing when the registry is open</w:t>
      </w:r>
      <w:r w:rsidRPr="00B40A77">
        <w:rPr>
          <w:color w:val="000000" w:themeColor="text1"/>
        </w:rPr>
        <w:t>—</w:t>
      </w:r>
      <w:r w:rsidRPr="00B40A77">
        <w:rPr>
          <w:color w:val="000000" w:themeColor="text1"/>
          <w:lang w:val="en-US"/>
        </w:rPr>
        <w:t>is conditionally treated as filed on the day and at the time at which it is accepted for filing; or</w:t>
      </w:r>
    </w:p>
    <w:p w14:paraId="788D5DCD" w14:textId="77777777" w:rsidR="00A351F3" w:rsidRPr="00B40A77" w:rsidRDefault="00A351F3" w:rsidP="00A351F3">
      <w:pPr>
        <w:pStyle w:val="Doublehangindent"/>
        <w:rPr>
          <w:color w:val="000000" w:themeColor="text1"/>
          <w:lang w:val="en-US"/>
        </w:rPr>
      </w:pPr>
      <w:r w:rsidRPr="00B40A77">
        <w:rPr>
          <w:color w:val="000000" w:themeColor="text1"/>
          <w:lang w:val="en-US"/>
        </w:rPr>
        <w:lastRenderedPageBreak/>
        <w:t>(d)</w:t>
      </w:r>
      <w:r w:rsidRPr="00B40A77">
        <w:rPr>
          <w:color w:val="000000" w:themeColor="text1"/>
          <w:lang w:val="en-US"/>
        </w:rPr>
        <w:tab/>
        <w:t>if accepted for filing when the registry is not open</w:t>
      </w:r>
      <w:r w:rsidRPr="00B40A77">
        <w:rPr>
          <w:color w:val="000000" w:themeColor="text1"/>
        </w:rPr>
        <w:t>—</w:t>
      </w:r>
      <w:r w:rsidRPr="00B40A77">
        <w:rPr>
          <w:color w:val="000000" w:themeColor="text1"/>
          <w:lang w:val="en-US"/>
        </w:rPr>
        <w:t>is conditionally treated as filed on the next day at the next time at which the registry is open.</w:t>
      </w:r>
    </w:p>
    <w:p w14:paraId="62548741" w14:textId="3C3404A2"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Subject to subrule</w:t>
      </w:r>
      <w:r w:rsidR="008B6C02" w:rsidRPr="00B40A77">
        <w:rPr>
          <w:color w:val="000000" w:themeColor="text1"/>
          <w:lang w:val="en-US"/>
        </w:rPr>
        <w:t> </w:t>
      </w:r>
      <w:r w:rsidRPr="00B40A77">
        <w:rPr>
          <w:color w:val="000000" w:themeColor="text1"/>
          <w:lang w:val="en-US"/>
        </w:rPr>
        <w:t>(3), a document lodged for filing in physical form</w:t>
      </w:r>
      <w:r w:rsidRPr="00B40A77">
        <w:rPr>
          <w:rFonts w:cs="Times New Roman"/>
          <w:color w:val="000000" w:themeColor="text1"/>
        </w:rPr>
        <w:t>—</w:t>
      </w:r>
    </w:p>
    <w:p w14:paraId="5FD5C1EC" w14:textId="1CCE59C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if it is the first document to be filed for a proceeding</w:t>
      </w:r>
      <w:r w:rsidRPr="00B40A77">
        <w:rPr>
          <w:color w:val="000000" w:themeColor="text1"/>
        </w:rPr>
        <w:t>—</w:t>
      </w:r>
      <w:r w:rsidRPr="00B40A77">
        <w:rPr>
          <w:color w:val="000000" w:themeColor="text1"/>
          <w:lang w:val="en-US"/>
        </w:rPr>
        <w:t>is filed if and when a case number is allocated to the proceeding, a filed document number is allocated to the document and the Court’s seal is applied to the document; or</w:t>
      </w:r>
    </w:p>
    <w:p w14:paraId="267D577F" w14:textId="3356E569"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any other case</w:t>
      </w:r>
      <w:r w:rsidRPr="00B40A77">
        <w:rPr>
          <w:color w:val="000000" w:themeColor="text1"/>
        </w:rPr>
        <w:t>—</w:t>
      </w:r>
      <w:r w:rsidRPr="00B40A77">
        <w:rPr>
          <w:color w:val="000000" w:themeColor="text1"/>
          <w:lang w:val="en-US"/>
        </w:rPr>
        <w:t>is filed if and when a filed document number is allocated, or the Court’s seal is applied, to the document (as applicable).</w:t>
      </w:r>
    </w:p>
    <w:bookmarkEnd w:id="202"/>
    <w:p w14:paraId="31927808" w14:textId="3D4AB174"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The Court</w:t>
      </w:r>
      <w:r w:rsidR="00291FCB" w:rsidRPr="00B40A77">
        <w:rPr>
          <w:color w:val="000000" w:themeColor="text1"/>
          <w:lang w:val="en-US"/>
        </w:rPr>
        <w:t>,</w:t>
      </w:r>
      <w:r w:rsidRPr="00B40A77">
        <w:rPr>
          <w:color w:val="000000" w:themeColor="text1"/>
          <w:lang w:val="en-US"/>
        </w:rPr>
        <w:t xml:space="preserve"> </w:t>
      </w:r>
      <w:r w:rsidR="00776737" w:rsidRPr="00B40A77">
        <w:rPr>
          <w:color w:val="000000" w:themeColor="text1"/>
          <w:lang w:val="en-US"/>
        </w:rPr>
        <w:t>the</w:t>
      </w:r>
      <w:r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00291FCB" w:rsidRPr="00B40A77">
        <w:rPr>
          <w:color w:val="000000" w:themeColor="text1"/>
          <w:lang w:val="en-US"/>
        </w:rPr>
        <w:t xml:space="preserve"> or a </w:t>
      </w:r>
      <w:r w:rsidRPr="00B40A77">
        <w:rPr>
          <w:color w:val="000000" w:themeColor="text1"/>
          <w:u w:val="single"/>
          <w:lang w:val="en-US"/>
        </w:rPr>
        <w:t>Registrar</w:t>
      </w:r>
      <w:r w:rsidRPr="00B40A77">
        <w:rPr>
          <w:color w:val="000000" w:themeColor="text1"/>
          <w:lang w:val="en-US"/>
        </w:rPr>
        <w:t xml:space="preserve"> may</w:t>
      </w:r>
      <w:r w:rsidR="00697A9D" w:rsidRPr="00B40A77">
        <w:rPr>
          <w:color w:val="000000" w:themeColor="text1"/>
          <w:lang w:val="en-US"/>
        </w:rPr>
        <w:t>,</w:t>
      </w:r>
      <w:r w:rsidRPr="00B40A77">
        <w:rPr>
          <w:color w:val="000000" w:themeColor="text1"/>
          <w:lang w:val="en-US"/>
        </w:rPr>
        <w:t xml:space="preserve"> if it thinks</w:t>
      </w:r>
      <w:r w:rsidR="00697A9D" w:rsidRPr="00B40A77">
        <w:rPr>
          <w:color w:val="000000" w:themeColor="text1"/>
          <w:lang w:val="en-US"/>
        </w:rPr>
        <w:t>,</w:t>
      </w:r>
      <w:r w:rsidRPr="00B40A77">
        <w:rPr>
          <w:color w:val="000000" w:themeColor="text1"/>
          <w:lang w:val="en-US"/>
        </w:rPr>
        <w:t xml:space="preserve"> fit order that a document be treated as having been filed on the date or at a time when the document was lodged for filing.</w:t>
      </w:r>
    </w:p>
    <w:p w14:paraId="5B139D07" w14:textId="443F227F" w:rsidR="00A351F3" w:rsidRPr="00B40A77" w:rsidRDefault="00A351F3" w:rsidP="00A351F3">
      <w:pPr>
        <w:pStyle w:val="Hangindent"/>
        <w:rPr>
          <w:color w:val="000000" w:themeColor="text1"/>
          <w:lang w:val="en-US"/>
        </w:rPr>
      </w:pPr>
      <w:r w:rsidRPr="00B40A77">
        <w:rPr>
          <w:color w:val="000000" w:themeColor="text1"/>
          <w:lang w:val="en-US"/>
        </w:rPr>
        <w:t>(4)</w:t>
      </w:r>
      <w:r w:rsidRPr="00B40A77">
        <w:rPr>
          <w:color w:val="000000" w:themeColor="text1"/>
          <w:lang w:val="en-US"/>
        </w:rPr>
        <w:tab/>
        <w:t>If a document</w:t>
      </w:r>
      <w:r w:rsidR="00732F6B" w:rsidRPr="00B40A77">
        <w:rPr>
          <w:color w:val="000000" w:themeColor="text1"/>
          <w:lang w:val="en-US"/>
        </w:rPr>
        <w:t xml:space="preserve"> is required to be served</w:t>
      </w:r>
      <w:r w:rsidR="00C916F8" w:rsidRPr="00B40A77">
        <w:rPr>
          <w:color w:val="000000" w:themeColor="text1"/>
          <w:lang w:val="en-US"/>
        </w:rPr>
        <w:t>,</w:t>
      </w:r>
      <w:r w:rsidRPr="00B40A77">
        <w:rPr>
          <w:color w:val="000000" w:themeColor="text1"/>
          <w:lang w:val="en-US"/>
        </w:rPr>
        <w:t xml:space="preserve"> the original of which is in electronic form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it is sufficient that </w:t>
      </w:r>
      <w:r w:rsidR="00113C2F" w:rsidRPr="00B40A77">
        <w:rPr>
          <w:color w:val="000000" w:themeColor="text1"/>
          <w:lang w:val="en-US"/>
        </w:rPr>
        <w:t>a</w:t>
      </w:r>
      <w:r w:rsidRPr="00B40A77">
        <w:rPr>
          <w:color w:val="000000" w:themeColor="text1"/>
          <w:lang w:val="en-US"/>
        </w:rPr>
        <w:t xml:space="preserve"> version of the document downloaded from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is served.</w:t>
      </w:r>
    </w:p>
    <w:p w14:paraId="1A7BF262" w14:textId="21B9E81A" w:rsidR="00A351F3" w:rsidRPr="00B40A77" w:rsidRDefault="00A351F3" w:rsidP="00A351F3">
      <w:pPr>
        <w:pStyle w:val="Hangindent"/>
        <w:rPr>
          <w:color w:val="000000" w:themeColor="text1"/>
          <w:lang w:val="en-US"/>
        </w:rPr>
      </w:pPr>
      <w:bookmarkStart w:id="204" w:name="_Hlk22831930"/>
      <w:r w:rsidRPr="00B40A77">
        <w:rPr>
          <w:color w:val="000000" w:themeColor="text1"/>
          <w:lang w:val="en-US"/>
        </w:rPr>
        <w:t>(5)</w:t>
      </w:r>
      <w:r w:rsidRPr="00B40A77">
        <w:rPr>
          <w:color w:val="000000" w:themeColor="text1"/>
          <w:lang w:val="en-US"/>
        </w:rPr>
        <w:tab/>
        <w:t>If a document</w:t>
      </w:r>
      <w:r w:rsidR="00113C2F" w:rsidRPr="00B40A77">
        <w:rPr>
          <w:color w:val="000000" w:themeColor="text1"/>
          <w:lang w:val="en-US"/>
        </w:rPr>
        <w:t xml:space="preserve"> is required to be served</w:t>
      </w:r>
      <w:r w:rsidR="00C916F8" w:rsidRPr="00B40A77">
        <w:rPr>
          <w:color w:val="000000" w:themeColor="text1"/>
          <w:lang w:val="en-US"/>
        </w:rPr>
        <w:t>,</w:t>
      </w:r>
      <w:r w:rsidRPr="00B40A77">
        <w:rPr>
          <w:color w:val="000000" w:themeColor="text1"/>
          <w:lang w:val="en-US"/>
        </w:rPr>
        <w:t xml:space="preserve"> the original of which is filed in physical form in the Registry, the person lodging the document for filing</w:t>
      </w:r>
      <w:r w:rsidRPr="00B40A77">
        <w:rPr>
          <w:color w:val="000000" w:themeColor="text1"/>
        </w:rPr>
        <w:t>—</w:t>
      </w:r>
    </w:p>
    <w:p w14:paraId="200E4F1A" w14:textId="451B2ECA"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may serve a downloaded version of the document after it has been uploaded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by the Registry as if subrule</w:t>
      </w:r>
      <w:r w:rsidR="001B1E8A" w:rsidRPr="00B40A77">
        <w:rPr>
          <w:color w:val="000000" w:themeColor="text1"/>
          <w:lang w:val="en-US"/>
        </w:rPr>
        <w:t> </w:t>
      </w:r>
      <w:r w:rsidRPr="00B40A77">
        <w:rPr>
          <w:color w:val="000000" w:themeColor="text1"/>
          <w:lang w:val="en-US"/>
        </w:rPr>
        <w:t xml:space="preserve">(4) applied; </w:t>
      </w:r>
      <w:r w:rsidR="008C429C" w:rsidRPr="00B40A77">
        <w:rPr>
          <w:color w:val="000000" w:themeColor="text1"/>
          <w:lang w:val="en-US"/>
        </w:rPr>
        <w:t>or</w:t>
      </w:r>
    </w:p>
    <w:p w14:paraId="5FFD6672"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any other case</w:t>
      </w:r>
      <w:r w:rsidRPr="00B40A77">
        <w:rPr>
          <w:color w:val="000000" w:themeColor="text1"/>
        </w:rPr>
        <w:t>—</w:t>
      </w:r>
      <w:r w:rsidRPr="00B40A77">
        <w:rPr>
          <w:color w:val="000000" w:themeColor="text1"/>
          <w:lang w:val="en-US"/>
        </w:rPr>
        <w:t>must produce to the Registry additional copies to be sealed for the purpose of service.</w:t>
      </w:r>
    </w:p>
    <w:p w14:paraId="175000A1" w14:textId="049B6969" w:rsidR="00A351F3" w:rsidRPr="00B40A77" w:rsidRDefault="00A351F3" w:rsidP="00A351F3">
      <w:pPr>
        <w:pStyle w:val="Hangindent"/>
        <w:rPr>
          <w:color w:val="000000" w:themeColor="text1"/>
          <w:lang w:val="en-US"/>
        </w:rPr>
      </w:pPr>
      <w:bookmarkStart w:id="205" w:name="_Hlk22832187"/>
      <w:r w:rsidRPr="00B40A77">
        <w:rPr>
          <w:color w:val="000000" w:themeColor="text1"/>
          <w:lang w:val="en-US"/>
        </w:rPr>
        <w:t>(6)</w:t>
      </w:r>
      <w:r w:rsidRPr="00B40A77">
        <w:rPr>
          <w:color w:val="000000" w:themeColor="text1"/>
          <w:lang w:val="en-US"/>
        </w:rPr>
        <w:tab/>
        <w:t xml:space="preserve">A party, upon payment of the prescribed fee, may request </w:t>
      </w:r>
      <w:hyperlink w:anchor="_2.1—Definitions" w:history="1">
        <w:r w:rsidR="00776737" w:rsidRPr="00B40A77">
          <w:rPr>
            <w:rStyle w:val="Hyperlink"/>
            <w:color w:val="000000" w:themeColor="text1"/>
            <w:u w:val="none"/>
            <w:lang w:val="en-US"/>
          </w:rPr>
          <w:t>the</w:t>
        </w:r>
        <w:r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to provide a certified copy of a filed document.</w:t>
      </w:r>
      <w:bookmarkEnd w:id="205"/>
    </w:p>
    <w:p w14:paraId="7334D276" w14:textId="381258E7" w:rsidR="00A351F3" w:rsidRPr="00B40A77" w:rsidRDefault="00170E4D" w:rsidP="00A351F3">
      <w:pPr>
        <w:pStyle w:val="Heading4"/>
        <w:rPr>
          <w:color w:val="000000" w:themeColor="text1"/>
        </w:rPr>
      </w:pPr>
      <w:bookmarkStart w:id="206" w:name="_32.2—Filing_of_documents"/>
      <w:bookmarkStart w:id="207" w:name="_Toc175238823"/>
      <w:bookmarkStart w:id="208" w:name="_Hlk25042475"/>
      <w:bookmarkEnd w:id="203"/>
      <w:bookmarkEnd w:id="204"/>
      <w:bookmarkEnd w:id="206"/>
      <w:r w:rsidRPr="00B40A77">
        <w:rPr>
          <w:color w:val="000000" w:themeColor="text1"/>
        </w:rPr>
        <w:t>2</w:t>
      </w:r>
      <w:r w:rsidR="00F20F0A" w:rsidRPr="00B40A77">
        <w:rPr>
          <w:color w:val="000000" w:themeColor="text1"/>
        </w:rPr>
        <w:t>9</w:t>
      </w:r>
      <w:r w:rsidR="00A351F3" w:rsidRPr="00B40A77">
        <w:rPr>
          <w:color w:val="000000" w:themeColor="text1"/>
        </w:rPr>
        <w:t>.2—Filing of documents on restricted access basis</w:t>
      </w:r>
      <w:bookmarkEnd w:id="207"/>
    </w:p>
    <w:p w14:paraId="4C7AFEFD" w14:textId="77777777"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In this rule</w:t>
      </w:r>
      <w:r w:rsidRPr="00B40A77">
        <w:rPr>
          <w:color w:val="000000" w:themeColor="text1"/>
        </w:rPr>
        <w:t>—</w:t>
      </w:r>
    </w:p>
    <w:p w14:paraId="25950F25" w14:textId="592793CB" w:rsidR="00A351F3" w:rsidRPr="00B40A77" w:rsidRDefault="00A351F3" w:rsidP="00A351F3">
      <w:pPr>
        <w:pStyle w:val="Doubleindentedpara"/>
        <w:rPr>
          <w:color w:val="000000" w:themeColor="text1"/>
        </w:rPr>
      </w:pPr>
      <w:r w:rsidRPr="00B40A77">
        <w:rPr>
          <w:b/>
          <w:i/>
          <w:color w:val="000000" w:themeColor="text1"/>
        </w:rPr>
        <w:t>court access basis</w:t>
      </w:r>
      <w:r w:rsidRPr="00B40A77">
        <w:rPr>
          <w:color w:val="000000" w:themeColor="text1"/>
        </w:rPr>
        <w:t xml:space="preserve"> means that, unless the Court otherwise orders, access to view, download or copy a document is limited to </w:t>
      </w:r>
      <w:hyperlink w:anchor="_2.1—Definitions" w:history="1">
        <w:r w:rsidR="00C737E1" w:rsidRPr="00B40A77">
          <w:rPr>
            <w:rStyle w:val="Hyperlink"/>
            <w:color w:val="000000" w:themeColor="text1"/>
          </w:rPr>
          <w:t>court officer</w:t>
        </w:r>
      </w:hyperlink>
      <w:r w:rsidRPr="00B40A77">
        <w:rPr>
          <w:color w:val="000000" w:themeColor="text1"/>
          <w:u w:val="single"/>
        </w:rPr>
        <w:t>s</w:t>
      </w:r>
      <w:r w:rsidRPr="00B40A77">
        <w:rPr>
          <w:color w:val="000000" w:themeColor="text1"/>
        </w:rPr>
        <w:t>;</w:t>
      </w:r>
    </w:p>
    <w:p w14:paraId="6272D31C" w14:textId="77777777" w:rsidR="00A351F3" w:rsidRPr="00B40A77" w:rsidRDefault="00A351F3" w:rsidP="00A351F3">
      <w:pPr>
        <w:pStyle w:val="Doubleindentedpara"/>
        <w:rPr>
          <w:color w:val="000000" w:themeColor="text1"/>
        </w:rPr>
      </w:pPr>
      <w:r w:rsidRPr="00B40A77">
        <w:rPr>
          <w:b/>
          <w:i/>
          <w:color w:val="000000" w:themeColor="text1"/>
        </w:rPr>
        <w:t>excluded access basis</w:t>
      </w:r>
      <w:r w:rsidRPr="00B40A77">
        <w:rPr>
          <w:color w:val="000000" w:themeColor="text1"/>
        </w:rPr>
        <w:t xml:space="preserve"> means that, unless the Court otherwise orders, access to view, download or copy a document is excluded for the judicial officer assigned or expected to hear and determine the proceeding;</w:t>
      </w:r>
    </w:p>
    <w:p w14:paraId="6A19BCC0" w14:textId="77777777" w:rsidR="00A351F3" w:rsidRPr="00B40A77" w:rsidRDefault="00A351F3" w:rsidP="00A351F3">
      <w:pPr>
        <w:pStyle w:val="Doubleindentedpara"/>
        <w:rPr>
          <w:color w:val="000000" w:themeColor="text1"/>
        </w:rPr>
      </w:pPr>
      <w:r w:rsidRPr="00B40A77">
        <w:rPr>
          <w:b/>
          <w:i/>
          <w:color w:val="000000" w:themeColor="text1"/>
        </w:rPr>
        <w:t>judiciary access basis</w:t>
      </w:r>
      <w:r w:rsidRPr="00B40A77">
        <w:rPr>
          <w:color w:val="000000" w:themeColor="text1"/>
        </w:rPr>
        <w:t xml:space="preserve"> means that, unless the Court otherwise orders, access to view, download or copy a document is limited to judicial officers;</w:t>
      </w:r>
    </w:p>
    <w:p w14:paraId="786AFAF2" w14:textId="5E5DCADB" w:rsidR="00A351F3" w:rsidRPr="00B40A77" w:rsidRDefault="00A351F3" w:rsidP="00A351F3">
      <w:pPr>
        <w:pStyle w:val="Doubleindentedpara"/>
        <w:rPr>
          <w:color w:val="000000" w:themeColor="text1"/>
        </w:rPr>
      </w:pPr>
      <w:r w:rsidRPr="00B40A77">
        <w:rPr>
          <w:b/>
          <w:i/>
          <w:color w:val="000000" w:themeColor="text1"/>
        </w:rPr>
        <w:t>lawyer access basis</w:t>
      </w:r>
      <w:r w:rsidRPr="00B40A77">
        <w:rPr>
          <w:color w:val="000000" w:themeColor="text1"/>
        </w:rPr>
        <w:t xml:space="preserve"> means that, unless the Court otherwise orders, access to view, download or copy a document is limited to </w:t>
      </w:r>
      <w:hyperlink w:anchor="_2.1—Definitions" w:history="1">
        <w:r w:rsidR="00C737E1" w:rsidRPr="00B40A77">
          <w:rPr>
            <w:rStyle w:val="Hyperlink"/>
            <w:color w:val="000000" w:themeColor="text1"/>
          </w:rPr>
          <w:t>court officer</w:t>
        </w:r>
      </w:hyperlink>
      <w:r w:rsidRPr="00B40A77">
        <w:rPr>
          <w:color w:val="000000" w:themeColor="text1"/>
          <w:u w:val="single"/>
        </w:rPr>
        <w:t>s</w:t>
      </w:r>
      <w:r w:rsidRPr="00B40A77">
        <w:rPr>
          <w:color w:val="000000" w:themeColor="text1"/>
        </w:rPr>
        <w:t xml:space="preserve"> together with counsel or solicitors for the parties who </w:t>
      </w:r>
      <w:r w:rsidR="003C5DDD" w:rsidRPr="00B40A77">
        <w:rPr>
          <w:color w:val="000000" w:themeColor="text1"/>
        </w:rPr>
        <w:t>must</w:t>
      </w:r>
      <w:r w:rsidRPr="00B40A77">
        <w:rPr>
          <w:color w:val="000000" w:themeColor="text1"/>
        </w:rPr>
        <w:t xml:space="preserve"> not,</w:t>
      </w:r>
      <w:r w:rsidR="003C5DDD" w:rsidRPr="00B40A77">
        <w:rPr>
          <w:color w:val="000000" w:themeColor="text1"/>
        </w:rPr>
        <w:t xml:space="preserve"> without leave of the Court, </w:t>
      </w:r>
      <w:r w:rsidRPr="00B40A77">
        <w:rPr>
          <w:color w:val="000000" w:themeColor="text1"/>
        </w:rPr>
        <w:t xml:space="preserve">disclose the content of the document to any person </w:t>
      </w:r>
      <w:r w:rsidR="00C47731" w:rsidRPr="00B40A77">
        <w:rPr>
          <w:color w:val="000000" w:themeColor="text1"/>
        </w:rPr>
        <w:t>not</w:t>
      </w:r>
      <w:r w:rsidRPr="00B40A77">
        <w:rPr>
          <w:color w:val="000000" w:themeColor="text1"/>
        </w:rPr>
        <w:t xml:space="preserve"> entitled to access;</w:t>
      </w:r>
    </w:p>
    <w:p w14:paraId="3B2A1704" w14:textId="4F3C13EA" w:rsidR="00A351F3" w:rsidRPr="00B40A77" w:rsidRDefault="00A351F3" w:rsidP="00A351F3">
      <w:pPr>
        <w:pStyle w:val="Doubleindentedpara"/>
        <w:rPr>
          <w:color w:val="000000" w:themeColor="text1"/>
        </w:rPr>
      </w:pPr>
      <w:r w:rsidRPr="00B40A77">
        <w:rPr>
          <w:b/>
          <w:i/>
          <w:color w:val="000000" w:themeColor="text1"/>
        </w:rPr>
        <w:t>party access basis</w:t>
      </w:r>
      <w:r w:rsidRPr="00B40A77">
        <w:rPr>
          <w:color w:val="000000" w:themeColor="text1"/>
        </w:rPr>
        <w:t xml:space="preserve"> means that, unless the Court otherwise orders, access to view, download or copy a document is limited to </w:t>
      </w:r>
      <w:hyperlink w:anchor="_2.1—Definitions" w:history="1">
        <w:r w:rsidR="00C737E1" w:rsidRPr="00B40A77">
          <w:rPr>
            <w:rStyle w:val="Hyperlink"/>
            <w:color w:val="000000" w:themeColor="text1"/>
          </w:rPr>
          <w:t>court officer</w:t>
        </w:r>
      </w:hyperlink>
      <w:r w:rsidRPr="00B40A77">
        <w:rPr>
          <w:color w:val="000000" w:themeColor="text1"/>
          <w:u w:val="single"/>
        </w:rPr>
        <w:t>s</w:t>
      </w:r>
      <w:r w:rsidRPr="00B40A77">
        <w:rPr>
          <w:color w:val="000000" w:themeColor="text1"/>
        </w:rPr>
        <w:t xml:space="preserve"> together with the parties, counsel or solicitors for the parties who </w:t>
      </w:r>
      <w:r w:rsidR="003C5DDD" w:rsidRPr="00B40A77">
        <w:rPr>
          <w:color w:val="000000" w:themeColor="text1"/>
        </w:rPr>
        <w:t>must</w:t>
      </w:r>
      <w:r w:rsidRPr="00B40A77">
        <w:rPr>
          <w:color w:val="000000" w:themeColor="text1"/>
        </w:rPr>
        <w:t xml:space="preserve"> not, without leave of the Court, disclose the content of the document to any person </w:t>
      </w:r>
      <w:r w:rsidR="00C47731" w:rsidRPr="00B40A77">
        <w:rPr>
          <w:color w:val="000000" w:themeColor="text1"/>
        </w:rPr>
        <w:t>not</w:t>
      </w:r>
      <w:r w:rsidRPr="00B40A77">
        <w:rPr>
          <w:color w:val="000000" w:themeColor="text1"/>
        </w:rPr>
        <w:t xml:space="preserve"> entitled to access</w:t>
      </w:r>
      <w:r w:rsidR="00C47731" w:rsidRPr="00B40A77">
        <w:rPr>
          <w:color w:val="000000" w:themeColor="text1"/>
        </w:rPr>
        <w:t>;</w:t>
      </w:r>
    </w:p>
    <w:p w14:paraId="6EA70274" w14:textId="6DE0014B" w:rsidR="00C47731" w:rsidRPr="00B40A77" w:rsidRDefault="00C47731" w:rsidP="00A351F3">
      <w:pPr>
        <w:pStyle w:val="Doubleindentedpara"/>
        <w:rPr>
          <w:color w:val="000000" w:themeColor="text1"/>
        </w:rPr>
      </w:pPr>
      <w:r w:rsidRPr="00B40A77">
        <w:rPr>
          <w:b/>
          <w:i/>
          <w:color w:val="000000" w:themeColor="text1"/>
        </w:rPr>
        <w:t>restricted access basis</w:t>
      </w:r>
      <w:r w:rsidRPr="00B40A77">
        <w:rPr>
          <w:color w:val="000000" w:themeColor="text1"/>
        </w:rPr>
        <w:t xml:space="preserve"> means a </w:t>
      </w:r>
      <w:hyperlink w:anchor="_32.2—Filing_of_documents" w:history="1">
        <w:r w:rsidRPr="00B40A77">
          <w:rPr>
            <w:rStyle w:val="Hyperlink"/>
            <w:color w:val="000000" w:themeColor="text1"/>
          </w:rPr>
          <w:t>court access basis</w:t>
        </w:r>
      </w:hyperlink>
      <w:r w:rsidRPr="00B40A77">
        <w:rPr>
          <w:color w:val="000000" w:themeColor="text1"/>
        </w:rPr>
        <w:t xml:space="preserve">, an </w:t>
      </w:r>
      <w:hyperlink w:anchor="_32.2—Filing_of_documents" w:history="1">
        <w:r w:rsidRPr="00B40A77">
          <w:rPr>
            <w:rStyle w:val="Hyperlink"/>
            <w:color w:val="000000" w:themeColor="text1"/>
          </w:rPr>
          <w:t>excluded access basis</w:t>
        </w:r>
      </w:hyperlink>
      <w:r w:rsidRPr="00B40A77">
        <w:rPr>
          <w:color w:val="000000" w:themeColor="text1"/>
        </w:rPr>
        <w:t xml:space="preserve">, a </w:t>
      </w:r>
      <w:hyperlink w:anchor="_32.2—Filing_of_documents" w:history="1">
        <w:r w:rsidRPr="00B40A77">
          <w:rPr>
            <w:rStyle w:val="Hyperlink"/>
            <w:color w:val="000000" w:themeColor="text1"/>
          </w:rPr>
          <w:t>judiciary access basis</w:t>
        </w:r>
      </w:hyperlink>
      <w:r w:rsidRPr="00B40A77">
        <w:rPr>
          <w:color w:val="000000" w:themeColor="text1"/>
        </w:rPr>
        <w:t xml:space="preserve">, a </w:t>
      </w:r>
      <w:hyperlink w:anchor="_32.2—Filing_of_documents" w:history="1">
        <w:r w:rsidRPr="00B40A77">
          <w:rPr>
            <w:rStyle w:val="Hyperlink"/>
            <w:color w:val="000000" w:themeColor="text1"/>
          </w:rPr>
          <w:t>lawyer access basis</w:t>
        </w:r>
      </w:hyperlink>
      <w:r w:rsidRPr="00B40A77">
        <w:rPr>
          <w:color w:val="000000" w:themeColor="text1"/>
        </w:rPr>
        <w:t xml:space="preserve"> or a </w:t>
      </w:r>
      <w:hyperlink w:anchor="_32.2—Filing_of_documents" w:history="1">
        <w:r w:rsidRPr="00B40A77">
          <w:rPr>
            <w:rStyle w:val="Hyperlink"/>
            <w:color w:val="000000" w:themeColor="text1"/>
          </w:rPr>
          <w:t>party access basis</w:t>
        </w:r>
      </w:hyperlink>
      <w:r w:rsidRPr="00B40A77">
        <w:rPr>
          <w:rStyle w:val="Hyperlink"/>
          <w:color w:val="000000" w:themeColor="text1"/>
          <w:u w:val="none"/>
        </w:rPr>
        <w:t>.</w:t>
      </w:r>
    </w:p>
    <w:p w14:paraId="58C1CD18" w14:textId="6F858C97"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 order that a document be filed, or if already filed be treated as filed, on</w:t>
      </w:r>
      <w:r w:rsidR="00C47731" w:rsidRPr="00B40A77">
        <w:rPr>
          <w:color w:val="000000" w:themeColor="text1"/>
          <w:lang w:val="en-US"/>
        </w:rPr>
        <w:t xml:space="preserve"> a </w:t>
      </w:r>
      <w:r w:rsidR="00C47731" w:rsidRPr="00B40A77">
        <w:rPr>
          <w:color w:val="000000" w:themeColor="text1"/>
          <w:u w:val="single"/>
          <w:lang w:val="en-US"/>
        </w:rPr>
        <w:t>restricted access basis</w:t>
      </w:r>
      <w:r w:rsidR="00C47731" w:rsidRPr="00B40A77">
        <w:rPr>
          <w:color w:val="000000" w:themeColor="text1"/>
          <w:lang w:val="en-US"/>
        </w:rPr>
        <w:t>.</w:t>
      </w:r>
    </w:p>
    <w:p w14:paraId="1DE5E6FD" w14:textId="292EBFFF" w:rsidR="00A351F3" w:rsidRPr="00B40A77" w:rsidRDefault="00A351F3" w:rsidP="00A351F3">
      <w:pPr>
        <w:pStyle w:val="Hangindent"/>
        <w:rPr>
          <w:color w:val="000000" w:themeColor="text1"/>
          <w:lang w:val="en-US"/>
        </w:rPr>
      </w:pPr>
      <w:r w:rsidRPr="00B40A77">
        <w:rPr>
          <w:color w:val="000000" w:themeColor="text1"/>
          <w:lang w:val="en-US"/>
        </w:rPr>
        <w:lastRenderedPageBreak/>
        <w:t>(3)</w:t>
      </w:r>
      <w:r w:rsidRPr="00B40A77">
        <w:rPr>
          <w:color w:val="000000" w:themeColor="text1"/>
          <w:lang w:val="en-US"/>
        </w:rPr>
        <w:tab/>
        <w:t xml:space="preserve">A party may, at the same time as filing a document, apply by an </w:t>
      </w:r>
      <w:r w:rsidR="00FA4048" w:rsidRPr="00B40A77">
        <w:rPr>
          <w:color w:val="000000" w:themeColor="text1"/>
          <w:lang w:val="en-US"/>
        </w:rPr>
        <w:t xml:space="preserve">interlocutory application </w:t>
      </w:r>
      <w:r w:rsidR="002A2EA2" w:rsidRPr="00B40A77">
        <w:rPr>
          <w:color w:val="000000" w:themeColor="text1"/>
          <w:lang w:val="en-US"/>
        </w:rPr>
        <w:t xml:space="preserve">in accordance with </w:t>
      </w:r>
      <w:r w:rsidR="002A2EA2" w:rsidRPr="00B40A77">
        <w:rPr>
          <w:color w:val="000000" w:themeColor="text1"/>
          <w:u w:val="single"/>
          <w:lang w:val="en-US"/>
        </w:rPr>
        <w:t>rule 39.1</w:t>
      </w:r>
      <w:r w:rsidR="002A2EA2" w:rsidRPr="00B40A77">
        <w:rPr>
          <w:color w:val="000000" w:themeColor="text1"/>
          <w:lang w:val="en-US"/>
        </w:rPr>
        <w:t xml:space="preserve"> </w:t>
      </w:r>
      <w:r w:rsidRPr="00B40A77">
        <w:rPr>
          <w:color w:val="000000" w:themeColor="text1"/>
          <w:lang w:val="en-US"/>
        </w:rPr>
        <w:t xml:space="preserve">for an order that the document be treated as filed on a </w:t>
      </w:r>
      <w:r w:rsidRPr="00B40A77">
        <w:rPr>
          <w:color w:val="000000" w:themeColor="text1"/>
          <w:u w:val="single"/>
          <w:lang w:val="en-US"/>
        </w:rPr>
        <w:t>restricted access basis</w:t>
      </w:r>
      <w:r w:rsidRPr="00B40A77">
        <w:rPr>
          <w:color w:val="000000" w:themeColor="text1"/>
          <w:lang w:val="en-US"/>
        </w:rPr>
        <w:t>, specifying the access basis sought.</w:t>
      </w:r>
    </w:p>
    <w:p w14:paraId="17DB4683" w14:textId="68ABD527" w:rsidR="00A351F3" w:rsidRPr="00B40A77" w:rsidRDefault="00A351F3" w:rsidP="00A351F3">
      <w:pPr>
        <w:pStyle w:val="Hangindent"/>
        <w:rPr>
          <w:color w:val="000000" w:themeColor="text1"/>
          <w:lang w:val="en-US"/>
        </w:rPr>
      </w:pPr>
      <w:r w:rsidRPr="00B40A77">
        <w:rPr>
          <w:color w:val="000000" w:themeColor="text1"/>
          <w:lang w:val="en-US"/>
        </w:rPr>
        <w:t>(4)</w:t>
      </w:r>
      <w:r w:rsidRPr="00B40A77">
        <w:rPr>
          <w:color w:val="000000" w:themeColor="text1"/>
          <w:lang w:val="en-US"/>
        </w:rPr>
        <w:tab/>
        <w:t>If a party files a document under subrule</w:t>
      </w:r>
      <w:r w:rsidR="001B1E8A" w:rsidRPr="00B40A77">
        <w:rPr>
          <w:color w:val="000000" w:themeColor="text1"/>
          <w:lang w:val="en-US"/>
        </w:rPr>
        <w:t> </w:t>
      </w:r>
      <w:r w:rsidRPr="00B40A77">
        <w:rPr>
          <w:color w:val="000000" w:themeColor="text1"/>
          <w:lang w:val="en-US"/>
        </w:rPr>
        <w:t xml:space="preserve">(3) and makes a request for interim treatment under this subrule at the same time, it will be treated on an interim basis as filed on the specified </w:t>
      </w:r>
      <w:r w:rsidRPr="00B40A77">
        <w:rPr>
          <w:color w:val="000000" w:themeColor="text1"/>
          <w:u w:val="single"/>
          <w:lang w:val="en-US"/>
        </w:rPr>
        <w:t>restricted access basis</w:t>
      </w:r>
      <w:r w:rsidRPr="00B40A77">
        <w:rPr>
          <w:color w:val="000000" w:themeColor="text1"/>
          <w:lang w:val="en-US"/>
        </w:rPr>
        <w:t xml:space="preserve"> until the Court hears and determines the application under subrule</w:t>
      </w:r>
      <w:r w:rsidR="001B1E8A" w:rsidRPr="00B40A77">
        <w:rPr>
          <w:color w:val="000000" w:themeColor="text1"/>
          <w:lang w:val="en-US"/>
        </w:rPr>
        <w:t> </w:t>
      </w:r>
      <w:r w:rsidRPr="00B40A77">
        <w:rPr>
          <w:color w:val="000000" w:themeColor="text1"/>
          <w:lang w:val="en-US"/>
        </w:rPr>
        <w:t>(3).</w:t>
      </w:r>
    </w:p>
    <w:p w14:paraId="522CD7D2" w14:textId="6E27BC06" w:rsidR="00A351F3" w:rsidRPr="00B40A77" w:rsidRDefault="00D675A5" w:rsidP="00A351F3">
      <w:pPr>
        <w:pStyle w:val="Heading4"/>
        <w:rPr>
          <w:color w:val="000000" w:themeColor="text1"/>
        </w:rPr>
      </w:pPr>
      <w:bookmarkStart w:id="209" w:name="_32.3—Rejection_of_document"/>
      <w:bookmarkStart w:id="210" w:name="_Toc175238824"/>
      <w:bookmarkEnd w:id="208"/>
      <w:bookmarkEnd w:id="209"/>
      <w:r w:rsidRPr="00B40A77">
        <w:rPr>
          <w:color w:val="000000" w:themeColor="text1"/>
        </w:rPr>
        <w:t>2</w:t>
      </w:r>
      <w:r w:rsidR="00F20F0A" w:rsidRPr="00B40A77">
        <w:rPr>
          <w:color w:val="000000" w:themeColor="text1"/>
        </w:rPr>
        <w:t>9</w:t>
      </w:r>
      <w:r w:rsidR="00A351F3" w:rsidRPr="00B40A77">
        <w:rPr>
          <w:color w:val="000000" w:themeColor="text1"/>
        </w:rPr>
        <w:t>.3—Rejection of document for filing</w:t>
      </w:r>
      <w:bookmarkEnd w:id="210"/>
    </w:p>
    <w:p w14:paraId="1D607107" w14:textId="6D538515" w:rsidR="00A351F3" w:rsidRPr="00B40A77" w:rsidRDefault="00A351F3" w:rsidP="00A351F3">
      <w:pPr>
        <w:pStyle w:val="Hangindent"/>
        <w:rPr>
          <w:color w:val="000000" w:themeColor="text1"/>
        </w:rPr>
      </w:pPr>
      <w:r w:rsidRPr="00B40A77">
        <w:rPr>
          <w:color w:val="000000" w:themeColor="text1"/>
          <w:lang w:val="en-US"/>
        </w:rPr>
        <w:t>(1)</w:t>
      </w:r>
      <w:r w:rsidRPr="00B40A77">
        <w:rPr>
          <w:color w:val="000000" w:themeColor="text1"/>
          <w:lang w:val="en-US"/>
        </w:rPr>
        <w:tab/>
      </w:r>
      <w:hyperlink w:anchor="_2.1—Definitions" w:history="1">
        <w:r w:rsidR="00F921D5" w:rsidRPr="00B40A77">
          <w:rPr>
            <w:rStyle w:val="Hyperlink"/>
            <w:color w:val="000000" w:themeColor="text1"/>
            <w:u w:val="none"/>
            <w:lang w:val="en-US"/>
          </w:rPr>
          <w:t>The</w:t>
        </w:r>
        <w:r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r w:rsidR="001C3D79" w:rsidRPr="00B40A77">
          <w:rPr>
            <w:rStyle w:val="Hyperlink"/>
            <w:color w:val="000000" w:themeColor="text1"/>
            <w:u w:val="none"/>
            <w:lang w:val="en-US"/>
          </w:rPr>
          <w:t xml:space="preserve"> or a </w:t>
        </w:r>
        <w:r w:rsidRPr="00B40A77">
          <w:rPr>
            <w:rStyle w:val="Hyperlink"/>
            <w:color w:val="000000" w:themeColor="text1"/>
            <w:lang w:val="en-US"/>
          </w:rPr>
          <w:t>Registrar</w:t>
        </w:r>
      </w:hyperlink>
      <w:r w:rsidRPr="00B40A77">
        <w:rPr>
          <w:color w:val="000000" w:themeColor="text1"/>
          <w:lang w:val="en-US"/>
        </w:rPr>
        <w:t xml:space="preserve"> may reject a document lodged for filing if—</w:t>
      </w:r>
    </w:p>
    <w:p w14:paraId="17DCD5F0" w14:textId="0BF9ECFF"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it does not substantially comply with the requirements contained under </w:t>
      </w:r>
      <w:hyperlink w:anchor="_31.2—Prescribed_formats_and" w:history="1">
        <w:r w:rsidR="00203D65" w:rsidRPr="00B40A77">
          <w:rPr>
            <w:rStyle w:val="Hyperlink"/>
            <w:color w:val="000000" w:themeColor="text1"/>
            <w:lang w:val="en-US"/>
          </w:rPr>
          <w:t>rule 2</w:t>
        </w:r>
        <w:r w:rsidR="007D6E57" w:rsidRPr="00B40A77">
          <w:rPr>
            <w:rStyle w:val="Hyperlink"/>
            <w:color w:val="000000" w:themeColor="text1"/>
            <w:lang w:val="en-US"/>
          </w:rPr>
          <w:t>8</w:t>
        </w:r>
        <w:r w:rsidRPr="00B40A77">
          <w:rPr>
            <w:rStyle w:val="Hyperlink"/>
            <w:color w:val="000000" w:themeColor="text1"/>
            <w:lang w:val="en-US"/>
          </w:rPr>
          <w:t>.2</w:t>
        </w:r>
      </w:hyperlink>
      <w:r w:rsidRPr="00B40A77">
        <w:rPr>
          <w:color w:val="000000" w:themeColor="text1"/>
          <w:lang w:val="en-US"/>
        </w:rPr>
        <w:t xml:space="preserve"> or in </w:t>
      </w:r>
      <w:hyperlink w:anchor="_31.3—Prescribed_forms" w:history="1">
        <w:r w:rsidRPr="00B40A77">
          <w:rPr>
            <w:rStyle w:val="Hyperlink"/>
            <w:color w:val="000000" w:themeColor="text1"/>
            <w:lang w:val="en-US"/>
          </w:rPr>
          <w:t>rule</w:t>
        </w:r>
        <w:r w:rsidR="00203D65" w:rsidRPr="00B40A77">
          <w:rPr>
            <w:rStyle w:val="Hyperlink"/>
            <w:color w:val="000000" w:themeColor="text1"/>
            <w:lang w:val="en-US"/>
          </w:rPr>
          <w:t xml:space="preserve"> 2</w:t>
        </w:r>
        <w:r w:rsidR="007D6E57" w:rsidRPr="00B40A77">
          <w:rPr>
            <w:rStyle w:val="Hyperlink"/>
            <w:color w:val="000000" w:themeColor="text1"/>
            <w:lang w:val="en-US"/>
          </w:rPr>
          <w:t>8</w:t>
        </w:r>
        <w:r w:rsidRPr="00B40A77">
          <w:rPr>
            <w:rStyle w:val="Hyperlink"/>
            <w:color w:val="000000" w:themeColor="text1"/>
            <w:lang w:val="en-US"/>
          </w:rPr>
          <w:t>.3</w:t>
        </w:r>
      </w:hyperlink>
      <w:r w:rsidRPr="00B40A77">
        <w:rPr>
          <w:color w:val="000000" w:themeColor="text1"/>
          <w:lang w:val="en-US"/>
        </w:rPr>
        <w:t>;</w:t>
      </w:r>
    </w:p>
    <w:p w14:paraId="0E081B1A"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it otherwise does not substantially comply with these Rules; </w:t>
      </w:r>
    </w:p>
    <w:p w14:paraId="68046FC9" w14:textId="77777777"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it is frivolous, vexatious, scandalous or an abuse of the process of the Court;</w:t>
      </w:r>
    </w:p>
    <w:p w14:paraId="0D416CD5" w14:textId="77777777"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person lodging it has been declared a vexatious litigant under section 39 of the </w:t>
      </w:r>
      <w:r w:rsidRPr="00B40A77">
        <w:rPr>
          <w:i/>
          <w:color w:val="000000" w:themeColor="text1"/>
          <w:lang w:val="en-US"/>
        </w:rPr>
        <w:t>Supreme Court Act 1935</w:t>
      </w:r>
      <w:r w:rsidRPr="00B40A77">
        <w:rPr>
          <w:color w:val="000000" w:themeColor="text1"/>
          <w:lang w:val="en-US"/>
        </w:rPr>
        <w:t>, if filed it would institute a proceeding within the meaning of that section and leave has not been obtained to do so;</w:t>
      </w:r>
    </w:p>
    <w:p w14:paraId="21F8CFB1" w14:textId="6A76279D" w:rsidR="00A351F3" w:rsidRPr="00B40A77" w:rsidRDefault="00A351F3" w:rsidP="00A351F3">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the Court directs </w:t>
      </w:r>
      <w:r w:rsidRPr="00B40A77">
        <w:rPr>
          <w:color w:val="000000" w:themeColor="text1"/>
        </w:rPr>
        <w:t>th</w:t>
      </w:r>
      <w:r w:rsidR="007E20D6" w:rsidRPr="00B40A77">
        <w:rPr>
          <w:color w:val="000000" w:themeColor="text1"/>
          <w:lang w:val="en-US"/>
        </w:rPr>
        <w:t xml:space="preserve">at it </w:t>
      </w:r>
      <w:r w:rsidRPr="00B40A77">
        <w:rPr>
          <w:color w:val="000000" w:themeColor="text1"/>
          <w:lang w:val="en-US"/>
        </w:rPr>
        <w:t xml:space="preserve">not </w:t>
      </w:r>
      <w:r w:rsidR="007E20D6" w:rsidRPr="00B40A77">
        <w:rPr>
          <w:color w:val="000000" w:themeColor="text1"/>
          <w:lang w:val="en-US"/>
        </w:rPr>
        <w:t>be</w:t>
      </w:r>
      <w:r w:rsidRPr="00B40A77">
        <w:rPr>
          <w:color w:val="000000" w:themeColor="text1"/>
          <w:lang w:val="en-US"/>
        </w:rPr>
        <w:t xml:space="preserve"> accept</w:t>
      </w:r>
      <w:r w:rsidR="007E20D6" w:rsidRPr="00B40A77">
        <w:rPr>
          <w:color w:val="000000" w:themeColor="text1"/>
          <w:lang w:val="en-US"/>
        </w:rPr>
        <w:t>ed</w:t>
      </w:r>
      <w:r w:rsidRPr="00B40A77">
        <w:rPr>
          <w:color w:val="000000" w:themeColor="text1"/>
          <w:lang w:val="en-US"/>
        </w:rPr>
        <w:t>; or</w:t>
      </w:r>
    </w:p>
    <w:p w14:paraId="61448880" w14:textId="575C3437" w:rsidR="00A351F3" w:rsidRPr="00B40A77" w:rsidRDefault="00A351F3" w:rsidP="00A351F3">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the Court </w:t>
      </w:r>
      <w:r w:rsidR="00267F2E" w:rsidRPr="00B40A77">
        <w:rPr>
          <w:color w:val="000000" w:themeColor="text1"/>
          <w:lang w:val="en-US"/>
        </w:rPr>
        <w:t xml:space="preserve">has </w:t>
      </w:r>
      <w:r w:rsidRPr="00B40A77">
        <w:rPr>
          <w:color w:val="000000" w:themeColor="text1"/>
          <w:lang w:val="en-US"/>
        </w:rPr>
        <w:t xml:space="preserve">directed </w:t>
      </w:r>
      <w:r w:rsidR="007E20D6" w:rsidRPr="00B40A77">
        <w:rPr>
          <w:color w:val="000000" w:themeColor="text1"/>
          <w:lang w:val="en-US"/>
        </w:rPr>
        <w:t>that</w:t>
      </w:r>
      <w:r w:rsidRPr="00B40A77">
        <w:rPr>
          <w:color w:val="000000" w:themeColor="text1"/>
          <w:lang w:val="en-US"/>
        </w:rPr>
        <w:t xml:space="preserve"> any document </w:t>
      </w:r>
      <w:r w:rsidR="007E20D6" w:rsidRPr="00B40A77">
        <w:rPr>
          <w:color w:val="000000" w:themeColor="text1"/>
          <w:lang w:val="en-US"/>
        </w:rPr>
        <w:t xml:space="preserve">not be accepted </w:t>
      </w:r>
      <w:r w:rsidRPr="00B40A77">
        <w:rPr>
          <w:color w:val="000000" w:themeColor="text1"/>
          <w:lang w:val="en-US"/>
        </w:rPr>
        <w:t>from the person lodging it without the prior leave of the Court and such leave has not been obtained.</w:t>
      </w:r>
    </w:p>
    <w:p w14:paraId="1D35701E" w14:textId="608C73F4"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r>
      <w:hyperlink w:anchor="_2.1—Definitions" w:history="1">
        <w:r w:rsidR="00F921D5" w:rsidRPr="00B40A77">
          <w:rPr>
            <w:rStyle w:val="Hyperlink"/>
            <w:color w:val="000000" w:themeColor="text1"/>
            <w:u w:val="none"/>
            <w:lang w:val="en-US"/>
          </w:rPr>
          <w:t>The</w:t>
        </w:r>
        <w:r w:rsidR="00B729A5"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r w:rsidR="00B729A5" w:rsidRPr="00B40A77">
          <w:rPr>
            <w:rStyle w:val="Hyperlink"/>
            <w:color w:val="000000" w:themeColor="text1"/>
            <w:u w:val="none"/>
            <w:lang w:val="en-US"/>
          </w:rPr>
          <w:t xml:space="preserve"> or a</w:t>
        </w:r>
        <w:r w:rsidR="00F921D5" w:rsidRPr="00B40A77">
          <w:rPr>
            <w:rStyle w:val="Hyperlink"/>
            <w:color w:val="000000" w:themeColor="text1"/>
            <w:u w:val="none"/>
            <w:lang w:val="en-US"/>
          </w:rPr>
          <w:t xml:space="preserve"> </w:t>
        </w:r>
        <w:r w:rsidR="00F921D5" w:rsidRPr="00B40A77">
          <w:rPr>
            <w:rStyle w:val="Hyperlink"/>
            <w:color w:val="000000" w:themeColor="text1"/>
            <w:lang w:val="en-US"/>
          </w:rPr>
          <w:t>Registrar</w:t>
        </w:r>
      </w:hyperlink>
      <w:r w:rsidRPr="00B40A77">
        <w:rPr>
          <w:color w:val="000000" w:themeColor="text1"/>
          <w:lang w:val="en-US"/>
        </w:rPr>
        <w:t xml:space="preserve"> may reject a document under subrule</w:t>
      </w:r>
      <w:r w:rsidR="00505080" w:rsidRPr="00B40A77">
        <w:rPr>
          <w:color w:val="000000" w:themeColor="text1"/>
          <w:lang w:val="en-US"/>
        </w:rPr>
        <w:t> </w:t>
      </w:r>
      <w:r w:rsidRPr="00B40A77">
        <w:rPr>
          <w:color w:val="000000" w:themeColor="text1"/>
          <w:lang w:val="en-US"/>
        </w:rPr>
        <w:t xml:space="preserve">(1) that was lodged for filing via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and conditionally accepted for filing under </w:t>
      </w:r>
      <w:hyperlink w:anchor="_32.1—Filing_of_documents" w:history="1">
        <w:r w:rsidRPr="00B40A77">
          <w:rPr>
            <w:rStyle w:val="Hyperlink"/>
            <w:color w:val="000000" w:themeColor="text1"/>
            <w:lang w:val="en-US"/>
          </w:rPr>
          <w:t xml:space="preserve">rule </w:t>
        </w:r>
        <w:r w:rsidR="00203D65" w:rsidRPr="00B40A77">
          <w:rPr>
            <w:rStyle w:val="Hyperlink"/>
            <w:color w:val="000000" w:themeColor="text1"/>
            <w:lang w:val="en-US"/>
          </w:rPr>
          <w:t>2</w:t>
        </w:r>
        <w:r w:rsidR="007D6E57" w:rsidRPr="00B40A77">
          <w:rPr>
            <w:rStyle w:val="Hyperlink"/>
            <w:color w:val="000000" w:themeColor="text1"/>
            <w:lang w:val="en-US"/>
          </w:rPr>
          <w:t>9</w:t>
        </w:r>
        <w:r w:rsidRPr="00B40A77">
          <w:rPr>
            <w:rStyle w:val="Hyperlink"/>
            <w:color w:val="000000" w:themeColor="text1"/>
            <w:lang w:val="en-US"/>
          </w:rPr>
          <w:t>.1</w:t>
        </w:r>
      </w:hyperlink>
      <w:r w:rsidRPr="00B40A77">
        <w:rPr>
          <w:color w:val="000000" w:themeColor="text1"/>
          <w:lang w:val="en-US"/>
        </w:rPr>
        <w:t xml:space="preserve"> if—</w:t>
      </w:r>
    </w:p>
    <w:p w14:paraId="261AEBAB" w14:textId="3BAB6B4F"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6F66CD" w:rsidRPr="00B40A77">
        <w:rPr>
          <w:color w:val="000000" w:themeColor="text1"/>
          <w:lang w:val="en-US"/>
        </w:rPr>
        <w:t xml:space="preserve">the rejection is made </w:t>
      </w:r>
      <w:r w:rsidRPr="00B40A77">
        <w:rPr>
          <w:color w:val="000000" w:themeColor="text1"/>
          <w:lang w:val="en-US"/>
        </w:rPr>
        <w:t>within 7 days of the conditional acceptance;</w:t>
      </w:r>
    </w:p>
    <w:p w14:paraId="71CFBE82" w14:textId="07493D66"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r>
      <w:hyperlink w:anchor="_2.1—Definitions" w:history="1">
        <w:r w:rsidR="00854678" w:rsidRPr="00B40A77">
          <w:rPr>
            <w:rStyle w:val="Hyperlink"/>
            <w:color w:val="000000" w:themeColor="text1"/>
            <w:szCs w:val="22"/>
          </w:rPr>
          <w:t>_2.1—Definitions</w:t>
        </w:r>
      </w:hyperlink>
      <w:r w:rsidRPr="00B40A77">
        <w:rPr>
          <w:color w:val="000000" w:themeColor="text1"/>
          <w:lang w:val="en-US"/>
        </w:rPr>
        <w:t xml:space="preserve">the person </w:t>
      </w:r>
      <w:r w:rsidR="006F66CD" w:rsidRPr="00B40A77">
        <w:rPr>
          <w:color w:val="000000" w:themeColor="text1"/>
          <w:lang w:val="en-US"/>
        </w:rPr>
        <w:t xml:space="preserve">is informed </w:t>
      </w:r>
      <w:r w:rsidRPr="00B40A77">
        <w:rPr>
          <w:color w:val="000000" w:themeColor="text1"/>
          <w:lang w:val="en-US"/>
        </w:rPr>
        <w:t>of the ground for rejection; and</w:t>
      </w:r>
    </w:p>
    <w:p w14:paraId="49CC74B1" w14:textId="38476CBC"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if the rejection is made under paragraph (a) or (b) of subrule</w:t>
      </w:r>
      <w:r w:rsidR="001B1E8A" w:rsidRPr="00B40A77">
        <w:rPr>
          <w:color w:val="000000" w:themeColor="text1"/>
          <w:lang w:val="en-US"/>
        </w:rPr>
        <w:t> </w:t>
      </w:r>
      <w:r w:rsidRPr="00B40A77">
        <w:rPr>
          <w:color w:val="000000" w:themeColor="text1"/>
          <w:lang w:val="en-US"/>
        </w:rPr>
        <w:t>(1)—</w:t>
      </w:r>
      <w:r w:rsidR="00B729A5" w:rsidRPr="00B40A77">
        <w:rPr>
          <w:color w:val="000000" w:themeColor="text1"/>
          <w:lang w:val="en-US"/>
        </w:rPr>
        <w:t xml:space="preserve">the </w:t>
      </w:r>
      <w:r w:rsidRPr="00B40A77">
        <w:rPr>
          <w:color w:val="000000" w:themeColor="text1"/>
          <w:lang w:val="en-US"/>
        </w:rPr>
        <w:t xml:space="preserve">person who lodged the document </w:t>
      </w:r>
      <w:r w:rsidR="006F66CD" w:rsidRPr="00B40A77">
        <w:rPr>
          <w:color w:val="000000" w:themeColor="text1"/>
          <w:lang w:val="en-US"/>
        </w:rPr>
        <w:t xml:space="preserve">is given </w:t>
      </w:r>
      <w:r w:rsidRPr="00B40A77">
        <w:rPr>
          <w:color w:val="000000" w:themeColor="text1"/>
          <w:lang w:val="en-US"/>
        </w:rPr>
        <w:t>an opportunity to lodge a substituted document within 7 days rectifying the matter that caused the original document to be rejected.</w:t>
      </w:r>
    </w:p>
    <w:p w14:paraId="43A580B1" w14:textId="6754FA10" w:rsidR="00A351F3" w:rsidRPr="00B40A77" w:rsidRDefault="00A351F3" w:rsidP="00AA301B">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If </w:t>
      </w:r>
      <w:hyperlink w:anchor="_2.1—Definitions" w:history="1">
        <w:r w:rsidR="00F921D5" w:rsidRPr="00B40A77">
          <w:rPr>
            <w:rStyle w:val="Hyperlink"/>
            <w:color w:val="000000" w:themeColor="text1"/>
            <w:u w:val="none"/>
            <w:lang w:val="en-US"/>
          </w:rPr>
          <w:t>the</w:t>
        </w:r>
        <w:r w:rsidR="00B729A5"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r w:rsidR="00B729A5" w:rsidRPr="00B40A77">
          <w:rPr>
            <w:rStyle w:val="Hyperlink"/>
            <w:color w:val="000000" w:themeColor="text1"/>
            <w:u w:val="none"/>
            <w:lang w:val="en-US"/>
          </w:rPr>
          <w:t xml:space="preserve"> or a</w:t>
        </w:r>
        <w:r w:rsidR="00F921D5" w:rsidRPr="00B40A77">
          <w:rPr>
            <w:rStyle w:val="Hyperlink"/>
            <w:color w:val="000000" w:themeColor="text1"/>
            <w:u w:val="none"/>
            <w:lang w:val="en-US"/>
          </w:rPr>
          <w:t xml:space="preserve"> </w:t>
        </w:r>
        <w:r w:rsidR="00F921D5" w:rsidRPr="00B40A77">
          <w:rPr>
            <w:rStyle w:val="Hyperlink"/>
            <w:color w:val="000000" w:themeColor="text1"/>
            <w:lang w:val="en-US"/>
          </w:rPr>
          <w:t>Registrar</w:t>
        </w:r>
      </w:hyperlink>
      <w:r w:rsidRPr="00B40A77">
        <w:rPr>
          <w:color w:val="000000" w:themeColor="text1"/>
          <w:lang w:val="en-US"/>
        </w:rPr>
        <w:t xml:space="preserve"> accepts a substituted document under </w:t>
      </w:r>
      <w:r w:rsidR="00435662" w:rsidRPr="00B40A77">
        <w:rPr>
          <w:color w:val="000000" w:themeColor="text1"/>
          <w:lang w:val="en-US"/>
        </w:rPr>
        <w:t>subrule </w:t>
      </w:r>
      <w:r w:rsidRPr="00B40A77">
        <w:rPr>
          <w:color w:val="000000" w:themeColor="text1"/>
          <w:lang w:val="en-US"/>
        </w:rPr>
        <w:t>(2)(c), unless the Court otherwise orders, it will be treated as having been filed on the date on which the rejected document was conditionally accepted for filing.</w:t>
      </w:r>
    </w:p>
    <w:p w14:paraId="3F46F0B3" w14:textId="77777777" w:rsidR="00A351F3" w:rsidRPr="00B40A77" w:rsidRDefault="00A351F3" w:rsidP="00E13A93">
      <w:pPr>
        <w:pStyle w:val="NoteHeader"/>
        <w:keepNext/>
        <w:rPr>
          <w:color w:val="000000" w:themeColor="text1"/>
        </w:rPr>
      </w:pPr>
      <w:r w:rsidRPr="00B40A77">
        <w:rPr>
          <w:color w:val="000000" w:themeColor="text1"/>
        </w:rPr>
        <w:t>Notes—</w:t>
      </w:r>
    </w:p>
    <w:p w14:paraId="1F8CDA2C" w14:textId="77777777" w:rsidR="00A351F3" w:rsidRPr="00B40A77" w:rsidRDefault="00A351F3" w:rsidP="00A351F3">
      <w:pPr>
        <w:pStyle w:val="NoteText"/>
        <w:rPr>
          <w:color w:val="000000" w:themeColor="text1"/>
        </w:rPr>
      </w:pPr>
      <w:r w:rsidRPr="00B40A77">
        <w:rPr>
          <w:color w:val="000000" w:themeColor="text1"/>
        </w:rPr>
        <w:t>The Court might otherwise order, for example, if the lodging party did not attempt in good faith to comply with the relevant rule.</w:t>
      </w:r>
    </w:p>
    <w:p w14:paraId="799A86F9" w14:textId="420A1B3E" w:rsidR="00A351F3" w:rsidRPr="00B40A77" w:rsidRDefault="00A351F3" w:rsidP="00A351F3">
      <w:pPr>
        <w:pStyle w:val="NoteText"/>
        <w:rPr>
          <w:color w:val="000000" w:themeColor="text1"/>
        </w:rPr>
      </w:pPr>
      <w:r w:rsidRPr="00B40A77">
        <w:rPr>
          <w:color w:val="000000" w:themeColor="text1"/>
        </w:rPr>
        <w:t>A document which is not rejected for filing but which falls within a paragraph of subrule</w:t>
      </w:r>
      <w:r w:rsidR="00435662" w:rsidRPr="00B40A77">
        <w:rPr>
          <w:color w:val="000000" w:themeColor="text1"/>
        </w:rPr>
        <w:t> </w:t>
      </w:r>
      <w:r w:rsidRPr="00B40A77">
        <w:rPr>
          <w:color w:val="000000" w:themeColor="text1"/>
        </w:rPr>
        <w:t xml:space="preserve">(1) will be amenable to an application to strike it out under </w:t>
      </w:r>
      <w:hyperlink w:anchor="_34.1—Strike_out_of" w:history="1">
        <w:r w:rsidRPr="00B40A77">
          <w:rPr>
            <w:rStyle w:val="Hyperlink"/>
            <w:color w:val="000000" w:themeColor="text1"/>
          </w:rPr>
          <w:t xml:space="preserve">rule </w:t>
        </w:r>
        <w:r w:rsidR="00203D65" w:rsidRPr="00B40A77">
          <w:rPr>
            <w:rStyle w:val="Hyperlink"/>
            <w:color w:val="000000" w:themeColor="text1"/>
          </w:rPr>
          <w:t>30</w:t>
        </w:r>
        <w:r w:rsidRPr="00B40A77">
          <w:rPr>
            <w:rStyle w:val="Hyperlink"/>
            <w:color w:val="000000" w:themeColor="text1"/>
          </w:rPr>
          <w:t>.</w:t>
        </w:r>
        <w:r w:rsidR="00DD5BE6" w:rsidRPr="00B40A77">
          <w:rPr>
            <w:rStyle w:val="Hyperlink"/>
            <w:color w:val="000000" w:themeColor="text1"/>
          </w:rPr>
          <w:t>3</w:t>
        </w:r>
      </w:hyperlink>
      <w:r w:rsidRPr="00B40A77">
        <w:rPr>
          <w:color w:val="000000" w:themeColor="text1"/>
        </w:rPr>
        <w:t>.</w:t>
      </w:r>
    </w:p>
    <w:p w14:paraId="3838F91E" w14:textId="3092A600" w:rsidR="00A351F3" w:rsidRPr="00B40A77" w:rsidRDefault="00A351F3" w:rsidP="00A351F3">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w:t>
      </w:r>
      <w:hyperlink w:anchor="_2.1—Definitions" w:history="1">
        <w:r w:rsidR="00F921D5" w:rsidRPr="00B40A77">
          <w:rPr>
            <w:rStyle w:val="Hyperlink"/>
            <w:color w:val="000000" w:themeColor="text1"/>
            <w:u w:val="none"/>
            <w:lang w:val="en-US"/>
          </w:rPr>
          <w:t>the</w:t>
        </w:r>
        <w:r w:rsidR="00B729A5" w:rsidRPr="00B40A77">
          <w:rPr>
            <w:rStyle w:val="Hyperlink"/>
            <w:color w:val="000000" w:themeColor="text1"/>
            <w:u w:val="none"/>
            <w:lang w:val="en-US"/>
          </w:rPr>
          <w:t xml:space="preserve"> </w:t>
        </w:r>
        <w:hyperlink w:anchor="_2.1—Definitions" w:history="1">
          <w:r w:rsidR="00D61876" w:rsidRPr="00B40A77">
            <w:rPr>
              <w:rStyle w:val="Hyperlink"/>
              <w:color w:val="000000" w:themeColor="text1"/>
              <w:lang w:val="en-US"/>
            </w:rPr>
            <w:t>Principal Registrar</w:t>
          </w:r>
        </w:hyperlink>
        <w:r w:rsidR="00B729A5" w:rsidRPr="00B40A77">
          <w:rPr>
            <w:rStyle w:val="Hyperlink"/>
            <w:color w:val="000000" w:themeColor="text1"/>
            <w:u w:val="none"/>
            <w:lang w:val="en-US"/>
          </w:rPr>
          <w:t xml:space="preserve"> or a</w:t>
        </w:r>
        <w:r w:rsidR="00F921D5" w:rsidRPr="00B40A77">
          <w:rPr>
            <w:rStyle w:val="Hyperlink"/>
            <w:color w:val="000000" w:themeColor="text1"/>
            <w:u w:val="none"/>
            <w:lang w:val="en-US"/>
          </w:rPr>
          <w:t xml:space="preserve"> </w:t>
        </w:r>
        <w:r w:rsidR="00F921D5" w:rsidRPr="00B40A77">
          <w:rPr>
            <w:rStyle w:val="Hyperlink"/>
            <w:color w:val="000000" w:themeColor="text1"/>
            <w:lang w:val="en-US"/>
          </w:rPr>
          <w:t>Registrar</w:t>
        </w:r>
      </w:hyperlink>
      <w:r w:rsidRPr="00B40A77">
        <w:rPr>
          <w:color w:val="000000" w:themeColor="text1"/>
          <w:lang w:val="en-US"/>
        </w:rPr>
        <w:t xml:space="preserve"> rejects a document under subrule</w:t>
      </w:r>
      <w:r w:rsidR="008B6C02" w:rsidRPr="00B40A77">
        <w:rPr>
          <w:color w:val="000000" w:themeColor="text1"/>
          <w:lang w:val="en-US"/>
        </w:rPr>
        <w:t> </w:t>
      </w:r>
      <w:r w:rsidRPr="00B40A77">
        <w:rPr>
          <w:color w:val="000000" w:themeColor="text1"/>
          <w:lang w:val="en-US"/>
        </w:rPr>
        <w:t>(2) and does not accept a substituted document under subrule</w:t>
      </w:r>
      <w:r w:rsidR="008B6C02" w:rsidRPr="00B40A77">
        <w:rPr>
          <w:color w:val="000000" w:themeColor="text1"/>
          <w:lang w:val="en-US"/>
        </w:rPr>
        <w:t> </w:t>
      </w:r>
      <w:r w:rsidRPr="00B40A77">
        <w:rPr>
          <w:color w:val="000000" w:themeColor="text1"/>
          <w:lang w:val="en-US"/>
        </w:rPr>
        <w:t>(3), it will be treated as not having been filed and will be deleted from the records of the Court.</w:t>
      </w:r>
    </w:p>
    <w:p w14:paraId="7B6D113D" w14:textId="7763AB03" w:rsidR="00BF787F" w:rsidRPr="00B40A77" w:rsidRDefault="00BF787F" w:rsidP="00BF787F">
      <w:pPr>
        <w:pStyle w:val="Heading4"/>
        <w:rPr>
          <w:color w:val="000000" w:themeColor="text1"/>
        </w:rPr>
      </w:pPr>
      <w:bookmarkStart w:id="211" w:name="_Toc175238825"/>
      <w:r w:rsidRPr="00B40A77">
        <w:rPr>
          <w:color w:val="000000" w:themeColor="text1"/>
        </w:rPr>
        <w:lastRenderedPageBreak/>
        <w:t>2</w:t>
      </w:r>
      <w:r w:rsidR="00F20F0A" w:rsidRPr="00B40A77">
        <w:rPr>
          <w:color w:val="000000" w:themeColor="text1"/>
        </w:rPr>
        <w:t>9</w:t>
      </w:r>
      <w:r w:rsidRPr="00B40A77">
        <w:rPr>
          <w:color w:val="000000" w:themeColor="text1"/>
        </w:rPr>
        <w:t>.4—Documents not filed</w:t>
      </w:r>
      <w:bookmarkEnd w:id="211"/>
    </w:p>
    <w:p w14:paraId="23ED4CDB" w14:textId="7F4864A2" w:rsidR="00BF787F" w:rsidRPr="00B40A77" w:rsidRDefault="00BF787F" w:rsidP="00BF787F">
      <w:pPr>
        <w:pStyle w:val="Hangindent"/>
        <w:rPr>
          <w:color w:val="000000" w:themeColor="text1"/>
          <w:lang w:val="en-US"/>
        </w:rPr>
      </w:pPr>
      <w:r w:rsidRPr="00B40A77">
        <w:rPr>
          <w:color w:val="000000" w:themeColor="text1"/>
          <w:lang w:val="en-US"/>
        </w:rPr>
        <w:t>(1)</w:t>
      </w:r>
      <w:r w:rsidRPr="00B40A77">
        <w:rPr>
          <w:color w:val="000000" w:themeColor="text1"/>
          <w:lang w:val="en-US"/>
        </w:rPr>
        <w:tab/>
      </w:r>
      <w:hyperlink w:anchor="_2.1—Definitions" w:history="1">
        <w:r w:rsidR="007E20D6" w:rsidRPr="00B40A77">
          <w:rPr>
            <w:color w:val="000000" w:themeColor="text1"/>
          </w:rPr>
          <w:t xml:space="preserve">The Court or </w:t>
        </w:r>
        <w:r w:rsidR="00F921D5" w:rsidRPr="00B40A77">
          <w:rPr>
            <w:color w:val="000000" w:themeColor="text1"/>
          </w:rPr>
          <w:t>the</w:t>
        </w:r>
        <w:r w:rsidR="005B1E08" w:rsidRPr="00B40A77">
          <w:rPr>
            <w:color w:val="000000" w:themeColor="text1"/>
          </w:rPr>
          <w:t xml:space="preserve"> </w:t>
        </w:r>
        <w:hyperlink w:anchor="_2.1—Definitions" w:history="1">
          <w:r w:rsidR="008C4FBA" w:rsidRPr="00B40A77">
            <w:rPr>
              <w:rStyle w:val="Hyperlink"/>
              <w:color w:val="000000" w:themeColor="text1"/>
              <w:lang w:val="en-US"/>
            </w:rPr>
            <w:t>Principal Registrar</w:t>
          </w:r>
        </w:hyperlink>
        <w:r w:rsidR="008C4FBA" w:rsidRPr="00B40A77">
          <w:rPr>
            <w:color w:val="000000" w:themeColor="text1"/>
            <w:lang w:val="en-US"/>
          </w:rPr>
          <w:t xml:space="preserve"> or a </w:t>
        </w:r>
        <w:r w:rsidR="005B1E08" w:rsidRPr="00B40A77">
          <w:rPr>
            <w:color w:val="000000" w:themeColor="text1"/>
            <w:u w:val="single"/>
          </w:rPr>
          <w:t>Registrar</w:t>
        </w:r>
      </w:hyperlink>
      <w:r w:rsidR="005B1E08" w:rsidRPr="00B40A77">
        <w:rPr>
          <w:color w:val="000000" w:themeColor="text1"/>
        </w:rPr>
        <w:t xml:space="preserve"> </w:t>
      </w:r>
      <w:r w:rsidRPr="00B40A77">
        <w:rPr>
          <w:color w:val="000000" w:themeColor="text1"/>
          <w:lang w:val="en-US"/>
        </w:rPr>
        <w:t xml:space="preserve">may accept </w:t>
      </w:r>
      <w:r w:rsidR="00A57755" w:rsidRPr="00B40A77">
        <w:rPr>
          <w:color w:val="000000" w:themeColor="text1"/>
          <w:lang w:val="en-US"/>
        </w:rPr>
        <w:t xml:space="preserve">from a party </w:t>
      </w:r>
      <w:r w:rsidRPr="00B40A77">
        <w:rPr>
          <w:color w:val="000000" w:themeColor="text1"/>
          <w:lang w:val="en-US"/>
        </w:rPr>
        <w:t xml:space="preserve">a document without its being filed </w:t>
      </w:r>
      <w:r w:rsidR="00A57755" w:rsidRPr="00B40A77">
        <w:rPr>
          <w:color w:val="000000" w:themeColor="text1"/>
          <w:lang w:val="en-US"/>
        </w:rPr>
        <w:t xml:space="preserve">or served on any other party </w:t>
      </w:r>
      <w:r w:rsidRPr="00B40A77">
        <w:rPr>
          <w:color w:val="000000" w:themeColor="text1"/>
          <w:lang w:val="en-US"/>
        </w:rPr>
        <w:t>if in</w:t>
      </w:r>
      <w:r w:rsidR="007E20D6" w:rsidRPr="00B40A77">
        <w:rPr>
          <w:color w:val="000000" w:themeColor="text1"/>
          <w:lang w:val="en-US"/>
        </w:rPr>
        <w:t xml:space="preserve"> the opinion of the Court</w:t>
      </w:r>
      <w:r w:rsidR="00B729A5"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00B729A5" w:rsidRPr="00B40A77">
        <w:rPr>
          <w:color w:val="000000" w:themeColor="text1"/>
          <w:lang w:val="en-US"/>
        </w:rPr>
        <w:t xml:space="preserve"> or </w:t>
      </w:r>
      <w:r w:rsidRPr="00B40A77">
        <w:rPr>
          <w:color w:val="000000" w:themeColor="text1"/>
          <w:u w:val="single"/>
          <w:lang w:val="en-US"/>
        </w:rPr>
        <w:t>Registrar</w:t>
      </w:r>
      <w:r w:rsidRPr="00B40A77">
        <w:rPr>
          <w:color w:val="000000" w:themeColor="text1"/>
          <w:lang w:val="en-US"/>
        </w:rPr>
        <w:t xml:space="preserve"> it is necessary or desirable to do so</w:t>
      </w:r>
      <w:r w:rsidR="00A57755" w:rsidRPr="00B40A77">
        <w:rPr>
          <w:color w:val="000000" w:themeColor="text1"/>
          <w:lang w:val="en-US"/>
        </w:rPr>
        <w:t>.</w:t>
      </w:r>
    </w:p>
    <w:p w14:paraId="51300D0D" w14:textId="17498554" w:rsidR="00A57755" w:rsidRPr="00B40A77" w:rsidRDefault="00A57755" w:rsidP="00BF787F">
      <w:pPr>
        <w:pStyle w:val="Hangindent"/>
        <w:rPr>
          <w:color w:val="000000" w:themeColor="text1"/>
          <w:lang w:val="en-US"/>
        </w:rPr>
      </w:pPr>
      <w:r w:rsidRPr="00B40A77">
        <w:rPr>
          <w:color w:val="000000" w:themeColor="text1"/>
          <w:lang w:val="en-US"/>
        </w:rPr>
        <w:t>(2)</w:t>
      </w:r>
      <w:r w:rsidRPr="00B40A77">
        <w:rPr>
          <w:color w:val="000000" w:themeColor="text1"/>
          <w:lang w:val="en-US"/>
        </w:rPr>
        <w:tab/>
        <w:t>Without affecting the generality of subrule</w:t>
      </w:r>
      <w:r w:rsidR="00435662" w:rsidRPr="00B40A77">
        <w:rPr>
          <w:color w:val="000000" w:themeColor="text1"/>
          <w:lang w:val="en-US"/>
        </w:rPr>
        <w:t> </w:t>
      </w:r>
      <w:r w:rsidRPr="00B40A77">
        <w:rPr>
          <w:color w:val="000000" w:themeColor="text1"/>
          <w:lang w:val="en-US"/>
        </w:rPr>
        <w:t>(1), a document may be accepted under subrule</w:t>
      </w:r>
      <w:r w:rsidR="00435662" w:rsidRPr="00B40A77">
        <w:rPr>
          <w:color w:val="000000" w:themeColor="text1"/>
          <w:lang w:val="en-US"/>
        </w:rPr>
        <w:t> </w:t>
      </w:r>
      <w:r w:rsidRPr="00B40A77">
        <w:rPr>
          <w:color w:val="000000" w:themeColor="text1"/>
          <w:lang w:val="en-US"/>
        </w:rPr>
        <w:t>(1) if in the opinion of the Court</w:t>
      </w:r>
      <w:r w:rsidR="00B729A5"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00B729A5" w:rsidRPr="00B40A77">
        <w:rPr>
          <w:color w:val="000000" w:themeColor="text1"/>
          <w:lang w:val="en-US"/>
        </w:rPr>
        <w:t xml:space="preserve"> or</w:t>
      </w:r>
      <w:r w:rsidR="008C4FBA" w:rsidRPr="00B40A77">
        <w:rPr>
          <w:color w:val="000000" w:themeColor="text1"/>
          <w:lang w:val="en-US"/>
        </w:rPr>
        <w:t xml:space="preserve"> </w:t>
      </w:r>
      <w:r w:rsidRPr="00B40A77">
        <w:rPr>
          <w:color w:val="000000" w:themeColor="text1"/>
          <w:u w:val="single"/>
          <w:lang w:val="en-US"/>
        </w:rPr>
        <w:t xml:space="preserve">Registrar </w:t>
      </w:r>
      <w:r w:rsidRPr="00B40A77">
        <w:rPr>
          <w:color w:val="000000" w:themeColor="text1"/>
          <w:lang w:val="en-US"/>
        </w:rPr>
        <w:t>a person may be at risk of harm if the existence or content of the document is disclosed.</w:t>
      </w:r>
    </w:p>
    <w:p w14:paraId="7E07451B" w14:textId="131D4E10" w:rsidR="00A57755" w:rsidRPr="00B40A77" w:rsidRDefault="00A57755" w:rsidP="00BF787F">
      <w:pPr>
        <w:pStyle w:val="Hangindent"/>
        <w:rPr>
          <w:color w:val="000000" w:themeColor="text1"/>
        </w:rPr>
      </w:pPr>
      <w:r w:rsidRPr="00B40A77">
        <w:rPr>
          <w:color w:val="000000" w:themeColor="text1"/>
          <w:lang w:val="en-US"/>
        </w:rPr>
        <w:t>(3)</w:t>
      </w:r>
      <w:r w:rsidRPr="00B40A77">
        <w:rPr>
          <w:color w:val="000000" w:themeColor="text1"/>
          <w:lang w:val="en-US"/>
        </w:rPr>
        <w:tab/>
        <w:t xml:space="preserve">If a document is accepted under this </w:t>
      </w:r>
      <w:r w:rsidR="002324A9" w:rsidRPr="00B40A77">
        <w:rPr>
          <w:color w:val="000000" w:themeColor="text1"/>
          <w:lang w:val="en-US"/>
        </w:rPr>
        <w:t>r</w:t>
      </w:r>
      <w:r w:rsidRPr="00B40A77">
        <w:rPr>
          <w:color w:val="000000" w:themeColor="text1"/>
          <w:lang w:val="en-US"/>
        </w:rPr>
        <w:t xml:space="preserve">ule, steps </w:t>
      </w:r>
      <w:r w:rsidR="008C4FBA" w:rsidRPr="00B40A77">
        <w:rPr>
          <w:color w:val="000000" w:themeColor="text1"/>
          <w:lang w:val="en-US"/>
        </w:rPr>
        <w:t xml:space="preserve">will be taken </w:t>
      </w:r>
      <w:r w:rsidRPr="00B40A77">
        <w:rPr>
          <w:color w:val="000000" w:themeColor="text1"/>
          <w:lang w:val="en-US"/>
        </w:rPr>
        <w:t>to preserve the confidentiality of the document.</w:t>
      </w:r>
    </w:p>
    <w:p w14:paraId="7CB9B4B5" w14:textId="56285202" w:rsidR="00A351F3" w:rsidRPr="00B40A77" w:rsidRDefault="00203D65" w:rsidP="00A351F3">
      <w:pPr>
        <w:pStyle w:val="Heading4"/>
        <w:rPr>
          <w:color w:val="000000" w:themeColor="text1"/>
        </w:rPr>
      </w:pPr>
      <w:bookmarkStart w:id="212" w:name="_Toc175238826"/>
      <w:r w:rsidRPr="00B40A77">
        <w:rPr>
          <w:color w:val="000000" w:themeColor="text1"/>
        </w:rPr>
        <w:t>2</w:t>
      </w:r>
      <w:r w:rsidR="00F20F0A" w:rsidRPr="00B40A77">
        <w:rPr>
          <w:color w:val="000000" w:themeColor="text1"/>
        </w:rPr>
        <w:t>9</w:t>
      </w:r>
      <w:r w:rsidR="00A351F3" w:rsidRPr="00B40A77">
        <w:rPr>
          <w:color w:val="000000" w:themeColor="text1"/>
        </w:rPr>
        <w:t>.</w:t>
      </w:r>
      <w:r w:rsidR="00BF787F" w:rsidRPr="00B40A77">
        <w:rPr>
          <w:color w:val="000000" w:themeColor="text1"/>
        </w:rPr>
        <w:t>5</w:t>
      </w:r>
      <w:r w:rsidR="00A351F3" w:rsidRPr="00B40A77">
        <w:rPr>
          <w:color w:val="000000" w:themeColor="text1"/>
        </w:rPr>
        <w:t>—Directions by Court</w:t>
      </w:r>
      <w:bookmarkEnd w:id="212"/>
    </w:p>
    <w:p w14:paraId="7B568886" w14:textId="721DC1F6" w:rsidR="00A351F3" w:rsidRPr="00B40A77" w:rsidRDefault="00A351F3" w:rsidP="00A351F3">
      <w:pPr>
        <w:pStyle w:val="IndentedPara"/>
        <w:rPr>
          <w:color w:val="000000" w:themeColor="text1"/>
        </w:rPr>
      </w:pPr>
      <w:r w:rsidRPr="00B40A77">
        <w:rPr>
          <w:color w:val="000000" w:themeColor="text1"/>
        </w:rPr>
        <w:t>The Court may, o</w:t>
      </w:r>
      <w:r w:rsidR="003C6A88" w:rsidRPr="00B40A77">
        <w:rPr>
          <w:color w:val="000000" w:themeColor="text1"/>
        </w:rPr>
        <w:t>n</w:t>
      </w:r>
      <w:r w:rsidRPr="00B40A77">
        <w:rPr>
          <w:color w:val="000000" w:themeColor="text1"/>
        </w:rPr>
        <w:t xml:space="preserve"> its own </w:t>
      </w:r>
      <w:r w:rsidR="003C6A88" w:rsidRPr="00B40A77">
        <w:rPr>
          <w:color w:val="000000" w:themeColor="text1"/>
        </w:rPr>
        <w:t>initiative</w:t>
      </w:r>
      <w:r w:rsidRPr="00B40A77">
        <w:rPr>
          <w:color w:val="000000" w:themeColor="text1"/>
        </w:rPr>
        <w:t xml:space="preserve">, on referral by </w:t>
      </w:r>
      <w:hyperlink w:anchor="_2.1—Definitions" w:history="1">
        <w:hyperlink w:anchor="_2.1—Definitions" w:history="1">
          <w:r w:rsidR="00F921D5" w:rsidRPr="00B40A77">
            <w:rPr>
              <w:rStyle w:val="Hyperlink"/>
              <w:color w:val="000000" w:themeColor="text1"/>
              <w:u w:val="none"/>
            </w:rPr>
            <w:t xml:space="preserve">the </w:t>
          </w:r>
          <w:hyperlink w:anchor="_2.1—Definitions" w:history="1">
            <w:r w:rsidR="00D61876" w:rsidRPr="00B40A77">
              <w:rPr>
                <w:rStyle w:val="Hyperlink"/>
                <w:color w:val="000000" w:themeColor="text1"/>
              </w:rPr>
              <w:t>Principal Registrar</w:t>
            </w:r>
          </w:hyperlink>
          <w:r w:rsidR="009F089F" w:rsidRPr="00B40A77">
            <w:rPr>
              <w:rStyle w:val="Hyperlink"/>
              <w:color w:val="000000" w:themeColor="text1"/>
              <w:u w:val="none"/>
            </w:rPr>
            <w:t xml:space="preserve"> or a </w:t>
          </w:r>
          <w:r w:rsidR="00F921D5" w:rsidRPr="00B40A77">
            <w:rPr>
              <w:rStyle w:val="Hyperlink"/>
              <w:color w:val="000000" w:themeColor="text1"/>
            </w:rPr>
            <w:t>Registrar</w:t>
          </w:r>
        </w:hyperlink>
      </w:hyperlink>
      <w:r w:rsidRPr="00B40A77">
        <w:rPr>
          <w:color w:val="000000" w:themeColor="text1"/>
        </w:rPr>
        <w:t xml:space="preserve"> or on application by a person—</w:t>
      </w:r>
    </w:p>
    <w:p w14:paraId="41C077C9" w14:textId="07CEB73F" w:rsidR="00A351F3" w:rsidRPr="00B40A77" w:rsidRDefault="00A351F3" w:rsidP="00A351F3">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direct </w:t>
      </w:r>
      <w:r w:rsidR="006F66CD" w:rsidRPr="00B40A77">
        <w:rPr>
          <w:color w:val="000000" w:themeColor="text1"/>
        </w:rPr>
        <w:t>that a document not be</w:t>
      </w:r>
      <w:r w:rsidRPr="00B40A77">
        <w:rPr>
          <w:color w:val="000000" w:themeColor="text1"/>
          <w:lang w:val="en-US"/>
        </w:rPr>
        <w:t xml:space="preserve"> accept</w:t>
      </w:r>
      <w:r w:rsidR="006F66CD" w:rsidRPr="00B40A77">
        <w:rPr>
          <w:color w:val="000000" w:themeColor="text1"/>
          <w:lang w:val="en-US"/>
        </w:rPr>
        <w:t>ed</w:t>
      </w:r>
      <w:r w:rsidRPr="00B40A77">
        <w:rPr>
          <w:color w:val="000000" w:themeColor="text1"/>
          <w:lang w:val="en-US"/>
        </w:rPr>
        <w:t>; or</w:t>
      </w:r>
    </w:p>
    <w:p w14:paraId="0FC044A5" w14:textId="77BF0F40" w:rsidR="00A351F3" w:rsidRPr="00B40A77" w:rsidRDefault="00A351F3" w:rsidP="00A351F3">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direct </w:t>
      </w:r>
      <w:r w:rsidR="006F66CD" w:rsidRPr="00B40A77">
        <w:rPr>
          <w:color w:val="000000" w:themeColor="text1"/>
        </w:rPr>
        <w:t>that a</w:t>
      </w:r>
      <w:r w:rsidRPr="00B40A77">
        <w:rPr>
          <w:color w:val="000000" w:themeColor="text1"/>
          <w:lang w:val="en-US"/>
        </w:rPr>
        <w:t xml:space="preserve">ny document </w:t>
      </w:r>
      <w:r w:rsidR="006F66CD" w:rsidRPr="00B40A77">
        <w:rPr>
          <w:color w:val="000000" w:themeColor="text1"/>
          <w:lang w:val="en-US"/>
        </w:rPr>
        <w:t xml:space="preserve">not be accepted </w:t>
      </w:r>
      <w:r w:rsidRPr="00B40A77">
        <w:rPr>
          <w:color w:val="000000" w:themeColor="text1"/>
          <w:lang w:val="en-US"/>
        </w:rPr>
        <w:t>from the person lodging it without the prior leave of the Court.</w:t>
      </w:r>
    </w:p>
    <w:p w14:paraId="5E1633A0" w14:textId="77777777" w:rsidR="00A351F3" w:rsidRPr="00B40A77" w:rsidRDefault="00A351F3" w:rsidP="00A351F3">
      <w:pPr>
        <w:pStyle w:val="Heading3"/>
        <w:rPr>
          <w:color w:val="000000" w:themeColor="text1"/>
        </w:rPr>
      </w:pPr>
      <w:bookmarkStart w:id="213" w:name="_Toc175238827"/>
      <w:r w:rsidRPr="00B40A77">
        <w:rPr>
          <w:color w:val="000000" w:themeColor="text1"/>
        </w:rPr>
        <w:t>Division 3—Amendment or strike out of filed documents</w:t>
      </w:r>
      <w:bookmarkEnd w:id="213"/>
    </w:p>
    <w:p w14:paraId="14C7581F" w14:textId="78536CE7" w:rsidR="00A351F3" w:rsidRPr="00B40A77" w:rsidRDefault="00F20F0A" w:rsidP="00A351F3">
      <w:pPr>
        <w:pStyle w:val="Heading4"/>
        <w:rPr>
          <w:color w:val="000000" w:themeColor="text1"/>
        </w:rPr>
      </w:pPr>
      <w:bookmarkStart w:id="214" w:name="_33.1—Entitlement_to_amend"/>
      <w:bookmarkStart w:id="215" w:name="_Toc175238828"/>
      <w:bookmarkEnd w:id="214"/>
      <w:r w:rsidRPr="00B40A77">
        <w:rPr>
          <w:color w:val="000000" w:themeColor="text1"/>
        </w:rPr>
        <w:t>30</w:t>
      </w:r>
      <w:r w:rsidR="00A351F3" w:rsidRPr="00B40A77">
        <w:rPr>
          <w:color w:val="000000" w:themeColor="text1"/>
        </w:rPr>
        <w:t>.1—Entitlement to amend filed documents</w:t>
      </w:r>
      <w:bookmarkEnd w:id="215"/>
    </w:p>
    <w:p w14:paraId="3E8C4C51" w14:textId="6EAEB569"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An </w:t>
      </w:r>
      <w:r w:rsidR="00680681" w:rsidRPr="00B40A77">
        <w:rPr>
          <w:color w:val="000000" w:themeColor="text1"/>
          <w:lang w:val="en-US"/>
        </w:rPr>
        <w:t>I</w:t>
      </w:r>
      <w:r w:rsidRPr="00B40A77">
        <w:rPr>
          <w:color w:val="000000" w:themeColor="text1"/>
          <w:lang w:val="en-US"/>
        </w:rPr>
        <w:t xml:space="preserve">nformation may be amended by the prosecutor in accordance with </w:t>
      </w:r>
      <w:hyperlink w:anchor="_63.1—Amendment_with_or" w:history="1">
        <w:r w:rsidR="009B1591" w:rsidRPr="00B40A77">
          <w:rPr>
            <w:rStyle w:val="Hyperlink"/>
            <w:color w:val="000000" w:themeColor="text1"/>
            <w:lang w:val="en-US"/>
          </w:rPr>
          <w:t>rule</w:t>
        </w:r>
        <w:r w:rsidR="008B6C02" w:rsidRPr="00B40A77">
          <w:rPr>
            <w:rStyle w:val="Hyperlink"/>
            <w:color w:val="000000" w:themeColor="text1"/>
            <w:lang w:val="en-US"/>
          </w:rPr>
          <w:t> </w:t>
        </w:r>
        <w:r w:rsidR="0089681C" w:rsidRPr="00B40A77">
          <w:rPr>
            <w:rStyle w:val="Hyperlink"/>
            <w:color w:val="000000" w:themeColor="text1"/>
            <w:lang w:val="en-US"/>
          </w:rPr>
          <w:t>63</w:t>
        </w:r>
        <w:r w:rsidR="009B1591" w:rsidRPr="00B40A77">
          <w:rPr>
            <w:rStyle w:val="Hyperlink"/>
            <w:color w:val="000000" w:themeColor="text1"/>
            <w:lang w:val="en-US"/>
          </w:rPr>
          <w:t>.1</w:t>
        </w:r>
      </w:hyperlink>
      <w:r w:rsidRPr="00B40A77">
        <w:rPr>
          <w:color w:val="000000" w:themeColor="text1"/>
          <w:lang w:val="en-US"/>
        </w:rPr>
        <w:t xml:space="preserve"> or </w:t>
      </w:r>
      <w:hyperlink w:anchor="_97.1—Amendment_with_or" w:history="1">
        <w:r w:rsidR="0089681C" w:rsidRPr="00B40A77">
          <w:rPr>
            <w:rStyle w:val="Hyperlink"/>
            <w:color w:val="000000" w:themeColor="text1"/>
            <w:lang w:val="en-US"/>
          </w:rPr>
          <w:t>rule</w:t>
        </w:r>
        <w:r w:rsidR="008B6C02" w:rsidRPr="00B40A77">
          <w:rPr>
            <w:rStyle w:val="Hyperlink"/>
            <w:color w:val="000000" w:themeColor="text1"/>
            <w:lang w:val="en-US"/>
          </w:rPr>
          <w:t> </w:t>
        </w:r>
        <w:r w:rsidR="0089681C" w:rsidRPr="00B40A77">
          <w:rPr>
            <w:rStyle w:val="Hyperlink"/>
            <w:color w:val="000000" w:themeColor="text1"/>
            <w:lang w:val="en-US"/>
          </w:rPr>
          <w:t>97</w:t>
        </w:r>
        <w:r w:rsidR="009B1591" w:rsidRPr="00B40A77">
          <w:rPr>
            <w:rStyle w:val="Hyperlink"/>
            <w:color w:val="000000" w:themeColor="text1"/>
            <w:lang w:val="en-US"/>
          </w:rPr>
          <w:t>.1</w:t>
        </w:r>
      </w:hyperlink>
      <w:r w:rsidRPr="00B40A77">
        <w:rPr>
          <w:color w:val="000000" w:themeColor="text1"/>
          <w:lang w:val="en-US"/>
        </w:rPr>
        <w:t>.</w:t>
      </w:r>
    </w:p>
    <w:p w14:paraId="27299497" w14:textId="7210E51D" w:rsidR="009B1591" w:rsidRPr="00B40A77" w:rsidRDefault="009B1591" w:rsidP="009B1591">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evidentiary material brief may be amended by the prosecutor in accordance with </w:t>
      </w:r>
      <w:hyperlink w:anchor="_82.1—Preliminary_brief:_Magistrates" w:history="1">
        <w:r w:rsidRPr="00B40A77">
          <w:rPr>
            <w:rStyle w:val="Hyperlink"/>
            <w:color w:val="000000" w:themeColor="text1"/>
            <w:lang w:val="en-US"/>
          </w:rPr>
          <w:t>rule</w:t>
        </w:r>
        <w:r w:rsidR="008B6C02" w:rsidRPr="00B40A77">
          <w:rPr>
            <w:rStyle w:val="Hyperlink"/>
            <w:color w:val="000000" w:themeColor="text1"/>
            <w:lang w:val="en-US"/>
          </w:rPr>
          <w:t> </w:t>
        </w:r>
        <w:r w:rsidR="00177860" w:rsidRPr="00B40A77">
          <w:rPr>
            <w:rStyle w:val="Hyperlink"/>
            <w:color w:val="000000" w:themeColor="text1"/>
            <w:lang w:val="en-US"/>
          </w:rPr>
          <w:t>8</w:t>
        </w:r>
        <w:r w:rsidR="004B4757" w:rsidRPr="00B40A77">
          <w:rPr>
            <w:rStyle w:val="Hyperlink"/>
            <w:color w:val="000000" w:themeColor="text1"/>
            <w:lang w:val="en-US"/>
          </w:rPr>
          <w:t>2</w:t>
        </w:r>
        <w:r w:rsidRPr="00B40A77">
          <w:rPr>
            <w:rStyle w:val="Hyperlink"/>
            <w:color w:val="000000" w:themeColor="text1"/>
            <w:lang w:val="en-US"/>
          </w:rPr>
          <w:t>.1</w:t>
        </w:r>
      </w:hyperlink>
      <w:r w:rsidRPr="00B40A77">
        <w:rPr>
          <w:color w:val="000000" w:themeColor="text1"/>
          <w:lang w:val="en-US"/>
        </w:rPr>
        <w:t xml:space="preserve"> </w:t>
      </w:r>
      <w:r w:rsidR="004B4757" w:rsidRPr="00B40A77">
        <w:rPr>
          <w:color w:val="000000" w:themeColor="text1"/>
          <w:lang w:val="en-US"/>
        </w:rPr>
        <w:t xml:space="preserve">and </w:t>
      </w:r>
      <w:hyperlink w:anchor="_82.2—Committal_brief" w:history="1">
        <w:r w:rsidR="00177860" w:rsidRPr="00B40A77">
          <w:rPr>
            <w:rStyle w:val="Hyperlink"/>
            <w:color w:val="000000" w:themeColor="text1"/>
            <w:lang w:val="en-US"/>
          </w:rPr>
          <w:t>rule 8</w:t>
        </w:r>
        <w:r w:rsidR="004B4757" w:rsidRPr="00B40A77">
          <w:rPr>
            <w:rStyle w:val="Hyperlink"/>
            <w:color w:val="000000" w:themeColor="text1"/>
            <w:lang w:val="en-US"/>
          </w:rPr>
          <w:t>2.2</w:t>
        </w:r>
      </w:hyperlink>
      <w:r w:rsidR="004B4757" w:rsidRPr="00B40A77">
        <w:rPr>
          <w:color w:val="000000" w:themeColor="text1"/>
          <w:lang w:val="en-US"/>
        </w:rPr>
        <w:t xml:space="preserve"> </w:t>
      </w:r>
      <w:r w:rsidRPr="00B40A77">
        <w:rPr>
          <w:color w:val="000000" w:themeColor="text1"/>
          <w:lang w:val="en-US"/>
        </w:rPr>
        <w:t xml:space="preserve">or </w:t>
      </w:r>
      <w:hyperlink w:anchor="_93.1—Case_Statements" w:history="1">
        <w:r w:rsidR="00177860" w:rsidRPr="00B40A77">
          <w:rPr>
            <w:rStyle w:val="Hyperlink"/>
            <w:color w:val="000000" w:themeColor="text1"/>
            <w:lang w:val="en-US"/>
          </w:rPr>
          <w:t>rule 93</w:t>
        </w:r>
        <w:r w:rsidRPr="00B40A77">
          <w:rPr>
            <w:rStyle w:val="Hyperlink"/>
            <w:color w:val="000000" w:themeColor="text1"/>
            <w:lang w:val="en-US"/>
          </w:rPr>
          <w:t>.1</w:t>
        </w:r>
      </w:hyperlink>
      <w:r w:rsidRPr="00B40A77">
        <w:rPr>
          <w:color w:val="000000" w:themeColor="text1"/>
          <w:lang w:val="en-US"/>
        </w:rPr>
        <w:t>.</w:t>
      </w:r>
    </w:p>
    <w:p w14:paraId="27589BF7" w14:textId="0D3272D0" w:rsidR="00A351F3" w:rsidRPr="00B40A77" w:rsidRDefault="004B4757" w:rsidP="009B1591">
      <w:pPr>
        <w:pStyle w:val="Hangindent"/>
        <w:rPr>
          <w:color w:val="000000" w:themeColor="text1"/>
          <w:lang w:val="en-US"/>
        </w:rPr>
      </w:pPr>
      <w:r w:rsidRPr="00B40A77">
        <w:rPr>
          <w:color w:val="000000" w:themeColor="text1"/>
          <w:lang w:val="en-US"/>
        </w:rPr>
        <w:t>(3</w:t>
      </w:r>
      <w:r w:rsidR="00A351F3" w:rsidRPr="00B40A77">
        <w:rPr>
          <w:color w:val="000000" w:themeColor="text1"/>
          <w:lang w:val="en-US"/>
        </w:rPr>
        <w:t>)</w:t>
      </w:r>
      <w:r w:rsidR="00A351F3" w:rsidRPr="00B40A77">
        <w:rPr>
          <w:color w:val="000000" w:themeColor="text1"/>
          <w:lang w:val="en-US"/>
        </w:rPr>
        <w:tab/>
      </w:r>
      <w:r w:rsidRPr="00B40A77">
        <w:rPr>
          <w:color w:val="000000" w:themeColor="text1"/>
          <w:lang w:val="en-US"/>
        </w:rPr>
        <w:t>Subject to subrules</w:t>
      </w:r>
      <w:r w:rsidR="008B6C02" w:rsidRPr="00B40A77">
        <w:rPr>
          <w:color w:val="000000" w:themeColor="text1"/>
          <w:lang w:val="en-US"/>
        </w:rPr>
        <w:t> </w:t>
      </w:r>
      <w:r w:rsidRPr="00B40A77">
        <w:rPr>
          <w:color w:val="000000" w:themeColor="text1"/>
          <w:lang w:val="en-US"/>
        </w:rPr>
        <w:t>(4) and</w:t>
      </w:r>
      <w:r w:rsidR="008B6C02" w:rsidRPr="00B40A77">
        <w:rPr>
          <w:color w:val="000000" w:themeColor="text1"/>
          <w:lang w:val="en-US"/>
        </w:rPr>
        <w:t> </w:t>
      </w:r>
      <w:r w:rsidRPr="00B40A77">
        <w:rPr>
          <w:color w:val="000000" w:themeColor="text1"/>
          <w:lang w:val="en-US"/>
        </w:rPr>
        <w:t>(5</w:t>
      </w:r>
      <w:r w:rsidR="00A351F3" w:rsidRPr="00B40A77">
        <w:rPr>
          <w:color w:val="000000" w:themeColor="text1"/>
          <w:lang w:val="en-US"/>
        </w:rPr>
        <w:t xml:space="preserve">), a filed document may be amended by the filing party </w:t>
      </w:r>
      <w:r w:rsidR="00A351F3" w:rsidRPr="00B40A77">
        <w:rPr>
          <w:color w:val="000000" w:themeColor="text1"/>
          <w:u w:val="single"/>
          <w:lang w:val="en-US"/>
        </w:rPr>
        <w:t>by leave</w:t>
      </w:r>
      <w:r w:rsidR="00A351F3" w:rsidRPr="00B40A77">
        <w:rPr>
          <w:color w:val="000000" w:themeColor="text1"/>
          <w:lang w:val="en-US"/>
        </w:rPr>
        <w:t xml:space="preserve"> or </w:t>
      </w:r>
      <w:hyperlink w:anchor="_2.1—Definitions" w:history="1">
        <w:r w:rsidR="00A351F3" w:rsidRPr="00B40A77">
          <w:rPr>
            <w:rStyle w:val="Hyperlink"/>
            <w:color w:val="000000" w:themeColor="text1"/>
            <w:lang w:val="en-US"/>
          </w:rPr>
          <w:t>by consent</w:t>
        </w:r>
      </w:hyperlink>
      <w:r w:rsidR="00A351F3" w:rsidRPr="00B40A77">
        <w:rPr>
          <w:color w:val="000000" w:themeColor="text1"/>
          <w:lang w:val="en-US"/>
        </w:rPr>
        <w:t>.</w:t>
      </w:r>
    </w:p>
    <w:p w14:paraId="0D6412B9" w14:textId="212CAE4A" w:rsidR="00A351F3" w:rsidRPr="00B40A77" w:rsidRDefault="004B4757" w:rsidP="00A351F3">
      <w:pPr>
        <w:pStyle w:val="Hangindent"/>
        <w:rPr>
          <w:color w:val="000000" w:themeColor="text1"/>
          <w:lang w:val="en-US"/>
        </w:rPr>
      </w:pPr>
      <w:r w:rsidRPr="00B40A77">
        <w:rPr>
          <w:color w:val="000000" w:themeColor="text1"/>
          <w:lang w:val="en-US"/>
        </w:rPr>
        <w:t>(4</w:t>
      </w:r>
      <w:r w:rsidR="00A351F3" w:rsidRPr="00B40A77">
        <w:rPr>
          <w:color w:val="000000" w:themeColor="text1"/>
          <w:lang w:val="en-US"/>
        </w:rPr>
        <w:t>)</w:t>
      </w:r>
      <w:r w:rsidR="00A351F3" w:rsidRPr="00B40A77">
        <w:rPr>
          <w:color w:val="000000" w:themeColor="text1"/>
          <w:lang w:val="en-US"/>
        </w:rPr>
        <w:tab/>
        <w:t xml:space="preserve">An </w:t>
      </w:r>
      <w:hyperlink w:anchor="_211.1—Definitions" w:history="1">
        <w:r w:rsidR="000D2BEB" w:rsidRPr="00B40A77">
          <w:rPr>
            <w:rStyle w:val="Hyperlink"/>
            <w:color w:val="000000" w:themeColor="text1"/>
            <w:lang w:val="en-US"/>
          </w:rPr>
          <w:t>appellate document</w:t>
        </w:r>
      </w:hyperlink>
      <w:r w:rsidR="00A351F3" w:rsidRPr="00B40A77">
        <w:rPr>
          <w:color w:val="000000" w:themeColor="text1"/>
          <w:lang w:val="en-US"/>
        </w:rPr>
        <w:t xml:space="preserve"> filed in the </w:t>
      </w:r>
      <w:hyperlink w:anchor="_2.1—Definitions" w:history="1">
        <w:r w:rsidR="00350C21" w:rsidRPr="00B40A77">
          <w:rPr>
            <w:rStyle w:val="Hyperlink"/>
            <w:color w:val="000000" w:themeColor="text1"/>
            <w:lang w:val="en-US"/>
          </w:rPr>
          <w:t>Court of Appeal</w:t>
        </w:r>
      </w:hyperlink>
      <w:r w:rsidR="00A351F3" w:rsidRPr="00B40A77">
        <w:rPr>
          <w:color w:val="000000" w:themeColor="text1"/>
          <w:lang w:val="en-US"/>
        </w:rPr>
        <w:t xml:space="preserve"> may be amended </w:t>
      </w:r>
      <w:r w:rsidR="00F53227" w:rsidRPr="00B40A77">
        <w:rPr>
          <w:color w:val="000000" w:themeColor="text1"/>
          <w:lang w:val="en-US"/>
        </w:rPr>
        <w:t xml:space="preserve">in accordance with </w:t>
      </w:r>
      <w:hyperlink w:anchor="_188.2—Amendment_of_appellate" w:history="1">
        <w:r w:rsidR="00F53227" w:rsidRPr="00B40A77">
          <w:rPr>
            <w:rStyle w:val="Hyperlink"/>
            <w:color w:val="000000" w:themeColor="text1"/>
            <w:lang w:val="en-US"/>
          </w:rPr>
          <w:t xml:space="preserve">rule </w:t>
        </w:r>
        <w:r w:rsidR="009348CF" w:rsidRPr="00B40A77">
          <w:rPr>
            <w:rStyle w:val="Hyperlink"/>
            <w:color w:val="000000" w:themeColor="text1"/>
            <w:lang w:val="en-US"/>
          </w:rPr>
          <w:t>188.2</w:t>
        </w:r>
      </w:hyperlink>
      <w:r w:rsidR="009348CF" w:rsidRPr="00B40A77">
        <w:rPr>
          <w:color w:val="000000" w:themeColor="text1"/>
          <w:lang w:val="en-US"/>
        </w:rPr>
        <w:t xml:space="preserve"> or </w:t>
      </w:r>
      <w:hyperlink w:anchor="_201.3—Amendment_of_appellate" w:history="1">
        <w:r w:rsidR="009348CF" w:rsidRPr="00B40A77">
          <w:rPr>
            <w:rStyle w:val="Hyperlink"/>
            <w:color w:val="000000" w:themeColor="text1"/>
            <w:lang w:val="en-US"/>
          </w:rPr>
          <w:t>rule 20</w:t>
        </w:r>
        <w:r w:rsidR="00C22CA2" w:rsidRPr="00B40A77">
          <w:rPr>
            <w:rStyle w:val="Hyperlink"/>
            <w:color w:val="000000" w:themeColor="text1"/>
            <w:lang w:val="en-US"/>
          </w:rPr>
          <w:t>1</w:t>
        </w:r>
        <w:r w:rsidR="009348CF" w:rsidRPr="00B40A77">
          <w:rPr>
            <w:rStyle w:val="Hyperlink"/>
            <w:color w:val="000000" w:themeColor="text1"/>
            <w:lang w:val="en-US"/>
          </w:rPr>
          <w:t>.3</w:t>
        </w:r>
      </w:hyperlink>
      <w:r w:rsidR="00203D65" w:rsidRPr="00B40A77">
        <w:rPr>
          <w:color w:val="000000" w:themeColor="text1"/>
          <w:lang w:val="en-US"/>
        </w:rPr>
        <w:t>.</w:t>
      </w:r>
    </w:p>
    <w:p w14:paraId="532EFB54" w14:textId="3915DD81" w:rsidR="00A351F3" w:rsidRPr="00B40A77" w:rsidRDefault="004B4757" w:rsidP="00A351F3">
      <w:pPr>
        <w:pStyle w:val="Hangindent"/>
        <w:rPr>
          <w:color w:val="000000" w:themeColor="text1"/>
          <w:lang w:val="en-US"/>
        </w:rPr>
      </w:pPr>
      <w:r w:rsidRPr="00B40A77">
        <w:rPr>
          <w:color w:val="000000" w:themeColor="text1"/>
          <w:lang w:val="en-US"/>
        </w:rPr>
        <w:t>(5</w:t>
      </w:r>
      <w:r w:rsidR="00A351F3" w:rsidRPr="00B40A77">
        <w:rPr>
          <w:color w:val="000000" w:themeColor="text1"/>
          <w:lang w:val="en-US"/>
        </w:rPr>
        <w:t>)</w:t>
      </w:r>
      <w:r w:rsidR="00A351F3" w:rsidRPr="00B40A77">
        <w:rPr>
          <w:color w:val="000000" w:themeColor="text1"/>
          <w:lang w:val="en-US"/>
        </w:rPr>
        <w:tab/>
        <w:t>Subject to subrule</w:t>
      </w:r>
      <w:r w:rsidR="008B6C02" w:rsidRPr="00B40A77">
        <w:rPr>
          <w:color w:val="000000" w:themeColor="text1"/>
          <w:lang w:val="en-US"/>
        </w:rPr>
        <w:t> </w:t>
      </w:r>
      <w:r w:rsidR="00A351F3" w:rsidRPr="00B40A77">
        <w:rPr>
          <w:color w:val="000000" w:themeColor="text1"/>
          <w:lang w:val="en-US"/>
        </w:rPr>
        <w:t>(</w:t>
      </w:r>
      <w:r w:rsidRPr="00B40A77">
        <w:rPr>
          <w:color w:val="000000" w:themeColor="text1"/>
          <w:lang w:val="en-US"/>
        </w:rPr>
        <w:t>6</w:t>
      </w:r>
      <w:r w:rsidR="00A351F3" w:rsidRPr="00B40A77">
        <w:rPr>
          <w:color w:val="000000" w:themeColor="text1"/>
          <w:lang w:val="en-US"/>
        </w:rPr>
        <w:t>), an affidavit may not be amended but, if found to be erroneous, may be the subject of a further affidavit by the deponent correcting the error.</w:t>
      </w:r>
    </w:p>
    <w:p w14:paraId="4C6CA13A" w14:textId="6C5C632C" w:rsidR="00A351F3" w:rsidRPr="00B40A77" w:rsidRDefault="00A351F3" w:rsidP="00A351F3">
      <w:pPr>
        <w:pStyle w:val="Hangindent"/>
        <w:rPr>
          <w:color w:val="000000" w:themeColor="text1"/>
          <w:lang w:val="en-US"/>
        </w:rPr>
      </w:pPr>
      <w:r w:rsidRPr="00B40A77">
        <w:rPr>
          <w:color w:val="000000" w:themeColor="text1"/>
          <w:lang w:val="en-US"/>
        </w:rPr>
        <w:t>(</w:t>
      </w:r>
      <w:r w:rsidR="004B4757" w:rsidRPr="00B40A77">
        <w:rPr>
          <w:color w:val="000000" w:themeColor="text1"/>
          <w:lang w:val="en-US"/>
        </w:rPr>
        <w:t>6</w:t>
      </w:r>
      <w:r w:rsidRPr="00B40A77">
        <w:rPr>
          <w:color w:val="000000" w:themeColor="text1"/>
          <w:lang w:val="en-US"/>
        </w:rPr>
        <w:t>)</w:t>
      </w:r>
      <w:r w:rsidRPr="00B40A77">
        <w:rPr>
          <w:color w:val="000000" w:themeColor="text1"/>
          <w:lang w:val="en-US"/>
        </w:rPr>
        <w:tab/>
        <w:t>The Court may permit a deponent under oath or affirmation to amend a document referred to in subrule </w:t>
      </w:r>
      <w:r w:rsidR="004B4757" w:rsidRPr="00B40A77">
        <w:rPr>
          <w:color w:val="000000" w:themeColor="text1"/>
          <w:lang w:val="en-US"/>
        </w:rPr>
        <w:t>(4</w:t>
      </w:r>
      <w:r w:rsidRPr="00B40A77">
        <w:rPr>
          <w:color w:val="000000" w:themeColor="text1"/>
          <w:lang w:val="en-US"/>
        </w:rPr>
        <w:t xml:space="preserve">) by deleting, adding or altering, and </w:t>
      </w:r>
      <w:r w:rsidRPr="00B40A77">
        <w:rPr>
          <w:color w:val="000000" w:themeColor="text1"/>
        </w:rPr>
        <w:t>initialling</w:t>
      </w:r>
      <w:r w:rsidRPr="00B40A77">
        <w:rPr>
          <w:color w:val="000000" w:themeColor="text1"/>
          <w:lang w:val="en-US"/>
        </w:rPr>
        <w:t>, a word or words to correct an unintended statement contained in it.</w:t>
      </w:r>
    </w:p>
    <w:p w14:paraId="7E72147E" w14:textId="14628354" w:rsidR="00A351F3" w:rsidRPr="00B40A77" w:rsidRDefault="004B4757" w:rsidP="00A351F3">
      <w:pPr>
        <w:pStyle w:val="Hangindent"/>
        <w:rPr>
          <w:color w:val="000000" w:themeColor="text1"/>
          <w:lang w:val="en-US"/>
        </w:rPr>
      </w:pPr>
      <w:bookmarkStart w:id="216" w:name="id526fe753_dc45_4210_9204_84199b7fab1871"/>
      <w:bookmarkStart w:id="217" w:name="rule3315"/>
      <w:r w:rsidRPr="00B40A77">
        <w:rPr>
          <w:color w:val="000000" w:themeColor="text1"/>
          <w:lang w:val="en-US"/>
        </w:rPr>
        <w:t>(7</w:t>
      </w:r>
      <w:r w:rsidR="00A351F3" w:rsidRPr="00B40A77">
        <w:rPr>
          <w:color w:val="000000" w:themeColor="text1"/>
          <w:lang w:val="en-US"/>
        </w:rPr>
        <w:t>)</w:t>
      </w:r>
      <w:r w:rsidR="00A351F3" w:rsidRPr="00B40A77">
        <w:rPr>
          <w:color w:val="000000" w:themeColor="text1"/>
          <w:lang w:val="en-US"/>
        </w:rPr>
        <w:tab/>
        <w:t xml:space="preserve">In </w:t>
      </w:r>
      <w:r w:rsidR="007F499A" w:rsidRPr="00B40A77">
        <w:rPr>
          <w:color w:val="000000" w:themeColor="text1"/>
          <w:lang w:val="en-US"/>
        </w:rPr>
        <w:t xml:space="preserve">this </w:t>
      </w:r>
      <w:r w:rsidR="00A351F3" w:rsidRPr="00B40A77">
        <w:rPr>
          <w:color w:val="000000" w:themeColor="text1"/>
          <w:lang w:val="en-US"/>
        </w:rPr>
        <w:t>rule</w:t>
      </w:r>
      <w:r w:rsidR="00A351F3" w:rsidRPr="00B40A77">
        <w:rPr>
          <w:color w:val="000000" w:themeColor="text1"/>
        </w:rPr>
        <w:t>—</w:t>
      </w:r>
    </w:p>
    <w:bookmarkEnd w:id="216"/>
    <w:bookmarkEnd w:id="217"/>
    <w:p w14:paraId="79893196" w14:textId="160E656B" w:rsidR="00A351F3" w:rsidRPr="00B40A77" w:rsidRDefault="00A351F3" w:rsidP="00A351F3">
      <w:pPr>
        <w:pStyle w:val="Doubleindentedpara"/>
        <w:rPr>
          <w:color w:val="000000" w:themeColor="text1"/>
        </w:rPr>
      </w:pPr>
      <w:r w:rsidRPr="00B40A77">
        <w:rPr>
          <w:b/>
          <w:i/>
          <w:color w:val="000000" w:themeColor="text1"/>
        </w:rPr>
        <w:t>by leave</w:t>
      </w:r>
      <w:r w:rsidRPr="00B40A77">
        <w:rPr>
          <w:color w:val="000000" w:themeColor="text1"/>
        </w:rPr>
        <w:t xml:space="preserve"> means with the prior leave of the Court which may be granted subject to conditions and which, unless expressed otherwise, expires 14</w:t>
      </w:r>
      <w:r w:rsidR="008B6C02" w:rsidRPr="00B40A77">
        <w:rPr>
          <w:color w:val="000000" w:themeColor="text1"/>
        </w:rPr>
        <w:t> </w:t>
      </w:r>
      <w:r w:rsidRPr="00B40A77">
        <w:rPr>
          <w:color w:val="000000" w:themeColor="text1"/>
        </w:rPr>
        <w:t>days after the grant of leave.</w:t>
      </w:r>
    </w:p>
    <w:p w14:paraId="1F404599" w14:textId="7C5393BE" w:rsidR="00A351F3" w:rsidRPr="00B40A77" w:rsidRDefault="00F20F0A" w:rsidP="00A351F3">
      <w:pPr>
        <w:pStyle w:val="Heading4"/>
        <w:rPr>
          <w:color w:val="000000" w:themeColor="text1"/>
        </w:rPr>
      </w:pPr>
      <w:bookmarkStart w:id="218" w:name="_33.2—Manner_of_amendment"/>
      <w:bookmarkStart w:id="219" w:name="_Toc175238829"/>
      <w:bookmarkStart w:id="220" w:name="_Hlk96244936"/>
      <w:bookmarkEnd w:id="218"/>
      <w:r w:rsidRPr="00B40A77">
        <w:rPr>
          <w:color w:val="000000" w:themeColor="text1"/>
        </w:rPr>
        <w:t>30</w:t>
      </w:r>
      <w:r w:rsidR="00A351F3" w:rsidRPr="00B40A77">
        <w:rPr>
          <w:color w:val="000000" w:themeColor="text1"/>
        </w:rPr>
        <w:t>.2—Manner of amendment</w:t>
      </w:r>
      <w:bookmarkEnd w:id="219"/>
    </w:p>
    <w:p w14:paraId="7FBACD07" w14:textId="4A272320"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if a filed document may be amended in accordance with </w:t>
      </w:r>
      <w:hyperlink w:anchor="_33.1—Entitlement_to_amend" w:history="1">
        <w:r w:rsidR="006210E8" w:rsidRPr="00B40A77">
          <w:rPr>
            <w:rStyle w:val="Hyperlink"/>
            <w:color w:val="000000" w:themeColor="text1"/>
            <w:lang w:val="en-US"/>
          </w:rPr>
          <w:t xml:space="preserve">rule </w:t>
        </w:r>
        <w:r w:rsidR="00DD5BE6" w:rsidRPr="00B40A77">
          <w:rPr>
            <w:rStyle w:val="Hyperlink"/>
            <w:color w:val="000000" w:themeColor="text1"/>
            <w:lang w:val="en-US"/>
          </w:rPr>
          <w:t>30</w:t>
        </w:r>
        <w:r w:rsidRPr="00B40A77">
          <w:rPr>
            <w:rStyle w:val="Hyperlink"/>
            <w:color w:val="000000" w:themeColor="text1"/>
            <w:lang w:val="en-US"/>
          </w:rPr>
          <w:t>.1</w:t>
        </w:r>
      </w:hyperlink>
      <w:r w:rsidRPr="00B40A77">
        <w:rPr>
          <w:color w:val="000000" w:themeColor="text1"/>
          <w:lang w:val="en-US"/>
        </w:rPr>
        <w:t>, it must be amended by filing a revised version of the filed document in the relevant prescribed form</w:t>
      </w:r>
      <w:r w:rsidRPr="00B40A77">
        <w:rPr>
          <w:color w:val="000000" w:themeColor="text1"/>
        </w:rPr>
        <w:t>—</w:t>
      </w:r>
    </w:p>
    <w:p w14:paraId="7C72EEBF" w14:textId="5D7BCFEC" w:rsidR="006210E8" w:rsidRPr="00B40A77" w:rsidRDefault="00A351F3" w:rsidP="00174664">
      <w:pPr>
        <w:pStyle w:val="Doublehangindent"/>
        <w:keepNext/>
        <w:rPr>
          <w:color w:val="000000" w:themeColor="text1"/>
          <w:lang w:val="en-US"/>
        </w:rPr>
      </w:pPr>
      <w:r w:rsidRPr="00B40A77">
        <w:rPr>
          <w:color w:val="000000" w:themeColor="text1"/>
          <w:lang w:val="en-US"/>
        </w:rPr>
        <w:lastRenderedPageBreak/>
        <w:t>(a)</w:t>
      </w:r>
      <w:r w:rsidRPr="00B40A77">
        <w:rPr>
          <w:color w:val="000000" w:themeColor="text1"/>
          <w:lang w:val="en-US"/>
        </w:rPr>
        <w:tab/>
        <w:t>showing a revision number in accordance with the relevant prescribed form after the title of the form</w:t>
      </w:r>
      <w:r w:rsidR="006210E8" w:rsidRPr="00B40A77">
        <w:rPr>
          <w:color w:val="000000" w:themeColor="text1"/>
          <w:lang w:val="en-US"/>
        </w:rPr>
        <w:t>;</w:t>
      </w:r>
      <w:r w:rsidR="008E0C0C" w:rsidRPr="00B40A77">
        <w:rPr>
          <w:color w:val="000000" w:themeColor="text1"/>
          <w:lang w:val="en-US"/>
        </w:rPr>
        <w:t xml:space="preserve"> and</w:t>
      </w:r>
    </w:p>
    <w:p w14:paraId="4CE17CED" w14:textId="45AE37F5" w:rsidR="006210E8" w:rsidRPr="00B40A77" w:rsidRDefault="006210E8" w:rsidP="004C2422">
      <w:pPr>
        <w:pStyle w:val="NoteHeader"/>
        <w:keepNext/>
        <w:ind w:left="1395" w:firstLine="306"/>
        <w:rPr>
          <w:color w:val="000000" w:themeColor="text1"/>
        </w:rPr>
      </w:pPr>
      <w:r w:rsidRPr="00B40A77">
        <w:rPr>
          <w:color w:val="000000" w:themeColor="text1"/>
        </w:rPr>
        <w:t>Examples—</w:t>
      </w:r>
    </w:p>
    <w:p w14:paraId="571113CE" w14:textId="2CA34787" w:rsidR="006210E8" w:rsidRPr="00B40A77" w:rsidRDefault="006210E8" w:rsidP="00F422A3">
      <w:pPr>
        <w:pStyle w:val="NoteText"/>
        <w:ind w:left="2160"/>
        <w:rPr>
          <w:color w:val="000000" w:themeColor="text1"/>
        </w:rPr>
      </w:pPr>
      <w:r w:rsidRPr="00B40A77">
        <w:rPr>
          <w:color w:val="000000" w:themeColor="text1"/>
        </w:rPr>
        <w:t>T</w:t>
      </w:r>
      <w:r w:rsidR="00A351F3" w:rsidRPr="00B40A77">
        <w:rPr>
          <w:color w:val="000000" w:themeColor="text1"/>
        </w:rPr>
        <w:t>he</w:t>
      </w:r>
      <w:r w:rsidRPr="00B40A77">
        <w:rPr>
          <w:color w:val="000000" w:themeColor="text1"/>
        </w:rPr>
        <w:t xml:space="preserve"> first time a</w:t>
      </w:r>
      <w:r w:rsidR="00A351F3" w:rsidRPr="00B40A77">
        <w:rPr>
          <w:color w:val="000000" w:themeColor="text1"/>
        </w:rPr>
        <w:t xml:space="preserve"> document is amended</w:t>
      </w:r>
      <w:r w:rsidRPr="00B40A77">
        <w:rPr>
          <w:color w:val="000000" w:themeColor="text1"/>
        </w:rPr>
        <w:t>,</w:t>
      </w:r>
      <w:r w:rsidR="00A351F3" w:rsidRPr="00B40A77">
        <w:rPr>
          <w:color w:val="000000" w:themeColor="text1"/>
        </w:rPr>
        <w:t xml:space="preserve"> the amended document </w:t>
      </w:r>
      <w:r w:rsidRPr="00B40A77">
        <w:rPr>
          <w:color w:val="000000" w:themeColor="text1"/>
        </w:rPr>
        <w:t>will be shown as “Revision 1”. For example</w:t>
      </w:r>
      <w:r w:rsidR="00F422A3" w:rsidRPr="00B40A77">
        <w:rPr>
          <w:color w:val="000000" w:themeColor="text1"/>
        </w:rPr>
        <w:t>,</w:t>
      </w:r>
      <w:r w:rsidRPr="00B40A77">
        <w:rPr>
          <w:color w:val="000000" w:themeColor="text1"/>
        </w:rPr>
        <w:t xml:space="preserve"> “Information </w:t>
      </w:r>
      <w:r w:rsidR="009F089F" w:rsidRPr="00B40A77">
        <w:rPr>
          <w:color w:val="000000" w:themeColor="text1"/>
        </w:rPr>
        <w:t>R</w:t>
      </w:r>
      <w:r w:rsidRPr="00B40A77">
        <w:rPr>
          <w:color w:val="000000" w:themeColor="text1"/>
        </w:rPr>
        <w:t>evision 1”.</w:t>
      </w:r>
    </w:p>
    <w:p w14:paraId="3C588C90" w14:textId="0EFBE3EE" w:rsidR="00A351F3" w:rsidRPr="00B40A77" w:rsidRDefault="006210E8" w:rsidP="00075A59">
      <w:pPr>
        <w:pStyle w:val="NoteText"/>
        <w:ind w:left="2160"/>
        <w:rPr>
          <w:color w:val="000000" w:themeColor="text1"/>
        </w:rPr>
      </w:pPr>
      <w:r w:rsidRPr="00B40A77">
        <w:rPr>
          <w:color w:val="000000" w:themeColor="text1"/>
        </w:rPr>
        <w:t>T</w:t>
      </w:r>
      <w:r w:rsidR="00A351F3" w:rsidRPr="00B40A77">
        <w:rPr>
          <w:color w:val="000000" w:themeColor="text1"/>
        </w:rPr>
        <w:t xml:space="preserve">he second time </w:t>
      </w:r>
      <w:r w:rsidRPr="00B40A77">
        <w:rPr>
          <w:color w:val="000000" w:themeColor="text1"/>
        </w:rPr>
        <w:t xml:space="preserve">a document is amended, </w:t>
      </w:r>
      <w:r w:rsidR="00A351F3" w:rsidRPr="00B40A77">
        <w:rPr>
          <w:color w:val="000000" w:themeColor="text1"/>
        </w:rPr>
        <w:t xml:space="preserve">the amended document </w:t>
      </w:r>
      <w:r w:rsidRPr="00B40A77">
        <w:rPr>
          <w:color w:val="000000" w:themeColor="text1"/>
        </w:rPr>
        <w:t>will be shown as “Revision 2”</w:t>
      </w:r>
      <w:r w:rsidR="00F422A3" w:rsidRPr="00B40A77">
        <w:rPr>
          <w:color w:val="000000" w:themeColor="text1"/>
        </w:rPr>
        <w:t xml:space="preserve">. For </w:t>
      </w:r>
      <w:r w:rsidR="004906C6" w:rsidRPr="00B40A77">
        <w:rPr>
          <w:color w:val="000000" w:themeColor="text1"/>
        </w:rPr>
        <w:t xml:space="preserve">example, “Information </w:t>
      </w:r>
      <w:r w:rsidR="009F089F" w:rsidRPr="00B40A77">
        <w:rPr>
          <w:color w:val="000000" w:themeColor="text1"/>
        </w:rPr>
        <w:t>R</w:t>
      </w:r>
      <w:r w:rsidR="004906C6" w:rsidRPr="00B40A77">
        <w:rPr>
          <w:color w:val="000000" w:themeColor="text1"/>
        </w:rPr>
        <w:t>evision 2</w:t>
      </w:r>
      <w:r w:rsidR="00F422A3" w:rsidRPr="00B40A77">
        <w:rPr>
          <w:color w:val="000000" w:themeColor="text1"/>
        </w:rPr>
        <w:t>”.</w:t>
      </w:r>
    </w:p>
    <w:p w14:paraId="657F6690" w14:textId="186AE4A3"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preserving the existing numbering (such as numbering an additional paragraph inserted between existing paragraphs 10 and 11 as paragraph 10A). </w:t>
      </w:r>
      <w:r w:rsidRPr="00B40A77">
        <w:rPr>
          <w:color w:val="000000" w:themeColor="text1"/>
          <w:lang w:val="en-US"/>
        </w:rPr>
        <w:tab/>
      </w:r>
    </w:p>
    <w:p w14:paraId="638E879D" w14:textId="77777777"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 give directions about the mode of amendment of a filed document.</w:t>
      </w:r>
    </w:p>
    <w:p w14:paraId="6DF5820D" w14:textId="6DC1B4CC"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Unless the Court otherwise orders, a party who files an amended document must serve it on each other party as soon as practicable</w:t>
      </w:r>
      <w:r w:rsidR="009F089F" w:rsidRPr="00B40A77">
        <w:rPr>
          <w:color w:val="000000" w:themeColor="text1"/>
          <w:lang w:val="en-US"/>
        </w:rPr>
        <w:t xml:space="preserve"> unless the document it amends was not to be served</w:t>
      </w:r>
      <w:r w:rsidRPr="00B40A77">
        <w:rPr>
          <w:color w:val="000000" w:themeColor="text1"/>
          <w:lang w:val="en-US"/>
        </w:rPr>
        <w:t>.</w:t>
      </w:r>
    </w:p>
    <w:p w14:paraId="7E8B1BC3" w14:textId="5940B9E9" w:rsidR="00A351F3" w:rsidRPr="00B40A77" w:rsidRDefault="00F20F0A" w:rsidP="00A351F3">
      <w:pPr>
        <w:pStyle w:val="Heading4"/>
        <w:rPr>
          <w:color w:val="000000" w:themeColor="text1"/>
        </w:rPr>
      </w:pPr>
      <w:bookmarkStart w:id="221" w:name="_34.1—Strike_out_of"/>
      <w:bookmarkStart w:id="222" w:name="_Toc175238830"/>
      <w:bookmarkEnd w:id="220"/>
      <w:bookmarkEnd w:id="221"/>
      <w:r w:rsidRPr="00B40A77">
        <w:rPr>
          <w:color w:val="000000" w:themeColor="text1"/>
        </w:rPr>
        <w:t>30</w:t>
      </w:r>
      <w:r w:rsidR="00A351F3" w:rsidRPr="00B40A77">
        <w:rPr>
          <w:color w:val="000000" w:themeColor="text1"/>
        </w:rPr>
        <w:t>.3—Strike out of filed documents</w:t>
      </w:r>
      <w:bookmarkEnd w:id="222"/>
    </w:p>
    <w:p w14:paraId="39B50F89"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The Court may order that a filed document or part of a filed document be struck out if—</w:t>
      </w:r>
    </w:p>
    <w:p w14:paraId="7221D2CF"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it does not comply with these Rules; or</w:t>
      </w:r>
    </w:p>
    <w:p w14:paraId="16A13973"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it is frivolous, vexatious or an abuse of the process of the Court.</w:t>
      </w:r>
    </w:p>
    <w:p w14:paraId="4225BA22" w14:textId="4564776F" w:rsidR="00A351F3" w:rsidRPr="00B40A77" w:rsidRDefault="00A351F3" w:rsidP="00A351F3">
      <w:pPr>
        <w:pStyle w:val="Hangindent"/>
        <w:rPr>
          <w:color w:val="000000" w:themeColor="text1"/>
        </w:rPr>
      </w:pPr>
      <w:r w:rsidRPr="00B40A77">
        <w:rPr>
          <w:rFonts w:cs="Times New Roman"/>
          <w:color w:val="000000" w:themeColor="text1"/>
        </w:rPr>
        <w:t>(2)</w:t>
      </w:r>
      <w:r w:rsidRPr="00B40A77">
        <w:rPr>
          <w:rFonts w:cs="Times New Roman"/>
          <w:color w:val="000000" w:themeColor="text1"/>
        </w:rPr>
        <w:tab/>
        <w:t>If the Court strikes out all or part of a document under subrule</w:t>
      </w:r>
      <w:r w:rsidR="00435662" w:rsidRPr="00B40A77">
        <w:rPr>
          <w:rFonts w:cs="Times New Roman"/>
          <w:color w:val="000000" w:themeColor="text1"/>
        </w:rPr>
        <w:t> </w:t>
      </w:r>
      <w:r w:rsidRPr="00B40A77">
        <w:rPr>
          <w:rFonts w:cs="Times New Roman"/>
          <w:color w:val="000000" w:themeColor="text1"/>
        </w:rPr>
        <w:t xml:space="preserve">(1), it may if it thinks fit grant leave to file within a specified time an amended or substituted document </w:t>
      </w:r>
      <w:r w:rsidRPr="00B40A77">
        <w:rPr>
          <w:color w:val="000000" w:themeColor="text1"/>
          <w:lang w:val="en-US"/>
        </w:rPr>
        <w:t>rectifying the matter that caused the original document to be struck out</w:t>
      </w:r>
      <w:r w:rsidRPr="00B40A77">
        <w:rPr>
          <w:color w:val="000000" w:themeColor="text1"/>
        </w:rPr>
        <w:t>.</w:t>
      </w:r>
    </w:p>
    <w:p w14:paraId="3C627D86" w14:textId="77777777" w:rsidR="00A351F3" w:rsidRPr="00B40A77" w:rsidRDefault="00A351F3" w:rsidP="00A351F3">
      <w:pPr>
        <w:pStyle w:val="Heading3"/>
        <w:rPr>
          <w:color w:val="000000" w:themeColor="text1"/>
        </w:rPr>
      </w:pPr>
      <w:bookmarkStart w:id="223" w:name="_Toc175238831"/>
      <w:r w:rsidRPr="00B40A77">
        <w:rPr>
          <w:color w:val="000000" w:themeColor="text1"/>
        </w:rPr>
        <w:t>Division 4—Issue of court documents</w:t>
      </w:r>
      <w:bookmarkEnd w:id="223"/>
    </w:p>
    <w:p w14:paraId="297648FC" w14:textId="74A09904" w:rsidR="00A351F3" w:rsidRPr="00B40A77" w:rsidRDefault="00075A59" w:rsidP="00A351F3">
      <w:pPr>
        <w:pStyle w:val="Heading4"/>
        <w:rPr>
          <w:color w:val="000000" w:themeColor="text1"/>
        </w:rPr>
      </w:pPr>
      <w:bookmarkStart w:id="224" w:name="_Toc175238832"/>
      <w:bookmarkStart w:id="225" w:name="_Hlk25044948"/>
      <w:r w:rsidRPr="00B40A77">
        <w:rPr>
          <w:color w:val="000000" w:themeColor="text1"/>
        </w:rPr>
        <w:t>3</w:t>
      </w:r>
      <w:r w:rsidR="00F20F0A" w:rsidRPr="00B40A77">
        <w:rPr>
          <w:color w:val="000000" w:themeColor="text1"/>
        </w:rPr>
        <w:t>1</w:t>
      </w:r>
      <w:r w:rsidR="00A351F3" w:rsidRPr="00B40A77">
        <w:rPr>
          <w:color w:val="000000" w:themeColor="text1"/>
        </w:rPr>
        <w:t>.1—Issue of court documents</w:t>
      </w:r>
      <w:bookmarkEnd w:id="224"/>
    </w:p>
    <w:p w14:paraId="39DAB414" w14:textId="77777777" w:rsidR="00A351F3" w:rsidRPr="00B40A77" w:rsidRDefault="00A351F3" w:rsidP="00435662">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 document is issued by the Court when</w:t>
      </w:r>
      <w:r w:rsidRPr="00B40A77">
        <w:rPr>
          <w:rFonts w:cs="Times New Roman"/>
          <w:color w:val="000000" w:themeColor="text1"/>
        </w:rPr>
        <w:t>—</w:t>
      </w:r>
    </w:p>
    <w:p w14:paraId="163B3684"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a filed document number is allocated to the document;</w:t>
      </w:r>
    </w:p>
    <w:p w14:paraId="78A711DC"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Court’s seal is applied to the document; or</w:t>
      </w:r>
    </w:p>
    <w:p w14:paraId="3C650FB2" w14:textId="5A7B5F16"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signature of a </w:t>
      </w:r>
      <w:hyperlink w:anchor="_2.1—Definitions" w:history="1">
        <w:r w:rsidR="00C737E1" w:rsidRPr="00B40A77">
          <w:rPr>
            <w:rStyle w:val="Hyperlink"/>
            <w:color w:val="000000" w:themeColor="text1"/>
            <w:lang w:val="en-US"/>
          </w:rPr>
          <w:t>court officer</w:t>
        </w:r>
      </w:hyperlink>
      <w:r w:rsidRPr="00B40A77">
        <w:rPr>
          <w:color w:val="000000" w:themeColor="text1"/>
          <w:lang w:val="en-US"/>
        </w:rPr>
        <w:t xml:space="preserve"> is applied to the document,</w:t>
      </w:r>
    </w:p>
    <w:p w14:paraId="0C17F35D" w14:textId="49FBAE60" w:rsidR="00A351F3" w:rsidRPr="00B40A77" w:rsidRDefault="00A351F3" w:rsidP="00A351F3">
      <w:pPr>
        <w:pStyle w:val="Doublehangindent"/>
        <w:rPr>
          <w:color w:val="000000" w:themeColor="text1"/>
          <w:lang w:val="en-US"/>
        </w:rPr>
      </w:pPr>
      <w:r w:rsidRPr="00B40A77">
        <w:rPr>
          <w:color w:val="000000" w:themeColor="text1"/>
          <w:lang w:val="en-US"/>
        </w:rPr>
        <w:t xml:space="preserve">by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or the Registry.</w:t>
      </w:r>
    </w:p>
    <w:p w14:paraId="0DDFE625" w14:textId="3856F906"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If an issued document</w:t>
      </w:r>
      <w:r w:rsidR="00267F2E" w:rsidRPr="00B40A77">
        <w:rPr>
          <w:color w:val="000000" w:themeColor="text1"/>
          <w:lang w:val="en-US"/>
        </w:rPr>
        <w:t xml:space="preserve"> is required to be served,</w:t>
      </w:r>
      <w:r w:rsidRPr="00B40A77">
        <w:rPr>
          <w:color w:val="000000" w:themeColor="text1"/>
          <w:lang w:val="en-US"/>
        </w:rPr>
        <w:t xml:space="preserve"> the original of which is in electronic form on the </w:t>
      </w:r>
      <w:hyperlink w:anchor="_22.1—Establishment_and_operation" w:history="1">
        <w:r w:rsidR="00E81F20" w:rsidRPr="00B40A77">
          <w:rPr>
            <w:rStyle w:val="Hyperlink"/>
            <w:color w:val="000000" w:themeColor="text1"/>
            <w:lang w:val="en-US"/>
          </w:rPr>
          <w:t>Electronic System</w:t>
        </w:r>
      </w:hyperlink>
      <w:r w:rsidR="00842235" w:rsidRPr="00B40A77">
        <w:rPr>
          <w:color w:val="000000" w:themeColor="text1"/>
          <w:lang w:val="en-US"/>
        </w:rPr>
        <w:t>,</w:t>
      </w:r>
      <w:r w:rsidRPr="00B40A77">
        <w:rPr>
          <w:color w:val="000000" w:themeColor="text1"/>
          <w:lang w:val="en-US"/>
        </w:rPr>
        <w:t xml:space="preserve"> it is sufficient that a version of the document downloaded from or in the same terms as the original in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is served.</w:t>
      </w:r>
    </w:p>
    <w:p w14:paraId="618CC51F" w14:textId="6E4572BF"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If an issued document</w:t>
      </w:r>
      <w:r w:rsidR="00113C2F" w:rsidRPr="00B40A77">
        <w:rPr>
          <w:color w:val="000000" w:themeColor="text1"/>
          <w:lang w:val="en-US"/>
        </w:rPr>
        <w:t xml:space="preserve"> is required to be served</w:t>
      </w:r>
      <w:r w:rsidR="00842235" w:rsidRPr="00B40A77">
        <w:rPr>
          <w:color w:val="000000" w:themeColor="text1"/>
          <w:lang w:val="en-US"/>
        </w:rPr>
        <w:t>,</w:t>
      </w:r>
      <w:r w:rsidRPr="00B40A77">
        <w:rPr>
          <w:color w:val="000000" w:themeColor="text1"/>
          <w:lang w:val="en-US"/>
        </w:rPr>
        <w:t xml:space="preserve"> the original of which is filed in physical form at the Registry, the person lodging the document for filing</w:t>
      </w:r>
      <w:r w:rsidRPr="00B40A77">
        <w:rPr>
          <w:color w:val="000000" w:themeColor="text1"/>
        </w:rPr>
        <w:t>—</w:t>
      </w:r>
    </w:p>
    <w:p w14:paraId="7073327D" w14:textId="7B9C1EC3"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may serve a downloaded version of the document after it has been uploaded to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by the Registry as if subrule</w:t>
      </w:r>
      <w:r w:rsidR="00505080" w:rsidRPr="00B40A77">
        <w:rPr>
          <w:color w:val="000000" w:themeColor="text1"/>
          <w:lang w:val="en-US"/>
        </w:rPr>
        <w:t> </w:t>
      </w:r>
      <w:r w:rsidRPr="00B40A77">
        <w:rPr>
          <w:color w:val="000000" w:themeColor="text1"/>
          <w:lang w:val="en-US"/>
        </w:rPr>
        <w:t>(2) applied; or</w:t>
      </w:r>
    </w:p>
    <w:p w14:paraId="0E64EBC3"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any other case</w:t>
      </w:r>
      <w:r w:rsidRPr="00B40A77">
        <w:rPr>
          <w:color w:val="000000" w:themeColor="text1"/>
        </w:rPr>
        <w:t>—</w:t>
      </w:r>
      <w:r w:rsidRPr="00B40A77">
        <w:rPr>
          <w:color w:val="000000" w:themeColor="text1"/>
          <w:lang w:val="en-US"/>
        </w:rPr>
        <w:t>must produce to the Registry additional copies to be sealed for the purpose of service.</w:t>
      </w:r>
    </w:p>
    <w:p w14:paraId="50B53F2D" w14:textId="2F5518E6" w:rsidR="00A351F3" w:rsidRPr="00B40A77" w:rsidRDefault="00A351F3" w:rsidP="00A351F3">
      <w:pPr>
        <w:pStyle w:val="Hangindent"/>
        <w:rPr>
          <w:rFonts w:eastAsia="Times New Roman" w:cs="Times New Roman"/>
          <w:b/>
          <w:bCs/>
          <w:color w:val="000000" w:themeColor="text1"/>
          <w:sz w:val="34"/>
          <w:szCs w:val="34"/>
          <w:lang w:val="en-US"/>
        </w:rPr>
      </w:pPr>
      <w:bookmarkStart w:id="226" w:name="_Hlk84925488"/>
      <w:r w:rsidRPr="00B40A77">
        <w:rPr>
          <w:color w:val="000000" w:themeColor="text1"/>
          <w:lang w:val="en-US"/>
        </w:rPr>
        <w:t>(4)</w:t>
      </w:r>
      <w:r w:rsidRPr="00B40A77">
        <w:rPr>
          <w:color w:val="000000" w:themeColor="text1"/>
          <w:lang w:val="en-US"/>
        </w:rPr>
        <w:tab/>
        <w:t xml:space="preserve">A party, upon payment of the prescribed fee, may request </w:t>
      </w:r>
      <w:r w:rsidR="009F089F"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to provide a certified copy of a document issued by the Court.</w:t>
      </w:r>
      <w:bookmarkEnd w:id="225"/>
    </w:p>
    <w:p w14:paraId="5445890C" w14:textId="027FE526" w:rsidR="00A351F3" w:rsidRPr="00B40A77" w:rsidRDefault="00A351F3" w:rsidP="00BE23A0">
      <w:pPr>
        <w:pStyle w:val="Heading2"/>
        <w:keepNext/>
        <w:rPr>
          <w:color w:val="000000" w:themeColor="text1"/>
        </w:rPr>
      </w:pPr>
      <w:bookmarkStart w:id="227" w:name="_Toc23776276"/>
      <w:bookmarkStart w:id="228" w:name="_Toc175238833"/>
      <w:bookmarkEnd w:id="226"/>
      <w:r w:rsidRPr="00B40A77">
        <w:rPr>
          <w:color w:val="000000" w:themeColor="text1"/>
        </w:rPr>
        <w:lastRenderedPageBreak/>
        <w:t>Part 6—</w:t>
      </w:r>
      <w:bookmarkEnd w:id="227"/>
      <w:r w:rsidRPr="00B40A77">
        <w:rPr>
          <w:color w:val="000000" w:themeColor="text1"/>
        </w:rPr>
        <w:t>Service of documents</w:t>
      </w:r>
      <w:bookmarkEnd w:id="228"/>
    </w:p>
    <w:p w14:paraId="0AA77A30" w14:textId="77777777" w:rsidR="00A351F3" w:rsidRPr="00B40A77" w:rsidRDefault="00A351F3" w:rsidP="00A351F3">
      <w:pPr>
        <w:pStyle w:val="Heading3"/>
        <w:rPr>
          <w:color w:val="000000" w:themeColor="text1"/>
        </w:rPr>
      </w:pPr>
      <w:bookmarkStart w:id="229" w:name="_Toc175238834"/>
      <w:r w:rsidRPr="00B40A77">
        <w:rPr>
          <w:color w:val="000000" w:themeColor="text1"/>
        </w:rPr>
        <w:t>Division 1—Obligation to serve</w:t>
      </w:r>
      <w:bookmarkEnd w:id="229"/>
    </w:p>
    <w:p w14:paraId="56073B55" w14:textId="20086D54" w:rsidR="00A351F3" w:rsidRPr="00B40A77" w:rsidRDefault="00075A59" w:rsidP="00A351F3">
      <w:pPr>
        <w:pStyle w:val="Heading4"/>
        <w:rPr>
          <w:color w:val="000000" w:themeColor="text1"/>
        </w:rPr>
      </w:pPr>
      <w:bookmarkStart w:id="230" w:name="_Toc175238835"/>
      <w:r w:rsidRPr="00B40A77">
        <w:rPr>
          <w:color w:val="000000" w:themeColor="text1"/>
        </w:rPr>
        <w:t>3</w:t>
      </w:r>
      <w:r w:rsidR="00F20F0A" w:rsidRPr="00B40A77">
        <w:rPr>
          <w:color w:val="000000" w:themeColor="text1"/>
        </w:rPr>
        <w:t>2</w:t>
      </w:r>
      <w:r w:rsidR="00A351F3" w:rsidRPr="00B40A77">
        <w:rPr>
          <w:color w:val="000000" w:themeColor="text1"/>
        </w:rPr>
        <w:t>.1—Service of filed documents on other parties</w:t>
      </w:r>
      <w:bookmarkEnd w:id="230"/>
    </w:p>
    <w:p w14:paraId="6E7C190C" w14:textId="77777777" w:rsidR="00A351F3" w:rsidRPr="00B40A77" w:rsidRDefault="00A351F3" w:rsidP="00A351F3">
      <w:pPr>
        <w:pStyle w:val="IndentedPara"/>
        <w:rPr>
          <w:color w:val="000000" w:themeColor="text1"/>
        </w:rPr>
      </w:pPr>
      <w:r w:rsidRPr="00B40A77">
        <w:rPr>
          <w:color w:val="000000" w:themeColor="text1"/>
        </w:rPr>
        <w:t>A party or other person who files a document must as soon as practicable serve it on all other parties to the proceeding or appellate proceeding unless—</w:t>
      </w:r>
    </w:p>
    <w:p w14:paraId="29D9D427" w14:textId="3CFD2814" w:rsidR="00A351F3" w:rsidRPr="00B40A77" w:rsidRDefault="00A351F3" w:rsidP="00A351F3">
      <w:pPr>
        <w:pStyle w:val="Hangindent"/>
        <w:rPr>
          <w:color w:val="000000" w:themeColor="text1"/>
          <w:lang w:val="en-US"/>
        </w:rPr>
      </w:pPr>
      <w:r w:rsidRPr="00B40A77">
        <w:rPr>
          <w:color w:val="000000" w:themeColor="text1"/>
          <w:lang w:val="en-US"/>
        </w:rPr>
        <w:t>(a</w:t>
      </w:r>
      <w:r w:rsidR="00075A59" w:rsidRPr="00B40A77">
        <w:rPr>
          <w:color w:val="000000" w:themeColor="text1"/>
          <w:lang w:val="en-US"/>
        </w:rPr>
        <w:t>)</w:t>
      </w:r>
      <w:r w:rsidR="00075A59" w:rsidRPr="00B40A77">
        <w:rPr>
          <w:color w:val="000000" w:themeColor="text1"/>
          <w:lang w:val="en-US"/>
        </w:rPr>
        <w:tab/>
        <w:t xml:space="preserve">the document is a </w:t>
      </w:r>
      <w:hyperlink w:anchor="_122.1—Interpretation" w:history="1">
        <w:r w:rsidR="0023389C" w:rsidRPr="00B40A77">
          <w:rPr>
            <w:rStyle w:val="Hyperlink"/>
            <w:color w:val="000000" w:themeColor="text1"/>
            <w:lang w:val="en-US"/>
          </w:rPr>
          <w:t>subpoena</w:t>
        </w:r>
      </w:hyperlink>
      <w:r w:rsidR="007E31A7" w:rsidRPr="00B40A77">
        <w:rPr>
          <w:color w:val="000000" w:themeColor="text1"/>
          <w:lang w:val="en-US"/>
        </w:rPr>
        <w:t xml:space="preserve"> </w:t>
      </w:r>
      <w:r w:rsidRPr="00B40A77">
        <w:rPr>
          <w:color w:val="000000" w:themeColor="text1"/>
          <w:lang w:val="en-US"/>
        </w:rPr>
        <w:t xml:space="preserve">or </w:t>
      </w:r>
      <w:r w:rsidR="00267F2E" w:rsidRPr="00B40A77">
        <w:rPr>
          <w:color w:val="000000" w:themeColor="text1"/>
          <w:lang w:val="en-US"/>
        </w:rPr>
        <w:t xml:space="preserve">a </w:t>
      </w:r>
      <w:r w:rsidRPr="00B40A77">
        <w:rPr>
          <w:color w:val="000000" w:themeColor="text1"/>
          <w:lang w:val="en-US"/>
        </w:rPr>
        <w:t xml:space="preserve">request for a </w:t>
      </w:r>
      <w:hyperlink w:anchor="_122.1—Interpretation" w:history="1">
        <w:r w:rsidR="0023389C" w:rsidRPr="00B40A77">
          <w:rPr>
            <w:rStyle w:val="Hyperlink"/>
            <w:color w:val="000000" w:themeColor="text1"/>
            <w:lang w:val="en-US"/>
          </w:rPr>
          <w:t>subpoena</w:t>
        </w:r>
      </w:hyperlink>
      <w:r w:rsidRPr="00B40A77">
        <w:rPr>
          <w:color w:val="000000" w:themeColor="text1"/>
          <w:lang w:val="en-US"/>
        </w:rPr>
        <w:t xml:space="preserve">, in which case the party must comply instead with </w:t>
      </w:r>
      <w:hyperlink w:anchor="_123.5—Service" w:history="1">
        <w:r w:rsidR="00751BC5" w:rsidRPr="00B40A77">
          <w:rPr>
            <w:rStyle w:val="Hyperlink"/>
            <w:color w:val="000000" w:themeColor="text1"/>
            <w:lang w:val="en-US"/>
          </w:rPr>
          <w:t>rule</w:t>
        </w:r>
        <w:r w:rsidR="00435662" w:rsidRPr="00B40A77">
          <w:rPr>
            <w:rStyle w:val="Hyperlink"/>
            <w:color w:val="000000" w:themeColor="text1"/>
            <w:lang w:val="en-US"/>
          </w:rPr>
          <w:t> </w:t>
        </w:r>
        <w:r w:rsidR="00751BC5" w:rsidRPr="00B40A77">
          <w:rPr>
            <w:rStyle w:val="Hyperlink"/>
            <w:color w:val="000000" w:themeColor="text1"/>
            <w:lang w:val="en-US"/>
          </w:rPr>
          <w:t>123.5</w:t>
        </w:r>
      </w:hyperlink>
      <w:r w:rsidRPr="00B40A77">
        <w:rPr>
          <w:color w:val="000000" w:themeColor="text1"/>
          <w:lang w:val="en-US"/>
        </w:rPr>
        <w:t xml:space="preserve"> when applicable;</w:t>
      </w:r>
    </w:p>
    <w:p w14:paraId="24AC9A23" w14:textId="77777777" w:rsidR="00A351F3" w:rsidRPr="00B40A77" w:rsidRDefault="00A351F3" w:rsidP="00A351F3">
      <w:pPr>
        <w:pStyle w:val="Hangindent"/>
        <w:rPr>
          <w:color w:val="000000" w:themeColor="text1"/>
          <w:lang w:val="en-US"/>
        </w:rPr>
      </w:pPr>
      <w:r w:rsidRPr="00B40A77">
        <w:rPr>
          <w:color w:val="000000" w:themeColor="text1"/>
          <w:lang w:val="en-US"/>
        </w:rPr>
        <w:t>(b)</w:t>
      </w:r>
      <w:r w:rsidRPr="00B40A77">
        <w:rPr>
          <w:color w:val="000000" w:themeColor="text1"/>
          <w:lang w:val="en-US"/>
        </w:rPr>
        <w:tab/>
        <w:t>these Rules provide that the document need not be served on any party or the party in question; or</w:t>
      </w:r>
    </w:p>
    <w:p w14:paraId="0CA1EC83" w14:textId="77777777" w:rsidR="00A351F3" w:rsidRPr="00B40A77" w:rsidRDefault="00A351F3" w:rsidP="00A351F3">
      <w:pPr>
        <w:pStyle w:val="Hangindent"/>
        <w:rPr>
          <w:color w:val="000000" w:themeColor="text1"/>
          <w:lang w:val="en-US"/>
        </w:rPr>
      </w:pPr>
      <w:r w:rsidRPr="00B40A77">
        <w:rPr>
          <w:color w:val="000000" w:themeColor="text1"/>
          <w:lang w:val="en-US"/>
        </w:rPr>
        <w:t>(c)</w:t>
      </w:r>
      <w:r w:rsidRPr="00B40A77">
        <w:rPr>
          <w:color w:val="000000" w:themeColor="text1"/>
          <w:lang w:val="en-US"/>
        </w:rPr>
        <w:tab/>
        <w:t>the Court otherwise orders.</w:t>
      </w:r>
    </w:p>
    <w:p w14:paraId="3AFB0F1E" w14:textId="696B381F" w:rsidR="00A351F3" w:rsidRPr="00B40A77" w:rsidRDefault="00A351F3" w:rsidP="00A351F3">
      <w:pPr>
        <w:pStyle w:val="Heading4"/>
        <w:rPr>
          <w:color w:val="000000" w:themeColor="text1"/>
        </w:rPr>
      </w:pPr>
      <w:bookmarkStart w:id="231" w:name="_Toc175238836"/>
      <w:r w:rsidRPr="00B40A77">
        <w:rPr>
          <w:color w:val="000000" w:themeColor="text1"/>
        </w:rPr>
        <w:t>3</w:t>
      </w:r>
      <w:r w:rsidR="00F20F0A" w:rsidRPr="00B40A77">
        <w:rPr>
          <w:color w:val="000000" w:themeColor="text1"/>
        </w:rPr>
        <w:t>2</w:t>
      </w:r>
      <w:r w:rsidRPr="00B40A77">
        <w:rPr>
          <w:color w:val="000000" w:themeColor="text1"/>
        </w:rPr>
        <w:t>.2—Ineffective service</w:t>
      </w:r>
      <w:bookmarkEnd w:id="231"/>
    </w:p>
    <w:p w14:paraId="4C7FCE36" w14:textId="2641DEEC" w:rsidR="00A351F3" w:rsidRPr="00B40A77" w:rsidRDefault="00A351F3" w:rsidP="00A351F3">
      <w:pPr>
        <w:pStyle w:val="IndentedPara"/>
        <w:rPr>
          <w:color w:val="000000" w:themeColor="text1"/>
        </w:rPr>
      </w:pPr>
      <w:r w:rsidRPr="00B40A77">
        <w:rPr>
          <w:color w:val="000000" w:themeColor="text1"/>
        </w:rPr>
        <w:t>If a party becomes aware that service of a document on a person at an address or in a particular manner will or may not be effective, the party</w:t>
      </w:r>
      <w:bookmarkStart w:id="232" w:name="_Hlk34318530"/>
      <w:r w:rsidR="00075A59" w:rsidRPr="00B40A77">
        <w:rPr>
          <w:color w:val="000000" w:themeColor="text1"/>
        </w:rPr>
        <w:t xml:space="preserve"> must</w:t>
      </w:r>
      <w:r w:rsidRPr="00B40A77">
        <w:rPr>
          <w:color w:val="000000" w:themeColor="text1"/>
        </w:rPr>
        <w:t>—</w:t>
      </w:r>
      <w:bookmarkEnd w:id="232"/>
    </w:p>
    <w:p w14:paraId="5E16BF10" w14:textId="1891A3B4" w:rsidR="00A351F3" w:rsidRPr="00B40A77" w:rsidRDefault="00A351F3" w:rsidP="00A351F3">
      <w:pPr>
        <w:pStyle w:val="Hangindent"/>
        <w:rPr>
          <w:color w:val="000000" w:themeColor="text1"/>
          <w:lang w:val="en-US"/>
        </w:rPr>
      </w:pPr>
      <w:r w:rsidRPr="00B40A77">
        <w:rPr>
          <w:color w:val="000000" w:themeColor="text1"/>
          <w:lang w:val="en-US"/>
        </w:rPr>
        <w:t>(a)</w:t>
      </w:r>
      <w:r w:rsidRPr="00B40A77">
        <w:rPr>
          <w:color w:val="000000" w:themeColor="text1"/>
          <w:lang w:val="en-US"/>
        </w:rPr>
        <w:tab/>
        <w:t>inform the Court as soon as practicable of that fact;</w:t>
      </w:r>
    </w:p>
    <w:p w14:paraId="29ACB3A9" w14:textId="56F7679F" w:rsidR="00A351F3" w:rsidRPr="00B40A77" w:rsidRDefault="00A351F3" w:rsidP="00A351F3">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as soon as practicable of any </w:t>
      </w:r>
      <w:hyperlink w:anchor="_2.1—Definitions" w:history="1">
        <w:r w:rsidR="0042083D" w:rsidRPr="00B40A77">
          <w:rPr>
            <w:rStyle w:val="Hyperlink"/>
            <w:color w:val="000000" w:themeColor="text1"/>
            <w:lang w:val="en-US"/>
          </w:rPr>
          <w:t>step</w:t>
        </w:r>
      </w:hyperlink>
      <w:r w:rsidRPr="00B40A77">
        <w:rPr>
          <w:color w:val="000000" w:themeColor="text1"/>
          <w:lang w:val="en-US"/>
        </w:rPr>
        <w:t xml:space="preserve"> taken in the proceeding reliant on service at that address or in that manner having been effective; and</w:t>
      </w:r>
    </w:p>
    <w:p w14:paraId="617534FB" w14:textId="780C588A" w:rsidR="00A351F3" w:rsidRPr="00B40A77" w:rsidRDefault="00075A59" w:rsidP="00A351F3">
      <w:pPr>
        <w:pStyle w:val="Hangindent"/>
        <w:rPr>
          <w:color w:val="000000" w:themeColor="text1"/>
          <w:lang w:val="en-US"/>
        </w:rPr>
      </w:pPr>
      <w:r w:rsidRPr="00B40A77">
        <w:rPr>
          <w:color w:val="000000" w:themeColor="text1"/>
          <w:lang w:val="en-US"/>
        </w:rPr>
        <w:t>(c)</w:t>
      </w:r>
      <w:r w:rsidRPr="00B40A77">
        <w:rPr>
          <w:color w:val="000000" w:themeColor="text1"/>
          <w:lang w:val="en-US"/>
        </w:rPr>
        <w:tab/>
      </w:r>
      <w:r w:rsidR="00A351F3" w:rsidRPr="00B40A77">
        <w:rPr>
          <w:color w:val="000000" w:themeColor="text1"/>
          <w:lang w:val="en-US"/>
        </w:rPr>
        <w:t>not, without leave of the Court, attempt to effect service of any document at that address or in that manner.</w:t>
      </w:r>
    </w:p>
    <w:p w14:paraId="687E722C" w14:textId="77777777" w:rsidR="00A351F3" w:rsidRPr="00B40A77" w:rsidRDefault="00A351F3" w:rsidP="00A351F3">
      <w:pPr>
        <w:pStyle w:val="Heading3"/>
        <w:rPr>
          <w:color w:val="000000" w:themeColor="text1"/>
        </w:rPr>
      </w:pPr>
      <w:bookmarkStart w:id="233" w:name="_Division_2—Types_of"/>
      <w:bookmarkStart w:id="234" w:name="_Toc175238837"/>
      <w:bookmarkStart w:id="235" w:name="_Toc23776277"/>
      <w:bookmarkEnd w:id="233"/>
      <w:r w:rsidRPr="00B40A77">
        <w:rPr>
          <w:color w:val="000000" w:themeColor="text1"/>
        </w:rPr>
        <w:t>Division 2—Types of service</w:t>
      </w:r>
      <w:bookmarkEnd w:id="234"/>
    </w:p>
    <w:p w14:paraId="55EEFEE4" w14:textId="4025C299" w:rsidR="00A351F3" w:rsidRPr="00B40A77" w:rsidRDefault="00075A59" w:rsidP="00A351F3">
      <w:pPr>
        <w:pStyle w:val="Heading4"/>
        <w:rPr>
          <w:color w:val="000000" w:themeColor="text1"/>
        </w:rPr>
      </w:pPr>
      <w:bookmarkStart w:id="236" w:name="_42.1—Personal_service"/>
      <w:bookmarkStart w:id="237" w:name="_33.1—Personal_service"/>
      <w:bookmarkStart w:id="238" w:name="_Toc175238838"/>
      <w:bookmarkEnd w:id="236"/>
      <w:bookmarkEnd w:id="237"/>
      <w:r w:rsidRPr="00B40A77">
        <w:rPr>
          <w:color w:val="000000" w:themeColor="text1"/>
        </w:rPr>
        <w:t>3</w:t>
      </w:r>
      <w:r w:rsidR="00F20F0A" w:rsidRPr="00B40A77">
        <w:rPr>
          <w:color w:val="000000" w:themeColor="text1"/>
        </w:rPr>
        <w:t>3</w:t>
      </w:r>
      <w:r w:rsidR="00A351F3" w:rsidRPr="00B40A77">
        <w:rPr>
          <w:color w:val="000000" w:themeColor="text1"/>
        </w:rPr>
        <w:t>.1—Personal service</w:t>
      </w:r>
      <w:bookmarkEnd w:id="235"/>
      <w:bookmarkEnd w:id="238"/>
    </w:p>
    <w:p w14:paraId="4CB542CD" w14:textId="77777777" w:rsidR="00A351F3" w:rsidRPr="00B40A77" w:rsidRDefault="00A351F3" w:rsidP="00A351F3">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personal service</w:t>
      </w:r>
      <w:r w:rsidRPr="00B40A77">
        <w:rPr>
          <w:rFonts w:cs="Times New Roman"/>
          <w:color w:val="000000" w:themeColor="text1"/>
        </w:rPr>
        <w:t xml:space="preserve"> on an individual if</w:t>
      </w:r>
      <w:r w:rsidRPr="00B40A77">
        <w:rPr>
          <w:color w:val="000000" w:themeColor="text1"/>
        </w:rPr>
        <w:t>—</w:t>
      </w:r>
    </w:p>
    <w:p w14:paraId="60D0815F"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rFonts w:cs="Times New Roman"/>
          <w:color w:val="000000" w:themeColor="text1"/>
          <w:lang w:val="en-US"/>
        </w:rPr>
        <w:t>the document is given to and accepted by the person; or</w:t>
      </w:r>
    </w:p>
    <w:p w14:paraId="39FFFD9E" w14:textId="77777777" w:rsidR="00A351F3" w:rsidRPr="00B40A77" w:rsidRDefault="00A351F3" w:rsidP="00A351F3">
      <w:pPr>
        <w:pStyle w:val="Doublehangindent"/>
        <w:rPr>
          <w:color w:val="000000" w:themeColor="text1"/>
        </w:rPr>
      </w:pPr>
      <w:r w:rsidRPr="00B40A77">
        <w:rPr>
          <w:color w:val="000000" w:themeColor="text1"/>
          <w:lang w:val="en-US"/>
        </w:rPr>
        <w:t>(b)</w:t>
      </w:r>
      <w:r w:rsidRPr="00B40A77">
        <w:rPr>
          <w:color w:val="000000" w:themeColor="text1"/>
          <w:lang w:val="en-US"/>
        </w:rPr>
        <w:tab/>
        <w:t>each of the following apply</w:t>
      </w:r>
      <w:r w:rsidRPr="00B40A77">
        <w:rPr>
          <w:color w:val="000000" w:themeColor="text1"/>
        </w:rPr>
        <w:t>—</w:t>
      </w:r>
    </w:p>
    <w:p w14:paraId="2CB163A7" w14:textId="4811D5DB" w:rsidR="00A351F3" w:rsidRPr="00B40A77" w:rsidRDefault="00A351F3" w:rsidP="00435662">
      <w:pPr>
        <w:pStyle w:val="Doublehangindent"/>
        <w:ind w:left="2268"/>
        <w:rPr>
          <w:rFonts w:cs="Times New Roman"/>
          <w:color w:val="000000" w:themeColor="text1"/>
          <w:lang w:val="en-US"/>
        </w:rPr>
      </w:pPr>
      <w:r w:rsidRPr="00B40A77">
        <w:rPr>
          <w:color w:val="000000" w:themeColor="text1"/>
        </w:rPr>
        <w:t>(i)</w:t>
      </w:r>
      <w:r w:rsidRPr="00B40A77">
        <w:rPr>
          <w:color w:val="000000" w:themeColor="text1"/>
        </w:rPr>
        <w:tab/>
      </w:r>
      <w:r w:rsidRPr="00B40A77">
        <w:rPr>
          <w:rFonts w:cs="Times New Roman"/>
          <w:color w:val="000000" w:themeColor="text1"/>
          <w:lang w:val="en-US"/>
        </w:rPr>
        <w:t>the document is offered to the person;</w:t>
      </w:r>
    </w:p>
    <w:p w14:paraId="2C48BB8F" w14:textId="77777777" w:rsidR="00A351F3" w:rsidRPr="00B40A77" w:rsidRDefault="00A351F3" w:rsidP="00C67365">
      <w:pPr>
        <w:pStyle w:val="Doublehangindent"/>
        <w:ind w:left="2268"/>
        <w:rPr>
          <w:rFonts w:cs="Times New Roman"/>
          <w:color w:val="000000" w:themeColor="text1"/>
          <w:lang w:val="en-US"/>
        </w:rPr>
      </w:pPr>
      <w:r w:rsidRPr="00B40A77">
        <w:rPr>
          <w:rFonts w:cs="Times New Roman"/>
          <w:color w:val="000000" w:themeColor="text1"/>
          <w:lang w:val="en-US"/>
        </w:rPr>
        <w:t>(ii)</w:t>
      </w:r>
      <w:r w:rsidRPr="00B40A77">
        <w:rPr>
          <w:rFonts w:cs="Times New Roman"/>
          <w:color w:val="000000" w:themeColor="text1"/>
          <w:lang w:val="en-US"/>
        </w:rPr>
        <w:tab/>
        <w:t>the person is unwilling to accept the document;</w:t>
      </w:r>
    </w:p>
    <w:p w14:paraId="7D503822" w14:textId="77777777" w:rsidR="00A351F3" w:rsidRPr="00B40A77" w:rsidRDefault="00A351F3" w:rsidP="00C67365">
      <w:pPr>
        <w:pStyle w:val="Doublehangindent"/>
        <w:ind w:left="2268"/>
        <w:rPr>
          <w:color w:val="000000" w:themeColor="text1"/>
        </w:rPr>
      </w:pPr>
      <w:r w:rsidRPr="00B40A77">
        <w:rPr>
          <w:rFonts w:cs="Times New Roman"/>
          <w:color w:val="000000" w:themeColor="text1"/>
          <w:lang w:val="en-US"/>
        </w:rPr>
        <w:t>(iii)</w:t>
      </w:r>
      <w:r w:rsidRPr="00B40A77">
        <w:rPr>
          <w:rFonts w:cs="Times New Roman"/>
          <w:color w:val="000000" w:themeColor="text1"/>
          <w:lang w:val="en-US"/>
        </w:rPr>
        <w:tab/>
      </w:r>
      <w:r w:rsidRPr="00B40A77">
        <w:rPr>
          <w:color w:val="000000" w:themeColor="text1"/>
        </w:rPr>
        <w:t xml:space="preserve">the </w:t>
      </w:r>
      <w:r w:rsidRPr="00B40A77">
        <w:rPr>
          <w:rFonts w:cs="Times New Roman"/>
          <w:color w:val="000000" w:themeColor="text1"/>
          <w:lang w:val="en-US"/>
        </w:rPr>
        <w:t>person</w:t>
      </w:r>
      <w:r w:rsidRPr="00B40A77">
        <w:rPr>
          <w:color w:val="000000" w:themeColor="text1"/>
        </w:rPr>
        <w:t xml:space="preserve"> is informed of the nature of the document; and</w:t>
      </w:r>
    </w:p>
    <w:p w14:paraId="098672BB" w14:textId="77777777" w:rsidR="00A351F3" w:rsidRPr="00B40A77" w:rsidRDefault="00A351F3" w:rsidP="00C67365">
      <w:pPr>
        <w:pStyle w:val="Doublehangindent"/>
        <w:ind w:left="2268"/>
        <w:rPr>
          <w:color w:val="000000" w:themeColor="text1"/>
          <w:lang w:val="en-US"/>
        </w:rPr>
      </w:pPr>
      <w:r w:rsidRPr="00B40A77">
        <w:rPr>
          <w:color w:val="000000" w:themeColor="text1"/>
        </w:rPr>
        <w:t>(iv)</w:t>
      </w:r>
      <w:r w:rsidRPr="00B40A77">
        <w:rPr>
          <w:color w:val="000000" w:themeColor="text1"/>
        </w:rPr>
        <w:tab/>
        <w:t xml:space="preserve">the </w:t>
      </w:r>
      <w:r w:rsidRPr="00B40A77">
        <w:rPr>
          <w:rFonts w:cs="Times New Roman"/>
          <w:color w:val="000000" w:themeColor="text1"/>
          <w:lang w:val="en-US"/>
        </w:rPr>
        <w:t>document</w:t>
      </w:r>
      <w:r w:rsidRPr="00B40A77">
        <w:rPr>
          <w:color w:val="000000" w:themeColor="text1"/>
        </w:rPr>
        <w:t xml:space="preserve"> is put down in the presence of the person.</w:t>
      </w:r>
    </w:p>
    <w:p w14:paraId="05EC2583" w14:textId="77777777" w:rsidR="00A351F3" w:rsidRPr="00B40A77" w:rsidRDefault="00A351F3" w:rsidP="00A351F3">
      <w:pPr>
        <w:pStyle w:val="Hangindent"/>
        <w:rPr>
          <w:color w:val="000000" w:themeColor="text1"/>
        </w:rPr>
      </w:pPr>
      <w:r w:rsidRPr="00B40A77">
        <w:rPr>
          <w:rFonts w:cs="Times New Roman"/>
          <w:color w:val="000000" w:themeColor="text1"/>
        </w:rPr>
        <w:t>(2)</w:t>
      </w:r>
      <w:r w:rsidRPr="00B40A77">
        <w:rPr>
          <w:rFonts w:cs="Times New Roman"/>
          <w:color w:val="000000" w:themeColor="text1"/>
        </w:rPr>
        <w:tab/>
        <w:t xml:space="preserve">A document is served in South Australia by </w:t>
      </w:r>
      <w:r w:rsidRPr="00B40A77">
        <w:rPr>
          <w:rFonts w:cs="Times New Roman"/>
          <w:b/>
          <w:i/>
          <w:color w:val="000000" w:themeColor="text1"/>
        </w:rPr>
        <w:t>personal service</w:t>
      </w:r>
      <w:r w:rsidRPr="00B40A77">
        <w:rPr>
          <w:rFonts w:cs="Times New Roman"/>
          <w:color w:val="000000" w:themeColor="text1"/>
        </w:rPr>
        <w:t xml:space="preserve"> on a body corporate</w:t>
      </w:r>
      <w:r w:rsidRPr="00B40A77">
        <w:rPr>
          <w:color w:val="000000" w:themeColor="text1"/>
        </w:rPr>
        <w:t>—</w:t>
      </w:r>
    </w:p>
    <w:p w14:paraId="4F67C132" w14:textId="6C4F2F3A"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that is a </w:t>
      </w:r>
      <w:hyperlink w:anchor="_2.1—Definitions" w:history="1">
        <w:r w:rsidR="00350C21" w:rsidRPr="00B40A77">
          <w:rPr>
            <w:rStyle w:val="Hyperlink"/>
            <w:color w:val="000000" w:themeColor="text1"/>
          </w:rPr>
          <w:t>company</w:t>
        </w:r>
      </w:hyperlink>
      <w:r w:rsidRPr="00B40A77">
        <w:rPr>
          <w:color w:val="000000" w:themeColor="text1"/>
        </w:rPr>
        <w:t xml:space="preserve">—if it is served in accordance with section 109X of the </w:t>
      </w:r>
      <w:r w:rsidRPr="00B40A77">
        <w:rPr>
          <w:i/>
          <w:color w:val="000000" w:themeColor="text1"/>
        </w:rPr>
        <w:t>Corporations Act 2001</w:t>
      </w:r>
      <w:r w:rsidRPr="00B40A77">
        <w:rPr>
          <w:color w:val="000000" w:themeColor="text1"/>
        </w:rPr>
        <w:t xml:space="preserve"> (Cth)</w:t>
      </w:r>
      <w:r w:rsidRPr="00B40A77">
        <w:rPr>
          <w:rFonts w:cs="Times New Roman"/>
          <w:color w:val="000000" w:themeColor="text1"/>
          <w:lang w:val="en-US"/>
        </w:rPr>
        <w:t xml:space="preserve">; </w:t>
      </w:r>
    </w:p>
    <w:p w14:paraId="5A6B7441" w14:textId="34D3B690" w:rsidR="00A351F3" w:rsidRPr="00B40A77" w:rsidRDefault="00A351F3" w:rsidP="00A351F3">
      <w:pPr>
        <w:pStyle w:val="Doublehangindent"/>
        <w:rPr>
          <w:color w:val="000000" w:themeColor="text1"/>
        </w:rPr>
      </w:pPr>
      <w:r w:rsidRPr="00B40A77">
        <w:rPr>
          <w:color w:val="000000" w:themeColor="text1"/>
          <w:lang w:val="en-US"/>
        </w:rPr>
        <w:t>(b)</w:t>
      </w:r>
      <w:r w:rsidRPr="00B40A77">
        <w:rPr>
          <w:color w:val="000000" w:themeColor="text1"/>
          <w:lang w:val="en-US"/>
        </w:rPr>
        <w:tab/>
        <w:t xml:space="preserve">that is a </w:t>
      </w:r>
      <w:hyperlink w:anchor="_2.1—Definitions" w:history="1">
        <w:r w:rsidRPr="00B40A77">
          <w:rPr>
            <w:rStyle w:val="Hyperlink"/>
            <w:color w:val="000000" w:themeColor="text1"/>
          </w:rPr>
          <w:t>registered body</w:t>
        </w:r>
      </w:hyperlink>
      <w:r w:rsidRPr="00B40A77">
        <w:rPr>
          <w:color w:val="000000" w:themeColor="text1"/>
        </w:rPr>
        <w:t xml:space="preserve">—if it is served in accordance with section 601CX of the </w:t>
      </w:r>
      <w:r w:rsidRPr="00B40A77">
        <w:rPr>
          <w:i/>
          <w:color w:val="000000" w:themeColor="text1"/>
        </w:rPr>
        <w:t>Corporations Act 2001</w:t>
      </w:r>
      <w:r w:rsidRPr="00B40A77">
        <w:rPr>
          <w:color w:val="000000" w:themeColor="text1"/>
        </w:rPr>
        <w:t xml:space="preserve"> (Cth); or</w:t>
      </w:r>
    </w:p>
    <w:p w14:paraId="6757BA54" w14:textId="114C7FA3"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otherwise—if it is left at</w:t>
      </w:r>
      <w:r w:rsidR="00075A59" w:rsidRPr="00B40A77">
        <w:rPr>
          <w:color w:val="000000" w:themeColor="text1"/>
          <w:lang w:val="en-US"/>
        </w:rPr>
        <w:t xml:space="preserve"> or sent by prepaid post to </w:t>
      </w:r>
      <w:r w:rsidRPr="00B40A77">
        <w:rPr>
          <w:color w:val="000000" w:themeColor="text1"/>
          <w:lang w:val="en-US"/>
        </w:rPr>
        <w:t>the head office, registered office or principal place of business</w:t>
      </w:r>
      <w:r w:rsidR="006D0E5C" w:rsidRPr="00B40A77">
        <w:rPr>
          <w:color w:val="000000" w:themeColor="text1"/>
          <w:lang w:val="en-US"/>
        </w:rPr>
        <w:t xml:space="preserve"> of the body corporate</w:t>
      </w:r>
      <w:r w:rsidRPr="00B40A77">
        <w:rPr>
          <w:color w:val="000000" w:themeColor="text1"/>
          <w:lang w:val="en-US"/>
        </w:rPr>
        <w:t>.</w:t>
      </w:r>
    </w:p>
    <w:p w14:paraId="2B9404C1" w14:textId="77777777" w:rsidR="00A351F3" w:rsidRPr="00B40A77" w:rsidRDefault="00A351F3" w:rsidP="00A351F3">
      <w:pPr>
        <w:pStyle w:val="Hangindent"/>
        <w:rPr>
          <w:color w:val="000000" w:themeColor="text1"/>
        </w:rPr>
      </w:pPr>
      <w:r w:rsidRPr="00B40A77">
        <w:rPr>
          <w:rFonts w:cs="Times New Roman"/>
          <w:color w:val="000000" w:themeColor="text1"/>
        </w:rPr>
        <w:t>(3)</w:t>
      </w:r>
      <w:r w:rsidRPr="00B40A77">
        <w:rPr>
          <w:rFonts w:cs="Times New Roman"/>
          <w:color w:val="000000" w:themeColor="text1"/>
        </w:rPr>
        <w:tab/>
        <w:t xml:space="preserve">A document is served elsewhere in Australia by </w:t>
      </w:r>
      <w:r w:rsidRPr="00B40A77">
        <w:rPr>
          <w:rFonts w:cs="Times New Roman"/>
          <w:b/>
          <w:i/>
          <w:color w:val="000000" w:themeColor="text1"/>
        </w:rPr>
        <w:t>personal service</w:t>
      </w:r>
      <w:r w:rsidRPr="00B40A77">
        <w:rPr>
          <w:rFonts w:cs="Times New Roman"/>
          <w:color w:val="000000" w:themeColor="text1"/>
        </w:rPr>
        <w:t xml:space="preserve"> on a body corporate</w:t>
      </w:r>
      <w:r w:rsidRPr="00B40A77">
        <w:rPr>
          <w:color w:val="000000" w:themeColor="text1"/>
        </w:rPr>
        <w:t>—</w:t>
      </w:r>
    </w:p>
    <w:p w14:paraId="68872A97" w14:textId="21E5A3D8"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that is a </w:t>
      </w:r>
      <w:hyperlink w:anchor="_2.1—Definitions" w:history="1">
        <w:r w:rsidR="00350C21" w:rsidRPr="00B40A77">
          <w:rPr>
            <w:rStyle w:val="Hyperlink"/>
            <w:color w:val="000000" w:themeColor="text1"/>
          </w:rPr>
          <w:t>company</w:t>
        </w:r>
      </w:hyperlink>
      <w:r w:rsidR="00264EA2" w:rsidRPr="00B40A77">
        <w:rPr>
          <w:color w:val="000000" w:themeColor="text1"/>
          <w:lang w:val="en-US"/>
        </w:rPr>
        <w:t xml:space="preserve"> or </w:t>
      </w:r>
      <w:hyperlink w:anchor="_2.1—Definitions" w:history="1">
        <w:r w:rsidR="00264EA2" w:rsidRPr="00B40A77">
          <w:rPr>
            <w:rStyle w:val="Hyperlink"/>
            <w:color w:val="000000" w:themeColor="text1"/>
          </w:rPr>
          <w:t>registered body</w:t>
        </w:r>
      </w:hyperlink>
      <w:r w:rsidRPr="00B40A77">
        <w:rPr>
          <w:color w:val="000000" w:themeColor="text1"/>
        </w:rPr>
        <w:t>—if it is served in accordance with section 9 of the Service and Execution of Process Act</w:t>
      </w:r>
      <w:r w:rsidRPr="00B40A77">
        <w:rPr>
          <w:rFonts w:cs="Times New Roman"/>
          <w:color w:val="000000" w:themeColor="text1"/>
          <w:lang w:val="en-US"/>
        </w:rPr>
        <w:t xml:space="preserve">; </w:t>
      </w:r>
      <w:r w:rsidR="00264EA2" w:rsidRPr="00B40A77">
        <w:rPr>
          <w:rFonts w:cs="Times New Roman"/>
          <w:color w:val="000000" w:themeColor="text1"/>
          <w:lang w:val="en-US"/>
        </w:rPr>
        <w:t>or</w:t>
      </w:r>
    </w:p>
    <w:p w14:paraId="707365DD" w14:textId="4B1B95A6" w:rsidR="00A351F3" w:rsidRPr="00B40A77" w:rsidRDefault="00A351F3" w:rsidP="00A351F3">
      <w:pPr>
        <w:pStyle w:val="Doublehangindent"/>
        <w:rPr>
          <w:rFonts w:cs="Times New Roman"/>
          <w:color w:val="000000" w:themeColor="text1"/>
        </w:rPr>
      </w:pPr>
      <w:r w:rsidRPr="00B40A77">
        <w:rPr>
          <w:color w:val="000000" w:themeColor="text1"/>
          <w:lang w:val="en-US"/>
        </w:rPr>
        <w:lastRenderedPageBreak/>
        <w:t>(b)</w:t>
      </w:r>
      <w:r w:rsidRPr="00B40A77">
        <w:rPr>
          <w:color w:val="000000" w:themeColor="text1"/>
          <w:lang w:val="en-US"/>
        </w:rPr>
        <w:tab/>
        <w:t>otherwise—</w:t>
      </w:r>
      <w:r w:rsidRPr="00B40A77">
        <w:rPr>
          <w:color w:val="000000" w:themeColor="text1"/>
        </w:rPr>
        <w:t>if it is served in accordance with section</w:t>
      </w:r>
      <w:r w:rsidR="001B1E8A" w:rsidRPr="00B40A77">
        <w:rPr>
          <w:color w:val="000000" w:themeColor="text1"/>
        </w:rPr>
        <w:t> </w:t>
      </w:r>
      <w:r w:rsidRPr="00B40A77">
        <w:rPr>
          <w:color w:val="000000" w:themeColor="text1"/>
        </w:rPr>
        <w:t>10 of the Service and Execution of Process Act</w:t>
      </w:r>
      <w:r w:rsidRPr="00B40A77">
        <w:rPr>
          <w:color w:val="000000" w:themeColor="text1"/>
          <w:lang w:val="en-US"/>
        </w:rPr>
        <w:t>.</w:t>
      </w:r>
    </w:p>
    <w:p w14:paraId="1617C3CD" w14:textId="4028BFDE" w:rsidR="00A351F3" w:rsidRPr="00B40A77" w:rsidRDefault="00A351F3" w:rsidP="00A351F3">
      <w:pPr>
        <w:pStyle w:val="Hangindent"/>
        <w:rPr>
          <w:color w:val="000000" w:themeColor="text1"/>
        </w:rPr>
      </w:pPr>
      <w:bookmarkStart w:id="239" w:name="_Toc23776278"/>
      <w:r w:rsidRPr="00B40A77">
        <w:rPr>
          <w:rFonts w:cs="Times New Roman"/>
          <w:color w:val="000000" w:themeColor="text1"/>
        </w:rPr>
        <w:t>(4)</w:t>
      </w:r>
      <w:r w:rsidRPr="00B40A77">
        <w:rPr>
          <w:rFonts w:cs="Times New Roman"/>
          <w:color w:val="000000" w:themeColor="text1"/>
        </w:rPr>
        <w:tab/>
        <w:t>If a document is served by prepaid post under subrule</w:t>
      </w:r>
      <w:r w:rsidR="001B1E8A" w:rsidRPr="00B40A77">
        <w:rPr>
          <w:rFonts w:cs="Times New Roman"/>
          <w:color w:val="000000" w:themeColor="text1"/>
        </w:rPr>
        <w:t> </w:t>
      </w:r>
      <w:r w:rsidRPr="00B40A77">
        <w:rPr>
          <w:rFonts w:cs="Times New Roman"/>
          <w:color w:val="000000" w:themeColor="text1"/>
        </w:rPr>
        <w:t>(2) or</w:t>
      </w:r>
      <w:r w:rsidR="001B1E8A" w:rsidRPr="00B40A77">
        <w:rPr>
          <w:rFonts w:cs="Times New Roman"/>
          <w:color w:val="000000" w:themeColor="text1"/>
        </w:rPr>
        <w:t> </w:t>
      </w:r>
      <w:r w:rsidRPr="00B40A77">
        <w:rPr>
          <w:rFonts w:cs="Times New Roman"/>
          <w:color w:val="000000" w:themeColor="text1"/>
        </w:rPr>
        <w:t xml:space="preserve">(3), there is a rebuttable presumption that it was received at the address to which it was posted </w:t>
      </w:r>
      <w:r w:rsidR="00431D96" w:rsidRPr="00B40A77">
        <w:rPr>
          <w:rFonts w:cs="Times New Roman"/>
          <w:color w:val="000000" w:themeColor="text1"/>
        </w:rPr>
        <w:t xml:space="preserve">at the time </w:t>
      </w:r>
      <w:r w:rsidR="006B6B27" w:rsidRPr="00B40A77">
        <w:rPr>
          <w:rFonts w:cs="Times New Roman"/>
          <w:color w:val="000000" w:themeColor="text1"/>
        </w:rPr>
        <w:t>at</w:t>
      </w:r>
      <w:r w:rsidR="00431D96" w:rsidRPr="00B40A77">
        <w:rPr>
          <w:rFonts w:cs="Times New Roman"/>
          <w:color w:val="000000" w:themeColor="text1"/>
        </w:rPr>
        <w:t xml:space="preserve"> which </w:t>
      </w:r>
      <w:r w:rsidRPr="00B40A77">
        <w:rPr>
          <w:rFonts w:cs="Times New Roman"/>
          <w:color w:val="000000" w:themeColor="text1"/>
        </w:rPr>
        <w:t>it would have arrived in the ordinary course of post</w:t>
      </w:r>
      <w:r w:rsidR="00330C68" w:rsidRPr="00B40A77">
        <w:rPr>
          <w:color w:val="000000" w:themeColor="text1"/>
        </w:rPr>
        <w:t xml:space="preserve"> for the postal service used</w:t>
      </w:r>
      <w:r w:rsidRPr="00B40A77">
        <w:rPr>
          <w:rFonts w:cs="Times New Roman"/>
          <w:color w:val="000000" w:themeColor="text1"/>
        </w:rPr>
        <w:t>.</w:t>
      </w:r>
    </w:p>
    <w:p w14:paraId="28BF5455" w14:textId="43155771" w:rsidR="00A351F3" w:rsidRPr="00B40A77" w:rsidRDefault="00C82171" w:rsidP="00A351F3">
      <w:pPr>
        <w:pStyle w:val="Heading4"/>
        <w:rPr>
          <w:color w:val="000000" w:themeColor="text1"/>
        </w:rPr>
      </w:pPr>
      <w:bookmarkStart w:id="240" w:name="_42.2—Email_service"/>
      <w:bookmarkStart w:id="241" w:name="_Toc175238839"/>
      <w:bookmarkEnd w:id="240"/>
      <w:r w:rsidRPr="00B40A77">
        <w:rPr>
          <w:color w:val="000000" w:themeColor="text1"/>
        </w:rPr>
        <w:t>3</w:t>
      </w:r>
      <w:r w:rsidR="00F20F0A" w:rsidRPr="00B40A77">
        <w:rPr>
          <w:color w:val="000000" w:themeColor="text1"/>
        </w:rPr>
        <w:t>3</w:t>
      </w:r>
      <w:r w:rsidR="00A351F3" w:rsidRPr="00B40A77">
        <w:rPr>
          <w:color w:val="000000" w:themeColor="text1"/>
        </w:rPr>
        <w:t>.2—Delivery service</w:t>
      </w:r>
      <w:bookmarkEnd w:id="241"/>
    </w:p>
    <w:p w14:paraId="4F1317F2"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delivery service</w:t>
      </w:r>
      <w:r w:rsidRPr="00B40A77">
        <w:rPr>
          <w:rFonts w:cs="Times New Roman"/>
          <w:color w:val="000000" w:themeColor="text1"/>
        </w:rPr>
        <w:t xml:space="preserve"> on a person (</w:t>
      </w:r>
      <w:r w:rsidRPr="00B40A77">
        <w:rPr>
          <w:rFonts w:cs="Times New Roman"/>
          <w:bCs/>
          <w:iCs/>
          <w:color w:val="000000" w:themeColor="text1"/>
        </w:rPr>
        <w:t>the</w:t>
      </w:r>
      <w:r w:rsidRPr="00B40A77">
        <w:rPr>
          <w:rFonts w:cs="Times New Roman"/>
          <w:b/>
          <w:i/>
          <w:color w:val="000000" w:themeColor="text1"/>
        </w:rPr>
        <w:t xml:space="preserve"> recipient</w:t>
      </w:r>
      <w:r w:rsidRPr="00B40A77">
        <w:rPr>
          <w:rFonts w:cs="Times New Roman"/>
          <w:color w:val="000000" w:themeColor="text1"/>
        </w:rPr>
        <w:t xml:space="preserve">) if </w:t>
      </w:r>
      <w:r w:rsidRPr="00B40A77">
        <w:rPr>
          <w:color w:val="000000" w:themeColor="text1"/>
        </w:rPr>
        <w:t xml:space="preserve">it is left for the recipient </w:t>
      </w:r>
      <w:r w:rsidRPr="00B40A77">
        <w:rPr>
          <w:rFonts w:cs="Times New Roman"/>
          <w:color w:val="000000" w:themeColor="text1"/>
        </w:rPr>
        <w:t>at</w:t>
      </w:r>
      <w:r w:rsidRPr="00B40A77">
        <w:rPr>
          <w:color w:val="000000" w:themeColor="text1"/>
        </w:rPr>
        <w:t>—</w:t>
      </w:r>
    </w:p>
    <w:p w14:paraId="2A8A7B4D"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the recipient’s last known residential or business address with someone apparently over the age of 16 years; or</w:t>
      </w:r>
    </w:p>
    <w:p w14:paraId="1DA91164" w14:textId="73F5C151"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 xml:space="preserve">the physical address that is part of the recipient’s </w:t>
      </w:r>
      <w:hyperlink w:anchor="_2.1—Definitions" w:history="1">
        <w:r w:rsidRPr="00B40A77">
          <w:rPr>
            <w:rStyle w:val="Hyperlink"/>
            <w:color w:val="000000" w:themeColor="text1"/>
          </w:rPr>
          <w:t>address for service</w:t>
        </w:r>
      </w:hyperlink>
      <w:r w:rsidRPr="00B40A77">
        <w:rPr>
          <w:color w:val="000000" w:themeColor="text1"/>
        </w:rPr>
        <w:t xml:space="preserve"> in the proceeding or appellate proceeding under </w:t>
      </w:r>
      <w:hyperlink w:anchor="_35.2—Content_of_address" w:history="1">
        <w:r w:rsidR="00764EEC" w:rsidRPr="00B40A77">
          <w:rPr>
            <w:rStyle w:val="Hyperlink"/>
            <w:color w:val="000000" w:themeColor="text1"/>
          </w:rPr>
          <w:t>rule 35.2</w:t>
        </w:r>
      </w:hyperlink>
      <w:r w:rsidR="00764EEC" w:rsidRPr="00B40A77">
        <w:rPr>
          <w:color w:val="000000" w:themeColor="text1"/>
        </w:rPr>
        <w:t xml:space="preserve"> </w:t>
      </w:r>
      <w:r w:rsidRPr="00B40A77">
        <w:rPr>
          <w:color w:val="000000" w:themeColor="text1"/>
        </w:rPr>
        <w:t>with someone apparently over the age of 16 years</w:t>
      </w:r>
      <w:r w:rsidR="00841AD9" w:rsidRPr="00B40A77">
        <w:rPr>
          <w:color w:val="000000" w:themeColor="text1"/>
        </w:rPr>
        <w:t>.</w:t>
      </w:r>
    </w:p>
    <w:p w14:paraId="7A0CE9B0" w14:textId="34798CD9" w:rsidR="00A351F3" w:rsidRPr="00B40A77" w:rsidRDefault="00C82171" w:rsidP="00A351F3">
      <w:pPr>
        <w:pStyle w:val="Heading4"/>
        <w:rPr>
          <w:color w:val="000000" w:themeColor="text1"/>
        </w:rPr>
      </w:pPr>
      <w:bookmarkStart w:id="242" w:name="_33.3—Email_service"/>
      <w:bookmarkStart w:id="243" w:name="_Toc175238840"/>
      <w:bookmarkStart w:id="244" w:name="_Hlk107840897"/>
      <w:bookmarkEnd w:id="242"/>
      <w:r w:rsidRPr="00B40A77">
        <w:rPr>
          <w:color w:val="000000" w:themeColor="text1"/>
        </w:rPr>
        <w:t>3</w:t>
      </w:r>
      <w:r w:rsidR="00F20F0A" w:rsidRPr="00B40A77">
        <w:rPr>
          <w:color w:val="000000" w:themeColor="text1"/>
        </w:rPr>
        <w:t>3</w:t>
      </w:r>
      <w:r w:rsidR="00A351F3" w:rsidRPr="00B40A77">
        <w:rPr>
          <w:color w:val="000000" w:themeColor="text1"/>
        </w:rPr>
        <w:t>.3—Email service</w:t>
      </w:r>
      <w:bookmarkEnd w:id="239"/>
      <w:bookmarkEnd w:id="243"/>
    </w:p>
    <w:p w14:paraId="5C6E0643" w14:textId="77777777" w:rsidR="00A351F3" w:rsidRPr="00B40A77" w:rsidRDefault="00A351F3" w:rsidP="00A351F3">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email service</w:t>
      </w:r>
      <w:r w:rsidRPr="00B40A77">
        <w:rPr>
          <w:rFonts w:cs="Times New Roman"/>
          <w:color w:val="000000" w:themeColor="text1"/>
        </w:rPr>
        <w:t xml:space="preserve"> on a person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if</w:t>
      </w:r>
      <w:r w:rsidRPr="00B40A77">
        <w:rPr>
          <w:color w:val="000000" w:themeColor="text1"/>
        </w:rPr>
        <w:t>—</w:t>
      </w:r>
    </w:p>
    <w:p w14:paraId="03F325F7" w14:textId="739AF2B0"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 xml:space="preserve">it is sent as an attachment in a PDF or </w:t>
      </w:r>
      <w:r w:rsidR="00BC2552" w:rsidRPr="00B40A77">
        <w:rPr>
          <w:color w:val="000000" w:themeColor="text1"/>
        </w:rPr>
        <w:t xml:space="preserve">Microsoft </w:t>
      </w:r>
      <w:r w:rsidRPr="00B40A77">
        <w:rPr>
          <w:color w:val="000000" w:themeColor="text1"/>
        </w:rPr>
        <w:t>Word format to an email address;</w:t>
      </w:r>
    </w:p>
    <w:p w14:paraId="22041E3E"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either—</w:t>
      </w:r>
    </w:p>
    <w:p w14:paraId="1308FC21" w14:textId="20DEA3EB" w:rsidR="00A351F3" w:rsidRPr="00B40A77" w:rsidRDefault="00A351F3" w:rsidP="00A351F3">
      <w:pPr>
        <w:pStyle w:val="Triplehangindent"/>
        <w:rPr>
          <w:color w:val="000000" w:themeColor="text1"/>
        </w:rPr>
      </w:pPr>
      <w:r w:rsidRPr="00B40A77">
        <w:rPr>
          <w:color w:val="000000" w:themeColor="text1"/>
        </w:rPr>
        <w:t>(i)</w:t>
      </w:r>
      <w:r w:rsidRPr="00B40A77">
        <w:rPr>
          <w:color w:val="000000" w:themeColor="text1"/>
        </w:rPr>
        <w:tab/>
        <w:t>the recipient has consented to the document or a class of documents encompassing the document being served on the recipient by ema</w:t>
      </w:r>
      <w:r w:rsidR="00264EA2" w:rsidRPr="00B40A77">
        <w:rPr>
          <w:color w:val="000000" w:themeColor="text1"/>
        </w:rPr>
        <w:t xml:space="preserve">il sent to that email address; </w:t>
      </w:r>
      <w:r w:rsidRPr="00B40A77">
        <w:rPr>
          <w:color w:val="000000" w:themeColor="text1"/>
        </w:rPr>
        <w:t>or</w:t>
      </w:r>
    </w:p>
    <w:p w14:paraId="5ABD3C07" w14:textId="2882CDD2" w:rsidR="00A351F3" w:rsidRPr="00B40A77" w:rsidRDefault="00A351F3" w:rsidP="00A351F3">
      <w:pPr>
        <w:pStyle w:val="Triplehangindent"/>
        <w:rPr>
          <w:color w:val="000000" w:themeColor="text1"/>
        </w:rPr>
      </w:pPr>
      <w:r w:rsidRPr="00B40A77">
        <w:rPr>
          <w:color w:val="000000" w:themeColor="text1"/>
        </w:rPr>
        <w:t>(ii)</w:t>
      </w:r>
      <w:r w:rsidRPr="00B40A77">
        <w:rPr>
          <w:color w:val="000000" w:themeColor="text1"/>
        </w:rPr>
        <w:tab/>
        <w:t xml:space="preserve">the email address is part of the recipient’s </w:t>
      </w:r>
      <w:hyperlink w:anchor="_2.1—Definitions" w:history="1">
        <w:r w:rsidRPr="00B40A77">
          <w:rPr>
            <w:rStyle w:val="Hyperlink"/>
            <w:color w:val="000000" w:themeColor="text1"/>
          </w:rPr>
          <w:t>address for service</w:t>
        </w:r>
      </w:hyperlink>
      <w:r w:rsidRPr="00B40A77">
        <w:rPr>
          <w:color w:val="000000" w:themeColor="text1"/>
        </w:rPr>
        <w:t xml:space="preserve"> in the proceeding or appellate proceeding under </w:t>
      </w:r>
      <w:hyperlink w:anchor="_35.2—Content_of_address" w:history="1">
        <w:r w:rsidR="00764EEC" w:rsidRPr="00B40A77">
          <w:rPr>
            <w:rStyle w:val="Hyperlink"/>
            <w:color w:val="000000" w:themeColor="text1"/>
          </w:rPr>
          <w:t>rule 35.2</w:t>
        </w:r>
      </w:hyperlink>
      <w:r w:rsidRPr="00B40A77">
        <w:rPr>
          <w:color w:val="000000" w:themeColor="text1"/>
        </w:rPr>
        <w:t xml:space="preserve">; </w:t>
      </w:r>
    </w:p>
    <w:p w14:paraId="28B4C1AB" w14:textId="77777777"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the party on whose behalf the document is to be served has not received and does not receive information suggesting that the email address is not being used by the recipient; and</w:t>
      </w:r>
    </w:p>
    <w:p w14:paraId="397690E4" w14:textId="59AC2C49" w:rsidR="00A351F3" w:rsidRPr="00B40A77" w:rsidRDefault="00A351F3" w:rsidP="00A351F3">
      <w:pPr>
        <w:pStyle w:val="Doublehangindent"/>
        <w:rPr>
          <w:color w:val="000000" w:themeColor="text1"/>
        </w:rPr>
      </w:pPr>
      <w:r w:rsidRPr="00B40A77">
        <w:rPr>
          <w:color w:val="000000" w:themeColor="text1"/>
        </w:rPr>
        <w:t>(d)</w:t>
      </w:r>
      <w:r w:rsidRPr="00B40A77">
        <w:rPr>
          <w:color w:val="000000" w:themeColor="text1"/>
        </w:rPr>
        <w:tab/>
        <w:t xml:space="preserve">the sender’s or recipient’s email service does not notify the sender that the email was not delivered or </w:t>
      </w:r>
      <w:r w:rsidR="00B72146" w:rsidRPr="00B40A77">
        <w:rPr>
          <w:color w:val="000000" w:themeColor="text1"/>
        </w:rPr>
        <w:t xml:space="preserve">that </w:t>
      </w:r>
      <w:r w:rsidRPr="00B40A77">
        <w:rPr>
          <w:color w:val="000000" w:themeColor="text1"/>
        </w:rPr>
        <w:t>the recipient may not be responding to emails.</w:t>
      </w:r>
    </w:p>
    <w:p w14:paraId="14A15784" w14:textId="65F75538"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A document is </w:t>
      </w:r>
      <w:r w:rsidR="002338A6" w:rsidRPr="00B40A77">
        <w:rPr>
          <w:rFonts w:cs="Times New Roman"/>
          <w:color w:val="000000" w:themeColor="text1"/>
        </w:rPr>
        <w:t xml:space="preserve">also </w:t>
      </w:r>
      <w:r w:rsidRPr="00B40A77">
        <w:rPr>
          <w:rFonts w:cs="Times New Roman"/>
          <w:color w:val="000000" w:themeColor="text1"/>
        </w:rPr>
        <w:t xml:space="preserve">served by </w:t>
      </w:r>
      <w:r w:rsidRPr="00B40A77">
        <w:rPr>
          <w:rFonts w:cs="Times New Roman"/>
          <w:b/>
          <w:i/>
          <w:color w:val="000000" w:themeColor="text1"/>
        </w:rPr>
        <w:t>email service</w:t>
      </w:r>
      <w:r w:rsidRPr="00B40A77">
        <w:rPr>
          <w:rFonts w:cs="Times New Roman"/>
          <w:color w:val="000000" w:themeColor="text1"/>
        </w:rPr>
        <w:t xml:space="preserve"> on a person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xml:space="preserve">) if it is sent as an attachment in a PDF or </w:t>
      </w:r>
      <w:r w:rsidR="00BC2552" w:rsidRPr="00B40A77">
        <w:rPr>
          <w:rFonts w:cs="Times New Roman"/>
          <w:color w:val="000000" w:themeColor="text1"/>
        </w:rPr>
        <w:t xml:space="preserve">Microsoft </w:t>
      </w:r>
      <w:r w:rsidRPr="00B40A77">
        <w:rPr>
          <w:rFonts w:cs="Times New Roman"/>
          <w:color w:val="000000" w:themeColor="text1"/>
        </w:rPr>
        <w:t xml:space="preserve">Word format to the person at an email address and the person replies to or acknowledges receipt of the email. </w:t>
      </w:r>
    </w:p>
    <w:bookmarkEnd w:id="244"/>
    <w:p w14:paraId="0CA730E2" w14:textId="006360B7" w:rsidR="00A351F3" w:rsidRPr="00B40A77" w:rsidRDefault="00A351F3" w:rsidP="00A351F3">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To avoid doubt, a response generated a</w:t>
      </w:r>
      <w:r w:rsidR="00A9195B" w:rsidRPr="00B40A77">
        <w:rPr>
          <w:rFonts w:cs="Times New Roman"/>
          <w:color w:val="000000" w:themeColor="text1"/>
        </w:rPr>
        <w:t>utomatically from</w:t>
      </w:r>
      <w:r w:rsidRPr="00B40A77">
        <w:rPr>
          <w:rFonts w:cs="Times New Roman"/>
          <w:color w:val="000000" w:themeColor="text1"/>
        </w:rPr>
        <w:t xml:space="preserve"> the recipient’s </w:t>
      </w:r>
      <w:r w:rsidR="00A9195B" w:rsidRPr="00B40A77">
        <w:rPr>
          <w:rFonts w:cs="Times New Roman"/>
          <w:color w:val="000000" w:themeColor="text1"/>
        </w:rPr>
        <w:t xml:space="preserve">email </w:t>
      </w:r>
      <w:r w:rsidR="008B32D3" w:rsidRPr="00B40A77">
        <w:rPr>
          <w:rFonts w:cs="Times New Roman"/>
          <w:color w:val="000000" w:themeColor="text1"/>
        </w:rPr>
        <w:t>account</w:t>
      </w:r>
      <w:r w:rsidR="00A9195B" w:rsidRPr="00B40A77">
        <w:rPr>
          <w:rFonts w:cs="Times New Roman"/>
          <w:color w:val="000000" w:themeColor="text1"/>
        </w:rPr>
        <w:t xml:space="preserve"> </w:t>
      </w:r>
      <w:r w:rsidRPr="00B40A77">
        <w:rPr>
          <w:rFonts w:cs="Times New Roman"/>
          <w:color w:val="000000" w:themeColor="text1"/>
        </w:rPr>
        <w:t>is not a reply or acknowledgement for the purposes of subrule</w:t>
      </w:r>
      <w:r w:rsidR="00435662" w:rsidRPr="00B40A77">
        <w:rPr>
          <w:rFonts w:cs="Times New Roman"/>
          <w:color w:val="000000" w:themeColor="text1"/>
        </w:rPr>
        <w:t> </w:t>
      </w:r>
      <w:r w:rsidRPr="00B40A77">
        <w:rPr>
          <w:rFonts w:cs="Times New Roman"/>
          <w:color w:val="000000" w:themeColor="text1"/>
        </w:rPr>
        <w:t xml:space="preserve">(2). </w:t>
      </w:r>
    </w:p>
    <w:p w14:paraId="050AFDFC" w14:textId="3D1EBC84" w:rsidR="00A351F3" w:rsidRPr="00B40A77" w:rsidRDefault="00A351F3" w:rsidP="00A351F3">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t xml:space="preserve">Unless the Court otherwise orders, a document served by </w:t>
      </w:r>
      <w:hyperlink w:anchor="_33.3—Email_service" w:history="1">
        <w:r w:rsidRPr="00B40A77">
          <w:rPr>
            <w:rStyle w:val="Hyperlink"/>
            <w:rFonts w:cs="Times New Roman"/>
            <w:color w:val="000000" w:themeColor="text1"/>
          </w:rPr>
          <w:t>email service</w:t>
        </w:r>
      </w:hyperlink>
      <w:r w:rsidRPr="00B40A77">
        <w:rPr>
          <w:rFonts w:cs="Times New Roman"/>
          <w:color w:val="000000" w:themeColor="text1"/>
        </w:rPr>
        <w:t xml:space="preserve"> under this rule is to be regarded as having been served</w:t>
      </w:r>
      <w:r w:rsidRPr="00B40A77">
        <w:rPr>
          <w:color w:val="000000" w:themeColor="text1"/>
        </w:rPr>
        <w:t>—</w:t>
      </w:r>
      <w:r w:rsidRPr="00B40A77">
        <w:rPr>
          <w:rFonts w:cs="Times New Roman"/>
          <w:color w:val="000000" w:themeColor="text1"/>
        </w:rPr>
        <w:t xml:space="preserve"> </w:t>
      </w:r>
    </w:p>
    <w:p w14:paraId="11BE62A6" w14:textId="086AD366"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under subrule</w:t>
      </w:r>
      <w:r w:rsidR="00435662" w:rsidRPr="00B40A77">
        <w:rPr>
          <w:color w:val="000000" w:themeColor="text1"/>
          <w:lang w:val="en-US"/>
        </w:rPr>
        <w:t> </w:t>
      </w:r>
      <w:r w:rsidRPr="00B40A77">
        <w:rPr>
          <w:color w:val="000000" w:themeColor="text1"/>
          <w:lang w:val="en-US"/>
        </w:rPr>
        <w:t>(1)</w:t>
      </w:r>
      <w:r w:rsidRPr="00B40A77">
        <w:rPr>
          <w:color w:val="000000" w:themeColor="text1"/>
        </w:rPr>
        <w:t>—</w:t>
      </w:r>
      <w:r w:rsidRPr="00B40A77">
        <w:rPr>
          <w:color w:val="000000" w:themeColor="text1"/>
          <w:lang w:val="en-US"/>
        </w:rPr>
        <w:t xml:space="preserve">when the sender’s </w:t>
      </w:r>
      <w:r w:rsidR="007B312C" w:rsidRPr="00B40A77">
        <w:rPr>
          <w:color w:val="000000" w:themeColor="text1"/>
          <w:lang w:val="en-US"/>
        </w:rPr>
        <w:t xml:space="preserve">email </w:t>
      </w:r>
      <w:r w:rsidR="008B32D3" w:rsidRPr="00B40A77">
        <w:rPr>
          <w:rFonts w:cs="Times New Roman"/>
          <w:color w:val="000000" w:themeColor="text1"/>
        </w:rPr>
        <w:t>account</w:t>
      </w:r>
      <w:r w:rsidR="007B312C" w:rsidRPr="00B40A77">
        <w:rPr>
          <w:color w:val="000000" w:themeColor="text1"/>
          <w:lang w:val="en-US"/>
        </w:rPr>
        <w:t xml:space="preserve"> </w:t>
      </w:r>
      <w:r w:rsidRPr="00B40A77">
        <w:rPr>
          <w:color w:val="000000" w:themeColor="text1"/>
          <w:lang w:val="en-US"/>
        </w:rPr>
        <w:t>records the email as having been sent; or</w:t>
      </w:r>
    </w:p>
    <w:p w14:paraId="4FDB3353" w14:textId="380BD9C6"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under subrule</w:t>
      </w:r>
      <w:r w:rsidR="00435662" w:rsidRPr="00B40A77">
        <w:rPr>
          <w:color w:val="000000" w:themeColor="text1"/>
          <w:lang w:val="en-US"/>
        </w:rPr>
        <w:t> </w:t>
      </w:r>
      <w:r w:rsidRPr="00B40A77">
        <w:rPr>
          <w:color w:val="000000" w:themeColor="text1"/>
          <w:lang w:val="en-US"/>
        </w:rPr>
        <w:t>(2)</w:t>
      </w:r>
      <w:r w:rsidRPr="00B40A77">
        <w:rPr>
          <w:color w:val="000000" w:themeColor="text1"/>
        </w:rPr>
        <w:t>—</w:t>
      </w:r>
      <w:r w:rsidRPr="00B40A77">
        <w:rPr>
          <w:color w:val="000000" w:themeColor="text1"/>
          <w:lang w:val="en-US"/>
        </w:rPr>
        <w:t>when the recipient replies to or acknowledges receipt of the document.</w:t>
      </w:r>
    </w:p>
    <w:p w14:paraId="274CD9C3" w14:textId="1A9FE750" w:rsidR="00A351F3" w:rsidRPr="00B40A77" w:rsidRDefault="00C82171" w:rsidP="00A351F3">
      <w:pPr>
        <w:pStyle w:val="Heading4"/>
        <w:rPr>
          <w:color w:val="000000" w:themeColor="text1"/>
        </w:rPr>
      </w:pPr>
      <w:bookmarkStart w:id="245" w:name="_42.3—Post_service"/>
      <w:bookmarkStart w:id="246" w:name="_33.4—Post_service"/>
      <w:bookmarkStart w:id="247" w:name="_Toc23776279"/>
      <w:bookmarkStart w:id="248" w:name="_Toc175238841"/>
      <w:bookmarkStart w:id="249" w:name="_Hlk107840944"/>
      <w:bookmarkEnd w:id="245"/>
      <w:bookmarkEnd w:id="246"/>
      <w:r w:rsidRPr="00B40A77">
        <w:rPr>
          <w:color w:val="000000" w:themeColor="text1"/>
        </w:rPr>
        <w:t>3</w:t>
      </w:r>
      <w:r w:rsidR="00F20F0A" w:rsidRPr="00B40A77">
        <w:rPr>
          <w:color w:val="000000" w:themeColor="text1"/>
        </w:rPr>
        <w:t>3</w:t>
      </w:r>
      <w:r w:rsidR="00A351F3" w:rsidRPr="00B40A77">
        <w:rPr>
          <w:color w:val="000000" w:themeColor="text1"/>
        </w:rPr>
        <w:t>.4—Post service</w:t>
      </w:r>
      <w:bookmarkEnd w:id="247"/>
      <w:bookmarkEnd w:id="248"/>
    </w:p>
    <w:p w14:paraId="4A4AC2D0" w14:textId="77777777" w:rsidR="00A351F3" w:rsidRPr="00B40A77" w:rsidRDefault="00A351F3" w:rsidP="00A351F3">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post service</w:t>
      </w:r>
      <w:r w:rsidRPr="00B40A77">
        <w:rPr>
          <w:rFonts w:cs="Times New Roman"/>
          <w:color w:val="000000" w:themeColor="text1"/>
        </w:rPr>
        <w:t xml:space="preserve"> on a person (</w:t>
      </w:r>
      <w:r w:rsidRPr="00B40A77">
        <w:rPr>
          <w:rFonts w:cs="Times New Roman"/>
          <w:bCs/>
          <w:iCs/>
          <w:color w:val="000000" w:themeColor="text1"/>
        </w:rPr>
        <w:t>the</w:t>
      </w:r>
      <w:r w:rsidRPr="00B40A77">
        <w:rPr>
          <w:rFonts w:cs="Times New Roman"/>
          <w:b/>
          <w:i/>
          <w:color w:val="000000" w:themeColor="text1"/>
        </w:rPr>
        <w:t xml:space="preserve"> recipient</w:t>
      </w:r>
      <w:r w:rsidRPr="00B40A77">
        <w:rPr>
          <w:rFonts w:cs="Times New Roman"/>
          <w:color w:val="000000" w:themeColor="text1"/>
        </w:rPr>
        <w:t>) if</w:t>
      </w:r>
      <w:r w:rsidRPr="00B40A77">
        <w:rPr>
          <w:color w:val="000000" w:themeColor="text1"/>
        </w:rPr>
        <w:t>—</w:t>
      </w:r>
    </w:p>
    <w:p w14:paraId="31208F83" w14:textId="39AE5D9E"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it is sent by express post via Australia Post in an envelope to a physical address;</w:t>
      </w:r>
    </w:p>
    <w:p w14:paraId="492E6849" w14:textId="77777777" w:rsidR="00A351F3" w:rsidRPr="00B40A77" w:rsidRDefault="00A351F3" w:rsidP="00A351F3">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one of the following applies</w:t>
      </w:r>
      <w:r w:rsidRPr="00B40A77">
        <w:rPr>
          <w:color w:val="000000" w:themeColor="text1"/>
        </w:rPr>
        <w:t>—</w:t>
      </w:r>
    </w:p>
    <w:p w14:paraId="14638E3E" w14:textId="714A4452" w:rsidR="00A351F3" w:rsidRPr="00B40A77" w:rsidRDefault="00A351F3" w:rsidP="00A351F3">
      <w:pPr>
        <w:pStyle w:val="Triplehangindent"/>
        <w:rPr>
          <w:color w:val="000000" w:themeColor="text1"/>
        </w:rPr>
      </w:pPr>
      <w:r w:rsidRPr="00B40A77">
        <w:rPr>
          <w:color w:val="000000" w:themeColor="text1"/>
        </w:rPr>
        <w:t>(i)</w:t>
      </w:r>
      <w:r w:rsidRPr="00B40A77">
        <w:rPr>
          <w:color w:val="000000" w:themeColor="text1"/>
        </w:rPr>
        <w:tab/>
        <w:t>the recipient has consented to the document or a class of documents encompassing the document being served on the recipient by post sent to that address;</w:t>
      </w:r>
    </w:p>
    <w:p w14:paraId="4A548C35" w14:textId="77777777" w:rsidR="00A351F3" w:rsidRPr="00B40A77" w:rsidRDefault="00A351F3" w:rsidP="00A351F3">
      <w:pPr>
        <w:pStyle w:val="Triplehangindent"/>
        <w:rPr>
          <w:color w:val="000000" w:themeColor="text1"/>
        </w:rPr>
      </w:pPr>
      <w:r w:rsidRPr="00B40A77">
        <w:rPr>
          <w:color w:val="000000" w:themeColor="text1"/>
        </w:rPr>
        <w:t>(ii)</w:t>
      </w:r>
      <w:r w:rsidRPr="00B40A77">
        <w:rPr>
          <w:color w:val="000000" w:themeColor="text1"/>
        </w:rPr>
        <w:tab/>
        <w:t>the address is the recipient’s</w:t>
      </w:r>
      <w:r w:rsidRPr="00B40A77">
        <w:rPr>
          <w:rFonts w:cstheme="minorBidi"/>
          <w:color w:val="000000" w:themeColor="text1"/>
        </w:rPr>
        <w:t xml:space="preserve"> last known residential or business address</w:t>
      </w:r>
      <w:r w:rsidRPr="00B40A77">
        <w:rPr>
          <w:color w:val="000000" w:themeColor="text1"/>
        </w:rPr>
        <w:t>; or</w:t>
      </w:r>
    </w:p>
    <w:p w14:paraId="2893A320" w14:textId="41F5BE1B" w:rsidR="00A351F3" w:rsidRPr="00B40A77" w:rsidRDefault="00A351F3" w:rsidP="00A351F3">
      <w:pPr>
        <w:pStyle w:val="Triplehangindent"/>
        <w:rPr>
          <w:color w:val="000000" w:themeColor="text1"/>
        </w:rPr>
      </w:pPr>
      <w:r w:rsidRPr="00B40A77">
        <w:rPr>
          <w:color w:val="000000" w:themeColor="text1"/>
        </w:rPr>
        <w:t>(iii)</w:t>
      </w:r>
      <w:r w:rsidRPr="00B40A77">
        <w:rPr>
          <w:color w:val="000000" w:themeColor="text1"/>
        </w:rPr>
        <w:tab/>
        <w:t xml:space="preserve">the address is part of the recipient’s </w:t>
      </w:r>
      <w:hyperlink w:anchor="_2.1—Definitions" w:history="1">
        <w:r w:rsidRPr="00B40A77">
          <w:rPr>
            <w:rStyle w:val="Hyperlink"/>
            <w:color w:val="000000" w:themeColor="text1"/>
          </w:rPr>
          <w:t>address for service</w:t>
        </w:r>
      </w:hyperlink>
      <w:r w:rsidRPr="00B40A77">
        <w:rPr>
          <w:color w:val="000000" w:themeColor="text1"/>
        </w:rPr>
        <w:t xml:space="preserve"> in the proceeding or appellate proceeding under </w:t>
      </w:r>
      <w:hyperlink w:anchor="_35.2—Content_of_address" w:history="1">
        <w:r w:rsidR="00764EEC" w:rsidRPr="00B40A77">
          <w:rPr>
            <w:rStyle w:val="Hyperlink"/>
            <w:color w:val="000000" w:themeColor="text1"/>
          </w:rPr>
          <w:t>rule 35.2</w:t>
        </w:r>
      </w:hyperlink>
      <w:r w:rsidRPr="00B40A77">
        <w:rPr>
          <w:color w:val="000000" w:themeColor="text1"/>
        </w:rPr>
        <w:t>;</w:t>
      </w:r>
    </w:p>
    <w:p w14:paraId="42E5BC3F" w14:textId="77777777"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party on whose behalf the document is to be served has not received and does not receive information suggesting that the address is not being used by the recipient; and</w:t>
      </w:r>
    </w:p>
    <w:p w14:paraId="02738A84" w14:textId="77777777"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sender obtains from Australia Post </w:t>
      </w:r>
      <w:r w:rsidRPr="00B40A77">
        <w:rPr>
          <w:color w:val="000000" w:themeColor="text1"/>
        </w:rPr>
        <w:t>proof of delivery via Australia Post’s online tracking facility showing when the envelope was delivered to that address, provided that the tracking number matches the envelope containing the document that was posted.</w:t>
      </w:r>
    </w:p>
    <w:p w14:paraId="2595A453" w14:textId="35D083EF"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A document is </w:t>
      </w:r>
      <w:r w:rsidR="002338A6" w:rsidRPr="00B40A77">
        <w:rPr>
          <w:rFonts w:cs="Times New Roman"/>
          <w:color w:val="000000" w:themeColor="text1"/>
        </w:rPr>
        <w:t xml:space="preserve">also </w:t>
      </w:r>
      <w:r w:rsidRPr="00B40A77">
        <w:rPr>
          <w:rFonts w:cs="Times New Roman"/>
          <w:color w:val="000000" w:themeColor="text1"/>
        </w:rPr>
        <w:t xml:space="preserve">served by </w:t>
      </w:r>
      <w:r w:rsidRPr="00B40A77">
        <w:rPr>
          <w:rFonts w:cs="Times New Roman"/>
          <w:b/>
          <w:i/>
          <w:color w:val="000000" w:themeColor="text1"/>
        </w:rPr>
        <w:t>post service</w:t>
      </w:r>
      <w:r w:rsidRPr="00B40A77">
        <w:rPr>
          <w:rFonts w:cs="Times New Roman"/>
          <w:color w:val="000000" w:themeColor="text1"/>
        </w:rPr>
        <w:t xml:space="preserve"> on a person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if it is sent by express post via Australia Post to the person and the person replies to a covering letter attaching the document or acknowledges receipt of the document.</w:t>
      </w:r>
    </w:p>
    <w:bookmarkEnd w:id="249"/>
    <w:p w14:paraId="07AB9B38" w14:textId="19273A68" w:rsidR="000B0DFC" w:rsidRPr="00B40A77" w:rsidRDefault="000B0DFC" w:rsidP="000B0DFC">
      <w:pPr>
        <w:pStyle w:val="Hangindent"/>
        <w:rPr>
          <w:rFonts w:cs="Times New Roman"/>
          <w:color w:val="000000" w:themeColor="text1"/>
        </w:rPr>
      </w:pPr>
      <w:r w:rsidRPr="00B40A77">
        <w:rPr>
          <w:color w:val="000000" w:themeColor="text1"/>
        </w:rPr>
        <w:t>(3)</w:t>
      </w:r>
      <w:r w:rsidRPr="00B40A77">
        <w:rPr>
          <w:color w:val="000000" w:themeColor="text1"/>
        </w:rPr>
        <w:tab/>
        <w:t xml:space="preserve">In the case of a person in custody or detention in a government institution—a document is served by </w:t>
      </w:r>
      <w:r w:rsidRPr="00B40A77">
        <w:rPr>
          <w:b/>
          <w:i/>
          <w:color w:val="000000" w:themeColor="text1"/>
        </w:rPr>
        <w:t>post service</w:t>
      </w:r>
      <w:r w:rsidRPr="00B40A77">
        <w:rPr>
          <w:color w:val="000000" w:themeColor="text1"/>
        </w:rPr>
        <w:t xml:space="preserve"> on a person (</w:t>
      </w:r>
      <w:r w:rsidRPr="00B40A77">
        <w:rPr>
          <w:bCs/>
          <w:iCs/>
          <w:color w:val="000000" w:themeColor="text1"/>
        </w:rPr>
        <w:t xml:space="preserve">the </w:t>
      </w:r>
      <w:r w:rsidRPr="00B40A77">
        <w:rPr>
          <w:b/>
          <w:i/>
          <w:color w:val="000000" w:themeColor="text1"/>
        </w:rPr>
        <w:t>recipient</w:t>
      </w:r>
      <w:r w:rsidRPr="00B40A77">
        <w:rPr>
          <w:color w:val="000000" w:themeColor="text1"/>
        </w:rPr>
        <w:t xml:space="preserve">) if it is sent by express post via Australia Post </w:t>
      </w:r>
      <w:r w:rsidR="00C26369" w:rsidRPr="00B40A77">
        <w:rPr>
          <w:color w:val="000000" w:themeColor="text1"/>
        </w:rPr>
        <w:t xml:space="preserve">in an envelope marked “private and confidential” </w:t>
      </w:r>
      <w:r w:rsidRPr="00B40A77">
        <w:rPr>
          <w:color w:val="000000" w:themeColor="text1"/>
        </w:rPr>
        <w:t>addressed to the prisoner, care of the C</w:t>
      </w:r>
      <w:r w:rsidR="004D451C" w:rsidRPr="00B40A77">
        <w:rPr>
          <w:color w:val="000000" w:themeColor="text1"/>
        </w:rPr>
        <w:t>E</w:t>
      </w:r>
      <w:r w:rsidRPr="00B40A77">
        <w:rPr>
          <w:color w:val="000000" w:themeColor="text1"/>
        </w:rPr>
        <w:t>.</w:t>
      </w:r>
    </w:p>
    <w:p w14:paraId="78CDCABC" w14:textId="0B8AE3B5" w:rsidR="00A351F3" w:rsidRPr="00B40A77" w:rsidRDefault="00A351F3" w:rsidP="000B0DFC">
      <w:pPr>
        <w:pStyle w:val="Hangindent"/>
        <w:rPr>
          <w:rFonts w:cs="Times New Roman"/>
          <w:color w:val="000000" w:themeColor="text1"/>
        </w:rPr>
      </w:pPr>
      <w:r w:rsidRPr="00B40A77">
        <w:rPr>
          <w:rFonts w:cs="Times New Roman"/>
          <w:color w:val="000000" w:themeColor="text1"/>
        </w:rPr>
        <w:t>(</w:t>
      </w:r>
      <w:r w:rsidR="000B0DFC" w:rsidRPr="00B40A77">
        <w:rPr>
          <w:rFonts w:cs="Times New Roman"/>
          <w:color w:val="000000" w:themeColor="text1"/>
        </w:rPr>
        <w:t>4</w:t>
      </w:r>
      <w:r w:rsidRPr="00B40A77">
        <w:rPr>
          <w:rFonts w:cs="Times New Roman"/>
          <w:color w:val="000000" w:themeColor="text1"/>
        </w:rPr>
        <w:t>)</w:t>
      </w:r>
      <w:r w:rsidRPr="00B40A77">
        <w:rPr>
          <w:rFonts w:cs="Times New Roman"/>
          <w:color w:val="000000" w:themeColor="text1"/>
        </w:rPr>
        <w:tab/>
        <w:t xml:space="preserve">Unless the Court otherwise orders, a document served by </w:t>
      </w:r>
      <w:hyperlink w:anchor="_42.3—Post_service" w:history="1">
        <w:r w:rsidRPr="00B40A77">
          <w:rPr>
            <w:rStyle w:val="Hyperlink"/>
            <w:rFonts w:cs="Times New Roman"/>
            <w:color w:val="000000" w:themeColor="text1"/>
          </w:rPr>
          <w:t>post service</w:t>
        </w:r>
      </w:hyperlink>
      <w:r w:rsidRPr="00B40A77">
        <w:rPr>
          <w:rFonts w:cs="Times New Roman"/>
          <w:color w:val="000000" w:themeColor="text1"/>
        </w:rPr>
        <w:t xml:space="preserve"> is to be regarded as having been served</w:t>
      </w:r>
      <w:r w:rsidRPr="00B40A77">
        <w:rPr>
          <w:color w:val="000000" w:themeColor="text1"/>
        </w:rPr>
        <w:t>—</w:t>
      </w:r>
    </w:p>
    <w:p w14:paraId="09E78330" w14:textId="1222EB15"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under subrule</w:t>
      </w:r>
      <w:r w:rsidR="001B1E8A" w:rsidRPr="00B40A77">
        <w:rPr>
          <w:color w:val="000000" w:themeColor="text1"/>
          <w:lang w:val="en-US"/>
        </w:rPr>
        <w:t> </w:t>
      </w:r>
      <w:r w:rsidRPr="00B40A77">
        <w:rPr>
          <w:color w:val="000000" w:themeColor="text1"/>
          <w:lang w:val="en-US"/>
        </w:rPr>
        <w:t>(1)</w:t>
      </w:r>
      <w:r w:rsidRPr="00B40A77">
        <w:rPr>
          <w:color w:val="000000" w:themeColor="text1"/>
        </w:rPr>
        <w:t>—</w:t>
      </w:r>
      <w:r w:rsidRPr="00B40A77">
        <w:rPr>
          <w:color w:val="000000" w:themeColor="text1"/>
          <w:lang w:val="en-US"/>
        </w:rPr>
        <w:t xml:space="preserve">when </w:t>
      </w:r>
      <w:r w:rsidRPr="00B40A77">
        <w:rPr>
          <w:color w:val="000000" w:themeColor="text1"/>
        </w:rPr>
        <w:t>Australia Post’s online tracking facility</w:t>
      </w:r>
      <w:r w:rsidRPr="00B40A77">
        <w:rPr>
          <w:color w:val="000000" w:themeColor="text1"/>
          <w:lang w:val="en-US"/>
        </w:rPr>
        <w:t xml:space="preserve"> records the envelope containing the document as having been delivered to the address; </w:t>
      </w:r>
    </w:p>
    <w:p w14:paraId="371AA77E" w14:textId="24B5ACB0" w:rsidR="000B0DFC"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under subrule</w:t>
      </w:r>
      <w:r w:rsidR="001B1E8A" w:rsidRPr="00B40A77">
        <w:rPr>
          <w:color w:val="000000" w:themeColor="text1"/>
          <w:lang w:val="en-US"/>
        </w:rPr>
        <w:t> </w:t>
      </w:r>
      <w:r w:rsidRPr="00B40A77">
        <w:rPr>
          <w:color w:val="000000" w:themeColor="text1"/>
          <w:lang w:val="en-US"/>
        </w:rPr>
        <w:t>(2)</w:t>
      </w:r>
      <w:r w:rsidRPr="00B40A77">
        <w:rPr>
          <w:color w:val="000000" w:themeColor="text1"/>
        </w:rPr>
        <w:t>—</w:t>
      </w:r>
      <w:r w:rsidRPr="00B40A77">
        <w:rPr>
          <w:color w:val="000000" w:themeColor="text1"/>
          <w:lang w:val="en-US"/>
        </w:rPr>
        <w:t>when the recipient replies to or acknowledges receipt of the document</w:t>
      </w:r>
      <w:r w:rsidR="000B0DFC" w:rsidRPr="00B40A77">
        <w:rPr>
          <w:color w:val="000000" w:themeColor="text1"/>
          <w:lang w:val="en-US"/>
        </w:rPr>
        <w:t>; or</w:t>
      </w:r>
    </w:p>
    <w:p w14:paraId="01546E3D" w14:textId="6A4E5EAF" w:rsidR="000B0DFC" w:rsidRPr="00B40A77" w:rsidRDefault="000B0DFC" w:rsidP="00A351F3">
      <w:pPr>
        <w:pStyle w:val="Doublehangindent"/>
        <w:rPr>
          <w:bCs/>
          <w:color w:val="000000" w:themeColor="text1"/>
        </w:rPr>
      </w:pPr>
      <w:r w:rsidRPr="00B40A77">
        <w:rPr>
          <w:color w:val="000000" w:themeColor="text1"/>
        </w:rPr>
        <w:t>(c)</w:t>
      </w:r>
      <w:r w:rsidRPr="00B40A77">
        <w:rPr>
          <w:color w:val="000000" w:themeColor="text1"/>
        </w:rPr>
        <w:tab/>
        <w:t>under subrule</w:t>
      </w:r>
      <w:r w:rsidR="001B1E8A" w:rsidRPr="00B40A77">
        <w:rPr>
          <w:color w:val="000000" w:themeColor="text1"/>
        </w:rPr>
        <w:t> </w:t>
      </w:r>
      <w:r w:rsidRPr="00B40A77">
        <w:rPr>
          <w:color w:val="000000" w:themeColor="text1"/>
        </w:rPr>
        <w:t xml:space="preserve">(3)—3 </w:t>
      </w:r>
      <w:hyperlink w:anchor="_2.1—Definitions" w:history="1">
        <w:r w:rsidRPr="00B40A77">
          <w:rPr>
            <w:rStyle w:val="Hyperlink"/>
            <w:color w:val="000000" w:themeColor="text1"/>
          </w:rPr>
          <w:t>business</w:t>
        </w:r>
        <w:r w:rsidR="00234D99" w:rsidRPr="00B40A77">
          <w:rPr>
            <w:rStyle w:val="Hyperlink"/>
            <w:color w:val="000000" w:themeColor="text1"/>
          </w:rPr>
          <w:t> </w:t>
        </w:r>
        <w:r w:rsidRPr="00B40A77">
          <w:rPr>
            <w:rStyle w:val="Hyperlink"/>
            <w:color w:val="000000" w:themeColor="text1"/>
          </w:rPr>
          <w:t>days</w:t>
        </w:r>
      </w:hyperlink>
      <w:r w:rsidRPr="00B40A77">
        <w:rPr>
          <w:color w:val="000000" w:themeColor="text1"/>
        </w:rPr>
        <w:t xml:space="preserve"> after Australia Post’s online tracking facility records the envelope containing the document as having been delivered to the address</w:t>
      </w:r>
      <w:r w:rsidRPr="00B40A77">
        <w:rPr>
          <w:bCs/>
          <w:color w:val="000000" w:themeColor="text1"/>
        </w:rPr>
        <w:t>.</w:t>
      </w:r>
    </w:p>
    <w:p w14:paraId="025175AE" w14:textId="53FD28D9" w:rsidR="004D451C" w:rsidRPr="00B40A77" w:rsidRDefault="004D451C" w:rsidP="004D451C">
      <w:pPr>
        <w:pStyle w:val="Hangindent"/>
        <w:rPr>
          <w:color w:val="000000" w:themeColor="text1"/>
        </w:rPr>
      </w:pPr>
      <w:r w:rsidRPr="00B40A77">
        <w:rPr>
          <w:color w:val="000000" w:themeColor="text1"/>
          <w:lang w:val="en-US"/>
        </w:rPr>
        <w:t>(5)</w:t>
      </w:r>
      <w:r w:rsidRPr="00B40A77">
        <w:rPr>
          <w:color w:val="000000" w:themeColor="text1"/>
          <w:lang w:val="en-US"/>
        </w:rPr>
        <w:tab/>
        <w:t>In this rule</w:t>
      </w:r>
      <w:r w:rsidRPr="00B40A77">
        <w:rPr>
          <w:color w:val="000000" w:themeColor="text1"/>
        </w:rPr>
        <w:t xml:space="preserve">, </w:t>
      </w:r>
      <w:r w:rsidRPr="00B40A77">
        <w:rPr>
          <w:bCs/>
          <w:iCs/>
          <w:color w:val="000000" w:themeColor="text1"/>
          <w:lang w:val="en-US"/>
        </w:rPr>
        <w:t>the</w:t>
      </w:r>
      <w:r w:rsidRPr="00B40A77">
        <w:rPr>
          <w:b/>
          <w:i/>
          <w:color w:val="000000" w:themeColor="text1"/>
          <w:lang w:val="en-US"/>
        </w:rPr>
        <w:t xml:space="preserve"> CE </w:t>
      </w:r>
      <w:r w:rsidRPr="00B40A77">
        <w:rPr>
          <w:color w:val="000000" w:themeColor="text1"/>
          <w:lang w:val="en-US"/>
        </w:rPr>
        <w:t>means</w:t>
      </w:r>
      <w:r w:rsidRPr="00B40A77">
        <w:rPr>
          <w:color w:val="000000" w:themeColor="text1"/>
        </w:rPr>
        <w:t>—</w:t>
      </w:r>
    </w:p>
    <w:p w14:paraId="0A1C46DE" w14:textId="4459856A" w:rsidR="004D451C" w:rsidRPr="00B40A77" w:rsidRDefault="004D451C" w:rsidP="004D451C">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in respect of a person in detention—the Chief Executive within the meaning of the </w:t>
      </w:r>
      <w:r w:rsidRPr="00B40A77">
        <w:rPr>
          <w:i/>
          <w:iCs/>
          <w:color w:val="000000" w:themeColor="text1"/>
          <w:lang w:val="en-US"/>
        </w:rPr>
        <w:t>Youth Justice Administration Act 2016</w:t>
      </w:r>
      <w:r w:rsidRPr="00B40A77">
        <w:rPr>
          <w:color w:val="000000" w:themeColor="text1"/>
          <w:lang w:val="en-US"/>
        </w:rPr>
        <w:t xml:space="preserve"> (presently the Chief Executive of the Department for Human Services); or</w:t>
      </w:r>
    </w:p>
    <w:p w14:paraId="65789766" w14:textId="10F874BC" w:rsidR="004D451C" w:rsidRPr="00B40A77" w:rsidRDefault="004D451C"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in respect of a person in</w:t>
      </w:r>
      <w:r w:rsidR="00497E3E" w:rsidRPr="00B40A77">
        <w:rPr>
          <w:color w:val="000000" w:themeColor="text1"/>
          <w:lang w:val="en-US"/>
        </w:rPr>
        <w:t xml:space="preserve"> </w:t>
      </w:r>
      <w:r w:rsidRPr="00B40A77">
        <w:rPr>
          <w:color w:val="000000" w:themeColor="text1"/>
          <w:lang w:val="en-US"/>
        </w:rPr>
        <w:t xml:space="preserve">custody—the CE within the meaning of the </w:t>
      </w:r>
      <w:r w:rsidRPr="00B40A77">
        <w:rPr>
          <w:i/>
          <w:iCs/>
          <w:color w:val="000000" w:themeColor="text1"/>
          <w:lang w:val="en-US"/>
        </w:rPr>
        <w:t>Correctional Services Act 1982</w:t>
      </w:r>
      <w:r w:rsidRPr="00B40A77">
        <w:rPr>
          <w:color w:val="000000" w:themeColor="text1"/>
          <w:lang w:val="en-US"/>
        </w:rPr>
        <w:t xml:space="preserve"> (presently the Chief Executive of the Department of Correctional Services).</w:t>
      </w:r>
    </w:p>
    <w:p w14:paraId="56CF79E2" w14:textId="6EE8A56B" w:rsidR="00A351F3" w:rsidRPr="00B40A77" w:rsidRDefault="00C82171" w:rsidP="00A351F3">
      <w:pPr>
        <w:pStyle w:val="Heading4"/>
        <w:rPr>
          <w:color w:val="000000" w:themeColor="text1"/>
        </w:rPr>
      </w:pPr>
      <w:bookmarkStart w:id="250" w:name="_42.4—Solicitor_service"/>
      <w:bookmarkStart w:id="251" w:name="_42.9—Original_service"/>
      <w:bookmarkStart w:id="252" w:name="_33.5—Electronic_service"/>
      <w:bookmarkStart w:id="253" w:name="_Toc175238842"/>
      <w:bookmarkStart w:id="254" w:name="_Hlk107840987"/>
      <w:bookmarkStart w:id="255" w:name="_Toc23776286"/>
      <w:bookmarkEnd w:id="250"/>
      <w:bookmarkEnd w:id="251"/>
      <w:bookmarkEnd w:id="252"/>
      <w:r w:rsidRPr="00B40A77">
        <w:rPr>
          <w:color w:val="000000" w:themeColor="text1"/>
        </w:rPr>
        <w:t>3</w:t>
      </w:r>
      <w:r w:rsidR="00F20F0A" w:rsidRPr="00B40A77">
        <w:rPr>
          <w:color w:val="000000" w:themeColor="text1"/>
        </w:rPr>
        <w:t>3</w:t>
      </w:r>
      <w:r w:rsidR="00A351F3" w:rsidRPr="00B40A77">
        <w:rPr>
          <w:color w:val="000000" w:themeColor="text1"/>
        </w:rPr>
        <w:t>.5—Electronic service</w:t>
      </w:r>
      <w:bookmarkEnd w:id="253"/>
    </w:p>
    <w:p w14:paraId="7083B57B" w14:textId="77777777" w:rsidR="00A351F3" w:rsidRPr="00B40A77" w:rsidRDefault="00A351F3" w:rsidP="00A351F3">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electronic service</w:t>
      </w:r>
      <w:r w:rsidRPr="00B40A77">
        <w:rPr>
          <w:rFonts w:cs="Times New Roman"/>
          <w:color w:val="000000" w:themeColor="text1"/>
        </w:rPr>
        <w:t xml:space="preserve"> on a person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if</w:t>
      </w:r>
      <w:r w:rsidRPr="00B40A77">
        <w:rPr>
          <w:color w:val="000000" w:themeColor="text1"/>
        </w:rPr>
        <w:t>—</w:t>
      </w:r>
    </w:p>
    <w:p w14:paraId="07D61C7C" w14:textId="68825199"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 xml:space="preserve">it is contained in a data storage device sent to the recipient in accordance with </w:t>
      </w:r>
      <w:hyperlink w:anchor="_42.1—Personal_service" w:history="1">
        <w:r w:rsidRPr="00B40A77">
          <w:rPr>
            <w:rStyle w:val="Hyperlink"/>
            <w:color w:val="000000" w:themeColor="text1"/>
          </w:rPr>
          <w:t xml:space="preserve">rule </w:t>
        </w:r>
        <w:r w:rsidR="00947DEA" w:rsidRPr="00B40A77">
          <w:rPr>
            <w:rStyle w:val="Hyperlink"/>
            <w:color w:val="000000" w:themeColor="text1"/>
          </w:rPr>
          <w:t>33</w:t>
        </w:r>
        <w:r w:rsidRPr="00B40A77">
          <w:rPr>
            <w:rStyle w:val="Hyperlink"/>
            <w:color w:val="000000" w:themeColor="text1"/>
          </w:rPr>
          <w:t>.1</w:t>
        </w:r>
      </w:hyperlink>
      <w:r w:rsidRPr="00B40A77">
        <w:rPr>
          <w:color w:val="000000" w:themeColor="text1"/>
        </w:rPr>
        <w:t xml:space="preserve">, </w:t>
      </w:r>
      <w:hyperlink w:anchor="_42.2—Email_service" w:history="1">
        <w:r w:rsidRPr="00B40A77">
          <w:rPr>
            <w:rStyle w:val="Hyperlink"/>
            <w:color w:val="000000" w:themeColor="text1"/>
          </w:rPr>
          <w:t xml:space="preserve">rule </w:t>
        </w:r>
        <w:r w:rsidR="00947DEA" w:rsidRPr="00B40A77">
          <w:rPr>
            <w:rStyle w:val="Hyperlink"/>
            <w:color w:val="000000" w:themeColor="text1"/>
          </w:rPr>
          <w:t>33</w:t>
        </w:r>
        <w:r w:rsidRPr="00B40A77">
          <w:rPr>
            <w:rStyle w:val="Hyperlink"/>
            <w:color w:val="000000" w:themeColor="text1"/>
          </w:rPr>
          <w:t>.2</w:t>
        </w:r>
      </w:hyperlink>
      <w:r w:rsidRPr="00B40A77">
        <w:rPr>
          <w:color w:val="000000" w:themeColor="text1"/>
        </w:rPr>
        <w:t xml:space="preserve">, </w:t>
      </w:r>
      <w:hyperlink w:anchor="_33.3—Email_service" w:history="1">
        <w:r w:rsidR="00B74EB7" w:rsidRPr="00B40A77">
          <w:rPr>
            <w:rStyle w:val="Hyperlink"/>
            <w:color w:val="000000" w:themeColor="text1"/>
          </w:rPr>
          <w:t>rule 33.3</w:t>
        </w:r>
      </w:hyperlink>
      <w:r w:rsidR="00B74EB7" w:rsidRPr="00B40A77">
        <w:rPr>
          <w:color w:val="000000" w:themeColor="text1"/>
        </w:rPr>
        <w:t xml:space="preserve"> </w:t>
      </w:r>
      <w:r w:rsidRPr="00B40A77">
        <w:rPr>
          <w:color w:val="000000" w:themeColor="text1"/>
        </w:rPr>
        <w:t>or</w:t>
      </w:r>
      <w:r w:rsidR="00D31287" w:rsidRPr="00B40A77">
        <w:rPr>
          <w:color w:val="000000" w:themeColor="text1"/>
        </w:rPr>
        <w:t xml:space="preserve"> </w:t>
      </w:r>
      <w:hyperlink w:anchor="_33.4—Post_service" w:history="1">
        <w:r w:rsidR="00D31287" w:rsidRPr="00B40A77">
          <w:rPr>
            <w:rStyle w:val="Hyperlink"/>
            <w:color w:val="000000" w:themeColor="text1"/>
          </w:rPr>
          <w:t>rule 33.4</w:t>
        </w:r>
      </w:hyperlink>
      <w:r w:rsidRPr="00B40A77">
        <w:rPr>
          <w:color w:val="000000" w:themeColor="text1"/>
        </w:rPr>
        <w:t>; and</w:t>
      </w:r>
    </w:p>
    <w:p w14:paraId="3C0F6AA2" w14:textId="77777777"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one of the following applies</w:t>
      </w:r>
      <w:r w:rsidRPr="00B40A77">
        <w:rPr>
          <w:color w:val="000000" w:themeColor="text1"/>
        </w:rPr>
        <w:t>—</w:t>
      </w:r>
    </w:p>
    <w:p w14:paraId="367A9B6C" w14:textId="0D34846D" w:rsidR="00A351F3" w:rsidRPr="00B40A77" w:rsidRDefault="00A351F3" w:rsidP="00A351F3">
      <w:pPr>
        <w:pStyle w:val="Triplehangindent"/>
        <w:rPr>
          <w:color w:val="000000" w:themeColor="text1"/>
        </w:rPr>
      </w:pPr>
      <w:r w:rsidRPr="00B40A77">
        <w:rPr>
          <w:color w:val="000000" w:themeColor="text1"/>
        </w:rPr>
        <w:lastRenderedPageBreak/>
        <w:t>(i)</w:t>
      </w:r>
      <w:r w:rsidRPr="00B40A77">
        <w:rPr>
          <w:color w:val="000000" w:themeColor="text1"/>
        </w:rPr>
        <w:tab/>
        <w:t>the recipient has consented to the document or a class of documents encompassing the document being served on the recipient by such service;</w:t>
      </w:r>
      <w:r w:rsidR="00435662" w:rsidRPr="00B40A77">
        <w:rPr>
          <w:color w:val="000000" w:themeColor="text1"/>
        </w:rPr>
        <w:t> </w:t>
      </w:r>
      <w:r w:rsidRPr="00B40A77">
        <w:rPr>
          <w:color w:val="000000" w:themeColor="text1"/>
        </w:rPr>
        <w:t>or</w:t>
      </w:r>
    </w:p>
    <w:p w14:paraId="18A95E85" w14:textId="77777777" w:rsidR="00A351F3" w:rsidRPr="00B40A77" w:rsidRDefault="00A351F3" w:rsidP="00174664">
      <w:pPr>
        <w:pStyle w:val="Triplehangindent"/>
        <w:keepNext/>
        <w:rPr>
          <w:color w:val="000000" w:themeColor="text1"/>
        </w:rPr>
      </w:pPr>
      <w:r w:rsidRPr="00B40A77">
        <w:rPr>
          <w:color w:val="000000" w:themeColor="text1"/>
        </w:rPr>
        <w:t>(ii)</w:t>
      </w:r>
      <w:r w:rsidRPr="00B40A77">
        <w:rPr>
          <w:color w:val="000000" w:themeColor="text1"/>
        </w:rPr>
        <w:tab/>
        <w:t>the Court orders that service may be effected in this manner.</w:t>
      </w:r>
    </w:p>
    <w:p w14:paraId="349BD774" w14:textId="77777777" w:rsidR="00A351F3" w:rsidRPr="00B40A77" w:rsidRDefault="00A351F3" w:rsidP="004C2422">
      <w:pPr>
        <w:pStyle w:val="NoteHeader"/>
        <w:keepNext/>
        <w:ind w:left="2268"/>
        <w:rPr>
          <w:color w:val="000000" w:themeColor="text1"/>
        </w:rPr>
      </w:pPr>
      <w:r w:rsidRPr="00B40A77">
        <w:rPr>
          <w:color w:val="000000" w:themeColor="text1"/>
        </w:rPr>
        <w:t>Example—</w:t>
      </w:r>
    </w:p>
    <w:p w14:paraId="59A54D63" w14:textId="773EC204" w:rsidR="00A351F3" w:rsidRPr="00B40A77" w:rsidRDefault="00A351F3" w:rsidP="00C9577F">
      <w:pPr>
        <w:pStyle w:val="NoteText"/>
        <w:ind w:left="2552"/>
        <w:rPr>
          <w:color w:val="000000" w:themeColor="text1"/>
          <w:lang w:val="en-US"/>
        </w:rPr>
      </w:pPr>
      <w:r w:rsidRPr="00B40A77">
        <w:rPr>
          <w:color w:val="000000" w:themeColor="text1"/>
        </w:rPr>
        <w:t>An example of an electronic dat</w:t>
      </w:r>
      <w:r w:rsidR="00947DEA" w:rsidRPr="00B40A77">
        <w:rPr>
          <w:color w:val="000000" w:themeColor="text1"/>
        </w:rPr>
        <w:t xml:space="preserve">a storage device is a </w:t>
      </w:r>
      <w:r w:rsidR="00354196" w:rsidRPr="00B40A77">
        <w:rPr>
          <w:color w:val="000000" w:themeColor="text1"/>
        </w:rPr>
        <w:t>USB</w:t>
      </w:r>
      <w:r w:rsidR="00947DEA" w:rsidRPr="00B40A77">
        <w:rPr>
          <w:color w:val="000000" w:themeColor="text1"/>
        </w:rPr>
        <w:t xml:space="preserve"> drive</w:t>
      </w:r>
      <w:r w:rsidRPr="00B40A77">
        <w:rPr>
          <w:color w:val="000000" w:themeColor="text1"/>
        </w:rPr>
        <w:t>.</w:t>
      </w:r>
    </w:p>
    <w:p w14:paraId="3596BD69" w14:textId="45108D8F" w:rsidR="00A351F3" w:rsidRPr="00B40A77" w:rsidRDefault="00A351F3" w:rsidP="00A351F3">
      <w:pPr>
        <w:pStyle w:val="Hangindent"/>
        <w:rPr>
          <w:color w:val="000000" w:themeColor="text1"/>
        </w:rPr>
      </w:pPr>
      <w:r w:rsidRPr="00B40A77">
        <w:rPr>
          <w:rFonts w:cs="Times New Roman"/>
          <w:color w:val="000000" w:themeColor="text1"/>
        </w:rPr>
        <w:t>(2)</w:t>
      </w:r>
      <w:r w:rsidRPr="00B40A77">
        <w:rPr>
          <w:rFonts w:cs="Times New Roman"/>
          <w:color w:val="000000" w:themeColor="text1"/>
        </w:rPr>
        <w:tab/>
        <w:t xml:space="preserve">A document is </w:t>
      </w:r>
      <w:r w:rsidR="002338A6" w:rsidRPr="00B40A77">
        <w:rPr>
          <w:rFonts w:cs="Times New Roman"/>
          <w:color w:val="000000" w:themeColor="text1"/>
        </w:rPr>
        <w:t xml:space="preserve">also </w:t>
      </w:r>
      <w:r w:rsidRPr="00B40A77">
        <w:rPr>
          <w:rFonts w:cs="Times New Roman"/>
          <w:color w:val="000000" w:themeColor="text1"/>
        </w:rPr>
        <w:t xml:space="preserve">served by </w:t>
      </w:r>
      <w:r w:rsidRPr="00B40A77">
        <w:rPr>
          <w:rFonts w:cs="Times New Roman"/>
          <w:b/>
          <w:i/>
          <w:color w:val="000000" w:themeColor="text1"/>
        </w:rPr>
        <w:t>electronic service</w:t>
      </w:r>
      <w:r w:rsidRPr="00B40A77">
        <w:rPr>
          <w:rFonts w:cs="Times New Roman"/>
          <w:color w:val="000000" w:themeColor="text1"/>
        </w:rPr>
        <w:t xml:space="preserve"> on a person (</w:t>
      </w:r>
      <w:r w:rsidRPr="00B40A77">
        <w:rPr>
          <w:rFonts w:cs="Times New Roman"/>
          <w:bCs/>
          <w:iCs/>
          <w:color w:val="000000" w:themeColor="text1"/>
        </w:rPr>
        <w:t>the</w:t>
      </w:r>
      <w:r w:rsidRPr="00B40A77">
        <w:rPr>
          <w:rFonts w:cs="Times New Roman"/>
          <w:b/>
          <w:i/>
          <w:color w:val="000000" w:themeColor="text1"/>
        </w:rPr>
        <w:t xml:space="preserve"> recipient</w:t>
      </w:r>
      <w:r w:rsidRPr="00B40A77">
        <w:rPr>
          <w:rFonts w:cs="Times New Roman"/>
          <w:color w:val="000000" w:themeColor="text1"/>
        </w:rPr>
        <w:t>) if</w:t>
      </w:r>
      <w:r w:rsidRPr="00B40A77">
        <w:rPr>
          <w:color w:val="000000" w:themeColor="text1"/>
        </w:rPr>
        <w:t>—</w:t>
      </w:r>
    </w:p>
    <w:p w14:paraId="72ED34F1"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it is contained at an internet address;</w:t>
      </w:r>
    </w:p>
    <w:p w14:paraId="1114EC8D" w14:textId="77777777" w:rsidR="00A351F3" w:rsidRPr="00B40A77" w:rsidRDefault="00A351F3" w:rsidP="00A351F3">
      <w:pPr>
        <w:pStyle w:val="Doublehangindent"/>
        <w:rPr>
          <w:color w:val="000000" w:themeColor="text1"/>
        </w:rPr>
      </w:pPr>
      <w:r w:rsidRPr="00B40A77">
        <w:rPr>
          <w:color w:val="000000" w:themeColor="text1"/>
        </w:rPr>
        <w:t>(b)</w:t>
      </w:r>
      <w:r w:rsidRPr="00B40A77">
        <w:rPr>
          <w:color w:val="000000" w:themeColor="text1"/>
        </w:rPr>
        <w:tab/>
        <w:t>it can be accessed at and downloaded from that internet address with a link;</w:t>
      </w:r>
    </w:p>
    <w:p w14:paraId="6AC39F62" w14:textId="467D4A69" w:rsidR="00A351F3" w:rsidRPr="00B40A77" w:rsidRDefault="00A351F3" w:rsidP="00A351F3">
      <w:pPr>
        <w:pStyle w:val="Doublehangindent"/>
        <w:rPr>
          <w:color w:val="000000" w:themeColor="text1"/>
        </w:rPr>
      </w:pPr>
      <w:r w:rsidRPr="00B40A77">
        <w:rPr>
          <w:color w:val="000000" w:themeColor="text1"/>
        </w:rPr>
        <w:t>(c)</w:t>
      </w:r>
      <w:r w:rsidRPr="00B40A77">
        <w:rPr>
          <w:color w:val="000000" w:themeColor="text1"/>
        </w:rPr>
        <w:tab/>
        <w:t xml:space="preserve">such a link is sent to the recipient in accordance with </w:t>
      </w:r>
      <w:hyperlink w:anchor="_42.1—Personal_service" w:history="1">
        <w:r w:rsidR="00947DEA" w:rsidRPr="00B40A77">
          <w:rPr>
            <w:rStyle w:val="Hyperlink"/>
            <w:color w:val="000000" w:themeColor="text1"/>
          </w:rPr>
          <w:t>rule 33.1</w:t>
        </w:r>
      </w:hyperlink>
      <w:r w:rsidR="00947DEA" w:rsidRPr="00B40A77">
        <w:rPr>
          <w:color w:val="000000" w:themeColor="text1"/>
        </w:rPr>
        <w:t xml:space="preserve">, </w:t>
      </w:r>
      <w:hyperlink w:anchor="_42.2—Email_service" w:history="1">
        <w:r w:rsidR="00947DEA" w:rsidRPr="00B40A77">
          <w:rPr>
            <w:rStyle w:val="Hyperlink"/>
            <w:color w:val="000000" w:themeColor="text1"/>
          </w:rPr>
          <w:t>rule</w:t>
        </w:r>
        <w:r w:rsidR="00435662" w:rsidRPr="00B40A77">
          <w:rPr>
            <w:rStyle w:val="Hyperlink"/>
            <w:color w:val="000000" w:themeColor="text1"/>
          </w:rPr>
          <w:t> </w:t>
        </w:r>
        <w:r w:rsidR="00947DEA" w:rsidRPr="00B40A77">
          <w:rPr>
            <w:rStyle w:val="Hyperlink"/>
            <w:color w:val="000000" w:themeColor="text1"/>
          </w:rPr>
          <w:t>33.2</w:t>
        </w:r>
      </w:hyperlink>
      <w:r w:rsidR="00947DEA" w:rsidRPr="00B40A77">
        <w:rPr>
          <w:color w:val="000000" w:themeColor="text1"/>
        </w:rPr>
        <w:t xml:space="preserve">, </w:t>
      </w:r>
      <w:hyperlink w:anchor="_42.3—Post_service" w:history="1">
        <w:r w:rsidR="00947DEA" w:rsidRPr="00B40A77">
          <w:rPr>
            <w:rStyle w:val="Hyperlink"/>
            <w:color w:val="000000" w:themeColor="text1"/>
          </w:rPr>
          <w:t>rule</w:t>
        </w:r>
        <w:r w:rsidR="00D31287" w:rsidRPr="00B40A77">
          <w:rPr>
            <w:rStyle w:val="Hyperlink"/>
            <w:color w:val="000000" w:themeColor="text1"/>
          </w:rPr>
          <w:t> </w:t>
        </w:r>
        <w:r w:rsidR="00947DEA" w:rsidRPr="00B40A77">
          <w:rPr>
            <w:rStyle w:val="Hyperlink"/>
            <w:color w:val="000000" w:themeColor="text1"/>
          </w:rPr>
          <w:t>33.3</w:t>
        </w:r>
      </w:hyperlink>
      <w:r w:rsidR="00947DEA" w:rsidRPr="00B40A77">
        <w:rPr>
          <w:color w:val="000000" w:themeColor="text1"/>
        </w:rPr>
        <w:t xml:space="preserve"> or </w:t>
      </w:r>
      <w:hyperlink w:anchor="_42.4—Solicitor_service" w:history="1">
        <w:r w:rsidR="00947DEA" w:rsidRPr="00B40A77">
          <w:rPr>
            <w:rStyle w:val="Hyperlink"/>
            <w:color w:val="000000" w:themeColor="text1"/>
          </w:rPr>
          <w:t>rule 33.4</w:t>
        </w:r>
      </w:hyperlink>
      <w:r w:rsidRPr="00B40A77">
        <w:rPr>
          <w:color w:val="000000" w:themeColor="text1"/>
        </w:rPr>
        <w:t>; and</w:t>
      </w:r>
    </w:p>
    <w:p w14:paraId="6DC65B59" w14:textId="77777777"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one of the following applies</w:t>
      </w:r>
      <w:r w:rsidRPr="00B40A77">
        <w:rPr>
          <w:color w:val="000000" w:themeColor="text1"/>
        </w:rPr>
        <w:t>—</w:t>
      </w:r>
    </w:p>
    <w:p w14:paraId="6DAB62FC" w14:textId="20F5718C" w:rsidR="00A351F3" w:rsidRPr="00B40A77" w:rsidRDefault="00A351F3" w:rsidP="00A351F3">
      <w:pPr>
        <w:pStyle w:val="Triplehangindent"/>
        <w:rPr>
          <w:color w:val="000000" w:themeColor="text1"/>
        </w:rPr>
      </w:pPr>
      <w:r w:rsidRPr="00B40A77">
        <w:rPr>
          <w:color w:val="000000" w:themeColor="text1"/>
        </w:rPr>
        <w:t>(i)</w:t>
      </w:r>
      <w:r w:rsidRPr="00B40A77">
        <w:rPr>
          <w:color w:val="000000" w:themeColor="text1"/>
        </w:rPr>
        <w:tab/>
        <w:t>the recipient has consented to the document or a class of documents encompassing the document being served on the recipient by such service;</w:t>
      </w:r>
      <w:r w:rsidR="00435662" w:rsidRPr="00B40A77">
        <w:rPr>
          <w:color w:val="000000" w:themeColor="text1"/>
        </w:rPr>
        <w:t> </w:t>
      </w:r>
      <w:r w:rsidRPr="00B40A77">
        <w:rPr>
          <w:color w:val="000000" w:themeColor="text1"/>
        </w:rPr>
        <w:t>or</w:t>
      </w:r>
    </w:p>
    <w:p w14:paraId="63014EE9" w14:textId="77777777" w:rsidR="00A351F3" w:rsidRPr="00B40A77" w:rsidRDefault="00A351F3" w:rsidP="00A351F3">
      <w:pPr>
        <w:pStyle w:val="Triplehangindent"/>
        <w:rPr>
          <w:color w:val="000000" w:themeColor="text1"/>
        </w:rPr>
      </w:pPr>
      <w:r w:rsidRPr="00B40A77">
        <w:rPr>
          <w:color w:val="000000" w:themeColor="text1"/>
        </w:rPr>
        <w:t>(ii)</w:t>
      </w:r>
      <w:r w:rsidRPr="00B40A77">
        <w:rPr>
          <w:color w:val="000000" w:themeColor="text1"/>
        </w:rPr>
        <w:tab/>
        <w:t>the Court orders that service may be effected in this manner.</w:t>
      </w:r>
    </w:p>
    <w:p w14:paraId="25070773" w14:textId="54C00A97" w:rsidR="00C96188" w:rsidRPr="00B40A77" w:rsidRDefault="00C96188" w:rsidP="00C96188">
      <w:pPr>
        <w:pStyle w:val="Heading4"/>
        <w:rPr>
          <w:color w:val="000000" w:themeColor="text1"/>
        </w:rPr>
      </w:pPr>
      <w:bookmarkStart w:id="256" w:name="_33.6—Original_service"/>
      <w:bookmarkStart w:id="257" w:name="_33.6—Portal_service"/>
      <w:bookmarkStart w:id="258" w:name="_Toc175238843"/>
      <w:bookmarkStart w:id="259" w:name="_Hlk107841015"/>
      <w:bookmarkStart w:id="260" w:name="_Hlk103670392"/>
      <w:bookmarkEnd w:id="254"/>
      <w:bookmarkEnd w:id="256"/>
      <w:bookmarkEnd w:id="257"/>
      <w:r w:rsidRPr="00B40A77">
        <w:rPr>
          <w:color w:val="000000" w:themeColor="text1"/>
        </w:rPr>
        <w:t>33.6—Portal service</w:t>
      </w:r>
      <w:bookmarkEnd w:id="258"/>
    </w:p>
    <w:p w14:paraId="19B57BC1" w14:textId="3C260B88" w:rsidR="00C96188" w:rsidRPr="00B40A77" w:rsidRDefault="00C96188" w:rsidP="00C96188">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portal service</w:t>
      </w:r>
      <w:r w:rsidRPr="00B40A77">
        <w:rPr>
          <w:rFonts w:cs="Times New Roman"/>
          <w:color w:val="000000" w:themeColor="text1"/>
        </w:rPr>
        <w:t xml:space="preserve"> on a party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if</w:t>
      </w:r>
      <w:r w:rsidR="00621989" w:rsidRPr="00B40A77">
        <w:rPr>
          <w:rFonts w:cs="Times New Roman"/>
          <w:color w:val="000000" w:themeColor="text1"/>
        </w:rPr>
        <w:t xml:space="preserve"> each of the following applies</w:t>
      </w:r>
      <w:r w:rsidRPr="00B40A77">
        <w:rPr>
          <w:color w:val="000000" w:themeColor="text1"/>
        </w:rPr>
        <w:t>—</w:t>
      </w:r>
    </w:p>
    <w:p w14:paraId="62595EB2" w14:textId="4F9C8924" w:rsidR="00C96188" w:rsidRPr="00B40A77" w:rsidRDefault="00C96188" w:rsidP="00C96188">
      <w:pPr>
        <w:pStyle w:val="Doublehangindent"/>
        <w:rPr>
          <w:color w:val="000000" w:themeColor="text1"/>
        </w:rPr>
      </w:pPr>
      <w:r w:rsidRPr="00B40A77">
        <w:rPr>
          <w:color w:val="000000" w:themeColor="text1"/>
        </w:rPr>
        <w:t>(a)</w:t>
      </w:r>
      <w:r w:rsidRPr="00B40A77">
        <w:rPr>
          <w:color w:val="000000" w:themeColor="text1"/>
        </w:rPr>
        <w:tab/>
        <w:t xml:space="preserve">it is contained in the case maintained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w:t>
      </w:r>
    </w:p>
    <w:p w14:paraId="56B9D533" w14:textId="6609B4BF" w:rsidR="00C96188" w:rsidRPr="00B40A77" w:rsidRDefault="00C96188" w:rsidP="00C96188">
      <w:pPr>
        <w:pStyle w:val="Doublehangindent"/>
        <w:rPr>
          <w:color w:val="000000" w:themeColor="text1"/>
          <w:lang w:val="en-US"/>
        </w:rPr>
      </w:pPr>
      <w:r w:rsidRPr="00B40A77">
        <w:rPr>
          <w:color w:val="000000" w:themeColor="text1"/>
          <w:lang w:val="en-US"/>
        </w:rPr>
        <w:t>(b)</w:t>
      </w:r>
      <w:r w:rsidRPr="00B40A77">
        <w:rPr>
          <w:color w:val="000000" w:themeColor="text1"/>
          <w:lang w:val="en-US"/>
        </w:rPr>
        <w:tab/>
        <w:t>it is accessible to the party or</w:t>
      </w:r>
      <w:r w:rsidR="00F60D44" w:rsidRPr="00B40A77">
        <w:rPr>
          <w:color w:val="000000" w:themeColor="text1"/>
          <w:lang w:val="en-US"/>
        </w:rPr>
        <w:t xml:space="preserve"> a lawyer acting for the party </w:t>
      </w:r>
      <w:r w:rsidR="009F1F4E" w:rsidRPr="00B40A77">
        <w:rPr>
          <w:color w:val="000000" w:themeColor="text1"/>
          <w:lang w:val="en-US"/>
        </w:rPr>
        <w:t xml:space="preserve">to be served </w:t>
      </w:r>
      <w:r w:rsidRPr="00B40A77">
        <w:rPr>
          <w:color w:val="000000" w:themeColor="text1"/>
          <w:lang w:val="en-US"/>
        </w:rPr>
        <w:t xml:space="preserve">upon their </w:t>
      </w:r>
      <w:r w:rsidR="009F1F4E" w:rsidRPr="00B40A77">
        <w:rPr>
          <w:color w:val="000000" w:themeColor="text1"/>
          <w:lang w:val="en-US"/>
        </w:rPr>
        <w:t>being granted</w:t>
      </w:r>
      <w:r w:rsidRPr="00B40A77">
        <w:rPr>
          <w:color w:val="000000" w:themeColor="text1"/>
          <w:lang w:val="en-US"/>
        </w:rPr>
        <w:t xml:space="preserve"> access to the case;</w:t>
      </w:r>
    </w:p>
    <w:p w14:paraId="07BC25C2" w14:textId="4346129A" w:rsidR="00863B2F" w:rsidRPr="00B40A77" w:rsidRDefault="00C96188" w:rsidP="00C96188">
      <w:pPr>
        <w:pStyle w:val="Doublehangindent"/>
        <w:rPr>
          <w:color w:val="000000" w:themeColor="text1"/>
        </w:rPr>
      </w:pPr>
      <w:r w:rsidRPr="00B40A77">
        <w:rPr>
          <w:color w:val="000000" w:themeColor="text1"/>
          <w:lang w:val="en-US"/>
        </w:rPr>
        <w:t>(c)</w:t>
      </w:r>
      <w:r w:rsidRPr="00B40A77">
        <w:rPr>
          <w:color w:val="000000" w:themeColor="text1"/>
          <w:lang w:val="en-US"/>
        </w:rPr>
        <w:tab/>
        <w:t xml:space="preserve">the party </w:t>
      </w:r>
      <w:r w:rsidR="00863B2F" w:rsidRPr="00B40A77">
        <w:rPr>
          <w:color w:val="000000" w:themeColor="text1"/>
          <w:lang w:val="en-US"/>
        </w:rPr>
        <w:t xml:space="preserve">serving the document sends to the party </w:t>
      </w:r>
      <w:r w:rsidRPr="00B40A77">
        <w:rPr>
          <w:color w:val="000000" w:themeColor="text1"/>
          <w:lang w:val="en-US"/>
        </w:rPr>
        <w:t xml:space="preserve">to be served </w:t>
      </w:r>
      <w:r w:rsidR="00F60D44" w:rsidRPr="00B40A77">
        <w:rPr>
          <w:color w:val="000000" w:themeColor="text1"/>
          <w:lang w:val="en-US"/>
        </w:rPr>
        <w:t>or a lawyer acting for the</w:t>
      </w:r>
      <w:r w:rsidR="009F1F4E" w:rsidRPr="00B40A77">
        <w:rPr>
          <w:color w:val="000000" w:themeColor="text1"/>
          <w:lang w:val="en-US"/>
        </w:rPr>
        <w:t>m</w:t>
      </w:r>
      <w:r w:rsidR="00F60D44" w:rsidRPr="00B40A77">
        <w:rPr>
          <w:color w:val="000000" w:themeColor="text1"/>
          <w:lang w:val="en-US"/>
        </w:rPr>
        <w:t xml:space="preserve"> </w:t>
      </w:r>
      <w:r w:rsidR="00863B2F" w:rsidRPr="00B40A77">
        <w:rPr>
          <w:color w:val="000000" w:themeColor="text1"/>
          <w:lang w:val="en-US"/>
        </w:rPr>
        <w:t>an</w:t>
      </w:r>
      <w:r w:rsidR="000C346B" w:rsidRPr="00B40A77">
        <w:rPr>
          <w:color w:val="000000" w:themeColor="text1"/>
          <w:lang w:val="en-US"/>
        </w:rPr>
        <w:t xml:space="preserve"> email</w:t>
      </w:r>
      <w:r w:rsidR="00863B2F" w:rsidRPr="00B40A77">
        <w:rPr>
          <w:color w:val="000000" w:themeColor="text1"/>
          <w:lang w:val="en-US"/>
        </w:rPr>
        <w:t xml:space="preserve"> or</w:t>
      </w:r>
      <w:r w:rsidR="000C346B" w:rsidRPr="00B40A77">
        <w:rPr>
          <w:color w:val="000000" w:themeColor="text1"/>
          <w:lang w:val="en-US"/>
        </w:rPr>
        <w:t xml:space="preserve"> text message </w:t>
      </w:r>
      <w:r w:rsidR="00621989" w:rsidRPr="00B40A77">
        <w:rPr>
          <w:color w:val="000000" w:themeColor="text1"/>
          <w:lang w:val="en-US"/>
        </w:rPr>
        <w:t xml:space="preserve">identifying </w:t>
      </w:r>
      <w:r w:rsidR="000C346B" w:rsidRPr="00B40A77">
        <w:rPr>
          <w:color w:val="000000" w:themeColor="text1"/>
          <w:lang w:val="en-US"/>
        </w:rPr>
        <w:t xml:space="preserve">the </w:t>
      </w:r>
      <w:r w:rsidR="00621989" w:rsidRPr="00B40A77">
        <w:rPr>
          <w:color w:val="000000" w:themeColor="text1"/>
          <w:lang w:val="en-US"/>
        </w:rPr>
        <w:t xml:space="preserve">case number </w:t>
      </w:r>
      <w:r w:rsidR="00621989" w:rsidRPr="00B40A77">
        <w:rPr>
          <w:color w:val="000000" w:themeColor="text1"/>
        </w:rPr>
        <w:t xml:space="preserve">maintained on the </w:t>
      </w:r>
      <w:hyperlink w:anchor="_22.1—Establishment_and_operation" w:history="1">
        <w:r w:rsidR="00E81F20" w:rsidRPr="00B40A77">
          <w:rPr>
            <w:rStyle w:val="Hyperlink"/>
            <w:color w:val="000000" w:themeColor="text1"/>
            <w:lang w:val="en-US"/>
          </w:rPr>
          <w:t>Electronic System</w:t>
        </w:r>
      </w:hyperlink>
      <w:r w:rsidR="00621989" w:rsidRPr="00B40A77">
        <w:rPr>
          <w:color w:val="000000" w:themeColor="text1"/>
          <w:lang w:val="en-US"/>
        </w:rPr>
        <w:t xml:space="preserve"> (or otherwise identifying the case), the </w:t>
      </w:r>
      <w:r w:rsidR="000C346B" w:rsidRPr="00B40A77">
        <w:rPr>
          <w:color w:val="000000" w:themeColor="text1"/>
          <w:lang w:val="en-US"/>
        </w:rPr>
        <w:t xml:space="preserve">existence of the document </w:t>
      </w:r>
      <w:r w:rsidR="000C346B" w:rsidRPr="00B40A77">
        <w:rPr>
          <w:color w:val="000000" w:themeColor="text1"/>
        </w:rPr>
        <w:t xml:space="preserve">in the case </w:t>
      </w:r>
      <w:r w:rsidR="00863B2F" w:rsidRPr="00B40A77">
        <w:rPr>
          <w:color w:val="000000" w:themeColor="text1"/>
        </w:rPr>
        <w:t xml:space="preserve">and </w:t>
      </w:r>
      <w:r w:rsidR="00621989" w:rsidRPr="00B40A77">
        <w:rPr>
          <w:color w:val="000000" w:themeColor="text1"/>
        </w:rPr>
        <w:t>the</w:t>
      </w:r>
      <w:r w:rsidR="00863B2F" w:rsidRPr="00B40A77">
        <w:rPr>
          <w:color w:val="000000" w:themeColor="text1"/>
        </w:rPr>
        <w:t xml:space="preserve"> title, date and FDN</w:t>
      </w:r>
      <w:r w:rsidR="00621989" w:rsidRPr="00B40A77">
        <w:rPr>
          <w:color w:val="000000" w:themeColor="text1"/>
        </w:rPr>
        <w:t xml:space="preserve"> of the document</w:t>
      </w:r>
      <w:r w:rsidR="000C346B" w:rsidRPr="00B40A77">
        <w:rPr>
          <w:color w:val="000000" w:themeColor="text1"/>
        </w:rPr>
        <w:t xml:space="preserve">; </w:t>
      </w:r>
    </w:p>
    <w:p w14:paraId="342526C3" w14:textId="42E5A720" w:rsidR="006127F7" w:rsidRPr="00B40A77" w:rsidRDefault="00863B2F" w:rsidP="00C96188">
      <w:pPr>
        <w:pStyle w:val="Doublehangindent"/>
        <w:rPr>
          <w:color w:val="000000" w:themeColor="text1"/>
        </w:rPr>
      </w:pPr>
      <w:r w:rsidRPr="00B40A77">
        <w:rPr>
          <w:color w:val="000000" w:themeColor="text1"/>
        </w:rPr>
        <w:t>(d)</w:t>
      </w:r>
      <w:r w:rsidRPr="00B40A77">
        <w:rPr>
          <w:color w:val="000000" w:themeColor="text1"/>
        </w:rPr>
        <w:tab/>
      </w:r>
      <w:r w:rsidR="006127F7" w:rsidRPr="00B40A77">
        <w:rPr>
          <w:color w:val="000000" w:themeColor="text1"/>
        </w:rPr>
        <w:t>either—</w:t>
      </w:r>
    </w:p>
    <w:p w14:paraId="4D3A0095" w14:textId="24F1EC1A" w:rsidR="00987DDB" w:rsidRPr="00B40A77" w:rsidRDefault="006127F7" w:rsidP="006127F7">
      <w:pPr>
        <w:pStyle w:val="Doublehangindent"/>
        <w:ind w:left="2157" w:hanging="456"/>
        <w:rPr>
          <w:color w:val="000000" w:themeColor="text1"/>
        </w:rPr>
      </w:pPr>
      <w:r w:rsidRPr="00B40A77">
        <w:rPr>
          <w:color w:val="000000" w:themeColor="text1"/>
        </w:rPr>
        <w:t>(i)</w:t>
      </w:r>
      <w:r w:rsidRPr="00B40A77">
        <w:rPr>
          <w:color w:val="000000" w:themeColor="text1"/>
        </w:rPr>
        <w:tab/>
      </w:r>
      <w:r w:rsidR="00863B2F" w:rsidRPr="00B40A77">
        <w:rPr>
          <w:color w:val="000000" w:themeColor="text1"/>
        </w:rPr>
        <w:t xml:space="preserve">the </w:t>
      </w:r>
      <w:r w:rsidRPr="00B40A77">
        <w:rPr>
          <w:color w:val="000000" w:themeColor="text1"/>
        </w:rPr>
        <w:t>email address</w:t>
      </w:r>
      <w:r w:rsidR="00863B2F" w:rsidRPr="00B40A77">
        <w:rPr>
          <w:color w:val="000000" w:themeColor="text1"/>
        </w:rPr>
        <w:t xml:space="preserve"> </w:t>
      </w:r>
      <w:r w:rsidRPr="00B40A77">
        <w:rPr>
          <w:color w:val="000000" w:themeColor="text1"/>
        </w:rPr>
        <w:t xml:space="preserve">to which an email referred to in paragraph (c) is </w:t>
      </w:r>
      <w:r w:rsidR="00621989" w:rsidRPr="00B40A77">
        <w:rPr>
          <w:color w:val="000000" w:themeColor="text1"/>
        </w:rPr>
        <w:t xml:space="preserve">sent is an </w:t>
      </w:r>
      <w:r w:rsidR="009F1F4E" w:rsidRPr="00B40A77">
        <w:rPr>
          <w:color w:val="000000" w:themeColor="text1"/>
        </w:rPr>
        <w:t>email address</w:t>
      </w:r>
      <w:r w:rsidR="00987DDB" w:rsidRPr="00B40A77">
        <w:rPr>
          <w:color w:val="000000" w:themeColor="text1"/>
        </w:rPr>
        <w:t>—</w:t>
      </w:r>
    </w:p>
    <w:p w14:paraId="13042601" w14:textId="2B59236D" w:rsidR="00C96188" w:rsidRPr="00B40A77" w:rsidRDefault="00987DDB" w:rsidP="00987DDB">
      <w:pPr>
        <w:pStyle w:val="Doublehangindent"/>
        <w:ind w:left="2880" w:hanging="723"/>
        <w:rPr>
          <w:color w:val="000000" w:themeColor="text1"/>
        </w:rPr>
      </w:pPr>
      <w:r w:rsidRPr="00B40A77">
        <w:rPr>
          <w:color w:val="000000" w:themeColor="text1"/>
        </w:rPr>
        <w:t>(A)</w:t>
      </w:r>
      <w:r w:rsidRPr="00B40A77">
        <w:rPr>
          <w:color w:val="000000" w:themeColor="text1"/>
        </w:rPr>
        <w:tab/>
      </w:r>
      <w:r w:rsidR="006127F7" w:rsidRPr="00B40A77">
        <w:rPr>
          <w:color w:val="000000" w:themeColor="text1"/>
        </w:rPr>
        <w:t>that the party to be served has provided to the party serving for the purpose of communications in relation to the case; or</w:t>
      </w:r>
    </w:p>
    <w:p w14:paraId="0ADA9920" w14:textId="724486B1" w:rsidR="00987DDB" w:rsidRPr="00B40A77" w:rsidRDefault="00987DDB" w:rsidP="00987DDB">
      <w:pPr>
        <w:pStyle w:val="Doublehangindent"/>
        <w:ind w:left="2880" w:hanging="723"/>
        <w:rPr>
          <w:color w:val="000000" w:themeColor="text1"/>
        </w:rPr>
      </w:pPr>
      <w:r w:rsidRPr="00B40A77">
        <w:rPr>
          <w:color w:val="000000" w:themeColor="text1"/>
        </w:rPr>
        <w:t>(B)</w:t>
      </w:r>
      <w:r w:rsidRPr="00B40A77">
        <w:rPr>
          <w:color w:val="000000" w:themeColor="text1"/>
        </w:rPr>
        <w:tab/>
        <w:t xml:space="preserve">contained in the </w:t>
      </w:r>
      <w:hyperlink w:anchor="_2.1—Definitions" w:history="1">
        <w:r w:rsidRPr="00B40A77">
          <w:rPr>
            <w:rStyle w:val="Hyperlink"/>
            <w:color w:val="000000" w:themeColor="text1"/>
          </w:rPr>
          <w:t>address for service</w:t>
        </w:r>
      </w:hyperlink>
      <w:r w:rsidRPr="00B40A77">
        <w:rPr>
          <w:color w:val="000000" w:themeColor="text1"/>
          <w:u w:val="single"/>
        </w:rPr>
        <w:t xml:space="preserve"> </w:t>
      </w:r>
      <w:r w:rsidRPr="00B40A77">
        <w:rPr>
          <w:color w:val="000000" w:themeColor="text1"/>
        </w:rPr>
        <w:t>of the party to be served; or</w:t>
      </w:r>
    </w:p>
    <w:p w14:paraId="3ABB3396" w14:textId="5949BF6A" w:rsidR="006127F7" w:rsidRPr="00B40A77" w:rsidRDefault="006127F7" w:rsidP="006127F7">
      <w:pPr>
        <w:pStyle w:val="Doublehangindent"/>
        <w:ind w:left="2157" w:hanging="456"/>
        <w:rPr>
          <w:color w:val="000000" w:themeColor="text1"/>
        </w:rPr>
      </w:pPr>
      <w:r w:rsidRPr="00B40A77">
        <w:rPr>
          <w:color w:val="000000" w:themeColor="text1"/>
        </w:rPr>
        <w:t>(ii)</w:t>
      </w:r>
      <w:r w:rsidRPr="00B40A77">
        <w:rPr>
          <w:color w:val="000000" w:themeColor="text1"/>
        </w:rPr>
        <w:tab/>
        <w:t xml:space="preserve">the mobile phone number to which a text message referred to in paragraph (c) is </w:t>
      </w:r>
      <w:r w:rsidR="00621989" w:rsidRPr="00B40A77">
        <w:rPr>
          <w:color w:val="000000" w:themeColor="text1"/>
        </w:rPr>
        <w:t xml:space="preserve">sent is </w:t>
      </w:r>
      <w:r w:rsidRPr="00B40A77">
        <w:rPr>
          <w:color w:val="000000" w:themeColor="text1"/>
        </w:rPr>
        <w:t xml:space="preserve">a mobile phone number that the party to be served has provided to the party serving for the purpose of communications in relation to the case; </w:t>
      </w:r>
      <w:r w:rsidR="009F1F4E" w:rsidRPr="00B40A77">
        <w:rPr>
          <w:color w:val="000000" w:themeColor="text1"/>
        </w:rPr>
        <w:t>and</w:t>
      </w:r>
    </w:p>
    <w:p w14:paraId="6C717A92" w14:textId="1EB94F02" w:rsidR="006127F7" w:rsidRPr="00B40A77" w:rsidRDefault="009F1F4E" w:rsidP="009F1F4E">
      <w:pPr>
        <w:pStyle w:val="Doublehangindent"/>
        <w:rPr>
          <w:color w:val="000000" w:themeColor="text1"/>
        </w:rPr>
      </w:pPr>
      <w:r w:rsidRPr="00B40A77">
        <w:rPr>
          <w:color w:val="000000" w:themeColor="text1"/>
          <w:lang w:val="en-US"/>
        </w:rPr>
        <w:t>(e)</w:t>
      </w:r>
      <w:r w:rsidRPr="00B40A77">
        <w:rPr>
          <w:color w:val="000000" w:themeColor="text1"/>
          <w:lang w:val="en-US"/>
        </w:rPr>
        <w:tab/>
        <w:t xml:space="preserve">the party to be served or a lawyer acting for them is or becomes a registered user of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lang w:val="en-US"/>
        </w:rPr>
        <w:t xml:space="preserve"> and has been granted or is granted access to the case maintained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w:t>
      </w:r>
    </w:p>
    <w:bookmarkEnd w:id="259"/>
    <w:p w14:paraId="5D46C633" w14:textId="2458C37C" w:rsidR="00C96188" w:rsidRPr="00B40A77" w:rsidRDefault="00C96188" w:rsidP="00C96188">
      <w:pPr>
        <w:pStyle w:val="Hangindent"/>
        <w:rPr>
          <w:color w:val="000000" w:themeColor="text1"/>
        </w:rPr>
      </w:pPr>
      <w:r w:rsidRPr="00B40A77">
        <w:rPr>
          <w:rFonts w:cs="Times New Roman"/>
          <w:color w:val="000000" w:themeColor="text1"/>
        </w:rPr>
        <w:t>(2)</w:t>
      </w:r>
      <w:r w:rsidRPr="00B40A77">
        <w:rPr>
          <w:rFonts w:cs="Times New Roman"/>
          <w:color w:val="000000" w:themeColor="text1"/>
        </w:rPr>
        <w:tab/>
        <w:t xml:space="preserve">A document served by </w:t>
      </w:r>
      <w:r w:rsidR="000C346B" w:rsidRPr="00B40A77">
        <w:rPr>
          <w:rFonts w:cs="Times New Roman"/>
          <w:color w:val="000000" w:themeColor="text1"/>
        </w:rPr>
        <w:t>portal</w:t>
      </w:r>
      <w:r w:rsidRPr="00B40A77">
        <w:rPr>
          <w:rFonts w:cs="Times New Roman"/>
          <w:color w:val="000000" w:themeColor="text1"/>
        </w:rPr>
        <w:t xml:space="preserve"> service </w:t>
      </w:r>
      <w:r w:rsidR="00621989" w:rsidRPr="00B40A77">
        <w:rPr>
          <w:rFonts w:cs="Times New Roman"/>
          <w:color w:val="000000" w:themeColor="text1"/>
        </w:rPr>
        <w:t xml:space="preserve">under subrule (1) </w:t>
      </w:r>
      <w:r w:rsidR="000C346B" w:rsidRPr="00B40A77">
        <w:rPr>
          <w:rFonts w:cs="Times New Roman"/>
          <w:color w:val="000000" w:themeColor="text1"/>
        </w:rPr>
        <w:t xml:space="preserve">is </w:t>
      </w:r>
      <w:r w:rsidR="00863B2F" w:rsidRPr="00B40A77">
        <w:rPr>
          <w:rFonts w:cs="Times New Roman"/>
          <w:color w:val="000000" w:themeColor="text1"/>
        </w:rPr>
        <w:t>to be regarded as having been served</w:t>
      </w:r>
      <w:r w:rsidR="000C346B" w:rsidRPr="00B40A77">
        <w:rPr>
          <w:rFonts w:cs="Times New Roman"/>
          <w:color w:val="000000" w:themeColor="text1"/>
        </w:rPr>
        <w:t xml:space="preserve"> on the date and at the time when the </w:t>
      </w:r>
      <w:r w:rsidR="009F1F4E" w:rsidRPr="00B40A77">
        <w:rPr>
          <w:rFonts w:cs="Times New Roman"/>
          <w:color w:val="000000" w:themeColor="text1"/>
        </w:rPr>
        <w:t xml:space="preserve">last event referred to in </w:t>
      </w:r>
      <w:r w:rsidR="00621989" w:rsidRPr="00B40A77">
        <w:rPr>
          <w:rFonts w:cs="Times New Roman"/>
          <w:color w:val="000000" w:themeColor="text1"/>
        </w:rPr>
        <w:t xml:space="preserve">under subrule (1) </w:t>
      </w:r>
      <w:r w:rsidR="009F1F4E" w:rsidRPr="00B40A77">
        <w:rPr>
          <w:rFonts w:cs="Times New Roman"/>
          <w:color w:val="000000" w:themeColor="text1"/>
        </w:rPr>
        <w:t>occurs</w:t>
      </w:r>
      <w:r w:rsidR="000C346B" w:rsidRPr="00B40A77">
        <w:rPr>
          <w:color w:val="000000" w:themeColor="text1"/>
        </w:rPr>
        <w:t>.</w:t>
      </w:r>
    </w:p>
    <w:p w14:paraId="5743BA7F" w14:textId="3FAF1E6B" w:rsidR="00863B2F" w:rsidRPr="00B40A77" w:rsidRDefault="00863B2F" w:rsidP="00863B2F">
      <w:pPr>
        <w:pStyle w:val="Hangindent"/>
        <w:rPr>
          <w:color w:val="000000" w:themeColor="text1"/>
        </w:rPr>
      </w:pPr>
      <w:r w:rsidRPr="00B40A77">
        <w:rPr>
          <w:rFonts w:cs="Times New Roman"/>
          <w:color w:val="000000" w:themeColor="text1"/>
        </w:rPr>
        <w:lastRenderedPageBreak/>
        <w:t>(3)</w:t>
      </w:r>
      <w:r w:rsidRPr="00B40A77">
        <w:rPr>
          <w:rFonts w:cs="Times New Roman"/>
          <w:color w:val="000000" w:themeColor="text1"/>
        </w:rPr>
        <w:tab/>
        <w:t xml:space="preserve">A document is also served by </w:t>
      </w:r>
      <w:r w:rsidRPr="00B40A77">
        <w:rPr>
          <w:rFonts w:cs="Times New Roman"/>
          <w:b/>
          <w:i/>
          <w:color w:val="000000" w:themeColor="text1"/>
        </w:rPr>
        <w:t>portal service</w:t>
      </w:r>
      <w:r w:rsidRPr="00B40A77">
        <w:rPr>
          <w:rFonts w:cs="Times New Roman"/>
          <w:color w:val="000000" w:themeColor="text1"/>
        </w:rPr>
        <w:t xml:space="preserve"> on a party (</w:t>
      </w:r>
      <w:r w:rsidRPr="00B40A77">
        <w:rPr>
          <w:rFonts w:cs="Times New Roman"/>
          <w:bCs/>
          <w:iCs/>
          <w:color w:val="000000" w:themeColor="text1"/>
        </w:rPr>
        <w:t xml:space="preserve">the </w:t>
      </w:r>
      <w:r w:rsidRPr="00B40A77">
        <w:rPr>
          <w:rFonts w:cs="Times New Roman"/>
          <w:b/>
          <w:i/>
          <w:color w:val="000000" w:themeColor="text1"/>
        </w:rPr>
        <w:t>recipient</w:t>
      </w:r>
      <w:r w:rsidRPr="00B40A77">
        <w:rPr>
          <w:rFonts w:cs="Times New Roman"/>
          <w:color w:val="000000" w:themeColor="text1"/>
        </w:rPr>
        <w:t>) if</w:t>
      </w:r>
      <w:r w:rsidRPr="00B40A77">
        <w:rPr>
          <w:color w:val="000000" w:themeColor="text1"/>
        </w:rPr>
        <w:t>—</w:t>
      </w:r>
    </w:p>
    <w:p w14:paraId="5C568B47" w14:textId="4618D2BF" w:rsidR="00863B2F" w:rsidRPr="00B40A77" w:rsidRDefault="00863B2F" w:rsidP="00863B2F">
      <w:pPr>
        <w:pStyle w:val="Doublehangindent"/>
        <w:rPr>
          <w:color w:val="000000" w:themeColor="text1"/>
        </w:rPr>
      </w:pPr>
      <w:r w:rsidRPr="00B40A77">
        <w:rPr>
          <w:color w:val="000000" w:themeColor="text1"/>
        </w:rPr>
        <w:t>(a)</w:t>
      </w:r>
      <w:r w:rsidRPr="00B40A77">
        <w:rPr>
          <w:color w:val="000000" w:themeColor="text1"/>
        </w:rPr>
        <w:tab/>
        <w:t xml:space="preserve">it is contained in the case maintained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 and</w:t>
      </w:r>
    </w:p>
    <w:p w14:paraId="7F3C3E8A" w14:textId="4159CD1E" w:rsidR="00863B2F" w:rsidRPr="00B40A77" w:rsidRDefault="00863B2F" w:rsidP="00863B2F">
      <w:pPr>
        <w:pStyle w:val="Doublehangindent"/>
        <w:rPr>
          <w:color w:val="000000" w:themeColor="text1"/>
          <w:lang w:val="en-US"/>
        </w:rPr>
      </w:pPr>
      <w:r w:rsidRPr="00B40A77">
        <w:rPr>
          <w:color w:val="000000" w:themeColor="text1"/>
        </w:rPr>
        <w:t>(d)</w:t>
      </w:r>
      <w:r w:rsidRPr="00B40A77">
        <w:rPr>
          <w:color w:val="000000" w:themeColor="text1"/>
        </w:rPr>
        <w:tab/>
      </w:r>
      <w:r w:rsidRPr="00B40A77">
        <w:rPr>
          <w:color w:val="000000" w:themeColor="text1"/>
          <w:lang w:val="en-US"/>
        </w:rPr>
        <w:t>the party to be served or a lawyer acting for the</w:t>
      </w:r>
      <w:r w:rsidR="00621989" w:rsidRPr="00B40A77">
        <w:rPr>
          <w:color w:val="000000" w:themeColor="text1"/>
          <w:lang w:val="en-US"/>
        </w:rPr>
        <w:t>m</w:t>
      </w:r>
      <w:r w:rsidRPr="00B40A77">
        <w:rPr>
          <w:color w:val="000000" w:themeColor="text1"/>
          <w:lang w:val="en-US"/>
        </w:rPr>
        <w:t xml:space="preserve"> views or downloads the document </w:t>
      </w:r>
      <w:r w:rsidRPr="00B40A77">
        <w:rPr>
          <w:color w:val="000000" w:themeColor="text1"/>
        </w:rPr>
        <w:t xml:space="preserve">in the case maintained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w:t>
      </w:r>
    </w:p>
    <w:p w14:paraId="520A4ED7" w14:textId="2D1EC8AC" w:rsidR="00863B2F" w:rsidRPr="00B40A77" w:rsidRDefault="00863B2F" w:rsidP="00C96188">
      <w:pPr>
        <w:pStyle w:val="Hangindent"/>
        <w:rPr>
          <w:color w:val="000000" w:themeColor="text1"/>
        </w:rPr>
      </w:pPr>
      <w:r w:rsidRPr="00B40A77">
        <w:rPr>
          <w:rFonts w:cs="Times New Roman"/>
          <w:color w:val="000000" w:themeColor="text1"/>
        </w:rPr>
        <w:t>(4)</w:t>
      </w:r>
      <w:r w:rsidRPr="00B40A77">
        <w:rPr>
          <w:rFonts w:cs="Times New Roman"/>
          <w:color w:val="000000" w:themeColor="text1"/>
        </w:rPr>
        <w:tab/>
        <w:t xml:space="preserve">A document served by portal service under subrule (3) is to be regarded as having been served on the date and at the time when the party or their lawyer </w:t>
      </w:r>
      <w:r w:rsidR="00B06EB7" w:rsidRPr="00B40A77">
        <w:rPr>
          <w:rFonts w:cs="Times New Roman"/>
          <w:color w:val="000000" w:themeColor="text1"/>
        </w:rPr>
        <w:t xml:space="preserve">first </w:t>
      </w:r>
      <w:r w:rsidRPr="00B40A77">
        <w:rPr>
          <w:rFonts w:cs="Times New Roman"/>
          <w:color w:val="000000" w:themeColor="text1"/>
        </w:rPr>
        <w:t xml:space="preserve">views or downloads </w:t>
      </w:r>
      <w:r w:rsidRPr="00B40A77">
        <w:rPr>
          <w:color w:val="000000" w:themeColor="text1"/>
          <w:lang w:val="en-US"/>
        </w:rPr>
        <w:t xml:space="preserve">the document </w:t>
      </w:r>
      <w:r w:rsidRPr="00B40A77">
        <w:rPr>
          <w:color w:val="000000" w:themeColor="text1"/>
        </w:rPr>
        <w:t xml:space="preserve">in the case maintained on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w:t>
      </w:r>
    </w:p>
    <w:p w14:paraId="443D3A1A" w14:textId="1DC10896" w:rsidR="00A351F3" w:rsidRPr="00B40A77" w:rsidRDefault="00947DEA" w:rsidP="00A351F3">
      <w:pPr>
        <w:pStyle w:val="Heading4"/>
        <w:rPr>
          <w:color w:val="000000" w:themeColor="text1"/>
        </w:rPr>
      </w:pPr>
      <w:bookmarkStart w:id="261" w:name="_33.7—Original_service"/>
      <w:bookmarkStart w:id="262" w:name="_Toc175238844"/>
      <w:bookmarkEnd w:id="260"/>
      <w:bookmarkEnd w:id="261"/>
      <w:r w:rsidRPr="00B40A77">
        <w:rPr>
          <w:color w:val="000000" w:themeColor="text1"/>
        </w:rPr>
        <w:t>3</w:t>
      </w:r>
      <w:r w:rsidR="00F20F0A" w:rsidRPr="00B40A77">
        <w:rPr>
          <w:color w:val="000000" w:themeColor="text1"/>
        </w:rPr>
        <w:t>3</w:t>
      </w:r>
      <w:r w:rsidR="00A351F3" w:rsidRPr="00B40A77">
        <w:rPr>
          <w:color w:val="000000" w:themeColor="text1"/>
        </w:rPr>
        <w:t>.</w:t>
      </w:r>
      <w:r w:rsidR="000C346B" w:rsidRPr="00B40A77">
        <w:rPr>
          <w:color w:val="000000" w:themeColor="text1"/>
        </w:rPr>
        <w:t>7</w:t>
      </w:r>
      <w:r w:rsidR="00A351F3" w:rsidRPr="00B40A77">
        <w:rPr>
          <w:color w:val="000000" w:themeColor="text1"/>
        </w:rPr>
        <w:t>—Original service</w:t>
      </w:r>
      <w:bookmarkEnd w:id="255"/>
      <w:bookmarkEnd w:id="262"/>
    </w:p>
    <w:p w14:paraId="7BEAE224" w14:textId="04A700C2" w:rsidR="00A351F3" w:rsidRPr="00B40A77" w:rsidRDefault="00A351F3" w:rsidP="00A351F3">
      <w:pPr>
        <w:pStyle w:val="Hangindent"/>
        <w:rPr>
          <w:color w:val="000000" w:themeColor="text1"/>
        </w:rPr>
      </w:pPr>
      <w:r w:rsidRPr="00B40A77">
        <w:rPr>
          <w:rFonts w:cs="Times New Roman"/>
          <w:color w:val="000000" w:themeColor="text1"/>
        </w:rPr>
        <w:t>(1)</w:t>
      </w:r>
      <w:r w:rsidRPr="00B40A77">
        <w:rPr>
          <w:rFonts w:cs="Times New Roman"/>
          <w:color w:val="000000" w:themeColor="text1"/>
        </w:rPr>
        <w:tab/>
        <w:t xml:space="preserve">A document is served by </w:t>
      </w:r>
      <w:r w:rsidRPr="00B40A77">
        <w:rPr>
          <w:rFonts w:cs="Times New Roman"/>
          <w:b/>
          <w:i/>
          <w:color w:val="000000" w:themeColor="text1"/>
        </w:rPr>
        <w:t xml:space="preserve">original service </w:t>
      </w:r>
      <w:r w:rsidRPr="00B40A77">
        <w:rPr>
          <w:rFonts w:cs="Times New Roman"/>
          <w:color w:val="000000" w:themeColor="text1"/>
        </w:rPr>
        <w:t xml:space="preserve">if it is served </w:t>
      </w:r>
      <w:r w:rsidRPr="00B40A77">
        <w:rPr>
          <w:color w:val="000000" w:themeColor="text1"/>
        </w:rPr>
        <w:t xml:space="preserve">in accordance with </w:t>
      </w:r>
      <w:hyperlink w:anchor="_42.1—Personal_service" w:history="1">
        <w:r w:rsidR="00947DEA" w:rsidRPr="00B40A77">
          <w:rPr>
            <w:rStyle w:val="Hyperlink"/>
            <w:color w:val="000000" w:themeColor="text1"/>
          </w:rPr>
          <w:t>rule</w:t>
        </w:r>
        <w:r w:rsidR="00435662" w:rsidRPr="00B40A77">
          <w:rPr>
            <w:rStyle w:val="Hyperlink"/>
            <w:color w:val="000000" w:themeColor="text1"/>
          </w:rPr>
          <w:t> </w:t>
        </w:r>
        <w:r w:rsidR="00947DEA" w:rsidRPr="00B40A77">
          <w:rPr>
            <w:rStyle w:val="Hyperlink"/>
            <w:color w:val="000000" w:themeColor="text1"/>
          </w:rPr>
          <w:t>3</w:t>
        </w:r>
        <w:r w:rsidR="000C668C" w:rsidRPr="00B40A77">
          <w:rPr>
            <w:rStyle w:val="Hyperlink"/>
            <w:color w:val="000000" w:themeColor="text1"/>
          </w:rPr>
          <w:t>3</w:t>
        </w:r>
        <w:r w:rsidR="00947DEA" w:rsidRPr="00B40A77">
          <w:rPr>
            <w:rStyle w:val="Hyperlink"/>
            <w:color w:val="000000" w:themeColor="text1"/>
          </w:rPr>
          <w:t>.1</w:t>
        </w:r>
      </w:hyperlink>
      <w:r w:rsidR="00947DEA" w:rsidRPr="00B40A77">
        <w:rPr>
          <w:color w:val="000000" w:themeColor="text1"/>
        </w:rPr>
        <w:t xml:space="preserve">, </w:t>
      </w:r>
      <w:hyperlink w:anchor="_42.2—Email_service" w:history="1">
        <w:r w:rsidR="00947DEA" w:rsidRPr="00B40A77">
          <w:rPr>
            <w:rStyle w:val="Hyperlink"/>
            <w:color w:val="000000" w:themeColor="text1"/>
          </w:rPr>
          <w:t>rule</w:t>
        </w:r>
        <w:r w:rsidR="00435662" w:rsidRPr="00B40A77">
          <w:rPr>
            <w:rStyle w:val="Hyperlink"/>
            <w:color w:val="000000" w:themeColor="text1"/>
          </w:rPr>
          <w:t> </w:t>
        </w:r>
        <w:r w:rsidR="00947DEA" w:rsidRPr="00B40A77">
          <w:rPr>
            <w:rStyle w:val="Hyperlink"/>
            <w:color w:val="000000" w:themeColor="text1"/>
          </w:rPr>
          <w:t>3</w:t>
        </w:r>
        <w:r w:rsidR="000C668C" w:rsidRPr="00B40A77">
          <w:rPr>
            <w:rStyle w:val="Hyperlink"/>
            <w:color w:val="000000" w:themeColor="text1"/>
          </w:rPr>
          <w:t>3</w:t>
        </w:r>
        <w:r w:rsidR="00947DEA" w:rsidRPr="00B40A77">
          <w:rPr>
            <w:rStyle w:val="Hyperlink"/>
            <w:color w:val="000000" w:themeColor="text1"/>
          </w:rPr>
          <w:t>.2</w:t>
        </w:r>
      </w:hyperlink>
      <w:r w:rsidR="00947DEA" w:rsidRPr="00B40A77">
        <w:rPr>
          <w:color w:val="000000" w:themeColor="text1"/>
        </w:rPr>
        <w:t xml:space="preserve">, </w:t>
      </w:r>
      <w:hyperlink w:anchor="_33.3—Email_service" w:history="1">
        <w:r w:rsidR="00D31287" w:rsidRPr="00B40A77">
          <w:rPr>
            <w:rStyle w:val="Hyperlink"/>
            <w:color w:val="000000" w:themeColor="text1"/>
          </w:rPr>
          <w:t>rule 33.3</w:t>
        </w:r>
      </w:hyperlink>
      <w:r w:rsidR="000C346B" w:rsidRPr="00B40A77">
        <w:rPr>
          <w:rStyle w:val="Hyperlink"/>
          <w:color w:val="000000" w:themeColor="text1"/>
          <w:u w:val="none"/>
        </w:rPr>
        <w:t>,</w:t>
      </w:r>
      <w:r w:rsidR="00D31287" w:rsidRPr="00B40A77">
        <w:rPr>
          <w:color w:val="000000" w:themeColor="text1"/>
        </w:rPr>
        <w:t xml:space="preserve"> </w:t>
      </w:r>
      <w:hyperlink w:anchor="_33.4—Post_service" w:history="1">
        <w:r w:rsidR="00D31287" w:rsidRPr="00B40A77">
          <w:rPr>
            <w:rStyle w:val="Hyperlink"/>
            <w:color w:val="000000" w:themeColor="text1"/>
          </w:rPr>
          <w:t>rule 33.4</w:t>
        </w:r>
      </w:hyperlink>
      <w:r w:rsidR="000C346B" w:rsidRPr="00B40A77">
        <w:rPr>
          <w:rStyle w:val="Hyperlink"/>
          <w:color w:val="000000" w:themeColor="text1"/>
          <w:u w:val="none"/>
        </w:rPr>
        <w:t xml:space="preserve">, </w:t>
      </w:r>
      <w:hyperlink w:anchor="_42.4—Solicitor_service" w:history="1">
        <w:r w:rsidR="000C346B" w:rsidRPr="00B40A77">
          <w:rPr>
            <w:rStyle w:val="Hyperlink"/>
            <w:color w:val="000000" w:themeColor="text1"/>
          </w:rPr>
          <w:t>rule 33.5</w:t>
        </w:r>
      </w:hyperlink>
      <w:r w:rsidR="000C346B" w:rsidRPr="00B40A77">
        <w:rPr>
          <w:rStyle w:val="Hyperlink"/>
          <w:color w:val="000000" w:themeColor="text1"/>
          <w:u w:val="none"/>
        </w:rPr>
        <w:t xml:space="preserve"> or </w:t>
      </w:r>
      <w:hyperlink w:anchor="_33.6—Portal_service" w:history="1">
        <w:r w:rsidR="000C346B" w:rsidRPr="00B40A77">
          <w:rPr>
            <w:rStyle w:val="Hyperlink"/>
            <w:color w:val="000000" w:themeColor="text1"/>
          </w:rPr>
          <w:t>rule 33.6</w:t>
        </w:r>
      </w:hyperlink>
      <w:r w:rsidRPr="00B40A77">
        <w:rPr>
          <w:color w:val="000000" w:themeColor="text1"/>
        </w:rPr>
        <w:t>.</w:t>
      </w:r>
    </w:p>
    <w:p w14:paraId="7CF27217" w14:textId="6CF888BB" w:rsidR="00A351F3" w:rsidRPr="00B40A77" w:rsidRDefault="00947DEA" w:rsidP="00A351F3">
      <w:pPr>
        <w:pStyle w:val="Heading4"/>
        <w:rPr>
          <w:color w:val="000000" w:themeColor="text1"/>
        </w:rPr>
      </w:pPr>
      <w:bookmarkStart w:id="263" w:name="_Toc175238845"/>
      <w:r w:rsidRPr="00B40A77">
        <w:rPr>
          <w:color w:val="000000" w:themeColor="text1"/>
        </w:rPr>
        <w:t>3</w:t>
      </w:r>
      <w:r w:rsidR="00F20F0A" w:rsidRPr="00B40A77">
        <w:rPr>
          <w:color w:val="000000" w:themeColor="text1"/>
        </w:rPr>
        <w:t>3</w:t>
      </w:r>
      <w:r w:rsidR="00A351F3" w:rsidRPr="00B40A77">
        <w:rPr>
          <w:color w:val="000000" w:themeColor="text1"/>
        </w:rPr>
        <w:t>.</w:t>
      </w:r>
      <w:r w:rsidR="000F04EB" w:rsidRPr="00B40A77">
        <w:rPr>
          <w:color w:val="000000" w:themeColor="text1"/>
        </w:rPr>
        <w:t>8</w:t>
      </w:r>
      <w:r w:rsidR="00A351F3" w:rsidRPr="00B40A77">
        <w:rPr>
          <w:color w:val="000000" w:themeColor="text1"/>
        </w:rPr>
        <w:t>—Time of service</w:t>
      </w:r>
      <w:bookmarkEnd w:id="263"/>
    </w:p>
    <w:p w14:paraId="7C0FD5A9" w14:textId="15D4CD00" w:rsidR="00A351F3" w:rsidRPr="00B40A77" w:rsidRDefault="00A351F3" w:rsidP="00A351F3">
      <w:pPr>
        <w:pStyle w:val="IndentedPara"/>
        <w:rPr>
          <w:color w:val="000000" w:themeColor="text1"/>
        </w:rPr>
      </w:pPr>
      <w:r w:rsidRPr="00B40A77">
        <w:rPr>
          <w:color w:val="000000" w:themeColor="text1"/>
        </w:rPr>
        <w:t xml:space="preserve">Unless the Court otherwise orders, a document that is served after 5.00 pm on a particular day is not to be treated as served, for the purpose of time running against the person served, until the next </w:t>
      </w:r>
      <w:hyperlink w:anchor="_2.1—Definitions" w:history="1">
        <w:r w:rsidRPr="00B40A77">
          <w:rPr>
            <w:rStyle w:val="Hyperlink"/>
            <w:color w:val="000000" w:themeColor="text1"/>
          </w:rPr>
          <w:t>business day</w:t>
        </w:r>
      </w:hyperlink>
      <w:r w:rsidRPr="00B40A77">
        <w:rPr>
          <w:color w:val="000000" w:themeColor="text1"/>
        </w:rPr>
        <w:t xml:space="preserve">. </w:t>
      </w:r>
    </w:p>
    <w:p w14:paraId="0684B799" w14:textId="77777777" w:rsidR="00A351F3" w:rsidRPr="00B40A77" w:rsidRDefault="00A351F3" w:rsidP="00A351F3">
      <w:pPr>
        <w:pStyle w:val="Heading3"/>
        <w:rPr>
          <w:color w:val="000000" w:themeColor="text1"/>
        </w:rPr>
      </w:pPr>
      <w:bookmarkStart w:id="264" w:name="_Division_3—Service_requirements"/>
      <w:bookmarkStart w:id="265" w:name="_Toc175238846"/>
      <w:bookmarkStart w:id="266" w:name="_Toc23776287"/>
      <w:bookmarkEnd w:id="264"/>
      <w:r w:rsidRPr="00B40A77">
        <w:rPr>
          <w:color w:val="000000" w:themeColor="text1"/>
        </w:rPr>
        <w:t>Division 3—Service requirements</w:t>
      </w:r>
      <w:bookmarkEnd w:id="265"/>
    </w:p>
    <w:p w14:paraId="2C841E28" w14:textId="0737248C" w:rsidR="00A351F3" w:rsidRPr="00B40A77" w:rsidRDefault="00947DEA" w:rsidP="00A351F3">
      <w:pPr>
        <w:pStyle w:val="Heading4"/>
        <w:rPr>
          <w:color w:val="000000" w:themeColor="text1"/>
        </w:rPr>
      </w:pPr>
      <w:bookmarkStart w:id="267" w:name="_Toc175238847"/>
      <w:r w:rsidRPr="00B40A77">
        <w:rPr>
          <w:color w:val="000000" w:themeColor="text1"/>
        </w:rPr>
        <w:t>3</w:t>
      </w:r>
      <w:r w:rsidR="00E13B81" w:rsidRPr="00B40A77">
        <w:rPr>
          <w:color w:val="000000" w:themeColor="text1"/>
        </w:rPr>
        <w:t>4</w:t>
      </w:r>
      <w:r w:rsidR="00A351F3" w:rsidRPr="00B40A77">
        <w:rPr>
          <w:color w:val="000000" w:themeColor="text1"/>
        </w:rPr>
        <w:t>.1—Information</w:t>
      </w:r>
      <w:bookmarkEnd w:id="267"/>
    </w:p>
    <w:p w14:paraId="6385B980" w14:textId="4C1D2C6D" w:rsidR="00A351F3" w:rsidRPr="00B40A77" w:rsidRDefault="00A351F3" w:rsidP="00A351F3">
      <w:pPr>
        <w:pStyle w:val="Hangindent"/>
        <w:ind w:left="567" w:firstLine="0"/>
        <w:rPr>
          <w:rFonts w:cs="Times New Roman"/>
          <w:color w:val="000000" w:themeColor="text1"/>
        </w:rPr>
      </w:pPr>
      <w:r w:rsidRPr="00B40A77">
        <w:rPr>
          <w:rFonts w:cs="Times New Roman"/>
          <w:color w:val="000000" w:themeColor="text1"/>
        </w:rPr>
        <w:t xml:space="preserve">Service of the original Information in a proceeding or a document initiating an appellate proceeding must be effected by </w:t>
      </w:r>
      <w:hyperlink w:anchor="_33.7—Original_service" w:history="1">
        <w:hyperlink w:anchor="_33.7—Original_service" w:history="1">
          <w:r w:rsidR="003A1982" w:rsidRPr="00B40A77">
            <w:rPr>
              <w:rStyle w:val="Hyperlink"/>
              <w:color w:val="000000" w:themeColor="text1"/>
            </w:rPr>
            <w:t>original service</w:t>
          </w:r>
        </w:hyperlink>
      </w:hyperlink>
      <w:r w:rsidR="002E46FB" w:rsidRPr="00B40A77">
        <w:rPr>
          <w:rFonts w:cs="Times New Roman"/>
          <w:color w:val="000000" w:themeColor="text1"/>
        </w:rPr>
        <w:t xml:space="preserve"> in accordance with </w:t>
      </w:r>
      <w:hyperlink w:anchor="_33.7—Original_service" w:history="1">
        <w:r w:rsidR="00BD52F4" w:rsidRPr="00B40A77">
          <w:rPr>
            <w:rStyle w:val="Hyperlink"/>
            <w:rFonts w:cs="Times New Roman"/>
            <w:color w:val="000000" w:themeColor="text1"/>
          </w:rPr>
          <w:t>rule 33.7</w:t>
        </w:r>
      </w:hyperlink>
      <w:r w:rsidRPr="00B40A77">
        <w:rPr>
          <w:rFonts w:cs="Times New Roman"/>
          <w:color w:val="000000" w:themeColor="text1"/>
        </w:rPr>
        <w:t>.</w:t>
      </w:r>
    </w:p>
    <w:p w14:paraId="1C2A3C98" w14:textId="4D581547" w:rsidR="00A351F3" w:rsidRPr="00B40A77" w:rsidRDefault="00947DEA" w:rsidP="00A351F3">
      <w:pPr>
        <w:pStyle w:val="Heading4"/>
        <w:rPr>
          <w:color w:val="000000" w:themeColor="text1"/>
        </w:rPr>
      </w:pPr>
      <w:bookmarkStart w:id="268" w:name="_Toc175238848"/>
      <w:r w:rsidRPr="00B40A77">
        <w:rPr>
          <w:color w:val="000000" w:themeColor="text1"/>
        </w:rPr>
        <w:t>3</w:t>
      </w:r>
      <w:r w:rsidR="00E13B81" w:rsidRPr="00B40A77">
        <w:rPr>
          <w:color w:val="000000" w:themeColor="text1"/>
        </w:rPr>
        <w:t>4</w:t>
      </w:r>
      <w:r w:rsidR="00A351F3" w:rsidRPr="00B40A77">
        <w:rPr>
          <w:color w:val="000000" w:themeColor="text1"/>
        </w:rPr>
        <w:t>.2—</w:t>
      </w:r>
      <w:r w:rsidR="0023389C" w:rsidRPr="00B40A77">
        <w:rPr>
          <w:color w:val="000000" w:themeColor="text1"/>
        </w:rPr>
        <w:t>Subpoena</w:t>
      </w:r>
      <w:bookmarkEnd w:id="268"/>
    </w:p>
    <w:p w14:paraId="1B634593" w14:textId="6A1B101A" w:rsidR="00A351F3" w:rsidRPr="00B40A77" w:rsidRDefault="00A351F3" w:rsidP="00A351F3">
      <w:pPr>
        <w:pStyle w:val="Hangindent"/>
        <w:rPr>
          <w:rFonts w:cs="Times New Roman"/>
          <w:color w:val="000000" w:themeColor="text1"/>
        </w:rPr>
      </w:pPr>
      <w:r w:rsidRPr="00B40A77">
        <w:rPr>
          <w:rFonts w:cs="Times New Roman"/>
          <w:color w:val="000000" w:themeColor="text1"/>
        </w:rPr>
        <w:t xml:space="preserve">Service of a </w:t>
      </w:r>
      <w:hyperlink w:anchor="_122.1—Interpretation" w:history="1">
        <w:r w:rsidR="0023389C" w:rsidRPr="00B40A77">
          <w:rPr>
            <w:rStyle w:val="Hyperlink"/>
            <w:color w:val="000000" w:themeColor="text1"/>
            <w:lang w:val="en-US"/>
          </w:rPr>
          <w:t>subpoena</w:t>
        </w:r>
      </w:hyperlink>
      <w:r w:rsidRPr="00B40A77">
        <w:rPr>
          <w:rFonts w:cs="Times New Roman"/>
          <w:color w:val="000000" w:themeColor="text1"/>
        </w:rPr>
        <w:t xml:space="preserve"> must be effected in accordance with </w:t>
      </w:r>
      <w:hyperlink w:anchor="_123.5—Service" w:history="1">
        <w:r w:rsidRPr="00B40A77">
          <w:rPr>
            <w:rStyle w:val="Hyperlink"/>
            <w:rFonts w:cs="Times New Roman"/>
            <w:color w:val="000000" w:themeColor="text1"/>
          </w:rPr>
          <w:t>rule 1</w:t>
        </w:r>
        <w:r w:rsidR="00E072E8" w:rsidRPr="00B40A77">
          <w:rPr>
            <w:rStyle w:val="Hyperlink"/>
            <w:rFonts w:cs="Times New Roman"/>
            <w:color w:val="000000" w:themeColor="text1"/>
          </w:rPr>
          <w:t>23.5</w:t>
        </w:r>
      </w:hyperlink>
      <w:r w:rsidRPr="00B40A77">
        <w:rPr>
          <w:rFonts w:cs="Times New Roman"/>
          <w:color w:val="000000" w:themeColor="text1"/>
        </w:rPr>
        <w:t>.</w:t>
      </w:r>
    </w:p>
    <w:p w14:paraId="4A70CE47" w14:textId="3BD77960" w:rsidR="00A351F3" w:rsidRPr="00B40A77" w:rsidRDefault="00947DEA" w:rsidP="00A351F3">
      <w:pPr>
        <w:pStyle w:val="Heading4"/>
        <w:rPr>
          <w:color w:val="000000" w:themeColor="text1"/>
        </w:rPr>
      </w:pPr>
      <w:bookmarkStart w:id="269" w:name="_Toc23776294"/>
      <w:bookmarkStart w:id="270" w:name="_Toc175238849"/>
      <w:bookmarkEnd w:id="266"/>
      <w:r w:rsidRPr="00B40A77">
        <w:rPr>
          <w:color w:val="000000" w:themeColor="text1"/>
        </w:rPr>
        <w:t>3</w:t>
      </w:r>
      <w:r w:rsidR="00E13B81" w:rsidRPr="00B40A77">
        <w:rPr>
          <w:color w:val="000000" w:themeColor="text1"/>
        </w:rPr>
        <w:t>4</w:t>
      </w:r>
      <w:r w:rsidR="00A351F3" w:rsidRPr="00B40A77">
        <w:rPr>
          <w:color w:val="000000" w:themeColor="text1"/>
        </w:rPr>
        <w:t>.3—</w:t>
      </w:r>
      <w:bookmarkEnd w:id="269"/>
      <w:r w:rsidR="00A351F3" w:rsidRPr="00B40A77">
        <w:rPr>
          <w:color w:val="000000" w:themeColor="text1"/>
        </w:rPr>
        <w:t>Other documents</w:t>
      </w:r>
      <w:bookmarkEnd w:id="270"/>
    </w:p>
    <w:p w14:paraId="64A64445" w14:textId="77777777" w:rsidR="00A351F3" w:rsidRPr="00B40A77" w:rsidRDefault="00A351F3" w:rsidP="00A351F3">
      <w:pPr>
        <w:pStyle w:val="Hangindent"/>
        <w:ind w:left="567" w:firstLine="0"/>
        <w:rPr>
          <w:rFonts w:cs="Times New Roman"/>
          <w:color w:val="000000" w:themeColor="text1"/>
        </w:rPr>
      </w:pPr>
      <w:r w:rsidRPr="00B40A77">
        <w:rPr>
          <w:rFonts w:cs="Times New Roman"/>
          <w:color w:val="000000" w:themeColor="text1"/>
        </w:rPr>
        <w:t>Unless the Court otherwise orders, a document that is to be served on a person in a proceeding must be served</w:t>
      </w:r>
      <w:r w:rsidRPr="00B40A77">
        <w:rPr>
          <w:color w:val="000000" w:themeColor="text1"/>
        </w:rPr>
        <w:t>—</w:t>
      </w:r>
    </w:p>
    <w:p w14:paraId="5A0D158E" w14:textId="752C02D7" w:rsidR="00131A80" w:rsidRPr="00B40A77" w:rsidRDefault="00131A80" w:rsidP="00131A80">
      <w:pPr>
        <w:pStyle w:val="Hangindent"/>
        <w:rPr>
          <w:color w:val="000000" w:themeColor="text1"/>
        </w:rPr>
      </w:pPr>
      <w:r w:rsidRPr="00B40A77">
        <w:rPr>
          <w:color w:val="000000" w:themeColor="text1"/>
        </w:rPr>
        <w:t>(a)</w:t>
      </w:r>
      <w:r w:rsidRPr="00B40A77">
        <w:rPr>
          <w:color w:val="000000" w:themeColor="text1"/>
        </w:rPr>
        <w:tab/>
        <w:t xml:space="preserve">if the person is to be regarded as represented by a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rPr>
        <w:t xml:space="preserve"> under </w:t>
      </w:r>
      <w:hyperlink w:anchor="_24.2—Law_firm_acting" w:history="1">
        <w:r w:rsidRPr="00B40A77">
          <w:rPr>
            <w:rStyle w:val="Hyperlink"/>
            <w:color w:val="000000" w:themeColor="text1"/>
          </w:rPr>
          <w:t>rule</w:t>
        </w:r>
        <w:r w:rsidR="00505080" w:rsidRPr="00B40A77">
          <w:rPr>
            <w:rStyle w:val="Hyperlink"/>
            <w:color w:val="000000" w:themeColor="text1"/>
          </w:rPr>
          <w:t> </w:t>
        </w:r>
        <w:r w:rsidR="00FA3F87" w:rsidRPr="00B40A77">
          <w:rPr>
            <w:rStyle w:val="Hyperlink"/>
            <w:color w:val="000000" w:themeColor="text1"/>
          </w:rPr>
          <w:t>24.2</w:t>
        </w:r>
      </w:hyperlink>
      <w:r w:rsidR="00FA3F87" w:rsidRPr="00B40A77">
        <w:rPr>
          <w:color w:val="000000" w:themeColor="text1"/>
        </w:rPr>
        <w:t xml:space="preserve"> </w:t>
      </w:r>
      <w:r w:rsidR="00376FC8" w:rsidRPr="00B40A77">
        <w:rPr>
          <w:color w:val="000000" w:themeColor="text1"/>
        </w:rPr>
        <w:t xml:space="preserve">or </w:t>
      </w:r>
      <w:hyperlink w:anchor="_25.2—SAPOL_Prosecution_Branch" w:history="1">
        <w:r w:rsidR="00376FC8" w:rsidRPr="00B40A77">
          <w:rPr>
            <w:rStyle w:val="Hyperlink"/>
            <w:color w:val="000000" w:themeColor="text1"/>
          </w:rPr>
          <w:t>rule</w:t>
        </w:r>
        <w:r w:rsidR="00505080" w:rsidRPr="00B40A77">
          <w:rPr>
            <w:rStyle w:val="Hyperlink"/>
            <w:color w:val="000000" w:themeColor="text1"/>
          </w:rPr>
          <w:t> </w:t>
        </w:r>
        <w:r w:rsidR="00376FC8" w:rsidRPr="00B40A77">
          <w:rPr>
            <w:rStyle w:val="Hyperlink"/>
            <w:color w:val="000000" w:themeColor="text1"/>
          </w:rPr>
          <w:t>25.2</w:t>
        </w:r>
      </w:hyperlink>
      <w:r w:rsidR="00376FC8" w:rsidRPr="00B40A77">
        <w:rPr>
          <w:color w:val="000000" w:themeColor="text1"/>
        </w:rPr>
        <w:t xml:space="preserve"> or </w:t>
      </w:r>
      <w:r w:rsidR="0070326A" w:rsidRPr="00B40A77">
        <w:rPr>
          <w:color w:val="000000" w:themeColor="text1"/>
        </w:rPr>
        <w:t xml:space="preserve">by </w:t>
      </w:r>
      <w:r w:rsidR="00376FC8" w:rsidRPr="00B40A77">
        <w:rPr>
          <w:color w:val="000000" w:themeColor="text1"/>
        </w:rPr>
        <w:t>a person or entity under</w:t>
      </w:r>
      <w:r w:rsidR="00B40AA5" w:rsidRPr="00B40A77">
        <w:rPr>
          <w:color w:val="000000" w:themeColor="text1"/>
        </w:rPr>
        <w:t xml:space="preserve"> </w:t>
      </w:r>
      <w:hyperlink w:anchor="_26.1—No_right_of" w:history="1">
        <w:r w:rsidR="00B40AA5" w:rsidRPr="00B40A77">
          <w:rPr>
            <w:rStyle w:val="Hyperlink"/>
            <w:color w:val="000000" w:themeColor="text1"/>
          </w:rPr>
          <w:t>rule 26.1</w:t>
        </w:r>
      </w:hyperlink>
      <w:r w:rsidR="00376FC8" w:rsidRPr="00B40A77">
        <w:rPr>
          <w:color w:val="000000" w:themeColor="text1"/>
        </w:rPr>
        <w:t xml:space="preserve">(3) or (4) </w:t>
      </w:r>
      <w:r w:rsidR="00FA3F87" w:rsidRPr="00B40A77">
        <w:rPr>
          <w:color w:val="000000" w:themeColor="text1"/>
        </w:rPr>
        <w:t xml:space="preserve">which has </w:t>
      </w:r>
      <w:r w:rsidRPr="00B40A77">
        <w:rPr>
          <w:color w:val="000000" w:themeColor="text1"/>
        </w:rPr>
        <w:t xml:space="preserve">an </w:t>
      </w:r>
      <w:hyperlink w:anchor="_2.1—Definitions" w:history="1">
        <w:r w:rsidRPr="00B40A77">
          <w:rPr>
            <w:rStyle w:val="Hyperlink"/>
            <w:color w:val="000000" w:themeColor="text1"/>
          </w:rPr>
          <w:t>address for service</w:t>
        </w:r>
      </w:hyperlink>
      <w:r w:rsidRPr="00B40A77">
        <w:rPr>
          <w:color w:val="000000" w:themeColor="text1"/>
        </w:rPr>
        <w:t xml:space="preserve"> in the proceedin</w:t>
      </w:r>
      <w:r w:rsidR="00FA3F87" w:rsidRPr="00B40A77">
        <w:rPr>
          <w:color w:val="000000" w:themeColor="text1"/>
        </w:rPr>
        <w:t xml:space="preserve">g—by service at that address; </w:t>
      </w:r>
    </w:p>
    <w:p w14:paraId="5995FA09" w14:textId="3475F6BB" w:rsidR="00A351F3" w:rsidRPr="00B40A77" w:rsidRDefault="00FA3F87" w:rsidP="00131A80">
      <w:pPr>
        <w:pStyle w:val="Hangindent"/>
        <w:rPr>
          <w:color w:val="000000" w:themeColor="text1"/>
        </w:rPr>
      </w:pPr>
      <w:r w:rsidRPr="00B40A77">
        <w:rPr>
          <w:color w:val="000000" w:themeColor="text1"/>
        </w:rPr>
        <w:t>(b</w:t>
      </w:r>
      <w:r w:rsidR="00A351F3" w:rsidRPr="00B40A77">
        <w:rPr>
          <w:color w:val="000000" w:themeColor="text1"/>
        </w:rPr>
        <w:t>)</w:t>
      </w:r>
      <w:r w:rsidR="00A351F3" w:rsidRPr="00B40A77">
        <w:rPr>
          <w:color w:val="000000" w:themeColor="text1"/>
        </w:rPr>
        <w:tab/>
        <w:t xml:space="preserve">if the person </w:t>
      </w:r>
      <w:r w:rsidRPr="00B40A77">
        <w:rPr>
          <w:color w:val="000000" w:themeColor="text1"/>
        </w:rPr>
        <w:t xml:space="preserve">otherwise </w:t>
      </w:r>
      <w:r w:rsidR="00A351F3" w:rsidRPr="00B40A77">
        <w:rPr>
          <w:color w:val="000000" w:themeColor="text1"/>
        </w:rPr>
        <w:t xml:space="preserve">has an </w:t>
      </w:r>
      <w:hyperlink w:anchor="_2.1—Definitions" w:history="1">
        <w:r w:rsidR="00A351F3" w:rsidRPr="00B40A77">
          <w:rPr>
            <w:rStyle w:val="Hyperlink"/>
            <w:color w:val="000000" w:themeColor="text1"/>
          </w:rPr>
          <w:t>address for service</w:t>
        </w:r>
      </w:hyperlink>
      <w:r w:rsidR="00A351F3" w:rsidRPr="00B40A77">
        <w:rPr>
          <w:color w:val="000000" w:themeColor="text1"/>
        </w:rPr>
        <w:t xml:space="preserve"> in the proceeding—by service at that address; or</w:t>
      </w:r>
    </w:p>
    <w:p w14:paraId="69A6057B" w14:textId="58854731" w:rsidR="00A351F3" w:rsidRPr="00B40A77" w:rsidRDefault="00FA3F87" w:rsidP="00A351F3">
      <w:pPr>
        <w:pStyle w:val="Hangindent"/>
        <w:rPr>
          <w:color w:val="000000" w:themeColor="text1"/>
        </w:rPr>
      </w:pPr>
      <w:r w:rsidRPr="00B40A77">
        <w:rPr>
          <w:color w:val="000000" w:themeColor="text1"/>
        </w:rPr>
        <w:t>(c</w:t>
      </w:r>
      <w:r w:rsidR="00A351F3" w:rsidRPr="00B40A77">
        <w:rPr>
          <w:color w:val="000000" w:themeColor="text1"/>
        </w:rPr>
        <w:t>)</w:t>
      </w:r>
      <w:r w:rsidR="00A351F3" w:rsidRPr="00B40A77">
        <w:rPr>
          <w:color w:val="000000" w:themeColor="text1"/>
        </w:rPr>
        <w:tab/>
        <w:t xml:space="preserve">in any other case—by </w:t>
      </w:r>
      <w:hyperlink w:anchor="_2.1—Definitions" w:history="1">
        <w:hyperlink w:anchor="_33.7—Original_service" w:history="1">
          <w:r w:rsidR="003A1982" w:rsidRPr="00B40A77">
            <w:rPr>
              <w:rStyle w:val="Hyperlink"/>
              <w:color w:val="000000" w:themeColor="text1"/>
            </w:rPr>
            <w:t>original service</w:t>
          </w:r>
        </w:hyperlink>
      </w:hyperlink>
      <w:r w:rsidR="00A351F3" w:rsidRPr="00B40A77">
        <w:rPr>
          <w:color w:val="000000" w:themeColor="text1"/>
        </w:rPr>
        <w:t>.</w:t>
      </w:r>
    </w:p>
    <w:p w14:paraId="212D3433" w14:textId="77777777" w:rsidR="00A351F3" w:rsidRPr="00B40A77" w:rsidRDefault="00A351F3" w:rsidP="00A351F3">
      <w:pPr>
        <w:pStyle w:val="Heading3"/>
        <w:rPr>
          <w:color w:val="000000" w:themeColor="text1"/>
        </w:rPr>
      </w:pPr>
      <w:bookmarkStart w:id="271" w:name="_Division_4—Address_for"/>
      <w:bookmarkStart w:id="272" w:name="_Toc175238850"/>
      <w:bookmarkEnd w:id="271"/>
      <w:r w:rsidRPr="00B40A77">
        <w:rPr>
          <w:color w:val="000000" w:themeColor="text1"/>
        </w:rPr>
        <w:t>Division 4—Address for service</w:t>
      </w:r>
      <w:bookmarkEnd w:id="272"/>
      <w:r w:rsidRPr="00B40A77">
        <w:rPr>
          <w:color w:val="000000" w:themeColor="text1"/>
        </w:rPr>
        <w:t xml:space="preserve"> </w:t>
      </w:r>
    </w:p>
    <w:p w14:paraId="5E384D4F" w14:textId="77777777" w:rsidR="00A351F3" w:rsidRPr="00B40A77" w:rsidRDefault="00A351F3" w:rsidP="00A351F3">
      <w:pPr>
        <w:pStyle w:val="Heading3"/>
        <w:rPr>
          <w:color w:val="000000" w:themeColor="text1"/>
        </w:rPr>
      </w:pPr>
      <w:bookmarkStart w:id="273" w:name="_Subdivision_1—Obligation_to"/>
      <w:bookmarkStart w:id="274" w:name="_Toc175238851"/>
      <w:bookmarkEnd w:id="273"/>
      <w:r w:rsidRPr="00B40A77">
        <w:rPr>
          <w:color w:val="000000" w:themeColor="text1"/>
        </w:rPr>
        <w:t>Subdivision 1—Obligation to provide address for service</w:t>
      </w:r>
      <w:bookmarkEnd w:id="274"/>
    </w:p>
    <w:p w14:paraId="30FAC629" w14:textId="19AACC7F" w:rsidR="00A351F3" w:rsidRPr="00B40A77" w:rsidRDefault="00947DEA" w:rsidP="00A351F3">
      <w:pPr>
        <w:pStyle w:val="Heading4"/>
        <w:rPr>
          <w:color w:val="000000" w:themeColor="text1"/>
        </w:rPr>
      </w:pPr>
      <w:bookmarkStart w:id="275" w:name="_44.1—Address_for_service"/>
      <w:bookmarkStart w:id="276" w:name="_35.1—Obligation_to_provide"/>
      <w:bookmarkStart w:id="277" w:name="_Toc175238852"/>
      <w:bookmarkStart w:id="278" w:name="_Hlk36034312"/>
      <w:bookmarkEnd w:id="275"/>
      <w:bookmarkEnd w:id="276"/>
      <w:r w:rsidRPr="00B40A77">
        <w:rPr>
          <w:color w:val="000000" w:themeColor="text1"/>
        </w:rPr>
        <w:t>3</w:t>
      </w:r>
      <w:r w:rsidR="00E13B81" w:rsidRPr="00B40A77">
        <w:rPr>
          <w:color w:val="000000" w:themeColor="text1"/>
        </w:rPr>
        <w:t>5</w:t>
      </w:r>
      <w:r w:rsidR="00A351F3" w:rsidRPr="00B40A77">
        <w:rPr>
          <w:color w:val="000000" w:themeColor="text1"/>
        </w:rPr>
        <w:t>.1—Obligation to provide address for service</w:t>
      </w:r>
      <w:bookmarkEnd w:id="277"/>
    </w:p>
    <w:p w14:paraId="1F90F368" w14:textId="706177E6" w:rsidR="00A351F3" w:rsidRPr="00B40A77" w:rsidRDefault="00A552B4" w:rsidP="00A351F3">
      <w:pPr>
        <w:pStyle w:val="Hangindent"/>
        <w:rPr>
          <w:color w:val="000000" w:themeColor="text1"/>
        </w:rPr>
      </w:pPr>
      <w:r w:rsidRPr="00B40A77">
        <w:rPr>
          <w:color w:val="000000" w:themeColor="text1"/>
          <w:lang w:val="en-US"/>
        </w:rPr>
        <w:t>(1)</w:t>
      </w:r>
      <w:r w:rsidRPr="00B40A77">
        <w:rPr>
          <w:color w:val="000000" w:themeColor="text1"/>
          <w:lang w:val="en-US"/>
        </w:rPr>
        <w:tab/>
        <w:t>A party</w:t>
      </w:r>
      <w:r w:rsidR="00A351F3" w:rsidRPr="00B40A77">
        <w:rPr>
          <w:color w:val="000000" w:themeColor="text1"/>
        </w:rPr>
        <w:t>—</w:t>
      </w:r>
    </w:p>
    <w:p w14:paraId="16D68E76" w14:textId="0C08FEE4"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for whom a current </w:t>
      </w:r>
      <w:hyperlink w:anchor="_2.1—Definitions" w:history="1">
        <w:r w:rsidRPr="00B40A77">
          <w:rPr>
            <w:rStyle w:val="Hyperlink"/>
            <w:color w:val="000000" w:themeColor="text1"/>
            <w:lang w:val="en-US"/>
          </w:rPr>
          <w:t>address for service</w:t>
        </w:r>
      </w:hyperlink>
      <w:r w:rsidRPr="00B40A77">
        <w:rPr>
          <w:rStyle w:val="Hyperlink"/>
          <w:color w:val="000000" w:themeColor="text1"/>
          <w:u w:val="none"/>
          <w:lang w:val="en-US"/>
        </w:rPr>
        <w:t xml:space="preserve"> has not been provided</w:t>
      </w:r>
      <w:r w:rsidRPr="00B40A77">
        <w:rPr>
          <w:color w:val="000000" w:themeColor="text1"/>
          <w:lang w:val="en-US"/>
        </w:rPr>
        <w:t>; and</w:t>
      </w:r>
    </w:p>
    <w:p w14:paraId="402408C1" w14:textId="153A8484"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who wishes to file a document in a proceeding or appellate proceeding,</w:t>
      </w:r>
    </w:p>
    <w:p w14:paraId="41709D52" w14:textId="0A04665D" w:rsidR="00A351F3" w:rsidRPr="00B40A77" w:rsidRDefault="00A351F3" w:rsidP="00A351F3">
      <w:pPr>
        <w:pStyle w:val="Doubleindentedpara"/>
        <w:rPr>
          <w:color w:val="000000" w:themeColor="text1"/>
        </w:rPr>
      </w:pPr>
      <w:r w:rsidRPr="00B40A77">
        <w:rPr>
          <w:color w:val="000000" w:themeColor="text1"/>
        </w:rPr>
        <w:t xml:space="preserve">must provide to the Court an </w:t>
      </w:r>
      <w:hyperlink w:anchor="_2.1—Definitions" w:history="1">
        <w:r w:rsidRPr="00B40A77">
          <w:rPr>
            <w:rStyle w:val="Hyperlink"/>
            <w:color w:val="000000" w:themeColor="text1"/>
          </w:rPr>
          <w:t>address for service</w:t>
        </w:r>
      </w:hyperlink>
      <w:r w:rsidR="00947DEA" w:rsidRPr="00B40A77">
        <w:rPr>
          <w:color w:val="000000" w:themeColor="text1"/>
        </w:rPr>
        <w:t xml:space="preserve"> in accordance with </w:t>
      </w:r>
      <w:hyperlink w:anchor="_35.2—Content_of_address" w:history="1">
        <w:r w:rsidR="00947DEA" w:rsidRPr="00B40A77">
          <w:rPr>
            <w:rStyle w:val="Hyperlink"/>
            <w:color w:val="000000" w:themeColor="text1"/>
          </w:rPr>
          <w:t>rule</w:t>
        </w:r>
        <w:r w:rsidR="00505080" w:rsidRPr="00B40A77">
          <w:rPr>
            <w:rStyle w:val="Hyperlink"/>
            <w:color w:val="000000" w:themeColor="text1"/>
          </w:rPr>
          <w:t> </w:t>
        </w:r>
        <w:r w:rsidR="00947DEA" w:rsidRPr="00B40A77">
          <w:rPr>
            <w:rStyle w:val="Hyperlink"/>
            <w:color w:val="000000" w:themeColor="text1"/>
          </w:rPr>
          <w:t>3</w:t>
        </w:r>
        <w:r w:rsidR="00814862" w:rsidRPr="00B40A77">
          <w:rPr>
            <w:rStyle w:val="Hyperlink"/>
            <w:color w:val="000000" w:themeColor="text1"/>
          </w:rPr>
          <w:t>5</w:t>
        </w:r>
        <w:r w:rsidRPr="00B40A77">
          <w:rPr>
            <w:rStyle w:val="Hyperlink"/>
            <w:color w:val="000000" w:themeColor="text1"/>
          </w:rPr>
          <w:t>.2</w:t>
        </w:r>
      </w:hyperlink>
      <w:r w:rsidRPr="00B40A77">
        <w:rPr>
          <w:color w:val="000000" w:themeColor="text1"/>
        </w:rPr>
        <w:t xml:space="preserve"> in the manner specified in subrule</w:t>
      </w:r>
      <w:r w:rsidR="00505080" w:rsidRPr="00B40A77">
        <w:rPr>
          <w:color w:val="000000" w:themeColor="text1"/>
        </w:rPr>
        <w:t> </w:t>
      </w:r>
      <w:r w:rsidRPr="00B40A77">
        <w:rPr>
          <w:color w:val="000000" w:themeColor="text1"/>
        </w:rPr>
        <w:t>(2) or</w:t>
      </w:r>
      <w:r w:rsidR="00505080" w:rsidRPr="00B40A77">
        <w:rPr>
          <w:color w:val="000000" w:themeColor="text1"/>
        </w:rPr>
        <w:t> </w:t>
      </w:r>
      <w:r w:rsidRPr="00B40A77">
        <w:rPr>
          <w:color w:val="000000" w:themeColor="text1"/>
        </w:rPr>
        <w:t>(3).</w:t>
      </w:r>
    </w:p>
    <w:p w14:paraId="18501807" w14:textId="65D7B0E2"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B50CA" w:rsidRPr="00B40A77">
        <w:rPr>
          <w:color w:val="000000" w:themeColor="text1"/>
          <w:lang w:val="en-US"/>
        </w:rPr>
        <w:t>If a</w:t>
      </w:r>
      <w:r w:rsidRPr="00B40A77">
        <w:rPr>
          <w:color w:val="000000" w:themeColor="text1"/>
          <w:lang w:val="en-US"/>
        </w:rPr>
        <w:t xml:space="preserve"> party is initiating a proceeding or appellate proceeding, the party must provide an </w:t>
      </w:r>
      <w:hyperlink w:anchor="_2.1—Definitions" w:history="1">
        <w:r w:rsidRPr="00B40A77">
          <w:rPr>
            <w:rStyle w:val="Hyperlink"/>
            <w:color w:val="000000" w:themeColor="text1"/>
            <w:lang w:val="en-US"/>
          </w:rPr>
          <w:t>address for service</w:t>
        </w:r>
      </w:hyperlink>
      <w:r w:rsidRPr="00B40A77">
        <w:rPr>
          <w:color w:val="000000" w:themeColor="text1"/>
        </w:rPr>
        <w:t>—</w:t>
      </w:r>
    </w:p>
    <w:p w14:paraId="53B671B9" w14:textId="72AA2006" w:rsidR="00A351F3" w:rsidRPr="00B40A77" w:rsidRDefault="00A351F3" w:rsidP="00A351F3">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if the initiating document is lodged using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—by entering the</w:t>
      </w:r>
      <w:r w:rsidR="00691176" w:rsidRPr="00B40A77">
        <w:rPr>
          <w:color w:val="000000" w:themeColor="text1"/>
        </w:rPr>
        <w:t xml:space="preserve"> </w:t>
      </w:r>
      <w:hyperlink w:anchor="_2.1—Definitions" w:history="1">
        <w:r w:rsidR="00691176" w:rsidRPr="00B40A77">
          <w:rPr>
            <w:rStyle w:val="Hyperlink"/>
            <w:color w:val="000000" w:themeColor="text1"/>
            <w:lang w:val="en-US"/>
          </w:rPr>
          <w:t>address for service</w:t>
        </w:r>
      </w:hyperlink>
      <w:r w:rsidRPr="00B40A77">
        <w:rPr>
          <w:color w:val="000000" w:themeColor="text1"/>
          <w:lang w:val="en-US"/>
        </w:rPr>
        <w:t xml:space="preserve"> details in the course of initiating the proceeding; </w:t>
      </w:r>
    </w:p>
    <w:p w14:paraId="1935B45B" w14:textId="7E79C6A0" w:rsidR="00A351F3" w:rsidRPr="00B40A77" w:rsidRDefault="00A351F3" w:rsidP="00AA301B">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if the initiating document is lodged without using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 xml:space="preserve">—by </w:t>
      </w:r>
      <w:r w:rsidRPr="00B40A77">
        <w:rPr>
          <w:color w:val="000000" w:themeColor="text1"/>
          <w:lang w:val="en-US"/>
        </w:rPr>
        <w:t xml:space="preserve">causing the </w:t>
      </w:r>
      <w:hyperlink w:anchor="_2.1—Definitions" w:history="1">
        <w:r w:rsidR="00691176" w:rsidRPr="00B40A77">
          <w:rPr>
            <w:rStyle w:val="Hyperlink"/>
            <w:color w:val="000000" w:themeColor="text1"/>
            <w:lang w:val="en-US"/>
          </w:rPr>
          <w:t>address for service</w:t>
        </w:r>
      </w:hyperlink>
      <w:r w:rsidRPr="00B40A77">
        <w:rPr>
          <w:color w:val="000000" w:themeColor="text1"/>
          <w:lang w:val="en-US"/>
        </w:rPr>
        <w:t xml:space="preserve"> details to be displayed on the initiating document.</w:t>
      </w:r>
    </w:p>
    <w:p w14:paraId="3C54BAFC" w14:textId="77777777" w:rsidR="00A351F3" w:rsidRPr="00B40A77" w:rsidRDefault="00A351F3" w:rsidP="00E13A93">
      <w:pPr>
        <w:pStyle w:val="NoteHeader"/>
        <w:keepNext/>
        <w:ind w:left="1701"/>
        <w:rPr>
          <w:color w:val="000000" w:themeColor="text1"/>
        </w:rPr>
      </w:pPr>
      <w:r w:rsidRPr="00B40A77">
        <w:rPr>
          <w:color w:val="000000" w:themeColor="text1"/>
        </w:rPr>
        <w:t>Note—</w:t>
      </w:r>
    </w:p>
    <w:p w14:paraId="19962AAB" w14:textId="20C5D55F" w:rsidR="00A351F3" w:rsidRPr="00B40A77" w:rsidRDefault="00A351F3" w:rsidP="00452733">
      <w:pPr>
        <w:pStyle w:val="NoteText"/>
        <w:ind w:left="1985"/>
        <w:rPr>
          <w:color w:val="000000" w:themeColor="text1"/>
          <w:lang w:val="en-US"/>
        </w:rPr>
      </w:pPr>
      <w:r w:rsidRPr="00B40A77">
        <w:rPr>
          <w:color w:val="000000" w:themeColor="text1"/>
        </w:rPr>
        <w:t>The initiating document is an Information for a proceeding</w:t>
      </w:r>
      <w:r w:rsidR="0070326A" w:rsidRPr="00B40A77">
        <w:rPr>
          <w:color w:val="000000" w:themeColor="text1"/>
        </w:rPr>
        <w:t xml:space="preserve">; </w:t>
      </w:r>
      <w:r w:rsidRPr="00B40A77">
        <w:rPr>
          <w:color w:val="000000" w:themeColor="text1"/>
        </w:rPr>
        <w:t xml:space="preserve">a Notice of Appeal or </w:t>
      </w:r>
      <w:r w:rsidR="00F777FB" w:rsidRPr="00B40A77">
        <w:rPr>
          <w:color w:val="000000" w:themeColor="text1"/>
        </w:rPr>
        <w:t xml:space="preserve">Notice of Review or </w:t>
      </w:r>
      <w:r w:rsidRPr="00B40A77">
        <w:rPr>
          <w:color w:val="000000" w:themeColor="text1"/>
        </w:rPr>
        <w:t xml:space="preserve">Notice of Case Stated </w:t>
      </w:r>
      <w:r w:rsidR="003B50CA" w:rsidRPr="00B40A77">
        <w:rPr>
          <w:color w:val="000000" w:themeColor="text1"/>
        </w:rPr>
        <w:t xml:space="preserve">or Notice of Petition for Mercy </w:t>
      </w:r>
      <w:r w:rsidRPr="00B40A77">
        <w:rPr>
          <w:color w:val="000000" w:themeColor="text1"/>
        </w:rPr>
        <w:t>for an appellate proceeding</w:t>
      </w:r>
      <w:r w:rsidR="0070326A" w:rsidRPr="00B40A77">
        <w:rPr>
          <w:color w:val="000000" w:themeColor="text1"/>
        </w:rPr>
        <w:t xml:space="preserve">; and an Originating Application for a new proceeding initiated under </w:t>
      </w:r>
      <w:hyperlink w:anchor="_Chapter_8—Variation_and" w:history="1">
        <w:r w:rsidR="0070326A" w:rsidRPr="00B40A77">
          <w:rPr>
            <w:rStyle w:val="Hyperlink"/>
            <w:color w:val="000000" w:themeColor="text1"/>
          </w:rPr>
          <w:t>Chapter</w:t>
        </w:r>
        <w:r w:rsidR="00582B40" w:rsidRPr="00B40A77">
          <w:rPr>
            <w:rStyle w:val="Hyperlink"/>
            <w:color w:val="000000" w:themeColor="text1"/>
          </w:rPr>
          <w:t> </w:t>
        </w:r>
        <w:r w:rsidR="0070326A" w:rsidRPr="00B40A77">
          <w:rPr>
            <w:rStyle w:val="Hyperlink"/>
            <w:color w:val="000000" w:themeColor="text1"/>
          </w:rPr>
          <w:t>8</w:t>
        </w:r>
      </w:hyperlink>
      <w:r w:rsidRPr="00B40A77">
        <w:rPr>
          <w:color w:val="000000" w:themeColor="text1"/>
        </w:rPr>
        <w:t>.</w:t>
      </w:r>
    </w:p>
    <w:p w14:paraId="30EFA2C9" w14:textId="6097710E" w:rsidR="00A351F3" w:rsidRPr="00B40A77" w:rsidRDefault="003B50CA"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If a</w:t>
      </w:r>
      <w:r w:rsidR="00A351F3" w:rsidRPr="00B40A77">
        <w:rPr>
          <w:color w:val="000000" w:themeColor="text1"/>
          <w:lang w:val="en-US"/>
        </w:rPr>
        <w:t xml:space="preserve"> party is filing a document in an existing proceeding or appellate proceeding, the party must provide an </w:t>
      </w:r>
      <w:hyperlink w:anchor="_2.1—Definitions" w:history="1">
        <w:r w:rsidR="00A351F3" w:rsidRPr="00B40A77">
          <w:rPr>
            <w:rStyle w:val="Hyperlink"/>
            <w:color w:val="000000" w:themeColor="text1"/>
            <w:lang w:val="en-US"/>
          </w:rPr>
          <w:t>address for service</w:t>
        </w:r>
      </w:hyperlink>
      <w:r w:rsidR="00A351F3" w:rsidRPr="00B40A77">
        <w:rPr>
          <w:color w:val="000000" w:themeColor="text1"/>
        </w:rPr>
        <w:t>—</w:t>
      </w:r>
    </w:p>
    <w:p w14:paraId="7444C97D" w14:textId="1EE9F5B9"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document is lodged using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 xml:space="preserve">—by entering the </w:t>
      </w:r>
      <w:hyperlink w:anchor="_2.1—Definitions" w:history="1">
        <w:r w:rsidR="00691176" w:rsidRPr="00B40A77">
          <w:rPr>
            <w:rStyle w:val="Hyperlink"/>
            <w:color w:val="000000" w:themeColor="text1"/>
            <w:lang w:val="en-US"/>
          </w:rPr>
          <w:t>address for service</w:t>
        </w:r>
      </w:hyperlink>
      <w:r w:rsidRPr="00B40A77">
        <w:rPr>
          <w:color w:val="000000" w:themeColor="text1"/>
          <w:lang w:val="en-US"/>
        </w:rPr>
        <w:t xml:space="preserve"> details,</w:t>
      </w:r>
      <w:r w:rsidRPr="00B40A77">
        <w:rPr>
          <w:color w:val="000000" w:themeColor="text1"/>
        </w:rPr>
        <w:t xml:space="preserve"> obtaining approved access to the case and causing a notice of acting in the prescribed form to be generated</w:t>
      </w:r>
      <w:r w:rsidRPr="00B40A77">
        <w:rPr>
          <w:color w:val="000000" w:themeColor="text1"/>
          <w:lang w:val="en-US"/>
        </w:rPr>
        <w:t>; or</w:t>
      </w:r>
    </w:p>
    <w:p w14:paraId="0DF2C3C3" w14:textId="10848F54" w:rsidR="00A351F3" w:rsidRPr="00B40A77" w:rsidRDefault="00A351F3" w:rsidP="00AA301B">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if the document is lodged without using the </w:t>
      </w:r>
      <w:hyperlink w:anchor="_22.1—Establishment_and_operation" w:history="1">
        <w:r w:rsidR="00E81F20" w:rsidRPr="00B40A77">
          <w:rPr>
            <w:rStyle w:val="Hyperlink"/>
            <w:color w:val="000000" w:themeColor="text1"/>
            <w:lang w:val="en-US"/>
          </w:rPr>
          <w:t>Electronic System</w:t>
        </w:r>
      </w:hyperlink>
      <w:r w:rsidRPr="00B40A77">
        <w:rPr>
          <w:color w:val="000000" w:themeColor="text1"/>
        </w:rPr>
        <w:t xml:space="preserve">—by filing a notice of acting in the prescribed form. </w:t>
      </w:r>
    </w:p>
    <w:p w14:paraId="354CD35A" w14:textId="77777777" w:rsidR="00A351F3" w:rsidRPr="00B40A77" w:rsidRDefault="00A351F3" w:rsidP="00505080">
      <w:pPr>
        <w:pStyle w:val="NoteHeader"/>
        <w:keepNext/>
        <w:ind w:left="1701"/>
        <w:rPr>
          <w:color w:val="000000" w:themeColor="text1"/>
        </w:rPr>
      </w:pPr>
      <w:r w:rsidRPr="00B40A77">
        <w:rPr>
          <w:color w:val="000000" w:themeColor="text1"/>
        </w:rPr>
        <w:t>Prescribed form—</w:t>
      </w:r>
    </w:p>
    <w:p w14:paraId="5F54F06C" w14:textId="487B4A2E" w:rsidR="00A351F3" w:rsidRPr="00B40A77" w:rsidRDefault="00A351F3" w:rsidP="008E5410">
      <w:pPr>
        <w:pStyle w:val="NoteText"/>
        <w:ind w:left="1985"/>
        <w:rPr>
          <w:color w:val="000000" w:themeColor="text1"/>
        </w:rPr>
      </w:pPr>
      <w:r w:rsidRPr="00B40A77">
        <w:rPr>
          <w:color w:val="000000" w:themeColor="text1"/>
        </w:rPr>
        <w:t>Form 1</w:t>
      </w:r>
      <w:r w:rsidR="007F0A8D" w:rsidRPr="00B40A77">
        <w:rPr>
          <w:color w:val="000000" w:themeColor="text1"/>
        </w:rPr>
        <w:t>4</w:t>
      </w:r>
      <w:r w:rsidRPr="00B40A77">
        <w:rPr>
          <w:color w:val="000000" w:themeColor="text1"/>
        </w:rPr>
        <w:t xml:space="preserve"> </w:t>
      </w:r>
      <w:hyperlink r:id="rId37" w:history="1">
        <w:r w:rsidRPr="00B40A77">
          <w:rPr>
            <w:rStyle w:val="Hyperlink"/>
            <w:color w:val="000000" w:themeColor="text1"/>
          </w:rPr>
          <w:t>Notice of Acting</w:t>
        </w:r>
      </w:hyperlink>
    </w:p>
    <w:bookmarkEnd w:id="278"/>
    <w:p w14:paraId="58983912" w14:textId="67057AA3" w:rsidR="00A351F3" w:rsidRPr="00B40A77" w:rsidRDefault="00A351F3" w:rsidP="00A351F3">
      <w:pPr>
        <w:pStyle w:val="Hangindent"/>
        <w:rPr>
          <w:color w:val="000000" w:themeColor="text1"/>
        </w:rPr>
      </w:pPr>
      <w:r w:rsidRPr="00B40A77">
        <w:rPr>
          <w:color w:val="000000" w:themeColor="text1"/>
          <w:lang w:val="en-US"/>
        </w:rPr>
        <w:t>(4)</w:t>
      </w:r>
      <w:r w:rsidRPr="00B40A77">
        <w:rPr>
          <w:color w:val="000000" w:themeColor="text1"/>
          <w:lang w:val="en-US"/>
        </w:rPr>
        <w:tab/>
        <w:t>A party</w:t>
      </w:r>
      <w:r w:rsidRPr="00B40A77">
        <w:rPr>
          <w:color w:val="000000" w:themeColor="text1"/>
        </w:rPr>
        <w:t>—</w:t>
      </w:r>
    </w:p>
    <w:p w14:paraId="62D25F93" w14:textId="3CD9972F"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for whom a current </w:t>
      </w:r>
      <w:hyperlink w:anchor="_2.1—Definitions" w:history="1">
        <w:r w:rsidRPr="00B40A77">
          <w:rPr>
            <w:rStyle w:val="Hyperlink"/>
            <w:color w:val="000000" w:themeColor="text1"/>
            <w:lang w:val="en-US"/>
          </w:rPr>
          <w:t>address for service</w:t>
        </w:r>
      </w:hyperlink>
      <w:r w:rsidRPr="00B40A77">
        <w:rPr>
          <w:rStyle w:val="Hyperlink"/>
          <w:color w:val="000000" w:themeColor="text1"/>
          <w:u w:val="none"/>
          <w:lang w:val="en-US"/>
        </w:rPr>
        <w:t xml:space="preserve"> has not been provided</w:t>
      </w:r>
      <w:r w:rsidRPr="00B40A77">
        <w:rPr>
          <w:color w:val="000000" w:themeColor="text1"/>
          <w:lang w:val="en-US"/>
        </w:rPr>
        <w:t xml:space="preserve">; and </w:t>
      </w:r>
    </w:p>
    <w:p w14:paraId="3BA963CB" w14:textId="0289C310"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who appears at a </w:t>
      </w:r>
      <w:hyperlink w:anchor="_2.1—Definitions" w:history="1">
        <w:r w:rsidR="00DB0A56" w:rsidRPr="00B40A77">
          <w:rPr>
            <w:rStyle w:val="Hyperlink"/>
            <w:color w:val="000000" w:themeColor="text1"/>
          </w:rPr>
          <w:t>hearing</w:t>
        </w:r>
      </w:hyperlink>
      <w:r w:rsidR="003B50CA" w:rsidRPr="00B40A77">
        <w:rPr>
          <w:color w:val="000000" w:themeColor="text1"/>
          <w:lang w:val="en-US"/>
        </w:rPr>
        <w:t xml:space="preserve"> </w:t>
      </w:r>
      <w:r w:rsidRPr="00B40A77">
        <w:rPr>
          <w:color w:val="000000" w:themeColor="text1"/>
          <w:lang w:val="en-US"/>
        </w:rPr>
        <w:t>or trial of a proceeding or appellate proceeding,</w:t>
      </w:r>
    </w:p>
    <w:p w14:paraId="6C6630F8" w14:textId="5FCF5D02" w:rsidR="00A351F3" w:rsidRPr="00B40A77" w:rsidRDefault="00A351F3" w:rsidP="00A351F3">
      <w:pPr>
        <w:pStyle w:val="Doubleindentedpara"/>
        <w:rPr>
          <w:color w:val="000000" w:themeColor="text1"/>
        </w:rPr>
      </w:pPr>
      <w:r w:rsidRPr="00B40A77">
        <w:rPr>
          <w:color w:val="000000" w:themeColor="text1"/>
        </w:rPr>
        <w:t>must at or before the appea</w:t>
      </w:r>
      <w:r w:rsidR="003B50CA" w:rsidRPr="00B40A77">
        <w:rPr>
          <w:color w:val="000000" w:themeColor="text1"/>
        </w:rPr>
        <w:t>rance provide to the Court the details</w:t>
      </w:r>
      <w:r w:rsidRPr="00B40A77">
        <w:rPr>
          <w:color w:val="000000" w:themeColor="text1"/>
        </w:rPr>
        <w:t xml:space="preserve"> required to be included in an </w:t>
      </w:r>
      <w:hyperlink w:anchor="_2.1—Definitions" w:history="1">
        <w:r w:rsidRPr="00B40A77">
          <w:rPr>
            <w:rStyle w:val="Hyperlink"/>
            <w:color w:val="000000" w:themeColor="text1"/>
          </w:rPr>
          <w:t>address for service</w:t>
        </w:r>
      </w:hyperlink>
      <w:r w:rsidR="003B50CA" w:rsidRPr="00B40A77">
        <w:rPr>
          <w:color w:val="000000" w:themeColor="text1"/>
        </w:rPr>
        <w:t xml:space="preserve"> in accordance with </w:t>
      </w:r>
      <w:hyperlink w:anchor="_35.2—Content_of_address" w:history="1">
        <w:r w:rsidR="00EB06AB" w:rsidRPr="00B40A77">
          <w:rPr>
            <w:rStyle w:val="Hyperlink"/>
            <w:color w:val="000000" w:themeColor="text1"/>
          </w:rPr>
          <w:t>rule 35.2</w:t>
        </w:r>
      </w:hyperlink>
      <w:r w:rsidRPr="00B40A77">
        <w:rPr>
          <w:color w:val="000000" w:themeColor="text1"/>
        </w:rPr>
        <w:t>.</w:t>
      </w:r>
    </w:p>
    <w:p w14:paraId="27718C36" w14:textId="2059E5BE" w:rsidR="00A351F3" w:rsidRPr="00B40A77" w:rsidRDefault="003B50CA" w:rsidP="00A351F3">
      <w:pPr>
        <w:pStyle w:val="Heading4"/>
        <w:rPr>
          <w:color w:val="000000" w:themeColor="text1"/>
        </w:rPr>
      </w:pPr>
      <w:bookmarkStart w:id="279" w:name="_35.2—Content_of_address"/>
      <w:bookmarkStart w:id="280" w:name="_Toc175238853"/>
      <w:bookmarkEnd w:id="279"/>
      <w:r w:rsidRPr="00B40A77">
        <w:rPr>
          <w:color w:val="000000" w:themeColor="text1"/>
        </w:rPr>
        <w:t>3</w:t>
      </w:r>
      <w:r w:rsidR="00E13B81" w:rsidRPr="00B40A77">
        <w:rPr>
          <w:color w:val="000000" w:themeColor="text1"/>
        </w:rPr>
        <w:t>5</w:t>
      </w:r>
      <w:r w:rsidR="00A351F3" w:rsidRPr="00B40A77">
        <w:rPr>
          <w:color w:val="000000" w:themeColor="text1"/>
        </w:rPr>
        <w:t>.2—Content of address for service</w:t>
      </w:r>
      <w:bookmarkEnd w:id="280"/>
    </w:p>
    <w:p w14:paraId="4A1CBFAB" w14:textId="31300AB1"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Subject to subrule</w:t>
      </w:r>
      <w:r w:rsidR="005E2BF4" w:rsidRPr="00B40A77">
        <w:rPr>
          <w:color w:val="000000" w:themeColor="text1"/>
          <w:lang w:val="en-US"/>
        </w:rPr>
        <w:t>s</w:t>
      </w:r>
      <w:r w:rsidR="001B1E8A" w:rsidRPr="00B40A77">
        <w:rPr>
          <w:color w:val="000000" w:themeColor="text1"/>
          <w:lang w:val="en-US"/>
        </w:rPr>
        <w:t> </w:t>
      </w:r>
      <w:r w:rsidRPr="00B40A77">
        <w:rPr>
          <w:color w:val="000000" w:themeColor="text1"/>
          <w:lang w:val="en-US"/>
        </w:rPr>
        <w:t>(2)</w:t>
      </w:r>
      <w:r w:rsidR="005E2BF4" w:rsidRPr="00B40A77">
        <w:rPr>
          <w:color w:val="000000" w:themeColor="text1"/>
          <w:lang w:val="en-US"/>
        </w:rPr>
        <w:t xml:space="preserve"> and</w:t>
      </w:r>
      <w:r w:rsidR="001B1E8A" w:rsidRPr="00B40A77">
        <w:rPr>
          <w:color w:val="000000" w:themeColor="text1"/>
          <w:lang w:val="en-US"/>
        </w:rPr>
        <w:t> </w:t>
      </w:r>
      <w:r w:rsidR="005E2BF4" w:rsidRPr="00B40A77">
        <w:rPr>
          <w:color w:val="000000" w:themeColor="text1"/>
          <w:lang w:val="en-US"/>
        </w:rPr>
        <w:t>(3)</w:t>
      </w:r>
      <w:r w:rsidRPr="00B40A77">
        <w:rPr>
          <w:color w:val="000000" w:themeColor="text1"/>
          <w:lang w:val="en-US"/>
        </w:rPr>
        <w:t xml:space="preserve">, an </w:t>
      </w:r>
      <w:hyperlink w:anchor="_2.1—Definitions" w:history="1">
        <w:r w:rsidRPr="00B40A77">
          <w:rPr>
            <w:rStyle w:val="Hyperlink"/>
            <w:b/>
            <w:i/>
            <w:color w:val="000000" w:themeColor="text1"/>
            <w:lang w:val="en-US"/>
          </w:rPr>
          <w:t>address for service</w:t>
        </w:r>
      </w:hyperlink>
      <w:r w:rsidRPr="00B40A77">
        <w:rPr>
          <w:color w:val="000000" w:themeColor="text1"/>
          <w:lang w:val="en-US"/>
        </w:rPr>
        <w:t xml:space="preserve"> must include</w:t>
      </w:r>
      <w:r w:rsidRPr="00B40A77">
        <w:rPr>
          <w:color w:val="000000" w:themeColor="text1"/>
        </w:rPr>
        <w:t>—</w:t>
      </w:r>
    </w:p>
    <w:p w14:paraId="4BF1EAF9" w14:textId="1B16F089"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w:t>
      </w:r>
      <w:hyperlink w:anchor="_2.1—Definitions" w:history="1">
        <w:r w:rsidRPr="00B40A77">
          <w:rPr>
            <w:rStyle w:val="Hyperlink"/>
            <w:color w:val="000000" w:themeColor="text1"/>
            <w:u w:val="none"/>
            <w:lang w:val="en-US"/>
          </w:rPr>
          <w:t>party title</w:t>
        </w:r>
      </w:hyperlink>
      <w:r w:rsidRPr="00B40A77">
        <w:rPr>
          <w:color w:val="000000" w:themeColor="text1"/>
          <w:lang w:val="en-US"/>
        </w:rPr>
        <w:t xml:space="preserve"> and full name of the party;</w:t>
      </w:r>
    </w:p>
    <w:p w14:paraId="1AD022DC" w14:textId="20D3D660"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whether the party is represented by a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US"/>
        </w:rPr>
        <w:t xml:space="preserve"> and, if so, the name of the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US"/>
        </w:rPr>
        <w:t xml:space="preserve"> and</w:t>
      </w:r>
      <w:r w:rsidR="00376FC8" w:rsidRPr="00B40A77">
        <w:rPr>
          <w:color w:val="000000" w:themeColor="text1"/>
          <w:lang w:val="en-US"/>
        </w:rPr>
        <w:t xml:space="preserve">, subject to </w:t>
      </w:r>
      <w:hyperlink w:anchor="_25.3—Responsible_solicitor" w:history="1">
        <w:r w:rsidR="00376FC8" w:rsidRPr="00B40A77">
          <w:rPr>
            <w:rStyle w:val="Hyperlink"/>
            <w:color w:val="000000" w:themeColor="text1"/>
            <w:lang w:val="en-US"/>
          </w:rPr>
          <w:t>rule 25.3</w:t>
        </w:r>
      </w:hyperlink>
      <w:r w:rsidR="00A6536B" w:rsidRPr="00B40A77">
        <w:rPr>
          <w:color w:val="000000" w:themeColor="text1"/>
          <w:lang w:val="en-US"/>
        </w:rPr>
        <w:t>,</w:t>
      </w:r>
      <w:r w:rsidRPr="00B40A77">
        <w:rPr>
          <w:color w:val="000000" w:themeColor="text1"/>
          <w:lang w:val="en-US"/>
        </w:rPr>
        <w:t xml:space="preserve"> of the individual </w:t>
      </w:r>
      <w:hyperlink w:anchor="_2.1—Definitions" w:history="1">
        <w:r w:rsidRPr="00B40A77">
          <w:rPr>
            <w:rStyle w:val="Hyperlink"/>
            <w:color w:val="000000" w:themeColor="text1"/>
            <w:lang w:val="en-US"/>
          </w:rPr>
          <w:t>responsible solicitor</w:t>
        </w:r>
      </w:hyperlink>
      <w:r w:rsidRPr="00B40A77">
        <w:rPr>
          <w:color w:val="000000" w:themeColor="text1"/>
          <w:lang w:val="en-US"/>
        </w:rPr>
        <w:t>;</w:t>
      </w:r>
    </w:p>
    <w:p w14:paraId="3DD60194" w14:textId="77777777"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a physical address at which documents in or in relation to the proceeding can be served which must</w:t>
      </w:r>
      <w:r w:rsidRPr="00B40A77">
        <w:rPr>
          <w:color w:val="000000" w:themeColor="text1"/>
        </w:rPr>
        <w:t>—</w:t>
      </w:r>
    </w:p>
    <w:p w14:paraId="56075252" w14:textId="77777777" w:rsidR="00A351F3" w:rsidRPr="00B40A77" w:rsidRDefault="00A351F3" w:rsidP="00A351F3">
      <w:pPr>
        <w:pStyle w:val="Triplehangindent"/>
        <w:rPr>
          <w:color w:val="000000" w:themeColor="text1"/>
        </w:rPr>
      </w:pPr>
      <w:r w:rsidRPr="00B40A77">
        <w:rPr>
          <w:color w:val="000000" w:themeColor="text1"/>
        </w:rPr>
        <w:t>(i)</w:t>
      </w:r>
      <w:r w:rsidRPr="00B40A77">
        <w:rPr>
          <w:color w:val="000000" w:themeColor="text1"/>
        </w:rPr>
        <w:tab/>
        <w:t>if the party does not provide an email address—be in South Australia; or</w:t>
      </w:r>
    </w:p>
    <w:p w14:paraId="71EDFF89" w14:textId="77777777" w:rsidR="00A351F3" w:rsidRPr="00B40A77" w:rsidRDefault="00A351F3" w:rsidP="00A351F3">
      <w:pPr>
        <w:pStyle w:val="Triplehangindent"/>
        <w:rPr>
          <w:color w:val="000000" w:themeColor="text1"/>
        </w:rPr>
      </w:pPr>
      <w:r w:rsidRPr="00B40A77">
        <w:rPr>
          <w:color w:val="000000" w:themeColor="text1"/>
        </w:rPr>
        <w:t>(ii)</w:t>
      </w:r>
      <w:r w:rsidRPr="00B40A77">
        <w:rPr>
          <w:color w:val="000000" w:themeColor="text1"/>
        </w:rPr>
        <w:tab/>
        <w:t>if the party provides an email address—be in Australia;</w:t>
      </w:r>
    </w:p>
    <w:p w14:paraId="52710C40" w14:textId="77777777"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an email address at which documents in or in relation to the proceeding can be served; and</w:t>
      </w:r>
    </w:p>
    <w:p w14:paraId="55EFD93A" w14:textId="79D3F551" w:rsidR="00A351F3" w:rsidRPr="00B40A77" w:rsidRDefault="00A351F3" w:rsidP="00AA301B">
      <w:pPr>
        <w:pStyle w:val="Doublehangindent"/>
        <w:keepNext/>
        <w:rPr>
          <w:color w:val="000000" w:themeColor="text1"/>
          <w:lang w:val="en-US"/>
        </w:rPr>
      </w:pPr>
      <w:r w:rsidRPr="00B40A77">
        <w:rPr>
          <w:color w:val="000000" w:themeColor="text1"/>
          <w:lang w:val="en-US"/>
        </w:rPr>
        <w:t>(e)</w:t>
      </w:r>
      <w:r w:rsidRPr="00B40A77">
        <w:rPr>
          <w:color w:val="000000" w:themeColor="text1"/>
          <w:lang w:val="en-US"/>
        </w:rPr>
        <w:tab/>
        <w:t xml:space="preserve">a telephone number at which the party or, if represented, the party’s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US"/>
        </w:rPr>
        <w:t xml:space="preserve"> can be contacted.</w:t>
      </w:r>
    </w:p>
    <w:p w14:paraId="6D6D6813" w14:textId="77777777" w:rsidR="00A351F3" w:rsidRPr="00B40A77" w:rsidRDefault="00A351F3" w:rsidP="004C2422">
      <w:pPr>
        <w:pStyle w:val="NoteHeader"/>
        <w:keepNext/>
        <w:ind w:left="1701"/>
        <w:rPr>
          <w:color w:val="000000" w:themeColor="text1"/>
        </w:rPr>
      </w:pPr>
      <w:r w:rsidRPr="00B40A77">
        <w:rPr>
          <w:color w:val="000000" w:themeColor="text1"/>
        </w:rPr>
        <w:t>Note—</w:t>
      </w:r>
    </w:p>
    <w:p w14:paraId="193E9139" w14:textId="53771977" w:rsidR="00A351F3" w:rsidRPr="00B40A77" w:rsidRDefault="00A351F3" w:rsidP="00452733">
      <w:pPr>
        <w:pStyle w:val="NoteText"/>
        <w:ind w:left="1985"/>
        <w:rPr>
          <w:color w:val="000000" w:themeColor="text1"/>
          <w:lang w:val="en-US"/>
        </w:rPr>
      </w:pPr>
      <w:r w:rsidRPr="00B40A77">
        <w:rPr>
          <w:color w:val="000000" w:themeColor="text1"/>
        </w:rPr>
        <w:t xml:space="preserve">If a document is filed by a law firm, the law firm will need to be identified by an L code and the </w:t>
      </w:r>
      <w:hyperlink w:anchor="_2.1—Definitions" w:history="1">
        <w:r w:rsidRPr="00B40A77">
          <w:rPr>
            <w:rStyle w:val="Hyperlink"/>
            <w:color w:val="000000" w:themeColor="text1"/>
          </w:rPr>
          <w:t>responsible solicitor</w:t>
        </w:r>
      </w:hyperlink>
      <w:r w:rsidRPr="00B40A77">
        <w:rPr>
          <w:color w:val="000000" w:themeColor="text1"/>
        </w:rPr>
        <w:t xml:space="preserve"> will need to be identified by a P code. A law firm or individual solicitor who does not have an L code or P code can obtain one on request to the Law Society of South Australia.</w:t>
      </w:r>
    </w:p>
    <w:p w14:paraId="1A6E6395" w14:textId="1B18B995" w:rsidR="005E2BF4" w:rsidRPr="00B40A77" w:rsidRDefault="005E2BF4" w:rsidP="005E2BF4">
      <w:pPr>
        <w:pStyle w:val="Hangindent"/>
        <w:rPr>
          <w:color w:val="000000" w:themeColor="text1"/>
        </w:rPr>
      </w:pPr>
      <w:r w:rsidRPr="00B40A77">
        <w:rPr>
          <w:color w:val="000000" w:themeColor="text1"/>
          <w:lang w:val="en-US"/>
        </w:rPr>
        <w:lastRenderedPageBreak/>
        <w:t>(2)</w:t>
      </w:r>
      <w:r w:rsidRPr="00B40A77">
        <w:rPr>
          <w:color w:val="000000" w:themeColor="text1"/>
          <w:lang w:val="en-US"/>
        </w:rPr>
        <w:tab/>
        <w:t xml:space="preserve">If a party is in custody and is not represented by a law firm, the party’s physical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may be care of the C</w:t>
      </w:r>
      <w:r w:rsidR="004D451C" w:rsidRPr="00B40A77">
        <w:rPr>
          <w:color w:val="000000" w:themeColor="text1"/>
          <w:lang w:val="en-US"/>
        </w:rPr>
        <w:t>E</w:t>
      </w:r>
      <w:r w:rsidRPr="00B40A77">
        <w:rPr>
          <w:color w:val="000000" w:themeColor="text1"/>
          <w:lang w:val="en-US"/>
        </w:rPr>
        <w:t xml:space="preserve"> and the party need not provide an email address or telephone number.</w:t>
      </w:r>
    </w:p>
    <w:p w14:paraId="1055F5FA" w14:textId="45134F82" w:rsidR="00A351F3" w:rsidRPr="00B40A77" w:rsidRDefault="00A351F3" w:rsidP="005E2BF4">
      <w:pPr>
        <w:pStyle w:val="Hangindent"/>
        <w:rPr>
          <w:color w:val="000000" w:themeColor="text1"/>
          <w:lang w:val="en-US"/>
        </w:rPr>
      </w:pPr>
      <w:r w:rsidRPr="00B40A77">
        <w:rPr>
          <w:color w:val="000000" w:themeColor="text1"/>
          <w:lang w:val="en-US"/>
        </w:rPr>
        <w:t>(</w:t>
      </w:r>
      <w:r w:rsidR="005E2BF4" w:rsidRPr="00B40A77">
        <w:rPr>
          <w:color w:val="000000" w:themeColor="text1"/>
          <w:lang w:val="en-US"/>
        </w:rPr>
        <w:t>3</w:t>
      </w:r>
      <w:r w:rsidRPr="00B40A77">
        <w:rPr>
          <w:color w:val="000000" w:themeColor="text1"/>
          <w:lang w:val="en-US"/>
        </w:rPr>
        <w:t>)</w:t>
      </w:r>
      <w:r w:rsidRPr="00B40A77">
        <w:rPr>
          <w:color w:val="000000" w:themeColor="text1"/>
          <w:lang w:val="en-US"/>
        </w:rPr>
        <w:tab/>
        <w:t>The Court may, on such terms as it thinks fit, excuse a party from including a physical address, email address or telephone number if the party does not have available and cannot reasonably obtain a physical address, email address or telephone number for the purpose of service or if it is in the interests of justice to do so.</w:t>
      </w:r>
    </w:p>
    <w:p w14:paraId="10DE0526" w14:textId="1E944A52" w:rsidR="00FE68E0" w:rsidRPr="00B40A77" w:rsidRDefault="00FE68E0" w:rsidP="005E2BF4">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a party is on bail and </w:t>
      </w:r>
      <w:r w:rsidR="00DB6A69" w:rsidRPr="00B40A77">
        <w:rPr>
          <w:color w:val="000000" w:themeColor="text1"/>
          <w:lang w:val="en-US"/>
        </w:rPr>
        <w:t xml:space="preserve">is not represented by a law firm, the party’s physical </w:t>
      </w:r>
      <w:hyperlink w:anchor="_2.1—Definitions" w:history="1">
        <w:r w:rsidR="00DB6A69" w:rsidRPr="00B40A77">
          <w:rPr>
            <w:rStyle w:val="Hyperlink"/>
            <w:color w:val="000000" w:themeColor="text1"/>
            <w:lang w:val="en-US"/>
          </w:rPr>
          <w:t>address for service</w:t>
        </w:r>
      </w:hyperlink>
      <w:r w:rsidR="00DB6A69" w:rsidRPr="00B40A77">
        <w:rPr>
          <w:color w:val="000000" w:themeColor="text1"/>
          <w:lang w:val="en-US"/>
        </w:rPr>
        <w:t xml:space="preserve"> must</w:t>
      </w:r>
      <w:r w:rsidRPr="00B40A77">
        <w:rPr>
          <w:color w:val="000000" w:themeColor="text1"/>
          <w:lang w:val="en-US"/>
        </w:rPr>
        <w:t xml:space="preserve">, unless the Court otherwise orders, </w:t>
      </w:r>
      <w:r w:rsidR="00DB6A69" w:rsidRPr="00B40A77">
        <w:rPr>
          <w:color w:val="000000" w:themeColor="text1"/>
          <w:lang w:val="en-US"/>
        </w:rPr>
        <w:t>be the same as the party’s bail address.</w:t>
      </w:r>
    </w:p>
    <w:p w14:paraId="0A4A69B4" w14:textId="77777777" w:rsidR="004D451C" w:rsidRPr="00B40A77" w:rsidRDefault="004D451C" w:rsidP="00F06A60">
      <w:pPr>
        <w:pStyle w:val="Hangindent"/>
        <w:keepNext/>
        <w:rPr>
          <w:color w:val="000000" w:themeColor="text1"/>
        </w:rPr>
      </w:pPr>
      <w:r w:rsidRPr="00B40A77">
        <w:rPr>
          <w:color w:val="000000" w:themeColor="text1"/>
          <w:lang w:val="en-US"/>
        </w:rPr>
        <w:t>(5)</w:t>
      </w:r>
      <w:r w:rsidRPr="00B40A77">
        <w:rPr>
          <w:color w:val="000000" w:themeColor="text1"/>
          <w:lang w:val="en-US"/>
        </w:rPr>
        <w:tab/>
        <w:t>In this rule</w:t>
      </w:r>
      <w:r w:rsidRPr="00B40A77">
        <w:rPr>
          <w:color w:val="000000" w:themeColor="text1"/>
        </w:rPr>
        <w:t xml:space="preserve">, </w:t>
      </w:r>
      <w:r w:rsidRPr="00B40A77">
        <w:rPr>
          <w:bCs/>
          <w:iCs/>
          <w:color w:val="000000" w:themeColor="text1"/>
          <w:lang w:val="en-US"/>
        </w:rPr>
        <w:t>the</w:t>
      </w:r>
      <w:r w:rsidRPr="00B40A77">
        <w:rPr>
          <w:b/>
          <w:i/>
          <w:color w:val="000000" w:themeColor="text1"/>
          <w:lang w:val="en-US"/>
        </w:rPr>
        <w:t xml:space="preserve"> CE </w:t>
      </w:r>
      <w:r w:rsidRPr="00B40A77">
        <w:rPr>
          <w:color w:val="000000" w:themeColor="text1"/>
          <w:lang w:val="en-US"/>
        </w:rPr>
        <w:t>means</w:t>
      </w:r>
      <w:r w:rsidRPr="00B40A77">
        <w:rPr>
          <w:color w:val="000000" w:themeColor="text1"/>
        </w:rPr>
        <w:t>—</w:t>
      </w:r>
    </w:p>
    <w:p w14:paraId="63C5D815" w14:textId="363A5201" w:rsidR="004D451C" w:rsidRPr="00B40A77" w:rsidRDefault="004D451C" w:rsidP="004D451C">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in respect of a person in detention—the Chief Executive within the meaning of the </w:t>
      </w:r>
      <w:r w:rsidRPr="00B40A77">
        <w:rPr>
          <w:i/>
          <w:iCs/>
          <w:color w:val="000000" w:themeColor="text1"/>
          <w:lang w:val="en-US"/>
        </w:rPr>
        <w:t>Youth Justice Administration Act 2016</w:t>
      </w:r>
      <w:r w:rsidRPr="00B40A77">
        <w:rPr>
          <w:color w:val="000000" w:themeColor="text1"/>
          <w:lang w:val="en-US"/>
        </w:rPr>
        <w:t xml:space="preserve"> (presently the Chief Executive of the Department for Human Services); or</w:t>
      </w:r>
    </w:p>
    <w:p w14:paraId="3EEC4CC8" w14:textId="0C297D2B" w:rsidR="004D451C" w:rsidRPr="00B40A77" w:rsidRDefault="004D451C" w:rsidP="004D451C">
      <w:pPr>
        <w:pStyle w:val="Doublehangindent"/>
        <w:rPr>
          <w:color w:val="000000" w:themeColor="text1"/>
          <w:lang w:val="en-US"/>
        </w:rPr>
      </w:pPr>
      <w:r w:rsidRPr="00B40A77">
        <w:rPr>
          <w:color w:val="000000" w:themeColor="text1"/>
          <w:lang w:val="en-US"/>
        </w:rPr>
        <w:t>(b)</w:t>
      </w:r>
      <w:r w:rsidRPr="00B40A77">
        <w:rPr>
          <w:color w:val="000000" w:themeColor="text1"/>
          <w:lang w:val="en-US"/>
        </w:rPr>
        <w:tab/>
        <w:t>in respect of a person in</w:t>
      </w:r>
      <w:r w:rsidR="000C1F5A" w:rsidRPr="00B40A77">
        <w:rPr>
          <w:color w:val="000000" w:themeColor="text1"/>
          <w:lang w:val="en-US"/>
        </w:rPr>
        <w:t xml:space="preserve"> </w:t>
      </w:r>
      <w:r w:rsidRPr="00B40A77">
        <w:rPr>
          <w:color w:val="000000" w:themeColor="text1"/>
          <w:lang w:val="en-US"/>
        </w:rPr>
        <w:t xml:space="preserve">custody—the CE within the meaning of the </w:t>
      </w:r>
      <w:r w:rsidRPr="00B40A77">
        <w:rPr>
          <w:i/>
          <w:iCs/>
          <w:color w:val="000000" w:themeColor="text1"/>
          <w:lang w:val="en-US"/>
        </w:rPr>
        <w:t>Correctional Services Act 1982</w:t>
      </w:r>
      <w:r w:rsidRPr="00B40A77">
        <w:rPr>
          <w:color w:val="000000" w:themeColor="text1"/>
          <w:lang w:val="en-US"/>
        </w:rPr>
        <w:t xml:space="preserve"> (presently the Chief Executive of the Department of Correctional Services).</w:t>
      </w:r>
    </w:p>
    <w:p w14:paraId="4CCA291F" w14:textId="377BEF91" w:rsidR="00A351F3" w:rsidRPr="00B40A77" w:rsidRDefault="003B50CA" w:rsidP="00A351F3">
      <w:pPr>
        <w:pStyle w:val="Heading4"/>
        <w:rPr>
          <w:color w:val="000000" w:themeColor="text1"/>
        </w:rPr>
      </w:pPr>
      <w:bookmarkStart w:id="281" w:name="_Toc175238854"/>
      <w:r w:rsidRPr="00B40A77">
        <w:rPr>
          <w:color w:val="000000" w:themeColor="text1"/>
        </w:rPr>
        <w:t>3</w:t>
      </w:r>
      <w:r w:rsidR="00E13B81" w:rsidRPr="00B40A77">
        <w:rPr>
          <w:color w:val="000000" w:themeColor="text1"/>
        </w:rPr>
        <w:t>5</w:t>
      </w:r>
      <w:r w:rsidR="00A351F3" w:rsidRPr="00B40A77">
        <w:rPr>
          <w:color w:val="000000" w:themeColor="text1"/>
        </w:rPr>
        <w:t>.3—Continuation of address for service</w:t>
      </w:r>
      <w:bookmarkEnd w:id="281"/>
    </w:p>
    <w:p w14:paraId="02987809" w14:textId="5BF14390"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party’s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remains the last </w:t>
      </w:r>
      <w:hyperlink w:anchor="_2.1—Definitions" w:history="1">
        <w:r w:rsidR="00825596" w:rsidRPr="00B40A77">
          <w:rPr>
            <w:rStyle w:val="Hyperlink"/>
            <w:color w:val="000000" w:themeColor="text1"/>
            <w:lang w:val="en-US"/>
          </w:rPr>
          <w:t>address for service</w:t>
        </w:r>
      </w:hyperlink>
      <w:r w:rsidRPr="00B40A77">
        <w:rPr>
          <w:color w:val="000000" w:themeColor="text1"/>
          <w:lang w:val="en-US"/>
        </w:rPr>
        <w:t xml:space="preserve"> provided to the Court unless and until</w:t>
      </w:r>
      <w:r w:rsidR="00651C9B" w:rsidRPr="00B40A77">
        <w:rPr>
          <w:color w:val="000000" w:themeColor="text1"/>
        </w:rPr>
        <w:t>—</w:t>
      </w:r>
    </w:p>
    <w:p w14:paraId="2E41A8B8" w14:textId="568DB861"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notice of acting is filed in accordance with </w:t>
      </w:r>
      <w:hyperlink w:anchor="_25.2—Law_firm_acting" w:history="1">
        <w:r w:rsidR="0075745D" w:rsidRPr="00B40A77">
          <w:rPr>
            <w:color w:val="000000" w:themeColor="text1"/>
            <w:u w:val="single"/>
          </w:rPr>
          <w:t>rule 24</w:t>
        </w:r>
        <w:r w:rsidRPr="00B40A77">
          <w:rPr>
            <w:color w:val="000000" w:themeColor="text1"/>
            <w:u w:val="single"/>
          </w:rPr>
          <w:t>.2</w:t>
        </w:r>
      </w:hyperlink>
      <w:r w:rsidR="00651C9B" w:rsidRPr="00B40A77">
        <w:rPr>
          <w:color w:val="000000" w:themeColor="text1"/>
        </w:rPr>
        <w:t xml:space="preserve"> </w:t>
      </w:r>
      <w:r w:rsidR="0075745D" w:rsidRPr="00B40A77">
        <w:rPr>
          <w:color w:val="000000" w:themeColor="text1"/>
        </w:rPr>
        <w:t xml:space="preserve">or </w:t>
      </w:r>
      <w:hyperlink w:anchor="_35.1—Obligation_to_provide" w:history="1">
        <w:r w:rsidR="0075745D" w:rsidRPr="00B40A77">
          <w:rPr>
            <w:rStyle w:val="Hyperlink"/>
            <w:color w:val="000000" w:themeColor="text1"/>
          </w:rPr>
          <w:t>rule 3</w:t>
        </w:r>
        <w:r w:rsidR="0035796C" w:rsidRPr="00B40A77">
          <w:rPr>
            <w:rStyle w:val="Hyperlink"/>
            <w:color w:val="000000" w:themeColor="text1"/>
          </w:rPr>
          <w:t>5</w:t>
        </w:r>
        <w:r w:rsidR="0075745D" w:rsidRPr="00B40A77">
          <w:rPr>
            <w:rStyle w:val="Hyperlink"/>
            <w:color w:val="000000" w:themeColor="text1"/>
          </w:rPr>
          <w:t>.1</w:t>
        </w:r>
      </w:hyperlink>
      <w:r w:rsidR="0075745D" w:rsidRPr="00B40A77">
        <w:rPr>
          <w:color w:val="000000" w:themeColor="text1"/>
        </w:rPr>
        <w:t xml:space="preserve"> </w:t>
      </w:r>
      <w:r w:rsidR="00651C9B" w:rsidRPr="00B40A77">
        <w:rPr>
          <w:color w:val="000000" w:themeColor="text1"/>
        </w:rPr>
        <w:t xml:space="preserve">showing a different </w:t>
      </w:r>
      <w:hyperlink w:anchor="_2.1—Definitions" w:history="1">
        <w:r w:rsidR="00651C9B" w:rsidRPr="00B40A77">
          <w:rPr>
            <w:rStyle w:val="Hyperlink"/>
            <w:color w:val="000000" w:themeColor="text1"/>
          </w:rPr>
          <w:t>address for service</w:t>
        </w:r>
      </w:hyperlink>
      <w:r w:rsidRPr="00B40A77">
        <w:rPr>
          <w:color w:val="000000" w:themeColor="text1"/>
        </w:rPr>
        <w:t>;</w:t>
      </w:r>
    </w:p>
    <w:p w14:paraId="27F25E35" w14:textId="7DB2EEE7" w:rsidR="00A351F3" w:rsidRPr="00B40A77" w:rsidRDefault="00A351F3" w:rsidP="00A351F3">
      <w:pPr>
        <w:pStyle w:val="Doublehangindent"/>
        <w:rPr>
          <w:color w:val="000000" w:themeColor="text1"/>
        </w:rPr>
      </w:pPr>
      <w:r w:rsidRPr="00B40A77">
        <w:rPr>
          <w:color w:val="000000" w:themeColor="text1"/>
          <w:lang w:val="en-US"/>
        </w:rPr>
        <w:t>(b)</w:t>
      </w:r>
      <w:r w:rsidRPr="00B40A77">
        <w:rPr>
          <w:color w:val="000000" w:themeColor="text1"/>
          <w:lang w:val="en-US"/>
        </w:rPr>
        <w:tab/>
        <w:t xml:space="preserve">a notice of change of </w:t>
      </w:r>
      <w:hyperlink w:anchor="_2.1—Definitions" w:history="1">
        <w:r w:rsidRPr="00B40A77">
          <w:rPr>
            <w:color w:val="000000" w:themeColor="text1"/>
            <w:u w:val="single"/>
          </w:rPr>
          <w:t>address for service</w:t>
        </w:r>
      </w:hyperlink>
      <w:r w:rsidRPr="00B40A77">
        <w:rPr>
          <w:color w:val="000000" w:themeColor="text1"/>
          <w:lang w:val="en-US"/>
        </w:rPr>
        <w:t xml:space="preserve"> is filed in accordance with </w:t>
      </w:r>
      <w:hyperlink w:anchor="_35.4—Change_of_address" w:history="1">
        <w:r w:rsidRPr="00B40A77">
          <w:rPr>
            <w:rStyle w:val="Hyperlink"/>
            <w:color w:val="000000" w:themeColor="text1"/>
            <w:lang w:val="en-US"/>
          </w:rPr>
          <w:t>rule</w:t>
        </w:r>
        <w:r w:rsidR="002E3019" w:rsidRPr="00B40A77">
          <w:rPr>
            <w:rStyle w:val="Hyperlink"/>
            <w:color w:val="000000" w:themeColor="text1"/>
            <w:lang w:val="en-US"/>
          </w:rPr>
          <w:t> </w:t>
        </w:r>
        <w:r w:rsidRPr="00B40A77">
          <w:rPr>
            <w:rStyle w:val="Hyperlink"/>
            <w:color w:val="000000" w:themeColor="text1"/>
            <w:lang w:val="en-US"/>
          </w:rPr>
          <w:t>3</w:t>
        </w:r>
        <w:r w:rsidR="0035796C" w:rsidRPr="00B40A77">
          <w:rPr>
            <w:rStyle w:val="Hyperlink"/>
            <w:color w:val="000000" w:themeColor="text1"/>
            <w:lang w:val="en-US"/>
          </w:rPr>
          <w:t>5</w:t>
        </w:r>
        <w:r w:rsidRPr="00B40A77">
          <w:rPr>
            <w:rStyle w:val="Hyperlink"/>
            <w:color w:val="000000" w:themeColor="text1"/>
            <w:lang w:val="en-US"/>
          </w:rPr>
          <w:t>.4</w:t>
        </w:r>
      </w:hyperlink>
      <w:r w:rsidRPr="00B40A77">
        <w:rPr>
          <w:color w:val="000000" w:themeColor="text1"/>
          <w:lang w:val="en-US"/>
        </w:rPr>
        <w:t xml:space="preserve"> showing a different </w:t>
      </w:r>
      <w:hyperlink w:anchor="_2.1—Definitions" w:history="1">
        <w:r w:rsidRPr="00B40A77">
          <w:rPr>
            <w:color w:val="000000" w:themeColor="text1"/>
            <w:u w:val="single"/>
          </w:rPr>
          <w:t>address for service</w:t>
        </w:r>
      </w:hyperlink>
      <w:r w:rsidRPr="00B40A77">
        <w:rPr>
          <w:color w:val="000000" w:themeColor="text1"/>
        </w:rPr>
        <w:t>; or</w:t>
      </w:r>
    </w:p>
    <w:p w14:paraId="1814ED0D" w14:textId="77777777" w:rsidR="00A351F3" w:rsidRPr="00B40A77" w:rsidRDefault="00A351F3" w:rsidP="00A351F3">
      <w:pPr>
        <w:pStyle w:val="Doublehangindent"/>
        <w:rPr>
          <w:color w:val="000000" w:themeColor="text1"/>
          <w:lang w:val="en-US"/>
        </w:rPr>
      </w:pPr>
      <w:r w:rsidRPr="00B40A77">
        <w:rPr>
          <w:color w:val="000000" w:themeColor="text1"/>
        </w:rPr>
        <w:t>(c)</w:t>
      </w:r>
      <w:r w:rsidRPr="00B40A77">
        <w:rPr>
          <w:color w:val="000000" w:themeColor="text1"/>
        </w:rPr>
        <w:tab/>
        <w:t>the Court otherwise orders</w:t>
      </w:r>
      <w:r w:rsidRPr="00B40A77">
        <w:rPr>
          <w:color w:val="000000" w:themeColor="text1"/>
          <w:lang w:val="en-US"/>
        </w:rPr>
        <w:t>.</w:t>
      </w:r>
    </w:p>
    <w:p w14:paraId="75D6BE5F" w14:textId="54841F5C"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it comes to the attention of a party that a document sent to another party’s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was not received by the recipient party, the sending party must bring that fact to the attention of the recipient party and, if unable to do so, must inform the Court.</w:t>
      </w:r>
    </w:p>
    <w:p w14:paraId="4A523A9F" w14:textId="6BB3E79B" w:rsidR="00A351F3" w:rsidRPr="00B40A77" w:rsidRDefault="00A351F3" w:rsidP="00A351F3">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Court may strike out all or part of a party’s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if it appears that documents sent to that address are not being received by that party.</w:t>
      </w:r>
    </w:p>
    <w:p w14:paraId="4F9FC632" w14:textId="77CC173F" w:rsidR="00A351F3" w:rsidRPr="00B40A77" w:rsidRDefault="001D40E7" w:rsidP="00A351F3">
      <w:pPr>
        <w:pStyle w:val="Heading4"/>
        <w:rPr>
          <w:color w:val="000000" w:themeColor="text1"/>
        </w:rPr>
      </w:pPr>
      <w:bookmarkStart w:id="282" w:name="_44.2—Change_of_address"/>
      <w:bookmarkStart w:id="283" w:name="_35.4—Change_of_address"/>
      <w:bookmarkStart w:id="284" w:name="_Toc175238855"/>
      <w:bookmarkEnd w:id="282"/>
      <w:bookmarkEnd w:id="283"/>
      <w:r w:rsidRPr="00B40A77">
        <w:rPr>
          <w:color w:val="000000" w:themeColor="text1"/>
        </w:rPr>
        <w:t>3</w:t>
      </w:r>
      <w:r w:rsidR="00E13B81" w:rsidRPr="00B40A77">
        <w:rPr>
          <w:color w:val="000000" w:themeColor="text1"/>
        </w:rPr>
        <w:t>5</w:t>
      </w:r>
      <w:r w:rsidR="00A351F3" w:rsidRPr="00B40A77">
        <w:rPr>
          <w:color w:val="000000" w:themeColor="text1"/>
        </w:rPr>
        <w:t>.4—Change of address for service</w:t>
      </w:r>
      <w:bookmarkEnd w:id="284"/>
    </w:p>
    <w:p w14:paraId="3F833D3D" w14:textId="13044084" w:rsidR="00A351F3" w:rsidRPr="00B40A77" w:rsidRDefault="00A351F3" w:rsidP="00A37E9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there is a change in the physical address, email address or telephone number shown in a party’s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a notice of change of </w:t>
      </w:r>
      <w:hyperlink w:anchor="_2.1—Definitions" w:history="1">
        <w:r w:rsidR="00825596" w:rsidRPr="00B40A77">
          <w:rPr>
            <w:rStyle w:val="Hyperlink"/>
            <w:color w:val="000000" w:themeColor="text1"/>
            <w:lang w:val="en-US"/>
          </w:rPr>
          <w:t>address for service</w:t>
        </w:r>
      </w:hyperlink>
      <w:r w:rsidRPr="00B40A77">
        <w:rPr>
          <w:color w:val="000000" w:themeColor="text1"/>
          <w:lang w:val="en-US"/>
        </w:rPr>
        <w:t xml:space="preserve"> </w:t>
      </w:r>
      <w:r w:rsidR="001D40E7" w:rsidRPr="00B40A77">
        <w:rPr>
          <w:color w:val="000000" w:themeColor="text1"/>
        </w:rPr>
        <w:t xml:space="preserve">in the prescribed form </w:t>
      </w:r>
      <w:r w:rsidRPr="00B40A77">
        <w:rPr>
          <w:color w:val="000000" w:themeColor="text1"/>
          <w:lang w:val="en-US"/>
        </w:rPr>
        <w:t>must be filed and served on all parties within 7 days.</w:t>
      </w:r>
    </w:p>
    <w:p w14:paraId="28D1152B" w14:textId="77777777" w:rsidR="00A351F3" w:rsidRPr="00B40A77" w:rsidRDefault="00A351F3" w:rsidP="00A37E9E">
      <w:pPr>
        <w:pStyle w:val="NoteHeader"/>
        <w:keepNext/>
        <w:rPr>
          <w:color w:val="000000" w:themeColor="text1"/>
        </w:rPr>
      </w:pPr>
      <w:r w:rsidRPr="00B40A77">
        <w:rPr>
          <w:color w:val="000000" w:themeColor="text1"/>
        </w:rPr>
        <w:t>Prescribed form—</w:t>
      </w:r>
    </w:p>
    <w:p w14:paraId="7825DB73" w14:textId="252BB6A3" w:rsidR="00A351F3" w:rsidRPr="00B40A77" w:rsidRDefault="00A351F3" w:rsidP="00A351F3">
      <w:pPr>
        <w:pStyle w:val="NoteText"/>
        <w:rPr>
          <w:color w:val="000000" w:themeColor="text1"/>
          <w:u w:val="single"/>
        </w:rPr>
      </w:pPr>
      <w:r w:rsidRPr="00B40A77">
        <w:rPr>
          <w:color w:val="000000" w:themeColor="text1"/>
        </w:rPr>
        <w:t>Form</w:t>
      </w:r>
      <w:r w:rsidR="007F0A8D" w:rsidRPr="00B40A77">
        <w:rPr>
          <w:color w:val="000000" w:themeColor="text1"/>
        </w:rPr>
        <w:t xml:space="preserve"> 15</w:t>
      </w:r>
      <w:r w:rsidRPr="00B40A77">
        <w:rPr>
          <w:color w:val="000000" w:themeColor="text1"/>
          <w:u w:val="single"/>
        </w:rPr>
        <w:t xml:space="preserve"> </w:t>
      </w:r>
      <w:hyperlink r:id="rId38" w:history="1">
        <w:r w:rsidRPr="00B40A77">
          <w:rPr>
            <w:rStyle w:val="Hyperlink"/>
            <w:color w:val="000000" w:themeColor="text1"/>
          </w:rPr>
          <w:t>Notice of Change of Address for Service</w:t>
        </w:r>
      </w:hyperlink>
    </w:p>
    <w:p w14:paraId="5F60B9E5" w14:textId="0B0BC7C6" w:rsidR="00A351F3" w:rsidRPr="00B40A77" w:rsidRDefault="00A351F3" w:rsidP="00AA301B">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If there is a change of the individual </w:t>
      </w:r>
      <w:hyperlink w:anchor="_2.1—Definitions" w:history="1">
        <w:r w:rsidRPr="00B40A77">
          <w:rPr>
            <w:rStyle w:val="Hyperlink"/>
            <w:color w:val="000000" w:themeColor="text1"/>
            <w:lang w:val="en-US"/>
          </w:rPr>
          <w:t>responsible solicitor</w:t>
        </w:r>
      </w:hyperlink>
      <w:r w:rsidRPr="00B40A77">
        <w:rPr>
          <w:color w:val="000000" w:themeColor="text1"/>
          <w:lang w:val="en-US"/>
        </w:rPr>
        <w:t xml:space="preserve"> within a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US"/>
        </w:rPr>
        <w:t xml:space="preserve"> acting for a party, a notice of acting </w:t>
      </w:r>
      <w:r w:rsidR="001D40E7" w:rsidRPr="00B40A77">
        <w:rPr>
          <w:color w:val="000000" w:themeColor="text1"/>
        </w:rPr>
        <w:t xml:space="preserve">in the prescribed form </w:t>
      </w:r>
      <w:r w:rsidRPr="00B40A77">
        <w:rPr>
          <w:color w:val="000000" w:themeColor="text1"/>
          <w:lang w:val="en-US"/>
        </w:rPr>
        <w:t xml:space="preserve">showing the new </w:t>
      </w:r>
      <w:hyperlink w:anchor="_2.1—Definitions" w:history="1">
        <w:r w:rsidRPr="00B40A77">
          <w:rPr>
            <w:rStyle w:val="Hyperlink"/>
            <w:color w:val="000000" w:themeColor="text1"/>
            <w:lang w:val="en-US"/>
          </w:rPr>
          <w:t>responsible solicitor</w:t>
        </w:r>
      </w:hyperlink>
      <w:r w:rsidRPr="00B40A77">
        <w:rPr>
          <w:color w:val="000000" w:themeColor="text1"/>
          <w:lang w:val="en-US"/>
        </w:rPr>
        <w:t xml:space="preserve"> must be filed and served on all parties within 7 days.</w:t>
      </w:r>
    </w:p>
    <w:p w14:paraId="1CC86E6B" w14:textId="77777777" w:rsidR="00A351F3" w:rsidRPr="00B40A77" w:rsidRDefault="00A351F3" w:rsidP="00E13A93">
      <w:pPr>
        <w:pStyle w:val="NoteHeader"/>
        <w:keepNext/>
        <w:rPr>
          <w:color w:val="000000" w:themeColor="text1"/>
        </w:rPr>
      </w:pPr>
      <w:r w:rsidRPr="00B40A77">
        <w:rPr>
          <w:color w:val="000000" w:themeColor="text1"/>
        </w:rPr>
        <w:t>Prescribed form—</w:t>
      </w:r>
    </w:p>
    <w:p w14:paraId="5040CBBF" w14:textId="5DFBBDE3" w:rsidR="00A351F3" w:rsidRPr="00B40A77" w:rsidRDefault="00A351F3" w:rsidP="00AA301B">
      <w:pPr>
        <w:pStyle w:val="NoteText"/>
        <w:keepNext/>
        <w:rPr>
          <w:color w:val="000000" w:themeColor="text1"/>
        </w:rPr>
      </w:pPr>
      <w:r w:rsidRPr="00B40A77">
        <w:rPr>
          <w:color w:val="000000" w:themeColor="text1"/>
        </w:rPr>
        <w:t>Form 1</w:t>
      </w:r>
      <w:r w:rsidR="007F0A8D" w:rsidRPr="00B40A77">
        <w:rPr>
          <w:color w:val="000000" w:themeColor="text1"/>
        </w:rPr>
        <w:t>4</w:t>
      </w:r>
      <w:r w:rsidRPr="00B40A77">
        <w:rPr>
          <w:color w:val="000000" w:themeColor="text1"/>
        </w:rPr>
        <w:t xml:space="preserve"> </w:t>
      </w:r>
      <w:hyperlink r:id="rId39" w:history="1">
        <w:r w:rsidRPr="00B40A77">
          <w:rPr>
            <w:rStyle w:val="Hyperlink"/>
            <w:color w:val="000000" w:themeColor="text1"/>
          </w:rPr>
          <w:t>Notice of Acting</w:t>
        </w:r>
      </w:hyperlink>
    </w:p>
    <w:p w14:paraId="60D54629" w14:textId="77777777" w:rsidR="00A351F3" w:rsidRPr="00B40A77" w:rsidRDefault="00A351F3" w:rsidP="00E13A93">
      <w:pPr>
        <w:pStyle w:val="NoteHeader"/>
        <w:keepNext/>
        <w:rPr>
          <w:color w:val="000000" w:themeColor="text1"/>
        </w:rPr>
      </w:pPr>
      <w:r w:rsidRPr="00B40A77">
        <w:rPr>
          <w:color w:val="000000" w:themeColor="text1"/>
        </w:rPr>
        <w:t>Note—</w:t>
      </w:r>
    </w:p>
    <w:p w14:paraId="70F182AF" w14:textId="76724459" w:rsidR="00A351F3" w:rsidRPr="00B40A77" w:rsidRDefault="00A351F3" w:rsidP="00A351F3">
      <w:pPr>
        <w:pStyle w:val="NoteText"/>
        <w:rPr>
          <w:color w:val="000000" w:themeColor="text1"/>
          <w:lang w:val="en-US"/>
        </w:rPr>
      </w:pPr>
      <w:r w:rsidRPr="00B40A77">
        <w:rPr>
          <w:color w:val="000000" w:themeColor="text1"/>
        </w:rPr>
        <w:t xml:space="preserve">See also </w:t>
      </w:r>
      <w:hyperlink w:anchor="_25.2—Law_firm_acting" w:history="1">
        <w:r w:rsidRPr="00B40A77">
          <w:rPr>
            <w:rStyle w:val="Hyperlink"/>
            <w:color w:val="000000" w:themeColor="text1"/>
          </w:rPr>
          <w:t xml:space="preserve">rule </w:t>
        </w:r>
        <w:r w:rsidR="001D40E7" w:rsidRPr="00B40A77">
          <w:rPr>
            <w:rStyle w:val="Hyperlink"/>
            <w:color w:val="000000" w:themeColor="text1"/>
          </w:rPr>
          <w:t>24</w:t>
        </w:r>
        <w:r w:rsidRPr="00B40A77">
          <w:rPr>
            <w:rStyle w:val="Hyperlink"/>
            <w:color w:val="000000" w:themeColor="text1"/>
          </w:rPr>
          <w:t>.2</w:t>
        </w:r>
      </w:hyperlink>
      <w:r w:rsidRPr="00B40A77">
        <w:rPr>
          <w:color w:val="000000" w:themeColor="text1"/>
        </w:rPr>
        <w:t xml:space="preserve"> </w:t>
      </w:r>
      <w:r w:rsidR="00376FC8" w:rsidRPr="00B40A77">
        <w:rPr>
          <w:color w:val="000000" w:themeColor="text1"/>
        </w:rPr>
        <w:t xml:space="preserve">and </w:t>
      </w:r>
      <w:hyperlink w:anchor="_25.3—Responsible_solicitor" w:history="1">
        <w:r w:rsidR="00376FC8" w:rsidRPr="00B40A77">
          <w:rPr>
            <w:rStyle w:val="Hyperlink"/>
            <w:color w:val="000000" w:themeColor="text1"/>
          </w:rPr>
          <w:t>rule</w:t>
        </w:r>
        <w:r w:rsidR="002D36E6" w:rsidRPr="00B40A77">
          <w:rPr>
            <w:rStyle w:val="Hyperlink"/>
            <w:color w:val="000000" w:themeColor="text1"/>
          </w:rPr>
          <w:t xml:space="preserve"> </w:t>
        </w:r>
        <w:r w:rsidR="00376FC8" w:rsidRPr="00B40A77">
          <w:rPr>
            <w:rStyle w:val="Hyperlink"/>
            <w:color w:val="000000" w:themeColor="text1"/>
          </w:rPr>
          <w:t>25.3</w:t>
        </w:r>
      </w:hyperlink>
      <w:r w:rsidR="00376FC8" w:rsidRPr="00B40A77">
        <w:rPr>
          <w:color w:val="000000" w:themeColor="text1"/>
        </w:rPr>
        <w:t xml:space="preserve"> </w:t>
      </w:r>
      <w:r w:rsidRPr="00B40A77">
        <w:rPr>
          <w:color w:val="000000" w:themeColor="text1"/>
        </w:rPr>
        <w:t xml:space="preserve">in relation to a change in </w:t>
      </w:r>
      <w:r w:rsidRPr="00B40A77">
        <w:rPr>
          <w:color w:val="000000" w:themeColor="text1"/>
          <w:lang w:val="en-US"/>
        </w:rPr>
        <w:t xml:space="preserve">the representation status of a party or change of </w:t>
      </w:r>
      <w:hyperlink w:anchor="_2.1—Definitions" w:history="1">
        <w:r w:rsidR="005A6381" w:rsidRPr="00B40A77">
          <w:rPr>
            <w:rStyle w:val="Hyperlink"/>
            <w:color w:val="000000" w:themeColor="text1"/>
            <w:lang w:val="en-US"/>
          </w:rPr>
          <w:t>law firm or office</w:t>
        </w:r>
      </w:hyperlink>
      <w:r w:rsidRPr="00B40A77">
        <w:rPr>
          <w:color w:val="000000" w:themeColor="text1"/>
          <w:lang w:val="en-US"/>
        </w:rPr>
        <w:t xml:space="preserve"> acting for a party.</w:t>
      </w:r>
    </w:p>
    <w:p w14:paraId="7C2F7413" w14:textId="77777777" w:rsidR="00A351F3" w:rsidRPr="00B40A77" w:rsidRDefault="00A351F3" w:rsidP="00A351F3">
      <w:pPr>
        <w:pStyle w:val="Heading3"/>
        <w:rPr>
          <w:color w:val="000000" w:themeColor="text1"/>
        </w:rPr>
      </w:pPr>
      <w:bookmarkStart w:id="285" w:name="_Toc175238856"/>
      <w:r w:rsidRPr="00B40A77">
        <w:rPr>
          <w:color w:val="000000" w:themeColor="text1"/>
        </w:rPr>
        <w:t>Subdivision 2—Service at address for service</w:t>
      </w:r>
      <w:bookmarkEnd w:id="285"/>
    </w:p>
    <w:p w14:paraId="4384EA86" w14:textId="2917440E" w:rsidR="00A351F3" w:rsidRPr="00B40A77" w:rsidRDefault="005E1EEA" w:rsidP="00A351F3">
      <w:pPr>
        <w:pStyle w:val="Heading4"/>
        <w:rPr>
          <w:color w:val="000000" w:themeColor="text1"/>
        </w:rPr>
      </w:pPr>
      <w:bookmarkStart w:id="286" w:name="_44.3—Service_at_address"/>
      <w:bookmarkStart w:id="287" w:name="_35.5—Service_at_address"/>
      <w:bookmarkStart w:id="288" w:name="_Toc175238857"/>
      <w:bookmarkEnd w:id="286"/>
      <w:bookmarkEnd w:id="287"/>
      <w:r w:rsidRPr="00B40A77">
        <w:rPr>
          <w:color w:val="000000" w:themeColor="text1"/>
        </w:rPr>
        <w:t>3</w:t>
      </w:r>
      <w:r w:rsidR="00E13B81" w:rsidRPr="00B40A77">
        <w:rPr>
          <w:color w:val="000000" w:themeColor="text1"/>
        </w:rPr>
        <w:t>5</w:t>
      </w:r>
      <w:r w:rsidR="00A351F3" w:rsidRPr="00B40A77">
        <w:rPr>
          <w:color w:val="000000" w:themeColor="text1"/>
        </w:rPr>
        <w:t>.5—Service at address for service</w:t>
      </w:r>
      <w:bookmarkEnd w:id="288"/>
      <w:r w:rsidR="00A351F3" w:rsidRPr="00B40A77">
        <w:rPr>
          <w:color w:val="000000" w:themeColor="text1"/>
        </w:rPr>
        <w:t xml:space="preserve"> </w:t>
      </w:r>
    </w:p>
    <w:p w14:paraId="5D25E6A0" w14:textId="18B5018C" w:rsidR="00A351F3" w:rsidRPr="00B40A77" w:rsidRDefault="00A351F3" w:rsidP="00A351F3">
      <w:pPr>
        <w:pStyle w:val="IndentedPara"/>
        <w:rPr>
          <w:color w:val="000000" w:themeColor="text1"/>
        </w:rPr>
      </w:pPr>
      <w:r w:rsidRPr="00B40A77">
        <w:rPr>
          <w:color w:val="000000" w:themeColor="text1"/>
        </w:rPr>
        <w:t xml:space="preserve">A document is served on a party with an </w:t>
      </w:r>
      <w:hyperlink w:anchor="_2.1—Definitions" w:history="1">
        <w:r w:rsidRPr="00B40A77">
          <w:rPr>
            <w:rStyle w:val="Hyperlink"/>
            <w:color w:val="000000" w:themeColor="text1"/>
          </w:rPr>
          <w:t>address for service</w:t>
        </w:r>
      </w:hyperlink>
      <w:r w:rsidRPr="00B40A77">
        <w:rPr>
          <w:color w:val="000000" w:themeColor="text1"/>
        </w:rPr>
        <w:t xml:space="preserve"> in a proceeding if it is—</w:t>
      </w:r>
    </w:p>
    <w:p w14:paraId="120D8110" w14:textId="3F5D49FC" w:rsidR="00A351F3" w:rsidRPr="00B40A77" w:rsidRDefault="00A351F3" w:rsidP="00A351F3">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served at the party’s physical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by </w:t>
      </w:r>
      <w:hyperlink w:anchor="_33.1—Personal_service" w:history="1">
        <w:r w:rsidRPr="00B40A77">
          <w:rPr>
            <w:rStyle w:val="Hyperlink"/>
            <w:color w:val="000000" w:themeColor="text1"/>
            <w:lang w:val="en-US"/>
          </w:rPr>
          <w:t>personal service</w:t>
        </w:r>
      </w:hyperlink>
      <w:r w:rsidRPr="00B40A77">
        <w:rPr>
          <w:color w:val="000000" w:themeColor="text1"/>
          <w:lang w:val="en-US"/>
        </w:rPr>
        <w:t xml:space="preserve"> in accordance with </w:t>
      </w:r>
      <w:hyperlink w:anchor="_42.1—Personal_service" w:history="1">
        <w:r w:rsidRPr="00B40A77">
          <w:rPr>
            <w:rStyle w:val="Hyperlink"/>
            <w:color w:val="000000" w:themeColor="text1"/>
            <w:lang w:val="en-US"/>
          </w:rPr>
          <w:t xml:space="preserve">rule </w:t>
        </w:r>
        <w:r w:rsidR="00744A82" w:rsidRPr="00B40A77">
          <w:rPr>
            <w:rStyle w:val="Hyperlink"/>
            <w:color w:val="000000" w:themeColor="text1"/>
            <w:lang w:val="en-US"/>
          </w:rPr>
          <w:t>3</w:t>
        </w:r>
        <w:r w:rsidR="0035796C" w:rsidRPr="00B40A77">
          <w:rPr>
            <w:rStyle w:val="Hyperlink"/>
            <w:color w:val="000000" w:themeColor="text1"/>
            <w:lang w:val="en-US"/>
          </w:rPr>
          <w:t>3</w:t>
        </w:r>
        <w:r w:rsidRPr="00B40A77">
          <w:rPr>
            <w:rStyle w:val="Hyperlink"/>
            <w:color w:val="000000" w:themeColor="text1"/>
            <w:lang w:val="en-US"/>
          </w:rPr>
          <w:t>.1</w:t>
        </w:r>
      </w:hyperlink>
      <w:r w:rsidRPr="00B40A77">
        <w:rPr>
          <w:color w:val="000000" w:themeColor="text1"/>
          <w:lang w:val="en-US"/>
        </w:rPr>
        <w:t>;</w:t>
      </w:r>
    </w:p>
    <w:p w14:paraId="2B1CFCBC" w14:textId="160FA038" w:rsidR="00A351F3" w:rsidRPr="00B40A77" w:rsidRDefault="00A351F3" w:rsidP="00A351F3">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delivered to the party’s physical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by </w:t>
      </w:r>
      <w:r w:rsidRPr="00B40A77">
        <w:rPr>
          <w:color w:val="000000" w:themeColor="text1"/>
          <w:u w:val="single"/>
          <w:lang w:val="en-US"/>
        </w:rPr>
        <w:t>delivery service</w:t>
      </w:r>
      <w:r w:rsidRPr="00B40A77">
        <w:rPr>
          <w:color w:val="000000" w:themeColor="text1"/>
          <w:lang w:val="en-US"/>
        </w:rPr>
        <w:t xml:space="preserve"> in accordance with </w:t>
      </w:r>
      <w:hyperlink w:anchor="_42.2—Email_service" w:history="1">
        <w:r w:rsidR="00744A82" w:rsidRPr="00B40A77">
          <w:rPr>
            <w:rStyle w:val="Hyperlink"/>
            <w:color w:val="000000" w:themeColor="text1"/>
            <w:lang w:val="en-US"/>
          </w:rPr>
          <w:t>rule 3</w:t>
        </w:r>
        <w:r w:rsidR="0035796C" w:rsidRPr="00B40A77">
          <w:rPr>
            <w:rStyle w:val="Hyperlink"/>
            <w:color w:val="000000" w:themeColor="text1"/>
            <w:lang w:val="en-US"/>
          </w:rPr>
          <w:t>3</w:t>
        </w:r>
        <w:r w:rsidRPr="00B40A77">
          <w:rPr>
            <w:rStyle w:val="Hyperlink"/>
            <w:color w:val="000000" w:themeColor="text1"/>
            <w:lang w:val="en-US"/>
          </w:rPr>
          <w:t>.2</w:t>
        </w:r>
      </w:hyperlink>
      <w:r w:rsidRPr="00B40A77">
        <w:rPr>
          <w:color w:val="000000" w:themeColor="text1"/>
          <w:lang w:val="en-US"/>
        </w:rPr>
        <w:t>;</w:t>
      </w:r>
    </w:p>
    <w:p w14:paraId="12187B70" w14:textId="4D8A91A2" w:rsidR="00A351F3" w:rsidRPr="00B40A77" w:rsidRDefault="00A351F3" w:rsidP="00A351F3">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sent as an attachment in a PDF or </w:t>
      </w:r>
      <w:r w:rsidR="00BC2552" w:rsidRPr="00B40A77">
        <w:rPr>
          <w:color w:val="000000" w:themeColor="text1"/>
        </w:rPr>
        <w:t xml:space="preserve">Microsoft </w:t>
      </w:r>
      <w:r w:rsidRPr="00B40A77">
        <w:rPr>
          <w:color w:val="000000" w:themeColor="text1"/>
          <w:lang w:val="en-US"/>
        </w:rPr>
        <w:t xml:space="preserve">Word format to the party’s email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in accordance with </w:t>
      </w:r>
      <w:hyperlink w:anchor="_33.3—Email_service" w:history="1">
        <w:r w:rsidR="00CE0FC3" w:rsidRPr="00B40A77">
          <w:rPr>
            <w:rStyle w:val="Hyperlink"/>
            <w:color w:val="000000" w:themeColor="text1"/>
            <w:lang w:val="en-US"/>
          </w:rPr>
          <w:t>rule 3</w:t>
        </w:r>
        <w:r w:rsidR="0035796C" w:rsidRPr="00B40A77">
          <w:rPr>
            <w:rStyle w:val="Hyperlink"/>
            <w:color w:val="000000" w:themeColor="text1"/>
            <w:lang w:val="en-US"/>
          </w:rPr>
          <w:t>3</w:t>
        </w:r>
        <w:r w:rsidRPr="00B40A77">
          <w:rPr>
            <w:rStyle w:val="Hyperlink"/>
            <w:color w:val="000000" w:themeColor="text1"/>
            <w:lang w:val="en-US"/>
          </w:rPr>
          <w:t>.3</w:t>
        </w:r>
      </w:hyperlink>
      <w:r w:rsidRPr="00B40A77">
        <w:rPr>
          <w:color w:val="000000" w:themeColor="text1"/>
          <w:lang w:val="en-US"/>
        </w:rPr>
        <w:t>;</w:t>
      </w:r>
    </w:p>
    <w:p w14:paraId="581607BC" w14:textId="5B33AED4" w:rsidR="00646983" w:rsidRPr="00B40A77" w:rsidRDefault="00A351F3" w:rsidP="00A351F3">
      <w:pPr>
        <w:pStyle w:val="Hangindent"/>
        <w:rPr>
          <w:color w:val="000000" w:themeColor="text1"/>
          <w:lang w:val="en-US"/>
        </w:rPr>
      </w:pPr>
      <w:r w:rsidRPr="00B40A77">
        <w:rPr>
          <w:color w:val="000000" w:themeColor="text1"/>
          <w:lang w:val="en-US"/>
        </w:rPr>
        <w:t>(d)</w:t>
      </w:r>
      <w:r w:rsidRPr="00B40A77">
        <w:rPr>
          <w:color w:val="000000" w:themeColor="text1"/>
          <w:lang w:val="en-US"/>
        </w:rPr>
        <w:tab/>
        <w:t xml:space="preserve">sent by express post in an envelope addressed to that party at the party’s physical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in accordance with </w:t>
      </w:r>
      <w:hyperlink w:anchor="_42.3—Post_service" w:history="1">
        <w:r w:rsidR="00CE0FC3" w:rsidRPr="00B40A77">
          <w:rPr>
            <w:rStyle w:val="Hyperlink"/>
            <w:color w:val="000000" w:themeColor="text1"/>
            <w:lang w:val="en-US"/>
          </w:rPr>
          <w:t>rule 3</w:t>
        </w:r>
        <w:r w:rsidR="0035796C" w:rsidRPr="00B40A77">
          <w:rPr>
            <w:rStyle w:val="Hyperlink"/>
            <w:color w:val="000000" w:themeColor="text1"/>
            <w:lang w:val="en-US"/>
          </w:rPr>
          <w:t>3</w:t>
        </w:r>
        <w:r w:rsidRPr="00B40A77">
          <w:rPr>
            <w:rStyle w:val="Hyperlink"/>
            <w:color w:val="000000" w:themeColor="text1"/>
            <w:lang w:val="en-US"/>
          </w:rPr>
          <w:t>.4</w:t>
        </w:r>
      </w:hyperlink>
      <w:r w:rsidRPr="00B40A77">
        <w:rPr>
          <w:color w:val="000000" w:themeColor="text1"/>
          <w:lang w:val="en-US"/>
        </w:rPr>
        <w:t>;</w:t>
      </w:r>
    </w:p>
    <w:p w14:paraId="4E65F497" w14:textId="68C6ECFB" w:rsidR="00504C39" w:rsidRPr="00B40A77" w:rsidRDefault="00646983" w:rsidP="00A351F3">
      <w:pPr>
        <w:pStyle w:val="Hangindent"/>
        <w:rPr>
          <w:color w:val="000000" w:themeColor="text1"/>
          <w:lang w:val="en-US"/>
        </w:rPr>
      </w:pPr>
      <w:r w:rsidRPr="00B40A77">
        <w:rPr>
          <w:color w:val="000000" w:themeColor="text1"/>
          <w:lang w:val="en-US"/>
        </w:rPr>
        <w:t>(e)</w:t>
      </w:r>
      <w:r w:rsidRPr="00B40A77">
        <w:rPr>
          <w:color w:val="000000" w:themeColor="text1"/>
          <w:lang w:val="en-US"/>
        </w:rPr>
        <w:tab/>
      </w:r>
      <w:r w:rsidR="00504C39" w:rsidRPr="00B40A77">
        <w:rPr>
          <w:color w:val="000000" w:themeColor="text1"/>
          <w:lang w:val="en-US"/>
        </w:rPr>
        <w:t>made available</w:t>
      </w:r>
      <w:r w:rsidR="00520E2F" w:rsidRPr="00B40A77">
        <w:rPr>
          <w:color w:val="000000" w:themeColor="text1"/>
          <w:lang w:val="en-US"/>
        </w:rPr>
        <w:t xml:space="preserve"> by </w:t>
      </w:r>
      <w:r w:rsidR="00520E2F" w:rsidRPr="00B40A77">
        <w:rPr>
          <w:color w:val="000000" w:themeColor="text1"/>
          <w:u w:val="single"/>
          <w:lang w:val="en-US"/>
        </w:rPr>
        <w:t>electronic service</w:t>
      </w:r>
      <w:r w:rsidR="00520E2F" w:rsidRPr="00B40A77">
        <w:rPr>
          <w:color w:val="000000" w:themeColor="text1"/>
          <w:lang w:val="en-US"/>
        </w:rPr>
        <w:t xml:space="preserve"> in accordance with </w:t>
      </w:r>
      <w:hyperlink w:anchor="_33.5—Electronic_service" w:history="1">
        <w:r w:rsidR="00CE0FC3" w:rsidRPr="00B40A77">
          <w:rPr>
            <w:rStyle w:val="Hyperlink"/>
            <w:color w:val="000000" w:themeColor="text1"/>
            <w:lang w:val="en-US"/>
          </w:rPr>
          <w:t>rule 3</w:t>
        </w:r>
        <w:r w:rsidR="0035796C" w:rsidRPr="00B40A77">
          <w:rPr>
            <w:rStyle w:val="Hyperlink"/>
            <w:color w:val="000000" w:themeColor="text1"/>
            <w:lang w:val="en-US"/>
          </w:rPr>
          <w:t>3</w:t>
        </w:r>
        <w:r w:rsidR="00520E2F" w:rsidRPr="00B40A77">
          <w:rPr>
            <w:rStyle w:val="Hyperlink"/>
            <w:color w:val="000000" w:themeColor="text1"/>
            <w:lang w:val="en-US"/>
          </w:rPr>
          <w:t>.5</w:t>
        </w:r>
      </w:hyperlink>
      <w:r w:rsidR="00520E2F" w:rsidRPr="00B40A77">
        <w:rPr>
          <w:color w:val="000000" w:themeColor="text1"/>
          <w:lang w:val="en-US"/>
        </w:rPr>
        <w:t>;</w:t>
      </w:r>
    </w:p>
    <w:p w14:paraId="386527B0" w14:textId="5DE1C9A5" w:rsidR="00504C39" w:rsidRPr="00B40A77" w:rsidRDefault="00504C39" w:rsidP="00504C39">
      <w:pPr>
        <w:pStyle w:val="Hangindent"/>
        <w:rPr>
          <w:color w:val="000000" w:themeColor="text1"/>
          <w:lang w:val="en-US"/>
        </w:rPr>
      </w:pPr>
      <w:r w:rsidRPr="00B40A77">
        <w:rPr>
          <w:color w:val="000000" w:themeColor="text1"/>
          <w:lang w:val="en-US"/>
        </w:rPr>
        <w:t>(f)</w:t>
      </w:r>
      <w:r w:rsidRPr="00B40A77">
        <w:rPr>
          <w:color w:val="000000" w:themeColor="text1"/>
          <w:lang w:val="en-US"/>
        </w:rPr>
        <w:tab/>
        <w:t xml:space="preserve">made available by </w:t>
      </w:r>
      <w:r w:rsidRPr="00B40A77">
        <w:rPr>
          <w:color w:val="000000" w:themeColor="text1"/>
          <w:u w:val="single"/>
          <w:lang w:val="en-US"/>
        </w:rPr>
        <w:t>portal service</w:t>
      </w:r>
      <w:r w:rsidRPr="00B40A77">
        <w:rPr>
          <w:color w:val="000000" w:themeColor="text1"/>
          <w:lang w:val="en-US"/>
        </w:rPr>
        <w:t xml:space="preserve"> in accordance with rule 33.6; or</w:t>
      </w:r>
    </w:p>
    <w:p w14:paraId="60C8CC7B" w14:textId="00915F98" w:rsidR="00A351F3" w:rsidRPr="00B40A77" w:rsidRDefault="00520E2F" w:rsidP="00A351F3">
      <w:pPr>
        <w:pStyle w:val="Hangindent"/>
        <w:rPr>
          <w:color w:val="000000" w:themeColor="text1"/>
          <w:lang w:val="en-US"/>
        </w:rPr>
      </w:pPr>
      <w:r w:rsidRPr="00B40A77">
        <w:rPr>
          <w:color w:val="000000" w:themeColor="text1"/>
          <w:lang w:val="en-US"/>
        </w:rPr>
        <w:t>(</w:t>
      </w:r>
      <w:r w:rsidR="00504C39" w:rsidRPr="00B40A77">
        <w:rPr>
          <w:color w:val="000000" w:themeColor="text1"/>
          <w:lang w:val="en-US"/>
        </w:rPr>
        <w:t>g</w:t>
      </w:r>
      <w:r w:rsidR="00A351F3" w:rsidRPr="00B40A77">
        <w:rPr>
          <w:color w:val="000000" w:themeColor="text1"/>
          <w:lang w:val="en-US"/>
        </w:rPr>
        <w:t>)</w:t>
      </w:r>
      <w:r w:rsidR="00A351F3" w:rsidRPr="00B40A77">
        <w:rPr>
          <w:color w:val="000000" w:themeColor="text1"/>
          <w:lang w:val="en-US"/>
        </w:rPr>
        <w:tab/>
        <w:t>delivered in any other way that the Court orders.</w:t>
      </w:r>
    </w:p>
    <w:p w14:paraId="125980D9" w14:textId="54366171" w:rsidR="00A351F3" w:rsidRPr="00B40A77" w:rsidRDefault="005E1EEA" w:rsidP="00A351F3">
      <w:pPr>
        <w:pStyle w:val="Heading4"/>
        <w:rPr>
          <w:color w:val="000000" w:themeColor="text1"/>
        </w:rPr>
      </w:pPr>
      <w:bookmarkStart w:id="289" w:name="_Toc175238858"/>
      <w:r w:rsidRPr="00B40A77">
        <w:rPr>
          <w:color w:val="000000" w:themeColor="text1"/>
        </w:rPr>
        <w:t>3</w:t>
      </w:r>
      <w:r w:rsidR="00E13B81" w:rsidRPr="00B40A77">
        <w:rPr>
          <w:color w:val="000000" w:themeColor="text1"/>
        </w:rPr>
        <w:t>5</w:t>
      </w:r>
      <w:r w:rsidR="00A351F3" w:rsidRPr="00B40A77">
        <w:rPr>
          <w:color w:val="000000" w:themeColor="text1"/>
        </w:rPr>
        <w:t>.6—Issue by Court of documents to address for service</w:t>
      </w:r>
      <w:bookmarkEnd w:id="289"/>
    </w:p>
    <w:p w14:paraId="0EB0C978" w14:textId="300D8C9E"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give notice to a party </w:t>
      </w:r>
      <w:r w:rsidRPr="00B40A77">
        <w:rPr>
          <w:color w:val="000000" w:themeColor="text1"/>
        </w:rPr>
        <w:t xml:space="preserve">with an </w:t>
      </w:r>
      <w:hyperlink w:anchor="_2.1—Definitions" w:history="1">
        <w:r w:rsidRPr="00B40A77">
          <w:rPr>
            <w:rStyle w:val="Hyperlink"/>
            <w:color w:val="000000" w:themeColor="text1"/>
          </w:rPr>
          <w:t>address for service</w:t>
        </w:r>
      </w:hyperlink>
      <w:r w:rsidRPr="00B40A77">
        <w:rPr>
          <w:color w:val="000000" w:themeColor="text1"/>
          <w:lang w:val="en-US"/>
        </w:rPr>
        <w:t xml:space="preserve"> in a proceeding by sending a notice in any manner referred to in </w:t>
      </w:r>
      <w:hyperlink w:anchor="_35.5—Service_at_address" w:history="1">
        <w:r w:rsidR="00CE0FC3" w:rsidRPr="00B40A77">
          <w:rPr>
            <w:rStyle w:val="Hyperlink"/>
            <w:color w:val="000000" w:themeColor="text1"/>
            <w:lang w:val="en-US"/>
          </w:rPr>
          <w:t>rule 3</w:t>
        </w:r>
        <w:r w:rsidR="008229C0" w:rsidRPr="00B40A77">
          <w:rPr>
            <w:rStyle w:val="Hyperlink"/>
            <w:color w:val="000000" w:themeColor="text1"/>
            <w:lang w:val="en-US"/>
          </w:rPr>
          <w:t>5</w:t>
        </w:r>
        <w:r w:rsidRPr="00B40A77">
          <w:rPr>
            <w:rStyle w:val="Hyperlink"/>
            <w:color w:val="000000" w:themeColor="text1"/>
            <w:lang w:val="en-US"/>
          </w:rPr>
          <w:t>.5</w:t>
        </w:r>
      </w:hyperlink>
      <w:r w:rsidRPr="00B40A77">
        <w:rPr>
          <w:color w:val="000000" w:themeColor="text1"/>
          <w:lang w:val="en-US"/>
        </w:rPr>
        <w:t>.</w:t>
      </w:r>
    </w:p>
    <w:p w14:paraId="2F2DC2C2" w14:textId="117B1750"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r>
      <w:hyperlink w:anchor="_33.3—Email_service" w:history="1">
        <w:r w:rsidR="00CE0FC3" w:rsidRPr="00B40A77">
          <w:rPr>
            <w:rStyle w:val="Hyperlink"/>
            <w:color w:val="000000" w:themeColor="text1"/>
            <w:lang w:val="en-US"/>
          </w:rPr>
          <w:t>Rule 3</w:t>
        </w:r>
        <w:r w:rsidR="008229C0" w:rsidRPr="00B40A77">
          <w:rPr>
            <w:rStyle w:val="Hyperlink"/>
            <w:color w:val="000000" w:themeColor="text1"/>
            <w:lang w:val="en-US"/>
          </w:rPr>
          <w:t>3</w:t>
        </w:r>
        <w:r w:rsidRPr="00B40A77">
          <w:rPr>
            <w:rStyle w:val="Hyperlink"/>
            <w:color w:val="000000" w:themeColor="text1"/>
            <w:lang w:val="en-US"/>
          </w:rPr>
          <w:t>.3</w:t>
        </w:r>
      </w:hyperlink>
      <w:r w:rsidRPr="00B40A77">
        <w:rPr>
          <w:color w:val="000000" w:themeColor="text1"/>
          <w:lang w:val="en-US"/>
        </w:rPr>
        <w:t xml:space="preserve"> and </w:t>
      </w:r>
      <w:hyperlink w:anchor="_42.3—Post_service" w:history="1">
        <w:r w:rsidR="00CE0FC3" w:rsidRPr="00B40A77">
          <w:rPr>
            <w:rStyle w:val="Hyperlink"/>
            <w:color w:val="000000" w:themeColor="text1"/>
            <w:lang w:val="en-US"/>
          </w:rPr>
          <w:t>rule 3</w:t>
        </w:r>
        <w:r w:rsidR="008229C0" w:rsidRPr="00B40A77">
          <w:rPr>
            <w:rStyle w:val="Hyperlink"/>
            <w:color w:val="000000" w:themeColor="text1"/>
            <w:lang w:val="en-US"/>
          </w:rPr>
          <w:t>3</w:t>
        </w:r>
        <w:r w:rsidRPr="00B40A77">
          <w:rPr>
            <w:rStyle w:val="Hyperlink"/>
            <w:color w:val="000000" w:themeColor="text1"/>
            <w:lang w:val="en-US"/>
          </w:rPr>
          <w:t>.4</w:t>
        </w:r>
      </w:hyperlink>
      <w:r w:rsidRPr="00B40A77">
        <w:rPr>
          <w:color w:val="000000" w:themeColor="text1"/>
          <w:lang w:val="en-US"/>
        </w:rPr>
        <w:t xml:space="preserve"> as to when a document served by email or post is </w:t>
      </w:r>
      <w:r w:rsidRPr="00B40A77">
        <w:rPr>
          <w:rFonts w:cs="Times New Roman"/>
          <w:color w:val="000000" w:themeColor="text1"/>
        </w:rPr>
        <w:t>to be regarded as having been served apply, with any necessary changes, to a notice from the Court sent by email or post.</w:t>
      </w:r>
    </w:p>
    <w:p w14:paraId="09954EDE" w14:textId="77777777" w:rsidR="00A351F3" w:rsidRPr="00B40A77" w:rsidRDefault="00A351F3" w:rsidP="00A351F3">
      <w:pPr>
        <w:pStyle w:val="Heading3"/>
        <w:rPr>
          <w:color w:val="000000" w:themeColor="text1"/>
        </w:rPr>
      </w:pPr>
      <w:bookmarkStart w:id="290" w:name="_Toc23776340"/>
      <w:bookmarkStart w:id="291" w:name="_Toc175238859"/>
      <w:r w:rsidRPr="00B40A77">
        <w:rPr>
          <w:color w:val="000000" w:themeColor="text1"/>
        </w:rPr>
        <w:t>Division 5—Proof of service</w:t>
      </w:r>
      <w:bookmarkEnd w:id="290"/>
      <w:bookmarkEnd w:id="291"/>
    </w:p>
    <w:p w14:paraId="3FFF4B94" w14:textId="045049E2" w:rsidR="00A351F3" w:rsidRPr="00B40A77" w:rsidRDefault="00C82171" w:rsidP="00A351F3">
      <w:pPr>
        <w:pStyle w:val="Heading4"/>
        <w:rPr>
          <w:color w:val="000000" w:themeColor="text1"/>
        </w:rPr>
      </w:pPr>
      <w:bookmarkStart w:id="292" w:name="_Toc23776341"/>
      <w:bookmarkStart w:id="293" w:name="_Toc175238860"/>
      <w:r w:rsidRPr="00B40A77">
        <w:rPr>
          <w:color w:val="000000" w:themeColor="text1"/>
        </w:rPr>
        <w:t>3</w:t>
      </w:r>
      <w:r w:rsidR="00E13B81" w:rsidRPr="00B40A77">
        <w:rPr>
          <w:color w:val="000000" w:themeColor="text1"/>
        </w:rPr>
        <w:t>6</w:t>
      </w:r>
      <w:r w:rsidR="00A351F3" w:rsidRPr="00B40A77">
        <w:rPr>
          <w:color w:val="000000" w:themeColor="text1"/>
        </w:rPr>
        <w:t>.1—Method of proof of service</w:t>
      </w:r>
      <w:bookmarkEnd w:id="292"/>
      <w:bookmarkEnd w:id="293"/>
    </w:p>
    <w:p w14:paraId="400337B2"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Subject to the following subrules, when it is sought to prove service of a document, service must be proved—</w:t>
      </w:r>
    </w:p>
    <w:p w14:paraId="567C73B7" w14:textId="77777777" w:rsidR="00A351F3" w:rsidRPr="00B40A77" w:rsidRDefault="00A351F3" w:rsidP="00A351F3">
      <w:pPr>
        <w:pStyle w:val="Doublehangindent"/>
        <w:rPr>
          <w:color w:val="000000" w:themeColor="text1"/>
        </w:rPr>
      </w:pPr>
      <w:r w:rsidRPr="00B40A77">
        <w:rPr>
          <w:color w:val="000000" w:themeColor="text1"/>
        </w:rPr>
        <w:t>(a)</w:t>
      </w:r>
      <w:r w:rsidRPr="00B40A77">
        <w:rPr>
          <w:color w:val="000000" w:themeColor="text1"/>
        </w:rPr>
        <w:tab/>
        <w:t>by an affidavit of service in the prescribed form; or</w:t>
      </w:r>
    </w:p>
    <w:p w14:paraId="7F701B54" w14:textId="3A39FFA0" w:rsidR="00A351F3" w:rsidRPr="00B40A77" w:rsidRDefault="00A351F3" w:rsidP="00A37E9E">
      <w:pPr>
        <w:pStyle w:val="Doublehangindent"/>
        <w:keepNext/>
        <w:rPr>
          <w:color w:val="000000" w:themeColor="text1"/>
        </w:rPr>
      </w:pPr>
      <w:r w:rsidRPr="00B40A77">
        <w:rPr>
          <w:color w:val="000000" w:themeColor="text1"/>
        </w:rPr>
        <w:t>(b)</w:t>
      </w:r>
      <w:r w:rsidRPr="00B40A77">
        <w:rPr>
          <w:color w:val="000000" w:themeColor="text1"/>
        </w:rPr>
        <w:tab/>
        <w:t>if the process server is a</w:t>
      </w:r>
      <w:r w:rsidR="00A3553B" w:rsidRPr="00B40A77">
        <w:rPr>
          <w:color w:val="000000" w:themeColor="text1"/>
        </w:rPr>
        <w:t xml:space="preserve"> </w:t>
      </w:r>
      <w:hyperlink w:anchor="_2.1—Definitions" w:history="1">
        <w:r w:rsidR="00732D46" w:rsidRPr="00B40A77">
          <w:rPr>
            <w:rStyle w:val="Hyperlink"/>
            <w:color w:val="000000" w:themeColor="text1"/>
            <w:lang w:val="en-US"/>
          </w:rPr>
          <w:t>public officer</w:t>
        </w:r>
      </w:hyperlink>
      <w:r w:rsidRPr="00B40A77">
        <w:rPr>
          <w:rFonts w:cs="Times New Roman"/>
          <w:color w:val="000000" w:themeColor="text1"/>
        </w:rPr>
        <w:t xml:space="preserve">—by a certificate of service or </w:t>
      </w:r>
      <w:r w:rsidRPr="00B40A77">
        <w:rPr>
          <w:color w:val="000000" w:themeColor="text1"/>
        </w:rPr>
        <w:t>affidavit of service in the prescribed form.</w:t>
      </w:r>
    </w:p>
    <w:p w14:paraId="0AD55C48" w14:textId="77777777" w:rsidR="00A351F3" w:rsidRPr="00B40A77" w:rsidRDefault="00A351F3" w:rsidP="00A37E9E">
      <w:pPr>
        <w:pStyle w:val="NoteHeader"/>
        <w:keepNext/>
        <w:ind w:left="1701"/>
        <w:rPr>
          <w:color w:val="000000" w:themeColor="text1"/>
        </w:rPr>
      </w:pPr>
      <w:r w:rsidRPr="00B40A77">
        <w:rPr>
          <w:color w:val="000000" w:themeColor="text1"/>
        </w:rPr>
        <w:t>Prescribed form—</w:t>
      </w:r>
    </w:p>
    <w:p w14:paraId="3641E5E3" w14:textId="5E10735E" w:rsidR="00A351F3" w:rsidRPr="00B40A77" w:rsidRDefault="00A351F3" w:rsidP="008E5410">
      <w:pPr>
        <w:pStyle w:val="NoteText"/>
        <w:ind w:left="1985"/>
        <w:rPr>
          <w:color w:val="000000" w:themeColor="text1"/>
          <w:u w:val="single"/>
        </w:rPr>
      </w:pPr>
      <w:r w:rsidRPr="00B40A77">
        <w:rPr>
          <w:color w:val="000000" w:themeColor="text1"/>
        </w:rPr>
        <w:t xml:space="preserve">Form 11 </w:t>
      </w:r>
      <w:hyperlink r:id="rId40" w:history="1">
        <w:r w:rsidRPr="00B40A77">
          <w:rPr>
            <w:rStyle w:val="Hyperlink"/>
            <w:color w:val="000000" w:themeColor="text1"/>
          </w:rPr>
          <w:t>Affidavit of Proof of Service</w:t>
        </w:r>
      </w:hyperlink>
    </w:p>
    <w:p w14:paraId="191D03FE" w14:textId="3826B99C" w:rsidR="00A351F3" w:rsidRPr="00B40A77" w:rsidRDefault="00A351F3" w:rsidP="008E5410">
      <w:pPr>
        <w:pStyle w:val="NoteText"/>
        <w:ind w:left="1985"/>
        <w:rPr>
          <w:color w:val="000000" w:themeColor="text1"/>
        </w:rPr>
      </w:pPr>
      <w:r w:rsidRPr="00B40A77">
        <w:rPr>
          <w:color w:val="000000" w:themeColor="text1"/>
        </w:rPr>
        <w:t xml:space="preserve">Form 12 </w:t>
      </w:r>
      <w:hyperlink r:id="rId41" w:history="1">
        <w:r w:rsidRPr="00B40A77">
          <w:rPr>
            <w:rStyle w:val="Hyperlink"/>
            <w:color w:val="000000" w:themeColor="text1"/>
          </w:rPr>
          <w:t>Certificate of Proof of Service</w:t>
        </w:r>
      </w:hyperlink>
    </w:p>
    <w:p w14:paraId="092EE88A"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Service may also be proved by oral evidence and must be so proved if the Court so orders.</w:t>
      </w:r>
    </w:p>
    <w:p w14:paraId="679BB1A0" w14:textId="77777777" w:rsidR="00A351F3" w:rsidRPr="00B40A77" w:rsidRDefault="00A351F3" w:rsidP="00A351F3">
      <w:pPr>
        <w:pStyle w:val="Hangindent"/>
        <w:rPr>
          <w:color w:val="000000" w:themeColor="text1"/>
        </w:rPr>
      </w:pPr>
      <w:r w:rsidRPr="00B40A77">
        <w:rPr>
          <w:color w:val="000000" w:themeColor="text1"/>
        </w:rPr>
        <w:lastRenderedPageBreak/>
        <w:t>(3)</w:t>
      </w:r>
      <w:r w:rsidRPr="00B40A77">
        <w:rPr>
          <w:color w:val="000000" w:themeColor="text1"/>
        </w:rPr>
        <w:tab/>
        <w:t>The Court may dispense with compliance with this rule if satisfied that the requisite service was effected.</w:t>
      </w:r>
    </w:p>
    <w:p w14:paraId="5AFA2981" w14:textId="04653EBC" w:rsidR="00A351F3" w:rsidRPr="00B40A77" w:rsidRDefault="005E1EEA" w:rsidP="00A351F3">
      <w:pPr>
        <w:pStyle w:val="Heading4"/>
        <w:rPr>
          <w:color w:val="000000" w:themeColor="text1"/>
        </w:rPr>
      </w:pPr>
      <w:bookmarkStart w:id="294" w:name="_45.2—Requirements_for_affidavit"/>
      <w:bookmarkStart w:id="295" w:name="_Toc23776342"/>
      <w:bookmarkStart w:id="296" w:name="_Toc175238861"/>
      <w:bookmarkEnd w:id="294"/>
      <w:r w:rsidRPr="00B40A77">
        <w:rPr>
          <w:color w:val="000000" w:themeColor="text1"/>
        </w:rPr>
        <w:t>3</w:t>
      </w:r>
      <w:r w:rsidR="00E13B81" w:rsidRPr="00B40A77">
        <w:rPr>
          <w:color w:val="000000" w:themeColor="text1"/>
        </w:rPr>
        <w:t>6</w:t>
      </w:r>
      <w:r w:rsidR="00A351F3" w:rsidRPr="00B40A77">
        <w:rPr>
          <w:color w:val="000000" w:themeColor="text1"/>
        </w:rPr>
        <w:t>.2—</w:t>
      </w:r>
      <w:bookmarkEnd w:id="295"/>
      <w:r w:rsidR="00A351F3" w:rsidRPr="00B40A77">
        <w:rPr>
          <w:color w:val="000000" w:themeColor="text1"/>
        </w:rPr>
        <w:t>Requirements for affidavit or certificate of proof of service</w:t>
      </w:r>
      <w:bookmarkEnd w:id="296"/>
    </w:p>
    <w:p w14:paraId="4A1726A9" w14:textId="77777777" w:rsidR="00A351F3" w:rsidRPr="00B40A77" w:rsidRDefault="00A351F3" w:rsidP="00A351F3">
      <w:pPr>
        <w:pStyle w:val="Hangindent"/>
        <w:rPr>
          <w:rFonts w:cs="Times New Roman"/>
          <w:color w:val="000000" w:themeColor="text1"/>
        </w:rPr>
      </w:pPr>
      <w:r w:rsidRPr="00B40A77">
        <w:rPr>
          <w:rFonts w:cs="Times New Roman"/>
          <w:color w:val="000000" w:themeColor="text1"/>
        </w:rPr>
        <w:t>An affidavit of proof of service or certificate of proof of service must—</w:t>
      </w:r>
    </w:p>
    <w:p w14:paraId="7532F157" w14:textId="6B748F51" w:rsidR="00A351F3" w:rsidRPr="00B40A77" w:rsidRDefault="00A351F3" w:rsidP="00A351F3">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unless the Court otherwise orders or these Rules otherwise provide, be made by </w:t>
      </w:r>
      <w:r w:rsidR="00A8275A" w:rsidRPr="00B40A77">
        <w:rPr>
          <w:color w:val="000000" w:themeColor="text1"/>
          <w:lang w:val="en-US"/>
        </w:rPr>
        <w:t>the</w:t>
      </w:r>
      <w:r w:rsidRPr="00B40A77">
        <w:rPr>
          <w:color w:val="000000" w:themeColor="text1"/>
          <w:lang w:val="en-US"/>
        </w:rPr>
        <w:t xml:space="preserve"> person who served the document;</w:t>
      </w:r>
    </w:p>
    <w:p w14:paraId="3E618F8A" w14:textId="77777777" w:rsidR="00A351F3" w:rsidRPr="00B40A77" w:rsidRDefault="00A351F3" w:rsidP="00A351F3">
      <w:pPr>
        <w:pStyle w:val="Hangindent"/>
        <w:rPr>
          <w:color w:val="000000" w:themeColor="text1"/>
          <w:lang w:val="en-US"/>
        </w:rPr>
      </w:pPr>
      <w:r w:rsidRPr="00B40A77">
        <w:rPr>
          <w:color w:val="000000" w:themeColor="text1"/>
          <w:lang w:val="en-US"/>
        </w:rPr>
        <w:t>(b)</w:t>
      </w:r>
      <w:r w:rsidRPr="00B40A77">
        <w:rPr>
          <w:color w:val="000000" w:themeColor="text1"/>
          <w:lang w:val="en-US"/>
        </w:rPr>
        <w:tab/>
        <w:t>either exhibit a copy of the document served (including any notice required to be served with the document) or, if it has been filed at court, refer to the document by its name, date and filed document number; and</w:t>
      </w:r>
    </w:p>
    <w:p w14:paraId="3FCC8191" w14:textId="4FDA6DA3" w:rsidR="00A351F3" w:rsidRPr="00B40A77" w:rsidRDefault="00A351F3" w:rsidP="00A351F3">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depose to sufficient facts to prove service in accordance with the relevant part of </w:t>
      </w:r>
      <w:hyperlink w:anchor="_Division_2—Types_of" w:history="1">
        <w:r w:rsidR="005E1EEA" w:rsidRPr="00B40A77">
          <w:rPr>
            <w:rStyle w:val="Hyperlink"/>
            <w:color w:val="000000" w:themeColor="text1"/>
            <w:lang w:val="en-US"/>
          </w:rPr>
          <w:t>Division 2</w:t>
        </w:r>
      </w:hyperlink>
      <w:r w:rsidR="005E1EEA" w:rsidRPr="00B40A77">
        <w:rPr>
          <w:color w:val="000000" w:themeColor="text1"/>
          <w:lang w:val="en-US"/>
        </w:rPr>
        <w:t xml:space="preserve">, </w:t>
      </w:r>
      <w:hyperlink w:anchor="_Division_3—Service_requirements" w:history="1">
        <w:r w:rsidR="000E08AE" w:rsidRPr="00B40A77">
          <w:rPr>
            <w:rStyle w:val="Hyperlink"/>
            <w:color w:val="000000" w:themeColor="text1"/>
            <w:lang w:val="en-US"/>
          </w:rPr>
          <w:t xml:space="preserve">Division </w:t>
        </w:r>
        <w:r w:rsidRPr="00B40A77">
          <w:rPr>
            <w:rStyle w:val="Hyperlink"/>
            <w:color w:val="000000" w:themeColor="text1"/>
            <w:lang w:val="en-US"/>
          </w:rPr>
          <w:t>3</w:t>
        </w:r>
      </w:hyperlink>
      <w:r w:rsidR="005E1EEA" w:rsidRPr="00B40A77">
        <w:rPr>
          <w:color w:val="000000" w:themeColor="text1"/>
          <w:lang w:val="en-US"/>
        </w:rPr>
        <w:t xml:space="preserve"> or </w:t>
      </w:r>
      <w:hyperlink w:anchor="_Division_4—Address_for" w:history="1">
        <w:r w:rsidR="000E08AE" w:rsidRPr="00B40A77">
          <w:rPr>
            <w:rStyle w:val="Hyperlink"/>
            <w:color w:val="000000" w:themeColor="text1"/>
            <w:lang w:val="en-US"/>
          </w:rPr>
          <w:t xml:space="preserve">Division </w:t>
        </w:r>
        <w:r w:rsidR="005E1EEA" w:rsidRPr="00B40A77">
          <w:rPr>
            <w:rStyle w:val="Hyperlink"/>
            <w:color w:val="000000" w:themeColor="text1"/>
            <w:lang w:val="en-US"/>
          </w:rPr>
          <w:t>4</w:t>
        </w:r>
      </w:hyperlink>
      <w:r w:rsidRPr="00B40A77">
        <w:rPr>
          <w:color w:val="000000" w:themeColor="text1"/>
          <w:lang w:val="en-US"/>
        </w:rPr>
        <w:t>.</w:t>
      </w:r>
    </w:p>
    <w:p w14:paraId="239368C0" w14:textId="7EBD2A76" w:rsidR="00A351F3" w:rsidRPr="00B40A77" w:rsidRDefault="00C82171" w:rsidP="00A351F3">
      <w:pPr>
        <w:pStyle w:val="Heading4"/>
        <w:rPr>
          <w:color w:val="000000" w:themeColor="text1"/>
        </w:rPr>
      </w:pPr>
      <w:bookmarkStart w:id="297" w:name="_Toc65163014"/>
      <w:bookmarkStart w:id="298" w:name="_Toc175238862"/>
      <w:r w:rsidRPr="00B40A77">
        <w:rPr>
          <w:color w:val="000000" w:themeColor="text1"/>
        </w:rPr>
        <w:t>3</w:t>
      </w:r>
      <w:r w:rsidR="00E13B81" w:rsidRPr="00B40A77">
        <w:rPr>
          <w:color w:val="000000" w:themeColor="text1"/>
        </w:rPr>
        <w:t>6</w:t>
      </w:r>
      <w:r w:rsidR="00A351F3" w:rsidRPr="00B40A77">
        <w:rPr>
          <w:color w:val="000000" w:themeColor="text1"/>
        </w:rPr>
        <w:t>.3—Attempted service report</w:t>
      </w:r>
      <w:bookmarkEnd w:id="297"/>
      <w:bookmarkEnd w:id="298"/>
    </w:p>
    <w:p w14:paraId="692655C1" w14:textId="1D8FBC5C" w:rsidR="00A351F3" w:rsidRPr="00B40A77" w:rsidRDefault="00A351F3" w:rsidP="00A37E9E">
      <w:pPr>
        <w:pStyle w:val="Hangindent"/>
        <w:keepNext/>
        <w:ind w:left="567" w:firstLine="0"/>
        <w:rPr>
          <w:rFonts w:cs="Times New Roman"/>
          <w:color w:val="000000" w:themeColor="text1"/>
        </w:rPr>
      </w:pPr>
      <w:r w:rsidRPr="00B40A77">
        <w:rPr>
          <w:rFonts w:cs="Times New Roman"/>
          <w:color w:val="000000" w:themeColor="text1"/>
        </w:rPr>
        <w:t xml:space="preserve">If a party or process server is unable to effect service of an </w:t>
      </w:r>
      <w:r w:rsidR="008B3E79" w:rsidRPr="00B40A77">
        <w:rPr>
          <w:rFonts w:cs="Times New Roman"/>
          <w:color w:val="000000" w:themeColor="text1"/>
        </w:rPr>
        <w:t>I</w:t>
      </w:r>
      <w:r w:rsidRPr="00B40A77">
        <w:rPr>
          <w:rFonts w:cs="Times New Roman"/>
          <w:color w:val="000000" w:themeColor="text1"/>
        </w:rPr>
        <w:t>nformation or other document</w:t>
      </w:r>
      <w:r w:rsidR="00A552B4" w:rsidRPr="00B40A77">
        <w:rPr>
          <w:rFonts w:cs="Times New Roman"/>
          <w:color w:val="000000" w:themeColor="text1"/>
        </w:rPr>
        <w:t xml:space="preserve"> before a </w:t>
      </w:r>
      <w:hyperlink w:anchor="_2.1—Definitions" w:history="1">
        <w:r w:rsidR="00DB0A56" w:rsidRPr="00B40A77">
          <w:rPr>
            <w:rStyle w:val="Hyperlink"/>
            <w:color w:val="000000" w:themeColor="text1"/>
          </w:rPr>
          <w:t>hearing</w:t>
        </w:r>
      </w:hyperlink>
      <w:r w:rsidRPr="00B40A77">
        <w:rPr>
          <w:rFonts w:cs="Times New Roman"/>
          <w:color w:val="000000" w:themeColor="text1"/>
        </w:rPr>
        <w:t>, they must file an attempted service report in the prescribed form</w:t>
      </w:r>
      <w:r w:rsidR="00234D99" w:rsidRPr="00B40A77">
        <w:rPr>
          <w:rFonts w:cs="Times New Roman"/>
          <w:color w:val="000000" w:themeColor="text1"/>
        </w:rPr>
        <w:t xml:space="preserve"> at least </w:t>
      </w:r>
      <w:r w:rsidR="002936A8" w:rsidRPr="00B40A77">
        <w:rPr>
          <w:rFonts w:cs="Times New Roman"/>
          <w:color w:val="000000" w:themeColor="text1"/>
        </w:rPr>
        <w:t>2</w:t>
      </w:r>
      <w:r w:rsidR="004A0458" w:rsidRPr="00B40A77">
        <w:rPr>
          <w:rFonts w:cs="Times New Roman"/>
          <w:color w:val="000000" w:themeColor="text1"/>
        </w:rPr>
        <w:t> </w:t>
      </w:r>
      <w:hyperlink w:anchor="_2.1—Definitions" w:history="1">
        <w:r w:rsidR="00C92B2E" w:rsidRPr="00B40A77">
          <w:rPr>
            <w:rStyle w:val="Hyperlink"/>
            <w:rFonts w:cs="Times New Roman"/>
            <w:color w:val="000000" w:themeColor="text1"/>
          </w:rPr>
          <w:t>business</w:t>
        </w:r>
        <w:r w:rsidR="00234D99" w:rsidRPr="00B40A77">
          <w:rPr>
            <w:rStyle w:val="Hyperlink"/>
            <w:rFonts w:cs="Times New Roman"/>
            <w:color w:val="000000" w:themeColor="text1"/>
          </w:rPr>
          <w:t> </w:t>
        </w:r>
        <w:r w:rsidR="00832F03" w:rsidRPr="00B40A77">
          <w:rPr>
            <w:rStyle w:val="Hyperlink"/>
            <w:rFonts w:cs="Times New Roman"/>
            <w:color w:val="000000" w:themeColor="text1"/>
          </w:rPr>
          <w:t>days</w:t>
        </w:r>
      </w:hyperlink>
      <w:r w:rsidR="00832F03" w:rsidRPr="00B40A77">
        <w:rPr>
          <w:rFonts w:cs="Times New Roman"/>
          <w:color w:val="000000" w:themeColor="text1"/>
        </w:rPr>
        <w:t xml:space="preserve"> before the</w:t>
      </w:r>
      <w:r w:rsidR="00A552B4" w:rsidRPr="00B40A77">
        <w:rPr>
          <w:rFonts w:cs="Times New Roman"/>
          <w:color w:val="000000" w:themeColor="text1"/>
        </w:rPr>
        <w:t xml:space="preserve"> </w:t>
      </w:r>
      <w:hyperlink w:anchor="_2.1—Definitions" w:history="1">
        <w:r w:rsidR="00DB0A56" w:rsidRPr="00B40A77">
          <w:rPr>
            <w:rStyle w:val="Hyperlink"/>
            <w:color w:val="000000" w:themeColor="text1"/>
          </w:rPr>
          <w:t>hearing</w:t>
        </w:r>
      </w:hyperlink>
      <w:r w:rsidRPr="00B40A77">
        <w:rPr>
          <w:rFonts w:cs="Times New Roman"/>
          <w:color w:val="000000" w:themeColor="text1"/>
        </w:rPr>
        <w:t>.</w:t>
      </w:r>
    </w:p>
    <w:p w14:paraId="7EB4BC4E" w14:textId="77777777" w:rsidR="00A351F3" w:rsidRPr="00B40A77" w:rsidRDefault="00A351F3" w:rsidP="00462D7D">
      <w:pPr>
        <w:pStyle w:val="NoteHeader"/>
        <w:keepNext/>
        <w:ind w:left="567"/>
        <w:rPr>
          <w:color w:val="000000" w:themeColor="text1"/>
        </w:rPr>
      </w:pPr>
      <w:r w:rsidRPr="00B40A77">
        <w:rPr>
          <w:color w:val="000000" w:themeColor="text1"/>
        </w:rPr>
        <w:t>Prescribed form—</w:t>
      </w:r>
    </w:p>
    <w:p w14:paraId="20624558" w14:textId="2E39E778" w:rsidR="00A351F3" w:rsidRPr="00B40A77" w:rsidRDefault="007F0A8D" w:rsidP="008E5410">
      <w:pPr>
        <w:pStyle w:val="NoteText"/>
        <w:ind w:left="851"/>
        <w:rPr>
          <w:color w:val="000000" w:themeColor="text1"/>
        </w:rPr>
      </w:pPr>
      <w:r w:rsidRPr="00B40A77">
        <w:rPr>
          <w:color w:val="000000" w:themeColor="text1"/>
        </w:rPr>
        <w:t>Form 13</w:t>
      </w:r>
      <w:r w:rsidR="00A351F3" w:rsidRPr="00B40A77">
        <w:rPr>
          <w:color w:val="000000" w:themeColor="text1"/>
        </w:rPr>
        <w:t xml:space="preserve"> </w:t>
      </w:r>
      <w:hyperlink r:id="rId42" w:history="1">
        <w:r w:rsidR="00A351F3" w:rsidRPr="00B40A77">
          <w:rPr>
            <w:rStyle w:val="Hyperlink"/>
            <w:color w:val="000000" w:themeColor="text1"/>
          </w:rPr>
          <w:t>Attempted Service Report</w:t>
        </w:r>
      </w:hyperlink>
    </w:p>
    <w:p w14:paraId="15777D6C" w14:textId="0EC892BE" w:rsidR="00F90BA1" w:rsidRPr="00B40A77" w:rsidRDefault="00A351F3" w:rsidP="00BE23A0">
      <w:pPr>
        <w:pStyle w:val="Heading2"/>
        <w:keepNext/>
        <w:rPr>
          <w:color w:val="000000" w:themeColor="text1"/>
        </w:rPr>
      </w:pPr>
      <w:bookmarkStart w:id="299" w:name="_Toc175238863"/>
      <w:r w:rsidRPr="00B40A77">
        <w:rPr>
          <w:color w:val="000000" w:themeColor="text1"/>
        </w:rPr>
        <w:t>Part 7</w:t>
      </w:r>
      <w:r w:rsidR="00F90BA1" w:rsidRPr="00B40A77">
        <w:rPr>
          <w:color w:val="000000" w:themeColor="text1"/>
        </w:rPr>
        <w:t>—Hearings</w:t>
      </w:r>
      <w:r w:rsidR="008C5CE9" w:rsidRPr="00B40A77">
        <w:rPr>
          <w:color w:val="000000" w:themeColor="text1"/>
        </w:rPr>
        <w:t xml:space="preserve">, </w:t>
      </w:r>
      <w:r w:rsidR="007F5BC9" w:rsidRPr="00B40A77">
        <w:rPr>
          <w:color w:val="000000" w:themeColor="text1"/>
        </w:rPr>
        <w:t>applications</w:t>
      </w:r>
      <w:r w:rsidR="008C5CE9" w:rsidRPr="00B40A77">
        <w:rPr>
          <w:color w:val="000000" w:themeColor="text1"/>
        </w:rPr>
        <w:t xml:space="preserve"> and orders</w:t>
      </w:r>
      <w:bookmarkEnd w:id="299"/>
    </w:p>
    <w:p w14:paraId="7EAFF076" w14:textId="0EFC2033" w:rsidR="00363405" w:rsidRPr="00B40A77" w:rsidRDefault="00363405" w:rsidP="00363405">
      <w:pPr>
        <w:pStyle w:val="Heading3"/>
        <w:rPr>
          <w:color w:val="000000" w:themeColor="text1"/>
        </w:rPr>
      </w:pPr>
      <w:bookmarkStart w:id="300" w:name="_Toc175238864"/>
      <w:r w:rsidRPr="00B40A77">
        <w:rPr>
          <w:color w:val="000000" w:themeColor="text1"/>
        </w:rPr>
        <w:t>Division 1—Application of Part</w:t>
      </w:r>
      <w:bookmarkEnd w:id="300"/>
    </w:p>
    <w:p w14:paraId="4C1C1370" w14:textId="0121EF09" w:rsidR="00532863" w:rsidRPr="00B40A77" w:rsidRDefault="00C82171" w:rsidP="00532863">
      <w:pPr>
        <w:pStyle w:val="Heading4"/>
        <w:rPr>
          <w:color w:val="000000" w:themeColor="text1"/>
        </w:rPr>
      </w:pPr>
      <w:bookmarkStart w:id="301" w:name="_37.1—Application_of_Part"/>
      <w:bookmarkStart w:id="302" w:name="_Toc175238865"/>
      <w:bookmarkEnd w:id="301"/>
      <w:r w:rsidRPr="00B40A77">
        <w:rPr>
          <w:color w:val="000000" w:themeColor="text1"/>
        </w:rPr>
        <w:t>3</w:t>
      </w:r>
      <w:r w:rsidR="00E13B81" w:rsidRPr="00B40A77">
        <w:rPr>
          <w:color w:val="000000" w:themeColor="text1"/>
        </w:rPr>
        <w:t>7</w:t>
      </w:r>
      <w:r w:rsidR="00532863" w:rsidRPr="00B40A77">
        <w:rPr>
          <w:color w:val="000000" w:themeColor="text1"/>
        </w:rPr>
        <w:t>.1—Application of Part</w:t>
      </w:r>
      <w:bookmarkEnd w:id="302"/>
    </w:p>
    <w:p w14:paraId="7D3F01C1" w14:textId="6C57DAD9" w:rsidR="00532863" w:rsidRPr="00B40A77" w:rsidRDefault="00532863" w:rsidP="00532863">
      <w:pPr>
        <w:pStyle w:val="Hangindent"/>
        <w:rPr>
          <w:color w:val="000000" w:themeColor="text1"/>
          <w:lang w:val="en-US"/>
        </w:rPr>
      </w:pPr>
      <w:r w:rsidRPr="00B40A77">
        <w:rPr>
          <w:color w:val="000000" w:themeColor="text1"/>
          <w:lang w:val="en-US"/>
        </w:rPr>
        <w:t>(1)</w:t>
      </w:r>
      <w:r w:rsidRPr="00B40A77">
        <w:rPr>
          <w:color w:val="000000" w:themeColor="text1"/>
          <w:lang w:val="en-US"/>
        </w:rPr>
        <w:tab/>
        <w:t>This Part applies</w:t>
      </w:r>
      <w:r w:rsidR="009E19DF" w:rsidRPr="00B40A77">
        <w:rPr>
          <w:color w:val="000000" w:themeColor="text1"/>
          <w:lang w:val="en-US"/>
        </w:rPr>
        <w:t xml:space="preserve">, unless the context indicates otherwise, </w:t>
      </w:r>
      <w:r w:rsidRPr="00B40A77">
        <w:rPr>
          <w:color w:val="000000" w:themeColor="text1"/>
          <w:lang w:val="en-US"/>
        </w:rPr>
        <w:t xml:space="preserve">to all forms of hearings including </w:t>
      </w:r>
      <w:hyperlink w:anchor="_2.1—Definitions" w:history="1">
        <w:r w:rsidR="006D6EB8" w:rsidRPr="00B40A77">
          <w:rPr>
            <w:rStyle w:val="Hyperlink"/>
            <w:color w:val="000000" w:themeColor="text1"/>
          </w:rPr>
          <w:t>sentencing hearing</w:t>
        </w:r>
      </w:hyperlink>
      <w:r w:rsidRPr="00B40A77">
        <w:rPr>
          <w:color w:val="000000" w:themeColor="text1"/>
          <w:u w:val="single"/>
          <w:lang w:val="en-US"/>
        </w:rPr>
        <w:t>s</w:t>
      </w:r>
      <w:r w:rsidRPr="00B40A77">
        <w:rPr>
          <w:color w:val="000000" w:themeColor="text1"/>
          <w:lang w:val="en-US"/>
        </w:rPr>
        <w:t xml:space="preserve">, </w:t>
      </w:r>
      <w:r w:rsidRPr="00B40A77">
        <w:rPr>
          <w:color w:val="000000" w:themeColor="text1"/>
          <w:u w:val="single"/>
          <w:lang w:val="en-US"/>
        </w:rPr>
        <w:t>trials</w:t>
      </w:r>
      <w:r w:rsidRPr="00B40A77">
        <w:rPr>
          <w:color w:val="000000" w:themeColor="text1"/>
          <w:lang w:val="en-US"/>
        </w:rPr>
        <w:t xml:space="preserve"> and </w:t>
      </w:r>
      <w:hyperlink w:anchor="_2.1—Definitions" w:history="1">
        <w:r w:rsidRPr="00B40A77">
          <w:rPr>
            <w:rStyle w:val="Hyperlink"/>
            <w:color w:val="000000" w:themeColor="text1"/>
            <w:lang w:val="en-US"/>
          </w:rPr>
          <w:t>appellate hearings</w:t>
        </w:r>
      </w:hyperlink>
      <w:r w:rsidRPr="00B40A77">
        <w:rPr>
          <w:color w:val="000000" w:themeColor="text1"/>
          <w:lang w:val="en-US"/>
        </w:rPr>
        <w:t>.</w:t>
      </w:r>
    </w:p>
    <w:p w14:paraId="75333695" w14:textId="4D6FFAF7" w:rsidR="00532863" w:rsidRPr="00B40A77" w:rsidRDefault="00532863" w:rsidP="0053286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In this Part, unless the context indicates otherwise, </w:t>
      </w:r>
      <w:r w:rsidRPr="00B40A77">
        <w:rPr>
          <w:b/>
          <w:i/>
          <w:color w:val="000000" w:themeColor="text1"/>
          <w:lang w:val="en-US"/>
        </w:rPr>
        <w:t>hearing</w:t>
      </w:r>
      <w:r w:rsidR="002A3AF2" w:rsidRPr="00B40A77">
        <w:rPr>
          <w:color w:val="000000" w:themeColor="text1"/>
          <w:lang w:val="en-US"/>
        </w:rPr>
        <w:t xml:space="preserve"> includes a </w:t>
      </w:r>
      <w:hyperlink w:anchor="_2.1—Definitions" w:history="1">
        <w:r w:rsidR="006D6EB8" w:rsidRPr="00B40A77">
          <w:rPr>
            <w:rStyle w:val="Hyperlink"/>
            <w:color w:val="000000" w:themeColor="text1"/>
          </w:rPr>
          <w:t>sentencing hearing</w:t>
        </w:r>
      </w:hyperlink>
      <w:r w:rsidRPr="00B40A77">
        <w:rPr>
          <w:color w:val="000000" w:themeColor="text1"/>
          <w:lang w:val="en-US"/>
        </w:rPr>
        <w:t xml:space="preserve">, trial or </w:t>
      </w:r>
      <w:hyperlink w:anchor="_2.1—Definitions" w:history="1">
        <w:r w:rsidRPr="00B40A77">
          <w:rPr>
            <w:rStyle w:val="Hyperlink"/>
            <w:color w:val="000000" w:themeColor="text1"/>
            <w:lang w:val="en-US"/>
          </w:rPr>
          <w:t>appellate hearing</w:t>
        </w:r>
      </w:hyperlink>
      <w:r w:rsidRPr="00B40A77">
        <w:rPr>
          <w:color w:val="000000" w:themeColor="text1"/>
          <w:lang w:val="en-US"/>
        </w:rPr>
        <w:t>.</w:t>
      </w:r>
    </w:p>
    <w:p w14:paraId="48D077F9" w14:textId="49B1B655" w:rsidR="001A1B27" w:rsidRPr="00B40A77" w:rsidRDefault="00363405" w:rsidP="001A1B27">
      <w:pPr>
        <w:pStyle w:val="Heading3"/>
        <w:rPr>
          <w:color w:val="000000" w:themeColor="text1"/>
        </w:rPr>
      </w:pPr>
      <w:bookmarkStart w:id="303" w:name="_Toc175238866"/>
      <w:r w:rsidRPr="00B40A77">
        <w:rPr>
          <w:color w:val="000000" w:themeColor="text1"/>
        </w:rPr>
        <w:t>Division 2</w:t>
      </w:r>
      <w:r w:rsidR="001A1B27" w:rsidRPr="00B40A77">
        <w:rPr>
          <w:color w:val="000000" w:themeColor="text1"/>
        </w:rPr>
        <w:t>—</w:t>
      </w:r>
      <w:r w:rsidR="00532863" w:rsidRPr="00B40A77">
        <w:rPr>
          <w:color w:val="000000" w:themeColor="text1"/>
        </w:rPr>
        <w:t>Hearings</w:t>
      </w:r>
      <w:bookmarkEnd w:id="303"/>
    </w:p>
    <w:p w14:paraId="6EF95C39" w14:textId="17A11C8E" w:rsidR="00660432" w:rsidRPr="00B40A77" w:rsidRDefault="00660432" w:rsidP="00660432">
      <w:pPr>
        <w:pStyle w:val="Heading3"/>
        <w:rPr>
          <w:color w:val="000000" w:themeColor="text1"/>
        </w:rPr>
      </w:pPr>
      <w:bookmarkStart w:id="304" w:name="_Toc175238867"/>
      <w:r w:rsidRPr="00B40A77">
        <w:rPr>
          <w:color w:val="000000" w:themeColor="text1"/>
        </w:rPr>
        <w:t>Subdivision 1—Powers of court</w:t>
      </w:r>
      <w:bookmarkEnd w:id="304"/>
    </w:p>
    <w:p w14:paraId="6F53F6E8" w14:textId="466E5C35" w:rsidR="00660432" w:rsidRPr="00B40A77" w:rsidRDefault="005E1EEA" w:rsidP="00B87028">
      <w:pPr>
        <w:pStyle w:val="Heading4"/>
        <w:rPr>
          <w:color w:val="000000" w:themeColor="text1"/>
        </w:rPr>
      </w:pPr>
      <w:bookmarkStart w:id="305" w:name="_Toc175238868"/>
      <w:r w:rsidRPr="00B40A77">
        <w:rPr>
          <w:color w:val="000000" w:themeColor="text1"/>
        </w:rPr>
        <w:t>3</w:t>
      </w:r>
      <w:r w:rsidR="00E13B81" w:rsidRPr="00B40A77">
        <w:rPr>
          <w:color w:val="000000" w:themeColor="text1"/>
        </w:rPr>
        <w:t>8</w:t>
      </w:r>
      <w:r w:rsidR="00660432" w:rsidRPr="00B40A77">
        <w:rPr>
          <w:color w:val="000000" w:themeColor="text1"/>
        </w:rPr>
        <w:t>.1—Powers of the Court at hearings</w:t>
      </w:r>
      <w:bookmarkEnd w:id="305"/>
    </w:p>
    <w:p w14:paraId="03341A65" w14:textId="5BFBC586" w:rsidR="00660432" w:rsidRPr="00B40A77" w:rsidRDefault="00660432" w:rsidP="0066043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At a </w:t>
      </w:r>
      <w:hyperlink w:anchor="_37.1—Application_of_Part" w:history="1">
        <w:r w:rsidRPr="00B40A77">
          <w:rPr>
            <w:rStyle w:val="Hyperlink"/>
            <w:color w:val="000000" w:themeColor="text1"/>
            <w:lang w:val="en-US"/>
          </w:rPr>
          <w:t>hearing</w:t>
        </w:r>
      </w:hyperlink>
      <w:r w:rsidRPr="00B40A77">
        <w:rPr>
          <w:color w:val="000000" w:themeColor="text1"/>
          <w:lang w:val="en-US"/>
        </w:rPr>
        <w:t>, the Court may—</w:t>
      </w:r>
    </w:p>
    <w:p w14:paraId="00E54EC4" w14:textId="77777777" w:rsidR="00660432" w:rsidRPr="00B40A77" w:rsidRDefault="00660432" w:rsidP="00660432">
      <w:pPr>
        <w:pStyle w:val="Doublehangindent"/>
        <w:rPr>
          <w:color w:val="000000" w:themeColor="text1"/>
          <w:lang w:val="en-US"/>
        </w:rPr>
      </w:pPr>
      <w:r w:rsidRPr="00B40A77">
        <w:rPr>
          <w:color w:val="000000" w:themeColor="text1"/>
          <w:lang w:val="en-US"/>
        </w:rPr>
        <w:t>(a)</w:t>
      </w:r>
      <w:r w:rsidRPr="00B40A77">
        <w:rPr>
          <w:color w:val="000000" w:themeColor="text1"/>
          <w:lang w:val="en-US"/>
        </w:rPr>
        <w:tab/>
        <w:t>record the entry of a plea;</w:t>
      </w:r>
    </w:p>
    <w:p w14:paraId="780B5FE9" w14:textId="77777777" w:rsidR="00660432" w:rsidRPr="00B40A77" w:rsidRDefault="00660432" w:rsidP="00660432">
      <w:pPr>
        <w:pStyle w:val="Doublehangindent"/>
        <w:rPr>
          <w:color w:val="000000" w:themeColor="text1"/>
          <w:lang w:val="en-US"/>
        </w:rPr>
      </w:pPr>
      <w:r w:rsidRPr="00B40A77">
        <w:rPr>
          <w:color w:val="000000" w:themeColor="text1"/>
          <w:lang w:val="en-US"/>
        </w:rPr>
        <w:t>(b)</w:t>
      </w:r>
      <w:r w:rsidRPr="00B40A77">
        <w:rPr>
          <w:color w:val="000000" w:themeColor="text1"/>
          <w:lang w:val="en-US"/>
        </w:rPr>
        <w:tab/>
        <w:t>accept, reject or defer acceptance of a guilty plea;</w:t>
      </w:r>
    </w:p>
    <w:p w14:paraId="6F552654" w14:textId="470FF770" w:rsidR="00B55ACB" w:rsidRPr="00B40A77" w:rsidRDefault="00660432" w:rsidP="00660432">
      <w:pPr>
        <w:pStyle w:val="Doublehangindent"/>
        <w:rPr>
          <w:color w:val="000000" w:themeColor="text1"/>
          <w:lang w:val="en-US"/>
        </w:rPr>
      </w:pPr>
      <w:r w:rsidRPr="00B40A77">
        <w:rPr>
          <w:color w:val="000000" w:themeColor="text1"/>
          <w:lang w:val="en-US"/>
        </w:rPr>
        <w:t>(c)</w:t>
      </w:r>
      <w:r w:rsidRPr="00B40A77">
        <w:rPr>
          <w:color w:val="000000" w:themeColor="text1"/>
          <w:lang w:val="en-US"/>
        </w:rPr>
        <w:tab/>
        <w:t>r</w:t>
      </w:r>
      <w:r w:rsidR="00B55ACB" w:rsidRPr="00B40A77">
        <w:rPr>
          <w:color w:val="000000" w:themeColor="text1"/>
          <w:lang w:val="en-US"/>
        </w:rPr>
        <w:t xml:space="preserve">ecord the withdrawal of a count or the entry of a </w:t>
      </w:r>
      <w:r w:rsidR="00B55ACB" w:rsidRPr="00B40A77">
        <w:rPr>
          <w:i/>
          <w:color w:val="000000" w:themeColor="text1"/>
          <w:lang w:val="en-US"/>
        </w:rPr>
        <w:t>nolle prosequi</w:t>
      </w:r>
      <w:r w:rsidR="00B55ACB" w:rsidRPr="00B40A77">
        <w:rPr>
          <w:color w:val="000000" w:themeColor="text1"/>
          <w:lang w:val="en-US"/>
        </w:rPr>
        <w:t>;</w:t>
      </w:r>
    </w:p>
    <w:p w14:paraId="20280D30" w14:textId="249F89FC" w:rsidR="00660432" w:rsidRPr="00B40A77" w:rsidRDefault="00660432" w:rsidP="00660432">
      <w:pPr>
        <w:pStyle w:val="Doublehangindent"/>
        <w:rPr>
          <w:color w:val="000000" w:themeColor="text1"/>
          <w:lang w:val="en-US"/>
        </w:rPr>
      </w:pPr>
      <w:r w:rsidRPr="00B40A77">
        <w:rPr>
          <w:color w:val="000000" w:themeColor="text1"/>
          <w:lang w:val="en-US"/>
        </w:rPr>
        <w:t>(d)</w:t>
      </w:r>
      <w:r w:rsidRPr="00B40A77">
        <w:rPr>
          <w:color w:val="000000" w:themeColor="text1"/>
          <w:lang w:val="en-US"/>
        </w:rPr>
        <w:tab/>
        <w:t>accept, reject or defer acceptance of withdrawal of a count;</w:t>
      </w:r>
    </w:p>
    <w:p w14:paraId="3B8EAEC6" w14:textId="64D58B48" w:rsidR="00660432" w:rsidRPr="00B40A77" w:rsidRDefault="00660432" w:rsidP="00660432">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give directions and set time limits for </w:t>
      </w:r>
      <w:hyperlink w:anchor="_2.1—Definitions" w:history="1">
        <w:r w:rsidR="0042083D" w:rsidRPr="00B40A77">
          <w:rPr>
            <w:rStyle w:val="Hyperlink"/>
            <w:color w:val="000000" w:themeColor="text1"/>
            <w:lang w:val="en-US"/>
          </w:rPr>
          <w:t>step</w:t>
        </w:r>
      </w:hyperlink>
      <w:r w:rsidRPr="00B40A77">
        <w:rPr>
          <w:color w:val="000000" w:themeColor="text1"/>
          <w:u w:val="single"/>
          <w:lang w:val="en-US"/>
        </w:rPr>
        <w:t>s</w:t>
      </w:r>
      <w:r w:rsidRPr="00B40A77">
        <w:rPr>
          <w:color w:val="000000" w:themeColor="text1"/>
          <w:lang w:val="en-US"/>
        </w:rPr>
        <w:t xml:space="preserve"> in the proceeding;</w:t>
      </w:r>
    </w:p>
    <w:p w14:paraId="6BD3AE94" w14:textId="77777777" w:rsidR="00660432" w:rsidRPr="00B40A77" w:rsidRDefault="00660432" w:rsidP="00660432">
      <w:pPr>
        <w:pStyle w:val="Doublehangindent"/>
        <w:rPr>
          <w:color w:val="000000" w:themeColor="text1"/>
          <w:lang w:val="en-US"/>
        </w:rPr>
      </w:pPr>
      <w:r w:rsidRPr="00B40A77">
        <w:rPr>
          <w:color w:val="000000" w:themeColor="text1"/>
          <w:lang w:val="en-US"/>
        </w:rPr>
        <w:t>(f)</w:t>
      </w:r>
      <w:r w:rsidRPr="00B40A77">
        <w:rPr>
          <w:color w:val="000000" w:themeColor="text1"/>
          <w:lang w:val="en-US"/>
        </w:rPr>
        <w:tab/>
        <w:t>hear sentencing submissions;</w:t>
      </w:r>
    </w:p>
    <w:p w14:paraId="32DD5D00" w14:textId="177D4025" w:rsidR="00660432" w:rsidRPr="00B40A77" w:rsidRDefault="00660432" w:rsidP="00660432">
      <w:pPr>
        <w:pStyle w:val="Doublehangindent"/>
        <w:rPr>
          <w:color w:val="000000" w:themeColor="text1"/>
          <w:lang w:val="en-US"/>
        </w:rPr>
      </w:pPr>
      <w:r w:rsidRPr="00B40A77">
        <w:rPr>
          <w:color w:val="000000" w:themeColor="text1"/>
          <w:lang w:val="en-US"/>
        </w:rPr>
        <w:t>(g)</w:t>
      </w:r>
      <w:r w:rsidRPr="00B40A77">
        <w:rPr>
          <w:color w:val="000000" w:themeColor="text1"/>
          <w:lang w:val="en-US"/>
        </w:rPr>
        <w:tab/>
        <w:t>record a conviction for or finding proved</w:t>
      </w:r>
      <w:r w:rsidR="008E248F" w:rsidRPr="00B40A77">
        <w:rPr>
          <w:color w:val="000000" w:themeColor="text1"/>
          <w:lang w:val="en-US"/>
        </w:rPr>
        <w:t xml:space="preserve"> for</w:t>
      </w:r>
      <w:r w:rsidRPr="00B40A77">
        <w:rPr>
          <w:color w:val="000000" w:themeColor="text1"/>
          <w:lang w:val="en-US"/>
        </w:rPr>
        <w:t xml:space="preserve"> an offence;</w:t>
      </w:r>
    </w:p>
    <w:p w14:paraId="71459EF1" w14:textId="6F4D2EAE" w:rsidR="00660432" w:rsidRPr="00B40A77" w:rsidRDefault="00660432" w:rsidP="00660432">
      <w:pPr>
        <w:pStyle w:val="Doublehangindent"/>
        <w:rPr>
          <w:color w:val="000000" w:themeColor="text1"/>
          <w:lang w:val="en-US"/>
        </w:rPr>
      </w:pPr>
      <w:r w:rsidRPr="00B40A77">
        <w:rPr>
          <w:color w:val="000000" w:themeColor="text1"/>
          <w:lang w:val="en-US"/>
        </w:rPr>
        <w:t>(h)</w:t>
      </w:r>
      <w:r w:rsidRPr="00B40A77">
        <w:rPr>
          <w:color w:val="000000" w:themeColor="text1"/>
          <w:lang w:val="en-US"/>
        </w:rPr>
        <w:tab/>
        <w:t>hear or determine any ap</w:t>
      </w:r>
      <w:r w:rsidR="009A2F58" w:rsidRPr="00B40A77">
        <w:rPr>
          <w:color w:val="000000" w:themeColor="text1"/>
          <w:lang w:val="en-US"/>
        </w:rPr>
        <w:t xml:space="preserve">plication made under </w:t>
      </w:r>
      <w:hyperlink w:anchor="_Division_3—Applications" w:history="1">
        <w:r w:rsidR="00BE2B8E" w:rsidRPr="00B40A77">
          <w:rPr>
            <w:rStyle w:val="Hyperlink"/>
            <w:color w:val="000000" w:themeColor="text1"/>
            <w:lang w:val="en-US"/>
          </w:rPr>
          <w:t>Chapter</w:t>
        </w:r>
        <w:r w:rsidR="00582B40" w:rsidRPr="00B40A77">
          <w:rPr>
            <w:rStyle w:val="Hyperlink"/>
            <w:color w:val="000000" w:themeColor="text1"/>
            <w:lang w:val="en-US"/>
          </w:rPr>
          <w:t> </w:t>
        </w:r>
        <w:r w:rsidR="00BE2B8E" w:rsidRPr="00B40A77">
          <w:rPr>
            <w:rStyle w:val="Hyperlink"/>
            <w:color w:val="000000" w:themeColor="text1"/>
            <w:lang w:val="en-US"/>
          </w:rPr>
          <w:t>2 Part</w:t>
        </w:r>
        <w:r w:rsidR="00582B40" w:rsidRPr="00B40A77">
          <w:rPr>
            <w:rStyle w:val="Hyperlink"/>
            <w:color w:val="000000" w:themeColor="text1"/>
            <w:lang w:val="en-US"/>
          </w:rPr>
          <w:t> </w:t>
        </w:r>
        <w:r w:rsidR="00BE2B8E" w:rsidRPr="00B40A77">
          <w:rPr>
            <w:rStyle w:val="Hyperlink"/>
            <w:color w:val="000000" w:themeColor="text1"/>
            <w:lang w:val="en-US"/>
          </w:rPr>
          <w:t>7 Division</w:t>
        </w:r>
        <w:r w:rsidR="00582B40" w:rsidRPr="00B40A77">
          <w:rPr>
            <w:rStyle w:val="Hyperlink"/>
            <w:color w:val="000000" w:themeColor="text1"/>
            <w:lang w:val="en-US"/>
          </w:rPr>
          <w:t> </w:t>
        </w:r>
        <w:r w:rsidR="00BE2B8E" w:rsidRPr="00B40A77">
          <w:rPr>
            <w:rStyle w:val="Hyperlink"/>
            <w:color w:val="000000" w:themeColor="text1"/>
            <w:lang w:val="en-US"/>
          </w:rPr>
          <w:t>3</w:t>
        </w:r>
      </w:hyperlink>
      <w:r w:rsidRPr="00B40A77">
        <w:rPr>
          <w:color w:val="000000" w:themeColor="text1"/>
          <w:lang w:val="en-US"/>
        </w:rPr>
        <w:t>;</w:t>
      </w:r>
    </w:p>
    <w:p w14:paraId="16EF6A81" w14:textId="77777777" w:rsidR="00660432" w:rsidRPr="00B40A77" w:rsidRDefault="00660432" w:rsidP="00660432">
      <w:pPr>
        <w:pStyle w:val="Doublehangindent"/>
        <w:rPr>
          <w:color w:val="000000" w:themeColor="text1"/>
          <w:lang w:val="en-US"/>
        </w:rPr>
      </w:pPr>
      <w:r w:rsidRPr="00B40A77">
        <w:rPr>
          <w:color w:val="000000" w:themeColor="text1"/>
          <w:lang w:val="en-US"/>
        </w:rPr>
        <w:t>(i)</w:t>
      </w:r>
      <w:r w:rsidRPr="00B40A77">
        <w:rPr>
          <w:color w:val="000000" w:themeColor="text1"/>
          <w:lang w:val="en-US"/>
        </w:rPr>
        <w:tab/>
        <w:t>set or alter the date or place for the commencement of a trial;</w:t>
      </w:r>
    </w:p>
    <w:p w14:paraId="79D5A084" w14:textId="7F04CE21" w:rsidR="00660432" w:rsidRPr="00B40A77" w:rsidRDefault="00660432" w:rsidP="00660432">
      <w:pPr>
        <w:pStyle w:val="Doublehangindent"/>
        <w:rPr>
          <w:color w:val="000000" w:themeColor="text1"/>
          <w:lang w:val="en-US"/>
        </w:rPr>
      </w:pPr>
      <w:r w:rsidRPr="00B40A77">
        <w:rPr>
          <w:color w:val="000000" w:themeColor="text1"/>
          <w:lang w:val="en-US"/>
        </w:rPr>
        <w:lastRenderedPageBreak/>
        <w:t>(j)</w:t>
      </w:r>
      <w:r w:rsidRPr="00B40A77">
        <w:rPr>
          <w:color w:val="000000" w:themeColor="text1"/>
          <w:lang w:val="en-US"/>
        </w:rPr>
        <w:tab/>
        <w:t xml:space="preserve">make an order for any interpreter, communication assistance or accompaniment that may be required for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137BD700" w14:textId="77777777" w:rsidR="00660432" w:rsidRPr="00B40A77" w:rsidRDefault="00660432" w:rsidP="00660432">
      <w:pPr>
        <w:pStyle w:val="Doublehangindent"/>
        <w:rPr>
          <w:color w:val="000000" w:themeColor="text1"/>
          <w:lang w:val="en-US"/>
        </w:rPr>
      </w:pPr>
      <w:r w:rsidRPr="00B40A77">
        <w:rPr>
          <w:color w:val="000000" w:themeColor="text1"/>
          <w:lang w:val="en-US"/>
        </w:rPr>
        <w:t>(k)</w:t>
      </w:r>
      <w:r w:rsidRPr="00B40A77">
        <w:rPr>
          <w:color w:val="000000" w:themeColor="text1"/>
          <w:lang w:val="en-US"/>
        </w:rPr>
        <w:tab/>
        <w:t>make an order in relation to bail;</w:t>
      </w:r>
    </w:p>
    <w:p w14:paraId="10F3D5F9" w14:textId="14B9C208" w:rsidR="00660432" w:rsidRPr="00B40A77" w:rsidRDefault="00660432" w:rsidP="00660432">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l</w:t>
      </w:r>
      <w:r w:rsidRPr="00B40A77">
        <w:rPr>
          <w:color w:val="000000" w:themeColor="text1"/>
          <w:lang w:val="en-US"/>
        </w:rPr>
        <w:t>)</w:t>
      </w:r>
      <w:r w:rsidRPr="00B40A77">
        <w:rPr>
          <w:color w:val="000000" w:themeColor="text1"/>
          <w:lang w:val="en-US"/>
        </w:rPr>
        <w:tab/>
        <w:t xml:space="preserve">adjourn 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to a subsequent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7564630E" w14:textId="2013373B" w:rsidR="00660432" w:rsidRPr="00B40A77" w:rsidRDefault="00660432" w:rsidP="00660432">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m</w:t>
      </w:r>
      <w:r w:rsidRPr="00B40A77">
        <w:rPr>
          <w:color w:val="000000" w:themeColor="text1"/>
          <w:lang w:val="en-US"/>
        </w:rPr>
        <w:t>)</w:t>
      </w:r>
      <w:r w:rsidRPr="00B40A77">
        <w:rPr>
          <w:color w:val="000000" w:themeColor="text1"/>
          <w:lang w:val="en-US"/>
        </w:rPr>
        <w:tab/>
        <w:t>remand a defendant or youth on bail or in custody; or</w:t>
      </w:r>
    </w:p>
    <w:p w14:paraId="273919BB" w14:textId="35556B2C" w:rsidR="00660432" w:rsidRPr="00B40A77" w:rsidRDefault="00660432" w:rsidP="00660432">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n</w:t>
      </w:r>
      <w:r w:rsidRPr="00B40A77">
        <w:rPr>
          <w:color w:val="000000" w:themeColor="text1"/>
          <w:lang w:val="en-US"/>
        </w:rPr>
        <w:t>)</w:t>
      </w:r>
      <w:r w:rsidRPr="00B40A77">
        <w:rPr>
          <w:color w:val="000000" w:themeColor="text1"/>
          <w:lang w:val="en-US"/>
        </w:rPr>
        <w:tab/>
        <w:t xml:space="preserve">make any other order concerning the conduct of the proceeding </w:t>
      </w:r>
      <w:r w:rsidR="009A2F58" w:rsidRPr="00B40A77">
        <w:rPr>
          <w:color w:val="000000" w:themeColor="text1"/>
          <w:lang w:val="en-US"/>
        </w:rPr>
        <w:t xml:space="preserve">or appellate proceeding </w:t>
      </w:r>
      <w:r w:rsidRPr="00B40A77">
        <w:rPr>
          <w:color w:val="000000" w:themeColor="text1"/>
          <w:lang w:val="en-US"/>
        </w:rPr>
        <w:t xml:space="preserve">or of a </w:t>
      </w:r>
      <w:r w:rsidRPr="00B40A77">
        <w:rPr>
          <w:color w:val="000000" w:themeColor="text1"/>
          <w:u w:val="single"/>
          <w:lang w:val="en-US"/>
        </w:rPr>
        <w:t>trial</w:t>
      </w:r>
      <w:r w:rsidRPr="00B40A77">
        <w:rPr>
          <w:color w:val="000000" w:themeColor="text1"/>
          <w:lang w:val="en-US"/>
        </w:rPr>
        <w:t xml:space="preserve"> or </w:t>
      </w:r>
      <w:hyperlink w:anchor="_2.1—Definitions" w:history="1">
        <w:r w:rsidR="006D6EB8" w:rsidRPr="00B40A77">
          <w:rPr>
            <w:rStyle w:val="Hyperlink"/>
            <w:color w:val="000000" w:themeColor="text1"/>
          </w:rPr>
          <w:t>sentencing hearing</w:t>
        </w:r>
      </w:hyperlink>
      <w:r w:rsidRPr="00B40A77">
        <w:rPr>
          <w:color w:val="000000" w:themeColor="text1"/>
          <w:lang w:val="en-US"/>
        </w:rPr>
        <w:t>.</w:t>
      </w:r>
    </w:p>
    <w:p w14:paraId="549CE855" w14:textId="18BF2414" w:rsidR="00660432" w:rsidRPr="00B40A77" w:rsidRDefault="00660432" w:rsidP="00660432">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Directions given at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may be supplemented or varied at a subsequent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2289F712" w14:textId="77777777" w:rsidR="00660432" w:rsidRPr="00B40A77" w:rsidRDefault="00660432" w:rsidP="00660432">
      <w:pPr>
        <w:pStyle w:val="Hangindent"/>
        <w:rPr>
          <w:color w:val="000000" w:themeColor="text1"/>
        </w:rPr>
      </w:pPr>
      <w:r w:rsidRPr="00B40A77">
        <w:rPr>
          <w:color w:val="000000" w:themeColor="text1"/>
          <w:lang w:val="en-US"/>
        </w:rPr>
        <w:t>(3)</w:t>
      </w:r>
      <w:r w:rsidRPr="00B40A77">
        <w:rPr>
          <w:color w:val="000000" w:themeColor="text1"/>
          <w:lang w:val="en-US"/>
        </w:rPr>
        <w:tab/>
        <w:t>The Court may make an order</w:t>
      </w:r>
      <w:r w:rsidRPr="00B40A77">
        <w:rPr>
          <w:color w:val="000000" w:themeColor="text1"/>
        </w:rPr>
        <w:t>—</w:t>
      </w:r>
    </w:p>
    <w:p w14:paraId="21D8407D" w14:textId="77777777" w:rsidR="00660432" w:rsidRPr="00B40A77" w:rsidRDefault="00660432" w:rsidP="00660432">
      <w:pPr>
        <w:pStyle w:val="Doublehangindent"/>
        <w:rPr>
          <w:color w:val="000000" w:themeColor="text1"/>
        </w:rPr>
      </w:pPr>
      <w:r w:rsidRPr="00B40A77">
        <w:rPr>
          <w:color w:val="000000" w:themeColor="text1"/>
        </w:rPr>
        <w:t>(a)</w:t>
      </w:r>
      <w:r w:rsidRPr="00B40A77">
        <w:rPr>
          <w:color w:val="000000" w:themeColor="text1"/>
        </w:rPr>
        <w:tab/>
        <w:t>on its own initiative or on the application of any person in relation to a proceeding;</w:t>
      </w:r>
    </w:p>
    <w:p w14:paraId="002EB1D0" w14:textId="0E4FCA56" w:rsidR="00660432" w:rsidRPr="00B40A77" w:rsidRDefault="00660432" w:rsidP="00660432">
      <w:pPr>
        <w:pStyle w:val="Doublehangindent"/>
        <w:rPr>
          <w:color w:val="000000" w:themeColor="text1"/>
        </w:rPr>
      </w:pPr>
      <w:r w:rsidRPr="00B40A77">
        <w:rPr>
          <w:color w:val="000000" w:themeColor="text1"/>
        </w:rPr>
        <w:t>(b)</w:t>
      </w:r>
      <w:r w:rsidRPr="00B40A77">
        <w:rPr>
          <w:color w:val="000000" w:themeColor="text1"/>
        </w:rPr>
        <w:tab/>
      </w:r>
      <w:hyperlink w:anchor="_2.1—Definitions" w:history="1">
        <w:hyperlink w:anchor="_2.1—Definitions" w:history="1">
          <w:r w:rsidR="00307014" w:rsidRPr="00B40A77">
            <w:rPr>
              <w:rStyle w:val="Hyperlink"/>
              <w:color w:val="000000" w:themeColor="text1"/>
              <w:lang w:val="en-US"/>
            </w:rPr>
            <w:t>in court</w:t>
          </w:r>
        </w:hyperlink>
      </w:hyperlink>
      <w:r w:rsidRPr="00B40A77">
        <w:rPr>
          <w:color w:val="000000" w:themeColor="text1"/>
        </w:rPr>
        <w:t xml:space="preserve"> or </w:t>
      </w:r>
      <w:hyperlink w:anchor="_2.1—Definitions" w:history="1">
        <w:r w:rsidRPr="00B40A77">
          <w:rPr>
            <w:rStyle w:val="Hyperlink"/>
            <w:color w:val="000000" w:themeColor="text1"/>
          </w:rPr>
          <w:t>in chambers</w:t>
        </w:r>
      </w:hyperlink>
      <w:r w:rsidRPr="00B40A77">
        <w:rPr>
          <w:color w:val="000000" w:themeColor="text1"/>
        </w:rPr>
        <w:t>.</w:t>
      </w:r>
    </w:p>
    <w:p w14:paraId="1A682718" w14:textId="77777777" w:rsidR="00660432" w:rsidRPr="00B40A77" w:rsidRDefault="00660432" w:rsidP="00A37E9E">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If a party seeks lengthy or detailed orders, the party must file or provide to the Court a draft order in the prescribed form.</w:t>
      </w:r>
    </w:p>
    <w:p w14:paraId="28B095D8" w14:textId="5886FB14" w:rsidR="00660432" w:rsidRPr="00B40A77" w:rsidRDefault="00660432" w:rsidP="00A37E9E">
      <w:pPr>
        <w:pStyle w:val="NoteHeader"/>
        <w:keepNext/>
        <w:rPr>
          <w:color w:val="000000" w:themeColor="text1"/>
        </w:rPr>
      </w:pPr>
      <w:r w:rsidRPr="00B40A77">
        <w:rPr>
          <w:color w:val="000000" w:themeColor="text1"/>
        </w:rPr>
        <w:t>Prescribed form</w:t>
      </w:r>
      <w:r w:rsidR="00D01629" w:rsidRPr="00B40A77">
        <w:rPr>
          <w:color w:val="000000" w:themeColor="text1"/>
        </w:rPr>
        <w:t>s</w:t>
      </w:r>
      <w:r w:rsidRPr="00B40A77">
        <w:rPr>
          <w:color w:val="000000" w:themeColor="text1"/>
        </w:rPr>
        <w:t>—</w:t>
      </w:r>
    </w:p>
    <w:p w14:paraId="19714450" w14:textId="261207EE" w:rsidR="00660432" w:rsidRPr="00B40A77" w:rsidRDefault="00556F89" w:rsidP="00660432">
      <w:pPr>
        <w:pStyle w:val="NoteText"/>
        <w:rPr>
          <w:color w:val="000000" w:themeColor="text1"/>
          <w:lang w:val="en-US"/>
        </w:rPr>
      </w:pPr>
      <w:r w:rsidRPr="00B40A77">
        <w:rPr>
          <w:color w:val="000000" w:themeColor="text1"/>
          <w:lang w:val="en-US"/>
        </w:rPr>
        <w:t>Form 100</w:t>
      </w:r>
      <w:r w:rsidR="00660432" w:rsidRPr="00B40A77">
        <w:rPr>
          <w:color w:val="000000" w:themeColor="text1"/>
          <w:lang w:val="en-US"/>
        </w:rPr>
        <w:t xml:space="preserve"> </w:t>
      </w:r>
      <w:hyperlink r:id="rId43" w:history="1">
        <w:r w:rsidR="00660432" w:rsidRPr="00B40A77">
          <w:rPr>
            <w:rStyle w:val="Hyperlink"/>
            <w:color w:val="000000" w:themeColor="text1"/>
            <w:lang w:val="en-US"/>
          </w:rPr>
          <w:t>Order</w:t>
        </w:r>
      </w:hyperlink>
    </w:p>
    <w:p w14:paraId="14CF44DF" w14:textId="1CC70244" w:rsidR="00D01629" w:rsidRPr="00B40A77" w:rsidRDefault="00D01629" w:rsidP="00D01629">
      <w:pPr>
        <w:pStyle w:val="NoteText"/>
        <w:rPr>
          <w:color w:val="000000" w:themeColor="text1"/>
          <w:lang w:val="en-US"/>
        </w:rPr>
      </w:pPr>
      <w:r w:rsidRPr="00B40A77">
        <w:rPr>
          <w:color w:val="000000" w:themeColor="text1"/>
          <w:lang w:val="en-US"/>
        </w:rPr>
        <w:t xml:space="preserve">Form 142 </w:t>
      </w:r>
      <w:hyperlink r:id="rId44" w:history="1">
        <w:r w:rsidRPr="00B40A77">
          <w:rPr>
            <w:rStyle w:val="Hyperlink"/>
            <w:color w:val="000000" w:themeColor="text1"/>
            <w:lang w:val="en-US"/>
          </w:rPr>
          <w:t>Order</w:t>
        </w:r>
      </w:hyperlink>
    </w:p>
    <w:p w14:paraId="6E8C3B63" w14:textId="19AEA526" w:rsidR="00D01629" w:rsidRPr="00B40A77" w:rsidRDefault="00D01629" w:rsidP="00867554">
      <w:pPr>
        <w:pStyle w:val="NoteText"/>
        <w:rPr>
          <w:color w:val="000000" w:themeColor="text1"/>
          <w:lang w:val="en-US"/>
        </w:rPr>
      </w:pPr>
      <w:r w:rsidRPr="00B40A77">
        <w:rPr>
          <w:color w:val="000000" w:themeColor="text1"/>
          <w:lang w:val="en-US"/>
        </w:rPr>
        <w:t xml:space="preserve">Form 199 </w:t>
      </w:r>
      <w:hyperlink r:id="rId45" w:history="1">
        <w:r w:rsidRPr="00B40A77">
          <w:rPr>
            <w:rStyle w:val="Hyperlink"/>
            <w:color w:val="000000" w:themeColor="text1"/>
            <w:lang w:val="en-US"/>
          </w:rPr>
          <w:t>Order</w:t>
        </w:r>
      </w:hyperlink>
    </w:p>
    <w:p w14:paraId="295669A3" w14:textId="77777777" w:rsidR="00660432" w:rsidRPr="00B40A77" w:rsidRDefault="00660432" w:rsidP="00A37E9E">
      <w:pPr>
        <w:pStyle w:val="Hangindent"/>
        <w:keepNext/>
        <w:rPr>
          <w:color w:val="000000" w:themeColor="text1"/>
          <w:lang w:val="en-US"/>
        </w:rPr>
      </w:pPr>
      <w:r w:rsidRPr="00B40A77">
        <w:rPr>
          <w:color w:val="000000" w:themeColor="text1"/>
          <w:lang w:val="en-US"/>
        </w:rPr>
        <w:t>(5)</w:t>
      </w:r>
      <w:r w:rsidRPr="00B40A77">
        <w:rPr>
          <w:color w:val="000000" w:themeColor="text1"/>
          <w:lang w:val="en-US"/>
        </w:rPr>
        <w:tab/>
        <w:t>A party may consent to an order by filing and serving a consent to order in the prescribed form.</w:t>
      </w:r>
    </w:p>
    <w:p w14:paraId="731F4B02" w14:textId="77777777" w:rsidR="00660432" w:rsidRPr="00B40A77" w:rsidRDefault="00660432" w:rsidP="00A37E9E">
      <w:pPr>
        <w:pStyle w:val="NoteHeader"/>
        <w:keepNext/>
        <w:rPr>
          <w:color w:val="000000" w:themeColor="text1"/>
        </w:rPr>
      </w:pPr>
      <w:r w:rsidRPr="00B40A77">
        <w:rPr>
          <w:color w:val="000000" w:themeColor="text1"/>
        </w:rPr>
        <w:t>Prescribed form—</w:t>
      </w:r>
    </w:p>
    <w:p w14:paraId="128D7FCB" w14:textId="5C02705B" w:rsidR="00660432" w:rsidRPr="00B40A77" w:rsidRDefault="0041097B" w:rsidP="00660432">
      <w:pPr>
        <w:pStyle w:val="NoteText"/>
        <w:rPr>
          <w:rStyle w:val="Hyperlink"/>
          <w:color w:val="000000" w:themeColor="text1"/>
          <w:lang w:val="en-US"/>
        </w:rPr>
      </w:pPr>
      <w:r w:rsidRPr="00B40A77">
        <w:rPr>
          <w:color w:val="000000" w:themeColor="text1"/>
          <w:lang w:val="en-US"/>
        </w:rPr>
        <w:t>Form 96</w:t>
      </w:r>
      <w:r w:rsidR="00660432" w:rsidRPr="00B40A77">
        <w:rPr>
          <w:color w:val="000000" w:themeColor="text1"/>
          <w:lang w:val="en-US"/>
        </w:rPr>
        <w:t xml:space="preserve"> </w:t>
      </w:r>
      <w:hyperlink r:id="rId46" w:history="1">
        <w:r w:rsidR="00660432" w:rsidRPr="00B40A77">
          <w:rPr>
            <w:rStyle w:val="Hyperlink"/>
            <w:color w:val="000000" w:themeColor="text1"/>
            <w:lang w:val="en-US"/>
          </w:rPr>
          <w:t>Consent to Order</w:t>
        </w:r>
      </w:hyperlink>
    </w:p>
    <w:p w14:paraId="0869DB5B" w14:textId="174FD3B0" w:rsidR="001D795E" w:rsidRPr="00B40A77" w:rsidRDefault="001D795E" w:rsidP="001D795E">
      <w:pPr>
        <w:pStyle w:val="Heading3"/>
        <w:rPr>
          <w:color w:val="000000" w:themeColor="text1"/>
        </w:rPr>
      </w:pPr>
      <w:bookmarkStart w:id="306" w:name="_Toc175238869"/>
      <w:r w:rsidRPr="00B40A77">
        <w:rPr>
          <w:color w:val="000000" w:themeColor="text1"/>
        </w:rPr>
        <w:t>Subd</w:t>
      </w:r>
      <w:r w:rsidR="003756AC" w:rsidRPr="00B40A77">
        <w:rPr>
          <w:color w:val="000000" w:themeColor="text1"/>
        </w:rPr>
        <w:t>ivision 2</w:t>
      </w:r>
      <w:r w:rsidRPr="00B40A77">
        <w:rPr>
          <w:color w:val="000000" w:themeColor="text1"/>
        </w:rPr>
        <w:t>—</w:t>
      </w:r>
      <w:r w:rsidR="004E078C" w:rsidRPr="00B40A77">
        <w:rPr>
          <w:color w:val="000000" w:themeColor="text1"/>
        </w:rPr>
        <w:t>Attendanc</w:t>
      </w:r>
      <w:r w:rsidRPr="00B40A77">
        <w:rPr>
          <w:color w:val="000000" w:themeColor="text1"/>
        </w:rPr>
        <w:t>e of parties and public</w:t>
      </w:r>
      <w:bookmarkEnd w:id="306"/>
    </w:p>
    <w:p w14:paraId="2E9A0E94" w14:textId="6F00C7FA" w:rsidR="00F90BA1" w:rsidRPr="00B40A77" w:rsidRDefault="00E13B81" w:rsidP="004057D2">
      <w:pPr>
        <w:pStyle w:val="Heading4"/>
        <w:rPr>
          <w:color w:val="000000" w:themeColor="text1"/>
        </w:rPr>
      </w:pPr>
      <w:bookmarkStart w:id="307" w:name="_Toc175238870"/>
      <w:r w:rsidRPr="00B40A77">
        <w:rPr>
          <w:color w:val="000000" w:themeColor="text1"/>
        </w:rPr>
        <w:t>38</w:t>
      </w:r>
      <w:r w:rsidR="00532863" w:rsidRPr="00B40A77">
        <w:rPr>
          <w:color w:val="000000" w:themeColor="text1"/>
        </w:rPr>
        <w:t>.</w:t>
      </w:r>
      <w:r w:rsidR="00660432" w:rsidRPr="00B40A77">
        <w:rPr>
          <w:color w:val="000000" w:themeColor="text1"/>
        </w:rPr>
        <w:t>2</w:t>
      </w:r>
      <w:r w:rsidR="00F90BA1" w:rsidRPr="00B40A77">
        <w:rPr>
          <w:color w:val="000000" w:themeColor="text1"/>
        </w:rPr>
        <w:t>—Hearings ordinarily in presence of parties</w:t>
      </w:r>
      <w:bookmarkEnd w:id="307"/>
    </w:p>
    <w:p w14:paraId="672DFCC9" w14:textId="7CCD655A" w:rsidR="00F90BA1" w:rsidRPr="00B40A77" w:rsidRDefault="00F90BA1" w:rsidP="00F90BA1">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Hearings are ordinarily held in the presence of the parties or their </w:t>
      </w:r>
      <w:r w:rsidR="00872D66" w:rsidRPr="00B40A77">
        <w:rPr>
          <w:color w:val="000000" w:themeColor="text1"/>
          <w:lang w:val="en-US"/>
        </w:rPr>
        <w:t>lawyers</w:t>
      </w:r>
      <w:r w:rsidR="00000FF9" w:rsidRPr="00B40A77">
        <w:rPr>
          <w:color w:val="000000" w:themeColor="text1"/>
          <w:lang w:val="en-US"/>
        </w:rPr>
        <w:t xml:space="preserve"> or other representatives</w:t>
      </w:r>
      <w:r w:rsidR="00B13B88" w:rsidRPr="00B40A77">
        <w:rPr>
          <w:color w:val="000000" w:themeColor="text1"/>
          <w:lang w:val="en-US"/>
        </w:rPr>
        <w:t>, whether phys</w:t>
      </w:r>
      <w:r w:rsidR="009A2F58" w:rsidRPr="00B40A77">
        <w:rPr>
          <w:color w:val="000000" w:themeColor="text1"/>
          <w:lang w:val="en-US"/>
        </w:rPr>
        <w:t>ically or</w:t>
      </w:r>
      <w:r w:rsidR="00B13B88" w:rsidRPr="00B40A77">
        <w:rPr>
          <w:color w:val="000000" w:themeColor="text1"/>
          <w:lang w:val="en-US"/>
        </w:rPr>
        <w:t xml:space="preserve"> by </w:t>
      </w:r>
      <w:hyperlink w:anchor="_2.1—Definitions" w:history="1">
        <w:r w:rsidR="00176DEB" w:rsidRPr="00B40A77">
          <w:rPr>
            <w:rStyle w:val="Hyperlink"/>
            <w:color w:val="000000" w:themeColor="text1"/>
            <w:lang w:val="en-US"/>
          </w:rPr>
          <w:t>audio visual link</w:t>
        </w:r>
      </w:hyperlink>
      <w:r w:rsidR="00176DEB" w:rsidRPr="00B40A77">
        <w:rPr>
          <w:color w:val="000000" w:themeColor="text1"/>
          <w:lang w:val="en-US"/>
        </w:rPr>
        <w:t xml:space="preserve"> or </w:t>
      </w:r>
      <w:hyperlink w:anchor="_2.1—Definitions" w:history="1">
        <w:r w:rsidR="00832F03" w:rsidRPr="00B40A77">
          <w:rPr>
            <w:rStyle w:val="Hyperlink"/>
            <w:color w:val="000000" w:themeColor="text1"/>
            <w:lang w:val="en-US"/>
          </w:rPr>
          <w:t xml:space="preserve">audio </w:t>
        </w:r>
        <w:r w:rsidR="00000FF9" w:rsidRPr="00B40A77">
          <w:rPr>
            <w:rStyle w:val="Hyperlink"/>
            <w:color w:val="000000" w:themeColor="text1"/>
            <w:lang w:val="en-US"/>
          </w:rPr>
          <w:t>link</w:t>
        </w:r>
      </w:hyperlink>
      <w:r w:rsidRPr="00B40A77">
        <w:rPr>
          <w:color w:val="000000" w:themeColor="text1"/>
          <w:lang w:val="en-US"/>
        </w:rPr>
        <w:t>.</w:t>
      </w:r>
    </w:p>
    <w:p w14:paraId="6A478D9F" w14:textId="1AD5A92E" w:rsidR="00F90BA1" w:rsidRPr="00B40A77" w:rsidRDefault="00F90BA1" w:rsidP="00F90BA1">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w:t>
      </w:r>
      <w:r w:rsidR="000E770E" w:rsidRPr="00B40A77">
        <w:rPr>
          <w:color w:val="000000" w:themeColor="text1"/>
          <w:lang w:val="en-US"/>
        </w:rPr>
        <w:t>,</w:t>
      </w:r>
      <w:r w:rsidRPr="00B40A77">
        <w:rPr>
          <w:color w:val="000000" w:themeColor="text1"/>
          <w:lang w:val="en-US"/>
        </w:rPr>
        <w:t xml:space="preserve"> </w:t>
      </w:r>
      <w:r w:rsidR="00FF079D" w:rsidRPr="00B40A77">
        <w:rPr>
          <w:color w:val="000000" w:themeColor="text1"/>
          <w:lang w:val="en-US"/>
        </w:rPr>
        <w:t>where appropriate</w:t>
      </w:r>
      <w:r w:rsidR="000E770E" w:rsidRPr="00B40A77">
        <w:rPr>
          <w:color w:val="000000" w:themeColor="text1"/>
          <w:lang w:val="en-US"/>
        </w:rPr>
        <w:t>,</w:t>
      </w:r>
      <w:r w:rsidR="00FF079D" w:rsidRPr="00B40A77">
        <w:rPr>
          <w:color w:val="000000" w:themeColor="text1"/>
          <w:lang w:val="en-US"/>
        </w:rPr>
        <w:t xml:space="preserve"> </w:t>
      </w:r>
      <w:r w:rsidRPr="00B40A77">
        <w:rPr>
          <w:color w:val="000000" w:themeColor="text1"/>
          <w:lang w:val="en-US"/>
        </w:rPr>
        <w:t xml:space="preserve">conduct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or direct that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be conducted </w:t>
      </w:r>
      <w:hyperlink w:anchor="_2.1—Definitions" w:history="1">
        <w:r w:rsidR="00CD36D6" w:rsidRPr="00B40A77">
          <w:rPr>
            <w:rStyle w:val="Hyperlink"/>
            <w:color w:val="000000" w:themeColor="text1"/>
            <w:lang w:val="en-US"/>
          </w:rPr>
          <w:t>without notice</w:t>
        </w:r>
      </w:hyperlink>
      <w:r w:rsidRPr="00B40A77">
        <w:rPr>
          <w:color w:val="000000" w:themeColor="text1"/>
          <w:lang w:val="en-US"/>
        </w:rPr>
        <w:t xml:space="preserve"> to or in the absence of a </w:t>
      </w:r>
      <w:r w:rsidR="000C2585" w:rsidRPr="00B40A77">
        <w:rPr>
          <w:color w:val="000000" w:themeColor="text1"/>
          <w:lang w:val="en-US"/>
        </w:rPr>
        <w:t>party</w:t>
      </w:r>
      <w:r w:rsidRPr="00B40A77">
        <w:rPr>
          <w:color w:val="000000" w:themeColor="text1"/>
          <w:lang w:val="en-US"/>
        </w:rPr>
        <w:t xml:space="preserve"> (including a </w:t>
      </w:r>
      <w:r w:rsidR="000C2585" w:rsidRPr="00B40A77">
        <w:rPr>
          <w:color w:val="000000" w:themeColor="text1"/>
          <w:lang w:val="en-US"/>
        </w:rPr>
        <w:t>party</w:t>
      </w:r>
      <w:r w:rsidRPr="00B40A77">
        <w:rPr>
          <w:color w:val="000000" w:themeColor="text1"/>
          <w:lang w:val="en-US"/>
        </w:rPr>
        <w:t xml:space="preserve">’s </w:t>
      </w:r>
      <w:r w:rsidR="00872D66" w:rsidRPr="00B40A77">
        <w:rPr>
          <w:color w:val="000000" w:themeColor="text1"/>
          <w:lang w:val="en-US"/>
        </w:rPr>
        <w:t>lawyer</w:t>
      </w:r>
      <w:r w:rsidRPr="00B40A77">
        <w:rPr>
          <w:color w:val="000000" w:themeColor="text1"/>
          <w:lang w:val="en-US"/>
        </w:rPr>
        <w:t>) if—</w:t>
      </w:r>
    </w:p>
    <w:p w14:paraId="56110E76" w14:textId="11C80AE7" w:rsidR="00F90BA1" w:rsidRPr="00B40A77" w:rsidRDefault="00F90BA1" w:rsidP="00F90BA1">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w:t>
      </w:r>
      <w:r w:rsidR="000C2585" w:rsidRPr="00B40A77">
        <w:rPr>
          <w:color w:val="000000" w:themeColor="text1"/>
          <w:lang w:val="en-US"/>
        </w:rPr>
        <w:t>party</w:t>
      </w:r>
      <w:r w:rsidRPr="00B40A77">
        <w:rPr>
          <w:color w:val="000000" w:themeColor="text1"/>
          <w:lang w:val="en-US"/>
        </w:rPr>
        <w:t xml:space="preserve"> </w:t>
      </w:r>
      <w:r w:rsidR="00467B32" w:rsidRPr="00B40A77">
        <w:rPr>
          <w:color w:val="000000" w:themeColor="text1"/>
          <w:lang w:val="en-US"/>
        </w:rPr>
        <w:t>doe</w:t>
      </w:r>
      <w:r w:rsidRPr="00B40A77">
        <w:rPr>
          <w:color w:val="000000" w:themeColor="text1"/>
          <w:lang w:val="en-US"/>
        </w:rPr>
        <w:t xml:space="preserve">s not yet </w:t>
      </w:r>
      <w:r w:rsidR="00467B32" w:rsidRPr="00B40A77">
        <w:rPr>
          <w:color w:val="000000" w:themeColor="text1"/>
          <w:lang w:val="en-US"/>
        </w:rPr>
        <w:t xml:space="preserve">have </w:t>
      </w:r>
      <w:r w:rsidRPr="00B40A77">
        <w:rPr>
          <w:color w:val="000000" w:themeColor="text1"/>
          <w:lang w:val="en-US"/>
        </w:rPr>
        <w:t>a</w:t>
      </w:r>
      <w:r w:rsidR="00467B32" w:rsidRPr="00B40A77">
        <w:rPr>
          <w:color w:val="000000" w:themeColor="text1"/>
          <w:lang w:val="en-US"/>
        </w:rPr>
        <w:t xml:space="preserve">n </w:t>
      </w:r>
      <w:hyperlink w:anchor="_2.1—Definitions" w:history="1">
        <w:r w:rsidR="00011F5C" w:rsidRPr="00B40A77">
          <w:rPr>
            <w:rStyle w:val="Hyperlink"/>
            <w:color w:val="000000" w:themeColor="text1"/>
            <w:lang w:val="en-US"/>
          </w:rPr>
          <w:t>address for service</w:t>
        </w:r>
      </w:hyperlink>
      <w:r w:rsidRPr="00B40A77">
        <w:rPr>
          <w:color w:val="000000" w:themeColor="text1"/>
          <w:lang w:val="en-US"/>
        </w:rPr>
        <w:t>;</w:t>
      </w:r>
    </w:p>
    <w:p w14:paraId="6764AED0" w14:textId="4256F471" w:rsidR="00F90BA1" w:rsidRPr="00B40A77" w:rsidRDefault="00F90BA1" w:rsidP="00F90BA1">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Court determines that 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does not affect the </w:t>
      </w:r>
      <w:r w:rsidR="000C2585" w:rsidRPr="00B40A77">
        <w:rPr>
          <w:color w:val="000000" w:themeColor="text1"/>
          <w:lang w:val="en-US"/>
        </w:rPr>
        <w:t>party</w:t>
      </w:r>
      <w:r w:rsidRPr="00B40A77">
        <w:rPr>
          <w:color w:val="000000" w:themeColor="text1"/>
          <w:lang w:val="en-US"/>
        </w:rPr>
        <w:t>;</w:t>
      </w:r>
    </w:p>
    <w:p w14:paraId="1C935BA0" w14:textId="370002A5" w:rsidR="00F90BA1" w:rsidRPr="00B40A77" w:rsidRDefault="00F90BA1" w:rsidP="00F90BA1">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w:t>
      </w:r>
      <w:r w:rsidR="000C2585" w:rsidRPr="00B40A77">
        <w:rPr>
          <w:color w:val="000000" w:themeColor="text1"/>
          <w:lang w:val="en-US"/>
        </w:rPr>
        <w:t>party</w:t>
      </w:r>
      <w:r w:rsidRPr="00B40A77">
        <w:rPr>
          <w:color w:val="000000" w:themeColor="text1"/>
          <w:lang w:val="en-US"/>
        </w:rPr>
        <w:t xml:space="preserve"> has been excused from attending 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or</w:t>
      </w:r>
      <w:r w:rsidR="00BA776D" w:rsidRPr="00B40A77">
        <w:rPr>
          <w:color w:val="000000" w:themeColor="text1"/>
          <w:lang w:val="en-US"/>
        </w:rPr>
        <w:t>,</w:t>
      </w:r>
      <w:r w:rsidRPr="00B40A77">
        <w:rPr>
          <w:color w:val="000000" w:themeColor="text1"/>
          <w:lang w:val="en-US"/>
        </w:rPr>
        <w:t xml:space="preserve"> having been given notice of </w:t>
      </w:r>
      <w:r w:rsidR="00D37234" w:rsidRPr="00B40A77">
        <w:rPr>
          <w:color w:val="000000" w:themeColor="text1"/>
          <w:lang w:val="en-US"/>
        </w:rPr>
        <w:t>it</w:t>
      </w:r>
      <w:r w:rsidR="00BA776D" w:rsidRPr="00B40A77">
        <w:rPr>
          <w:color w:val="000000" w:themeColor="text1"/>
          <w:lang w:val="en-US"/>
        </w:rPr>
        <w:t>,</w:t>
      </w:r>
      <w:r w:rsidRPr="00B40A77">
        <w:rPr>
          <w:color w:val="000000" w:themeColor="text1"/>
          <w:lang w:val="en-US"/>
        </w:rPr>
        <w:t xml:space="preserve"> </w:t>
      </w:r>
      <w:r w:rsidR="00E71A05" w:rsidRPr="00B40A77">
        <w:rPr>
          <w:color w:val="000000" w:themeColor="text1"/>
          <w:lang w:val="en-US"/>
        </w:rPr>
        <w:t>does not</w:t>
      </w:r>
      <w:r w:rsidRPr="00B40A77">
        <w:rPr>
          <w:color w:val="000000" w:themeColor="text1"/>
          <w:lang w:val="en-US"/>
        </w:rPr>
        <w:t xml:space="preserve"> attend 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5C2EB87A" w14:textId="392A6E52" w:rsidR="00F90BA1" w:rsidRPr="00B40A77" w:rsidRDefault="00F90BA1" w:rsidP="00F90BA1">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is to determine whether to make an interim order having effect pending a subsequent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at which the </w:t>
      </w:r>
      <w:r w:rsidR="000C2585" w:rsidRPr="00B40A77">
        <w:rPr>
          <w:color w:val="000000" w:themeColor="text1"/>
          <w:lang w:val="en-US"/>
        </w:rPr>
        <w:t>party</w:t>
      </w:r>
      <w:r w:rsidRPr="00B40A77">
        <w:rPr>
          <w:color w:val="000000" w:themeColor="text1"/>
          <w:lang w:val="en-US"/>
        </w:rPr>
        <w:t xml:space="preserve"> may attend;</w:t>
      </w:r>
    </w:p>
    <w:p w14:paraId="076818BC" w14:textId="77777777" w:rsidR="00F90BA1" w:rsidRPr="00B40A77" w:rsidRDefault="00F90BA1" w:rsidP="00F90BA1">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the Court determines that the risk that another </w:t>
      </w:r>
      <w:r w:rsidR="000C2585" w:rsidRPr="00B40A77">
        <w:rPr>
          <w:color w:val="000000" w:themeColor="text1"/>
          <w:lang w:val="en-US"/>
        </w:rPr>
        <w:t>party</w:t>
      </w:r>
      <w:r w:rsidRPr="00B40A77">
        <w:rPr>
          <w:color w:val="000000" w:themeColor="text1"/>
          <w:lang w:val="en-US"/>
        </w:rPr>
        <w:t xml:space="preserve"> will otherwise suffer prejudice justifies that course;</w:t>
      </w:r>
    </w:p>
    <w:p w14:paraId="3F8993CD" w14:textId="2BD71E33" w:rsidR="00F90BA1" w:rsidRPr="00B40A77" w:rsidRDefault="00F90BA1" w:rsidP="00F90BA1">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the Court determines that the risk that the </w:t>
      </w:r>
      <w:r w:rsidR="000C2585" w:rsidRPr="00B40A77">
        <w:rPr>
          <w:color w:val="000000" w:themeColor="text1"/>
          <w:lang w:val="en-US"/>
        </w:rPr>
        <w:t>party</w:t>
      </w:r>
      <w:r w:rsidRPr="00B40A77">
        <w:rPr>
          <w:color w:val="000000" w:themeColor="text1"/>
          <w:lang w:val="en-US"/>
        </w:rPr>
        <w:t xml:space="preserve"> will disrupt the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justifies that course; or</w:t>
      </w:r>
    </w:p>
    <w:p w14:paraId="1BF7FF75" w14:textId="121ACF8A" w:rsidR="00F90BA1" w:rsidRPr="00B40A77" w:rsidRDefault="00F90BA1" w:rsidP="00F90BA1">
      <w:pPr>
        <w:pStyle w:val="Doublehangindent"/>
        <w:rPr>
          <w:color w:val="000000" w:themeColor="text1"/>
          <w:lang w:val="en-US"/>
        </w:rPr>
      </w:pPr>
      <w:r w:rsidRPr="00B40A77">
        <w:rPr>
          <w:color w:val="000000" w:themeColor="text1"/>
          <w:lang w:val="en-US"/>
        </w:rPr>
        <w:t>(g)</w:t>
      </w:r>
      <w:r w:rsidRPr="00B40A77">
        <w:rPr>
          <w:color w:val="000000" w:themeColor="text1"/>
          <w:lang w:val="en-US"/>
        </w:rPr>
        <w:tab/>
        <w:t>the Court determines that it is in the interests of justice to do so.</w:t>
      </w:r>
    </w:p>
    <w:p w14:paraId="0976BCC7" w14:textId="28F1076A" w:rsidR="007A4ED6" w:rsidRPr="00B40A77" w:rsidRDefault="00E13B81" w:rsidP="00B652E5">
      <w:pPr>
        <w:pStyle w:val="Heading4"/>
        <w:rPr>
          <w:color w:val="000000" w:themeColor="text1"/>
        </w:rPr>
      </w:pPr>
      <w:bookmarkStart w:id="308" w:name="_15.3—Hearings_ordinarily_in"/>
      <w:bookmarkStart w:id="309" w:name="_38.3—Appearance_of_defendant"/>
      <w:bookmarkStart w:id="310" w:name="_Toc60133523"/>
      <w:bookmarkStart w:id="311" w:name="_Toc175238871"/>
      <w:bookmarkStart w:id="312" w:name="_Hlk71049483"/>
      <w:bookmarkEnd w:id="308"/>
      <w:bookmarkEnd w:id="309"/>
      <w:r w:rsidRPr="00B40A77">
        <w:rPr>
          <w:color w:val="000000" w:themeColor="text1"/>
        </w:rPr>
        <w:lastRenderedPageBreak/>
        <w:t>38</w:t>
      </w:r>
      <w:r w:rsidR="00532863" w:rsidRPr="00B40A77">
        <w:rPr>
          <w:color w:val="000000" w:themeColor="text1"/>
        </w:rPr>
        <w:t>.</w:t>
      </w:r>
      <w:r w:rsidR="001F678B" w:rsidRPr="00B40A77">
        <w:rPr>
          <w:color w:val="000000" w:themeColor="text1"/>
        </w:rPr>
        <w:t>3</w:t>
      </w:r>
      <w:r w:rsidR="007A4ED6" w:rsidRPr="00B40A77">
        <w:rPr>
          <w:color w:val="000000" w:themeColor="text1"/>
        </w:rPr>
        <w:t xml:space="preserve">—Appearance of defendant </w:t>
      </w:r>
      <w:r w:rsidR="002B20DD" w:rsidRPr="00B40A77">
        <w:rPr>
          <w:color w:val="000000" w:themeColor="text1"/>
        </w:rPr>
        <w:t xml:space="preserve">or youth in custody </w:t>
      </w:r>
      <w:r w:rsidR="007A4ED6" w:rsidRPr="00B40A77">
        <w:rPr>
          <w:color w:val="000000" w:themeColor="text1"/>
        </w:rPr>
        <w:t xml:space="preserve">by </w:t>
      </w:r>
      <w:r w:rsidR="00DF68A6" w:rsidRPr="00B40A77">
        <w:rPr>
          <w:color w:val="000000" w:themeColor="text1"/>
        </w:rPr>
        <w:t>audio visual</w:t>
      </w:r>
      <w:r w:rsidR="005E278A" w:rsidRPr="00B40A77">
        <w:rPr>
          <w:color w:val="000000" w:themeColor="text1"/>
        </w:rPr>
        <w:t xml:space="preserve"> </w:t>
      </w:r>
      <w:r w:rsidR="007A4ED6" w:rsidRPr="00B40A77">
        <w:rPr>
          <w:color w:val="000000" w:themeColor="text1"/>
        </w:rPr>
        <w:t>link</w:t>
      </w:r>
      <w:bookmarkEnd w:id="310"/>
      <w:bookmarkEnd w:id="311"/>
    </w:p>
    <w:p w14:paraId="1F84095C" w14:textId="27391364" w:rsidR="007A4ED6" w:rsidRPr="00B40A77" w:rsidRDefault="007A4ED6" w:rsidP="00DF188B">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DF188B" w:rsidRPr="00B40A77">
        <w:rPr>
          <w:color w:val="000000" w:themeColor="text1"/>
          <w:lang w:val="en-US"/>
        </w:rPr>
        <w:t>Unless the Court otherwise orders</w:t>
      </w:r>
      <w:r w:rsidRPr="00B40A77">
        <w:rPr>
          <w:color w:val="000000" w:themeColor="text1"/>
          <w:lang w:val="en-US"/>
        </w:rPr>
        <w:t xml:space="preserve">, </w:t>
      </w:r>
      <w:r w:rsidR="00DF188B" w:rsidRPr="00B40A77">
        <w:rPr>
          <w:color w:val="000000" w:themeColor="text1"/>
          <w:lang w:val="en-US"/>
        </w:rPr>
        <w:t xml:space="preserve">subject to the succeeding subrules, a defendant or youth who </w:t>
      </w:r>
      <w:r w:rsidR="002A5B3A" w:rsidRPr="00B40A77">
        <w:rPr>
          <w:color w:val="000000" w:themeColor="text1"/>
          <w:lang w:val="en-US"/>
        </w:rPr>
        <w:t>is</w:t>
      </w:r>
      <w:r w:rsidR="00DF188B" w:rsidRPr="00B40A77">
        <w:rPr>
          <w:color w:val="000000" w:themeColor="text1"/>
          <w:lang w:val="en-US"/>
        </w:rPr>
        <w:t xml:space="preserve"> in custody will appear before the Court for any </w:t>
      </w:r>
      <w:hyperlink w:anchor="_37.1—Application_of_Part" w:history="1">
        <w:r w:rsidR="00764E97" w:rsidRPr="00B40A77">
          <w:rPr>
            <w:rStyle w:val="Hyperlink"/>
            <w:color w:val="000000" w:themeColor="text1"/>
            <w:lang w:val="en-US"/>
          </w:rPr>
          <w:t>hearing</w:t>
        </w:r>
      </w:hyperlink>
      <w:r w:rsidR="00DF188B" w:rsidRPr="00B40A77">
        <w:rPr>
          <w:color w:val="000000" w:themeColor="text1"/>
          <w:lang w:val="en-US"/>
        </w:rPr>
        <w:t xml:space="preserve"> othe</w:t>
      </w:r>
      <w:r w:rsidR="00CE0FC3" w:rsidRPr="00B40A77">
        <w:rPr>
          <w:color w:val="000000" w:themeColor="text1"/>
          <w:lang w:val="en-US"/>
        </w:rPr>
        <w:t xml:space="preserve">r than one governed by </w:t>
      </w:r>
      <w:hyperlink w:anchor="_38.4—Appearance_of_defendant" w:history="1">
        <w:r w:rsidR="00CE0FC3" w:rsidRPr="00B40A77">
          <w:rPr>
            <w:rStyle w:val="Hyperlink"/>
            <w:color w:val="000000" w:themeColor="text1"/>
            <w:lang w:val="en-US"/>
          </w:rPr>
          <w:t>rule 3</w:t>
        </w:r>
        <w:r w:rsidR="008229C0" w:rsidRPr="00B40A77">
          <w:rPr>
            <w:rStyle w:val="Hyperlink"/>
            <w:color w:val="000000" w:themeColor="text1"/>
            <w:lang w:val="en-US"/>
          </w:rPr>
          <w:t>8</w:t>
        </w:r>
        <w:r w:rsidR="001F678B" w:rsidRPr="00B40A77">
          <w:rPr>
            <w:rStyle w:val="Hyperlink"/>
            <w:color w:val="000000" w:themeColor="text1"/>
            <w:lang w:val="en-US"/>
          </w:rPr>
          <w:t>.4</w:t>
        </w:r>
      </w:hyperlink>
      <w:r w:rsidR="00DF188B" w:rsidRPr="00B40A77">
        <w:rPr>
          <w:color w:val="000000" w:themeColor="text1"/>
          <w:lang w:val="en-US"/>
        </w:rPr>
        <w:t xml:space="preserve"> </w:t>
      </w:r>
      <w:r w:rsidRPr="00B40A77">
        <w:rPr>
          <w:color w:val="000000" w:themeColor="text1"/>
          <w:lang w:val="en-US"/>
        </w:rPr>
        <w:t xml:space="preserve">by </w:t>
      </w:r>
      <w:hyperlink w:anchor="_2.1—Definitions" w:history="1">
        <w:r w:rsidR="00DF68A6" w:rsidRPr="00B40A77">
          <w:rPr>
            <w:rStyle w:val="Hyperlink"/>
            <w:color w:val="000000" w:themeColor="text1"/>
          </w:rPr>
          <w:t>audio visual</w:t>
        </w:r>
        <w:r w:rsidR="005E278A" w:rsidRPr="00B40A77">
          <w:rPr>
            <w:rStyle w:val="Hyperlink"/>
            <w:color w:val="000000" w:themeColor="text1"/>
          </w:rPr>
          <w:t xml:space="preserve"> </w:t>
        </w:r>
        <w:r w:rsidRPr="00B40A77">
          <w:rPr>
            <w:rStyle w:val="Hyperlink"/>
            <w:color w:val="000000" w:themeColor="text1"/>
          </w:rPr>
          <w:t>link</w:t>
        </w:r>
      </w:hyperlink>
      <w:r w:rsidR="00832F03" w:rsidRPr="00B40A77">
        <w:rPr>
          <w:color w:val="000000" w:themeColor="text1"/>
          <w:lang w:val="en-US"/>
        </w:rPr>
        <w:t xml:space="preserve"> or, if the Court so orders</w:t>
      </w:r>
      <w:r w:rsidR="001F678B" w:rsidRPr="00B40A77">
        <w:rPr>
          <w:color w:val="000000" w:themeColor="text1"/>
          <w:lang w:val="en-US"/>
        </w:rPr>
        <w:t>,</w:t>
      </w:r>
      <w:r w:rsidR="00832F03" w:rsidRPr="00B40A77">
        <w:rPr>
          <w:color w:val="000000" w:themeColor="text1"/>
          <w:lang w:val="en-US"/>
        </w:rPr>
        <w:t xml:space="preserve"> by </w:t>
      </w:r>
      <w:hyperlink w:anchor="_2.1—Definitions" w:history="1">
        <w:r w:rsidR="00832F03" w:rsidRPr="00B40A77">
          <w:rPr>
            <w:rStyle w:val="Hyperlink"/>
            <w:color w:val="000000" w:themeColor="text1"/>
          </w:rPr>
          <w:t>audio link</w:t>
        </w:r>
      </w:hyperlink>
      <w:r w:rsidR="00DF188B" w:rsidRPr="00B40A77">
        <w:rPr>
          <w:color w:val="000000" w:themeColor="text1"/>
          <w:lang w:val="en-US"/>
        </w:rPr>
        <w:t>.</w:t>
      </w:r>
    </w:p>
    <w:p w14:paraId="2767D53B" w14:textId="5CFBD9A9" w:rsidR="007A4ED6" w:rsidRPr="00B40A77" w:rsidRDefault="007A4ED6" w:rsidP="007A4ED6">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party may object to the use of an </w:t>
      </w:r>
      <w:hyperlink w:anchor="_2.1—Definitions" w:history="1">
        <w:r w:rsidR="001D63F7" w:rsidRPr="00B40A77">
          <w:rPr>
            <w:rStyle w:val="Hyperlink"/>
            <w:color w:val="000000" w:themeColor="text1"/>
            <w:lang w:val="en-US"/>
          </w:rPr>
          <w:t>audio visual link</w:t>
        </w:r>
      </w:hyperlink>
      <w:r w:rsidR="005E278A" w:rsidRPr="00B40A77">
        <w:rPr>
          <w:color w:val="000000" w:themeColor="text1"/>
          <w:lang w:val="en-US"/>
        </w:rPr>
        <w:t xml:space="preserve"> </w:t>
      </w:r>
      <w:r w:rsidR="00176DEB" w:rsidRPr="00B40A77">
        <w:rPr>
          <w:color w:val="000000" w:themeColor="text1"/>
          <w:lang w:val="en-US"/>
        </w:rPr>
        <w:t xml:space="preserve">or </w:t>
      </w:r>
      <w:hyperlink w:anchor="_2.1—Definitions" w:history="1">
        <w:r w:rsidR="00176DEB" w:rsidRPr="00B40A77">
          <w:rPr>
            <w:rStyle w:val="Hyperlink"/>
            <w:color w:val="000000" w:themeColor="text1"/>
            <w:lang w:val="en-US"/>
          </w:rPr>
          <w:t>audio link</w:t>
        </w:r>
      </w:hyperlink>
      <w:r w:rsidR="00176DEB" w:rsidRPr="00B40A77">
        <w:rPr>
          <w:color w:val="000000" w:themeColor="text1"/>
          <w:lang w:val="en-US"/>
        </w:rPr>
        <w:t xml:space="preserve"> </w:t>
      </w:r>
      <w:r w:rsidR="00A12FC0" w:rsidRPr="00B40A77">
        <w:rPr>
          <w:color w:val="000000" w:themeColor="text1"/>
          <w:lang w:val="en-US"/>
        </w:rPr>
        <w:t xml:space="preserve">in respect of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54BAC806" w14:textId="44DA0229" w:rsidR="00BF6CEE" w:rsidRPr="00B40A77" w:rsidRDefault="00BF6CEE" w:rsidP="00A37E9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by filing a notice of objection i</w:t>
      </w:r>
      <w:r w:rsidR="00E450F8" w:rsidRPr="00B40A77">
        <w:rPr>
          <w:color w:val="000000" w:themeColor="text1"/>
          <w:lang w:val="en-US"/>
        </w:rPr>
        <w:t>n the prescribed form at le</w:t>
      </w:r>
      <w:r w:rsidR="00832F03" w:rsidRPr="00B40A77">
        <w:rPr>
          <w:color w:val="000000" w:themeColor="text1"/>
          <w:lang w:val="en-US"/>
        </w:rPr>
        <w:t>ast</w:t>
      </w:r>
      <w:r w:rsidR="00C24CB8" w:rsidRPr="00B40A77">
        <w:rPr>
          <w:color w:val="000000" w:themeColor="text1"/>
          <w:lang w:val="en-US"/>
        </w:rPr>
        <w:t xml:space="preserve"> </w:t>
      </w:r>
      <w:r w:rsidR="00832F03" w:rsidRPr="00B40A77">
        <w:rPr>
          <w:color w:val="000000" w:themeColor="text1"/>
          <w:lang w:val="en-US"/>
        </w:rPr>
        <w:t>14</w:t>
      </w:r>
      <w:r w:rsidRPr="00B40A77">
        <w:rPr>
          <w:color w:val="000000" w:themeColor="text1"/>
          <w:lang w:val="en-US"/>
        </w:rPr>
        <w:t xml:space="preserve"> days before the relevant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or</w:t>
      </w:r>
    </w:p>
    <w:p w14:paraId="1C986A92" w14:textId="77777777" w:rsidR="00BF6CEE" w:rsidRPr="00B40A77" w:rsidRDefault="00BF6CEE" w:rsidP="00A37E9E">
      <w:pPr>
        <w:pStyle w:val="NoteHeader"/>
        <w:keepNext/>
        <w:ind w:left="1395" w:firstLine="306"/>
        <w:rPr>
          <w:color w:val="000000" w:themeColor="text1"/>
        </w:rPr>
      </w:pPr>
      <w:r w:rsidRPr="00B40A77">
        <w:rPr>
          <w:color w:val="000000" w:themeColor="text1"/>
        </w:rPr>
        <w:t>Prescribed form—</w:t>
      </w:r>
    </w:p>
    <w:p w14:paraId="1E3D1518" w14:textId="7A91A998" w:rsidR="00BF6CEE" w:rsidRPr="00B40A77" w:rsidRDefault="00BF6CEE" w:rsidP="00FF63D9">
      <w:pPr>
        <w:pStyle w:val="NoteText"/>
        <w:ind w:left="1985"/>
        <w:rPr>
          <w:color w:val="000000" w:themeColor="text1"/>
        </w:rPr>
      </w:pPr>
      <w:r w:rsidRPr="00B40A77">
        <w:rPr>
          <w:color w:val="000000" w:themeColor="text1"/>
        </w:rPr>
        <w:t xml:space="preserve">Form 95 </w:t>
      </w:r>
      <w:hyperlink r:id="rId47" w:history="1">
        <w:r w:rsidRPr="00B40A77">
          <w:rPr>
            <w:rStyle w:val="Hyperlink"/>
            <w:color w:val="000000" w:themeColor="text1"/>
            <w:lang w:val="en-US"/>
          </w:rPr>
          <w:t xml:space="preserve">Notice of </w:t>
        </w:r>
        <w:r w:rsidR="007F6982" w:rsidRPr="00B40A77">
          <w:rPr>
            <w:rStyle w:val="Hyperlink"/>
            <w:color w:val="000000" w:themeColor="text1"/>
            <w:lang w:val="en-US"/>
          </w:rPr>
          <w:t>O</w:t>
        </w:r>
        <w:r w:rsidRPr="00B40A77">
          <w:rPr>
            <w:rStyle w:val="Hyperlink"/>
            <w:color w:val="000000" w:themeColor="text1"/>
            <w:lang w:val="en-US"/>
          </w:rPr>
          <w:t>bjection</w:t>
        </w:r>
      </w:hyperlink>
    </w:p>
    <w:p w14:paraId="285EFA15" w14:textId="41243018" w:rsidR="00BF6CEE" w:rsidRPr="00B40A77" w:rsidRDefault="00BF6CEE" w:rsidP="00BF6CEE">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by oral application at a previous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w:t>
      </w:r>
    </w:p>
    <w:p w14:paraId="162A8969" w14:textId="0DCBE385" w:rsidR="007A4ED6" w:rsidRPr="00B40A77" w:rsidRDefault="007A4ED6" w:rsidP="00BF6CEE">
      <w:pPr>
        <w:pStyle w:val="Hangindent"/>
        <w:rPr>
          <w:color w:val="000000" w:themeColor="text1"/>
          <w:lang w:val="en-US"/>
        </w:rPr>
      </w:pPr>
      <w:r w:rsidRPr="00B40A77">
        <w:rPr>
          <w:color w:val="000000" w:themeColor="text1"/>
          <w:lang w:val="en-US"/>
        </w:rPr>
        <w:t>(3)</w:t>
      </w:r>
      <w:r w:rsidRPr="00B40A77">
        <w:rPr>
          <w:color w:val="000000" w:themeColor="text1"/>
          <w:lang w:val="en-US"/>
        </w:rPr>
        <w:tab/>
        <w:t>A notice of objection may be determined at the discretion of the Court—</w:t>
      </w:r>
    </w:p>
    <w:p w14:paraId="78E632AB" w14:textId="2D35D3A6" w:rsidR="007A4ED6" w:rsidRPr="00B40A77" w:rsidRDefault="007A4ED6" w:rsidP="00BF6CEE">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at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w:t>
      </w:r>
      <w:hyperlink w:anchor="_2.1—Definitions" w:history="1">
        <w:r w:rsidR="00307014" w:rsidRPr="00B40A77">
          <w:rPr>
            <w:rStyle w:val="Hyperlink"/>
            <w:color w:val="000000" w:themeColor="text1"/>
            <w:lang w:val="en-US"/>
          </w:rPr>
          <w:t>in court</w:t>
        </w:r>
      </w:hyperlink>
      <w:r w:rsidR="00BF6CEE" w:rsidRPr="00B40A77">
        <w:rPr>
          <w:color w:val="000000" w:themeColor="text1"/>
          <w:lang w:val="en-US"/>
        </w:rPr>
        <w:t xml:space="preserve"> or </w:t>
      </w:r>
      <w:hyperlink w:anchor="_2.1—Definitions" w:history="1">
        <w:r w:rsidR="00E83325" w:rsidRPr="00B40A77">
          <w:rPr>
            <w:rStyle w:val="Hyperlink"/>
            <w:color w:val="000000" w:themeColor="text1"/>
            <w:lang w:val="en-US"/>
          </w:rPr>
          <w:t>in chambers</w:t>
        </w:r>
      </w:hyperlink>
      <w:r w:rsidRPr="00B40A77">
        <w:rPr>
          <w:color w:val="000000" w:themeColor="text1"/>
          <w:lang w:val="en-US"/>
        </w:rPr>
        <w:t>;</w:t>
      </w:r>
    </w:p>
    <w:p w14:paraId="3232CCCC" w14:textId="77A7418C" w:rsidR="007A4ED6" w:rsidRPr="00B40A77" w:rsidRDefault="007A4ED6" w:rsidP="00BF6CEE">
      <w:pPr>
        <w:pStyle w:val="Doublehangindent"/>
        <w:rPr>
          <w:color w:val="000000" w:themeColor="text1"/>
          <w:lang w:val="en-US"/>
        </w:rPr>
      </w:pPr>
      <w:r w:rsidRPr="00B40A77">
        <w:rPr>
          <w:color w:val="000000" w:themeColor="text1"/>
          <w:lang w:val="en-US"/>
        </w:rPr>
        <w:t>(b)</w:t>
      </w:r>
      <w:r w:rsidRPr="00B40A77">
        <w:rPr>
          <w:color w:val="000000" w:themeColor="text1"/>
          <w:lang w:val="en-US"/>
        </w:rPr>
        <w:tab/>
        <w:t>without hearing from any party; or</w:t>
      </w:r>
    </w:p>
    <w:p w14:paraId="61E77F8E" w14:textId="1F87E65D" w:rsidR="007A4ED6" w:rsidRPr="00B40A77" w:rsidRDefault="007A4ED6" w:rsidP="00BF6CEE">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at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using an </w:t>
      </w:r>
      <w:hyperlink w:anchor="_2.1—Definitions" w:history="1">
        <w:r w:rsidR="001D63F7" w:rsidRPr="00B40A77">
          <w:rPr>
            <w:rStyle w:val="Hyperlink"/>
            <w:color w:val="000000" w:themeColor="text1"/>
            <w:lang w:val="en-US"/>
          </w:rPr>
          <w:t>audio visual link</w:t>
        </w:r>
      </w:hyperlink>
      <w:r w:rsidR="00176DEB" w:rsidRPr="00B40A77">
        <w:rPr>
          <w:color w:val="000000" w:themeColor="text1"/>
          <w:lang w:val="en-US"/>
        </w:rPr>
        <w:t xml:space="preserve"> or </w:t>
      </w:r>
      <w:hyperlink w:anchor="_2.1—Definitions" w:history="1">
        <w:r w:rsidR="00176DEB" w:rsidRPr="00B40A77">
          <w:rPr>
            <w:rStyle w:val="Hyperlink"/>
            <w:color w:val="000000" w:themeColor="text1"/>
            <w:lang w:val="en-US"/>
          </w:rPr>
          <w:t>audio link</w:t>
        </w:r>
      </w:hyperlink>
      <w:r w:rsidRPr="00B40A77">
        <w:rPr>
          <w:color w:val="000000" w:themeColor="text1"/>
          <w:lang w:val="en-US"/>
        </w:rPr>
        <w:t>.</w:t>
      </w:r>
    </w:p>
    <w:p w14:paraId="09155570" w14:textId="19DE48B5" w:rsidR="007A4ED6" w:rsidRPr="00B40A77" w:rsidRDefault="007A4ED6" w:rsidP="00F06A60">
      <w:pPr>
        <w:pStyle w:val="Hangindent"/>
        <w:keepLines/>
        <w:rPr>
          <w:color w:val="000000" w:themeColor="text1"/>
          <w:lang w:val="en-US"/>
        </w:rPr>
      </w:pPr>
      <w:r w:rsidRPr="00B40A77">
        <w:rPr>
          <w:color w:val="000000" w:themeColor="text1"/>
          <w:lang w:val="en-US"/>
        </w:rPr>
        <w:t>(4)</w:t>
      </w:r>
      <w:r w:rsidRPr="00B40A77">
        <w:rPr>
          <w:color w:val="000000" w:themeColor="text1"/>
          <w:lang w:val="en-US"/>
        </w:rPr>
        <w:tab/>
        <w:t xml:space="preserve">If during the course of a </w:t>
      </w:r>
      <w:hyperlink w:anchor="_37.1—Application_of_Part" w:history="1">
        <w:r w:rsidR="00764E97" w:rsidRPr="00B40A77">
          <w:rPr>
            <w:rStyle w:val="Hyperlink"/>
            <w:color w:val="000000" w:themeColor="text1"/>
            <w:lang w:val="en-US"/>
          </w:rPr>
          <w:t>hearing</w:t>
        </w:r>
      </w:hyperlink>
      <w:r w:rsidRPr="00B40A77">
        <w:rPr>
          <w:color w:val="000000" w:themeColor="text1"/>
          <w:lang w:val="en-US"/>
        </w:rPr>
        <w:t xml:space="preserve"> by </w:t>
      </w:r>
      <w:hyperlink w:anchor="_2.1—Definitions" w:history="1">
        <w:r w:rsidR="00176DEB" w:rsidRPr="00B40A77">
          <w:rPr>
            <w:rStyle w:val="Hyperlink"/>
            <w:color w:val="000000" w:themeColor="text1"/>
            <w:lang w:val="en-US"/>
          </w:rPr>
          <w:t>audio visual link</w:t>
        </w:r>
      </w:hyperlink>
      <w:r w:rsidR="00176DEB" w:rsidRPr="00B40A77">
        <w:rPr>
          <w:color w:val="000000" w:themeColor="text1"/>
          <w:lang w:val="en-US"/>
        </w:rPr>
        <w:t xml:space="preserve"> or </w:t>
      </w:r>
      <w:hyperlink w:anchor="_2.1—Definitions" w:history="1">
        <w:r w:rsidR="00252ABE" w:rsidRPr="00B40A77">
          <w:rPr>
            <w:rStyle w:val="Hyperlink"/>
            <w:color w:val="000000" w:themeColor="text1"/>
            <w:lang w:val="en-US"/>
          </w:rPr>
          <w:t>audio link</w:t>
        </w:r>
      </w:hyperlink>
      <w:r w:rsidR="00176DEB" w:rsidRPr="00B40A77">
        <w:rPr>
          <w:color w:val="000000" w:themeColor="text1"/>
          <w:lang w:val="en-US"/>
        </w:rPr>
        <w:t xml:space="preserve"> </w:t>
      </w:r>
      <w:r w:rsidRPr="00B40A77">
        <w:rPr>
          <w:color w:val="000000" w:themeColor="text1"/>
          <w:lang w:val="en-US"/>
        </w:rPr>
        <w:t xml:space="preserve">counsel is required to take instructions on a matter that could not reasonably have been anticipated, counsel will </w:t>
      </w:r>
      <w:r w:rsidR="004A6974" w:rsidRPr="00B40A77">
        <w:rPr>
          <w:color w:val="000000" w:themeColor="text1"/>
          <w:lang w:val="en-US"/>
        </w:rPr>
        <w:t xml:space="preserve">where possible </w:t>
      </w:r>
      <w:r w:rsidRPr="00B40A77">
        <w:rPr>
          <w:color w:val="000000" w:themeColor="text1"/>
          <w:lang w:val="en-US"/>
        </w:rPr>
        <w:t>be provided wit</w:t>
      </w:r>
      <w:r w:rsidR="007655A6" w:rsidRPr="00B40A77">
        <w:rPr>
          <w:color w:val="000000" w:themeColor="text1"/>
          <w:lang w:val="en-US"/>
        </w:rPr>
        <w:t>h access to a private link</w:t>
      </w:r>
      <w:r w:rsidRPr="00B40A77">
        <w:rPr>
          <w:color w:val="000000" w:themeColor="text1"/>
          <w:lang w:val="en-US"/>
        </w:rPr>
        <w:t xml:space="preserve"> to the custodial institution in which the </w:t>
      </w:r>
      <w:r w:rsidR="007655A6" w:rsidRPr="00B40A77">
        <w:rPr>
          <w:color w:val="000000" w:themeColor="text1"/>
          <w:lang w:val="en-US"/>
        </w:rPr>
        <w:t>defendant or youth</w:t>
      </w:r>
      <w:r w:rsidRPr="00B40A77">
        <w:rPr>
          <w:color w:val="000000" w:themeColor="text1"/>
          <w:lang w:val="en-US"/>
        </w:rPr>
        <w:t xml:space="preserve"> is held.</w:t>
      </w:r>
    </w:p>
    <w:p w14:paraId="5EB41F1C" w14:textId="0B3B5BF4" w:rsidR="007B0D43" w:rsidRPr="00B40A77" w:rsidRDefault="007B0D43" w:rsidP="007B0D43">
      <w:pPr>
        <w:pStyle w:val="Hangindent"/>
        <w:keepNext/>
        <w:keepLines/>
        <w:rPr>
          <w:color w:val="000000" w:themeColor="text1"/>
          <w:lang w:val="en-US"/>
        </w:rPr>
      </w:pPr>
      <w:r w:rsidRPr="00B40A77">
        <w:rPr>
          <w:color w:val="000000" w:themeColor="text1"/>
          <w:lang w:val="en-US"/>
        </w:rPr>
        <w:t>(5)</w:t>
      </w:r>
      <w:r w:rsidRPr="00B40A77">
        <w:rPr>
          <w:color w:val="000000" w:themeColor="text1"/>
          <w:lang w:val="en-US"/>
        </w:rPr>
        <w:tab/>
        <w:t>Another person must not listen to, intercept or record a private communication the subject of subrule</w:t>
      </w:r>
      <w:r w:rsidR="001B1E8A" w:rsidRPr="00B40A77">
        <w:rPr>
          <w:color w:val="000000" w:themeColor="text1"/>
          <w:lang w:val="en-US"/>
        </w:rPr>
        <w:t> </w:t>
      </w:r>
      <w:r w:rsidRPr="00B40A77">
        <w:rPr>
          <w:color w:val="000000" w:themeColor="text1"/>
          <w:lang w:val="en-US"/>
        </w:rPr>
        <w:t>(4).</w:t>
      </w:r>
    </w:p>
    <w:p w14:paraId="62AAE01F" w14:textId="073B25C3" w:rsidR="001F678B" w:rsidRPr="00B40A77" w:rsidRDefault="00E13B81" w:rsidP="001F678B">
      <w:pPr>
        <w:pStyle w:val="Heading4"/>
        <w:rPr>
          <w:color w:val="000000" w:themeColor="text1"/>
        </w:rPr>
      </w:pPr>
      <w:bookmarkStart w:id="313" w:name="_38.4—Appearance_of_defendant"/>
      <w:bookmarkStart w:id="314" w:name="_Toc60133522"/>
      <w:bookmarkStart w:id="315" w:name="_Toc175238872"/>
      <w:bookmarkEnd w:id="313"/>
      <w:r w:rsidRPr="00B40A77">
        <w:rPr>
          <w:color w:val="000000" w:themeColor="text1"/>
        </w:rPr>
        <w:t>38</w:t>
      </w:r>
      <w:r w:rsidR="001F678B" w:rsidRPr="00B40A77">
        <w:rPr>
          <w:color w:val="000000" w:themeColor="text1"/>
        </w:rPr>
        <w:t xml:space="preserve">.4—Appearance of defendant or youth in </w:t>
      </w:r>
      <w:r w:rsidR="002B20DD" w:rsidRPr="00B40A77">
        <w:rPr>
          <w:color w:val="000000" w:themeColor="text1"/>
        </w:rPr>
        <w:t xml:space="preserve">custody </w:t>
      </w:r>
      <w:bookmarkEnd w:id="314"/>
      <w:r w:rsidR="00D90A72" w:rsidRPr="00B40A77">
        <w:rPr>
          <w:color w:val="000000" w:themeColor="text1"/>
        </w:rPr>
        <w:t>physically</w:t>
      </w:r>
      <w:bookmarkEnd w:id="315"/>
    </w:p>
    <w:p w14:paraId="5064DDE7" w14:textId="03165648" w:rsidR="001F678B" w:rsidRPr="00B40A77" w:rsidRDefault="001F678B" w:rsidP="00AA301B">
      <w:pPr>
        <w:pStyle w:val="Hangindent"/>
        <w:keepLines/>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a defendant or youth who </w:t>
      </w:r>
      <w:r w:rsidR="002A5B3A" w:rsidRPr="00B40A77">
        <w:rPr>
          <w:color w:val="000000" w:themeColor="text1"/>
          <w:lang w:val="en-US"/>
        </w:rPr>
        <w:t>is</w:t>
      </w:r>
      <w:r w:rsidRPr="00B40A77">
        <w:rPr>
          <w:color w:val="000000" w:themeColor="text1"/>
          <w:lang w:val="en-US"/>
        </w:rPr>
        <w:t xml:space="preserve"> in custody will appear before the Court </w:t>
      </w:r>
      <w:r w:rsidR="00D90A72" w:rsidRPr="00B40A77">
        <w:rPr>
          <w:color w:val="000000" w:themeColor="text1"/>
          <w:lang w:val="en-US"/>
        </w:rPr>
        <w:t xml:space="preserve">physically </w:t>
      </w:r>
      <w:r w:rsidRPr="00B40A77">
        <w:rPr>
          <w:color w:val="000000" w:themeColor="text1"/>
          <w:lang w:val="en-US"/>
        </w:rPr>
        <w:t xml:space="preserve">at </w:t>
      </w:r>
      <w:r w:rsidRPr="00B40A77">
        <w:rPr>
          <w:color w:val="000000" w:themeColor="text1"/>
          <w:u w:val="single"/>
          <w:lang w:val="en-US"/>
        </w:rPr>
        <w:t>trial</w:t>
      </w:r>
      <w:r w:rsidRPr="00B40A77">
        <w:rPr>
          <w:color w:val="000000" w:themeColor="text1"/>
          <w:lang w:val="en-US"/>
        </w:rPr>
        <w:t>.</w:t>
      </w:r>
    </w:p>
    <w:p w14:paraId="48A1BC30" w14:textId="7F98106E" w:rsidR="001F678B" w:rsidRPr="00B40A77" w:rsidRDefault="001F678B" w:rsidP="001F678B">
      <w:pPr>
        <w:pStyle w:val="Hangindent"/>
        <w:keepNext/>
        <w:keepLines/>
        <w:rPr>
          <w:color w:val="000000" w:themeColor="text1"/>
          <w:lang w:val="en-US"/>
        </w:rPr>
      </w:pPr>
      <w:r w:rsidRPr="00B40A77">
        <w:rPr>
          <w:color w:val="000000" w:themeColor="text1"/>
          <w:lang w:val="en-US"/>
        </w:rPr>
        <w:t>(2)</w:t>
      </w:r>
      <w:r w:rsidRPr="00B40A77">
        <w:rPr>
          <w:color w:val="000000" w:themeColor="text1"/>
          <w:lang w:val="en-US"/>
        </w:rPr>
        <w:tab/>
        <w:t xml:space="preserve">Unless the Court otherwise orders, a defendant or youth who </w:t>
      </w:r>
      <w:r w:rsidR="002A5B3A" w:rsidRPr="00B40A77">
        <w:rPr>
          <w:color w:val="000000" w:themeColor="text1"/>
          <w:lang w:val="en-US"/>
        </w:rPr>
        <w:t>is</w:t>
      </w:r>
      <w:r w:rsidRPr="00B40A77">
        <w:rPr>
          <w:color w:val="000000" w:themeColor="text1"/>
          <w:lang w:val="en-US"/>
        </w:rPr>
        <w:t xml:space="preserve"> in custody on a charge of an indictable offence will appear before the Court </w:t>
      </w:r>
      <w:r w:rsidR="00D90A72" w:rsidRPr="00B40A77">
        <w:rPr>
          <w:color w:val="000000" w:themeColor="text1"/>
          <w:lang w:val="en-US"/>
        </w:rPr>
        <w:t xml:space="preserve">physically </w:t>
      </w:r>
      <w:r w:rsidRPr="00B40A77">
        <w:rPr>
          <w:color w:val="000000" w:themeColor="text1"/>
          <w:lang w:val="en-US"/>
        </w:rPr>
        <w:t xml:space="preserve">at a </w:t>
      </w:r>
      <w:hyperlink w:anchor="_2.1—Definitions" w:history="1">
        <w:r w:rsidR="006D6EB8" w:rsidRPr="00B40A77">
          <w:rPr>
            <w:rStyle w:val="Hyperlink"/>
            <w:color w:val="000000" w:themeColor="text1"/>
          </w:rPr>
          <w:t>sentencing hearing</w:t>
        </w:r>
      </w:hyperlink>
      <w:r w:rsidRPr="00B40A77">
        <w:rPr>
          <w:color w:val="000000" w:themeColor="text1"/>
          <w:lang w:val="en-US"/>
        </w:rPr>
        <w:t xml:space="preserve"> and upon sentencing.</w:t>
      </w:r>
    </w:p>
    <w:p w14:paraId="7FBD4C09" w14:textId="77777777" w:rsidR="001F678B" w:rsidRPr="00B40A77" w:rsidRDefault="001F678B" w:rsidP="004C2422">
      <w:pPr>
        <w:pStyle w:val="NoteHeader"/>
        <w:keepNext/>
        <w:rPr>
          <w:color w:val="000000" w:themeColor="text1"/>
        </w:rPr>
      </w:pPr>
      <w:r w:rsidRPr="00B40A77">
        <w:rPr>
          <w:color w:val="000000" w:themeColor="text1"/>
        </w:rPr>
        <w:t>Notes—</w:t>
      </w:r>
    </w:p>
    <w:p w14:paraId="1C1AE3DE" w14:textId="160A2835" w:rsidR="001F678B" w:rsidRPr="00B40A77" w:rsidRDefault="001F678B" w:rsidP="001F678B">
      <w:pPr>
        <w:pStyle w:val="NoteText"/>
        <w:rPr>
          <w:color w:val="000000" w:themeColor="text1"/>
        </w:rPr>
      </w:pPr>
      <w:r w:rsidRPr="00B40A77">
        <w:rPr>
          <w:color w:val="000000" w:themeColor="text1"/>
        </w:rPr>
        <w:t>Section 21(1) of the Sentencing Act provides that, subject to subsection (2), a defendant who is to be sentenced for an indictable offence must be present when the sentence is imposed and throughout all proceedings relevant to the determination of sentence.</w:t>
      </w:r>
    </w:p>
    <w:p w14:paraId="4EA47305" w14:textId="240D960D" w:rsidR="001F678B" w:rsidRPr="00B40A77" w:rsidRDefault="001F678B" w:rsidP="001F678B">
      <w:pPr>
        <w:pStyle w:val="NoteText"/>
        <w:rPr>
          <w:color w:val="000000" w:themeColor="text1"/>
        </w:rPr>
      </w:pPr>
      <w:r w:rsidRPr="00B40A77">
        <w:rPr>
          <w:color w:val="000000" w:themeColor="text1"/>
        </w:rPr>
        <w:t xml:space="preserve">Section 21(2)(b) </w:t>
      </w:r>
      <w:r w:rsidR="00AE1D77" w:rsidRPr="00B40A77">
        <w:rPr>
          <w:color w:val="000000" w:themeColor="text1"/>
        </w:rPr>
        <w:t xml:space="preserve">of the Sentencing Act </w:t>
      </w:r>
      <w:r w:rsidRPr="00B40A77">
        <w:rPr>
          <w:color w:val="000000" w:themeColor="text1"/>
        </w:rPr>
        <w:t xml:space="preserve">provides that if a defendant is in custody and facilities exist for dealing with proceedings by means of an </w:t>
      </w:r>
      <w:r w:rsidR="00176DEB" w:rsidRPr="00B40A77">
        <w:rPr>
          <w:color w:val="000000" w:themeColor="text1"/>
        </w:rPr>
        <w:t xml:space="preserve">audio visual link or </w:t>
      </w:r>
      <w:r w:rsidR="001D63F7" w:rsidRPr="00B40A77">
        <w:rPr>
          <w:color w:val="000000" w:themeColor="text1"/>
        </w:rPr>
        <w:t>audio link</w:t>
      </w:r>
      <w:r w:rsidRPr="00B40A77">
        <w:rPr>
          <w:color w:val="000000" w:themeColor="text1"/>
        </w:rPr>
        <w:t xml:space="preserve">, the court may, if of the opinion that it is appropriate in the circumstances to do so, deal with the proceeding by </w:t>
      </w:r>
      <w:r w:rsidR="001D63F7" w:rsidRPr="00B40A77">
        <w:rPr>
          <w:color w:val="000000" w:themeColor="text1"/>
        </w:rPr>
        <w:t>audio visual link</w:t>
      </w:r>
      <w:r w:rsidRPr="00B40A77">
        <w:rPr>
          <w:color w:val="000000" w:themeColor="text1"/>
        </w:rPr>
        <w:t xml:space="preserve"> </w:t>
      </w:r>
      <w:r w:rsidR="00176DEB" w:rsidRPr="00B40A77">
        <w:rPr>
          <w:color w:val="000000" w:themeColor="text1"/>
        </w:rPr>
        <w:t xml:space="preserve">or audio link </w:t>
      </w:r>
      <w:r w:rsidRPr="00B40A77">
        <w:rPr>
          <w:color w:val="000000" w:themeColor="text1"/>
        </w:rPr>
        <w:t>without requiring the personal attendance of the defendant.</w:t>
      </w:r>
    </w:p>
    <w:p w14:paraId="15DD6993" w14:textId="770424B3" w:rsidR="001F678B" w:rsidRPr="00B40A77" w:rsidRDefault="001F678B" w:rsidP="001F678B">
      <w:pPr>
        <w:pStyle w:val="NoteText"/>
        <w:rPr>
          <w:color w:val="000000" w:themeColor="text1"/>
        </w:rPr>
      </w:pPr>
      <w:r w:rsidRPr="00B40A77">
        <w:rPr>
          <w:color w:val="000000" w:themeColor="text1"/>
        </w:rPr>
        <w:t>Section 21(2)(a)</w:t>
      </w:r>
      <w:r w:rsidR="00AE1D77" w:rsidRPr="00B40A77">
        <w:rPr>
          <w:color w:val="000000" w:themeColor="text1"/>
        </w:rPr>
        <w:t xml:space="preserve"> of the Sentencing Act</w:t>
      </w:r>
      <w:r w:rsidRPr="00B40A77">
        <w:rPr>
          <w:color w:val="000000" w:themeColor="text1"/>
        </w:rPr>
        <w:t xml:space="preserve"> empowers the court to excuse the defendant from attendance.</w:t>
      </w:r>
    </w:p>
    <w:p w14:paraId="6A27EF50" w14:textId="716F6A8C" w:rsidR="001F678B" w:rsidRPr="00B40A77" w:rsidRDefault="001F678B" w:rsidP="001F678B">
      <w:pPr>
        <w:pStyle w:val="NoteText"/>
        <w:rPr>
          <w:color w:val="000000" w:themeColor="text1"/>
        </w:rPr>
      </w:pPr>
      <w:r w:rsidRPr="00B40A77">
        <w:rPr>
          <w:color w:val="000000" w:themeColor="text1"/>
        </w:rPr>
        <w:t>Section 21(</w:t>
      </w:r>
      <w:r w:rsidR="00AE1D77" w:rsidRPr="00B40A77">
        <w:rPr>
          <w:color w:val="000000" w:themeColor="text1"/>
        </w:rPr>
        <w:t>2</w:t>
      </w:r>
      <w:r w:rsidRPr="00B40A77">
        <w:rPr>
          <w:color w:val="000000" w:themeColor="text1"/>
        </w:rPr>
        <w:t xml:space="preserve">)(c) </w:t>
      </w:r>
      <w:r w:rsidR="00AE1D77" w:rsidRPr="00B40A77">
        <w:rPr>
          <w:color w:val="000000" w:themeColor="text1"/>
        </w:rPr>
        <w:t xml:space="preserve">of the Sentencing Act </w:t>
      </w:r>
      <w:r w:rsidRPr="00B40A77">
        <w:rPr>
          <w:color w:val="000000" w:themeColor="text1"/>
        </w:rPr>
        <w:t>empowers the court to exclude the defendant from the courtroom if satisfied that the exclusion is necessary in the interests of safety or for the orderly conduct of the proceeding.</w:t>
      </w:r>
    </w:p>
    <w:p w14:paraId="5225F265" w14:textId="2372F548" w:rsidR="00F90BA1" w:rsidRPr="00B40A77" w:rsidRDefault="00E13B81" w:rsidP="004057D2">
      <w:pPr>
        <w:pStyle w:val="Heading4"/>
        <w:rPr>
          <w:color w:val="000000" w:themeColor="text1"/>
        </w:rPr>
      </w:pPr>
      <w:bookmarkStart w:id="316" w:name="_Toc175238873"/>
      <w:bookmarkEnd w:id="312"/>
      <w:r w:rsidRPr="00B40A77">
        <w:rPr>
          <w:color w:val="000000" w:themeColor="text1"/>
        </w:rPr>
        <w:t>38</w:t>
      </w:r>
      <w:r w:rsidR="00532863" w:rsidRPr="00B40A77">
        <w:rPr>
          <w:color w:val="000000" w:themeColor="text1"/>
        </w:rPr>
        <w:t>.</w:t>
      </w:r>
      <w:r w:rsidR="00660432" w:rsidRPr="00B40A77">
        <w:rPr>
          <w:color w:val="000000" w:themeColor="text1"/>
        </w:rPr>
        <w:t>5</w:t>
      </w:r>
      <w:r w:rsidR="00F90BA1" w:rsidRPr="00B40A77">
        <w:rPr>
          <w:color w:val="000000" w:themeColor="text1"/>
        </w:rPr>
        <w:t xml:space="preserve">—Appearance by </w:t>
      </w:r>
      <w:r w:rsidR="001D63F7" w:rsidRPr="00B40A77">
        <w:rPr>
          <w:color w:val="000000" w:themeColor="text1"/>
        </w:rPr>
        <w:t>audio link or</w:t>
      </w:r>
      <w:r w:rsidR="001667E3">
        <w:rPr>
          <w:color w:val="000000" w:themeColor="text1"/>
        </w:rPr>
        <w:t xml:space="preserve"> </w:t>
      </w:r>
      <w:r w:rsidR="001D63F7" w:rsidRPr="00B40A77">
        <w:rPr>
          <w:color w:val="000000" w:themeColor="text1"/>
        </w:rPr>
        <w:t>audio visual link</w:t>
      </w:r>
      <w:bookmarkEnd w:id="316"/>
      <w:r w:rsidR="00F90BA1" w:rsidRPr="00B40A77">
        <w:rPr>
          <w:color w:val="000000" w:themeColor="text1"/>
        </w:rPr>
        <w:t xml:space="preserve"> </w:t>
      </w:r>
    </w:p>
    <w:p w14:paraId="0DC4F189" w14:textId="77777777" w:rsidR="001667E3" w:rsidRDefault="001667E3" w:rsidP="001667E3">
      <w:pPr>
        <w:pStyle w:val="Hangindent"/>
        <w:rPr>
          <w:lang w:val="en-US"/>
        </w:rPr>
      </w:pPr>
      <w:bookmarkStart w:id="317" w:name="_Hlk152914501"/>
      <w:r w:rsidRPr="00923803">
        <w:rPr>
          <w:lang w:val="en-US"/>
        </w:rPr>
        <w:t>(1)</w:t>
      </w:r>
      <w:r w:rsidRPr="00923803">
        <w:rPr>
          <w:lang w:val="en-US"/>
        </w:rPr>
        <w:tab/>
        <w:t xml:space="preserve">The Court may direct or permit </w:t>
      </w:r>
      <w:r>
        <w:rPr>
          <w:lang w:val="en-US"/>
        </w:rPr>
        <w:t>one or more</w:t>
      </w:r>
      <w:r w:rsidRPr="00923803">
        <w:rPr>
          <w:lang w:val="en-US"/>
        </w:rPr>
        <w:t xml:space="preserve"> participants (parties, lawyers and witnesses) to appear at a hearing remotely by audio link or by </w:t>
      </w:r>
      <w:r>
        <w:rPr>
          <w:lang w:val="en-US"/>
        </w:rPr>
        <w:t>audio visual link</w:t>
      </w:r>
      <w:r w:rsidRPr="00923803">
        <w:rPr>
          <w:lang w:val="en-US"/>
        </w:rPr>
        <w:t>.</w:t>
      </w:r>
    </w:p>
    <w:p w14:paraId="5772C3AC" w14:textId="77777777" w:rsidR="001667E3" w:rsidRPr="001667E3" w:rsidRDefault="001667E3" w:rsidP="001667E3">
      <w:pPr>
        <w:pStyle w:val="NoteHeader"/>
        <w:keepNext/>
        <w:rPr>
          <w:color w:val="000000" w:themeColor="text1"/>
        </w:rPr>
      </w:pPr>
      <w:r w:rsidRPr="001667E3">
        <w:rPr>
          <w:color w:val="000000" w:themeColor="text1"/>
        </w:rPr>
        <w:lastRenderedPageBreak/>
        <w:t>Note—</w:t>
      </w:r>
    </w:p>
    <w:p w14:paraId="68C99272" w14:textId="77777777" w:rsidR="001667E3" w:rsidRDefault="001667E3" w:rsidP="001667E3">
      <w:pPr>
        <w:pStyle w:val="NoteText"/>
        <w:ind w:left="1440"/>
      </w:pPr>
      <w:r>
        <w:t xml:space="preserve">Appearance remotely is an exception to the general rule that appearances of </w:t>
      </w:r>
      <w:r w:rsidRPr="00923803">
        <w:rPr>
          <w:lang w:val="en-US"/>
        </w:rPr>
        <w:t>parties, lawyers and witnesses</w:t>
      </w:r>
      <w:r>
        <w:rPr>
          <w:lang w:val="en-US"/>
        </w:rPr>
        <w:t xml:space="preserve"> is in person and a remote appearance therefore needs to be justified in the circumstances</w:t>
      </w:r>
      <w:r w:rsidRPr="00923803">
        <w:t>.</w:t>
      </w:r>
    </w:p>
    <w:p w14:paraId="18040E03" w14:textId="77777777" w:rsidR="001667E3" w:rsidRPr="00923803" w:rsidRDefault="001667E3" w:rsidP="001667E3">
      <w:pPr>
        <w:pStyle w:val="NoteText"/>
        <w:ind w:left="1440"/>
        <w:rPr>
          <w:lang w:val="en-US"/>
        </w:rPr>
      </w:pPr>
      <w:r>
        <w:t xml:space="preserve">Some other rules provide for remote appearances. They include rules 38.3, 77.2, 99.2, 101.1, 102.1(3)(c), 107.2, 129.3, 130.6 and 183.8. </w:t>
      </w:r>
    </w:p>
    <w:p w14:paraId="6E9A4076" w14:textId="77777777" w:rsidR="001667E3" w:rsidRPr="00923803" w:rsidRDefault="001667E3" w:rsidP="001667E3">
      <w:pPr>
        <w:pStyle w:val="Hangindent"/>
        <w:rPr>
          <w:lang w:val="en-GB"/>
        </w:rPr>
      </w:pPr>
      <w:r w:rsidRPr="00923803">
        <w:rPr>
          <w:lang w:val="en-GB"/>
        </w:rPr>
        <w:t>(</w:t>
      </w:r>
      <w:r>
        <w:rPr>
          <w:lang w:val="en-GB"/>
        </w:rPr>
        <w:t>2</w:t>
      </w:r>
      <w:r w:rsidRPr="00923803">
        <w:rPr>
          <w:lang w:val="en-GB"/>
        </w:rPr>
        <w:t>)</w:t>
      </w:r>
      <w:r w:rsidRPr="00923803">
        <w:rPr>
          <w:lang w:val="en-GB"/>
        </w:rPr>
        <w:tab/>
        <w:t>Unless the Court otherwise orders, the costs incurred by the Court in conducting an audio visual hearing at the request of a party must be paid by the requesting party.</w:t>
      </w:r>
    </w:p>
    <w:p w14:paraId="2EA7D1A0" w14:textId="77777777" w:rsidR="001667E3" w:rsidRPr="00ED0428" w:rsidRDefault="001667E3" w:rsidP="001667E3">
      <w:pPr>
        <w:ind w:firstLine="567"/>
        <w:rPr>
          <w:szCs w:val="23"/>
          <w:u w:val="single"/>
          <w:lang w:val="en-US"/>
        </w:rPr>
      </w:pPr>
      <w:r w:rsidRPr="00ED0428">
        <w:rPr>
          <w:szCs w:val="23"/>
          <w:u w:val="single"/>
          <w:lang w:val="en-US"/>
        </w:rPr>
        <w:t>Remote appearance by party or lawyer</w:t>
      </w:r>
    </w:p>
    <w:p w14:paraId="7721AA2F" w14:textId="77777777" w:rsidR="001667E3" w:rsidRPr="00923803" w:rsidRDefault="001667E3" w:rsidP="001667E3">
      <w:pPr>
        <w:pStyle w:val="Hangindent"/>
        <w:rPr>
          <w:lang w:val="en-US"/>
        </w:rPr>
      </w:pPr>
      <w:r w:rsidRPr="00923803">
        <w:rPr>
          <w:lang w:eastAsia="en-AU"/>
        </w:rPr>
        <w:t>(</w:t>
      </w:r>
      <w:r>
        <w:rPr>
          <w:lang w:eastAsia="en-AU"/>
        </w:rPr>
        <w:t>3</w:t>
      </w:r>
      <w:r w:rsidRPr="00923803">
        <w:rPr>
          <w:lang w:eastAsia="en-AU"/>
        </w:rPr>
        <w:t>)</w:t>
      </w:r>
      <w:r w:rsidRPr="00923803">
        <w:rPr>
          <w:lang w:eastAsia="en-AU"/>
        </w:rPr>
        <w:tab/>
        <w:t xml:space="preserve">A request </w:t>
      </w:r>
      <w:r>
        <w:rPr>
          <w:lang w:eastAsia="en-AU"/>
        </w:rPr>
        <w:t xml:space="preserve">for a party or lawyer </w:t>
      </w:r>
      <w:r w:rsidRPr="00923803">
        <w:rPr>
          <w:lang w:eastAsia="en-AU"/>
        </w:rPr>
        <w:t xml:space="preserve">to appear </w:t>
      </w:r>
      <w:r w:rsidRPr="00923803">
        <w:rPr>
          <w:lang w:val="en-US"/>
        </w:rPr>
        <w:t xml:space="preserve">by audio link or by </w:t>
      </w:r>
      <w:r>
        <w:rPr>
          <w:lang w:val="en-US"/>
        </w:rPr>
        <w:t>audio visual link</w:t>
      </w:r>
      <w:r w:rsidRPr="00923803">
        <w:rPr>
          <w:lang w:eastAsia="en-AU"/>
        </w:rPr>
        <w:t xml:space="preserve"> </w:t>
      </w:r>
      <w:r>
        <w:rPr>
          <w:lang w:eastAsia="en-AU"/>
        </w:rPr>
        <w:t>must be made by</w:t>
      </w:r>
      <w:r w:rsidRPr="00923803">
        <w:rPr>
          <w:lang w:val="en-US"/>
        </w:rPr>
        <w:t>—</w:t>
      </w:r>
    </w:p>
    <w:p w14:paraId="618ABCB7" w14:textId="77777777" w:rsidR="001667E3" w:rsidRPr="00201D0C" w:rsidRDefault="001667E3" w:rsidP="000D2B20">
      <w:pPr>
        <w:pStyle w:val="Doublehangindent"/>
        <w:rPr>
          <w:color w:val="000000" w:themeColor="text1"/>
          <w:lang w:val="en-US"/>
        </w:rPr>
      </w:pPr>
      <w:r w:rsidRPr="00923803">
        <w:rPr>
          <w:lang w:val="en-US"/>
        </w:rPr>
        <w:t>(a)</w:t>
      </w:r>
      <w:r w:rsidRPr="00923803">
        <w:rPr>
          <w:lang w:val="en-US"/>
        </w:rPr>
        <w:tab/>
      </w:r>
      <w:r>
        <w:rPr>
          <w:lang w:val="en-US"/>
        </w:rPr>
        <w:t xml:space="preserve">an </w:t>
      </w:r>
      <w:r w:rsidRPr="00201D0C">
        <w:rPr>
          <w:color w:val="000000" w:themeColor="text1"/>
          <w:lang w:val="en-US"/>
        </w:rPr>
        <w:t>interlocutory application in the prescribed form;</w:t>
      </w:r>
    </w:p>
    <w:p w14:paraId="2276AB33" w14:textId="77777777" w:rsidR="001667E3" w:rsidRPr="00201D0C" w:rsidRDefault="001667E3" w:rsidP="000D2B20">
      <w:pPr>
        <w:pStyle w:val="NoteHeader"/>
        <w:keepNext/>
        <w:ind w:left="1701"/>
        <w:rPr>
          <w:color w:val="000000" w:themeColor="text1"/>
        </w:rPr>
      </w:pPr>
      <w:r w:rsidRPr="00201D0C">
        <w:rPr>
          <w:color w:val="000000" w:themeColor="text1"/>
        </w:rPr>
        <w:t>Prescribed form—</w:t>
      </w:r>
    </w:p>
    <w:p w14:paraId="3D927A86" w14:textId="07BB5383" w:rsidR="001667E3" w:rsidRPr="001905BF" w:rsidRDefault="001667E3" w:rsidP="000D2B20">
      <w:pPr>
        <w:pStyle w:val="NoteText"/>
        <w:ind w:left="1985"/>
        <w:rPr>
          <w:color w:val="000000" w:themeColor="text1"/>
          <w:u w:val="single"/>
        </w:rPr>
      </w:pPr>
      <w:r w:rsidRPr="001905BF">
        <w:rPr>
          <w:color w:val="000000" w:themeColor="text1"/>
          <w:u w:val="single"/>
        </w:rPr>
        <w:t xml:space="preserve">Form 92D </w:t>
      </w:r>
      <w:hyperlink r:id="rId48" w:history="1">
        <w:r w:rsidRPr="001905BF">
          <w:rPr>
            <w:rStyle w:val="Hyperlink"/>
            <w:color w:val="000000" w:themeColor="text1"/>
          </w:rPr>
          <w:t>Interlocutory</w:t>
        </w:r>
        <w:r w:rsidRPr="001905BF">
          <w:rPr>
            <w:rStyle w:val="Hyperlink"/>
            <w:color w:val="000000" w:themeColor="text1"/>
            <w:lang w:val="en-US"/>
          </w:rPr>
          <w:t xml:space="preserve"> Application </w:t>
        </w:r>
        <w:r w:rsidRPr="001905BF">
          <w:rPr>
            <w:rStyle w:val="Hyperlink"/>
            <w:rFonts w:cs="Arial"/>
            <w:color w:val="000000" w:themeColor="text1"/>
          </w:rPr>
          <w:t>for Hearing by Audio or Audiovisual Link</w:t>
        </w:r>
      </w:hyperlink>
    </w:p>
    <w:p w14:paraId="37734CF5" w14:textId="77777777" w:rsidR="001667E3" w:rsidRPr="00201D0C" w:rsidRDefault="001667E3" w:rsidP="000D2B20">
      <w:pPr>
        <w:pStyle w:val="Doublehangindent"/>
        <w:rPr>
          <w:color w:val="000000" w:themeColor="text1"/>
          <w:lang w:val="en-US"/>
        </w:rPr>
      </w:pPr>
      <w:r w:rsidRPr="00201D0C">
        <w:rPr>
          <w:color w:val="000000" w:themeColor="text1"/>
          <w:lang w:val="en-US"/>
        </w:rPr>
        <w:t>(b)</w:t>
      </w:r>
      <w:r w:rsidRPr="00201D0C">
        <w:rPr>
          <w:color w:val="000000" w:themeColor="text1"/>
          <w:lang w:val="en-US"/>
        </w:rPr>
        <w:tab/>
        <w:t>oral application at a prior hearing;</w:t>
      </w:r>
    </w:p>
    <w:p w14:paraId="5D5C2A85" w14:textId="77777777" w:rsidR="001667E3" w:rsidRPr="00201D0C" w:rsidRDefault="001667E3" w:rsidP="000D2B20">
      <w:pPr>
        <w:pStyle w:val="Doublehangindent"/>
        <w:rPr>
          <w:color w:val="000000" w:themeColor="text1"/>
          <w:lang w:val="en-US"/>
        </w:rPr>
      </w:pPr>
      <w:r w:rsidRPr="00201D0C">
        <w:rPr>
          <w:color w:val="000000" w:themeColor="text1"/>
          <w:lang w:val="en-US"/>
        </w:rPr>
        <w:t>(c)</w:t>
      </w:r>
      <w:r w:rsidRPr="00201D0C">
        <w:rPr>
          <w:color w:val="000000" w:themeColor="text1"/>
          <w:lang w:val="en-US"/>
        </w:rPr>
        <w:tab/>
        <w:t>ticking the remote appearance box on a form filed using the Electronic System; or</w:t>
      </w:r>
    </w:p>
    <w:p w14:paraId="33D81027" w14:textId="77777777" w:rsidR="001667E3" w:rsidRPr="00201D0C" w:rsidRDefault="001667E3" w:rsidP="000D2B20">
      <w:pPr>
        <w:pStyle w:val="Doublehangindent"/>
        <w:rPr>
          <w:color w:val="000000" w:themeColor="text1"/>
          <w:lang w:val="en-US"/>
        </w:rPr>
      </w:pPr>
      <w:r w:rsidRPr="00201D0C">
        <w:rPr>
          <w:color w:val="000000" w:themeColor="text1"/>
          <w:lang w:val="en-US"/>
        </w:rPr>
        <w:t>(d)</w:t>
      </w:r>
      <w:r w:rsidRPr="00201D0C">
        <w:rPr>
          <w:color w:val="000000" w:themeColor="text1"/>
          <w:lang w:val="en-US"/>
        </w:rPr>
        <w:tab/>
        <w:t>email sent to the chambers of the judicial officer before whom the hearing is to be conducted.</w:t>
      </w:r>
    </w:p>
    <w:p w14:paraId="02F067DC" w14:textId="77777777" w:rsidR="001667E3" w:rsidRPr="00201D0C" w:rsidRDefault="001667E3" w:rsidP="001667E3">
      <w:pPr>
        <w:pStyle w:val="Hangindent"/>
        <w:rPr>
          <w:color w:val="000000" w:themeColor="text1"/>
          <w:lang w:eastAsia="en-AU"/>
        </w:rPr>
      </w:pPr>
      <w:r w:rsidRPr="00201D0C">
        <w:rPr>
          <w:color w:val="000000" w:themeColor="text1"/>
          <w:lang w:eastAsia="en-AU"/>
        </w:rPr>
        <w:t>(4)</w:t>
      </w:r>
      <w:r w:rsidRPr="00201D0C">
        <w:rPr>
          <w:color w:val="000000" w:themeColor="text1"/>
          <w:lang w:eastAsia="en-AU"/>
        </w:rPr>
        <w:tab/>
        <w:t>A request under subrule (3) must identify the reason why the party or lawyer seeks to appear remotely rather than in person.</w:t>
      </w:r>
    </w:p>
    <w:p w14:paraId="5BCD2588" w14:textId="77777777" w:rsidR="001667E3" w:rsidRPr="00201D0C" w:rsidRDefault="001667E3" w:rsidP="001667E3">
      <w:pPr>
        <w:pStyle w:val="Hangindent"/>
        <w:rPr>
          <w:color w:val="000000" w:themeColor="text1"/>
          <w:lang w:eastAsia="en-AU"/>
        </w:rPr>
      </w:pPr>
      <w:r w:rsidRPr="00201D0C">
        <w:rPr>
          <w:color w:val="000000" w:themeColor="text1"/>
          <w:lang w:eastAsia="en-AU"/>
        </w:rPr>
        <w:t>(5)</w:t>
      </w:r>
      <w:r w:rsidRPr="00201D0C">
        <w:rPr>
          <w:color w:val="000000" w:themeColor="text1"/>
          <w:lang w:eastAsia="en-AU"/>
        </w:rPr>
        <w:tab/>
        <w:t>A request under subrule (3) must be made to the Court in sufficient time before the hearing to allow the Court to decide whether to allow the request and, if so, make appropriate arrangements.</w:t>
      </w:r>
    </w:p>
    <w:p w14:paraId="6825BE9A" w14:textId="77777777" w:rsidR="001667E3" w:rsidRPr="00201D0C" w:rsidRDefault="001667E3" w:rsidP="001667E3">
      <w:pPr>
        <w:pStyle w:val="Hangindent"/>
        <w:rPr>
          <w:color w:val="000000" w:themeColor="text1"/>
          <w:lang w:eastAsia="en-AU"/>
        </w:rPr>
      </w:pPr>
      <w:r w:rsidRPr="00201D0C">
        <w:rPr>
          <w:color w:val="000000" w:themeColor="text1"/>
          <w:lang w:eastAsia="en-AU"/>
        </w:rPr>
        <w:t>(6)</w:t>
      </w:r>
      <w:r w:rsidRPr="00201D0C">
        <w:rPr>
          <w:color w:val="000000" w:themeColor="text1"/>
          <w:lang w:eastAsia="en-AU"/>
        </w:rPr>
        <w:tab/>
        <w:t xml:space="preserve">If the Court is unable to contact the party or lawyer at any time within 15 minutes after the time appointed for the hearing at the nominated facility, or by the nominated </w:t>
      </w:r>
      <w:r>
        <w:rPr>
          <w:color w:val="000000" w:themeColor="text1"/>
          <w:lang w:eastAsia="en-AU"/>
        </w:rPr>
        <w:t>audio visual link</w:t>
      </w:r>
      <w:r w:rsidRPr="00201D0C">
        <w:rPr>
          <w:color w:val="000000" w:themeColor="text1"/>
          <w:lang w:eastAsia="en-AU"/>
        </w:rPr>
        <w:t xml:space="preserve"> number, the party or lawyer will be regarded as having failed to appear at the hearing for the purposes of these Rules.</w:t>
      </w:r>
    </w:p>
    <w:p w14:paraId="0B0E15E1" w14:textId="77777777" w:rsidR="001667E3" w:rsidRPr="00201D0C" w:rsidRDefault="001667E3" w:rsidP="000D2B20">
      <w:pPr>
        <w:ind w:firstLine="567"/>
        <w:rPr>
          <w:color w:val="000000" w:themeColor="text1"/>
          <w:szCs w:val="23"/>
          <w:u w:val="single"/>
          <w:lang w:val="en-US"/>
        </w:rPr>
      </w:pPr>
      <w:r w:rsidRPr="00201D0C">
        <w:rPr>
          <w:color w:val="000000" w:themeColor="text1"/>
          <w:szCs w:val="23"/>
          <w:u w:val="single"/>
          <w:lang w:val="en-US"/>
        </w:rPr>
        <w:t>Remote appearance by witness</w:t>
      </w:r>
    </w:p>
    <w:p w14:paraId="366A1CD9" w14:textId="77777777" w:rsidR="001667E3" w:rsidRPr="00201D0C" w:rsidRDefault="001667E3" w:rsidP="001667E3">
      <w:pPr>
        <w:pStyle w:val="Hangindent"/>
        <w:rPr>
          <w:color w:val="000000" w:themeColor="text1"/>
          <w:lang w:val="en-US"/>
        </w:rPr>
      </w:pPr>
      <w:r w:rsidRPr="00201D0C">
        <w:rPr>
          <w:color w:val="000000" w:themeColor="text1"/>
          <w:lang w:eastAsia="en-AU"/>
        </w:rPr>
        <w:t>(7)</w:t>
      </w:r>
      <w:r w:rsidRPr="00201D0C">
        <w:rPr>
          <w:color w:val="000000" w:themeColor="text1"/>
          <w:lang w:eastAsia="en-AU"/>
        </w:rPr>
        <w:tab/>
        <w:t xml:space="preserve">An application for a witness to appear </w:t>
      </w:r>
      <w:r w:rsidRPr="00201D0C">
        <w:rPr>
          <w:color w:val="000000" w:themeColor="text1"/>
          <w:lang w:val="en-US"/>
        </w:rPr>
        <w:t xml:space="preserve">by audio link or by </w:t>
      </w:r>
      <w:r>
        <w:rPr>
          <w:color w:val="000000" w:themeColor="text1"/>
          <w:lang w:val="en-US"/>
        </w:rPr>
        <w:t>audio visual link</w:t>
      </w:r>
      <w:r w:rsidRPr="00201D0C">
        <w:rPr>
          <w:color w:val="000000" w:themeColor="text1"/>
          <w:lang w:eastAsia="en-AU"/>
        </w:rPr>
        <w:t xml:space="preserve"> must be made by</w:t>
      </w:r>
      <w:r w:rsidRPr="00201D0C">
        <w:rPr>
          <w:color w:val="000000" w:themeColor="text1"/>
          <w:lang w:val="en-US"/>
        </w:rPr>
        <w:t>—</w:t>
      </w:r>
    </w:p>
    <w:p w14:paraId="1FE18EF2" w14:textId="77777777" w:rsidR="001667E3" w:rsidRPr="00201D0C" w:rsidRDefault="001667E3" w:rsidP="000D2B20">
      <w:pPr>
        <w:pStyle w:val="Doublehangindent"/>
        <w:rPr>
          <w:color w:val="000000" w:themeColor="text1"/>
          <w:lang w:val="en-US"/>
        </w:rPr>
      </w:pPr>
      <w:r w:rsidRPr="00201D0C">
        <w:rPr>
          <w:color w:val="000000" w:themeColor="text1"/>
          <w:lang w:val="en-US"/>
        </w:rPr>
        <w:t>(a)</w:t>
      </w:r>
      <w:r w:rsidRPr="00201D0C">
        <w:rPr>
          <w:color w:val="000000" w:themeColor="text1"/>
          <w:lang w:val="en-US"/>
        </w:rPr>
        <w:tab/>
        <w:t>an interlocutory application in the prescribed form supported by an affidavit in the prescribed form; or</w:t>
      </w:r>
    </w:p>
    <w:p w14:paraId="2B3592C9" w14:textId="35D30490" w:rsidR="001667E3" w:rsidRPr="00201D0C" w:rsidRDefault="001667E3" w:rsidP="000D2B20">
      <w:pPr>
        <w:pStyle w:val="NoteHeader"/>
        <w:keepNext/>
        <w:ind w:left="1701"/>
        <w:rPr>
          <w:color w:val="000000" w:themeColor="text1"/>
        </w:rPr>
      </w:pPr>
      <w:r w:rsidRPr="00201D0C">
        <w:rPr>
          <w:color w:val="000000" w:themeColor="text1"/>
        </w:rPr>
        <w:t>Prescribed forms—</w:t>
      </w:r>
    </w:p>
    <w:p w14:paraId="414CFDB0" w14:textId="387F6C55" w:rsidR="001667E3" w:rsidRPr="00B40A77" w:rsidRDefault="001667E3" w:rsidP="000D2B20">
      <w:pPr>
        <w:pStyle w:val="NoteText"/>
        <w:ind w:left="1985"/>
        <w:rPr>
          <w:color w:val="000000" w:themeColor="text1"/>
        </w:rPr>
      </w:pPr>
      <w:r w:rsidRPr="00B40A77">
        <w:rPr>
          <w:color w:val="000000" w:themeColor="text1"/>
        </w:rPr>
        <w:t xml:space="preserve">Form 92D </w:t>
      </w:r>
      <w:hyperlink r:id="rId49" w:history="1">
        <w:r w:rsidRPr="00B40A77">
          <w:rPr>
            <w:rStyle w:val="Hyperlink"/>
            <w:color w:val="000000" w:themeColor="text1"/>
          </w:rPr>
          <w:t>Interlocutory</w:t>
        </w:r>
        <w:r w:rsidRPr="00B40A77">
          <w:rPr>
            <w:rStyle w:val="Hyperlink"/>
            <w:color w:val="000000" w:themeColor="text1"/>
            <w:lang w:val="en-US"/>
          </w:rPr>
          <w:t xml:space="preserve"> Application </w:t>
        </w:r>
        <w:r w:rsidRPr="00B40A77">
          <w:rPr>
            <w:rStyle w:val="Hyperlink"/>
            <w:rFonts w:cs="Arial"/>
            <w:color w:val="000000" w:themeColor="text1"/>
          </w:rPr>
          <w:t>for Hearing by Audio or Audiovisual Link</w:t>
        </w:r>
      </w:hyperlink>
    </w:p>
    <w:p w14:paraId="41AD2C84" w14:textId="0B6BC502" w:rsidR="001667E3" w:rsidRPr="00201D0C" w:rsidRDefault="001667E3" w:rsidP="000D2B20">
      <w:pPr>
        <w:pStyle w:val="NoteText"/>
        <w:ind w:left="1985"/>
        <w:rPr>
          <w:color w:val="000000" w:themeColor="text1"/>
          <w:u w:val="single"/>
        </w:rPr>
      </w:pPr>
      <w:r w:rsidRPr="00B40A77">
        <w:rPr>
          <w:color w:val="000000" w:themeColor="text1"/>
        </w:rPr>
        <w:t xml:space="preserve">Form 93 </w:t>
      </w:r>
      <w:hyperlink r:id="rId50" w:history="1">
        <w:r w:rsidRPr="00B40A77">
          <w:rPr>
            <w:rStyle w:val="Hyperlink"/>
            <w:color w:val="000000" w:themeColor="text1"/>
          </w:rPr>
          <w:t>Affidavit</w:t>
        </w:r>
      </w:hyperlink>
    </w:p>
    <w:p w14:paraId="2B91AD27" w14:textId="77777777" w:rsidR="001667E3" w:rsidRPr="00201D0C" w:rsidRDefault="001667E3" w:rsidP="000D2B20">
      <w:pPr>
        <w:pStyle w:val="Doublehangindent"/>
        <w:rPr>
          <w:color w:val="000000" w:themeColor="text1"/>
          <w:lang w:val="en-US"/>
        </w:rPr>
      </w:pPr>
      <w:r w:rsidRPr="00201D0C">
        <w:rPr>
          <w:color w:val="000000" w:themeColor="text1"/>
          <w:lang w:val="en-US"/>
        </w:rPr>
        <w:t>(b)</w:t>
      </w:r>
      <w:r w:rsidRPr="00201D0C">
        <w:rPr>
          <w:color w:val="000000" w:themeColor="text1"/>
          <w:lang w:val="en-US"/>
        </w:rPr>
        <w:tab/>
        <w:t>oral application at a prior hearing.</w:t>
      </w:r>
    </w:p>
    <w:p w14:paraId="0EAC8BE9" w14:textId="77777777" w:rsidR="001667E3" w:rsidRDefault="001667E3" w:rsidP="001667E3">
      <w:pPr>
        <w:pStyle w:val="Hangindent"/>
        <w:rPr>
          <w:lang w:eastAsia="en-AU"/>
        </w:rPr>
      </w:pPr>
      <w:r w:rsidRPr="00201D0C">
        <w:rPr>
          <w:color w:val="000000" w:themeColor="text1"/>
          <w:lang w:eastAsia="en-AU"/>
        </w:rPr>
        <w:t>(8)</w:t>
      </w:r>
      <w:r w:rsidRPr="00201D0C">
        <w:rPr>
          <w:color w:val="000000" w:themeColor="text1"/>
          <w:lang w:eastAsia="en-AU"/>
        </w:rPr>
        <w:tab/>
        <w:t>An application under subrule (7) must identify the reason why the requesting party seeks that the witness appear remotely rather than in person</w:t>
      </w:r>
      <w:r>
        <w:rPr>
          <w:lang w:eastAsia="en-AU"/>
        </w:rPr>
        <w:t>.</w:t>
      </w:r>
    </w:p>
    <w:p w14:paraId="0C801BDA" w14:textId="77777777" w:rsidR="001667E3" w:rsidRPr="00923803" w:rsidRDefault="001667E3" w:rsidP="001667E3">
      <w:pPr>
        <w:pStyle w:val="Hangindent"/>
        <w:rPr>
          <w:lang w:val="en-US"/>
        </w:rPr>
      </w:pPr>
      <w:r w:rsidRPr="00923803">
        <w:rPr>
          <w:lang w:eastAsia="en-AU"/>
        </w:rPr>
        <w:t>(</w:t>
      </w:r>
      <w:r>
        <w:rPr>
          <w:lang w:eastAsia="en-AU"/>
        </w:rPr>
        <w:t>9)</w:t>
      </w:r>
      <w:r w:rsidRPr="00923803">
        <w:rPr>
          <w:lang w:eastAsia="en-AU"/>
        </w:rPr>
        <w:tab/>
        <w:t>A</w:t>
      </w:r>
      <w:r>
        <w:rPr>
          <w:lang w:eastAsia="en-AU"/>
        </w:rPr>
        <w:t>n application</w:t>
      </w:r>
      <w:r w:rsidRPr="00923803">
        <w:rPr>
          <w:lang w:eastAsia="en-AU"/>
        </w:rPr>
        <w:t xml:space="preserve"> </w:t>
      </w:r>
      <w:r>
        <w:rPr>
          <w:lang w:eastAsia="en-AU"/>
        </w:rPr>
        <w:t xml:space="preserve">under subrule (7) </w:t>
      </w:r>
      <w:r w:rsidRPr="00923803">
        <w:rPr>
          <w:lang w:eastAsia="en-AU"/>
        </w:rPr>
        <w:t>must be made to the Court</w:t>
      </w:r>
      <w:r w:rsidRPr="00923803">
        <w:rPr>
          <w:lang w:val="en-US"/>
        </w:rPr>
        <w:t>—</w:t>
      </w:r>
    </w:p>
    <w:p w14:paraId="29B92222" w14:textId="77777777" w:rsidR="001667E3" w:rsidRDefault="001667E3" w:rsidP="000D2B20">
      <w:pPr>
        <w:pStyle w:val="Doublehangindent"/>
        <w:rPr>
          <w:lang w:val="en-US"/>
        </w:rPr>
      </w:pPr>
      <w:r w:rsidRPr="00923803">
        <w:rPr>
          <w:lang w:val="en-US"/>
        </w:rPr>
        <w:t>(a)</w:t>
      </w:r>
      <w:r w:rsidRPr="00923803">
        <w:rPr>
          <w:lang w:val="en-US"/>
        </w:rPr>
        <w:tab/>
      </w:r>
      <w:r w:rsidRPr="00923803">
        <w:rPr>
          <w:lang w:eastAsia="en-AU"/>
        </w:rPr>
        <w:t xml:space="preserve">in sufficient time before the hearing to allow the Court to decide whether to allow the </w:t>
      </w:r>
      <w:r>
        <w:rPr>
          <w:lang w:eastAsia="en-AU"/>
        </w:rPr>
        <w:t>application</w:t>
      </w:r>
      <w:r w:rsidRPr="00923803">
        <w:rPr>
          <w:lang w:eastAsia="en-AU"/>
        </w:rPr>
        <w:t xml:space="preserve"> and, if so, make appropriate arrangements</w:t>
      </w:r>
      <w:r>
        <w:rPr>
          <w:lang w:val="en-US"/>
        </w:rPr>
        <w:t>; and</w:t>
      </w:r>
    </w:p>
    <w:p w14:paraId="3E5F4513" w14:textId="2797EB03" w:rsidR="001667E3" w:rsidRPr="00DF40DA" w:rsidRDefault="001667E3" w:rsidP="000D2B20">
      <w:pPr>
        <w:pStyle w:val="Doublehangindent"/>
        <w:rPr>
          <w:lang w:val="en-US"/>
        </w:rPr>
      </w:pPr>
      <w:r>
        <w:rPr>
          <w:lang w:val="en-US"/>
        </w:rPr>
        <w:lastRenderedPageBreak/>
        <w:t>(b)</w:t>
      </w:r>
      <w:r>
        <w:rPr>
          <w:lang w:val="en-US"/>
        </w:rPr>
        <w:tab/>
        <w:t>in any event at least seven days before the hearing at which the evidence is to be given.</w:t>
      </w:r>
    </w:p>
    <w:p w14:paraId="75589B52" w14:textId="25138FF8" w:rsidR="004E078C" w:rsidRPr="00B40A77" w:rsidRDefault="00E13B81" w:rsidP="004E078C">
      <w:pPr>
        <w:pStyle w:val="Heading4"/>
        <w:rPr>
          <w:color w:val="000000" w:themeColor="text1"/>
        </w:rPr>
      </w:pPr>
      <w:bookmarkStart w:id="318" w:name="_Toc175238874"/>
      <w:bookmarkStart w:id="319" w:name="_Hlk110670002"/>
      <w:bookmarkEnd w:id="317"/>
      <w:r w:rsidRPr="00B40A77">
        <w:rPr>
          <w:color w:val="000000" w:themeColor="text1"/>
        </w:rPr>
        <w:t>38</w:t>
      </w:r>
      <w:r w:rsidR="00532863" w:rsidRPr="00B40A77">
        <w:rPr>
          <w:color w:val="000000" w:themeColor="text1"/>
        </w:rPr>
        <w:t>.</w:t>
      </w:r>
      <w:r w:rsidR="00660432" w:rsidRPr="00B40A77">
        <w:rPr>
          <w:color w:val="000000" w:themeColor="text1"/>
        </w:rPr>
        <w:t>6</w:t>
      </w:r>
      <w:r w:rsidR="004E078C" w:rsidRPr="00B40A77">
        <w:rPr>
          <w:color w:val="000000" w:themeColor="text1"/>
        </w:rPr>
        <w:t>—Hearings ordinarily in court in public</w:t>
      </w:r>
      <w:bookmarkEnd w:id="318"/>
    </w:p>
    <w:p w14:paraId="473D76D3" w14:textId="05DEA096" w:rsidR="0034063A" w:rsidRPr="00B40A77" w:rsidRDefault="0034063A" w:rsidP="00E13A93">
      <w:pPr>
        <w:pStyle w:val="Hangindent"/>
        <w:keepNext/>
        <w:rPr>
          <w:i/>
          <w:iCs/>
          <w:color w:val="000000" w:themeColor="text1"/>
          <w:sz w:val="24"/>
          <w:szCs w:val="24"/>
          <w:lang w:val="en-US"/>
        </w:rPr>
      </w:pPr>
      <w:r w:rsidRPr="00B40A77">
        <w:rPr>
          <w:i/>
          <w:iCs/>
          <w:color w:val="000000" w:themeColor="text1"/>
          <w:sz w:val="24"/>
          <w:szCs w:val="24"/>
          <w:lang w:val="en-US"/>
        </w:rPr>
        <w:t>All Courts except Youth Court</w:t>
      </w:r>
    </w:p>
    <w:p w14:paraId="634B89A1" w14:textId="4071A62F" w:rsidR="004E078C" w:rsidRPr="00B40A77" w:rsidRDefault="00B93FDD" w:rsidP="00AA301B">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4E078C" w:rsidRPr="00B40A77">
        <w:rPr>
          <w:color w:val="000000" w:themeColor="text1"/>
          <w:lang w:val="en-US"/>
        </w:rPr>
        <w:t>Hearings</w:t>
      </w:r>
      <w:r w:rsidR="005E6D89" w:rsidRPr="00B40A77">
        <w:rPr>
          <w:color w:val="000000" w:themeColor="text1"/>
          <w:lang w:val="en-US"/>
        </w:rPr>
        <w:t xml:space="preserve">, except </w:t>
      </w:r>
      <w:hyperlink w:anchor="_2.1—Definitions" w:history="1">
        <w:r w:rsidR="005E6D89" w:rsidRPr="00B40A77">
          <w:rPr>
            <w:rStyle w:val="Hyperlink"/>
            <w:color w:val="000000" w:themeColor="text1"/>
            <w:lang w:val="en-US"/>
          </w:rPr>
          <w:t>pre-trial conference</w:t>
        </w:r>
      </w:hyperlink>
      <w:r w:rsidR="005E6D89" w:rsidRPr="00B40A77">
        <w:rPr>
          <w:color w:val="000000" w:themeColor="text1"/>
          <w:u w:val="single"/>
          <w:lang w:val="en-US"/>
        </w:rPr>
        <w:t>s</w:t>
      </w:r>
      <w:r w:rsidR="005E6D89" w:rsidRPr="00B40A77">
        <w:rPr>
          <w:color w:val="000000" w:themeColor="text1"/>
          <w:lang w:val="en-US"/>
        </w:rPr>
        <w:t>,</w:t>
      </w:r>
      <w:r w:rsidR="0053538C" w:rsidRPr="00B40A77">
        <w:rPr>
          <w:color w:val="000000" w:themeColor="text1"/>
          <w:lang w:val="en-US"/>
        </w:rPr>
        <w:t xml:space="preserve"> </w:t>
      </w:r>
      <w:r w:rsidR="004E078C" w:rsidRPr="00B40A77">
        <w:rPr>
          <w:color w:val="000000" w:themeColor="text1"/>
          <w:lang w:val="en-US"/>
        </w:rPr>
        <w:t>are ordinarily open to the public.</w:t>
      </w:r>
    </w:p>
    <w:p w14:paraId="7303DDB2" w14:textId="697E9765" w:rsidR="005E6D89" w:rsidRPr="00B40A77" w:rsidRDefault="005E6D89" w:rsidP="00E13A93">
      <w:pPr>
        <w:pStyle w:val="NoteHeader"/>
        <w:keepNext/>
        <w:rPr>
          <w:color w:val="000000" w:themeColor="text1"/>
        </w:rPr>
      </w:pPr>
      <w:r w:rsidRPr="00B40A77">
        <w:rPr>
          <w:color w:val="000000" w:themeColor="text1"/>
        </w:rPr>
        <w:t>Note</w:t>
      </w:r>
      <w:r w:rsidR="00491B53" w:rsidRPr="00B40A77">
        <w:rPr>
          <w:color w:val="000000" w:themeColor="text1"/>
        </w:rPr>
        <w:t>s</w:t>
      </w:r>
      <w:r w:rsidRPr="00B40A77">
        <w:rPr>
          <w:color w:val="000000" w:themeColor="text1"/>
        </w:rPr>
        <w:t>—</w:t>
      </w:r>
    </w:p>
    <w:p w14:paraId="765CD917" w14:textId="05640783" w:rsidR="005E6D89" w:rsidRPr="00B40A77" w:rsidRDefault="005E6D89" w:rsidP="005E6D89">
      <w:pPr>
        <w:pStyle w:val="NoteText"/>
        <w:rPr>
          <w:color w:val="000000" w:themeColor="text1"/>
          <w:lang w:val="en-US"/>
        </w:rPr>
      </w:pPr>
      <w:r w:rsidRPr="00B40A77">
        <w:rPr>
          <w:color w:val="000000" w:themeColor="text1"/>
        </w:rPr>
        <w:t xml:space="preserve">Section </w:t>
      </w:r>
      <w:r w:rsidR="0046110A" w:rsidRPr="00B40A77">
        <w:rPr>
          <w:color w:val="000000" w:themeColor="text1"/>
        </w:rPr>
        <w:t>46A</w:t>
      </w:r>
      <w:r w:rsidRPr="00B40A77">
        <w:rPr>
          <w:color w:val="000000" w:themeColor="text1"/>
        </w:rPr>
        <w:t xml:space="preserve"> </w:t>
      </w:r>
      <w:r w:rsidRPr="00B40A77">
        <w:rPr>
          <w:color w:val="000000" w:themeColor="text1"/>
          <w:lang w:val="en-US"/>
        </w:rPr>
        <w:t xml:space="preserve">of the </w:t>
      </w:r>
      <w:r w:rsidR="00491B53" w:rsidRPr="00B40A77">
        <w:rPr>
          <w:i/>
          <w:color w:val="000000" w:themeColor="text1"/>
          <w:lang w:val="en-US"/>
        </w:rPr>
        <w:t>Supreme Court</w:t>
      </w:r>
      <w:r w:rsidRPr="00B40A77">
        <w:rPr>
          <w:i/>
          <w:color w:val="000000" w:themeColor="text1"/>
          <w:lang w:val="en-US"/>
        </w:rPr>
        <w:t xml:space="preserve"> Act 19</w:t>
      </w:r>
      <w:r w:rsidR="00491B53" w:rsidRPr="00B40A77">
        <w:rPr>
          <w:i/>
          <w:color w:val="000000" w:themeColor="text1"/>
          <w:lang w:val="en-US"/>
        </w:rPr>
        <w:t>35</w:t>
      </w:r>
      <w:r w:rsidRPr="00B40A77">
        <w:rPr>
          <w:i/>
          <w:color w:val="000000" w:themeColor="text1"/>
          <w:lang w:val="en-US"/>
        </w:rPr>
        <w:t xml:space="preserve"> </w:t>
      </w:r>
      <w:r w:rsidRPr="00B40A77">
        <w:rPr>
          <w:color w:val="000000" w:themeColor="text1"/>
          <w:lang w:val="en-US"/>
        </w:rPr>
        <w:t>provides that</w:t>
      </w:r>
      <w:r w:rsidR="00491B53" w:rsidRPr="00B40A77">
        <w:rPr>
          <w:color w:val="000000" w:themeColor="text1"/>
          <w:lang w:val="en-US"/>
        </w:rPr>
        <w:t>,</w:t>
      </w:r>
      <w:r w:rsidRPr="00B40A77">
        <w:rPr>
          <w:color w:val="000000" w:themeColor="text1"/>
          <w:lang w:val="en-US"/>
        </w:rPr>
        <w:t xml:space="preserve"> </w:t>
      </w:r>
      <w:r w:rsidR="00491B53" w:rsidRPr="00B40A77">
        <w:rPr>
          <w:color w:val="000000" w:themeColor="text1"/>
          <w:lang w:val="en"/>
        </w:rPr>
        <w:t>subject to any provision of an Act or any rule to the contrary, the court’s proceedings must be open to the public</w:t>
      </w:r>
      <w:r w:rsidRPr="00B40A77">
        <w:rPr>
          <w:color w:val="000000" w:themeColor="text1"/>
          <w:lang w:val="en-US"/>
        </w:rPr>
        <w:t>.</w:t>
      </w:r>
    </w:p>
    <w:p w14:paraId="34C7F61C" w14:textId="6980E5D5" w:rsidR="00491B53" w:rsidRPr="00B40A77" w:rsidRDefault="00491B53" w:rsidP="00491B53">
      <w:pPr>
        <w:pStyle w:val="NoteText"/>
        <w:rPr>
          <w:color w:val="000000" w:themeColor="text1"/>
          <w:lang w:val="en-US"/>
        </w:rPr>
      </w:pPr>
      <w:r w:rsidRPr="00B40A77">
        <w:rPr>
          <w:color w:val="000000" w:themeColor="text1"/>
        </w:rPr>
        <w:t xml:space="preserve">Section 23 </w:t>
      </w:r>
      <w:r w:rsidRPr="00B40A77">
        <w:rPr>
          <w:color w:val="000000" w:themeColor="text1"/>
          <w:lang w:val="en-US"/>
        </w:rPr>
        <w:t xml:space="preserve">of the </w:t>
      </w:r>
      <w:r w:rsidRPr="00B40A77">
        <w:rPr>
          <w:i/>
          <w:color w:val="000000" w:themeColor="text1"/>
          <w:lang w:val="en-US"/>
        </w:rPr>
        <w:t xml:space="preserve">District Court Act 1991 </w:t>
      </w:r>
      <w:r w:rsidRPr="00B40A77">
        <w:rPr>
          <w:color w:val="000000" w:themeColor="text1"/>
          <w:lang w:val="en-US"/>
        </w:rPr>
        <w:t xml:space="preserve">provides that, </w:t>
      </w:r>
      <w:r w:rsidRPr="00B40A77">
        <w:rPr>
          <w:color w:val="000000" w:themeColor="text1"/>
          <w:lang w:val="en"/>
        </w:rPr>
        <w:t>subject to any Act or rule to the contrary, the court’s proceedings must be open to the public</w:t>
      </w:r>
      <w:r w:rsidRPr="00B40A77">
        <w:rPr>
          <w:color w:val="000000" w:themeColor="text1"/>
          <w:lang w:val="en-US"/>
        </w:rPr>
        <w:t>.</w:t>
      </w:r>
    </w:p>
    <w:p w14:paraId="2C680E30" w14:textId="291BDCEA" w:rsidR="00491B53" w:rsidRPr="00B40A77" w:rsidRDefault="00491B53" w:rsidP="00F902BF">
      <w:pPr>
        <w:pStyle w:val="NoteText"/>
        <w:rPr>
          <w:color w:val="000000" w:themeColor="text1"/>
          <w:lang w:val="en-US"/>
        </w:rPr>
      </w:pPr>
      <w:r w:rsidRPr="00B40A77">
        <w:rPr>
          <w:color w:val="000000" w:themeColor="text1"/>
        </w:rPr>
        <w:t xml:space="preserve">Section 20(1) </w:t>
      </w:r>
      <w:r w:rsidRPr="00B40A77">
        <w:rPr>
          <w:color w:val="000000" w:themeColor="text1"/>
          <w:lang w:val="en-US"/>
        </w:rPr>
        <w:t xml:space="preserve">of the </w:t>
      </w:r>
      <w:r w:rsidRPr="00B40A77">
        <w:rPr>
          <w:i/>
          <w:color w:val="000000" w:themeColor="text1"/>
        </w:rPr>
        <w:t>Environment Resources and Development Court</w:t>
      </w:r>
      <w:r w:rsidRPr="00B40A77">
        <w:rPr>
          <w:i/>
          <w:color w:val="000000" w:themeColor="text1"/>
          <w:lang w:val="en-US"/>
        </w:rPr>
        <w:t xml:space="preserve"> Act 1935 </w:t>
      </w:r>
      <w:r w:rsidRPr="00B40A77">
        <w:rPr>
          <w:color w:val="000000" w:themeColor="text1"/>
          <w:lang w:val="en-US"/>
        </w:rPr>
        <w:t xml:space="preserve">provides that, </w:t>
      </w:r>
      <w:r w:rsidRPr="00B40A77">
        <w:rPr>
          <w:color w:val="000000" w:themeColor="text1"/>
          <w:lang w:val="en"/>
        </w:rPr>
        <w:t xml:space="preserve">subject to </w:t>
      </w:r>
      <w:r w:rsidR="00EE6783" w:rsidRPr="00B40A77">
        <w:rPr>
          <w:color w:val="000000" w:themeColor="text1"/>
          <w:lang w:val="en"/>
        </w:rPr>
        <w:t>the</w:t>
      </w:r>
      <w:r w:rsidRPr="00B40A77">
        <w:rPr>
          <w:color w:val="000000" w:themeColor="text1"/>
          <w:lang w:val="en"/>
        </w:rPr>
        <w:t xml:space="preserve"> Act or any </w:t>
      </w:r>
      <w:r w:rsidR="00EE6783" w:rsidRPr="00B40A77">
        <w:rPr>
          <w:color w:val="000000" w:themeColor="text1"/>
          <w:lang w:val="en"/>
        </w:rPr>
        <w:t xml:space="preserve">relevant Act, the </w:t>
      </w:r>
      <w:r w:rsidRPr="00B40A77">
        <w:rPr>
          <w:color w:val="000000" w:themeColor="text1"/>
          <w:lang w:val="en"/>
        </w:rPr>
        <w:t xml:space="preserve">proceedings </w:t>
      </w:r>
      <w:r w:rsidR="00EE6783" w:rsidRPr="00B40A77">
        <w:rPr>
          <w:color w:val="000000" w:themeColor="text1"/>
          <w:lang w:val="en"/>
        </w:rPr>
        <w:t xml:space="preserve">of the Court </w:t>
      </w:r>
      <w:r w:rsidRPr="00B40A77">
        <w:rPr>
          <w:color w:val="000000" w:themeColor="text1"/>
          <w:lang w:val="en"/>
        </w:rPr>
        <w:t>must be open to the public</w:t>
      </w:r>
      <w:r w:rsidRPr="00B40A77">
        <w:rPr>
          <w:color w:val="000000" w:themeColor="text1"/>
          <w:lang w:val="en-US"/>
        </w:rPr>
        <w:t>.</w:t>
      </w:r>
      <w:r w:rsidR="00F902BF" w:rsidRPr="00B40A77">
        <w:rPr>
          <w:color w:val="000000" w:themeColor="text1"/>
          <w:lang w:val="en-US"/>
        </w:rPr>
        <w:t xml:space="preserve"> </w:t>
      </w:r>
      <w:r w:rsidR="00EE6783" w:rsidRPr="00B40A77">
        <w:rPr>
          <w:color w:val="000000" w:themeColor="text1"/>
          <w:lang w:val="en-US"/>
        </w:rPr>
        <w:t>Section 20(2) empowers the Court to hold a hearing in private for any sufficient reason.</w:t>
      </w:r>
    </w:p>
    <w:p w14:paraId="40EC41B5" w14:textId="6DCDDA6F" w:rsidR="00491B53" w:rsidRPr="00B40A77" w:rsidRDefault="00491B53" w:rsidP="00491B53">
      <w:pPr>
        <w:pStyle w:val="NoteText"/>
        <w:rPr>
          <w:color w:val="000000" w:themeColor="text1"/>
          <w:lang w:val="en-US"/>
        </w:rPr>
      </w:pPr>
      <w:r w:rsidRPr="00B40A77">
        <w:rPr>
          <w:color w:val="000000" w:themeColor="text1"/>
        </w:rPr>
        <w:t xml:space="preserve">Section </w:t>
      </w:r>
      <w:r w:rsidR="00EE6783" w:rsidRPr="00B40A77">
        <w:rPr>
          <w:color w:val="000000" w:themeColor="text1"/>
        </w:rPr>
        <w:t>18</w:t>
      </w:r>
      <w:r w:rsidRPr="00B40A77">
        <w:rPr>
          <w:color w:val="000000" w:themeColor="text1"/>
        </w:rPr>
        <w:t xml:space="preserve"> </w:t>
      </w:r>
      <w:r w:rsidRPr="00B40A77">
        <w:rPr>
          <w:color w:val="000000" w:themeColor="text1"/>
          <w:lang w:val="en-US"/>
        </w:rPr>
        <w:t xml:space="preserve">of the </w:t>
      </w:r>
      <w:r w:rsidR="00EE6783" w:rsidRPr="00B40A77">
        <w:rPr>
          <w:i/>
          <w:color w:val="000000" w:themeColor="text1"/>
          <w:lang w:val="en-US"/>
        </w:rPr>
        <w:t>Magistrates</w:t>
      </w:r>
      <w:r w:rsidRPr="00B40A77">
        <w:rPr>
          <w:i/>
          <w:color w:val="000000" w:themeColor="text1"/>
          <w:lang w:val="en-US"/>
        </w:rPr>
        <w:t xml:space="preserve"> Court Act 1935 </w:t>
      </w:r>
      <w:r w:rsidRPr="00B40A77">
        <w:rPr>
          <w:color w:val="000000" w:themeColor="text1"/>
          <w:lang w:val="en-US"/>
        </w:rPr>
        <w:t xml:space="preserve">provides that, </w:t>
      </w:r>
      <w:r w:rsidR="00EE6783" w:rsidRPr="00B40A77">
        <w:rPr>
          <w:color w:val="000000" w:themeColor="text1"/>
          <w:lang w:val="en"/>
        </w:rPr>
        <w:t>except where an Act or the rules otherwise provide, the Court’s proceedings must be open to the public</w:t>
      </w:r>
      <w:r w:rsidRPr="00B40A77">
        <w:rPr>
          <w:color w:val="000000" w:themeColor="text1"/>
          <w:lang w:val="en-US"/>
        </w:rPr>
        <w:t>.</w:t>
      </w:r>
    </w:p>
    <w:p w14:paraId="7A135764" w14:textId="07DAE888" w:rsidR="0034063A" w:rsidRPr="00B40A77" w:rsidRDefault="0034063A" w:rsidP="00E13A93">
      <w:pPr>
        <w:pStyle w:val="Hangindent"/>
        <w:keepNext/>
        <w:rPr>
          <w:i/>
          <w:iCs/>
          <w:color w:val="000000" w:themeColor="text1"/>
          <w:sz w:val="24"/>
          <w:szCs w:val="24"/>
          <w:lang w:val="en-US"/>
        </w:rPr>
      </w:pPr>
      <w:r w:rsidRPr="00B40A77">
        <w:rPr>
          <w:i/>
          <w:iCs/>
          <w:color w:val="000000" w:themeColor="text1"/>
          <w:sz w:val="24"/>
          <w:szCs w:val="24"/>
          <w:lang w:val="en-US"/>
        </w:rPr>
        <w:t>Youth Court</w:t>
      </w:r>
    </w:p>
    <w:p w14:paraId="530C9B33" w14:textId="55579533" w:rsidR="0034063A" w:rsidRPr="00B40A77" w:rsidRDefault="00B93FDD" w:rsidP="00AA301B">
      <w:pPr>
        <w:pStyle w:val="Hangindent"/>
        <w:keepNext/>
        <w:rPr>
          <w:color w:val="000000" w:themeColor="text1"/>
          <w:lang w:val="en-US"/>
        </w:rPr>
      </w:pPr>
      <w:r w:rsidRPr="00B40A77">
        <w:rPr>
          <w:color w:val="000000" w:themeColor="text1"/>
          <w:lang w:val="en-US"/>
        </w:rPr>
        <w:t>(2)</w:t>
      </w:r>
      <w:r w:rsidRPr="00B40A77">
        <w:rPr>
          <w:color w:val="000000" w:themeColor="text1"/>
          <w:lang w:val="en-US"/>
        </w:rPr>
        <w:tab/>
      </w:r>
      <w:r w:rsidR="0034063A" w:rsidRPr="00B40A77">
        <w:rPr>
          <w:color w:val="000000" w:themeColor="text1"/>
          <w:lang w:val="en-US"/>
        </w:rPr>
        <w:t>Hearings are not open to the public.</w:t>
      </w:r>
    </w:p>
    <w:p w14:paraId="4BF2581C" w14:textId="69C8C9E1" w:rsidR="0034063A" w:rsidRPr="00B40A77" w:rsidRDefault="0034063A" w:rsidP="00E13A93">
      <w:pPr>
        <w:pStyle w:val="NoteHeader"/>
        <w:keepNext/>
        <w:rPr>
          <w:color w:val="000000" w:themeColor="text1"/>
        </w:rPr>
      </w:pPr>
      <w:r w:rsidRPr="00B40A77">
        <w:rPr>
          <w:color w:val="000000" w:themeColor="text1"/>
        </w:rPr>
        <w:t>Note—</w:t>
      </w:r>
    </w:p>
    <w:p w14:paraId="620F754E" w14:textId="0D41CB2A" w:rsidR="0034063A" w:rsidRPr="00B40A77" w:rsidRDefault="0034063A" w:rsidP="0034063A">
      <w:pPr>
        <w:pStyle w:val="NoteText"/>
        <w:rPr>
          <w:color w:val="000000" w:themeColor="text1"/>
        </w:rPr>
      </w:pPr>
      <w:r w:rsidRPr="00B40A77">
        <w:rPr>
          <w:color w:val="000000" w:themeColor="text1"/>
        </w:rPr>
        <w:t xml:space="preserve">Section </w:t>
      </w:r>
      <w:r w:rsidR="003C367E" w:rsidRPr="00B40A77">
        <w:rPr>
          <w:color w:val="000000" w:themeColor="text1"/>
        </w:rPr>
        <w:t xml:space="preserve">24(1) </w:t>
      </w:r>
      <w:r w:rsidR="003C367E" w:rsidRPr="00B40A77">
        <w:rPr>
          <w:color w:val="000000" w:themeColor="text1"/>
          <w:lang w:val="en-US"/>
        </w:rPr>
        <w:t xml:space="preserve">of the </w:t>
      </w:r>
      <w:r w:rsidR="003C367E" w:rsidRPr="00B40A77">
        <w:rPr>
          <w:i/>
          <w:color w:val="000000" w:themeColor="text1"/>
          <w:lang w:val="en-US"/>
        </w:rPr>
        <w:t>Youth Court Act 1993</w:t>
      </w:r>
      <w:r w:rsidR="007C60F5" w:rsidRPr="00B40A77">
        <w:rPr>
          <w:i/>
          <w:color w:val="000000" w:themeColor="text1"/>
          <w:lang w:val="en-US"/>
        </w:rPr>
        <w:t xml:space="preserve"> </w:t>
      </w:r>
      <w:r w:rsidR="007C60F5" w:rsidRPr="00B40A77">
        <w:rPr>
          <w:color w:val="000000" w:themeColor="text1"/>
          <w:lang w:val="en-US"/>
        </w:rPr>
        <w:t xml:space="preserve">provides that </w:t>
      </w:r>
      <w:r w:rsidR="007C60F5" w:rsidRPr="00B40A77">
        <w:rPr>
          <w:color w:val="000000" w:themeColor="text1"/>
          <w:lang w:val="en"/>
        </w:rPr>
        <w:t xml:space="preserve">no person may be present at any sitting of the Court except certain classes of persons, including parties, </w:t>
      </w:r>
      <w:r w:rsidR="005E6D89" w:rsidRPr="00B40A77">
        <w:rPr>
          <w:color w:val="000000" w:themeColor="text1"/>
          <w:lang w:val="en"/>
        </w:rPr>
        <w:t>a</w:t>
      </w:r>
      <w:r w:rsidR="007C60F5" w:rsidRPr="00B40A77">
        <w:rPr>
          <w:color w:val="000000" w:themeColor="text1"/>
          <w:lang w:val="en"/>
        </w:rPr>
        <w:t xml:space="preserve"> guardian</w:t>
      </w:r>
      <w:r w:rsidR="005E6D89" w:rsidRPr="00B40A77">
        <w:rPr>
          <w:color w:val="000000" w:themeColor="text1"/>
          <w:lang w:val="en"/>
        </w:rPr>
        <w:t xml:space="preserve"> or advisor of the youth</w:t>
      </w:r>
      <w:r w:rsidR="007C60F5" w:rsidRPr="00B40A77">
        <w:rPr>
          <w:color w:val="000000" w:themeColor="text1"/>
          <w:lang w:val="en"/>
        </w:rPr>
        <w:t>, lawyers for the parties</w:t>
      </w:r>
      <w:r w:rsidR="005E6D89" w:rsidRPr="00B40A77">
        <w:rPr>
          <w:color w:val="000000" w:themeColor="text1"/>
          <w:lang w:val="en"/>
        </w:rPr>
        <w:t>, alleged victims and support persons, and a genuine representative of the news media</w:t>
      </w:r>
      <w:r w:rsidR="003C367E" w:rsidRPr="00B40A77">
        <w:rPr>
          <w:color w:val="000000" w:themeColor="text1"/>
          <w:lang w:val="en-US"/>
        </w:rPr>
        <w:t>.</w:t>
      </w:r>
    </w:p>
    <w:p w14:paraId="75CECB57" w14:textId="44CC0E69" w:rsidR="006E1FB8" w:rsidRPr="00B40A77" w:rsidRDefault="006E1FB8" w:rsidP="006E1FB8">
      <w:pPr>
        <w:pStyle w:val="Hangindent"/>
        <w:keepNext/>
        <w:rPr>
          <w:i/>
          <w:iCs/>
          <w:color w:val="000000" w:themeColor="text1"/>
          <w:sz w:val="24"/>
          <w:szCs w:val="24"/>
          <w:lang w:val="en-US"/>
        </w:rPr>
      </w:pPr>
      <w:r w:rsidRPr="00B40A77">
        <w:rPr>
          <w:i/>
          <w:iCs/>
          <w:color w:val="000000" w:themeColor="text1"/>
          <w:sz w:val="24"/>
          <w:szCs w:val="24"/>
          <w:lang w:val="en-US"/>
        </w:rPr>
        <w:t>District Court</w:t>
      </w:r>
    </w:p>
    <w:p w14:paraId="195BB315" w14:textId="63012559" w:rsidR="006E1FB8" w:rsidRPr="00B40A77" w:rsidRDefault="006E1FB8" w:rsidP="000E770E">
      <w:pPr>
        <w:pStyle w:val="Hangindent"/>
        <w:rPr>
          <w:color w:val="000000" w:themeColor="text1"/>
          <w:lang w:val="en-US"/>
        </w:rPr>
      </w:pPr>
      <w:r w:rsidRPr="00B40A77">
        <w:rPr>
          <w:color w:val="000000" w:themeColor="text1"/>
          <w:lang w:val="en-US"/>
        </w:rPr>
        <w:t>(3)</w:t>
      </w:r>
      <w:r w:rsidRPr="00B40A77">
        <w:rPr>
          <w:color w:val="000000" w:themeColor="text1"/>
          <w:lang w:val="en-US"/>
        </w:rPr>
        <w:tab/>
      </w:r>
      <w:hyperlink w:anchor="_2.1—Definitions" w:history="1">
        <w:r w:rsidRPr="00B40A77">
          <w:rPr>
            <w:rStyle w:val="Hyperlink"/>
            <w:color w:val="000000" w:themeColor="text1"/>
            <w:lang w:val="en-US"/>
          </w:rPr>
          <w:t>Directions hearing</w:t>
        </w:r>
      </w:hyperlink>
      <w:r w:rsidRPr="00B40A77">
        <w:rPr>
          <w:color w:val="000000" w:themeColor="text1"/>
          <w:u w:val="single"/>
          <w:lang w:val="en-US"/>
        </w:rPr>
        <w:t>s</w:t>
      </w:r>
      <w:r w:rsidRPr="00B40A77">
        <w:rPr>
          <w:color w:val="000000" w:themeColor="text1"/>
          <w:lang w:val="en-US"/>
        </w:rPr>
        <w:t xml:space="preserve"> are not ordinarily open to the public.</w:t>
      </w:r>
    </w:p>
    <w:p w14:paraId="032A663E" w14:textId="77DDB058" w:rsidR="006E1FB8" w:rsidRPr="00B40A77" w:rsidRDefault="006E1FB8" w:rsidP="006E1FB8">
      <w:pPr>
        <w:pStyle w:val="Hangindent"/>
        <w:keepNext/>
        <w:rPr>
          <w:i/>
          <w:iCs/>
          <w:color w:val="000000" w:themeColor="text1"/>
          <w:sz w:val="24"/>
          <w:szCs w:val="24"/>
          <w:lang w:val="en-US"/>
        </w:rPr>
      </w:pPr>
      <w:r w:rsidRPr="00B40A77">
        <w:rPr>
          <w:i/>
          <w:iCs/>
          <w:color w:val="000000" w:themeColor="text1"/>
          <w:sz w:val="24"/>
          <w:szCs w:val="24"/>
          <w:lang w:val="en-US"/>
        </w:rPr>
        <w:t>All Court</w:t>
      </w:r>
      <w:r w:rsidR="00CF03CD" w:rsidRPr="00B40A77">
        <w:rPr>
          <w:i/>
          <w:iCs/>
          <w:color w:val="000000" w:themeColor="text1"/>
          <w:sz w:val="24"/>
          <w:szCs w:val="24"/>
          <w:lang w:val="en-US"/>
        </w:rPr>
        <w:t>s</w:t>
      </w:r>
    </w:p>
    <w:p w14:paraId="63EBD49B" w14:textId="4EE35578" w:rsidR="004E078C" w:rsidRPr="00B40A77" w:rsidRDefault="0034063A" w:rsidP="004E078C">
      <w:pPr>
        <w:pStyle w:val="Hangindent"/>
        <w:rPr>
          <w:color w:val="000000" w:themeColor="text1"/>
          <w:lang w:val="en-US"/>
        </w:rPr>
      </w:pPr>
      <w:r w:rsidRPr="00B40A77">
        <w:rPr>
          <w:color w:val="000000" w:themeColor="text1"/>
          <w:lang w:val="en-US"/>
        </w:rPr>
        <w:t>(</w:t>
      </w:r>
      <w:r w:rsidR="006E1FB8" w:rsidRPr="00B40A77">
        <w:rPr>
          <w:color w:val="000000" w:themeColor="text1"/>
          <w:lang w:val="en-US"/>
        </w:rPr>
        <w:t>4</w:t>
      </w:r>
      <w:r w:rsidR="004E078C" w:rsidRPr="00B40A77">
        <w:rPr>
          <w:color w:val="000000" w:themeColor="text1"/>
          <w:lang w:val="en-US"/>
        </w:rPr>
        <w:t>)</w:t>
      </w:r>
      <w:r w:rsidR="004E078C" w:rsidRPr="00B40A77">
        <w:rPr>
          <w:color w:val="000000" w:themeColor="text1"/>
          <w:lang w:val="en-US"/>
        </w:rPr>
        <w:tab/>
        <w:t xml:space="preserve">The Court may conduct a </w:t>
      </w:r>
      <w:hyperlink w:anchor="_37.1—Application_of_Part" w:history="1">
        <w:r w:rsidR="002F6FDA" w:rsidRPr="00B40A77">
          <w:rPr>
            <w:rStyle w:val="Hyperlink"/>
            <w:color w:val="000000" w:themeColor="text1"/>
            <w:lang w:val="en-US"/>
          </w:rPr>
          <w:t>hearing</w:t>
        </w:r>
      </w:hyperlink>
      <w:r w:rsidR="004E078C" w:rsidRPr="00B40A77">
        <w:rPr>
          <w:color w:val="000000" w:themeColor="text1"/>
          <w:lang w:val="en-US"/>
        </w:rPr>
        <w:t xml:space="preserve"> </w:t>
      </w:r>
      <w:hyperlink w:anchor="_2.1—Definitions" w:history="1">
        <w:hyperlink w:anchor="_2.1—Definitions" w:history="1">
          <w:r w:rsidR="00307014" w:rsidRPr="00B40A77">
            <w:rPr>
              <w:rStyle w:val="Hyperlink"/>
              <w:color w:val="000000" w:themeColor="text1"/>
              <w:lang w:val="en-US"/>
            </w:rPr>
            <w:t>in chambers</w:t>
          </w:r>
        </w:hyperlink>
      </w:hyperlink>
      <w:r w:rsidR="004E078C" w:rsidRPr="00B40A77">
        <w:rPr>
          <w:color w:val="000000" w:themeColor="text1"/>
          <w:lang w:val="en-US"/>
        </w:rPr>
        <w:t xml:space="preserve"> if it considers that it is in the interests of justice to do so.</w:t>
      </w:r>
    </w:p>
    <w:p w14:paraId="5FC49182" w14:textId="54338019" w:rsidR="00AA1E28" w:rsidRPr="00B40A77" w:rsidRDefault="00E13B81" w:rsidP="00AA1E28">
      <w:pPr>
        <w:pStyle w:val="Heading4"/>
        <w:rPr>
          <w:color w:val="000000" w:themeColor="text1"/>
          <w:lang w:val="en-US"/>
        </w:rPr>
      </w:pPr>
      <w:bookmarkStart w:id="320" w:name="_Toc175238875"/>
      <w:bookmarkEnd w:id="319"/>
      <w:r w:rsidRPr="00B40A77">
        <w:rPr>
          <w:color w:val="000000" w:themeColor="text1"/>
        </w:rPr>
        <w:t>38</w:t>
      </w:r>
      <w:r w:rsidR="00AA1E28" w:rsidRPr="00B40A77">
        <w:rPr>
          <w:color w:val="000000" w:themeColor="text1"/>
        </w:rPr>
        <w:t>.7—Exclusion of persons from the court</w:t>
      </w:r>
      <w:bookmarkEnd w:id="320"/>
    </w:p>
    <w:p w14:paraId="69482675" w14:textId="0252BFF4" w:rsidR="004E078C" w:rsidRPr="00B40A77" w:rsidRDefault="0034063A" w:rsidP="004E078C">
      <w:pPr>
        <w:pStyle w:val="Hangindent"/>
        <w:rPr>
          <w:color w:val="000000" w:themeColor="text1"/>
          <w:lang w:val="en-US"/>
        </w:rPr>
      </w:pPr>
      <w:r w:rsidRPr="00B40A77">
        <w:rPr>
          <w:color w:val="000000" w:themeColor="text1"/>
          <w:lang w:val="en-US"/>
        </w:rPr>
        <w:t>(</w:t>
      </w:r>
      <w:r w:rsidR="00AA1E28" w:rsidRPr="00B40A77">
        <w:rPr>
          <w:color w:val="000000" w:themeColor="text1"/>
          <w:lang w:val="en-US"/>
        </w:rPr>
        <w:t>1</w:t>
      </w:r>
      <w:r w:rsidR="004E078C" w:rsidRPr="00B40A77">
        <w:rPr>
          <w:color w:val="000000" w:themeColor="text1"/>
          <w:lang w:val="en-US"/>
        </w:rPr>
        <w:t>)</w:t>
      </w:r>
      <w:r w:rsidR="004E078C" w:rsidRPr="00B40A77">
        <w:rPr>
          <w:color w:val="000000" w:themeColor="text1"/>
          <w:lang w:val="en-US"/>
        </w:rPr>
        <w:tab/>
        <w:t xml:space="preserve">The Court may, on its own </w:t>
      </w:r>
      <w:r w:rsidR="003C6A88" w:rsidRPr="00B40A77">
        <w:rPr>
          <w:color w:val="000000" w:themeColor="text1"/>
          <w:lang w:val="en-US"/>
        </w:rPr>
        <w:t xml:space="preserve">initiative </w:t>
      </w:r>
      <w:r w:rsidR="004E078C" w:rsidRPr="00B40A77">
        <w:rPr>
          <w:color w:val="000000" w:themeColor="text1"/>
          <w:lang w:val="en-US"/>
        </w:rPr>
        <w:t xml:space="preserve">or on application by any person, order that specified persons, or all persons except those specified, absent themselves from a </w:t>
      </w:r>
      <w:hyperlink w:anchor="_37.1—Application_of_Part" w:history="1">
        <w:r w:rsidR="002F6FDA" w:rsidRPr="00B40A77">
          <w:rPr>
            <w:rStyle w:val="Hyperlink"/>
            <w:color w:val="000000" w:themeColor="text1"/>
            <w:lang w:val="en-US"/>
          </w:rPr>
          <w:t>hearing</w:t>
        </w:r>
      </w:hyperlink>
      <w:r w:rsidR="004E078C" w:rsidRPr="00B40A77">
        <w:rPr>
          <w:color w:val="000000" w:themeColor="text1"/>
          <w:lang w:val="en-US"/>
        </w:rPr>
        <w:t xml:space="preserve"> under section 69 of the </w:t>
      </w:r>
      <w:r w:rsidR="00091A7A" w:rsidRPr="00B40A77">
        <w:rPr>
          <w:color w:val="000000" w:themeColor="text1"/>
          <w:lang w:val="en-US"/>
        </w:rPr>
        <w:t>Evidence Act</w:t>
      </w:r>
      <w:r w:rsidR="004E078C" w:rsidRPr="00B40A77">
        <w:rPr>
          <w:color w:val="000000" w:themeColor="text1"/>
          <w:lang w:val="en-US"/>
        </w:rPr>
        <w:t>.</w:t>
      </w:r>
    </w:p>
    <w:p w14:paraId="2BDD44AF" w14:textId="56C61EB1" w:rsidR="003C367E" w:rsidRPr="00B40A77" w:rsidRDefault="003C367E" w:rsidP="00E13A93">
      <w:pPr>
        <w:pStyle w:val="Hangindent"/>
        <w:keepNext/>
        <w:rPr>
          <w:i/>
          <w:iCs/>
          <w:color w:val="000000" w:themeColor="text1"/>
          <w:sz w:val="24"/>
          <w:szCs w:val="24"/>
          <w:lang w:val="en-US"/>
        </w:rPr>
      </w:pPr>
      <w:r w:rsidRPr="00B40A77">
        <w:rPr>
          <w:i/>
          <w:iCs/>
          <w:color w:val="000000" w:themeColor="text1"/>
          <w:sz w:val="24"/>
          <w:szCs w:val="24"/>
          <w:lang w:val="en-US"/>
        </w:rPr>
        <w:t>Youth Court</w:t>
      </w:r>
    </w:p>
    <w:p w14:paraId="78CC422C" w14:textId="3B9AA193" w:rsidR="00AA1E28" w:rsidRPr="00B40A77" w:rsidRDefault="00B93FDD" w:rsidP="00953638">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3C367E" w:rsidRPr="00B40A77">
        <w:rPr>
          <w:color w:val="000000" w:themeColor="text1"/>
          <w:lang w:val="en-US"/>
        </w:rPr>
        <w:t xml:space="preserve">The Court may, on its own </w:t>
      </w:r>
      <w:r w:rsidR="003C6A88" w:rsidRPr="00B40A77">
        <w:rPr>
          <w:color w:val="000000" w:themeColor="text1"/>
          <w:lang w:val="en-US"/>
        </w:rPr>
        <w:t xml:space="preserve">initiative </w:t>
      </w:r>
      <w:r w:rsidR="003C367E" w:rsidRPr="00B40A77">
        <w:rPr>
          <w:color w:val="000000" w:themeColor="text1"/>
          <w:lang w:val="en-US"/>
        </w:rPr>
        <w:t xml:space="preserve">or on application by any person, order that specified persons absent themselves from a </w:t>
      </w:r>
      <w:hyperlink w:anchor="_37.1—Application_of_Part" w:history="1">
        <w:r w:rsidR="002F6FDA" w:rsidRPr="00B40A77">
          <w:rPr>
            <w:rStyle w:val="Hyperlink"/>
            <w:color w:val="000000" w:themeColor="text1"/>
            <w:lang w:val="en-US"/>
          </w:rPr>
          <w:t>hearing</w:t>
        </w:r>
      </w:hyperlink>
      <w:r w:rsidR="003C367E" w:rsidRPr="00B40A77">
        <w:rPr>
          <w:color w:val="000000" w:themeColor="text1"/>
          <w:lang w:val="en-US"/>
        </w:rPr>
        <w:t xml:space="preserve"> under section 24(2) of the </w:t>
      </w:r>
      <w:r w:rsidR="003C367E" w:rsidRPr="00B40A77">
        <w:rPr>
          <w:i/>
          <w:color w:val="000000" w:themeColor="text1"/>
          <w:lang w:val="en-US"/>
        </w:rPr>
        <w:t>Youth Court Act</w:t>
      </w:r>
      <w:r w:rsidRPr="00B40A77">
        <w:rPr>
          <w:i/>
          <w:color w:val="000000" w:themeColor="text1"/>
          <w:lang w:val="en-US"/>
        </w:rPr>
        <w:t> </w:t>
      </w:r>
      <w:r w:rsidR="003C367E" w:rsidRPr="00B40A77">
        <w:rPr>
          <w:i/>
          <w:color w:val="000000" w:themeColor="text1"/>
          <w:lang w:val="en-US"/>
        </w:rPr>
        <w:t>1993</w:t>
      </w:r>
      <w:r w:rsidR="003C367E" w:rsidRPr="00B40A77">
        <w:rPr>
          <w:color w:val="000000" w:themeColor="text1"/>
          <w:lang w:val="en-US"/>
        </w:rPr>
        <w:t>.</w:t>
      </w:r>
    </w:p>
    <w:p w14:paraId="29647FF8" w14:textId="75CAF8F8" w:rsidR="003D2EFF" w:rsidRPr="00B40A77" w:rsidRDefault="003D2EFF" w:rsidP="003D2EFF">
      <w:pPr>
        <w:pStyle w:val="Heading3"/>
        <w:rPr>
          <w:color w:val="000000" w:themeColor="text1"/>
        </w:rPr>
      </w:pPr>
      <w:bookmarkStart w:id="321" w:name="_Toc175238876"/>
      <w:bookmarkStart w:id="322" w:name="Elkera_Print_TOC266"/>
      <w:r w:rsidRPr="00B40A77">
        <w:rPr>
          <w:color w:val="000000" w:themeColor="text1"/>
        </w:rPr>
        <w:t>Subdivision 3—Production of prisoner before Court</w:t>
      </w:r>
      <w:bookmarkEnd w:id="321"/>
    </w:p>
    <w:p w14:paraId="0F8E1DB8" w14:textId="0678383A" w:rsidR="003D2EFF" w:rsidRPr="00B40A77" w:rsidRDefault="00E13B81" w:rsidP="003D2EFF">
      <w:pPr>
        <w:pStyle w:val="Heading4"/>
        <w:rPr>
          <w:color w:val="000000" w:themeColor="text1"/>
        </w:rPr>
      </w:pPr>
      <w:bookmarkStart w:id="323" w:name="_Toc175238877"/>
      <w:r w:rsidRPr="00B40A77">
        <w:rPr>
          <w:color w:val="000000" w:themeColor="text1"/>
        </w:rPr>
        <w:t>38</w:t>
      </w:r>
      <w:r w:rsidR="00656C5E" w:rsidRPr="00B40A77">
        <w:rPr>
          <w:color w:val="000000" w:themeColor="text1"/>
        </w:rPr>
        <w:t>.8</w:t>
      </w:r>
      <w:r w:rsidR="003D2EFF" w:rsidRPr="00B40A77">
        <w:rPr>
          <w:color w:val="000000" w:themeColor="text1"/>
        </w:rPr>
        <w:t>—Warrant or summons to produce prisoner</w:t>
      </w:r>
      <w:bookmarkEnd w:id="323"/>
    </w:p>
    <w:p w14:paraId="5A16E067" w14:textId="36354525" w:rsidR="003D2EFF" w:rsidRPr="00B40A77" w:rsidRDefault="003D2EFF" w:rsidP="00A37E9E">
      <w:pPr>
        <w:pStyle w:val="Hangindent"/>
        <w:keepNext/>
        <w:rPr>
          <w:color w:val="000000" w:themeColor="text1"/>
        </w:rPr>
      </w:pPr>
      <w:r w:rsidRPr="00B40A77">
        <w:rPr>
          <w:color w:val="000000" w:themeColor="text1"/>
          <w:lang w:val="en-US"/>
        </w:rPr>
        <w:t>(1)</w:t>
      </w:r>
      <w:r w:rsidRPr="00B40A77">
        <w:rPr>
          <w:color w:val="000000" w:themeColor="text1"/>
          <w:lang w:val="en-US"/>
        </w:rPr>
        <w:tab/>
        <w:t xml:space="preserve">A warrant to 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 xml:space="preserve"> to give evidence or attend at a hearing</w:t>
      </w:r>
      <w:r w:rsidR="009618A7" w:rsidRPr="00B40A77">
        <w:rPr>
          <w:color w:val="000000" w:themeColor="text1"/>
        </w:rPr>
        <w:t xml:space="preserve"> </w:t>
      </w:r>
      <w:r w:rsidRPr="00B40A77">
        <w:rPr>
          <w:color w:val="000000" w:themeColor="text1"/>
        </w:rPr>
        <w:t xml:space="preserve">of a proceeding </w:t>
      </w:r>
      <w:r w:rsidR="009618A7" w:rsidRPr="00B40A77">
        <w:rPr>
          <w:color w:val="000000" w:themeColor="text1"/>
        </w:rPr>
        <w:t xml:space="preserve">or appellate proceeding </w:t>
      </w:r>
      <w:r w:rsidRPr="00B40A77">
        <w:rPr>
          <w:color w:val="000000" w:themeColor="text1"/>
        </w:rPr>
        <w:t>must be in the prescribed form.</w:t>
      </w:r>
    </w:p>
    <w:p w14:paraId="3AABB0FA" w14:textId="77777777" w:rsidR="003D2EFF" w:rsidRPr="00B40A77" w:rsidRDefault="003D2EFF" w:rsidP="00A37E9E">
      <w:pPr>
        <w:pStyle w:val="NoteHeader"/>
        <w:keepNext/>
        <w:rPr>
          <w:color w:val="000000" w:themeColor="text1"/>
        </w:rPr>
      </w:pPr>
      <w:r w:rsidRPr="00B40A77">
        <w:rPr>
          <w:color w:val="000000" w:themeColor="text1"/>
        </w:rPr>
        <w:t>Prescribed form—</w:t>
      </w:r>
    </w:p>
    <w:p w14:paraId="67B12D53" w14:textId="34AA6486" w:rsidR="003D2EFF" w:rsidRPr="00B40A77" w:rsidRDefault="003D2EFF" w:rsidP="003D2EFF">
      <w:pPr>
        <w:pStyle w:val="NoteText"/>
        <w:rPr>
          <w:color w:val="000000" w:themeColor="text1"/>
        </w:rPr>
      </w:pPr>
      <w:r w:rsidRPr="00B40A77">
        <w:rPr>
          <w:color w:val="000000" w:themeColor="text1"/>
        </w:rPr>
        <w:t xml:space="preserve">Form </w:t>
      </w:r>
      <w:r w:rsidR="00370C47" w:rsidRPr="00B40A77">
        <w:rPr>
          <w:color w:val="000000" w:themeColor="text1"/>
        </w:rPr>
        <w:t>116</w:t>
      </w:r>
      <w:r w:rsidRPr="00B40A77">
        <w:rPr>
          <w:color w:val="000000" w:themeColor="text1"/>
        </w:rPr>
        <w:t xml:space="preserve"> </w:t>
      </w:r>
      <w:hyperlink r:id="rId51" w:history="1">
        <w:r w:rsidRPr="00B40A77">
          <w:rPr>
            <w:rStyle w:val="Hyperlink"/>
            <w:color w:val="000000" w:themeColor="text1"/>
          </w:rPr>
          <w:t>Warrant to Produce Person in Custody</w:t>
        </w:r>
      </w:hyperlink>
    </w:p>
    <w:p w14:paraId="1324C66F" w14:textId="07DF387B" w:rsidR="003D2EFF" w:rsidRPr="00B40A77" w:rsidRDefault="003D2EFF" w:rsidP="00A37E9E">
      <w:pPr>
        <w:pStyle w:val="Hangindent"/>
        <w:keepNext/>
        <w:rPr>
          <w:color w:val="000000" w:themeColor="text1"/>
        </w:rPr>
      </w:pPr>
      <w:r w:rsidRPr="00B40A77">
        <w:rPr>
          <w:color w:val="000000" w:themeColor="text1"/>
          <w:lang w:val="en-US"/>
        </w:rPr>
        <w:lastRenderedPageBreak/>
        <w:t>(2)</w:t>
      </w:r>
      <w:r w:rsidRPr="00B40A77">
        <w:rPr>
          <w:color w:val="000000" w:themeColor="text1"/>
          <w:lang w:val="en-US"/>
        </w:rPr>
        <w:tab/>
        <w:t xml:space="preserve">A summons to 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 xml:space="preserve"> to give evidence or attend at a hearing</w:t>
      </w:r>
      <w:r w:rsidR="009618A7" w:rsidRPr="00B40A77">
        <w:rPr>
          <w:color w:val="000000" w:themeColor="text1"/>
        </w:rPr>
        <w:t xml:space="preserve"> of a proceeding or appellate proceeding </w:t>
      </w:r>
      <w:r w:rsidRPr="00B40A77">
        <w:rPr>
          <w:color w:val="000000" w:themeColor="text1"/>
        </w:rPr>
        <w:t>must be in the prescribed form.</w:t>
      </w:r>
    </w:p>
    <w:p w14:paraId="04DD5EC7" w14:textId="77777777" w:rsidR="003D2EFF" w:rsidRPr="00B40A77" w:rsidRDefault="003D2EFF" w:rsidP="00A37E9E">
      <w:pPr>
        <w:pStyle w:val="NoteHeader"/>
        <w:keepNext/>
        <w:rPr>
          <w:color w:val="000000" w:themeColor="text1"/>
        </w:rPr>
      </w:pPr>
      <w:r w:rsidRPr="00B40A77">
        <w:rPr>
          <w:color w:val="000000" w:themeColor="text1"/>
        </w:rPr>
        <w:t>Prescribed form—</w:t>
      </w:r>
    </w:p>
    <w:p w14:paraId="3B89B296" w14:textId="19868B52" w:rsidR="003D2EFF" w:rsidRPr="00B40A77" w:rsidRDefault="003D2EFF" w:rsidP="00A37E9E">
      <w:pPr>
        <w:pStyle w:val="NoteText"/>
        <w:keepNext/>
        <w:rPr>
          <w:color w:val="000000" w:themeColor="text1"/>
        </w:rPr>
      </w:pPr>
      <w:r w:rsidRPr="00B40A77">
        <w:rPr>
          <w:color w:val="000000" w:themeColor="text1"/>
        </w:rPr>
        <w:t xml:space="preserve">Form </w:t>
      </w:r>
      <w:r w:rsidR="00370C47" w:rsidRPr="00B40A77">
        <w:rPr>
          <w:color w:val="000000" w:themeColor="text1"/>
        </w:rPr>
        <w:t>115</w:t>
      </w:r>
      <w:r w:rsidRPr="00B40A77">
        <w:rPr>
          <w:color w:val="000000" w:themeColor="text1"/>
        </w:rPr>
        <w:t xml:space="preserve"> </w:t>
      </w:r>
      <w:hyperlink r:id="rId52" w:history="1">
        <w:r w:rsidRPr="00B40A77">
          <w:rPr>
            <w:rStyle w:val="Hyperlink"/>
            <w:color w:val="000000" w:themeColor="text1"/>
          </w:rPr>
          <w:t>Summons to Produce Person in Custody</w:t>
        </w:r>
      </w:hyperlink>
    </w:p>
    <w:p w14:paraId="2C950A79" w14:textId="03778998" w:rsidR="003D2EFF" w:rsidRPr="00B40A77" w:rsidRDefault="003D2EFF" w:rsidP="00A37E9E">
      <w:pPr>
        <w:pStyle w:val="NoteHeader"/>
        <w:keepNext/>
        <w:rPr>
          <w:color w:val="000000" w:themeColor="text1"/>
        </w:rPr>
      </w:pPr>
      <w:r w:rsidRPr="00B40A77">
        <w:rPr>
          <w:color w:val="000000" w:themeColor="text1"/>
        </w:rPr>
        <w:t>Note</w:t>
      </w:r>
      <w:r w:rsidR="009618A7" w:rsidRPr="00B40A77">
        <w:rPr>
          <w:color w:val="000000" w:themeColor="text1"/>
        </w:rPr>
        <w:t>s</w:t>
      </w:r>
      <w:r w:rsidRPr="00B40A77">
        <w:rPr>
          <w:color w:val="000000" w:themeColor="text1"/>
        </w:rPr>
        <w:t>—</w:t>
      </w:r>
    </w:p>
    <w:p w14:paraId="40B4146F" w14:textId="77777777" w:rsidR="009618A7" w:rsidRPr="00B40A77" w:rsidRDefault="003D2EFF" w:rsidP="001309DA">
      <w:pPr>
        <w:pStyle w:val="NoteText"/>
        <w:rPr>
          <w:color w:val="000000" w:themeColor="text1"/>
        </w:rPr>
      </w:pPr>
      <w:r w:rsidRPr="00B40A77">
        <w:rPr>
          <w:color w:val="000000" w:themeColor="text1"/>
        </w:rPr>
        <w:t xml:space="preserve">Section 117(1) of the </w:t>
      </w:r>
      <w:r w:rsidRPr="00B40A77">
        <w:rPr>
          <w:i/>
          <w:color w:val="000000" w:themeColor="text1"/>
        </w:rPr>
        <w:t>Supreme Court Act 1935</w:t>
      </w:r>
      <w:r w:rsidRPr="00B40A77">
        <w:rPr>
          <w:color w:val="000000" w:themeColor="text1"/>
        </w:rPr>
        <w:t xml:space="preserve"> empowers the Court to order that a prisoner whose evidence is required in a proceeding be brought before the Court for examination. </w:t>
      </w:r>
    </w:p>
    <w:p w14:paraId="50E13C5C" w14:textId="599B8AF3" w:rsidR="009618A7" w:rsidRPr="00B40A77" w:rsidRDefault="003D2EFF" w:rsidP="001309DA">
      <w:pPr>
        <w:pStyle w:val="NoteText"/>
        <w:rPr>
          <w:color w:val="000000" w:themeColor="text1"/>
        </w:rPr>
      </w:pPr>
      <w:r w:rsidRPr="00B40A77">
        <w:rPr>
          <w:color w:val="000000" w:themeColor="text1"/>
        </w:rPr>
        <w:t xml:space="preserve">Section 28 of the </w:t>
      </w:r>
      <w:r w:rsidRPr="00B40A77">
        <w:rPr>
          <w:i/>
          <w:color w:val="000000" w:themeColor="text1"/>
        </w:rPr>
        <w:t>District Court Act 1991</w:t>
      </w:r>
      <w:r w:rsidRPr="00B40A77">
        <w:rPr>
          <w:color w:val="000000" w:themeColor="text1"/>
        </w:rPr>
        <w:t xml:space="preserve"> empowers the issue of a warrant or summons to </w:t>
      </w:r>
      <w:r w:rsidRPr="00B40A77">
        <w:rPr>
          <w:color w:val="000000" w:themeColor="text1"/>
          <w:lang w:val="en-US"/>
        </w:rPr>
        <w:t xml:space="preserve">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w:t>
      </w:r>
    </w:p>
    <w:p w14:paraId="002A6106" w14:textId="3F2E7507" w:rsidR="009618A7" w:rsidRPr="00B40A77" w:rsidRDefault="00CE11A1" w:rsidP="001309DA">
      <w:pPr>
        <w:pStyle w:val="NoteText"/>
        <w:rPr>
          <w:color w:val="000000" w:themeColor="text1"/>
        </w:rPr>
      </w:pPr>
      <w:r w:rsidRPr="00B40A77">
        <w:rPr>
          <w:color w:val="000000" w:themeColor="text1"/>
        </w:rPr>
        <w:t xml:space="preserve">Section 21 of the </w:t>
      </w:r>
      <w:r w:rsidRPr="00B40A77">
        <w:rPr>
          <w:i/>
          <w:color w:val="000000" w:themeColor="text1"/>
        </w:rPr>
        <w:t>Youth Court Act 1993</w:t>
      </w:r>
      <w:r w:rsidRPr="00B40A77">
        <w:rPr>
          <w:color w:val="000000" w:themeColor="text1"/>
        </w:rPr>
        <w:t xml:space="preserve"> empowers the issue of a warrant or summons to </w:t>
      </w:r>
      <w:r w:rsidRPr="00B40A77">
        <w:rPr>
          <w:color w:val="000000" w:themeColor="text1"/>
          <w:lang w:val="en-US"/>
        </w:rPr>
        <w:t xml:space="preserve">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w:t>
      </w:r>
    </w:p>
    <w:p w14:paraId="2BDD30D7" w14:textId="744C64D5" w:rsidR="009618A7" w:rsidRPr="00B40A77" w:rsidRDefault="00CE11A1" w:rsidP="001309DA">
      <w:pPr>
        <w:pStyle w:val="NoteText"/>
        <w:rPr>
          <w:color w:val="000000" w:themeColor="text1"/>
        </w:rPr>
      </w:pPr>
      <w:r w:rsidRPr="00B40A77">
        <w:rPr>
          <w:color w:val="000000" w:themeColor="text1"/>
        </w:rPr>
        <w:t xml:space="preserve">Section 25 of the </w:t>
      </w:r>
      <w:r w:rsidRPr="00B40A77">
        <w:rPr>
          <w:i/>
          <w:color w:val="000000" w:themeColor="text1"/>
          <w:lang w:val="en-US"/>
        </w:rPr>
        <w:t>Environment Resources and Development Court</w:t>
      </w:r>
      <w:r w:rsidR="009618A7" w:rsidRPr="00B40A77">
        <w:rPr>
          <w:i/>
          <w:color w:val="000000" w:themeColor="text1"/>
        </w:rPr>
        <w:t xml:space="preserve"> Act </w:t>
      </w:r>
      <w:r w:rsidR="009618A7" w:rsidRPr="00B40A77">
        <w:rPr>
          <w:i/>
          <w:color w:val="000000" w:themeColor="text1"/>
          <w:lang w:val="en-US"/>
        </w:rPr>
        <w:t>1993</w:t>
      </w:r>
      <w:r w:rsidR="009618A7" w:rsidRPr="00B40A77">
        <w:rPr>
          <w:color w:val="000000" w:themeColor="text1"/>
          <w:lang w:val="en-US"/>
        </w:rPr>
        <w:t xml:space="preserve"> </w:t>
      </w:r>
      <w:r w:rsidRPr="00B40A77">
        <w:rPr>
          <w:color w:val="000000" w:themeColor="text1"/>
        </w:rPr>
        <w:t xml:space="preserve">empowers the issue of a warrant or summons to </w:t>
      </w:r>
      <w:r w:rsidRPr="00B40A77">
        <w:rPr>
          <w:color w:val="000000" w:themeColor="text1"/>
          <w:lang w:val="en-US"/>
        </w:rPr>
        <w:t xml:space="preserve">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w:t>
      </w:r>
    </w:p>
    <w:p w14:paraId="7567F7F4" w14:textId="31C530AC" w:rsidR="009618A7" w:rsidRPr="00B40A77" w:rsidRDefault="003D2EFF" w:rsidP="001309DA">
      <w:pPr>
        <w:pStyle w:val="NoteText"/>
        <w:rPr>
          <w:color w:val="000000" w:themeColor="text1"/>
        </w:rPr>
      </w:pPr>
      <w:r w:rsidRPr="00B40A77">
        <w:rPr>
          <w:color w:val="000000" w:themeColor="text1"/>
        </w:rPr>
        <w:t xml:space="preserve">Section 23 of the </w:t>
      </w:r>
      <w:r w:rsidRPr="00B40A77">
        <w:rPr>
          <w:i/>
          <w:color w:val="000000" w:themeColor="text1"/>
        </w:rPr>
        <w:t>Magistrates Court Act 1991</w:t>
      </w:r>
      <w:r w:rsidRPr="00B40A77">
        <w:rPr>
          <w:color w:val="000000" w:themeColor="text1"/>
        </w:rPr>
        <w:t xml:space="preserve"> empowers the issue of a warrant or summons to </w:t>
      </w:r>
      <w:r w:rsidRPr="00B40A77">
        <w:rPr>
          <w:color w:val="000000" w:themeColor="text1"/>
          <w:lang w:val="en-US"/>
        </w:rPr>
        <w:t xml:space="preserve">produce a person </w:t>
      </w:r>
      <w:r w:rsidRPr="00B40A77">
        <w:rPr>
          <w:color w:val="000000" w:themeColor="text1"/>
        </w:rPr>
        <w:t xml:space="preserve">held in custody in </w:t>
      </w:r>
      <w:hyperlink w:anchor="_2.1—Definitions" w:history="1">
        <w:r w:rsidR="00AA6FCA" w:rsidRPr="00B40A77">
          <w:rPr>
            <w:rStyle w:val="Hyperlink"/>
            <w:color w:val="000000" w:themeColor="text1"/>
            <w:lang w:val="en-US"/>
          </w:rPr>
          <w:t>the State</w:t>
        </w:r>
      </w:hyperlink>
      <w:r w:rsidRPr="00B40A77">
        <w:rPr>
          <w:color w:val="000000" w:themeColor="text1"/>
        </w:rPr>
        <w:t>.</w:t>
      </w:r>
    </w:p>
    <w:p w14:paraId="03A3E6A1" w14:textId="497070CF" w:rsidR="003D2EFF" w:rsidRDefault="003D2EFF" w:rsidP="001309DA">
      <w:pPr>
        <w:pStyle w:val="NoteText"/>
        <w:rPr>
          <w:color w:val="000000" w:themeColor="text1"/>
        </w:rPr>
      </w:pPr>
      <w:r w:rsidRPr="00B40A77">
        <w:rPr>
          <w:color w:val="000000" w:themeColor="text1"/>
        </w:rPr>
        <w:t xml:space="preserve">Section 28(2) of the </w:t>
      </w:r>
      <w:r w:rsidRPr="00B40A77">
        <w:rPr>
          <w:i/>
          <w:color w:val="000000" w:themeColor="text1"/>
        </w:rPr>
        <w:t>Correctional Services Act 1982</w:t>
      </w:r>
      <w:r w:rsidRPr="00B40A77">
        <w:rPr>
          <w:color w:val="000000" w:themeColor="text1"/>
        </w:rPr>
        <w:t xml:space="preserve"> empowers a court to direct the Chief Executive to cause a prisoner to be brought before the court as a party or a witness.</w:t>
      </w:r>
      <w:bookmarkEnd w:id="322"/>
    </w:p>
    <w:p w14:paraId="27F7383F" w14:textId="02DBE445" w:rsidR="0000525D" w:rsidRPr="00B40A77" w:rsidRDefault="0000525D" w:rsidP="0000525D">
      <w:pPr>
        <w:pStyle w:val="Heading3"/>
        <w:rPr>
          <w:color w:val="000000" w:themeColor="text1"/>
        </w:rPr>
      </w:pPr>
      <w:bookmarkStart w:id="324" w:name="_Toc175238878"/>
      <w:r w:rsidRPr="00B40A77">
        <w:rPr>
          <w:color w:val="000000" w:themeColor="text1"/>
        </w:rPr>
        <w:t>Subdivision 4—Summar</w:t>
      </w:r>
      <w:r w:rsidR="00466679" w:rsidRPr="00B40A77">
        <w:rPr>
          <w:color w:val="000000" w:themeColor="text1"/>
        </w:rPr>
        <w:t>ies</w:t>
      </w:r>
      <w:r w:rsidRPr="00B40A77">
        <w:rPr>
          <w:color w:val="000000" w:themeColor="text1"/>
        </w:rPr>
        <w:t xml:space="preserve"> of argument, written submissions and lists of authorities</w:t>
      </w:r>
      <w:bookmarkEnd w:id="324"/>
    </w:p>
    <w:p w14:paraId="52359B75" w14:textId="521C97ED" w:rsidR="0000525D" w:rsidRPr="00B40A77" w:rsidRDefault="00E13B81" w:rsidP="00B879C6">
      <w:pPr>
        <w:pStyle w:val="Heading4"/>
        <w:rPr>
          <w:color w:val="000000" w:themeColor="text1"/>
        </w:rPr>
      </w:pPr>
      <w:bookmarkStart w:id="325" w:name="_Toc175238879"/>
      <w:r w:rsidRPr="00B40A77">
        <w:rPr>
          <w:color w:val="000000" w:themeColor="text1"/>
        </w:rPr>
        <w:t>38</w:t>
      </w:r>
      <w:r w:rsidR="00656C5E" w:rsidRPr="00B40A77">
        <w:rPr>
          <w:color w:val="000000" w:themeColor="text1"/>
        </w:rPr>
        <w:t>.9</w:t>
      </w:r>
      <w:r w:rsidR="0000525D" w:rsidRPr="00B40A77">
        <w:rPr>
          <w:color w:val="000000" w:themeColor="text1"/>
        </w:rPr>
        <w:t>—Sum</w:t>
      </w:r>
      <w:r w:rsidR="002C55A3" w:rsidRPr="00B40A77">
        <w:rPr>
          <w:color w:val="000000" w:themeColor="text1"/>
        </w:rPr>
        <w:t>mary of argument and written submissions</w:t>
      </w:r>
      <w:bookmarkEnd w:id="325"/>
    </w:p>
    <w:p w14:paraId="39FE6DC2" w14:textId="77777777" w:rsidR="002C55A3" w:rsidRPr="00B40A77" w:rsidRDefault="002C55A3" w:rsidP="00A37E9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 summary of argument must be in the prescribed form.</w:t>
      </w:r>
    </w:p>
    <w:p w14:paraId="18CD0C5F" w14:textId="5A38BB7F" w:rsidR="002C55A3" w:rsidRPr="00B40A77" w:rsidRDefault="002C55A3" w:rsidP="00A37E9E">
      <w:pPr>
        <w:pStyle w:val="NoteHeader"/>
        <w:keepNext/>
        <w:rPr>
          <w:color w:val="000000" w:themeColor="text1"/>
        </w:rPr>
      </w:pPr>
      <w:r w:rsidRPr="00B40A77">
        <w:rPr>
          <w:color w:val="000000" w:themeColor="text1"/>
        </w:rPr>
        <w:t>Prescribed form—</w:t>
      </w:r>
    </w:p>
    <w:p w14:paraId="0D604566" w14:textId="74E90289" w:rsidR="002C55A3" w:rsidRPr="00B40A77" w:rsidRDefault="002C55A3" w:rsidP="002C55A3">
      <w:pPr>
        <w:pStyle w:val="NoteText"/>
        <w:rPr>
          <w:color w:val="000000" w:themeColor="text1"/>
        </w:rPr>
      </w:pPr>
      <w:r w:rsidRPr="00B40A77">
        <w:rPr>
          <w:color w:val="000000" w:themeColor="text1"/>
        </w:rPr>
        <w:t xml:space="preserve">Form 101 </w:t>
      </w:r>
      <w:hyperlink r:id="rId53" w:history="1">
        <w:r w:rsidRPr="00B40A77">
          <w:rPr>
            <w:rStyle w:val="Hyperlink"/>
            <w:color w:val="000000" w:themeColor="text1"/>
          </w:rPr>
          <w:t xml:space="preserve">Summary of </w:t>
        </w:r>
        <w:r w:rsidR="00B228DD" w:rsidRPr="00B40A77">
          <w:rPr>
            <w:rStyle w:val="Hyperlink"/>
            <w:color w:val="000000" w:themeColor="text1"/>
          </w:rPr>
          <w:t>A</w:t>
        </w:r>
        <w:r w:rsidRPr="00B40A77">
          <w:rPr>
            <w:rStyle w:val="Hyperlink"/>
            <w:color w:val="000000" w:themeColor="text1"/>
          </w:rPr>
          <w:t>rgument</w:t>
        </w:r>
      </w:hyperlink>
    </w:p>
    <w:p w14:paraId="0C81C8CD" w14:textId="2E0802AC" w:rsidR="002C55A3" w:rsidRPr="00B40A77" w:rsidRDefault="002C55A3" w:rsidP="00A37E9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Written submissions must be in the prescribed form.</w:t>
      </w:r>
    </w:p>
    <w:p w14:paraId="6A0124A8" w14:textId="77777777" w:rsidR="002C55A3" w:rsidRPr="00B40A77" w:rsidRDefault="002C55A3" w:rsidP="00A37E9E">
      <w:pPr>
        <w:pStyle w:val="NoteHeader"/>
        <w:keepNext/>
        <w:rPr>
          <w:color w:val="000000" w:themeColor="text1"/>
        </w:rPr>
      </w:pPr>
      <w:r w:rsidRPr="00B40A77">
        <w:rPr>
          <w:color w:val="000000" w:themeColor="text1"/>
        </w:rPr>
        <w:t>Prescribed form—</w:t>
      </w:r>
    </w:p>
    <w:p w14:paraId="48E8261C" w14:textId="2A13299F" w:rsidR="002C55A3" w:rsidRDefault="002C55A3" w:rsidP="002C55A3">
      <w:pPr>
        <w:pStyle w:val="NoteText"/>
        <w:rPr>
          <w:rStyle w:val="Hyperlink"/>
          <w:color w:val="000000" w:themeColor="text1"/>
        </w:rPr>
      </w:pPr>
      <w:r w:rsidRPr="00B40A77">
        <w:rPr>
          <w:color w:val="000000" w:themeColor="text1"/>
        </w:rPr>
        <w:t xml:space="preserve">Form 102 </w:t>
      </w:r>
      <w:hyperlink r:id="rId54" w:history="1">
        <w:r w:rsidRPr="00B40A77">
          <w:rPr>
            <w:rStyle w:val="Hyperlink"/>
            <w:color w:val="000000" w:themeColor="text1"/>
          </w:rPr>
          <w:t xml:space="preserve">Written </w:t>
        </w:r>
        <w:r w:rsidR="00B228DD" w:rsidRPr="00B40A77">
          <w:rPr>
            <w:rStyle w:val="Hyperlink"/>
            <w:color w:val="000000" w:themeColor="text1"/>
          </w:rPr>
          <w:t>S</w:t>
        </w:r>
        <w:r w:rsidRPr="00B40A77">
          <w:rPr>
            <w:rStyle w:val="Hyperlink"/>
            <w:color w:val="000000" w:themeColor="text1"/>
          </w:rPr>
          <w:t>ubmissions</w:t>
        </w:r>
      </w:hyperlink>
    </w:p>
    <w:p w14:paraId="181DCCD6" w14:textId="77777777" w:rsidR="00F57AAF" w:rsidRDefault="00F57AAF" w:rsidP="00F57AAF">
      <w:pPr>
        <w:pStyle w:val="ListParagraph"/>
        <w:ind w:left="1134" w:hanging="567"/>
        <w:contextualSpacing w:val="0"/>
        <w:jc w:val="both"/>
        <w:rPr>
          <w:szCs w:val="23"/>
        </w:rPr>
      </w:pPr>
      <w:bookmarkStart w:id="326" w:name="_Hlk152915996"/>
      <w:r>
        <w:rPr>
          <w:szCs w:val="23"/>
        </w:rPr>
        <w:t>(3)</w:t>
      </w:r>
      <w:r>
        <w:rPr>
          <w:szCs w:val="23"/>
        </w:rPr>
        <w:tab/>
      </w:r>
      <w:r>
        <w:rPr>
          <w:color w:val="000000" w:themeColor="text1"/>
        </w:rPr>
        <w:t xml:space="preserve">Written submissions or a summary of argument must include at the end of the document the name of counsel who settles the document (if applicable) or, if no counsel did so, the name of the solicitor who is responsible for the document </w:t>
      </w:r>
      <w:r>
        <w:t>(when a law firm is acting for the party)</w:t>
      </w:r>
      <w:r>
        <w:rPr>
          <w:color w:val="000000" w:themeColor="text1"/>
        </w:rPr>
        <w:t>.</w:t>
      </w:r>
    </w:p>
    <w:bookmarkEnd w:id="326"/>
    <w:p w14:paraId="42757491" w14:textId="1F07CE17" w:rsidR="00F57AAF" w:rsidRDefault="00F57AAF" w:rsidP="00F57AAF">
      <w:pPr>
        <w:pStyle w:val="ListParagraph"/>
        <w:ind w:left="1134" w:hanging="567"/>
        <w:jc w:val="both"/>
        <w:rPr>
          <w:szCs w:val="23"/>
        </w:rPr>
      </w:pPr>
      <w:r>
        <w:rPr>
          <w:szCs w:val="23"/>
        </w:rPr>
        <w:t>(4)</w:t>
      </w:r>
      <w:r>
        <w:rPr>
          <w:szCs w:val="23"/>
        </w:rPr>
        <w:tab/>
        <w:t xml:space="preserve">In this rule, “counsel” and “solicitor” include a sworn police prosecutor or prosecuting solicitor referred to in </w:t>
      </w:r>
      <w:r w:rsidRPr="00485880">
        <w:rPr>
          <w:szCs w:val="23"/>
          <w:u w:val="single"/>
        </w:rPr>
        <w:t>Chapter 2 Part 4 Division 3</w:t>
      </w:r>
      <w:r>
        <w:rPr>
          <w:szCs w:val="23"/>
        </w:rPr>
        <w:t xml:space="preserve"> of these Rules.</w:t>
      </w:r>
    </w:p>
    <w:p w14:paraId="3B166A70" w14:textId="67C8B1FC" w:rsidR="002C55A3" w:rsidRPr="00B40A77" w:rsidRDefault="00E13B81" w:rsidP="00F418D7">
      <w:pPr>
        <w:pStyle w:val="Heading4"/>
        <w:rPr>
          <w:color w:val="000000" w:themeColor="text1"/>
        </w:rPr>
      </w:pPr>
      <w:bookmarkStart w:id="327" w:name="_Toc175238880"/>
      <w:r w:rsidRPr="00B40A77">
        <w:rPr>
          <w:color w:val="000000" w:themeColor="text1"/>
        </w:rPr>
        <w:t>38</w:t>
      </w:r>
      <w:r w:rsidR="00656C5E" w:rsidRPr="00B40A77">
        <w:rPr>
          <w:color w:val="000000" w:themeColor="text1"/>
        </w:rPr>
        <w:t>.10</w:t>
      </w:r>
      <w:r w:rsidR="002C55A3" w:rsidRPr="00B40A77">
        <w:rPr>
          <w:color w:val="000000" w:themeColor="text1"/>
        </w:rPr>
        <w:t>—List of authorities</w:t>
      </w:r>
      <w:bookmarkEnd w:id="327"/>
    </w:p>
    <w:p w14:paraId="65FE1A2F" w14:textId="6868E3A5" w:rsidR="002C55A3" w:rsidRPr="00B40A77" w:rsidRDefault="002C55A3" w:rsidP="00A37E9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 list of authorities must be in the prescribed form.</w:t>
      </w:r>
    </w:p>
    <w:p w14:paraId="603F728F" w14:textId="77777777" w:rsidR="002C55A3" w:rsidRPr="00B40A77" w:rsidRDefault="002C55A3" w:rsidP="00A37E9E">
      <w:pPr>
        <w:pStyle w:val="NoteHeader"/>
        <w:keepNext/>
        <w:rPr>
          <w:color w:val="000000" w:themeColor="text1"/>
        </w:rPr>
      </w:pPr>
      <w:r w:rsidRPr="00B40A77">
        <w:rPr>
          <w:color w:val="000000" w:themeColor="text1"/>
        </w:rPr>
        <w:t>Prescribed form—</w:t>
      </w:r>
    </w:p>
    <w:p w14:paraId="31342A79" w14:textId="3C30894F" w:rsidR="002C55A3" w:rsidRPr="00B40A77" w:rsidRDefault="002C55A3" w:rsidP="002C55A3">
      <w:pPr>
        <w:pStyle w:val="NoteText"/>
        <w:rPr>
          <w:color w:val="000000" w:themeColor="text1"/>
        </w:rPr>
      </w:pPr>
      <w:r w:rsidRPr="00B40A77">
        <w:rPr>
          <w:color w:val="000000" w:themeColor="text1"/>
        </w:rPr>
        <w:t xml:space="preserve">Form 103 </w:t>
      </w:r>
      <w:hyperlink r:id="rId55" w:history="1">
        <w:r w:rsidRPr="00B40A77">
          <w:rPr>
            <w:rStyle w:val="Hyperlink"/>
            <w:color w:val="000000" w:themeColor="text1"/>
          </w:rPr>
          <w:t xml:space="preserve">List of </w:t>
        </w:r>
        <w:r w:rsidR="00B228DD" w:rsidRPr="00B40A77">
          <w:rPr>
            <w:rStyle w:val="Hyperlink"/>
            <w:color w:val="000000" w:themeColor="text1"/>
          </w:rPr>
          <w:t>A</w:t>
        </w:r>
        <w:r w:rsidRPr="00B40A77">
          <w:rPr>
            <w:rStyle w:val="Hyperlink"/>
            <w:color w:val="000000" w:themeColor="text1"/>
          </w:rPr>
          <w:t>uthorities</w:t>
        </w:r>
      </w:hyperlink>
    </w:p>
    <w:p w14:paraId="301E0408" w14:textId="41F233AE" w:rsidR="00493699" w:rsidRPr="00B40A77" w:rsidRDefault="0000525D" w:rsidP="00493699">
      <w:pPr>
        <w:pStyle w:val="Heading3"/>
        <w:rPr>
          <w:color w:val="000000" w:themeColor="text1"/>
        </w:rPr>
      </w:pPr>
      <w:bookmarkStart w:id="328" w:name="_Toc175238881"/>
      <w:r w:rsidRPr="00B40A77">
        <w:rPr>
          <w:color w:val="000000" w:themeColor="text1"/>
        </w:rPr>
        <w:t>Subdivision 5</w:t>
      </w:r>
      <w:r w:rsidR="00493699" w:rsidRPr="00B40A77">
        <w:rPr>
          <w:color w:val="000000" w:themeColor="text1"/>
        </w:rPr>
        <w:t>—Conduct in court</w:t>
      </w:r>
      <w:bookmarkEnd w:id="328"/>
    </w:p>
    <w:p w14:paraId="0A8D8698" w14:textId="39B2DF9B" w:rsidR="00493699" w:rsidRPr="00B40A77" w:rsidRDefault="00E13B81" w:rsidP="00493699">
      <w:pPr>
        <w:pStyle w:val="Heading4"/>
        <w:rPr>
          <w:color w:val="000000" w:themeColor="text1"/>
        </w:rPr>
      </w:pPr>
      <w:bookmarkStart w:id="329" w:name="_Toc175238882"/>
      <w:r w:rsidRPr="00B40A77">
        <w:rPr>
          <w:color w:val="000000" w:themeColor="text1"/>
        </w:rPr>
        <w:t>38</w:t>
      </w:r>
      <w:r w:rsidR="00656C5E" w:rsidRPr="00B40A77">
        <w:rPr>
          <w:color w:val="000000" w:themeColor="text1"/>
        </w:rPr>
        <w:t>.11</w:t>
      </w:r>
      <w:r w:rsidR="00493699" w:rsidRPr="00B40A77">
        <w:rPr>
          <w:color w:val="000000" w:themeColor="text1"/>
        </w:rPr>
        <w:t>—Recording events in court</w:t>
      </w:r>
      <w:bookmarkEnd w:id="329"/>
    </w:p>
    <w:p w14:paraId="727126F8" w14:textId="77777777" w:rsidR="00493699" w:rsidRPr="00B40A77" w:rsidRDefault="00493699" w:rsidP="0049369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and subject to the following subrules, the making in a court of a </w:t>
      </w:r>
      <w:r w:rsidRPr="00B40A77">
        <w:rPr>
          <w:color w:val="000000" w:themeColor="text1"/>
          <w:u w:val="single"/>
          <w:lang w:val="en-US"/>
        </w:rPr>
        <w:t>record</w:t>
      </w:r>
      <w:r w:rsidRPr="00B40A77">
        <w:rPr>
          <w:color w:val="000000" w:themeColor="text1"/>
          <w:lang w:val="en-US"/>
        </w:rPr>
        <w:t xml:space="preserve"> of persons, things or events is not permitted.</w:t>
      </w:r>
    </w:p>
    <w:p w14:paraId="79F0E94F" w14:textId="2D107FA8" w:rsidR="00493699" w:rsidRPr="00B40A77" w:rsidRDefault="00493699" w:rsidP="00493699">
      <w:pPr>
        <w:pStyle w:val="Hangindent"/>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This rule does not apply to </w:t>
      </w:r>
      <w:hyperlink w:anchor="_2.1—Definitions" w:history="1">
        <w:r w:rsidR="00C737E1" w:rsidRPr="00B40A77">
          <w:rPr>
            <w:rStyle w:val="Hyperlink"/>
            <w:color w:val="000000" w:themeColor="text1"/>
            <w:lang w:val="en-US"/>
          </w:rPr>
          <w:t>court officer</w:t>
        </w:r>
      </w:hyperlink>
      <w:r w:rsidR="00466679" w:rsidRPr="00B40A77">
        <w:rPr>
          <w:color w:val="000000" w:themeColor="text1"/>
          <w:u w:val="single"/>
          <w:lang w:val="en-US"/>
        </w:rPr>
        <w:t>s</w:t>
      </w:r>
      <w:r w:rsidRPr="00B40A77">
        <w:rPr>
          <w:color w:val="000000" w:themeColor="text1"/>
          <w:lang w:val="en-US"/>
        </w:rPr>
        <w:t xml:space="preserve"> acting in the course of their office or employment.</w:t>
      </w:r>
    </w:p>
    <w:p w14:paraId="2A336739" w14:textId="5300600A" w:rsidR="00493699" w:rsidRPr="00B40A77" w:rsidRDefault="00493699" w:rsidP="00F06A60">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Subject to subrules</w:t>
      </w:r>
      <w:r w:rsidR="001B1E8A" w:rsidRPr="00B40A77">
        <w:rPr>
          <w:color w:val="000000" w:themeColor="text1"/>
          <w:lang w:val="en-US"/>
        </w:rPr>
        <w:t> </w:t>
      </w:r>
      <w:r w:rsidRPr="00B40A77">
        <w:rPr>
          <w:color w:val="000000" w:themeColor="text1"/>
          <w:lang w:val="en-US"/>
        </w:rPr>
        <w:t>(4) and</w:t>
      </w:r>
      <w:r w:rsidR="001B1E8A" w:rsidRPr="00B40A77">
        <w:rPr>
          <w:color w:val="000000" w:themeColor="text1"/>
          <w:lang w:val="en-US"/>
        </w:rPr>
        <w:t> </w:t>
      </w:r>
      <w:r w:rsidRPr="00B40A77">
        <w:rPr>
          <w:color w:val="000000" w:themeColor="text1"/>
          <w:lang w:val="en-US"/>
        </w:rPr>
        <w:t>(5)—</w:t>
      </w:r>
    </w:p>
    <w:p w14:paraId="110BC25D" w14:textId="77777777"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party to a proceeding being heard by the Court, a lawyer, law clerk, student or bona fide member of the media may make a handwritten or electronic note of persons, things or events in a court; and </w:t>
      </w:r>
    </w:p>
    <w:p w14:paraId="0B2C164C" w14:textId="792CD2B3"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 bona fide member of the media may make an audio recording of </w:t>
      </w:r>
      <w:r w:rsidR="00466679" w:rsidRPr="00B40A77">
        <w:rPr>
          <w:color w:val="000000" w:themeColor="text1"/>
          <w:lang w:val="en-US"/>
        </w:rPr>
        <w:t xml:space="preserve">a </w:t>
      </w:r>
      <w:r w:rsidRPr="00B40A77">
        <w:rPr>
          <w:color w:val="000000" w:themeColor="text1"/>
          <w:lang w:val="en-US"/>
        </w:rPr>
        <w:t>proceeding for the sole purpose of verifying notes and for no other purpose.</w:t>
      </w:r>
    </w:p>
    <w:p w14:paraId="3560110A" w14:textId="22FBA587" w:rsidR="00493699" w:rsidRPr="00B40A77" w:rsidRDefault="00493699" w:rsidP="00493699">
      <w:pPr>
        <w:pStyle w:val="Hangindent"/>
        <w:rPr>
          <w:color w:val="000000" w:themeColor="text1"/>
          <w:lang w:val="en-US"/>
        </w:rPr>
      </w:pPr>
      <w:r w:rsidRPr="00B40A77">
        <w:rPr>
          <w:color w:val="000000" w:themeColor="text1"/>
          <w:lang w:val="en-US"/>
        </w:rPr>
        <w:t>(4)</w:t>
      </w:r>
      <w:r w:rsidRPr="00B40A77">
        <w:rPr>
          <w:color w:val="000000" w:themeColor="text1"/>
          <w:lang w:val="en-US"/>
        </w:rPr>
        <w:tab/>
        <w:t>Any record made in a court permitted by subrule</w:t>
      </w:r>
      <w:r w:rsidR="001B1E8A" w:rsidRPr="00B40A77">
        <w:rPr>
          <w:color w:val="000000" w:themeColor="text1"/>
          <w:lang w:val="en-US"/>
        </w:rPr>
        <w:t> </w:t>
      </w:r>
      <w:r w:rsidRPr="00B40A77">
        <w:rPr>
          <w:color w:val="000000" w:themeColor="text1"/>
          <w:lang w:val="en-US"/>
        </w:rPr>
        <w:t>(3) must—</w:t>
      </w:r>
    </w:p>
    <w:p w14:paraId="417A85A6" w14:textId="208AE06E"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be made in a manner that does not interfere with proceeding</w:t>
      </w:r>
      <w:r w:rsidR="005F6468" w:rsidRPr="00B40A77">
        <w:rPr>
          <w:color w:val="000000" w:themeColor="text1"/>
          <w:lang w:val="en-US"/>
        </w:rPr>
        <w:t>s</w:t>
      </w:r>
      <w:r w:rsidRPr="00B40A77">
        <w:rPr>
          <w:color w:val="000000" w:themeColor="text1"/>
          <w:lang w:val="en-US"/>
        </w:rPr>
        <w:t>, court decorum or the Court’s sound system or other technology; and</w:t>
      </w:r>
    </w:p>
    <w:p w14:paraId="1466030E" w14:textId="77777777"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not involve speech or otherwise generate sound.</w:t>
      </w:r>
    </w:p>
    <w:p w14:paraId="288FEA15" w14:textId="372C67D5" w:rsidR="00493699" w:rsidRPr="00B40A77" w:rsidRDefault="00493699" w:rsidP="00493699">
      <w:pPr>
        <w:pStyle w:val="Hangindent"/>
        <w:rPr>
          <w:color w:val="000000" w:themeColor="text1"/>
          <w:lang w:val="en-US"/>
        </w:rPr>
      </w:pPr>
      <w:r w:rsidRPr="00B40A77">
        <w:rPr>
          <w:color w:val="000000" w:themeColor="text1"/>
          <w:lang w:val="en-US"/>
        </w:rPr>
        <w:t>(5)</w:t>
      </w:r>
      <w:r w:rsidRPr="00B40A77">
        <w:rPr>
          <w:color w:val="000000" w:themeColor="text1"/>
          <w:lang w:val="en-US"/>
        </w:rPr>
        <w:tab/>
        <w:t>Any audio recording made by a bona fide member of the media under subrule</w:t>
      </w:r>
      <w:r w:rsidR="001B1E8A" w:rsidRPr="00B40A77">
        <w:rPr>
          <w:color w:val="000000" w:themeColor="text1"/>
          <w:lang w:val="en-US"/>
        </w:rPr>
        <w:t> </w:t>
      </w:r>
      <w:r w:rsidRPr="00B40A77">
        <w:rPr>
          <w:color w:val="000000" w:themeColor="text1"/>
          <w:lang w:val="en-US"/>
        </w:rPr>
        <w:t>(3)(b) must—</w:t>
      </w:r>
    </w:p>
    <w:p w14:paraId="3413F1BC" w14:textId="77777777"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not record any private conversation in a court;</w:t>
      </w:r>
    </w:p>
    <w:p w14:paraId="7C2D856C" w14:textId="77777777"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not be made available to any other person or used for any other purpose; and</w:t>
      </w:r>
    </w:p>
    <w:p w14:paraId="79646F0D" w14:textId="77777777" w:rsidR="00493699" w:rsidRPr="00B40A77" w:rsidRDefault="00493699" w:rsidP="00493699">
      <w:pPr>
        <w:pStyle w:val="Doublehangindent"/>
        <w:rPr>
          <w:color w:val="000000" w:themeColor="text1"/>
          <w:lang w:val="en-US"/>
        </w:rPr>
      </w:pPr>
      <w:r w:rsidRPr="00B40A77">
        <w:rPr>
          <w:color w:val="000000" w:themeColor="text1"/>
          <w:lang w:val="en-US"/>
        </w:rPr>
        <w:t>(c)</w:t>
      </w:r>
      <w:r w:rsidRPr="00B40A77">
        <w:rPr>
          <w:color w:val="000000" w:themeColor="text1"/>
          <w:lang w:val="en-US"/>
        </w:rPr>
        <w:tab/>
        <w:t>be erased within 48 hours of the recording.</w:t>
      </w:r>
    </w:p>
    <w:p w14:paraId="1D053871" w14:textId="3EC00AD4" w:rsidR="00493699" w:rsidRPr="00B40A77" w:rsidRDefault="00493699" w:rsidP="00AA301B">
      <w:pPr>
        <w:pStyle w:val="Hangindent"/>
        <w:keepNext/>
        <w:rPr>
          <w:color w:val="000000" w:themeColor="text1"/>
          <w:lang w:val="en-US"/>
        </w:rPr>
      </w:pPr>
      <w:r w:rsidRPr="00B40A77">
        <w:rPr>
          <w:color w:val="000000" w:themeColor="text1"/>
          <w:lang w:val="en-US"/>
        </w:rPr>
        <w:t>(6)</w:t>
      </w:r>
      <w:r w:rsidRPr="00B40A77">
        <w:rPr>
          <w:color w:val="000000" w:themeColor="text1"/>
          <w:lang w:val="en-US"/>
        </w:rPr>
        <w:tab/>
        <w:t>In this rule,</w:t>
      </w:r>
      <w:r w:rsidRPr="00B40A77">
        <w:rPr>
          <w:bCs/>
          <w:i/>
          <w:color w:val="000000" w:themeColor="text1"/>
          <w:lang w:val="en-US"/>
        </w:rPr>
        <w:t xml:space="preserve"> </w:t>
      </w:r>
      <w:r w:rsidRPr="00B40A77">
        <w:rPr>
          <w:b/>
          <w:i/>
          <w:color w:val="000000" w:themeColor="text1"/>
          <w:lang w:val="en-US"/>
        </w:rPr>
        <w:t>record</w:t>
      </w:r>
      <w:r w:rsidRPr="00B40A77">
        <w:rPr>
          <w:color w:val="000000" w:themeColor="text1"/>
          <w:lang w:val="en-US"/>
        </w:rPr>
        <w:t xml:space="preserve"> means a record by any means whatsoever, including without limitation handwriting, other physical means, audio or visual recording or an electronic record.</w:t>
      </w:r>
    </w:p>
    <w:p w14:paraId="0C8EB9CE" w14:textId="071A1DF8" w:rsidR="003D2F83" w:rsidRPr="00B40A77" w:rsidRDefault="003D2F83" w:rsidP="004C2422">
      <w:pPr>
        <w:pStyle w:val="NoteHeader"/>
        <w:keepNext/>
        <w:rPr>
          <w:color w:val="000000" w:themeColor="text1"/>
        </w:rPr>
      </w:pPr>
      <w:r w:rsidRPr="00B40A77">
        <w:rPr>
          <w:color w:val="000000" w:themeColor="text1"/>
        </w:rPr>
        <w:t>Note—</w:t>
      </w:r>
    </w:p>
    <w:p w14:paraId="686C4619" w14:textId="63C44054" w:rsidR="003D2F83" w:rsidRPr="00B40A77" w:rsidRDefault="003D2F83" w:rsidP="003D2F83">
      <w:pPr>
        <w:pStyle w:val="NoteText"/>
        <w:rPr>
          <w:color w:val="000000" w:themeColor="text1"/>
          <w:lang w:val="en-US"/>
        </w:rPr>
      </w:pPr>
      <w:r w:rsidRPr="00B40A77">
        <w:rPr>
          <w:color w:val="000000" w:themeColor="text1"/>
        </w:rPr>
        <w:t xml:space="preserve">This rule does not affect the operation of the </w:t>
      </w:r>
      <w:r w:rsidRPr="00B40A77">
        <w:rPr>
          <w:i/>
          <w:color w:val="000000" w:themeColor="text1"/>
        </w:rPr>
        <w:t>Surveillance Devices Act 2016</w:t>
      </w:r>
      <w:r w:rsidRPr="00B40A77">
        <w:rPr>
          <w:color w:val="000000" w:themeColor="text1"/>
        </w:rPr>
        <w:t xml:space="preserve">, which amongst other things regulates the use of listening devices and optical surveillance </w:t>
      </w:r>
      <w:r w:rsidR="000914B9" w:rsidRPr="00B40A77">
        <w:rPr>
          <w:color w:val="000000" w:themeColor="text1"/>
        </w:rPr>
        <w:t>devices.</w:t>
      </w:r>
    </w:p>
    <w:p w14:paraId="6C52FE1F" w14:textId="0FA9F970" w:rsidR="00493699" w:rsidRPr="00B40A77" w:rsidRDefault="00E13B81" w:rsidP="00493699">
      <w:pPr>
        <w:pStyle w:val="Heading4"/>
        <w:rPr>
          <w:color w:val="000000" w:themeColor="text1"/>
        </w:rPr>
      </w:pPr>
      <w:bookmarkStart w:id="330" w:name="_Toc175238883"/>
      <w:r w:rsidRPr="00B40A77">
        <w:rPr>
          <w:color w:val="000000" w:themeColor="text1"/>
        </w:rPr>
        <w:t>38</w:t>
      </w:r>
      <w:r w:rsidR="00656C5E" w:rsidRPr="00B40A77">
        <w:rPr>
          <w:color w:val="000000" w:themeColor="text1"/>
        </w:rPr>
        <w:t>.12</w:t>
      </w:r>
      <w:r w:rsidR="00493699" w:rsidRPr="00B40A77">
        <w:rPr>
          <w:color w:val="000000" w:themeColor="text1"/>
        </w:rPr>
        <w:t>—Electronic communications in court</w:t>
      </w:r>
      <w:bookmarkEnd w:id="330"/>
    </w:p>
    <w:p w14:paraId="46EBD882" w14:textId="77777777" w:rsidR="00493699" w:rsidRPr="00B40A77" w:rsidRDefault="00493699" w:rsidP="0049369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and subject to the following subrules, communication using an </w:t>
      </w:r>
      <w:r w:rsidRPr="00B40A77">
        <w:rPr>
          <w:color w:val="000000" w:themeColor="text1"/>
          <w:u w:val="single"/>
          <w:lang w:val="en-US"/>
        </w:rPr>
        <w:t>electronic device</w:t>
      </w:r>
      <w:r w:rsidRPr="00B40A77">
        <w:rPr>
          <w:color w:val="000000" w:themeColor="text1"/>
          <w:lang w:val="en-US"/>
        </w:rPr>
        <w:t xml:space="preserve"> to and from a court during proceedings is not permitted.</w:t>
      </w:r>
    </w:p>
    <w:p w14:paraId="60DDC6C5" w14:textId="6CFE0F58" w:rsidR="00493699" w:rsidRPr="00B40A77" w:rsidRDefault="00493699" w:rsidP="0049369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This rule does not apply to </w:t>
      </w:r>
      <w:hyperlink w:anchor="_2.1—Definitions" w:history="1">
        <w:r w:rsidR="00C737E1" w:rsidRPr="00B40A77">
          <w:rPr>
            <w:rStyle w:val="Hyperlink"/>
            <w:color w:val="000000" w:themeColor="text1"/>
            <w:lang w:val="en-US"/>
          </w:rPr>
          <w:t>court officer</w:t>
        </w:r>
      </w:hyperlink>
      <w:r w:rsidR="005F6468" w:rsidRPr="00B40A77">
        <w:rPr>
          <w:color w:val="000000" w:themeColor="text1"/>
          <w:u w:val="single"/>
          <w:lang w:val="en-US"/>
        </w:rPr>
        <w:t>s</w:t>
      </w:r>
      <w:r w:rsidRPr="00B40A77">
        <w:rPr>
          <w:color w:val="000000" w:themeColor="text1"/>
          <w:lang w:val="en-US"/>
        </w:rPr>
        <w:t xml:space="preserve"> acting in the course of their office or employment.</w:t>
      </w:r>
    </w:p>
    <w:p w14:paraId="371F61B6" w14:textId="0AEE717D" w:rsidR="00493699" w:rsidRPr="00B40A77" w:rsidRDefault="00493699" w:rsidP="00493699">
      <w:pPr>
        <w:pStyle w:val="Hangindent"/>
        <w:rPr>
          <w:color w:val="000000" w:themeColor="text1"/>
          <w:lang w:val="en-US"/>
        </w:rPr>
      </w:pPr>
      <w:r w:rsidRPr="00B40A77">
        <w:rPr>
          <w:color w:val="000000" w:themeColor="text1"/>
          <w:lang w:val="en-US"/>
        </w:rPr>
        <w:t>(3)</w:t>
      </w:r>
      <w:r w:rsidRPr="00B40A77">
        <w:rPr>
          <w:color w:val="000000" w:themeColor="text1"/>
          <w:lang w:val="en-US"/>
        </w:rPr>
        <w:tab/>
        <w:t>Subject to subrules</w:t>
      </w:r>
      <w:r w:rsidR="001B1E8A" w:rsidRPr="00B40A77">
        <w:rPr>
          <w:color w:val="000000" w:themeColor="text1"/>
          <w:lang w:val="en-US"/>
        </w:rPr>
        <w:t> </w:t>
      </w:r>
      <w:r w:rsidRPr="00B40A77">
        <w:rPr>
          <w:color w:val="000000" w:themeColor="text1"/>
          <w:lang w:val="en-US"/>
        </w:rPr>
        <w:t>(4) and</w:t>
      </w:r>
      <w:r w:rsidR="001B1E8A" w:rsidRPr="00B40A77">
        <w:rPr>
          <w:color w:val="000000" w:themeColor="text1"/>
          <w:lang w:val="en-US"/>
        </w:rPr>
        <w:t> </w:t>
      </w:r>
      <w:r w:rsidRPr="00B40A77">
        <w:rPr>
          <w:color w:val="000000" w:themeColor="text1"/>
          <w:lang w:val="en-US"/>
        </w:rPr>
        <w:t>(5)—</w:t>
      </w:r>
    </w:p>
    <w:p w14:paraId="49F45D68" w14:textId="77D777DD"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party to a proceeding being heard by the Court or a lawyer may communicate using an electronic device to and from a court during proceedings; and </w:t>
      </w:r>
    </w:p>
    <w:p w14:paraId="3EB033E6" w14:textId="05A5E89C"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 bona fide member of the media may communicate using an electronic device to and from a court during proceedings for the sole purpose of reporting on </w:t>
      </w:r>
      <w:r w:rsidR="005F6468" w:rsidRPr="00B40A77">
        <w:rPr>
          <w:color w:val="000000" w:themeColor="text1"/>
          <w:lang w:val="en-US"/>
        </w:rPr>
        <w:t xml:space="preserve">a </w:t>
      </w:r>
      <w:r w:rsidRPr="00B40A77">
        <w:rPr>
          <w:color w:val="000000" w:themeColor="text1"/>
          <w:lang w:val="en-US"/>
        </w:rPr>
        <w:t>proceeding.</w:t>
      </w:r>
    </w:p>
    <w:p w14:paraId="08C3E596" w14:textId="1015682C" w:rsidR="00493699" w:rsidRPr="00B40A77" w:rsidRDefault="00493699" w:rsidP="004C2422">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Any electronic communication permitted by subrule</w:t>
      </w:r>
      <w:r w:rsidR="001B1E8A" w:rsidRPr="00B40A77">
        <w:rPr>
          <w:color w:val="000000" w:themeColor="text1"/>
          <w:lang w:val="en-US"/>
        </w:rPr>
        <w:t> </w:t>
      </w:r>
      <w:r w:rsidRPr="00B40A77">
        <w:rPr>
          <w:color w:val="000000" w:themeColor="text1"/>
          <w:lang w:val="en-US"/>
        </w:rPr>
        <w:t>(3) must—</w:t>
      </w:r>
    </w:p>
    <w:p w14:paraId="5E4B559A" w14:textId="242E38BD"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be made in a manner that does not interfere with</w:t>
      </w:r>
      <w:r w:rsidR="005F6468" w:rsidRPr="00B40A77">
        <w:rPr>
          <w:color w:val="000000" w:themeColor="text1"/>
          <w:lang w:val="en-US"/>
        </w:rPr>
        <w:t xml:space="preserve"> </w:t>
      </w:r>
      <w:r w:rsidRPr="00B40A77">
        <w:rPr>
          <w:color w:val="000000" w:themeColor="text1"/>
          <w:lang w:val="en-US"/>
        </w:rPr>
        <w:t>proceedings, court decorum or the Court’s sound system or other technology; and</w:t>
      </w:r>
    </w:p>
    <w:p w14:paraId="0B1FD1EF" w14:textId="77777777"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not involve speech or otherwise generate sound.</w:t>
      </w:r>
    </w:p>
    <w:p w14:paraId="5EC58142" w14:textId="5471EC32" w:rsidR="00493699" w:rsidRPr="00B40A77" w:rsidRDefault="00493699" w:rsidP="00493699">
      <w:pPr>
        <w:pStyle w:val="Hangindent"/>
        <w:rPr>
          <w:color w:val="000000" w:themeColor="text1"/>
          <w:lang w:val="en-US"/>
        </w:rPr>
      </w:pPr>
      <w:r w:rsidRPr="00B40A77">
        <w:rPr>
          <w:color w:val="000000" w:themeColor="text1"/>
          <w:lang w:val="en-US"/>
        </w:rPr>
        <w:lastRenderedPageBreak/>
        <w:t>(5)</w:t>
      </w:r>
      <w:r w:rsidRPr="00B40A77">
        <w:rPr>
          <w:color w:val="000000" w:themeColor="text1"/>
          <w:lang w:val="en-US"/>
        </w:rPr>
        <w:tab/>
        <w:t>Any electronic communication of evidence adduced or a submission made in a proceeding by a bona fide member of the media permitted by subrule</w:t>
      </w:r>
      <w:r w:rsidR="001B1E8A" w:rsidRPr="00B40A77">
        <w:rPr>
          <w:color w:val="000000" w:themeColor="text1"/>
          <w:lang w:val="en-US"/>
        </w:rPr>
        <w:t> </w:t>
      </w:r>
      <w:r w:rsidRPr="00B40A77">
        <w:rPr>
          <w:color w:val="000000" w:themeColor="text1"/>
          <w:lang w:val="en-US"/>
        </w:rPr>
        <w:t>(3)(b) must not be made until at least 15 minutes have elapsed since the later of—</w:t>
      </w:r>
    </w:p>
    <w:p w14:paraId="59FCAD19" w14:textId="77777777" w:rsidR="00493699" w:rsidRPr="00B40A77" w:rsidRDefault="00493699" w:rsidP="00493699">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evidence or submission being given or made; and</w:t>
      </w:r>
    </w:p>
    <w:p w14:paraId="4D89760B" w14:textId="77777777" w:rsidR="00493699" w:rsidRPr="00B40A77" w:rsidRDefault="00493699" w:rsidP="00493699">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Court ruling on any application for suppression or objection made in relation to the evidence or submission within that period of 15 minutes.</w:t>
      </w:r>
    </w:p>
    <w:p w14:paraId="2D82554B" w14:textId="6153C14E" w:rsidR="00493699" w:rsidRPr="00B40A77" w:rsidRDefault="00493699" w:rsidP="00AA301B">
      <w:pPr>
        <w:pStyle w:val="Hangindent"/>
        <w:keepNext/>
        <w:rPr>
          <w:color w:val="000000" w:themeColor="text1"/>
          <w:lang w:val="en-US"/>
        </w:rPr>
      </w:pPr>
      <w:r w:rsidRPr="00B40A77">
        <w:rPr>
          <w:color w:val="000000" w:themeColor="text1"/>
          <w:lang w:val="en-US"/>
        </w:rPr>
        <w:t>(6)</w:t>
      </w:r>
      <w:r w:rsidRPr="00B40A77">
        <w:rPr>
          <w:color w:val="000000" w:themeColor="text1"/>
          <w:lang w:val="en-US"/>
        </w:rPr>
        <w:tab/>
        <w:t xml:space="preserve">In this rule, </w:t>
      </w:r>
      <w:r w:rsidRPr="00B40A77">
        <w:rPr>
          <w:b/>
          <w:i/>
          <w:color w:val="000000" w:themeColor="text1"/>
          <w:lang w:val="en-US"/>
        </w:rPr>
        <w:t>electronic device</w:t>
      </w:r>
      <w:r w:rsidRPr="00B40A77">
        <w:rPr>
          <w:color w:val="000000" w:themeColor="text1"/>
          <w:lang w:val="en-US"/>
        </w:rPr>
        <w:t xml:space="preserve"> means any device capable of transmitting or receiving </w:t>
      </w:r>
      <w:r w:rsidR="005F6468" w:rsidRPr="00B40A77">
        <w:rPr>
          <w:color w:val="000000" w:themeColor="text1"/>
          <w:lang w:val="en-US"/>
        </w:rPr>
        <w:t>i</w:t>
      </w:r>
      <w:r w:rsidRPr="00B40A77">
        <w:rPr>
          <w:color w:val="000000" w:themeColor="text1"/>
          <w:lang w:val="en-US"/>
        </w:rPr>
        <w:t>nformation, audio, video or other matter (including without limitation a cellular phone, computer, personal digital assistant or audio or visual camera).</w:t>
      </w:r>
    </w:p>
    <w:p w14:paraId="1B275CA3" w14:textId="77777777" w:rsidR="000914B9" w:rsidRPr="00B40A77" w:rsidRDefault="000914B9" w:rsidP="004C2422">
      <w:pPr>
        <w:pStyle w:val="NoteHeader"/>
        <w:keepNext/>
        <w:rPr>
          <w:color w:val="000000" w:themeColor="text1"/>
        </w:rPr>
      </w:pPr>
      <w:r w:rsidRPr="00B40A77">
        <w:rPr>
          <w:color w:val="000000" w:themeColor="text1"/>
        </w:rPr>
        <w:t>Note—</w:t>
      </w:r>
    </w:p>
    <w:p w14:paraId="5019A365" w14:textId="1E21FB8D" w:rsidR="000914B9" w:rsidRPr="00B40A77" w:rsidRDefault="000914B9" w:rsidP="000914B9">
      <w:pPr>
        <w:pStyle w:val="NoteText"/>
        <w:rPr>
          <w:color w:val="000000" w:themeColor="text1"/>
          <w:lang w:val="en-US"/>
        </w:rPr>
      </w:pPr>
      <w:r w:rsidRPr="00B40A77">
        <w:rPr>
          <w:color w:val="000000" w:themeColor="text1"/>
        </w:rPr>
        <w:t>This rule does not affect the operation of section</w:t>
      </w:r>
      <w:r w:rsidR="005F6468" w:rsidRPr="00B40A77">
        <w:rPr>
          <w:color w:val="000000" w:themeColor="text1"/>
        </w:rPr>
        <w:t>s</w:t>
      </w:r>
      <w:r w:rsidR="00C42A0C" w:rsidRPr="00B40A77">
        <w:rPr>
          <w:color w:val="000000" w:themeColor="text1"/>
        </w:rPr>
        <w:t> </w:t>
      </w:r>
      <w:r w:rsidRPr="00B40A77">
        <w:rPr>
          <w:color w:val="000000" w:themeColor="text1"/>
        </w:rPr>
        <w:t>69A and</w:t>
      </w:r>
      <w:r w:rsidR="00C42A0C" w:rsidRPr="00B40A77">
        <w:rPr>
          <w:color w:val="000000" w:themeColor="text1"/>
        </w:rPr>
        <w:t> </w:t>
      </w:r>
      <w:r w:rsidRPr="00B40A77">
        <w:rPr>
          <w:color w:val="000000" w:themeColor="text1"/>
        </w:rPr>
        <w:t xml:space="preserve">70 of the </w:t>
      </w:r>
      <w:r w:rsidRPr="00B40A77">
        <w:rPr>
          <w:iCs/>
          <w:color w:val="000000" w:themeColor="text1"/>
        </w:rPr>
        <w:t>Evidence Act</w:t>
      </w:r>
      <w:r w:rsidRPr="00B40A77">
        <w:rPr>
          <w:color w:val="000000" w:themeColor="text1"/>
        </w:rPr>
        <w:t>, which amongst other things forbid the publication of matters the subject of a suppression order.</w:t>
      </w:r>
    </w:p>
    <w:p w14:paraId="7C0EFB27" w14:textId="64529740" w:rsidR="00493699" w:rsidRPr="00B40A77" w:rsidRDefault="00E13B81" w:rsidP="00493699">
      <w:pPr>
        <w:pStyle w:val="Heading4"/>
        <w:rPr>
          <w:color w:val="000000" w:themeColor="text1"/>
        </w:rPr>
      </w:pPr>
      <w:bookmarkStart w:id="331" w:name="_Toc175238884"/>
      <w:r w:rsidRPr="00B40A77">
        <w:rPr>
          <w:color w:val="000000" w:themeColor="text1"/>
        </w:rPr>
        <w:t>38</w:t>
      </w:r>
      <w:r w:rsidR="00656C5E" w:rsidRPr="00B40A77">
        <w:rPr>
          <w:color w:val="000000" w:themeColor="text1"/>
        </w:rPr>
        <w:t>.13</w:t>
      </w:r>
      <w:r w:rsidR="00493699" w:rsidRPr="00B40A77">
        <w:rPr>
          <w:color w:val="000000" w:themeColor="text1"/>
        </w:rPr>
        <w:t>—Attire</w:t>
      </w:r>
      <w:bookmarkEnd w:id="331"/>
    </w:p>
    <w:p w14:paraId="65C6105C" w14:textId="699F8F76" w:rsidR="00493699" w:rsidRPr="00B40A77" w:rsidRDefault="00493699" w:rsidP="0049369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hyperlink w:anchor="_2.1—Definitions" w:history="1">
        <w:r w:rsidRPr="00B40A77">
          <w:rPr>
            <w:rStyle w:val="Hyperlink"/>
            <w:color w:val="000000" w:themeColor="text1"/>
            <w:lang w:val="en-US"/>
          </w:rPr>
          <w:t>Chief Judicial Officer</w:t>
        </w:r>
      </w:hyperlink>
      <w:r w:rsidRPr="00B40A77">
        <w:rPr>
          <w:color w:val="000000" w:themeColor="text1"/>
          <w:lang w:val="en-US"/>
        </w:rPr>
        <w:t xml:space="preserve"> may determine what comprises appropriate attire for lawyers or other persons appearing or attending in the Court.</w:t>
      </w:r>
    </w:p>
    <w:p w14:paraId="7A6E89BC" w14:textId="47A36622" w:rsidR="00493699" w:rsidRPr="00B40A77" w:rsidRDefault="00493699" w:rsidP="00493699">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D71C23" w:rsidRPr="00B40A77">
        <w:rPr>
          <w:color w:val="000000" w:themeColor="text1"/>
          <w:lang w:val="en-US"/>
        </w:rPr>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publish any such determination on the </w:t>
      </w:r>
      <w:hyperlink w:anchor="_2.1—Definitions" w:history="1">
        <w:r w:rsidRPr="00B40A77">
          <w:rPr>
            <w:rStyle w:val="Hyperlink"/>
            <w:color w:val="000000" w:themeColor="text1"/>
            <w:lang w:val="en-US"/>
          </w:rPr>
          <w:t>CAA website</w:t>
        </w:r>
      </w:hyperlink>
      <w:r w:rsidRPr="00B40A77">
        <w:rPr>
          <w:color w:val="000000" w:themeColor="text1"/>
          <w:lang w:val="en-US"/>
        </w:rPr>
        <w:t>.</w:t>
      </w:r>
    </w:p>
    <w:p w14:paraId="7381E94B" w14:textId="2E9E7C89" w:rsidR="006D179D" w:rsidRPr="00B40A77" w:rsidRDefault="00E13B81" w:rsidP="00F418D7">
      <w:pPr>
        <w:pStyle w:val="Heading4"/>
        <w:rPr>
          <w:color w:val="000000" w:themeColor="text1"/>
          <w:lang w:val="en-GB"/>
        </w:rPr>
      </w:pPr>
      <w:bookmarkStart w:id="332" w:name="_Toc60133925"/>
      <w:bookmarkStart w:id="333" w:name="_Toc175238885"/>
      <w:r w:rsidRPr="00B40A77">
        <w:rPr>
          <w:color w:val="000000" w:themeColor="text1"/>
        </w:rPr>
        <w:t>38</w:t>
      </w:r>
      <w:r w:rsidR="00656C5E" w:rsidRPr="00B40A77">
        <w:rPr>
          <w:color w:val="000000" w:themeColor="text1"/>
          <w:lang w:val="en-GB"/>
        </w:rPr>
        <w:t>.14</w:t>
      </w:r>
      <w:r w:rsidR="006D179D" w:rsidRPr="00B40A77">
        <w:rPr>
          <w:color w:val="000000" w:themeColor="text1"/>
          <w:lang w:val="en-GB"/>
        </w:rPr>
        <w:t>—Interpreters in court</w:t>
      </w:r>
      <w:bookmarkEnd w:id="332"/>
      <w:bookmarkEnd w:id="333"/>
    </w:p>
    <w:p w14:paraId="59DFC5D3" w14:textId="7C462966" w:rsidR="006D179D" w:rsidRPr="00B40A77" w:rsidRDefault="006D179D" w:rsidP="006D179D">
      <w:pPr>
        <w:pStyle w:val="Hangindent"/>
        <w:rPr>
          <w:color w:val="000000" w:themeColor="text1"/>
        </w:rPr>
      </w:pPr>
      <w:r w:rsidRPr="00B40A77">
        <w:rPr>
          <w:color w:val="000000" w:themeColor="text1"/>
        </w:rPr>
        <w:t>(1)</w:t>
      </w:r>
      <w:r w:rsidRPr="00B40A77">
        <w:rPr>
          <w:color w:val="000000" w:themeColor="text1"/>
        </w:rPr>
        <w:tab/>
        <w:t xml:space="preserve">Interpreting facilities provided by the Interpreting and Translation Centre branch of the </w:t>
      </w:r>
      <w:r w:rsidR="00A552B4" w:rsidRPr="00B40A77">
        <w:rPr>
          <w:color w:val="000000" w:themeColor="text1"/>
        </w:rPr>
        <w:t>Department of Human Services</w:t>
      </w:r>
      <w:r w:rsidRPr="00B40A77">
        <w:rPr>
          <w:color w:val="000000" w:themeColor="text1"/>
        </w:rPr>
        <w:t xml:space="preserve"> </w:t>
      </w:r>
      <w:r w:rsidR="00D2319D" w:rsidRPr="00B40A77">
        <w:rPr>
          <w:color w:val="000000" w:themeColor="text1"/>
        </w:rPr>
        <w:t xml:space="preserve">or an alternative interpreter service provider </w:t>
      </w:r>
      <w:r w:rsidRPr="00B40A77">
        <w:rPr>
          <w:color w:val="000000" w:themeColor="text1"/>
        </w:rPr>
        <w:t>are for witnesses giving evidence and persons accused of criminal offences.</w:t>
      </w:r>
    </w:p>
    <w:p w14:paraId="78B518EC" w14:textId="77777777" w:rsidR="006D179D" w:rsidRPr="00B40A77" w:rsidRDefault="006D179D" w:rsidP="006D179D">
      <w:pPr>
        <w:pStyle w:val="Hangindent"/>
        <w:rPr>
          <w:color w:val="000000" w:themeColor="text1"/>
        </w:rPr>
      </w:pPr>
      <w:r w:rsidRPr="00B40A77">
        <w:rPr>
          <w:color w:val="000000" w:themeColor="text1"/>
        </w:rPr>
        <w:t>(2)</w:t>
      </w:r>
      <w:r w:rsidRPr="00B40A77">
        <w:rPr>
          <w:color w:val="000000" w:themeColor="text1"/>
        </w:rPr>
        <w:tab/>
        <w:t>The service does not provide interpreters for lawyers taking instructions from clients or for parties to communicate with their lawyers.</w:t>
      </w:r>
    </w:p>
    <w:p w14:paraId="568A1DCE" w14:textId="14937CB1" w:rsidR="006D179D" w:rsidRPr="00B40A77" w:rsidRDefault="00D00AFF" w:rsidP="006D179D">
      <w:pPr>
        <w:pStyle w:val="Heading4"/>
        <w:rPr>
          <w:color w:val="000000" w:themeColor="text1"/>
        </w:rPr>
      </w:pPr>
      <w:bookmarkStart w:id="334" w:name="_Toc175238886"/>
      <w:r w:rsidRPr="00B40A77">
        <w:rPr>
          <w:color w:val="000000" w:themeColor="text1"/>
        </w:rPr>
        <w:t>38</w:t>
      </w:r>
      <w:r w:rsidR="00656C5E" w:rsidRPr="00B40A77">
        <w:rPr>
          <w:color w:val="000000" w:themeColor="text1"/>
        </w:rPr>
        <w:t>.15</w:t>
      </w:r>
      <w:r w:rsidR="006D179D" w:rsidRPr="00B40A77">
        <w:rPr>
          <w:color w:val="000000" w:themeColor="text1"/>
        </w:rPr>
        <w:t>—Facilities in court</w:t>
      </w:r>
      <w:bookmarkEnd w:id="334"/>
    </w:p>
    <w:p w14:paraId="0BA63C49" w14:textId="6291F7A6" w:rsidR="006D179D" w:rsidRPr="00B40A77" w:rsidRDefault="006D179D" w:rsidP="00174664">
      <w:pPr>
        <w:pStyle w:val="IndentedPara"/>
        <w:keepNext/>
        <w:rPr>
          <w:color w:val="000000" w:themeColor="text1"/>
        </w:rPr>
      </w:pPr>
      <w:r w:rsidRPr="00B40A77">
        <w:rPr>
          <w:color w:val="000000" w:themeColor="text1"/>
        </w:rPr>
        <w:t xml:space="preserve">If a party or lawyer </w:t>
      </w:r>
      <w:r w:rsidR="005F6468" w:rsidRPr="00B40A77">
        <w:rPr>
          <w:color w:val="000000" w:themeColor="text1"/>
        </w:rPr>
        <w:t xml:space="preserve">or other representative </w:t>
      </w:r>
      <w:r w:rsidRPr="00B40A77">
        <w:rPr>
          <w:color w:val="000000" w:themeColor="text1"/>
        </w:rPr>
        <w:t xml:space="preserve">will require any special facilities for an appearance or attendance at a </w:t>
      </w:r>
      <w:hyperlink w:anchor="_37.1—Application_of_Part" w:history="1">
        <w:r w:rsidR="002F6FDA" w:rsidRPr="00B40A77">
          <w:rPr>
            <w:rStyle w:val="Hyperlink"/>
            <w:color w:val="000000" w:themeColor="text1"/>
          </w:rPr>
          <w:t>hearing</w:t>
        </w:r>
      </w:hyperlink>
      <w:r w:rsidRPr="00B40A77">
        <w:rPr>
          <w:color w:val="000000" w:themeColor="text1"/>
        </w:rPr>
        <w:t>, they must notify the Registry in sufficient time for the facilities (if available) to be arranged.</w:t>
      </w:r>
    </w:p>
    <w:p w14:paraId="036364D6" w14:textId="77777777" w:rsidR="006D179D" w:rsidRPr="00B40A77" w:rsidRDefault="006D179D" w:rsidP="004C2422">
      <w:pPr>
        <w:pStyle w:val="NoteHeader"/>
        <w:keepNext/>
        <w:ind w:left="567"/>
        <w:rPr>
          <w:color w:val="000000" w:themeColor="text1"/>
        </w:rPr>
      </w:pPr>
      <w:r w:rsidRPr="00B40A77">
        <w:rPr>
          <w:color w:val="000000" w:themeColor="text1"/>
        </w:rPr>
        <w:t>Examples—</w:t>
      </w:r>
    </w:p>
    <w:p w14:paraId="17200E95" w14:textId="02CEB8D1" w:rsidR="006D179D" w:rsidRPr="00B40A77" w:rsidRDefault="006D179D" w:rsidP="00C9577F">
      <w:pPr>
        <w:pStyle w:val="NoteText"/>
        <w:ind w:left="851"/>
        <w:rPr>
          <w:color w:val="000000" w:themeColor="text1"/>
        </w:rPr>
      </w:pPr>
      <w:r w:rsidRPr="00B40A77">
        <w:rPr>
          <w:color w:val="000000" w:themeColor="text1"/>
        </w:rPr>
        <w:t xml:space="preserve">Examples of special facilities are the need for an interpreter, an </w:t>
      </w:r>
      <w:hyperlink w:anchor="_2.1—Definitions" w:history="1">
        <w:r w:rsidR="00D14EAE" w:rsidRPr="00B40A77">
          <w:rPr>
            <w:rStyle w:val="Hyperlink"/>
            <w:color w:val="000000" w:themeColor="text1"/>
            <w:lang w:val="en-US"/>
          </w:rPr>
          <w:t>audio visual link</w:t>
        </w:r>
      </w:hyperlink>
      <w:r w:rsidR="00D14EAE" w:rsidRPr="00B40A77">
        <w:rPr>
          <w:rStyle w:val="Hyperlink"/>
          <w:color w:val="000000" w:themeColor="text1"/>
          <w:u w:val="none"/>
          <w:lang w:val="en-US"/>
        </w:rPr>
        <w:t xml:space="preserve"> </w:t>
      </w:r>
      <w:r w:rsidR="00176DEB" w:rsidRPr="00B40A77">
        <w:rPr>
          <w:color w:val="000000" w:themeColor="text1"/>
        </w:rPr>
        <w:t xml:space="preserve">or </w:t>
      </w:r>
      <w:hyperlink w:anchor="_2.1—Definitions" w:history="1">
        <w:r w:rsidR="00D14EAE" w:rsidRPr="00B40A77">
          <w:rPr>
            <w:rStyle w:val="Hyperlink"/>
            <w:color w:val="000000" w:themeColor="text1"/>
          </w:rPr>
          <w:t>audio link</w:t>
        </w:r>
      </w:hyperlink>
      <w:r w:rsidRPr="00B40A77">
        <w:rPr>
          <w:color w:val="000000" w:themeColor="text1"/>
        </w:rPr>
        <w:t>, equipment to play an audio visual recording, hearing enhancement facilities or wheelchair access.</w:t>
      </w:r>
    </w:p>
    <w:p w14:paraId="2451F2E7" w14:textId="33FA6937" w:rsidR="009B1F15" w:rsidRPr="00B40A77" w:rsidRDefault="00D00AFF" w:rsidP="00F418D7">
      <w:pPr>
        <w:pStyle w:val="Heading4"/>
        <w:rPr>
          <w:color w:val="000000" w:themeColor="text1"/>
          <w:lang w:val="en-GB"/>
        </w:rPr>
      </w:pPr>
      <w:bookmarkStart w:id="335" w:name="_Toc60133927"/>
      <w:bookmarkStart w:id="336" w:name="_Toc175238887"/>
      <w:r w:rsidRPr="00B40A77">
        <w:rPr>
          <w:color w:val="000000" w:themeColor="text1"/>
        </w:rPr>
        <w:t>38</w:t>
      </w:r>
      <w:r w:rsidR="00656C5E" w:rsidRPr="00B40A77">
        <w:rPr>
          <w:color w:val="000000" w:themeColor="text1"/>
          <w:lang w:val="en-GB"/>
        </w:rPr>
        <w:t>.16</w:t>
      </w:r>
      <w:r w:rsidR="009B1F15" w:rsidRPr="00B40A77">
        <w:rPr>
          <w:color w:val="000000" w:themeColor="text1"/>
          <w:lang w:val="en-GB"/>
        </w:rPr>
        <w:t xml:space="preserve">—Information for </w:t>
      </w:r>
      <w:r w:rsidR="00EC0381" w:rsidRPr="00B40A77">
        <w:rPr>
          <w:color w:val="000000" w:themeColor="text1"/>
          <w:lang w:val="en-GB"/>
        </w:rPr>
        <w:t xml:space="preserve">court </w:t>
      </w:r>
      <w:r w:rsidR="009B1F15" w:rsidRPr="00B40A77">
        <w:rPr>
          <w:color w:val="000000" w:themeColor="text1"/>
          <w:lang w:val="en-GB"/>
        </w:rPr>
        <w:t>reporters</w:t>
      </w:r>
      <w:bookmarkEnd w:id="335"/>
      <w:bookmarkEnd w:id="336"/>
    </w:p>
    <w:p w14:paraId="1E03EA4D" w14:textId="2B6E6A0A" w:rsidR="00080A5D" w:rsidRPr="00B40A77" w:rsidRDefault="009B1F15" w:rsidP="00FE1AAA">
      <w:pPr>
        <w:pStyle w:val="Hangindent"/>
        <w:keepNext/>
        <w:keepLines/>
        <w:rPr>
          <w:color w:val="000000" w:themeColor="text1"/>
          <w:lang w:val="en-US"/>
        </w:rPr>
      </w:pPr>
      <w:r w:rsidRPr="00B40A77">
        <w:rPr>
          <w:color w:val="000000" w:themeColor="text1"/>
        </w:rPr>
        <w:t>(1)</w:t>
      </w:r>
      <w:r w:rsidRPr="00B40A77">
        <w:rPr>
          <w:color w:val="000000" w:themeColor="text1"/>
        </w:rPr>
        <w:tab/>
      </w:r>
      <w:r w:rsidR="001C0A7A" w:rsidRPr="00B40A77">
        <w:rPr>
          <w:color w:val="000000" w:themeColor="text1"/>
        </w:rPr>
        <w:t xml:space="preserve">To ensure that </w:t>
      </w:r>
      <w:r w:rsidR="00FD5E9E" w:rsidRPr="00B40A77">
        <w:rPr>
          <w:color w:val="000000" w:themeColor="text1"/>
        </w:rPr>
        <w:t xml:space="preserve">the court’s </w:t>
      </w:r>
      <w:r w:rsidR="001C0A7A" w:rsidRPr="00B40A77">
        <w:rPr>
          <w:color w:val="000000" w:themeColor="text1"/>
        </w:rPr>
        <w:t xml:space="preserve">reporters have the correct details for any authority cited during a </w:t>
      </w:r>
      <w:hyperlink w:anchor="_37.1—Application_of_Part" w:history="1">
        <w:r w:rsidR="002F6FDA" w:rsidRPr="00B40A77">
          <w:rPr>
            <w:rStyle w:val="Hyperlink"/>
            <w:color w:val="000000" w:themeColor="text1"/>
            <w:lang w:val="en-US"/>
          </w:rPr>
          <w:t>hearing</w:t>
        </w:r>
      </w:hyperlink>
      <w:r w:rsidR="001C0A7A" w:rsidRPr="00B40A77">
        <w:rPr>
          <w:color w:val="000000" w:themeColor="text1"/>
        </w:rPr>
        <w:t xml:space="preserve">, a represented party or an unrepresented party must, before commencement of the </w:t>
      </w:r>
      <w:hyperlink w:anchor="_37.1—Application_of_Part" w:history="1">
        <w:r w:rsidR="002F6FDA" w:rsidRPr="00B40A77">
          <w:rPr>
            <w:rStyle w:val="Hyperlink"/>
            <w:color w:val="000000" w:themeColor="text1"/>
            <w:lang w:val="en-US"/>
          </w:rPr>
          <w:t>hearing</w:t>
        </w:r>
      </w:hyperlink>
      <w:r w:rsidR="001C0A7A" w:rsidRPr="00B40A77">
        <w:rPr>
          <w:color w:val="000000" w:themeColor="text1"/>
        </w:rPr>
        <w:t>, give a copy of any list of authorities or, if there is no list of authorities, a summary of argument or written submissions to</w:t>
      </w:r>
      <w:r w:rsidR="00FE1AAA" w:rsidRPr="00B40A77">
        <w:rPr>
          <w:color w:val="000000" w:themeColor="text1"/>
          <w:lang w:val="en-US"/>
        </w:rPr>
        <w:t xml:space="preserve"> </w:t>
      </w:r>
      <w:r w:rsidR="001C0A7A" w:rsidRPr="00B40A77">
        <w:rPr>
          <w:color w:val="000000" w:themeColor="text1"/>
          <w:lang w:val="en-US"/>
        </w:rPr>
        <w:t xml:space="preserve">a </w:t>
      </w:r>
      <w:hyperlink w:anchor="_2.1—Definitions" w:history="1">
        <w:r w:rsidR="00C737E1" w:rsidRPr="00B40A77">
          <w:rPr>
            <w:rStyle w:val="Hyperlink"/>
            <w:color w:val="000000" w:themeColor="text1"/>
            <w:lang w:val="en-US"/>
          </w:rPr>
          <w:t>court officer</w:t>
        </w:r>
      </w:hyperlink>
      <w:r w:rsidR="001C0A7A" w:rsidRPr="00B40A77">
        <w:rPr>
          <w:color w:val="000000" w:themeColor="text1"/>
          <w:lang w:val="en-US"/>
        </w:rPr>
        <w:t xml:space="preserve"> present </w:t>
      </w:r>
      <w:r w:rsidR="00307014" w:rsidRPr="00B40A77">
        <w:rPr>
          <w:color w:val="000000" w:themeColor="text1"/>
          <w:lang w:val="en-US"/>
        </w:rPr>
        <w:t>in court</w:t>
      </w:r>
      <w:r w:rsidR="001C0A7A" w:rsidRPr="00B40A77">
        <w:rPr>
          <w:color w:val="000000" w:themeColor="text1"/>
          <w:lang w:val="en-US"/>
        </w:rPr>
        <w:t>.</w:t>
      </w:r>
    </w:p>
    <w:p w14:paraId="14F9F05B" w14:textId="45E6C3B8" w:rsidR="009B1F15" w:rsidRPr="00B40A77" w:rsidRDefault="009B1F15" w:rsidP="009B1F15">
      <w:pPr>
        <w:pStyle w:val="Hangindent"/>
        <w:rPr>
          <w:color w:val="000000" w:themeColor="text1"/>
        </w:rPr>
      </w:pPr>
      <w:r w:rsidRPr="00B40A77">
        <w:rPr>
          <w:color w:val="000000" w:themeColor="text1"/>
        </w:rPr>
        <w:t>(</w:t>
      </w:r>
      <w:r w:rsidR="00474302" w:rsidRPr="00B40A77">
        <w:rPr>
          <w:color w:val="000000" w:themeColor="text1"/>
        </w:rPr>
        <w:t>2</w:t>
      </w:r>
      <w:r w:rsidRPr="00B40A77">
        <w:rPr>
          <w:color w:val="000000" w:themeColor="text1"/>
        </w:rPr>
        <w:t>)</w:t>
      </w:r>
      <w:r w:rsidRPr="00B40A77">
        <w:rPr>
          <w:color w:val="000000" w:themeColor="text1"/>
        </w:rPr>
        <w:tab/>
      </w:r>
      <w:r w:rsidR="001C0A7A" w:rsidRPr="00B40A77">
        <w:rPr>
          <w:color w:val="000000" w:themeColor="text1"/>
        </w:rPr>
        <w:t xml:space="preserve">A represented party or unrepresented party must, before a witness is called, </w:t>
      </w:r>
      <w:r w:rsidRPr="00B40A77">
        <w:rPr>
          <w:color w:val="000000" w:themeColor="text1"/>
        </w:rPr>
        <w:t xml:space="preserve">give the name of the witness to </w:t>
      </w:r>
      <w:r w:rsidR="00FE1AAA" w:rsidRPr="00B40A77">
        <w:rPr>
          <w:color w:val="000000" w:themeColor="text1"/>
          <w:lang w:val="en-US"/>
        </w:rPr>
        <w:t xml:space="preserve">a </w:t>
      </w:r>
      <w:hyperlink w:anchor="_2.1—Definitions" w:history="1">
        <w:r w:rsidR="00C737E1" w:rsidRPr="00B40A77">
          <w:rPr>
            <w:rStyle w:val="Hyperlink"/>
            <w:color w:val="000000" w:themeColor="text1"/>
            <w:lang w:val="en-US"/>
          </w:rPr>
          <w:t>court officer</w:t>
        </w:r>
      </w:hyperlink>
      <w:r w:rsidR="00FE1AAA" w:rsidRPr="00B40A77">
        <w:rPr>
          <w:color w:val="000000" w:themeColor="text1"/>
          <w:lang w:val="en-US"/>
        </w:rPr>
        <w:t xml:space="preserve"> present </w:t>
      </w:r>
      <w:r w:rsidR="00307014" w:rsidRPr="00B40A77">
        <w:rPr>
          <w:color w:val="000000" w:themeColor="text1"/>
          <w:lang w:val="en-US"/>
        </w:rPr>
        <w:t>in court</w:t>
      </w:r>
      <w:r w:rsidRPr="00B40A77">
        <w:rPr>
          <w:color w:val="000000" w:themeColor="text1"/>
        </w:rPr>
        <w:t>.</w:t>
      </w:r>
    </w:p>
    <w:p w14:paraId="28F7DC8E" w14:textId="2447D2E9" w:rsidR="00080A5D" w:rsidRPr="00B40A77" w:rsidRDefault="00080A5D" w:rsidP="00F06A60">
      <w:pPr>
        <w:pStyle w:val="Hangindent"/>
        <w:keepNext/>
        <w:rPr>
          <w:rFonts w:cs="Times New Roman"/>
          <w:color w:val="000000" w:themeColor="text1"/>
        </w:rPr>
      </w:pPr>
      <w:r w:rsidRPr="00B40A77">
        <w:rPr>
          <w:color w:val="000000" w:themeColor="text1"/>
        </w:rPr>
        <w:t>(</w:t>
      </w:r>
      <w:r w:rsidR="00474302" w:rsidRPr="00B40A77">
        <w:rPr>
          <w:color w:val="000000" w:themeColor="text1"/>
        </w:rPr>
        <w:t>3</w:t>
      </w:r>
      <w:r w:rsidRPr="00B40A77">
        <w:rPr>
          <w:color w:val="000000" w:themeColor="text1"/>
        </w:rPr>
        <w:t>)</w:t>
      </w:r>
      <w:r w:rsidRPr="00B40A77">
        <w:rPr>
          <w:color w:val="000000" w:themeColor="text1"/>
        </w:rPr>
        <w:tab/>
      </w:r>
      <w:r w:rsidR="001958FA" w:rsidRPr="00B40A77">
        <w:rPr>
          <w:color w:val="000000" w:themeColor="text1"/>
        </w:rPr>
        <w:t>In this rule</w:t>
      </w:r>
      <w:r w:rsidR="001958FA" w:rsidRPr="00B40A77">
        <w:rPr>
          <w:rFonts w:cs="Times New Roman"/>
          <w:color w:val="000000" w:themeColor="text1"/>
        </w:rPr>
        <w:t>—</w:t>
      </w:r>
    </w:p>
    <w:p w14:paraId="64F5F4F8" w14:textId="77777777" w:rsidR="001958FA" w:rsidRPr="00B40A77" w:rsidRDefault="001958FA" w:rsidP="001958FA">
      <w:pPr>
        <w:pStyle w:val="Hangindent"/>
        <w:ind w:left="720" w:firstLine="414"/>
        <w:rPr>
          <w:color w:val="000000" w:themeColor="text1"/>
        </w:rPr>
      </w:pPr>
      <w:r w:rsidRPr="00B40A77">
        <w:rPr>
          <w:b/>
          <w:bCs/>
          <w:i/>
          <w:iCs/>
          <w:color w:val="000000" w:themeColor="text1"/>
        </w:rPr>
        <w:t>represented party</w:t>
      </w:r>
      <w:r w:rsidRPr="00B40A77">
        <w:rPr>
          <w:color w:val="000000" w:themeColor="text1"/>
        </w:rPr>
        <w:t xml:space="preserve"> means a lawyer or other person appearing for a party;</w:t>
      </w:r>
    </w:p>
    <w:p w14:paraId="0A8FDAC8" w14:textId="4CFDFC3C" w:rsidR="001958FA" w:rsidRDefault="001958FA" w:rsidP="001958FA">
      <w:pPr>
        <w:pStyle w:val="Hangindent"/>
        <w:ind w:left="567" w:firstLine="567"/>
        <w:rPr>
          <w:color w:val="000000" w:themeColor="text1"/>
        </w:rPr>
      </w:pPr>
      <w:r w:rsidRPr="00B40A77">
        <w:rPr>
          <w:b/>
          <w:bCs/>
          <w:i/>
          <w:iCs/>
          <w:color w:val="000000" w:themeColor="text1"/>
        </w:rPr>
        <w:t xml:space="preserve">unrepresented party </w:t>
      </w:r>
      <w:r w:rsidRPr="00B40A77">
        <w:rPr>
          <w:color w:val="000000" w:themeColor="text1"/>
        </w:rPr>
        <w:t>means a party that is not represented.</w:t>
      </w:r>
    </w:p>
    <w:p w14:paraId="21CBE1FB" w14:textId="238E6ED3" w:rsidR="00F57AAF" w:rsidRPr="00F57AAF" w:rsidRDefault="00F57AAF" w:rsidP="00F57AAF">
      <w:pPr>
        <w:pStyle w:val="Heading4"/>
        <w:rPr>
          <w:color w:val="000000" w:themeColor="text1"/>
        </w:rPr>
      </w:pPr>
      <w:bookmarkStart w:id="337" w:name="_Toc175238888"/>
      <w:r w:rsidRPr="00F57AAF">
        <w:rPr>
          <w:color w:val="000000" w:themeColor="text1"/>
        </w:rPr>
        <w:lastRenderedPageBreak/>
        <w:t>38.17— Requirement to produce hard copies</w:t>
      </w:r>
      <w:bookmarkEnd w:id="337"/>
    </w:p>
    <w:p w14:paraId="25A90D10" w14:textId="384DC3CF" w:rsidR="00F57AAF" w:rsidRPr="00A94192" w:rsidRDefault="00F57AAF" w:rsidP="00F57AAF">
      <w:pPr>
        <w:ind w:left="567"/>
        <w:jc w:val="both"/>
        <w:rPr>
          <w:rFonts w:eastAsia="Calibri" w:cs="Times New Roman"/>
          <w:color w:val="000000"/>
          <w:szCs w:val="23"/>
          <w:lang w:val="en-US"/>
        </w:rPr>
      </w:pPr>
      <w:r>
        <w:rPr>
          <w:rFonts w:eastAsia="Calibri" w:cs="Times New Roman"/>
          <w:color w:val="000000"/>
          <w:szCs w:val="23"/>
          <w:lang w:val="en-US"/>
        </w:rPr>
        <w:t>If a party intends to put to a witness or tender in evidence a document at trial or a hearing, the party must provide to the Court two hard copies of that document at or before the time of putting or tender.</w:t>
      </w:r>
    </w:p>
    <w:p w14:paraId="7318AC0E" w14:textId="6516E50E" w:rsidR="00EC0CDA" w:rsidRPr="00B40A77" w:rsidRDefault="00363405" w:rsidP="00660432">
      <w:pPr>
        <w:pStyle w:val="Heading3"/>
        <w:rPr>
          <w:color w:val="000000" w:themeColor="text1"/>
        </w:rPr>
      </w:pPr>
      <w:bookmarkStart w:id="338" w:name="_Division_3—Applications"/>
      <w:bookmarkStart w:id="339" w:name="_Toc175238889"/>
      <w:bookmarkEnd w:id="338"/>
      <w:r w:rsidRPr="00B40A77">
        <w:rPr>
          <w:color w:val="000000" w:themeColor="text1"/>
        </w:rPr>
        <w:t>Division 3</w:t>
      </w:r>
      <w:r w:rsidR="00660432" w:rsidRPr="00B40A77">
        <w:rPr>
          <w:color w:val="000000" w:themeColor="text1"/>
        </w:rPr>
        <w:t>—</w:t>
      </w:r>
      <w:r w:rsidR="00EC0CDA" w:rsidRPr="00B40A77">
        <w:rPr>
          <w:color w:val="000000" w:themeColor="text1"/>
        </w:rPr>
        <w:t>Applications</w:t>
      </w:r>
      <w:bookmarkEnd w:id="339"/>
    </w:p>
    <w:p w14:paraId="148D8029" w14:textId="7CCF55AF" w:rsidR="00EC0CDA" w:rsidRPr="00B40A77" w:rsidRDefault="00C82171" w:rsidP="0032085F">
      <w:pPr>
        <w:pStyle w:val="Heading4"/>
        <w:rPr>
          <w:color w:val="000000" w:themeColor="text1"/>
        </w:rPr>
      </w:pPr>
      <w:bookmarkStart w:id="340" w:name="_39.1—Written_application"/>
      <w:bookmarkStart w:id="341" w:name="_Toc175238890"/>
      <w:bookmarkEnd w:id="340"/>
      <w:r w:rsidRPr="00B40A77">
        <w:rPr>
          <w:color w:val="000000" w:themeColor="text1"/>
        </w:rPr>
        <w:t>3</w:t>
      </w:r>
      <w:r w:rsidR="00D00AFF" w:rsidRPr="00B40A77">
        <w:rPr>
          <w:color w:val="000000" w:themeColor="text1"/>
        </w:rPr>
        <w:t>9</w:t>
      </w:r>
      <w:r w:rsidR="00EC0CDA" w:rsidRPr="00B40A77">
        <w:rPr>
          <w:color w:val="000000" w:themeColor="text1"/>
        </w:rPr>
        <w:t>.1—Written application</w:t>
      </w:r>
      <w:bookmarkEnd w:id="341"/>
    </w:p>
    <w:p w14:paraId="137A6E1A" w14:textId="6ED4D102" w:rsidR="00EC0CDA" w:rsidRPr="00B40A77" w:rsidRDefault="00EC0CDA" w:rsidP="00EC0CDA">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the following applications must be made by an </w:t>
      </w:r>
      <w:r w:rsidR="00FA4048" w:rsidRPr="00B40A77">
        <w:rPr>
          <w:color w:val="000000" w:themeColor="text1"/>
          <w:lang w:val="en-US"/>
        </w:rPr>
        <w:t xml:space="preserve">interlocutory </w:t>
      </w:r>
      <w:r w:rsidRPr="00B40A77">
        <w:rPr>
          <w:color w:val="000000" w:themeColor="text1"/>
          <w:lang w:val="en-US"/>
        </w:rPr>
        <w:t>application in the prescribed form—</w:t>
      </w:r>
    </w:p>
    <w:p w14:paraId="5ADEA0AE" w14:textId="40EF4BA0" w:rsidR="00EC0CDA" w:rsidRPr="00B40A77" w:rsidRDefault="00EC0CDA" w:rsidP="00EC0CD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w:t>
      </w:r>
      <w:hyperlink w:anchor="_2.1—Definitions" w:history="1">
        <w:r w:rsidRPr="00B40A77">
          <w:rPr>
            <w:rStyle w:val="Hyperlink"/>
            <w:color w:val="000000" w:themeColor="text1"/>
            <w:lang w:val="en-US"/>
          </w:rPr>
          <w:t>bail application</w:t>
        </w:r>
      </w:hyperlink>
      <w:r w:rsidR="005C7E12" w:rsidRPr="00B40A77">
        <w:rPr>
          <w:color w:val="000000" w:themeColor="text1"/>
          <w:u w:val="single"/>
          <w:lang w:val="en-US"/>
        </w:rPr>
        <w:t xml:space="preserve"> </w:t>
      </w:r>
      <w:r w:rsidR="005C7E12" w:rsidRPr="00B40A77">
        <w:rPr>
          <w:color w:val="000000" w:themeColor="text1"/>
          <w:lang w:val="en-US"/>
        </w:rPr>
        <w:t>under section</w:t>
      </w:r>
      <w:r w:rsidR="00197420" w:rsidRPr="00B40A77">
        <w:rPr>
          <w:color w:val="000000" w:themeColor="text1"/>
          <w:lang w:val="en-US"/>
        </w:rPr>
        <w:t>s</w:t>
      </w:r>
      <w:r w:rsidR="005C7E12" w:rsidRPr="00B40A77">
        <w:rPr>
          <w:color w:val="000000" w:themeColor="text1"/>
          <w:lang w:val="en-US"/>
        </w:rPr>
        <w:t xml:space="preserve"> 3A(1)</w:t>
      </w:r>
      <w:r w:rsidR="00E56253" w:rsidRPr="00B40A77">
        <w:rPr>
          <w:color w:val="000000" w:themeColor="text1"/>
          <w:lang w:val="en-US"/>
        </w:rPr>
        <w:t xml:space="preserve">, </w:t>
      </w:r>
      <w:r w:rsidR="00FA4048" w:rsidRPr="00B40A77">
        <w:rPr>
          <w:color w:val="000000" w:themeColor="text1"/>
          <w:lang w:val="en-US"/>
        </w:rPr>
        <w:t>6(4)(a)</w:t>
      </w:r>
      <w:r w:rsidR="006D44BC" w:rsidRPr="00B40A77">
        <w:rPr>
          <w:color w:val="000000" w:themeColor="text1"/>
          <w:lang w:val="en-US"/>
        </w:rPr>
        <w:t xml:space="preserve"> or </w:t>
      </w:r>
      <w:r w:rsidR="005C7E12" w:rsidRPr="00B40A77">
        <w:rPr>
          <w:color w:val="000000" w:themeColor="text1"/>
          <w:lang w:val="en-US"/>
        </w:rPr>
        <w:t>19A</w:t>
      </w:r>
      <w:r w:rsidR="00197420" w:rsidRPr="00B40A77">
        <w:rPr>
          <w:color w:val="000000" w:themeColor="text1"/>
          <w:lang w:val="en-US"/>
        </w:rPr>
        <w:t xml:space="preserve"> of the Bail Act</w:t>
      </w:r>
      <w:r w:rsidR="006D44BC" w:rsidRPr="00B40A77">
        <w:rPr>
          <w:color w:val="000000" w:themeColor="text1"/>
          <w:lang w:val="en-US"/>
        </w:rPr>
        <w:t>,</w:t>
      </w:r>
      <w:r w:rsidR="005C7E12" w:rsidRPr="00B40A77">
        <w:rPr>
          <w:color w:val="000000" w:themeColor="text1"/>
          <w:lang w:val="en-US"/>
        </w:rPr>
        <w:t xml:space="preserve"> </w:t>
      </w:r>
      <w:r w:rsidR="00C25F0A" w:rsidRPr="00B40A77">
        <w:rPr>
          <w:color w:val="000000" w:themeColor="text1"/>
          <w:lang w:val="en-US"/>
        </w:rPr>
        <w:t>or governed by section</w:t>
      </w:r>
      <w:r w:rsidR="00197420" w:rsidRPr="00B40A77">
        <w:rPr>
          <w:color w:val="000000" w:themeColor="text1"/>
          <w:lang w:val="en-US"/>
        </w:rPr>
        <w:t> </w:t>
      </w:r>
      <w:r w:rsidR="00C25F0A" w:rsidRPr="00B40A77">
        <w:rPr>
          <w:color w:val="000000" w:themeColor="text1"/>
          <w:lang w:val="en-US"/>
        </w:rPr>
        <w:t>10A of the Bail Act</w:t>
      </w:r>
      <w:r w:rsidRPr="00B40A77">
        <w:rPr>
          <w:color w:val="000000" w:themeColor="text1"/>
          <w:lang w:val="en-US"/>
        </w:rPr>
        <w:t>;</w:t>
      </w:r>
    </w:p>
    <w:p w14:paraId="535B0842" w14:textId="35AB424E" w:rsidR="00EC0CDA" w:rsidRPr="00B40A77" w:rsidRDefault="00EC0CDA" w:rsidP="00EC0CDA">
      <w:pPr>
        <w:pStyle w:val="Doublehangindent"/>
        <w:rPr>
          <w:color w:val="000000" w:themeColor="text1"/>
          <w:lang w:val="en-US"/>
        </w:rPr>
      </w:pPr>
      <w:r w:rsidRPr="00B40A77">
        <w:rPr>
          <w:color w:val="000000" w:themeColor="text1"/>
          <w:lang w:val="en-US"/>
        </w:rPr>
        <w:t>(b)</w:t>
      </w:r>
      <w:r w:rsidRPr="00B40A77">
        <w:rPr>
          <w:color w:val="000000" w:themeColor="text1"/>
          <w:lang w:val="en-US"/>
        </w:rPr>
        <w:tab/>
        <w:t>an application to quash or stay a proceeding on the ground of abuse of process or otherwise;</w:t>
      </w:r>
    </w:p>
    <w:p w14:paraId="6658A643" w14:textId="7BC4CFFF" w:rsidR="00EC0CDA" w:rsidRPr="00B40A77" w:rsidRDefault="00EC0CDA" w:rsidP="00EC0CDA">
      <w:pPr>
        <w:pStyle w:val="Doublehangindent"/>
        <w:rPr>
          <w:color w:val="000000" w:themeColor="text1"/>
          <w:lang w:val="en-US"/>
        </w:rPr>
      </w:pPr>
      <w:r w:rsidRPr="00B40A77">
        <w:rPr>
          <w:color w:val="000000" w:themeColor="text1"/>
          <w:lang w:val="en-US"/>
        </w:rPr>
        <w:t>(</w:t>
      </w:r>
      <w:r w:rsidR="00C8425C" w:rsidRPr="00B40A77">
        <w:rPr>
          <w:color w:val="000000" w:themeColor="text1"/>
          <w:lang w:val="en-US"/>
        </w:rPr>
        <w:t>c</w:t>
      </w:r>
      <w:r w:rsidRPr="00B40A77">
        <w:rPr>
          <w:color w:val="000000" w:themeColor="text1"/>
          <w:lang w:val="en-US"/>
        </w:rPr>
        <w:t>)</w:t>
      </w:r>
      <w:r w:rsidRPr="00B40A77">
        <w:rPr>
          <w:color w:val="000000" w:themeColor="text1"/>
          <w:lang w:val="en-US"/>
        </w:rPr>
        <w:tab/>
        <w:t xml:space="preserve">an application for separate trials of different counts or different defendants </w:t>
      </w:r>
      <w:r w:rsidR="00C8425C" w:rsidRPr="00B40A77">
        <w:rPr>
          <w:color w:val="000000" w:themeColor="text1"/>
          <w:lang w:val="en-US"/>
        </w:rPr>
        <w:t xml:space="preserve">or youths </w:t>
      </w:r>
      <w:r w:rsidRPr="00B40A77">
        <w:rPr>
          <w:color w:val="000000" w:themeColor="text1"/>
          <w:lang w:val="en-US"/>
        </w:rPr>
        <w:t>charged in the same Information;</w:t>
      </w:r>
    </w:p>
    <w:p w14:paraId="71EF53D2" w14:textId="79CE1921" w:rsidR="00EC0CDA" w:rsidRPr="00B40A77" w:rsidRDefault="00EC0CDA"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d</w:t>
      </w:r>
      <w:r w:rsidRPr="00B40A77">
        <w:rPr>
          <w:color w:val="000000" w:themeColor="text1"/>
          <w:lang w:val="en-US"/>
        </w:rPr>
        <w:t>)</w:t>
      </w:r>
      <w:r w:rsidRPr="00B40A77">
        <w:rPr>
          <w:color w:val="000000" w:themeColor="text1"/>
          <w:lang w:val="en-US"/>
        </w:rPr>
        <w:tab/>
        <w:t>a</w:t>
      </w:r>
      <w:r w:rsidR="00CA3A1C" w:rsidRPr="00B40A77">
        <w:rPr>
          <w:color w:val="000000" w:themeColor="text1"/>
          <w:lang w:val="en-US"/>
        </w:rPr>
        <w:t xml:space="preserve">n application seeking a ruling before trial relating to the admissibility of evidence (including </w:t>
      </w:r>
      <w:r w:rsidRPr="00B40A77">
        <w:rPr>
          <w:color w:val="000000" w:themeColor="text1"/>
          <w:lang w:val="en-US"/>
        </w:rPr>
        <w:t>the admission of evidence of an interview, admission or search</w:t>
      </w:r>
      <w:r w:rsidR="00CA3A1C" w:rsidRPr="00B40A77">
        <w:rPr>
          <w:color w:val="000000" w:themeColor="text1"/>
          <w:lang w:val="en-US"/>
        </w:rPr>
        <w:t>) or any other question of law affecting the conduct of the trial</w:t>
      </w:r>
      <w:r w:rsidRPr="00B40A77">
        <w:rPr>
          <w:color w:val="000000" w:themeColor="text1"/>
          <w:lang w:val="en-US"/>
        </w:rPr>
        <w:t>;</w:t>
      </w:r>
    </w:p>
    <w:p w14:paraId="056F8652" w14:textId="0A61BCB1"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e</w:t>
      </w:r>
      <w:r w:rsidR="00EC0CDA" w:rsidRPr="00B40A77">
        <w:rPr>
          <w:color w:val="000000" w:themeColor="text1"/>
          <w:lang w:val="en-US"/>
        </w:rPr>
        <w:t>)</w:t>
      </w:r>
      <w:r w:rsidR="00EC0CDA" w:rsidRPr="00B40A77">
        <w:rPr>
          <w:color w:val="000000" w:themeColor="text1"/>
          <w:lang w:val="en-US"/>
        </w:rPr>
        <w:tab/>
        <w:t xml:space="preserve">an application for a </w:t>
      </w:r>
      <w:hyperlink w:anchor="_2.1—Definitions" w:history="1">
        <w:r w:rsidR="00EC0CDA" w:rsidRPr="00B40A77">
          <w:rPr>
            <w:rStyle w:val="Hyperlink"/>
            <w:color w:val="000000" w:themeColor="text1"/>
            <w:lang w:val="en-US"/>
          </w:rPr>
          <w:t>pre-trial special hearing</w:t>
        </w:r>
      </w:hyperlink>
      <w:r w:rsidR="00EC0CDA" w:rsidRPr="00B40A77">
        <w:rPr>
          <w:color w:val="000000" w:themeColor="text1"/>
          <w:lang w:val="en-US"/>
        </w:rPr>
        <w:t xml:space="preserve"> or to vary or revoke an order for a </w:t>
      </w:r>
      <w:hyperlink w:anchor="_2.1—Definitions" w:history="1">
        <w:r w:rsidR="00732D46" w:rsidRPr="00B40A77">
          <w:rPr>
            <w:rStyle w:val="Hyperlink"/>
            <w:color w:val="000000" w:themeColor="text1"/>
            <w:lang w:val="en-US"/>
          </w:rPr>
          <w:t>pre-trial special hearing</w:t>
        </w:r>
      </w:hyperlink>
      <w:r w:rsidR="00EC0CDA" w:rsidRPr="00B40A77">
        <w:rPr>
          <w:color w:val="000000" w:themeColor="text1"/>
          <w:lang w:val="en-US"/>
        </w:rPr>
        <w:t>;</w:t>
      </w:r>
    </w:p>
    <w:p w14:paraId="2280A1FA" w14:textId="0D0DD1A7"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f</w:t>
      </w:r>
      <w:r w:rsidR="00EC0CDA" w:rsidRPr="00B40A77">
        <w:rPr>
          <w:color w:val="000000" w:themeColor="text1"/>
          <w:lang w:val="en-US"/>
        </w:rPr>
        <w:t>)</w:t>
      </w:r>
      <w:r w:rsidR="00EC0CDA" w:rsidRPr="00B40A77">
        <w:rPr>
          <w:color w:val="000000" w:themeColor="text1"/>
          <w:lang w:val="en-US"/>
        </w:rPr>
        <w:tab/>
        <w:t xml:space="preserve">an application </w:t>
      </w:r>
      <w:r w:rsidR="00352AF7" w:rsidRPr="00B40A77">
        <w:rPr>
          <w:color w:val="000000" w:themeColor="text1"/>
          <w:lang w:val="en-US"/>
        </w:rPr>
        <w:t>for admission of a</w:t>
      </w:r>
      <w:r w:rsidR="00EC0CDA" w:rsidRPr="00B40A77">
        <w:rPr>
          <w:color w:val="000000" w:themeColor="text1"/>
          <w:lang w:val="en-US"/>
        </w:rPr>
        <w:t xml:space="preserve"> record of evidence under section</w:t>
      </w:r>
      <w:r w:rsidR="00C302C9" w:rsidRPr="00B40A77">
        <w:rPr>
          <w:color w:val="000000" w:themeColor="text1"/>
          <w:lang w:val="en-US"/>
        </w:rPr>
        <w:t> </w:t>
      </w:r>
      <w:r w:rsidR="00EC0CDA" w:rsidRPr="00B40A77">
        <w:rPr>
          <w:color w:val="000000" w:themeColor="text1"/>
          <w:lang w:val="en-US"/>
        </w:rPr>
        <w:t>13BA</w:t>
      </w:r>
      <w:r w:rsidR="00B344BB" w:rsidRPr="00B40A77">
        <w:rPr>
          <w:color w:val="000000" w:themeColor="text1"/>
          <w:lang w:val="en-US"/>
        </w:rPr>
        <w:t>,</w:t>
      </w:r>
      <w:r w:rsidR="00C302C9" w:rsidRPr="00B40A77">
        <w:rPr>
          <w:color w:val="000000" w:themeColor="text1"/>
          <w:lang w:val="en-US"/>
        </w:rPr>
        <w:t> </w:t>
      </w:r>
      <w:r w:rsidR="00EC0CDA" w:rsidRPr="00B40A77">
        <w:rPr>
          <w:color w:val="000000" w:themeColor="text1"/>
          <w:lang w:val="en-US"/>
        </w:rPr>
        <w:t xml:space="preserve">13BB </w:t>
      </w:r>
      <w:r w:rsidR="00B344BB" w:rsidRPr="00B40A77">
        <w:rPr>
          <w:color w:val="000000" w:themeColor="text1"/>
          <w:lang w:val="en-US"/>
        </w:rPr>
        <w:t>or</w:t>
      </w:r>
      <w:r w:rsidR="00C302C9" w:rsidRPr="00B40A77">
        <w:rPr>
          <w:color w:val="000000" w:themeColor="text1"/>
          <w:lang w:val="en-US"/>
        </w:rPr>
        <w:t> </w:t>
      </w:r>
      <w:r w:rsidR="00B344BB" w:rsidRPr="00B40A77">
        <w:rPr>
          <w:color w:val="000000" w:themeColor="text1"/>
          <w:lang w:val="en-US"/>
        </w:rPr>
        <w:t xml:space="preserve">13D </w:t>
      </w:r>
      <w:r w:rsidR="00EC0CDA" w:rsidRPr="00B40A77">
        <w:rPr>
          <w:color w:val="000000" w:themeColor="text1"/>
          <w:lang w:val="en-US"/>
        </w:rPr>
        <w:t>of the Evidence Act;</w:t>
      </w:r>
    </w:p>
    <w:p w14:paraId="3BD2B169" w14:textId="6630A2A5"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g</w:t>
      </w:r>
      <w:r w:rsidR="00EC0CDA" w:rsidRPr="00B40A77">
        <w:rPr>
          <w:color w:val="000000" w:themeColor="text1"/>
          <w:lang w:val="en-US"/>
        </w:rPr>
        <w:t>)</w:t>
      </w:r>
      <w:r w:rsidR="00EC0CDA" w:rsidRPr="00B40A77">
        <w:rPr>
          <w:color w:val="000000" w:themeColor="text1"/>
          <w:lang w:val="en-US"/>
        </w:rPr>
        <w:tab/>
        <w:t>an application for communication assistance under sections</w:t>
      </w:r>
      <w:r w:rsidR="00C302C9" w:rsidRPr="00B40A77">
        <w:rPr>
          <w:color w:val="000000" w:themeColor="text1"/>
          <w:lang w:val="en-US"/>
        </w:rPr>
        <w:t> </w:t>
      </w:r>
      <w:r w:rsidR="00EC0CDA" w:rsidRPr="00B40A77">
        <w:rPr>
          <w:color w:val="000000" w:themeColor="text1"/>
          <w:lang w:val="en-US"/>
        </w:rPr>
        <w:t>13A and</w:t>
      </w:r>
      <w:r w:rsidR="00C302C9" w:rsidRPr="00B40A77">
        <w:rPr>
          <w:color w:val="000000" w:themeColor="text1"/>
          <w:lang w:val="en-US"/>
        </w:rPr>
        <w:t> </w:t>
      </w:r>
      <w:r w:rsidR="00EC0CDA" w:rsidRPr="00B40A77">
        <w:rPr>
          <w:color w:val="000000" w:themeColor="text1"/>
          <w:lang w:val="en-US"/>
        </w:rPr>
        <w:t>14A of the Evidence Act</w:t>
      </w:r>
      <w:r w:rsidRPr="00B40A77">
        <w:rPr>
          <w:color w:val="000000" w:themeColor="text1"/>
          <w:lang w:val="en-US"/>
        </w:rPr>
        <w:t xml:space="preserve"> or for special arrangements for the protection of a witness under section</w:t>
      </w:r>
      <w:r w:rsidR="00C302C9" w:rsidRPr="00B40A77">
        <w:rPr>
          <w:color w:val="000000" w:themeColor="text1"/>
          <w:lang w:val="en-US"/>
        </w:rPr>
        <w:t> </w:t>
      </w:r>
      <w:r w:rsidRPr="00B40A77">
        <w:rPr>
          <w:color w:val="000000" w:themeColor="text1"/>
          <w:lang w:val="en-US"/>
        </w:rPr>
        <w:t>13 or 13A of the Evidence Act</w:t>
      </w:r>
      <w:r w:rsidR="00EC0CDA" w:rsidRPr="00B40A77">
        <w:rPr>
          <w:color w:val="000000" w:themeColor="text1"/>
          <w:lang w:val="en-US"/>
        </w:rPr>
        <w:t>;</w:t>
      </w:r>
    </w:p>
    <w:p w14:paraId="1CECEED3" w14:textId="72DC8FDF"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h</w:t>
      </w:r>
      <w:r w:rsidR="00EC0CDA" w:rsidRPr="00B40A77">
        <w:rPr>
          <w:color w:val="000000" w:themeColor="text1"/>
          <w:lang w:val="en-US"/>
        </w:rPr>
        <w:t>)</w:t>
      </w:r>
      <w:r w:rsidR="00EC0CDA" w:rsidRPr="00B40A77">
        <w:rPr>
          <w:color w:val="000000" w:themeColor="text1"/>
          <w:lang w:val="en-US"/>
        </w:rPr>
        <w:tab/>
        <w:t>an application for exemption of a close relative from giving evidence under section 21</w:t>
      </w:r>
      <w:r w:rsidR="0068622B" w:rsidRPr="00B40A77">
        <w:rPr>
          <w:color w:val="000000" w:themeColor="text1"/>
          <w:lang w:val="en-US"/>
        </w:rPr>
        <w:t> </w:t>
      </w:r>
      <w:r w:rsidR="00EC0CDA" w:rsidRPr="00B40A77">
        <w:rPr>
          <w:color w:val="000000" w:themeColor="text1"/>
          <w:lang w:val="en-US"/>
        </w:rPr>
        <w:t>of the Evidence Act;</w:t>
      </w:r>
    </w:p>
    <w:p w14:paraId="4892DAC9" w14:textId="62907B82"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i</w:t>
      </w:r>
      <w:r w:rsidR="00EC0CDA" w:rsidRPr="00B40A77">
        <w:rPr>
          <w:color w:val="000000" w:themeColor="text1"/>
          <w:lang w:val="en-US"/>
        </w:rPr>
        <w:t>)</w:t>
      </w:r>
      <w:r w:rsidR="00EC0CDA" w:rsidRPr="00B40A77">
        <w:rPr>
          <w:color w:val="000000" w:themeColor="text1"/>
          <w:lang w:val="en-US"/>
        </w:rPr>
        <w:tab/>
        <w:t xml:space="preserve">an application for taking evidence outside </w:t>
      </w:r>
      <w:hyperlink w:anchor="_2.1—Definitions" w:history="1">
        <w:r w:rsidR="00AA6FCA" w:rsidRPr="00B40A77">
          <w:rPr>
            <w:rStyle w:val="Hyperlink"/>
            <w:color w:val="000000" w:themeColor="text1"/>
            <w:lang w:val="en-US"/>
          </w:rPr>
          <w:t>the State</w:t>
        </w:r>
      </w:hyperlink>
      <w:r w:rsidR="00EC0CDA" w:rsidRPr="00B40A77">
        <w:rPr>
          <w:color w:val="000000" w:themeColor="text1"/>
          <w:lang w:val="en-US"/>
        </w:rPr>
        <w:t xml:space="preserve"> under section</w:t>
      </w:r>
      <w:r w:rsidR="0068622B" w:rsidRPr="00B40A77">
        <w:rPr>
          <w:color w:val="000000" w:themeColor="text1"/>
          <w:lang w:val="en-US"/>
        </w:rPr>
        <w:t> </w:t>
      </w:r>
      <w:r w:rsidR="00EC0CDA" w:rsidRPr="00B40A77">
        <w:rPr>
          <w:color w:val="000000" w:themeColor="text1"/>
          <w:lang w:val="en-US"/>
        </w:rPr>
        <w:t>59E of the Evidence Act;</w:t>
      </w:r>
    </w:p>
    <w:p w14:paraId="44E02B75" w14:textId="1ADBD61A" w:rsidR="00EC0CDA" w:rsidRPr="00B40A77" w:rsidRDefault="00F75DB0" w:rsidP="00EC0CDA">
      <w:pPr>
        <w:pStyle w:val="Doublehangindent"/>
        <w:rPr>
          <w:color w:val="000000" w:themeColor="text1"/>
          <w:lang w:val="en-US"/>
        </w:rPr>
      </w:pPr>
      <w:r w:rsidRPr="00B40A77">
        <w:rPr>
          <w:color w:val="000000" w:themeColor="text1"/>
          <w:lang w:val="en-US"/>
        </w:rPr>
        <w:t>(</w:t>
      </w:r>
      <w:r w:rsidR="00F06A60" w:rsidRPr="00B40A77">
        <w:rPr>
          <w:color w:val="000000" w:themeColor="text1"/>
          <w:lang w:val="en-US"/>
        </w:rPr>
        <w:t>j</w:t>
      </w:r>
      <w:r w:rsidR="00EC0CDA" w:rsidRPr="00B40A77">
        <w:rPr>
          <w:color w:val="000000" w:themeColor="text1"/>
          <w:lang w:val="en-US"/>
        </w:rPr>
        <w:t>)</w:t>
      </w:r>
      <w:r w:rsidR="00EC0CDA" w:rsidRPr="00B40A77">
        <w:rPr>
          <w:color w:val="000000" w:themeColor="text1"/>
          <w:lang w:val="en-US"/>
        </w:rPr>
        <w:tab/>
        <w:t xml:space="preserve">an application for adducing evidence or making submissions by </w:t>
      </w:r>
      <w:hyperlink w:anchor="_2.1—Definitions" w:history="1">
        <w:r w:rsidR="001D63F7" w:rsidRPr="00B40A77">
          <w:rPr>
            <w:rStyle w:val="Hyperlink"/>
            <w:color w:val="000000" w:themeColor="text1"/>
            <w:lang w:val="en-US"/>
          </w:rPr>
          <w:t>audio visual link</w:t>
        </w:r>
      </w:hyperlink>
      <w:r w:rsidR="006D44BC" w:rsidRPr="00B40A77">
        <w:rPr>
          <w:color w:val="000000" w:themeColor="text1"/>
          <w:lang w:val="en-US"/>
        </w:rPr>
        <w:t xml:space="preserve"> </w:t>
      </w:r>
      <w:r w:rsidR="00176DEB" w:rsidRPr="00B40A77">
        <w:rPr>
          <w:color w:val="000000" w:themeColor="text1"/>
          <w:lang w:val="en-US"/>
        </w:rPr>
        <w:t xml:space="preserve">or </w:t>
      </w:r>
      <w:hyperlink w:anchor="_2.1—Definitions" w:history="1">
        <w:r w:rsidR="00176DEB" w:rsidRPr="00B40A77">
          <w:rPr>
            <w:rStyle w:val="Hyperlink"/>
            <w:color w:val="000000" w:themeColor="text1"/>
            <w:lang w:val="en-US"/>
          </w:rPr>
          <w:t>audio link</w:t>
        </w:r>
      </w:hyperlink>
      <w:r w:rsidR="00176DEB" w:rsidRPr="00B40A77">
        <w:rPr>
          <w:color w:val="000000" w:themeColor="text1"/>
          <w:lang w:val="en-US"/>
        </w:rPr>
        <w:t xml:space="preserve"> </w:t>
      </w:r>
      <w:r w:rsidR="00EC0CDA" w:rsidRPr="00B40A77">
        <w:rPr>
          <w:color w:val="000000" w:themeColor="text1"/>
          <w:lang w:val="en-US"/>
        </w:rPr>
        <w:t>under section</w:t>
      </w:r>
      <w:r w:rsidR="0068622B" w:rsidRPr="00B40A77">
        <w:rPr>
          <w:color w:val="000000" w:themeColor="text1"/>
          <w:lang w:val="en-US"/>
        </w:rPr>
        <w:t> </w:t>
      </w:r>
      <w:r w:rsidR="00EC0CDA" w:rsidRPr="00B40A77">
        <w:rPr>
          <w:color w:val="000000" w:themeColor="text1"/>
          <w:lang w:val="en-US"/>
        </w:rPr>
        <w:t>59IE or</w:t>
      </w:r>
      <w:r w:rsidR="0068622B" w:rsidRPr="00B40A77">
        <w:rPr>
          <w:color w:val="000000" w:themeColor="text1"/>
          <w:lang w:val="en-US"/>
        </w:rPr>
        <w:t> </w:t>
      </w:r>
      <w:r w:rsidR="00EC0CDA" w:rsidRPr="00B40A77">
        <w:rPr>
          <w:color w:val="000000" w:themeColor="text1"/>
          <w:lang w:val="en-US"/>
        </w:rPr>
        <w:t>59IQ of the Evidence Act;</w:t>
      </w:r>
    </w:p>
    <w:p w14:paraId="66F00A8F" w14:textId="7671559B" w:rsidR="00EC0CDA" w:rsidRPr="00B40A77" w:rsidRDefault="00F75DB0" w:rsidP="00EC0CDA">
      <w:pPr>
        <w:pStyle w:val="Doublehangindent"/>
        <w:rPr>
          <w:color w:val="000000" w:themeColor="text1"/>
          <w:lang w:val="en-US"/>
        </w:rPr>
      </w:pPr>
      <w:r w:rsidRPr="00B40A77">
        <w:rPr>
          <w:color w:val="000000" w:themeColor="text1"/>
          <w:lang w:val="en-US"/>
        </w:rPr>
        <w:t>(</w:t>
      </w:r>
      <w:r w:rsidR="003D6518" w:rsidRPr="00B40A77">
        <w:rPr>
          <w:color w:val="000000" w:themeColor="text1"/>
          <w:lang w:val="en-US"/>
        </w:rPr>
        <w:t>k</w:t>
      </w:r>
      <w:r w:rsidR="00EC0CDA" w:rsidRPr="00B40A77">
        <w:rPr>
          <w:color w:val="000000" w:themeColor="text1"/>
          <w:lang w:val="en-US"/>
        </w:rPr>
        <w:t>)</w:t>
      </w:r>
      <w:r w:rsidR="00EC0CDA" w:rsidRPr="00B40A77">
        <w:rPr>
          <w:color w:val="000000" w:themeColor="text1"/>
          <w:lang w:val="en-US"/>
        </w:rPr>
        <w:tab/>
        <w:t>an application for an order requiring notice of intenti</w:t>
      </w:r>
      <w:r w:rsidR="00275B73" w:rsidRPr="00B40A77">
        <w:rPr>
          <w:color w:val="000000" w:themeColor="text1"/>
          <w:lang w:val="en-US"/>
        </w:rPr>
        <w:t>on to ad</w:t>
      </w:r>
      <w:r w:rsidR="00EC0CDA" w:rsidRPr="00B40A77">
        <w:rPr>
          <w:color w:val="000000" w:themeColor="text1"/>
          <w:lang w:val="en-US"/>
        </w:rPr>
        <w:t>duce evidenc</w:t>
      </w:r>
      <w:r w:rsidR="00275B73" w:rsidRPr="00B40A77">
        <w:rPr>
          <w:color w:val="000000" w:themeColor="text1"/>
          <w:lang w:val="en-US"/>
        </w:rPr>
        <w:t xml:space="preserve">e of a type referred to in </w:t>
      </w:r>
      <w:hyperlink w:anchor="_75.5—Other_evidence:_Magistrates" w:history="1">
        <w:r w:rsidR="00275B73" w:rsidRPr="00B40A77">
          <w:rPr>
            <w:rStyle w:val="Hyperlink"/>
            <w:color w:val="000000" w:themeColor="text1"/>
            <w:lang w:val="en-US"/>
          </w:rPr>
          <w:t>rule</w:t>
        </w:r>
        <w:r w:rsidR="0068622B" w:rsidRPr="00B40A77">
          <w:rPr>
            <w:rStyle w:val="Hyperlink"/>
            <w:color w:val="000000" w:themeColor="text1"/>
            <w:lang w:val="en-US"/>
          </w:rPr>
          <w:t> </w:t>
        </w:r>
        <w:r w:rsidR="001539B3" w:rsidRPr="00B40A77">
          <w:rPr>
            <w:rStyle w:val="Hyperlink"/>
            <w:color w:val="000000" w:themeColor="text1"/>
            <w:lang w:val="en-US"/>
          </w:rPr>
          <w:t>75.5</w:t>
        </w:r>
      </w:hyperlink>
      <w:r w:rsidR="001539B3" w:rsidRPr="00B40A77">
        <w:rPr>
          <w:color w:val="000000" w:themeColor="text1"/>
          <w:lang w:val="en-US"/>
        </w:rPr>
        <w:t xml:space="preserve"> or </w:t>
      </w:r>
      <w:hyperlink w:anchor="_105.2—Other_evidence" w:history="1">
        <w:r w:rsidR="001539B3" w:rsidRPr="00B40A77">
          <w:rPr>
            <w:rStyle w:val="Hyperlink"/>
            <w:color w:val="000000" w:themeColor="text1"/>
            <w:lang w:val="en-US"/>
          </w:rPr>
          <w:t>rule</w:t>
        </w:r>
        <w:r w:rsidR="0068622B" w:rsidRPr="00B40A77">
          <w:rPr>
            <w:rStyle w:val="Hyperlink"/>
            <w:color w:val="000000" w:themeColor="text1"/>
            <w:lang w:val="en-US"/>
          </w:rPr>
          <w:t> </w:t>
        </w:r>
        <w:r w:rsidR="001539B3" w:rsidRPr="00B40A77">
          <w:rPr>
            <w:rStyle w:val="Hyperlink"/>
            <w:color w:val="000000" w:themeColor="text1"/>
            <w:lang w:val="en-US"/>
          </w:rPr>
          <w:t>10</w:t>
        </w:r>
        <w:r w:rsidR="00CE5F51" w:rsidRPr="00B40A77">
          <w:rPr>
            <w:rStyle w:val="Hyperlink"/>
            <w:color w:val="000000" w:themeColor="text1"/>
            <w:lang w:val="en-US"/>
          </w:rPr>
          <w:t>5</w:t>
        </w:r>
        <w:r w:rsidR="001539B3" w:rsidRPr="00B40A77">
          <w:rPr>
            <w:rStyle w:val="Hyperlink"/>
            <w:color w:val="000000" w:themeColor="text1"/>
            <w:lang w:val="en-US"/>
          </w:rPr>
          <w:t>.2</w:t>
        </w:r>
      </w:hyperlink>
      <w:r w:rsidR="00EC0CDA" w:rsidRPr="00B40A77">
        <w:rPr>
          <w:color w:val="000000" w:themeColor="text1"/>
          <w:lang w:val="en-US"/>
        </w:rPr>
        <w:t>;</w:t>
      </w:r>
    </w:p>
    <w:p w14:paraId="21D1EEBC" w14:textId="74EE2433" w:rsidR="00EC0CDA" w:rsidRPr="00B40A77" w:rsidRDefault="00EC0CDA" w:rsidP="00EC0CDA">
      <w:pPr>
        <w:pStyle w:val="Doublehangindent"/>
        <w:rPr>
          <w:color w:val="000000" w:themeColor="text1"/>
          <w:lang w:val="en-US"/>
        </w:rPr>
      </w:pPr>
      <w:r w:rsidRPr="00B40A77">
        <w:rPr>
          <w:color w:val="000000" w:themeColor="text1"/>
          <w:lang w:val="en-US"/>
        </w:rPr>
        <w:t>(l)</w:t>
      </w:r>
      <w:r w:rsidRPr="00B40A77">
        <w:rPr>
          <w:color w:val="000000" w:themeColor="text1"/>
          <w:lang w:val="en-US"/>
        </w:rPr>
        <w:tab/>
        <w:t>a</w:t>
      </w:r>
      <w:r w:rsidR="00F75DB0" w:rsidRPr="00B40A77">
        <w:rPr>
          <w:color w:val="000000" w:themeColor="text1"/>
          <w:lang w:val="en-US"/>
        </w:rPr>
        <w:t xml:space="preserve">n application that, if granted, would have the effect of delaying </w:t>
      </w:r>
      <w:r w:rsidR="002F6FDA" w:rsidRPr="00B40A77">
        <w:rPr>
          <w:color w:val="000000" w:themeColor="text1"/>
          <w:lang w:val="en-US"/>
        </w:rPr>
        <w:t>the</w:t>
      </w:r>
      <w:r w:rsidR="00F75DB0" w:rsidRPr="00B40A77">
        <w:rPr>
          <w:color w:val="000000" w:themeColor="text1"/>
          <w:lang w:val="en-US"/>
        </w:rPr>
        <w:t xml:space="preserve"> </w:t>
      </w:r>
      <w:hyperlink w:anchor="_2.1—Definitions" w:history="1">
        <w:r w:rsidR="00F75DB0" w:rsidRPr="00B40A77">
          <w:rPr>
            <w:rStyle w:val="Hyperlink"/>
            <w:color w:val="000000" w:themeColor="text1"/>
            <w:lang w:val="en-US"/>
          </w:rPr>
          <w:t>trial</w:t>
        </w:r>
        <w:r w:rsidR="002F6FDA" w:rsidRPr="00B40A77">
          <w:rPr>
            <w:rStyle w:val="Hyperlink"/>
            <w:color w:val="000000" w:themeColor="text1"/>
            <w:lang w:val="en-US"/>
          </w:rPr>
          <w:t xml:space="preserve"> date</w:t>
        </w:r>
      </w:hyperlink>
      <w:r w:rsidRPr="00B40A77">
        <w:rPr>
          <w:color w:val="000000" w:themeColor="text1"/>
          <w:lang w:val="en-US"/>
        </w:rPr>
        <w:t>;</w:t>
      </w:r>
    </w:p>
    <w:p w14:paraId="2B1C8B43" w14:textId="3F5CE7B4" w:rsidR="00EC0CDA" w:rsidRPr="00B40A77" w:rsidRDefault="00EC0CDA" w:rsidP="00EC0CDA">
      <w:pPr>
        <w:pStyle w:val="Doublehangindent"/>
        <w:rPr>
          <w:color w:val="000000" w:themeColor="text1"/>
          <w:lang w:val="en-US"/>
        </w:rPr>
      </w:pPr>
      <w:r w:rsidRPr="00B40A77">
        <w:rPr>
          <w:color w:val="000000" w:themeColor="text1"/>
          <w:lang w:val="en-US"/>
        </w:rPr>
        <w:t>(m)</w:t>
      </w:r>
      <w:r w:rsidRPr="00B40A77">
        <w:rPr>
          <w:color w:val="000000" w:themeColor="text1"/>
          <w:lang w:val="en-US"/>
        </w:rPr>
        <w:tab/>
        <w:t xml:space="preserve">an application to </w:t>
      </w:r>
      <w:r w:rsidRPr="00B40A77">
        <w:rPr>
          <w:rFonts w:cs="Times New Roman"/>
          <w:color w:val="000000" w:themeColor="text1"/>
        </w:rPr>
        <w:t xml:space="preserve">set aside </w:t>
      </w:r>
      <w:r w:rsidR="00D41E15" w:rsidRPr="00B40A77">
        <w:rPr>
          <w:rFonts w:cs="Times New Roman"/>
          <w:color w:val="000000" w:themeColor="text1"/>
        </w:rPr>
        <w:t xml:space="preserve">or vary </w:t>
      </w:r>
      <w:r w:rsidRPr="00B40A77">
        <w:rPr>
          <w:rFonts w:cs="Times New Roman"/>
          <w:color w:val="000000" w:themeColor="text1"/>
        </w:rPr>
        <w:t>a conviction or order;</w:t>
      </w:r>
    </w:p>
    <w:p w14:paraId="011749EF" w14:textId="4661E90B" w:rsidR="00EC0CDA" w:rsidRPr="00B40A77" w:rsidRDefault="00EC0CDA" w:rsidP="00EC0CDA">
      <w:pPr>
        <w:pStyle w:val="Doublehangindent"/>
        <w:rPr>
          <w:color w:val="000000" w:themeColor="text1"/>
          <w:lang w:val="en-US"/>
        </w:rPr>
      </w:pPr>
      <w:r w:rsidRPr="00B40A77">
        <w:rPr>
          <w:color w:val="000000" w:themeColor="text1"/>
          <w:lang w:val="en-US"/>
        </w:rPr>
        <w:t>(n)</w:t>
      </w:r>
      <w:r w:rsidRPr="00B40A77">
        <w:rPr>
          <w:color w:val="000000" w:themeColor="text1"/>
          <w:lang w:val="en-US"/>
        </w:rPr>
        <w:tab/>
        <w:t xml:space="preserve">an application </w:t>
      </w:r>
      <w:r w:rsidR="006D44BC" w:rsidRPr="00B40A77">
        <w:rPr>
          <w:color w:val="000000" w:themeColor="text1"/>
          <w:lang w:val="en-US"/>
        </w:rPr>
        <w:t xml:space="preserve">otherwise </w:t>
      </w:r>
      <w:r w:rsidRPr="00B40A77">
        <w:rPr>
          <w:color w:val="000000" w:themeColor="text1"/>
          <w:lang w:val="en-US"/>
        </w:rPr>
        <w:t>required by these Rules to be made by written application;</w:t>
      </w:r>
    </w:p>
    <w:p w14:paraId="0B67DA87" w14:textId="6E15AE39" w:rsidR="00CA3A1C" w:rsidRPr="00B40A77" w:rsidRDefault="00CA3A1C" w:rsidP="00EC0CDA">
      <w:pPr>
        <w:pStyle w:val="Doublehangindent"/>
        <w:rPr>
          <w:color w:val="000000" w:themeColor="text1"/>
          <w:lang w:val="en-US"/>
        </w:rPr>
      </w:pPr>
      <w:r w:rsidRPr="00B40A77">
        <w:rPr>
          <w:color w:val="000000" w:themeColor="text1"/>
          <w:lang w:val="en-US"/>
        </w:rPr>
        <w:t>(o)</w:t>
      </w:r>
      <w:r w:rsidRPr="00B40A77">
        <w:rPr>
          <w:color w:val="000000" w:themeColor="text1"/>
          <w:lang w:val="en-US"/>
        </w:rPr>
        <w:tab/>
        <w:t>an application that re</w:t>
      </w:r>
      <w:r w:rsidR="00F75DB0" w:rsidRPr="00B40A77">
        <w:rPr>
          <w:color w:val="000000" w:themeColor="text1"/>
          <w:lang w:val="en-US"/>
        </w:rPr>
        <w:t xml:space="preserve">lies </w:t>
      </w:r>
      <w:r w:rsidRPr="00B40A77">
        <w:rPr>
          <w:color w:val="000000" w:themeColor="text1"/>
          <w:lang w:val="en-US"/>
        </w:rPr>
        <w:t>on evidence that is potentially contentious;</w:t>
      </w:r>
    </w:p>
    <w:p w14:paraId="757BF8F6" w14:textId="6EEFB355" w:rsidR="00EC0CDA" w:rsidRPr="00B40A77" w:rsidRDefault="00CA3A1C" w:rsidP="00EC0CDA">
      <w:pPr>
        <w:pStyle w:val="Doublehangindent"/>
        <w:rPr>
          <w:color w:val="000000" w:themeColor="text1"/>
          <w:lang w:val="en-US"/>
        </w:rPr>
      </w:pPr>
      <w:r w:rsidRPr="00B40A77">
        <w:rPr>
          <w:color w:val="000000" w:themeColor="text1"/>
          <w:lang w:val="en-US"/>
        </w:rPr>
        <w:t>(p</w:t>
      </w:r>
      <w:r w:rsidR="00EC0CDA" w:rsidRPr="00B40A77">
        <w:rPr>
          <w:color w:val="000000" w:themeColor="text1"/>
          <w:lang w:val="en-US"/>
        </w:rPr>
        <w:t>)</w:t>
      </w:r>
      <w:r w:rsidR="00EC0CDA" w:rsidRPr="00B40A77">
        <w:rPr>
          <w:color w:val="000000" w:themeColor="text1"/>
          <w:lang w:val="en-US"/>
        </w:rPr>
        <w:tab/>
        <w:t xml:space="preserve">an application that cannot reasonably be made </w:t>
      </w:r>
      <w:hyperlink w:anchor="_2.1—Definitions" w:history="1">
        <w:r w:rsidR="00EC0CDA" w:rsidRPr="00B40A77">
          <w:rPr>
            <w:rStyle w:val="Hyperlink"/>
            <w:color w:val="000000" w:themeColor="text1"/>
            <w:lang w:val="en-US"/>
          </w:rPr>
          <w:t>without notice</w:t>
        </w:r>
      </w:hyperlink>
      <w:r w:rsidR="00EC0CDA" w:rsidRPr="00B40A77">
        <w:rPr>
          <w:color w:val="000000" w:themeColor="text1"/>
          <w:lang w:val="en-US"/>
        </w:rPr>
        <w:t>;</w:t>
      </w:r>
    </w:p>
    <w:p w14:paraId="300AFCD7" w14:textId="6228BE84" w:rsidR="00EC0CDA" w:rsidRPr="00B40A77" w:rsidRDefault="00CA3A1C" w:rsidP="00A37E9E">
      <w:pPr>
        <w:pStyle w:val="Doublehangindent"/>
        <w:keepNext/>
        <w:rPr>
          <w:color w:val="000000" w:themeColor="text1"/>
          <w:lang w:val="en-US"/>
        </w:rPr>
      </w:pPr>
      <w:r w:rsidRPr="00B40A77">
        <w:rPr>
          <w:color w:val="000000" w:themeColor="text1"/>
          <w:lang w:val="en-US"/>
        </w:rPr>
        <w:lastRenderedPageBreak/>
        <w:t>(q</w:t>
      </w:r>
      <w:r w:rsidR="00EC0CDA" w:rsidRPr="00B40A77">
        <w:rPr>
          <w:color w:val="000000" w:themeColor="text1"/>
          <w:lang w:val="en-US"/>
        </w:rPr>
        <w:t>)</w:t>
      </w:r>
      <w:r w:rsidR="00EC0CDA" w:rsidRPr="00B40A77">
        <w:rPr>
          <w:color w:val="000000" w:themeColor="text1"/>
          <w:lang w:val="en-US"/>
        </w:rPr>
        <w:tab/>
        <w:t xml:space="preserve">an application that the applicant seeks to be determined </w:t>
      </w:r>
      <w:hyperlink w:anchor="_2.1—Definitions" w:history="1">
        <w:r w:rsidR="00307014" w:rsidRPr="00B40A77">
          <w:rPr>
            <w:rStyle w:val="Hyperlink"/>
            <w:color w:val="000000" w:themeColor="text1"/>
            <w:lang w:val="en-US"/>
          </w:rPr>
          <w:t>in chambers</w:t>
        </w:r>
      </w:hyperlink>
      <w:r w:rsidR="00EC0CDA" w:rsidRPr="00B40A77">
        <w:rPr>
          <w:color w:val="000000" w:themeColor="text1"/>
          <w:lang w:val="en-US"/>
        </w:rPr>
        <w:t xml:space="preserve"> under </w:t>
      </w:r>
      <w:hyperlink w:anchor="_40.1—Orders_not_in" w:history="1">
        <w:r w:rsidR="00EC0CDA" w:rsidRPr="00B40A77">
          <w:rPr>
            <w:rStyle w:val="Hyperlink"/>
            <w:color w:val="000000" w:themeColor="text1"/>
            <w:lang w:val="en-US"/>
          </w:rPr>
          <w:t>rule</w:t>
        </w:r>
        <w:r w:rsidR="00CE5F51" w:rsidRPr="00B40A77">
          <w:rPr>
            <w:rStyle w:val="Hyperlink"/>
            <w:color w:val="000000" w:themeColor="text1"/>
            <w:lang w:val="en-US"/>
          </w:rPr>
          <w:t> 40</w:t>
        </w:r>
        <w:r w:rsidR="00D41E15" w:rsidRPr="00B40A77">
          <w:rPr>
            <w:rStyle w:val="Hyperlink"/>
            <w:color w:val="000000" w:themeColor="text1"/>
            <w:lang w:val="en-US"/>
          </w:rPr>
          <w:t>.1</w:t>
        </w:r>
      </w:hyperlink>
      <w:r w:rsidR="007775CB" w:rsidRPr="00B40A77">
        <w:rPr>
          <w:color w:val="000000" w:themeColor="text1"/>
          <w:lang w:val="en-US"/>
        </w:rPr>
        <w:t>.</w:t>
      </w:r>
    </w:p>
    <w:p w14:paraId="309292B5" w14:textId="100C9618" w:rsidR="00EC0CDA" w:rsidRPr="00B40A77" w:rsidRDefault="00EC0CDA" w:rsidP="00F06A60">
      <w:pPr>
        <w:pStyle w:val="NoteHeader"/>
        <w:keepNext/>
        <w:ind w:left="1395" w:firstLine="306"/>
        <w:rPr>
          <w:color w:val="000000" w:themeColor="text1"/>
        </w:rPr>
      </w:pPr>
      <w:r w:rsidRPr="00B40A77">
        <w:rPr>
          <w:color w:val="000000" w:themeColor="text1"/>
        </w:rPr>
        <w:t>Prescribed form</w:t>
      </w:r>
      <w:r w:rsidR="00BC2552" w:rsidRPr="00B40A77">
        <w:rPr>
          <w:color w:val="000000" w:themeColor="text1"/>
        </w:rPr>
        <w:t>s</w:t>
      </w:r>
      <w:r w:rsidRPr="00B40A77">
        <w:rPr>
          <w:color w:val="000000" w:themeColor="text1"/>
        </w:rPr>
        <w:t>—</w:t>
      </w:r>
    </w:p>
    <w:p w14:paraId="537455C2" w14:textId="5021AA7D" w:rsidR="008A3E65" w:rsidRPr="00B40A77" w:rsidRDefault="008A3E65" w:rsidP="00EC0CDA">
      <w:pPr>
        <w:pStyle w:val="NoteText"/>
        <w:ind w:left="1679" w:firstLine="481"/>
        <w:rPr>
          <w:color w:val="000000" w:themeColor="text1"/>
          <w:lang w:val="en-US"/>
        </w:rPr>
      </w:pPr>
      <w:r w:rsidRPr="00B40A77">
        <w:rPr>
          <w:color w:val="000000" w:themeColor="text1"/>
          <w:lang w:val="en-US"/>
        </w:rPr>
        <w:t xml:space="preserve">Form 21A </w:t>
      </w:r>
      <w:hyperlink r:id="rId56" w:history="1">
        <w:r w:rsidR="00662253" w:rsidRPr="00B40A77">
          <w:rPr>
            <w:rStyle w:val="Hyperlink"/>
            <w:color w:val="000000" w:themeColor="text1"/>
          </w:rPr>
          <w:t>Interlocutory</w:t>
        </w:r>
        <w:r w:rsidR="00662253" w:rsidRPr="00B40A77">
          <w:rPr>
            <w:rStyle w:val="Hyperlink"/>
            <w:color w:val="000000" w:themeColor="text1"/>
            <w:lang w:val="en-US"/>
          </w:rPr>
          <w:t xml:space="preserve"> </w:t>
        </w:r>
        <w:r w:rsidRPr="00B40A77">
          <w:rPr>
            <w:rStyle w:val="Hyperlink"/>
            <w:color w:val="000000" w:themeColor="text1"/>
            <w:lang w:val="en-US"/>
          </w:rPr>
          <w:t>Application for Bail</w:t>
        </w:r>
      </w:hyperlink>
    </w:p>
    <w:p w14:paraId="1A66924F" w14:textId="369663C3" w:rsidR="00EE2A53" w:rsidRPr="00B40A77" w:rsidRDefault="00EE2A53" w:rsidP="00EC0CDA">
      <w:pPr>
        <w:pStyle w:val="NoteText"/>
        <w:ind w:left="1679" w:firstLine="481"/>
        <w:rPr>
          <w:color w:val="000000" w:themeColor="text1"/>
          <w:lang w:val="en-US"/>
        </w:rPr>
      </w:pPr>
      <w:r w:rsidRPr="00B40A77">
        <w:rPr>
          <w:color w:val="000000" w:themeColor="text1"/>
          <w:lang w:val="en-US"/>
        </w:rPr>
        <w:t xml:space="preserve">Form 21C </w:t>
      </w:r>
      <w:hyperlink r:id="rId57" w:history="1">
        <w:r w:rsidR="00662253" w:rsidRPr="00B40A77">
          <w:rPr>
            <w:rStyle w:val="Hyperlink"/>
            <w:color w:val="000000" w:themeColor="text1"/>
          </w:rPr>
          <w:t>Interlocutory</w:t>
        </w:r>
        <w:r w:rsidR="00662253" w:rsidRPr="00B40A77">
          <w:rPr>
            <w:rStyle w:val="Hyperlink"/>
            <w:color w:val="000000" w:themeColor="text1"/>
            <w:lang w:val="en-US"/>
          </w:rPr>
          <w:t xml:space="preserve"> </w:t>
        </w:r>
        <w:r w:rsidRPr="00B40A77">
          <w:rPr>
            <w:rStyle w:val="Hyperlink"/>
            <w:color w:val="000000" w:themeColor="text1"/>
            <w:lang w:val="en-US"/>
          </w:rPr>
          <w:t>Application to Vary or Revoke Bail Agreement</w:t>
        </w:r>
      </w:hyperlink>
    </w:p>
    <w:p w14:paraId="12EAF125" w14:textId="427E0E53" w:rsidR="00EE2A53" w:rsidRPr="00B40A77" w:rsidRDefault="00EE2A53" w:rsidP="00EE2A53">
      <w:pPr>
        <w:pStyle w:val="NoteText"/>
        <w:ind w:left="1679" w:firstLine="481"/>
        <w:rPr>
          <w:color w:val="000000" w:themeColor="text1"/>
          <w:lang w:val="en-US"/>
        </w:rPr>
      </w:pPr>
      <w:r w:rsidRPr="00B40A77">
        <w:rPr>
          <w:color w:val="000000" w:themeColor="text1"/>
          <w:lang w:val="en-US"/>
        </w:rPr>
        <w:t xml:space="preserve">Form 21D </w:t>
      </w:r>
      <w:hyperlink r:id="rId58" w:history="1">
        <w:r w:rsidR="00662253" w:rsidRPr="00B40A77">
          <w:rPr>
            <w:rStyle w:val="Hyperlink"/>
            <w:color w:val="000000" w:themeColor="text1"/>
          </w:rPr>
          <w:t>Interlocutory</w:t>
        </w:r>
        <w:r w:rsidR="00662253" w:rsidRPr="00B40A77">
          <w:rPr>
            <w:rStyle w:val="Hyperlink"/>
            <w:color w:val="000000" w:themeColor="text1"/>
            <w:lang w:val="en-US"/>
          </w:rPr>
          <w:t xml:space="preserve"> </w:t>
        </w:r>
        <w:r w:rsidRPr="00B40A77">
          <w:rPr>
            <w:rStyle w:val="Hyperlink"/>
            <w:color w:val="000000" w:themeColor="text1"/>
            <w:lang w:val="en-US"/>
          </w:rPr>
          <w:t>Application to Vary or Revoke Guarantee of Bail</w:t>
        </w:r>
      </w:hyperlink>
    </w:p>
    <w:p w14:paraId="346B4F31" w14:textId="78F861DD" w:rsidR="00E7452F" w:rsidRPr="00B40A77" w:rsidRDefault="00E7452F" w:rsidP="00E7452F">
      <w:pPr>
        <w:pStyle w:val="NoteText"/>
        <w:ind w:left="1679" w:firstLine="481"/>
        <w:rPr>
          <w:color w:val="000000" w:themeColor="text1"/>
          <w:lang w:val="en-US"/>
        </w:rPr>
      </w:pPr>
      <w:r w:rsidRPr="00B40A77">
        <w:rPr>
          <w:color w:val="000000" w:themeColor="text1"/>
        </w:rPr>
        <w:t xml:space="preserve">Form 92 </w:t>
      </w:r>
      <w:hyperlink r:id="rId59" w:history="1">
        <w:r w:rsidRPr="00B40A77">
          <w:rPr>
            <w:rStyle w:val="Hyperlink"/>
            <w:color w:val="000000" w:themeColor="text1"/>
          </w:rPr>
          <w:t xml:space="preserve">Interlocutory </w:t>
        </w:r>
        <w:r w:rsidRPr="00B40A77">
          <w:rPr>
            <w:rStyle w:val="Hyperlink"/>
            <w:color w:val="000000" w:themeColor="text1"/>
            <w:lang w:val="en-US"/>
          </w:rPr>
          <w:t>Application</w:t>
        </w:r>
      </w:hyperlink>
    </w:p>
    <w:p w14:paraId="147CD25F" w14:textId="6BCF41B6" w:rsidR="00EE2A53" w:rsidRPr="00B40A77" w:rsidRDefault="00EE2A53" w:rsidP="00EE2A53">
      <w:pPr>
        <w:pStyle w:val="NoteText"/>
        <w:ind w:left="1679" w:firstLine="481"/>
        <w:rPr>
          <w:color w:val="000000" w:themeColor="text1"/>
          <w:lang w:val="en-US"/>
        </w:rPr>
      </w:pPr>
      <w:r w:rsidRPr="00B40A77">
        <w:rPr>
          <w:color w:val="000000" w:themeColor="text1"/>
          <w:lang w:val="en-US"/>
        </w:rPr>
        <w:t xml:space="preserve">Form 92A </w:t>
      </w:r>
      <w:hyperlink r:id="rId60"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Pr="00B40A77">
          <w:rPr>
            <w:rStyle w:val="Hyperlink"/>
            <w:color w:val="000000" w:themeColor="text1"/>
            <w:lang w:val="en-US"/>
          </w:rPr>
          <w:t>Application for Admission of Audiovisual Record</w:t>
        </w:r>
      </w:hyperlink>
    </w:p>
    <w:p w14:paraId="3C3CC663" w14:textId="0918C8A6" w:rsidR="00EE2A53" w:rsidRPr="00B40A77" w:rsidRDefault="00EE2A53" w:rsidP="00EE2A53">
      <w:pPr>
        <w:pStyle w:val="NoteText"/>
        <w:ind w:left="1679" w:firstLine="481"/>
        <w:rPr>
          <w:color w:val="000000" w:themeColor="text1"/>
          <w:lang w:val="en-US"/>
        </w:rPr>
      </w:pPr>
      <w:r w:rsidRPr="00B40A77">
        <w:rPr>
          <w:color w:val="000000" w:themeColor="text1"/>
          <w:lang w:val="en-US"/>
        </w:rPr>
        <w:t xml:space="preserve">Form 92B </w:t>
      </w:r>
      <w:hyperlink r:id="rId61"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Pr="00B40A77">
          <w:rPr>
            <w:rStyle w:val="Hyperlink"/>
            <w:color w:val="000000" w:themeColor="text1"/>
            <w:lang w:val="en-US"/>
          </w:rPr>
          <w:t>Application for Pre-trial Special Hearing</w:t>
        </w:r>
      </w:hyperlink>
    </w:p>
    <w:p w14:paraId="609D42EA" w14:textId="16D64094" w:rsidR="00EE2A53" w:rsidRPr="00B40A77" w:rsidRDefault="00EE2A53" w:rsidP="00EE2A53">
      <w:pPr>
        <w:pStyle w:val="NoteText"/>
        <w:ind w:left="1679" w:firstLine="481"/>
        <w:rPr>
          <w:color w:val="000000" w:themeColor="text1"/>
          <w:lang w:val="en-US"/>
        </w:rPr>
      </w:pPr>
      <w:r w:rsidRPr="00B40A77">
        <w:rPr>
          <w:color w:val="000000" w:themeColor="text1"/>
          <w:lang w:val="en-US"/>
        </w:rPr>
        <w:t xml:space="preserve">Form 92C </w:t>
      </w:r>
      <w:hyperlink r:id="rId62"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Pr="00B40A77">
          <w:rPr>
            <w:rStyle w:val="Hyperlink"/>
            <w:color w:val="000000" w:themeColor="text1"/>
            <w:lang w:val="en-US"/>
          </w:rPr>
          <w:t>Application for Special Arrangements</w:t>
        </w:r>
      </w:hyperlink>
    </w:p>
    <w:p w14:paraId="70FBDFD9" w14:textId="3478310D" w:rsidR="00EE2A53" w:rsidRPr="00B40A77" w:rsidRDefault="00EE2A53" w:rsidP="00EE2A53">
      <w:pPr>
        <w:pStyle w:val="NoteText"/>
        <w:ind w:left="1679" w:firstLine="481"/>
        <w:rPr>
          <w:color w:val="000000" w:themeColor="text1"/>
          <w:lang w:val="en-US"/>
        </w:rPr>
      </w:pPr>
      <w:r w:rsidRPr="00B40A77">
        <w:rPr>
          <w:color w:val="000000" w:themeColor="text1"/>
          <w:lang w:val="en-US"/>
        </w:rPr>
        <w:t xml:space="preserve">Form </w:t>
      </w:r>
      <w:r w:rsidR="00C63CEA" w:rsidRPr="00B40A77">
        <w:rPr>
          <w:color w:val="000000" w:themeColor="text1"/>
          <w:lang w:val="en-US"/>
        </w:rPr>
        <w:t xml:space="preserve">92D </w:t>
      </w:r>
      <w:hyperlink r:id="rId63"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00C63CEA" w:rsidRPr="00B40A77">
          <w:rPr>
            <w:rStyle w:val="Hyperlink"/>
            <w:color w:val="000000" w:themeColor="text1"/>
            <w:lang w:val="en-US"/>
          </w:rPr>
          <w:t>Application for Hearing by Audio or Audiovisual Link</w:t>
        </w:r>
      </w:hyperlink>
    </w:p>
    <w:p w14:paraId="5AE7A0D6" w14:textId="01FE9DE9" w:rsidR="00C63CEA" w:rsidRPr="00B40A77" w:rsidRDefault="00C63CEA" w:rsidP="00EE2A53">
      <w:pPr>
        <w:pStyle w:val="NoteText"/>
        <w:ind w:left="1679" w:firstLine="481"/>
        <w:rPr>
          <w:color w:val="000000" w:themeColor="text1"/>
          <w:lang w:val="en-US"/>
        </w:rPr>
      </w:pPr>
      <w:r w:rsidRPr="00B40A77">
        <w:rPr>
          <w:color w:val="000000" w:themeColor="text1"/>
          <w:lang w:val="en-US"/>
        </w:rPr>
        <w:t xml:space="preserve">Form 92E </w:t>
      </w:r>
      <w:hyperlink r:id="rId64"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Pr="00B40A77">
          <w:rPr>
            <w:rStyle w:val="Hyperlink"/>
            <w:color w:val="000000" w:themeColor="text1"/>
            <w:lang w:val="en-US"/>
          </w:rPr>
          <w:t>Application for</w:t>
        </w:r>
        <w:r w:rsidR="00B228DD" w:rsidRPr="00B40A77">
          <w:rPr>
            <w:rStyle w:val="Hyperlink"/>
            <w:color w:val="000000" w:themeColor="text1"/>
            <w:lang w:val="en-US"/>
          </w:rPr>
          <w:t xml:space="preserve"> Disclosure of</w:t>
        </w:r>
        <w:r w:rsidRPr="00B40A77">
          <w:rPr>
            <w:rStyle w:val="Hyperlink"/>
            <w:color w:val="000000" w:themeColor="text1"/>
            <w:lang w:val="en-US"/>
          </w:rPr>
          <w:t xml:space="preserve"> Operative’s Identity</w:t>
        </w:r>
      </w:hyperlink>
    </w:p>
    <w:p w14:paraId="61170EDE" w14:textId="1FFCB37C" w:rsidR="00C63CEA" w:rsidRPr="00B40A77" w:rsidRDefault="00C63CEA" w:rsidP="00EE2A53">
      <w:pPr>
        <w:pStyle w:val="NoteText"/>
        <w:ind w:left="1679" w:firstLine="481"/>
        <w:rPr>
          <w:color w:val="000000" w:themeColor="text1"/>
          <w:lang w:val="en-US"/>
        </w:rPr>
      </w:pPr>
      <w:r w:rsidRPr="00B40A77">
        <w:rPr>
          <w:color w:val="000000" w:themeColor="text1"/>
          <w:lang w:val="en-US"/>
        </w:rPr>
        <w:t xml:space="preserve">Form 134 </w:t>
      </w:r>
      <w:hyperlink r:id="rId65" w:history="1">
        <w:r w:rsidR="00662253" w:rsidRPr="00B40A77">
          <w:rPr>
            <w:rStyle w:val="Hyperlink"/>
            <w:color w:val="000000" w:themeColor="text1"/>
          </w:rPr>
          <w:t>Interlocutory</w:t>
        </w:r>
        <w:r w:rsidR="00662253" w:rsidRPr="00B40A77">
          <w:rPr>
            <w:rStyle w:val="Hyperlink"/>
            <w:color w:val="000000" w:themeColor="text1"/>
            <w:lang w:val="en-US"/>
          </w:rPr>
          <w:t xml:space="preserve"> </w:t>
        </w:r>
        <w:r w:rsidRPr="00B40A77">
          <w:rPr>
            <w:rStyle w:val="Hyperlink"/>
            <w:color w:val="000000" w:themeColor="text1"/>
            <w:lang w:val="en-US"/>
          </w:rPr>
          <w:t xml:space="preserve">Application </w:t>
        </w:r>
        <w:r w:rsidR="00950E69" w:rsidRPr="00B40A77">
          <w:rPr>
            <w:rStyle w:val="Hyperlink"/>
            <w:color w:val="000000" w:themeColor="text1"/>
            <w:lang w:val="en-US"/>
          </w:rPr>
          <w:t>for</w:t>
        </w:r>
        <w:r w:rsidRPr="00B40A77">
          <w:rPr>
            <w:rStyle w:val="Hyperlink"/>
            <w:color w:val="000000" w:themeColor="text1"/>
            <w:lang w:val="en-US"/>
          </w:rPr>
          <w:t xml:space="preserve"> Vehicle Forfeiture or Impounding</w:t>
        </w:r>
      </w:hyperlink>
    </w:p>
    <w:p w14:paraId="20E1116C" w14:textId="3C7E6C99" w:rsidR="00C63CEA" w:rsidRPr="00B40A77" w:rsidRDefault="00C63CEA" w:rsidP="00EE2A53">
      <w:pPr>
        <w:pStyle w:val="NoteText"/>
        <w:ind w:left="1679" w:firstLine="481"/>
        <w:rPr>
          <w:color w:val="000000" w:themeColor="text1"/>
          <w:lang w:val="en-US"/>
        </w:rPr>
      </w:pPr>
      <w:r w:rsidRPr="00B40A77">
        <w:rPr>
          <w:color w:val="000000" w:themeColor="text1"/>
          <w:lang w:val="en-US"/>
        </w:rPr>
        <w:t>Form 17</w:t>
      </w:r>
      <w:r w:rsidR="00B228DD" w:rsidRPr="00B40A77">
        <w:rPr>
          <w:color w:val="000000" w:themeColor="text1"/>
          <w:lang w:val="en-US"/>
        </w:rPr>
        <w:t>2A</w:t>
      </w:r>
      <w:r w:rsidRPr="00B40A77">
        <w:rPr>
          <w:color w:val="000000" w:themeColor="text1"/>
          <w:lang w:val="en-US"/>
        </w:rPr>
        <w:t xml:space="preserve"> </w:t>
      </w:r>
      <w:hyperlink r:id="rId66" w:history="1">
        <w:r w:rsidR="00B87E16" w:rsidRPr="00B40A77">
          <w:rPr>
            <w:rStyle w:val="Hyperlink"/>
            <w:color w:val="000000" w:themeColor="text1"/>
            <w:lang w:val="en-US"/>
          </w:rPr>
          <w:t xml:space="preserve">Interlocutory </w:t>
        </w:r>
        <w:r w:rsidRPr="00B40A77">
          <w:rPr>
            <w:rStyle w:val="Hyperlink"/>
            <w:color w:val="000000" w:themeColor="text1"/>
            <w:lang w:val="en-US"/>
          </w:rPr>
          <w:t>Application for Set Aside and Re-</w:t>
        </w:r>
        <w:r w:rsidR="00B228DD" w:rsidRPr="00B40A77">
          <w:rPr>
            <w:rStyle w:val="Hyperlink"/>
            <w:color w:val="000000" w:themeColor="text1"/>
            <w:lang w:val="en-US"/>
          </w:rPr>
          <w:t>h</w:t>
        </w:r>
        <w:r w:rsidRPr="00B40A77">
          <w:rPr>
            <w:rStyle w:val="Hyperlink"/>
            <w:color w:val="000000" w:themeColor="text1"/>
            <w:lang w:val="en-US"/>
          </w:rPr>
          <w:t>earing</w:t>
        </w:r>
      </w:hyperlink>
    </w:p>
    <w:p w14:paraId="2BDA2E49" w14:textId="03C8116F" w:rsidR="00EC0CDA" w:rsidRPr="00B40A77" w:rsidRDefault="00EC0CDA" w:rsidP="00EC0CDA">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w:t>
      </w:r>
      <w:r w:rsidR="00FA4048" w:rsidRPr="00B40A77">
        <w:rPr>
          <w:color w:val="000000" w:themeColor="text1"/>
          <w:lang w:val="en-US"/>
        </w:rPr>
        <w:t xml:space="preserve">interlocutory application </w:t>
      </w:r>
      <w:r w:rsidRPr="00B40A77">
        <w:rPr>
          <w:color w:val="000000" w:themeColor="text1"/>
          <w:lang w:val="en-US"/>
        </w:rPr>
        <w:t>must set out—</w:t>
      </w:r>
    </w:p>
    <w:p w14:paraId="6C2E62E9" w14:textId="77777777" w:rsidR="00EC0CDA" w:rsidRPr="00B40A77" w:rsidRDefault="00EC0CDA" w:rsidP="00EC0CDA">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orders sought; and</w:t>
      </w:r>
    </w:p>
    <w:p w14:paraId="4A9584EC" w14:textId="54006DB5" w:rsidR="00EC0CDA" w:rsidRPr="00B40A77" w:rsidRDefault="00EC0CDA" w:rsidP="00EC0CDA">
      <w:pPr>
        <w:pStyle w:val="Doublehangindent"/>
        <w:rPr>
          <w:color w:val="000000" w:themeColor="text1"/>
          <w:lang w:val="en-US"/>
        </w:rPr>
      </w:pPr>
      <w:r w:rsidRPr="00B40A77">
        <w:rPr>
          <w:color w:val="000000" w:themeColor="text1"/>
          <w:lang w:val="en-US"/>
        </w:rPr>
        <w:t>(b)</w:t>
      </w:r>
      <w:r w:rsidRPr="00B40A77">
        <w:rPr>
          <w:color w:val="000000" w:themeColor="text1"/>
          <w:lang w:val="en-US"/>
        </w:rPr>
        <w:tab/>
        <w:t>sufficient particulars of the grounds relied on to enable each other party to consider whether evidence will be necessary in respect of the issues raised</w:t>
      </w:r>
      <w:r w:rsidR="00A24E10" w:rsidRPr="00B40A77">
        <w:rPr>
          <w:color w:val="000000" w:themeColor="text1"/>
          <w:lang w:val="en-US"/>
        </w:rPr>
        <w:t xml:space="preserve"> (which may be addre</w:t>
      </w:r>
      <w:r w:rsidR="000842FC" w:rsidRPr="00B40A77">
        <w:rPr>
          <w:color w:val="000000" w:themeColor="text1"/>
          <w:lang w:val="en-US"/>
        </w:rPr>
        <w:t>s</w:t>
      </w:r>
      <w:r w:rsidR="00A24E10" w:rsidRPr="00B40A77">
        <w:rPr>
          <w:color w:val="000000" w:themeColor="text1"/>
          <w:lang w:val="en-US"/>
        </w:rPr>
        <w:t>sed in a support</w:t>
      </w:r>
      <w:r w:rsidR="000842FC" w:rsidRPr="00B40A77">
        <w:rPr>
          <w:color w:val="000000" w:themeColor="text1"/>
          <w:lang w:val="en-US"/>
        </w:rPr>
        <w:t>ing</w:t>
      </w:r>
      <w:r w:rsidR="00A24E10" w:rsidRPr="00B40A77">
        <w:rPr>
          <w:color w:val="000000" w:themeColor="text1"/>
          <w:lang w:val="en-US"/>
        </w:rPr>
        <w:t xml:space="preserve"> affidavit if a supporting affidavit is filed)</w:t>
      </w:r>
      <w:r w:rsidRPr="00B40A77">
        <w:rPr>
          <w:color w:val="000000" w:themeColor="text1"/>
          <w:lang w:val="en-US"/>
        </w:rPr>
        <w:t>.</w:t>
      </w:r>
    </w:p>
    <w:p w14:paraId="60D61DDB" w14:textId="00FDF03F" w:rsidR="004742FD" w:rsidRPr="00B40A77" w:rsidRDefault="00EC0CDA" w:rsidP="00EC0CDA">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4742FD" w:rsidRPr="00B40A77">
        <w:rPr>
          <w:color w:val="000000" w:themeColor="text1"/>
          <w:lang w:val="en-US"/>
        </w:rPr>
        <w:t>For the avoidance of doubt—</w:t>
      </w:r>
    </w:p>
    <w:p w14:paraId="1D0D6E98" w14:textId="1F277B72" w:rsidR="004742FD" w:rsidRPr="00B40A77" w:rsidRDefault="004742FD" w:rsidP="004742FD">
      <w:pPr>
        <w:pStyle w:val="Doublehangindent"/>
        <w:rPr>
          <w:color w:val="000000" w:themeColor="text1"/>
          <w:lang w:val="en-US"/>
        </w:rPr>
      </w:pPr>
      <w:r w:rsidRPr="00B40A77">
        <w:rPr>
          <w:color w:val="000000" w:themeColor="text1"/>
          <w:lang w:val="en-US"/>
        </w:rPr>
        <w:t>(a)</w:t>
      </w:r>
      <w:r w:rsidRPr="00B40A77">
        <w:rPr>
          <w:color w:val="000000" w:themeColor="text1"/>
          <w:lang w:val="en-US"/>
        </w:rPr>
        <w:tab/>
        <w:t>different orders governed by different rules may be sought in one interlocutory application; and</w:t>
      </w:r>
    </w:p>
    <w:p w14:paraId="48B776F4" w14:textId="45E406EA" w:rsidR="004742FD" w:rsidRPr="00B40A77" w:rsidRDefault="004742FD" w:rsidP="004742F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these Rules prescribe the use of a specific form for an application for a specific order (as opposed to the generic form </w:t>
      </w:r>
      <w:r w:rsidR="00077DEB" w:rsidRPr="00B40A77">
        <w:rPr>
          <w:color w:val="000000" w:themeColor="text1"/>
          <w:lang w:val="en-US"/>
        </w:rPr>
        <w:t>being</w:t>
      </w:r>
      <w:r w:rsidR="00624E74" w:rsidRPr="00B40A77">
        <w:rPr>
          <w:color w:val="000000" w:themeColor="text1"/>
          <w:lang w:val="en-US"/>
        </w:rPr>
        <w:t xml:space="preserve"> Form </w:t>
      </w:r>
      <w:r w:rsidRPr="00B40A77">
        <w:rPr>
          <w:color w:val="000000" w:themeColor="text1"/>
          <w:lang w:val="en-US"/>
        </w:rPr>
        <w:t xml:space="preserve">92), a single interlocutory application may be filed </w:t>
      </w:r>
      <w:r w:rsidR="00DC17EC" w:rsidRPr="00B40A77">
        <w:rPr>
          <w:color w:val="000000" w:themeColor="text1"/>
          <w:lang w:val="en-US"/>
        </w:rPr>
        <w:t>seeking orders governed by different rules provided that the application incorporates the elements of each specific form prescribed to be used for each application if made separately.</w:t>
      </w:r>
    </w:p>
    <w:p w14:paraId="65192A5F" w14:textId="5E82D838" w:rsidR="00EC0CDA" w:rsidRPr="00B40A77" w:rsidRDefault="004742FD" w:rsidP="00EC0CDA">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EC0CDA" w:rsidRPr="00B40A77">
        <w:rPr>
          <w:color w:val="000000" w:themeColor="text1"/>
          <w:lang w:val="en-US"/>
        </w:rPr>
        <w:t xml:space="preserve">An </w:t>
      </w:r>
      <w:r w:rsidR="00FA4048" w:rsidRPr="00B40A77">
        <w:rPr>
          <w:color w:val="000000" w:themeColor="text1"/>
          <w:lang w:val="en-US"/>
        </w:rPr>
        <w:t xml:space="preserve">interlocutory application </w:t>
      </w:r>
      <w:r w:rsidR="00EC0CDA" w:rsidRPr="00B40A77">
        <w:rPr>
          <w:color w:val="000000" w:themeColor="text1"/>
          <w:lang w:val="en-US"/>
        </w:rPr>
        <w:t xml:space="preserve">must </w:t>
      </w:r>
      <w:r w:rsidR="00EC0CDA" w:rsidRPr="00B40A77">
        <w:rPr>
          <w:iCs/>
          <w:color w:val="000000" w:themeColor="text1"/>
          <w:lang w:val="en-US"/>
        </w:rPr>
        <w:t>be supported by an affidavit</w:t>
      </w:r>
      <w:r w:rsidR="00EC0CDA" w:rsidRPr="00B40A77">
        <w:rPr>
          <w:color w:val="000000" w:themeColor="text1"/>
          <w:lang w:val="en-US"/>
        </w:rPr>
        <w:t>—</w:t>
      </w:r>
    </w:p>
    <w:p w14:paraId="117B7A26" w14:textId="455FE25D" w:rsidR="00EC0CDA" w:rsidRPr="00B40A77" w:rsidRDefault="00EC0CDA" w:rsidP="00EC0CD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it is an application </w:t>
      </w:r>
      <w:r w:rsidR="007323A2" w:rsidRPr="00B40A77">
        <w:rPr>
          <w:color w:val="000000" w:themeColor="text1"/>
          <w:lang w:val="en-US"/>
        </w:rPr>
        <w:t>under section</w:t>
      </w:r>
      <w:r w:rsidR="0068622B" w:rsidRPr="00B40A77">
        <w:rPr>
          <w:color w:val="000000" w:themeColor="text1"/>
          <w:lang w:val="en-US"/>
        </w:rPr>
        <w:t> </w:t>
      </w:r>
      <w:r w:rsidR="007323A2" w:rsidRPr="00B40A77">
        <w:rPr>
          <w:color w:val="000000" w:themeColor="text1"/>
          <w:lang w:val="en-US"/>
        </w:rPr>
        <w:t>3A(1) or</w:t>
      </w:r>
      <w:r w:rsidR="0068622B" w:rsidRPr="00B40A77">
        <w:rPr>
          <w:color w:val="000000" w:themeColor="text1"/>
          <w:lang w:val="en-US"/>
        </w:rPr>
        <w:t> </w:t>
      </w:r>
      <w:r w:rsidRPr="00B40A77">
        <w:rPr>
          <w:color w:val="000000" w:themeColor="text1"/>
          <w:lang w:val="en-US"/>
        </w:rPr>
        <w:t xml:space="preserve">19A </w:t>
      </w:r>
      <w:r w:rsidR="00C25F0A" w:rsidRPr="00B40A77">
        <w:rPr>
          <w:color w:val="000000" w:themeColor="text1"/>
          <w:lang w:val="en-US"/>
        </w:rPr>
        <w:t>or governed by section</w:t>
      </w:r>
      <w:r w:rsidR="0068622B" w:rsidRPr="00B40A77">
        <w:rPr>
          <w:color w:val="000000" w:themeColor="text1"/>
          <w:lang w:val="en-US"/>
        </w:rPr>
        <w:t> </w:t>
      </w:r>
      <w:r w:rsidR="00C25F0A" w:rsidRPr="00B40A77">
        <w:rPr>
          <w:color w:val="000000" w:themeColor="text1"/>
          <w:lang w:val="en-US"/>
        </w:rPr>
        <w:t xml:space="preserve">10A </w:t>
      </w:r>
      <w:r w:rsidRPr="00B40A77">
        <w:rPr>
          <w:color w:val="000000" w:themeColor="text1"/>
          <w:lang w:val="en-US"/>
        </w:rPr>
        <w:t>of the Bail Act; or</w:t>
      </w:r>
    </w:p>
    <w:p w14:paraId="4909AC0A" w14:textId="36552F3A" w:rsidR="00EC0CDA" w:rsidRPr="00B40A77" w:rsidRDefault="00EC0CDA" w:rsidP="00EC0CDA">
      <w:pPr>
        <w:pStyle w:val="Doublehangindent"/>
        <w:rPr>
          <w:color w:val="000000" w:themeColor="text1"/>
          <w:lang w:val="en-US"/>
        </w:rPr>
      </w:pPr>
      <w:r w:rsidRPr="00B40A77">
        <w:rPr>
          <w:color w:val="000000" w:themeColor="text1"/>
          <w:lang w:val="en-US"/>
        </w:rPr>
        <w:t>(b)</w:t>
      </w:r>
      <w:r w:rsidRPr="00B40A77">
        <w:rPr>
          <w:color w:val="000000" w:themeColor="text1"/>
          <w:lang w:val="en-US"/>
        </w:rPr>
        <w:tab/>
        <w:t>if it re</w:t>
      </w:r>
      <w:r w:rsidR="00F75DB0" w:rsidRPr="00B40A77">
        <w:rPr>
          <w:color w:val="000000" w:themeColor="text1"/>
          <w:lang w:val="en-US"/>
        </w:rPr>
        <w:t xml:space="preserve">lies </w:t>
      </w:r>
      <w:r w:rsidRPr="00B40A77">
        <w:rPr>
          <w:color w:val="000000" w:themeColor="text1"/>
          <w:lang w:val="en-US"/>
        </w:rPr>
        <w:t>on evidence that is potentially contentious.</w:t>
      </w:r>
    </w:p>
    <w:p w14:paraId="24A46723" w14:textId="7262CA4F" w:rsidR="00DC17EC" w:rsidRPr="00B40A77" w:rsidRDefault="00EC0CDA" w:rsidP="00407861">
      <w:pPr>
        <w:pStyle w:val="Hangindent"/>
        <w:rPr>
          <w:color w:val="000000" w:themeColor="text1"/>
          <w:lang w:val="en-US"/>
        </w:rPr>
      </w:pPr>
      <w:r w:rsidRPr="00B40A77">
        <w:rPr>
          <w:color w:val="000000" w:themeColor="text1"/>
          <w:lang w:val="en-US"/>
        </w:rPr>
        <w:t>(</w:t>
      </w:r>
      <w:r w:rsidR="00DC17EC" w:rsidRPr="00B40A77">
        <w:rPr>
          <w:color w:val="000000" w:themeColor="text1"/>
          <w:lang w:val="en-US"/>
        </w:rPr>
        <w:t>5</w:t>
      </w:r>
      <w:r w:rsidRPr="00B40A77">
        <w:rPr>
          <w:color w:val="000000" w:themeColor="text1"/>
          <w:lang w:val="en-US"/>
        </w:rPr>
        <w:t>)</w:t>
      </w:r>
      <w:r w:rsidRPr="00B40A77">
        <w:rPr>
          <w:color w:val="000000" w:themeColor="text1"/>
          <w:lang w:val="en-US"/>
        </w:rPr>
        <w:tab/>
      </w:r>
      <w:r w:rsidR="00DC17EC" w:rsidRPr="00B40A77">
        <w:rPr>
          <w:color w:val="000000" w:themeColor="text1"/>
          <w:lang w:val="en-US"/>
        </w:rPr>
        <w:t>For the avoidance of doubt, a single affidavit may be filed in support of applications governed by different rules (whether one or more interlocutory applications are filed to make the applications) provided that the affidavit complies with the relevant rules and any applicable prescribed form.</w:t>
      </w:r>
    </w:p>
    <w:p w14:paraId="0D1B9077" w14:textId="5918FE2D" w:rsidR="00407861" w:rsidRPr="00B40A77" w:rsidRDefault="00DC17EC" w:rsidP="0033795E">
      <w:pPr>
        <w:pStyle w:val="Hangindent"/>
        <w:keepNext/>
        <w:rPr>
          <w:color w:val="000000" w:themeColor="text1"/>
          <w:lang w:val="en-US"/>
        </w:rPr>
      </w:pPr>
      <w:r w:rsidRPr="00B40A77">
        <w:rPr>
          <w:color w:val="000000" w:themeColor="text1"/>
          <w:lang w:val="en-US"/>
        </w:rPr>
        <w:t>(6)</w:t>
      </w:r>
      <w:r w:rsidRPr="00B40A77">
        <w:rPr>
          <w:color w:val="000000" w:themeColor="text1"/>
          <w:lang w:val="en-US"/>
        </w:rPr>
        <w:tab/>
      </w:r>
      <w:r w:rsidR="00EC0CDA" w:rsidRPr="00B40A77">
        <w:rPr>
          <w:color w:val="000000" w:themeColor="text1"/>
          <w:lang w:val="en-US"/>
        </w:rPr>
        <w:t xml:space="preserve">An </w:t>
      </w:r>
      <w:r w:rsidR="00FA4048" w:rsidRPr="00B40A77">
        <w:rPr>
          <w:color w:val="000000" w:themeColor="text1"/>
          <w:lang w:val="en-US"/>
        </w:rPr>
        <w:t xml:space="preserve">interlocutory application </w:t>
      </w:r>
      <w:r w:rsidR="00EC0CDA" w:rsidRPr="00B40A77">
        <w:rPr>
          <w:color w:val="000000" w:themeColor="text1"/>
          <w:lang w:val="en-US"/>
        </w:rPr>
        <w:t xml:space="preserve">for taking evidence outside </w:t>
      </w:r>
      <w:hyperlink w:anchor="_2.1—Definitions" w:history="1">
        <w:r w:rsidR="00AA6FCA" w:rsidRPr="00B40A77">
          <w:rPr>
            <w:rStyle w:val="Hyperlink"/>
            <w:color w:val="000000" w:themeColor="text1"/>
            <w:lang w:val="en-US"/>
          </w:rPr>
          <w:t>the State</w:t>
        </w:r>
      </w:hyperlink>
      <w:r w:rsidR="00EC0CDA" w:rsidRPr="00B40A77">
        <w:rPr>
          <w:color w:val="000000" w:themeColor="text1"/>
          <w:lang w:val="en-US"/>
        </w:rPr>
        <w:t xml:space="preserve"> must be accompanied by a draft letter of request</w:t>
      </w:r>
      <w:r w:rsidR="00407861" w:rsidRPr="00B40A77">
        <w:rPr>
          <w:color w:val="000000" w:themeColor="text1"/>
          <w:lang w:val="en-US"/>
        </w:rPr>
        <w:t xml:space="preserve"> in </w:t>
      </w:r>
      <w:r w:rsidR="00407861" w:rsidRPr="00B40A77">
        <w:rPr>
          <w:color w:val="000000" w:themeColor="text1"/>
        </w:rPr>
        <w:t xml:space="preserve">the prescribed </w:t>
      </w:r>
      <w:r w:rsidR="00407861" w:rsidRPr="00B40A77">
        <w:rPr>
          <w:color w:val="000000" w:themeColor="text1"/>
          <w:lang w:val="en-US"/>
        </w:rPr>
        <w:t>form.</w:t>
      </w:r>
    </w:p>
    <w:p w14:paraId="7581EAD6" w14:textId="77777777" w:rsidR="00407861" w:rsidRPr="00B40A77" w:rsidRDefault="00407861" w:rsidP="003D6518">
      <w:pPr>
        <w:pStyle w:val="NoteHeader"/>
        <w:keepNext/>
        <w:rPr>
          <w:color w:val="000000" w:themeColor="text1"/>
        </w:rPr>
      </w:pPr>
      <w:r w:rsidRPr="00B40A77">
        <w:rPr>
          <w:color w:val="000000" w:themeColor="text1"/>
        </w:rPr>
        <w:t>Prescribed form—</w:t>
      </w:r>
    </w:p>
    <w:p w14:paraId="141B0A22" w14:textId="2EDBE0F6" w:rsidR="00407861" w:rsidRPr="00B40A77" w:rsidRDefault="00407861" w:rsidP="008E5410">
      <w:pPr>
        <w:pStyle w:val="NoteText"/>
        <w:rPr>
          <w:color w:val="000000" w:themeColor="text1"/>
        </w:rPr>
      </w:pPr>
      <w:r w:rsidRPr="00B40A77">
        <w:rPr>
          <w:color w:val="000000" w:themeColor="text1"/>
        </w:rPr>
        <w:t xml:space="preserve">Form 114 </w:t>
      </w:r>
      <w:hyperlink r:id="rId67" w:history="1">
        <w:r w:rsidRPr="00B40A77">
          <w:rPr>
            <w:rStyle w:val="Hyperlink"/>
            <w:color w:val="000000" w:themeColor="text1"/>
          </w:rPr>
          <w:t xml:space="preserve">Letter of </w:t>
        </w:r>
        <w:r w:rsidR="00B228DD" w:rsidRPr="00B40A77">
          <w:rPr>
            <w:rStyle w:val="Hyperlink"/>
            <w:color w:val="000000" w:themeColor="text1"/>
          </w:rPr>
          <w:t>R</w:t>
        </w:r>
        <w:r w:rsidRPr="00B40A77">
          <w:rPr>
            <w:rStyle w:val="Hyperlink"/>
            <w:color w:val="000000" w:themeColor="text1"/>
          </w:rPr>
          <w:t>equest</w:t>
        </w:r>
      </w:hyperlink>
    </w:p>
    <w:p w14:paraId="7EEB927E" w14:textId="197CBE85" w:rsidR="000A7762" w:rsidRPr="00B40A77" w:rsidRDefault="000A7762" w:rsidP="0089642D">
      <w:pPr>
        <w:pStyle w:val="Hangindent"/>
        <w:keepNext/>
        <w:rPr>
          <w:color w:val="000000" w:themeColor="text1"/>
          <w:lang w:val="en-US"/>
        </w:rPr>
      </w:pPr>
      <w:r w:rsidRPr="00B40A77">
        <w:rPr>
          <w:color w:val="000000" w:themeColor="text1"/>
          <w:lang w:val="en-US"/>
        </w:rPr>
        <w:lastRenderedPageBreak/>
        <w:t>(</w:t>
      </w:r>
      <w:r w:rsidR="00DC17EC" w:rsidRPr="00B40A77">
        <w:rPr>
          <w:color w:val="000000" w:themeColor="text1"/>
          <w:lang w:val="en-US"/>
        </w:rPr>
        <w:t>7</w:t>
      </w:r>
      <w:r w:rsidRPr="00B40A77">
        <w:rPr>
          <w:color w:val="000000" w:themeColor="text1"/>
          <w:lang w:val="en-US"/>
        </w:rPr>
        <w:t>)</w:t>
      </w:r>
      <w:r w:rsidRPr="00B40A77">
        <w:rPr>
          <w:color w:val="000000" w:themeColor="text1"/>
          <w:lang w:val="en-US"/>
        </w:rPr>
        <w:tab/>
        <w:t xml:space="preserve">Unless the Court otherwise orders, an interlocutory application must be filed and served at least </w:t>
      </w:r>
      <w:r w:rsidR="00D07A52" w:rsidRPr="00B40A77">
        <w:rPr>
          <w:color w:val="000000" w:themeColor="text1"/>
          <w:lang w:val="en-US"/>
        </w:rPr>
        <w:t>7</w:t>
      </w:r>
      <w:r w:rsidRPr="00B40A77">
        <w:rPr>
          <w:color w:val="000000" w:themeColor="text1"/>
          <w:lang w:val="en-US"/>
        </w:rPr>
        <w:t xml:space="preserve"> </w:t>
      </w:r>
      <w:hyperlink w:anchor="_2.1—Definitions" w:history="1">
        <w:r w:rsidR="00D07A52" w:rsidRPr="00B40A77">
          <w:rPr>
            <w:rStyle w:val="Hyperlink"/>
            <w:color w:val="000000" w:themeColor="text1"/>
            <w:u w:val="none"/>
            <w:lang w:val="en-US"/>
          </w:rPr>
          <w:t>day</w:t>
        </w:r>
        <w:r w:rsidRPr="00B40A77">
          <w:rPr>
            <w:rStyle w:val="Hyperlink"/>
            <w:color w:val="000000" w:themeColor="text1"/>
            <w:u w:val="none"/>
            <w:lang w:val="en-US"/>
          </w:rPr>
          <w:t>s</w:t>
        </w:r>
      </w:hyperlink>
      <w:r w:rsidRPr="00B40A77">
        <w:rPr>
          <w:color w:val="000000" w:themeColor="text1"/>
          <w:lang w:val="en-US"/>
        </w:rPr>
        <w:t xml:space="preserve"> before </w:t>
      </w:r>
      <w:r w:rsidR="000842FC" w:rsidRPr="00B40A77">
        <w:rPr>
          <w:color w:val="000000" w:themeColor="text1"/>
          <w:lang w:val="en-US"/>
        </w:rPr>
        <w:t>the</w:t>
      </w:r>
      <w:r w:rsidRPr="00B40A77">
        <w:rPr>
          <w:color w:val="000000" w:themeColor="text1"/>
          <w:lang w:val="en-US"/>
        </w:rPr>
        <w:t xml:space="preserve"> </w:t>
      </w:r>
      <w:hyperlink w:anchor="_37.1—Application_of_Part" w:history="1">
        <w:r w:rsidR="00DE5E20" w:rsidRPr="00B40A77">
          <w:rPr>
            <w:rStyle w:val="Hyperlink"/>
            <w:color w:val="000000" w:themeColor="text1"/>
            <w:lang w:val="en-US"/>
          </w:rPr>
          <w:t>hearing</w:t>
        </w:r>
      </w:hyperlink>
      <w:r w:rsidRPr="00B40A77">
        <w:rPr>
          <w:color w:val="000000" w:themeColor="text1"/>
          <w:lang w:val="en-US"/>
        </w:rPr>
        <w:t xml:space="preserve"> at which the orders are to be sought.</w:t>
      </w:r>
    </w:p>
    <w:p w14:paraId="69F02526" w14:textId="4CBCC428" w:rsidR="00E55974" w:rsidRPr="00B40A77" w:rsidRDefault="00E55974" w:rsidP="00E55974">
      <w:pPr>
        <w:pStyle w:val="NoteHeader"/>
        <w:keepNext/>
        <w:rPr>
          <w:color w:val="000000" w:themeColor="text1"/>
        </w:rPr>
      </w:pPr>
      <w:r w:rsidRPr="00B40A77">
        <w:rPr>
          <w:color w:val="000000" w:themeColor="text1"/>
        </w:rPr>
        <w:t>Notes—</w:t>
      </w:r>
    </w:p>
    <w:p w14:paraId="3CCE0616" w14:textId="2B79248A" w:rsidR="00E55974" w:rsidRPr="00B40A77" w:rsidRDefault="00E55974" w:rsidP="00E55974">
      <w:pPr>
        <w:pStyle w:val="NoteText"/>
        <w:rPr>
          <w:color w:val="000000" w:themeColor="text1"/>
        </w:rPr>
      </w:pPr>
      <w:hyperlink w:anchor="_66.1—Time_for_making" w:history="1">
        <w:r w:rsidRPr="00B40A77">
          <w:rPr>
            <w:rStyle w:val="Hyperlink"/>
            <w:color w:val="000000" w:themeColor="text1"/>
          </w:rPr>
          <w:t xml:space="preserve">Rule </w:t>
        </w:r>
        <w:r w:rsidR="00946752" w:rsidRPr="00B40A77">
          <w:rPr>
            <w:rStyle w:val="Hyperlink"/>
            <w:color w:val="000000" w:themeColor="text1"/>
          </w:rPr>
          <w:t>66.1</w:t>
        </w:r>
      </w:hyperlink>
      <w:r w:rsidR="00946752" w:rsidRPr="00B40A77">
        <w:rPr>
          <w:color w:val="000000" w:themeColor="text1"/>
        </w:rPr>
        <w:t xml:space="preserve"> </w:t>
      </w:r>
      <w:r w:rsidR="004C219F" w:rsidRPr="00B40A77">
        <w:rPr>
          <w:color w:val="000000" w:themeColor="text1"/>
        </w:rPr>
        <w:t xml:space="preserve">also </w:t>
      </w:r>
      <w:r w:rsidRPr="00B40A77">
        <w:rPr>
          <w:color w:val="000000" w:themeColor="text1"/>
        </w:rPr>
        <w:t xml:space="preserve">prescribes times by reference to stages of a proceeding by which various applications in the </w:t>
      </w:r>
      <w:hyperlink w:anchor="_2.1—Definitions" w:history="1">
        <w:r w:rsidR="00981911" w:rsidRPr="00B40A77">
          <w:rPr>
            <w:rStyle w:val="Hyperlink"/>
            <w:color w:val="000000" w:themeColor="text1"/>
          </w:rPr>
          <w:t>Lower Court</w:t>
        </w:r>
      </w:hyperlink>
      <w:r w:rsidRPr="00B40A77">
        <w:rPr>
          <w:color w:val="000000" w:themeColor="text1"/>
          <w:u w:val="single"/>
        </w:rPr>
        <w:t>s</w:t>
      </w:r>
      <w:r w:rsidRPr="00B40A77">
        <w:rPr>
          <w:color w:val="000000" w:themeColor="text1"/>
        </w:rPr>
        <w:t xml:space="preserve"> must be made.</w:t>
      </w:r>
    </w:p>
    <w:p w14:paraId="4C7970FB" w14:textId="5CC280A6" w:rsidR="00E55974" w:rsidRPr="00B40A77" w:rsidRDefault="00946752" w:rsidP="00946752">
      <w:pPr>
        <w:pStyle w:val="NoteText"/>
        <w:rPr>
          <w:color w:val="000000" w:themeColor="text1"/>
          <w:lang w:val="en-US"/>
        </w:rPr>
      </w:pPr>
      <w:hyperlink w:anchor="_102.1—Time_for_making" w:history="1">
        <w:r w:rsidRPr="00B40A77">
          <w:rPr>
            <w:rStyle w:val="Hyperlink"/>
            <w:color w:val="000000" w:themeColor="text1"/>
          </w:rPr>
          <w:t>Rule 102.1</w:t>
        </w:r>
      </w:hyperlink>
      <w:r w:rsidRPr="00B40A77">
        <w:rPr>
          <w:color w:val="000000" w:themeColor="text1"/>
        </w:rPr>
        <w:t xml:space="preserve"> </w:t>
      </w:r>
      <w:r w:rsidR="004C219F" w:rsidRPr="00B40A77">
        <w:rPr>
          <w:color w:val="000000" w:themeColor="text1"/>
        </w:rPr>
        <w:t xml:space="preserve">also </w:t>
      </w:r>
      <w:r w:rsidRPr="00B40A77">
        <w:rPr>
          <w:color w:val="000000" w:themeColor="text1"/>
        </w:rPr>
        <w:t xml:space="preserve">prescribes times by reference to stages of a proceeding by which various applications in the </w:t>
      </w:r>
      <w:hyperlink w:anchor="_2.1—Definitions" w:history="1">
        <w:r w:rsidR="001B3359" w:rsidRPr="00B40A77">
          <w:rPr>
            <w:rStyle w:val="Hyperlink"/>
            <w:color w:val="000000" w:themeColor="text1"/>
          </w:rPr>
          <w:t>Higher</w:t>
        </w:r>
        <w:r w:rsidRPr="00B40A77">
          <w:rPr>
            <w:rStyle w:val="Hyperlink"/>
            <w:color w:val="000000" w:themeColor="text1"/>
          </w:rPr>
          <w:t xml:space="preserve"> Court</w:t>
        </w:r>
      </w:hyperlink>
      <w:r w:rsidRPr="00B40A77">
        <w:rPr>
          <w:color w:val="000000" w:themeColor="text1"/>
          <w:u w:val="single"/>
        </w:rPr>
        <w:t>s</w:t>
      </w:r>
      <w:r w:rsidRPr="00B40A77">
        <w:rPr>
          <w:color w:val="000000" w:themeColor="text1"/>
        </w:rPr>
        <w:t xml:space="preserve"> must be made.</w:t>
      </w:r>
    </w:p>
    <w:p w14:paraId="643B90CE" w14:textId="42A4A34E" w:rsidR="00EC0CDA" w:rsidRPr="00B40A77" w:rsidRDefault="00D00AFF" w:rsidP="003B67CF">
      <w:pPr>
        <w:pStyle w:val="Heading4"/>
        <w:rPr>
          <w:color w:val="000000" w:themeColor="text1"/>
        </w:rPr>
      </w:pPr>
      <w:bookmarkStart w:id="342" w:name="_Toc175238891"/>
      <w:r w:rsidRPr="00B40A77">
        <w:rPr>
          <w:color w:val="000000" w:themeColor="text1"/>
        </w:rPr>
        <w:t>39</w:t>
      </w:r>
      <w:r w:rsidR="00EC0CDA" w:rsidRPr="00B40A77">
        <w:rPr>
          <w:color w:val="000000" w:themeColor="text1"/>
        </w:rPr>
        <w:t>.2—Oral application</w:t>
      </w:r>
      <w:bookmarkEnd w:id="342"/>
    </w:p>
    <w:p w14:paraId="52C3554C" w14:textId="7DE73721" w:rsidR="003756AC" w:rsidRPr="00B40A77" w:rsidRDefault="00EC0CDA" w:rsidP="00174664">
      <w:pPr>
        <w:pStyle w:val="IndentedPara"/>
        <w:keepNext/>
        <w:spacing w:before="0"/>
        <w:rPr>
          <w:color w:val="000000" w:themeColor="text1"/>
        </w:rPr>
      </w:pPr>
      <w:r w:rsidRPr="00B40A77">
        <w:rPr>
          <w:color w:val="000000" w:themeColor="text1"/>
        </w:rPr>
        <w:t xml:space="preserve">Unless the Court otherwise orders, </w:t>
      </w:r>
      <w:r w:rsidR="003756AC" w:rsidRPr="00B40A77">
        <w:rPr>
          <w:color w:val="000000" w:themeColor="text1"/>
        </w:rPr>
        <w:t>an</w:t>
      </w:r>
      <w:r w:rsidRPr="00B40A77">
        <w:rPr>
          <w:color w:val="000000" w:themeColor="text1"/>
        </w:rPr>
        <w:t xml:space="preserve"> application</w:t>
      </w:r>
      <w:r w:rsidR="003756AC" w:rsidRPr="00B40A77">
        <w:rPr>
          <w:color w:val="000000" w:themeColor="text1"/>
        </w:rPr>
        <w:t xml:space="preserve"> other</w:t>
      </w:r>
      <w:r w:rsidR="00407861" w:rsidRPr="00B40A77">
        <w:rPr>
          <w:color w:val="000000" w:themeColor="text1"/>
        </w:rPr>
        <w:t xml:space="preserve"> than one referred to in </w:t>
      </w:r>
      <w:hyperlink w:anchor="_39.1—Written_application" w:history="1">
        <w:r w:rsidR="00407861" w:rsidRPr="00B40A77">
          <w:rPr>
            <w:rStyle w:val="Hyperlink"/>
            <w:color w:val="000000" w:themeColor="text1"/>
          </w:rPr>
          <w:t>rule 3</w:t>
        </w:r>
        <w:r w:rsidR="00CE5F51" w:rsidRPr="00B40A77">
          <w:rPr>
            <w:rStyle w:val="Hyperlink"/>
            <w:color w:val="000000" w:themeColor="text1"/>
          </w:rPr>
          <w:t>9</w:t>
        </w:r>
        <w:r w:rsidR="003756AC" w:rsidRPr="00B40A77">
          <w:rPr>
            <w:rStyle w:val="Hyperlink"/>
            <w:color w:val="000000" w:themeColor="text1"/>
          </w:rPr>
          <w:t>.1</w:t>
        </w:r>
      </w:hyperlink>
      <w:r w:rsidR="003756AC" w:rsidRPr="00B40A77">
        <w:rPr>
          <w:color w:val="000000" w:themeColor="text1"/>
        </w:rPr>
        <w:t xml:space="preserve"> </w:t>
      </w:r>
      <w:r w:rsidRPr="00B40A77">
        <w:rPr>
          <w:color w:val="000000" w:themeColor="text1"/>
        </w:rPr>
        <w:t xml:space="preserve">may be made by oral application at a </w:t>
      </w:r>
      <w:hyperlink w:anchor="_37.1—Application_of_Part" w:history="1">
        <w:r w:rsidR="00DE5E20" w:rsidRPr="00B40A77">
          <w:rPr>
            <w:rStyle w:val="Hyperlink"/>
            <w:color w:val="000000" w:themeColor="text1"/>
          </w:rPr>
          <w:t>hearing</w:t>
        </w:r>
      </w:hyperlink>
      <w:r w:rsidR="003756AC" w:rsidRPr="00B40A77">
        <w:rPr>
          <w:color w:val="000000" w:themeColor="text1"/>
        </w:rPr>
        <w:t>.</w:t>
      </w:r>
    </w:p>
    <w:p w14:paraId="539C8BC3" w14:textId="49CE1411" w:rsidR="003756AC" w:rsidRPr="00B40A77" w:rsidRDefault="003756AC" w:rsidP="003B67CF">
      <w:pPr>
        <w:pStyle w:val="NoteHeader"/>
        <w:keepNext/>
        <w:ind w:left="567"/>
        <w:rPr>
          <w:color w:val="000000" w:themeColor="text1"/>
        </w:rPr>
      </w:pPr>
      <w:r w:rsidRPr="00B40A77">
        <w:rPr>
          <w:color w:val="000000" w:themeColor="text1"/>
        </w:rPr>
        <w:t>Examples—</w:t>
      </w:r>
    </w:p>
    <w:p w14:paraId="37AAA2FD" w14:textId="2A3ADFB5" w:rsidR="003756AC" w:rsidRPr="00B40A77" w:rsidRDefault="003756AC" w:rsidP="00C9577F">
      <w:pPr>
        <w:pStyle w:val="NoteText"/>
        <w:ind w:left="851"/>
        <w:rPr>
          <w:color w:val="000000" w:themeColor="text1"/>
        </w:rPr>
      </w:pPr>
      <w:r w:rsidRPr="00B40A77">
        <w:rPr>
          <w:color w:val="000000" w:themeColor="text1"/>
        </w:rPr>
        <w:t xml:space="preserve">The following are examples of applications that can </w:t>
      </w:r>
      <w:r w:rsidR="00C53698" w:rsidRPr="00B40A77">
        <w:rPr>
          <w:color w:val="000000" w:themeColor="text1"/>
        </w:rPr>
        <w:t>generally</w:t>
      </w:r>
      <w:r w:rsidRPr="00B40A77">
        <w:rPr>
          <w:color w:val="000000" w:themeColor="text1"/>
        </w:rPr>
        <w:t xml:space="preserve"> (unless they cannot reasonably be made </w:t>
      </w:r>
      <w:hyperlink w:anchor="_2.1—Definitions" w:history="1">
        <w:r w:rsidR="00EE525A" w:rsidRPr="00B40A77">
          <w:rPr>
            <w:rStyle w:val="Hyperlink"/>
            <w:color w:val="000000" w:themeColor="text1"/>
            <w:lang w:val="en-US"/>
          </w:rPr>
          <w:t>without notice</w:t>
        </w:r>
      </w:hyperlink>
      <w:r w:rsidRPr="00B40A77">
        <w:rPr>
          <w:color w:val="000000" w:themeColor="text1"/>
        </w:rPr>
        <w:t>) be made orally at a hearing—</w:t>
      </w:r>
    </w:p>
    <w:p w14:paraId="14C2B722" w14:textId="1A9415B2" w:rsidR="00EC0CDA" w:rsidRPr="00B40A77" w:rsidRDefault="00EC0CDA" w:rsidP="00C9577F">
      <w:pPr>
        <w:pStyle w:val="NoteText"/>
        <w:ind w:left="851"/>
        <w:rPr>
          <w:color w:val="000000" w:themeColor="text1"/>
        </w:rPr>
      </w:pPr>
      <w:r w:rsidRPr="00B40A77">
        <w:rPr>
          <w:color w:val="000000" w:themeColor="text1"/>
          <w:lang w:val="en-US"/>
        </w:rPr>
        <w:t>(</w:t>
      </w:r>
      <w:r w:rsidR="003756AC" w:rsidRPr="00B40A77">
        <w:rPr>
          <w:color w:val="000000" w:themeColor="text1"/>
        </w:rPr>
        <w:t>1</w:t>
      </w:r>
      <w:r w:rsidRPr="00B40A77">
        <w:rPr>
          <w:color w:val="000000" w:themeColor="text1"/>
        </w:rPr>
        <w:t>)</w:t>
      </w:r>
      <w:r w:rsidRPr="00B40A77">
        <w:rPr>
          <w:color w:val="000000" w:themeColor="text1"/>
        </w:rPr>
        <w:tab/>
        <w:t>an application to amend the Information;</w:t>
      </w:r>
    </w:p>
    <w:p w14:paraId="0CF84EB3" w14:textId="624560E5" w:rsidR="00EC0CDA" w:rsidRPr="00B40A77" w:rsidRDefault="003756AC" w:rsidP="00C9577F">
      <w:pPr>
        <w:pStyle w:val="NoteText"/>
        <w:ind w:left="851"/>
        <w:rPr>
          <w:color w:val="000000" w:themeColor="text1"/>
        </w:rPr>
      </w:pPr>
      <w:r w:rsidRPr="00B40A77">
        <w:rPr>
          <w:color w:val="000000" w:themeColor="text1"/>
        </w:rPr>
        <w:t>(2</w:t>
      </w:r>
      <w:r w:rsidR="00CA3A1C" w:rsidRPr="00B40A77">
        <w:rPr>
          <w:color w:val="000000" w:themeColor="text1"/>
        </w:rPr>
        <w:t>)</w:t>
      </w:r>
      <w:r w:rsidR="00CA3A1C" w:rsidRPr="00B40A77">
        <w:rPr>
          <w:color w:val="000000" w:themeColor="text1"/>
        </w:rPr>
        <w:tab/>
        <w:t xml:space="preserve">a </w:t>
      </w:r>
      <w:hyperlink w:anchor="_2.1—Definitions" w:history="1">
        <w:r w:rsidR="007F0A38" w:rsidRPr="00B40A77">
          <w:rPr>
            <w:rStyle w:val="Hyperlink"/>
            <w:color w:val="000000" w:themeColor="text1"/>
          </w:rPr>
          <w:t>bail application</w:t>
        </w:r>
      </w:hyperlink>
      <w:r w:rsidR="007F0A38" w:rsidRPr="00B40A77">
        <w:rPr>
          <w:color w:val="000000" w:themeColor="text1"/>
        </w:rPr>
        <w:t xml:space="preserve"> </w:t>
      </w:r>
      <w:r w:rsidR="00CA3A1C" w:rsidRPr="00B40A77">
        <w:rPr>
          <w:color w:val="000000" w:themeColor="text1"/>
        </w:rPr>
        <w:t>other tha</w:t>
      </w:r>
      <w:r w:rsidR="00407861" w:rsidRPr="00B40A77">
        <w:rPr>
          <w:color w:val="000000" w:themeColor="text1"/>
        </w:rPr>
        <w:t xml:space="preserve">n one referred to in </w:t>
      </w:r>
      <w:hyperlink w:anchor="_39.1—Written_application" w:history="1">
        <w:r w:rsidR="00407861" w:rsidRPr="00B40A77">
          <w:rPr>
            <w:rStyle w:val="Hyperlink"/>
            <w:color w:val="000000" w:themeColor="text1"/>
          </w:rPr>
          <w:t>rule 3</w:t>
        </w:r>
        <w:r w:rsidR="00CE5F51" w:rsidRPr="00B40A77">
          <w:rPr>
            <w:rStyle w:val="Hyperlink"/>
            <w:color w:val="000000" w:themeColor="text1"/>
          </w:rPr>
          <w:t>9</w:t>
        </w:r>
        <w:r w:rsidR="00CA3A1C" w:rsidRPr="00B40A77">
          <w:rPr>
            <w:rStyle w:val="Hyperlink"/>
            <w:color w:val="000000" w:themeColor="text1"/>
          </w:rPr>
          <w:t>.1</w:t>
        </w:r>
      </w:hyperlink>
      <w:r w:rsidR="00EC0CDA" w:rsidRPr="00B40A77">
        <w:rPr>
          <w:color w:val="000000" w:themeColor="text1"/>
        </w:rPr>
        <w:t>;</w:t>
      </w:r>
    </w:p>
    <w:p w14:paraId="4685CE44" w14:textId="77777777" w:rsidR="00C9577F" w:rsidRPr="00B40A77" w:rsidRDefault="003756AC" w:rsidP="00C9577F">
      <w:pPr>
        <w:pStyle w:val="NoteText"/>
        <w:ind w:left="851"/>
        <w:rPr>
          <w:color w:val="000000" w:themeColor="text1"/>
        </w:rPr>
      </w:pPr>
      <w:r w:rsidRPr="00B40A77">
        <w:rPr>
          <w:color w:val="000000" w:themeColor="text1"/>
        </w:rPr>
        <w:t>(3</w:t>
      </w:r>
      <w:r w:rsidR="00EC0CDA" w:rsidRPr="00B40A77">
        <w:rPr>
          <w:color w:val="000000" w:themeColor="text1"/>
        </w:rPr>
        <w:t>)</w:t>
      </w:r>
      <w:r w:rsidR="00C9577F" w:rsidRPr="00B40A77">
        <w:rPr>
          <w:color w:val="000000" w:themeColor="text1"/>
        </w:rPr>
        <w:tab/>
      </w:r>
      <w:r w:rsidR="00EC0CDA" w:rsidRPr="00B40A77">
        <w:rPr>
          <w:color w:val="000000" w:themeColor="text1"/>
        </w:rPr>
        <w:t>an application to issue a bench warrant;</w:t>
      </w:r>
    </w:p>
    <w:p w14:paraId="0EFA5DE7" w14:textId="1AA32AF4" w:rsidR="00726E1A" w:rsidRPr="00B40A77" w:rsidRDefault="00C9577F" w:rsidP="00726E1A">
      <w:pPr>
        <w:pStyle w:val="NoteText"/>
        <w:ind w:left="1436" w:hanging="585"/>
        <w:rPr>
          <w:color w:val="000000" w:themeColor="text1"/>
        </w:rPr>
      </w:pPr>
      <w:r w:rsidRPr="00B40A77">
        <w:rPr>
          <w:color w:val="000000" w:themeColor="text1"/>
        </w:rPr>
        <w:t>(4)</w:t>
      </w:r>
      <w:r w:rsidRPr="00B40A77">
        <w:rPr>
          <w:color w:val="000000" w:themeColor="text1"/>
        </w:rPr>
        <w:tab/>
      </w:r>
      <w:r w:rsidR="00EC0CDA" w:rsidRPr="00B40A77">
        <w:rPr>
          <w:color w:val="000000" w:themeColor="text1"/>
        </w:rPr>
        <w:t>an application</w:t>
      </w:r>
      <w:r w:rsidR="003756AC" w:rsidRPr="00B40A77">
        <w:rPr>
          <w:color w:val="000000" w:themeColor="text1"/>
        </w:rPr>
        <w:t xml:space="preserve"> for leave</w:t>
      </w:r>
      <w:r w:rsidR="00EC0CDA" w:rsidRPr="00B40A77">
        <w:rPr>
          <w:color w:val="000000" w:themeColor="text1"/>
        </w:rPr>
        <w:t xml:space="preserve"> to make a </w:t>
      </w:r>
      <w:hyperlink w:anchor="_122.1—Interpretation" w:history="1">
        <w:r w:rsidR="0023389C" w:rsidRPr="00B40A77">
          <w:rPr>
            <w:rStyle w:val="Hyperlink"/>
            <w:color w:val="000000" w:themeColor="text1"/>
            <w:lang w:val="en-US"/>
          </w:rPr>
          <w:t>subpoena</w:t>
        </w:r>
      </w:hyperlink>
      <w:r w:rsidR="00200F69" w:rsidRPr="00B40A77">
        <w:rPr>
          <w:color w:val="000000" w:themeColor="text1"/>
          <w:lang w:val="en-US"/>
        </w:rPr>
        <w:t xml:space="preserve"> </w:t>
      </w:r>
      <w:r w:rsidR="00EC0CDA" w:rsidRPr="00B40A77">
        <w:rPr>
          <w:color w:val="000000" w:themeColor="text1"/>
        </w:rPr>
        <w:t>for documents returnable before commencement of trial;</w:t>
      </w:r>
    </w:p>
    <w:p w14:paraId="0653ABBA" w14:textId="03215395" w:rsidR="00726E1A" w:rsidRPr="00B40A77" w:rsidRDefault="00726E1A" w:rsidP="00726E1A">
      <w:pPr>
        <w:pStyle w:val="NoteText"/>
        <w:ind w:left="1436" w:hanging="585"/>
        <w:rPr>
          <w:color w:val="000000" w:themeColor="text1"/>
        </w:rPr>
      </w:pPr>
      <w:r w:rsidRPr="00B40A77">
        <w:rPr>
          <w:color w:val="000000" w:themeColor="text1"/>
        </w:rPr>
        <w:t>(5)</w:t>
      </w:r>
      <w:r w:rsidRPr="00B40A77">
        <w:rPr>
          <w:color w:val="000000" w:themeColor="text1"/>
        </w:rPr>
        <w:tab/>
      </w:r>
      <w:r w:rsidR="00EC0CDA" w:rsidRPr="00B40A77">
        <w:rPr>
          <w:color w:val="000000" w:themeColor="text1"/>
        </w:rPr>
        <w:t xml:space="preserve">an application to abridge or extend time for service of a </w:t>
      </w:r>
      <w:hyperlink w:anchor="_122.1—Interpretation" w:history="1">
        <w:r w:rsidR="0023389C" w:rsidRPr="00B40A77">
          <w:rPr>
            <w:rStyle w:val="Hyperlink"/>
            <w:color w:val="000000" w:themeColor="text1"/>
            <w:lang w:val="en-US"/>
          </w:rPr>
          <w:t>subpoena</w:t>
        </w:r>
      </w:hyperlink>
      <w:r w:rsidR="00200F69" w:rsidRPr="00B40A77">
        <w:rPr>
          <w:color w:val="000000" w:themeColor="text1"/>
          <w:lang w:val="en-US"/>
        </w:rPr>
        <w:t xml:space="preserve"> </w:t>
      </w:r>
      <w:r w:rsidR="00EC0CDA" w:rsidRPr="00B40A77">
        <w:rPr>
          <w:color w:val="000000" w:themeColor="text1"/>
        </w:rPr>
        <w:t xml:space="preserve">including a </w:t>
      </w:r>
      <w:hyperlink w:anchor="_122.1—Interpretation" w:history="1">
        <w:r w:rsidR="0023389C" w:rsidRPr="00B40A77">
          <w:rPr>
            <w:rStyle w:val="Hyperlink"/>
            <w:color w:val="000000" w:themeColor="text1"/>
            <w:lang w:val="en-US"/>
          </w:rPr>
          <w:t>subpoena</w:t>
        </w:r>
      </w:hyperlink>
      <w:r w:rsidR="00200F69" w:rsidRPr="00B40A77">
        <w:rPr>
          <w:color w:val="000000" w:themeColor="text1"/>
          <w:lang w:val="en-US"/>
        </w:rPr>
        <w:t xml:space="preserve"> </w:t>
      </w:r>
      <w:r w:rsidR="00EC0CDA" w:rsidRPr="00B40A77">
        <w:rPr>
          <w:color w:val="000000" w:themeColor="text1"/>
        </w:rPr>
        <w:t>served or to be served interstate under section</w:t>
      </w:r>
      <w:r w:rsidR="0068622B" w:rsidRPr="00B40A77">
        <w:rPr>
          <w:color w:val="000000" w:themeColor="text1"/>
        </w:rPr>
        <w:t> </w:t>
      </w:r>
      <w:r w:rsidR="00627775" w:rsidRPr="00B40A77">
        <w:rPr>
          <w:color w:val="000000" w:themeColor="text1"/>
        </w:rPr>
        <w:t>29</w:t>
      </w:r>
      <w:r w:rsidR="00EC0CDA" w:rsidRPr="00B40A77">
        <w:rPr>
          <w:color w:val="000000" w:themeColor="text1"/>
        </w:rPr>
        <w:t xml:space="preserve"> of the Service and Execution of Process Act;</w:t>
      </w:r>
    </w:p>
    <w:p w14:paraId="77FDC384" w14:textId="30902923" w:rsidR="00EC0CDA" w:rsidRPr="00B40A77" w:rsidRDefault="00726E1A" w:rsidP="00726E1A">
      <w:pPr>
        <w:pStyle w:val="NoteText"/>
        <w:ind w:left="1436" w:hanging="585"/>
        <w:rPr>
          <w:color w:val="000000" w:themeColor="text1"/>
        </w:rPr>
      </w:pPr>
      <w:r w:rsidRPr="00B40A77">
        <w:rPr>
          <w:color w:val="000000" w:themeColor="text1"/>
        </w:rPr>
        <w:t>(6)</w:t>
      </w:r>
      <w:r w:rsidRPr="00B40A77">
        <w:rPr>
          <w:color w:val="000000" w:themeColor="text1"/>
        </w:rPr>
        <w:tab/>
      </w:r>
      <w:r w:rsidR="00407861" w:rsidRPr="00B40A77">
        <w:rPr>
          <w:color w:val="000000" w:themeColor="text1"/>
        </w:rPr>
        <w:t>an application for leave to inspect</w:t>
      </w:r>
      <w:r w:rsidR="00EC0CDA" w:rsidRPr="00B40A77">
        <w:rPr>
          <w:color w:val="000000" w:themeColor="text1"/>
        </w:rPr>
        <w:t xml:space="preserve"> documents produced </w:t>
      </w:r>
      <w:r w:rsidR="000842FC" w:rsidRPr="00B40A77">
        <w:rPr>
          <w:color w:val="000000" w:themeColor="text1"/>
        </w:rPr>
        <w:t>in response to a</w:t>
      </w:r>
      <w:r w:rsidR="00EC0CDA" w:rsidRPr="00B40A77">
        <w:rPr>
          <w:color w:val="000000" w:themeColor="text1"/>
        </w:rPr>
        <w:t xml:space="preserve"> </w:t>
      </w:r>
      <w:hyperlink w:anchor="_122.1—Interpretation" w:history="1">
        <w:r w:rsidR="0023389C" w:rsidRPr="00B40A77">
          <w:rPr>
            <w:rStyle w:val="Hyperlink"/>
            <w:color w:val="000000" w:themeColor="text1"/>
            <w:lang w:val="en-US"/>
          </w:rPr>
          <w:t>subpoena</w:t>
        </w:r>
      </w:hyperlink>
      <w:r w:rsidR="00352AF7" w:rsidRPr="00B40A77">
        <w:rPr>
          <w:color w:val="000000" w:themeColor="text1"/>
        </w:rPr>
        <w:t>.</w:t>
      </w:r>
    </w:p>
    <w:p w14:paraId="39052582" w14:textId="1215040B" w:rsidR="00EC0CDA" w:rsidRPr="00B40A77" w:rsidRDefault="00D00AFF" w:rsidP="00EC0CDA">
      <w:pPr>
        <w:pStyle w:val="Heading4"/>
        <w:rPr>
          <w:color w:val="000000" w:themeColor="text1"/>
        </w:rPr>
      </w:pPr>
      <w:bookmarkStart w:id="343" w:name="_Toc175238892"/>
      <w:r w:rsidRPr="00B40A77">
        <w:rPr>
          <w:color w:val="000000" w:themeColor="text1"/>
        </w:rPr>
        <w:t>39</w:t>
      </w:r>
      <w:r w:rsidR="00F75DB0" w:rsidRPr="00B40A77">
        <w:rPr>
          <w:color w:val="000000" w:themeColor="text1"/>
        </w:rPr>
        <w:t>.3</w:t>
      </w:r>
      <w:r w:rsidR="00EC0CDA" w:rsidRPr="00B40A77">
        <w:rPr>
          <w:color w:val="000000" w:themeColor="text1"/>
        </w:rPr>
        <w:t>—Draft orders and consents to orders</w:t>
      </w:r>
      <w:bookmarkEnd w:id="343"/>
    </w:p>
    <w:p w14:paraId="157CC95E" w14:textId="3A455D39" w:rsidR="00EC0CDA" w:rsidRPr="00B40A77" w:rsidRDefault="00EC0CDA" w:rsidP="0033795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a party seeks lengthy or detailed orders, the party must file a draft order </w:t>
      </w:r>
      <w:r w:rsidR="00A02F07" w:rsidRPr="00B40A77">
        <w:rPr>
          <w:color w:val="000000" w:themeColor="text1"/>
          <w:lang w:val="en-US"/>
        </w:rPr>
        <w:t>in</w:t>
      </w:r>
      <w:r w:rsidR="00704792" w:rsidRPr="00B40A77">
        <w:rPr>
          <w:color w:val="000000" w:themeColor="text1"/>
          <w:lang w:val="en-US"/>
        </w:rPr>
        <w:t xml:space="preserve"> the prescribed form as an editable</w:t>
      </w:r>
      <w:r w:rsidR="00A02F07" w:rsidRPr="00B40A77">
        <w:rPr>
          <w:color w:val="000000" w:themeColor="text1"/>
          <w:lang w:val="en-US"/>
        </w:rPr>
        <w:t xml:space="preserve"> M</w:t>
      </w:r>
      <w:r w:rsidR="00BC2552" w:rsidRPr="00B40A77">
        <w:rPr>
          <w:color w:val="000000" w:themeColor="text1"/>
          <w:lang w:val="en-US"/>
        </w:rPr>
        <w:t>icrosoft</w:t>
      </w:r>
      <w:r w:rsidR="00A02F07" w:rsidRPr="00B40A77">
        <w:rPr>
          <w:color w:val="000000" w:themeColor="text1"/>
          <w:lang w:val="en-US"/>
        </w:rPr>
        <w:t xml:space="preserve"> Word</w:t>
      </w:r>
      <w:r w:rsidR="009F3ADE" w:rsidRPr="00B40A77">
        <w:rPr>
          <w:color w:val="000000" w:themeColor="text1"/>
          <w:lang w:val="en-US"/>
        </w:rPr>
        <w:t xml:space="preserve"> </w:t>
      </w:r>
      <w:r w:rsidR="00704792" w:rsidRPr="00B40A77">
        <w:rPr>
          <w:color w:val="000000" w:themeColor="text1"/>
          <w:lang w:val="en-US"/>
        </w:rPr>
        <w:t>document</w:t>
      </w:r>
      <w:r w:rsidRPr="00B40A77">
        <w:rPr>
          <w:color w:val="000000" w:themeColor="text1"/>
          <w:lang w:val="en-US"/>
        </w:rPr>
        <w:t>.</w:t>
      </w:r>
    </w:p>
    <w:p w14:paraId="6F45C628" w14:textId="77777777" w:rsidR="00EC0CDA" w:rsidRPr="00B40A77" w:rsidRDefault="00EC0CDA" w:rsidP="003D6518">
      <w:pPr>
        <w:pStyle w:val="NoteHeader"/>
        <w:keepNext/>
        <w:rPr>
          <w:color w:val="000000" w:themeColor="text1"/>
        </w:rPr>
      </w:pPr>
      <w:r w:rsidRPr="00B40A77">
        <w:rPr>
          <w:color w:val="000000" w:themeColor="text1"/>
        </w:rPr>
        <w:t>Prescribed form—</w:t>
      </w:r>
    </w:p>
    <w:p w14:paraId="62CFD069" w14:textId="2586F6EC" w:rsidR="00EC0CDA" w:rsidRPr="00B40A77" w:rsidRDefault="005F37B1" w:rsidP="00EC0CDA">
      <w:pPr>
        <w:pStyle w:val="NoteText"/>
        <w:rPr>
          <w:color w:val="000000" w:themeColor="text1"/>
          <w:u w:val="single"/>
          <w:lang w:val="en-US"/>
        </w:rPr>
      </w:pPr>
      <w:r w:rsidRPr="00B40A77">
        <w:rPr>
          <w:color w:val="000000" w:themeColor="text1"/>
          <w:lang w:val="en-US"/>
        </w:rPr>
        <w:t xml:space="preserve">Form 100 </w:t>
      </w:r>
      <w:hyperlink r:id="rId68" w:history="1">
        <w:r w:rsidRPr="00B40A77">
          <w:rPr>
            <w:rStyle w:val="Hyperlink"/>
            <w:color w:val="000000" w:themeColor="text1"/>
            <w:lang w:val="en-US"/>
          </w:rPr>
          <w:t>Order</w:t>
        </w:r>
      </w:hyperlink>
    </w:p>
    <w:p w14:paraId="435737DE" w14:textId="45BB86B3" w:rsidR="00D01629" w:rsidRPr="00B40A77" w:rsidRDefault="00D01629" w:rsidP="00D01629">
      <w:pPr>
        <w:pStyle w:val="NoteText"/>
        <w:rPr>
          <w:color w:val="000000" w:themeColor="text1"/>
          <w:lang w:val="en-US"/>
        </w:rPr>
      </w:pPr>
      <w:r w:rsidRPr="00B40A77">
        <w:rPr>
          <w:color w:val="000000" w:themeColor="text1"/>
          <w:lang w:val="en-US"/>
        </w:rPr>
        <w:tab/>
        <w:t xml:space="preserve">Form 142 </w:t>
      </w:r>
      <w:hyperlink r:id="rId69" w:history="1">
        <w:r w:rsidRPr="00B40A77">
          <w:rPr>
            <w:rStyle w:val="Hyperlink"/>
            <w:color w:val="000000" w:themeColor="text1"/>
            <w:lang w:val="en-US"/>
          </w:rPr>
          <w:t>Order</w:t>
        </w:r>
      </w:hyperlink>
      <w:r w:rsidRPr="00B40A77">
        <w:rPr>
          <w:color w:val="000000" w:themeColor="text1"/>
          <w:lang w:val="en-US"/>
        </w:rPr>
        <w:t xml:space="preserve"> </w:t>
      </w:r>
    </w:p>
    <w:p w14:paraId="04072541" w14:textId="462B63BF" w:rsidR="00D01629" w:rsidRPr="00B40A77" w:rsidRDefault="00D01629" w:rsidP="00D01629">
      <w:pPr>
        <w:pStyle w:val="NoteText"/>
        <w:rPr>
          <w:color w:val="000000" w:themeColor="text1"/>
          <w:lang w:val="en-US"/>
        </w:rPr>
      </w:pPr>
      <w:r w:rsidRPr="00B40A77">
        <w:rPr>
          <w:color w:val="000000" w:themeColor="text1"/>
          <w:lang w:val="en-US"/>
        </w:rPr>
        <w:tab/>
        <w:t xml:space="preserve">Form 199 </w:t>
      </w:r>
      <w:hyperlink r:id="rId70" w:history="1">
        <w:r w:rsidRPr="00B40A77">
          <w:rPr>
            <w:rStyle w:val="Hyperlink"/>
            <w:color w:val="000000" w:themeColor="text1"/>
            <w:lang w:val="en-US"/>
          </w:rPr>
          <w:t>Order</w:t>
        </w:r>
      </w:hyperlink>
      <w:r w:rsidRPr="00B40A77">
        <w:rPr>
          <w:color w:val="000000" w:themeColor="text1"/>
          <w:u w:val="single"/>
          <w:lang w:val="en-US"/>
        </w:rPr>
        <w:t xml:space="preserve"> </w:t>
      </w:r>
    </w:p>
    <w:p w14:paraId="597B2AED" w14:textId="77777777" w:rsidR="00EC0CDA" w:rsidRPr="00B40A77" w:rsidRDefault="00EC0CDA" w:rsidP="0033795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A party may consent to an order by filing and serving a consent to order in the prescribed form.</w:t>
      </w:r>
    </w:p>
    <w:p w14:paraId="652ABDAE" w14:textId="77777777" w:rsidR="00EC0CDA" w:rsidRPr="00B40A77" w:rsidRDefault="00EC0CDA" w:rsidP="003D6518">
      <w:pPr>
        <w:pStyle w:val="NoteHeader"/>
        <w:keepNext/>
        <w:rPr>
          <w:color w:val="000000" w:themeColor="text1"/>
        </w:rPr>
      </w:pPr>
      <w:r w:rsidRPr="00B40A77">
        <w:rPr>
          <w:color w:val="000000" w:themeColor="text1"/>
        </w:rPr>
        <w:t>Prescribed form—</w:t>
      </w:r>
    </w:p>
    <w:p w14:paraId="33BBB885" w14:textId="099E68F6" w:rsidR="00EC0CDA" w:rsidRPr="00B40A77" w:rsidRDefault="0041097B" w:rsidP="00EC0CDA">
      <w:pPr>
        <w:pStyle w:val="NoteText"/>
        <w:rPr>
          <w:rStyle w:val="Hyperlink"/>
          <w:color w:val="000000" w:themeColor="text1"/>
          <w:lang w:val="en-US"/>
        </w:rPr>
      </w:pPr>
      <w:r w:rsidRPr="00B40A77">
        <w:rPr>
          <w:color w:val="000000" w:themeColor="text1"/>
          <w:lang w:val="en-US"/>
        </w:rPr>
        <w:t>Form 96</w:t>
      </w:r>
      <w:r w:rsidR="00EC0CDA" w:rsidRPr="00B40A77">
        <w:rPr>
          <w:color w:val="000000" w:themeColor="text1"/>
          <w:lang w:val="en-US"/>
        </w:rPr>
        <w:t xml:space="preserve"> </w:t>
      </w:r>
      <w:hyperlink r:id="rId71" w:history="1">
        <w:r w:rsidR="00EC0CDA" w:rsidRPr="00B40A77">
          <w:rPr>
            <w:rStyle w:val="Hyperlink"/>
            <w:color w:val="000000" w:themeColor="text1"/>
            <w:lang w:val="en-US"/>
          </w:rPr>
          <w:t>Consent to Order</w:t>
        </w:r>
      </w:hyperlink>
    </w:p>
    <w:p w14:paraId="4EAC97F1" w14:textId="01C8A2A4" w:rsidR="00BE3F90" w:rsidRPr="00B40A77" w:rsidRDefault="00D00AFF" w:rsidP="00BE3F90">
      <w:pPr>
        <w:pStyle w:val="Heading4"/>
        <w:rPr>
          <w:color w:val="000000" w:themeColor="text1"/>
        </w:rPr>
      </w:pPr>
      <w:bookmarkStart w:id="344" w:name="_39.4—Summons_to_witness"/>
      <w:bookmarkStart w:id="345" w:name="_Toc175238893"/>
      <w:bookmarkEnd w:id="344"/>
      <w:r w:rsidRPr="00B40A77">
        <w:rPr>
          <w:color w:val="000000" w:themeColor="text1"/>
        </w:rPr>
        <w:t>39</w:t>
      </w:r>
      <w:r w:rsidR="00BE3F90" w:rsidRPr="00B40A77">
        <w:rPr>
          <w:color w:val="000000" w:themeColor="text1"/>
        </w:rPr>
        <w:t>.4—</w:t>
      </w:r>
      <w:r w:rsidR="0023389C" w:rsidRPr="00B40A77">
        <w:rPr>
          <w:color w:val="000000" w:themeColor="text1"/>
        </w:rPr>
        <w:t>Subpoena</w:t>
      </w:r>
      <w:bookmarkEnd w:id="345"/>
    </w:p>
    <w:p w14:paraId="4E4DCD98" w14:textId="45D65911" w:rsidR="00BE3F90" w:rsidRPr="00B40A77" w:rsidRDefault="00BE3F90" w:rsidP="0033795E">
      <w:pPr>
        <w:pStyle w:val="Hangindent"/>
        <w:keepNext/>
        <w:ind w:left="567" w:firstLine="0"/>
        <w:rPr>
          <w:color w:val="000000" w:themeColor="text1"/>
          <w:lang w:val="en-US"/>
        </w:rPr>
      </w:pPr>
      <w:r w:rsidRPr="00B40A77">
        <w:rPr>
          <w:color w:val="000000" w:themeColor="text1"/>
          <w:lang w:val="en-US"/>
        </w:rPr>
        <w:t xml:space="preserve">A </w:t>
      </w:r>
      <w:hyperlink w:anchor="_122.1—Interpretation" w:history="1">
        <w:r w:rsidR="0023389C" w:rsidRPr="00B40A77">
          <w:rPr>
            <w:rStyle w:val="Hyperlink"/>
            <w:color w:val="000000" w:themeColor="text1"/>
            <w:lang w:val="en-US"/>
          </w:rPr>
          <w:t>subpoena</w:t>
        </w:r>
      </w:hyperlink>
      <w:r w:rsidR="00200F69" w:rsidRPr="00B40A77">
        <w:rPr>
          <w:color w:val="000000" w:themeColor="text1"/>
          <w:lang w:val="en-US"/>
        </w:rPr>
        <w:t xml:space="preserve"> </w:t>
      </w:r>
      <w:r w:rsidRPr="00B40A77">
        <w:rPr>
          <w:color w:val="000000" w:themeColor="text1"/>
          <w:lang w:val="en-US"/>
        </w:rPr>
        <w:t xml:space="preserve">for the purpose of a </w:t>
      </w:r>
      <w:hyperlink w:anchor="_37.1—Application_of_Part" w:history="1">
        <w:r w:rsidR="00DE5E20" w:rsidRPr="00B40A77">
          <w:rPr>
            <w:rStyle w:val="Hyperlink"/>
            <w:color w:val="000000" w:themeColor="text1"/>
            <w:lang w:val="en-US"/>
          </w:rPr>
          <w:t>hearing</w:t>
        </w:r>
      </w:hyperlink>
      <w:r w:rsidRPr="00B40A77">
        <w:rPr>
          <w:color w:val="000000" w:themeColor="text1"/>
          <w:lang w:val="en-US"/>
        </w:rPr>
        <w:t xml:space="preserve"> other than a </w:t>
      </w:r>
      <w:hyperlink w:anchor="_2.1—Definitions" w:history="1">
        <w:r w:rsidRPr="00B40A77">
          <w:rPr>
            <w:rStyle w:val="Hyperlink"/>
            <w:color w:val="000000" w:themeColor="text1"/>
            <w:lang w:val="en-US"/>
          </w:rPr>
          <w:t>trial</w:t>
        </w:r>
      </w:hyperlink>
      <w:r w:rsidRPr="00B40A77">
        <w:rPr>
          <w:color w:val="000000" w:themeColor="text1"/>
          <w:lang w:val="en-US"/>
        </w:rPr>
        <w:t xml:space="preserve"> may only be issued with leave of the Court.</w:t>
      </w:r>
    </w:p>
    <w:p w14:paraId="68440ABA" w14:textId="7237EF67" w:rsidR="001B529B" w:rsidRPr="00B40A77" w:rsidRDefault="001B529B" w:rsidP="00E13A93">
      <w:pPr>
        <w:pStyle w:val="NoteHeader"/>
        <w:keepNext/>
        <w:ind w:left="567"/>
        <w:rPr>
          <w:color w:val="000000" w:themeColor="text1"/>
        </w:rPr>
      </w:pPr>
      <w:r w:rsidRPr="00B40A77">
        <w:rPr>
          <w:color w:val="000000" w:themeColor="text1"/>
        </w:rPr>
        <w:t>Note—</w:t>
      </w:r>
    </w:p>
    <w:p w14:paraId="372D4712" w14:textId="4B23A955" w:rsidR="00BE3F90" w:rsidRPr="00B40A77" w:rsidRDefault="00BE3F90" w:rsidP="00592C28">
      <w:pPr>
        <w:pStyle w:val="NoteText"/>
        <w:ind w:left="851"/>
        <w:rPr>
          <w:color w:val="000000" w:themeColor="text1"/>
          <w:lang w:val="en-US"/>
        </w:rPr>
      </w:pPr>
      <w:r w:rsidRPr="00B40A77">
        <w:rPr>
          <w:color w:val="000000" w:themeColor="text1"/>
          <w:lang w:val="en-US"/>
        </w:rPr>
        <w:t xml:space="preserve">The issue of </w:t>
      </w:r>
      <w:r w:rsidR="005D0D70" w:rsidRPr="00B40A77">
        <w:rPr>
          <w:color w:val="000000" w:themeColor="text1"/>
          <w:lang w:val="en-US"/>
        </w:rPr>
        <w:t>summons</w:t>
      </w:r>
      <w:r w:rsidR="000842FC" w:rsidRPr="00B40A77">
        <w:rPr>
          <w:color w:val="000000" w:themeColor="text1"/>
          <w:lang w:val="en-US"/>
        </w:rPr>
        <w:t>es</w:t>
      </w:r>
      <w:r w:rsidR="005D0D70" w:rsidRPr="00B40A77">
        <w:rPr>
          <w:color w:val="000000" w:themeColor="text1"/>
          <w:lang w:val="en-US"/>
        </w:rPr>
        <w:t xml:space="preserve"> to </w:t>
      </w:r>
      <w:r w:rsidR="000842FC" w:rsidRPr="00B40A77">
        <w:rPr>
          <w:color w:val="000000" w:themeColor="text1"/>
          <w:lang w:val="en-US"/>
        </w:rPr>
        <w:t>witnesses</w:t>
      </w:r>
      <w:r w:rsidRPr="00B40A77">
        <w:rPr>
          <w:color w:val="000000" w:themeColor="text1"/>
          <w:lang w:val="en-US"/>
        </w:rPr>
        <w:t xml:space="preserve"> is governed by </w:t>
      </w:r>
      <w:hyperlink w:anchor="_Division_1—Introduction" w:history="1">
        <w:r w:rsidRPr="00B40A77">
          <w:rPr>
            <w:rStyle w:val="Hyperlink"/>
            <w:color w:val="000000" w:themeColor="text1"/>
            <w:lang w:val="en-US"/>
          </w:rPr>
          <w:t>Chapter</w:t>
        </w:r>
        <w:r w:rsidR="00582B40" w:rsidRPr="00B40A77">
          <w:rPr>
            <w:rStyle w:val="Hyperlink"/>
            <w:color w:val="000000" w:themeColor="text1"/>
            <w:lang w:val="en-US"/>
          </w:rPr>
          <w:t> </w:t>
        </w:r>
        <w:r w:rsidR="00D742B2" w:rsidRPr="00B40A77">
          <w:rPr>
            <w:rStyle w:val="Hyperlink"/>
            <w:color w:val="000000" w:themeColor="text1"/>
            <w:lang w:val="en-US"/>
          </w:rPr>
          <w:t>6</w:t>
        </w:r>
        <w:r w:rsidRPr="00B40A77">
          <w:rPr>
            <w:rStyle w:val="Hyperlink"/>
            <w:color w:val="000000" w:themeColor="text1"/>
            <w:lang w:val="en-US"/>
          </w:rPr>
          <w:t xml:space="preserve"> Part</w:t>
        </w:r>
        <w:r w:rsidR="00582B40" w:rsidRPr="00B40A77">
          <w:rPr>
            <w:rStyle w:val="Hyperlink"/>
            <w:color w:val="000000" w:themeColor="text1"/>
            <w:lang w:val="en-US"/>
          </w:rPr>
          <w:t> </w:t>
        </w:r>
        <w:r w:rsidR="00D742B2" w:rsidRPr="00B40A77">
          <w:rPr>
            <w:rStyle w:val="Hyperlink"/>
            <w:color w:val="000000" w:themeColor="text1"/>
            <w:lang w:val="en-US"/>
          </w:rPr>
          <w:t>2</w:t>
        </w:r>
        <w:r w:rsidR="00093DF0" w:rsidRPr="00B40A77">
          <w:rPr>
            <w:rStyle w:val="Hyperlink"/>
            <w:color w:val="000000" w:themeColor="text1"/>
            <w:lang w:val="en-US"/>
          </w:rPr>
          <w:t xml:space="preserve"> Division</w:t>
        </w:r>
        <w:r w:rsidR="00582B40" w:rsidRPr="00B40A77">
          <w:rPr>
            <w:rStyle w:val="Hyperlink"/>
            <w:color w:val="000000" w:themeColor="text1"/>
            <w:lang w:val="en-US"/>
          </w:rPr>
          <w:t> </w:t>
        </w:r>
        <w:r w:rsidR="00093DF0" w:rsidRPr="00B40A77">
          <w:rPr>
            <w:rStyle w:val="Hyperlink"/>
            <w:color w:val="000000" w:themeColor="text1"/>
            <w:lang w:val="en-US"/>
          </w:rPr>
          <w:t>1</w:t>
        </w:r>
      </w:hyperlink>
      <w:r w:rsidRPr="00B40A77">
        <w:rPr>
          <w:color w:val="000000" w:themeColor="text1"/>
          <w:lang w:val="en-US"/>
        </w:rPr>
        <w:t>.</w:t>
      </w:r>
    </w:p>
    <w:p w14:paraId="65CDA400" w14:textId="6B3BD20D" w:rsidR="00EC0CDA" w:rsidRPr="00B40A77" w:rsidRDefault="00363405" w:rsidP="00660432">
      <w:pPr>
        <w:pStyle w:val="Heading3"/>
        <w:rPr>
          <w:color w:val="000000" w:themeColor="text1"/>
        </w:rPr>
      </w:pPr>
      <w:bookmarkStart w:id="346" w:name="_Toc175238894"/>
      <w:r w:rsidRPr="00B40A77">
        <w:rPr>
          <w:color w:val="000000" w:themeColor="text1"/>
        </w:rPr>
        <w:t>Division 4</w:t>
      </w:r>
      <w:r w:rsidR="00EC0CDA" w:rsidRPr="00B40A77">
        <w:rPr>
          <w:color w:val="000000" w:themeColor="text1"/>
        </w:rPr>
        <w:t>—Orders</w:t>
      </w:r>
      <w:bookmarkEnd w:id="346"/>
    </w:p>
    <w:p w14:paraId="2C0546D6" w14:textId="5A190FBC" w:rsidR="00230F03" w:rsidRPr="00B40A77" w:rsidRDefault="00230F03" w:rsidP="00230F03">
      <w:pPr>
        <w:pStyle w:val="Heading3"/>
        <w:rPr>
          <w:color w:val="000000" w:themeColor="text1"/>
        </w:rPr>
      </w:pPr>
      <w:bookmarkStart w:id="347" w:name="_Toc175238895"/>
      <w:r w:rsidRPr="00B40A77">
        <w:rPr>
          <w:color w:val="000000" w:themeColor="text1"/>
        </w:rPr>
        <w:t xml:space="preserve">Subdivision </w:t>
      </w:r>
      <w:r w:rsidR="00F369E2" w:rsidRPr="00B40A77">
        <w:rPr>
          <w:color w:val="000000" w:themeColor="text1"/>
        </w:rPr>
        <w:t>1</w:t>
      </w:r>
      <w:r w:rsidRPr="00B40A77">
        <w:rPr>
          <w:color w:val="000000" w:themeColor="text1"/>
        </w:rPr>
        <w:t>—General</w:t>
      </w:r>
      <w:bookmarkEnd w:id="347"/>
    </w:p>
    <w:p w14:paraId="29D25F30" w14:textId="3E43ACDC" w:rsidR="00660432" w:rsidRPr="00B40A77" w:rsidRDefault="00D00AFF" w:rsidP="00660432">
      <w:pPr>
        <w:pStyle w:val="Heading4"/>
        <w:rPr>
          <w:color w:val="000000" w:themeColor="text1"/>
        </w:rPr>
      </w:pPr>
      <w:bookmarkStart w:id="348" w:name="_40.1—Orders_not_in"/>
      <w:bookmarkStart w:id="349" w:name="_Toc175238896"/>
      <w:bookmarkEnd w:id="348"/>
      <w:r w:rsidRPr="00B40A77">
        <w:rPr>
          <w:color w:val="000000" w:themeColor="text1"/>
        </w:rPr>
        <w:t>40</w:t>
      </w:r>
      <w:r w:rsidR="002A3AF2" w:rsidRPr="00B40A77">
        <w:rPr>
          <w:color w:val="000000" w:themeColor="text1"/>
        </w:rPr>
        <w:t>.1</w:t>
      </w:r>
      <w:r w:rsidR="00660432" w:rsidRPr="00B40A77">
        <w:rPr>
          <w:color w:val="000000" w:themeColor="text1"/>
        </w:rPr>
        <w:t>—Orders not in presence of parties</w:t>
      </w:r>
      <w:bookmarkEnd w:id="349"/>
    </w:p>
    <w:p w14:paraId="069A7B79" w14:textId="77777777" w:rsidR="00660432" w:rsidRPr="00B40A77" w:rsidRDefault="00660432" w:rsidP="00660432">
      <w:pPr>
        <w:pStyle w:val="IndentedPara"/>
        <w:rPr>
          <w:color w:val="000000" w:themeColor="text1"/>
        </w:rPr>
      </w:pPr>
      <w:r w:rsidRPr="00B40A77">
        <w:rPr>
          <w:color w:val="000000" w:themeColor="text1"/>
        </w:rPr>
        <w:t>The Court may make orders in a proceeding other than in the presence of the parties if—</w:t>
      </w:r>
    </w:p>
    <w:p w14:paraId="6F7F8BEC" w14:textId="3223F8A6" w:rsidR="00660432" w:rsidRPr="00B40A77" w:rsidRDefault="00660432" w:rsidP="00660432">
      <w:pPr>
        <w:pStyle w:val="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it is </w:t>
      </w:r>
      <w:hyperlink w:anchor="_2.1—Definitions" w:history="1">
        <w:r w:rsidRPr="00B40A77">
          <w:rPr>
            <w:rStyle w:val="Hyperlink"/>
            <w:color w:val="000000" w:themeColor="text1"/>
            <w:lang w:val="en-US"/>
          </w:rPr>
          <w:t>by consent</w:t>
        </w:r>
      </w:hyperlink>
      <w:r w:rsidR="002A3AF2" w:rsidRPr="00B40A77">
        <w:rPr>
          <w:rStyle w:val="Hyperlink"/>
          <w:color w:val="000000" w:themeColor="text1"/>
          <w:u w:val="none"/>
          <w:lang w:val="en-US"/>
        </w:rPr>
        <w:t xml:space="preserve"> or not contentious</w:t>
      </w:r>
      <w:r w:rsidRPr="00B40A77">
        <w:rPr>
          <w:color w:val="000000" w:themeColor="text1"/>
          <w:lang w:val="en-US"/>
        </w:rPr>
        <w:t>;</w:t>
      </w:r>
    </w:p>
    <w:p w14:paraId="0B27DB11" w14:textId="77777777" w:rsidR="00660432" w:rsidRPr="00B40A77" w:rsidRDefault="00660432" w:rsidP="00660432">
      <w:pPr>
        <w:pStyle w:val="Hangindent"/>
        <w:rPr>
          <w:color w:val="000000" w:themeColor="text1"/>
          <w:lang w:val="en-US"/>
        </w:rPr>
      </w:pPr>
      <w:r w:rsidRPr="00B40A77">
        <w:rPr>
          <w:color w:val="000000" w:themeColor="text1"/>
          <w:lang w:val="en-US"/>
        </w:rPr>
        <w:t>(b)</w:t>
      </w:r>
      <w:r w:rsidRPr="00B40A77">
        <w:rPr>
          <w:color w:val="000000" w:themeColor="text1"/>
          <w:lang w:val="en-US"/>
        </w:rPr>
        <w:tab/>
        <w:t>a determination is to be made on written submissions;</w:t>
      </w:r>
    </w:p>
    <w:p w14:paraId="130BD83F" w14:textId="77777777" w:rsidR="00660432" w:rsidRPr="00B40A77" w:rsidRDefault="00660432" w:rsidP="00660432">
      <w:pPr>
        <w:pStyle w:val="Hangindent"/>
        <w:rPr>
          <w:color w:val="000000" w:themeColor="text1"/>
          <w:lang w:val="en-US"/>
        </w:rPr>
      </w:pPr>
      <w:r w:rsidRPr="00B40A77">
        <w:rPr>
          <w:color w:val="000000" w:themeColor="text1"/>
          <w:lang w:val="en-US"/>
        </w:rPr>
        <w:t>(c)</w:t>
      </w:r>
      <w:r w:rsidRPr="00B40A77">
        <w:rPr>
          <w:color w:val="000000" w:themeColor="text1"/>
          <w:lang w:val="en-US"/>
        </w:rPr>
        <w:tab/>
        <w:t>judgment has been reserved after hearing submissions; or</w:t>
      </w:r>
    </w:p>
    <w:p w14:paraId="48739DC9" w14:textId="77777777" w:rsidR="00660432" w:rsidRPr="00B40A77" w:rsidRDefault="00660432" w:rsidP="00660432">
      <w:pPr>
        <w:pStyle w:val="Hangindent"/>
        <w:rPr>
          <w:color w:val="000000" w:themeColor="text1"/>
          <w:lang w:val="en-US"/>
        </w:rPr>
      </w:pPr>
      <w:r w:rsidRPr="00B40A77">
        <w:rPr>
          <w:color w:val="000000" w:themeColor="text1"/>
          <w:lang w:val="en-US"/>
        </w:rPr>
        <w:t>(d)</w:t>
      </w:r>
      <w:r w:rsidRPr="00B40A77">
        <w:rPr>
          <w:color w:val="000000" w:themeColor="text1"/>
          <w:lang w:val="en-US"/>
        </w:rPr>
        <w:tab/>
        <w:t>the Court determines that to do so would not prejudice any party.</w:t>
      </w:r>
    </w:p>
    <w:p w14:paraId="1D198691" w14:textId="695312BF" w:rsidR="00EC0CDA" w:rsidRPr="00B40A77" w:rsidRDefault="00D00AFF" w:rsidP="00EC0CDA">
      <w:pPr>
        <w:pStyle w:val="Heading4"/>
        <w:rPr>
          <w:color w:val="000000" w:themeColor="text1"/>
        </w:rPr>
      </w:pPr>
      <w:bookmarkStart w:id="350" w:name="_Toc175238897"/>
      <w:r w:rsidRPr="00B40A77">
        <w:rPr>
          <w:color w:val="000000" w:themeColor="text1"/>
        </w:rPr>
        <w:t>40</w:t>
      </w:r>
      <w:r w:rsidR="00EC0CDA" w:rsidRPr="00B40A77">
        <w:rPr>
          <w:color w:val="000000" w:themeColor="text1"/>
        </w:rPr>
        <w:t>.2—Pronouncement and record of order by Court</w:t>
      </w:r>
      <w:bookmarkEnd w:id="350"/>
    </w:p>
    <w:p w14:paraId="774C3819" w14:textId="77777777" w:rsidR="00EC0CDA" w:rsidRPr="00B40A77" w:rsidRDefault="00EC0CDA" w:rsidP="00EC0CDA">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Unless the Court otherwise orders, an order of the Court takes effect—</w:t>
      </w:r>
    </w:p>
    <w:p w14:paraId="4211059A" w14:textId="01ED12D4" w:rsidR="00EC0CDA" w:rsidRPr="00B40A77" w:rsidRDefault="00EC0CDA" w:rsidP="00EC0CDA">
      <w:pPr>
        <w:pStyle w:val="Doublehangindent"/>
        <w:rPr>
          <w:color w:val="000000" w:themeColor="text1"/>
        </w:rPr>
      </w:pPr>
      <w:r w:rsidRPr="00B40A77">
        <w:rPr>
          <w:color w:val="000000" w:themeColor="text1"/>
        </w:rPr>
        <w:t>(a)</w:t>
      </w:r>
      <w:r w:rsidRPr="00B40A77">
        <w:rPr>
          <w:color w:val="000000" w:themeColor="text1"/>
        </w:rPr>
        <w:tab/>
        <w:t xml:space="preserve">if the Court pronounces the order orally </w:t>
      </w:r>
      <w:hyperlink w:anchor="_2.1—Definitions" w:history="1">
        <w:r w:rsidRPr="00B40A77">
          <w:rPr>
            <w:rStyle w:val="Hyperlink"/>
            <w:color w:val="000000" w:themeColor="text1"/>
          </w:rPr>
          <w:t>in court</w:t>
        </w:r>
      </w:hyperlink>
      <w:r w:rsidRPr="00B40A77">
        <w:rPr>
          <w:color w:val="000000" w:themeColor="text1"/>
        </w:rPr>
        <w:t xml:space="preserve">—at the end of the </w:t>
      </w:r>
      <w:hyperlink w:anchor="_37.1—Application_of_Part" w:history="1">
        <w:r w:rsidR="00DE5E20" w:rsidRPr="00B40A77">
          <w:rPr>
            <w:rStyle w:val="Hyperlink"/>
            <w:color w:val="000000" w:themeColor="text1"/>
            <w:lang w:val="en-US"/>
          </w:rPr>
          <w:t>hearing</w:t>
        </w:r>
      </w:hyperlink>
      <w:r w:rsidRPr="00B40A77">
        <w:rPr>
          <w:color w:val="000000" w:themeColor="text1"/>
        </w:rPr>
        <w:t xml:space="preserve"> at which the pronouncement is made; or</w:t>
      </w:r>
    </w:p>
    <w:p w14:paraId="2210BBCA" w14:textId="77777777" w:rsidR="00EC0CDA" w:rsidRPr="00B40A77" w:rsidRDefault="00EC0CDA" w:rsidP="00EC0CDA">
      <w:pPr>
        <w:pStyle w:val="Doublehangindent"/>
        <w:rPr>
          <w:color w:val="000000" w:themeColor="text1"/>
        </w:rPr>
      </w:pPr>
      <w:r w:rsidRPr="00B40A77">
        <w:rPr>
          <w:color w:val="000000" w:themeColor="text1"/>
        </w:rPr>
        <w:t>(b)</w:t>
      </w:r>
      <w:r w:rsidRPr="00B40A77">
        <w:rPr>
          <w:color w:val="000000" w:themeColor="text1"/>
        </w:rPr>
        <w:tab/>
        <w:t>in any other case—when the Court notifies the terms of the order to the parties.</w:t>
      </w:r>
    </w:p>
    <w:p w14:paraId="7700FBDD" w14:textId="00625624" w:rsidR="00EC0CDA" w:rsidRPr="00B40A77" w:rsidRDefault="00EC0CDA" w:rsidP="00AA301B">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The Court may order that an order take effect earlier or later than under subrule</w:t>
      </w:r>
      <w:r w:rsidR="00C42A0C" w:rsidRPr="00B40A77">
        <w:rPr>
          <w:rFonts w:cs="Times New Roman"/>
          <w:color w:val="000000" w:themeColor="text1"/>
        </w:rPr>
        <w:t> </w:t>
      </w:r>
      <w:r w:rsidRPr="00B40A77">
        <w:rPr>
          <w:rFonts w:cs="Times New Roman"/>
          <w:color w:val="000000" w:themeColor="text1"/>
        </w:rPr>
        <w:t>(1).</w:t>
      </w:r>
    </w:p>
    <w:p w14:paraId="7BCB320F" w14:textId="6B624497" w:rsidR="00EC0CDA" w:rsidRPr="00B40A77" w:rsidRDefault="00EC0CDA" w:rsidP="004C2422">
      <w:pPr>
        <w:pStyle w:val="NoteHeader"/>
        <w:keepNext/>
        <w:rPr>
          <w:color w:val="000000" w:themeColor="text1"/>
        </w:rPr>
      </w:pPr>
      <w:r w:rsidRPr="00B40A77">
        <w:rPr>
          <w:color w:val="000000" w:themeColor="text1"/>
        </w:rPr>
        <w:t>Notes—</w:t>
      </w:r>
    </w:p>
    <w:p w14:paraId="3D4C757E" w14:textId="77777777" w:rsidR="00EC0CDA" w:rsidRPr="00B40A77" w:rsidRDefault="00EC0CDA" w:rsidP="00EC0CDA">
      <w:pPr>
        <w:pStyle w:val="NoteText"/>
        <w:rPr>
          <w:color w:val="000000" w:themeColor="text1"/>
        </w:rPr>
      </w:pPr>
      <w:r w:rsidRPr="00B40A77">
        <w:rPr>
          <w:color w:val="000000" w:themeColor="text1"/>
        </w:rPr>
        <w:t>The time to appeal (if applicable) runs from the date when an order takes effect.</w:t>
      </w:r>
    </w:p>
    <w:p w14:paraId="394428FB" w14:textId="5C2BD4D3" w:rsidR="00EC0CDA" w:rsidRPr="00B40A77" w:rsidRDefault="00EC0CDA" w:rsidP="00EC0CDA">
      <w:pPr>
        <w:pStyle w:val="NoteText"/>
        <w:rPr>
          <w:color w:val="000000" w:themeColor="text1"/>
        </w:rPr>
      </w:pPr>
      <w:r w:rsidRPr="00B40A77">
        <w:rPr>
          <w:color w:val="000000" w:themeColor="text1"/>
        </w:rPr>
        <w:t>A person who fails to do an act required or does an act prohibited by an order will be in contempt of court if the person breaches the terms of the order once it has taken eff</w:t>
      </w:r>
      <w:r w:rsidR="001C60C7" w:rsidRPr="00B40A77">
        <w:rPr>
          <w:color w:val="000000" w:themeColor="text1"/>
        </w:rPr>
        <w:t xml:space="preserve">ect </w:t>
      </w:r>
      <w:r w:rsidR="00AC7BBD" w:rsidRPr="00B40A77">
        <w:rPr>
          <w:color w:val="000000" w:themeColor="text1"/>
        </w:rPr>
        <w:t>(</w:t>
      </w:r>
      <w:r w:rsidR="001C60C7" w:rsidRPr="00B40A77">
        <w:rPr>
          <w:color w:val="000000" w:themeColor="text1"/>
        </w:rPr>
        <w:t>provided that the person has</w:t>
      </w:r>
      <w:r w:rsidRPr="00B40A77">
        <w:rPr>
          <w:color w:val="000000" w:themeColor="text1"/>
        </w:rPr>
        <w:t xml:space="preserve"> notice of the order</w:t>
      </w:r>
      <w:r w:rsidR="00AC7BBD" w:rsidRPr="00B40A77">
        <w:rPr>
          <w:color w:val="000000" w:themeColor="text1"/>
        </w:rPr>
        <w:t>)</w:t>
      </w:r>
      <w:r w:rsidRPr="00B40A77">
        <w:rPr>
          <w:color w:val="000000" w:themeColor="text1"/>
        </w:rPr>
        <w:t>.</w:t>
      </w:r>
    </w:p>
    <w:p w14:paraId="06E50698" w14:textId="77777777" w:rsidR="00EC0CDA" w:rsidRPr="00B40A77" w:rsidRDefault="00EC0CDA" w:rsidP="00EC0CDA">
      <w:pPr>
        <w:pStyle w:val="Hangindent"/>
        <w:rPr>
          <w:rFonts w:cs="Times New Roman"/>
          <w:color w:val="000000" w:themeColor="text1"/>
        </w:rPr>
      </w:pPr>
      <w:r w:rsidRPr="00B40A77">
        <w:rPr>
          <w:color w:val="000000" w:themeColor="text1"/>
        </w:rPr>
        <w:t>(3)</w:t>
      </w:r>
      <w:r w:rsidRPr="00B40A77">
        <w:rPr>
          <w:color w:val="000000" w:themeColor="text1"/>
        </w:rPr>
        <w:tab/>
        <w:t>An order of the Court is perfected by being entered in the records of the Court</w:t>
      </w:r>
      <w:r w:rsidRPr="00B40A77">
        <w:rPr>
          <w:rFonts w:cs="Times New Roman"/>
          <w:color w:val="000000" w:themeColor="text1"/>
        </w:rPr>
        <w:t>—</w:t>
      </w:r>
    </w:p>
    <w:p w14:paraId="1B3AADCB" w14:textId="77777777" w:rsidR="00EC0CDA" w:rsidRPr="00B40A77" w:rsidRDefault="00EC0CDA" w:rsidP="00EC0CDA">
      <w:pPr>
        <w:pStyle w:val="Doublehangindent"/>
        <w:rPr>
          <w:color w:val="000000" w:themeColor="text1"/>
        </w:rPr>
      </w:pPr>
      <w:r w:rsidRPr="00B40A77">
        <w:rPr>
          <w:color w:val="000000" w:themeColor="text1"/>
        </w:rPr>
        <w:t>(a)</w:t>
      </w:r>
      <w:r w:rsidRPr="00B40A77">
        <w:rPr>
          <w:color w:val="000000" w:themeColor="text1"/>
        </w:rPr>
        <w:tab/>
        <w:t>when a record of outcome in the prescribed form is signed (physically or electronically) by the presiding judicial officer; or</w:t>
      </w:r>
    </w:p>
    <w:p w14:paraId="3529FD8B" w14:textId="7EF80DE0" w:rsidR="00EC0CDA" w:rsidRPr="00B40A77" w:rsidRDefault="00EC0CDA" w:rsidP="00BB0659">
      <w:pPr>
        <w:pStyle w:val="Doublehangindent"/>
        <w:keepNext/>
        <w:rPr>
          <w:color w:val="000000" w:themeColor="text1"/>
        </w:rPr>
      </w:pPr>
      <w:r w:rsidRPr="00B40A77">
        <w:rPr>
          <w:color w:val="000000" w:themeColor="text1"/>
        </w:rPr>
        <w:t>(b)</w:t>
      </w:r>
      <w:r w:rsidRPr="00B40A77">
        <w:rPr>
          <w:color w:val="000000" w:themeColor="text1"/>
        </w:rPr>
        <w:tab/>
        <w:t xml:space="preserve">a formal order is entered in the records of the Court under </w:t>
      </w:r>
      <w:hyperlink w:anchor="_40.4—Entry_of_formal" w:history="1">
        <w:r w:rsidR="001C60C7" w:rsidRPr="00B40A77">
          <w:rPr>
            <w:rStyle w:val="Hyperlink"/>
            <w:color w:val="000000" w:themeColor="text1"/>
          </w:rPr>
          <w:t xml:space="preserve">rule </w:t>
        </w:r>
        <w:r w:rsidR="00CE5F51" w:rsidRPr="00B40A77">
          <w:rPr>
            <w:rStyle w:val="Hyperlink"/>
            <w:color w:val="000000" w:themeColor="text1"/>
          </w:rPr>
          <w:t>40</w:t>
        </w:r>
        <w:r w:rsidR="001C60C7" w:rsidRPr="00B40A77">
          <w:rPr>
            <w:rStyle w:val="Hyperlink"/>
            <w:color w:val="000000" w:themeColor="text1"/>
          </w:rPr>
          <w:t>.</w:t>
        </w:r>
        <w:r w:rsidR="00230F03" w:rsidRPr="00B40A77">
          <w:rPr>
            <w:rStyle w:val="Hyperlink"/>
            <w:color w:val="000000" w:themeColor="text1"/>
          </w:rPr>
          <w:t>4</w:t>
        </w:r>
      </w:hyperlink>
      <w:r w:rsidRPr="00B40A77">
        <w:rPr>
          <w:color w:val="000000" w:themeColor="text1"/>
        </w:rPr>
        <w:t xml:space="preserve">, </w:t>
      </w:r>
    </w:p>
    <w:p w14:paraId="26F08B33" w14:textId="77777777" w:rsidR="00EC0CDA" w:rsidRPr="00B40A77" w:rsidRDefault="00EC0CDA" w:rsidP="00BB0659">
      <w:pPr>
        <w:pStyle w:val="Doublehangindent"/>
        <w:keepNext/>
        <w:rPr>
          <w:color w:val="000000" w:themeColor="text1"/>
        </w:rPr>
      </w:pPr>
      <w:r w:rsidRPr="00B40A77">
        <w:rPr>
          <w:color w:val="000000" w:themeColor="text1"/>
        </w:rPr>
        <w:t>(whichever occurs first).</w:t>
      </w:r>
    </w:p>
    <w:p w14:paraId="7518E4DD" w14:textId="77777777" w:rsidR="00EC0CDA" w:rsidRPr="00B40A77" w:rsidRDefault="00EC0CDA" w:rsidP="00BB0659">
      <w:pPr>
        <w:pStyle w:val="NoteHeader"/>
        <w:keepNext/>
        <w:rPr>
          <w:color w:val="000000" w:themeColor="text1"/>
        </w:rPr>
      </w:pPr>
      <w:r w:rsidRPr="00B40A77">
        <w:rPr>
          <w:color w:val="000000" w:themeColor="text1"/>
        </w:rPr>
        <w:t>Prescribed forms—</w:t>
      </w:r>
      <w:r w:rsidRPr="00B40A77">
        <w:rPr>
          <w:color w:val="000000" w:themeColor="text1"/>
        </w:rPr>
        <w:tab/>
      </w:r>
    </w:p>
    <w:p w14:paraId="5E5BA3FB" w14:textId="0D3959CB" w:rsidR="009A4D0F" w:rsidRPr="00B40A77" w:rsidRDefault="009A4D0F" w:rsidP="00BB0659">
      <w:pPr>
        <w:pStyle w:val="NoteText"/>
        <w:keepNext/>
        <w:rPr>
          <w:color w:val="000000" w:themeColor="text1"/>
          <w:u w:val="single"/>
        </w:rPr>
      </w:pPr>
      <w:r w:rsidRPr="00B40A77">
        <w:rPr>
          <w:color w:val="000000" w:themeColor="text1"/>
        </w:rPr>
        <w:t xml:space="preserve">Form 24 </w:t>
      </w:r>
      <w:hyperlink r:id="rId72" w:history="1">
        <w:r w:rsidRPr="00B40A77">
          <w:rPr>
            <w:rStyle w:val="Hyperlink"/>
            <w:color w:val="000000" w:themeColor="text1"/>
          </w:rPr>
          <w:t>Record of Outcome – Order</w:t>
        </w:r>
      </w:hyperlink>
    </w:p>
    <w:p w14:paraId="5710DB1C" w14:textId="6C367E43" w:rsidR="00EC0CDA" w:rsidRPr="00B40A77" w:rsidRDefault="00556F89" w:rsidP="00BB0659">
      <w:pPr>
        <w:pStyle w:val="NoteText"/>
        <w:keepNext/>
        <w:rPr>
          <w:color w:val="000000" w:themeColor="text1"/>
          <w:u w:val="single"/>
        </w:rPr>
      </w:pPr>
      <w:r w:rsidRPr="00B40A77">
        <w:rPr>
          <w:color w:val="000000" w:themeColor="text1"/>
        </w:rPr>
        <w:t>Form 99</w:t>
      </w:r>
      <w:r w:rsidR="00EC0CDA" w:rsidRPr="00B40A77">
        <w:rPr>
          <w:color w:val="000000" w:themeColor="text1"/>
        </w:rPr>
        <w:t xml:space="preserve"> </w:t>
      </w:r>
      <w:hyperlink r:id="rId73" w:history="1">
        <w:r w:rsidR="00EC0CDA" w:rsidRPr="00B40A77">
          <w:rPr>
            <w:rStyle w:val="Hyperlink"/>
            <w:color w:val="000000" w:themeColor="text1"/>
          </w:rPr>
          <w:t xml:space="preserve">Record of Outcome </w:t>
        </w:r>
        <w:r w:rsidR="00F24348" w:rsidRPr="00B40A77">
          <w:rPr>
            <w:rStyle w:val="Hyperlink"/>
            <w:color w:val="000000" w:themeColor="text1"/>
          </w:rPr>
          <w:t>–</w:t>
        </w:r>
        <w:r w:rsidR="00950E69" w:rsidRPr="00B40A77">
          <w:rPr>
            <w:rStyle w:val="Hyperlink"/>
            <w:color w:val="000000" w:themeColor="text1"/>
          </w:rPr>
          <w:t xml:space="preserve"> Order</w:t>
        </w:r>
      </w:hyperlink>
    </w:p>
    <w:p w14:paraId="7CB7C104" w14:textId="0196AF0E" w:rsidR="009A4D0F" w:rsidRPr="00B40A77" w:rsidRDefault="009A4D0F" w:rsidP="00D01629">
      <w:pPr>
        <w:pStyle w:val="NoteText"/>
        <w:rPr>
          <w:color w:val="000000" w:themeColor="text1"/>
          <w:u w:val="single"/>
          <w:lang w:val="en-US"/>
        </w:rPr>
      </w:pPr>
      <w:r w:rsidRPr="00B40A77">
        <w:rPr>
          <w:color w:val="000000" w:themeColor="text1"/>
          <w:lang w:val="en-US"/>
        </w:rPr>
        <w:t xml:space="preserve">Form 123 </w:t>
      </w:r>
      <w:hyperlink r:id="rId74" w:history="1">
        <w:r w:rsidRPr="00B40A77">
          <w:rPr>
            <w:rStyle w:val="Hyperlink"/>
            <w:color w:val="000000" w:themeColor="text1"/>
            <w:lang w:val="en-US"/>
          </w:rPr>
          <w:t>Record of Outcome</w:t>
        </w:r>
      </w:hyperlink>
    </w:p>
    <w:p w14:paraId="2B82C476" w14:textId="0CC64FFB" w:rsidR="00D01629" w:rsidRPr="00B40A77" w:rsidRDefault="00D01629" w:rsidP="00D01629">
      <w:pPr>
        <w:pStyle w:val="NoteText"/>
        <w:rPr>
          <w:color w:val="000000" w:themeColor="text1"/>
          <w:lang w:val="en-US"/>
        </w:rPr>
      </w:pPr>
      <w:r w:rsidRPr="00B40A77">
        <w:rPr>
          <w:color w:val="000000" w:themeColor="text1"/>
          <w:lang w:val="en-US"/>
        </w:rPr>
        <w:t>Form 141</w:t>
      </w:r>
      <w:hyperlink r:id="rId75" w:history="1">
        <w:r w:rsidRPr="00B40A77">
          <w:rPr>
            <w:rStyle w:val="Hyperlink"/>
            <w:color w:val="000000" w:themeColor="text1"/>
            <w:lang w:val="en-US"/>
          </w:rPr>
          <w:t xml:space="preserve"> </w:t>
        </w:r>
        <w:r w:rsidRPr="00B40A77">
          <w:rPr>
            <w:rStyle w:val="Hyperlink"/>
            <w:color w:val="000000" w:themeColor="text1"/>
          </w:rPr>
          <w:t>Record of Outcome</w:t>
        </w:r>
      </w:hyperlink>
      <w:r w:rsidRPr="00B40A77">
        <w:rPr>
          <w:color w:val="000000" w:themeColor="text1"/>
          <w:lang w:val="en-US"/>
        </w:rPr>
        <w:t xml:space="preserve"> </w:t>
      </w:r>
    </w:p>
    <w:p w14:paraId="7EFE0FBB" w14:textId="2EF703E3" w:rsidR="009A4D0F" w:rsidRPr="00B40A77" w:rsidRDefault="009A4D0F" w:rsidP="00D01629">
      <w:pPr>
        <w:pStyle w:val="NoteText"/>
        <w:rPr>
          <w:color w:val="000000" w:themeColor="text1"/>
          <w:lang w:val="en-US"/>
        </w:rPr>
      </w:pPr>
      <w:r w:rsidRPr="00B40A77">
        <w:rPr>
          <w:color w:val="000000" w:themeColor="text1"/>
          <w:lang w:val="en-US"/>
        </w:rPr>
        <w:t xml:space="preserve">Form 173 </w:t>
      </w:r>
      <w:hyperlink r:id="rId76" w:history="1">
        <w:r w:rsidRPr="00B40A77">
          <w:rPr>
            <w:rStyle w:val="Hyperlink"/>
            <w:color w:val="000000" w:themeColor="text1"/>
            <w:lang w:val="en-US"/>
          </w:rPr>
          <w:t>Record of Outcome</w:t>
        </w:r>
      </w:hyperlink>
    </w:p>
    <w:p w14:paraId="52B79C30" w14:textId="555CE72E" w:rsidR="00D01629" w:rsidRPr="00B40A77" w:rsidRDefault="00D01629" w:rsidP="00D01629">
      <w:pPr>
        <w:pStyle w:val="NoteText"/>
        <w:rPr>
          <w:color w:val="000000" w:themeColor="text1"/>
          <w:lang w:val="en-US"/>
        </w:rPr>
      </w:pPr>
      <w:r w:rsidRPr="00B40A77">
        <w:rPr>
          <w:color w:val="000000" w:themeColor="text1"/>
          <w:lang w:val="en-US"/>
        </w:rPr>
        <w:t xml:space="preserve">Form 198 </w:t>
      </w:r>
      <w:hyperlink r:id="rId77" w:history="1">
        <w:r w:rsidRPr="00B40A77">
          <w:rPr>
            <w:rStyle w:val="Hyperlink"/>
            <w:color w:val="000000" w:themeColor="text1"/>
          </w:rPr>
          <w:t>Record of Outcome</w:t>
        </w:r>
      </w:hyperlink>
      <w:r w:rsidRPr="00B40A77">
        <w:rPr>
          <w:color w:val="000000" w:themeColor="text1"/>
          <w:lang w:val="en-US"/>
        </w:rPr>
        <w:t xml:space="preserve"> </w:t>
      </w:r>
    </w:p>
    <w:p w14:paraId="43954B10" w14:textId="681DAB62" w:rsidR="009A4D0F" w:rsidRPr="00B40A77" w:rsidRDefault="009A4D0F" w:rsidP="00EC0CDA">
      <w:pPr>
        <w:pStyle w:val="NoteText"/>
        <w:rPr>
          <w:color w:val="000000" w:themeColor="text1"/>
          <w:u w:val="single"/>
        </w:rPr>
      </w:pPr>
      <w:r w:rsidRPr="00B40A77">
        <w:rPr>
          <w:color w:val="000000" w:themeColor="text1"/>
        </w:rPr>
        <w:t xml:space="preserve">Form 215 </w:t>
      </w:r>
      <w:hyperlink r:id="rId78" w:history="1">
        <w:r w:rsidRPr="00B40A77">
          <w:rPr>
            <w:rStyle w:val="Hyperlink"/>
            <w:color w:val="000000" w:themeColor="text1"/>
          </w:rPr>
          <w:t>Record of Outcome</w:t>
        </w:r>
      </w:hyperlink>
    </w:p>
    <w:p w14:paraId="3CB29F82" w14:textId="5544C4B0" w:rsidR="00EC0CDA" w:rsidRPr="00B40A77" w:rsidRDefault="00556F89" w:rsidP="00EC0CDA">
      <w:pPr>
        <w:pStyle w:val="NoteText"/>
        <w:rPr>
          <w:rStyle w:val="Hyperlink"/>
          <w:color w:val="000000" w:themeColor="text1"/>
        </w:rPr>
      </w:pPr>
      <w:r w:rsidRPr="00B40A77">
        <w:rPr>
          <w:color w:val="000000" w:themeColor="text1"/>
        </w:rPr>
        <w:t>Form 100</w:t>
      </w:r>
      <w:r w:rsidR="00EC0CDA" w:rsidRPr="00B40A77">
        <w:rPr>
          <w:color w:val="000000" w:themeColor="text1"/>
        </w:rPr>
        <w:t xml:space="preserve"> </w:t>
      </w:r>
      <w:hyperlink r:id="rId79" w:history="1">
        <w:r w:rsidR="00EC0CDA" w:rsidRPr="00B40A77">
          <w:rPr>
            <w:rStyle w:val="Hyperlink"/>
            <w:color w:val="000000" w:themeColor="text1"/>
          </w:rPr>
          <w:t>Order</w:t>
        </w:r>
      </w:hyperlink>
    </w:p>
    <w:p w14:paraId="5A0E92E0" w14:textId="4A3A77F7" w:rsidR="00D01629" w:rsidRPr="00B40A77" w:rsidRDefault="00D01629" w:rsidP="00D01629">
      <w:pPr>
        <w:pStyle w:val="NoteText"/>
        <w:rPr>
          <w:color w:val="000000" w:themeColor="text1"/>
          <w:lang w:val="en-US"/>
        </w:rPr>
      </w:pPr>
      <w:r w:rsidRPr="00B40A77">
        <w:rPr>
          <w:color w:val="000000" w:themeColor="text1"/>
          <w:lang w:val="en-US"/>
        </w:rPr>
        <w:t xml:space="preserve">Form 142 </w:t>
      </w:r>
      <w:hyperlink r:id="rId80" w:history="1">
        <w:r w:rsidRPr="00B40A77">
          <w:rPr>
            <w:rStyle w:val="Hyperlink"/>
            <w:color w:val="000000" w:themeColor="text1"/>
            <w:lang w:val="en-US"/>
          </w:rPr>
          <w:t>Order</w:t>
        </w:r>
      </w:hyperlink>
      <w:r w:rsidRPr="00B40A77">
        <w:rPr>
          <w:color w:val="000000" w:themeColor="text1"/>
          <w:lang w:val="en-US"/>
        </w:rPr>
        <w:t xml:space="preserve"> </w:t>
      </w:r>
    </w:p>
    <w:p w14:paraId="7C257DAD" w14:textId="40192B60" w:rsidR="00D01629" w:rsidRPr="00B40A77" w:rsidRDefault="00D01629" w:rsidP="00D01629">
      <w:pPr>
        <w:pStyle w:val="NoteText"/>
        <w:rPr>
          <w:color w:val="000000" w:themeColor="text1"/>
          <w:lang w:val="en-US"/>
        </w:rPr>
      </w:pPr>
      <w:r w:rsidRPr="00B40A77">
        <w:rPr>
          <w:color w:val="000000" w:themeColor="text1"/>
          <w:lang w:val="en-US"/>
        </w:rPr>
        <w:t xml:space="preserve">Form 199 </w:t>
      </w:r>
      <w:hyperlink r:id="rId81" w:history="1">
        <w:r w:rsidRPr="00B40A77">
          <w:rPr>
            <w:rStyle w:val="Hyperlink"/>
            <w:color w:val="000000" w:themeColor="text1"/>
            <w:lang w:val="en-US"/>
          </w:rPr>
          <w:t>Order</w:t>
        </w:r>
      </w:hyperlink>
      <w:r w:rsidRPr="00B40A77">
        <w:rPr>
          <w:color w:val="000000" w:themeColor="text1"/>
          <w:lang w:val="en-US"/>
        </w:rPr>
        <w:t xml:space="preserve"> </w:t>
      </w:r>
    </w:p>
    <w:p w14:paraId="2B9E0C01" w14:textId="4DE21FBB" w:rsidR="00EC0CDA" w:rsidRPr="00B40A77" w:rsidRDefault="00EC0CDA" w:rsidP="00EC0CDA">
      <w:pPr>
        <w:pStyle w:val="Hangindent"/>
        <w:rPr>
          <w:color w:val="000000" w:themeColor="text1"/>
          <w:lang w:val="en-US"/>
        </w:rPr>
      </w:pPr>
      <w:r w:rsidRPr="00B40A77">
        <w:rPr>
          <w:rFonts w:cs="Times New Roman"/>
          <w:color w:val="000000" w:themeColor="text1"/>
        </w:rPr>
        <w:t>(4)</w:t>
      </w:r>
      <w:r w:rsidRPr="00B40A77">
        <w:rPr>
          <w:rFonts w:cs="Times New Roman"/>
          <w:color w:val="000000" w:themeColor="text1"/>
        </w:rPr>
        <w:tab/>
        <w:t>The Court may</w:t>
      </w:r>
      <w:r w:rsidR="00AC7BBD" w:rsidRPr="00B40A77">
        <w:rPr>
          <w:rFonts w:cs="Times New Roman"/>
          <w:color w:val="000000" w:themeColor="text1"/>
        </w:rPr>
        <w:t>,</w:t>
      </w:r>
      <w:r w:rsidRPr="00B40A77">
        <w:rPr>
          <w:rFonts w:cs="Times New Roman"/>
          <w:color w:val="000000" w:themeColor="text1"/>
        </w:rPr>
        <w:t xml:space="preserve"> before an order is entered into the records of the Court under subrule</w:t>
      </w:r>
      <w:r w:rsidR="003D6518" w:rsidRPr="00B40A77">
        <w:rPr>
          <w:rFonts w:cs="Times New Roman"/>
          <w:color w:val="000000" w:themeColor="text1"/>
        </w:rPr>
        <w:t> </w:t>
      </w:r>
      <w:r w:rsidRPr="00B40A77">
        <w:rPr>
          <w:rFonts w:cs="Times New Roman"/>
          <w:color w:val="000000" w:themeColor="text1"/>
        </w:rPr>
        <w:t>(3), vary (without limitation) the terms of the order pronounced under subrule</w:t>
      </w:r>
      <w:r w:rsidR="003D6518" w:rsidRPr="00B40A77">
        <w:rPr>
          <w:rFonts w:cs="Times New Roman"/>
          <w:color w:val="000000" w:themeColor="text1"/>
        </w:rPr>
        <w:t> </w:t>
      </w:r>
      <w:r w:rsidRPr="00B40A77">
        <w:rPr>
          <w:rFonts w:cs="Times New Roman"/>
          <w:color w:val="000000" w:themeColor="text1"/>
        </w:rPr>
        <w:t>(1).</w:t>
      </w:r>
    </w:p>
    <w:p w14:paraId="693F4AAB" w14:textId="1B177AC3" w:rsidR="00EC0CDA" w:rsidRPr="00B40A77" w:rsidRDefault="00D00AFF" w:rsidP="00EC0CDA">
      <w:pPr>
        <w:pStyle w:val="Heading4"/>
        <w:rPr>
          <w:color w:val="000000" w:themeColor="text1"/>
        </w:rPr>
      </w:pPr>
      <w:bookmarkStart w:id="351" w:name="_Toc175238898"/>
      <w:r w:rsidRPr="00B40A77">
        <w:rPr>
          <w:color w:val="000000" w:themeColor="text1"/>
        </w:rPr>
        <w:t>40</w:t>
      </w:r>
      <w:r w:rsidR="00230F03" w:rsidRPr="00B40A77">
        <w:rPr>
          <w:color w:val="000000" w:themeColor="text1"/>
        </w:rPr>
        <w:t>.3</w:t>
      </w:r>
      <w:r w:rsidR="00EC0CDA" w:rsidRPr="00B40A77">
        <w:rPr>
          <w:color w:val="000000" w:themeColor="text1"/>
        </w:rPr>
        <w:t>—Subsequent variation of order</w:t>
      </w:r>
      <w:bookmarkEnd w:id="351"/>
    </w:p>
    <w:p w14:paraId="3C2066D3" w14:textId="7EA4740F" w:rsidR="00EC0CDA" w:rsidRPr="00B40A77" w:rsidRDefault="00EC0CDA" w:rsidP="00EC0CDA">
      <w:pPr>
        <w:pStyle w:val="IndentedPara"/>
        <w:rPr>
          <w:color w:val="000000" w:themeColor="text1"/>
        </w:rPr>
      </w:pPr>
      <w:r w:rsidRPr="00B40A77">
        <w:rPr>
          <w:color w:val="000000" w:themeColor="text1"/>
        </w:rPr>
        <w:t>The Court may make a later order varying or setting aside an earlier order</w:t>
      </w:r>
      <w:r w:rsidR="002A3AF2" w:rsidRPr="00B40A77">
        <w:rPr>
          <w:color w:val="000000" w:themeColor="text1"/>
        </w:rPr>
        <w:t xml:space="preserve"> other than an order determin</w:t>
      </w:r>
      <w:r w:rsidR="001F3939" w:rsidRPr="00B40A77">
        <w:rPr>
          <w:color w:val="000000" w:themeColor="text1"/>
        </w:rPr>
        <w:t>in</w:t>
      </w:r>
      <w:r w:rsidR="002A3AF2" w:rsidRPr="00B40A77">
        <w:rPr>
          <w:color w:val="000000" w:themeColor="text1"/>
        </w:rPr>
        <w:t xml:space="preserve">g a </w:t>
      </w:r>
      <w:hyperlink w:anchor="_2.1—Definitions" w:history="1">
        <w:r w:rsidR="00E46B25" w:rsidRPr="00B40A77">
          <w:rPr>
            <w:rStyle w:val="Hyperlink"/>
            <w:color w:val="000000" w:themeColor="text1"/>
          </w:rPr>
          <w:t>trial</w:t>
        </w:r>
      </w:hyperlink>
      <w:r w:rsidR="001F3939" w:rsidRPr="00B40A77">
        <w:rPr>
          <w:color w:val="000000" w:themeColor="text1"/>
        </w:rPr>
        <w:t xml:space="preserve"> or appellate proceeding or an order imposing </w:t>
      </w:r>
      <w:hyperlink w:anchor="_2.1—Definitions" w:history="1">
        <w:r w:rsidR="00596ADA" w:rsidRPr="00B40A77">
          <w:rPr>
            <w:rStyle w:val="Hyperlink"/>
            <w:color w:val="000000" w:themeColor="text1"/>
          </w:rPr>
          <w:t>sentence</w:t>
        </w:r>
      </w:hyperlink>
      <w:r w:rsidRPr="00B40A77">
        <w:rPr>
          <w:color w:val="000000" w:themeColor="text1"/>
        </w:rPr>
        <w:t>.</w:t>
      </w:r>
    </w:p>
    <w:p w14:paraId="42158B49" w14:textId="56BC2E7B" w:rsidR="00EC0CDA" w:rsidRPr="00B40A77" w:rsidRDefault="00D00AFF" w:rsidP="00EC0CDA">
      <w:pPr>
        <w:pStyle w:val="Heading4"/>
        <w:rPr>
          <w:color w:val="000000" w:themeColor="text1"/>
        </w:rPr>
      </w:pPr>
      <w:bookmarkStart w:id="352" w:name="_40.4—Entry_of_formal"/>
      <w:bookmarkStart w:id="353" w:name="_Toc175238899"/>
      <w:bookmarkEnd w:id="352"/>
      <w:r w:rsidRPr="00B40A77">
        <w:rPr>
          <w:color w:val="000000" w:themeColor="text1"/>
        </w:rPr>
        <w:lastRenderedPageBreak/>
        <w:t>40</w:t>
      </w:r>
      <w:r w:rsidR="001C60C7" w:rsidRPr="00B40A77">
        <w:rPr>
          <w:color w:val="000000" w:themeColor="text1"/>
        </w:rPr>
        <w:t>.</w:t>
      </w:r>
      <w:r w:rsidR="00230F03" w:rsidRPr="00B40A77">
        <w:rPr>
          <w:color w:val="000000" w:themeColor="text1"/>
        </w:rPr>
        <w:t>4</w:t>
      </w:r>
      <w:r w:rsidR="00EC0CDA" w:rsidRPr="00B40A77">
        <w:rPr>
          <w:color w:val="000000" w:themeColor="text1"/>
        </w:rPr>
        <w:t>—Entry of formal order</w:t>
      </w:r>
      <w:bookmarkEnd w:id="353"/>
    </w:p>
    <w:p w14:paraId="4F8D592B" w14:textId="18A74597" w:rsidR="00EC0CDA" w:rsidRPr="00B40A77" w:rsidRDefault="00EC0CDA" w:rsidP="00EC0CDA">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A party to an order may </w:t>
      </w:r>
      <w:r w:rsidRPr="00B40A77">
        <w:rPr>
          <w:color w:val="000000" w:themeColor="text1"/>
          <w:lang w:val="en-US"/>
        </w:rPr>
        <w:t>file an application to</w:t>
      </w:r>
      <w:r w:rsidR="00BC2552" w:rsidRPr="00B40A77">
        <w:rPr>
          <w:color w:val="000000" w:themeColor="text1"/>
          <w:lang w:val="en-US"/>
        </w:rPr>
        <w:t xml:space="preserve"> </w:t>
      </w:r>
      <w:hyperlink w:anchor="_2.1—Definitions" w:history="1">
        <w:r w:rsidRPr="00B40A77">
          <w:rPr>
            <w:rStyle w:val="Hyperlink"/>
            <w:color w:val="000000" w:themeColor="text1"/>
            <w:u w:val="none"/>
            <w:lang w:val="en-US"/>
          </w:rPr>
          <w:t>Registrar</w:t>
        </w:r>
      </w:hyperlink>
      <w:r w:rsidR="00AC7BBD" w:rsidRPr="00B40A77">
        <w:rPr>
          <w:rStyle w:val="Hyperlink"/>
          <w:color w:val="000000" w:themeColor="text1"/>
          <w:u w:val="none"/>
          <w:lang w:val="en-US"/>
        </w:rPr>
        <w:t xml:space="preserve"> in the prescribed form</w:t>
      </w:r>
      <w:r w:rsidRPr="00B40A77">
        <w:rPr>
          <w:color w:val="000000" w:themeColor="text1"/>
          <w:lang w:val="en-US"/>
        </w:rPr>
        <w:t xml:space="preserve"> in accordance with </w:t>
      </w:r>
      <w:hyperlink w:anchor="_13.2—Registrar" w:history="1">
        <w:r w:rsidR="001F3939" w:rsidRPr="00B40A77">
          <w:rPr>
            <w:rStyle w:val="Hyperlink"/>
            <w:color w:val="000000" w:themeColor="text1"/>
            <w:lang w:val="en-US"/>
          </w:rPr>
          <w:t>rule 16</w:t>
        </w:r>
        <w:r w:rsidRPr="00B40A77">
          <w:rPr>
            <w:rStyle w:val="Hyperlink"/>
            <w:color w:val="000000" w:themeColor="text1"/>
            <w:lang w:val="en-US"/>
          </w:rPr>
          <w:t>.2</w:t>
        </w:r>
      </w:hyperlink>
      <w:r w:rsidR="004C5E4D" w:rsidRPr="00B40A77">
        <w:rPr>
          <w:rStyle w:val="Hyperlink"/>
          <w:color w:val="000000" w:themeColor="text1"/>
          <w:u w:val="none"/>
          <w:lang w:val="en-US"/>
        </w:rPr>
        <w:t>(5)</w:t>
      </w:r>
      <w:r w:rsidRPr="00B40A77">
        <w:rPr>
          <w:rFonts w:cs="Times New Roman"/>
          <w:color w:val="000000" w:themeColor="text1"/>
        </w:rPr>
        <w:t xml:space="preserve"> to enter a formal order.</w:t>
      </w:r>
    </w:p>
    <w:p w14:paraId="7CA2A4CD" w14:textId="09B5DF2B" w:rsidR="00EC0CDA" w:rsidRPr="00B40A77" w:rsidRDefault="00EC0CDA" w:rsidP="0033795E">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Unless </w:t>
      </w:r>
      <w:hyperlink w:anchor="_2.1—Definitions" w:history="1">
        <w:r w:rsidR="00FC1C50"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w:t>
      </w:r>
      <w:r w:rsidR="00376B76" w:rsidRPr="00B40A77">
        <w:rPr>
          <w:rFonts w:cs="Times New Roman"/>
          <w:color w:val="000000" w:themeColor="text1"/>
        </w:rPr>
        <w:t xml:space="preserve">or  a </w:t>
      </w:r>
      <w:r w:rsidR="00376B76" w:rsidRPr="00B40A77">
        <w:rPr>
          <w:color w:val="000000" w:themeColor="text1"/>
          <w:u w:val="single"/>
          <w:lang w:val="en-US"/>
        </w:rPr>
        <w:t>Registrar</w:t>
      </w:r>
      <w:r w:rsidR="00376B76" w:rsidRPr="00B40A77">
        <w:rPr>
          <w:rFonts w:cs="Times New Roman"/>
          <w:color w:val="000000" w:themeColor="text1"/>
        </w:rPr>
        <w:t xml:space="preserve"> </w:t>
      </w:r>
      <w:r w:rsidRPr="00B40A77">
        <w:rPr>
          <w:rFonts w:cs="Times New Roman"/>
          <w:color w:val="000000" w:themeColor="text1"/>
        </w:rPr>
        <w:t>otherwise directs, a request for a formal order under subrule</w:t>
      </w:r>
      <w:r w:rsidR="003D6518" w:rsidRPr="00B40A77">
        <w:rPr>
          <w:rFonts w:cs="Times New Roman"/>
          <w:color w:val="000000" w:themeColor="text1"/>
        </w:rPr>
        <w:t> </w:t>
      </w:r>
      <w:r w:rsidRPr="00B40A77">
        <w:rPr>
          <w:rFonts w:cs="Times New Roman"/>
          <w:color w:val="000000" w:themeColor="text1"/>
        </w:rPr>
        <w:t xml:space="preserve">(1) must be accompanied by a draft order in the prescribed form as an editable </w:t>
      </w:r>
      <w:r w:rsidR="00BC2552" w:rsidRPr="00B40A77">
        <w:rPr>
          <w:rFonts w:cs="Times New Roman"/>
          <w:color w:val="000000" w:themeColor="text1"/>
        </w:rPr>
        <w:t xml:space="preserve">Microsoft </w:t>
      </w:r>
      <w:r w:rsidRPr="00B40A77">
        <w:rPr>
          <w:rFonts w:cs="Times New Roman"/>
          <w:color w:val="000000" w:themeColor="text1"/>
        </w:rPr>
        <w:t>Word document.</w:t>
      </w:r>
    </w:p>
    <w:p w14:paraId="0699590B" w14:textId="48BED11B" w:rsidR="00EC0CDA" w:rsidRPr="00B40A77" w:rsidRDefault="00EC0CDA" w:rsidP="0033795E">
      <w:pPr>
        <w:pStyle w:val="NoteHeader"/>
        <w:keepNext/>
        <w:rPr>
          <w:color w:val="000000" w:themeColor="text1"/>
        </w:rPr>
      </w:pPr>
      <w:r w:rsidRPr="00B40A77">
        <w:rPr>
          <w:color w:val="000000" w:themeColor="text1"/>
        </w:rPr>
        <w:t>Prescribed form—</w:t>
      </w:r>
    </w:p>
    <w:p w14:paraId="5E0063F5" w14:textId="213F1B49" w:rsidR="00230F03" w:rsidRPr="00B40A77" w:rsidRDefault="00230F03" w:rsidP="00230F03">
      <w:pPr>
        <w:pStyle w:val="NoteText"/>
        <w:rPr>
          <w:rStyle w:val="Hyperlink"/>
          <w:color w:val="000000" w:themeColor="text1"/>
        </w:rPr>
      </w:pPr>
      <w:r w:rsidRPr="00B40A77">
        <w:rPr>
          <w:color w:val="000000" w:themeColor="text1"/>
        </w:rPr>
        <w:t xml:space="preserve">Form 100 </w:t>
      </w:r>
      <w:hyperlink r:id="rId82" w:history="1">
        <w:r w:rsidRPr="00B40A77">
          <w:rPr>
            <w:rStyle w:val="Hyperlink"/>
            <w:color w:val="000000" w:themeColor="text1"/>
          </w:rPr>
          <w:t>Order</w:t>
        </w:r>
      </w:hyperlink>
    </w:p>
    <w:p w14:paraId="74E28EC5" w14:textId="0D068EDF" w:rsidR="00CB1536" w:rsidRPr="00B40A77" w:rsidRDefault="00CB1536" w:rsidP="00CB1536">
      <w:pPr>
        <w:pStyle w:val="NoteText"/>
        <w:rPr>
          <w:color w:val="000000" w:themeColor="text1"/>
          <w:lang w:val="en-US"/>
        </w:rPr>
      </w:pPr>
      <w:r w:rsidRPr="00B40A77">
        <w:rPr>
          <w:color w:val="000000" w:themeColor="text1"/>
          <w:lang w:val="en-US"/>
        </w:rPr>
        <w:t xml:space="preserve">Form 142 </w:t>
      </w:r>
      <w:hyperlink r:id="rId83" w:history="1">
        <w:r w:rsidRPr="00B40A77">
          <w:rPr>
            <w:rStyle w:val="Hyperlink"/>
            <w:color w:val="000000" w:themeColor="text1"/>
            <w:lang w:val="en-US"/>
          </w:rPr>
          <w:t>Order</w:t>
        </w:r>
      </w:hyperlink>
    </w:p>
    <w:p w14:paraId="328C16AD" w14:textId="4FA3C233" w:rsidR="00CB1536" w:rsidRPr="00B40A77" w:rsidRDefault="00CB1536" w:rsidP="00CB1536">
      <w:pPr>
        <w:pStyle w:val="NoteText"/>
        <w:rPr>
          <w:color w:val="000000" w:themeColor="text1"/>
          <w:lang w:val="en-US"/>
        </w:rPr>
      </w:pPr>
      <w:r w:rsidRPr="00B40A77">
        <w:rPr>
          <w:color w:val="000000" w:themeColor="text1"/>
          <w:lang w:val="en-US"/>
        </w:rPr>
        <w:t xml:space="preserve">Form 199 </w:t>
      </w:r>
      <w:hyperlink r:id="rId84" w:history="1">
        <w:r w:rsidRPr="00B40A77">
          <w:rPr>
            <w:rStyle w:val="Hyperlink"/>
            <w:color w:val="000000" w:themeColor="text1"/>
            <w:lang w:val="en-US"/>
          </w:rPr>
          <w:t>Order</w:t>
        </w:r>
      </w:hyperlink>
    </w:p>
    <w:p w14:paraId="5B42B9AA" w14:textId="28363E03" w:rsidR="00EC0CDA" w:rsidRPr="00B40A77" w:rsidRDefault="00EC0CDA" w:rsidP="00230F03">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r>
      <w:hyperlink w:anchor="_2.1—Definitions" w:history="1">
        <w:r w:rsidR="00FC1C50"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00376B76" w:rsidRPr="00B40A77">
        <w:rPr>
          <w:rStyle w:val="Hyperlink"/>
          <w:color w:val="000000" w:themeColor="text1"/>
          <w:lang w:val="en-US"/>
        </w:rPr>
        <w:t xml:space="preserve"> or </w:t>
      </w:r>
      <w:r w:rsidR="00376B76" w:rsidRPr="00B40A77">
        <w:rPr>
          <w:rFonts w:cs="Times New Roman"/>
          <w:color w:val="000000" w:themeColor="text1"/>
        </w:rPr>
        <w:t xml:space="preserve">a </w:t>
      </w:r>
      <w:r w:rsidR="00376B76" w:rsidRPr="00B40A77">
        <w:rPr>
          <w:color w:val="000000" w:themeColor="text1"/>
          <w:u w:val="single"/>
          <w:lang w:val="en-US"/>
        </w:rPr>
        <w:t>Registrar</w:t>
      </w:r>
      <w:r w:rsidR="00FC1C50" w:rsidRPr="00B40A77">
        <w:rPr>
          <w:color w:val="000000" w:themeColor="text1"/>
          <w:lang w:val="en-US"/>
        </w:rPr>
        <w:t xml:space="preserve"> </w:t>
      </w:r>
      <w:r w:rsidRPr="00B40A77">
        <w:rPr>
          <w:color w:val="000000" w:themeColor="text1"/>
          <w:lang w:val="en-US"/>
        </w:rPr>
        <w:t>may</w:t>
      </w:r>
      <w:r w:rsidR="00951A71" w:rsidRPr="00B40A77">
        <w:rPr>
          <w:color w:val="000000" w:themeColor="text1"/>
          <w:lang w:val="en-US"/>
        </w:rPr>
        <w:t>,</w:t>
      </w:r>
      <w:r w:rsidRPr="00B40A77">
        <w:rPr>
          <w:color w:val="000000" w:themeColor="text1"/>
          <w:lang w:val="en-US"/>
        </w:rPr>
        <w:t xml:space="preserve"> on their own initiat</w:t>
      </w:r>
      <w:r w:rsidR="008B7F86" w:rsidRPr="00B40A77">
        <w:rPr>
          <w:color w:val="000000" w:themeColor="text1"/>
          <w:lang w:val="en-US"/>
        </w:rPr>
        <w:t>iv</w:t>
      </w:r>
      <w:r w:rsidRPr="00B40A77">
        <w:rPr>
          <w:color w:val="000000" w:themeColor="text1"/>
          <w:lang w:val="en-US"/>
        </w:rPr>
        <w:t xml:space="preserve">e, and must if directed to do so by the Court, </w:t>
      </w:r>
      <w:r w:rsidRPr="00B40A77">
        <w:rPr>
          <w:rFonts w:cs="Times New Roman"/>
          <w:color w:val="000000" w:themeColor="text1"/>
        </w:rPr>
        <w:t>enter a formal order in accordan</w:t>
      </w:r>
      <w:r w:rsidR="001C60C7" w:rsidRPr="00B40A77">
        <w:rPr>
          <w:rFonts w:cs="Times New Roman"/>
          <w:color w:val="000000" w:themeColor="text1"/>
        </w:rPr>
        <w:t>ce with a</w:t>
      </w:r>
      <w:r w:rsidRPr="00B40A77">
        <w:rPr>
          <w:rFonts w:cs="Times New Roman"/>
          <w:color w:val="000000" w:themeColor="text1"/>
        </w:rPr>
        <w:t xml:space="preserve"> record of outcome.</w:t>
      </w:r>
    </w:p>
    <w:p w14:paraId="2C910E93" w14:textId="223DE482" w:rsidR="002B4EE0" w:rsidRPr="00B40A77" w:rsidRDefault="002B4EE0" w:rsidP="0033795E">
      <w:pPr>
        <w:pStyle w:val="Hangindent"/>
        <w:keepNext/>
        <w:rPr>
          <w:color w:val="000000" w:themeColor="text1"/>
          <w:lang w:val="en-US"/>
        </w:rPr>
      </w:pPr>
      <w:r w:rsidRPr="00B40A77">
        <w:rPr>
          <w:rFonts w:cs="Times New Roman"/>
          <w:color w:val="000000" w:themeColor="text1"/>
        </w:rPr>
        <w:t>(4)</w:t>
      </w:r>
      <w:r w:rsidRPr="00B40A77">
        <w:rPr>
          <w:rFonts w:cs="Times New Roman"/>
          <w:color w:val="000000" w:themeColor="text1"/>
        </w:rPr>
        <w:tab/>
        <w:t>A formal order must be in the prescribed form</w:t>
      </w:r>
      <w:r w:rsidRPr="00B40A77">
        <w:rPr>
          <w:color w:val="000000" w:themeColor="text1"/>
          <w:lang w:val="en-US"/>
        </w:rPr>
        <w:t>.</w:t>
      </w:r>
    </w:p>
    <w:p w14:paraId="364FDDCE" w14:textId="0B01379A" w:rsidR="002B4EE0" w:rsidRPr="00B40A77" w:rsidRDefault="002B4EE0" w:rsidP="0033795E">
      <w:pPr>
        <w:pStyle w:val="NoteHeader"/>
        <w:keepNext/>
        <w:rPr>
          <w:color w:val="000000" w:themeColor="text1"/>
        </w:rPr>
      </w:pPr>
      <w:r w:rsidRPr="00B40A77">
        <w:rPr>
          <w:color w:val="000000" w:themeColor="text1"/>
        </w:rPr>
        <w:t>Prescribed form—</w:t>
      </w:r>
    </w:p>
    <w:p w14:paraId="50CBFABC" w14:textId="43F5BF26" w:rsidR="001C60C7" w:rsidRPr="00B40A77" w:rsidRDefault="001C60C7" w:rsidP="001C60C7">
      <w:pPr>
        <w:pStyle w:val="NoteText"/>
        <w:rPr>
          <w:rStyle w:val="Hyperlink"/>
          <w:color w:val="000000" w:themeColor="text1"/>
        </w:rPr>
      </w:pPr>
      <w:r w:rsidRPr="00B40A77">
        <w:rPr>
          <w:color w:val="000000" w:themeColor="text1"/>
        </w:rPr>
        <w:t xml:space="preserve">Form 100 </w:t>
      </w:r>
      <w:hyperlink r:id="rId85" w:history="1">
        <w:r w:rsidRPr="00B40A77">
          <w:rPr>
            <w:rStyle w:val="Hyperlink"/>
            <w:color w:val="000000" w:themeColor="text1"/>
          </w:rPr>
          <w:t>Order</w:t>
        </w:r>
      </w:hyperlink>
    </w:p>
    <w:p w14:paraId="75FBCA8C" w14:textId="45B2E846" w:rsidR="00CB1536" w:rsidRPr="00B40A77" w:rsidRDefault="00CB1536" w:rsidP="00CB1536">
      <w:pPr>
        <w:pStyle w:val="NoteText"/>
        <w:rPr>
          <w:color w:val="000000" w:themeColor="text1"/>
          <w:lang w:val="en-US"/>
        </w:rPr>
      </w:pPr>
      <w:r w:rsidRPr="00B40A77">
        <w:rPr>
          <w:color w:val="000000" w:themeColor="text1"/>
          <w:lang w:val="en-US"/>
        </w:rPr>
        <w:t xml:space="preserve">Form 142 </w:t>
      </w:r>
      <w:hyperlink r:id="rId86" w:history="1">
        <w:r w:rsidRPr="00B40A77">
          <w:rPr>
            <w:rStyle w:val="Hyperlink"/>
            <w:color w:val="000000" w:themeColor="text1"/>
            <w:lang w:val="en-US"/>
          </w:rPr>
          <w:t>Order</w:t>
        </w:r>
      </w:hyperlink>
    </w:p>
    <w:p w14:paraId="579658A4" w14:textId="7B85AC9A" w:rsidR="00CB1536" w:rsidRPr="00B40A77" w:rsidRDefault="00CB1536" w:rsidP="00CB1536">
      <w:pPr>
        <w:pStyle w:val="NoteText"/>
        <w:rPr>
          <w:color w:val="000000" w:themeColor="text1"/>
          <w:lang w:val="en-US"/>
        </w:rPr>
      </w:pPr>
      <w:r w:rsidRPr="00B40A77">
        <w:rPr>
          <w:color w:val="000000" w:themeColor="text1"/>
          <w:lang w:val="en-US"/>
        </w:rPr>
        <w:t>Form 199</w:t>
      </w:r>
      <w:hyperlink r:id="rId87" w:history="1">
        <w:r w:rsidRPr="00B40A77">
          <w:rPr>
            <w:rStyle w:val="Hyperlink"/>
            <w:color w:val="000000" w:themeColor="text1"/>
            <w:lang w:val="en-US"/>
          </w:rPr>
          <w:t xml:space="preserve"> Order</w:t>
        </w:r>
      </w:hyperlink>
    </w:p>
    <w:p w14:paraId="29D99470" w14:textId="523B94B8" w:rsidR="00EC0CDA" w:rsidRPr="00B40A77" w:rsidRDefault="002B4EE0" w:rsidP="001C60C7">
      <w:pPr>
        <w:pStyle w:val="Hangindent"/>
        <w:rPr>
          <w:color w:val="000000" w:themeColor="text1"/>
          <w:lang w:val="en-US"/>
        </w:rPr>
      </w:pPr>
      <w:r w:rsidRPr="00B40A77">
        <w:rPr>
          <w:rFonts w:cs="Times New Roman"/>
          <w:color w:val="000000" w:themeColor="text1"/>
        </w:rPr>
        <w:t>(5</w:t>
      </w:r>
      <w:r w:rsidR="00EC0CDA" w:rsidRPr="00B40A77">
        <w:rPr>
          <w:rFonts w:cs="Times New Roman"/>
          <w:color w:val="000000" w:themeColor="text1"/>
        </w:rPr>
        <w:t>)</w:t>
      </w:r>
      <w:r w:rsidR="00EC0CDA" w:rsidRPr="00B40A77">
        <w:rPr>
          <w:rFonts w:cs="Times New Roman"/>
          <w:color w:val="000000" w:themeColor="text1"/>
        </w:rPr>
        <w:tab/>
        <w:t xml:space="preserve">A formal order is entered in the records of the Court when it is signed by </w:t>
      </w:r>
      <w:r w:rsidR="00AC7BBD" w:rsidRPr="00B40A77">
        <w:rPr>
          <w:rFonts w:cs="Times New Roman"/>
          <w:color w:val="000000" w:themeColor="text1"/>
        </w:rPr>
        <w:t xml:space="preserve">a </w:t>
      </w:r>
      <w:hyperlink w:anchor="_2.1—Definitions" w:history="1">
        <w:r w:rsidR="00C737E1" w:rsidRPr="00B40A77">
          <w:rPr>
            <w:rStyle w:val="Hyperlink"/>
            <w:color w:val="000000" w:themeColor="text1"/>
            <w:lang w:val="en-US"/>
          </w:rPr>
          <w:t>court officer</w:t>
        </w:r>
      </w:hyperlink>
      <w:r w:rsidR="00EC0CDA" w:rsidRPr="00B40A77">
        <w:rPr>
          <w:rFonts w:cs="Times New Roman"/>
          <w:color w:val="000000" w:themeColor="text1"/>
        </w:rPr>
        <w:t xml:space="preserve"> and </w:t>
      </w:r>
      <w:r w:rsidR="00EC0CDA" w:rsidRPr="00B40A77">
        <w:rPr>
          <w:color w:val="000000" w:themeColor="text1"/>
          <w:lang w:val="en-US"/>
        </w:rPr>
        <w:t>the Court’s seal is applied to it.</w:t>
      </w:r>
    </w:p>
    <w:p w14:paraId="06A09422" w14:textId="75A33F08" w:rsidR="00230F03" w:rsidRPr="00B40A77" w:rsidRDefault="00230F03" w:rsidP="00230F03">
      <w:pPr>
        <w:pStyle w:val="Heading3"/>
        <w:rPr>
          <w:color w:val="000000" w:themeColor="text1"/>
        </w:rPr>
      </w:pPr>
      <w:bookmarkStart w:id="354" w:name="_Toc175238900"/>
      <w:r w:rsidRPr="00B40A77">
        <w:rPr>
          <w:color w:val="000000" w:themeColor="text1"/>
        </w:rPr>
        <w:t xml:space="preserve">Subdivision </w:t>
      </w:r>
      <w:r w:rsidR="00F369E2" w:rsidRPr="00B40A77">
        <w:rPr>
          <w:color w:val="000000" w:themeColor="text1"/>
        </w:rPr>
        <w:t>2</w:t>
      </w:r>
      <w:r w:rsidRPr="00B40A77">
        <w:rPr>
          <w:color w:val="000000" w:themeColor="text1"/>
        </w:rPr>
        <w:t>—Specific orders</w:t>
      </w:r>
      <w:bookmarkEnd w:id="354"/>
    </w:p>
    <w:p w14:paraId="0C220A69" w14:textId="737CB101" w:rsidR="00230F03" w:rsidRPr="00B40A77" w:rsidRDefault="00D00AFF" w:rsidP="00230F03">
      <w:pPr>
        <w:pStyle w:val="Heading4"/>
        <w:rPr>
          <w:color w:val="000000" w:themeColor="text1"/>
        </w:rPr>
      </w:pPr>
      <w:bookmarkStart w:id="355" w:name="_Toc175238901"/>
      <w:r w:rsidRPr="00B40A77">
        <w:rPr>
          <w:color w:val="000000" w:themeColor="text1"/>
        </w:rPr>
        <w:t>40</w:t>
      </w:r>
      <w:r w:rsidR="00230F03" w:rsidRPr="00B40A77">
        <w:rPr>
          <w:color w:val="000000" w:themeColor="text1"/>
        </w:rPr>
        <w:t>.5—Order authorising publication of complainant’s name</w:t>
      </w:r>
      <w:bookmarkEnd w:id="355"/>
    </w:p>
    <w:p w14:paraId="10F60C27" w14:textId="233B6003" w:rsidR="00230F03" w:rsidRPr="00B40A77" w:rsidRDefault="00230F03" w:rsidP="0033795E">
      <w:pPr>
        <w:pStyle w:val="IndentedPara"/>
        <w:keepNext/>
        <w:rPr>
          <w:color w:val="000000" w:themeColor="text1"/>
        </w:rPr>
      </w:pPr>
      <w:r w:rsidRPr="00B40A77">
        <w:rPr>
          <w:color w:val="000000" w:themeColor="text1"/>
        </w:rPr>
        <w:t>The written record of an order authorising publication of information about the identity of the alleged victim of the sexual offence under section</w:t>
      </w:r>
      <w:r w:rsidR="0068622B" w:rsidRPr="00B40A77">
        <w:rPr>
          <w:color w:val="000000" w:themeColor="text1"/>
        </w:rPr>
        <w:t> </w:t>
      </w:r>
      <w:r w:rsidRPr="00B40A77">
        <w:rPr>
          <w:color w:val="000000" w:themeColor="text1"/>
        </w:rPr>
        <w:t>71A(4) of the Evidence Act must be in the prescribed form.</w:t>
      </w:r>
    </w:p>
    <w:p w14:paraId="4A3CFBE0" w14:textId="7AEF6131" w:rsidR="00230F03" w:rsidRPr="00B40A77" w:rsidRDefault="00230F03" w:rsidP="0033795E">
      <w:pPr>
        <w:pStyle w:val="NoteHeader"/>
        <w:keepNext/>
        <w:ind w:left="567"/>
        <w:rPr>
          <w:color w:val="000000" w:themeColor="text1"/>
        </w:rPr>
      </w:pPr>
      <w:r w:rsidRPr="00B40A77">
        <w:rPr>
          <w:color w:val="000000" w:themeColor="text1"/>
        </w:rPr>
        <w:t>Prescribed form—</w:t>
      </w:r>
    </w:p>
    <w:p w14:paraId="209793B3" w14:textId="52C52B96" w:rsidR="00230F03" w:rsidRPr="00B40A77" w:rsidRDefault="00230F03" w:rsidP="008E5410">
      <w:pPr>
        <w:pStyle w:val="NoteText"/>
        <w:ind w:left="851"/>
        <w:rPr>
          <w:color w:val="000000" w:themeColor="text1"/>
        </w:rPr>
      </w:pPr>
      <w:r w:rsidRPr="00B40A77">
        <w:rPr>
          <w:color w:val="000000" w:themeColor="text1"/>
        </w:rPr>
        <w:t xml:space="preserve">Form 99 </w:t>
      </w:r>
      <w:hyperlink r:id="rId88" w:history="1">
        <w:r w:rsidRPr="00B40A77">
          <w:rPr>
            <w:rStyle w:val="Hyperlink"/>
            <w:color w:val="000000" w:themeColor="text1"/>
          </w:rPr>
          <w:t xml:space="preserve">Record of Outcome </w:t>
        </w:r>
        <w:r w:rsidR="00F24348" w:rsidRPr="00B40A77">
          <w:rPr>
            <w:rStyle w:val="Hyperlink"/>
            <w:color w:val="000000" w:themeColor="text1"/>
          </w:rPr>
          <w:t>–</w:t>
        </w:r>
        <w:r w:rsidR="00950E69" w:rsidRPr="00B40A77">
          <w:rPr>
            <w:rStyle w:val="Hyperlink"/>
            <w:color w:val="000000" w:themeColor="text1"/>
          </w:rPr>
          <w:t xml:space="preserve"> Order</w:t>
        </w:r>
      </w:hyperlink>
    </w:p>
    <w:p w14:paraId="1B2052D3" w14:textId="2C4C9CFF" w:rsidR="00EC0CDA" w:rsidRPr="00B40A77" w:rsidRDefault="00D00AFF" w:rsidP="00EC0CDA">
      <w:pPr>
        <w:pStyle w:val="Heading4"/>
        <w:rPr>
          <w:color w:val="000000" w:themeColor="text1"/>
        </w:rPr>
      </w:pPr>
      <w:bookmarkStart w:id="356" w:name="_Toc175238902"/>
      <w:r w:rsidRPr="00B40A77">
        <w:rPr>
          <w:color w:val="000000" w:themeColor="text1"/>
        </w:rPr>
        <w:t>40</w:t>
      </w:r>
      <w:r w:rsidR="00230F03" w:rsidRPr="00B40A77">
        <w:rPr>
          <w:color w:val="000000" w:themeColor="text1"/>
        </w:rPr>
        <w:t>.6</w:t>
      </w:r>
      <w:r w:rsidR="00EC0CDA" w:rsidRPr="00B40A77">
        <w:rPr>
          <w:color w:val="000000" w:themeColor="text1"/>
        </w:rPr>
        <w:t>—Order requiring compliance with positive or negative requirements</w:t>
      </w:r>
      <w:bookmarkEnd w:id="356"/>
    </w:p>
    <w:p w14:paraId="42161CBA" w14:textId="0AFA2602" w:rsidR="00EC0CDA" w:rsidRPr="00B40A77" w:rsidRDefault="00EC0CDA" w:rsidP="0033795E">
      <w:pPr>
        <w:pStyle w:val="Hangindent"/>
        <w:keepNext/>
        <w:ind w:left="567" w:firstLine="0"/>
        <w:rPr>
          <w:color w:val="000000" w:themeColor="text1"/>
          <w:lang w:val="en-US"/>
        </w:rPr>
      </w:pPr>
      <w:r w:rsidRPr="00B40A77">
        <w:rPr>
          <w:color w:val="000000" w:themeColor="text1"/>
          <w:lang w:val="en-US"/>
        </w:rPr>
        <w:t>A formal order requiring a person to do or refrain from doing an act must be endorsed with a warning, in the prescribed form, of the consequences of failing to comply with the order.</w:t>
      </w:r>
    </w:p>
    <w:p w14:paraId="6558EEA0" w14:textId="4C707CA7" w:rsidR="00EC0CDA" w:rsidRPr="00B40A77" w:rsidRDefault="00EC0CDA" w:rsidP="0033795E">
      <w:pPr>
        <w:pStyle w:val="NoteHeader"/>
        <w:keepNext/>
        <w:ind w:left="567"/>
        <w:rPr>
          <w:color w:val="000000" w:themeColor="text1"/>
        </w:rPr>
      </w:pPr>
      <w:r w:rsidRPr="00B40A77">
        <w:rPr>
          <w:color w:val="000000" w:themeColor="text1"/>
        </w:rPr>
        <w:t>Prescribed form—</w:t>
      </w:r>
    </w:p>
    <w:p w14:paraId="1FC74EE9" w14:textId="7126040A" w:rsidR="00EC0CDA" w:rsidRPr="00B40A77" w:rsidRDefault="002B4EE0" w:rsidP="008E5410">
      <w:pPr>
        <w:pStyle w:val="NoteText"/>
        <w:ind w:left="851"/>
        <w:rPr>
          <w:rStyle w:val="Hyperlink"/>
          <w:color w:val="000000" w:themeColor="text1"/>
        </w:rPr>
      </w:pPr>
      <w:r w:rsidRPr="00B40A77">
        <w:rPr>
          <w:color w:val="000000" w:themeColor="text1"/>
        </w:rPr>
        <w:t>Form 100</w:t>
      </w:r>
      <w:r w:rsidR="00EC0CDA" w:rsidRPr="00B40A77">
        <w:rPr>
          <w:color w:val="000000" w:themeColor="text1"/>
        </w:rPr>
        <w:t xml:space="preserve"> </w:t>
      </w:r>
      <w:hyperlink r:id="rId89" w:history="1">
        <w:r w:rsidR="00EC0CDA" w:rsidRPr="00B40A77">
          <w:rPr>
            <w:rStyle w:val="Hyperlink"/>
            <w:color w:val="000000" w:themeColor="text1"/>
          </w:rPr>
          <w:t>Order</w:t>
        </w:r>
      </w:hyperlink>
    </w:p>
    <w:p w14:paraId="5BAC8C08" w14:textId="57098A88" w:rsidR="00F72497" w:rsidRPr="00B40A77" w:rsidRDefault="00F72497" w:rsidP="00F72497">
      <w:pPr>
        <w:pStyle w:val="Heading4"/>
        <w:rPr>
          <w:color w:val="000000" w:themeColor="text1"/>
        </w:rPr>
      </w:pPr>
      <w:bookmarkStart w:id="357" w:name="_Toc175238903"/>
      <w:r w:rsidRPr="00B40A77">
        <w:rPr>
          <w:color w:val="000000" w:themeColor="text1"/>
        </w:rPr>
        <w:t>40.7—Firearms prohibition order</w:t>
      </w:r>
      <w:bookmarkEnd w:id="357"/>
    </w:p>
    <w:p w14:paraId="05850752" w14:textId="01DA734F" w:rsidR="00F72497" w:rsidRPr="00B40A77" w:rsidRDefault="00F72497" w:rsidP="00F72497">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 if</w:t>
      </w:r>
      <w:r w:rsidRPr="00B40A77">
        <w:rPr>
          <w:color w:val="000000" w:themeColor="text1"/>
        </w:rPr>
        <w:t xml:space="preserve"> </w:t>
      </w:r>
      <w:r w:rsidRPr="00B40A77">
        <w:rPr>
          <w:color w:val="000000" w:themeColor="text1"/>
          <w:lang w:val="en-US"/>
        </w:rPr>
        <w:t xml:space="preserve">the Court makes an order </w:t>
      </w:r>
      <w:r w:rsidR="00B07094" w:rsidRPr="00B40A77">
        <w:rPr>
          <w:color w:val="000000" w:themeColor="text1"/>
          <w:lang w:val="en-US"/>
        </w:rPr>
        <w:t xml:space="preserve">in the course of </w:t>
      </w:r>
      <w:r w:rsidR="00704792" w:rsidRPr="00B40A77">
        <w:rPr>
          <w:color w:val="000000" w:themeColor="text1"/>
          <w:lang w:val="en-US"/>
        </w:rPr>
        <w:t xml:space="preserve">a </w:t>
      </w:r>
      <w:r w:rsidR="00B07094" w:rsidRPr="00B40A77">
        <w:rPr>
          <w:color w:val="000000" w:themeColor="text1"/>
          <w:lang w:val="en-US"/>
        </w:rPr>
        <w:t xml:space="preserve">proceeding and before a finding of guilt </w:t>
      </w:r>
      <w:r w:rsidRPr="00B40A77">
        <w:rPr>
          <w:color w:val="000000" w:themeColor="text1"/>
          <w:lang w:val="en-US"/>
        </w:rPr>
        <w:t>that a defendant</w:t>
      </w:r>
      <w:r w:rsidRPr="00B40A77">
        <w:rPr>
          <w:color w:val="000000" w:themeColor="text1"/>
        </w:rPr>
        <w:t xml:space="preserve"> or youth be subject to a </w:t>
      </w:r>
      <w:r w:rsidRPr="00B40A77">
        <w:rPr>
          <w:color w:val="000000" w:themeColor="text1"/>
          <w:lang w:val="en-US"/>
        </w:rPr>
        <w:t xml:space="preserve">firearms prohibition order </w:t>
      </w:r>
      <w:r w:rsidRPr="00B40A77">
        <w:rPr>
          <w:color w:val="000000" w:themeColor="text1"/>
        </w:rPr>
        <w:t>until further order</w:t>
      </w:r>
      <w:r w:rsidRPr="00B40A77">
        <w:rPr>
          <w:color w:val="000000" w:themeColor="text1"/>
          <w:lang w:val="en-US"/>
        </w:rPr>
        <w:t xml:space="preserve"> under section 66(</w:t>
      </w:r>
      <w:r w:rsidR="00B07094" w:rsidRPr="00B40A77">
        <w:rPr>
          <w:color w:val="000000" w:themeColor="text1"/>
          <w:lang w:val="en-US"/>
        </w:rPr>
        <w:t>2</w:t>
      </w:r>
      <w:r w:rsidRPr="00B40A77">
        <w:rPr>
          <w:color w:val="000000" w:themeColor="text1"/>
          <w:lang w:val="en-US"/>
        </w:rPr>
        <w:t xml:space="preserve">) of the </w:t>
      </w:r>
      <w:r w:rsidRPr="00B40A77">
        <w:rPr>
          <w:i/>
          <w:color w:val="000000" w:themeColor="text1"/>
          <w:lang w:val="en-US"/>
        </w:rPr>
        <w:t>Firearms Act 2015</w:t>
      </w:r>
      <w:r w:rsidRPr="00B40A77">
        <w:rPr>
          <w:color w:val="000000" w:themeColor="text1"/>
          <w:lang w:val="en-US"/>
        </w:rPr>
        <w:t>.</w:t>
      </w:r>
    </w:p>
    <w:p w14:paraId="5B76844B" w14:textId="08D8189F" w:rsidR="00F72497" w:rsidRPr="00B40A77" w:rsidRDefault="00F72497" w:rsidP="0033795E">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The written record of an order that a </w:t>
      </w:r>
      <w:r w:rsidRPr="00B40A77">
        <w:rPr>
          <w:color w:val="000000" w:themeColor="text1"/>
        </w:rPr>
        <w:t xml:space="preserve">defendant or youth be subject to a </w:t>
      </w:r>
      <w:r w:rsidRPr="00B40A77">
        <w:rPr>
          <w:color w:val="000000" w:themeColor="text1"/>
          <w:lang w:val="en-US"/>
        </w:rPr>
        <w:t>firearms prohibition order must be in the prescribed form.</w:t>
      </w:r>
    </w:p>
    <w:p w14:paraId="6CBE113A" w14:textId="291E3DFC" w:rsidR="00F72497" w:rsidRPr="00B40A77" w:rsidRDefault="00F72497" w:rsidP="0033795E">
      <w:pPr>
        <w:pStyle w:val="NoteHeader"/>
        <w:keepNext/>
        <w:rPr>
          <w:color w:val="000000" w:themeColor="text1"/>
        </w:rPr>
      </w:pPr>
      <w:r w:rsidRPr="00B40A77">
        <w:rPr>
          <w:color w:val="000000" w:themeColor="text1"/>
        </w:rPr>
        <w:t>Prescribed form—</w:t>
      </w:r>
    </w:p>
    <w:p w14:paraId="52A7D20F" w14:textId="5A75D8B6" w:rsidR="00F72497" w:rsidRPr="00B40A77" w:rsidRDefault="00F72497" w:rsidP="00AA301B">
      <w:pPr>
        <w:pStyle w:val="NoteText"/>
        <w:keepNext/>
        <w:rPr>
          <w:color w:val="000000" w:themeColor="text1"/>
        </w:rPr>
      </w:pPr>
      <w:bookmarkStart w:id="358" w:name="_Hlk108769553"/>
      <w:r w:rsidRPr="00B40A77">
        <w:rPr>
          <w:color w:val="000000" w:themeColor="text1"/>
        </w:rPr>
        <w:t xml:space="preserve">Form 99 </w:t>
      </w:r>
      <w:hyperlink r:id="rId90" w:history="1">
        <w:r w:rsidRPr="00B40A77">
          <w:rPr>
            <w:rStyle w:val="Hyperlink"/>
            <w:color w:val="000000" w:themeColor="text1"/>
          </w:rPr>
          <w:t>Record of Outcome</w:t>
        </w:r>
        <w:r w:rsidR="003B5A1C" w:rsidRPr="00B40A77">
          <w:rPr>
            <w:rStyle w:val="Hyperlink"/>
            <w:color w:val="000000" w:themeColor="text1"/>
          </w:rPr>
          <w:t xml:space="preserve"> – Order</w:t>
        </w:r>
      </w:hyperlink>
      <w:r w:rsidR="003B5A1C" w:rsidRPr="00B40A77">
        <w:rPr>
          <w:color w:val="000000" w:themeColor="text1"/>
          <w:u w:val="single"/>
        </w:rPr>
        <w:t xml:space="preserve"> </w:t>
      </w:r>
    </w:p>
    <w:bookmarkEnd w:id="358"/>
    <w:p w14:paraId="282053A9" w14:textId="7607994D" w:rsidR="00F72497" w:rsidRPr="00B40A77" w:rsidRDefault="00F72497" w:rsidP="00AA301B">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cause a formal order in the prescribed form to be issued and served on the defendant or youth.</w:t>
      </w:r>
    </w:p>
    <w:p w14:paraId="7B3631EA" w14:textId="083CB408" w:rsidR="00F72497" w:rsidRPr="00B40A77" w:rsidRDefault="00F72497" w:rsidP="00AA301B">
      <w:pPr>
        <w:pStyle w:val="NoteHeader"/>
        <w:keepNext/>
        <w:rPr>
          <w:color w:val="000000" w:themeColor="text1"/>
        </w:rPr>
      </w:pPr>
      <w:r w:rsidRPr="00B40A77">
        <w:rPr>
          <w:color w:val="000000" w:themeColor="text1"/>
        </w:rPr>
        <w:t>Prescribed form—</w:t>
      </w:r>
    </w:p>
    <w:p w14:paraId="6925CEB3" w14:textId="1C91215A" w:rsidR="00F72497" w:rsidRPr="00B40A77" w:rsidRDefault="00F72497" w:rsidP="00F72497">
      <w:pPr>
        <w:pStyle w:val="NoteText"/>
        <w:rPr>
          <w:color w:val="000000" w:themeColor="text1"/>
        </w:rPr>
      </w:pPr>
      <w:r w:rsidRPr="00B40A77">
        <w:rPr>
          <w:color w:val="000000" w:themeColor="text1"/>
        </w:rPr>
        <w:t xml:space="preserve">Form 100A </w:t>
      </w:r>
      <w:hyperlink r:id="rId91" w:history="1">
        <w:r w:rsidRPr="00B40A77">
          <w:rPr>
            <w:rStyle w:val="Hyperlink"/>
            <w:color w:val="000000" w:themeColor="text1"/>
          </w:rPr>
          <w:t>Firearms Order and Acknowledgement</w:t>
        </w:r>
      </w:hyperlink>
    </w:p>
    <w:p w14:paraId="6A778A0F" w14:textId="06B92F46" w:rsidR="00F72497" w:rsidRPr="00B40A77" w:rsidRDefault="00F72497" w:rsidP="00F72497">
      <w:pPr>
        <w:pStyle w:val="Hangindent"/>
        <w:rPr>
          <w:color w:val="000000" w:themeColor="text1"/>
          <w:lang w:val="en-US"/>
        </w:rPr>
      </w:pPr>
      <w:r w:rsidRPr="00B40A77">
        <w:rPr>
          <w:color w:val="000000" w:themeColor="text1"/>
          <w:lang w:val="en-US"/>
        </w:rPr>
        <w:t>(4)</w:t>
      </w:r>
      <w:r w:rsidRPr="00B40A77">
        <w:rPr>
          <w:color w:val="000000" w:themeColor="text1"/>
          <w:lang w:val="en-US"/>
        </w:rPr>
        <w:tab/>
        <w:t>A firearms prohibition order m</w:t>
      </w:r>
      <w:r w:rsidR="008C2C27" w:rsidRPr="00B40A77">
        <w:rPr>
          <w:color w:val="000000" w:themeColor="text1"/>
          <w:lang w:val="en-US"/>
        </w:rPr>
        <w:t>ay</w:t>
      </w:r>
      <w:r w:rsidRPr="00B40A77">
        <w:rPr>
          <w:color w:val="000000" w:themeColor="text1"/>
          <w:lang w:val="en-US"/>
        </w:rPr>
        <w:t xml:space="preserve"> be acknowledged by the defendant or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704792" w:rsidRPr="00B40A77">
        <w:rPr>
          <w:color w:val="000000" w:themeColor="text1"/>
          <w:lang w:val="en-US"/>
        </w:rPr>
        <w:t>a</w:t>
      </w:r>
      <w:r w:rsidRPr="00B40A77">
        <w:rPr>
          <w:color w:val="000000" w:themeColor="text1"/>
          <w:lang w:val="en-US"/>
        </w:rPr>
        <w:t xml:space="preserve"> </w:t>
      </w:r>
      <w:hyperlink w:anchor="_2.1—Definitions" w:history="1">
        <w:r w:rsidRPr="00B40A77">
          <w:rPr>
            <w:rStyle w:val="Hyperlink"/>
            <w:color w:val="000000" w:themeColor="text1"/>
            <w:lang w:val="en-US"/>
          </w:rPr>
          <w:t>Registrar</w:t>
        </w:r>
      </w:hyperlink>
      <w:r w:rsidRPr="00B40A77">
        <w:rPr>
          <w:color w:val="000000" w:themeColor="text1"/>
          <w:lang w:val="en-US"/>
        </w:rPr>
        <w:t xml:space="preserve"> of the Court, or a Justice of the Peace.</w:t>
      </w:r>
    </w:p>
    <w:p w14:paraId="06F843E9" w14:textId="09573F0A" w:rsidR="00F72497" w:rsidRPr="00B40A77" w:rsidRDefault="00F72497" w:rsidP="00173536">
      <w:pPr>
        <w:pStyle w:val="Hangindent"/>
        <w:keepNext/>
        <w:rPr>
          <w:color w:val="000000" w:themeColor="text1"/>
          <w:lang w:val="en-US"/>
        </w:rPr>
      </w:pPr>
      <w:r w:rsidRPr="00B40A77">
        <w:rPr>
          <w:color w:val="000000" w:themeColor="text1"/>
          <w:lang w:val="en-US"/>
        </w:rPr>
        <w:t>(5)</w:t>
      </w:r>
      <w:r w:rsidRPr="00B40A77">
        <w:rPr>
          <w:color w:val="000000" w:themeColor="text1"/>
          <w:lang w:val="en-US"/>
        </w:rPr>
        <w:tab/>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cause the Registrar of Firearms to be notified of the order by service of the order electronically on the Registrar of Firearms as soon as practicable.</w:t>
      </w:r>
    </w:p>
    <w:p w14:paraId="7D51E8AE" w14:textId="284EB139" w:rsidR="00F72497" w:rsidRPr="00B40A77" w:rsidRDefault="00F72497" w:rsidP="00E13A93">
      <w:pPr>
        <w:pStyle w:val="NoteHeader"/>
        <w:keepNext/>
        <w:rPr>
          <w:color w:val="000000" w:themeColor="text1"/>
        </w:rPr>
      </w:pPr>
      <w:r w:rsidRPr="00B40A77">
        <w:rPr>
          <w:color w:val="000000" w:themeColor="text1"/>
        </w:rPr>
        <w:t>Note—</w:t>
      </w:r>
    </w:p>
    <w:p w14:paraId="731A86A6" w14:textId="5D67F3B0" w:rsidR="00F72497" w:rsidRPr="00B40A77" w:rsidRDefault="00F72497" w:rsidP="008825B1">
      <w:pPr>
        <w:pStyle w:val="NoteText"/>
        <w:rPr>
          <w:rStyle w:val="Hyperlink"/>
          <w:color w:val="000000" w:themeColor="text1"/>
        </w:rPr>
      </w:pPr>
      <w:r w:rsidRPr="00B40A77">
        <w:rPr>
          <w:color w:val="000000" w:themeColor="text1"/>
        </w:rPr>
        <w:t xml:space="preserve">Section 66(4) </w:t>
      </w:r>
      <w:r w:rsidRPr="00B40A77">
        <w:rPr>
          <w:color w:val="000000" w:themeColor="text1"/>
          <w:lang w:val="en-US"/>
        </w:rPr>
        <w:t xml:space="preserve">of the </w:t>
      </w:r>
      <w:r w:rsidRPr="00B40A77">
        <w:rPr>
          <w:i/>
          <w:color w:val="000000" w:themeColor="text1"/>
          <w:lang w:val="en-US"/>
        </w:rPr>
        <w:t xml:space="preserve">Firearms Act 2015 </w:t>
      </w:r>
      <w:r w:rsidRPr="00B40A77">
        <w:rPr>
          <w:color w:val="000000" w:themeColor="text1"/>
        </w:rPr>
        <w:t xml:space="preserve">requires </w:t>
      </w:r>
      <w:r w:rsidR="00E058DE" w:rsidRPr="00B40A77">
        <w:rPr>
          <w:color w:val="000000" w:themeColor="text1"/>
        </w:rPr>
        <w:t>the registrar</w:t>
      </w:r>
      <w:r w:rsidRPr="00B40A77">
        <w:rPr>
          <w:color w:val="000000" w:themeColor="text1"/>
        </w:rPr>
        <w:t xml:space="preserve"> to notify the Registrar of Firearms of the details of the order.</w:t>
      </w:r>
    </w:p>
    <w:p w14:paraId="627C15A8" w14:textId="4F227A7A" w:rsidR="00CD7041" w:rsidRPr="00B40A77" w:rsidRDefault="00A351F3" w:rsidP="00BE23A0">
      <w:pPr>
        <w:pStyle w:val="Heading2"/>
        <w:keepNext/>
        <w:rPr>
          <w:color w:val="000000" w:themeColor="text1"/>
        </w:rPr>
      </w:pPr>
      <w:bookmarkStart w:id="359" w:name="_Toc175238904"/>
      <w:r w:rsidRPr="00B40A77">
        <w:rPr>
          <w:color w:val="000000" w:themeColor="text1"/>
        </w:rPr>
        <w:t>Part 8</w:t>
      </w:r>
      <w:r w:rsidR="00CD7041" w:rsidRPr="00B40A77">
        <w:rPr>
          <w:color w:val="000000" w:themeColor="text1"/>
        </w:rPr>
        <w:t>—Remand: bail and custody</w:t>
      </w:r>
      <w:bookmarkEnd w:id="359"/>
    </w:p>
    <w:p w14:paraId="4D57BCB3" w14:textId="77777777" w:rsidR="00CD7041" w:rsidRPr="00B40A77" w:rsidRDefault="00CD7041" w:rsidP="00CD7041">
      <w:pPr>
        <w:pStyle w:val="Heading3"/>
        <w:rPr>
          <w:color w:val="000000" w:themeColor="text1"/>
        </w:rPr>
      </w:pPr>
      <w:bookmarkStart w:id="360" w:name="_Toc175238905"/>
      <w:r w:rsidRPr="00B40A77">
        <w:rPr>
          <w:color w:val="000000" w:themeColor="text1"/>
        </w:rPr>
        <w:t>Division 1—Bail</w:t>
      </w:r>
      <w:bookmarkEnd w:id="360"/>
    </w:p>
    <w:p w14:paraId="39B5D353" w14:textId="474E0051" w:rsidR="00CD7041" w:rsidRPr="00B40A77" w:rsidRDefault="00C82171" w:rsidP="00B87028">
      <w:pPr>
        <w:pStyle w:val="Heading4"/>
        <w:rPr>
          <w:color w:val="000000" w:themeColor="text1"/>
        </w:rPr>
      </w:pPr>
      <w:bookmarkStart w:id="361" w:name="_Toc175238906"/>
      <w:r w:rsidRPr="00B40A77">
        <w:rPr>
          <w:color w:val="000000" w:themeColor="text1"/>
        </w:rPr>
        <w:t>4</w:t>
      </w:r>
      <w:r w:rsidR="00D00AFF" w:rsidRPr="00B40A77">
        <w:rPr>
          <w:color w:val="000000" w:themeColor="text1"/>
        </w:rPr>
        <w:t>1</w:t>
      </w:r>
      <w:r w:rsidR="000F3DD8" w:rsidRPr="00B40A77">
        <w:rPr>
          <w:color w:val="000000" w:themeColor="text1"/>
        </w:rPr>
        <w:t>.1</w:t>
      </w:r>
      <w:r w:rsidR="00CD7041" w:rsidRPr="00B40A77">
        <w:rPr>
          <w:color w:val="000000" w:themeColor="text1"/>
        </w:rPr>
        <w:t>—</w:t>
      </w:r>
      <w:r w:rsidR="000F3DD8" w:rsidRPr="00B40A77">
        <w:rPr>
          <w:color w:val="000000" w:themeColor="text1"/>
        </w:rPr>
        <w:t>Eligibility to make b</w:t>
      </w:r>
      <w:r w:rsidR="00CD7041" w:rsidRPr="00B40A77">
        <w:rPr>
          <w:color w:val="000000" w:themeColor="text1"/>
        </w:rPr>
        <w:t>ail application</w:t>
      </w:r>
      <w:bookmarkEnd w:id="361"/>
    </w:p>
    <w:p w14:paraId="2E68CA72" w14:textId="33C671F4" w:rsidR="00CD7041" w:rsidRPr="00B40A77" w:rsidRDefault="00800AA5" w:rsidP="00DF5309">
      <w:pPr>
        <w:pStyle w:val="IndentedPara"/>
        <w:rPr>
          <w:color w:val="000000" w:themeColor="text1"/>
        </w:rPr>
      </w:pPr>
      <w:r w:rsidRPr="00B40A77">
        <w:rPr>
          <w:color w:val="000000" w:themeColor="text1"/>
        </w:rPr>
        <w:t>A</w:t>
      </w:r>
      <w:r w:rsidR="00CD7041" w:rsidRPr="00B40A77">
        <w:rPr>
          <w:color w:val="000000" w:themeColor="text1"/>
        </w:rPr>
        <w:t xml:space="preserve"> </w:t>
      </w:r>
      <w:hyperlink w:anchor="_2.1—Definitions" w:history="1">
        <w:r w:rsidR="00CD7041" w:rsidRPr="00B40A77">
          <w:rPr>
            <w:rStyle w:val="Hyperlink"/>
            <w:color w:val="000000" w:themeColor="text1"/>
          </w:rPr>
          <w:t>bail application</w:t>
        </w:r>
      </w:hyperlink>
      <w:r w:rsidR="00CD7041" w:rsidRPr="00B40A77">
        <w:rPr>
          <w:color w:val="000000" w:themeColor="text1"/>
        </w:rPr>
        <w:t xml:space="preserve"> may be made to the Court under these Rules if it relates to a charge in an Information laid </w:t>
      </w:r>
      <w:r w:rsidR="001B3A8F" w:rsidRPr="00B40A77">
        <w:rPr>
          <w:color w:val="000000" w:themeColor="text1"/>
        </w:rPr>
        <w:t xml:space="preserve">or to be laid </w:t>
      </w:r>
      <w:r w:rsidR="00CD7041" w:rsidRPr="00B40A77">
        <w:rPr>
          <w:color w:val="000000" w:themeColor="text1"/>
        </w:rPr>
        <w:t>in the Court</w:t>
      </w:r>
      <w:r w:rsidR="000F3DD8" w:rsidRPr="00B40A77">
        <w:rPr>
          <w:color w:val="000000" w:themeColor="text1"/>
        </w:rPr>
        <w:t xml:space="preserve"> or the subject of committal for </w:t>
      </w:r>
      <w:hyperlink w:anchor="_2.1—Definitions" w:history="1">
        <w:r w:rsidR="00E46B25" w:rsidRPr="00B40A77">
          <w:rPr>
            <w:rStyle w:val="Hyperlink"/>
            <w:color w:val="000000" w:themeColor="text1"/>
          </w:rPr>
          <w:t>trial</w:t>
        </w:r>
      </w:hyperlink>
      <w:r w:rsidR="000F3DD8" w:rsidRPr="00B40A77">
        <w:rPr>
          <w:color w:val="000000" w:themeColor="text1"/>
        </w:rPr>
        <w:t xml:space="preserve"> or </w:t>
      </w:r>
      <w:hyperlink w:anchor="_2.1—Definitions" w:history="1">
        <w:r w:rsidR="00596ADA" w:rsidRPr="00B40A77">
          <w:rPr>
            <w:rStyle w:val="Hyperlink"/>
            <w:color w:val="000000" w:themeColor="text1"/>
          </w:rPr>
          <w:t>sentence</w:t>
        </w:r>
      </w:hyperlink>
      <w:r w:rsidR="000F3DD8" w:rsidRPr="00B40A77">
        <w:rPr>
          <w:color w:val="000000" w:themeColor="text1"/>
        </w:rPr>
        <w:t xml:space="preserve"> to the Court</w:t>
      </w:r>
      <w:r w:rsidRPr="00B40A77">
        <w:rPr>
          <w:color w:val="000000" w:themeColor="text1"/>
        </w:rPr>
        <w:t xml:space="preserve"> and</w:t>
      </w:r>
      <w:r w:rsidR="00CD7041" w:rsidRPr="00B40A77">
        <w:rPr>
          <w:color w:val="000000" w:themeColor="text1"/>
        </w:rPr>
        <w:t>—</w:t>
      </w:r>
    </w:p>
    <w:p w14:paraId="052B47F7" w14:textId="46BD35DE" w:rsidR="00CD7041" w:rsidRPr="00B40A77" w:rsidRDefault="00CD7041" w:rsidP="00DF5309">
      <w:pPr>
        <w:pStyle w:val="Doublehangindent"/>
        <w:ind w:left="1134"/>
        <w:rPr>
          <w:color w:val="000000" w:themeColor="text1"/>
        </w:rPr>
      </w:pPr>
      <w:r w:rsidRPr="00B40A77">
        <w:rPr>
          <w:color w:val="000000" w:themeColor="text1"/>
        </w:rPr>
        <w:t>(a)</w:t>
      </w:r>
      <w:r w:rsidRPr="00B40A77">
        <w:rPr>
          <w:color w:val="000000" w:themeColor="text1"/>
        </w:rPr>
        <w:tab/>
        <w:t xml:space="preserve">the defendant or youth the subject of the charge has </w:t>
      </w:r>
      <w:r w:rsidR="00800AA5" w:rsidRPr="00B40A77">
        <w:rPr>
          <w:color w:val="000000" w:themeColor="text1"/>
        </w:rPr>
        <w:t xml:space="preserve">not </w:t>
      </w:r>
      <w:r w:rsidRPr="00B40A77">
        <w:rPr>
          <w:color w:val="000000" w:themeColor="text1"/>
        </w:rPr>
        <w:t xml:space="preserve">been committed for </w:t>
      </w:r>
      <w:hyperlink w:anchor="_2.1—Definitions" w:history="1">
        <w:r w:rsidR="00E46B25" w:rsidRPr="00B40A77">
          <w:rPr>
            <w:rStyle w:val="Hyperlink"/>
            <w:color w:val="000000" w:themeColor="text1"/>
            <w:lang w:val="en-US"/>
          </w:rPr>
          <w:t>trial</w:t>
        </w:r>
      </w:hyperlink>
      <w:r w:rsidR="002E10B6" w:rsidRPr="00B40A77">
        <w:rPr>
          <w:color w:val="000000" w:themeColor="text1"/>
        </w:rPr>
        <w:t xml:space="preserve"> or </w:t>
      </w:r>
      <w:hyperlink w:anchor="_2.1—Definitions" w:history="1">
        <w:r w:rsidR="00596ADA" w:rsidRPr="00B40A77">
          <w:rPr>
            <w:rStyle w:val="Hyperlink"/>
            <w:color w:val="000000" w:themeColor="text1"/>
          </w:rPr>
          <w:t>sentence</w:t>
        </w:r>
      </w:hyperlink>
      <w:r w:rsidR="002E10B6" w:rsidRPr="00B40A77">
        <w:rPr>
          <w:color w:val="000000" w:themeColor="text1"/>
        </w:rPr>
        <w:t xml:space="preserve"> to</w:t>
      </w:r>
      <w:r w:rsidR="00CC1B82" w:rsidRPr="00B40A77">
        <w:rPr>
          <w:color w:val="000000" w:themeColor="text1"/>
        </w:rPr>
        <w:t xml:space="preserve"> another</w:t>
      </w:r>
      <w:r w:rsidRPr="00B40A77">
        <w:rPr>
          <w:color w:val="000000" w:themeColor="text1"/>
        </w:rPr>
        <w:t xml:space="preserve"> </w:t>
      </w:r>
      <w:r w:rsidR="00CC1B82" w:rsidRPr="00B40A77">
        <w:rPr>
          <w:color w:val="000000" w:themeColor="text1"/>
        </w:rPr>
        <w:t>c</w:t>
      </w:r>
      <w:r w:rsidR="002E10B6" w:rsidRPr="00B40A77">
        <w:rPr>
          <w:color w:val="000000" w:themeColor="text1"/>
        </w:rPr>
        <w:t xml:space="preserve">ourt; </w:t>
      </w:r>
    </w:p>
    <w:p w14:paraId="68748C52" w14:textId="57215746" w:rsidR="00CD7041" w:rsidRPr="00B40A77" w:rsidRDefault="00CD7041" w:rsidP="00DF5309">
      <w:pPr>
        <w:pStyle w:val="Doublehangindent"/>
        <w:ind w:left="1134"/>
        <w:rPr>
          <w:color w:val="000000" w:themeColor="text1"/>
        </w:rPr>
      </w:pPr>
      <w:r w:rsidRPr="00B40A77">
        <w:rPr>
          <w:color w:val="000000" w:themeColor="text1"/>
        </w:rPr>
        <w:t>(b)</w:t>
      </w:r>
      <w:r w:rsidRPr="00B40A77">
        <w:rPr>
          <w:color w:val="000000" w:themeColor="text1"/>
        </w:rPr>
        <w:tab/>
        <w:t xml:space="preserve">the charge is </w:t>
      </w:r>
      <w:r w:rsidR="00800AA5" w:rsidRPr="00B40A77">
        <w:rPr>
          <w:color w:val="000000" w:themeColor="text1"/>
        </w:rPr>
        <w:t xml:space="preserve">not </w:t>
      </w:r>
      <w:r w:rsidRPr="00B40A77">
        <w:rPr>
          <w:color w:val="000000" w:themeColor="text1"/>
        </w:rPr>
        <w:t xml:space="preserve">the subject of an order transferring the proceeding to another court; </w:t>
      </w:r>
      <w:r w:rsidR="001958FA" w:rsidRPr="00B40A77">
        <w:rPr>
          <w:color w:val="000000" w:themeColor="text1"/>
        </w:rPr>
        <w:t>and</w:t>
      </w:r>
    </w:p>
    <w:p w14:paraId="5A380B77" w14:textId="78899AFC" w:rsidR="00CD7041" w:rsidRPr="00B40A77" w:rsidRDefault="00CD7041" w:rsidP="00DF5309">
      <w:pPr>
        <w:pStyle w:val="Doublehangindent"/>
        <w:keepNext/>
        <w:ind w:left="1134"/>
        <w:rPr>
          <w:color w:val="000000" w:themeColor="text1"/>
        </w:rPr>
      </w:pPr>
      <w:r w:rsidRPr="00B40A77">
        <w:rPr>
          <w:color w:val="000000" w:themeColor="text1"/>
        </w:rPr>
        <w:t>(c)</w:t>
      </w:r>
      <w:r w:rsidRPr="00B40A77">
        <w:rPr>
          <w:color w:val="000000" w:themeColor="text1"/>
        </w:rPr>
        <w:tab/>
        <w:t xml:space="preserve">the charge is </w:t>
      </w:r>
      <w:r w:rsidR="00800AA5" w:rsidRPr="00B40A77">
        <w:rPr>
          <w:color w:val="000000" w:themeColor="text1"/>
        </w:rPr>
        <w:t xml:space="preserve">not </w:t>
      </w:r>
      <w:r w:rsidRPr="00B40A77">
        <w:rPr>
          <w:color w:val="000000" w:themeColor="text1"/>
        </w:rPr>
        <w:t>the subject of a remand of the defendant or youth to be dealt with by</w:t>
      </w:r>
      <w:r w:rsidR="00CC1B82" w:rsidRPr="00B40A77">
        <w:rPr>
          <w:color w:val="000000" w:themeColor="text1"/>
        </w:rPr>
        <w:t xml:space="preserve"> another court</w:t>
      </w:r>
      <w:r w:rsidR="00C06A38" w:rsidRPr="00B40A77">
        <w:rPr>
          <w:color w:val="000000" w:themeColor="text1"/>
        </w:rPr>
        <w:t>.</w:t>
      </w:r>
    </w:p>
    <w:p w14:paraId="267E8070" w14:textId="290DA66A" w:rsidR="00C06A38" w:rsidRPr="00B40A77" w:rsidRDefault="00C06A38" w:rsidP="00DF5309">
      <w:pPr>
        <w:pStyle w:val="NoteHeader"/>
        <w:keepNext/>
        <w:rPr>
          <w:color w:val="000000" w:themeColor="text1"/>
        </w:rPr>
      </w:pPr>
      <w:bookmarkStart w:id="362" w:name="_Hlk76633784"/>
      <w:r w:rsidRPr="00B40A77">
        <w:rPr>
          <w:color w:val="000000" w:themeColor="text1"/>
        </w:rPr>
        <w:t>Note—</w:t>
      </w:r>
    </w:p>
    <w:p w14:paraId="520BADF5" w14:textId="63C85FDC" w:rsidR="00C06A38" w:rsidRPr="00B40A77" w:rsidRDefault="00C06A38" w:rsidP="00DF5309">
      <w:pPr>
        <w:pStyle w:val="NoteText"/>
        <w:rPr>
          <w:color w:val="000000" w:themeColor="text1"/>
        </w:rPr>
      </w:pPr>
      <w:r w:rsidRPr="00B40A77">
        <w:rPr>
          <w:color w:val="000000" w:themeColor="text1"/>
        </w:rPr>
        <w:t>If a bail application cannot be made to a particular Court under these Rules, it should be made in another Court if it can be made under this rule</w:t>
      </w:r>
      <w:r w:rsidR="00951A71" w:rsidRPr="00B40A77">
        <w:rPr>
          <w:color w:val="000000" w:themeColor="text1"/>
        </w:rPr>
        <w:t>,</w:t>
      </w:r>
      <w:r w:rsidRPr="00B40A77">
        <w:rPr>
          <w:color w:val="000000" w:themeColor="text1"/>
        </w:rPr>
        <w:t xml:space="preserve"> or otherwise it should be made under Chapter</w:t>
      </w:r>
      <w:r w:rsidR="00CE037B" w:rsidRPr="00B40A77">
        <w:rPr>
          <w:color w:val="000000" w:themeColor="text1"/>
        </w:rPr>
        <w:t> </w:t>
      </w:r>
      <w:r w:rsidR="009D6EF9" w:rsidRPr="00B40A77">
        <w:rPr>
          <w:color w:val="000000" w:themeColor="text1"/>
        </w:rPr>
        <w:t>6</w:t>
      </w:r>
      <w:r w:rsidR="003D6944" w:rsidRPr="00B40A77">
        <w:rPr>
          <w:color w:val="000000" w:themeColor="text1"/>
        </w:rPr>
        <w:t xml:space="preserve"> </w:t>
      </w:r>
      <w:r w:rsidRPr="00B40A77">
        <w:rPr>
          <w:color w:val="000000" w:themeColor="text1"/>
        </w:rPr>
        <w:t>Part</w:t>
      </w:r>
      <w:r w:rsidR="00CE037B" w:rsidRPr="00B40A77">
        <w:rPr>
          <w:color w:val="000000" w:themeColor="text1"/>
        </w:rPr>
        <w:t> </w:t>
      </w:r>
      <w:r w:rsidR="009D6EF9" w:rsidRPr="00B40A77">
        <w:rPr>
          <w:color w:val="000000" w:themeColor="text1"/>
        </w:rPr>
        <w:t>2</w:t>
      </w:r>
      <w:r w:rsidR="003D6944" w:rsidRPr="00B40A77">
        <w:rPr>
          <w:color w:val="000000" w:themeColor="text1"/>
        </w:rPr>
        <w:t xml:space="preserve"> </w:t>
      </w:r>
      <w:r w:rsidRPr="00B40A77">
        <w:rPr>
          <w:color w:val="000000" w:themeColor="text1"/>
        </w:rPr>
        <w:t xml:space="preserve">of the </w:t>
      </w:r>
      <w:hyperlink w:anchor="_2.1—Definitions" w:history="1">
        <w:r w:rsidR="00EE525A" w:rsidRPr="00B40A77">
          <w:rPr>
            <w:rStyle w:val="Hyperlink"/>
            <w:color w:val="000000" w:themeColor="text1"/>
            <w:lang w:val="en-US"/>
          </w:rPr>
          <w:t>Uniform Special Statutory Rules</w:t>
        </w:r>
      </w:hyperlink>
      <w:r w:rsidRPr="00B40A77">
        <w:rPr>
          <w:color w:val="000000" w:themeColor="text1"/>
        </w:rPr>
        <w:t>.</w:t>
      </w:r>
    </w:p>
    <w:p w14:paraId="5CC8AC65" w14:textId="4FD264BA" w:rsidR="00B709B5" w:rsidRPr="00B40A77" w:rsidRDefault="00B709B5" w:rsidP="00B709B5">
      <w:pPr>
        <w:pStyle w:val="Heading4"/>
        <w:rPr>
          <w:color w:val="000000" w:themeColor="text1"/>
        </w:rPr>
      </w:pPr>
      <w:bookmarkStart w:id="363" w:name="_Toc175238907"/>
      <w:bookmarkStart w:id="364" w:name="_Hlk111467440"/>
      <w:bookmarkStart w:id="365" w:name="_Hlk76633970"/>
      <w:bookmarkEnd w:id="362"/>
      <w:r w:rsidRPr="00B40A77">
        <w:rPr>
          <w:color w:val="000000" w:themeColor="text1"/>
        </w:rPr>
        <w:t>41.2—Telephone reviews under section 15</w:t>
      </w:r>
      <w:r w:rsidR="00B101C1" w:rsidRPr="00B40A77">
        <w:rPr>
          <w:color w:val="000000" w:themeColor="text1"/>
        </w:rPr>
        <w:t>: Magistrates Court and Youth Court</w:t>
      </w:r>
      <w:bookmarkEnd w:id="363"/>
    </w:p>
    <w:p w14:paraId="73F0CCEA" w14:textId="77777777" w:rsidR="00B101C1" w:rsidRPr="00B40A77" w:rsidRDefault="00B709B5" w:rsidP="00B101C1">
      <w:pPr>
        <w:pStyle w:val="Hangindent"/>
        <w:rPr>
          <w:color w:val="000000" w:themeColor="text1"/>
          <w:lang w:val="en-US"/>
        </w:rPr>
      </w:pPr>
      <w:r w:rsidRPr="00B40A77">
        <w:rPr>
          <w:iCs/>
          <w:color w:val="000000" w:themeColor="text1"/>
          <w:lang w:val="en-US"/>
        </w:rPr>
        <w:t>(1)</w:t>
      </w:r>
      <w:r w:rsidRPr="00B40A77">
        <w:rPr>
          <w:iCs/>
          <w:color w:val="000000" w:themeColor="text1"/>
          <w:lang w:val="en-US"/>
        </w:rPr>
        <w:tab/>
      </w:r>
      <w:r w:rsidR="00F55BF9" w:rsidRPr="00B40A77">
        <w:rPr>
          <w:iCs/>
          <w:color w:val="000000" w:themeColor="text1"/>
          <w:lang w:val="en-US"/>
        </w:rPr>
        <w:t>This rule applies if</w:t>
      </w:r>
      <w:r w:rsidR="00B101C1" w:rsidRPr="00B40A77">
        <w:rPr>
          <w:iCs/>
          <w:color w:val="000000" w:themeColor="text1"/>
          <w:lang w:val="en-US"/>
        </w:rPr>
        <w:t>—</w:t>
      </w:r>
    </w:p>
    <w:p w14:paraId="38549B41" w14:textId="23CF5DA2" w:rsidR="00B101C1" w:rsidRPr="00B40A77" w:rsidRDefault="00B101C1" w:rsidP="00B101C1">
      <w:pPr>
        <w:pStyle w:val="Doublehangindent"/>
        <w:keepNext/>
        <w:rPr>
          <w:iCs/>
          <w:color w:val="000000" w:themeColor="text1"/>
          <w:lang w:val="en-US"/>
        </w:rPr>
      </w:pPr>
      <w:r w:rsidRPr="00B40A77">
        <w:rPr>
          <w:color w:val="000000" w:themeColor="text1"/>
          <w:lang w:val="en-US"/>
        </w:rPr>
        <w:lastRenderedPageBreak/>
        <w:t>(a)</w:t>
      </w:r>
      <w:r w:rsidRPr="00B40A77">
        <w:rPr>
          <w:color w:val="000000" w:themeColor="text1"/>
          <w:lang w:val="en-US"/>
        </w:rPr>
        <w:tab/>
      </w:r>
      <w:r w:rsidR="00F55BF9" w:rsidRPr="00B40A77">
        <w:rPr>
          <w:iCs/>
          <w:color w:val="000000" w:themeColor="text1"/>
          <w:lang w:val="en-US"/>
        </w:rPr>
        <w:t>a</w:t>
      </w:r>
      <w:r w:rsidRPr="00B40A77">
        <w:rPr>
          <w:iCs/>
          <w:color w:val="000000" w:themeColor="text1"/>
          <w:lang w:val="en-US"/>
        </w:rPr>
        <w:t>n arrested</w:t>
      </w:r>
      <w:r w:rsidR="00F55BF9" w:rsidRPr="00B40A77">
        <w:rPr>
          <w:iCs/>
          <w:color w:val="000000" w:themeColor="text1"/>
          <w:lang w:val="en-US"/>
        </w:rPr>
        <w:t xml:space="preserve"> person </w:t>
      </w:r>
      <w:r w:rsidRPr="00B40A77">
        <w:rPr>
          <w:iCs/>
          <w:color w:val="000000" w:themeColor="text1"/>
          <w:lang w:val="en-US"/>
        </w:rPr>
        <w:t xml:space="preserve">(the </w:t>
      </w:r>
      <w:r w:rsidRPr="00B40A77">
        <w:rPr>
          <w:b/>
          <w:bCs/>
          <w:i/>
          <w:color w:val="000000" w:themeColor="text1"/>
          <w:lang w:val="en-US"/>
        </w:rPr>
        <w:t>applicant</w:t>
      </w:r>
      <w:r w:rsidRPr="00B40A77">
        <w:rPr>
          <w:iCs/>
          <w:color w:val="000000" w:themeColor="text1"/>
          <w:lang w:val="en-US"/>
        </w:rPr>
        <w:t xml:space="preserve">) </w:t>
      </w:r>
      <w:r w:rsidR="00F55BF9" w:rsidRPr="00B40A77">
        <w:rPr>
          <w:iCs/>
          <w:color w:val="000000" w:themeColor="text1"/>
          <w:lang w:val="en-US"/>
        </w:rPr>
        <w:t>who applied for release on bail to a police officer is dissatisfied with the police officer’s decision</w:t>
      </w:r>
      <w:r w:rsidRPr="00B40A77">
        <w:rPr>
          <w:iCs/>
          <w:color w:val="000000" w:themeColor="text1"/>
          <w:lang w:val="en-US"/>
        </w:rPr>
        <w:t>;</w:t>
      </w:r>
      <w:r w:rsidR="00124E63" w:rsidRPr="00B40A77">
        <w:rPr>
          <w:iCs/>
          <w:color w:val="000000" w:themeColor="text1"/>
          <w:lang w:val="en-US"/>
        </w:rPr>
        <w:t xml:space="preserve"> and</w:t>
      </w:r>
    </w:p>
    <w:p w14:paraId="6547CE31" w14:textId="6612F08D" w:rsidR="00F36C60" w:rsidRPr="00B40A77" w:rsidRDefault="00F36C60" w:rsidP="00B101C1">
      <w:pPr>
        <w:pStyle w:val="Doublehangindent"/>
        <w:keepNext/>
        <w:rPr>
          <w:iCs/>
          <w:color w:val="000000" w:themeColor="text1"/>
          <w:lang w:val="en-US"/>
        </w:rPr>
      </w:pPr>
      <w:r w:rsidRPr="00B40A77">
        <w:rPr>
          <w:iCs/>
          <w:color w:val="000000" w:themeColor="text1"/>
          <w:lang w:val="en-US"/>
        </w:rPr>
        <w:t>(b)</w:t>
      </w:r>
      <w:r w:rsidRPr="00B40A77">
        <w:rPr>
          <w:iCs/>
          <w:color w:val="000000" w:themeColor="text1"/>
          <w:lang w:val="en-US"/>
        </w:rPr>
        <w:tab/>
        <w:t>there is no magistrate in the vicinity immediately available to review the decision; and</w:t>
      </w:r>
    </w:p>
    <w:p w14:paraId="17A38B80" w14:textId="7FA3310D" w:rsidR="00124E63" w:rsidRPr="00B40A77" w:rsidRDefault="00B101C1" w:rsidP="00124E63">
      <w:pPr>
        <w:pStyle w:val="Doublehangindent"/>
        <w:keepNext/>
        <w:rPr>
          <w:color w:val="000000" w:themeColor="text1"/>
          <w:lang w:val="en-US"/>
        </w:rPr>
      </w:pPr>
      <w:r w:rsidRPr="00B40A77">
        <w:rPr>
          <w:color w:val="000000" w:themeColor="text1"/>
          <w:lang w:val="en-US"/>
        </w:rPr>
        <w:t>(</w:t>
      </w:r>
      <w:r w:rsidR="002C687C" w:rsidRPr="00B40A77">
        <w:rPr>
          <w:color w:val="000000" w:themeColor="text1"/>
          <w:lang w:val="en-US"/>
        </w:rPr>
        <w:t>c</w:t>
      </w:r>
      <w:r w:rsidRPr="00B40A77">
        <w:rPr>
          <w:color w:val="000000" w:themeColor="text1"/>
          <w:lang w:val="en-US"/>
        </w:rPr>
        <w:t>)</w:t>
      </w:r>
      <w:r w:rsidR="00124E63" w:rsidRPr="00B40A77">
        <w:rPr>
          <w:color w:val="000000" w:themeColor="text1"/>
          <w:lang w:val="en-US"/>
        </w:rPr>
        <w:tab/>
        <w:t>the applicant is—</w:t>
      </w:r>
    </w:p>
    <w:p w14:paraId="782B5CB4" w14:textId="7E20D73A" w:rsidR="00124E63" w:rsidRPr="00B40A77" w:rsidRDefault="00124E63" w:rsidP="00124E63">
      <w:pPr>
        <w:pStyle w:val="Doublehangindent"/>
        <w:keepNext/>
        <w:ind w:firstLine="0"/>
        <w:rPr>
          <w:iCs/>
          <w:color w:val="000000" w:themeColor="text1"/>
          <w:lang w:val="en-US"/>
        </w:rPr>
      </w:pPr>
      <w:r w:rsidRPr="00B40A77">
        <w:rPr>
          <w:color w:val="000000" w:themeColor="text1"/>
          <w:lang w:val="en-US"/>
        </w:rPr>
        <w:t>(i)</w:t>
      </w:r>
      <w:r w:rsidRPr="00B40A77">
        <w:rPr>
          <w:color w:val="000000" w:themeColor="text1"/>
          <w:lang w:val="en-US"/>
        </w:rPr>
        <w:tab/>
      </w:r>
      <w:r w:rsidRPr="00B40A77">
        <w:rPr>
          <w:iCs/>
          <w:color w:val="000000" w:themeColor="text1"/>
          <w:lang w:val="en-US"/>
        </w:rPr>
        <w:t>a child; or</w:t>
      </w:r>
    </w:p>
    <w:p w14:paraId="42E37440" w14:textId="141062E1" w:rsidR="00B101C1" w:rsidRPr="00B40A77" w:rsidRDefault="00124E63" w:rsidP="00124E63">
      <w:pPr>
        <w:pStyle w:val="Doublehangindent"/>
        <w:keepNext/>
        <w:ind w:left="2157" w:hanging="456"/>
        <w:rPr>
          <w:iCs/>
          <w:color w:val="000000" w:themeColor="text1"/>
          <w:lang w:val="en-US"/>
        </w:rPr>
      </w:pPr>
      <w:r w:rsidRPr="00B40A77">
        <w:rPr>
          <w:iCs/>
          <w:color w:val="000000" w:themeColor="text1"/>
          <w:lang w:val="en-US"/>
        </w:rPr>
        <w:t>(ii)</w:t>
      </w:r>
      <w:r w:rsidRPr="00B40A77">
        <w:rPr>
          <w:iCs/>
          <w:color w:val="000000" w:themeColor="text1"/>
          <w:lang w:val="en-US"/>
        </w:rPr>
        <w:tab/>
        <w:t xml:space="preserve">an adult </w:t>
      </w:r>
      <w:r w:rsidR="002C687C" w:rsidRPr="00B40A77">
        <w:rPr>
          <w:iCs/>
          <w:color w:val="000000" w:themeColor="text1"/>
          <w:lang w:val="en-US"/>
        </w:rPr>
        <w:t>who</w:t>
      </w:r>
      <w:r w:rsidR="00B101C1" w:rsidRPr="00B40A77">
        <w:rPr>
          <w:iCs/>
          <w:color w:val="000000" w:themeColor="text1"/>
          <w:lang w:val="en-US"/>
        </w:rPr>
        <w:t xml:space="preserve"> cannot be brought before the Court constituted of a magistrate by not later than 4 pm on the next day following the day of arrest; and</w:t>
      </w:r>
    </w:p>
    <w:p w14:paraId="7245A6FA" w14:textId="53AE080F" w:rsidR="00F55BF9" w:rsidRPr="00B40A77" w:rsidRDefault="00B101C1" w:rsidP="00B101C1">
      <w:pPr>
        <w:pStyle w:val="Doublehangindent"/>
        <w:keepNext/>
        <w:rPr>
          <w:iCs/>
          <w:color w:val="000000" w:themeColor="text1"/>
          <w:lang w:val="en-US"/>
        </w:rPr>
      </w:pPr>
      <w:r w:rsidRPr="00B40A77">
        <w:rPr>
          <w:iCs/>
          <w:color w:val="000000" w:themeColor="text1"/>
          <w:lang w:val="en-US"/>
        </w:rPr>
        <w:t>(</w:t>
      </w:r>
      <w:r w:rsidR="002C687C" w:rsidRPr="00B40A77">
        <w:rPr>
          <w:iCs/>
          <w:color w:val="000000" w:themeColor="text1"/>
          <w:lang w:val="en-US"/>
        </w:rPr>
        <w:t>d</w:t>
      </w:r>
      <w:r w:rsidRPr="00B40A77">
        <w:rPr>
          <w:iCs/>
          <w:color w:val="000000" w:themeColor="text1"/>
          <w:lang w:val="en-US"/>
        </w:rPr>
        <w:t>)</w:t>
      </w:r>
      <w:r w:rsidRPr="00B40A77">
        <w:rPr>
          <w:iCs/>
          <w:color w:val="000000" w:themeColor="text1"/>
          <w:lang w:val="en-US"/>
        </w:rPr>
        <w:tab/>
        <w:t xml:space="preserve">the applicant is </w:t>
      </w:r>
      <w:r w:rsidR="00124E63" w:rsidRPr="00B40A77">
        <w:rPr>
          <w:iCs/>
          <w:color w:val="000000" w:themeColor="text1"/>
          <w:lang w:val="en-US"/>
        </w:rPr>
        <w:t xml:space="preserve">not </w:t>
      </w:r>
      <w:r w:rsidRPr="00B40A77">
        <w:rPr>
          <w:iCs/>
          <w:color w:val="000000" w:themeColor="text1"/>
          <w:lang w:val="en-US"/>
        </w:rPr>
        <w:t xml:space="preserve">an adult prescribed applicant </w:t>
      </w:r>
      <w:r w:rsidR="00F55BF9" w:rsidRPr="00B40A77">
        <w:rPr>
          <w:iCs/>
          <w:color w:val="000000" w:themeColor="text1"/>
          <w:lang w:val="en-US"/>
        </w:rPr>
        <w:t>within the meaning of section 1</w:t>
      </w:r>
      <w:r w:rsidRPr="00B40A77">
        <w:rPr>
          <w:iCs/>
          <w:color w:val="000000" w:themeColor="text1"/>
          <w:lang w:val="en-US"/>
        </w:rPr>
        <w:t>0A</w:t>
      </w:r>
      <w:r w:rsidR="00F55BF9" w:rsidRPr="00B40A77">
        <w:rPr>
          <w:iCs/>
          <w:color w:val="000000" w:themeColor="text1"/>
          <w:lang w:val="en-US"/>
        </w:rPr>
        <w:t xml:space="preserve"> of the Bail Act. </w:t>
      </w:r>
    </w:p>
    <w:p w14:paraId="5A21C9C6" w14:textId="63D1C9EB" w:rsidR="002F1A64" w:rsidRPr="00B40A77" w:rsidRDefault="00F55BF9" w:rsidP="00B709B5">
      <w:pPr>
        <w:pStyle w:val="Hangindent"/>
        <w:rPr>
          <w:iCs/>
          <w:color w:val="000000" w:themeColor="text1"/>
          <w:lang w:val="en-US"/>
        </w:rPr>
      </w:pPr>
      <w:r w:rsidRPr="00B40A77">
        <w:rPr>
          <w:iCs/>
          <w:color w:val="000000" w:themeColor="text1"/>
          <w:lang w:val="en-US"/>
        </w:rPr>
        <w:t>(2)</w:t>
      </w:r>
      <w:r w:rsidRPr="00B40A77">
        <w:rPr>
          <w:iCs/>
          <w:color w:val="000000" w:themeColor="text1"/>
          <w:lang w:val="en-US"/>
        </w:rPr>
        <w:tab/>
      </w:r>
      <w:r w:rsidR="002F1A64" w:rsidRPr="00B40A77">
        <w:rPr>
          <w:iCs/>
          <w:color w:val="000000" w:themeColor="text1"/>
          <w:lang w:val="en-US"/>
        </w:rPr>
        <w:t>I</w:t>
      </w:r>
      <w:r w:rsidR="00B709B5" w:rsidRPr="00B40A77">
        <w:rPr>
          <w:iCs/>
          <w:color w:val="000000" w:themeColor="text1"/>
          <w:lang w:val="en-US"/>
        </w:rPr>
        <w:t xml:space="preserve">f </w:t>
      </w:r>
      <w:r w:rsidRPr="00B40A77">
        <w:rPr>
          <w:iCs/>
          <w:color w:val="000000" w:themeColor="text1"/>
          <w:lang w:val="en-US"/>
        </w:rPr>
        <w:t>this rule applies</w:t>
      </w:r>
      <w:r w:rsidR="00B709B5" w:rsidRPr="00B40A77">
        <w:rPr>
          <w:iCs/>
          <w:color w:val="000000" w:themeColor="text1"/>
          <w:lang w:val="en-US"/>
        </w:rPr>
        <w:t xml:space="preserve">, the police officer must </w:t>
      </w:r>
      <w:r w:rsidR="002F1A64" w:rsidRPr="00B40A77">
        <w:rPr>
          <w:iCs/>
          <w:color w:val="000000" w:themeColor="text1"/>
          <w:lang w:val="en-US"/>
        </w:rPr>
        <w:t>arrange for a telephone review to be heard by a Magistrate under section 15 of the Bail Act.</w:t>
      </w:r>
    </w:p>
    <w:p w14:paraId="394AD5F6" w14:textId="3329C477" w:rsidR="00B709B5" w:rsidRPr="00B40A77" w:rsidRDefault="002F1A64" w:rsidP="00B709B5">
      <w:pPr>
        <w:pStyle w:val="Hangindent"/>
        <w:rPr>
          <w:color w:val="000000" w:themeColor="text1"/>
          <w:lang w:val="en-US"/>
        </w:rPr>
      </w:pPr>
      <w:r w:rsidRPr="00B40A77">
        <w:rPr>
          <w:iCs/>
          <w:color w:val="000000" w:themeColor="text1"/>
          <w:lang w:val="en-US"/>
        </w:rPr>
        <w:t>(3)</w:t>
      </w:r>
      <w:r w:rsidRPr="00B40A77">
        <w:rPr>
          <w:iCs/>
          <w:color w:val="000000" w:themeColor="text1"/>
          <w:lang w:val="en-US"/>
        </w:rPr>
        <w:tab/>
      </w:r>
      <w:r w:rsidR="00E11011" w:rsidRPr="00B40A77">
        <w:rPr>
          <w:iCs/>
          <w:color w:val="000000" w:themeColor="text1"/>
          <w:lang w:val="en-US"/>
        </w:rPr>
        <w:t>T</w:t>
      </w:r>
      <w:r w:rsidRPr="00B40A77">
        <w:rPr>
          <w:iCs/>
          <w:color w:val="000000" w:themeColor="text1"/>
          <w:lang w:val="en-US"/>
        </w:rPr>
        <w:t>he police officer who m</w:t>
      </w:r>
      <w:r w:rsidR="00E11011" w:rsidRPr="00B40A77">
        <w:rPr>
          <w:iCs/>
          <w:color w:val="000000" w:themeColor="text1"/>
          <w:lang w:val="en-US"/>
        </w:rPr>
        <w:t>akes</w:t>
      </w:r>
      <w:r w:rsidRPr="00B40A77">
        <w:rPr>
          <w:iCs/>
          <w:color w:val="000000" w:themeColor="text1"/>
          <w:lang w:val="en-US"/>
        </w:rPr>
        <w:t xml:space="preserve"> the telephone contact must </w:t>
      </w:r>
      <w:r w:rsidR="00E11011" w:rsidRPr="00B40A77">
        <w:rPr>
          <w:iCs/>
          <w:color w:val="000000" w:themeColor="text1"/>
          <w:lang w:val="en-US"/>
        </w:rPr>
        <w:t xml:space="preserve">ensure that </w:t>
      </w:r>
      <w:r w:rsidR="00B709B5" w:rsidRPr="00B40A77">
        <w:rPr>
          <w:color w:val="000000" w:themeColor="text1"/>
          <w:lang w:val="en-US"/>
        </w:rPr>
        <w:t>an application for bail in the prescribed form</w:t>
      </w:r>
      <w:r w:rsidR="00E11011" w:rsidRPr="00B40A77">
        <w:rPr>
          <w:color w:val="000000" w:themeColor="text1"/>
          <w:lang w:val="en-US"/>
        </w:rPr>
        <w:t xml:space="preserve"> is prepared to record the application and its result</w:t>
      </w:r>
      <w:r w:rsidR="00B709B5" w:rsidRPr="00B40A77">
        <w:rPr>
          <w:color w:val="000000" w:themeColor="text1"/>
          <w:lang w:val="en-US"/>
        </w:rPr>
        <w:t>.</w:t>
      </w:r>
    </w:p>
    <w:p w14:paraId="37C5C6D8" w14:textId="77777777" w:rsidR="00B709B5" w:rsidRPr="00B40A77" w:rsidRDefault="00B709B5" w:rsidP="00B709B5">
      <w:pPr>
        <w:pStyle w:val="NoteHeader"/>
        <w:keepNext/>
        <w:rPr>
          <w:color w:val="000000" w:themeColor="text1"/>
        </w:rPr>
      </w:pPr>
      <w:r w:rsidRPr="00B40A77">
        <w:rPr>
          <w:color w:val="000000" w:themeColor="text1"/>
        </w:rPr>
        <w:t>Prescribed form—</w:t>
      </w:r>
    </w:p>
    <w:p w14:paraId="396A2B8E" w14:textId="19126F70" w:rsidR="00B709B5" w:rsidRPr="00B40A77" w:rsidRDefault="00B709B5" w:rsidP="00B709B5">
      <w:pPr>
        <w:pStyle w:val="NoteText"/>
        <w:rPr>
          <w:color w:val="000000" w:themeColor="text1"/>
        </w:rPr>
      </w:pPr>
      <w:r w:rsidRPr="00B40A77">
        <w:rPr>
          <w:color w:val="000000" w:themeColor="text1"/>
        </w:rPr>
        <w:t xml:space="preserve">Form 21B </w:t>
      </w:r>
      <w:hyperlink r:id="rId92" w:history="1">
        <w:r w:rsidRPr="00B40A77">
          <w:rPr>
            <w:rStyle w:val="Hyperlink"/>
            <w:color w:val="000000" w:themeColor="text1"/>
          </w:rPr>
          <w:t xml:space="preserve">Interlocutory Application </w:t>
        </w:r>
        <w:r w:rsidRPr="00B40A77">
          <w:rPr>
            <w:rStyle w:val="Hyperlink"/>
            <w:iCs/>
            <w:color w:val="000000" w:themeColor="text1"/>
            <w:lang w:val="en-US"/>
          </w:rPr>
          <w:t>for Review of Bail by Telephone</w:t>
        </w:r>
      </w:hyperlink>
    </w:p>
    <w:p w14:paraId="3DEFAAF0" w14:textId="0953530A" w:rsidR="00CC1B82" w:rsidRPr="00B40A77" w:rsidRDefault="00D00AFF" w:rsidP="00B87028">
      <w:pPr>
        <w:pStyle w:val="Heading4"/>
        <w:rPr>
          <w:color w:val="000000" w:themeColor="text1"/>
        </w:rPr>
      </w:pPr>
      <w:bookmarkStart w:id="366" w:name="_Toc175238908"/>
      <w:bookmarkEnd w:id="364"/>
      <w:r w:rsidRPr="00B40A77">
        <w:rPr>
          <w:color w:val="000000" w:themeColor="text1"/>
        </w:rPr>
        <w:t>41</w:t>
      </w:r>
      <w:r w:rsidR="00F87E34" w:rsidRPr="00B40A77">
        <w:rPr>
          <w:color w:val="000000" w:themeColor="text1"/>
        </w:rPr>
        <w:t>.</w:t>
      </w:r>
      <w:r w:rsidR="00B709B5" w:rsidRPr="00B40A77">
        <w:rPr>
          <w:color w:val="000000" w:themeColor="text1"/>
        </w:rPr>
        <w:t>3</w:t>
      </w:r>
      <w:r w:rsidR="00F87E34" w:rsidRPr="00B40A77">
        <w:rPr>
          <w:color w:val="000000" w:themeColor="text1"/>
        </w:rPr>
        <w:t>—Making</w:t>
      </w:r>
      <w:r w:rsidR="00CC1B82" w:rsidRPr="00B40A77">
        <w:rPr>
          <w:color w:val="000000" w:themeColor="text1"/>
        </w:rPr>
        <w:t xml:space="preserve"> bail application</w:t>
      </w:r>
      <w:bookmarkEnd w:id="366"/>
    </w:p>
    <w:p w14:paraId="711A7A02" w14:textId="7349E078" w:rsidR="00CD7041" w:rsidRPr="00B40A77" w:rsidRDefault="00CC1B82" w:rsidP="00CD7041">
      <w:pPr>
        <w:pStyle w:val="Hangindent"/>
        <w:rPr>
          <w:color w:val="000000" w:themeColor="text1"/>
          <w:lang w:val="en-US"/>
        </w:rPr>
      </w:pPr>
      <w:r w:rsidRPr="00B40A77">
        <w:rPr>
          <w:iCs/>
          <w:color w:val="000000" w:themeColor="text1"/>
          <w:lang w:val="en-US"/>
        </w:rPr>
        <w:t>(1</w:t>
      </w:r>
      <w:r w:rsidR="00CD7041" w:rsidRPr="00B40A77">
        <w:rPr>
          <w:iCs/>
          <w:color w:val="000000" w:themeColor="text1"/>
          <w:lang w:val="en-US"/>
        </w:rPr>
        <w:t>)</w:t>
      </w:r>
      <w:r w:rsidR="00CD7041" w:rsidRPr="00B40A77">
        <w:rPr>
          <w:iCs/>
          <w:color w:val="000000" w:themeColor="text1"/>
          <w:lang w:val="en-US"/>
        </w:rPr>
        <w:tab/>
      </w:r>
      <w:r w:rsidR="00E56253" w:rsidRPr="00B40A77">
        <w:rPr>
          <w:iCs/>
          <w:color w:val="000000" w:themeColor="text1"/>
          <w:lang w:val="en-US"/>
        </w:rPr>
        <w:t>Unless the Court otherwise orders, a</w:t>
      </w:r>
      <w:r w:rsidR="00894996" w:rsidRPr="00B40A77">
        <w:rPr>
          <w:iCs/>
          <w:color w:val="000000" w:themeColor="text1"/>
          <w:lang w:val="en-US"/>
        </w:rPr>
        <w:t xml:space="preserve"> </w:t>
      </w:r>
      <w:hyperlink w:anchor="_2.1—Definitions" w:history="1">
        <w:r w:rsidR="00894996" w:rsidRPr="00B40A77">
          <w:rPr>
            <w:rStyle w:val="Hyperlink"/>
            <w:iCs/>
            <w:color w:val="000000" w:themeColor="text1"/>
            <w:lang w:val="en-US"/>
          </w:rPr>
          <w:t xml:space="preserve">bail </w:t>
        </w:r>
        <w:r w:rsidR="00CD7041" w:rsidRPr="00B40A77">
          <w:rPr>
            <w:rStyle w:val="Hyperlink"/>
            <w:iCs/>
            <w:color w:val="000000" w:themeColor="text1"/>
            <w:lang w:val="en-US"/>
          </w:rPr>
          <w:t>application</w:t>
        </w:r>
      </w:hyperlink>
      <w:r w:rsidR="00F87E34" w:rsidRPr="00B40A77">
        <w:rPr>
          <w:color w:val="000000" w:themeColor="text1"/>
          <w:lang w:val="en-US"/>
        </w:rPr>
        <w:t xml:space="preserve"> under section</w:t>
      </w:r>
      <w:r w:rsidR="003D6518" w:rsidRPr="00B40A77">
        <w:rPr>
          <w:color w:val="000000" w:themeColor="text1"/>
          <w:lang w:val="en-US"/>
        </w:rPr>
        <w:t> </w:t>
      </w:r>
      <w:r w:rsidR="00F87E34" w:rsidRPr="00B40A77">
        <w:rPr>
          <w:color w:val="000000" w:themeColor="text1"/>
          <w:lang w:val="en-US"/>
        </w:rPr>
        <w:t>3A(1) or</w:t>
      </w:r>
      <w:r w:rsidR="003D6518" w:rsidRPr="00B40A77">
        <w:rPr>
          <w:color w:val="000000" w:themeColor="text1"/>
          <w:lang w:val="en-US"/>
        </w:rPr>
        <w:t> </w:t>
      </w:r>
      <w:r w:rsidR="00F87E34" w:rsidRPr="00B40A77">
        <w:rPr>
          <w:color w:val="000000" w:themeColor="text1"/>
          <w:lang w:val="en-US"/>
        </w:rPr>
        <w:t xml:space="preserve">19A or governed by section 10A of the </w:t>
      </w:r>
      <w:r w:rsidR="00D62524" w:rsidRPr="00B40A77">
        <w:rPr>
          <w:color w:val="000000" w:themeColor="text1"/>
        </w:rPr>
        <w:t xml:space="preserve">Bail Act </w:t>
      </w:r>
      <w:r w:rsidR="00CD7041" w:rsidRPr="00B40A77">
        <w:rPr>
          <w:color w:val="000000" w:themeColor="text1"/>
          <w:lang w:val="en-US"/>
        </w:rPr>
        <w:t>must be made</w:t>
      </w:r>
      <w:r w:rsidR="00894996" w:rsidRPr="00B40A77">
        <w:rPr>
          <w:color w:val="000000" w:themeColor="text1"/>
          <w:lang w:val="en-US"/>
        </w:rPr>
        <w:t xml:space="preserve"> by</w:t>
      </w:r>
      <w:r w:rsidR="002E10B6" w:rsidRPr="00B40A77">
        <w:rPr>
          <w:iCs/>
          <w:color w:val="000000" w:themeColor="text1"/>
          <w:lang w:val="en-US"/>
        </w:rPr>
        <w:t>—</w:t>
      </w:r>
    </w:p>
    <w:p w14:paraId="43B90F1B" w14:textId="32054251" w:rsidR="00E56253" w:rsidRPr="00B40A77" w:rsidRDefault="00E56253" w:rsidP="0033795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r>
      <w:r w:rsidR="002E10B6" w:rsidRPr="00B40A77">
        <w:rPr>
          <w:color w:val="000000" w:themeColor="text1"/>
          <w:lang w:val="en-US"/>
        </w:rPr>
        <w:t>filing an application for bail in the prescribed form</w:t>
      </w:r>
      <w:r w:rsidRPr="00B40A77">
        <w:rPr>
          <w:color w:val="000000" w:themeColor="text1"/>
          <w:lang w:val="en-US"/>
        </w:rPr>
        <w:t>; or</w:t>
      </w:r>
    </w:p>
    <w:p w14:paraId="43CAB497" w14:textId="77777777" w:rsidR="00CD7041" w:rsidRPr="00B40A77" w:rsidRDefault="00CD7041" w:rsidP="0033795E">
      <w:pPr>
        <w:pStyle w:val="NoteHeader"/>
        <w:keepNext/>
        <w:ind w:left="1395" w:firstLine="306"/>
        <w:rPr>
          <w:color w:val="000000" w:themeColor="text1"/>
        </w:rPr>
      </w:pPr>
      <w:r w:rsidRPr="00B40A77">
        <w:rPr>
          <w:color w:val="000000" w:themeColor="text1"/>
        </w:rPr>
        <w:t>Prescribed form—</w:t>
      </w:r>
    </w:p>
    <w:p w14:paraId="527EE403" w14:textId="7435520D" w:rsidR="00CD7041" w:rsidRPr="00B40A77" w:rsidRDefault="00CD7041" w:rsidP="00CD7041">
      <w:pPr>
        <w:pStyle w:val="NoteText"/>
        <w:ind w:left="1679" w:firstLine="481"/>
        <w:rPr>
          <w:color w:val="000000" w:themeColor="text1"/>
        </w:rPr>
      </w:pPr>
      <w:r w:rsidRPr="00B40A77">
        <w:rPr>
          <w:color w:val="000000" w:themeColor="text1"/>
        </w:rPr>
        <w:t xml:space="preserve">Form 21A </w:t>
      </w:r>
      <w:hyperlink r:id="rId93" w:history="1">
        <w:r w:rsidR="00DF4178" w:rsidRPr="00B40A77">
          <w:rPr>
            <w:rStyle w:val="Hyperlink"/>
            <w:color w:val="000000" w:themeColor="text1"/>
          </w:rPr>
          <w:t xml:space="preserve">Interlocutory </w:t>
        </w:r>
        <w:r w:rsidRPr="00B40A77">
          <w:rPr>
            <w:rStyle w:val="Hyperlink"/>
            <w:color w:val="000000" w:themeColor="text1"/>
          </w:rPr>
          <w:t xml:space="preserve">Application for </w:t>
        </w:r>
        <w:r w:rsidR="00B228DD" w:rsidRPr="00B40A77">
          <w:rPr>
            <w:rStyle w:val="Hyperlink"/>
            <w:color w:val="000000" w:themeColor="text1"/>
          </w:rPr>
          <w:t>B</w:t>
        </w:r>
        <w:r w:rsidRPr="00B40A77">
          <w:rPr>
            <w:rStyle w:val="Hyperlink"/>
            <w:color w:val="000000" w:themeColor="text1"/>
          </w:rPr>
          <w:t>ail</w:t>
        </w:r>
      </w:hyperlink>
    </w:p>
    <w:p w14:paraId="68FE3B27" w14:textId="3C99C3AB" w:rsidR="00CD7041" w:rsidRPr="00B40A77" w:rsidRDefault="00CD7041" w:rsidP="00CD7041">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Court grants leave, by oral application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w:t>
      </w:r>
    </w:p>
    <w:p w14:paraId="74B6A5BF" w14:textId="648D6B5F" w:rsidR="00CD7041" w:rsidRPr="00B40A77" w:rsidRDefault="00F87E34" w:rsidP="00CD7041">
      <w:pPr>
        <w:pStyle w:val="Hangindent"/>
        <w:rPr>
          <w:color w:val="000000" w:themeColor="text1"/>
          <w:lang w:val="en-US"/>
        </w:rPr>
      </w:pPr>
      <w:r w:rsidRPr="00B40A77">
        <w:rPr>
          <w:iCs/>
          <w:color w:val="000000" w:themeColor="text1"/>
          <w:lang w:val="en-US"/>
        </w:rPr>
        <w:t>(</w:t>
      </w:r>
      <w:r w:rsidR="00B709B5" w:rsidRPr="00B40A77">
        <w:rPr>
          <w:iCs/>
          <w:color w:val="000000" w:themeColor="text1"/>
          <w:lang w:val="en-US"/>
        </w:rPr>
        <w:t>2</w:t>
      </w:r>
      <w:r w:rsidR="00CD7041" w:rsidRPr="00B40A77">
        <w:rPr>
          <w:iCs/>
          <w:color w:val="000000" w:themeColor="text1"/>
          <w:lang w:val="en-US"/>
        </w:rPr>
        <w:t>)</w:t>
      </w:r>
      <w:r w:rsidR="00CD7041" w:rsidRPr="00B40A77">
        <w:rPr>
          <w:iCs/>
          <w:color w:val="000000" w:themeColor="text1"/>
          <w:lang w:val="en-US"/>
        </w:rPr>
        <w:tab/>
        <w:t xml:space="preserve">An application to vary or revoke a bail agreement or a guarantee of bail </w:t>
      </w:r>
      <w:r w:rsidR="00CD7041" w:rsidRPr="00B40A77">
        <w:rPr>
          <w:color w:val="000000" w:themeColor="text1"/>
          <w:lang w:val="en-US"/>
        </w:rPr>
        <w:t>must be made—</w:t>
      </w:r>
    </w:p>
    <w:p w14:paraId="1E019563" w14:textId="77777777" w:rsidR="00CD7041" w:rsidRPr="00B40A77" w:rsidRDefault="00CD7041" w:rsidP="0033795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by filing an application </w:t>
      </w:r>
      <w:r w:rsidRPr="00B40A77">
        <w:rPr>
          <w:iCs/>
          <w:color w:val="000000" w:themeColor="text1"/>
          <w:lang w:val="en-US"/>
        </w:rPr>
        <w:t xml:space="preserve">to vary or revoke a bail agreement or a guarantee of bail </w:t>
      </w:r>
      <w:r w:rsidRPr="00B40A77">
        <w:rPr>
          <w:color w:val="000000" w:themeColor="text1"/>
          <w:lang w:val="en-US"/>
        </w:rPr>
        <w:t>in the prescribed form; or</w:t>
      </w:r>
    </w:p>
    <w:p w14:paraId="3DCCBA53" w14:textId="77777777" w:rsidR="00CD7041" w:rsidRPr="00B40A77" w:rsidRDefault="00CD7041" w:rsidP="0033795E">
      <w:pPr>
        <w:pStyle w:val="NoteHeader"/>
        <w:keepNext/>
        <w:ind w:left="1395" w:firstLine="306"/>
        <w:rPr>
          <w:color w:val="000000" w:themeColor="text1"/>
        </w:rPr>
      </w:pPr>
      <w:r w:rsidRPr="00B40A77">
        <w:rPr>
          <w:color w:val="000000" w:themeColor="text1"/>
        </w:rPr>
        <w:t>Prescribed forms—</w:t>
      </w:r>
    </w:p>
    <w:p w14:paraId="7214E74E" w14:textId="71F45634" w:rsidR="00CD7041" w:rsidRPr="00B40A77" w:rsidRDefault="00CD7041" w:rsidP="00CD7041">
      <w:pPr>
        <w:pStyle w:val="NoteText"/>
        <w:ind w:left="1679" w:firstLine="481"/>
        <w:rPr>
          <w:iCs/>
          <w:color w:val="000000" w:themeColor="text1"/>
          <w:lang w:val="en-US"/>
        </w:rPr>
      </w:pPr>
      <w:r w:rsidRPr="00B40A77">
        <w:rPr>
          <w:color w:val="000000" w:themeColor="text1"/>
        </w:rPr>
        <w:t xml:space="preserve">Form 21C </w:t>
      </w:r>
      <w:hyperlink r:id="rId94" w:history="1">
        <w:r w:rsidR="00DF4178" w:rsidRPr="00B40A77">
          <w:rPr>
            <w:rStyle w:val="Hyperlink"/>
            <w:color w:val="000000" w:themeColor="text1"/>
          </w:rPr>
          <w:t xml:space="preserve">Interlocutory </w:t>
        </w:r>
        <w:r w:rsidRPr="00B40A77">
          <w:rPr>
            <w:rStyle w:val="Hyperlink"/>
            <w:color w:val="000000" w:themeColor="text1"/>
          </w:rPr>
          <w:t>Application</w:t>
        </w:r>
        <w:r w:rsidRPr="00B40A77">
          <w:rPr>
            <w:rStyle w:val="Hyperlink"/>
            <w:iCs/>
            <w:color w:val="000000" w:themeColor="text1"/>
            <w:lang w:val="en-US"/>
          </w:rPr>
          <w:t xml:space="preserve"> to </w:t>
        </w:r>
        <w:r w:rsidR="00F24348" w:rsidRPr="00B40A77">
          <w:rPr>
            <w:rStyle w:val="Hyperlink"/>
            <w:iCs/>
            <w:color w:val="000000" w:themeColor="text1"/>
            <w:lang w:val="en-US"/>
          </w:rPr>
          <w:t>V</w:t>
        </w:r>
        <w:r w:rsidRPr="00B40A77">
          <w:rPr>
            <w:rStyle w:val="Hyperlink"/>
            <w:iCs/>
            <w:color w:val="000000" w:themeColor="text1"/>
            <w:lang w:val="en-US"/>
          </w:rPr>
          <w:t xml:space="preserve">ary or </w:t>
        </w:r>
        <w:r w:rsidR="00F24348" w:rsidRPr="00B40A77">
          <w:rPr>
            <w:rStyle w:val="Hyperlink"/>
            <w:iCs/>
            <w:color w:val="000000" w:themeColor="text1"/>
            <w:lang w:val="en-US"/>
          </w:rPr>
          <w:t>R</w:t>
        </w:r>
        <w:r w:rsidRPr="00B40A77">
          <w:rPr>
            <w:rStyle w:val="Hyperlink"/>
            <w:iCs/>
            <w:color w:val="000000" w:themeColor="text1"/>
            <w:lang w:val="en-US"/>
          </w:rPr>
          <w:t xml:space="preserve">evoke </w:t>
        </w:r>
        <w:r w:rsidR="00F24348" w:rsidRPr="00B40A77">
          <w:rPr>
            <w:rStyle w:val="Hyperlink"/>
            <w:iCs/>
            <w:color w:val="000000" w:themeColor="text1"/>
            <w:lang w:val="en-US"/>
          </w:rPr>
          <w:t>B</w:t>
        </w:r>
        <w:r w:rsidRPr="00B40A77">
          <w:rPr>
            <w:rStyle w:val="Hyperlink"/>
            <w:iCs/>
            <w:color w:val="000000" w:themeColor="text1"/>
            <w:lang w:val="en-US"/>
          </w:rPr>
          <w:t xml:space="preserve">ail </w:t>
        </w:r>
        <w:r w:rsidR="00F24348" w:rsidRPr="00B40A77">
          <w:rPr>
            <w:rStyle w:val="Hyperlink"/>
            <w:iCs/>
            <w:color w:val="000000" w:themeColor="text1"/>
            <w:lang w:val="en-US"/>
          </w:rPr>
          <w:t>A</w:t>
        </w:r>
        <w:r w:rsidRPr="00B40A77">
          <w:rPr>
            <w:rStyle w:val="Hyperlink"/>
            <w:iCs/>
            <w:color w:val="000000" w:themeColor="text1"/>
            <w:lang w:val="en-US"/>
          </w:rPr>
          <w:t>greement</w:t>
        </w:r>
      </w:hyperlink>
    </w:p>
    <w:p w14:paraId="26FA7D6B" w14:textId="459BF5FC" w:rsidR="00CD7041" w:rsidRPr="00B40A77" w:rsidRDefault="00CD7041" w:rsidP="00CD7041">
      <w:pPr>
        <w:pStyle w:val="NoteText"/>
        <w:ind w:left="1679" w:firstLine="481"/>
        <w:rPr>
          <w:color w:val="000000" w:themeColor="text1"/>
        </w:rPr>
      </w:pPr>
      <w:r w:rsidRPr="00B40A77">
        <w:rPr>
          <w:color w:val="000000" w:themeColor="text1"/>
        </w:rPr>
        <w:t xml:space="preserve">Form 21D </w:t>
      </w:r>
      <w:hyperlink r:id="rId95" w:history="1">
        <w:r w:rsidR="00DF4178" w:rsidRPr="00B40A77">
          <w:rPr>
            <w:rStyle w:val="Hyperlink"/>
            <w:color w:val="000000" w:themeColor="text1"/>
          </w:rPr>
          <w:t xml:space="preserve">Interlocutory </w:t>
        </w:r>
        <w:r w:rsidRPr="00B40A77">
          <w:rPr>
            <w:rStyle w:val="Hyperlink"/>
            <w:color w:val="000000" w:themeColor="text1"/>
          </w:rPr>
          <w:t>Application</w:t>
        </w:r>
        <w:r w:rsidRPr="00B40A77">
          <w:rPr>
            <w:rStyle w:val="Hyperlink"/>
            <w:iCs/>
            <w:color w:val="000000" w:themeColor="text1"/>
            <w:lang w:val="en-US"/>
          </w:rPr>
          <w:t xml:space="preserve"> to </w:t>
        </w:r>
        <w:r w:rsidR="00F24348" w:rsidRPr="00B40A77">
          <w:rPr>
            <w:rStyle w:val="Hyperlink"/>
            <w:iCs/>
            <w:color w:val="000000" w:themeColor="text1"/>
            <w:lang w:val="en-US"/>
          </w:rPr>
          <w:t>V</w:t>
        </w:r>
        <w:r w:rsidRPr="00B40A77">
          <w:rPr>
            <w:rStyle w:val="Hyperlink"/>
            <w:iCs/>
            <w:color w:val="000000" w:themeColor="text1"/>
            <w:lang w:val="en-US"/>
          </w:rPr>
          <w:t xml:space="preserve">ary or </w:t>
        </w:r>
        <w:r w:rsidR="00F24348" w:rsidRPr="00B40A77">
          <w:rPr>
            <w:rStyle w:val="Hyperlink"/>
            <w:iCs/>
            <w:color w:val="000000" w:themeColor="text1"/>
            <w:lang w:val="en-US"/>
          </w:rPr>
          <w:t>R</w:t>
        </w:r>
        <w:r w:rsidRPr="00B40A77">
          <w:rPr>
            <w:rStyle w:val="Hyperlink"/>
            <w:iCs/>
            <w:color w:val="000000" w:themeColor="text1"/>
            <w:lang w:val="en-US"/>
          </w:rPr>
          <w:t xml:space="preserve">evoke </w:t>
        </w:r>
        <w:r w:rsidR="00F24348" w:rsidRPr="00B40A77">
          <w:rPr>
            <w:rStyle w:val="Hyperlink"/>
            <w:iCs/>
            <w:color w:val="000000" w:themeColor="text1"/>
            <w:lang w:val="en-US"/>
          </w:rPr>
          <w:t>G</w:t>
        </w:r>
        <w:r w:rsidRPr="00B40A77">
          <w:rPr>
            <w:rStyle w:val="Hyperlink"/>
            <w:iCs/>
            <w:color w:val="000000" w:themeColor="text1"/>
            <w:lang w:val="en-US"/>
          </w:rPr>
          <w:t xml:space="preserve">uarantee of </w:t>
        </w:r>
        <w:r w:rsidR="00F24348" w:rsidRPr="00B40A77">
          <w:rPr>
            <w:rStyle w:val="Hyperlink"/>
            <w:iCs/>
            <w:color w:val="000000" w:themeColor="text1"/>
            <w:lang w:val="en-US"/>
          </w:rPr>
          <w:t>B</w:t>
        </w:r>
        <w:r w:rsidRPr="00B40A77">
          <w:rPr>
            <w:rStyle w:val="Hyperlink"/>
            <w:iCs/>
            <w:color w:val="000000" w:themeColor="text1"/>
            <w:lang w:val="en-US"/>
          </w:rPr>
          <w:t>ail</w:t>
        </w:r>
      </w:hyperlink>
    </w:p>
    <w:p w14:paraId="72AA42DE" w14:textId="0B38B05F" w:rsidR="00CD7041" w:rsidRPr="00B40A77" w:rsidRDefault="00F45F5A" w:rsidP="00F45F5A">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D7041" w:rsidRPr="00B40A77">
        <w:rPr>
          <w:color w:val="000000" w:themeColor="text1"/>
          <w:lang w:val="en-US"/>
        </w:rPr>
        <w:t xml:space="preserve">by oral application at a </w:t>
      </w:r>
      <w:hyperlink w:anchor="_37.1—Application_of_Part" w:history="1">
        <w:r w:rsidR="00CE7A79" w:rsidRPr="00B40A77">
          <w:rPr>
            <w:rStyle w:val="Hyperlink"/>
            <w:color w:val="000000" w:themeColor="text1"/>
            <w:lang w:val="en-US"/>
          </w:rPr>
          <w:t>hearing</w:t>
        </w:r>
      </w:hyperlink>
      <w:r w:rsidR="00CD7041" w:rsidRPr="00B40A77">
        <w:rPr>
          <w:color w:val="000000" w:themeColor="text1"/>
          <w:lang w:val="en-US"/>
        </w:rPr>
        <w:t>.</w:t>
      </w:r>
    </w:p>
    <w:p w14:paraId="08D4260E" w14:textId="18D2EE9A" w:rsidR="00CD7041" w:rsidRPr="00B40A77" w:rsidRDefault="00F87E34" w:rsidP="00F87E34">
      <w:pPr>
        <w:pStyle w:val="Hangindent"/>
        <w:rPr>
          <w:color w:val="000000" w:themeColor="text1"/>
          <w:lang w:val="en-US"/>
        </w:rPr>
      </w:pPr>
      <w:r w:rsidRPr="00B40A77">
        <w:rPr>
          <w:iCs/>
          <w:color w:val="000000" w:themeColor="text1"/>
          <w:lang w:val="en-US"/>
        </w:rPr>
        <w:t>(</w:t>
      </w:r>
      <w:r w:rsidR="00B709B5" w:rsidRPr="00B40A77">
        <w:rPr>
          <w:iCs/>
          <w:color w:val="000000" w:themeColor="text1"/>
          <w:lang w:val="en-US"/>
        </w:rPr>
        <w:t>3</w:t>
      </w:r>
      <w:r w:rsidR="00CD7041" w:rsidRPr="00B40A77">
        <w:rPr>
          <w:iCs/>
          <w:color w:val="000000" w:themeColor="text1"/>
          <w:lang w:val="en-US"/>
        </w:rPr>
        <w:t>)</w:t>
      </w:r>
      <w:r w:rsidR="00CD7041" w:rsidRPr="00B40A77">
        <w:rPr>
          <w:iCs/>
          <w:color w:val="000000" w:themeColor="text1"/>
          <w:lang w:val="en-US"/>
        </w:rPr>
        <w:tab/>
        <w:t xml:space="preserve">Any other </w:t>
      </w:r>
      <w:hyperlink w:anchor="_2.1—Definitions" w:history="1">
        <w:r w:rsidR="00CD7041" w:rsidRPr="00B40A77">
          <w:rPr>
            <w:rStyle w:val="Hyperlink"/>
            <w:iCs/>
            <w:color w:val="000000" w:themeColor="text1"/>
            <w:lang w:val="en-US"/>
          </w:rPr>
          <w:t>bail application</w:t>
        </w:r>
      </w:hyperlink>
      <w:r w:rsidR="00CD7041" w:rsidRPr="00B40A77">
        <w:rPr>
          <w:iCs/>
          <w:color w:val="000000" w:themeColor="text1"/>
          <w:lang w:val="en-US"/>
        </w:rPr>
        <w:t xml:space="preserve"> </w:t>
      </w:r>
      <w:r w:rsidR="00CD7041" w:rsidRPr="00B40A77">
        <w:rPr>
          <w:color w:val="000000" w:themeColor="text1"/>
          <w:lang w:val="en-US"/>
        </w:rPr>
        <w:t>must be made—</w:t>
      </w:r>
    </w:p>
    <w:p w14:paraId="4DC48DAC" w14:textId="6F18455C" w:rsidR="00CD7041" w:rsidRPr="00B40A77" w:rsidRDefault="00CD7041" w:rsidP="00CD7041">
      <w:pPr>
        <w:pStyle w:val="Doublehangindent"/>
        <w:rPr>
          <w:color w:val="000000" w:themeColor="text1"/>
          <w:lang w:val="en-US"/>
        </w:rPr>
      </w:pPr>
      <w:r w:rsidRPr="00B40A77">
        <w:rPr>
          <w:color w:val="000000" w:themeColor="text1"/>
          <w:lang w:val="en-US"/>
        </w:rPr>
        <w:t>(a)</w:t>
      </w:r>
      <w:r w:rsidRPr="00B40A77">
        <w:rPr>
          <w:color w:val="000000" w:themeColor="text1"/>
          <w:lang w:val="en-US"/>
        </w:rPr>
        <w:tab/>
        <w:t>by</w:t>
      </w:r>
      <w:r w:rsidR="003E7CD3" w:rsidRPr="00B40A77">
        <w:rPr>
          <w:color w:val="000000" w:themeColor="text1"/>
          <w:lang w:val="en-US"/>
        </w:rPr>
        <w:t xml:space="preserve"> an</w:t>
      </w:r>
      <w:r w:rsidRPr="00B40A77">
        <w:rPr>
          <w:color w:val="000000" w:themeColor="text1"/>
          <w:lang w:val="en-US"/>
        </w:rPr>
        <w:t xml:space="preserve"> </w:t>
      </w:r>
      <w:r w:rsidR="00FA4048" w:rsidRPr="00B40A77">
        <w:rPr>
          <w:color w:val="000000" w:themeColor="text1"/>
          <w:lang w:val="en-US"/>
        </w:rPr>
        <w:t xml:space="preserve">interlocutory application </w:t>
      </w:r>
      <w:r w:rsidR="001E307C" w:rsidRPr="00B40A77">
        <w:rPr>
          <w:color w:val="000000" w:themeColor="text1"/>
          <w:lang w:val="en-US"/>
        </w:rPr>
        <w:t xml:space="preserve">in accordance with </w:t>
      </w:r>
      <w:hyperlink w:anchor="_39.1—Written_application" w:history="1">
        <w:r w:rsidR="001E307C" w:rsidRPr="00B40A77">
          <w:rPr>
            <w:rStyle w:val="Hyperlink"/>
            <w:color w:val="000000" w:themeColor="text1"/>
            <w:lang w:val="en-US"/>
          </w:rPr>
          <w:t>rule 39.1</w:t>
        </w:r>
      </w:hyperlink>
      <w:r w:rsidRPr="00B40A77">
        <w:rPr>
          <w:color w:val="000000" w:themeColor="text1"/>
          <w:lang w:val="en-US"/>
        </w:rPr>
        <w:t>; or</w:t>
      </w:r>
    </w:p>
    <w:p w14:paraId="612EDD89" w14:textId="1129DC33" w:rsidR="00CD7041" w:rsidRPr="00B40A77" w:rsidRDefault="00F45F5A" w:rsidP="00CD704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D7041" w:rsidRPr="00B40A77">
        <w:rPr>
          <w:color w:val="000000" w:themeColor="text1"/>
          <w:lang w:val="en-US"/>
        </w:rPr>
        <w:t xml:space="preserve">by oral application at a </w:t>
      </w:r>
      <w:hyperlink w:anchor="_37.1—Application_of_Part" w:history="1">
        <w:r w:rsidR="00CE7A79" w:rsidRPr="00B40A77">
          <w:rPr>
            <w:rStyle w:val="Hyperlink"/>
            <w:color w:val="000000" w:themeColor="text1"/>
            <w:lang w:val="en-US"/>
          </w:rPr>
          <w:t>hearing</w:t>
        </w:r>
      </w:hyperlink>
      <w:r w:rsidR="00CD7041" w:rsidRPr="00B40A77">
        <w:rPr>
          <w:color w:val="000000" w:themeColor="text1"/>
          <w:lang w:val="en-US"/>
        </w:rPr>
        <w:t>.</w:t>
      </w:r>
    </w:p>
    <w:p w14:paraId="65FEE505" w14:textId="0DF15B16" w:rsidR="006666A6" w:rsidRPr="00B40A77" w:rsidRDefault="004501F8" w:rsidP="006666A6">
      <w:pPr>
        <w:pStyle w:val="Hangindent"/>
        <w:rPr>
          <w:color w:val="000000" w:themeColor="text1"/>
          <w:lang w:val="en-US"/>
        </w:rPr>
      </w:pPr>
      <w:r w:rsidRPr="00B40A77">
        <w:rPr>
          <w:iCs/>
          <w:color w:val="000000" w:themeColor="text1"/>
          <w:lang w:val="en-US"/>
        </w:rPr>
        <w:t>(</w:t>
      </w:r>
      <w:r w:rsidR="00B709B5" w:rsidRPr="00B40A77">
        <w:rPr>
          <w:iCs/>
          <w:color w:val="000000" w:themeColor="text1"/>
          <w:lang w:val="en-US"/>
        </w:rPr>
        <w:t>4</w:t>
      </w:r>
      <w:r w:rsidR="00C749D4" w:rsidRPr="00B40A77">
        <w:rPr>
          <w:iCs/>
          <w:color w:val="000000" w:themeColor="text1"/>
          <w:lang w:val="en-US"/>
        </w:rPr>
        <w:t>)</w:t>
      </w:r>
      <w:r w:rsidR="006666A6" w:rsidRPr="00B40A77">
        <w:rPr>
          <w:iCs/>
          <w:color w:val="000000" w:themeColor="text1"/>
          <w:lang w:val="en-US"/>
        </w:rPr>
        <w:tab/>
        <w:t xml:space="preserve">Unless the Court otherwise orders, a </w:t>
      </w:r>
      <w:hyperlink w:anchor="_2.1—Definitions" w:history="1">
        <w:r w:rsidR="006666A6" w:rsidRPr="00B40A77">
          <w:rPr>
            <w:rStyle w:val="Hyperlink"/>
            <w:iCs/>
            <w:color w:val="000000" w:themeColor="text1"/>
            <w:lang w:val="en-US"/>
          </w:rPr>
          <w:t>bail application</w:t>
        </w:r>
      </w:hyperlink>
      <w:r w:rsidR="006666A6" w:rsidRPr="00B40A77">
        <w:rPr>
          <w:iCs/>
          <w:color w:val="000000" w:themeColor="text1"/>
          <w:lang w:val="en-US"/>
        </w:rPr>
        <w:t xml:space="preserve"> may but need not be supported by an affidavit.</w:t>
      </w:r>
    </w:p>
    <w:p w14:paraId="5DF5BACB" w14:textId="0CC9C1F9" w:rsidR="00CD7041" w:rsidRPr="00B40A77" w:rsidRDefault="00D00AFF" w:rsidP="00B87028">
      <w:pPr>
        <w:pStyle w:val="Heading4"/>
        <w:rPr>
          <w:color w:val="000000" w:themeColor="text1"/>
        </w:rPr>
      </w:pPr>
      <w:bookmarkStart w:id="367" w:name="_Toc175238909"/>
      <w:r w:rsidRPr="00B40A77">
        <w:rPr>
          <w:color w:val="000000" w:themeColor="text1"/>
        </w:rPr>
        <w:t>41</w:t>
      </w:r>
      <w:r w:rsidR="00CD7041" w:rsidRPr="00B40A77">
        <w:rPr>
          <w:color w:val="000000" w:themeColor="text1"/>
        </w:rPr>
        <w:t>.</w:t>
      </w:r>
      <w:r w:rsidR="00E27B39" w:rsidRPr="00B40A77">
        <w:rPr>
          <w:color w:val="000000" w:themeColor="text1"/>
        </w:rPr>
        <w:t>4</w:t>
      </w:r>
      <w:r w:rsidR="00CD7041" w:rsidRPr="00B40A77">
        <w:rPr>
          <w:color w:val="000000" w:themeColor="text1"/>
        </w:rPr>
        <w:t>—</w:t>
      </w:r>
      <w:r w:rsidR="00440E6B" w:rsidRPr="00B40A77">
        <w:rPr>
          <w:color w:val="000000" w:themeColor="text1"/>
        </w:rPr>
        <w:t>Prosecution r</w:t>
      </w:r>
      <w:r w:rsidR="00CD7041" w:rsidRPr="00B40A77">
        <w:rPr>
          <w:color w:val="000000" w:themeColor="text1"/>
        </w:rPr>
        <w:t>esponse to bail application</w:t>
      </w:r>
      <w:bookmarkEnd w:id="367"/>
    </w:p>
    <w:p w14:paraId="370BD869" w14:textId="29A7D626" w:rsidR="00CD7041" w:rsidRPr="00B40A77" w:rsidRDefault="00CD7041" w:rsidP="0033795E">
      <w:pPr>
        <w:pStyle w:val="Hangindent"/>
        <w:keepNext/>
        <w:ind w:left="567" w:firstLine="0"/>
        <w:rPr>
          <w:iCs/>
          <w:color w:val="000000" w:themeColor="text1"/>
          <w:lang w:val="en-US"/>
        </w:rPr>
      </w:pPr>
      <w:r w:rsidRPr="00B40A77">
        <w:rPr>
          <w:iCs/>
          <w:color w:val="000000" w:themeColor="text1"/>
          <w:lang w:val="en-US"/>
        </w:rPr>
        <w:t>Unless the Court otherwise orders</w:t>
      </w:r>
      <w:r w:rsidR="00624E74" w:rsidRPr="00B40A77">
        <w:rPr>
          <w:iCs/>
          <w:color w:val="000000" w:themeColor="text1"/>
          <w:lang w:val="en-US"/>
        </w:rPr>
        <w:t>,</w:t>
      </w:r>
      <w:r w:rsidRPr="00B40A77">
        <w:rPr>
          <w:iCs/>
          <w:color w:val="000000" w:themeColor="text1"/>
          <w:lang w:val="en-US"/>
        </w:rPr>
        <w:t xml:space="preserve"> </w:t>
      </w:r>
      <w:r w:rsidR="00C749D4" w:rsidRPr="00B40A77">
        <w:rPr>
          <w:iCs/>
          <w:color w:val="000000" w:themeColor="text1"/>
          <w:lang w:val="en-US"/>
        </w:rPr>
        <w:t xml:space="preserve">if </w:t>
      </w:r>
      <w:r w:rsidRPr="00B40A77">
        <w:rPr>
          <w:iCs/>
          <w:color w:val="000000" w:themeColor="text1"/>
          <w:lang w:val="en-US"/>
        </w:rPr>
        <w:t xml:space="preserve">the </w:t>
      </w:r>
      <w:hyperlink w:anchor="_37.1—Application_of_Part" w:history="1">
        <w:r w:rsidR="00CE7A79" w:rsidRPr="00B40A77">
          <w:rPr>
            <w:rStyle w:val="Hyperlink"/>
            <w:color w:val="000000" w:themeColor="text1"/>
            <w:lang w:val="en-US"/>
          </w:rPr>
          <w:t>hearing</w:t>
        </w:r>
      </w:hyperlink>
      <w:r w:rsidRPr="00B40A77">
        <w:rPr>
          <w:iCs/>
          <w:color w:val="000000" w:themeColor="text1"/>
          <w:lang w:val="en-US"/>
        </w:rPr>
        <w:t xml:space="preserve"> is listed </w:t>
      </w:r>
      <w:r w:rsidR="00624E74" w:rsidRPr="00B40A77">
        <w:rPr>
          <w:iCs/>
          <w:color w:val="000000" w:themeColor="text1"/>
          <w:lang w:val="en-US"/>
        </w:rPr>
        <w:t>for a date and time more</w:t>
      </w:r>
      <w:r w:rsidRPr="00B40A77">
        <w:rPr>
          <w:iCs/>
          <w:color w:val="000000" w:themeColor="text1"/>
          <w:lang w:val="en-US"/>
        </w:rPr>
        <w:t xml:space="preserve"> than 48 hours after the application is served, </w:t>
      </w:r>
      <w:r w:rsidR="00C749D4" w:rsidRPr="00B40A77">
        <w:rPr>
          <w:iCs/>
          <w:color w:val="000000" w:themeColor="text1"/>
          <w:lang w:val="en-US"/>
        </w:rPr>
        <w:t>the prosecution must</w:t>
      </w:r>
      <w:r w:rsidR="00A27FF5" w:rsidRPr="00B40A77">
        <w:rPr>
          <w:iCs/>
          <w:color w:val="000000" w:themeColor="text1"/>
          <w:lang w:val="en-US"/>
        </w:rPr>
        <w:t>,</w:t>
      </w:r>
      <w:r w:rsidR="00C749D4" w:rsidRPr="00B40A77">
        <w:rPr>
          <w:iCs/>
          <w:color w:val="000000" w:themeColor="text1"/>
          <w:lang w:val="en-US"/>
        </w:rPr>
        <w:t xml:space="preserve"> within 48 hours of </w:t>
      </w:r>
      <w:r w:rsidRPr="00B40A77">
        <w:rPr>
          <w:iCs/>
          <w:color w:val="000000" w:themeColor="text1"/>
          <w:lang w:val="en-US"/>
        </w:rPr>
        <w:t xml:space="preserve">receipt of a </w:t>
      </w:r>
      <w:r w:rsidRPr="00B40A77">
        <w:rPr>
          <w:iCs/>
          <w:color w:val="000000" w:themeColor="text1"/>
          <w:lang w:val="en-US"/>
        </w:rPr>
        <w:lastRenderedPageBreak/>
        <w:t xml:space="preserve">written </w:t>
      </w:r>
      <w:hyperlink w:anchor="_2.1—Definitions" w:history="1">
        <w:r w:rsidRPr="00B40A77">
          <w:rPr>
            <w:rStyle w:val="Hyperlink"/>
            <w:iCs/>
            <w:color w:val="000000" w:themeColor="text1"/>
            <w:lang w:val="en-US"/>
          </w:rPr>
          <w:t>bail application</w:t>
        </w:r>
      </w:hyperlink>
      <w:r w:rsidRPr="00B40A77">
        <w:rPr>
          <w:iCs/>
          <w:color w:val="000000" w:themeColor="text1"/>
          <w:lang w:val="en-US"/>
        </w:rPr>
        <w:t xml:space="preserve"> by a defendant or y</w:t>
      </w:r>
      <w:r w:rsidR="00D050EF" w:rsidRPr="00B40A77">
        <w:rPr>
          <w:iCs/>
          <w:color w:val="000000" w:themeColor="text1"/>
          <w:lang w:val="en-US"/>
        </w:rPr>
        <w:t xml:space="preserve">outh or guarantor, </w:t>
      </w:r>
      <w:r w:rsidRPr="00B40A77">
        <w:rPr>
          <w:iCs/>
          <w:color w:val="000000" w:themeColor="text1"/>
          <w:lang w:val="en-US"/>
        </w:rPr>
        <w:t xml:space="preserve">file and serve on the applicant a prosecution response to </w:t>
      </w:r>
      <w:hyperlink w:anchor="_2.1—Definitions" w:history="1">
        <w:r w:rsidRPr="00B40A77">
          <w:rPr>
            <w:rStyle w:val="Hyperlink"/>
            <w:iCs/>
            <w:color w:val="000000" w:themeColor="text1"/>
            <w:lang w:val="en-US"/>
          </w:rPr>
          <w:t>bail application</w:t>
        </w:r>
      </w:hyperlink>
      <w:r w:rsidRPr="00B40A77">
        <w:rPr>
          <w:iCs/>
          <w:color w:val="000000" w:themeColor="text1"/>
          <w:lang w:val="en-US"/>
        </w:rPr>
        <w:t xml:space="preserve"> in the prescribed form.</w:t>
      </w:r>
    </w:p>
    <w:p w14:paraId="0D60B63E" w14:textId="77777777" w:rsidR="00763BB3" w:rsidRPr="00B40A77" w:rsidRDefault="00CD7041" w:rsidP="0033795E">
      <w:pPr>
        <w:pStyle w:val="NoteHeader"/>
        <w:keepNext/>
        <w:ind w:left="284" w:firstLine="306"/>
        <w:rPr>
          <w:color w:val="000000" w:themeColor="text1"/>
        </w:rPr>
      </w:pPr>
      <w:r w:rsidRPr="00B40A77">
        <w:rPr>
          <w:color w:val="000000" w:themeColor="text1"/>
        </w:rPr>
        <w:t>Prescribed form—</w:t>
      </w:r>
    </w:p>
    <w:p w14:paraId="503B1C72" w14:textId="26CF380A" w:rsidR="00CD7041" w:rsidRPr="00B40A77" w:rsidRDefault="00CD7041" w:rsidP="00763BB3">
      <w:pPr>
        <w:pStyle w:val="NoteText"/>
        <w:ind w:left="850"/>
        <w:rPr>
          <w:color w:val="000000" w:themeColor="text1"/>
        </w:rPr>
      </w:pPr>
      <w:r w:rsidRPr="00B40A77">
        <w:rPr>
          <w:color w:val="000000" w:themeColor="text1"/>
        </w:rPr>
        <w:t>F</w:t>
      </w:r>
      <w:r w:rsidR="00440E6B" w:rsidRPr="00B40A77">
        <w:rPr>
          <w:color w:val="000000" w:themeColor="text1"/>
        </w:rPr>
        <w:t>orm 22</w:t>
      </w:r>
      <w:r w:rsidRPr="00B40A77">
        <w:rPr>
          <w:color w:val="000000" w:themeColor="text1"/>
        </w:rPr>
        <w:t xml:space="preserve"> </w:t>
      </w:r>
      <w:hyperlink r:id="rId96" w:history="1">
        <w:r w:rsidRPr="00B40A77">
          <w:rPr>
            <w:rStyle w:val="Hyperlink"/>
            <w:color w:val="000000" w:themeColor="text1"/>
          </w:rPr>
          <w:t xml:space="preserve">Prosecution </w:t>
        </w:r>
        <w:r w:rsidR="00F24348" w:rsidRPr="00B40A77">
          <w:rPr>
            <w:rStyle w:val="Hyperlink"/>
            <w:color w:val="000000" w:themeColor="text1"/>
          </w:rPr>
          <w:t>R</w:t>
        </w:r>
        <w:r w:rsidRPr="00B40A77">
          <w:rPr>
            <w:rStyle w:val="Hyperlink"/>
            <w:color w:val="000000" w:themeColor="text1"/>
          </w:rPr>
          <w:t xml:space="preserve">esponse to </w:t>
        </w:r>
        <w:r w:rsidR="00F24348" w:rsidRPr="00B40A77">
          <w:rPr>
            <w:rStyle w:val="Hyperlink"/>
            <w:color w:val="000000" w:themeColor="text1"/>
          </w:rPr>
          <w:t>B</w:t>
        </w:r>
        <w:r w:rsidRPr="00B40A77">
          <w:rPr>
            <w:rStyle w:val="Hyperlink"/>
            <w:color w:val="000000" w:themeColor="text1"/>
          </w:rPr>
          <w:t xml:space="preserve">ail </w:t>
        </w:r>
        <w:r w:rsidR="00F24348" w:rsidRPr="00B40A77">
          <w:rPr>
            <w:rStyle w:val="Hyperlink"/>
            <w:color w:val="000000" w:themeColor="text1"/>
          </w:rPr>
          <w:t>A</w:t>
        </w:r>
        <w:r w:rsidRPr="00B40A77">
          <w:rPr>
            <w:rStyle w:val="Hyperlink"/>
            <w:color w:val="000000" w:themeColor="text1"/>
          </w:rPr>
          <w:t>pplication</w:t>
        </w:r>
      </w:hyperlink>
    </w:p>
    <w:p w14:paraId="380121D7" w14:textId="6490EF8E" w:rsidR="00645EB5" w:rsidRPr="00B40A77" w:rsidRDefault="00D00AFF" w:rsidP="00B87028">
      <w:pPr>
        <w:pStyle w:val="Heading4"/>
        <w:rPr>
          <w:color w:val="000000" w:themeColor="text1"/>
        </w:rPr>
      </w:pPr>
      <w:bookmarkStart w:id="368" w:name="_Toc175238910"/>
      <w:r w:rsidRPr="00B40A77">
        <w:rPr>
          <w:color w:val="000000" w:themeColor="text1"/>
        </w:rPr>
        <w:t>41</w:t>
      </w:r>
      <w:r w:rsidR="00E643A5" w:rsidRPr="00B40A77">
        <w:rPr>
          <w:color w:val="000000" w:themeColor="text1"/>
        </w:rPr>
        <w:t>.</w:t>
      </w:r>
      <w:r w:rsidR="00E27B39" w:rsidRPr="00B40A77">
        <w:rPr>
          <w:color w:val="000000" w:themeColor="text1"/>
        </w:rPr>
        <w:t>5</w:t>
      </w:r>
      <w:r w:rsidR="00117997" w:rsidRPr="00B40A77">
        <w:rPr>
          <w:color w:val="000000" w:themeColor="text1"/>
        </w:rPr>
        <w:t>—Request</w:t>
      </w:r>
      <w:r w:rsidR="00645EB5" w:rsidRPr="00B40A77">
        <w:rPr>
          <w:color w:val="000000" w:themeColor="text1"/>
        </w:rPr>
        <w:t xml:space="preserve"> for reports</w:t>
      </w:r>
      <w:bookmarkEnd w:id="368"/>
    </w:p>
    <w:p w14:paraId="1E7C164A" w14:textId="76A58F00" w:rsidR="00645EB5" w:rsidRPr="00B40A77" w:rsidRDefault="00645EB5" w:rsidP="0033795E">
      <w:pPr>
        <w:pStyle w:val="IndentedPara"/>
        <w:keepNext/>
        <w:rPr>
          <w:color w:val="000000" w:themeColor="text1"/>
        </w:rPr>
      </w:pPr>
      <w:r w:rsidRPr="00B40A77">
        <w:rPr>
          <w:color w:val="000000" w:themeColor="text1"/>
        </w:rPr>
        <w:t xml:space="preserve">A request by the Court for a report for the purpose of a </w:t>
      </w:r>
      <w:hyperlink w:anchor="_2.1—Definitions" w:history="1">
        <w:r w:rsidRPr="00B40A77">
          <w:rPr>
            <w:rStyle w:val="Hyperlink"/>
            <w:color w:val="000000" w:themeColor="text1"/>
          </w:rPr>
          <w:t>bail application</w:t>
        </w:r>
      </w:hyperlink>
      <w:r w:rsidRPr="00B40A77">
        <w:rPr>
          <w:color w:val="000000" w:themeColor="text1"/>
        </w:rPr>
        <w:t xml:space="preserve"> must be in the prescribed form.</w:t>
      </w:r>
    </w:p>
    <w:p w14:paraId="196FDEEA" w14:textId="552A501F" w:rsidR="00645EB5" w:rsidRPr="00B40A77" w:rsidRDefault="00645EB5" w:rsidP="0033795E">
      <w:pPr>
        <w:pStyle w:val="NoteHeader"/>
        <w:keepNext/>
        <w:ind w:left="567"/>
        <w:rPr>
          <w:color w:val="000000" w:themeColor="text1"/>
        </w:rPr>
      </w:pPr>
      <w:r w:rsidRPr="00B40A77">
        <w:rPr>
          <w:color w:val="000000" w:themeColor="text1"/>
        </w:rPr>
        <w:t>Prescribed form—</w:t>
      </w:r>
    </w:p>
    <w:p w14:paraId="46F34A33" w14:textId="486BFC1E" w:rsidR="00645EB5" w:rsidRPr="00B40A77" w:rsidRDefault="00E04656" w:rsidP="00763BB3">
      <w:pPr>
        <w:pStyle w:val="NoteText"/>
        <w:ind w:left="851"/>
        <w:rPr>
          <w:color w:val="000000" w:themeColor="text1"/>
        </w:rPr>
      </w:pPr>
      <w:r w:rsidRPr="00B40A77">
        <w:rPr>
          <w:color w:val="000000" w:themeColor="text1"/>
        </w:rPr>
        <w:t xml:space="preserve">Form 23 </w:t>
      </w:r>
      <w:hyperlink r:id="rId97" w:history="1">
        <w:r w:rsidRPr="00B40A77">
          <w:rPr>
            <w:rStyle w:val="Hyperlink"/>
            <w:color w:val="000000" w:themeColor="text1"/>
          </w:rPr>
          <w:t>Report Request Form – Generic Report</w:t>
        </w:r>
      </w:hyperlink>
    </w:p>
    <w:p w14:paraId="1AF3FDEA" w14:textId="71B3F452" w:rsidR="004B276A" w:rsidRPr="00B40A77" w:rsidRDefault="00A27FF5" w:rsidP="00763BB3">
      <w:pPr>
        <w:pStyle w:val="NoteText"/>
        <w:ind w:left="851"/>
        <w:rPr>
          <w:color w:val="000000" w:themeColor="text1"/>
        </w:rPr>
      </w:pPr>
      <w:r w:rsidRPr="00B40A77">
        <w:rPr>
          <w:color w:val="000000" w:themeColor="text1"/>
        </w:rPr>
        <w:t>[</w:t>
      </w:r>
      <w:r w:rsidR="004B276A" w:rsidRPr="00B40A77">
        <w:rPr>
          <w:color w:val="000000" w:themeColor="text1"/>
        </w:rPr>
        <w:t xml:space="preserve">Form 23A </w:t>
      </w:r>
      <w:hyperlink r:id="rId98" w:history="1">
        <w:r w:rsidR="004B276A" w:rsidRPr="00B40A77">
          <w:rPr>
            <w:rStyle w:val="Hyperlink"/>
            <w:color w:val="000000" w:themeColor="text1"/>
          </w:rPr>
          <w:t>Report Request Form – Bail Enquiry Report</w:t>
        </w:r>
      </w:hyperlink>
      <w:r w:rsidRPr="00B40A77">
        <w:rPr>
          <w:color w:val="000000" w:themeColor="text1"/>
        </w:rPr>
        <w:t>]</w:t>
      </w:r>
    </w:p>
    <w:p w14:paraId="362EB912" w14:textId="1FB0DD6F" w:rsidR="004B276A" w:rsidRPr="00B40A77" w:rsidRDefault="00A27FF5" w:rsidP="00763BB3">
      <w:pPr>
        <w:pStyle w:val="NoteText"/>
        <w:ind w:left="851"/>
        <w:rPr>
          <w:color w:val="000000" w:themeColor="text1"/>
        </w:rPr>
      </w:pPr>
      <w:r w:rsidRPr="00B40A77">
        <w:rPr>
          <w:color w:val="000000" w:themeColor="text1"/>
        </w:rPr>
        <w:t>[</w:t>
      </w:r>
      <w:r w:rsidR="004B276A" w:rsidRPr="00B40A77">
        <w:rPr>
          <w:color w:val="000000" w:themeColor="text1"/>
        </w:rPr>
        <w:t xml:space="preserve">Form 23B </w:t>
      </w:r>
      <w:hyperlink r:id="rId99" w:history="1">
        <w:r w:rsidR="004B276A" w:rsidRPr="00B40A77">
          <w:rPr>
            <w:rStyle w:val="Hyperlink"/>
            <w:color w:val="000000" w:themeColor="text1"/>
          </w:rPr>
          <w:t>Report Request Form – Bail Enquiry (Home Detention) Report</w:t>
        </w:r>
      </w:hyperlink>
      <w:r w:rsidRPr="00B40A77">
        <w:rPr>
          <w:color w:val="000000" w:themeColor="text1"/>
        </w:rPr>
        <w:t>]</w:t>
      </w:r>
    </w:p>
    <w:p w14:paraId="3A8D7BB5" w14:textId="5F2BB7AD" w:rsidR="004B276A" w:rsidRPr="00B40A77" w:rsidRDefault="00A27FF5" w:rsidP="00763BB3">
      <w:pPr>
        <w:pStyle w:val="NoteText"/>
        <w:ind w:left="851"/>
        <w:rPr>
          <w:color w:val="000000" w:themeColor="text1"/>
        </w:rPr>
      </w:pPr>
      <w:r w:rsidRPr="00B40A77">
        <w:rPr>
          <w:color w:val="000000" w:themeColor="text1"/>
        </w:rPr>
        <w:t>[</w:t>
      </w:r>
      <w:r w:rsidR="004B276A" w:rsidRPr="00B40A77">
        <w:rPr>
          <w:color w:val="000000" w:themeColor="text1"/>
        </w:rPr>
        <w:t xml:space="preserve">Form 23C </w:t>
      </w:r>
      <w:hyperlink r:id="rId100" w:history="1">
        <w:r w:rsidR="004B276A" w:rsidRPr="00B40A77">
          <w:rPr>
            <w:rStyle w:val="Hyperlink"/>
            <w:color w:val="000000" w:themeColor="text1"/>
          </w:rPr>
          <w:t>Report Request Form – Bail Remand Information Report (Youth)</w:t>
        </w:r>
      </w:hyperlink>
      <w:r w:rsidRPr="00B40A77">
        <w:rPr>
          <w:color w:val="000000" w:themeColor="text1"/>
        </w:rPr>
        <w:t>]</w:t>
      </w:r>
    </w:p>
    <w:p w14:paraId="1811B4A8" w14:textId="2B324536" w:rsidR="004B276A" w:rsidRPr="00B40A77" w:rsidRDefault="00A27FF5" w:rsidP="00763BB3">
      <w:pPr>
        <w:pStyle w:val="NoteText"/>
        <w:ind w:left="851"/>
        <w:rPr>
          <w:color w:val="000000" w:themeColor="text1"/>
        </w:rPr>
      </w:pPr>
      <w:r w:rsidRPr="00B40A77">
        <w:rPr>
          <w:color w:val="000000" w:themeColor="text1"/>
        </w:rPr>
        <w:t>[</w:t>
      </w:r>
      <w:r w:rsidR="004B276A" w:rsidRPr="00B40A77">
        <w:rPr>
          <w:color w:val="000000" w:themeColor="text1"/>
        </w:rPr>
        <w:t xml:space="preserve">Form 23D </w:t>
      </w:r>
      <w:hyperlink r:id="rId101" w:history="1">
        <w:r w:rsidR="004B276A" w:rsidRPr="00B40A77">
          <w:rPr>
            <w:rStyle w:val="Hyperlink"/>
            <w:color w:val="000000" w:themeColor="text1"/>
          </w:rPr>
          <w:t>Report Request Form – Bail Enquiry (Home Detention Youth) Report (Youth)</w:t>
        </w:r>
      </w:hyperlink>
      <w:r w:rsidRPr="00B40A77">
        <w:rPr>
          <w:color w:val="000000" w:themeColor="text1"/>
        </w:rPr>
        <w:t>]</w:t>
      </w:r>
    </w:p>
    <w:p w14:paraId="3B16B01E" w14:textId="5378F3CA" w:rsidR="00842C65" w:rsidRPr="00B40A77" w:rsidRDefault="00D00AFF" w:rsidP="00B87028">
      <w:pPr>
        <w:pStyle w:val="Heading4"/>
        <w:rPr>
          <w:color w:val="000000" w:themeColor="text1"/>
        </w:rPr>
      </w:pPr>
      <w:bookmarkStart w:id="369" w:name="_Toc175238911"/>
      <w:r w:rsidRPr="00B40A77">
        <w:rPr>
          <w:color w:val="000000" w:themeColor="text1"/>
        </w:rPr>
        <w:t>41</w:t>
      </w:r>
      <w:r w:rsidR="00E643A5" w:rsidRPr="00B40A77">
        <w:rPr>
          <w:color w:val="000000" w:themeColor="text1"/>
        </w:rPr>
        <w:t>.</w:t>
      </w:r>
      <w:r w:rsidR="00E27B39" w:rsidRPr="00B40A77">
        <w:rPr>
          <w:color w:val="000000" w:themeColor="text1"/>
        </w:rPr>
        <w:t>6</w:t>
      </w:r>
      <w:r w:rsidR="00842C65" w:rsidRPr="00B40A77">
        <w:rPr>
          <w:color w:val="000000" w:themeColor="text1"/>
        </w:rPr>
        <w:t>—Orders relating to bail</w:t>
      </w:r>
      <w:bookmarkEnd w:id="369"/>
      <w:r w:rsidR="00C573B7" w:rsidRPr="00B40A77">
        <w:rPr>
          <w:color w:val="000000" w:themeColor="text1"/>
        </w:rPr>
        <w:t xml:space="preserve"> </w:t>
      </w:r>
    </w:p>
    <w:p w14:paraId="706F5566" w14:textId="6B9C7740" w:rsidR="00842C65" w:rsidRPr="00B40A77" w:rsidRDefault="00842C65" w:rsidP="0033795E">
      <w:pPr>
        <w:pStyle w:val="Hangindent"/>
        <w:keepNext/>
        <w:rPr>
          <w:iCs/>
          <w:color w:val="000000" w:themeColor="text1"/>
          <w:lang w:val="en-US"/>
        </w:rPr>
      </w:pPr>
      <w:r w:rsidRPr="00B40A77">
        <w:rPr>
          <w:iCs/>
          <w:color w:val="000000" w:themeColor="text1"/>
          <w:lang w:val="en-US"/>
        </w:rPr>
        <w:t>(1)</w:t>
      </w:r>
      <w:r w:rsidRPr="00B40A77">
        <w:rPr>
          <w:iCs/>
          <w:color w:val="000000" w:themeColor="text1"/>
          <w:lang w:val="en-US"/>
        </w:rPr>
        <w:tab/>
        <w:t>A record of outcome containing orders relating to bail must be in the prescribed form.</w:t>
      </w:r>
    </w:p>
    <w:p w14:paraId="7A2C1679" w14:textId="77777777" w:rsidR="00842C65" w:rsidRPr="00B40A77" w:rsidRDefault="00842C65" w:rsidP="0033795E">
      <w:pPr>
        <w:pStyle w:val="NoteHeader"/>
        <w:keepNext/>
        <w:rPr>
          <w:color w:val="000000" w:themeColor="text1"/>
        </w:rPr>
      </w:pPr>
      <w:r w:rsidRPr="00B40A77">
        <w:rPr>
          <w:color w:val="000000" w:themeColor="text1"/>
        </w:rPr>
        <w:t>Prescribed form—</w:t>
      </w:r>
    </w:p>
    <w:p w14:paraId="4101F12A" w14:textId="4295E888" w:rsidR="003B5A1C" w:rsidRPr="00B40A77" w:rsidRDefault="003B5A1C" w:rsidP="00763BB3">
      <w:pPr>
        <w:pStyle w:val="NoteText"/>
        <w:rPr>
          <w:color w:val="000000" w:themeColor="text1"/>
        </w:rPr>
      </w:pPr>
      <w:r w:rsidRPr="00B40A77">
        <w:rPr>
          <w:color w:val="000000" w:themeColor="text1"/>
        </w:rPr>
        <w:t xml:space="preserve">Form </w:t>
      </w:r>
      <w:r w:rsidR="009A4D0F" w:rsidRPr="00B40A77">
        <w:rPr>
          <w:color w:val="000000" w:themeColor="text1"/>
        </w:rPr>
        <w:t>24</w:t>
      </w:r>
      <w:r w:rsidRPr="00B40A77">
        <w:rPr>
          <w:color w:val="000000" w:themeColor="text1"/>
        </w:rPr>
        <w:t xml:space="preserve"> </w:t>
      </w:r>
      <w:hyperlink r:id="rId102" w:history="1">
        <w:r w:rsidRPr="00B40A77">
          <w:rPr>
            <w:rStyle w:val="Hyperlink"/>
            <w:color w:val="000000" w:themeColor="text1"/>
          </w:rPr>
          <w:t>Record of Outcome – Order</w:t>
        </w:r>
      </w:hyperlink>
    </w:p>
    <w:p w14:paraId="16813363" w14:textId="0CC4D453" w:rsidR="0041630B" w:rsidRPr="00B40A77" w:rsidRDefault="00440E6B" w:rsidP="0033795E">
      <w:pPr>
        <w:pStyle w:val="Hangindent"/>
        <w:keepNext/>
        <w:rPr>
          <w:rFonts w:cs="Arial"/>
          <w:color w:val="000000" w:themeColor="text1"/>
        </w:rPr>
      </w:pPr>
      <w:r w:rsidRPr="00B40A77">
        <w:rPr>
          <w:iCs/>
          <w:color w:val="000000" w:themeColor="text1"/>
          <w:lang w:val="en-US"/>
        </w:rPr>
        <w:t>(</w:t>
      </w:r>
      <w:r w:rsidR="004C48E1" w:rsidRPr="00B40A77">
        <w:rPr>
          <w:iCs/>
          <w:color w:val="000000" w:themeColor="text1"/>
          <w:lang w:val="en-US"/>
        </w:rPr>
        <w:t>2</w:t>
      </w:r>
      <w:r w:rsidRPr="00B40A77">
        <w:rPr>
          <w:iCs/>
          <w:color w:val="000000" w:themeColor="text1"/>
          <w:lang w:val="en-US"/>
        </w:rPr>
        <w:t>)</w:t>
      </w:r>
      <w:r w:rsidRPr="00B40A77">
        <w:rPr>
          <w:iCs/>
          <w:color w:val="000000" w:themeColor="text1"/>
          <w:lang w:val="en-US"/>
        </w:rPr>
        <w:tab/>
        <w:t xml:space="preserve">If </w:t>
      </w:r>
      <w:r w:rsidR="0041630B" w:rsidRPr="00B40A77">
        <w:rPr>
          <w:rFonts w:cs="Arial"/>
          <w:color w:val="000000" w:themeColor="text1"/>
        </w:rPr>
        <w:t>the Court makes a</w:t>
      </w:r>
      <w:r w:rsidRPr="00B40A77">
        <w:rPr>
          <w:rFonts w:cs="Arial"/>
          <w:color w:val="000000" w:themeColor="text1"/>
        </w:rPr>
        <w:t xml:space="preserve"> </w:t>
      </w:r>
      <w:r w:rsidR="0041630B" w:rsidRPr="00B40A77">
        <w:rPr>
          <w:rFonts w:cs="Arial"/>
          <w:color w:val="000000" w:themeColor="text1"/>
        </w:rPr>
        <w:t xml:space="preserve">direction under section 11A of the </w:t>
      </w:r>
      <w:r w:rsidR="00D62524" w:rsidRPr="00B40A77">
        <w:rPr>
          <w:color w:val="000000" w:themeColor="text1"/>
        </w:rPr>
        <w:t xml:space="preserve">Bail Act </w:t>
      </w:r>
      <w:r w:rsidR="0041630B" w:rsidRPr="00B40A77">
        <w:rPr>
          <w:rFonts w:cs="Arial"/>
          <w:color w:val="000000" w:themeColor="text1"/>
        </w:rPr>
        <w:t xml:space="preserve">that a defendant or youth surrender </w:t>
      </w:r>
      <w:r w:rsidR="0041630B" w:rsidRPr="00B40A77">
        <w:rPr>
          <w:color w:val="000000" w:themeColor="text1"/>
        </w:rPr>
        <w:t>any firearm, ammunition or firearm</w:t>
      </w:r>
      <w:r w:rsidR="00F23957">
        <w:rPr>
          <w:color w:val="000000" w:themeColor="text1"/>
        </w:rPr>
        <w:t xml:space="preserve"> part</w:t>
      </w:r>
      <w:r w:rsidR="0041630B" w:rsidRPr="00B40A77">
        <w:rPr>
          <w:color w:val="000000" w:themeColor="text1"/>
        </w:rPr>
        <w:t xml:space="preserve">, a written direction </w:t>
      </w:r>
      <w:r w:rsidR="00117997" w:rsidRPr="00B40A77">
        <w:rPr>
          <w:color w:val="000000" w:themeColor="text1"/>
        </w:rPr>
        <w:t>i</w:t>
      </w:r>
      <w:r w:rsidR="0041630B" w:rsidRPr="00B40A77">
        <w:rPr>
          <w:color w:val="000000" w:themeColor="text1"/>
        </w:rPr>
        <w:t xml:space="preserve">n the prescribed form must be given to the </w:t>
      </w:r>
      <w:r w:rsidR="0041630B" w:rsidRPr="00B40A77">
        <w:rPr>
          <w:rFonts w:cs="Arial"/>
          <w:color w:val="000000" w:themeColor="text1"/>
        </w:rPr>
        <w:t>defendant or youth</w:t>
      </w:r>
      <w:r w:rsidR="009C6BAC" w:rsidRPr="00B40A77">
        <w:rPr>
          <w:rFonts w:cs="Arial"/>
          <w:color w:val="000000" w:themeColor="text1"/>
        </w:rPr>
        <w:t xml:space="preserve"> </w:t>
      </w:r>
      <w:r w:rsidR="00D46390" w:rsidRPr="00B40A77">
        <w:rPr>
          <w:rFonts w:cs="Arial"/>
          <w:color w:val="000000" w:themeColor="text1"/>
        </w:rPr>
        <w:t>before they are released from custody.</w:t>
      </w:r>
    </w:p>
    <w:p w14:paraId="43E24C9E" w14:textId="77777777" w:rsidR="00440E6B" w:rsidRPr="00B40A77" w:rsidRDefault="00440E6B" w:rsidP="0033795E">
      <w:pPr>
        <w:pStyle w:val="NoteHeader"/>
        <w:keepNext/>
        <w:rPr>
          <w:color w:val="000000" w:themeColor="text1"/>
        </w:rPr>
      </w:pPr>
      <w:r w:rsidRPr="00B40A77">
        <w:rPr>
          <w:color w:val="000000" w:themeColor="text1"/>
        </w:rPr>
        <w:t>Prescribed form—</w:t>
      </w:r>
    </w:p>
    <w:p w14:paraId="5BA226FC" w14:textId="0C0680ED" w:rsidR="00440E6B" w:rsidRPr="00B40A77" w:rsidRDefault="003A200A" w:rsidP="00763BB3">
      <w:pPr>
        <w:pStyle w:val="NoteText"/>
        <w:rPr>
          <w:iCs/>
          <w:color w:val="000000" w:themeColor="text1"/>
          <w:lang w:val="en-US"/>
        </w:rPr>
      </w:pPr>
      <w:r w:rsidRPr="00B40A77">
        <w:rPr>
          <w:color w:val="000000" w:themeColor="text1"/>
        </w:rPr>
        <w:t>Form 28</w:t>
      </w:r>
      <w:r w:rsidR="006550EE" w:rsidRPr="00B40A77">
        <w:rPr>
          <w:color w:val="000000" w:themeColor="text1"/>
        </w:rPr>
        <w:t xml:space="preserve"> </w:t>
      </w:r>
      <w:hyperlink r:id="rId103" w:history="1">
        <w:r w:rsidR="006550EE" w:rsidRPr="00B40A77">
          <w:rPr>
            <w:rStyle w:val="Hyperlink"/>
            <w:color w:val="000000" w:themeColor="text1"/>
          </w:rPr>
          <w:t xml:space="preserve">Direction to </w:t>
        </w:r>
        <w:r w:rsidR="00BF0040" w:rsidRPr="00B40A77">
          <w:rPr>
            <w:rStyle w:val="Hyperlink"/>
            <w:color w:val="000000" w:themeColor="text1"/>
          </w:rPr>
          <w:t>S</w:t>
        </w:r>
        <w:r w:rsidR="006550EE" w:rsidRPr="00B40A77">
          <w:rPr>
            <w:rStyle w:val="Hyperlink"/>
            <w:color w:val="000000" w:themeColor="text1"/>
          </w:rPr>
          <w:t xml:space="preserve">urrender </w:t>
        </w:r>
        <w:r w:rsidR="00BF0040" w:rsidRPr="00B40A77">
          <w:rPr>
            <w:rStyle w:val="Hyperlink"/>
            <w:color w:val="000000" w:themeColor="text1"/>
          </w:rPr>
          <w:t>F</w:t>
        </w:r>
        <w:r w:rsidR="006550EE" w:rsidRPr="00B40A77">
          <w:rPr>
            <w:rStyle w:val="Hyperlink"/>
            <w:color w:val="000000" w:themeColor="text1"/>
          </w:rPr>
          <w:t xml:space="preserve">irearms and </w:t>
        </w:r>
        <w:r w:rsidR="00BF0040" w:rsidRPr="00B40A77">
          <w:rPr>
            <w:rStyle w:val="Hyperlink"/>
            <w:color w:val="000000" w:themeColor="text1"/>
          </w:rPr>
          <w:t>A</w:t>
        </w:r>
        <w:r w:rsidR="006550EE" w:rsidRPr="00B40A77">
          <w:rPr>
            <w:rStyle w:val="Hyperlink"/>
            <w:color w:val="000000" w:themeColor="text1"/>
          </w:rPr>
          <w:t>mmunition</w:t>
        </w:r>
      </w:hyperlink>
    </w:p>
    <w:p w14:paraId="6A04291E" w14:textId="625149BA" w:rsidR="00842C65" w:rsidRPr="00B40A77" w:rsidRDefault="00D46390" w:rsidP="0033795E">
      <w:pPr>
        <w:pStyle w:val="Hangindent"/>
        <w:keepNext/>
        <w:rPr>
          <w:iCs/>
          <w:color w:val="000000" w:themeColor="text1"/>
          <w:lang w:val="en-US"/>
        </w:rPr>
      </w:pPr>
      <w:r w:rsidRPr="00B40A77">
        <w:rPr>
          <w:iCs/>
          <w:color w:val="000000" w:themeColor="text1"/>
          <w:lang w:val="en-US"/>
        </w:rPr>
        <w:t>(</w:t>
      </w:r>
      <w:r w:rsidR="004C48E1" w:rsidRPr="00B40A77">
        <w:rPr>
          <w:iCs/>
          <w:color w:val="000000" w:themeColor="text1"/>
          <w:lang w:val="en-US"/>
        </w:rPr>
        <w:t>3</w:t>
      </w:r>
      <w:r w:rsidR="00842C65" w:rsidRPr="00B40A77">
        <w:rPr>
          <w:iCs/>
          <w:color w:val="000000" w:themeColor="text1"/>
          <w:lang w:val="en-US"/>
        </w:rPr>
        <w:t>)</w:t>
      </w:r>
      <w:r w:rsidR="00842C65" w:rsidRPr="00B40A77">
        <w:rPr>
          <w:iCs/>
          <w:color w:val="000000" w:themeColor="text1"/>
          <w:lang w:val="en-US"/>
        </w:rPr>
        <w:tab/>
        <w:t xml:space="preserve">If </w:t>
      </w:r>
      <w:r w:rsidR="00842C65" w:rsidRPr="00B40A77">
        <w:rPr>
          <w:rFonts w:cs="Arial"/>
          <w:color w:val="000000" w:themeColor="text1"/>
        </w:rPr>
        <w:t>the terms of bail require a defendant or youth t</w:t>
      </w:r>
      <w:r w:rsidR="00842C65" w:rsidRPr="00B40A77">
        <w:rPr>
          <w:rFonts w:eastAsia="Arial" w:cs="Arial"/>
          <w:iCs/>
          <w:color w:val="000000" w:themeColor="text1"/>
        </w:rPr>
        <w:t xml:space="preserve">o surrender </w:t>
      </w:r>
      <w:r w:rsidR="00842C65" w:rsidRPr="00B40A77">
        <w:rPr>
          <w:rFonts w:cs="Arial"/>
          <w:iCs/>
          <w:color w:val="000000" w:themeColor="text1"/>
        </w:rPr>
        <w:t>their</w:t>
      </w:r>
      <w:r w:rsidR="00842C65" w:rsidRPr="00B40A77">
        <w:rPr>
          <w:rFonts w:cs="Arial"/>
          <w:i/>
          <w:iCs/>
          <w:color w:val="000000" w:themeColor="text1"/>
        </w:rPr>
        <w:t xml:space="preserve"> </w:t>
      </w:r>
      <w:r w:rsidR="00842C65" w:rsidRPr="00B40A77">
        <w:rPr>
          <w:rFonts w:eastAsia="Arial" w:cs="Arial"/>
          <w:iCs/>
          <w:color w:val="000000" w:themeColor="text1"/>
        </w:rPr>
        <w:t xml:space="preserve">passport to </w:t>
      </w:r>
      <w:r w:rsidR="00E058DE" w:rsidRPr="00B40A77">
        <w:rPr>
          <w:rFonts w:eastAsia="Arial" w:cs="Arial"/>
          <w:iCs/>
          <w:color w:val="000000" w:themeColor="text1"/>
        </w:rPr>
        <w:t xml:space="preserve">a </w:t>
      </w:r>
      <w:hyperlink w:anchor="_2.1—Definitions" w:history="1">
        <w:r w:rsidR="00E058DE" w:rsidRPr="00B40A77">
          <w:rPr>
            <w:rStyle w:val="Hyperlink"/>
            <w:rFonts w:eastAsia="Arial" w:cs="Arial"/>
            <w:iCs/>
            <w:color w:val="000000" w:themeColor="text1"/>
          </w:rPr>
          <w:t>Registrar</w:t>
        </w:r>
      </w:hyperlink>
      <w:r w:rsidR="00842C65" w:rsidRPr="00B40A77">
        <w:rPr>
          <w:rFonts w:eastAsia="Arial" w:cs="Arial"/>
          <w:iCs/>
          <w:color w:val="000000" w:themeColor="text1"/>
        </w:rPr>
        <w:t xml:space="preserve">, not to apply for a new passport and not to approach any point of international departure, the Court may direct </w:t>
      </w:r>
      <w:r w:rsidR="006F66CD" w:rsidRPr="00B40A77">
        <w:rPr>
          <w:rFonts w:eastAsia="Arial" w:cs="Arial"/>
          <w:iCs/>
          <w:color w:val="000000" w:themeColor="text1"/>
        </w:rPr>
        <w:t xml:space="preserve">the </w:t>
      </w:r>
      <w:hyperlink w:anchor="_2.1—Definitions" w:history="1">
        <w:r w:rsidR="00D61876" w:rsidRPr="00B40A77">
          <w:rPr>
            <w:rStyle w:val="Hyperlink"/>
            <w:color w:val="000000" w:themeColor="text1"/>
            <w:lang w:val="en-US"/>
          </w:rPr>
          <w:t>Principal Registrar</w:t>
        </w:r>
      </w:hyperlink>
      <w:r w:rsidR="00842C65" w:rsidRPr="00B40A77">
        <w:rPr>
          <w:rFonts w:eastAsia="Arial" w:cs="Arial"/>
          <w:iCs/>
          <w:color w:val="000000" w:themeColor="text1"/>
        </w:rPr>
        <w:t xml:space="preserve"> </w:t>
      </w:r>
      <w:r w:rsidR="004529D3" w:rsidRPr="00B40A77">
        <w:rPr>
          <w:rFonts w:eastAsia="Arial" w:cs="Arial"/>
          <w:iCs/>
          <w:color w:val="000000" w:themeColor="text1"/>
        </w:rPr>
        <w:t>or a</w:t>
      </w:r>
      <w:r w:rsidR="004529D3" w:rsidRPr="00B40A77">
        <w:rPr>
          <w:rFonts w:cs="Times New Roman"/>
          <w:color w:val="000000" w:themeColor="text1"/>
        </w:rPr>
        <w:t xml:space="preserve"> </w:t>
      </w:r>
      <w:r w:rsidR="004529D3" w:rsidRPr="00B40A77">
        <w:rPr>
          <w:color w:val="000000" w:themeColor="text1"/>
          <w:u w:val="single"/>
          <w:lang w:val="en-US"/>
        </w:rPr>
        <w:t>Registrar</w:t>
      </w:r>
      <w:r w:rsidR="004529D3" w:rsidRPr="00B40A77">
        <w:rPr>
          <w:rFonts w:cs="Times New Roman"/>
          <w:color w:val="000000" w:themeColor="text1"/>
        </w:rPr>
        <w:t xml:space="preserve"> </w:t>
      </w:r>
      <w:r w:rsidR="00842C65" w:rsidRPr="00B40A77">
        <w:rPr>
          <w:iCs/>
          <w:color w:val="000000" w:themeColor="text1"/>
          <w:lang w:val="en-US"/>
        </w:rPr>
        <w:t xml:space="preserve">to </w:t>
      </w:r>
      <w:r w:rsidR="008B7F86" w:rsidRPr="00B40A77">
        <w:rPr>
          <w:iCs/>
          <w:color w:val="000000" w:themeColor="text1"/>
          <w:lang w:val="en-US"/>
        </w:rPr>
        <w:t xml:space="preserve">cause </w:t>
      </w:r>
      <w:r w:rsidR="004F1599" w:rsidRPr="00B40A77">
        <w:rPr>
          <w:iCs/>
          <w:color w:val="000000" w:themeColor="text1"/>
          <w:lang w:val="en-US"/>
        </w:rPr>
        <w:t xml:space="preserve">a request </w:t>
      </w:r>
      <w:r w:rsidR="008B7F86" w:rsidRPr="00B40A77">
        <w:rPr>
          <w:iCs/>
          <w:color w:val="000000" w:themeColor="text1"/>
          <w:lang w:val="en-US"/>
        </w:rPr>
        <w:t xml:space="preserve">to be </w:t>
      </w:r>
      <w:r w:rsidR="004F1599" w:rsidRPr="00B40A77">
        <w:rPr>
          <w:iCs/>
          <w:color w:val="000000" w:themeColor="text1"/>
          <w:lang w:val="en-US"/>
        </w:rPr>
        <w:t xml:space="preserve">sent </w:t>
      </w:r>
      <w:r w:rsidR="00842C65" w:rsidRPr="00B40A77">
        <w:rPr>
          <w:iCs/>
          <w:color w:val="000000" w:themeColor="text1"/>
          <w:lang w:val="en-US"/>
        </w:rPr>
        <w:t xml:space="preserve">to the Minister </w:t>
      </w:r>
      <w:r w:rsidR="00DB0E85" w:rsidRPr="00B40A77">
        <w:rPr>
          <w:iCs/>
          <w:color w:val="000000" w:themeColor="text1"/>
          <w:lang w:val="en-US"/>
        </w:rPr>
        <w:t xml:space="preserve">for Foreign Affairs </w:t>
      </w:r>
      <w:r w:rsidR="00842C65" w:rsidRPr="00B40A77">
        <w:rPr>
          <w:iCs/>
          <w:color w:val="000000" w:themeColor="text1"/>
          <w:lang w:val="en-US"/>
        </w:rPr>
        <w:t xml:space="preserve">to refuse to issue </w:t>
      </w:r>
      <w:r w:rsidR="00882FCF" w:rsidRPr="00B40A77">
        <w:rPr>
          <w:iCs/>
          <w:color w:val="000000" w:themeColor="text1"/>
          <w:lang w:val="en-US"/>
        </w:rPr>
        <w:t xml:space="preserve">an </w:t>
      </w:r>
      <w:r w:rsidR="00842C65" w:rsidRPr="00B40A77">
        <w:rPr>
          <w:iCs/>
          <w:color w:val="000000" w:themeColor="text1"/>
          <w:lang w:val="en-US"/>
        </w:rPr>
        <w:t>Australian passport in the prescribed form.</w:t>
      </w:r>
    </w:p>
    <w:p w14:paraId="3CAA61EE" w14:textId="77777777" w:rsidR="00842C65" w:rsidRPr="00B40A77" w:rsidRDefault="00842C65" w:rsidP="0033795E">
      <w:pPr>
        <w:pStyle w:val="NoteHeader"/>
        <w:keepNext/>
        <w:rPr>
          <w:color w:val="000000" w:themeColor="text1"/>
        </w:rPr>
      </w:pPr>
      <w:r w:rsidRPr="00B40A77">
        <w:rPr>
          <w:color w:val="000000" w:themeColor="text1"/>
        </w:rPr>
        <w:t>Prescribed form—</w:t>
      </w:r>
    </w:p>
    <w:p w14:paraId="6F7BAEDD" w14:textId="547B9304" w:rsidR="00842C65" w:rsidRPr="00B40A77" w:rsidRDefault="00842C65" w:rsidP="00763BB3">
      <w:pPr>
        <w:pStyle w:val="NoteText"/>
        <w:ind w:left="1440"/>
        <w:rPr>
          <w:color w:val="000000" w:themeColor="text1"/>
        </w:rPr>
      </w:pPr>
      <w:r w:rsidRPr="00B40A77">
        <w:rPr>
          <w:color w:val="000000" w:themeColor="text1"/>
        </w:rPr>
        <w:t>F</w:t>
      </w:r>
      <w:r w:rsidR="003A200A" w:rsidRPr="00B40A77">
        <w:rPr>
          <w:color w:val="000000" w:themeColor="text1"/>
        </w:rPr>
        <w:t>orm 29</w:t>
      </w:r>
      <w:r w:rsidRPr="00B40A77">
        <w:rPr>
          <w:color w:val="000000" w:themeColor="text1"/>
        </w:rPr>
        <w:t xml:space="preserve"> </w:t>
      </w:r>
      <w:r w:rsidRPr="00B40A77">
        <w:rPr>
          <w:iCs/>
          <w:color w:val="000000" w:themeColor="text1"/>
          <w:u w:val="single"/>
          <w:lang w:val="en-US"/>
        </w:rPr>
        <w:t xml:space="preserve">Request to the Minister for Foreign Affairs to </w:t>
      </w:r>
      <w:r w:rsidR="00BF0040" w:rsidRPr="00B40A77">
        <w:rPr>
          <w:iCs/>
          <w:color w:val="000000" w:themeColor="text1"/>
          <w:u w:val="single"/>
          <w:lang w:val="en-US"/>
        </w:rPr>
        <w:t>R</w:t>
      </w:r>
      <w:r w:rsidRPr="00B40A77">
        <w:rPr>
          <w:iCs/>
          <w:color w:val="000000" w:themeColor="text1"/>
          <w:u w:val="single"/>
          <w:lang w:val="en-US"/>
        </w:rPr>
        <w:t xml:space="preserve">efuse to </w:t>
      </w:r>
      <w:r w:rsidR="00BF0040" w:rsidRPr="00B40A77">
        <w:rPr>
          <w:iCs/>
          <w:color w:val="000000" w:themeColor="text1"/>
          <w:u w:val="single"/>
          <w:lang w:val="en-US"/>
        </w:rPr>
        <w:t>I</w:t>
      </w:r>
      <w:r w:rsidRPr="00B40A77">
        <w:rPr>
          <w:iCs/>
          <w:color w:val="000000" w:themeColor="text1"/>
          <w:u w:val="single"/>
          <w:lang w:val="en-US"/>
        </w:rPr>
        <w:t xml:space="preserve">ssue Australian </w:t>
      </w:r>
      <w:r w:rsidR="00BF0040" w:rsidRPr="00B40A77">
        <w:rPr>
          <w:iCs/>
          <w:color w:val="000000" w:themeColor="text1"/>
          <w:u w:val="single"/>
          <w:lang w:val="en-US"/>
        </w:rPr>
        <w:t>P</w:t>
      </w:r>
      <w:r w:rsidRPr="00B40A77">
        <w:rPr>
          <w:iCs/>
          <w:color w:val="000000" w:themeColor="text1"/>
          <w:u w:val="single"/>
          <w:lang w:val="en-US"/>
        </w:rPr>
        <w:t>assport</w:t>
      </w:r>
    </w:p>
    <w:p w14:paraId="76F05875" w14:textId="13C27403" w:rsidR="00842C65" w:rsidRPr="00B40A77" w:rsidRDefault="00D46390" w:rsidP="0033795E">
      <w:pPr>
        <w:pStyle w:val="Hangindent"/>
        <w:keepNext/>
        <w:rPr>
          <w:iCs/>
          <w:color w:val="000000" w:themeColor="text1"/>
          <w:lang w:val="en-US"/>
        </w:rPr>
      </w:pPr>
      <w:r w:rsidRPr="00B40A77">
        <w:rPr>
          <w:iCs/>
          <w:color w:val="000000" w:themeColor="text1"/>
          <w:lang w:val="en-US"/>
        </w:rPr>
        <w:t>(</w:t>
      </w:r>
      <w:r w:rsidR="004C48E1" w:rsidRPr="00B40A77">
        <w:rPr>
          <w:iCs/>
          <w:color w:val="000000" w:themeColor="text1"/>
          <w:lang w:val="en-US"/>
        </w:rPr>
        <w:t>4</w:t>
      </w:r>
      <w:r w:rsidR="00842C65" w:rsidRPr="00B40A77">
        <w:rPr>
          <w:iCs/>
          <w:color w:val="000000" w:themeColor="text1"/>
          <w:lang w:val="en-US"/>
        </w:rPr>
        <w:t>)</w:t>
      </w:r>
      <w:r w:rsidR="00842C65" w:rsidRPr="00B40A77">
        <w:rPr>
          <w:iCs/>
          <w:color w:val="000000" w:themeColor="text1"/>
          <w:lang w:val="en-US"/>
        </w:rPr>
        <w:tab/>
        <w:t xml:space="preserve">If </w:t>
      </w:r>
      <w:r w:rsidR="006550EE" w:rsidRPr="00B40A77">
        <w:rPr>
          <w:rFonts w:cs="Arial"/>
          <w:color w:val="000000" w:themeColor="text1"/>
        </w:rPr>
        <w:t>the prosecution</w:t>
      </w:r>
      <w:r w:rsidR="00842C65" w:rsidRPr="00B40A77">
        <w:rPr>
          <w:rFonts w:cs="Arial"/>
          <w:color w:val="000000" w:themeColor="text1"/>
        </w:rPr>
        <w:t xml:space="preserve"> applies for review of a decision by the Court to release a defendant or youth on bail and an order is made under section 16 of the Bail Act that the release be deferred, </w:t>
      </w:r>
      <w:r w:rsidR="006F66CD" w:rsidRPr="00B40A77">
        <w:rPr>
          <w:rFonts w:cs="Arial"/>
          <w:color w:val="000000" w:themeColor="text1"/>
        </w:rPr>
        <w:t xml:space="preserve">the </w:t>
      </w:r>
      <w:hyperlink w:anchor="_2.1—Definitions" w:history="1">
        <w:r w:rsidR="00D61876" w:rsidRPr="00B40A77">
          <w:rPr>
            <w:rStyle w:val="Hyperlink"/>
            <w:color w:val="000000" w:themeColor="text1"/>
            <w:lang w:val="en-US"/>
          </w:rPr>
          <w:t>Principal Registrar</w:t>
        </w:r>
      </w:hyperlink>
      <w:r w:rsidR="00842C65" w:rsidRPr="00B40A77">
        <w:rPr>
          <w:rFonts w:cs="Arial"/>
          <w:color w:val="000000" w:themeColor="text1"/>
        </w:rPr>
        <w:t xml:space="preserve"> must </w:t>
      </w:r>
      <w:r w:rsidR="000675C6" w:rsidRPr="00B40A77">
        <w:rPr>
          <w:iCs/>
          <w:color w:val="000000" w:themeColor="text1"/>
          <w:lang w:val="en-US"/>
        </w:rPr>
        <w:t xml:space="preserve">cause to be </w:t>
      </w:r>
      <w:r w:rsidR="000726A2" w:rsidRPr="00B40A77">
        <w:rPr>
          <w:iCs/>
          <w:color w:val="000000" w:themeColor="text1"/>
          <w:lang w:val="en-US"/>
        </w:rPr>
        <w:t>issued</w:t>
      </w:r>
      <w:r w:rsidR="000675C6" w:rsidRPr="00B40A77">
        <w:rPr>
          <w:iCs/>
          <w:color w:val="000000" w:themeColor="text1"/>
          <w:lang w:val="en-US"/>
        </w:rPr>
        <w:t xml:space="preserve"> </w:t>
      </w:r>
      <w:r w:rsidR="00842C65" w:rsidRPr="00B40A77">
        <w:rPr>
          <w:rFonts w:cs="Arial"/>
          <w:color w:val="000000" w:themeColor="text1"/>
        </w:rPr>
        <w:t>a notice of stay of release on application for review</w:t>
      </w:r>
      <w:r w:rsidR="00842C65" w:rsidRPr="00B40A77">
        <w:rPr>
          <w:iCs/>
          <w:color w:val="000000" w:themeColor="text1"/>
          <w:lang w:val="en-US"/>
        </w:rPr>
        <w:t xml:space="preserve"> in the prescribed form</w:t>
      </w:r>
      <w:r w:rsidR="00914024" w:rsidRPr="00B40A77">
        <w:rPr>
          <w:rFonts w:cs="Arial"/>
          <w:color w:val="000000" w:themeColor="text1"/>
        </w:rPr>
        <w:t xml:space="preserve"> to the </w:t>
      </w:r>
      <w:hyperlink w:anchor="_2.1—Definitions" w:history="1">
        <w:r w:rsidR="00914024" w:rsidRPr="00B40A77">
          <w:rPr>
            <w:rStyle w:val="Hyperlink"/>
            <w:rFonts w:cs="Arial"/>
            <w:color w:val="000000" w:themeColor="text1"/>
          </w:rPr>
          <w:t>Sheriff</w:t>
        </w:r>
      </w:hyperlink>
      <w:r w:rsidR="00914024" w:rsidRPr="00B40A77">
        <w:rPr>
          <w:rFonts w:cs="Arial"/>
          <w:color w:val="000000" w:themeColor="text1"/>
        </w:rPr>
        <w:t xml:space="preserve"> and the </w:t>
      </w:r>
      <w:hyperlink w:anchor="_2.1—Definitions" w:history="1">
        <w:r w:rsidR="00914024" w:rsidRPr="00B40A77">
          <w:rPr>
            <w:rStyle w:val="Hyperlink"/>
            <w:rFonts w:cs="Arial"/>
            <w:color w:val="000000" w:themeColor="text1"/>
          </w:rPr>
          <w:t>Chief Executive</w:t>
        </w:r>
      </w:hyperlink>
      <w:r w:rsidR="00842C65" w:rsidRPr="00B40A77">
        <w:rPr>
          <w:iCs/>
          <w:color w:val="000000" w:themeColor="text1"/>
          <w:lang w:val="en-US"/>
        </w:rPr>
        <w:t>.</w:t>
      </w:r>
    </w:p>
    <w:p w14:paraId="7D7E6A39" w14:textId="77777777" w:rsidR="00842C65" w:rsidRPr="00B40A77" w:rsidRDefault="00842C65" w:rsidP="0033795E">
      <w:pPr>
        <w:pStyle w:val="NoteHeader"/>
        <w:keepNext/>
        <w:rPr>
          <w:color w:val="000000" w:themeColor="text1"/>
        </w:rPr>
      </w:pPr>
      <w:r w:rsidRPr="00B40A77">
        <w:rPr>
          <w:color w:val="000000" w:themeColor="text1"/>
        </w:rPr>
        <w:t>Prescribed form—</w:t>
      </w:r>
    </w:p>
    <w:p w14:paraId="75BE184C" w14:textId="0DE0A317" w:rsidR="00842C65" w:rsidRPr="00B40A77" w:rsidRDefault="00842C65" w:rsidP="00763BB3">
      <w:pPr>
        <w:pStyle w:val="NoteText"/>
        <w:rPr>
          <w:color w:val="000000" w:themeColor="text1"/>
        </w:rPr>
      </w:pPr>
      <w:r w:rsidRPr="00B40A77">
        <w:rPr>
          <w:color w:val="000000" w:themeColor="text1"/>
        </w:rPr>
        <w:t>F</w:t>
      </w:r>
      <w:r w:rsidR="00312CD0" w:rsidRPr="00B40A77">
        <w:rPr>
          <w:color w:val="000000" w:themeColor="text1"/>
        </w:rPr>
        <w:t>orm 30</w:t>
      </w:r>
      <w:r w:rsidRPr="00B40A77">
        <w:rPr>
          <w:color w:val="000000" w:themeColor="text1"/>
        </w:rPr>
        <w:t xml:space="preserve"> </w:t>
      </w:r>
      <w:r w:rsidRPr="00B40A77">
        <w:rPr>
          <w:color w:val="000000" w:themeColor="text1"/>
          <w:u w:val="single"/>
        </w:rPr>
        <w:t>N</w:t>
      </w:r>
      <w:r w:rsidR="00D46390" w:rsidRPr="00B40A77">
        <w:rPr>
          <w:rFonts w:cs="Arial"/>
          <w:color w:val="000000" w:themeColor="text1"/>
          <w:u w:val="single"/>
        </w:rPr>
        <w:t>otice of</w:t>
      </w:r>
      <w:r w:rsidRPr="00B40A77">
        <w:rPr>
          <w:rFonts w:cs="Arial"/>
          <w:color w:val="000000" w:themeColor="text1"/>
          <w:u w:val="single"/>
        </w:rPr>
        <w:t xml:space="preserve"> </w:t>
      </w:r>
      <w:r w:rsidR="00090CA5" w:rsidRPr="00B40A77">
        <w:rPr>
          <w:rFonts w:cs="Arial"/>
          <w:color w:val="000000" w:themeColor="text1"/>
          <w:u w:val="single"/>
        </w:rPr>
        <w:t xml:space="preserve">Order for </w:t>
      </w:r>
      <w:r w:rsidR="00BF0040" w:rsidRPr="00B40A77">
        <w:rPr>
          <w:rFonts w:cs="Arial"/>
          <w:color w:val="000000" w:themeColor="text1"/>
          <w:u w:val="single"/>
        </w:rPr>
        <w:t>S</w:t>
      </w:r>
      <w:r w:rsidRPr="00B40A77">
        <w:rPr>
          <w:rFonts w:cs="Arial"/>
          <w:color w:val="000000" w:themeColor="text1"/>
          <w:u w:val="single"/>
        </w:rPr>
        <w:t xml:space="preserve">tay of </w:t>
      </w:r>
      <w:r w:rsidR="00BF0040" w:rsidRPr="00B40A77">
        <w:rPr>
          <w:rFonts w:cs="Arial"/>
          <w:color w:val="000000" w:themeColor="text1"/>
          <w:u w:val="single"/>
        </w:rPr>
        <w:t>R</w:t>
      </w:r>
      <w:r w:rsidRPr="00B40A77">
        <w:rPr>
          <w:rFonts w:cs="Arial"/>
          <w:color w:val="000000" w:themeColor="text1"/>
          <w:u w:val="single"/>
        </w:rPr>
        <w:t xml:space="preserve">elease on </w:t>
      </w:r>
      <w:r w:rsidR="00BF0040" w:rsidRPr="00B40A77">
        <w:rPr>
          <w:rFonts w:cs="Arial"/>
          <w:color w:val="000000" w:themeColor="text1"/>
          <w:u w:val="single"/>
        </w:rPr>
        <w:t>A</w:t>
      </w:r>
      <w:r w:rsidRPr="00B40A77">
        <w:rPr>
          <w:rFonts w:cs="Arial"/>
          <w:color w:val="000000" w:themeColor="text1"/>
          <w:u w:val="single"/>
        </w:rPr>
        <w:t xml:space="preserve">pplication for </w:t>
      </w:r>
      <w:r w:rsidR="00BF0040" w:rsidRPr="00B40A77">
        <w:rPr>
          <w:rFonts w:cs="Arial"/>
          <w:color w:val="000000" w:themeColor="text1"/>
          <w:u w:val="single"/>
        </w:rPr>
        <w:t>R</w:t>
      </w:r>
      <w:r w:rsidRPr="00B40A77">
        <w:rPr>
          <w:rFonts w:cs="Arial"/>
          <w:color w:val="000000" w:themeColor="text1"/>
          <w:u w:val="single"/>
        </w:rPr>
        <w:t>eview</w:t>
      </w:r>
    </w:p>
    <w:p w14:paraId="06BF13C4" w14:textId="022A90B8" w:rsidR="00CD7041" w:rsidRPr="00B40A77" w:rsidRDefault="00D00AFF" w:rsidP="00B87028">
      <w:pPr>
        <w:pStyle w:val="Heading4"/>
        <w:rPr>
          <w:color w:val="000000" w:themeColor="text1"/>
        </w:rPr>
      </w:pPr>
      <w:bookmarkStart w:id="370" w:name="_Toc175238912"/>
      <w:r w:rsidRPr="00B40A77">
        <w:rPr>
          <w:color w:val="000000" w:themeColor="text1"/>
        </w:rPr>
        <w:t>41</w:t>
      </w:r>
      <w:r w:rsidR="00E643A5" w:rsidRPr="00B40A77">
        <w:rPr>
          <w:color w:val="000000" w:themeColor="text1"/>
        </w:rPr>
        <w:t>.</w:t>
      </w:r>
      <w:r w:rsidR="00E27B39" w:rsidRPr="00B40A77">
        <w:rPr>
          <w:color w:val="000000" w:themeColor="text1"/>
        </w:rPr>
        <w:t>7</w:t>
      </w:r>
      <w:r w:rsidR="00CD7041" w:rsidRPr="00B40A77">
        <w:rPr>
          <w:color w:val="000000" w:themeColor="text1"/>
        </w:rPr>
        <w:t>—Bail agreements, variations and guarantees</w:t>
      </w:r>
      <w:bookmarkEnd w:id="370"/>
      <w:r w:rsidR="00CD7041" w:rsidRPr="00B40A77">
        <w:rPr>
          <w:color w:val="000000" w:themeColor="text1"/>
        </w:rPr>
        <w:t xml:space="preserve"> </w:t>
      </w:r>
    </w:p>
    <w:p w14:paraId="6B65EB37" w14:textId="77777777" w:rsidR="00CD7041" w:rsidRPr="00B40A77" w:rsidRDefault="00CD7041" w:rsidP="0033795E">
      <w:pPr>
        <w:pStyle w:val="Hangindent"/>
        <w:keepNext/>
        <w:rPr>
          <w:iCs/>
          <w:color w:val="000000" w:themeColor="text1"/>
          <w:lang w:val="en-US"/>
        </w:rPr>
      </w:pPr>
      <w:r w:rsidRPr="00B40A77">
        <w:rPr>
          <w:iCs/>
          <w:color w:val="000000" w:themeColor="text1"/>
          <w:lang w:val="en-US"/>
        </w:rPr>
        <w:t>(1)</w:t>
      </w:r>
      <w:r w:rsidRPr="00B40A77">
        <w:rPr>
          <w:iCs/>
          <w:color w:val="000000" w:themeColor="text1"/>
          <w:lang w:val="en-US"/>
        </w:rPr>
        <w:tab/>
        <w:t>A bail agreement or bail variation must be in the prescribed form, subject to any modification ordered by the Court.</w:t>
      </w:r>
    </w:p>
    <w:p w14:paraId="3FFD92D8" w14:textId="77777777" w:rsidR="00CD7041" w:rsidRPr="00B40A77" w:rsidRDefault="00CD7041" w:rsidP="0033795E">
      <w:pPr>
        <w:pStyle w:val="NoteHeader"/>
        <w:keepNext/>
        <w:rPr>
          <w:color w:val="000000" w:themeColor="text1"/>
        </w:rPr>
      </w:pPr>
      <w:r w:rsidRPr="00B40A77">
        <w:rPr>
          <w:color w:val="000000" w:themeColor="text1"/>
        </w:rPr>
        <w:t>Prescribed form—</w:t>
      </w:r>
    </w:p>
    <w:p w14:paraId="7DF737AA" w14:textId="25E96504" w:rsidR="00CD7041" w:rsidRPr="00B40A77" w:rsidRDefault="00CD7041" w:rsidP="00763BB3">
      <w:pPr>
        <w:pStyle w:val="NoteText"/>
        <w:rPr>
          <w:iCs/>
          <w:color w:val="000000" w:themeColor="text1"/>
          <w:lang w:val="en-US"/>
        </w:rPr>
      </w:pPr>
      <w:r w:rsidRPr="00B40A77">
        <w:rPr>
          <w:color w:val="000000" w:themeColor="text1"/>
        </w:rPr>
        <w:t>F</w:t>
      </w:r>
      <w:r w:rsidR="003A200A" w:rsidRPr="00B40A77">
        <w:rPr>
          <w:color w:val="000000" w:themeColor="text1"/>
        </w:rPr>
        <w:t>orm 25</w:t>
      </w:r>
      <w:r w:rsidRPr="00B40A77">
        <w:rPr>
          <w:color w:val="000000" w:themeColor="text1"/>
        </w:rPr>
        <w:t xml:space="preserve"> </w:t>
      </w:r>
      <w:hyperlink r:id="rId104" w:history="1">
        <w:r w:rsidRPr="00B40A77">
          <w:rPr>
            <w:rStyle w:val="Hyperlink"/>
            <w:color w:val="000000" w:themeColor="text1"/>
          </w:rPr>
          <w:t>B</w:t>
        </w:r>
        <w:r w:rsidRPr="00B40A77">
          <w:rPr>
            <w:rStyle w:val="Hyperlink"/>
            <w:iCs/>
            <w:color w:val="000000" w:themeColor="text1"/>
            <w:lang w:val="en-US"/>
          </w:rPr>
          <w:t xml:space="preserve">ail </w:t>
        </w:r>
        <w:r w:rsidR="00BF0040" w:rsidRPr="00B40A77">
          <w:rPr>
            <w:rStyle w:val="Hyperlink"/>
            <w:iCs/>
            <w:color w:val="000000" w:themeColor="text1"/>
            <w:lang w:val="en-US"/>
          </w:rPr>
          <w:t>A</w:t>
        </w:r>
        <w:r w:rsidRPr="00B40A77">
          <w:rPr>
            <w:rStyle w:val="Hyperlink"/>
            <w:iCs/>
            <w:color w:val="000000" w:themeColor="text1"/>
            <w:lang w:val="en-US"/>
          </w:rPr>
          <w:t>greement</w:t>
        </w:r>
      </w:hyperlink>
    </w:p>
    <w:p w14:paraId="21CE336E" w14:textId="05D520B3" w:rsidR="00CD7041" w:rsidRPr="00B40A77" w:rsidRDefault="00CD7041" w:rsidP="00763BB3">
      <w:pPr>
        <w:pStyle w:val="NoteText"/>
        <w:rPr>
          <w:iCs/>
          <w:color w:val="000000" w:themeColor="text1"/>
          <w:lang w:val="en-US"/>
        </w:rPr>
      </w:pPr>
      <w:r w:rsidRPr="00B40A77">
        <w:rPr>
          <w:color w:val="000000" w:themeColor="text1"/>
        </w:rPr>
        <w:lastRenderedPageBreak/>
        <w:t>F</w:t>
      </w:r>
      <w:r w:rsidR="003A200A" w:rsidRPr="00B40A77">
        <w:rPr>
          <w:color w:val="000000" w:themeColor="text1"/>
        </w:rPr>
        <w:t>orm 2</w:t>
      </w:r>
      <w:r w:rsidR="00BF0040" w:rsidRPr="00B40A77">
        <w:rPr>
          <w:color w:val="000000" w:themeColor="text1"/>
        </w:rPr>
        <w:t>5A</w:t>
      </w:r>
      <w:r w:rsidRPr="00B40A77">
        <w:rPr>
          <w:color w:val="000000" w:themeColor="text1"/>
        </w:rPr>
        <w:t xml:space="preserve"> </w:t>
      </w:r>
      <w:hyperlink r:id="rId105" w:history="1">
        <w:r w:rsidRPr="00B40A77">
          <w:rPr>
            <w:rStyle w:val="Hyperlink"/>
            <w:color w:val="000000" w:themeColor="text1"/>
          </w:rPr>
          <w:t>B</w:t>
        </w:r>
        <w:r w:rsidRPr="00B40A77">
          <w:rPr>
            <w:rStyle w:val="Hyperlink"/>
            <w:iCs/>
            <w:color w:val="000000" w:themeColor="text1"/>
            <w:lang w:val="en-US"/>
          </w:rPr>
          <w:t xml:space="preserve">ail </w:t>
        </w:r>
        <w:r w:rsidR="00BF0040" w:rsidRPr="00B40A77">
          <w:rPr>
            <w:rStyle w:val="Hyperlink"/>
            <w:iCs/>
            <w:color w:val="000000" w:themeColor="text1"/>
            <w:lang w:val="en-US"/>
          </w:rPr>
          <w:t>A</w:t>
        </w:r>
        <w:r w:rsidRPr="00B40A77">
          <w:rPr>
            <w:rStyle w:val="Hyperlink"/>
            <w:iCs/>
            <w:color w:val="000000" w:themeColor="text1"/>
            <w:lang w:val="en-US"/>
          </w:rPr>
          <w:t xml:space="preserve">greement </w:t>
        </w:r>
        <w:r w:rsidR="00BF0040" w:rsidRPr="00B40A77">
          <w:rPr>
            <w:rStyle w:val="Hyperlink"/>
            <w:iCs/>
            <w:color w:val="000000" w:themeColor="text1"/>
            <w:lang w:val="en-US"/>
          </w:rPr>
          <w:t>V</w:t>
        </w:r>
        <w:r w:rsidRPr="00B40A77">
          <w:rPr>
            <w:rStyle w:val="Hyperlink"/>
            <w:iCs/>
            <w:color w:val="000000" w:themeColor="text1"/>
            <w:lang w:val="en-US"/>
          </w:rPr>
          <w:t>ariation</w:t>
        </w:r>
      </w:hyperlink>
    </w:p>
    <w:p w14:paraId="7E97C259" w14:textId="77777777" w:rsidR="00CD7041" w:rsidRPr="00B40A77" w:rsidRDefault="00CD7041" w:rsidP="0033795E">
      <w:pPr>
        <w:pStyle w:val="Hangindent"/>
        <w:keepNext/>
        <w:rPr>
          <w:iCs/>
          <w:color w:val="000000" w:themeColor="text1"/>
          <w:lang w:val="en-US"/>
        </w:rPr>
      </w:pPr>
      <w:r w:rsidRPr="00B40A77">
        <w:rPr>
          <w:iCs/>
          <w:color w:val="000000" w:themeColor="text1"/>
          <w:lang w:val="en-US"/>
        </w:rPr>
        <w:t>(2)</w:t>
      </w:r>
      <w:r w:rsidRPr="00B40A77">
        <w:rPr>
          <w:iCs/>
          <w:color w:val="000000" w:themeColor="text1"/>
          <w:lang w:val="en-US"/>
        </w:rPr>
        <w:tab/>
        <w:t>A bail guarantee must be in the prescribed form, subject to any modification ordered by the Court.</w:t>
      </w:r>
    </w:p>
    <w:p w14:paraId="1F07C3CD" w14:textId="77777777" w:rsidR="00CD7041" w:rsidRPr="00B40A77" w:rsidRDefault="00CD7041" w:rsidP="0033795E">
      <w:pPr>
        <w:pStyle w:val="NoteHeader"/>
        <w:keepNext/>
        <w:rPr>
          <w:color w:val="000000" w:themeColor="text1"/>
        </w:rPr>
      </w:pPr>
      <w:r w:rsidRPr="00B40A77">
        <w:rPr>
          <w:color w:val="000000" w:themeColor="text1"/>
        </w:rPr>
        <w:t>Prescribed form—</w:t>
      </w:r>
    </w:p>
    <w:p w14:paraId="07EF3F81" w14:textId="5C542920" w:rsidR="00CD7041" w:rsidRPr="00B40A77" w:rsidRDefault="00CD7041" w:rsidP="00763BB3">
      <w:pPr>
        <w:pStyle w:val="NoteText"/>
        <w:rPr>
          <w:iCs/>
          <w:color w:val="000000" w:themeColor="text1"/>
          <w:lang w:val="en-US"/>
        </w:rPr>
      </w:pPr>
      <w:r w:rsidRPr="00B40A77">
        <w:rPr>
          <w:color w:val="000000" w:themeColor="text1"/>
        </w:rPr>
        <w:t>F</w:t>
      </w:r>
      <w:r w:rsidR="003A200A" w:rsidRPr="00B40A77">
        <w:rPr>
          <w:color w:val="000000" w:themeColor="text1"/>
        </w:rPr>
        <w:t>orm 2</w:t>
      </w:r>
      <w:r w:rsidR="00BF0040" w:rsidRPr="00B40A77">
        <w:rPr>
          <w:color w:val="000000" w:themeColor="text1"/>
        </w:rPr>
        <w:t>6</w:t>
      </w:r>
      <w:r w:rsidRPr="00B40A77">
        <w:rPr>
          <w:color w:val="000000" w:themeColor="text1"/>
        </w:rPr>
        <w:t xml:space="preserve"> </w:t>
      </w:r>
      <w:hyperlink r:id="rId106" w:history="1">
        <w:r w:rsidRPr="00B40A77">
          <w:rPr>
            <w:rStyle w:val="Hyperlink"/>
            <w:color w:val="000000" w:themeColor="text1"/>
          </w:rPr>
          <w:t xml:space="preserve">Guarantee of </w:t>
        </w:r>
        <w:r w:rsidR="00325EAE" w:rsidRPr="00B40A77">
          <w:rPr>
            <w:rStyle w:val="Hyperlink"/>
            <w:color w:val="000000" w:themeColor="text1"/>
          </w:rPr>
          <w:t>B</w:t>
        </w:r>
        <w:r w:rsidRPr="00B40A77">
          <w:rPr>
            <w:rStyle w:val="Hyperlink"/>
            <w:iCs/>
            <w:color w:val="000000" w:themeColor="text1"/>
            <w:lang w:val="en-US"/>
          </w:rPr>
          <w:t>ail</w:t>
        </w:r>
      </w:hyperlink>
    </w:p>
    <w:p w14:paraId="4A00DCDB" w14:textId="77777777" w:rsidR="003A2AAD" w:rsidRPr="00B40A77" w:rsidRDefault="00D8729A" w:rsidP="003A2AAD">
      <w:pPr>
        <w:pStyle w:val="Hangindent"/>
        <w:rPr>
          <w:rFonts w:cs="Arial"/>
          <w:color w:val="000000" w:themeColor="text1"/>
        </w:rPr>
      </w:pPr>
      <w:r w:rsidRPr="00B40A77">
        <w:rPr>
          <w:iCs/>
          <w:color w:val="000000" w:themeColor="text1"/>
          <w:lang w:val="en-US"/>
        </w:rPr>
        <w:t>(3)</w:t>
      </w:r>
      <w:r w:rsidRPr="00B40A77">
        <w:rPr>
          <w:iCs/>
          <w:color w:val="000000" w:themeColor="text1"/>
          <w:lang w:val="en-US"/>
        </w:rPr>
        <w:tab/>
        <w:t>A bail agreement or bail guarantee must be witnessed by</w:t>
      </w:r>
      <w:r w:rsidR="003A2AAD" w:rsidRPr="00B40A77">
        <w:rPr>
          <w:color w:val="000000" w:themeColor="text1"/>
          <w:lang w:val="en-US"/>
        </w:rPr>
        <w:t>—</w:t>
      </w:r>
    </w:p>
    <w:p w14:paraId="1E25A377" w14:textId="13A2295C" w:rsidR="003A2AAD" w:rsidRPr="00B40A77" w:rsidRDefault="003A2AAD" w:rsidP="003A2AAD">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judicial officer granting bail;</w:t>
      </w:r>
    </w:p>
    <w:p w14:paraId="4F195E27" w14:textId="5A7B0807" w:rsidR="003A2AAD" w:rsidRPr="00B40A77" w:rsidRDefault="003A2AAD" w:rsidP="003A2AA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w:t>
      </w:r>
      <w:r w:rsidRPr="00B40A77">
        <w:rPr>
          <w:color w:val="000000" w:themeColor="text1"/>
          <w:u w:val="single"/>
          <w:lang w:val="en-US"/>
        </w:rPr>
        <w:t>Registrar</w:t>
      </w:r>
      <w:r w:rsidRPr="00B40A77">
        <w:rPr>
          <w:color w:val="000000" w:themeColor="text1"/>
          <w:lang w:val="en-US"/>
        </w:rPr>
        <w:t>;</w:t>
      </w:r>
    </w:p>
    <w:p w14:paraId="229A65EF" w14:textId="1EE62A28" w:rsidR="00115B94" w:rsidRPr="00B40A77" w:rsidRDefault="00E20AE4" w:rsidP="003A2AAD">
      <w:pPr>
        <w:pStyle w:val="Doublehangindent"/>
        <w:rPr>
          <w:color w:val="000000" w:themeColor="text1"/>
          <w:lang w:val="en-US"/>
        </w:rPr>
      </w:pPr>
      <w:r w:rsidRPr="00B40A77">
        <w:rPr>
          <w:color w:val="000000" w:themeColor="text1"/>
          <w:lang w:val="en-US"/>
        </w:rPr>
        <w:t>(c)</w:t>
      </w:r>
      <w:r w:rsidR="003A2AAD" w:rsidRPr="00B40A77">
        <w:rPr>
          <w:color w:val="000000" w:themeColor="text1"/>
          <w:lang w:val="en-US"/>
        </w:rPr>
        <w:tab/>
      </w:r>
      <w:r w:rsidR="008F1F1D" w:rsidRPr="00B40A77">
        <w:rPr>
          <w:color w:val="000000" w:themeColor="text1"/>
          <w:lang w:val="en-US"/>
        </w:rPr>
        <w:t xml:space="preserve">a </w:t>
      </w:r>
      <w:r w:rsidR="00115B94" w:rsidRPr="00B40A77">
        <w:rPr>
          <w:color w:val="000000" w:themeColor="text1"/>
          <w:lang w:val="en-US"/>
        </w:rPr>
        <w:t xml:space="preserve">person referred to in section 6(3) of the Bail Act; </w:t>
      </w:r>
    </w:p>
    <w:p w14:paraId="06D1E54D" w14:textId="77777777" w:rsidR="00570C56" w:rsidRDefault="00115B94" w:rsidP="00115B94">
      <w:pPr>
        <w:pStyle w:val="Doublehangindent"/>
        <w:rPr>
          <w:color w:val="000000" w:themeColor="text1"/>
          <w:lang w:val="en-US"/>
        </w:rPr>
      </w:pPr>
      <w:r w:rsidRPr="00B40A77">
        <w:rPr>
          <w:color w:val="000000" w:themeColor="text1"/>
          <w:lang w:val="en-US"/>
        </w:rPr>
        <w:t>(d)</w:t>
      </w:r>
      <w:r w:rsidRPr="00B40A77">
        <w:rPr>
          <w:color w:val="000000" w:themeColor="text1"/>
          <w:lang w:val="en-US"/>
        </w:rPr>
        <w:tab/>
        <w:t>a</w:t>
      </w:r>
      <w:r w:rsidR="008F1F1D" w:rsidRPr="00B40A77">
        <w:rPr>
          <w:color w:val="000000" w:themeColor="text1"/>
          <w:lang w:val="en-US"/>
        </w:rPr>
        <w:t xml:space="preserve"> delegate of any of these persons</w:t>
      </w:r>
      <w:r w:rsidRPr="00B40A77">
        <w:rPr>
          <w:color w:val="000000" w:themeColor="text1"/>
          <w:lang w:val="en-US"/>
        </w:rPr>
        <w:t>;</w:t>
      </w:r>
    </w:p>
    <w:p w14:paraId="07F84A5C" w14:textId="53BB1E3A" w:rsidR="00D8729A" w:rsidRPr="00B40A77" w:rsidRDefault="00115B94" w:rsidP="00115B94">
      <w:pPr>
        <w:pStyle w:val="Doublehangindent"/>
        <w:rPr>
          <w:iCs/>
          <w:color w:val="000000" w:themeColor="text1"/>
          <w:lang w:val="en-US"/>
        </w:rPr>
      </w:pPr>
      <w:r w:rsidRPr="00B40A77">
        <w:rPr>
          <w:color w:val="000000" w:themeColor="text1"/>
          <w:lang w:val="en-US"/>
        </w:rPr>
        <w:t>(e)</w:t>
      </w:r>
      <w:r w:rsidRPr="00B40A77">
        <w:rPr>
          <w:color w:val="000000" w:themeColor="text1"/>
          <w:lang w:val="en-US"/>
        </w:rPr>
        <w:tab/>
      </w:r>
      <w:r w:rsidR="008F1F1D" w:rsidRPr="00B40A77">
        <w:rPr>
          <w:color w:val="000000" w:themeColor="text1"/>
          <w:lang w:val="en-US"/>
        </w:rPr>
        <w:t>any other person or class of persons specified by the Court</w:t>
      </w:r>
      <w:r w:rsidRPr="00B40A77">
        <w:rPr>
          <w:color w:val="000000" w:themeColor="text1"/>
          <w:lang w:val="en-US"/>
        </w:rPr>
        <w:t>.</w:t>
      </w:r>
    </w:p>
    <w:p w14:paraId="0063FBE7" w14:textId="044C68C9" w:rsidR="00CD7041" w:rsidRPr="00B40A77" w:rsidRDefault="00D00AFF" w:rsidP="00B87028">
      <w:pPr>
        <w:pStyle w:val="Heading4"/>
        <w:rPr>
          <w:color w:val="000000" w:themeColor="text1"/>
        </w:rPr>
      </w:pPr>
      <w:bookmarkStart w:id="371" w:name="_Toc175238913"/>
      <w:r w:rsidRPr="00B40A77">
        <w:rPr>
          <w:color w:val="000000" w:themeColor="text1"/>
        </w:rPr>
        <w:t>41</w:t>
      </w:r>
      <w:r w:rsidR="00E643A5" w:rsidRPr="00B40A77">
        <w:rPr>
          <w:color w:val="000000" w:themeColor="text1"/>
        </w:rPr>
        <w:t>.</w:t>
      </w:r>
      <w:r w:rsidR="00E27B39" w:rsidRPr="00B40A77">
        <w:rPr>
          <w:color w:val="000000" w:themeColor="text1"/>
        </w:rPr>
        <w:t>8</w:t>
      </w:r>
      <w:r w:rsidR="00D050EF" w:rsidRPr="00B40A77">
        <w:rPr>
          <w:color w:val="000000" w:themeColor="text1"/>
        </w:rPr>
        <w:t>—Warrant of apprehension</w:t>
      </w:r>
      <w:bookmarkEnd w:id="371"/>
      <w:r w:rsidR="00CD7041" w:rsidRPr="00B40A77">
        <w:rPr>
          <w:color w:val="000000" w:themeColor="text1"/>
        </w:rPr>
        <w:t xml:space="preserve"> </w:t>
      </w:r>
    </w:p>
    <w:p w14:paraId="16C37DB3" w14:textId="578E68B0" w:rsidR="00CD7041" w:rsidRPr="00B40A77" w:rsidRDefault="00CD7041" w:rsidP="0033795E">
      <w:pPr>
        <w:pStyle w:val="Hangindent"/>
        <w:keepNext/>
        <w:ind w:left="567" w:firstLine="0"/>
        <w:rPr>
          <w:iCs/>
          <w:color w:val="000000" w:themeColor="text1"/>
          <w:lang w:val="en-US"/>
        </w:rPr>
      </w:pPr>
      <w:r w:rsidRPr="00B40A77">
        <w:rPr>
          <w:iCs/>
          <w:color w:val="000000" w:themeColor="text1"/>
          <w:lang w:val="en-US"/>
        </w:rPr>
        <w:t>The Court may,</w:t>
      </w:r>
      <w:r w:rsidR="00AE1D77" w:rsidRPr="00B40A77">
        <w:rPr>
          <w:iCs/>
          <w:color w:val="000000" w:themeColor="text1"/>
          <w:lang w:val="en-US"/>
        </w:rPr>
        <w:t xml:space="preserve"> if</w:t>
      </w:r>
      <w:r w:rsidRPr="00B40A77">
        <w:rPr>
          <w:rFonts w:cs="Times New Roman"/>
          <w:color w:val="000000" w:themeColor="text1"/>
        </w:rPr>
        <w:t xml:space="preserve"> it appears that a defendant or youth released on bail has contravened or failed to comply with a term or condition of </w:t>
      </w:r>
      <w:r w:rsidR="0008097B" w:rsidRPr="00B40A77">
        <w:rPr>
          <w:rFonts w:cs="Times New Roman"/>
          <w:color w:val="000000" w:themeColor="text1"/>
        </w:rPr>
        <w:t>a</w:t>
      </w:r>
      <w:r w:rsidR="00D050EF" w:rsidRPr="00B40A77">
        <w:rPr>
          <w:rFonts w:cs="Times New Roman"/>
          <w:color w:val="000000" w:themeColor="text1"/>
        </w:rPr>
        <w:t xml:space="preserve"> bail agreement or for </w:t>
      </w:r>
      <w:r w:rsidRPr="00B40A77">
        <w:rPr>
          <w:rFonts w:cs="Times New Roman"/>
          <w:color w:val="000000" w:themeColor="text1"/>
        </w:rPr>
        <w:t xml:space="preserve">other sufficient reason, issue a warrant </w:t>
      </w:r>
      <w:r w:rsidR="00D050EF" w:rsidRPr="00B40A77">
        <w:rPr>
          <w:rFonts w:cs="Times New Roman"/>
          <w:color w:val="000000" w:themeColor="text1"/>
        </w:rPr>
        <w:t xml:space="preserve">of </w:t>
      </w:r>
      <w:r w:rsidRPr="00B40A77">
        <w:rPr>
          <w:rFonts w:cs="Times New Roman"/>
          <w:color w:val="000000" w:themeColor="text1"/>
        </w:rPr>
        <w:t>apprehension</w:t>
      </w:r>
      <w:r w:rsidRPr="00B40A77">
        <w:rPr>
          <w:iCs/>
          <w:color w:val="000000" w:themeColor="text1"/>
          <w:lang w:val="en-US"/>
        </w:rPr>
        <w:t xml:space="preserve"> in the prescribed form.</w:t>
      </w:r>
    </w:p>
    <w:p w14:paraId="64B9F905" w14:textId="77777777" w:rsidR="00CD7041" w:rsidRPr="00B40A77" w:rsidRDefault="00CD7041" w:rsidP="0033795E">
      <w:pPr>
        <w:pStyle w:val="NoteHeader"/>
        <w:keepNext/>
        <w:ind w:left="567"/>
        <w:rPr>
          <w:color w:val="000000" w:themeColor="text1"/>
        </w:rPr>
      </w:pPr>
      <w:r w:rsidRPr="00B40A77">
        <w:rPr>
          <w:color w:val="000000" w:themeColor="text1"/>
        </w:rPr>
        <w:t>Prescribed form—</w:t>
      </w:r>
    </w:p>
    <w:p w14:paraId="4D93177A" w14:textId="23BA9003" w:rsidR="00CD7041" w:rsidRPr="00B40A77" w:rsidRDefault="00CD7041" w:rsidP="00763BB3">
      <w:pPr>
        <w:pStyle w:val="NoteText"/>
        <w:ind w:left="850"/>
        <w:rPr>
          <w:color w:val="000000" w:themeColor="text1"/>
          <w:u w:val="single"/>
        </w:rPr>
      </w:pPr>
      <w:r w:rsidRPr="00B40A77">
        <w:rPr>
          <w:color w:val="000000" w:themeColor="text1"/>
        </w:rPr>
        <w:t xml:space="preserve">Form 31 </w:t>
      </w:r>
      <w:hyperlink r:id="rId107" w:history="1">
        <w:r w:rsidRPr="00B40A77">
          <w:rPr>
            <w:rStyle w:val="Hyperlink"/>
            <w:color w:val="000000" w:themeColor="text1"/>
          </w:rPr>
          <w:t xml:space="preserve">Warrant of </w:t>
        </w:r>
        <w:r w:rsidR="00B721B5" w:rsidRPr="00B40A77">
          <w:rPr>
            <w:rStyle w:val="Hyperlink"/>
            <w:color w:val="000000" w:themeColor="text1"/>
          </w:rPr>
          <w:t>A</w:t>
        </w:r>
        <w:r w:rsidRPr="00B40A77">
          <w:rPr>
            <w:rStyle w:val="Hyperlink"/>
            <w:color w:val="000000" w:themeColor="text1"/>
          </w:rPr>
          <w:t xml:space="preserve">pprehension of </w:t>
        </w:r>
        <w:r w:rsidR="00B721B5" w:rsidRPr="00B40A77">
          <w:rPr>
            <w:rStyle w:val="Hyperlink"/>
            <w:color w:val="000000" w:themeColor="text1"/>
          </w:rPr>
          <w:t>D</w:t>
        </w:r>
        <w:r w:rsidRPr="00B40A77">
          <w:rPr>
            <w:rStyle w:val="Hyperlink"/>
            <w:color w:val="000000" w:themeColor="text1"/>
          </w:rPr>
          <w:t>efendant</w:t>
        </w:r>
      </w:hyperlink>
    </w:p>
    <w:p w14:paraId="5C708704" w14:textId="34131DA8" w:rsidR="00214393" w:rsidRPr="00B40A77" w:rsidRDefault="00214393" w:rsidP="00214393">
      <w:pPr>
        <w:pStyle w:val="Heading4"/>
        <w:rPr>
          <w:color w:val="000000" w:themeColor="text1"/>
        </w:rPr>
      </w:pPr>
      <w:bookmarkStart w:id="372" w:name="_Toc175238914"/>
      <w:r w:rsidRPr="00B40A77">
        <w:rPr>
          <w:color w:val="000000" w:themeColor="text1"/>
        </w:rPr>
        <w:t>41.</w:t>
      </w:r>
      <w:r w:rsidR="00E27B39" w:rsidRPr="00B40A77">
        <w:rPr>
          <w:color w:val="000000" w:themeColor="text1"/>
        </w:rPr>
        <w:t>9</w:t>
      </w:r>
      <w:r w:rsidRPr="00B40A77">
        <w:rPr>
          <w:color w:val="000000" w:themeColor="text1"/>
        </w:rPr>
        <w:t xml:space="preserve">—Bail forfeiture </w:t>
      </w:r>
      <w:r w:rsidR="00984706" w:rsidRPr="00B40A77">
        <w:rPr>
          <w:color w:val="000000" w:themeColor="text1"/>
        </w:rPr>
        <w:t>rescission or reduction</w:t>
      </w:r>
      <w:bookmarkEnd w:id="372"/>
    </w:p>
    <w:p w14:paraId="6ABF79BC" w14:textId="7AC62060" w:rsidR="00984706" w:rsidRPr="00B40A77" w:rsidRDefault="00984706" w:rsidP="00DF5309">
      <w:pPr>
        <w:pStyle w:val="Hangindent"/>
        <w:keepNext/>
        <w:ind w:left="567" w:firstLine="0"/>
        <w:rPr>
          <w:color w:val="000000" w:themeColor="text1"/>
          <w:lang w:val="en-US"/>
        </w:rPr>
      </w:pPr>
      <w:r w:rsidRPr="00B40A77">
        <w:rPr>
          <w:iCs/>
          <w:color w:val="000000" w:themeColor="text1"/>
          <w:lang w:val="en-US"/>
        </w:rPr>
        <w:t>Unless the Court otherwise orders, an application for rescission of an order for forfeiture or reduction of the amount forfeited u</w:t>
      </w:r>
      <w:r w:rsidRPr="00B40A77">
        <w:rPr>
          <w:color w:val="000000" w:themeColor="text1"/>
          <w:lang w:val="en-US"/>
        </w:rPr>
        <w:t xml:space="preserve">nder section 19(3) of the </w:t>
      </w:r>
      <w:r w:rsidR="00D62524" w:rsidRPr="00B40A77">
        <w:rPr>
          <w:color w:val="000000" w:themeColor="text1"/>
        </w:rPr>
        <w:t xml:space="preserve">Bail Act </w:t>
      </w:r>
      <w:r w:rsidRPr="00B40A77">
        <w:rPr>
          <w:color w:val="000000" w:themeColor="text1"/>
        </w:rPr>
        <w:t>must</w:t>
      </w:r>
      <w:r w:rsidRPr="00B40A77">
        <w:rPr>
          <w:color w:val="000000" w:themeColor="text1"/>
          <w:lang w:val="en-US"/>
        </w:rPr>
        <w:t xml:space="preserve"> be made by</w:t>
      </w:r>
      <w:r w:rsidRPr="00B40A77">
        <w:rPr>
          <w:iCs/>
          <w:color w:val="000000" w:themeColor="text1"/>
          <w:lang w:val="en-US"/>
        </w:rPr>
        <w:t xml:space="preserve"> </w:t>
      </w:r>
      <w:r w:rsidRPr="00B40A77">
        <w:rPr>
          <w:color w:val="000000" w:themeColor="text1"/>
          <w:lang w:val="en-US"/>
        </w:rPr>
        <w:t>filing an application for bail in the prescribed form</w:t>
      </w:r>
      <w:r w:rsidR="00A93E7C" w:rsidRPr="00B40A77">
        <w:rPr>
          <w:color w:val="000000" w:themeColor="text1"/>
          <w:lang w:val="en-US"/>
        </w:rPr>
        <w:t>.</w:t>
      </w:r>
    </w:p>
    <w:p w14:paraId="4EAE02A1" w14:textId="77777777" w:rsidR="00984706" w:rsidRPr="00B40A77" w:rsidRDefault="00984706" w:rsidP="00DF5309">
      <w:pPr>
        <w:pStyle w:val="NoteHeader"/>
        <w:keepNext/>
        <w:ind w:left="567"/>
        <w:rPr>
          <w:color w:val="000000" w:themeColor="text1"/>
        </w:rPr>
      </w:pPr>
      <w:r w:rsidRPr="00B40A77">
        <w:rPr>
          <w:color w:val="000000" w:themeColor="text1"/>
        </w:rPr>
        <w:t>Prescribed form—</w:t>
      </w:r>
    </w:p>
    <w:p w14:paraId="04A7B275" w14:textId="47337F55" w:rsidR="00984706" w:rsidRPr="00B40A77" w:rsidRDefault="00984706" w:rsidP="00DF5309">
      <w:pPr>
        <w:pStyle w:val="NoteText"/>
        <w:ind w:left="851"/>
        <w:rPr>
          <w:color w:val="000000" w:themeColor="text1"/>
          <w:u w:val="single"/>
        </w:rPr>
      </w:pPr>
      <w:r w:rsidRPr="00B40A77">
        <w:rPr>
          <w:color w:val="000000" w:themeColor="text1"/>
        </w:rPr>
        <w:t xml:space="preserve">Form 172B </w:t>
      </w:r>
      <w:hyperlink r:id="rId108" w:history="1">
        <w:r w:rsidRPr="00B40A77">
          <w:rPr>
            <w:rStyle w:val="Hyperlink"/>
            <w:color w:val="000000" w:themeColor="text1"/>
          </w:rPr>
          <w:t>Interlocutory Application for Rescission or Reduction of Bail Forfeiture</w:t>
        </w:r>
      </w:hyperlink>
    </w:p>
    <w:p w14:paraId="4788BC70" w14:textId="3835E8C2" w:rsidR="004C48E1" w:rsidRPr="00B40A77" w:rsidRDefault="004C48E1" w:rsidP="004C48E1">
      <w:pPr>
        <w:pStyle w:val="Heading4"/>
        <w:rPr>
          <w:color w:val="000000" w:themeColor="text1"/>
        </w:rPr>
      </w:pPr>
      <w:bookmarkStart w:id="373" w:name="_Toc175238915"/>
      <w:r w:rsidRPr="00B40A77">
        <w:rPr>
          <w:color w:val="000000" w:themeColor="text1"/>
        </w:rPr>
        <w:t>41.</w:t>
      </w:r>
      <w:r w:rsidR="00E27B39" w:rsidRPr="00B40A77">
        <w:rPr>
          <w:color w:val="000000" w:themeColor="text1"/>
        </w:rPr>
        <w:t>10</w:t>
      </w:r>
      <w:r w:rsidRPr="00B40A77">
        <w:rPr>
          <w:color w:val="000000" w:themeColor="text1"/>
        </w:rPr>
        <w:t>—Intervention orders</w:t>
      </w:r>
      <w:bookmarkEnd w:id="373"/>
    </w:p>
    <w:p w14:paraId="070163F2" w14:textId="3DBF5F0C" w:rsidR="00B153BB" w:rsidRPr="00B40A77" w:rsidRDefault="00B153BB" w:rsidP="00B153BB">
      <w:pPr>
        <w:pStyle w:val="Hangindent"/>
        <w:keepNext/>
        <w:rPr>
          <w:iCs/>
          <w:color w:val="000000" w:themeColor="text1"/>
          <w:lang w:val="en-US"/>
        </w:rPr>
      </w:pPr>
      <w:r w:rsidRPr="00B40A77">
        <w:rPr>
          <w:iCs/>
          <w:color w:val="000000" w:themeColor="text1"/>
          <w:lang w:val="en-US"/>
        </w:rPr>
        <w:t>(1)</w:t>
      </w:r>
      <w:r w:rsidRPr="00B40A77">
        <w:rPr>
          <w:iCs/>
          <w:color w:val="000000" w:themeColor="text1"/>
          <w:lang w:val="en-US"/>
        </w:rPr>
        <w:tab/>
        <w:t>If the prosecution seeks, or the Court is considering whether to make an intervention order under section 23A of the Bail Act, the prosecution must file on a court access basis a Protected Person Details for Intervention Order in the prescribed form.</w:t>
      </w:r>
    </w:p>
    <w:p w14:paraId="5B63FBE0" w14:textId="77777777" w:rsidR="00B153BB" w:rsidRPr="00B40A77" w:rsidRDefault="00B153BB" w:rsidP="00B153BB">
      <w:pPr>
        <w:pStyle w:val="NoteHeader"/>
        <w:keepNext/>
        <w:rPr>
          <w:color w:val="000000" w:themeColor="text1"/>
        </w:rPr>
      </w:pPr>
      <w:r w:rsidRPr="00B40A77">
        <w:rPr>
          <w:color w:val="000000" w:themeColor="text1"/>
        </w:rPr>
        <w:t>Prescribed form—</w:t>
      </w:r>
    </w:p>
    <w:p w14:paraId="25C2ACB9" w14:textId="1DA8BB38" w:rsidR="00B153BB" w:rsidRPr="00B40A77" w:rsidRDefault="00B153BB" w:rsidP="00B153BB">
      <w:pPr>
        <w:pStyle w:val="NoteText"/>
        <w:rPr>
          <w:iCs/>
          <w:color w:val="000000" w:themeColor="text1"/>
          <w:lang w:val="en-US"/>
        </w:rPr>
      </w:pPr>
      <w:r w:rsidRPr="00B40A77">
        <w:rPr>
          <w:color w:val="000000" w:themeColor="text1"/>
        </w:rPr>
        <w:t xml:space="preserve">Form104e </w:t>
      </w:r>
      <w:hyperlink r:id="rId109" w:history="1">
        <w:r w:rsidRPr="00B40A77">
          <w:rPr>
            <w:rStyle w:val="Hyperlink"/>
            <w:iCs/>
            <w:color w:val="000000" w:themeColor="text1"/>
            <w:lang w:val="en-US"/>
          </w:rPr>
          <w:t>Protected Person Details for Intervention Order</w:t>
        </w:r>
      </w:hyperlink>
      <w:r w:rsidRPr="00B40A77">
        <w:rPr>
          <w:iCs/>
          <w:color w:val="000000" w:themeColor="text1"/>
          <w:u w:val="single"/>
          <w:lang w:val="en-US"/>
        </w:rPr>
        <w:t xml:space="preserve"> </w:t>
      </w:r>
    </w:p>
    <w:p w14:paraId="386901B6" w14:textId="6D2316ED" w:rsidR="00B153BB" w:rsidRPr="00B40A77" w:rsidRDefault="00B153BB" w:rsidP="00B153BB">
      <w:pPr>
        <w:pStyle w:val="NoteText"/>
        <w:rPr>
          <w:iCs/>
          <w:color w:val="000000" w:themeColor="text1"/>
          <w:lang w:val="en-US"/>
        </w:rPr>
      </w:pPr>
      <w:r w:rsidRPr="00B40A77">
        <w:rPr>
          <w:iCs/>
          <w:color w:val="000000" w:themeColor="text1"/>
          <w:lang w:val="en-US"/>
        </w:rPr>
        <w:t xml:space="preserve">Form 104h </w:t>
      </w:r>
      <w:hyperlink r:id="rId110" w:history="1">
        <w:r w:rsidRPr="00B40A77">
          <w:rPr>
            <w:rStyle w:val="Hyperlink"/>
            <w:iCs/>
            <w:color w:val="000000" w:themeColor="text1"/>
            <w:lang w:val="en-US"/>
          </w:rPr>
          <w:t>Protected Person Details for Intervention Order</w:t>
        </w:r>
      </w:hyperlink>
    </w:p>
    <w:p w14:paraId="63B1ED2D" w14:textId="780B38CB" w:rsidR="004C48E1" w:rsidRPr="00B40A77" w:rsidRDefault="004C48E1" w:rsidP="004C48E1">
      <w:pPr>
        <w:pStyle w:val="Hangindent"/>
        <w:keepNext/>
        <w:rPr>
          <w:iCs/>
          <w:color w:val="000000" w:themeColor="text1"/>
          <w:lang w:val="en-US"/>
        </w:rPr>
      </w:pPr>
      <w:r w:rsidRPr="00B40A77">
        <w:rPr>
          <w:iCs/>
          <w:color w:val="000000" w:themeColor="text1"/>
          <w:lang w:val="en-US"/>
        </w:rPr>
        <w:t>(</w:t>
      </w:r>
      <w:r w:rsidR="00B153BB" w:rsidRPr="00B40A77">
        <w:rPr>
          <w:iCs/>
          <w:color w:val="000000" w:themeColor="text1"/>
          <w:lang w:val="en-US"/>
        </w:rPr>
        <w:t>2</w:t>
      </w:r>
      <w:r w:rsidRPr="00B40A77">
        <w:rPr>
          <w:iCs/>
          <w:color w:val="000000" w:themeColor="text1"/>
          <w:lang w:val="en-US"/>
        </w:rPr>
        <w:t>)</w:t>
      </w:r>
      <w:r w:rsidRPr="00B40A77">
        <w:rPr>
          <w:iCs/>
          <w:color w:val="000000" w:themeColor="text1"/>
          <w:lang w:val="en-US"/>
        </w:rPr>
        <w:tab/>
        <w:t>A record of outcome containing an interim intervention order must be in the prescribed form.</w:t>
      </w:r>
    </w:p>
    <w:p w14:paraId="3BE4C50B" w14:textId="77777777" w:rsidR="004C48E1" w:rsidRPr="00B40A77" w:rsidRDefault="004C48E1" w:rsidP="004C48E1">
      <w:pPr>
        <w:pStyle w:val="NoteHeader"/>
        <w:keepNext/>
        <w:rPr>
          <w:color w:val="000000" w:themeColor="text1"/>
        </w:rPr>
      </w:pPr>
      <w:r w:rsidRPr="00B40A77">
        <w:rPr>
          <w:color w:val="000000" w:themeColor="text1"/>
        </w:rPr>
        <w:t>Prescribed form—</w:t>
      </w:r>
    </w:p>
    <w:p w14:paraId="52680DD6" w14:textId="76337C27" w:rsidR="004C48E1" w:rsidRPr="00B40A77" w:rsidRDefault="004C48E1" w:rsidP="004C48E1">
      <w:pPr>
        <w:pStyle w:val="NoteText"/>
        <w:rPr>
          <w:iCs/>
          <w:color w:val="000000" w:themeColor="text1"/>
          <w:lang w:val="en-US"/>
        </w:rPr>
      </w:pPr>
      <w:r w:rsidRPr="00B40A77">
        <w:rPr>
          <w:color w:val="000000" w:themeColor="text1"/>
        </w:rPr>
        <w:t xml:space="preserve">Form 24 </w:t>
      </w:r>
      <w:hyperlink r:id="rId111" w:history="1">
        <w:r w:rsidRPr="00B40A77">
          <w:rPr>
            <w:rStyle w:val="Hyperlink"/>
            <w:iCs/>
            <w:color w:val="000000" w:themeColor="text1"/>
            <w:lang w:val="en-US"/>
          </w:rPr>
          <w:t xml:space="preserve">Record of Outcome </w:t>
        </w:r>
        <w:r w:rsidR="009A4D0F" w:rsidRPr="00B40A77">
          <w:rPr>
            <w:rStyle w:val="Hyperlink"/>
            <w:iCs/>
            <w:color w:val="000000" w:themeColor="text1"/>
            <w:lang w:val="en-US"/>
          </w:rPr>
          <w:t>– Order</w:t>
        </w:r>
      </w:hyperlink>
    </w:p>
    <w:p w14:paraId="52B16085" w14:textId="618EC5D2" w:rsidR="004C48E1" w:rsidRPr="00B40A77" w:rsidRDefault="004C48E1" w:rsidP="004C48E1">
      <w:pPr>
        <w:pStyle w:val="Hangindent"/>
        <w:rPr>
          <w:rFonts w:cs="Arial"/>
          <w:color w:val="000000" w:themeColor="text1"/>
        </w:rPr>
      </w:pPr>
      <w:r w:rsidRPr="00B40A77">
        <w:rPr>
          <w:iCs/>
          <w:color w:val="000000" w:themeColor="text1"/>
          <w:lang w:val="en-US"/>
        </w:rPr>
        <w:t>(</w:t>
      </w:r>
      <w:r w:rsidR="00B153BB" w:rsidRPr="00B40A77">
        <w:rPr>
          <w:iCs/>
          <w:color w:val="000000" w:themeColor="text1"/>
          <w:lang w:val="en-US"/>
        </w:rPr>
        <w:t>3</w:t>
      </w:r>
      <w:r w:rsidRPr="00B40A77">
        <w:rPr>
          <w:iCs/>
          <w:color w:val="000000" w:themeColor="text1"/>
          <w:lang w:val="en-US"/>
        </w:rPr>
        <w:t>)</w:t>
      </w:r>
      <w:r w:rsidRPr="00B40A77">
        <w:rPr>
          <w:iCs/>
          <w:color w:val="000000" w:themeColor="text1"/>
          <w:lang w:val="en-US"/>
        </w:rPr>
        <w:tab/>
        <w:t xml:space="preserve">If </w:t>
      </w:r>
      <w:r w:rsidRPr="00B40A77">
        <w:rPr>
          <w:rFonts w:cs="Arial"/>
          <w:color w:val="000000" w:themeColor="text1"/>
        </w:rPr>
        <w:t>the Court makes an interim intervention order under section 23A of the Bail Act</w:t>
      </w:r>
      <w:r w:rsidRPr="00B40A77">
        <w:rPr>
          <w:color w:val="000000" w:themeColor="text1"/>
          <w:lang w:val="en-US"/>
        </w:rPr>
        <w:t>—</w:t>
      </w:r>
    </w:p>
    <w:p w14:paraId="79D0A8C0" w14:textId="1160A93F" w:rsidR="004C48E1" w:rsidRPr="00B40A77" w:rsidRDefault="004C48E1" w:rsidP="004C48E1">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the </w:t>
      </w:r>
      <w:hyperlink w:anchor="_2.1—Definitions" w:history="1">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ensure that an interim intervention order is issued in the prescribed form; and</w:t>
      </w:r>
    </w:p>
    <w:p w14:paraId="54E6D72B" w14:textId="77777777" w:rsidR="004C48E1" w:rsidRPr="00B40A77" w:rsidRDefault="004C48E1" w:rsidP="004C48E1">
      <w:pPr>
        <w:pStyle w:val="NoteHeader"/>
        <w:keepNext/>
        <w:ind w:left="1395" w:firstLine="306"/>
        <w:rPr>
          <w:color w:val="000000" w:themeColor="text1"/>
        </w:rPr>
      </w:pPr>
      <w:r w:rsidRPr="00B40A77">
        <w:rPr>
          <w:color w:val="000000" w:themeColor="text1"/>
        </w:rPr>
        <w:t>Prescribed form—</w:t>
      </w:r>
    </w:p>
    <w:p w14:paraId="36D96B8E" w14:textId="4449883D" w:rsidR="004C48E1" w:rsidRPr="00B40A77" w:rsidRDefault="004C48E1" w:rsidP="004C48E1">
      <w:pPr>
        <w:pStyle w:val="NoteText"/>
        <w:ind w:left="2160"/>
        <w:rPr>
          <w:iCs/>
          <w:color w:val="000000" w:themeColor="text1"/>
          <w:lang w:val="en-US"/>
        </w:rPr>
      </w:pPr>
      <w:r w:rsidRPr="00B40A77">
        <w:rPr>
          <w:color w:val="000000" w:themeColor="text1"/>
        </w:rPr>
        <w:t xml:space="preserve">Form 27 </w:t>
      </w:r>
      <w:hyperlink r:id="rId112" w:history="1">
        <w:r w:rsidRPr="00B40A77">
          <w:rPr>
            <w:rStyle w:val="Hyperlink"/>
            <w:color w:val="000000" w:themeColor="text1"/>
          </w:rPr>
          <w:t xml:space="preserve">Order – </w:t>
        </w:r>
        <w:r w:rsidRPr="00B40A77">
          <w:rPr>
            <w:rStyle w:val="Hyperlink"/>
            <w:iCs/>
            <w:color w:val="000000" w:themeColor="text1"/>
            <w:lang w:val="en-US"/>
          </w:rPr>
          <w:t>Interim Intervention Order</w:t>
        </w:r>
      </w:hyperlink>
    </w:p>
    <w:p w14:paraId="4E0005BF" w14:textId="77777777" w:rsidR="004C48E1" w:rsidRPr="00B40A77" w:rsidRDefault="004C48E1" w:rsidP="004C48E1">
      <w:pPr>
        <w:pStyle w:val="Doublehangindent"/>
        <w:rPr>
          <w:color w:val="000000" w:themeColor="text1"/>
        </w:rPr>
      </w:pPr>
      <w:r w:rsidRPr="00B40A77">
        <w:rPr>
          <w:color w:val="000000" w:themeColor="text1"/>
          <w:lang w:val="en-US"/>
        </w:rPr>
        <w:lastRenderedPageBreak/>
        <w:t>(b)</w:t>
      </w:r>
      <w:r w:rsidRPr="00B40A77">
        <w:rPr>
          <w:color w:val="000000" w:themeColor="text1"/>
          <w:lang w:val="en-US"/>
        </w:rPr>
        <w:tab/>
        <w:t>unless the order is given to the defendant or youth in the court, the prosecution is responsible for serving the interim intervention order on the defendant or youth against whom the order is made.</w:t>
      </w:r>
    </w:p>
    <w:p w14:paraId="51C4031E" w14:textId="153DDB89" w:rsidR="004C48E1" w:rsidRPr="00B40A77" w:rsidRDefault="004C48E1" w:rsidP="007D35C2">
      <w:pPr>
        <w:pStyle w:val="Hangindent"/>
        <w:keepNext/>
        <w:rPr>
          <w:color w:val="000000" w:themeColor="text1"/>
        </w:rPr>
      </w:pPr>
      <w:r w:rsidRPr="00B40A77">
        <w:rPr>
          <w:iCs/>
          <w:color w:val="000000" w:themeColor="text1"/>
          <w:lang w:val="en-US"/>
        </w:rPr>
        <w:t>(</w:t>
      </w:r>
      <w:r w:rsidR="00B153BB" w:rsidRPr="00B40A77">
        <w:rPr>
          <w:iCs/>
          <w:color w:val="000000" w:themeColor="text1"/>
          <w:lang w:val="en-US"/>
        </w:rPr>
        <w:t>4</w:t>
      </w:r>
      <w:r w:rsidRPr="00B40A77">
        <w:rPr>
          <w:iCs/>
          <w:color w:val="000000" w:themeColor="text1"/>
          <w:lang w:val="en-US"/>
        </w:rPr>
        <w:t>)</w:t>
      </w:r>
      <w:r w:rsidRPr="00B40A77">
        <w:rPr>
          <w:iCs/>
          <w:color w:val="000000" w:themeColor="text1"/>
          <w:lang w:val="en-US"/>
        </w:rPr>
        <w:tab/>
        <w:t xml:space="preserve">If </w:t>
      </w:r>
      <w:r w:rsidRPr="00B40A77">
        <w:rPr>
          <w:rFonts w:cs="Arial"/>
          <w:color w:val="000000" w:themeColor="text1"/>
        </w:rPr>
        <w:t xml:space="preserve">the Court makes </w:t>
      </w:r>
      <w:r w:rsidR="007D35C2" w:rsidRPr="00B40A77">
        <w:rPr>
          <w:color w:val="000000" w:themeColor="text1"/>
          <w:lang w:val="en-US"/>
        </w:rPr>
        <w:t xml:space="preserve">an interim intervention order </w:t>
      </w:r>
      <w:r w:rsidRPr="00B40A77">
        <w:rPr>
          <w:rFonts w:cs="Arial"/>
          <w:color w:val="000000" w:themeColor="text1"/>
        </w:rPr>
        <w:t xml:space="preserve">under section </w:t>
      </w:r>
      <w:r w:rsidR="007D35C2" w:rsidRPr="00B40A77">
        <w:rPr>
          <w:rFonts w:cs="Arial"/>
          <w:color w:val="000000" w:themeColor="text1"/>
        </w:rPr>
        <w:t>23</w:t>
      </w:r>
      <w:r w:rsidRPr="00B40A77">
        <w:rPr>
          <w:rFonts w:cs="Arial"/>
          <w:color w:val="000000" w:themeColor="text1"/>
        </w:rPr>
        <w:t>A of the Bail Act</w:t>
      </w:r>
      <w:r w:rsidR="007D35C2" w:rsidRPr="00B40A77">
        <w:rPr>
          <w:rFonts w:cs="Arial"/>
          <w:color w:val="000000" w:themeColor="text1"/>
        </w:rPr>
        <w:t>, th</w:t>
      </w:r>
      <w:r w:rsidR="00EA361B" w:rsidRPr="00B40A77">
        <w:rPr>
          <w:rFonts w:cs="Arial"/>
          <w:color w:val="000000" w:themeColor="text1"/>
        </w:rPr>
        <w:t>e</w:t>
      </w:r>
      <w:r w:rsidR="007D35C2" w:rsidRPr="00B40A77">
        <w:rPr>
          <w:rFonts w:cs="Arial"/>
          <w:color w:val="000000" w:themeColor="text1"/>
        </w:rPr>
        <w:t xml:space="preserve"> Court will create a new special statutory application case under the </w:t>
      </w:r>
      <w:hyperlink w:anchor="_2.1—Definitions" w:history="1">
        <w:r w:rsidR="00EE525A" w:rsidRPr="00B40A77">
          <w:rPr>
            <w:rStyle w:val="Hyperlink"/>
            <w:color w:val="000000" w:themeColor="text1"/>
            <w:lang w:val="en-US"/>
          </w:rPr>
          <w:t>Uniform Special Statutory Rules</w:t>
        </w:r>
      </w:hyperlink>
      <w:r w:rsidR="007D35C2" w:rsidRPr="00B40A77">
        <w:rPr>
          <w:color w:val="000000" w:themeColor="text1"/>
          <w:lang w:val="en-US"/>
        </w:rPr>
        <w:t xml:space="preserve"> and a</w:t>
      </w:r>
      <w:r w:rsidR="00BF2BAD" w:rsidRPr="00B40A77">
        <w:rPr>
          <w:color w:val="000000" w:themeColor="text1"/>
          <w:lang w:val="en-US"/>
        </w:rPr>
        <w:t>l</w:t>
      </w:r>
      <w:r w:rsidR="007D35C2" w:rsidRPr="00B40A77">
        <w:rPr>
          <w:color w:val="000000" w:themeColor="text1"/>
          <w:lang w:val="en-US"/>
        </w:rPr>
        <w:t xml:space="preserve">l further steps in relation to the intervention order will be governed by the </w:t>
      </w:r>
      <w:hyperlink w:anchor="_2.1—Definitions" w:history="1">
        <w:r w:rsidR="00EE525A" w:rsidRPr="00B40A77">
          <w:rPr>
            <w:rStyle w:val="Hyperlink"/>
            <w:color w:val="000000" w:themeColor="text1"/>
            <w:lang w:val="en-US"/>
          </w:rPr>
          <w:t>Uniform Special Statutory Rules</w:t>
        </w:r>
      </w:hyperlink>
      <w:r w:rsidR="007D35C2" w:rsidRPr="00B40A77">
        <w:rPr>
          <w:color w:val="000000" w:themeColor="text1"/>
          <w:lang w:val="en-US"/>
        </w:rPr>
        <w:t>.</w:t>
      </w:r>
    </w:p>
    <w:p w14:paraId="38D499E6" w14:textId="420BA41F" w:rsidR="00CD7041" w:rsidRPr="00B40A77" w:rsidRDefault="00CD7041" w:rsidP="00CD7041">
      <w:pPr>
        <w:pStyle w:val="Heading3"/>
        <w:rPr>
          <w:color w:val="000000" w:themeColor="text1"/>
        </w:rPr>
      </w:pPr>
      <w:bookmarkStart w:id="374" w:name="_Toc175238916"/>
      <w:bookmarkEnd w:id="365"/>
      <w:r w:rsidRPr="00B40A77">
        <w:rPr>
          <w:color w:val="000000" w:themeColor="text1"/>
        </w:rPr>
        <w:t>Division 2—Remand in custody</w:t>
      </w:r>
      <w:bookmarkEnd w:id="374"/>
    </w:p>
    <w:p w14:paraId="50B86E7C" w14:textId="6E4C3E06" w:rsidR="00284CE2" w:rsidRPr="00B40A77" w:rsidRDefault="00284CE2" w:rsidP="00284CE2">
      <w:pPr>
        <w:pStyle w:val="Heading4"/>
        <w:rPr>
          <w:color w:val="000000" w:themeColor="text1"/>
        </w:rPr>
      </w:pPr>
      <w:bookmarkStart w:id="375" w:name="_42.1—Definitions"/>
      <w:bookmarkStart w:id="376" w:name="_Toc175238917"/>
      <w:bookmarkEnd w:id="375"/>
      <w:r w:rsidRPr="00B40A77">
        <w:rPr>
          <w:color w:val="000000" w:themeColor="text1"/>
        </w:rPr>
        <w:t>42.1—Definitions</w:t>
      </w:r>
      <w:bookmarkEnd w:id="376"/>
    </w:p>
    <w:p w14:paraId="4E735AFF" w14:textId="0141B8EF" w:rsidR="00284CE2" w:rsidRPr="00B40A77" w:rsidRDefault="00284CE2" w:rsidP="00284CE2">
      <w:pPr>
        <w:pStyle w:val="Hangindent"/>
        <w:rPr>
          <w:color w:val="000000" w:themeColor="text1"/>
          <w:lang w:val="en-US"/>
        </w:rPr>
      </w:pPr>
      <w:r w:rsidRPr="00B40A77">
        <w:rPr>
          <w:color w:val="000000" w:themeColor="text1"/>
          <w:lang w:val="en-US"/>
        </w:rPr>
        <w:t>In this Division</w:t>
      </w:r>
      <w:r w:rsidRPr="00B40A77">
        <w:rPr>
          <w:color w:val="000000" w:themeColor="text1"/>
        </w:rPr>
        <w:t>—</w:t>
      </w:r>
    </w:p>
    <w:p w14:paraId="3A76BB35" w14:textId="42080E00" w:rsidR="00284CE2" w:rsidRPr="00B40A77" w:rsidRDefault="00284CE2" w:rsidP="00930A54">
      <w:pPr>
        <w:pStyle w:val="Hangindent"/>
        <w:ind w:left="567" w:firstLine="0"/>
        <w:rPr>
          <w:color w:val="000000" w:themeColor="text1"/>
          <w:lang w:val="en-US"/>
        </w:rPr>
      </w:pPr>
      <w:r w:rsidRPr="00B40A77">
        <w:rPr>
          <w:bCs/>
          <w:iCs/>
          <w:color w:val="000000" w:themeColor="text1"/>
          <w:lang w:val="en-US"/>
        </w:rPr>
        <w:t>the</w:t>
      </w:r>
      <w:r w:rsidRPr="00B40A77">
        <w:rPr>
          <w:bCs/>
          <w:i/>
          <w:color w:val="000000" w:themeColor="text1"/>
          <w:lang w:val="en-US"/>
        </w:rPr>
        <w:t xml:space="preserve"> </w:t>
      </w:r>
      <w:r w:rsidRPr="00B40A77">
        <w:rPr>
          <w:b/>
          <w:i/>
          <w:color w:val="000000" w:themeColor="text1"/>
          <w:lang w:val="en-US"/>
        </w:rPr>
        <w:t xml:space="preserve">Minister </w:t>
      </w:r>
      <w:r w:rsidR="00DB0E85" w:rsidRPr="00B40A77">
        <w:rPr>
          <w:b/>
          <w:i/>
          <w:color w:val="000000" w:themeColor="text1"/>
          <w:lang w:val="en-US"/>
        </w:rPr>
        <w:t>for Health</w:t>
      </w:r>
      <w:r w:rsidR="00DB0E85" w:rsidRPr="00B40A77">
        <w:rPr>
          <w:bCs/>
          <w:i/>
          <w:color w:val="000000" w:themeColor="text1"/>
          <w:lang w:val="en-US"/>
        </w:rPr>
        <w:t xml:space="preserve"> </w:t>
      </w:r>
      <w:r w:rsidRPr="00B40A77">
        <w:rPr>
          <w:color w:val="000000" w:themeColor="text1"/>
          <w:lang w:val="en-US"/>
        </w:rPr>
        <w:t>means</w:t>
      </w:r>
      <w:r w:rsidR="00930A54" w:rsidRPr="00B40A77">
        <w:rPr>
          <w:color w:val="000000" w:themeColor="text1"/>
        </w:rPr>
        <w:t xml:space="preserve"> the </w:t>
      </w:r>
      <w:r w:rsidR="00877DE7" w:rsidRPr="00B40A77">
        <w:rPr>
          <w:color w:val="000000" w:themeColor="text1"/>
        </w:rPr>
        <w:t xml:space="preserve">Minister responsible for the administration of the </w:t>
      </w:r>
      <w:r w:rsidR="00877DE7" w:rsidRPr="00B40A77">
        <w:rPr>
          <w:i/>
          <w:iCs/>
          <w:color w:val="000000" w:themeColor="text1"/>
        </w:rPr>
        <w:t>Mental Health Act 20</w:t>
      </w:r>
      <w:r w:rsidR="00AF0D76" w:rsidRPr="00B40A77">
        <w:rPr>
          <w:i/>
          <w:iCs/>
          <w:color w:val="000000" w:themeColor="text1"/>
        </w:rPr>
        <w:t>09</w:t>
      </w:r>
      <w:r w:rsidR="00877DE7" w:rsidRPr="00B40A77">
        <w:rPr>
          <w:i/>
          <w:iCs/>
          <w:color w:val="000000" w:themeColor="text1"/>
        </w:rPr>
        <w:t xml:space="preserve"> </w:t>
      </w:r>
      <w:r w:rsidR="00877DE7" w:rsidRPr="00B40A77">
        <w:rPr>
          <w:color w:val="000000" w:themeColor="text1"/>
        </w:rPr>
        <w:t xml:space="preserve">(presently </w:t>
      </w:r>
      <w:r w:rsidR="00EA361B" w:rsidRPr="00B40A77">
        <w:rPr>
          <w:color w:val="000000" w:themeColor="text1"/>
        </w:rPr>
        <w:t xml:space="preserve">the </w:t>
      </w:r>
      <w:r w:rsidR="00930A54" w:rsidRPr="00B40A77">
        <w:rPr>
          <w:color w:val="000000" w:themeColor="text1"/>
        </w:rPr>
        <w:t>Minister for Health and Wellbeing</w:t>
      </w:r>
      <w:r w:rsidR="00877DE7" w:rsidRPr="00B40A77">
        <w:rPr>
          <w:color w:val="000000" w:themeColor="text1"/>
        </w:rPr>
        <w:t>)</w:t>
      </w:r>
      <w:r w:rsidR="00930A54" w:rsidRPr="00B40A77">
        <w:rPr>
          <w:color w:val="000000" w:themeColor="text1"/>
        </w:rPr>
        <w:t>.</w:t>
      </w:r>
    </w:p>
    <w:p w14:paraId="4F20E498" w14:textId="1159C76C" w:rsidR="00CD7041" w:rsidRPr="00B40A77" w:rsidRDefault="00C82171" w:rsidP="00B87028">
      <w:pPr>
        <w:pStyle w:val="Heading4"/>
        <w:rPr>
          <w:color w:val="000000" w:themeColor="text1"/>
        </w:rPr>
      </w:pPr>
      <w:bookmarkStart w:id="377" w:name="_Toc175238918"/>
      <w:r w:rsidRPr="00B40A77">
        <w:rPr>
          <w:color w:val="000000" w:themeColor="text1"/>
        </w:rPr>
        <w:t>4</w:t>
      </w:r>
      <w:r w:rsidR="00D00AFF" w:rsidRPr="00B40A77">
        <w:rPr>
          <w:color w:val="000000" w:themeColor="text1"/>
        </w:rPr>
        <w:t>2</w:t>
      </w:r>
      <w:r w:rsidR="00F45F5A" w:rsidRPr="00B40A77">
        <w:rPr>
          <w:color w:val="000000" w:themeColor="text1"/>
        </w:rPr>
        <w:t>.</w:t>
      </w:r>
      <w:r w:rsidR="00284CE2" w:rsidRPr="00B40A77">
        <w:rPr>
          <w:color w:val="000000" w:themeColor="text1"/>
        </w:rPr>
        <w:t>2</w:t>
      </w:r>
      <w:r w:rsidR="00CD7041" w:rsidRPr="00B40A77">
        <w:rPr>
          <w:color w:val="000000" w:themeColor="text1"/>
        </w:rPr>
        <w:t>—Warrant of remand</w:t>
      </w:r>
      <w:r w:rsidR="007E3C28" w:rsidRPr="00B40A77">
        <w:rPr>
          <w:color w:val="000000" w:themeColor="text1"/>
        </w:rPr>
        <w:t>/mandate</w:t>
      </w:r>
      <w:bookmarkEnd w:id="377"/>
    </w:p>
    <w:p w14:paraId="3BEE8578" w14:textId="224B373B" w:rsidR="00CD7041" w:rsidRPr="00B40A77" w:rsidRDefault="00CD7041" w:rsidP="0033795E">
      <w:pPr>
        <w:pStyle w:val="Hangindent"/>
        <w:keepNext/>
        <w:rPr>
          <w:color w:val="000000" w:themeColor="text1"/>
          <w:lang w:val="en-US"/>
        </w:rPr>
      </w:pPr>
      <w:r w:rsidRPr="00B40A77">
        <w:rPr>
          <w:iCs/>
          <w:color w:val="000000" w:themeColor="text1"/>
          <w:lang w:val="en-US"/>
        </w:rPr>
        <w:t>(1)</w:t>
      </w:r>
      <w:r w:rsidRPr="00B40A77">
        <w:rPr>
          <w:iCs/>
          <w:color w:val="000000" w:themeColor="text1"/>
          <w:lang w:val="en-US"/>
        </w:rPr>
        <w:tab/>
        <w:t xml:space="preserve">If the Court remands a defendant or youth in custody to the date of the next </w:t>
      </w:r>
      <w:hyperlink w:anchor="_37.1—Application_of_Part" w:history="1">
        <w:r w:rsidR="00CE7A79" w:rsidRPr="00B40A77">
          <w:rPr>
            <w:rStyle w:val="Hyperlink"/>
            <w:color w:val="000000" w:themeColor="text1"/>
            <w:lang w:val="en-US"/>
          </w:rPr>
          <w:t>hearing</w:t>
        </w:r>
      </w:hyperlink>
      <w:r w:rsidRPr="00B40A77">
        <w:rPr>
          <w:iCs/>
          <w:color w:val="000000" w:themeColor="text1"/>
          <w:lang w:val="en-US"/>
        </w:rPr>
        <w:t xml:space="preserve">, </w:t>
      </w:r>
      <w:r w:rsidR="006F66CD" w:rsidRPr="00B40A77">
        <w:rPr>
          <w:iCs/>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iCs/>
          <w:color w:val="000000" w:themeColor="text1"/>
          <w:lang w:val="en-US"/>
        </w:rPr>
        <w:t xml:space="preserve"> must </w:t>
      </w:r>
      <w:r w:rsidR="000726A2" w:rsidRPr="00B40A77">
        <w:rPr>
          <w:iCs/>
          <w:color w:val="000000" w:themeColor="text1"/>
          <w:lang w:val="en-US"/>
        </w:rPr>
        <w:t>cause to be issued</w:t>
      </w:r>
      <w:r w:rsidR="008B7F86" w:rsidRPr="00B40A77">
        <w:rPr>
          <w:iCs/>
          <w:color w:val="000000" w:themeColor="text1"/>
          <w:lang w:val="en-US"/>
        </w:rPr>
        <w:t xml:space="preserve"> </w:t>
      </w:r>
      <w:r w:rsidRPr="00B40A77">
        <w:rPr>
          <w:iCs/>
          <w:color w:val="000000" w:themeColor="text1"/>
          <w:lang w:val="en-US"/>
        </w:rPr>
        <w:t>a warrant of remand</w:t>
      </w:r>
      <w:r w:rsidR="000726A2" w:rsidRPr="00B40A77">
        <w:rPr>
          <w:iCs/>
          <w:color w:val="000000" w:themeColor="text1"/>
          <w:lang w:val="en-US"/>
        </w:rPr>
        <w:t xml:space="preserve"> or </w:t>
      </w:r>
      <w:r w:rsidR="00E570AE" w:rsidRPr="00B40A77">
        <w:rPr>
          <w:iCs/>
          <w:color w:val="000000" w:themeColor="text1"/>
          <w:lang w:val="en-US"/>
        </w:rPr>
        <w:t>mandate</w:t>
      </w:r>
      <w:r w:rsidRPr="00B40A77">
        <w:rPr>
          <w:iCs/>
          <w:color w:val="000000" w:themeColor="text1"/>
          <w:lang w:val="en-US"/>
        </w:rPr>
        <w:t xml:space="preserve"> in the prescribed form to the </w:t>
      </w:r>
      <w:hyperlink w:anchor="_2.1—Definitions" w:history="1">
        <w:r w:rsidR="00896161" w:rsidRPr="00B40A77">
          <w:rPr>
            <w:rStyle w:val="Hyperlink"/>
            <w:rFonts w:cs="Arial"/>
            <w:color w:val="000000" w:themeColor="text1"/>
          </w:rPr>
          <w:t>Sheriff</w:t>
        </w:r>
      </w:hyperlink>
      <w:r w:rsidRPr="00B40A77">
        <w:rPr>
          <w:iCs/>
          <w:color w:val="000000" w:themeColor="text1"/>
          <w:lang w:val="en-US"/>
        </w:rPr>
        <w:t xml:space="preserve">, </w:t>
      </w:r>
      <w:hyperlink w:anchor="_2.1—Definitions" w:history="1">
        <w:r w:rsidR="0027258B" w:rsidRPr="00B40A77">
          <w:rPr>
            <w:rStyle w:val="Hyperlink"/>
            <w:color w:val="000000" w:themeColor="text1"/>
            <w:lang w:val="en-US"/>
          </w:rPr>
          <w:t>SAPOL</w:t>
        </w:r>
      </w:hyperlink>
      <w:r w:rsidRPr="00B40A77">
        <w:rPr>
          <w:iCs/>
          <w:color w:val="000000" w:themeColor="text1"/>
          <w:lang w:val="en-US"/>
        </w:rPr>
        <w:t xml:space="preserve"> and the </w:t>
      </w:r>
      <w:hyperlink w:anchor="_42.1—Definitions" w:history="1">
        <w:r w:rsidRPr="00B40A77">
          <w:rPr>
            <w:rStyle w:val="Hyperlink"/>
            <w:iCs/>
            <w:color w:val="000000" w:themeColor="text1"/>
            <w:lang w:val="en-US"/>
          </w:rPr>
          <w:t xml:space="preserve">Minister </w:t>
        </w:r>
        <w:r w:rsidR="00DB0E85" w:rsidRPr="00B40A77">
          <w:rPr>
            <w:rStyle w:val="Hyperlink"/>
            <w:color w:val="000000" w:themeColor="text1"/>
          </w:rPr>
          <w:t>for Health</w:t>
        </w:r>
      </w:hyperlink>
      <w:r w:rsidR="00DB0E85" w:rsidRPr="00B40A77">
        <w:rPr>
          <w:color w:val="000000" w:themeColor="text1"/>
        </w:rPr>
        <w:t xml:space="preserve"> </w:t>
      </w:r>
      <w:r w:rsidRPr="00B40A77">
        <w:rPr>
          <w:iCs/>
          <w:color w:val="000000" w:themeColor="text1"/>
          <w:lang w:val="en-US"/>
        </w:rPr>
        <w:t xml:space="preserve">or </w:t>
      </w:r>
      <w:hyperlink w:anchor="_2.1—Definitions" w:history="1">
        <w:r w:rsidR="00B9204D" w:rsidRPr="00B40A77">
          <w:rPr>
            <w:rStyle w:val="Hyperlink"/>
            <w:rFonts w:cs="Arial"/>
            <w:color w:val="000000" w:themeColor="text1"/>
          </w:rPr>
          <w:t>Chief Executive</w:t>
        </w:r>
      </w:hyperlink>
      <w:r w:rsidRPr="00B40A77">
        <w:rPr>
          <w:iCs/>
          <w:color w:val="000000" w:themeColor="text1"/>
          <w:lang w:val="en-US"/>
        </w:rPr>
        <w:t>.</w:t>
      </w:r>
    </w:p>
    <w:p w14:paraId="488315CC" w14:textId="77777777" w:rsidR="00CD7041" w:rsidRPr="00B40A77" w:rsidRDefault="00CD7041" w:rsidP="0033795E">
      <w:pPr>
        <w:pStyle w:val="NoteHeader"/>
        <w:keepNext/>
        <w:rPr>
          <w:color w:val="000000" w:themeColor="text1"/>
        </w:rPr>
      </w:pPr>
      <w:r w:rsidRPr="00B40A77">
        <w:rPr>
          <w:color w:val="000000" w:themeColor="text1"/>
        </w:rPr>
        <w:t>Prescribed form—</w:t>
      </w:r>
    </w:p>
    <w:p w14:paraId="67E81EB4" w14:textId="3A928623" w:rsidR="00CD7041" w:rsidRPr="00B40A77" w:rsidRDefault="00CD7041" w:rsidP="00763BB3">
      <w:pPr>
        <w:pStyle w:val="NoteText"/>
        <w:rPr>
          <w:color w:val="000000" w:themeColor="text1"/>
        </w:rPr>
      </w:pPr>
      <w:r w:rsidRPr="00B40A77">
        <w:rPr>
          <w:color w:val="000000" w:themeColor="text1"/>
        </w:rPr>
        <w:t>F</w:t>
      </w:r>
      <w:r w:rsidR="00312CD0" w:rsidRPr="00B40A77">
        <w:rPr>
          <w:color w:val="000000" w:themeColor="text1"/>
        </w:rPr>
        <w:t>orm 3</w:t>
      </w:r>
      <w:r w:rsidR="00B721B5" w:rsidRPr="00B40A77">
        <w:rPr>
          <w:color w:val="000000" w:themeColor="text1"/>
        </w:rPr>
        <w:t>4</w:t>
      </w:r>
      <w:r w:rsidR="00D050EF" w:rsidRPr="00B40A77">
        <w:rPr>
          <w:color w:val="000000" w:themeColor="text1"/>
        </w:rPr>
        <w:t xml:space="preserve">A </w:t>
      </w:r>
      <w:hyperlink r:id="rId113" w:history="1">
        <w:r w:rsidR="00D050EF" w:rsidRPr="00B40A77">
          <w:rPr>
            <w:rStyle w:val="Hyperlink"/>
            <w:color w:val="000000" w:themeColor="text1"/>
          </w:rPr>
          <w:t xml:space="preserve">Warrant of </w:t>
        </w:r>
        <w:r w:rsidR="002E0B8E" w:rsidRPr="00B40A77">
          <w:rPr>
            <w:rStyle w:val="Hyperlink"/>
            <w:color w:val="000000" w:themeColor="text1"/>
          </w:rPr>
          <w:t>R</w:t>
        </w:r>
        <w:r w:rsidR="00D050EF" w:rsidRPr="00B40A77">
          <w:rPr>
            <w:rStyle w:val="Hyperlink"/>
            <w:color w:val="000000" w:themeColor="text1"/>
          </w:rPr>
          <w:t>emand</w:t>
        </w:r>
        <w:r w:rsidR="000726A2" w:rsidRPr="00B40A77">
          <w:rPr>
            <w:rStyle w:val="Hyperlink"/>
            <w:color w:val="000000" w:themeColor="text1"/>
          </w:rPr>
          <w:t xml:space="preserve"> or </w:t>
        </w:r>
        <w:r w:rsidR="002E0B8E" w:rsidRPr="00B40A77">
          <w:rPr>
            <w:rStyle w:val="Hyperlink"/>
            <w:color w:val="000000" w:themeColor="text1"/>
          </w:rPr>
          <w:t>M</w:t>
        </w:r>
        <w:r w:rsidR="00E570AE" w:rsidRPr="00B40A77">
          <w:rPr>
            <w:rStyle w:val="Hyperlink"/>
            <w:color w:val="000000" w:themeColor="text1"/>
          </w:rPr>
          <w:t>andate</w:t>
        </w:r>
      </w:hyperlink>
    </w:p>
    <w:p w14:paraId="5B519CFE" w14:textId="1430976C" w:rsidR="00D2319D" w:rsidRPr="00B40A77" w:rsidRDefault="00D2319D" w:rsidP="0033795E">
      <w:pPr>
        <w:pStyle w:val="Hangindent"/>
        <w:keepNext/>
        <w:rPr>
          <w:iCs/>
          <w:color w:val="000000" w:themeColor="text1"/>
          <w:lang w:val="en-US"/>
        </w:rPr>
      </w:pPr>
      <w:r w:rsidRPr="00B40A77">
        <w:rPr>
          <w:i/>
          <w:color w:val="000000" w:themeColor="text1"/>
          <w:sz w:val="24"/>
          <w:szCs w:val="24"/>
          <w:lang w:val="en-US"/>
        </w:rPr>
        <w:t>Lower Courts</w:t>
      </w:r>
      <w:r w:rsidRPr="00B40A77">
        <w:rPr>
          <w:iCs/>
          <w:color w:val="000000" w:themeColor="text1"/>
          <w:lang w:val="en-US"/>
        </w:rPr>
        <w:t xml:space="preserve"> </w:t>
      </w:r>
    </w:p>
    <w:p w14:paraId="72CEB370" w14:textId="05F7174B" w:rsidR="00D050EF" w:rsidRPr="00B40A77" w:rsidRDefault="004F1599" w:rsidP="0033795E">
      <w:pPr>
        <w:pStyle w:val="Hangindent"/>
        <w:keepNext/>
        <w:rPr>
          <w:color w:val="000000" w:themeColor="text1"/>
          <w:lang w:val="en-US"/>
        </w:rPr>
      </w:pPr>
      <w:r w:rsidRPr="00B40A77">
        <w:rPr>
          <w:iCs/>
          <w:color w:val="000000" w:themeColor="text1"/>
          <w:lang w:val="en-US"/>
        </w:rPr>
        <w:t>(2)</w:t>
      </w:r>
      <w:r w:rsidRPr="00B40A77">
        <w:rPr>
          <w:iCs/>
          <w:color w:val="000000" w:themeColor="text1"/>
          <w:lang w:val="en-US"/>
        </w:rPr>
        <w:tab/>
      </w:r>
      <w:r w:rsidR="00D050EF" w:rsidRPr="00B40A77">
        <w:rPr>
          <w:iCs/>
          <w:color w:val="000000" w:themeColor="text1"/>
          <w:lang w:val="en-US"/>
        </w:rPr>
        <w:t xml:space="preserve">If the Court remands a defendant or youth in custody </w:t>
      </w:r>
      <w:r w:rsidR="002A0530" w:rsidRPr="00B40A77">
        <w:rPr>
          <w:iCs/>
          <w:color w:val="000000" w:themeColor="text1"/>
          <w:lang w:val="en-US"/>
        </w:rPr>
        <w:t xml:space="preserve">on committal of the person for </w:t>
      </w:r>
      <w:hyperlink w:anchor="_2.1—Definitions" w:history="1">
        <w:r w:rsidR="00E46B25" w:rsidRPr="00B40A77">
          <w:rPr>
            <w:rStyle w:val="Hyperlink"/>
            <w:color w:val="000000" w:themeColor="text1"/>
            <w:lang w:val="en-US"/>
          </w:rPr>
          <w:t>trial</w:t>
        </w:r>
      </w:hyperlink>
      <w:r w:rsidR="002A0530" w:rsidRPr="00B40A77">
        <w:rPr>
          <w:iCs/>
          <w:color w:val="000000" w:themeColor="text1"/>
          <w:lang w:val="en-US"/>
        </w:rPr>
        <w:t xml:space="preserve"> or </w:t>
      </w:r>
      <w:hyperlink w:anchor="_2.1—Definitions" w:history="1">
        <w:r w:rsidR="00596ADA" w:rsidRPr="00B40A77">
          <w:rPr>
            <w:rStyle w:val="Hyperlink"/>
            <w:color w:val="000000" w:themeColor="text1"/>
          </w:rPr>
          <w:t>sentence</w:t>
        </w:r>
      </w:hyperlink>
      <w:r w:rsidR="002A0530" w:rsidRPr="00B40A77">
        <w:rPr>
          <w:iCs/>
          <w:color w:val="000000" w:themeColor="text1"/>
          <w:lang w:val="en-US"/>
        </w:rPr>
        <w:t>,</w:t>
      </w:r>
      <w:r w:rsidR="00D050EF" w:rsidRPr="00B40A77">
        <w:rPr>
          <w:iCs/>
          <w:color w:val="000000" w:themeColor="text1"/>
          <w:lang w:val="en-US"/>
        </w:rPr>
        <w:t xml:space="preserve"> </w:t>
      </w:r>
      <w:r w:rsidR="006F66CD" w:rsidRPr="00B40A77">
        <w:rPr>
          <w:iCs/>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D050EF" w:rsidRPr="00B40A77">
        <w:rPr>
          <w:iCs/>
          <w:color w:val="000000" w:themeColor="text1"/>
          <w:lang w:val="en-US"/>
        </w:rPr>
        <w:t xml:space="preserve"> must </w:t>
      </w:r>
      <w:r w:rsidR="000726A2" w:rsidRPr="00B40A77">
        <w:rPr>
          <w:iCs/>
          <w:color w:val="000000" w:themeColor="text1"/>
          <w:lang w:val="en-US"/>
        </w:rPr>
        <w:t xml:space="preserve">cause to be issued </w:t>
      </w:r>
      <w:r w:rsidR="00D050EF" w:rsidRPr="00B40A77">
        <w:rPr>
          <w:iCs/>
          <w:color w:val="000000" w:themeColor="text1"/>
          <w:lang w:val="en-US"/>
        </w:rPr>
        <w:t>a warrant of remand</w:t>
      </w:r>
      <w:r w:rsidR="000726A2" w:rsidRPr="00B40A77">
        <w:rPr>
          <w:iCs/>
          <w:color w:val="000000" w:themeColor="text1"/>
          <w:lang w:val="en-US"/>
        </w:rPr>
        <w:t xml:space="preserve"> or </w:t>
      </w:r>
      <w:r w:rsidR="00E570AE" w:rsidRPr="00B40A77">
        <w:rPr>
          <w:iCs/>
          <w:color w:val="000000" w:themeColor="text1"/>
          <w:lang w:val="en-US"/>
        </w:rPr>
        <w:t>mandate</w:t>
      </w:r>
      <w:r w:rsidR="00D050EF" w:rsidRPr="00B40A77">
        <w:rPr>
          <w:iCs/>
          <w:color w:val="000000" w:themeColor="text1"/>
          <w:lang w:val="en-US"/>
        </w:rPr>
        <w:t xml:space="preserve"> in the prescribed form to the </w:t>
      </w:r>
      <w:hyperlink w:anchor="_2.1—Definitions" w:history="1">
        <w:r w:rsidR="00896161" w:rsidRPr="00B40A77">
          <w:rPr>
            <w:rStyle w:val="Hyperlink"/>
            <w:rFonts w:cs="Arial"/>
            <w:color w:val="000000" w:themeColor="text1"/>
          </w:rPr>
          <w:t>Sheriff</w:t>
        </w:r>
      </w:hyperlink>
      <w:r w:rsidR="00D050EF" w:rsidRPr="00B40A77">
        <w:rPr>
          <w:iCs/>
          <w:color w:val="000000" w:themeColor="text1"/>
          <w:lang w:val="en-US"/>
        </w:rPr>
        <w:t xml:space="preserve">, </w:t>
      </w:r>
      <w:hyperlink w:anchor="_2.1—Definitions" w:history="1">
        <w:r w:rsidR="0027258B" w:rsidRPr="00B40A77">
          <w:rPr>
            <w:rStyle w:val="Hyperlink"/>
            <w:color w:val="000000" w:themeColor="text1"/>
            <w:lang w:val="en-US"/>
          </w:rPr>
          <w:t>SAPOL</w:t>
        </w:r>
      </w:hyperlink>
      <w:r w:rsidR="00D050EF" w:rsidRPr="00B40A77">
        <w:rPr>
          <w:iCs/>
          <w:color w:val="000000" w:themeColor="text1"/>
          <w:lang w:val="en-US"/>
        </w:rPr>
        <w:t xml:space="preserve"> and the </w:t>
      </w:r>
      <w:hyperlink w:anchor="_42.1—Definitions" w:history="1">
        <w:r w:rsidR="006467A8" w:rsidRPr="00B40A77">
          <w:rPr>
            <w:rStyle w:val="Hyperlink"/>
            <w:iCs/>
            <w:color w:val="000000" w:themeColor="text1"/>
            <w:lang w:val="en-US"/>
          </w:rPr>
          <w:t xml:space="preserve">Minister </w:t>
        </w:r>
        <w:r w:rsidR="006467A8" w:rsidRPr="00B40A77">
          <w:rPr>
            <w:rStyle w:val="Hyperlink"/>
            <w:color w:val="000000" w:themeColor="text1"/>
          </w:rPr>
          <w:t>for Health</w:t>
        </w:r>
      </w:hyperlink>
      <w:r w:rsidR="009E6B4E" w:rsidRPr="00B40A77">
        <w:rPr>
          <w:color w:val="000000" w:themeColor="text1"/>
        </w:rPr>
        <w:t xml:space="preserve"> </w:t>
      </w:r>
      <w:r w:rsidR="00D050EF" w:rsidRPr="00B40A77">
        <w:rPr>
          <w:iCs/>
          <w:color w:val="000000" w:themeColor="text1"/>
          <w:lang w:val="en-US"/>
        </w:rPr>
        <w:t xml:space="preserve">or </w:t>
      </w:r>
      <w:hyperlink w:anchor="_2.1—Definitions" w:history="1">
        <w:r w:rsidR="00B9204D" w:rsidRPr="00B40A77">
          <w:rPr>
            <w:rStyle w:val="Hyperlink"/>
            <w:rFonts w:cs="Arial"/>
            <w:color w:val="000000" w:themeColor="text1"/>
          </w:rPr>
          <w:t>Chief Executive</w:t>
        </w:r>
      </w:hyperlink>
      <w:r w:rsidR="00D050EF" w:rsidRPr="00B40A77">
        <w:rPr>
          <w:iCs/>
          <w:color w:val="000000" w:themeColor="text1"/>
          <w:lang w:val="en-US"/>
        </w:rPr>
        <w:t>.</w:t>
      </w:r>
    </w:p>
    <w:p w14:paraId="7EC6B4EA" w14:textId="77777777" w:rsidR="00D050EF" w:rsidRPr="00B40A77" w:rsidRDefault="00D050EF" w:rsidP="0033795E">
      <w:pPr>
        <w:pStyle w:val="NoteHeader"/>
        <w:keepNext/>
        <w:rPr>
          <w:color w:val="000000" w:themeColor="text1"/>
        </w:rPr>
      </w:pPr>
      <w:r w:rsidRPr="00B40A77">
        <w:rPr>
          <w:color w:val="000000" w:themeColor="text1"/>
        </w:rPr>
        <w:t>Prescribed form—</w:t>
      </w:r>
    </w:p>
    <w:p w14:paraId="28175E22" w14:textId="7345455A" w:rsidR="00D050EF" w:rsidRPr="00B40A77" w:rsidRDefault="00D050EF" w:rsidP="00763BB3">
      <w:pPr>
        <w:pStyle w:val="NoteText"/>
        <w:rPr>
          <w:color w:val="000000" w:themeColor="text1"/>
        </w:rPr>
      </w:pPr>
      <w:r w:rsidRPr="00B40A77">
        <w:rPr>
          <w:color w:val="000000" w:themeColor="text1"/>
        </w:rPr>
        <w:t>F</w:t>
      </w:r>
      <w:r w:rsidR="00312CD0" w:rsidRPr="00B40A77">
        <w:rPr>
          <w:color w:val="000000" w:themeColor="text1"/>
        </w:rPr>
        <w:t>orm 3</w:t>
      </w:r>
      <w:r w:rsidR="00841DFF" w:rsidRPr="00B40A77">
        <w:rPr>
          <w:color w:val="000000" w:themeColor="text1"/>
        </w:rPr>
        <w:t>4</w:t>
      </w:r>
      <w:r w:rsidRPr="00B40A77">
        <w:rPr>
          <w:color w:val="000000" w:themeColor="text1"/>
        </w:rPr>
        <w:t xml:space="preserve">B </w:t>
      </w:r>
      <w:hyperlink r:id="rId114" w:history="1">
        <w:r w:rsidR="002E0B8E" w:rsidRPr="00B40A77">
          <w:rPr>
            <w:rStyle w:val="Hyperlink"/>
            <w:color w:val="000000" w:themeColor="text1"/>
          </w:rPr>
          <w:t>Order</w:t>
        </w:r>
        <w:r w:rsidRPr="00B40A77">
          <w:rPr>
            <w:rStyle w:val="Hyperlink"/>
            <w:color w:val="000000" w:themeColor="text1"/>
          </w:rPr>
          <w:t xml:space="preserve"> of </w:t>
        </w:r>
        <w:r w:rsidR="002E0B8E" w:rsidRPr="00B40A77">
          <w:rPr>
            <w:rStyle w:val="Hyperlink"/>
            <w:color w:val="000000" w:themeColor="text1"/>
          </w:rPr>
          <w:t>R</w:t>
        </w:r>
        <w:r w:rsidRPr="00B40A77">
          <w:rPr>
            <w:rStyle w:val="Hyperlink"/>
            <w:color w:val="000000" w:themeColor="text1"/>
          </w:rPr>
          <w:t>emand</w:t>
        </w:r>
        <w:r w:rsidR="000726A2" w:rsidRPr="00B40A77">
          <w:rPr>
            <w:rStyle w:val="Hyperlink"/>
            <w:color w:val="000000" w:themeColor="text1"/>
          </w:rPr>
          <w:t xml:space="preserve"> or </w:t>
        </w:r>
        <w:r w:rsidR="002E0B8E" w:rsidRPr="00B40A77">
          <w:rPr>
            <w:rStyle w:val="Hyperlink"/>
            <w:color w:val="000000" w:themeColor="text1"/>
          </w:rPr>
          <w:t>M</w:t>
        </w:r>
        <w:r w:rsidR="001467CA" w:rsidRPr="00B40A77">
          <w:rPr>
            <w:rStyle w:val="Hyperlink"/>
            <w:color w:val="000000" w:themeColor="text1"/>
          </w:rPr>
          <w:t>andate</w:t>
        </w:r>
      </w:hyperlink>
    </w:p>
    <w:p w14:paraId="435AD8A6" w14:textId="756ED0CB" w:rsidR="002A0530" w:rsidRPr="00B40A77" w:rsidRDefault="002A0530" w:rsidP="0033795E">
      <w:pPr>
        <w:pStyle w:val="Hangindent"/>
        <w:keepNext/>
        <w:rPr>
          <w:iCs/>
          <w:color w:val="000000" w:themeColor="text1"/>
          <w:sz w:val="24"/>
          <w:szCs w:val="24"/>
          <w:lang w:val="en-US"/>
        </w:rPr>
      </w:pPr>
      <w:r w:rsidRPr="00B40A77">
        <w:rPr>
          <w:i/>
          <w:color w:val="000000" w:themeColor="text1"/>
          <w:sz w:val="24"/>
          <w:szCs w:val="24"/>
          <w:lang w:val="en-US"/>
        </w:rPr>
        <w:t>Higher Courts</w:t>
      </w:r>
    </w:p>
    <w:p w14:paraId="1FE7AF52" w14:textId="6235046D" w:rsidR="002A0530" w:rsidRPr="00B40A77" w:rsidRDefault="00080860" w:rsidP="0033795E">
      <w:pPr>
        <w:pStyle w:val="Hangindent"/>
        <w:keepNext/>
        <w:rPr>
          <w:color w:val="000000" w:themeColor="text1"/>
          <w:lang w:val="en-US"/>
        </w:rPr>
      </w:pPr>
      <w:r w:rsidRPr="00B40A77">
        <w:rPr>
          <w:iCs/>
          <w:color w:val="000000" w:themeColor="text1"/>
          <w:lang w:val="en-US"/>
        </w:rPr>
        <w:t>(3)</w:t>
      </w:r>
      <w:r w:rsidRPr="00B40A77">
        <w:rPr>
          <w:iCs/>
          <w:color w:val="000000" w:themeColor="text1"/>
          <w:lang w:val="en-US"/>
        </w:rPr>
        <w:tab/>
      </w:r>
      <w:r w:rsidR="002A0530" w:rsidRPr="00B40A77">
        <w:rPr>
          <w:iCs/>
          <w:color w:val="000000" w:themeColor="text1"/>
          <w:lang w:val="en-US"/>
        </w:rPr>
        <w:t xml:space="preserve">If the Court remands a defendant in custody, unless the Court otherwise orders, </w:t>
      </w:r>
      <w:r w:rsidR="006F66CD" w:rsidRPr="00B40A77">
        <w:rPr>
          <w:iCs/>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2A0530" w:rsidRPr="00B40A77">
        <w:rPr>
          <w:iCs/>
          <w:color w:val="000000" w:themeColor="text1"/>
          <w:lang w:val="en-US"/>
        </w:rPr>
        <w:t xml:space="preserve"> must </w:t>
      </w:r>
      <w:r w:rsidR="000726A2" w:rsidRPr="00B40A77">
        <w:rPr>
          <w:iCs/>
          <w:color w:val="000000" w:themeColor="text1"/>
          <w:lang w:val="en-US"/>
        </w:rPr>
        <w:t xml:space="preserve">cause to be issued </w:t>
      </w:r>
      <w:r w:rsidR="002A0530" w:rsidRPr="00B40A77">
        <w:rPr>
          <w:iCs/>
          <w:color w:val="000000" w:themeColor="text1"/>
          <w:lang w:val="en-US"/>
        </w:rPr>
        <w:t xml:space="preserve">a warrant of remand in the prescribed form to the </w:t>
      </w:r>
      <w:hyperlink w:anchor="_2.1—Definitions" w:history="1">
        <w:r w:rsidR="00896161" w:rsidRPr="00B40A77">
          <w:rPr>
            <w:rStyle w:val="Hyperlink"/>
            <w:rFonts w:cs="Arial"/>
            <w:color w:val="000000" w:themeColor="text1"/>
          </w:rPr>
          <w:t>Sheriff</w:t>
        </w:r>
      </w:hyperlink>
      <w:r w:rsidR="002A0530" w:rsidRPr="00B40A77">
        <w:rPr>
          <w:iCs/>
          <w:color w:val="000000" w:themeColor="text1"/>
          <w:lang w:val="en-US"/>
        </w:rPr>
        <w:t xml:space="preserve">, </w:t>
      </w:r>
      <w:hyperlink w:anchor="_2.1—Definitions" w:history="1">
        <w:r w:rsidR="0027258B" w:rsidRPr="00B40A77">
          <w:rPr>
            <w:rStyle w:val="Hyperlink"/>
            <w:color w:val="000000" w:themeColor="text1"/>
            <w:lang w:val="en-US"/>
          </w:rPr>
          <w:t>SAPOL</w:t>
        </w:r>
      </w:hyperlink>
      <w:r w:rsidR="002A0530" w:rsidRPr="00B40A77">
        <w:rPr>
          <w:iCs/>
          <w:color w:val="000000" w:themeColor="text1"/>
          <w:lang w:val="en-US"/>
        </w:rPr>
        <w:t xml:space="preserve"> and the</w:t>
      </w:r>
      <w:r w:rsidR="00E9115C" w:rsidRPr="00B40A77">
        <w:rPr>
          <w:iCs/>
          <w:color w:val="000000" w:themeColor="text1"/>
          <w:lang w:val="en-US"/>
        </w:rPr>
        <w:t xml:space="preserve"> </w:t>
      </w:r>
      <w:hyperlink w:anchor="_42.1—Definitions" w:history="1">
        <w:r w:rsidR="006467A8" w:rsidRPr="00B40A77">
          <w:rPr>
            <w:rStyle w:val="Hyperlink"/>
            <w:iCs/>
            <w:color w:val="000000" w:themeColor="text1"/>
            <w:lang w:val="en-US"/>
          </w:rPr>
          <w:t xml:space="preserve">Minister </w:t>
        </w:r>
        <w:r w:rsidR="006467A8" w:rsidRPr="00B40A77">
          <w:rPr>
            <w:rStyle w:val="Hyperlink"/>
            <w:color w:val="000000" w:themeColor="text1"/>
          </w:rPr>
          <w:t>for Health</w:t>
        </w:r>
      </w:hyperlink>
      <w:r w:rsidR="00186780" w:rsidRPr="00B40A77">
        <w:rPr>
          <w:iCs/>
          <w:color w:val="000000" w:themeColor="text1"/>
          <w:lang w:val="en-US"/>
        </w:rPr>
        <w:t xml:space="preserve"> </w:t>
      </w:r>
      <w:r w:rsidR="002A0530" w:rsidRPr="00B40A77">
        <w:rPr>
          <w:iCs/>
          <w:color w:val="000000" w:themeColor="text1"/>
          <w:lang w:val="en-US"/>
        </w:rPr>
        <w:t xml:space="preserve">or </w:t>
      </w:r>
      <w:hyperlink w:anchor="_2.1—Definitions" w:history="1">
        <w:r w:rsidR="00B9204D" w:rsidRPr="00B40A77">
          <w:rPr>
            <w:rStyle w:val="Hyperlink"/>
            <w:rFonts w:cs="Arial"/>
            <w:color w:val="000000" w:themeColor="text1"/>
          </w:rPr>
          <w:t>Chief Executive</w:t>
        </w:r>
      </w:hyperlink>
      <w:r w:rsidR="002A0530" w:rsidRPr="00B40A77">
        <w:rPr>
          <w:iCs/>
          <w:color w:val="000000" w:themeColor="text1"/>
          <w:lang w:val="en-US"/>
        </w:rPr>
        <w:t>.</w:t>
      </w:r>
    </w:p>
    <w:p w14:paraId="163DA134" w14:textId="77777777" w:rsidR="002A0530" w:rsidRPr="00B40A77" w:rsidRDefault="002A0530" w:rsidP="005C48FA">
      <w:pPr>
        <w:pStyle w:val="NoteHeader"/>
        <w:keepNext/>
        <w:rPr>
          <w:color w:val="000000" w:themeColor="text1"/>
        </w:rPr>
      </w:pPr>
      <w:r w:rsidRPr="00B40A77">
        <w:rPr>
          <w:color w:val="000000" w:themeColor="text1"/>
        </w:rPr>
        <w:t>Prescribed form—</w:t>
      </w:r>
    </w:p>
    <w:p w14:paraId="555DF525" w14:textId="26F7C78E" w:rsidR="002A0530" w:rsidRPr="00B40A77" w:rsidRDefault="002A0530" w:rsidP="00763BB3">
      <w:pPr>
        <w:pStyle w:val="NoteText"/>
        <w:rPr>
          <w:color w:val="000000" w:themeColor="text1"/>
        </w:rPr>
      </w:pPr>
      <w:r w:rsidRPr="00B40A77">
        <w:rPr>
          <w:color w:val="000000" w:themeColor="text1"/>
        </w:rPr>
        <w:t>F</w:t>
      </w:r>
      <w:r w:rsidR="00312CD0" w:rsidRPr="00B40A77">
        <w:rPr>
          <w:color w:val="000000" w:themeColor="text1"/>
        </w:rPr>
        <w:t>orm 3</w:t>
      </w:r>
      <w:r w:rsidR="000D1A14" w:rsidRPr="00B40A77">
        <w:rPr>
          <w:color w:val="000000" w:themeColor="text1"/>
        </w:rPr>
        <w:t>4</w:t>
      </w:r>
      <w:r w:rsidRPr="00B40A77">
        <w:rPr>
          <w:color w:val="000000" w:themeColor="text1"/>
        </w:rPr>
        <w:t xml:space="preserve">B </w:t>
      </w:r>
      <w:hyperlink r:id="rId115" w:history="1">
        <w:r w:rsidR="006667B1" w:rsidRPr="00B40A77">
          <w:rPr>
            <w:rStyle w:val="Hyperlink"/>
            <w:color w:val="000000" w:themeColor="text1"/>
          </w:rPr>
          <w:t xml:space="preserve">Order </w:t>
        </w:r>
        <w:r w:rsidRPr="00B40A77">
          <w:rPr>
            <w:rStyle w:val="Hyperlink"/>
            <w:color w:val="000000" w:themeColor="text1"/>
          </w:rPr>
          <w:t xml:space="preserve">of </w:t>
        </w:r>
        <w:r w:rsidR="006667B1" w:rsidRPr="00B40A77">
          <w:rPr>
            <w:rStyle w:val="Hyperlink"/>
            <w:color w:val="000000" w:themeColor="text1"/>
          </w:rPr>
          <w:t>R</w:t>
        </w:r>
        <w:r w:rsidRPr="00B40A77">
          <w:rPr>
            <w:rStyle w:val="Hyperlink"/>
            <w:color w:val="000000" w:themeColor="text1"/>
          </w:rPr>
          <w:t>emand</w:t>
        </w:r>
        <w:r w:rsidR="006667B1" w:rsidRPr="00B40A77">
          <w:rPr>
            <w:rStyle w:val="Hyperlink"/>
            <w:color w:val="000000" w:themeColor="text1"/>
          </w:rPr>
          <w:t xml:space="preserve"> or M</w:t>
        </w:r>
        <w:r w:rsidR="001467CA" w:rsidRPr="00B40A77">
          <w:rPr>
            <w:rStyle w:val="Hyperlink"/>
            <w:color w:val="000000" w:themeColor="text1"/>
          </w:rPr>
          <w:t>andate</w:t>
        </w:r>
      </w:hyperlink>
    </w:p>
    <w:p w14:paraId="7C8BACA3" w14:textId="067CFE32" w:rsidR="0043701F" w:rsidRPr="00B40A77" w:rsidRDefault="00D00AFF" w:rsidP="0043701F">
      <w:pPr>
        <w:pStyle w:val="Heading4"/>
        <w:rPr>
          <w:color w:val="000000" w:themeColor="text1"/>
        </w:rPr>
      </w:pPr>
      <w:bookmarkStart w:id="378" w:name="_Toc175238919"/>
      <w:r w:rsidRPr="00B40A77">
        <w:rPr>
          <w:color w:val="000000" w:themeColor="text1"/>
        </w:rPr>
        <w:t>42</w:t>
      </w:r>
      <w:r w:rsidR="0043701F" w:rsidRPr="00B40A77">
        <w:rPr>
          <w:color w:val="000000" w:themeColor="text1"/>
        </w:rPr>
        <w:t>.</w:t>
      </w:r>
      <w:r w:rsidR="00284CE2" w:rsidRPr="00B40A77">
        <w:rPr>
          <w:color w:val="000000" w:themeColor="text1"/>
        </w:rPr>
        <w:t>3</w:t>
      </w:r>
      <w:r w:rsidR="0043701F" w:rsidRPr="00B40A77">
        <w:rPr>
          <w:color w:val="000000" w:themeColor="text1"/>
        </w:rPr>
        <w:t>—Warrant of interim detention</w:t>
      </w:r>
      <w:bookmarkEnd w:id="378"/>
    </w:p>
    <w:p w14:paraId="156AF3E9" w14:textId="234E939A" w:rsidR="0043701F" w:rsidRPr="00B40A77" w:rsidRDefault="0043701F" w:rsidP="0033795E">
      <w:pPr>
        <w:pStyle w:val="Hangindent"/>
        <w:keepNext/>
        <w:rPr>
          <w:color w:val="000000" w:themeColor="text1"/>
          <w:lang w:val="en-US"/>
        </w:rPr>
      </w:pPr>
      <w:r w:rsidRPr="00B40A77">
        <w:rPr>
          <w:iCs/>
          <w:color w:val="000000" w:themeColor="text1"/>
          <w:lang w:val="en-US"/>
        </w:rPr>
        <w:t>(1)</w:t>
      </w:r>
      <w:r w:rsidRPr="00B40A77">
        <w:rPr>
          <w:iCs/>
          <w:color w:val="000000" w:themeColor="text1"/>
          <w:lang w:val="en-US"/>
        </w:rPr>
        <w:tab/>
        <w:t>If the Court remands a defendant in custody (whether in a hospital or prison) under section</w:t>
      </w:r>
      <w:r w:rsidR="0068622B" w:rsidRPr="00B40A77">
        <w:rPr>
          <w:iCs/>
          <w:color w:val="000000" w:themeColor="text1"/>
          <w:lang w:val="en-US"/>
        </w:rPr>
        <w:t> </w:t>
      </w:r>
      <w:r w:rsidRPr="00B40A77">
        <w:rPr>
          <w:iCs/>
          <w:color w:val="000000" w:themeColor="text1"/>
          <w:lang w:val="en-US"/>
        </w:rPr>
        <w:t xml:space="preserve">20B of the Crimes Act, </w:t>
      </w:r>
      <w:r w:rsidR="006F66CD" w:rsidRPr="00B40A77">
        <w:rPr>
          <w:iCs/>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iCs/>
          <w:color w:val="000000" w:themeColor="text1"/>
          <w:lang w:val="en-US"/>
        </w:rPr>
        <w:t xml:space="preserve"> must </w:t>
      </w:r>
      <w:r w:rsidR="007708FB" w:rsidRPr="00B40A77">
        <w:rPr>
          <w:iCs/>
          <w:color w:val="000000" w:themeColor="text1"/>
          <w:lang w:val="en-US"/>
        </w:rPr>
        <w:t xml:space="preserve">cause to be issued </w:t>
      </w:r>
      <w:r w:rsidRPr="00B40A77">
        <w:rPr>
          <w:iCs/>
          <w:color w:val="000000" w:themeColor="text1"/>
          <w:lang w:val="en-US"/>
        </w:rPr>
        <w:t xml:space="preserve">a warrant of </w:t>
      </w:r>
      <w:r w:rsidR="00F331A9" w:rsidRPr="00B40A77">
        <w:rPr>
          <w:iCs/>
          <w:color w:val="000000" w:themeColor="text1"/>
          <w:lang w:val="en-US"/>
        </w:rPr>
        <w:t>interim detention</w:t>
      </w:r>
      <w:r w:rsidRPr="00B40A77">
        <w:rPr>
          <w:iCs/>
          <w:color w:val="000000" w:themeColor="text1"/>
          <w:lang w:val="en-US"/>
        </w:rPr>
        <w:t xml:space="preserve"> in the prescribed form to the </w:t>
      </w:r>
      <w:hyperlink w:anchor="_2.1—Definitions" w:history="1">
        <w:r w:rsidR="00896161" w:rsidRPr="00B40A77">
          <w:rPr>
            <w:rStyle w:val="Hyperlink"/>
            <w:rFonts w:cs="Arial"/>
            <w:color w:val="000000" w:themeColor="text1"/>
          </w:rPr>
          <w:t>Sheriff</w:t>
        </w:r>
      </w:hyperlink>
      <w:r w:rsidRPr="00B40A77">
        <w:rPr>
          <w:iCs/>
          <w:color w:val="000000" w:themeColor="text1"/>
          <w:lang w:val="en-US"/>
        </w:rPr>
        <w:t xml:space="preserve">, </w:t>
      </w:r>
      <w:hyperlink w:anchor="_2.1—Definitions" w:history="1">
        <w:r w:rsidR="00344475" w:rsidRPr="00B40A77">
          <w:rPr>
            <w:rStyle w:val="Hyperlink"/>
            <w:color w:val="000000" w:themeColor="text1"/>
            <w:lang w:val="en-US"/>
          </w:rPr>
          <w:t>SAPOL</w:t>
        </w:r>
      </w:hyperlink>
      <w:r w:rsidRPr="00B40A77">
        <w:rPr>
          <w:iCs/>
          <w:color w:val="000000" w:themeColor="text1"/>
          <w:lang w:val="en-US"/>
        </w:rPr>
        <w:t xml:space="preserve"> and the </w:t>
      </w:r>
      <w:hyperlink w:anchor="_42.1—Definitions" w:history="1">
        <w:r w:rsidR="006467A8" w:rsidRPr="00B40A77">
          <w:rPr>
            <w:rStyle w:val="Hyperlink"/>
            <w:iCs/>
            <w:color w:val="000000" w:themeColor="text1"/>
            <w:lang w:val="en-US"/>
          </w:rPr>
          <w:t xml:space="preserve">Minister </w:t>
        </w:r>
        <w:r w:rsidR="006467A8" w:rsidRPr="00B40A77">
          <w:rPr>
            <w:rStyle w:val="Hyperlink"/>
            <w:color w:val="000000" w:themeColor="text1"/>
          </w:rPr>
          <w:t>for Health</w:t>
        </w:r>
      </w:hyperlink>
      <w:r w:rsidR="009E6B4E" w:rsidRPr="00B40A77">
        <w:rPr>
          <w:color w:val="000000" w:themeColor="text1"/>
        </w:rPr>
        <w:t xml:space="preserve"> </w:t>
      </w:r>
      <w:r w:rsidRPr="00B40A77">
        <w:rPr>
          <w:iCs/>
          <w:color w:val="000000" w:themeColor="text1"/>
          <w:lang w:val="en-US"/>
        </w:rPr>
        <w:t xml:space="preserve">or </w:t>
      </w:r>
      <w:hyperlink w:anchor="_2.1—Definitions" w:history="1">
        <w:r w:rsidR="00B9204D" w:rsidRPr="00B40A77">
          <w:rPr>
            <w:rStyle w:val="Hyperlink"/>
            <w:rFonts w:cs="Arial"/>
            <w:color w:val="000000" w:themeColor="text1"/>
          </w:rPr>
          <w:t>Chief Executive</w:t>
        </w:r>
      </w:hyperlink>
      <w:r w:rsidRPr="00B40A77">
        <w:rPr>
          <w:iCs/>
          <w:color w:val="000000" w:themeColor="text1"/>
          <w:lang w:val="en-US"/>
        </w:rPr>
        <w:t>.</w:t>
      </w:r>
    </w:p>
    <w:p w14:paraId="431BED83" w14:textId="77777777" w:rsidR="0043701F" w:rsidRPr="00B40A77" w:rsidRDefault="0043701F" w:rsidP="0033795E">
      <w:pPr>
        <w:pStyle w:val="NoteHeader"/>
        <w:keepNext/>
        <w:rPr>
          <w:color w:val="000000" w:themeColor="text1"/>
        </w:rPr>
      </w:pPr>
      <w:r w:rsidRPr="00B40A77">
        <w:rPr>
          <w:color w:val="000000" w:themeColor="text1"/>
        </w:rPr>
        <w:t>Prescribed form—</w:t>
      </w:r>
    </w:p>
    <w:p w14:paraId="21739974" w14:textId="188140EE" w:rsidR="0043701F" w:rsidRPr="00B40A77" w:rsidRDefault="0043701F" w:rsidP="00763BB3">
      <w:pPr>
        <w:pStyle w:val="NoteText"/>
        <w:rPr>
          <w:color w:val="000000" w:themeColor="text1"/>
        </w:rPr>
      </w:pPr>
      <w:r w:rsidRPr="00B40A77">
        <w:rPr>
          <w:color w:val="000000" w:themeColor="text1"/>
        </w:rPr>
        <w:t>F</w:t>
      </w:r>
      <w:r w:rsidR="00312CD0" w:rsidRPr="00B40A77">
        <w:rPr>
          <w:color w:val="000000" w:themeColor="text1"/>
        </w:rPr>
        <w:t>orm 3</w:t>
      </w:r>
      <w:r w:rsidR="000D1A14" w:rsidRPr="00B40A77">
        <w:rPr>
          <w:color w:val="000000" w:themeColor="text1"/>
        </w:rPr>
        <w:t>4</w:t>
      </w:r>
      <w:r w:rsidRPr="00B40A77">
        <w:rPr>
          <w:color w:val="000000" w:themeColor="text1"/>
        </w:rPr>
        <w:t>C</w:t>
      </w:r>
      <w:r w:rsidR="00F331A9" w:rsidRPr="00B40A77">
        <w:rPr>
          <w:color w:val="000000" w:themeColor="text1"/>
        </w:rPr>
        <w:t xml:space="preserve"> </w:t>
      </w:r>
      <w:hyperlink r:id="rId116" w:history="1">
        <w:r w:rsidR="00F331A9" w:rsidRPr="00B40A77">
          <w:rPr>
            <w:rStyle w:val="Hyperlink"/>
            <w:color w:val="000000" w:themeColor="text1"/>
          </w:rPr>
          <w:t xml:space="preserve">Warrant of Interim Detention </w:t>
        </w:r>
        <w:r w:rsidR="000D1A14" w:rsidRPr="00B40A77">
          <w:rPr>
            <w:rStyle w:val="Hyperlink"/>
            <w:color w:val="000000" w:themeColor="text1"/>
          </w:rPr>
          <w:t xml:space="preserve">– </w:t>
        </w:r>
        <w:r w:rsidR="00F331A9" w:rsidRPr="00B40A77">
          <w:rPr>
            <w:rStyle w:val="Hyperlink"/>
            <w:color w:val="000000" w:themeColor="text1"/>
          </w:rPr>
          <w:t>Crimes Act section 20B</w:t>
        </w:r>
      </w:hyperlink>
    </w:p>
    <w:p w14:paraId="7164E206" w14:textId="3F1DCCE1" w:rsidR="00F331A9" w:rsidRPr="00B40A77" w:rsidRDefault="00F331A9" w:rsidP="0033795E">
      <w:pPr>
        <w:pStyle w:val="Hangindent"/>
        <w:keepNext/>
        <w:rPr>
          <w:color w:val="000000" w:themeColor="text1"/>
          <w:lang w:val="en-US"/>
        </w:rPr>
      </w:pPr>
      <w:r w:rsidRPr="00B40A77">
        <w:rPr>
          <w:iCs/>
          <w:color w:val="000000" w:themeColor="text1"/>
          <w:lang w:val="en-US"/>
        </w:rPr>
        <w:t>(</w:t>
      </w:r>
      <w:r w:rsidR="007708FB" w:rsidRPr="00B40A77">
        <w:rPr>
          <w:iCs/>
          <w:color w:val="000000" w:themeColor="text1"/>
          <w:lang w:val="en-US"/>
        </w:rPr>
        <w:t>2</w:t>
      </w:r>
      <w:r w:rsidRPr="00B40A77">
        <w:rPr>
          <w:iCs/>
          <w:color w:val="000000" w:themeColor="text1"/>
          <w:lang w:val="en-US"/>
        </w:rPr>
        <w:t>)</w:t>
      </w:r>
      <w:r w:rsidRPr="00B40A77">
        <w:rPr>
          <w:iCs/>
          <w:color w:val="000000" w:themeColor="text1"/>
          <w:lang w:val="en-US"/>
        </w:rPr>
        <w:tab/>
        <w:t>If the Court remands a defendant in custody (whether in a hospital or prison) under section</w:t>
      </w:r>
      <w:r w:rsidR="0068622B" w:rsidRPr="00B40A77">
        <w:rPr>
          <w:iCs/>
          <w:color w:val="000000" w:themeColor="text1"/>
          <w:lang w:val="en-US"/>
        </w:rPr>
        <w:t> </w:t>
      </w:r>
      <w:r w:rsidRPr="00B40A77">
        <w:rPr>
          <w:iCs/>
          <w:color w:val="000000" w:themeColor="text1"/>
          <w:lang w:val="en-US"/>
        </w:rPr>
        <w:t xml:space="preserve">20BB of the Crimes Act, </w:t>
      </w:r>
      <w:r w:rsidR="006F66CD" w:rsidRPr="00B40A77">
        <w:rPr>
          <w:iCs/>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iCs/>
          <w:color w:val="000000" w:themeColor="text1"/>
          <w:lang w:val="en-US"/>
        </w:rPr>
        <w:t xml:space="preserve"> must </w:t>
      </w:r>
      <w:r w:rsidR="007708FB" w:rsidRPr="00B40A77">
        <w:rPr>
          <w:iCs/>
          <w:color w:val="000000" w:themeColor="text1"/>
          <w:lang w:val="en-US"/>
        </w:rPr>
        <w:t xml:space="preserve">cause to be issued </w:t>
      </w:r>
      <w:r w:rsidRPr="00B40A77">
        <w:rPr>
          <w:iCs/>
          <w:color w:val="000000" w:themeColor="text1"/>
          <w:lang w:val="en-US"/>
        </w:rPr>
        <w:t xml:space="preserve">a </w:t>
      </w:r>
      <w:r w:rsidRPr="00B40A77">
        <w:rPr>
          <w:iCs/>
          <w:color w:val="000000" w:themeColor="text1"/>
          <w:lang w:val="en-US"/>
        </w:rPr>
        <w:lastRenderedPageBreak/>
        <w:t xml:space="preserve">warrant of interim detention in the prescribed form to the </w:t>
      </w:r>
      <w:hyperlink w:anchor="_2.1—Definitions" w:history="1">
        <w:r w:rsidR="00896161" w:rsidRPr="00B40A77">
          <w:rPr>
            <w:rStyle w:val="Hyperlink"/>
            <w:rFonts w:cs="Arial"/>
            <w:color w:val="000000" w:themeColor="text1"/>
          </w:rPr>
          <w:t>Sheriff</w:t>
        </w:r>
      </w:hyperlink>
      <w:r w:rsidRPr="00B40A77">
        <w:rPr>
          <w:iCs/>
          <w:color w:val="000000" w:themeColor="text1"/>
          <w:lang w:val="en-US"/>
        </w:rPr>
        <w:t xml:space="preserve">, </w:t>
      </w:r>
      <w:hyperlink w:anchor="_2.1—Definitions" w:history="1">
        <w:r w:rsidR="00344475" w:rsidRPr="00B40A77">
          <w:rPr>
            <w:rStyle w:val="Hyperlink"/>
            <w:color w:val="000000" w:themeColor="text1"/>
            <w:lang w:val="en-US"/>
          </w:rPr>
          <w:t>SAPOL</w:t>
        </w:r>
      </w:hyperlink>
      <w:r w:rsidRPr="00B40A77">
        <w:rPr>
          <w:iCs/>
          <w:color w:val="000000" w:themeColor="text1"/>
          <w:lang w:val="en-US"/>
        </w:rPr>
        <w:t xml:space="preserve"> and the </w:t>
      </w:r>
      <w:hyperlink w:anchor="_42.1—Definitions" w:history="1">
        <w:r w:rsidR="006467A8" w:rsidRPr="00B40A77">
          <w:rPr>
            <w:rStyle w:val="Hyperlink"/>
            <w:iCs/>
            <w:color w:val="000000" w:themeColor="text1"/>
            <w:lang w:val="en-US"/>
          </w:rPr>
          <w:t xml:space="preserve">Minister </w:t>
        </w:r>
        <w:r w:rsidR="006467A8" w:rsidRPr="00B40A77">
          <w:rPr>
            <w:rStyle w:val="Hyperlink"/>
            <w:color w:val="000000" w:themeColor="text1"/>
          </w:rPr>
          <w:t>for Health</w:t>
        </w:r>
      </w:hyperlink>
      <w:r w:rsidR="009E6B4E" w:rsidRPr="00B40A77">
        <w:rPr>
          <w:color w:val="000000" w:themeColor="text1"/>
        </w:rPr>
        <w:t xml:space="preserve"> </w:t>
      </w:r>
      <w:r w:rsidRPr="00B40A77">
        <w:rPr>
          <w:iCs/>
          <w:color w:val="000000" w:themeColor="text1"/>
          <w:lang w:val="en-US"/>
        </w:rPr>
        <w:t xml:space="preserve">or </w:t>
      </w:r>
      <w:hyperlink w:anchor="_2.1—Definitions" w:history="1">
        <w:r w:rsidR="00B9204D" w:rsidRPr="00B40A77">
          <w:rPr>
            <w:rStyle w:val="Hyperlink"/>
            <w:rFonts w:cs="Arial"/>
            <w:color w:val="000000" w:themeColor="text1"/>
          </w:rPr>
          <w:t>Chief Executive</w:t>
        </w:r>
      </w:hyperlink>
      <w:r w:rsidRPr="00B40A77">
        <w:rPr>
          <w:iCs/>
          <w:color w:val="000000" w:themeColor="text1"/>
          <w:lang w:val="en-US"/>
        </w:rPr>
        <w:t>.</w:t>
      </w:r>
    </w:p>
    <w:p w14:paraId="46400481" w14:textId="77777777" w:rsidR="00F331A9" w:rsidRPr="00B40A77" w:rsidRDefault="00F331A9" w:rsidP="0033795E">
      <w:pPr>
        <w:pStyle w:val="NoteHeader"/>
        <w:keepNext/>
        <w:rPr>
          <w:color w:val="000000" w:themeColor="text1"/>
        </w:rPr>
      </w:pPr>
      <w:r w:rsidRPr="00B40A77">
        <w:rPr>
          <w:color w:val="000000" w:themeColor="text1"/>
        </w:rPr>
        <w:t>Prescribed form—</w:t>
      </w:r>
    </w:p>
    <w:p w14:paraId="20F99A50" w14:textId="7549B6F1" w:rsidR="00F331A9" w:rsidRPr="00B40A77" w:rsidRDefault="00F331A9" w:rsidP="00763BB3">
      <w:pPr>
        <w:pStyle w:val="NoteText"/>
        <w:rPr>
          <w:color w:val="000000" w:themeColor="text1"/>
        </w:rPr>
      </w:pPr>
      <w:r w:rsidRPr="00B40A77">
        <w:rPr>
          <w:color w:val="000000" w:themeColor="text1"/>
        </w:rPr>
        <w:t>Form 3</w:t>
      </w:r>
      <w:r w:rsidR="000D1A14" w:rsidRPr="00B40A77">
        <w:rPr>
          <w:color w:val="000000" w:themeColor="text1"/>
        </w:rPr>
        <w:t>4</w:t>
      </w:r>
      <w:r w:rsidRPr="00B40A77">
        <w:rPr>
          <w:color w:val="000000" w:themeColor="text1"/>
        </w:rPr>
        <w:t xml:space="preserve">D </w:t>
      </w:r>
      <w:hyperlink r:id="rId117" w:history="1">
        <w:r w:rsidRPr="00B40A77">
          <w:rPr>
            <w:rStyle w:val="Hyperlink"/>
            <w:color w:val="000000" w:themeColor="text1"/>
          </w:rPr>
          <w:t xml:space="preserve">Warrant of Interim Detention </w:t>
        </w:r>
        <w:r w:rsidR="000D1A14" w:rsidRPr="00B40A77">
          <w:rPr>
            <w:rStyle w:val="Hyperlink"/>
            <w:color w:val="000000" w:themeColor="text1"/>
          </w:rPr>
          <w:t xml:space="preserve">– </w:t>
        </w:r>
        <w:r w:rsidRPr="00B40A77">
          <w:rPr>
            <w:rStyle w:val="Hyperlink"/>
            <w:color w:val="000000" w:themeColor="text1"/>
          </w:rPr>
          <w:t>Crimes Act section 20BB</w:t>
        </w:r>
      </w:hyperlink>
    </w:p>
    <w:p w14:paraId="1786F56E" w14:textId="1DACF81B" w:rsidR="00A351F3" w:rsidRPr="00B40A77" w:rsidRDefault="00A351F3" w:rsidP="00BE23A0">
      <w:pPr>
        <w:pStyle w:val="Heading2"/>
        <w:keepNext/>
        <w:rPr>
          <w:color w:val="000000" w:themeColor="text1"/>
        </w:rPr>
      </w:pPr>
      <w:bookmarkStart w:id="379" w:name="_Toc175238920"/>
      <w:r w:rsidRPr="00B40A77">
        <w:rPr>
          <w:color w:val="000000" w:themeColor="text1"/>
        </w:rPr>
        <w:t xml:space="preserve">Part </w:t>
      </w:r>
      <w:r w:rsidR="000262F8" w:rsidRPr="00B40A77">
        <w:rPr>
          <w:color w:val="000000" w:themeColor="text1"/>
        </w:rPr>
        <w:t>9</w:t>
      </w:r>
      <w:r w:rsidRPr="00B40A77">
        <w:rPr>
          <w:color w:val="000000" w:themeColor="text1"/>
        </w:rPr>
        <w:t>—Pleas</w:t>
      </w:r>
      <w:bookmarkEnd w:id="379"/>
    </w:p>
    <w:p w14:paraId="2F824A97" w14:textId="3D683EF9" w:rsidR="00A351F3" w:rsidRPr="00B40A77" w:rsidRDefault="00C82171" w:rsidP="00A351F3">
      <w:pPr>
        <w:pStyle w:val="Heading4"/>
        <w:rPr>
          <w:color w:val="000000" w:themeColor="text1"/>
        </w:rPr>
      </w:pPr>
      <w:bookmarkStart w:id="380" w:name="_Toc175238921"/>
      <w:r w:rsidRPr="00B40A77">
        <w:rPr>
          <w:color w:val="000000" w:themeColor="text1"/>
        </w:rPr>
        <w:t>4</w:t>
      </w:r>
      <w:r w:rsidR="00D00AFF" w:rsidRPr="00B40A77">
        <w:rPr>
          <w:color w:val="000000" w:themeColor="text1"/>
        </w:rPr>
        <w:t>3</w:t>
      </w:r>
      <w:r w:rsidR="00A351F3" w:rsidRPr="00B40A77">
        <w:rPr>
          <w:color w:val="000000" w:themeColor="text1"/>
        </w:rPr>
        <w:t>.1—Entry of plea in court</w:t>
      </w:r>
      <w:bookmarkEnd w:id="380"/>
    </w:p>
    <w:p w14:paraId="34743D3A" w14:textId="33179ED1" w:rsidR="00A351F3" w:rsidRPr="00B40A77" w:rsidRDefault="00A351F3" w:rsidP="00A351F3">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656C5E" w:rsidRPr="00B40A77">
        <w:rPr>
          <w:color w:val="000000" w:themeColor="text1"/>
          <w:lang w:val="en-US"/>
        </w:rPr>
        <w:t>I</w:t>
      </w:r>
      <w:r w:rsidRPr="00B40A77">
        <w:rPr>
          <w:color w:val="000000" w:themeColor="text1"/>
          <w:lang w:val="en-US"/>
        </w:rPr>
        <w:t>f there are multiple counts and the Court is satisfied that a defendant or youth is literate, the Court may if it thinks fit take pleas under subrule</w:t>
      </w:r>
      <w:r w:rsidR="00C42A0C" w:rsidRPr="00B40A77">
        <w:rPr>
          <w:color w:val="000000" w:themeColor="text1"/>
          <w:lang w:val="en-US"/>
        </w:rPr>
        <w:t> </w:t>
      </w:r>
      <w:r w:rsidRPr="00B40A77">
        <w:rPr>
          <w:color w:val="000000" w:themeColor="text1"/>
          <w:lang w:val="en-US"/>
        </w:rPr>
        <w:t>(2).</w:t>
      </w:r>
    </w:p>
    <w:p w14:paraId="6A5DA0A7" w14:textId="77777777"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Upon pleas being taken under this rule—</w:t>
      </w:r>
    </w:p>
    <w:p w14:paraId="24E9048E" w14:textId="77777777" w:rsidR="00A351F3" w:rsidRPr="00B40A77" w:rsidRDefault="00A351F3" w:rsidP="00A351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copy of the Information is to be or to have been provided to the defendant or youth; </w:t>
      </w:r>
    </w:p>
    <w:p w14:paraId="1A6085EB" w14:textId="532194A6" w:rsidR="00A351F3" w:rsidRPr="00B40A77" w:rsidRDefault="00A351F3" w:rsidP="00A351F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defendant or youth is to write or to have written against each count on a copy of the Information their </w:t>
      </w:r>
      <w:r w:rsidR="00E20AE4" w:rsidRPr="00B40A77">
        <w:rPr>
          <w:color w:val="000000" w:themeColor="text1"/>
          <w:lang w:val="en-US"/>
        </w:rPr>
        <w:t>ple</w:t>
      </w:r>
      <w:r w:rsidRPr="00B40A77">
        <w:rPr>
          <w:color w:val="000000" w:themeColor="text1"/>
          <w:lang w:val="en-US"/>
        </w:rPr>
        <w:t>a;</w:t>
      </w:r>
    </w:p>
    <w:p w14:paraId="03FE430B" w14:textId="4442F0F5" w:rsidR="00A351F3" w:rsidRPr="00B40A77" w:rsidRDefault="00A351F3" w:rsidP="00A351F3">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 </w:t>
      </w:r>
      <w:r w:rsidR="007708FB" w:rsidRPr="00B40A77">
        <w:rPr>
          <w:color w:val="000000" w:themeColor="text1"/>
          <w:lang w:val="en-US"/>
        </w:rPr>
        <w:t xml:space="preserve">short form </w:t>
      </w:r>
      <w:r w:rsidRPr="00B40A77">
        <w:rPr>
          <w:color w:val="000000" w:themeColor="text1"/>
          <w:lang w:val="en-US"/>
        </w:rPr>
        <w:t>summary of the offences is to be read to the defendant or youth;</w:t>
      </w:r>
    </w:p>
    <w:p w14:paraId="4C5EB917" w14:textId="1A6BD003" w:rsidR="00A351F3" w:rsidRPr="00B40A77" w:rsidRDefault="00A351F3" w:rsidP="00A351F3">
      <w:pPr>
        <w:pStyle w:val="Doublehangindent"/>
        <w:rPr>
          <w:color w:val="000000" w:themeColor="text1"/>
          <w:lang w:val="en-US"/>
        </w:rPr>
      </w:pPr>
      <w:r w:rsidRPr="00B40A77">
        <w:rPr>
          <w:color w:val="000000" w:themeColor="text1"/>
          <w:lang w:val="en-US"/>
        </w:rPr>
        <w:t>(d)</w:t>
      </w:r>
      <w:r w:rsidRPr="00B40A77">
        <w:rPr>
          <w:color w:val="000000" w:themeColor="text1"/>
          <w:lang w:val="en-US"/>
        </w:rPr>
        <w:tab/>
        <w:t>the defendant or youth is to sign their name at the foot of the copy of the Information and their signature is to be witnessed by their lawyer</w:t>
      </w:r>
      <w:r w:rsidR="00656C5E" w:rsidRPr="00B40A77">
        <w:rPr>
          <w:color w:val="000000" w:themeColor="text1"/>
          <w:lang w:val="en-US"/>
        </w:rPr>
        <w:t xml:space="preserve"> or,</w:t>
      </w:r>
      <w:r w:rsidRPr="00B40A77">
        <w:rPr>
          <w:color w:val="000000" w:themeColor="text1"/>
          <w:lang w:val="en-US"/>
        </w:rPr>
        <w:t xml:space="preserve"> if not represented, by a person directed by th</w:t>
      </w:r>
      <w:r w:rsidR="00E20AE4" w:rsidRPr="00B40A77">
        <w:rPr>
          <w:color w:val="000000" w:themeColor="text1"/>
          <w:lang w:val="en-US"/>
        </w:rPr>
        <w:t>e c</w:t>
      </w:r>
      <w:r w:rsidRPr="00B40A77">
        <w:rPr>
          <w:color w:val="000000" w:themeColor="text1"/>
          <w:lang w:val="en-US"/>
        </w:rPr>
        <w:t>ourt;</w:t>
      </w:r>
    </w:p>
    <w:p w14:paraId="68EF74C1" w14:textId="77777777" w:rsidR="00A351F3" w:rsidRPr="00B40A77" w:rsidRDefault="00A351F3" w:rsidP="00A351F3">
      <w:pPr>
        <w:pStyle w:val="Doublehangindent"/>
        <w:rPr>
          <w:color w:val="000000" w:themeColor="text1"/>
          <w:lang w:val="en-US"/>
        </w:rPr>
      </w:pPr>
      <w:r w:rsidRPr="00B40A77">
        <w:rPr>
          <w:color w:val="000000" w:themeColor="text1"/>
          <w:lang w:val="en-US"/>
        </w:rPr>
        <w:t>(e)</w:t>
      </w:r>
      <w:r w:rsidRPr="00B40A77">
        <w:rPr>
          <w:color w:val="000000" w:themeColor="text1"/>
          <w:lang w:val="en-US"/>
        </w:rPr>
        <w:tab/>
        <w:t>the Court will record the respective pleas in accordance with the signed copy of the Information; and</w:t>
      </w:r>
    </w:p>
    <w:p w14:paraId="455F024E" w14:textId="35E24034" w:rsidR="00A351F3" w:rsidRPr="00B40A77" w:rsidRDefault="00A351F3" w:rsidP="00A351F3">
      <w:pPr>
        <w:pStyle w:val="Doublehangindent"/>
        <w:rPr>
          <w:color w:val="000000" w:themeColor="text1"/>
          <w:lang w:val="en-US"/>
        </w:rPr>
      </w:pPr>
      <w:r w:rsidRPr="00B40A77">
        <w:rPr>
          <w:color w:val="000000" w:themeColor="text1"/>
          <w:lang w:val="en-US"/>
        </w:rPr>
        <w:t>(f)</w:t>
      </w:r>
      <w:r w:rsidRPr="00B40A77">
        <w:rPr>
          <w:color w:val="000000" w:themeColor="text1"/>
          <w:lang w:val="en-US"/>
        </w:rPr>
        <w:tab/>
        <w:t>if a defendant pleads not guilty on an</w:t>
      </w:r>
      <w:r w:rsidR="00656C5E" w:rsidRPr="00B40A77">
        <w:rPr>
          <w:color w:val="000000" w:themeColor="text1"/>
          <w:lang w:val="en-US"/>
        </w:rPr>
        <w:t xml:space="preserve"> arraignment</w:t>
      </w:r>
      <w:r w:rsidRPr="00B40A77">
        <w:rPr>
          <w:color w:val="000000" w:themeColor="text1"/>
          <w:lang w:val="en-US"/>
        </w:rPr>
        <w:t xml:space="preserve"> in the presence of a jury panel or a jury—a copy of the Information bearing the pleas may be given to the jury.</w:t>
      </w:r>
    </w:p>
    <w:p w14:paraId="68E83D48" w14:textId="69ADCF31" w:rsidR="00A351F3" w:rsidRPr="00B40A77" w:rsidRDefault="00D00AFF" w:rsidP="00A351F3">
      <w:pPr>
        <w:pStyle w:val="Heading4"/>
        <w:rPr>
          <w:color w:val="000000" w:themeColor="text1"/>
        </w:rPr>
      </w:pPr>
      <w:bookmarkStart w:id="381" w:name="_Toc175238922"/>
      <w:r w:rsidRPr="00B40A77">
        <w:rPr>
          <w:color w:val="000000" w:themeColor="text1"/>
        </w:rPr>
        <w:t>43</w:t>
      </w:r>
      <w:r w:rsidR="00A351F3" w:rsidRPr="00B40A77">
        <w:rPr>
          <w:color w:val="000000" w:themeColor="text1"/>
        </w:rPr>
        <w:t>.2—Calling matter on for entry of guilty plea</w:t>
      </w:r>
      <w:bookmarkEnd w:id="381"/>
    </w:p>
    <w:p w14:paraId="3083CFEB" w14:textId="3517C973" w:rsidR="00A351F3" w:rsidRPr="00B40A77" w:rsidRDefault="00A351F3" w:rsidP="0033795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If a defe</w:t>
      </w:r>
      <w:r w:rsidR="00656C5E" w:rsidRPr="00B40A77">
        <w:rPr>
          <w:color w:val="000000" w:themeColor="text1"/>
          <w:lang w:val="en-US"/>
        </w:rPr>
        <w:t>ndant or youth requests that a proceeding</w:t>
      </w:r>
      <w:r w:rsidRPr="00B40A77">
        <w:rPr>
          <w:color w:val="000000" w:themeColor="text1"/>
          <w:lang w:val="en-US"/>
        </w:rPr>
        <w:t xml:space="preserve"> be called on </w:t>
      </w:r>
      <w:r w:rsidR="00307014" w:rsidRPr="00B40A77">
        <w:rPr>
          <w:color w:val="000000" w:themeColor="text1"/>
          <w:lang w:val="en-US"/>
        </w:rPr>
        <w:t>in court</w:t>
      </w:r>
      <w:r w:rsidRPr="00B40A77">
        <w:rPr>
          <w:color w:val="000000" w:themeColor="text1"/>
          <w:lang w:val="en-US"/>
        </w:rPr>
        <w:t xml:space="preserve"> for the purpose of preserving the maximum discount applicable under Part</w:t>
      </w:r>
      <w:r w:rsidR="00953C51" w:rsidRPr="00B40A77">
        <w:rPr>
          <w:color w:val="000000" w:themeColor="text1"/>
          <w:lang w:val="en-US"/>
        </w:rPr>
        <w:t> </w:t>
      </w:r>
      <w:r w:rsidRPr="00B40A77">
        <w:rPr>
          <w:color w:val="000000" w:themeColor="text1"/>
          <w:lang w:val="en-US"/>
        </w:rPr>
        <w:t xml:space="preserve">2 </w:t>
      </w:r>
      <w:r w:rsidR="00044F1C" w:rsidRPr="00B40A77">
        <w:rPr>
          <w:color w:val="000000" w:themeColor="text1"/>
          <w:lang w:val="en-US"/>
        </w:rPr>
        <w:t>Division</w:t>
      </w:r>
      <w:r w:rsidR="00953C51" w:rsidRPr="00B40A77">
        <w:rPr>
          <w:color w:val="000000" w:themeColor="text1"/>
          <w:lang w:val="en-US"/>
        </w:rPr>
        <w:t> </w:t>
      </w:r>
      <w:r w:rsidR="00044F1C" w:rsidRPr="00B40A77">
        <w:rPr>
          <w:color w:val="000000" w:themeColor="text1"/>
          <w:lang w:val="en-US"/>
        </w:rPr>
        <w:t xml:space="preserve">2 </w:t>
      </w:r>
      <w:r w:rsidRPr="00B40A77">
        <w:rPr>
          <w:color w:val="000000" w:themeColor="text1"/>
          <w:lang w:val="en-US"/>
        </w:rPr>
        <w:t>Subdivision</w:t>
      </w:r>
      <w:r w:rsidR="00953C51" w:rsidRPr="00B40A77">
        <w:rPr>
          <w:color w:val="000000" w:themeColor="text1"/>
          <w:lang w:val="en-US"/>
        </w:rPr>
        <w:t> </w:t>
      </w:r>
      <w:r w:rsidRPr="00B40A77">
        <w:rPr>
          <w:color w:val="000000" w:themeColor="text1"/>
          <w:lang w:val="en-US"/>
        </w:rPr>
        <w:t>4 of the Sentencing Act, the defendant or youth must file a request to have the matter called on for guilty plea in the prescribed form.</w:t>
      </w:r>
    </w:p>
    <w:p w14:paraId="4BCC3F44" w14:textId="77777777" w:rsidR="00A351F3" w:rsidRPr="00B40A77" w:rsidRDefault="00A351F3" w:rsidP="005C48FA">
      <w:pPr>
        <w:pStyle w:val="NoteHeader"/>
        <w:keepNext/>
        <w:rPr>
          <w:color w:val="000000" w:themeColor="text1"/>
        </w:rPr>
      </w:pPr>
      <w:r w:rsidRPr="00B40A77">
        <w:rPr>
          <w:color w:val="000000" w:themeColor="text1"/>
        </w:rPr>
        <w:t>Prescribed form—</w:t>
      </w:r>
    </w:p>
    <w:p w14:paraId="75A3E5D2" w14:textId="27FC2846" w:rsidR="00A351F3" w:rsidRPr="00B40A77" w:rsidRDefault="00A351F3" w:rsidP="00A351F3">
      <w:pPr>
        <w:pStyle w:val="NoteText"/>
        <w:rPr>
          <w:color w:val="000000" w:themeColor="text1"/>
        </w:rPr>
      </w:pPr>
      <w:r w:rsidRPr="00B40A77">
        <w:rPr>
          <w:color w:val="000000" w:themeColor="text1"/>
        </w:rPr>
        <w:t xml:space="preserve">Form 52 </w:t>
      </w:r>
      <w:hyperlink r:id="rId118" w:history="1">
        <w:r w:rsidR="00656C5E" w:rsidRPr="00B40A77">
          <w:rPr>
            <w:rStyle w:val="Hyperlink"/>
            <w:color w:val="000000" w:themeColor="text1"/>
            <w:lang w:val="en-US"/>
          </w:rPr>
          <w:t>R</w:t>
        </w:r>
        <w:r w:rsidRPr="00B40A77">
          <w:rPr>
            <w:rStyle w:val="Hyperlink"/>
            <w:color w:val="000000" w:themeColor="text1"/>
            <w:lang w:val="en-US"/>
          </w:rPr>
          <w:t xml:space="preserve">equest to have </w:t>
        </w:r>
        <w:r w:rsidR="000D1A14" w:rsidRPr="00B40A77">
          <w:rPr>
            <w:rStyle w:val="Hyperlink"/>
            <w:color w:val="000000" w:themeColor="text1"/>
            <w:lang w:val="en-US"/>
          </w:rPr>
          <w:t>M</w:t>
        </w:r>
        <w:r w:rsidRPr="00B40A77">
          <w:rPr>
            <w:rStyle w:val="Hyperlink"/>
            <w:color w:val="000000" w:themeColor="text1"/>
            <w:lang w:val="en-US"/>
          </w:rPr>
          <w:t xml:space="preserve">atter </w:t>
        </w:r>
        <w:r w:rsidR="000D1A14" w:rsidRPr="00B40A77">
          <w:rPr>
            <w:rStyle w:val="Hyperlink"/>
            <w:color w:val="000000" w:themeColor="text1"/>
            <w:lang w:val="en-US"/>
          </w:rPr>
          <w:t>C</w:t>
        </w:r>
        <w:r w:rsidRPr="00B40A77">
          <w:rPr>
            <w:rStyle w:val="Hyperlink"/>
            <w:color w:val="000000" w:themeColor="text1"/>
            <w:lang w:val="en-US"/>
          </w:rPr>
          <w:t xml:space="preserve">alled on for </w:t>
        </w:r>
        <w:r w:rsidR="000D1A14" w:rsidRPr="00B40A77">
          <w:rPr>
            <w:rStyle w:val="Hyperlink"/>
            <w:color w:val="000000" w:themeColor="text1"/>
            <w:lang w:val="en-US"/>
          </w:rPr>
          <w:t>G</w:t>
        </w:r>
        <w:r w:rsidRPr="00B40A77">
          <w:rPr>
            <w:rStyle w:val="Hyperlink"/>
            <w:color w:val="000000" w:themeColor="text1"/>
            <w:lang w:val="en-US"/>
          </w:rPr>
          <w:t xml:space="preserve">uilty </w:t>
        </w:r>
        <w:r w:rsidR="000D1A14" w:rsidRPr="00B40A77">
          <w:rPr>
            <w:rStyle w:val="Hyperlink"/>
            <w:color w:val="000000" w:themeColor="text1"/>
            <w:lang w:val="en-US"/>
          </w:rPr>
          <w:t>P</w:t>
        </w:r>
        <w:r w:rsidRPr="00B40A77">
          <w:rPr>
            <w:rStyle w:val="Hyperlink"/>
            <w:color w:val="000000" w:themeColor="text1"/>
            <w:lang w:val="en-US"/>
          </w:rPr>
          <w:t>lea</w:t>
        </w:r>
      </w:hyperlink>
    </w:p>
    <w:p w14:paraId="2BB4AC7D" w14:textId="4377CF38" w:rsidR="00A351F3" w:rsidRPr="00B40A77" w:rsidRDefault="00A351F3" w:rsidP="00A351F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request to have the matter called on for guilty plea must be served on the </w:t>
      </w:r>
      <w:r w:rsidR="00656C5E" w:rsidRPr="00B40A77">
        <w:rPr>
          <w:color w:val="000000" w:themeColor="text1"/>
          <w:lang w:val="en-US"/>
        </w:rPr>
        <w:t>prosecutio</w:t>
      </w:r>
      <w:r w:rsidR="00174EC3" w:rsidRPr="00B40A77">
        <w:rPr>
          <w:color w:val="000000" w:themeColor="text1"/>
          <w:lang w:val="en-US"/>
        </w:rPr>
        <w:t>n</w:t>
      </w:r>
      <w:r w:rsidRPr="00B40A77">
        <w:rPr>
          <w:color w:val="000000" w:themeColor="text1"/>
          <w:lang w:val="en-US"/>
        </w:rPr>
        <w:t xml:space="preserve"> as soon as practicable after being filed. </w:t>
      </w:r>
    </w:p>
    <w:p w14:paraId="4D4A1359" w14:textId="33249307" w:rsidR="00A351F3" w:rsidRPr="00B40A77" w:rsidRDefault="00D00AFF" w:rsidP="00A351F3">
      <w:pPr>
        <w:pStyle w:val="Heading4"/>
        <w:rPr>
          <w:color w:val="000000" w:themeColor="text1"/>
        </w:rPr>
      </w:pPr>
      <w:bookmarkStart w:id="382" w:name="_Toc175238923"/>
      <w:r w:rsidRPr="00B40A77">
        <w:rPr>
          <w:color w:val="000000" w:themeColor="text1"/>
        </w:rPr>
        <w:t>43</w:t>
      </w:r>
      <w:r w:rsidR="00A351F3" w:rsidRPr="00B40A77">
        <w:rPr>
          <w:color w:val="000000" w:themeColor="text1"/>
        </w:rPr>
        <w:t>.3—Acceptance of guilty plea</w:t>
      </w:r>
      <w:bookmarkEnd w:id="382"/>
    </w:p>
    <w:p w14:paraId="2DD5124D" w14:textId="0FA1CE7D" w:rsidR="00A351F3" w:rsidRPr="00B40A77" w:rsidRDefault="00A351F3" w:rsidP="00044F1C">
      <w:pPr>
        <w:pStyle w:val="Hangindent"/>
        <w:ind w:left="567" w:firstLine="0"/>
        <w:rPr>
          <w:color w:val="000000" w:themeColor="text1"/>
          <w:lang w:val="en-US"/>
        </w:rPr>
      </w:pPr>
      <w:r w:rsidRPr="00B40A77">
        <w:rPr>
          <w:color w:val="000000" w:themeColor="text1"/>
          <w:lang w:val="en-US"/>
        </w:rPr>
        <w:t>The Court may decline to accept a guilty plea if there is doubt whether the defendant or youth 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Pr="00B40A77">
        <w:rPr>
          <w:color w:val="000000" w:themeColor="text1"/>
          <w:lang w:val="en-US"/>
        </w:rPr>
        <w:t xml:space="preserve">, the plea is to a lesser of alternative charges, </w:t>
      </w:r>
      <w:bookmarkStart w:id="383" w:name="_Hlk80778630"/>
      <w:r w:rsidRPr="00B40A77">
        <w:rPr>
          <w:color w:val="000000" w:themeColor="text1"/>
          <w:lang w:val="en-US"/>
        </w:rPr>
        <w:t>the prosecution has not yet determined whether a more serious alternative charge may be laid</w:t>
      </w:r>
      <w:bookmarkEnd w:id="383"/>
      <w:r w:rsidRPr="00B40A77">
        <w:rPr>
          <w:color w:val="000000" w:themeColor="text1"/>
          <w:lang w:val="en-US"/>
        </w:rPr>
        <w:t>, it appears to the Court that despite the plea</w:t>
      </w:r>
      <w:r w:rsidR="00BA4320" w:rsidRPr="00B40A77">
        <w:rPr>
          <w:color w:val="000000" w:themeColor="text1"/>
          <w:lang w:val="en-US"/>
        </w:rPr>
        <w:t xml:space="preserve"> the defendant or youth does not</w:t>
      </w:r>
      <w:r w:rsidR="00EC0286" w:rsidRPr="00B40A77">
        <w:rPr>
          <w:color w:val="000000" w:themeColor="text1"/>
          <w:lang w:val="en-US"/>
        </w:rPr>
        <w:t xml:space="preserve"> accept guilt</w:t>
      </w:r>
      <w:r w:rsidRPr="00B40A77">
        <w:rPr>
          <w:color w:val="000000" w:themeColor="text1"/>
          <w:lang w:val="en-US"/>
        </w:rPr>
        <w:t xml:space="preserve"> or for other good reason.</w:t>
      </w:r>
    </w:p>
    <w:p w14:paraId="622BED10" w14:textId="529370E8" w:rsidR="00A351F3" w:rsidRPr="00B40A77" w:rsidRDefault="00D00AFF" w:rsidP="00A351F3">
      <w:pPr>
        <w:pStyle w:val="Heading4"/>
        <w:rPr>
          <w:color w:val="000000" w:themeColor="text1"/>
        </w:rPr>
      </w:pPr>
      <w:bookmarkStart w:id="384" w:name="_Toc175238924"/>
      <w:r w:rsidRPr="00B40A77">
        <w:rPr>
          <w:color w:val="000000" w:themeColor="text1"/>
        </w:rPr>
        <w:t>43</w:t>
      </w:r>
      <w:r w:rsidR="00A351F3" w:rsidRPr="00B40A77">
        <w:rPr>
          <w:color w:val="000000" w:themeColor="text1"/>
        </w:rPr>
        <w:t>.4—Withdrawal of guilty plea</w:t>
      </w:r>
      <w:bookmarkEnd w:id="384"/>
    </w:p>
    <w:p w14:paraId="2996B5EA" w14:textId="74504912" w:rsidR="00605A02" w:rsidRPr="00B40A77" w:rsidRDefault="00A351F3" w:rsidP="004E7E12">
      <w:pPr>
        <w:pStyle w:val="Hangindent"/>
        <w:tabs>
          <w:tab w:val="left" w:pos="7620"/>
        </w:tabs>
        <w:rPr>
          <w:color w:val="000000" w:themeColor="text1"/>
          <w:u w:val="single"/>
        </w:rPr>
      </w:pPr>
      <w:r w:rsidRPr="00B40A77">
        <w:rPr>
          <w:color w:val="000000" w:themeColor="text1"/>
          <w:lang w:val="en-US"/>
        </w:rPr>
        <w:t>A guilty plea may only be withdrawn with the leave of the Court.</w:t>
      </w:r>
    </w:p>
    <w:p w14:paraId="34FBE544" w14:textId="64DB1F21" w:rsidR="00A351F3" w:rsidRPr="00B40A77" w:rsidRDefault="00A351F3" w:rsidP="00BE23A0">
      <w:pPr>
        <w:pStyle w:val="Heading2"/>
        <w:keepNext/>
        <w:rPr>
          <w:color w:val="000000" w:themeColor="text1"/>
        </w:rPr>
      </w:pPr>
      <w:bookmarkStart w:id="385" w:name="_45.3—Personal_service"/>
      <w:bookmarkStart w:id="386" w:name="_Toc175238925"/>
      <w:bookmarkStart w:id="387" w:name="_Toc65162996"/>
      <w:bookmarkEnd w:id="385"/>
      <w:r w:rsidRPr="00B40A77">
        <w:rPr>
          <w:color w:val="000000" w:themeColor="text1"/>
        </w:rPr>
        <w:lastRenderedPageBreak/>
        <w:t xml:space="preserve">Part </w:t>
      </w:r>
      <w:r w:rsidR="000262F8" w:rsidRPr="00B40A77">
        <w:rPr>
          <w:color w:val="000000" w:themeColor="text1"/>
        </w:rPr>
        <w:t>10</w:t>
      </w:r>
      <w:r w:rsidRPr="00B40A77">
        <w:rPr>
          <w:color w:val="000000" w:themeColor="text1"/>
        </w:rPr>
        <w:t>—Consolidation, division and transfer of proceedings</w:t>
      </w:r>
      <w:bookmarkEnd w:id="386"/>
    </w:p>
    <w:p w14:paraId="3E973CAB" w14:textId="77777777" w:rsidR="00A351F3" w:rsidRPr="00B40A77" w:rsidRDefault="00A351F3" w:rsidP="003B67CF">
      <w:pPr>
        <w:pStyle w:val="Heading3"/>
        <w:rPr>
          <w:color w:val="000000" w:themeColor="text1"/>
        </w:rPr>
      </w:pPr>
      <w:bookmarkStart w:id="388" w:name="_Toc175238926"/>
      <w:r w:rsidRPr="00B40A77">
        <w:rPr>
          <w:color w:val="000000" w:themeColor="text1"/>
        </w:rPr>
        <w:t>Division 1—Consolidation and division</w:t>
      </w:r>
      <w:bookmarkEnd w:id="388"/>
    </w:p>
    <w:p w14:paraId="4AFF333A" w14:textId="33274182" w:rsidR="00A351F3" w:rsidRPr="00B40A77" w:rsidRDefault="00C82171" w:rsidP="003B67CF">
      <w:pPr>
        <w:pStyle w:val="Heading4"/>
        <w:rPr>
          <w:color w:val="000000" w:themeColor="text1"/>
        </w:rPr>
      </w:pPr>
      <w:bookmarkStart w:id="389" w:name="_Toc175238927"/>
      <w:r w:rsidRPr="00B40A77">
        <w:rPr>
          <w:color w:val="000000" w:themeColor="text1"/>
        </w:rPr>
        <w:t>4</w:t>
      </w:r>
      <w:r w:rsidR="00D00AFF" w:rsidRPr="00B40A77">
        <w:rPr>
          <w:color w:val="000000" w:themeColor="text1"/>
        </w:rPr>
        <w:t>4</w:t>
      </w:r>
      <w:r w:rsidR="00A351F3" w:rsidRPr="00B40A77">
        <w:rPr>
          <w:color w:val="000000" w:themeColor="text1"/>
        </w:rPr>
        <w:t>.1—Consolidation</w:t>
      </w:r>
      <w:bookmarkEnd w:id="389"/>
    </w:p>
    <w:p w14:paraId="3B5D205F" w14:textId="6C9809C1" w:rsidR="00A351F3" w:rsidRPr="00B40A77" w:rsidRDefault="00A351F3" w:rsidP="003B67CF">
      <w:pPr>
        <w:pStyle w:val="Hangindent"/>
        <w:keepNext/>
        <w:ind w:left="567" w:firstLine="0"/>
        <w:rPr>
          <w:color w:val="000000" w:themeColor="text1"/>
          <w:lang w:val="en-US"/>
        </w:rPr>
      </w:pPr>
      <w:r w:rsidRPr="00B40A77">
        <w:rPr>
          <w:color w:val="000000" w:themeColor="text1"/>
          <w:lang w:val="en-US"/>
        </w:rPr>
        <w:t xml:space="preserve">The Court may order </w:t>
      </w:r>
      <w:r w:rsidR="0070206E" w:rsidRPr="00B40A77">
        <w:rPr>
          <w:color w:val="000000" w:themeColor="text1"/>
        </w:rPr>
        <w:t>charges contained in separate Informations be dealt with together in the same proceeding</w:t>
      </w:r>
      <w:r w:rsidR="0070206E" w:rsidRPr="00B40A77" w:rsidDel="0070206E">
        <w:rPr>
          <w:color w:val="000000" w:themeColor="text1"/>
          <w:lang w:val="en-US"/>
        </w:rPr>
        <w:t xml:space="preserve"> </w:t>
      </w:r>
      <w:r w:rsidRPr="00B40A77">
        <w:rPr>
          <w:color w:val="000000" w:themeColor="text1"/>
          <w:lang w:val="en-US"/>
        </w:rPr>
        <w:t>on such conditions as it thinks fit.</w:t>
      </w:r>
    </w:p>
    <w:p w14:paraId="7EAFB05A" w14:textId="77777777" w:rsidR="00A351F3" w:rsidRPr="00B40A77" w:rsidRDefault="00A351F3" w:rsidP="003B67CF">
      <w:pPr>
        <w:pStyle w:val="NoteHeader"/>
        <w:keepNext/>
        <w:ind w:left="567"/>
        <w:rPr>
          <w:color w:val="000000" w:themeColor="text1"/>
        </w:rPr>
      </w:pPr>
      <w:r w:rsidRPr="00B40A77">
        <w:rPr>
          <w:color w:val="000000" w:themeColor="text1"/>
        </w:rPr>
        <w:t>Note—</w:t>
      </w:r>
    </w:p>
    <w:p w14:paraId="350D76B7" w14:textId="68FBE4F5" w:rsidR="00A351F3" w:rsidRPr="00B40A77" w:rsidRDefault="00A351F3" w:rsidP="00592C28">
      <w:pPr>
        <w:pStyle w:val="NoteText"/>
        <w:ind w:left="851"/>
        <w:rPr>
          <w:color w:val="000000" w:themeColor="text1"/>
        </w:rPr>
      </w:pPr>
      <w:r w:rsidRPr="00B40A77">
        <w:rPr>
          <w:color w:val="000000" w:themeColor="text1"/>
        </w:rPr>
        <w:t>Section 51(2)(b) of the Procedure Act provides that a court may direct that</w:t>
      </w:r>
      <w:r w:rsidRPr="00B40A77">
        <w:rPr>
          <w:color w:val="000000" w:themeColor="text1"/>
          <w:sz w:val="23"/>
          <w:szCs w:val="23"/>
        </w:rPr>
        <w:t xml:space="preserve"> </w:t>
      </w:r>
      <w:r w:rsidRPr="00B40A77">
        <w:rPr>
          <w:color w:val="000000" w:themeColor="text1"/>
        </w:rPr>
        <w:t xml:space="preserve">charges contained in separate </w:t>
      </w:r>
      <w:r w:rsidR="00797BCA" w:rsidRPr="00B40A77">
        <w:rPr>
          <w:color w:val="000000" w:themeColor="text1"/>
        </w:rPr>
        <w:t>I</w:t>
      </w:r>
      <w:r w:rsidRPr="00B40A77">
        <w:rPr>
          <w:color w:val="000000" w:themeColor="text1"/>
        </w:rPr>
        <w:t>nformations be dealt with together in the same proceeding.</w:t>
      </w:r>
    </w:p>
    <w:p w14:paraId="6090146F" w14:textId="4D7B48B5" w:rsidR="00A351F3" w:rsidRPr="00B40A77" w:rsidRDefault="00A351F3" w:rsidP="00592C28">
      <w:pPr>
        <w:pStyle w:val="NoteText"/>
        <w:ind w:left="851"/>
        <w:rPr>
          <w:color w:val="000000" w:themeColor="text1"/>
          <w:lang w:val="en-US"/>
        </w:rPr>
      </w:pPr>
      <w:r w:rsidRPr="00B40A77">
        <w:rPr>
          <w:color w:val="000000" w:themeColor="text1"/>
        </w:rPr>
        <w:t>Section 102(5)(b) of the Procedure Act provides that a court may direct that</w:t>
      </w:r>
      <w:r w:rsidRPr="00B40A77">
        <w:rPr>
          <w:color w:val="000000" w:themeColor="text1"/>
          <w:sz w:val="23"/>
          <w:szCs w:val="23"/>
        </w:rPr>
        <w:t xml:space="preserve"> </w:t>
      </w:r>
      <w:r w:rsidRPr="00B40A77">
        <w:rPr>
          <w:color w:val="000000" w:themeColor="text1"/>
        </w:rPr>
        <w:t xml:space="preserve">charges contained in separate </w:t>
      </w:r>
      <w:r w:rsidR="00797BCA" w:rsidRPr="00B40A77">
        <w:rPr>
          <w:color w:val="000000" w:themeColor="text1"/>
        </w:rPr>
        <w:t>I</w:t>
      </w:r>
      <w:r w:rsidRPr="00B40A77">
        <w:rPr>
          <w:color w:val="000000" w:themeColor="text1"/>
        </w:rPr>
        <w:t xml:space="preserve">nformations be dealt with together in the same proceeding (provided that a court may only direct that charges contained in separate </w:t>
      </w:r>
      <w:r w:rsidR="00797BCA" w:rsidRPr="00B40A77">
        <w:rPr>
          <w:color w:val="000000" w:themeColor="text1"/>
        </w:rPr>
        <w:t>I</w:t>
      </w:r>
      <w:r w:rsidRPr="00B40A77">
        <w:rPr>
          <w:color w:val="000000" w:themeColor="text1"/>
        </w:rPr>
        <w:t xml:space="preserve">nformations be tried together if the charges could, in accordance with </w:t>
      </w:r>
      <w:hyperlink w:anchor="id88cac169_abf9_4ad3_8801_a96c99d863d3_6" w:history="1">
        <w:r w:rsidRPr="00B40A77">
          <w:rPr>
            <w:color w:val="000000" w:themeColor="text1"/>
          </w:rPr>
          <w:t>section 102(1)</w:t>
        </w:r>
      </w:hyperlink>
      <w:r w:rsidRPr="00B40A77">
        <w:rPr>
          <w:color w:val="000000" w:themeColor="text1"/>
        </w:rPr>
        <w:t>, have been joined together in the same Information).</w:t>
      </w:r>
    </w:p>
    <w:p w14:paraId="126CCAE2" w14:textId="13C9DF1C" w:rsidR="00A351F3" w:rsidRPr="00B40A77" w:rsidRDefault="00D00AFF" w:rsidP="00A351F3">
      <w:pPr>
        <w:pStyle w:val="Heading4"/>
        <w:rPr>
          <w:color w:val="000000" w:themeColor="text1"/>
        </w:rPr>
      </w:pPr>
      <w:bookmarkStart w:id="390" w:name="_Toc175238928"/>
      <w:r w:rsidRPr="00B40A77">
        <w:rPr>
          <w:color w:val="000000" w:themeColor="text1"/>
        </w:rPr>
        <w:t>44</w:t>
      </w:r>
      <w:r w:rsidR="00A351F3" w:rsidRPr="00B40A77">
        <w:rPr>
          <w:color w:val="000000" w:themeColor="text1"/>
        </w:rPr>
        <w:t>.2—Division</w:t>
      </w:r>
      <w:bookmarkEnd w:id="390"/>
    </w:p>
    <w:p w14:paraId="72AFEA6F" w14:textId="1FBB2E2C" w:rsidR="00A351F3" w:rsidRPr="00B40A77" w:rsidRDefault="00A351F3" w:rsidP="00AA301B">
      <w:pPr>
        <w:pStyle w:val="Hangindent"/>
        <w:keepNext/>
        <w:ind w:left="567" w:firstLine="0"/>
        <w:rPr>
          <w:color w:val="000000" w:themeColor="text1"/>
        </w:rPr>
      </w:pPr>
      <w:r w:rsidRPr="00B40A77">
        <w:rPr>
          <w:color w:val="000000" w:themeColor="text1"/>
        </w:rPr>
        <w:t xml:space="preserve">The Court may order </w:t>
      </w:r>
      <w:r w:rsidR="0070206E" w:rsidRPr="00B40A77">
        <w:rPr>
          <w:color w:val="000000" w:themeColor="text1"/>
        </w:rPr>
        <w:t>charges contained in a single Information be dealt with in separate proceedings</w:t>
      </w:r>
      <w:r w:rsidR="0070206E" w:rsidRPr="00B40A77" w:rsidDel="0070206E">
        <w:rPr>
          <w:color w:val="000000" w:themeColor="text1"/>
        </w:rPr>
        <w:t xml:space="preserve"> </w:t>
      </w:r>
      <w:r w:rsidRPr="00B40A77">
        <w:rPr>
          <w:color w:val="000000" w:themeColor="text1"/>
        </w:rPr>
        <w:t>on such conditions as it thinks fit.</w:t>
      </w:r>
    </w:p>
    <w:p w14:paraId="61C19637" w14:textId="77777777" w:rsidR="00A351F3" w:rsidRPr="00B40A77" w:rsidRDefault="00A351F3" w:rsidP="004C2422">
      <w:pPr>
        <w:pStyle w:val="NoteHeader"/>
        <w:keepNext/>
        <w:ind w:left="567"/>
        <w:rPr>
          <w:color w:val="000000" w:themeColor="text1"/>
        </w:rPr>
      </w:pPr>
      <w:r w:rsidRPr="00B40A77">
        <w:rPr>
          <w:color w:val="000000" w:themeColor="text1"/>
        </w:rPr>
        <w:t>Note—</w:t>
      </w:r>
    </w:p>
    <w:p w14:paraId="5AAC996A" w14:textId="76B34005" w:rsidR="00A351F3" w:rsidRPr="00B40A77" w:rsidRDefault="00A351F3" w:rsidP="00592C28">
      <w:pPr>
        <w:pStyle w:val="NoteText"/>
        <w:ind w:left="851"/>
        <w:rPr>
          <w:color w:val="000000" w:themeColor="text1"/>
        </w:rPr>
      </w:pPr>
      <w:r w:rsidRPr="00B40A77">
        <w:rPr>
          <w:color w:val="000000" w:themeColor="text1"/>
        </w:rPr>
        <w:t xml:space="preserve">Section 51(2)(a) of the Procedure Act provides that a court may direct that charges contained in a single </w:t>
      </w:r>
      <w:r w:rsidR="008B3E79" w:rsidRPr="00B40A77">
        <w:rPr>
          <w:color w:val="000000" w:themeColor="text1"/>
        </w:rPr>
        <w:t>I</w:t>
      </w:r>
      <w:r w:rsidRPr="00B40A77">
        <w:rPr>
          <w:color w:val="000000" w:themeColor="text1"/>
        </w:rPr>
        <w:t>nformation be dealt with in separate proceedings.</w:t>
      </w:r>
    </w:p>
    <w:p w14:paraId="2A8664C1" w14:textId="55ABF17B" w:rsidR="00A351F3" w:rsidRPr="00B40A77" w:rsidRDefault="00A351F3" w:rsidP="00592C28">
      <w:pPr>
        <w:pStyle w:val="NoteText"/>
        <w:ind w:left="851"/>
        <w:rPr>
          <w:color w:val="000000" w:themeColor="text1"/>
        </w:rPr>
      </w:pPr>
      <w:r w:rsidRPr="00B40A77">
        <w:rPr>
          <w:color w:val="000000" w:themeColor="text1"/>
        </w:rPr>
        <w:t xml:space="preserve">Section 102(5)(a) of the Procedure Act provides that a court may direct that charges contained in a single </w:t>
      </w:r>
      <w:r w:rsidR="008B3E79" w:rsidRPr="00B40A77">
        <w:rPr>
          <w:color w:val="000000" w:themeColor="text1"/>
        </w:rPr>
        <w:t>I</w:t>
      </w:r>
      <w:r w:rsidRPr="00B40A77">
        <w:rPr>
          <w:color w:val="000000" w:themeColor="text1"/>
        </w:rPr>
        <w:t>nformation be dealt with in separate proceedings.</w:t>
      </w:r>
    </w:p>
    <w:p w14:paraId="00D41383" w14:textId="77777777" w:rsidR="00A351F3" w:rsidRPr="00B40A77" w:rsidRDefault="00A351F3" w:rsidP="00A351F3">
      <w:pPr>
        <w:pStyle w:val="Heading3"/>
        <w:rPr>
          <w:color w:val="000000" w:themeColor="text1"/>
        </w:rPr>
      </w:pPr>
      <w:bookmarkStart w:id="391" w:name="_Toc175238929"/>
      <w:r w:rsidRPr="00B40A77">
        <w:rPr>
          <w:color w:val="000000" w:themeColor="text1"/>
        </w:rPr>
        <w:t>Division 2—Transfer between courts</w:t>
      </w:r>
      <w:bookmarkEnd w:id="391"/>
    </w:p>
    <w:p w14:paraId="62FD426F" w14:textId="6516C93C" w:rsidR="00A351F3" w:rsidRPr="00B40A77" w:rsidRDefault="00C82171" w:rsidP="00A351F3">
      <w:pPr>
        <w:pStyle w:val="Heading4"/>
        <w:rPr>
          <w:color w:val="000000" w:themeColor="text1"/>
        </w:rPr>
      </w:pPr>
      <w:bookmarkStart w:id="392" w:name="_Toc175238930"/>
      <w:r w:rsidRPr="00B40A77">
        <w:rPr>
          <w:color w:val="000000" w:themeColor="text1"/>
        </w:rPr>
        <w:t>4</w:t>
      </w:r>
      <w:r w:rsidR="00D00AFF" w:rsidRPr="00B40A77">
        <w:rPr>
          <w:color w:val="000000" w:themeColor="text1"/>
        </w:rPr>
        <w:t>5</w:t>
      </w:r>
      <w:r w:rsidR="00A351F3" w:rsidRPr="00B40A77">
        <w:rPr>
          <w:color w:val="000000" w:themeColor="text1"/>
        </w:rPr>
        <w:t>.1—Supreme Court</w:t>
      </w:r>
      <w:bookmarkEnd w:id="392"/>
    </w:p>
    <w:p w14:paraId="28EA7EDC" w14:textId="77777777" w:rsidR="00A351F3" w:rsidRPr="00B40A77" w:rsidRDefault="00A351F3" w:rsidP="00A351F3">
      <w:pPr>
        <w:pStyle w:val="IndentedPara"/>
        <w:rPr>
          <w:color w:val="000000" w:themeColor="text1"/>
        </w:rPr>
      </w:pPr>
      <w:r w:rsidRPr="00B40A77">
        <w:rPr>
          <w:color w:val="000000" w:themeColor="text1"/>
        </w:rPr>
        <w:t>An application for—</w:t>
      </w:r>
    </w:p>
    <w:p w14:paraId="47117764" w14:textId="77117B1D" w:rsidR="00A351F3" w:rsidRPr="00B40A77" w:rsidRDefault="00A351F3" w:rsidP="00763BB3">
      <w:pPr>
        <w:pStyle w:val="Doublehangindent"/>
        <w:ind w:left="1134"/>
        <w:rPr>
          <w:color w:val="000000" w:themeColor="text1"/>
        </w:rPr>
      </w:pPr>
      <w:r w:rsidRPr="00B40A77">
        <w:rPr>
          <w:color w:val="000000" w:themeColor="text1"/>
        </w:rPr>
        <w:t>(a)</w:t>
      </w:r>
      <w:r w:rsidRPr="00B40A77">
        <w:rPr>
          <w:color w:val="000000" w:themeColor="text1"/>
        </w:rPr>
        <w:tab/>
        <w:t>transfer of a proceeding to the District Court under section</w:t>
      </w:r>
      <w:r w:rsidR="005C48FA" w:rsidRPr="00B40A77">
        <w:rPr>
          <w:color w:val="000000" w:themeColor="text1"/>
        </w:rPr>
        <w:t> </w:t>
      </w:r>
      <w:r w:rsidRPr="00B40A77">
        <w:rPr>
          <w:color w:val="000000" w:themeColor="text1"/>
        </w:rPr>
        <w:t xml:space="preserve">24(1)(b) of the </w:t>
      </w:r>
      <w:r w:rsidRPr="00B40A77">
        <w:rPr>
          <w:i/>
          <w:color w:val="000000" w:themeColor="text1"/>
        </w:rPr>
        <w:t>District Court Act</w:t>
      </w:r>
      <w:r w:rsidR="005C48FA" w:rsidRPr="00B40A77">
        <w:rPr>
          <w:i/>
          <w:color w:val="000000" w:themeColor="text1"/>
        </w:rPr>
        <w:t> </w:t>
      </w:r>
      <w:r w:rsidRPr="00B40A77">
        <w:rPr>
          <w:i/>
          <w:color w:val="000000" w:themeColor="text1"/>
        </w:rPr>
        <w:t xml:space="preserve">1991 </w:t>
      </w:r>
      <w:r w:rsidRPr="00B40A77">
        <w:rPr>
          <w:color w:val="000000" w:themeColor="text1"/>
        </w:rPr>
        <w:t>or</w:t>
      </w:r>
      <w:r w:rsidRPr="00B40A77">
        <w:rPr>
          <w:color w:val="000000" w:themeColor="text1"/>
          <w:lang w:val="en-US"/>
        </w:rPr>
        <w:t xml:space="preserve"> section</w:t>
      </w:r>
      <w:r w:rsidR="005C48FA" w:rsidRPr="00B40A77">
        <w:rPr>
          <w:color w:val="000000" w:themeColor="text1"/>
          <w:lang w:val="en-US"/>
        </w:rPr>
        <w:t> </w:t>
      </w:r>
      <w:r w:rsidRPr="00B40A77">
        <w:rPr>
          <w:color w:val="000000" w:themeColor="text1"/>
          <w:lang w:val="en-US"/>
        </w:rPr>
        <w:t>118(1) of the Procedure Act;</w:t>
      </w:r>
    </w:p>
    <w:p w14:paraId="041E1D62" w14:textId="424868BD" w:rsidR="00A351F3" w:rsidRPr="00B40A77" w:rsidRDefault="00A351F3" w:rsidP="00763BB3">
      <w:pPr>
        <w:pStyle w:val="Doublehangindent"/>
        <w:ind w:left="1134"/>
        <w:rPr>
          <w:color w:val="000000" w:themeColor="text1"/>
        </w:rPr>
      </w:pPr>
      <w:r w:rsidRPr="00B40A77">
        <w:rPr>
          <w:color w:val="000000" w:themeColor="text1"/>
        </w:rPr>
        <w:t>(b)</w:t>
      </w:r>
      <w:r w:rsidRPr="00B40A77">
        <w:rPr>
          <w:color w:val="000000" w:themeColor="text1"/>
        </w:rPr>
        <w:tab/>
        <w:t>transfer of a proceeding to the Magistrates Court under section</w:t>
      </w:r>
      <w:r w:rsidR="005C48FA" w:rsidRPr="00B40A77">
        <w:rPr>
          <w:color w:val="000000" w:themeColor="text1"/>
        </w:rPr>
        <w:t> </w:t>
      </w:r>
      <w:r w:rsidRPr="00B40A77">
        <w:rPr>
          <w:color w:val="000000" w:themeColor="text1"/>
        </w:rPr>
        <w:t xml:space="preserve">19(2a) of the </w:t>
      </w:r>
      <w:r w:rsidRPr="00B40A77">
        <w:rPr>
          <w:i/>
          <w:color w:val="000000" w:themeColor="text1"/>
        </w:rPr>
        <w:t>Magistrates Court Act</w:t>
      </w:r>
      <w:r w:rsidR="005C48FA" w:rsidRPr="00B40A77">
        <w:rPr>
          <w:i/>
          <w:color w:val="000000" w:themeColor="text1"/>
        </w:rPr>
        <w:t> </w:t>
      </w:r>
      <w:r w:rsidRPr="00B40A77">
        <w:rPr>
          <w:i/>
          <w:color w:val="000000" w:themeColor="text1"/>
        </w:rPr>
        <w:t>1991</w:t>
      </w:r>
      <w:r w:rsidRPr="00B40A77">
        <w:rPr>
          <w:color w:val="000000" w:themeColor="text1"/>
        </w:rPr>
        <w:t>; or</w:t>
      </w:r>
    </w:p>
    <w:p w14:paraId="1259FB37" w14:textId="0DA1238B" w:rsidR="00A351F3" w:rsidRPr="00B40A77" w:rsidRDefault="00A351F3" w:rsidP="00763BB3">
      <w:pPr>
        <w:pStyle w:val="Doublehangindent"/>
        <w:ind w:left="1134"/>
        <w:rPr>
          <w:color w:val="000000" w:themeColor="text1"/>
        </w:rPr>
      </w:pPr>
      <w:r w:rsidRPr="00B40A77">
        <w:rPr>
          <w:color w:val="000000" w:themeColor="text1"/>
        </w:rPr>
        <w:t>(c)</w:t>
      </w:r>
      <w:r w:rsidRPr="00B40A77">
        <w:rPr>
          <w:color w:val="000000" w:themeColor="text1"/>
        </w:rPr>
        <w:tab/>
        <w:t xml:space="preserve">remittal of summary offence charges to a </w:t>
      </w:r>
      <w:hyperlink w:anchor="_2.1—Definitions" w:history="1">
        <w:r w:rsidR="00981911" w:rsidRPr="00B40A77">
          <w:rPr>
            <w:rStyle w:val="Hyperlink"/>
            <w:color w:val="000000" w:themeColor="text1"/>
          </w:rPr>
          <w:t>Lower Court</w:t>
        </w:r>
      </w:hyperlink>
      <w:r w:rsidRPr="00B40A77">
        <w:rPr>
          <w:color w:val="000000" w:themeColor="text1"/>
        </w:rPr>
        <w:t xml:space="preserve"> under section</w:t>
      </w:r>
      <w:r w:rsidR="005C48FA" w:rsidRPr="00B40A77">
        <w:rPr>
          <w:color w:val="000000" w:themeColor="text1"/>
        </w:rPr>
        <w:t> </w:t>
      </w:r>
      <w:r w:rsidRPr="00B40A77">
        <w:rPr>
          <w:color w:val="000000" w:themeColor="text1"/>
        </w:rPr>
        <w:t>102(4) or</w:t>
      </w:r>
      <w:r w:rsidR="00A15FBC" w:rsidRPr="00B40A77">
        <w:rPr>
          <w:color w:val="000000" w:themeColor="text1"/>
        </w:rPr>
        <w:t> </w:t>
      </w:r>
      <w:r w:rsidRPr="00B40A77">
        <w:rPr>
          <w:color w:val="000000" w:themeColor="text1"/>
        </w:rPr>
        <w:t>119(2) of the Procedure Act,</w:t>
      </w:r>
    </w:p>
    <w:p w14:paraId="210732D1" w14:textId="3AB3E660" w:rsidR="00A351F3" w:rsidRPr="00B40A77" w:rsidRDefault="00A351F3" w:rsidP="00A351F3">
      <w:pPr>
        <w:pStyle w:val="IndentedPara"/>
        <w:rPr>
          <w:color w:val="000000" w:themeColor="text1"/>
        </w:rPr>
      </w:pPr>
      <w:r w:rsidRPr="00B40A77">
        <w:rPr>
          <w:color w:val="000000" w:themeColor="text1"/>
        </w:rPr>
        <w:t xml:space="preserve">may be made by an oral application at a </w:t>
      </w:r>
      <w:hyperlink w:anchor="_37.1—Application_of_Part" w:history="1">
        <w:r w:rsidR="00CE7A79" w:rsidRPr="00B40A77">
          <w:rPr>
            <w:rStyle w:val="Hyperlink"/>
            <w:color w:val="000000" w:themeColor="text1"/>
          </w:rPr>
          <w:t>hearing</w:t>
        </w:r>
      </w:hyperlink>
      <w:r w:rsidRPr="00B40A77">
        <w:rPr>
          <w:color w:val="000000" w:themeColor="text1"/>
        </w:rPr>
        <w:t xml:space="preserve"> or by </w:t>
      </w:r>
      <w:r w:rsidR="003E7CD3" w:rsidRPr="00B40A77">
        <w:rPr>
          <w:color w:val="000000" w:themeColor="text1"/>
        </w:rPr>
        <w:t xml:space="preserve">an </w:t>
      </w:r>
      <w:r w:rsidR="00FA4048" w:rsidRPr="00B40A77">
        <w:rPr>
          <w:color w:val="000000" w:themeColor="text1"/>
        </w:rPr>
        <w:t xml:space="preserve">interlocutory application </w:t>
      </w:r>
      <w:r w:rsidR="00336FCD" w:rsidRPr="00B40A77">
        <w:rPr>
          <w:color w:val="000000" w:themeColor="text1"/>
        </w:rPr>
        <w:t xml:space="preserve">in accordance with </w:t>
      </w:r>
      <w:hyperlink w:anchor="_39.1—Written_application" w:history="1">
        <w:r w:rsidR="00657AF2" w:rsidRPr="00B40A77">
          <w:rPr>
            <w:rStyle w:val="Hyperlink"/>
            <w:color w:val="000000" w:themeColor="text1"/>
          </w:rPr>
          <w:t>rule 39.1</w:t>
        </w:r>
      </w:hyperlink>
      <w:r w:rsidRPr="00B40A77">
        <w:rPr>
          <w:color w:val="000000" w:themeColor="text1"/>
        </w:rPr>
        <w:t>.</w:t>
      </w:r>
    </w:p>
    <w:p w14:paraId="2C353A7E" w14:textId="013E67BA" w:rsidR="00A351F3" w:rsidRPr="00B40A77" w:rsidRDefault="00D00AFF" w:rsidP="00A351F3">
      <w:pPr>
        <w:pStyle w:val="Heading4"/>
        <w:rPr>
          <w:color w:val="000000" w:themeColor="text1"/>
        </w:rPr>
      </w:pPr>
      <w:bookmarkStart w:id="393" w:name="_Toc175238931"/>
      <w:r w:rsidRPr="00B40A77">
        <w:rPr>
          <w:color w:val="000000" w:themeColor="text1"/>
        </w:rPr>
        <w:t>45</w:t>
      </w:r>
      <w:r w:rsidR="00A351F3" w:rsidRPr="00B40A77">
        <w:rPr>
          <w:color w:val="000000" w:themeColor="text1"/>
        </w:rPr>
        <w:t>.2—District Court</w:t>
      </w:r>
      <w:bookmarkEnd w:id="393"/>
    </w:p>
    <w:p w14:paraId="1111C0F4" w14:textId="77777777" w:rsidR="00A351F3" w:rsidRPr="00B40A77" w:rsidRDefault="00A351F3" w:rsidP="00A351F3">
      <w:pPr>
        <w:pStyle w:val="IndentedPara"/>
        <w:rPr>
          <w:color w:val="000000" w:themeColor="text1"/>
        </w:rPr>
      </w:pPr>
      <w:r w:rsidRPr="00B40A77">
        <w:rPr>
          <w:color w:val="000000" w:themeColor="text1"/>
        </w:rPr>
        <w:t>An application for—</w:t>
      </w:r>
    </w:p>
    <w:p w14:paraId="7124078F" w14:textId="3A5998E5" w:rsidR="00A351F3" w:rsidRPr="00B40A77" w:rsidRDefault="00A351F3" w:rsidP="00763BB3">
      <w:pPr>
        <w:pStyle w:val="Doublehangindent"/>
        <w:ind w:left="1134"/>
        <w:rPr>
          <w:color w:val="000000" w:themeColor="text1"/>
        </w:rPr>
      </w:pPr>
      <w:r w:rsidRPr="00B40A77">
        <w:rPr>
          <w:color w:val="000000" w:themeColor="text1"/>
        </w:rPr>
        <w:t>(a)</w:t>
      </w:r>
      <w:r w:rsidRPr="00B40A77">
        <w:rPr>
          <w:color w:val="000000" w:themeColor="text1"/>
        </w:rPr>
        <w:tab/>
        <w:t>transfer of a proceeding to the Supreme Court under section</w:t>
      </w:r>
      <w:r w:rsidR="00A15FBC" w:rsidRPr="00B40A77">
        <w:rPr>
          <w:color w:val="000000" w:themeColor="text1"/>
        </w:rPr>
        <w:t> </w:t>
      </w:r>
      <w:r w:rsidRPr="00B40A77">
        <w:rPr>
          <w:color w:val="000000" w:themeColor="text1"/>
        </w:rPr>
        <w:t xml:space="preserve">24(2) of the </w:t>
      </w:r>
      <w:r w:rsidRPr="00B40A77">
        <w:rPr>
          <w:i/>
          <w:color w:val="000000" w:themeColor="text1"/>
        </w:rPr>
        <w:t>District Court Act 1991</w:t>
      </w:r>
      <w:r w:rsidRPr="00B40A77">
        <w:rPr>
          <w:color w:val="000000" w:themeColor="text1"/>
        </w:rPr>
        <w:t xml:space="preserve"> or section</w:t>
      </w:r>
      <w:r w:rsidR="00A15FBC" w:rsidRPr="00B40A77">
        <w:rPr>
          <w:color w:val="000000" w:themeColor="text1"/>
        </w:rPr>
        <w:t> </w:t>
      </w:r>
      <w:r w:rsidRPr="00B40A77">
        <w:rPr>
          <w:color w:val="000000" w:themeColor="text1"/>
        </w:rPr>
        <w:t>118(3) of the Procedure Act</w:t>
      </w:r>
      <w:r w:rsidRPr="00B40A77">
        <w:rPr>
          <w:color w:val="000000" w:themeColor="text1"/>
          <w:lang w:val="en-US"/>
        </w:rPr>
        <w:t>; or</w:t>
      </w:r>
    </w:p>
    <w:p w14:paraId="0E42FEA0" w14:textId="2299C8EB" w:rsidR="00A351F3" w:rsidRPr="00B40A77" w:rsidRDefault="00A351F3" w:rsidP="00763BB3">
      <w:pPr>
        <w:pStyle w:val="Doublehangindent"/>
        <w:ind w:left="1134"/>
        <w:rPr>
          <w:color w:val="000000" w:themeColor="text1"/>
        </w:rPr>
      </w:pPr>
      <w:r w:rsidRPr="00B40A77">
        <w:rPr>
          <w:color w:val="000000" w:themeColor="text1"/>
        </w:rPr>
        <w:t>(b)</w:t>
      </w:r>
      <w:r w:rsidRPr="00B40A77">
        <w:rPr>
          <w:color w:val="000000" w:themeColor="text1"/>
        </w:rPr>
        <w:tab/>
        <w:t xml:space="preserve">remittal of summary offence charges to a </w:t>
      </w:r>
      <w:hyperlink w:anchor="_2.1—Definitions" w:history="1">
        <w:r w:rsidR="00981911" w:rsidRPr="00B40A77">
          <w:rPr>
            <w:rStyle w:val="Hyperlink"/>
            <w:color w:val="000000" w:themeColor="text1"/>
          </w:rPr>
          <w:t>Lower Court</w:t>
        </w:r>
      </w:hyperlink>
      <w:r w:rsidRPr="00B40A77">
        <w:rPr>
          <w:color w:val="000000" w:themeColor="text1"/>
        </w:rPr>
        <w:t xml:space="preserve"> under section</w:t>
      </w:r>
      <w:r w:rsidR="00A15FBC" w:rsidRPr="00B40A77">
        <w:rPr>
          <w:color w:val="000000" w:themeColor="text1"/>
        </w:rPr>
        <w:t> </w:t>
      </w:r>
      <w:r w:rsidRPr="00B40A77">
        <w:rPr>
          <w:color w:val="000000" w:themeColor="text1"/>
        </w:rPr>
        <w:t>102(4) or</w:t>
      </w:r>
      <w:r w:rsidR="00A15FBC" w:rsidRPr="00B40A77">
        <w:rPr>
          <w:color w:val="000000" w:themeColor="text1"/>
        </w:rPr>
        <w:t> </w:t>
      </w:r>
      <w:r w:rsidRPr="00B40A77">
        <w:rPr>
          <w:color w:val="000000" w:themeColor="text1"/>
        </w:rPr>
        <w:t>119(2) of the Procedure Act,</w:t>
      </w:r>
    </w:p>
    <w:p w14:paraId="3B2EF566" w14:textId="062CE42F" w:rsidR="00A351F3" w:rsidRPr="00B40A77" w:rsidRDefault="00A351F3" w:rsidP="00A351F3">
      <w:pPr>
        <w:pStyle w:val="IndentedPara"/>
        <w:rPr>
          <w:color w:val="000000" w:themeColor="text1"/>
        </w:rPr>
      </w:pPr>
      <w:r w:rsidRPr="00B40A77">
        <w:rPr>
          <w:color w:val="000000" w:themeColor="text1"/>
        </w:rPr>
        <w:t xml:space="preserve">may be made by an oral application at a </w:t>
      </w:r>
      <w:hyperlink w:anchor="_37.1—Application_of_Part" w:history="1">
        <w:r w:rsidR="00CE7A79" w:rsidRPr="00B40A77">
          <w:rPr>
            <w:rStyle w:val="Hyperlink"/>
            <w:color w:val="000000" w:themeColor="text1"/>
          </w:rPr>
          <w:t>hearing</w:t>
        </w:r>
      </w:hyperlink>
      <w:r w:rsidRPr="00B40A77">
        <w:rPr>
          <w:color w:val="000000" w:themeColor="text1"/>
        </w:rPr>
        <w:t xml:space="preserve"> or by </w:t>
      </w:r>
      <w:r w:rsidR="003E7CD3" w:rsidRPr="00B40A77">
        <w:rPr>
          <w:color w:val="000000" w:themeColor="text1"/>
        </w:rPr>
        <w:t xml:space="preserve">an </w:t>
      </w:r>
      <w:r w:rsidR="00FA4048" w:rsidRPr="00B40A77">
        <w:rPr>
          <w:color w:val="000000" w:themeColor="text1"/>
        </w:rPr>
        <w:t xml:space="preserve">interlocutory application </w:t>
      </w:r>
      <w:r w:rsidR="00336FCD" w:rsidRPr="00B40A77">
        <w:rPr>
          <w:color w:val="000000" w:themeColor="text1"/>
        </w:rPr>
        <w:t xml:space="preserve">in accordance with </w:t>
      </w:r>
      <w:hyperlink w:anchor="_39.1—Written_application" w:history="1">
        <w:r w:rsidR="00657AF2" w:rsidRPr="00B40A77">
          <w:rPr>
            <w:rStyle w:val="Hyperlink"/>
            <w:color w:val="000000" w:themeColor="text1"/>
          </w:rPr>
          <w:t>rule 39.1</w:t>
        </w:r>
      </w:hyperlink>
      <w:r w:rsidRPr="00B40A77">
        <w:rPr>
          <w:color w:val="000000" w:themeColor="text1"/>
        </w:rPr>
        <w:t>.</w:t>
      </w:r>
    </w:p>
    <w:p w14:paraId="13892984" w14:textId="6614C819" w:rsidR="00A351F3" w:rsidRPr="00B40A77" w:rsidRDefault="00D00AFF" w:rsidP="00A351F3">
      <w:pPr>
        <w:pStyle w:val="Heading4"/>
        <w:rPr>
          <w:color w:val="000000" w:themeColor="text1"/>
        </w:rPr>
      </w:pPr>
      <w:bookmarkStart w:id="394" w:name="_Toc175238932"/>
      <w:r w:rsidRPr="00B40A77">
        <w:rPr>
          <w:color w:val="000000" w:themeColor="text1"/>
        </w:rPr>
        <w:lastRenderedPageBreak/>
        <w:t>45</w:t>
      </w:r>
      <w:r w:rsidR="00C82171" w:rsidRPr="00B40A77">
        <w:rPr>
          <w:color w:val="000000" w:themeColor="text1"/>
        </w:rPr>
        <w:t>.</w:t>
      </w:r>
      <w:r w:rsidR="00A351F3" w:rsidRPr="00B40A77">
        <w:rPr>
          <w:color w:val="000000" w:themeColor="text1"/>
        </w:rPr>
        <w:t>3—Magistrates Court</w:t>
      </w:r>
      <w:bookmarkEnd w:id="394"/>
    </w:p>
    <w:p w14:paraId="100A702B" w14:textId="7BBE49BD" w:rsidR="00A351F3" w:rsidRPr="00B40A77" w:rsidRDefault="00A351F3" w:rsidP="00A351F3">
      <w:pPr>
        <w:pStyle w:val="IndentedPara"/>
        <w:rPr>
          <w:color w:val="000000" w:themeColor="text1"/>
        </w:rPr>
      </w:pPr>
      <w:r w:rsidRPr="00B40A77">
        <w:rPr>
          <w:color w:val="000000" w:themeColor="text1"/>
        </w:rPr>
        <w:t>An application for transfer of a proceeding from the Magistrates Court to the District Court under section</w:t>
      </w:r>
      <w:r w:rsidR="00A15FBC" w:rsidRPr="00B40A77">
        <w:rPr>
          <w:color w:val="000000" w:themeColor="text1"/>
        </w:rPr>
        <w:t> </w:t>
      </w:r>
      <w:r w:rsidRPr="00B40A77">
        <w:rPr>
          <w:color w:val="000000" w:themeColor="text1"/>
        </w:rPr>
        <w:t xml:space="preserve">9(7) of the </w:t>
      </w:r>
      <w:r w:rsidRPr="00B40A77">
        <w:rPr>
          <w:i/>
          <w:color w:val="000000" w:themeColor="text1"/>
        </w:rPr>
        <w:t>Magistrates Court Act 1991</w:t>
      </w:r>
      <w:r w:rsidRPr="00B40A77">
        <w:rPr>
          <w:color w:val="000000" w:themeColor="text1"/>
        </w:rPr>
        <w:t xml:space="preserve"> may be made by an oral application at a </w:t>
      </w:r>
      <w:hyperlink w:anchor="_37.1—Application_of_Part" w:history="1">
        <w:r w:rsidR="00CE7A79" w:rsidRPr="00B40A77">
          <w:rPr>
            <w:rStyle w:val="Hyperlink"/>
            <w:color w:val="000000" w:themeColor="text1"/>
          </w:rPr>
          <w:t>hearing</w:t>
        </w:r>
      </w:hyperlink>
      <w:r w:rsidRPr="00B40A77">
        <w:rPr>
          <w:color w:val="000000" w:themeColor="text1"/>
        </w:rPr>
        <w:t xml:space="preserve"> or by </w:t>
      </w:r>
      <w:r w:rsidR="003E7CD3" w:rsidRPr="00B40A77">
        <w:rPr>
          <w:color w:val="000000" w:themeColor="text1"/>
        </w:rPr>
        <w:t xml:space="preserve">an </w:t>
      </w:r>
      <w:r w:rsidR="00FA4048" w:rsidRPr="00B40A77">
        <w:rPr>
          <w:color w:val="000000" w:themeColor="text1"/>
        </w:rPr>
        <w:t xml:space="preserve">interlocutory application </w:t>
      </w:r>
      <w:r w:rsidR="00336FCD" w:rsidRPr="00B40A77">
        <w:rPr>
          <w:color w:val="000000" w:themeColor="text1"/>
        </w:rPr>
        <w:t xml:space="preserve">in accordance with </w:t>
      </w:r>
      <w:hyperlink w:anchor="_39.1—Written_application" w:history="1">
        <w:r w:rsidR="00657AF2" w:rsidRPr="00B40A77">
          <w:rPr>
            <w:rStyle w:val="Hyperlink"/>
            <w:color w:val="000000" w:themeColor="text1"/>
          </w:rPr>
          <w:t>rule 39.1</w:t>
        </w:r>
      </w:hyperlink>
      <w:r w:rsidRPr="00B40A77">
        <w:rPr>
          <w:color w:val="000000" w:themeColor="text1"/>
        </w:rPr>
        <w:t>.</w:t>
      </w:r>
    </w:p>
    <w:p w14:paraId="037CED04" w14:textId="0707FE78" w:rsidR="00E93ECC" w:rsidRPr="00B40A77" w:rsidRDefault="000262F8" w:rsidP="00BE23A0">
      <w:pPr>
        <w:pStyle w:val="Heading2"/>
        <w:keepNext/>
        <w:rPr>
          <w:color w:val="000000" w:themeColor="text1"/>
        </w:rPr>
      </w:pPr>
      <w:bookmarkStart w:id="395" w:name="_Toc175238933"/>
      <w:r w:rsidRPr="00B40A77">
        <w:rPr>
          <w:color w:val="000000" w:themeColor="text1"/>
        </w:rPr>
        <w:t>Part 11</w:t>
      </w:r>
      <w:r w:rsidR="00E93ECC" w:rsidRPr="00B40A77">
        <w:rPr>
          <w:color w:val="000000" w:themeColor="text1"/>
        </w:rPr>
        <w:t>—Experts</w:t>
      </w:r>
      <w:bookmarkEnd w:id="395"/>
    </w:p>
    <w:p w14:paraId="6CD81EB1" w14:textId="77777777" w:rsidR="007637EF" w:rsidRPr="00B40A77" w:rsidRDefault="007637EF" w:rsidP="00E200BE">
      <w:pPr>
        <w:pStyle w:val="NoteHeader"/>
        <w:keepNext/>
        <w:ind w:left="567"/>
        <w:rPr>
          <w:color w:val="000000" w:themeColor="text1"/>
        </w:rPr>
      </w:pPr>
      <w:r w:rsidRPr="00B40A77">
        <w:rPr>
          <w:color w:val="000000" w:themeColor="text1"/>
        </w:rPr>
        <w:t>Note—</w:t>
      </w:r>
    </w:p>
    <w:p w14:paraId="58B9E6AF" w14:textId="22200619" w:rsidR="007637EF" w:rsidRPr="00B40A77" w:rsidRDefault="007637EF" w:rsidP="00E200BE">
      <w:pPr>
        <w:pStyle w:val="NoteText"/>
        <w:ind w:left="851"/>
        <w:rPr>
          <w:color w:val="000000" w:themeColor="text1"/>
        </w:rPr>
      </w:pPr>
      <w:r w:rsidRPr="00B40A77">
        <w:rPr>
          <w:color w:val="000000" w:themeColor="text1"/>
        </w:rPr>
        <w:t>This Part contains harmonised rules.</w:t>
      </w:r>
    </w:p>
    <w:p w14:paraId="5A0553EF" w14:textId="0F0F4AFC" w:rsidR="00E93ECC" w:rsidRPr="00B40A77" w:rsidRDefault="00E93ECC" w:rsidP="00E93ECC">
      <w:pPr>
        <w:pStyle w:val="Heading3"/>
        <w:rPr>
          <w:color w:val="000000" w:themeColor="text1"/>
        </w:rPr>
      </w:pPr>
      <w:bookmarkStart w:id="396" w:name="_Toc175238934"/>
      <w:bookmarkStart w:id="397" w:name="_Hlk107841636"/>
      <w:r w:rsidRPr="00B40A77">
        <w:rPr>
          <w:color w:val="000000" w:themeColor="text1"/>
        </w:rPr>
        <w:t>Division 1—Expert code of conduct</w:t>
      </w:r>
      <w:bookmarkEnd w:id="396"/>
    </w:p>
    <w:p w14:paraId="40BC4B8C" w14:textId="1D3C09D9" w:rsidR="00E93ECC" w:rsidRPr="00B40A77" w:rsidRDefault="009C0CBF" w:rsidP="00E93ECC">
      <w:pPr>
        <w:pStyle w:val="Heading4"/>
        <w:rPr>
          <w:color w:val="000000" w:themeColor="text1"/>
        </w:rPr>
      </w:pPr>
      <w:bookmarkStart w:id="398" w:name="_Toc175238935"/>
      <w:r w:rsidRPr="00B40A77">
        <w:rPr>
          <w:color w:val="000000" w:themeColor="text1"/>
        </w:rPr>
        <w:t>4</w:t>
      </w:r>
      <w:r w:rsidR="00D00AFF" w:rsidRPr="00B40A77">
        <w:rPr>
          <w:color w:val="000000" w:themeColor="text1"/>
        </w:rPr>
        <w:t>6</w:t>
      </w:r>
      <w:r w:rsidR="00781F6F" w:rsidRPr="00B40A77">
        <w:rPr>
          <w:color w:val="000000" w:themeColor="text1"/>
        </w:rPr>
        <w:t>.1</w:t>
      </w:r>
      <w:r w:rsidR="00E93ECC" w:rsidRPr="00B40A77">
        <w:rPr>
          <w:color w:val="000000" w:themeColor="text1"/>
        </w:rPr>
        <w:t>—General duties to Court</w:t>
      </w:r>
      <w:bookmarkEnd w:id="398"/>
    </w:p>
    <w:p w14:paraId="12AB13C7" w14:textId="3501AF04" w:rsidR="00E93ECC" w:rsidRPr="00B40A77" w:rsidRDefault="00DC4BB1" w:rsidP="00E93ECC">
      <w:pPr>
        <w:pStyle w:val="Hangindent"/>
        <w:ind w:left="567" w:firstLine="0"/>
        <w:rPr>
          <w:rFonts w:cs="Times New Roman"/>
          <w:color w:val="000000" w:themeColor="text1"/>
        </w:rPr>
      </w:pPr>
      <w:r w:rsidRPr="00B40A77">
        <w:rPr>
          <w:rFonts w:cs="Times New Roman"/>
          <w:color w:val="000000" w:themeColor="text1"/>
        </w:rPr>
        <w:t xml:space="preserve">An </w:t>
      </w:r>
      <w:hyperlink w:anchor="_2.1—Definitions" w:history="1">
        <w:r w:rsidR="000475CD" w:rsidRPr="00B40A77">
          <w:rPr>
            <w:rStyle w:val="Hyperlink"/>
            <w:color w:val="000000" w:themeColor="text1"/>
            <w:lang w:val="en-US"/>
          </w:rPr>
          <w:t>expert</w:t>
        </w:r>
      </w:hyperlink>
      <w:r w:rsidR="00E93ECC" w:rsidRPr="00B40A77">
        <w:rPr>
          <w:rFonts w:cs="Times New Roman"/>
          <w:color w:val="000000" w:themeColor="text1"/>
        </w:rPr>
        <w:t xml:space="preserve"> is not an advocate for a party and has a paramount duty, overriding any duty to the party to the proceeding or other person retaining the </w:t>
      </w:r>
      <w:hyperlink w:anchor="_2.1—Definitions" w:history="1">
        <w:r w:rsidR="00FA555B" w:rsidRPr="00B40A77">
          <w:rPr>
            <w:rStyle w:val="Hyperlink"/>
            <w:color w:val="000000" w:themeColor="text1"/>
            <w:lang w:val="en-US"/>
          </w:rPr>
          <w:t>expert</w:t>
        </w:r>
      </w:hyperlink>
      <w:r w:rsidR="00E93ECC" w:rsidRPr="00B40A77">
        <w:rPr>
          <w:rFonts w:cs="Times New Roman"/>
          <w:color w:val="000000" w:themeColor="text1"/>
        </w:rPr>
        <w:t>, to assist the Court impartially on matters relevant to the area of expertise of the witness.</w:t>
      </w:r>
    </w:p>
    <w:p w14:paraId="48226B92" w14:textId="64239C77" w:rsidR="00E93ECC" w:rsidRPr="00B40A77" w:rsidRDefault="00D00AFF" w:rsidP="00E93ECC">
      <w:pPr>
        <w:pStyle w:val="Heading4"/>
        <w:rPr>
          <w:color w:val="000000" w:themeColor="text1"/>
        </w:rPr>
      </w:pPr>
      <w:bookmarkStart w:id="399" w:name="_Toc175238936"/>
      <w:r w:rsidRPr="00B40A77">
        <w:rPr>
          <w:color w:val="000000" w:themeColor="text1"/>
        </w:rPr>
        <w:t>46</w:t>
      </w:r>
      <w:r w:rsidR="00330F6F" w:rsidRPr="00B40A77">
        <w:rPr>
          <w:color w:val="000000" w:themeColor="text1"/>
        </w:rPr>
        <w:t>.2</w:t>
      </w:r>
      <w:r w:rsidR="00E93ECC" w:rsidRPr="00B40A77">
        <w:rPr>
          <w:color w:val="000000" w:themeColor="text1"/>
        </w:rPr>
        <w:t>—Content of report</w:t>
      </w:r>
      <w:bookmarkEnd w:id="399"/>
    </w:p>
    <w:p w14:paraId="6B85954E" w14:textId="5C139719" w:rsidR="00E93ECC" w:rsidRPr="00B40A77" w:rsidRDefault="00330F6F" w:rsidP="000D5727">
      <w:pPr>
        <w:pStyle w:val="Hangindent"/>
        <w:ind w:left="567" w:firstLine="0"/>
        <w:rPr>
          <w:color w:val="000000" w:themeColor="text1"/>
          <w:lang w:val="en-US"/>
        </w:rPr>
      </w:pPr>
      <w:r w:rsidRPr="00B40A77">
        <w:rPr>
          <w:color w:val="000000" w:themeColor="text1"/>
          <w:lang w:val="en-US"/>
        </w:rPr>
        <w:t>A</w:t>
      </w:r>
      <w:r w:rsidR="00E93ECC" w:rsidRPr="00B40A77">
        <w:rPr>
          <w:color w:val="000000" w:themeColor="text1"/>
          <w:lang w:val="en-US"/>
        </w:rPr>
        <w:t xml:space="preserve">n </w:t>
      </w:r>
      <w:hyperlink w:anchor="_2.1—Definitions" w:history="1">
        <w:r w:rsidR="00E93ECC" w:rsidRPr="00B40A77">
          <w:rPr>
            <w:rStyle w:val="Hyperlink"/>
            <w:color w:val="000000" w:themeColor="text1"/>
            <w:lang w:val="en-US"/>
          </w:rPr>
          <w:t>expert report</w:t>
        </w:r>
      </w:hyperlink>
      <w:r w:rsidR="00E93ECC" w:rsidRPr="00B40A77">
        <w:rPr>
          <w:color w:val="000000" w:themeColor="text1"/>
          <w:lang w:val="en-US"/>
        </w:rPr>
        <w:t xml:space="preserve"> (including a supplementary report) must comply with the re</w:t>
      </w:r>
      <w:r w:rsidR="00DC4BB1" w:rsidRPr="00B40A77">
        <w:rPr>
          <w:color w:val="000000" w:themeColor="text1"/>
          <w:lang w:val="en-US"/>
        </w:rPr>
        <w:t xml:space="preserve">quirements set out in </w:t>
      </w:r>
      <w:hyperlink w:anchor="_Division_2—Content_of" w:history="1">
        <w:r w:rsidR="00DC4BB1" w:rsidRPr="00B40A77">
          <w:rPr>
            <w:rStyle w:val="Hyperlink"/>
            <w:color w:val="000000" w:themeColor="text1"/>
            <w:lang w:val="en-US"/>
          </w:rPr>
          <w:t>Division 2</w:t>
        </w:r>
      </w:hyperlink>
      <w:r w:rsidR="00E93ECC" w:rsidRPr="00B40A77">
        <w:rPr>
          <w:color w:val="000000" w:themeColor="text1"/>
          <w:lang w:val="en-US"/>
        </w:rPr>
        <w:t>.</w:t>
      </w:r>
    </w:p>
    <w:p w14:paraId="516D4047" w14:textId="52F44054" w:rsidR="00E93ECC" w:rsidRPr="00B40A77" w:rsidRDefault="00D00AFF" w:rsidP="00E93ECC">
      <w:pPr>
        <w:pStyle w:val="Heading4"/>
        <w:rPr>
          <w:color w:val="000000" w:themeColor="text1"/>
        </w:rPr>
      </w:pPr>
      <w:bookmarkStart w:id="400" w:name="_Toc175238937"/>
      <w:r w:rsidRPr="00B40A77">
        <w:rPr>
          <w:color w:val="000000" w:themeColor="text1"/>
        </w:rPr>
        <w:t>46</w:t>
      </w:r>
      <w:r w:rsidR="00330F6F" w:rsidRPr="00B40A77">
        <w:rPr>
          <w:color w:val="000000" w:themeColor="text1"/>
        </w:rPr>
        <w:t>.3</w:t>
      </w:r>
      <w:r w:rsidR="00E93ECC" w:rsidRPr="00B40A77">
        <w:rPr>
          <w:color w:val="000000" w:themeColor="text1"/>
        </w:rPr>
        <w:t>—Change of opinion</w:t>
      </w:r>
      <w:bookmarkEnd w:id="400"/>
    </w:p>
    <w:p w14:paraId="6747C892" w14:textId="56D7C669" w:rsidR="00E93ECC" w:rsidRPr="00B40A77" w:rsidRDefault="00E93ECC" w:rsidP="00E93ECC">
      <w:pPr>
        <w:pStyle w:val="Hangindent"/>
        <w:ind w:left="567" w:firstLine="0"/>
        <w:rPr>
          <w:rFonts w:cs="Times New Roman"/>
          <w:color w:val="000000" w:themeColor="text1"/>
        </w:rPr>
      </w:pPr>
      <w:r w:rsidRPr="00B40A77">
        <w:rPr>
          <w:rFonts w:cs="Times New Roman"/>
          <w:color w:val="000000" w:themeColor="text1"/>
        </w:rPr>
        <w:t xml:space="preserve">When an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provided to a party an </w:t>
      </w:r>
      <w:hyperlink w:anchor="_2.1—Definitions" w:history="1">
        <w:r w:rsidRPr="00B40A77">
          <w:rPr>
            <w:rStyle w:val="Hyperlink"/>
            <w:rFonts w:cs="Times New Roman"/>
            <w:color w:val="000000" w:themeColor="text1"/>
          </w:rPr>
          <w:t>expert report</w:t>
        </w:r>
      </w:hyperlink>
      <w:r w:rsidRPr="00B40A77">
        <w:rPr>
          <w:rFonts w:cs="Times New Roman"/>
          <w:color w:val="000000" w:themeColor="text1"/>
        </w:rPr>
        <w:t xml:space="preserve">, and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subsequently changes their opinion on a material matter,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must as soon as practicable provide to the party a supplementary report in accordance with </w:t>
      </w:r>
      <w:hyperlink w:anchor="_47.2—Supplementary_report" w:history="1">
        <w:r w:rsidRPr="00B40A77">
          <w:rPr>
            <w:rStyle w:val="Hyperlink"/>
            <w:rFonts w:cs="Times New Roman"/>
            <w:color w:val="000000" w:themeColor="text1"/>
          </w:rPr>
          <w:t xml:space="preserve">rule </w:t>
        </w:r>
        <w:r w:rsidR="00330F6F" w:rsidRPr="00B40A77">
          <w:rPr>
            <w:rStyle w:val="Hyperlink"/>
            <w:rFonts w:cs="Times New Roman"/>
            <w:color w:val="000000" w:themeColor="text1"/>
          </w:rPr>
          <w:t>4</w:t>
        </w:r>
        <w:r w:rsidR="00F86AC0" w:rsidRPr="00B40A77">
          <w:rPr>
            <w:rStyle w:val="Hyperlink"/>
            <w:rFonts w:cs="Times New Roman"/>
            <w:color w:val="000000" w:themeColor="text1"/>
          </w:rPr>
          <w:t>7</w:t>
        </w:r>
        <w:r w:rsidR="004A7705" w:rsidRPr="00B40A77">
          <w:rPr>
            <w:rStyle w:val="Hyperlink"/>
            <w:rFonts w:cs="Times New Roman"/>
            <w:color w:val="000000" w:themeColor="text1"/>
          </w:rPr>
          <w:t>.2</w:t>
        </w:r>
      </w:hyperlink>
      <w:r w:rsidRPr="00B40A77">
        <w:rPr>
          <w:rFonts w:cs="Times New Roman"/>
          <w:color w:val="000000" w:themeColor="text1"/>
        </w:rPr>
        <w:t>(1).</w:t>
      </w:r>
    </w:p>
    <w:p w14:paraId="47E66EA4" w14:textId="70BED08E" w:rsidR="00E93ECC" w:rsidRPr="00B40A77" w:rsidRDefault="00D00AFF" w:rsidP="00E93ECC">
      <w:pPr>
        <w:pStyle w:val="Heading4"/>
        <w:rPr>
          <w:color w:val="000000" w:themeColor="text1"/>
        </w:rPr>
      </w:pPr>
      <w:bookmarkStart w:id="401" w:name="_46.4—Conferral_with_prior"/>
      <w:bookmarkStart w:id="402" w:name="_Toc175238938"/>
      <w:bookmarkEnd w:id="401"/>
      <w:r w:rsidRPr="00B40A77">
        <w:rPr>
          <w:color w:val="000000" w:themeColor="text1"/>
        </w:rPr>
        <w:t>46</w:t>
      </w:r>
      <w:r w:rsidR="00330F6F" w:rsidRPr="00B40A77">
        <w:rPr>
          <w:color w:val="000000" w:themeColor="text1"/>
        </w:rPr>
        <w:t>.4</w:t>
      </w:r>
      <w:r w:rsidR="00E93ECC" w:rsidRPr="00B40A77">
        <w:rPr>
          <w:color w:val="000000" w:themeColor="text1"/>
        </w:rPr>
        <w:t>—Conferral with prior expert</w:t>
      </w:r>
      <w:bookmarkEnd w:id="402"/>
    </w:p>
    <w:p w14:paraId="6E2F6F1A" w14:textId="06867608" w:rsidR="00E93ECC" w:rsidRPr="00B40A77" w:rsidRDefault="00E93ECC" w:rsidP="00E93ECC">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An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preparing a report in response to, or in the same field of expertise or dealing with the same subject matter as, an </w:t>
      </w:r>
      <w:hyperlink w:anchor="_2.1—Definitions" w:history="1">
        <w:r w:rsidRPr="00B40A77">
          <w:rPr>
            <w:rStyle w:val="Hyperlink"/>
            <w:rFonts w:cs="Times New Roman"/>
            <w:color w:val="000000" w:themeColor="text1"/>
          </w:rPr>
          <w:t>expert report</w:t>
        </w:r>
      </w:hyperlink>
      <w:r w:rsidRPr="00B40A77">
        <w:rPr>
          <w:rFonts w:cs="Times New Roman"/>
          <w:color w:val="000000" w:themeColor="text1"/>
        </w:rPr>
        <w:t xml:space="preserve"> by another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(a</w:t>
      </w:r>
      <w:r w:rsidRPr="00B40A77">
        <w:rPr>
          <w:rFonts w:cs="Times New Roman"/>
          <w:b/>
          <w:i/>
          <w:color w:val="000000" w:themeColor="text1"/>
        </w:rPr>
        <w:t xml:space="preserve"> prior expert</w:t>
      </w:r>
      <w:r w:rsidRPr="00B40A77">
        <w:rPr>
          <w:rFonts w:cs="Times New Roman"/>
          <w:color w:val="000000" w:themeColor="text1"/>
        </w:rPr>
        <w:t xml:space="preserve">) should, to the extent practicable, confer with the </w:t>
      </w:r>
      <w:hyperlink w:anchor="_46.4—Conferral_with_prior" w:history="1">
        <w:r w:rsidRPr="00B40A77">
          <w:rPr>
            <w:rStyle w:val="Hyperlink"/>
            <w:rFonts w:cs="Times New Roman"/>
            <w:color w:val="000000" w:themeColor="text1"/>
          </w:rPr>
          <w:t>prior expert</w:t>
        </w:r>
      </w:hyperlink>
      <w:r w:rsidRPr="00B40A77">
        <w:rPr>
          <w:rFonts w:cs="Times New Roman"/>
          <w:color w:val="000000" w:themeColor="text1"/>
        </w:rPr>
        <w:t xml:space="preserve"> about their respective assumptions and opinions.</w:t>
      </w:r>
    </w:p>
    <w:p w14:paraId="2CC63D5F" w14:textId="708937EA" w:rsidR="00E93ECC" w:rsidRPr="00B40A77" w:rsidRDefault="00E93ECC" w:rsidP="00E93ECC">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A </w:t>
      </w:r>
      <w:hyperlink w:anchor="_46.4—Conferral_with_prior" w:history="1">
        <w:r w:rsidR="00FA555B" w:rsidRPr="00B40A77">
          <w:rPr>
            <w:rStyle w:val="Hyperlink"/>
            <w:rFonts w:cs="Times New Roman"/>
            <w:color w:val="000000" w:themeColor="text1"/>
          </w:rPr>
          <w:t>prior expert</w:t>
        </w:r>
      </w:hyperlink>
      <w:r w:rsidRPr="00B40A77">
        <w:rPr>
          <w:rFonts w:cs="Times New Roman"/>
          <w:color w:val="000000" w:themeColor="text1"/>
        </w:rPr>
        <w:t xml:space="preserve"> asked to confer should, to the extent practicable, confer with the subsequent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about their respective assumptions and opinions.</w:t>
      </w:r>
    </w:p>
    <w:p w14:paraId="6A63EE2E" w14:textId="225DCB33" w:rsidR="00E93ECC" w:rsidRPr="00B40A77" w:rsidRDefault="00DC4BB1" w:rsidP="00E93ECC">
      <w:pPr>
        <w:pStyle w:val="Heading3"/>
        <w:rPr>
          <w:color w:val="000000" w:themeColor="text1"/>
        </w:rPr>
      </w:pPr>
      <w:bookmarkStart w:id="403" w:name="_Division_2—Content_of"/>
      <w:bookmarkStart w:id="404" w:name="_Toc175238939"/>
      <w:bookmarkEnd w:id="397"/>
      <w:bookmarkEnd w:id="403"/>
      <w:r w:rsidRPr="00B40A77">
        <w:rPr>
          <w:color w:val="000000" w:themeColor="text1"/>
        </w:rPr>
        <w:t>Division 2</w:t>
      </w:r>
      <w:r w:rsidR="00E93ECC" w:rsidRPr="00B40A77">
        <w:rPr>
          <w:color w:val="000000" w:themeColor="text1"/>
        </w:rPr>
        <w:t>—Content of expert report</w:t>
      </w:r>
      <w:bookmarkEnd w:id="404"/>
    </w:p>
    <w:p w14:paraId="576D6AC9" w14:textId="1E2364D4" w:rsidR="00E93ECC" w:rsidRPr="00B40A77" w:rsidRDefault="009C0CBF" w:rsidP="00E93ECC">
      <w:pPr>
        <w:pStyle w:val="Heading4"/>
        <w:rPr>
          <w:color w:val="000000" w:themeColor="text1"/>
        </w:rPr>
      </w:pPr>
      <w:bookmarkStart w:id="405" w:name="_47.1—Content_of_report"/>
      <w:bookmarkStart w:id="406" w:name="_Toc175238940"/>
      <w:bookmarkStart w:id="407" w:name="_Hlk107841667"/>
      <w:bookmarkEnd w:id="405"/>
      <w:r w:rsidRPr="00B40A77">
        <w:rPr>
          <w:color w:val="000000" w:themeColor="text1"/>
        </w:rPr>
        <w:t>4</w:t>
      </w:r>
      <w:r w:rsidR="00D00AFF" w:rsidRPr="00B40A77">
        <w:rPr>
          <w:color w:val="000000" w:themeColor="text1"/>
        </w:rPr>
        <w:t>7</w:t>
      </w:r>
      <w:r w:rsidR="004A7705" w:rsidRPr="00B40A77">
        <w:rPr>
          <w:color w:val="000000" w:themeColor="text1"/>
        </w:rPr>
        <w:t>.1</w:t>
      </w:r>
      <w:r w:rsidR="00E93ECC" w:rsidRPr="00B40A77">
        <w:rPr>
          <w:color w:val="000000" w:themeColor="text1"/>
        </w:rPr>
        <w:t>—Content of report</w:t>
      </w:r>
      <w:bookmarkEnd w:id="406"/>
    </w:p>
    <w:p w14:paraId="1BA68E1E" w14:textId="4E239F7D" w:rsidR="00E93ECC" w:rsidRPr="00B40A77" w:rsidRDefault="00E93ECC" w:rsidP="00E93ECC">
      <w:pPr>
        <w:pStyle w:val="IndentedPara"/>
        <w:rPr>
          <w:color w:val="000000" w:themeColor="text1"/>
        </w:rPr>
      </w:pPr>
      <w:r w:rsidRPr="00B40A77">
        <w:rPr>
          <w:color w:val="000000" w:themeColor="text1"/>
        </w:rPr>
        <w:t xml:space="preserve">An </w:t>
      </w:r>
      <w:hyperlink w:anchor="_2.1—Definitions" w:history="1">
        <w:r w:rsidRPr="00B40A77">
          <w:rPr>
            <w:rStyle w:val="Hyperlink"/>
            <w:color w:val="000000" w:themeColor="text1"/>
          </w:rPr>
          <w:t>expert report</w:t>
        </w:r>
      </w:hyperlink>
      <w:r w:rsidRPr="00B40A77">
        <w:rPr>
          <w:color w:val="000000" w:themeColor="text1"/>
        </w:rPr>
        <w:t xml:space="preserve"> prepared by an </w:t>
      </w:r>
      <w:hyperlink w:anchor="_2.1—Definitions" w:history="1">
        <w:r w:rsidR="00FA555B" w:rsidRPr="00B40A77">
          <w:rPr>
            <w:rStyle w:val="Hyperlink"/>
            <w:color w:val="000000" w:themeColor="text1"/>
          </w:rPr>
          <w:t>expert</w:t>
        </w:r>
      </w:hyperlink>
      <w:r w:rsidRPr="00B40A77">
        <w:rPr>
          <w:color w:val="000000" w:themeColor="text1"/>
        </w:rPr>
        <w:t xml:space="preserve"> must—</w:t>
      </w:r>
    </w:p>
    <w:p w14:paraId="5FA6DA5B" w14:textId="47AA533B" w:rsidR="00E93ECC" w:rsidRPr="00B40A77" w:rsidRDefault="00E93ECC" w:rsidP="00E93ECC">
      <w:pPr>
        <w:pStyle w:val="Hangindent"/>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state clearly the opinion, or opinions, of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w:t>
      </w:r>
    </w:p>
    <w:p w14:paraId="1F13BD83" w14:textId="6C47C996" w:rsidR="00E93ECC" w:rsidRPr="00B40A77" w:rsidRDefault="00E93ECC" w:rsidP="00E93ECC">
      <w:pPr>
        <w:pStyle w:val="Hangindent"/>
        <w:rPr>
          <w:rFonts w:cs="Times New Roman"/>
          <w:color w:val="000000" w:themeColor="text1"/>
        </w:rPr>
      </w:pPr>
      <w:r w:rsidRPr="00B40A77">
        <w:rPr>
          <w:color w:val="000000" w:themeColor="text1"/>
        </w:rPr>
        <w:t>(b)</w:t>
      </w:r>
      <w:r w:rsidRPr="00B40A77">
        <w:rPr>
          <w:color w:val="000000" w:themeColor="text1"/>
        </w:rPr>
        <w:tab/>
        <w:t xml:space="preserve">state </w:t>
      </w:r>
      <w:r w:rsidRPr="00B40A77">
        <w:rPr>
          <w:rFonts w:cs="Times New Roman"/>
          <w:color w:val="000000" w:themeColor="text1"/>
        </w:rPr>
        <w:t xml:space="preserve">the name and address of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w:t>
      </w:r>
    </w:p>
    <w:p w14:paraId="535A0602" w14:textId="190D6074" w:rsidR="00E93ECC" w:rsidRPr="00B40A77" w:rsidRDefault="00E93ECC" w:rsidP="00E93ECC">
      <w:pPr>
        <w:pStyle w:val="Hangindent"/>
        <w:rPr>
          <w:rFonts w:cs="Times New Roman"/>
          <w:color w:val="000000" w:themeColor="text1"/>
        </w:rPr>
      </w:pPr>
      <w:r w:rsidRPr="00B40A77">
        <w:rPr>
          <w:rFonts w:cs="Times New Roman"/>
          <w:color w:val="000000" w:themeColor="text1"/>
        </w:rPr>
        <w:t>(c)</w:t>
      </w:r>
      <w:r w:rsidRPr="00B40A77">
        <w:rPr>
          <w:rFonts w:cs="Times New Roman"/>
          <w:color w:val="000000" w:themeColor="text1"/>
        </w:rPr>
        <w:tab/>
      </w:r>
      <w:r w:rsidRPr="00B40A77">
        <w:rPr>
          <w:color w:val="000000" w:themeColor="text1"/>
        </w:rPr>
        <w:t>include</w:t>
      </w:r>
      <w:r w:rsidRPr="00B40A77">
        <w:rPr>
          <w:rFonts w:cs="Times New Roman"/>
          <w:color w:val="000000" w:themeColor="text1"/>
        </w:rPr>
        <w:t xml:space="preserve"> an acknowledgment that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read this Part and agrees to be bound by its provisions;</w:t>
      </w:r>
    </w:p>
    <w:p w14:paraId="3FA55624" w14:textId="3139F76A" w:rsidR="00E93ECC" w:rsidRPr="00B40A77" w:rsidRDefault="00E93ECC" w:rsidP="00E93ECC">
      <w:pPr>
        <w:pStyle w:val="Hangindent"/>
        <w:rPr>
          <w:rFonts w:cs="Times New Roman"/>
          <w:color w:val="000000" w:themeColor="text1"/>
        </w:rPr>
      </w:pPr>
      <w:r w:rsidRPr="00B40A77">
        <w:rPr>
          <w:rFonts w:cs="Times New Roman"/>
          <w:color w:val="000000" w:themeColor="text1"/>
        </w:rPr>
        <w:t>(d)</w:t>
      </w:r>
      <w:r w:rsidRPr="00B40A77">
        <w:rPr>
          <w:rFonts w:cs="Times New Roman"/>
          <w:color w:val="000000" w:themeColor="text1"/>
        </w:rPr>
        <w:tab/>
      </w:r>
      <w:r w:rsidRPr="00B40A77">
        <w:rPr>
          <w:color w:val="000000" w:themeColor="text1"/>
        </w:rPr>
        <w:t xml:space="preserve">state </w:t>
      </w:r>
      <w:r w:rsidRPr="00B40A77">
        <w:rPr>
          <w:rFonts w:cs="Times New Roman"/>
          <w:color w:val="000000" w:themeColor="text1"/>
        </w:rPr>
        <w:t xml:space="preserve">the qualifications of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to prepare the report;</w:t>
      </w:r>
    </w:p>
    <w:p w14:paraId="44E66DA2" w14:textId="77777777" w:rsidR="00E93ECC" w:rsidRPr="00B40A77" w:rsidRDefault="00E93ECC" w:rsidP="00E93ECC">
      <w:pPr>
        <w:pStyle w:val="Hangindent"/>
        <w:rPr>
          <w:rFonts w:cs="Times New Roman"/>
          <w:color w:val="000000" w:themeColor="text1"/>
        </w:rPr>
      </w:pPr>
      <w:r w:rsidRPr="00B40A77">
        <w:rPr>
          <w:rFonts w:cs="Times New Roman"/>
          <w:color w:val="000000" w:themeColor="text1"/>
        </w:rPr>
        <w:t>(e)</w:t>
      </w:r>
      <w:r w:rsidRPr="00B40A77">
        <w:rPr>
          <w:rFonts w:cs="Times New Roman"/>
          <w:color w:val="000000" w:themeColor="text1"/>
        </w:rPr>
        <w:tab/>
      </w:r>
      <w:r w:rsidRPr="00B40A77">
        <w:rPr>
          <w:color w:val="000000" w:themeColor="text1"/>
        </w:rPr>
        <w:t xml:space="preserve">state </w:t>
      </w:r>
      <w:r w:rsidRPr="00B40A77">
        <w:rPr>
          <w:rFonts w:cs="Times New Roman"/>
          <w:color w:val="000000" w:themeColor="text1"/>
        </w:rPr>
        <w:t>the assumptions and material facts on which each opinion expressed in the report is based (whether by annexing a letter of instructions or otherwise);</w:t>
      </w:r>
    </w:p>
    <w:p w14:paraId="5708AF6D" w14:textId="77777777" w:rsidR="00E93ECC" w:rsidRPr="00B40A77" w:rsidRDefault="00E93ECC" w:rsidP="00E93ECC">
      <w:pPr>
        <w:pStyle w:val="Hangindent"/>
        <w:rPr>
          <w:rFonts w:cs="Times New Roman"/>
          <w:color w:val="000000" w:themeColor="text1"/>
        </w:rPr>
      </w:pPr>
      <w:r w:rsidRPr="00B40A77">
        <w:rPr>
          <w:rFonts w:cs="Times New Roman"/>
          <w:color w:val="000000" w:themeColor="text1"/>
        </w:rPr>
        <w:t>(f)</w:t>
      </w:r>
      <w:r w:rsidRPr="00B40A77">
        <w:rPr>
          <w:rFonts w:cs="Times New Roman"/>
          <w:color w:val="000000" w:themeColor="text1"/>
        </w:rPr>
        <w:tab/>
        <w:t>identify the reasons for, and any literature or other materials utilised in support of, such opinion;</w:t>
      </w:r>
    </w:p>
    <w:p w14:paraId="033EBEB2" w14:textId="17D57CF8" w:rsidR="00E93ECC" w:rsidRPr="00B40A77" w:rsidRDefault="00E93ECC" w:rsidP="00E93ECC">
      <w:pPr>
        <w:pStyle w:val="Hangindent"/>
        <w:rPr>
          <w:rFonts w:cs="Times New Roman"/>
          <w:color w:val="000000" w:themeColor="text1"/>
        </w:rPr>
      </w:pPr>
      <w:r w:rsidRPr="00B40A77">
        <w:rPr>
          <w:rFonts w:cs="Times New Roman"/>
          <w:color w:val="000000" w:themeColor="text1"/>
        </w:rPr>
        <w:lastRenderedPageBreak/>
        <w:t>(g)</w:t>
      </w:r>
      <w:r w:rsidRPr="00B40A77">
        <w:rPr>
          <w:rFonts w:cs="Times New Roman"/>
          <w:color w:val="000000" w:themeColor="text1"/>
        </w:rPr>
        <w:tab/>
      </w:r>
      <w:r w:rsidRPr="00B40A77">
        <w:rPr>
          <w:color w:val="000000" w:themeColor="text1"/>
        </w:rPr>
        <w:t xml:space="preserve">state </w:t>
      </w:r>
      <w:r w:rsidRPr="00B40A77">
        <w:rPr>
          <w:rFonts w:cs="Times New Roman"/>
          <w:color w:val="000000" w:themeColor="text1"/>
        </w:rPr>
        <w:t xml:space="preserve">(if applicable) that a particular question, issue or matter falls outside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’s field of expertise;</w:t>
      </w:r>
    </w:p>
    <w:p w14:paraId="19265AD4" w14:textId="7427F94D" w:rsidR="00E93ECC" w:rsidRPr="00B40A77" w:rsidRDefault="00E93ECC" w:rsidP="00E93ECC">
      <w:pPr>
        <w:pStyle w:val="Hangindent"/>
        <w:rPr>
          <w:rFonts w:cs="Times New Roman"/>
          <w:color w:val="000000" w:themeColor="text1"/>
        </w:rPr>
      </w:pPr>
      <w:r w:rsidRPr="00B40A77">
        <w:rPr>
          <w:rFonts w:cs="Times New Roman"/>
          <w:color w:val="000000" w:themeColor="text1"/>
        </w:rPr>
        <w:t>(h)</w:t>
      </w:r>
      <w:r w:rsidRPr="00B40A77">
        <w:rPr>
          <w:rFonts w:cs="Times New Roman"/>
          <w:color w:val="000000" w:themeColor="text1"/>
        </w:rPr>
        <w:tab/>
        <w:t xml:space="preserve">identify any examinations, tests or other investigations on which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relied, identifying the person who carried them out and that person’s qualifications;</w:t>
      </w:r>
    </w:p>
    <w:p w14:paraId="6F773847" w14:textId="3C93FC8E" w:rsidR="00E93ECC" w:rsidRPr="00B40A77" w:rsidRDefault="00E93ECC" w:rsidP="00E93ECC">
      <w:pPr>
        <w:pStyle w:val="Hangindent"/>
        <w:rPr>
          <w:rFonts w:cs="Times New Roman"/>
          <w:color w:val="000000" w:themeColor="text1"/>
        </w:rPr>
      </w:pPr>
      <w:r w:rsidRPr="00B40A77">
        <w:rPr>
          <w:rFonts w:cs="Times New Roman"/>
          <w:color w:val="000000" w:themeColor="text1"/>
        </w:rPr>
        <w:t>(i)</w:t>
      </w:r>
      <w:r w:rsidRPr="00B40A77">
        <w:rPr>
          <w:rFonts w:cs="Times New Roman"/>
          <w:color w:val="000000" w:themeColor="text1"/>
        </w:rPr>
        <w:tab/>
        <w:t xml:space="preserve">to the extent to which any opinion that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expressed involves the acceptance of another person’s opinion, identify that other person and the opinion expressed by that other person;</w:t>
      </w:r>
    </w:p>
    <w:p w14:paraId="4BB6F4A7" w14:textId="6CF54B85" w:rsidR="00E93ECC" w:rsidRPr="00B40A77" w:rsidRDefault="00E93ECC" w:rsidP="00E93ECC">
      <w:pPr>
        <w:pStyle w:val="Hangindent"/>
        <w:rPr>
          <w:rFonts w:cs="Times New Roman"/>
          <w:color w:val="000000" w:themeColor="text1"/>
        </w:rPr>
      </w:pPr>
      <w:r w:rsidRPr="00B40A77">
        <w:rPr>
          <w:rFonts w:cs="Times New Roman"/>
          <w:color w:val="000000" w:themeColor="text1"/>
        </w:rPr>
        <w:t>(j)</w:t>
      </w:r>
      <w:r w:rsidRPr="00B40A77">
        <w:rPr>
          <w:rFonts w:cs="Times New Roman"/>
          <w:color w:val="000000" w:themeColor="text1"/>
        </w:rPr>
        <w:tab/>
        <w:t xml:space="preserve">include a declaration that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made all the inquiries which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believes are desirable and appropriate (save for any matters identified explicitly in the report), and that no matters of significance which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regards as relevant have, to the knowledge of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been withheld from the Court;</w:t>
      </w:r>
    </w:p>
    <w:p w14:paraId="44D4840F" w14:textId="77777777" w:rsidR="00E93ECC" w:rsidRPr="00B40A77" w:rsidRDefault="00E93ECC" w:rsidP="00E93ECC">
      <w:pPr>
        <w:pStyle w:val="Hangindent"/>
        <w:rPr>
          <w:rFonts w:cs="Times New Roman"/>
          <w:color w:val="000000" w:themeColor="text1"/>
        </w:rPr>
      </w:pPr>
      <w:r w:rsidRPr="00B40A77">
        <w:rPr>
          <w:rFonts w:cs="Times New Roman"/>
          <w:color w:val="000000" w:themeColor="text1"/>
        </w:rPr>
        <w:t>(k)</w:t>
      </w:r>
      <w:r w:rsidRPr="00B40A77">
        <w:rPr>
          <w:rFonts w:cs="Times New Roman"/>
          <w:color w:val="000000" w:themeColor="text1"/>
        </w:rPr>
        <w:tab/>
      </w:r>
      <w:r w:rsidRPr="00B40A77">
        <w:rPr>
          <w:color w:val="000000" w:themeColor="text1"/>
        </w:rPr>
        <w:t xml:space="preserve">state </w:t>
      </w:r>
      <w:r w:rsidRPr="00B40A77">
        <w:rPr>
          <w:rFonts w:cs="Times New Roman"/>
          <w:color w:val="000000" w:themeColor="text1"/>
        </w:rPr>
        <w:t>any qualifications on an opinion expressed in the report without which the report is, or may be, incomplete or inaccurate;</w:t>
      </w:r>
    </w:p>
    <w:p w14:paraId="27DB01AD" w14:textId="77777777" w:rsidR="00E93ECC" w:rsidRPr="00B40A77" w:rsidRDefault="00E93ECC" w:rsidP="00E93ECC">
      <w:pPr>
        <w:pStyle w:val="Hangindent"/>
        <w:rPr>
          <w:rFonts w:cs="Times New Roman"/>
          <w:color w:val="000000" w:themeColor="text1"/>
        </w:rPr>
      </w:pPr>
      <w:r w:rsidRPr="00B40A77">
        <w:rPr>
          <w:rFonts w:cs="Times New Roman"/>
          <w:color w:val="000000" w:themeColor="text1"/>
        </w:rPr>
        <w:t>(l)</w:t>
      </w:r>
      <w:r w:rsidRPr="00B40A77">
        <w:rPr>
          <w:rFonts w:cs="Times New Roman"/>
          <w:color w:val="000000" w:themeColor="text1"/>
        </w:rPr>
        <w:tab/>
        <w:t>state whether any opinion expressed in the report is not a concluded opinion because of insufficient research or insufficient data or for any other reason;</w:t>
      </w:r>
    </w:p>
    <w:p w14:paraId="17DC159A" w14:textId="77777777" w:rsidR="00E93ECC" w:rsidRPr="00B40A77" w:rsidRDefault="00E93ECC" w:rsidP="00E93ECC">
      <w:pPr>
        <w:pStyle w:val="Hangindent"/>
        <w:rPr>
          <w:rFonts w:cs="Times New Roman"/>
          <w:color w:val="000000" w:themeColor="text1"/>
        </w:rPr>
      </w:pPr>
      <w:r w:rsidRPr="00B40A77">
        <w:rPr>
          <w:rFonts w:cs="Times New Roman"/>
          <w:color w:val="000000" w:themeColor="text1"/>
        </w:rPr>
        <w:t>(m)</w:t>
      </w:r>
      <w:r w:rsidRPr="00B40A77">
        <w:rPr>
          <w:rFonts w:cs="Times New Roman"/>
          <w:color w:val="000000" w:themeColor="text1"/>
        </w:rPr>
        <w:tab/>
        <w:t>where the report is lengthy or complex, include a brief summary of the report at the beginning of the report;</w:t>
      </w:r>
    </w:p>
    <w:p w14:paraId="713580EC" w14:textId="195F17F1" w:rsidR="00E93ECC" w:rsidRPr="00B40A77" w:rsidRDefault="00E93ECC" w:rsidP="00E93ECC">
      <w:pPr>
        <w:pStyle w:val="Hangindent"/>
        <w:rPr>
          <w:rFonts w:cs="Times New Roman"/>
          <w:color w:val="000000" w:themeColor="text1"/>
        </w:rPr>
      </w:pPr>
      <w:r w:rsidRPr="00B40A77">
        <w:rPr>
          <w:rFonts w:cs="Times New Roman"/>
          <w:color w:val="000000" w:themeColor="text1"/>
        </w:rPr>
        <w:t>(n)</w:t>
      </w:r>
      <w:r w:rsidRPr="00B40A77">
        <w:rPr>
          <w:rFonts w:cs="Times New Roman"/>
          <w:color w:val="000000" w:themeColor="text1"/>
        </w:rPr>
        <w:tab/>
        <w:t xml:space="preserve">identify documents and other materials that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been asked to consider (whether by annexing a letter of instructions or otherwise);</w:t>
      </w:r>
    </w:p>
    <w:p w14:paraId="2C9FBE9E" w14:textId="70263E4E" w:rsidR="00E93ECC" w:rsidRPr="00B40A77" w:rsidRDefault="00E93ECC" w:rsidP="00E93ECC">
      <w:pPr>
        <w:pStyle w:val="Hangindent"/>
        <w:rPr>
          <w:rFonts w:cs="Times New Roman"/>
          <w:color w:val="000000" w:themeColor="text1"/>
        </w:rPr>
      </w:pPr>
      <w:r w:rsidRPr="00B40A77">
        <w:rPr>
          <w:rFonts w:cs="Times New Roman"/>
          <w:color w:val="000000" w:themeColor="text1"/>
        </w:rPr>
        <w:t>(o)</w:t>
      </w:r>
      <w:r w:rsidRPr="00B40A77">
        <w:rPr>
          <w:rFonts w:cs="Times New Roman"/>
          <w:color w:val="000000" w:themeColor="text1"/>
        </w:rPr>
        <w:tab/>
        <w:t xml:space="preserve">attach copies of documents that record instructions given to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and</w:t>
      </w:r>
    </w:p>
    <w:p w14:paraId="076087FF" w14:textId="06313AAA" w:rsidR="00E93ECC" w:rsidRPr="00B40A77" w:rsidRDefault="00E93ECC" w:rsidP="00E93ECC">
      <w:pPr>
        <w:pStyle w:val="Hangindent"/>
        <w:rPr>
          <w:rFonts w:cs="Times New Roman"/>
          <w:color w:val="000000" w:themeColor="text1"/>
        </w:rPr>
      </w:pPr>
      <w:r w:rsidRPr="00B40A77">
        <w:rPr>
          <w:rFonts w:cs="Times New Roman"/>
          <w:color w:val="000000" w:themeColor="text1"/>
        </w:rPr>
        <w:t>(p)</w:t>
      </w:r>
      <w:r w:rsidRPr="00B40A77">
        <w:rPr>
          <w:rFonts w:cs="Times New Roman"/>
          <w:color w:val="000000" w:themeColor="text1"/>
        </w:rPr>
        <w:tab/>
        <w:t xml:space="preserve">be signed by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w:t>
      </w:r>
    </w:p>
    <w:p w14:paraId="1D4DF7E3" w14:textId="297C2D47" w:rsidR="00E93ECC" w:rsidRPr="00B40A77" w:rsidRDefault="00D00AFF" w:rsidP="00E93ECC">
      <w:pPr>
        <w:pStyle w:val="Heading4"/>
        <w:rPr>
          <w:color w:val="000000" w:themeColor="text1"/>
        </w:rPr>
      </w:pPr>
      <w:bookmarkStart w:id="408" w:name="_47.2—Supplementary_report"/>
      <w:bookmarkStart w:id="409" w:name="_Toc175238941"/>
      <w:bookmarkEnd w:id="407"/>
      <w:bookmarkEnd w:id="408"/>
      <w:r w:rsidRPr="00B40A77">
        <w:rPr>
          <w:color w:val="000000" w:themeColor="text1"/>
        </w:rPr>
        <w:t>47</w:t>
      </w:r>
      <w:r w:rsidR="004A7705" w:rsidRPr="00B40A77">
        <w:rPr>
          <w:color w:val="000000" w:themeColor="text1"/>
        </w:rPr>
        <w:t>.2</w:t>
      </w:r>
      <w:r w:rsidR="00E93ECC" w:rsidRPr="00B40A77">
        <w:rPr>
          <w:color w:val="000000" w:themeColor="text1"/>
        </w:rPr>
        <w:t>—Supplementary report</w:t>
      </w:r>
      <w:bookmarkEnd w:id="409"/>
    </w:p>
    <w:p w14:paraId="532B866C" w14:textId="73FED95A" w:rsidR="00E93ECC" w:rsidRPr="00B40A77" w:rsidRDefault="00E93ECC" w:rsidP="00E93ECC">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When an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has provided to a party an </w:t>
      </w:r>
      <w:hyperlink w:anchor="_2.1—Definitions" w:history="1">
        <w:r w:rsidRPr="00B40A77">
          <w:rPr>
            <w:rStyle w:val="Hyperlink"/>
            <w:rFonts w:cs="Times New Roman"/>
            <w:color w:val="000000" w:themeColor="text1"/>
          </w:rPr>
          <w:t>expert report</w:t>
        </w:r>
      </w:hyperlink>
      <w:r w:rsidRPr="00B40A77">
        <w:rPr>
          <w:rFonts w:cs="Times New Roman"/>
          <w:color w:val="000000" w:themeColor="text1"/>
        </w:rPr>
        <w:t xml:space="preserve">, and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subsequently changes their opinion on a material matter,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must as soon as practicable provide to the party a supplementary report which shall state or provide the </w:t>
      </w:r>
      <w:r w:rsidR="000D5727" w:rsidRPr="00B40A77">
        <w:rPr>
          <w:rFonts w:cs="Times New Roman"/>
          <w:color w:val="000000" w:themeColor="text1"/>
        </w:rPr>
        <w:t>i</w:t>
      </w:r>
      <w:r w:rsidRPr="00B40A77">
        <w:rPr>
          <w:rFonts w:cs="Times New Roman"/>
          <w:color w:val="000000" w:themeColor="text1"/>
        </w:rPr>
        <w:t xml:space="preserve">nformation referred to in paragraphs (a), (d), (e), (f), </w:t>
      </w:r>
      <w:r w:rsidR="000D5727" w:rsidRPr="00B40A77">
        <w:rPr>
          <w:rFonts w:cs="Times New Roman"/>
          <w:color w:val="000000" w:themeColor="text1"/>
        </w:rPr>
        <w:t xml:space="preserve">(g), </w:t>
      </w:r>
      <w:r w:rsidRPr="00B40A77">
        <w:rPr>
          <w:rFonts w:cs="Times New Roman"/>
          <w:color w:val="000000" w:themeColor="text1"/>
        </w:rPr>
        <w:t xml:space="preserve">(h), (i), (j), (k) and (l) of </w:t>
      </w:r>
      <w:hyperlink w:anchor="_47.1—Content_of_report" w:history="1">
        <w:r w:rsidR="0034121F" w:rsidRPr="00B40A77">
          <w:rPr>
            <w:rStyle w:val="Hyperlink"/>
            <w:rFonts w:cs="Times New Roman"/>
            <w:color w:val="000000" w:themeColor="text1"/>
          </w:rPr>
          <w:t>rule 4</w:t>
        </w:r>
        <w:r w:rsidR="00F86AC0" w:rsidRPr="00B40A77">
          <w:rPr>
            <w:rStyle w:val="Hyperlink"/>
            <w:rFonts w:cs="Times New Roman"/>
            <w:color w:val="000000" w:themeColor="text1"/>
          </w:rPr>
          <w:t>7</w:t>
        </w:r>
        <w:r w:rsidR="007637EF" w:rsidRPr="00B40A77">
          <w:rPr>
            <w:rStyle w:val="Hyperlink"/>
            <w:rFonts w:cs="Times New Roman"/>
            <w:color w:val="000000" w:themeColor="text1"/>
          </w:rPr>
          <w:t>.1</w:t>
        </w:r>
      </w:hyperlink>
      <w:r w:rsidRPr="00B40A77">
        <w:rPr>
          <w:rFonts w:cs="Times New Roman"/>
          <w:color w:val="000000" w:themeColor="text1"/>
        </w:rPr>
        <w:t>.</w:t>
      </w:r>
    </w:p>
    <w:p w14:paraId="47D0B799" w14:textId="12E54A1C" w:rsidR="00E93ECC" w:rsidRPr="00B40A77" w:rsidRDefault="00E93ECC" w:rsidP="00E93ECC">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In any subsequent report (whether prepared in accordance with subrule</w:t>
      </w:r>
      <w:r w:rsidR="005617CC" w:rsidRPr="00B40A77">
        <w:rPr>
          <w:rFonts w:cs="Times New Roman"/>
          <w:color w:val="000000" w:themeColor="text1"/>
        </w:rPr>
        <w:t> </w:t>
      </w:r>
      <w:r w:rsidRPr="00B40A77">
        <w:rPr>
          <w:rFonts w:cs="Times New Roman"/>
          <w:color w:val="000000" w:themeColor="text1"/>
        </w:rPr>
        <w:t xml:space="preserve">(1) or not), the </w:t>
      </w:r>
      <w:hyperlink w:anchor="_2.1—Definitions" w:history="1">
        <w:r w:rsidR="00FA555B" w:rsidRPr="00B40A77">
          <w:rPr>
            <w:rStyle w:val="Hyperlink"/>
            <w:color w:val="000000" w:themeColor="text1"/>
            <w:lang w:val="en-US"/>
          </w:rPr>
          <w:t>expert</w:t>
        </w:r>
      </w:hyperlink>
      <w:r w:rsidRPr="00B40A77">
        <w:rPr>
          <w:rFonts w:cs="Times New Roman"/>
          <w:color w:val="000000" w:themeColor="text1"/>
        </w:rPr>
        <w:t xml:space="preserve"> may refer to material contained in the earlier report without repeating it.</w:t>
      </w:r>
    </w:p>
    <w:p w14:paraId="16E6669D" w14:textId="731624D3" w:rsidR="006C55C5" w:rsidRPr="00B40A77" w:rsidRDefault="006C55C5" w:rsidP="00BE23A0">
      <w:pPr>
        <w:pStyle w:val="Heading2"/>
        <w:keepNext/>
        <w:rPr>
          <w:color w:val="000000" w:themeColor="text1"/>
        </w:rPr>
      </w:pPr>
      <w:bookmarkStart w:id="410" w:name="_Toc175238942"/>
      <w:r w:rsidRPr="00B40A77">
        <w:rPr>
          <w:color w:val="000000" w:themeColor="text1"/>
        </w:rPr>
        <w:t xml:space="preserve">Part </w:t>
      </w:r>
      <w:r w:rsidR="000262F8" w:rsidRPr="00B40A77">
        <w:rPr>
          <w:color w:val="000000" w:themeColor="text1"/>
        </w:rPr>
        <w:t>12</w:t>
      </w:r>
      <w:r w:rsidRPr="00B40A77">
        <w:rPr>
          <w:color w:val="000000" w:themeColor="text1"/>
        </w:rPr>
        <w:t>—Contempt</w:t>
      </w:r>
      <w:bookmarkEnd w:id="387"/>
      <w:bookmarkEnd w:id="410"/>
    </w:p>
    <w:p w14:paraId="1FFB4D3C" w14:textId="77777777" w:rsidR="006C55C5" w:rsidRPr="00B40A77" w:rsidRDefault="006C55C5" w:rsidP="006C55C5">
      <w:pPr>
        <w:pStyle w:val="Heading3"/>
        <w:rPr>
          <w:color w:val="000000" w:themeColor="text1"/>
        </w:rPr>
      </w:pPr>
      <w:bookmarkStart w:id="411" w:name="_Toc65162997"/>
      <w:bookmarkStart w:id="412" w:name="_Toc175238943"/>
      <w:r w:rsidRPr="00B40A77">
        <w:rPr>
          <w:color w:val="000000" w:themeColor="text1"/>
        </w:rPr>
        <w:t>Division 1—Introduction</w:t>
      </w:r>
      <w:bookmarkEnd w:id="411"/>
      <w:bookmarkEnd w:id="412"/>
    </w:p>
    <w:p w14:paraId="06CEB31E" w14:textId="3D286DBF" w:rsidR="006C55C5" w:rsidRPr="00B40A77" w:rsidRDefault="009C0CBF" w:rsidP="006C55C5">
      <w:pPr>
        <w:pStyle w:val="Heading4"/>
        <w:rPr>
          <w:color w:val="000000" w:themeColor="text1"/>
        </w:rPr>
      </w:pPr>
      <w:bookmarkStart w:id="413" w:name="_48.1—Definitions"/>
      <w:bookmarkStart w:id="414" w:name="_Toc65162998"/>
      <w:bookmarkStart w:id="415" w:name="_Toc175238944"/>
      <w:bookmarkEnd w:id="413"/>
      <w:r w:rsidRPr="00B40A77">
        <w:rPr>
          <w:color w:val="000000" w:themeColor="text1"/>
        </w:rPr>
        <w:t>4</w:t>
      </w:r>
      <w:r w:rsidR="00D00AFF" w:rsidRPr="00B40A77">
        <w:rPr>
          <w:color w:val="000000" w:themeColor="text1"/>
        </w:rPr>
        <w:t>8</w:t>
      </w:r>
      <w:r w:rsidR="006C55C5" w:rsidRPr="00B40A77">
        <w:rPr>
          <w:color w:val="000000" w:themeColor="text1"/>
        </w:rPr>
        <w:t>.1—Definitions</w:t>
      </w:r>
      <w:bookmarkEnd w:id="414"/>
      <w:bookmarkEnd w:id="415"/>
    </w:p>
    <w:p w14:paraId="42BA41D7" w14:textId="02A8621D" w:rsidR="006C55C5" w:rsidRPr="00B40A77" w:rsidRDefault="006C55C5" w:rsidP="006C55C5">
      <w:pPr>
        <w:pStyle w:val="Hangindent"/>
        <w:rPr>
          <w:color w:val="000000" w:themeColor="text1"/>
          <w:lang w:val="en-US"/>
        </w:rPr>
      </w:pPr>
      <w:r w:rsidRPr="00B40A77">
        <w:rPr>
          <w:color w:val="000000" w:themeColor="text1"/>
          <w:lang w:val="en-US"/>
        </w:rPr>
        <w:t>In this Part</w:t>
      </w:r>
      <w:r w:rsidRPr="00B40A77">
        <w:rPr>
          <w:color w:val="000000" w:themeColor="text1"/>
        </w:rPr>
        <w:t>—</w:t>
      </w:r>
    </w:p>
    <w:p w14:paraId="7E7CBAEE" w14:textId="7B84A854" w:rsidR="006C55C5" w:rsidRPr="00B40A77" w:rsidRDefault="006C55C5" w:rsidP="006C55C5">
      <w:pPr>
        <w:pStyle w:val="Hangindent"/>
        <w:ind w:left="567" w:firstLine="0"/>
        <w:rPr>
          <w:rFonts w:cs="Times New Roman"/>
          <w:color w:val="000000" w:themeColor="text1"/>
        </w:rPr>
      </w:pPr>
      <w:r w:rsidRPr="00B40A77">
        <w:rPr>
          <w:rFonts w:cs="Times New Roman"/>
          <w:b/>
          <w:i/>
          <w:color w:val="000000" w:themeColor="text1"/>
        </w:rPr>
        <w:t xml:space="preserve">accused </w:t>
      </w:r>
      <w:r w:rsidRPr="00B40A77">
        <w:rPr>
          <w:rFonts w:cs="Times New Roman"/>
          <w:color w:val="000000" w:themeColor="text1"/>
        </w:rPr>
        <w:t xml:space="preserve">means the person charged with contempt of </w:t>
      </w:r>
      <w:r w:rsidR="00AA3DAA" w:rsidRPr="00B40A77">
        <w:rPr>
          <w:rFonts w:cs="Times New Roman"/>
          <w:color w:val="000000" w:themeColor="text1"/>
        </w:rPr>
        <w:t>c</w:t>
      </w:r>
      <w:r w:rsidRPr="00B40A77">
        <w:rPr>
          <w:rFonts w:cs="Times New Roman"/>
          <w:color w:val="000000" w:themeColor="text1"/>
        </w:rPr>
        <w:t>ourt;</w:t>
      </w:r>
    </w:p>
    <w:p w14:paraId="121C36E6" w14:textId="455A83B4" w:rsidR="006C55C5" w:rsidRPr="00B40A77" w:rsidRDefault="006C55C5" w:rsidP="006C55C5">
      <w:pPr>
        <w:pStyle w:val="Hangindent"/>
        <w:ind w:left="567" w:firstLine="0"/>
        <w:rPr>
          <w:rFonts w:cs="Times New Roman"/>
          <w:color w:val="000000" w:themeColor="text1"/>
        </w:rPr>
      </w:pPr>
      <w:r w:rsidRPr="00B40A77">
        <w:rPr>
          <w:rFonts w:cs="Times New Roman"/>
          <w:b/>
          <w:i/>
          <w:color w:val="000000" w:themeColor="text1"/>
        </w:rPr>
        <w:t xml:space="preserve">prosecutor </w:t>
      </w:r>
      <w:r w:rsidRPr="00B40A77">
        <w:rPr>
          <w:rFonts w:cs="Times New Roman"/>
          <w:color w:val="000000" w:themeColor="text1"/>
        </w:rPr>
        <w:t xml:space="preserve">means the person prosecuting the charge of contempt of </w:t>
      </w:r>
      <w:r w:rsidR="00AA3DAA" w:rsidRPr="00B40A77">
        <w:rPr>
          <w:rFonts w:cs="Times New Roman"/>
          <w:color w:val="000000" w:themeColor="text1"/>
        </w:rPr>
        <w:t>c</w:t>
      </w:r>
      <w:r w:rsidRPr="00B40A77">
        <w:rPr>
          <w:rFonts w:cs="Times New Roman"/>
          <w:color w:val="000000" w:themeColor="text1"/>
        </w:rPr>
        <w:t xml:space="preserve">ourt and, when applicable, denotes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w:t>
      </w:r>
    </w:p>
    <w:p w14:paraId="16D5EF17" w14:textId="77777777" w:rsidR="006C55C5" w:rsidRPr="00B40A77" w:rsidRDefault="006C55C5" w:rsidP="006C55C5">
      <w:pPr>
        <w:pStyle w:val="Heading3"/>
        <w:rPr>
          <w:color w:val="000000" w:themeColor="text1"/>
        </w:rPr>
      </w:pPr>
      <w:bookmarkStart w:id="416" w:name="_Toc65163000"/>
      <w:bookmarkStart w:id="417" w:name="_Toc175238945"/>
      <w:r w:rsidRPr="00B40A77">
        <w:rPr>
          <w:color w:val="000000" w:themeColor="text1"/>
        </w:rPr>
        <w:t>Division 2—Court initiated proceeding</w:t>
      </w:r>
      <w:bookmarkEnd w:id="416"/>
      <w:bookmarkEnd w:id="417"/>
    </w:p>
    <w:p w14:paraId="2842147B" w14:textId="489907EE" w:rsidR="006C55C5" w:rsidRPr="00B40A77" w:rsidRDefault="009C0CBF" w:rsidP="006C55C5">
      <w:pPr>
        <w:pStyle w:val="Heading4"/>
        <w:rPr>
          <w:color w:val="000000" w:themeColor="text1"/>
        </w:rPr>
      </w:pPr>
      <w:bookmarkStart w:id="418" w:name="_49.1—Initiation"/>
      <w:bookmarkStart w:id="419" w:name="_Toc65163001"/>
      <w:bookmarkStart w:id="420" w:name="_Toc175238946"/>
      <w:bookmarkEnd w:id="418"/>
      <w:r w:rsidRPr="00B40A77">
        <w:rPr>
          <w:color w:val="000000" w:themeColor="text1"/>
        </w:rPr>
        <w:t>4</w:t>
      </w:r>
      <w:r w:rsidR="00D00AFF" w:rsidRPr="00B40A77">
        <w:rPr>
          <w:color w:val="000000" w:themeColor="text1"/>
        </w:rPr>
        <w:t>9</w:t>
      </w:r>
      <w:r w:rsidR="007637EF" w:rsidRPr="00B40A77">
        <w:rPr>
          <w:color w:val="000000" w:themeColor="text1"/>
        </w:rPr>
        <w:t>.1</w:t>
      </w:r>
      <w:r w:rsidR="006C55C5" w:rsidRPr="00B40A77">
        <w:rPr>
          <w:color w:val="000000" w:themeColor="text1"/>
        </w:rPr>
        <w:t>—Initiation</w:t>
      </w:r>
      <w:bookmarkEnd w:id="419"/>
      <w:bookmarkEnd w:id="420"/>
    </w:p>
    <w:p w14:paraId="0A188555" w14:textId="633492C3" w:rsidR="006C55C5" w:rsidRPr="00B40A77" w:rsidRDefault="006C55C5" w:rsidP="006C55C5">
      <w:pPr>
        <w:pStyle w:val="Hangindent"/>
        <w:rPr>
          <w:color w:val="000000" w:themeColor="text1"/>
          <w:lang w:val="en-US"/>
        </w:rPr>
      </w:pPr>
      <w:r w:rsidRPr="00B40A77">
        <w:rPr>
          <w:rFonts w:cs="Times New Roman"/>
          <w:color w:val="000000" w:themeColor="text1"/>
        </w:rPr>
        <w:t>(1)</w:t>
      </w:r>
      <w:r w:rsidRPr="00B40A77">
        <w:rPr>
          <w:rFonts w:cs="Times New Roman"/>
          <w:color w:val="000000" w:themeColor="text1"/>
        </w:rPr>
        <w:tab/>
        <w:t xml:space="preserve">If contempt is committed in the face of the Court and it is necessary to deal urgently with it, the Court may direct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to formulate a charge of contempt</w:t>
      </w:r>
      <w:r w:rsidRPr="00B40A77">
        <w:rPr>
          <w:color w:val="000000" w:themeColor="text1"/>
        </w:rPr>
        <w:t xml:space="preserve"> and in the meantime—</w:t>
      </w:r>
    </w:p>
    <w:p w14:paraId="69BFCEC4" w14:textId="72EF243E"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lastRenderedPageBreak/>
        <w:t>(a)</w:t>
      </w:r>
      <w:r w:rsidRPr="00B40A77">
        <w:rPr>
          <w:rFonts w:cs="Times New Roman"/>
          <w:color w:val="000000" w:themeColor="text1"/>
        </w:rPr>
        <w:tab/>
        <w:t xml:space="preserve">order that the </w:t>
      </w:r>
      <w:hyperlink w:anchor="_48.1—Definitions" w:history="1">
        <w:r w:rsidRPr="00B40A77">
          <w:rPr>
            <w:rStyle w:val="Hyperlink"/>
            <w:rFonts w:cs="Times New Roman"/>
            <w:color w:val="000000" w:themeColor="text1"/>
          </w:rPr>
          <w:t>accused</w:t>
        </w:r>
      </w:hyperlink>
      <w:r w:rsidRPr="00B40A77">
        <w:rPr>
          <w:rFonts w:cs="Times New Roman"/>
          <w:color w:val="000000" w:themeColor="text1"/>
        </w:rPr>
        <w:t xml:space="preserve"> be taken into custody; or</w:t>
      </w:r>
    </w:p>
    <w:p w14:paraId="7E6C1A94" w14:textId="5B4E63D2" w:rsidR="006C55C5" w:rsidRPr="00B40A77" w:rsidRDefault="006C55C5" w:rsidP="0033795E">
      <w:pPr>
        <w:pStyle w:val="Hangindent"/>
        <w:keepNex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order the issue of a warrant of apprehension in the prescribed form to have the </w:t>
      </w:r>
      <w:hyperlink w:anchor="_48.1—Definitions" w:history="1">
        <w:r w:rsidR="006467A8" w:rsidRPr="00B40A77">
          <w:rPr>
            <w:rStyle w:val="Hyperlink"/>
            <w:rFonts w:cs="Times New Roman"/>
            <w:color w:val="000000" w:themeColor="text1"/>
          </w:rPr>
          <w:t>accused</w:t>
        </w:r>
      </w:hyperlink>
      <w:r w:rsidRPr="00B40A77">
        <w:rPr>
          <w:rFonts w:cs="Times New Roman"/>
          <w:color w:val="000000" w:themeColor="text1"/>
        </w:rPr>
        <w:t xml:space="preserve"> apprehended and brought before the Court to be dealt with on the charge. </w:t>
      </w:r>
    </w:p>
    <w:p w14:paraId="144496C1" w14:textId="77777777" w:rsidR="006C55C5" w:rsidRPr="00B40A77" w:rsidRDefault="006C55C5" w:rsidP="0033795E">
      <w:pPr>
        <w:pStyle w:val="NoteHeader"/>
        <w:keepNext/>
        <w:ind w:left="1701"/>
        <w:rPr>
          <w:color w:val="000000" w:themeColor="text1"/>
        </w:rPr>
      </w:pPr>
      <w:r w:rsidRPr="00B40A77">
        <w:rPr>
          <w:color w:val="000000" w:themeColor="text1"/>
        </w:rPr>
        <w:t>Prescribed form—</w:t>
      </w:r>
    </w:p>
    <w:p w14:paraId="26582EAD" w14:textId="69584E85" w:rsidR="006C55C5" w:rsidRPr="00B40A77" w:rsidRDefault="006C55C5" w:rsidP="00A777E7">
      <w:pPr>
        <w:pStyle w:val="NoteText"/>
        <w:ind w:left="1985"/>
        <w:rPr>
          <w:color w:val="000000" w:themeColor="text1"/>
        </w:rPr>
      </w:pPr>
      <w:r w:rsidRPr="00B40A77">
        <w:rPr>
          <w:color w:val="000000" w:themeColor="text1"/>
        </w:rPr>
        <w:t xml:space="preserve">Form </w:t>
      </w:r>
      <w:r w:rsidR="0034422A" w:rsidRPr="00B40A77">
        <w:rPr>
          <w:color w:val="000000" w:themeColor="text1"/>
        </w:rPr>
        <w:t>33</w:t>
      </w:r>
      <w:r w:rsidRPr="00B40A77">
        <w:rPr>
          <w:color w:val="000000" w:themeColor="text1"/>
        </w:rPr>
        <w:t xml:space="preserve"> </w:t>
      </w:r>
      <w:hyperlink r:id="rId119" w:history="1">
        <w:r w:rsidRPr="00B40A77">
          <w:rPr>
            <w:rStyle w:val="Hyperlink"/>
            <w:color w:val="000000" w:themeColor="text1"/>
          </w:rPr>
          <w:t>Warrant of Apprehension –</w:t>
        </w:r>
        <w:r w:rsidR="007F0B54" w:rsidRPr="00B40A77">
          <w:rPr>
            <w:rStyle w:val="Hyperlink"/>
            <w:color w:val="000000" w:themeColor="text1"/>
          </w:rPr>
          <w:t xml:space="preserve"> Contempt </w:t>
        </w:r>
        <w:r w:rsidR="002E0354" w:rsidRPr="00B40A77">
          <w:rPr>
            <w:rStyle w:val="Hyperlink"/>
            <w:color w:val="000000" w:themeColor="text1"/>
          </w:rPr>
          <w:t>or Breach of Condition</w:t>
        </w:r>
      </w:hyperlink>
    </w:p>
    <w:p w14:paraId="20035E0B" w14:textId="72901CE9" w:rsidR="006C55C5" w:rsidRPr="00B40A77" w:rsidRDefault="006C55C5" w:rsidP="006C55C5">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In any other case, the Court may direct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to formulate a charge of contempt.</w:t>
      </w:r>
    </w:p>
    <w:p w14:paraId="3C3B9281" w14:textId="57AC42C7" w:rsidR="006C55C5" w:rsidRPr="00B40A77" w:rsidRDefault="00D00AFF" w:rsidP="006C55C5">
      <w:pPr>
        <w:pStyle w:val="Heading4"/>
        <w:rPr>
          <w:color w:val="000000" w:themeColor="text1"/>
        </w:rPr>
      </w:pPr>
      <w:bookmarkStart w:id="421" w:name="_Toc65163002"/>
      <w:bookmarkStart w:id="422" w:name="_Toc175238947"/>
      <w:r w:rsidRPr="00B40A77">
        <w:rPr>
          <w:color w:val="000000" w:themeColor="text1"/>
        </w:rPr>
        <w:t>49</w:t>
      </w:r>
      <w:r w:rsidR="007637EF" w:rsidRPr="00B40A77">
        <w:rPr>
          <w:color w:val="000000" w:themeColor="text1"/>
        </w:rPr>
        <w:t>.2</w:t>
      </w:r>
      <w:r w:rsidR="006C55C5" w:rsidRPr="00B40A77">
        <w:rPr>
          <w:color w:val="000000" w:themeColor="text1"/>
        </w:rPr>
        <w:t>—Formulation of charge</w:t>
      </w:r>
      <w:bookmarkEnd w:id="421"/>
      <w:bookmarkEnd w:id="422"/>
    </w:p>
    <w:p w14:paraId="015FD478" w14:textId="2E7111E5" w:rsidR="006C55C5" w:rsidRPr="00B40A77" w:rsidRDefault="006C55C5" w:rsidP="0033795E">
      <w:pPr>
        <w:pStyle w:val="Hangindent"/>
        <w:keepNex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If the Court makes an order under </w:t>
      </w:r>
      <w:hyperlink w:anchor="_49.1—Initiation" w:history="1">
        <w:r w:rsidR="00054821" w:rsidRPr="00B40A77">
          <w:rPr>
            <w:rStyle w:val="Hyperlink"/>
            <w:rFonts w:cs="Times New Roman"/>
            <w:color w:val="000000" w:themeColor="text1"/>
          </w:rPr>
          <w:t>rule 4</w:t>
        </w:r>
        <w:r w:rsidR="00F86AC0" w:rsidRPr="00B40A77">
          <w:rPr>
            <w:rStyle w:val="Hyperlink"/>
            <w:rFonts w:cs="Times New Roman"/>
            <w:color w:val="000000" w:themeColor="text1"/>
          </w:rPr>
          <w:t>9</w:t>
        </w:r>
        <w:r w:rsidR="00054821" w:rsidRPr="00B40A77">
          <w:rPr>
            <w:rStyle w:val="Hyperlink"/>
            <w:rFonts w:cs="Times New Roman"/>
            <w:color w:val="000000" w:themeColor="text1"/>
          </w:rPr>
          <w:t>.1</w:t>
        </w:r>
      </w:hyperlink>
      <w:r w:rsidR="004C5E4D" w:rsidRPr="00B40A77">
        <w:rPr>
          <w:rStyle w:val="Hyperlink"/>
          <w:rFonts w:cs="Times New Roman"/>
          <w:color w:val="000000" w:themeColor="text1"/>
          <w:u w:val="none"/>
        </w:rPr>
        <w:t>(1)</w:t>
      </w:r>
      <w:r w:rsidRPr="00B40A77">
        <w:rPr>
          <w:rFonts w:cs="Times New Roman"/>
          <w:color w:val="000000" w:themeColor="text1"/>
        </w:rPr>
        <w:t xml:space="preserve"> or a direction under </w:t>
      </w:r>
      <w:hyperlink w:anchor="_49.1—Initiation" w:history="1">
        <w:r w:rsidR="004C5E4D" w:rsidRPr="00B40A77">
          <w:rPr>
            <w:rStyle w:val="Hyperlink"/>
            <w:rFonts w:cs="Times New Roman"/>
            <w:color w:val="000000" w:themeColor="text1"/>
          </w:rPr>
          <w:t>rule 49.1</w:t>
        </w:r>
      </w:hyperlink>
      <w:r w:rsidR="004C5E4D" w:rsidRPr="00B40A77">
        <w:rPr>
          <w:rStyle w:val="Hyperlink"/>
          <w:rFonts w:cs="Times New Roman"/>
          <w:color w:val="000000" w:themeColor="text1"/>
          <w:u w:val="none"/>
        </w:rPr>
        <w:t>(2)</w:t>
      </w:r>
      <w:r w:rsidRPr="00B40A77">
        <w:rPr>
          <w:rFonts w:cs="Times New Roman"/>
          <w:color w:val="000000" w:themeColor="text1"/>
        </w:rPr>
        <w:t xml:space="preserve">, </w:t>
      </w:r>
      <w:hyperlink w:anchor="_2.1—Definitions" w:history="1">
        <w:r w:rsidR="006F66CD" w:rsidRPr="00B40A77">
          <w:rPr>
            <w:rStyle w:val="Hyperlink"/>
            <w:rFonts w:cs="Times New Roman"/>
            <w:color w:val="000000" w:themeColor="text1"/>
            <w:u w:val="none"/>
          </w:rPr>
          <w:t>the</w:t>
        </w:r>
        <w:r w:rsidR="00D71C23" w:rsidRPr="00B40A77">
          <w:rPr>
            <w:rStyle w:val="Hyperlink"/>
            <w:rFonts w:cs="Times New Roman"/>
            <w:color w:val="000000" w:themeColor="text1"/>
            <w:u w:val="none"/>
          </w:rPr>
          <w:t xml:space="preserv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must as soon as practicable formulate a charge containing reasonable details of the alleged contempt and</w:t>
      </w:r>
      <w:r w:rsidR="00804F3F" w:rsidRPr="00B40A77">
        <w:rPr>
          <w:rFonts w:cs="Times New Roman"/>
          <w:color w:val="000000" w:themeColor="text1"/>
        </w:rPr>
        <w:t xml:space="preserve"> </w:t>
      </w:r>
      <w:r w:rsidRPr="00B40A77">
        <w:rPr>
          <w:rFonts w:cs="Times New Roman"/>
          <w:color w:val="000000" w:themeColor="text1"/>
        </w:rPr>
        <w:t xml:space="preserve">file an </w:t>
      </w:r>
      <w:r w:rsidR="00FA4048" w:rsidRPr="00B40A77">
        <w:rPr>
          <w:rFonts w:cs="Times New Roman"/>
          <w:color w:val="000000" w:themeColor="text1"/>
        </w:rPr>
        <w:t xml:space="preserve">interlocutory application </w:t>
      </w:r>
      <w:r w:rsidR="00336FCD" w:rsidRPr="00B40A77">
        <w:rPr>
          <w:color w:val="000000" w:themeColor="text1"/>
          <w:lang w:val="en-US"/>
        </w:rPr>
        <w:t xml:space="preserve">in accordance with </w:t>
      </w:r>
      <w:hyperlink w:anchor="_39.1—Written_application" w:history="1">
        <w:r w:rsidR="00336FCD" w:rsidRPr="00B40A77">
          <w:rPr>
            <w:rStyle w:val="Hyperlink"/>
            <w:color w:val="000000" w:themeColor="text1"/>
            <w:lang w:val="en-US"/>
          </w:rPr>
          <w:t>rule 39.1</w:t>
        </w:r>
      </w:hyperlink>
      <w:r w:rsidR="004C5E4D" w:rsidRPr="00B40A77">
        <w:rPr>
          <w:color w:val="000000" w:themeColor="text1"/>
          <w:lang w:val="en-US"/>
        </w:rPr>
        <w:t xml:space="preserve"> </w:t>
      </w:r>
      <w:r w:rsidRPr="00B40A77">
        <w:rPr>
          <w:rFonts w:cs="Times New Roman"/>
          <w:color w:val="000000" w:themeColor="text1"/>
        </w:rPr>
        <w:t xml:space="preserve">charging the </w:t>
      </w:r>
      <w:hyperlink w:anchor="_205.1—Definitions" w:history="1">
        <w:hyperlink w:anchor="_48.1—Definitions" w:history="1">
          <w:hyperlink w:anchor="_48.1—Definitions" w:history="1">
            <w:r w:rsidR="006B5F5C" w:rsidRPr="00B40A77">
              <w:rPr>
                <w:rStyle w:val="Hyperlink"/>
                <w:rFonts w:cs="Times New Roman"/>
                <w:color w:val="000000" w:themeColor="text1"/>
              </w:rPr>
              <w:t>accused</w:t>
            </w:r>
          </w:hyperlink>
        </w:hyperlink>
      </w:hyperlink>
      <w:r w:rsidR="00D97C7B" w:rsidRPr="00B40A77">
        <w:rPr>
          <w:rFonts w:cs="Times New Roman"/>
          <w:color w:val="000000" w:themeColor="text1"/>
        </w:rPr>
        <w:t xml:space="preserve"> with contempt.</w:t>
      </w:r>
    </w:p>
    <w:p w14:paraId="05827DF7" w14:textId="77777777" w:rsidR="00F437F5" w:rsidRPr="00B40A77" w:rsidRDefault="00F437F5" w:rsidP="0033795E">
      <w:pPr>
        <w:pStyle w:val="NoteHeader"/>
        <w:keepNext/>
        <w:rPr>
          <w:color w:val="000000" w:themeColor="text1"/>
        </w:rPr>
      </w:pPr>
      <w:r w:rsidRPr="00B40A77">
        <w:rPr>
          <w:color w:val="000000" w:themeColor="text1"/>
        </w:rPr>
        <w:t>Prescribed form—</w:t>
      </w:r>
    </w:p>
    <w:p w14:paraId="7A2731E3" w14:textId="42C839AF" w:rsidR="00F437F5" w:rsidRPr="00B40A77" w:rsidRDefault="00F437F5" w:rsidP="00A777E7">
      <w:pPr>
        <w:pStyle w:val="NoteText"/>
        <w:rPr>
          <w:color w:val="000000" w:themeColor="text1"/>
          <w:lang w:val="en-US"/>
        </w:rPr>
      </w:pPr>
      <w:r w:rsidRPr="00B40A77">
        <w:rPr>
          <w:color w:val="000000" w:themeColor="text1"/>
        </w:rPr>
        <w:t xml:space="preserve">Form 92 </w:t>
      </w:r>
      <w:hyperlink r:id="rId120" w:history="1">
        <w:r w:rsidRPr="00B40A77">
          <w:rPr>
            <w:rStyle w:val="Hyperlink"/>
            <w:color w:val="000000" w:themeColor="text1"/>
          </w:rPr>
          <w:t xml:space="preserve">Interlocutory </w:t>
        </w:r>
        <w:r w:rsidR="000D1A14" w:rsidRPr="00B40A77">
          <w:rPr>
            <w:rStyle w:val="Hyperlink"/>
            <w:color w:val="000000" w:themeColor="text1"/>
            <w:lang w:val="en-US"/>
          </w:rPr>
          <w:t>A</w:t>
        </w:r>
        <w:r w:rsidRPr="00B40A77">
          <w:rPr>
            <w:rStyle w:val="Hyperlink"/>
            <w:color w:val="000000" w:themeColor="text1"/>
            <w:lang w:val="en-US"/>
          </w:rPr>
          <w:t>pplication</w:t>
        </w:r>
      </w:hyperlink>
    </w:p>
    <w:p w14:paraId="5466BF5B" w14:textId="7821F9DD" w:rsidR="006C55C5" w:rsidRPr="00B40A77" w:rsidRDefault="006C55C5" w:rsidP="006C55C5">
      <w:pPr>
        <w:pStyle w:val="Hangindent"/>
        <w:rPr>
          <w:color w:val="000000" w:themeColor="text1"/>
          <w:lang w:val="en-US"/>
        </w:rPr>
      </w:pPr>
      <w:r w:rsidRPr="00B40A77">
        <w:rPr>
          <w:rFonts w:cs="Times New Roman"/>
          <w:color w:val="000000" w:themeColor="text1"/>
        </w:rPr>
        <w:t>(2)</w:t>
      </w:r>
      <w:r w:rsidRPr="00B40A77">
        <w:rPr>
          <w:rFonts w:cs="Times New Roman"/>
          <w:color w:val="000000" w:themeColor="text1"/>
        </w:rPr>
        <w:tab/>
        <w:t>Upon an application being filed under subrule</w:t>
      </w:r>
      <w:r w:rsidR="00C42A0C" w:rsidRPr="00B40A77">
        <w:rPr>
          <w:rFonts w:cs="Times New Roman"/>
          <w:color w:val="000000" w:themeColor="text1"/>
        </w:rPr>
        <w:t> </w:t>
      </w:r>
      <w:r w:rsidRPr="00B40A77">
        <w:rPr>
          <w:rFonts w:cs="Times New Roman"/>
          <w:color w:val="000000" w:themeColor="text1"/>
        </w:rPr>
        <w:t>(1), the Court may order the issue of</w:t>
      </w:r>
      <w:r w:rsidRPr="00B40A77">
        <w:rPr>
          <w:color w:val="000000" w:themeColor="text1"/>
        </w:rPr>
        <w:t>—</w:t>
      </w:r>
    </w:p>
    <w:p w14:paraId="04C7F602" w14:textId="0EB20D71"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a summons </w:t>
      </w:r>
      <w:r w:rsidRPr="00B40A77">
        <w:rPr>
          <w:color w:val="000000" w:themeColor="text1"/>
          <w:lang w:val="en-US"/>
        </w:rPr>
        <w:t xml:space="preserve">in the prescribed form </w:t>
      </w:r>
      <w:r w:rsidRPr="00B40A77">
        <w:rPr>
          <w:rFonts w:cs="Times New Roman"/>
          <w:color w:val="000000" w:themeColor="text1"/>
        </w:rPr>
        <w:t xml:space="preserve">requiring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to</w:t>
      </w:r>
      <w:r w:rsidRPr="00B40A77">
        <w:rPr>
          <w:color w:val="000000" w:themeColor="text1"/>
          <w:lang w:val="en-US"/>
        </w:rPr>
        <w:t xml:space="preserve"> attend before the Court to answer the charge</w:t>
      </w:r>
      <w:r w:rsidRPr="00B40A77">
        <w:rPr>
          <w:rFonts w:cs="Times New Roman"/>
          <w:color w:val="000000" w:themeColor="text1"/>
        </w:rPr>
        <w:t>; or</w:t>
      </w:r>
    </w:p>
    <w:p w14:paraId="0635518B" w14:textId="09DAACCA" w:rsidR="006C55C5" w:rsidRPr="00B40A77" w:rsidRDefault="006C55C5" w:rsidP="0033795E">
      <w:pPr>
        <w:pStyle w:val="Hangindent"/>
        <w:keepNex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a warrant of apprehension in the prescribed form to have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apprehended and brought before the Court to be dealt with on the charge.</w:t>
      </w:r>
    </w:p>
    <w:p w14:paraId="4685F86B" w14:textId="77777777" w:rsidR="006C55C5" w:rsidRPr="00B40A77" w:rsidRDefault="006C55C5" w:rsidP="0033795E">
      <w:pPr>
        <w:pStyle w:val="NoteHeader"/>
        <w:keepNext/>
        <w:ind w:left="1701"/>
        <w:rPr>
          <w:color w:val="000000" w:themeColor="text1"/>
        </w:rPr>
      </w:pPr>
      <w:r w:rsidRPr="00B40A77">
        <w:rPr>
          <w:color w:val="000000" w:themeColor="text1"/>
        </w:rPr>
        <w:t>Prescribed forms—</w:t>
      </w:r>
    </w:p>
    <w:p w14:paraId="1C98002F" w14:textId="25237B4E" w:rsidR="006C55C5" w:rsidRPr="00B40A77" w:rsidRDefault="006C55C5" w:rsidP="00A777E7">
      <w:pPr>
        <w:pStyle w:val="NoteText"/>
        <w:ind w:left="1985"/>
        <w:rPr>
          <w:color w:val="000000" w:themeColor="text1"/>
        </w:rPr>
      </w:pPr>
      <w:r w:rsidRPr="00B40A77">
        <w:rPr>
          <w:color w:val="000000" w:themeColor="text1"/>
        </w:rPr>
        <w:t xml:space="preserve">Form </w:t>
      </w:r>
      <w:r w:rsidR="0034422A" w:rsidRPr="00B40A77">
        <w:rPr>
          <w:color w:val="000000" w:themeColor="text1"/>
        </w:rPr>
        <w:t>32</w:t>
      </w:r>
      <w:r w:rsidRPr="00B40A77">
        <w:rPr>
          <w:color w:val="000000" w:themeColor="text1"/>
        </w:rPr>
        <w:t xml:space="preserve"> </w:t>
      </w:r>
      <w:hyperlink r:id="rId121" w:history="1">
        <w:r w:rsidRPr="00B40A77">
          <w:rPr>
            <w:rStyle w:val="Hyperlink"/>
            <w:color w:val="000000" w:themeColor="text1"/>
          </w:rPr>
          <w:t>Summons for</w:t>
        </w:r>
        <w:r w:rsidR="00D97C7B" w:rsidRPr="00B40A77">
          <w:rPr>
            <w:rStyle w:val="Hyperlink"/>
            <w:color w:val="000000" w:themeColor="text1"/>
          </w:rPr>
          <w:t xml:space="preserve"> Contempt</w:t>
        </w:r>
        <w:r w:rsidR="00312CD0" w:rsidRPr="00B40A77">
          <w:rPr>
            <w:rStyle w:val="Hyperlink"/>
            <w:color w:val="000000" w:themeColor="text1"/>
          </w:rPr>
          <w:t xml:space="preserve"> or Breach of Condition</w:t>
        </w:r>
      </w:hyperlink>
    </w:p>
    <w:p w14:paraId="0E4BC05A" w14:textId="5D3E2278" w:rsidR="006C55C5" w:rsidRPr="00B40A77" w:rsidRDefault="0034422A" w:rsidP="00A777E7">
      <w:pPr>
        <w:pStyle w:val="NoteText"/>
        <w:ind w:left="1985"/>
        <w:rPr>
          <w:color w:val="000000" w:themeColor="text1"/>
        </w:rPr>
      </w:pPr>
      <w:r w:rsidRPr="00B40A77">
        <w:rPr>
          <w:color w:val="000000" w:themeColor="text1"/>
        </w:rPr>
        <w:t>Form 33</w:t>
      </w:r>
      <w:r w:rsidR="006C55C5" w:rsidRPr="00B40A77">
        <w:rPr>
          <w:color w:val="000000" w:themeColor="text1"/>
        </w:rPr>
        <w:t xml:space="preserve"> </w:t>
      </w:r>
      <w:hyperlink r:id="rId122" w:history="1">
        <w:r w:rsidR="00D97C7B" w:rsidRPr="00B40A77">
          <w:rPr>
            <w:rStyle w:val="Hyperlink"/>
            <w:color w:val="000000" w:themeColor="text1"/>
          </w:rPr>
          <w:t>Warrant of Apprehension</w:t>
        </w:r>
        <w:r w:rsidR="00AA3DAA" w:rsidRPr="00B40A77">
          <w:rPr>
            <w:rStyle w:val="Hyperlink"/>
            <w:color w:val="000000" w:themeColor="text1"/>
          </w:rPr>
          <w:t xml:space="preserve"> </w:t>
        </w:r>
        <w:r w:rsidR="00F40197" w:rsidRPr="00B40A77">
          <w:rPr>
            <w:rStyle w:val="Hyperlink"/>
            <w:color w:val="000000" w:themeColor="text1"/>
          </w:rPr>
          <w:t>– Contempt</w:t>
        </w:r>
        <w:r w:rsidR="00FC399D" w:rsidRPr="00B40A77">
          <w:rPr>
            <w:rStyle w:val="Hyperlink"/>
            <w:color w:val="000000" w:themeColor="text1"/>
          </w:rPr>
          <w:t xml:space="preserve"> or Breach of Condition</w:t>
        </w:r>
      </w:hyperlink>
    </w:p>
    <w:p w14:paraId="0B1EF5CB" w14:textId="77777777" w:rsidR="006C55C5" w:rsidRPr="00B40A77" w:rsidRDefault="006C55C5" w:rsidP="006C55C5">
      <w:pPr>
        <w:pStyle w:val="Heading3"/>
        <w:rPr>
          <w:color w:val="000000" w:themeColor="text1"/>
        </w:rPr>
      </w:pPr>
      <w:bookmarkStart w:id="423" w:name="_Toc65163003"/>
      <w:bookmarkStart w:id="424" w:name="_Toc175238948"/>
      <w:r w:rsidRPr="00B40A77">
        <w:rPr>
          <w:color w:val="000000" w:themeColor="text1"/>
        </w:rPr>
        <w:t>Division 3—Party initiated proceeding</w:t>
      </w:r>
      <w:bookmarkEnd w:id="423"/>
      <w:bookmarkEnd w:id="424"/>
    </w:p>
    <w:p w14:paraId="3DC82FF5" w14:textId="2B361913" w:rsidR="006C55C5" w:rsidRPr="00B40A77" w:rsidRDefault="00A50F38" w:rsidP="006C55C5">
      <w:pPr>
        <w:pStyle w:val="Heading4"/>
        <w:rPr>
          <w:color w:val="000000" w:themeColor="text1"/>
        </w:rPr>
      </w:pPr>
      <w:bookmarkStart w:id="425" w:name="_Toc65163004"/>
      <w:bookmarkStart w:id="426" w:name="_Toc175238949"/>
      <w:r w:rsidRPr="00B40A77">
        <w:rPr>
          <w:color w:val="000000" w:themeColor="text1"/>
        </w:rPr>
        <w:t>50</w:t>
      </w:r>
      <w:r w:rsidR="00AD7878" w:rsidRPr="00B40A77">
        <w:rPr>
          <w:color w:val="000000" w:themeColor="text1"/>
        </w:rPr>
        <w:t>.1</w:t>
      </w:r>
      <w:r w:rsidR="006C55C5" w:rsidRPr="00B40A77">
        <w:rPr>
          <w:color w:val="000000" w:themeColor="text1"/>
        </w:rPr>
        <w:t>—Application by party</w:t>
      </w:r>
      <w:bookmarkEnd w:id="425"/>
      <w:bookmarkEnd w:id="426"/>
    </w:p>
    <w:p w14:paraId="43E4A138" w14:textId="19D3940B" w:rsidR="006C55C5" w:rsidRPr="00B40A77" w:rsidRDefault="006C55C5" w:rsidP="006C55C5">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If a party claims that another party, a witness or another person has committed contempt of </w:t>
      </w:r>
      <w:r w:rsidR="00AA3DAA" w:rsidRPr="00B40A77">
        <w:rPr>
          <w:rFonts w:cs="Times New Roman"/>
          <w:color w:val="000000" w:themeColor="text1"/>
        </w:rPr>
        <w:t>c</w:t>
      </w:r>
      <w:r w:rsidRPr="00B40A77">
        <w:rPr>
          <w:rFonts w:cs="Times New Roman"/>
          <w:color w:val="000000" w:themeColor="text1"/>
        </w:rPr>
        <w:t xml:space="preserve">ourt in relation to a proceeding, the party may apply by </w:t>
      </w:r>
      <w:r w:rsidR="003E7CD3" w:rsidRPr="00B40A77">
        <w:rPr>
          <w:rFonts w:cs="Times New Roman"/>
          <w:color w:val="000000" w:themeColor="text1"/>
        </w:rPr>
        <w:t xml:space="preserve">an </w:t>
      </w:r>
      <w:r w:rsidR="00FA4048" w:rsidRPr="00B40A77">
        <w:rPr>
          <w:rFonts w:cs="Times New Roman"/>
          <w:color w:val="000000" w:themeColor="text1"/>
        </w:rPr>
        <w:t xml:space="preserve">interlocutory application </w:t>
      </w:r>
      <w:r w:rsidR="00336FCD" w:rsidRPr="00B40A77">
        <w:rPr>
          <w:color w:val="000000" w:themeColor="text1"/>
          <w:lang w:val="en-US"/>
        </w:rPr>
        <w:t xml:space="preserve">in accordance with </w:t>
      </w:r>
      <w:hyperlink w:anchor="_39.1—Written_application" w:history="1">
        <w:r w:rsidR="004C5E4D" w:rsidRPr="00B40A77">
          <w:rPr>
            <w:rStyle w:val="Hyperlink"/>
            <w:color w:val="000000" w:themeColor="text1"/>
            <w:lang w:val="en-US"/>
          </w:rPr>
          <w:t>rule 39.1</w:t>
        </w:r>
      </w:hyperlink>
      <w:r w:rsidR="00336FCD" w:rsidRPr="00B40A77">
        <w:rPr>
          <w:color w:val="000000" w:themeColor="text1"/>
          <w:lang w:val="en-US"/>
        </w:rPr>
        <w:t xml:space="preserve"> </w:t>
      </w:r>
      <w:r w:rsidRPr="00B40A77">
        <w:rPr>
          <w:rFonts w:cs="Times New Roman"/>
          <w:color w:val="000000" w:themeColor="text1"/>
        </w:rPr>
        <w:t xml:space="preserve">for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to be charged with contempt and supporting affidavit containing reasonable details of the alleged contempt.</w:t>
      </w:r>
    </w:p>
    <w:p w14:paraId="3509CBAB" w14:textId="7A80CD61" w:rsidR="006C55C5" w:rsidRPr="00B40A77" w:rsidRDefault="006C55C5" w:rsidP="006C55C5">
      <w:pPr>
        <w:pStyle w:val="Hangindent"/>
        <w:rPr>
          <w:color w:val="000000" w:themeColor="text1"/>
          <w:lang w:val="en-US"/>
        </w:rPr>
      </w:pPr>
      <w:r w:rsidRPr="00B40A77">
        <w:rPr>
          <w:rFonts w:cs="Times New Roman"/>
          <w:color w:val="000000" w:themeColor="text1"/>
        </w:rPr>
        <w:t>(2)</w:t>
      </w:r>
      <w:r w:rsidRPr="00B40A77">
        <w:rPr>
          <w:rFonts w:cs="Times New Roman"/>
          <w:color w:val="000000" w:themeColor="text1"/>
        </w:rPr>
        <w:tab/>
        <w:t xml:space="preserve">If the Court is satisfied that there are reasonable grounds to suspect that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committed the alleged contempt, the Court may</w:t>
      </w:r>
      <w:r w:rsidRPr="00B40A77">
        <w:rPr>
          <w:color w:val="000000" w:themeColor="text1"/>
        </w:rPr>
        <w:t>—</w:t>
      </w:r>
    </w:p>
    <w:p w14:paraId="53D72F4B" w14:textId="40E09DF9"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require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or</w:t>
      </w:r>
    </w:p>
    <w:p w14:paraId="013E37BA" w14:textId="0453AFCC"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permit the party who filed the interlocutory application,</w:t>
      </w:r>
    </w:p>
    <w:p w14:paraId="4AEC8820" w14:textId="22ED3FCA" w:rsidR="006C55C5" w:rsidRPr="00B40A77" w:rsidRDefault="006C55C5" w:rsidP="006C55C5">
      <w:pPr>
        <w:pStyle w:val="Hangindent"/>
        <w:ind w:firstLine="0"/>
        <w:rPr>
          <w:rFonts w:cs="Times New Roman"/>
          <w:color w:val="000000" w:themeColor="text1"/>
        </w:rPr>
      </w:pPr>
      <w:r w:rsidRPr="00B40A77">
        <w:rPr>
          <w:rFonts w:cs="Times New Roman"/>
          <w:color w:val="000000" w:themeColor="text1"/>
        </w:rPr>
        <w:t>to formulate a charge containing reasonable details of the alleged contempt and file</w:t>
      </w:r>
      <w:r w:rsidR="00D97C7B" w:rsidRPr="00B40A77">
        <w:rPr>
          <w:rFonts w:cs="Times New Roman"/>
          <w:color w:val="000000" w:themeColor="text1"/>
        </w:rPr>
        <w:t xml:space="preserve"> an </w:t>
      </w:r>
      <w:r w:rsidR="00FA4048" w:rsidRPr="00B40A77">
        <w:rPr>
          <w:rFonts w:cs="Times New Roman"/>
          <w:color w:val="000000" w:themeColor="text1"/>
        </w:rPr>
        <w:t xml:space="preserve">interlocutory application </w:t>
      </w:r>
      <w:r w:rsidR="00336FCD" w:rsidRPr="00B40A77">
        <w:rPr>
          <w:color w:val="000000" w:themeColor="text1"/>
          <w:lang w:val="en-US"/>
        </w:rPr>
        <w:t xml:space="preserve">in accordance with </w:t>
      </w:r>
      <w:hyperlink w:anchor="_39.1—Written_application" w:history="1">
        <w:r w:rsidR="004C5E4D" w:rsidRPr="00B40A77">
          <w:rPr>
            <w:rStyle w:val="Hyperlink"/>
            <w:color w:val="000000" w:themeColor="text1"/>
            <w:lang w:val="en-US"/>
          </w:rPr>
          <w:t>rule</w:t>
        </w:r>
        <w:r w:rsidR="00A15FBC" w:rsidRPr="00B40A77">
          <w:rPr>
            <w:rStyle w:val="Hyperlink"/>
            <w:color w:val="000000" w:themeColor="text1"/>
            <w:lang w:val="en-US"/>
          </w:rPr>
          <w:t> </w:t>
        </w:r>
        <w:r w:rsidR="004C5E4D" w:rsidRPr="00B40A77">
          <w:rPr>
            <w:rStyle w:val="Hyperlink"/>
            <w:color w:val="000000" w:themeColor="text1"/>
            <w:lang w:val="en-US"/>
          </w:rPr>
          <w:t>39.1</w:t>
        </w:r>
      </w:hyperlink>
      <w:r w:rsidR="00336FCD" w:rsidRPr="00B40A77">
        <w:rPr>
          <w:rFonts w:cs="Times New Roman"/>
          <w:color w:val="000000" w:themeColor="text1"/>
        </w:rPr>
        <w:t xml:space="preserve"> </w:t>
      </w:r>
      <w:r w:rsidRPr="00B40A77">
        <w:rPr>
          <w:rFonts w:cs="Times New Roman"/>
          <w:color w:val="000000" w:themeColor="text1"/>
        </w:rPr>
        <w:t xml:space="preserve">charging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with contempt.</w:t>
      </w:r>
    </w:p>
    <w:p w14:paraId="6F2F1E3F" w14:textId="6F944068" w:rsidR="006C55C5" w:rsidRPr="00B40A77" w:rsidRDefault="006C55C5" w:rsidP="006C55C5">
      <w:pPr>
        <w:pStyle w:val="Hangindent"/>
        <w:rPr>
          <w:color w:val="000000" w:themeColor="text1"/>
          <w:lang w:val="en-US"/>
        </w:rPr>
      </w:pPr>
      <w:r w:rsidRPr="00B40A77">
        <w:rPr>
          <w:rFonts w:cs="Times New Roman"/>
          <w:color w:val="000000" w:themeColor="text1"/>
        </w:rPr>
        <w:t>(3)</w:t>
      </w:r>
      <w:r w:rsidRPr="00B40A77">
        <w:rPr>
          <w:rFonts w:cs="Times New Roman"/>
          <w:color w:val="000000" w:themeColor="text1"/>
        </w:rPr>
        <w:tab/>
        <w:t>If the Court makes an order under subrule</w:t>
      </w:r>
      <w:r w:rsidR="00A15FBC" w:rsidRPr="00B40A77">
        <w:rPr>
          <w:rFonts w:cs="Times New Roman"/>
          <w:color w:val="000000" w:themeColor="text1"/>
        </w:rPr>
        <w:t> </w:t>
      </w:r>
      <w:r w:rsidRPr="00B40A77">
        <w:rPr>
          <w:rFonts w:cs="Times New Roman"/>
          <w:color w:val="000000" w:themeColor="text1"/>
        </w:rPr>
        <w:t xml:space="preserve">(2)(a), the Court may order that the party who filed the </w:t>
      </w:r>
      <w:r w:rsidR="00FA4048" w:rsidRPr="00B40A77">
        <w:rPr>
          <w:rFonts w:cs="Times New Roman"/>
          <w:color w:val="000000" w:themeColor="text1"/>
        </w:rPr>
        <w:t xml:space="preserve">interlocutory application </w:t>
      </w:r>
      <w:r w:rsidRPr="00B40A77">
        <w:rPr>
          <w:rFonts w:cs="Times New Roman"/>
          <w:color w:val="000000" w:themeColor="text1"/>
        </w:rPr>
        <w:t xml:space="preserve">indemnify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in respect of costs incurred, or ordered to be paid, by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in prosecuting the contempt charge.</w:t>
      </w:r>
    </w:p>
    <w:p w14:paraId="7DA84E65" w14:textId="7D3FC592" w:rsidR="006C55C5" w:rsidRPr="00B40A77" w:rsidRDefault="006C55C5" w:rsidP="006C55C5">
      <w:pPr>
        <w:pStyle w:val="Hangindent"/>
        <w:rPr>
          <w:color w:val="000000" w:themeColor="text1"/>
          <w:lang w:val="en-US"/>
        </w:rPr>
      </w:pPr>
      <w:r w:rsidRPr="00B40A77">
        <w:rPr>
          <w:rFonts w:cs="Times New Roman"/>
          <w:color w:val="000000" w:themeColor="text1"/>
        </w:rPr>
        <w:t>(4)</w:t>
      </w:r>
      <w:r w:rsidRPr="00B40A77">
        <w:rPr>
          <w:rFonts w:cs="Times New Roman"/>
          <w:color w:val="000000" w:themeColor="text1"/>
        </w:rPr>
        <w:tab/>
        <w:t xml:space="preserve">Upon </w:t>
      </w:r>
      <w:r w:rsidR="00D97C7B" w:rsidRPr="00B40A77">
        <w:rPr>
          <w:rFonts w:cs="Times New Roman"/>
          <w:color w:val="000000" w:themeColor="text1"/>
        </w:rPr>
        <w:t xml:space="preserve">an </w:t>
      </w:r>
      <w:r w:rsidR="00FA4048" w:rsidRPr="00B40A77">
        <w:rPr>
          <w:rFonts w:cs="Times New Roman"/>
          <w:color w:val="000000" w:themeColor="text1"/>
        </w:rPr>
        <w:t xml:space="preserve">interlocutory application </w:t>
      </w:r>
      <w:r w:rsidRPr="00B40A77">
        <w:rPr>
          <w:rFonts w:cs="Times New Roman"/>
          <w:color w:val="000000" w:themeColor="text1"/>
        </w:rPr>
        <w:t xml:space="preserve">charging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with contempt being filed, the Court may order the issue of</w:t>
      </w:r>
      <w:r w:rsidRPr="00B40A77">
        <w:rPr>
          <w:color w:val="000000" w:themeColor="text1"/>
        </w:rPr>
        <w:t>—</w:t>
      </w:r>
    </w:p>
    <w:p w14:paraId="3CD46E1B" w14:textId="0823C372"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lastRenderedPageBreak/>
        <w:t>(a)</w:t>
      </w:r>
      <w:r w:rsidRPr="00B40A77">
        <w:rPr>
          <w:rFonts w:cs="Times New Roman"/>
          <w:color w:val="000000" w:themeColor="text1"/>
        </w:rPr>
        <w:tab/>
        <w:t xml:space="preserve">a summons </w:t>
      </w:r>
      <w:r w:rsidRPr="00B40A77">
        <w:rPr>
          <w:color w:val="000000" w:themeColor="text1"/>
          <w:lang w:val="en-US"/>
        </w:rPr>
        <w:t xml:space="preserve">in the prescribed form </w:t>
      </w:r>
      <w:r w:rsidRPr="00B40A77">
        <w:rPr>
          <w:rFonts w:cs="Times New Roman"/>
          <w:color w:val="000000" w:themeColor="text1"/>
        </w:rPr>
        <w:t xml:space="preserve">requiring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to</w:t>
      </w:r>
      <w:r w:rsidRPr="00B40A77">
        <w:rPr>
          <w:color w:val="000000" w:themeColor="text1"/>
          <w:lang w:val="en-US"/>
        </w:rPr>
        <w:t xml:space="preserve"> attend before the Court to answer the charge</w:t>
      </w:r>
      <w:r w:rsidRPr="00B40A77">
        <w:rPr>
          <w:rFonts w:cs="Times New Roman"/>
          <w:color w:val="000000" w:themeColor="text1"/>
        </w:rPr>
        <w:t>; or</w:t>
      </w:r>
    </w:p>
    <w:p w14:paraId="3C90CD90" w14:textId="2BBB3CF9" w:rsidR="006C55C5" w:rsidRPr="00B40A77" w:rsidRDefault="006C55C5" w:rsidP="0033795E">
      <w:pPr>
        <w:pStyle w:val="Hangindent"/>
        <w:keepNex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a warrant of apprehension in the prescribed form to have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apprehended and brought before the Court to be dealt with on the charge. </w:t>
      </w:r>
    </w:p>
    <w:p w14:paraId="1A2AD94B" w14:textId="77777777" w:rsidR="006C55C5" w:rsidRPr="00B40A77" w:rsidRDefault="006C55C5" w:rsidP="0033795E">
      <w:pPr>
        <w:pStyle w:val="NoteHeader"/>
        <w:keepNext/>
        <w:ind w:left="1701"/>
        <w:rPr>
          <w:color w:val="000000" w:themeColor="text1"/>
        </w:rPr>
      </w:pPr>
      <w:r w:rsidRPr="00B40A77">
        <w:rPr>
          <w:color w:val="000000" w:themeColor="text1"/>
        </w:rPr>
        <w:t>Prescribed forms—</w:t>
      </w:r>
    </w:p>
    <w:p w14:paraId="78DECCC3" w14:textId="491EDBB2" w:rsidR="006C55C5" w:rsidRPr="00B40A77" w:rsidRDefault="0034422A" w:rsidP="00A777E7">
      <w:pPr>
        <w:pStyle w:val="NoteText"/>
        <w:ind w:left="1985"/>
        <w:rPr>
          <w:color w:val="000000" w:themeColor="text1"/>
        </w:rPr>
      </w:pPr>
      <w:r w:rsidRPr="00B40A77">
        <w:rPr>
          <w:color w:val="000000" w:themeColor="text1"/>
        </w:rPr>
        <w:t>Form 32</w:t>
      </w:r>
      <w:r w:rsidR="006C55C5" w:rsidRPr="00B40A77">
        <w:rPr>
          <w:color w:val="000000" w:themeColor="text1"/>
        </w:rPr>
        <w:t xml:space="preserve"> </w:t>
      </w:r>
      <w:hyperlink r:id="rId123" w:history="1">
        <w:r w:rsidR="006C55C5" w:rsidRPr="00B40A77">
          <w:rPr>
            <w:rStyle w:val="Hyperlink"/>
            <w:color w:val="000000" w:themeColor="text1"/>
          </w:rPr>
          <w:t>Summons for</w:t>
        </w:r>
        <w:r w:rsidR="00D97C7B" w:rsidRPr="00B40A77">
          <w:rPr>
            <w:rStyle w:val="Hyperlink"/>
            <w:color w:val="000000" w:themeColor="text1"/>
          </w:rPr>
          <w:t xml:space="preserve"> Contempt</w:t>
        </w:r>
        <w:r w:rsidR="00856BE0" w:rsidRPr="00B40A77">
          <w:rPr>
            <w:rStyle w:val="Hyperlink"/>
            <w:color w:val="000000" w:themeColor="text1"/>
          </w:rPr>
          <w:t xml:space="preserve"> or Breach of Condition</w:t>
        </w:r>
      </w:hyperlink>
    </w:p>
    <w:p w14:paraId="16624FBA" w14:textId="3FDF2131" w:rsidR="006C55C5" w:rsidRPr="00B40A77" w:rsidRDefault="0034422A" w:rsidP="00A777E7">
      <w:pPr>
        <w:pStyle w:val="NoteText"/>
        <w:ind w:left="1985"/>
        <w:rPr>
          <w:color w:val="000000" w:themeColor="text1"/>
        </w:rPr>
      </w:pPr>
      <w:r w:rsidRPr="00B40A77">
        <w:rPr>
          <w:color w:val="000000" w:themeColor="text1"/>
        </w:rPr>
        <w:t>Form 33</w:t>
      </w:r>
      <w:r w:rsidR="006C55C5" w:rsidRPr="00B40A77">
        <w:rPr>
          <w:color w:val="000000" w:themeColor="text1"/>
        </w:rPr>
        <w:t xml:space="preserve"> </w:t>
      </w:r>
      <w:hyperlink r:id="rId124" w:history="1">
        <w:r w:rsidR="006C55C5" w:rsidRPr="00B40A77">
          <w:rPr>
            <w:rStyle w:val="Hyperlink"/>
            <w:color w:val="000000" w:themeColor="text1"/>
          </w:rPr>
          <w:t>Warrant of Apprehension –</w:t>
        </w:r>
        <w:r w:rsidR="00D97C7B" w:rsidRPr="00B40A77">
          <w:rPr>
            <w:rStyle w:val="Hyperlink"/>
            <w:color w:val="000000" w:themeColor="text1"/>
          </w:rPr>
          <w:t xml:space="preserve"> Contempt</w:t>
        </w:r>
        <w:r w:rsidR="006C55C5" w:rsidRPr="00B40A77">
          <w:rPr>
            <w:rStyle w:val="Hyperlink"/>
            <w:color w:val="000000" w:themeColor="text1"/>
          </w:rPr>
          <w:t xml:space="preserve"> </w:t>
        </w:r>
        <w:r w:rsidR="00FC399D" w:rsidRPr="00B40A77">
          <w:rPr>
            <w:rStyle w:val="Hyperlink"/>
            <w:color w:val="000000" w:themeColor="text1"/>
          </w:rPr>
          <w:t>or Breach of Condition</w:t>
        </w:r>
      </w:hyperlink>
    </w:p>
    <w:p w14:paraId="549941D9" w14:textId="77777777" w:rsidR="006C55C5" w:rsidRPr="00B40A77" w:rsidRDefault="006C55C5" w:rsidP="006C55C5">
      <w:pPr>
        <w:pStyle w:val="Heading3"/>
        <w:rPr>
          <w:color w:val="000000" w:themeColor="text1"/>
        </w:rPr>
      </w:pPr>
      <w:bookmarkStart w:id="427" w:name="_Toc65163005"/>
      <w:bookmarkStart w:id="428" w:name="_Toc175238950"/>
      <w:r w:rsidRPr="00B40A77">
        <w:rPr>
          <w:color w:val="000000" w:themeColor="text1"/>
        </w:rPr>
        <w:t>Division 4—Hearing and determination of charge</w:t>
      </w:r>
      <w:bookmarkEnd w:id="427"/>
      <w:bookmarkEnd w:id="428"/>
    </w:p>
    <w:p w14:paraId="16801347" w14:textId="457A60C3" w:rsidR="006C55C5" w:rsidRPr="00B40A77" w:rsidRDefault="009C0CBF" w:rsidP="006C55C5">
      <w:pPr>
        <w:pStyle w:val="Heading4"/>
        <w:rPr>
          <w:color w:val="000000" w:themeColor="text1"/>
        </w:rPr>
      </w:pPr>
      <w:bookmarkStart w:id="429" w:name="_Toc65163006"/>
      <w:bookmarkStart w:id="430" w:name="_Toc175238951"/>
      <w:r w:rsidRPr="00B40A77">
        <w:rPr>
          <w:color w:val="000000" w:themeColor="text1"/>
        </w:rPr>
        <w:t>5</w:t>
      </w:r>
      <w:r w:rsidR="00A50F38" w:rsidRPr="00B40A77">
        <w:rPr>
          <w:color w:val="000000" w:themeColor="text1"/>
        </w:rPr>
        <w:t>1</w:t>
      </w:r>
      <w:r w:rsidR="00AD7878" w:rsidRPr="00B40A77">
        <w:rPr>
          <w:color w:val="000000" w:themeColor="text1"/>
        </w:rPr>
        <w:t>.1</w:t>
      </w:r>
      <w:r w:rsidR="006C55C5" w:rsidRPr="00B40A77">
        <w:rPr>
          <w:color w:val="000000" w:themeColor="text1"/>
        </w:rPr>
        <w:t>—Prosecution by Registrar</w:t>
      </w:r>
      <w:bookmarkEnd w:id="429"/>
      <w:bookmarkEnd w:id="430"/>
    </w:p>
    <w:p w14:paraId="4A703E6B" w14:textId="1FDA4791" w:rsidR="006C55C5" w:rsidRPr="00B40A77" w:rsidRDefault="006C55C5" w:rsidP="006C55C5">
      <w:pPr>
        <w:pStyle w:val="Hangindent"/>
        <w:ind w:left="567" w:firstLine="0"/>
        <w:rPr>
          <w:rFonts w:cs="Times New Roman"/>
          <w:color w:val="000000" w:themeColor="text1"/>
        </w:rPr>
      </w:pPr>
      <w:r w:rsidRPr="00B40A77">
        <w:rPr>
          <w:rFonts w:cs="Times New Roman"/>
          <w:color w:val="000000" w:themeColor="text1"/>
        </w:rPr>
        <w:t xml:space="preserve">If the prosecution of the contempt charge is undertaken by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may retain a </w:t>
      </w:r>
      <w:hyperlink w:anchor="_2.1—Definitions" w:history="1">
        <w:r w:rsidR="005A6381" w:rsidRPr="00B40A77">
          <w:rPr>
            <w:rStyle w:val="Hyperlink"/>
            <w:rFonts w:cs="Times New Roman"/>
            <w:color w:val="000000" w:themeColor="text1"/>
            <w:lang w:val="en-US"/>
          </w:rPr>
          <w:t>law firm or office</w:t>
        </w:r>
      </w:hyperlink>
      <w:r w:rsidR="00DD7262" w:rsidRPr="00B40A77">
        <w:rPr>
          <w:rFonts w:cs="Times New Roman"/>
          <w:color w:val="000000" w:themeColor="text1"/>
        </w:rPr>
        <w:t xml:space="preserve"> </w:t>
      </w:r>
      <w:r w:rsidRPr="00B40A77">
        <w:rPr>
          <w:rFonts w:cs="Times New Roman"/>
          <w:color w:val="000000" w:themeColor="text1"/>
        </w:rPr>
        <w:t xml:space="preserve">to act, or counsel to appear, for </w:t>
      </w:r>
      <w:hyperlink w:anchor="_2.1—Definitions" w:history="1">
        <w:r w:rsidR="006F66CD"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w:t>
      </w:r>
    </w:p>
    <w:p w14:paraId="4F176E7B" w14:textId="3CAF3ECA" w:rsidR="006C55C5" w:rsidRPr="00B40A77" w:rsidRDefault="009C0CBF" w:rsidP="006C55C5">
      <w:pPr>
        <w:pStyle w:val="Heading4"/>
        <w:rPr>
          <w:color w:val="000000" w:themeColor="text1"/>
        </w:rPr>
      </w:pPr>
      <w:bookmarkStart w:id="431" w:name="_Toc65163007"/>
      <w:bookmarkStart w:id="432" w:name="_Toc175238952"/>
      <w:r w:rsidRPr="00B40A77">
        <w:rPr>
          <w:color w:val="000000" w:themeColor="text1"/>
        </w:rPr>
        <w:t>5</w:t>
      </w:r>
      <w:r w:rsidR="00A50F38" w:rsidRPr="00B40A77">
        <w:rPr>
          <w:color w:val="000000" w:themeColor="text1"/>
        </w:rPr>
        <w:t>1</w:t>
      </w:r>
      <w:r w:rsidR="00AD7878" w:rsidRPr="00B40A77">
        <w:rPr>
          <w:color w:val="000000" w:themeColor="text1"/>
        </w:rPr>
        <w:t>.2</w:t>
      </w:r>
      <w:r w:rsidR="006C55C5" w:rsidRPr="00B40A77">
        <w:rPr>
          <w:color w:val="000000" w:themeColor="text1"/>
        </w:rPr>
        <w:t>—Hearing and determination</w:t>
      </w:r>
      <w:bookmarkEnd w:id="431"/>
      <w:bookmarkEnd w:id="432"/>
      <w:r w:rsidR="006C55C5" w:rsidRPr="00B40A77">
        <w:rPr>
          <w:color w:val="000000" w:themeColor="text1"/>
        </w:rPr>
        <w:t xml:space="preserve"> </w:t>
      </w:r>
    </w:p>
    <w:p w14:paraId="50F635D5" w14:textId="368709E4" w:rsidR="006C55C5" w:rsidRPr="00B40A77" w:rsidRDefault="006C55C5" w:rsidP="006C55C5">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admits the charge, the Court may act on the admission.</w:t>
      </w:r>
    </w:p>
    <w:p w14:paraId="107BFB5B" w14:textId="2C1C9236" w:rsidR="006C55C5" w:rsidRPr="00B40A77" w:rsidRDefault="006C55C5" w:rsidP="006C55C5">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does not admit the charge, at the hearing of the charge of contempt</w:t>
      </w:r>
      <w:r w:rsidRPr="00B40A77">
        <w:rPr>
          <w:color w:val="000000" w:themeColor="text1"/>
        </w:rPr>
        <w:t>—</w:t>
      </w:r>
    </w:p>
    <w:p w14:paraId="7F6696C4" w14:textId="5271B9DB"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evidence may be adduced by the </w:t>
      </w:r>
      <w:hyperlink w:anchor="_205.1—Definitions" w:history="1">
        <w:r w:rsidRPr="00B40A77">
          <w:rPr>
            <w:rStyle w:val="Hyperlink"/>
            <w:rFonts w:cs="Times New Roman"/>
            <w:color w:val="000000" w:themeColor="text1"/>
          </w:rPr>
          <w:t>prosecutor</w:t>
        </w:r>
      </w:hyperlink>
      <w:r w:rsidRPr="00B40A77">
        <w:rPr>
          <w:rFonts w:cs="Times New Roman"/>
          <w:color w:val="000000" w:themeColor="text1"/>
        </w:rPr>
        <w:t xml:space="preserve"> or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(in addition to oral testimony and the tender of documents) in the form of an affidavit, provided that the other party has an opportunity to cross-examine the deponent;</w:t>
      </w:r>
    </w:p>
    <w:p w14:paraId="1DB2CCB3"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the Court may, on its own initiative, adduce evidence;</w:t>
      </w:r>
    </w:p>
    <w:p w14:paraId="6F63AD4A" w14:textId="13124FA0"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(c)</w:t>
      </w:r>
      <w:r w:rsidRPr="00B40A77">
        <w:rPr>
          <w:rFonts w:cs="Times New Roman"/>
          <w:color w:val="000000" w:themeColor="text1"/>
        </w:rPr>
        <w:tab/>
        <w:t>if the Court calls a witness to give evidence</w:t>
      </w:r>
      <w:r w:rsidRPr="00B40A77">
        <w:rPr>
          <w:color w:val="000000" w:themeColor="text1"/>
        </w:rPr>
        <w:t>—</w:t>
      </w:r>
      <w:r w:rsidRPr="00B40A77">
        <w:rPr>
          <w:rFonts w:cs="Times New Roman"/>
          <w:color w:val="000000" w:themeColor="text1"/>
        </w:rPr>
        <w:t xml:space="preserve">the </w:t>
      </w:r>
      <w:hyperlink w:anchor="_205.1—Definitions" w:history="1">
        <w:r w:rsidRPr="00B40A77">
          <w:rPr>
            <w:rStyle w:val="Hyperlink"/>
            <w:rFonts w:cs="Times New Roman"/>
            <w:color w:val="000000" w:themeColor="text1"/>
          </w:rPr>
          <w:t>prosecutor</w:t>
        </w:r>
      </w:hyperlink>
      <w:r w:rsidRPr="00B40A77">
        <w:rPr>
          <w:rFonts w:cs="Times New Roman"/>
          <w:color w:val="000000" w:themeColor="text1"/>
        </w:rPr>
        <w:t xml:space="preserve"> and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may cross-examine the witness; and</w:t>
      </w:r>
    </w:p>
    <w:p w14:paraId="5DFBEDE9"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(d)</w:t>
      </w:r>
      <w:r w:rsidRPr="00B40A77">
        <w:rPr>
          <w:rFonts w:cs="Times New Roman"/>
          <w:color w:val="000000" w:themeColor="text1"/>
        </w:rPr>
        <w:tab/>
        <w:t>after hearing submissions by the parties, the Court will determine whether the charge has been proved beyond reasonable doubt.</w:t>
      </w:r>
    </w:p>
    <w:p w14:paraId="24E2F191" w14:textId="7CAFE353" w:rsidR="006C55C5" w:rsidRPr="00B40A77" w:rsidRDefault="006C55C5" w:rsidP="006C55C5">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 xml:space="preserve">If the Court finds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guilty, or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admits guilt of the contempt, the Court will hear submissions concerning penalty.</w:t>
      </w:r>
    </w:p>
    <w:p w14:paraId="315A0D10" w14:textId="02B0DE5E" w:rsidR="006C55C5" w:rsidRPr="00B40A77" w:rsidRDefault="006C55C5" w:rsidP="006C55C5">
      <w:pPr>
        <w:pStyle w:val="Hangindent"/>
        <w:rPr>
          <w:color w:val="000000" w:themeColor="text1"/>
        </w:rPr>
      </w:pPr>
      <w:r w:rsidRPr="00B40A77">
        <w:rPr>
          <w:rFonts w:cs="Times New Roman"/>
          <w:color w:val="000000" w:themeColor="text1"/>
        </w:rPr>
        <w:t>(4)</w:t>
      </w:r>
      <w:r w:rsidRPr="00B40A77">
        <w:rPr>
          <w:rFonts w:cs="Times New Roman"/>
          <w:color w:val="000000" w:themeColor="text1"/>
        </w:rPr>
        <w:tab/>
        <w:t xml:space="preserve">The Court may exercise, with respect to the charge, any power that it has with respect to a charge of an offence and, with respect to the </w:t>
      </w:r>
      <w:hyperlink w:anchor="_48.1—Definitions" w:history="1">
        <w:r w:rsidR="006B5F5C" w:rsidRPr="00B40A77">
          <w:rPr>
            <w:rStyle w:val="Hyperlink"/>
            <w:rFonts w:cs="Times New Roman"/>
            <w:color w:val="000000" w:themeColor="text1"/>
          </w:rPr>
          <w:t>accused</w:t>
        </w:r>
      </w:hyperlink>
      <w:r w:rsidRPr="00B40A77">
        <w:rPr>
          <w:rFonts w:cs="Times New Roman"/>
          <w:color w:val="000000" w:themeColor="text1"/>
        </w:rPr>
        <w:t xml:space="preserve">, any power </w:t>
      </w:r>
      <w:r w:rsidR="00DD7262" w:rsidRPr="00B40A77">
        <w:rPr>
          <w:rFonts w:cs="Times New Roman"/>
          <w:color w:val="000000" w:themeColor="text1"/>
        </w:rPr>
        <w:t xml:space="preserve">that </w:t>
      </w:r>
      <w:r w:rsidRPr="00B40A77">
        <w:rPr>
          <w:rFonts w:cs="Times New Roman"/>
          <w:color w:val="000000" w:themeColor="text1"/>
        </w:rPr>
        <w:t>it has in relation to a person charged with an offence.</w:t>
      </w:r>
    </w:p>
    <w:p w14:paraId="66B3D9EE" w14:textId="29DF7710" w:rsidR="006C55C5" w:rsidRPr="00B40A77" w:rsidRDefault="009C0CBF" w:rsidP="006C55C5">
      <w:pPr>
        <w:pStyle w:val="Heading4"/>
        <w:rPr>
          <w:color w:val="000000" w:themeColor="text1"/>
        </w:rPr>
      </w:pPr>
      <w:bookmarkStart w:id="433" w:name="_51.3—Penalty"/>
      <w:bookmarkStart w:id="434" w:name="_Toc65163008"/>
      <w:bookmarkStart w:id="435" w:name="_Toc175238953"/>
      <w:bookmarkEnd w:id="433"/>
      <w:r w:rsidRPr="00B40A77">
        <w:rPr>
          <w:color w:val="000000" w:themeColor="text1"/>
        </w:rPr>
        <w:t>5</w:t>
      </w:r>
      <w:r w:rsidR="00A50F38" w:rsidRPr="00B40A77">
        <w:rPr>
          <w:color w:val="000000" w:themeColor="text1"/>
        </w:rPr>
        <w:t>1</w:t>
      </w:r>
      <w:r w:rsidR="00AD7878" w:rsidRPr="00B40A77">
        <w:rPr>
          <w:color w:val="000000" w:themeColor="text1"/>
        </w:rPr>
        <w:t>.3</w:t>
      </w:r>
      <w:r w:rsidR="006C55C5" w:rsidRPr="00B40A77">
        <w:rPr>
          <w:color w:val="000000" w:themeColor="text1"/>
        </w:rPr>
        <w:t>—Penalty</w:t>
      </w:r>
      <w:bookmarkEnd w:id="434"/>
      <w:bookmarkEnd w:id="435"/>
      <w:r w:rsidR="006C55C5" w:rsidRPr="00B40A77">
        <w:rPr>
          <w:color w:val="000000" w:themeColor="text1"/>
        </w:rPr>
        <w:t xml:space="preserve"> </w:t>
      </w:r>
    </w:p>
    <w:p w14:paraId="1CBC655E" w14:textId="0C10A137" w:rsidR="006C55C5" w:rsidRPr="00B40A77" w:rsidRDefault="006C55C5" w:rsidP="006C55C5">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This rule applies when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admits guilt or the Court finds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guilty of contempt. </w:t>
      </w:r>
    </w:p>
    <w:p w14:paraId="02897BD4" w14:textId="6C8DCE9F" w:rsidR="006C55C5" w:rsidRPr="00B40A77" w:rsidRDefault="006C55C5" w:rsidP="006C55C5">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Court may punish contempt by a fine or, 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is an individual, by imprisonment.</w:t>
      </w:r>
    </w:p>
    <w:p w14:paraId="6F601BBA" w14:textId="173C9E94" w:rsidR="006C55C5" w:rsidRPr="00B40A77" w:rsidRDefault="006C55C5" w:rsidP="0033795E">
      <w:pPr>
        <w:pStyle w:val="Hangindent"/>
        <w:keepNext/>
        <w:rPr>
          <w:rFonts w:cs="Times New Roman"/>
          <w:color w:val="000000" w:themeColor="text1"/>
        </w:rPr>
      </w:pPr>
      <w:r w:rsidRPr="00B40A77">
        <w:rPr>
          <w:rFonts w:cs="Times New Roman"/>
          <w:color w:val="000000" w:themeColor="text1"/>
        </w:rPr>
        <w:t>(3)</w:t>
      </w:r>
      <w:r w:rsidRPr="00B40A77">
        <w:rPr>
          <w:rFonts w:cs="Times New Roman"/>
          <w:color w:val="000000" w:themeColor="text1"/>
        </w:rPr>
        <w:tab/>
        <w:t xml:space="preserve">If the Court imposes imprisonment, </w:t>
      </w:r>
      <w:r w:rsidR="003D3396" w:rsidRPr="00B40A77">
        <w:rPr>
          <w:rFonts w:cs="Times New Roman"/>
          <w:color w:val="000000" w:themeColor="text1"/>
        </w:rPr>
        <w:t xml:space="preserve">the </w:t>
      </w:r>
      <w:hyperlink w:anchor="_2.1—Definitions" w:history="1">
        <w:r w:rsidR="00D61876" w:rsidRPr="00B40A77">
          <w:rPr>
            <w:rStyle w:val="Hyperlink"/>
            <w:color w:val="000000" w:themeColor="text1"/>
            <w:lang w:val="en-US"/>
          </w:rPr>
          <w:t>Principal Registrar</w:t>
        </w:r>
      </w:hyperlink>
      <w:r w:rsidR="00D61CEA" w:rsidRPr="00B40A77">
        <w:rPr>
          <w:rFonts w:cs="Times New Roman"/>
          <w:color w:val="000000" w:themeColor="text1"/>
        </w:rPr>
        <w:t xml:space="preserve"> must </w:t>
      </w:r>
      <w:r w:rsidR="008B7F86" w:rsidRPr="00B40A77">
        <w:rPr>
          <w:rFonts w:cs="Times New Roman"/>
          <w:color w:val="000000" w:themeColor="text1"/>
        </w:rPr>
        <w:t xml:space="preserve">ensure that </w:t>
      </w:r>
      <w:r w:rsidRPr="00B40A77">
        <w:rPr>
          <w:rFonts w:cs="Times New Roman"/>
          <w:color w:val="000000" w:themeColor="text1"/>
        </w:rPr>
        <w:t>a warrant of commitment in the prescribed form</w:t>
      </w:r>
      <w:r w:rsidR="008B7F86" w:rsidRPr="00B40A77">
        <w:rPr>
          <w:rFonts w:cs="Times New Roman"/>
          <w:color w:val="000000" w:themeColor="text1"/>
        </w:rPr>
        <w:t xml:space="preserve"> is issued</w:t>
      </w:r>
      <w:r w:rsidRPr="00B40A77">
        <w:rPr>
          <w:rFonts w:cs="Times New Roman"/>
          <w:color w:val="000000" w:themeColor="text1"/>
        </w:rPr>
        <w:t>.</w:t>
      </w:r>
    </w:p>
    <w:p w14:paraId="551492C0" w14:textId="77777777" w:rsidR="006C55C5" w:rsidRPr="00B40A77" w:rsidRDefault="006C55C5" w:rsidP="0033795E">
      <w:pPr>
        <w:pStyle w:val="NoteHeader"/>
        <w:keepNext/>
        <w:rPr>
          <w:color w:val="000000" w:themeColor="text1"/>
        </w:rPr>
      </w:pPr>
      <w:r w:rsidRPr="00B40A77">
        <w:rPr>
          <w:color w:val="000000" w:themeColor="text1"/>
        </w:rPr>
        <w:t>Prescribed form—</w:t>
      </w:r>
    </w:p>
    <w:p w14:paraId="114EBAFA" w14:textId="0B9C4E23" w:rsidR="006C55C5" w:rsidRPr="00B40A77" w:rsidRDefault="007F0B54" w:rsidP="006C55C5">
      <w:pPr>
        <w:pStyle w:val="NoteText"/>
        <w:rPr>
          <w:color w:val="000000" w:themeColor="text1"/>
        </w:rPr>
      </w:pPr>
      <w:r w:rsidRPr="00B40A77">
        <w:rPr>
          <w:color w:val="000000" w:themeColor="text1"/>
        </w:rPr>
        <w:t>Form 2</w:t>
      </w:r>
      <w:r w:rsidR="00856BE0" w:rsidRPr="00B40A77">
        <w:rPr>
          <w:color w:val="000000" w:themeColor="text1"/>
        </w:rPr>
        <w:t>1</w:t>
      </w:r>
      <w:r w:rsidR="0059634E" w:rsidRPr="00B40A77">
        <w:rPr>
          <w:color w:val="000000" w:themeColor="text1"/>
        </w:rPr>
        <w:t>8</w:t>
      </w:r>
      <w:r w:rsidR="006C55C5" w:rsidRPr="00B40A77">
        <w:rPr>
          <w:color w:val="000000" w:themeColor="text1"/>
        </w:rPr>
        <w:t xml:space="preserve"> </w:t>
      </w:r>
      <w:hyperlink r:id="rId125" w:history="1">
        <w:r w:rsidR="006C55C5" w:rsidRPr="00B40A77">
          <w:rPr>
            <w:rStyle w:val="Hyperlink"/>
            <w:color w:val="000000" w:themeColor="text1"/>
          </w:rPr>
          <w:t>Warrant of Commitment – Contempt</w:t>
        </w:r>
      </w:hyperlink>
    </w:p>
    <w:p w14:paraId="1467B987" w14:textId="28B1BA27" w:rsidR="006C55C5" w:rsidRPr="00B40A77" w:rsidRDefault="006C55C5" w:rsidP="006C55C5">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t>If the Court imposes a fine, the Court may</w:t>
      </w:r>
      <w:r w:rsidRPr="00B40A77">
        <w:rPr>
          <w:color w:val="000000" w:themeColor="text1"/>
        </w:rPr>
        <w:t>—</w:t>
      </w:r>
    </w:p>
    <w:p w14:paraId="6A452610"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fix the time for payment of the fine; or</w:t>
      </w:r>
    </w:p>
    <w:p w14:paraId="79D23297" w14:textId="52B1507E"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lastRenderedPageBreak/>
        <w:t>(b)</w:t>
      </w:r>
      <w:r w:rsidRPr="00B40A77">
        <w:rPr>
          <w:rFonts w:cs="Times New Roman"/>
          <w:color w:val="000000" w:themeColor="text1"/>
        </w:rPr>
        <w:tab/>
        <w:t xml:space="preserve">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is an individual</w:t>
      </w:r>
      <w:r w:rsidRPr="00B40A77">
        <w:rPr>
          <w:color w:val="000000" w:themeColor="text1"/>
        </w:rPr>
        <w:t>—</w:t>
      </w:r>
      <w:r w:rsidRPr="00B40A77">
        <w:rPr>
          <w:color w:val="000000" w:themeColor="text1"/>
          <w:lang w:val="en-US"/>
        </w:rPr>
        <w:t>fix a term of imprisonment in default of payment of the fine.</w:t>
      </w:r>
    </w:p>
    <w:p w14:paraId="0FEBB196" w14:textId="77777777" w:rsidR="006C55C5" w:rsidRPr="00B40A77" w:rsidRDefault="006C55C5" w:rsidP="006C55C5">
      <w:pPr>
        <w:pStyle w:val="Hangindent"/>
        <w:rPr>
          <w:color w:val="000000" w:themeColor="text1"/>
          <w:lang w:val="en-US"/>
        </w:rPr>
      </w:pPr>
      <w:r w:rsidRPr="00B40A77">
        <w:rPr>
          <w:rFonts w:cs="Times New Roman"/>
          <w:color w:val="000000" w:themeColor="text1"/>
        </w:rPr>
        <w:t>(5)</w:t>
      </w:r>
      <w:r w:rsidRPr="00B40A77">
        <w:rPr>
          <w:rFonts w:cs="Times New Roman"/>
          <w:color w:val="000000" w:themeColor="text1"/>
        </w:rPr>
        <w:tab/>
        <w:t>The Court may</w:t>
      </w:r>
      <w:r w:rsidRPr="00B40A77">
        <w:rPr>
          <w:color w:val="000000" w:themeColor="text1"/>
        </w:rPr>
        <w:t>—</w:t>
      </w:r>
    </w:p>
    <w:p w14:paraId="60087C2A" w14:textId="6EA64B61"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undertak</w:t>
      </w:r>
      <w:r w:rsidR="00240219" w:rsidRPr="00B40A77">
        <w:rPr>
          <w:rFonts w:cs="Times New Roman"/>
          <w:color w:val="000000" w:themeColor="text1"/>
        </w:rPr>
        <w:t>es</w:t>
      </w:r>
      <w:r w:rsidRPr="00B40A77">
        <w:rPr>
          <w:rFonts w:cs="Times New Roman"/>
          <w:color w:val="000000" w:themeColor="text1"/>
        </w:rPr>
        <w:t xml:space="preserve"> to the Court to observe conditions determined by the Court and to appear for the determination of penalty upon a breach of those conditions</w:t>
      </w:r>
      <w:r w:rsidRPr="00B40A77">
        <w:rPr>
          <w:color w:val="000000" w:themeColor="text1"/>
        </w:rPr>
        <w:t>—</w:t>
      </w:r>
      <w:r w:rsidRPr="00B40A77">
        <w:rPr>
          <w:rFonts w:cs="Times New Roman"/>
          <w:color w:val="000000" w:themeColor="text1"/>
        </w:rPr>
        <w:t xml:space="preserve">release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without imposing penalty; or</w:t>
      </w:r>
    </w:p>
    <w:p w14:paraId="40904BB2" w14:textId="22ACC819" w:rsidR="006C55C5" w:rsidRPr="00B40A77" w:rsidRDefault="006C55C5" w:rsidP="0033795E">
      <w:pPr>
        <w:pStyle w:val="Hangindent"/>
        <w:keepNex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if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undertak</w:t>
      </w:r>
      <w:r w:rsidR="00240219" w:rsidRPr="00B40A77">
        <w:rPr>
          <w:rFonts w:cs="Times New Roman"/>
          <w:color w:val="000000" w:themeColor="text1"/>
        </w:rPr>
        <w:t>es</w:t>
      </w:r>
      <w:r w:rsidRPr="00B40A77">
        <w:rPr>
          <w:rFonts w:cs="Times New Roman"/>
          <w:color w:val="000000" w:themeColor="text1"/>
        </w:rPr>
        <w:t xml:space="preserve"> to the Court</w:t>
      </w:r>
      <w:r w:rsidR="00276A05" w:rsidRPr="00B40A77">
        <w:rPr>
          <w:rFonts w:cs="Times New Roman"/>
          <w:color w:val="000000" w:themeColor="text1"/>
        </w:rPr>
        <w:t>, in the prescribed form,</w:t>
      </w:r>
      <w:r w:rsidRPr="00B40A77">
        <w:rPr>
          <w:rFonts w:cs="Times New Roman"/>
          <w:color w:val="000000" w:themeColor="text1"/>
        </w:rPr>
        <w:t xml:space="preserve"> to observe conditions determined by the Court</w:t>
      </w:r>
      <w:r w:rsidRPr="00B40A77">
        <w:rPr>
          <w:color w:val="000000" w:themeColor="text1"/>
        </w:rPr>
        <w:t>—</w:t>
      </w:r>
      <w:r w:rsidRPr="00B40A77">
        <w:rPr>
          <w:rFonts w:cs="Times New Roman"/>
          <w:color w:val="000000" w:themeColor="text1"/>
        </w:rPr>
        <w:t>suspend the carrying into effect of a penalty for contempt.</w:t>
      </w:r>
    </w:p>
    <w:p w14:paraId="6F4961A5" w14:textId="77777777" w:rsidR="00276A05" w:rsidRPr="00B40A77" w:rsidRDefault="00276A05" w:rsidP="0033795E">
      <w:pPr>
        <w:pStyle w:val="NoteHeader"/>
        <w:keepNext/>
        <w:ind w:left="1701"/>
        <w:rPr>
          <w:color w:val="000000" w:themeColor="text1"/>
        </w:rPr>
      </w:pPr>
      <w:r w:rsidRPr="00B40A77">
        <w:rPr>
          <w:color w:val="000000" w:themeColor="text1"/>
        </w:rPr>
        <w:t>Prescribed form—</w:t>
      </w:r>
    </w:p>
    <w:p w14:paraId="6D33ECA7" w14:textId="59852100" w:rsidR="00276A05" w:rsidRPr="00B40A77" w:rsidRDefault="00276A05" w:rsidP="003B67CF">
      <w:pPr>
        <w:pStyle w:val="NoteText"/>
        <w:ind w:left="1985"/>
        <w:rPr>
          <w:color w:val="000000" w:themeColor="text1"/>
        </w:rPr>
      </w:pPr>
      <w:r w:rsidRPr="00B40A77">
        <w:rPr>
          <w:color w:val="000000" w:themeColor="text1"/>
        </w:rPr>
        <w:t>Form 21</w:t>
      </w:r>
      <w:r w:rsidR="0059634E" w:rsidRPr="00B40A77">
        <w:rPr>
          <w:color w:val="000000" w:themeColor="text1"/>
        </w:rPr>
        <w:t>9</w:t>
      </w:r>
      <w:r w:rsidRPr="00B40A77">
        <w:rPr>
          <w:color w:val="000000" w:themeColor="text1"/>
        </w:rPr>
        <w:t xml:space="preserve"> </w:t>
      </w:r>
      <w:hyperlink r:id="rId126" w:history="1">
        <w:r w:rsidRPr="00B40A77">
          <w:rPr>
            <w:rStyle w:val="Hyperlink"/>
            <w:color w:val="000000" w:themeColor="text1"/>
          </w:rPr>
          <w:t>Undertaking–Contempt</w:t>
        </w:r>
      </w:hyperlink>
    </w:p>
    <w:p w14:paraId="7AB4CFD7" w14:textId="558D3F08" w:rsidR="006C55C5" w:rsidRPr="00B40A77" w:rsidRDefault="009C0CBF" w:rsidP="006C55C5">
      <w:pPr>
        <w:pStyle w:val="Heading4"/>
        <w:rPr>
          <w:color w:val="000000" w:themeColor="text1"/>
        </w:rPr>
      </w:pPr>
      <w:bookmarkStart w:id="436" w:name="_Toc65163009"/>
      <w:bookmarkStart w:id="437" w:name="_Toc175238954"/>
      <w:r w:rsidRPr="00B40A77">
        <w:rPr>
          <w:color w:val="000000" w:themeColor="text1"/>
        </w:rPr>
        <w:t>5</w:t>
      </w:r>
      <w:r w:rsidR="00A50F38" w:rsidRPr="00B40A77">
        <w:rPr>
          <w:color w:val="000000" w:themeColor="text1"/>
        </w:rPr>
        <w:t>1</w:t>
      </w:r>
      <w:r w:rsidR="00AD7878" w:rsidRPr="00B40A77">
        <w:rPr>
          <w:color w:val="000000" w:themeColor="text1"/>
        </w:rPr>
        <w:t>.4</w:t>
      </w:r>
      <w:r w:rsidR="006C55C5" w:rsidRPr="00B40A77">
        <w:rPr>
          <w:color w:val="000000" w:themeColor="text1"/>
        </w:rPr>
        <w:t>—Subsequent proceedings</w:t>
      </w:r>
      <w:bookmarkEnd w:id="436"/>
      <w:bookmarkEnd w:id="437"/>
      <w:r w:rsidR="006C55C5" w:rsidRPr="00B40A77">
        <w:rPr>
          <w:color w:val="000000" w:themeColor="text1"/>
        </w:rPr>
        <w:t xml:space="preserve"> </w:t>
      </w:r>
    </w:p>
    <w:p w14:paraId="059665B1" w14:textId="460669D5" w:rsidR="006C55C5" w:rsidRPr="00B40A77" w:rsidRDefault="006C55C5" w:rsidP="006C55C5">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If the Court makes an order under</w:t>
      </w:r>
      <w:r w:rsidR="00A12B9D" w:rsidRPr="00B40A77">
        <w:rPr>
          <w:rFonts w:cs="Times New Roman"/>
          <w:color w:val="000000" w:themeColor="text1"/>
        </w:rPr>
        <w:t xml:space="preserve"> </w:t>
      </w:r>
      <w:hyperlink w:anchor="_51.3—Penalty" w:history="1">
        <w:r w:rsidR="00A12B9D" w:rsidRPr="00B40A77">
          <w:rPr>
            <w:rStyle w:val="Hyperlink"/>
            <w:rFonts w:cs="Times New Roman"/>
            <w:color w:val="000000" w:themeColor="text1"/>
          </w:rPr>
          <w:t xml:space="preserve">rule </w:t>
        </w:r>
        <w:r w:rsidR="00A12B9D" w:rsidRPr="00B40A77">
          <w:rPr>
            <w:rStyle w:val="Hyperlink"/>
            <w:color w:val="000000" w:themeColor="text1"/>
          </w:rPr>
          <w:t>51.3</w:t>
        </w:r>
      </w:hyperlink>
      <w:r w:rsidR="00A12B9D" w:rsidRPr="00B40A77">
        <w:rPr>
          <w:color w:val="000000" w:themeColor="text1"/>
        </w:rPr>
        <w:t>(5)</w:t>
      </w:r>
      <w:r w:rsidRPr="00B40A77">
        <w:rPr>
          <w:rFonts w:cs="Times New Roman"/>
          <w:color w:val="000000" w:themeColor="text1"/>
        </w:rPr>
        <w:t xml:space="preserve"> and it subsequently appears that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may have breached a condition of the undertaking, the Court may order the issue of</w:t>
      </w:r>
      <w:r w:rsidRPr="00B40A77">
        <w:rPr>
          <w:color w:val="000000" w:themeColor="text1"/>
        </w:rPr>
        <w:t>—</w:t>
      </w:r>
    </w:p>
    <w:p w14:paraId="75C7F111" w14:textId="2BA30959"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a summons </w:t>
      </w:r>
      <w:r w:rsidRPr="00B40A77">
        <w:rPr>
          <w:color w:val="000000" w:themeColor="text1"/>
          <w:lang w:val="en-US"/>
        </w:rPr>
        <w:t xml:space="preserve">in the prescribed form </w:t>
      </w:r>
      <w:r w:rsidRPr="00B40A77">
        <w:rPr>
          <w:rFonts w:cs="Times New Roman"/>
          <w:color w:val="000000" w:themeColor="text1"/>
        </w:rPr>
        <w:t xml:space="preserve">requiring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to</w:t>
      </w:r>
      <w:r w:rsidRPr="00B40A77">
        <w:rPr>
          <w:color w:val="000000" w:themeColor="text1"/>
          <w:lang w:val="en-US"/>
        </w:rPr>
        <w:t xml:space="preserve"> attend before the Court</w:t>
      </w:r>
      <w:r w:rsidRPr="00B40A77">
        <w:rPr>
          <w:rFonts w:cs="Times New Roman"/>
          <w:color w:val="000000" w:themeColor="text1"/>
        </w:rPr>
        <w:t>; or</w:t>
      </w:r>
    </w:p>
    <w:p w14:paraId="12781B1B" w14:textId="2AD19386" w:rsidR="006C55C5" w:rsidRPr="00B40A77" w:rsidRDefault="006C55C5" w:rsidP="0033795E">
      <w:pPr>
        <w:pStyle w:val="Hangindent"/>
        <w:keepNex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a warrant of apprehension in the prescribed form to have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apprehended and brought before the Court. </w:t>
      </w:r>
    </w:p>
    <w:p w14:paraId="24B48D16" w14:textId="77777777" w:rsidR="006C55C5" w:rsidRPr="00B40A77" w:rsidRDefault="006C55C5" w:rsidP="0033795E">
      <w:pPr>
        <w:pStyle w:val="NoteHeader"/>
        <w:keepNext/>
        <w:ind w:left="1701"/>
        <w:rPr>
          <w:color w:val="000000" w:themeColor="text1"/>
        </w:rPr>
      </w:pPr>
      <w:r w:rsidRPr="00B40A77">
        <w:rPr>
          <w:color w:val="000000" w:themeColor="text1"/>
        </w:rPr>
        <w:t>Prescribed forms—</w:t>
      </w:r>
    </w:p>
    <w:p w14:paraId="3D955A43" w14:textId="451552F9" w:rsidR="006C55C5" w:rsidRPr="00B40A77" w:rsidRDefault="0034422A" w:rsidP="00C302C9">
      <w:pPr>
        <w:pStyle w:val="NoteText"/>
        <w:keepNext/>
        <w:ind w:left="1985"/>
        <w:rPr>
          <w:color w:val="000000" w:themeColor="text1"/>
        </w:rPr>
      </w:pPr>
      <w:r w:rsidRPr="00B40A77">
        <w:rPr>
          <w:color w:val="000000" w:themeColor="text1"/>
        </w:rPr>
        <w:t>Form 32</w:t>
      </w:r>
      <w:r w:rsidR="006C55C5" w:rsidRPr="00B40A77">
        <w:rPr>
          <w:color w:val="000000" w:themeColor="text1"/>
        </w:rPr>
        <w:t xml:space="preserve"> </w:t>
      </w:r>
      <w:hyperlink r:id="rId127" w:history="1">
        <w:r w:rsidR="006C55C5" w:rsidRPr="00B40A77">
          <w:rPr>
            <w:rStyle w:val="Hyperlink"/>
            <w:color w:val="000000" w:themeColor="text1"/>
          </w:rPr>
          <w:t>Summons for</w:t>
        </w:r>
        <w:r w:rsidR="00287893" w:rsidRPr="00B40A77">
          <w:rPr>
            <w:rStyle w:val="Hyperlink"/>
            <w:color w:val="000000" w:themeColor="text1"/>
          </w:rPr>
          <w:t xml:space="preserve"> Contempt</w:t>
        </w:r>
        <w:r w:rsidR="00856BE0" w:rsidRPr="00B40A77">
          <w:rPr>
            <w:rStyle w:val="Hyperlink"/>
            <w:color w:val="000000" w:themeColor="text1"/>
          </w:rPr>
          <w:t xml:space="preserve"> or Breach of Condition</w:t>
        </w:r>
      </w:hyperlink>
    </w:p>
    <w:p w14:paraId="25B48AF1" w14:textId="5E1CE562" w:rsidR="006C55C5" w:rsidRPr="00B40A77" w:rsidRDefault="0034422A" w:rsidP="00A777E7">
      <w:pPr>
        <w:pStyle w:val="NoteText"/>
        <w:ind w:left="1985"/>
        <w:rPr>
          <w:color w:val="000000" w:themeColor="text1"/>
        </w:rPr>
      </w:pPr>
      <w:r w:rsidRPr="00B40A77">
        <w:rPr>
          <w:color w:val="000000" w:themeColor="text1"/>
        </w:rPr>
        <w:t>Form 33</w:t>
      </w:r>
      <w:r w:rsidR="006C55C5" w:rsidRPr="00B40A77">
        <w:rPr>
          <w:color w:val="000000" w:themeColor="text1"/>
        </w:rPr>
        <w:t xml:space="preserve"> </w:t>
      </w:r>
      <w:hyperlink r:id="rId128" w:history="1">
        <w:r w:rsidR="006C55C5" w:rsidRPr="00B40A77">
          <w:rPr>
            <w:rStyle w:val="Hyperlink"/>
            <w:color w:val="000000" w:themeColor="text1"/>
          </w:rPr>
          <w:t>Warrant of Apprehension –</w:t>
        </w:r>
        <w:r w:rsidR="00287893" w:rsidRPr="00B40A77">
          <w:rPr>
            <w:rStyle w:val="Hyperlink"/>
            <w:color w:val="000000" w:themeColor="text1"/>
          </w:rPr>
          <w:t xml:space="preserve"> Contempt</w:t>
        </w:r>
        <w:r w:rsidR="006C55C5" w:rsidRPr="00B40A77">
          <w:rPr>
            <w:rStyle w:val="Hyperlink"/>
            <w:color w:val="000000" w:themeColor="text1"/>
          </w:rPr>
          <w:t xml:space="preserve"> </w:t>
        </w:r>
        <w:r w:rsidR="00FC399D" w:rsidRPr="00B40A77">
          <w:rPr>
            <w:rStyle w:val="Hyperlink"/>
            <w:color w:val="000000" w:themeColor="text1"/>
          </w:rPr>
          <w:t>or Breach of Condition</w:t>
        </w:r>
      </w:hyperlink>
    </w:p>
    <w:p w14:paraId="1A4307C9" w14:textId="25EB08BC" w:rsidR="006C55C5" w:rsidRPr="00B40A77" w:rsidRDefault="006C55C5" w:rsidP="006C55C5">
      <w:pPr>
        <w:pStyle w:val="Hangindent"/>
        <w:rPr>
          <w:color w:val="000000" w:themeColor="text1"/>
          <w:lang w:val="en-US"/>
        </w:rPr>
      </w:pPr>
      <w:r w:rsidRPr="00B40A77">
        <w:rPr>
          <w:rFonts w:cs="Times New Roman"/>
          <w:color w:val="000000" w:themeColor="text1"/>
        </w:rPr>
        <w:t>(2)</w:t>
      </w:r>
      <w:r w:rsidRPr="00B40A77">
        <w:rPr>
          <w:rFonts w:cs="Times New Roman"/>
          <w:color w:val="000000" w:themeColor="text1"/>
        </w:rPr>
        <w:tab/>
        <w:t xml:space="preserve">If the Court finds that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breached a condition of an undertaking entered into under </w:t>
      </w:r>
      <w:hyperlink w:anchor="_51.3—Penalty" w:history="1">
        <w:r w:rsidR="006C33BF" w:rsidRPr="00B40A77">
          <w:rPr>
            <w:rStyle w:val="Hyperlink"/>
            <w:rFonts w:cs="Times New Roman"/>
            <w:color w:val="000000" w:themeColor="text1"/>
          </w:rPr>
          <w:t>rule 51.3</w:t>
        </w:r>
      </w:hyperlink>
      <w:r w:rsidR="006C33BF" w:rsidRPr="00B40A77">
        <w:rPr>
          <w:rStyle w:val="Hyperlink"/>
          <w:rFonts w:cs="Times New Roman"/>
          <w:color w:val="000000" w:themeColor="text1"/>
          <w:u w:val="none"/>
        </w:rPr>
        <w:t>(5)(a)</w:t>
      </w:r>
      <w:r w:rsidRPr="00B40A77">
        <w:rPr>
          <w:rFonts w:cs="Times New Roman"/>
          <w:color w:val="000000" w:themeColor="text1"/>
        </w:rPr>
        <w:t>, the Court may</w:t>
      </w:r>
      <w:r w:rsidRPr="00B40A77">
        <w:rPr>
          <w:color w:val="000000" w:themeColor="text1"/>
        </w:rPr>
        <w:t>—</w:t>
      </w:r>
    </w:p>
    <w:p w14:paraId="188E6165" w14:textId="51BBECFB"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 xml:space="preserve">impose a penalty on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for the contempt; or</w:t>
      </w:r>
    </w:p>
    <w:p w14:paraId="293B1C16"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r>
      <w:r w:rsidRPr="00B40A77">
        <w:rPr>
          <w:color w:val="000000" w:themeColor="text1"/>
        </w:rPr>
        <w:t>make any other or further order as it thinks fit.</w:t>
      </w:r>
    </w:p>
    <w:p w14:paraId="5BB13AE7" w14:textId="3E95E674" w:rsidR="006C55C5" w:rsidRPr="00B40A77" w:rsidRDefault="006C55C5" w:rsidP="006C55C5">
      <w:pPr>
        <w:pStyle w:val="Hangindent"/>
        <w:rPr>
          <w:color w:val="000000" w:themeColor="text1"/>
          <w:lang w:val="en-US"/>
        </w:rPr>
      </w:pPr>
      <w:r w:rsidRPr="00B40A77">
        <w:rPr>
          <w:rFonts w:cs="Times New Roman"/>
          <w:color w:val="000000" w:themeColor="text1"/>
        </w:rPr>
        <w:t>(3)</w:t>
      </w:r>
      <w:r w:rsidRPr="00B40A77">
        <w:rPr>
          <w:rFonts w:cs="Times New Roman"/>
          <w:color w:val="000000" w:themeColor="text1"/>
        </w:rPr>
        <w:tab/>
        <w:t xml:space="preserve">If the Court finds that the </w:t>
      </w:r>
      <w:hyperlink w:anchor="_205.1—Definitions" w:history="1">
        <w:hyperlink w:anchor="_48.1—Definitions" w:history="1">
          <w:r w:rsidR="006B5F5C" w:rsidRPr="00B40A77">
            <w:rPr>
              <w:rStyle w:val="Hyperlink"/>
              <w:rFonts w:cs="Times New Roman"/>
              <w:color w:val="000000" w:themeColor="text1"/>
            </w:rPr>
            <w:t>accused</w:t>
          </w:r>
        </w:hyperlink>
      </w:hyperlink>
      <w:r w:rsidRPr="00B40A77">
        <w:rPr>
          <w:rFonts w:cs="Times New Roman"/>
          <w:color w:val="000000" w:themeColor="text1"/>
        </w:rPr>
        <w:t xml:space="preserve"> breached a condition of an undertaking entered into under </w:t>
      </w:r>
      <w:hyperlink w:anchor="_51.3—Penalty" w:history="1">
        <w:r w:rsidR="006C33BF" w:rsidRPr="00B40A77">
          <w:rPr>
            <w:rStyle w:val="Hyperlink"/>
            <w:rFonts w:cs="Times New Roman"/>
            <w:color w:val="000000" w:themeColor="text1"/>
          </w:rPr>
          <w:t>rule 51.3</w:t>
        </w:r>
      </w:hyperlink>
      <w:r w:rsidR="006C33BF" w:rsidRPr="00B40A77">
        <w:rPr>
          <w:rStyle w:val="Hyperlink"/>
          <w:rFonts w:cs="Times New Roman"/>
          <w:color w:val="000000" w:themeColor="text1"/>
          <w:u w:val="none"/>
        </w:rPr>
        <w:t>(5)(b)</w:t>
      </w:r>
      <w:r w:rsidRPr="00B40A77">
        <w:rPr>
          <w:rFonts w:cs="Times New Roman"/>
          <w:color w:val="000000" w:themeColor="text1"/>
        </w:rPr>
        <w:t>, the Court may</w:t>
      </w:r>
      <w:r w:rsidRPr="00B40A77">
        <w:rPr>
          <w:color w:val="000000" w:themeColor="text1"/>
        </w:rPr>
        <w:t>—</w:t>
      </w:r>
    </w:p>
    <w:p w14:paraId="392D91A0"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cancel the suspension of the penalty and order that the penalty be carried into effect; or</w:t>
      </w:r>
    </w:p>
    <w:p w14:paraId="24387B92" w14:textId="77777777" w:rsidR="006C55C5" w:rsidRPr="00B40A77" w:rsidRDefault="006C55C5" w:rsidP="006C55C5">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r>
      <w:r w:rsidRPr="00B40A77">
        <w:rPr>
          <w:color w:val="000000" w:themeColor="text1"/>
        </w:rPr>
        <w:t>make any other or further order as it thinks fit.</w:t>
      </w:r>
    </w:p>
    <w:p w14:paraId="77488FC3" w14:textId="77777777" w:rsidR="00C80B19" w:rsidRPr="00B40A77" w:rsidRDefault="006C55C5" w:rsidP="002121B2">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t>The Court may, at any stage, cancel or reduce a penalty imposed for contempt.</w:t>
      </w:r>
    </w:p>
    <w:p w14:paraId="1843466B" w14:textId="7CDE4D4D" w:rsidR="00CE4999" w:rsidRPr="00B40A77" w:rsidRDefault="00CE4999" w:rsidP="002121B2">
      <w:pPr>
        <w:pStyle w:val="Hangindent"/>
        <w:rPr>
          <w:rFonts w:cs="Times New Roman"/>
          <w:color w:val="000000" w:themeColor="text1"/>
        </w:rPr>
      </w:pPr>
      <w:r w:rsidRPr="00B40A77">
        <w:rPr>
          <w:color w:val="000000" w:themeColor="text1"/>
        </w:rPr>
        <w:br w:type="page"/>
      </w:r>
    </w:p>
    <w:p w14:paraId="36753ABF" w14:textId="5D296637" w:rsidR="005C4E3A" w:rsidRPr="00B40A77" w:rsidRDefault="00773541" w:rsidP="00BE23A0">
      <w:pPr>
        <w:pStyle w:val="Heading1"/>
        <w:rPr>
          <w:color w:val="000000" w:themeColor="text1"/>
        </w:rPr>
      </w:pPr>
      <w:bookmarkStart w:id="438" w:name="_Toc175238955"/>
      <w:bookmarkStart w:id="439" w:name="_Hlk107841712"/>
      <w:r w:rsidRPr="00B40A77">
        <w:rPr>
          <w:color w:val="000000" w:themeColor="text1"/>
        </w:rPr>
        <w:lastRenderedPageBreak/>
        <w:t>Chapter</w:t>
      </w:r>
      <w:r w:rsidR="00A91D4D" w:rsidRPr="00B40A77">
        <w:rPr>
          <w:color w:val="000000" w:themeColor="text1"/>
        </w:rPr>
        <w:t xml:space="preserve"> </w:t>
      </w:r>
      <w:r w:rsidR="00C07C0B" w:rsidRPr="00B40A77">
        <w:rPr>
          <w:color w:val="000000" w:themeColor="text1"/>
        </w:rPr>
        <w:t>3</w:t>
      </w:r>
      <w:r w:rsidR="00C35E15" w:rsidRPr="00B40A77">
        <w:rPr>
          <w:color w:val="000000" w:themeColor="text1"/>
        </w:rPr>
        <w:t>—</w:t>
      </w:r>
      <w:r w:rsidR="0076562A" w:rsidRPr="00B40A77">
        <w:rPr>
          <w:color w:val="000000" w:themeColor="text1"/>
        </w:rPr>
        <w:t>P</w:t>
      </w:r>
      <w:r w:rsidR="005D7A74" w:rsidRPr="00B40A77">
        <w:rPr>
          <w:color w:val="000000" w:themeColor="text1"/>
        </w:rPr>
        <w:t>roceedings</w:t>
      </w:r>
      <w:r w:rsidR="0076562A" w:rsidRPr="00B40A77">
        <w:rPr>
          <w:color w:val="000000" w:themeColor="text1"/>
        </w:rPr>
        <w:t xml:space="preserve"> </w:t>
      </w:r>
      <w:r w:rsidR="0022775D" w:rsidRPr="00B40A77">
        <w:rPr>
          <w:color w:val="000000" w:themeColor="text1"/>
        </w:rPr>
        <w:t>in</w:t>
      </w:r>
      <w:r w:rsidR="008479F1" w:rsidRPr="00B40A77">
        <w:rPr>
          <w:color w:val="000000" w:themeColor="text1"/>
        </w:rPr>
        <w:t xml:space="preserve"> Lower Courts</w:t>
      </w:r>
      <w:bookmarkEnd w:id="438"/>
    </w:p>
    <w:p w14:paraId="08B411F9" w14:textId="5C66170A" w:rsidR="00DC1465" w:rsidRPr="00B40A77" w:rsidRDefault="000A1DCB" w:rsidP="00BE23A0">
      <w:pPr>
        <w:pStyle w:val="Heading2"/>
        <w:keepNext/>
        <w:rPr>
          <w:color w:val="000000" w:themeColor="text1"/>
        </w:rPr>
      </w:pPr>
      <w:bookmarkStart w:id="440" w:name="_Toc175238956"/>
      <w:bookmarkStart w:id="441" w:name="_Hlk23159367"/>
      <w:bookmarkStart w:id="442" w:name="_Hlk25235802"/>
      <w:bookmarkEnd w:id="439"/>
      <w:r w:rsidRPr="00B40A77">
        <w:rPr>
          <w:color w:val="000000" w:themeColor="text1"/>
        </w:rPr>
        <w:t>Part 1</w:t>
      </w:r>
      <w:r w:rsidR="005A423A" w:rsidRPr="00B40A77">
        <w:rPr>
          <w:color w:val="000000" w:themeColor="text1"/>
        </w:rPr>
        <w:t>—</w:t>
      </w:r>
      <w:r w:rsidR="00990FD4" w:rsidRPr="00B40A77">
        <w:rPr>
          <w:color w:val="000000" w:themeColor="text1"/>
        </w:rPr>
        <w:t>Scope of Chapter</w:t>
      </w:r>
      <w:bookmarkEnd w:id="440"/>
    </w:p>
    <w:p w14:paraId="64AD66C1" w14:textId="7EE0D365" w:rsidR="00990FD4" w:rsidRPr="00B40A77" w:rsidRDefault="00B870F1" w:rsidP="00990FD4">
      <w:pPr>
        <w:pStyle w:val="Heading4"/>
        <w:rPr>
          <w:color w:val="000000" w:themeColor="text1"/>
        </w:rPr>
      </w:pPr>
      <w:bookmarkStart w:id="443" w:name="_Toc175238957"/>
      <w:r w:rsidRPr="00B40A77">
        <w:rPr>
          <w:color w:val="000000" w:themeColor="text1"/>
        </w:rPr>
        <w:t>6</w:t>
      </w:r>
      <w:r w:rsidR="0008514E" w:rsidRPr="00B40A77">
        <w:rPr>
          <w:color w:val="000000" w:themeColor="text1"/>
        </w:rPr>
        <w:t>1</w:t>
      </w:r>
      <w:r w:rsidR="00990FD4" w:rsidRPr="00B40A77">
        <w:rPr>
          <w:color w:val="000000" w:themeColor="text1"/>
        </w:rPr>
        <w:t>.1—Scope</w:t>
      </w:r>
      <w:bookmarkEnd w:id="443"/>
    </w:p>
    <w:p w14:paraId="6AA87E7A" w14:textId="0D3148C0" w:rsidR="00C07C0B" w:rsidRPr="00B40A77" w:rsidRDefault="00990FD4" w:rsidP="00990FD4">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C07C0B" w:rsidRPr="00B40A77">
        <w:rPr>
          <w:color w:val="000000" w:themeColor="text1"/>
          <w:lang w:val="en-US"/>
        </w:rPr>
        <w:t>Subject to subrule</w:t>
      </w:r>
      <w:r w:rsidR="00FA5DC3" w:rsidRPr="00B40A77">
        <w:rPr>
          <w:color w:val="000000" w:themeColor="text1"/>
          <w:lang w:val="en-US"/>
        </w:rPr>
        <w:t>s</w:t>
      </w:r>
      <w:r w:rsidR="00C42A0C" w:rsidRPr="00B40A77">
        <w:rPr>
          <w:color w:val="000000" w:themeColor="text1"/>
          <w:lang w:val="en-US"/>
        </w:rPr>
        <w:t> </w:t>
      </w:r>
      <w:r w:rsidR="00C07C0B" w:rsidRPr="00B40A77">
        <w:rPr>
          <w:color w:val="000000" w:themeColor="text1"/>
          <w:lang w:val="en-US"/>
        </w:rPr>
        <w:t>(2)</w:t>
      </w:r>
      <w:r w:rsidR="00FA5DC3" w:rsidRPr="00B40A77">
        <w:rPr>
          <w:color w:val="000000" w:themeColor="text1"/>
          <w:lang w:val="en-US"/>
        </w:rPr>
        <w:t xml:space="preserve"> and</w:t>
      </w:r>
      <w:r w:rsidR="00C42A0C" w:rsidRPr="00B40A77">
        <w:rPr>
          <w:color w:val="000000" w:themeColor="text1"/>
          <w:lang w:val="en-US"/>
        </w:rPr>
        <w:t> </w:t>
      </w:r>
      <w:r w:rsidR="00FA5DC3" w:rsidRPr="00B40A77">
        <w:rPr>
          <w:color w:val="000000" w:themeColor="text1"/>
          <w:lang w:val="en-US"/>
        </w:rPr>
        <w:t>(3)</w:t>
      </w:r>
      <w:r w:rsidR="00C07C0B" w:rsidRPr="00B40A77">
        <w:rPr>
          <w:color w:val="000000" w:themeColor="text1"/>
          <w:lang w:val="en-US"/>
        </w:rPr>
        <w:t>, t</w:t>
      </w:r>
      <w:r w:rsidRPr="00B40A77">
        <w:rPr>
          <w:color w:val="000000" w:themeColor="text1"/>
          <w:lang w:val="en-US"/>
        </w:rPr>
        <w:t xml:space="preserve">his Chapter applies to the commencement and conduct of all proceedings in the </w:t>
      </w:r>
      <w:hyperlink w:anchor="_2.1—Definitions" w:history="1">
        <w:r w:rsidR="00981911" w:rsidRPr="00B40A77">
          <w:rPr>
            <w:rStyle w:val="Hyperlink"/>
            <w:color w:val="000000" w:themeColor="text1"/>
          </w:rPr>
          <w:t>Lower Court</w:t>
        </w:r>
      </w:hyperlink>
      <w:r w:rsidRPr="00B40A77">
        <w:rPr>
          <w:color w:val="000000" w:themeColor="text1"/>
          <w:u w:val="single"/>
          <w:lang w:val="en-US"/>
        </w:rPr>
        <w:t>s</w:t>
      </w:r>
      <w:r w:rsidR="00B16645" w:rsidRPr="00B40A77">
        <w:rPr>
          <w:color w:val="000000" w:themeColor="text1"/>
          <w:lang w:val="en-US"/>
        </w:rPr>
        <w:t xml:space="preserve"> up to but not including matters governed by </w:t>
      </w:r>
      <w:hyperlink w:anchor="_Chapter_6—Trial" w:history="1">
        <w:r w:rsidR="00B16645" w:rsidRPr="00B40A77">
          <w:rPr>
            <w:rStyle w:val="Hyperlink"/>
            <w:color w:val="000000" w:themeColor="text1"/>
            <w:lang w:val="en-US"/>
          </w:rPr>
          <w:t>Chapter 6</w:t>
        </w:r>
      </w:hyperlink>
      <w:r w:rsidR="00B16645" w:rsidRPr="00B40A77">
        <w:rPr>
          <w:color w:val="000000" w:themeColor="text1"/>
          <w:lang w:val="en-US"/>
        </w:rPr>
        <w:t xml:space="preserve">, </w:t>
      </w:r>
      <w:hyperlink w:anchor="_Chapter_7—Sentencing_and" w:history="1">
        <w:r w:rsidR="00B16645" w:rsidRPr="00B40A77">
          <w:rPr>
            <w:rStyle w:val="Hyperlink"/>
            <w:color w:val="000000" w:themeColor="text1"/>
            <w:lang w:val="en-US"/>
          </w:rPr>
          <w:t>Chapter 7</w:t>
        </w:r>
      </w:hyperlink>
      <w:r w:rsidR="00B16645" w:rsidRPr="00B40A77">
        <w:rPr>
          <w:color w:val="000000" w:themeColor="text1"/>
          <w:lang w:val="en-US"/>
        </w:rPr>
        <w:t xml:space="preserve"> or </w:t>
      </w:r>
      <w:hyperlink w:anchor="_Chapter_8—Variation_and" w:history="1">
        <w:r w:rsidR="00B16645" w:rsidRPr="00B40A77">
          <w:rPr>
            <w:rStyle w:val="Hyperlink"/>
            <w:color w:val="000000" w:themeColor="text1"/>
            <w:lang w:val="en-US"/>
          </w:rPr>
          <w:t>Chapter 8</w:t>
        </w:r>
      </w:hyperlink>
      <w:r w:rsidR="00294924" w:rsidRPr="00B40A77">
        <w:rPr>
          <w:color w:val="000000" w:themeColor="text1"/>
          <w:lang w:val="en-US"/>
        </w:rPr>
        <w:t>.</w:t>
      </w:r>
    </w:p>
    <w:p w14:paraId="531DAB26" w14:textId="357CF00C" w:rsidR="00FA5DC3" w:rsidRPr="00B40A77" w:rsidRDefault="00FA5DC3" w:rsidP="00990FD4">
      <w:pPr>
        <w:pStyle w:val="Hangindent"/>
        <w:rPr>
          <w:color w:val="000000" w:themeColor="text1"/>
          <w:lang w:val="en-US"/>
        </w:rPr>
      </w:pPr>
      <w:r w:rsidRPr="00B40A77">
        <w:rPr>
          <w:color w:val="000000" w:themeColor="text1"/>
          <w:lang w:val="en-US"/>
        </w:rPr>
        <w:t>(2)</w:t>
      </w:r>
      <w:r w:rsidRPr="00B40A77">
        <w:rPr>
          <w:color w:val="000000" w:themeColor="text1"/>
          <w:lang w:val="en-US"/>
        </w:rPr>
        <w:tab/>
      </w:r>
      <w:hyperlink w:anchor="_Division_3—Better_particulars" w:history="1">
        <w:r w:rsidRPr="00B40A77">
          <w:rPr>
            <w:rStyle w:val="Hyperlink"/>
            <w:color w:val="000000" w:themeColor="text1"/>
            <w:lang w:val="en-US"/>
          </w:rPr>
          <w:t xml:space="preserve">Part </w:t>
        </w:r>
        <w:r w:rsidR="00DB10C9" w:rsidRPr="00B40A77">
          <w:rPr>
            <w:rStyle w:val="Hyperlink"/>
            <w:color w:val="000000" w:themeColor="text1"/>
            <w:lang w:val="en-US"/>
          </w:rPr>
          <w:t>3</w:t>
        </w:r>
        <w:r w:rsidRPr="00B40A77">
          <w:rPr>
            <w:rStyle w:val="Hyperlink"/>
            <w:color w:val="000000" w:themeColor="text1"/>
            <w:lang w:val="en-US"/>
          </w:rPr>
          <w:t xml:space="preserve"> </w:t>
        </w:r>
        <w:r w:rsidR="00DB10C9" w:rsidRPr="00B40A77">
          <w:rPr>
            <w:rStyle w:val="Hyperlink"/>
            <w:color w:val="000000" w:themeColor="text1"/>
            <w:lang w:val="en-US"/>
          </w:rPr>
          <w:t>Division 3</w:t>
        </w:r>
      </w:hyperlink>
      <w:r w:rsidR="00DB10C9" w:rsidRPr="00B40A77">
        <w:rPr>
          <w:color w:val="000000" w:themeColor="text1"/>
          <w:lang w:val="en-US"/>
        </w:rPr>
        <w:t xml:space="preserve"> and </w:t>
      </w:r>
      <w:r w:rsidR="00DB10C9" w:rsidRPr="00B40A77">
        <w:rPr>
          <w:color w:val="000000" w:themeColor="text1"/>
          <w:u w:val="single"/>
          <w:lang w:val="en-US"/>
        </w:rPr>
        <w:t xml:space="preserve">Part 4 </w:t>
      </w:r>
      <w:hyperlink w:anchor="_Division_2—Applications" w:history="1">
        <w:r w:rsidR="00DB10C9" w:rsidRPr="00B40A77">
          <w:rPr>
            <w:rStyle w:val="Hyperlink"/>
            <w:color w:val="000000" w:themeColor="text1"/>
            <w:lang w:val="en-US"/>
          </w:rPr>
          <w:t>Division 2</w:t>
        </w:r>
      </w:hyperlink>
      <w:r w:rsidR="00DB10C9" w:rsidRPr="00B40A77">
        <w:rPr>
          <w:color w:val="000000" w:themeColor="text1"/>
          <w:lang w:val="en-US"/>
        </w:rPr>
        <w:t xml:space="preserve">, </w:t>
      </w:r>
      <w:hyperlink w:anchor="_Subdivision_C—Proceed_to" w:history="1">
        <w:r w:rsidR="00DB10C9" w:rsidRPr="00B40A77">
          <w:rPr>
            <w:rStyle w:val="Hyperlink"/>
            <w:color w:val="000000" w:themeColor="text1"/>
            <w:lang w:val="en-US"/>
          </w:rPr>
          <w:t>Division 4 Subdivision C</w:t>
        </w:r>
      </w:hyperlink>
      <w:r w:rsidR="00DB10C9" w:rsidRPr="00B40A77">
        <w:rPr>
          <w:color w:val="000000" w:themeColor="text1"/>
          <w:lang w:val="en-US"/>
        </w:rPr>
        <w:t xml:space="preserve"> and </w:t>
      </w:r>
      <w:hyperlink w:anchor="_Division_5—Non-appearance_of" w:history="1">
        <w:r w:rsidR="00DB10C9" w:rsidRPr="00B40A77">
          <w:rPr>
            <w:rStyle w:val="Hyperlink"/>
            <w:color w:val="000000" w:themeColor="text1"/>
            <w:lang w:val="en-US"/>
          </w:rPr>
          <w:t>Division</w:t>
        </w:r>
        <w:r w:rsidR="00582B40" w:rsidRPr="00B40A77">
          <w:rPr>
            <w:rStyle w:val="Hyperlink"/>
            <w:color w:val="000000" w:themeColor="text1"/>
            <w:lang w:val="en-US"/>
          </w:rPr>
          <w:t> </w:t>
        </w:r>
        <w:r w:rsidR="00DB10C9" w:rsidRPr="00B40A77">
          <w:rPr>
            <w:rStyle w:val="Hyperlink"/>
            <w:color w:val="000000" w:themeColor="text1"/>
            <w:lang w:val="en-US"/>
          </w:rPr>
          <w:t>5</w:t>
        </w:r>
      </w:hyperlink>
      <w:r w:rsidR="00DB10C9" w:rsidRPr="00B40A77">
        <w:rPr>
          <w:color w:val="000000" w:themeColor="text1"/>
          <w:lang w:val="en-US"/>
        </w:rPr>
        <w:t xml:space="preserve"> </w:t>
      </w:r>
      <w:r w:rsidRPr="00B40A77">
        <w:rPr>
          <w:color w:val="000000" w:themeColor="text1"/>
          <w:lang w:val="en-US"/>
        </w:rPr>
        <w:t xml:space="preserve">of this Chapter </w:t>
      </w:r>
      <w:r w:rsidR="00DB10C9" w:rsidRPr="00B40A77">
        <w:rPr>
          <w:color w:val="000000" w:themeColor="text1"/>
          <w:lang w:val="en-US"/>
        </w:rPr>
        <w:t xml:space="preserve">do not apply to matters governed by </w:t>
      </w:r>
      <w:hyperlink w:anchor="_Chapter_4—Committal_proceedings" w:history="1">
        <w:r w:rsidR="00DB10C9" w:rsidRPr="00B40A77">
          <w:rPr>
            <w:rStyle w:val="Hyperlink"/>
            <w:color w:val="000000" w:themeColor="text1"/>
            <w:lang w:val="en-US"/>
          </w:rPr>
          <w:t>Chapter</w:t>
        </w:r>
        <w:r w:rsidR="00582B40" w:rsidRPr="00B40A77">
          <w:rPr>
            <w:rStyle w:val="Hyperlink"/>
            <w:color w:val="000000" w:themeColor="text1"/>
            <w:lang w:val="en-US"/>
          </w:rPr>
          <w:t> </w:t>
        </w:r>
        <w:r w:rsidR="00DB10C9" w:rsidRPr="00B40A77">
          <w:rPr>
            <w:rStyle w:val="Hyperlink"/>
            <w:color w:val="000000" w:themeColor="text1"/>
            <w:lang w:val="en-US"/>
          </w:rPr>
          <w:t>4</w:t>
        </w:r>
      </w:hyperlink>
      <w:r w:rsidRPr="00B40A77">
        <w:rPr>
          <w:color w:val="000000" w:themeColor="text1"/>
          <w:lang w:val="en-US"/>
        </w:rPr>
        <w:t>.</w:t>
      </w:r>
    </w:p>
    <w:p w14:paraId="2F799D13" w14:textId="76DE80EA" w:rsidR="00C07C0B" w:rsidRPr="00B40A77" w:rsidRDefault="00C07C0B" w:rsidP="00AA301B">
      <w:pPr>
        <w:pStyle w:val="Hangindent"/>
        <w:keepNext/>
        <w:rPr>
          <w:color w:val="000000" w:themeColor="text1"/>
          <w:lang w:val="en-US"/>
        </w:rPr>
      </w:pPr>
      <w:r w:rsidRPr="00B40A77">
        <w:rPr>
          <w:color w:val="000000" w:themeColor="text1"/>
          <w:lang w:val="en-US"/>
        </w:rPr>
        <w:t>(</w:t>
      </w:r>
      <w:r w:rsidR="00FA5DC3" w:rsidRPr="00B40A77">
        <w:rPr>
          <w:color w:val="000000" w:themeColor="text1"/>
          <w:lang w:val="en-US"/>
        </w:rPr>
        <w:t>3</w:t>
      </w:r>
      <w:r w:rsidRPr="00B40A77">
        <w:rPr>
          <w:color w:val="000000" w:themeColor="text1"/>
          <w:lang w:val="en-US"/>
        </w:rPr>
        <w:t>)</w:t>
      </w:r>
      <w:r w:rsidRPr="00B40A77">
        <w:rPr>
          <w:color w:val="000000" w:themeColor="text1"/>
          <w:lang w:val="en-US"/>
        </w:rPr>
        <w:tab/>
      </w:r>
      <w:hyperlink w:anchor="_Part_8—Pre-trial_disclosure" w:history="1">
        <w:r w:rsidR="00C0375F" w:rsidRPr="00B40A77">
          <w:rPr>
            <w:rStyle w:val="Hyperlink"/>
            <w:color w:val="000000" w:themeColor="text1"/>
            <w:lang w:val="en-US"/>
          </w:rPr>
          <w:t>Part 8</w:t>
        </w:r>
      </w:hyperlink>
      <w:r w:rsidR="00C0375F" w:rsidRPr="00B40A77">
        <w:rPr>
          <w:color w:val="000000" w:themeColor="text1"/>
          <w:lang w:val="en-US"/>
        </w:rPr>
        <w:t xml:space="preserve"> and </w:t>
      </w:r>
      <w:hyperlink w:anchor="_Part_9—Pre-trial_conferral" w:history="1">
        <w:r w:rsidR="003F3619" w:rsidRPr="00B40A77">
          <w:rPr>
            <w:rStyle w:val="Hyperlink"/>
            <w:color w:val="000000" w:themeColor="text1"/>
            <w:lang w:val="en-US"/>
          </w:rPr>
          <w:t xml:space="preserve">Part </w:t>
        </w:r>
        <w:r w:rsidR="00C0375F" w:rsidRPr="00B40A77">
          <w:rPr>
            <w:rStyle w:val="Hyperlink"/>
            <w:color w:val="000000" w:themeColor="text1"/>
            <w:lang w:val="en-US"/>
          </w:rPr>
          <w:t>9</w:t>
        </w:r>
      </w:hyperlink>
      <w:r w:rsidR="00C0375F" w:rsidRPr="00B40A77">
        <w:rPr>
          <w:color w:val="000000" w:themeColor="text1"/>
          <w:lang w:val="en-US"/>
        </w:rPr>
        <w:t xml:space="preserve"> </w:t>
      </w:r>
      <w:r w:rsidR="00FA5DC3" w:rsidRPr="00B40A77">
        <w:rPr>
          <w:color w:val="000000" w:themeColor="text1"/>
          <w:lang w:val="en-US"/>
        </w:rPr>
        <w:t xml:space="preserve">of this Chapter </w:t>
      </w:r>
      <w:r w:rsidR="00330C68" w:rsidRPr="00B40A77">
        <w:rPr>
          <w:color w:val="000000" w:themeColor="text1"/>
          <w:lang w:val="en-US"/>
        </w:rPr>
        <w:t>only</w:t>
      </w:r>
      <w:r w:rsidR="00784E9D" w:rsidRPr="00B40A77">
        <w:rPr>
          <w:color w:val="000000" w:themeColor="text1"/>
          <w:lang w:val="en-US"/>
        </w:rPr>
        <w:t xml:space="preserve"> apply to proceedings that are to proceed to </w:t>
      </w:r>
      <w:hyperlink w:anchor="_2.1—Definitions" w:history="1">
        <w:r w:rsidR="00E46B25" w:rsidRPr="00B40A77">
          <w:rPr>
            <w:rStyle w:val="Hyperlink"/>
            <w:color w:val="000000" w:themeColor="text1"/>
            <w:lang w:val="en-US"/>
          </w:rPr>
          <w:t>trial</w:t>
        </w:r>
      </w:hyperlink>
      <w:r w:rsidR="00784E9D" w:rsidRPr="00B40A77">
        <w:rPr>
          <w:color w:val="000000" w:themeColor="text1"/>
          <w:lang w:val="en-US"/>
        </w:rPr>
        <w:t xml:space="preserve"> in a </w:t>
      </w:r>
      <w:hyperlink w:anchor="_2.1—Definitions" w:history="1">
        <w:r w:rsidR="00981911" w:rsidRPr="00B40A77">
          <w:rPr>
            <w:rStyle w:val="Hyperlink"/>
            <w:color w:val="000000" w:themeColor="text1"/>
          </w:rPr>
          <w:t>Lower Court</w:t>
        </w:r>
      </w:hyperlink>
      <w:r w:rsidR="00784E9D" w:rsidRPr="00B40A77">
        <w:rPr>
          <w:color w:val="000000" w:themeColor="text1"/>
          <w:lang w:val="en-US"/>
        </w:rPr>
        <w:t>.</w:t>
      </w:r>
    </w:p>
    <w:p w14:paraId="4130551F" w14:textId="4EB0EE03" w:rsidR="00784E9D" w:rsidRPr="00B40A77" w:rsidRDefault="00784E9D" w:rsidP="00E13A93">
      <w:pPr>
        <w:pStyle w:val="NoteHeader"/>
        <w:keepNext/>
        <w:rPr>
          <w:color w:val="000000" w:themeColor="text1"/>
        </w:rPr>
      </w:pPr>
      <w:r w:rsidRPr="00B40A77">
        <w:rPr>
          <w:color w:val="000000" w:themeColor="text1"/>
        </w:rPr>
        <w:t>Notes—</w:t>
      </w:r>
    </w:p>
    <w:p w14:paraId="065694A0" w14:textId="510495EE" w:rsidR="00784E9D" w:rsidRPr="00B40A77" w:rsidRDefault="00784E9D" w:rsidP="00211EE4">
      <w:pPr>
        <w:pStyle w:val="NoteText"/>
        <w:keepNext/>
        <w:rPr>
          <w:color w:val="000000" w:themeColor="text1"/>
        </w:rPr>
      </w:pPr>
      <w:hyperlink w:anchor="_Chapter_4—Committal_proceedings" w:history="1">
        <w:r w:rsidRPr="00B40A77">
          <w:rPr>
            <w:rStyle w:val="Hyperlink"/>
            <w:color w:val="000000" w:themeColor="text1"/>
          </w:rPr>
          <w:t>Chapter 4</w:t>
        </w:r>
      </w:hyperlink>
      <w:r w:rsidRPr="00B40A77">
        <w:rPr>
          <w:color w:val="000000" w:themeColor="text1"/>
        </w:rPr>
        <w:t xml:space="preserve"> also governs committal proceedings.</w:t>
      </w:r>
    </w:p>
    <w:p w14:paraId="78EB5C5D" w14:textId="37F8AE4B" w:rsidR="00784E9D" w:rsidRPr="00B40A77" w:rsidRDefault="00784E9D" w:rsidP="00211EE4">
      <w:pPr>
        <w:pStyle w:val="NoteText"/>
        <w:keepNext/>
        <w:rPr>
          <w:color w:val="000000" w:themeColor="text1"/>
        </w:rPr>
      </w:pPr>
      <w:hyperlink w:anchor="_Chapter_6—Trial" w:history="1">
        <w:r w:rsidRPr="00B40A77">
          <w:rPr>
            <w:rStyle w:val="Hyperlink"/>
            <w:color w:val="000000" w:themeColor="text1"/>
          </w:rPr>
          <w:t>Chapter 6</w:t>
        </w:r>
      </w:hyperlink>
      <w:r w:rsidRPr="00B40A77">
        <w:rPr>
          <w:color w:val="000000" w:themeColor="text1"/>
        </w:rPr>
        <w:t xml:space="preserve"> governs trials.</w:t>
      </w:r>
    </w:p>
    <w:p w14:paraId="0D4F086B" w14:textId="5A433D20" w:rsidR="00784E9D" w:rsidRPr="00B40A77" w:rsidRDefault="00784E9D" w:rsidP="00D872F4">
      <w:pPr>
        <w:pStyle w:val="NoteText"/>
        <w:rPr>
          <w:color w:val="000000" w:themeColor="text1"/>
          <w:lang w:val="en-US"/>
        </w:rPr>
      </w:pPr>
      <w:hyperlink w:anchor="_Chapter_7—Sentencing_and" w:history="1">
        <w:r w:rsidRPr="00B40A77">
          <w:rPr>
            <w:rStyle w:val="Hyperlink"/>
            <w:color w:val="000000" w:themeColor="text1"/>
          </w:rPr>
          <w:t>Chapter 7</w:t>
        </w:r>
      </w:hyperlink>
      <w:r w:rsidRPr="00B40A77">
        <w:rPr>
          <w:color w:val="000000" w:themeColor="text1"/>
        </w:rPr>
        <w:t xml:space="preserve"> governs sentencing and costs.</w:t>
      </w:r>
    </w:p>
    <w:p w14:paraId="2F102437" w14:textId="518F656D" w:rsidR="00990FD4" w:rsidRPr="00B40A77" w:rsidRDefault="00600147" w:rsidP="00BE23A0">
      <w:pPr>
        <w:pStyle w:val="Heading2"/>
        <w:keepNext/>
        <w:rPr>
          <w:color w:val="000000" w:themeColor="text1"/>
        </w:rPr>
      </w:pPr>
      <w:bookmarkStart w:id="444" w:name="_63.1—Claim_and_statement"/>
      <w:bookmarkStart w:id="445" w:name="_Toc175238958"/>
      <w:bookmarkStart w:id="446" w:name="_Hlk30426220"/>
      <w:bookmarkStart w:id="447" w:name="_Hlk31704222"/>
      <w:bookmarkEnd w:id="444"/>
      <w:r w:rsidRPr="00B40A77">
        <w:rPr>
          <w:color w:val="000000" w:themeColor="text1"/>
        </w:rPr>
        <w:t>P</w:t>
      </w:r>
      <w:r w:rsidR="00C07C0B" w:rsidRPr="00B40A77">
        <w:rPr>
          <w:color w:val="000000" w:themeColor="text1"/>
        </w:rPr>
        <w:t>art 2</w:t>
      </w:r>
      <w:r w:rsidR="00990FD4" w:rsidRPr="00B40A77">
        <w:rPr>
          <w:color w:val="000000" w:themeColor="text1"/>
        </w:rPr>
        <w:t>—Commencement and service of proceeding</w:t>
      </w:r>
      <w:bookmarkEnd w:id="445"/>
    </w:p>
    <w:p w14:paraId="7F223D38" w14:textId="698A1C72" w:rsidR="00DC1465" w:rsidRPr="00B40A77" w:rsidRDefault="00B870F1" w:rsidP="004057D2">
      <w:pPr>
        <w:pStyle w:val="Heading4"/>
        <w:rPr>
          <w:color w:val="000000" w:themeColor="text1"/>
        </w:rPr>
      </w:pPr>
      <w:bookmarkStart w:id="448" w:name="_62.1—Information"/>
      <w:bookmarkStart w:id="449" w:name="_Toc175238959"/>
      <w:bookmarkEnd w:id="448"/>
      <w:r w:rsidRPr="00B40A77">
        <w:rPr>
          <w:color w:val="000000" w:themeColor="text1"/>
        </w:rPr>
        <w:t>6</w:t>
      </w:r>
      <w:r w:rsidR="00BC5DE3" w:rsidRPr="00B40A77">
        <w:rPr>
          <w:color w:val="000000" w:themeColor="text1"/>
        </w:rPr>
        <w:t>2.1</w:t>
      </w:r>
      <w:r w:rsidR="005A423A" w:rsidRPr="00B40A77">
        <w:rPr>
          <w:color w:val="000000" w:themeColor="text1"/>
        </w:rPr>
        <w:t>—</w:t>
      </w:r>
      <w:r w:rsidR="000A1DCB" w:rsidRPr="00B40A77">
        <w:rPr>
          <w:color w:val="000000" w:themeColor="text1"/>
        </w:rPr>
        <w:t>Information</w:t>
      </w:r>
      <w:bookmarkEnd w:id="449"/>
    </w:p>
    <w:p w14:paraId="5F937D49" w14:textId="3DD77917" w:rsidR="00DC1465" w:rsidRPr="00B40A77" w:rsidRDefault="00DC1465" w:rsidP="005A423A">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FD37BD" w:rsidRPr="00B40A77">
        <w:rPr>
          <w:color w:val="000000" w:themeColor="text1"/>
          <w:lang w:val="en-US"/>
        </w:rPr>
        <w:t>A</w:t>
      </w:r>
      <w:r w:rsidR="000A1DCB" w:rsidRPr="00B40A77">
        <w:rPr>
          <w:color w:val="000000" w:themeColor="text1"/>
          <w:lang w:val="en-US"/>
        </w:rPr>
        <w:t xml:space="preserve"> proceeding</w:t>
      </w:r>
      <w:r w:rsidRPr="00B40A77">
        <w:rPr>
          <w:color w:val="000000" w:themeColor="text1"/>
          <w:lang w:val="en-US"/>
        </w:rPr>
        <w:t xml:space="preserve"> </w:t>
      </w:r>
      <w:r w:rsidR="002F0F88" w:rsidRPr="00B40A77">
        <w:rPr>
          <w:color w:val="000000" w:themeColor="text1"/>
          <w:lang w:val="en-US"/>
        </w:rPr>
        <w:t>must</w:t>
      </w:r>
      <w:r w:rsidRPr="00B40A77">
        <w:rPr>
          <w:color w:val="000000" w:themeColor="text1"/>
          <w:lang w:val="en-US"/>
        </w:rPr>
        <w:t xml:space="preserve"> be instituted by filing a</w:t>
      </w:r>
      <w:r w:rsidR="000A1DCB" w:rsidRPr="00B40A77">
        <w:rPr>
          <w:color w:val="000000" w:themeColor="text1"/>
          <w:lang w:val="en-US"/>
        </w:rPr>
        <w:t>n</w:t>
      </w:r>
      <w:r w:rsidRPr="00B40A77">
        <w:rPr>
          <w:color w:val="000000" w:themeColor="text1"/>
          <w:lang w:val="en-US"/>
        </w:rPr>
        <w:t xml:space="preserve"> </w:t>
      </w:r>
      <w:r w:rsidR="000A1DCB" w:rsidRPr="00B40A77">
        <w:rPr>
          <w:color w:val="000000" w:themeColor="text1"/>
          <w:lang w:val="en-US"/>
        </w:rPr>
        <w:t>Information</w:t>
      </w:r>
      <w:r w:rsidRPr="00B40A77">
        <w:rPr>
          <w:color w:val="000000" w:themeColor="text1"/>
          <w:lang w:val="en-US"/>
        </w:rPr>
        <w:t xml:space="preserve"> in the prescribed form.</w:t>
      </w:r>
    </w:p>
    <w:bookmarkEnd w:id="446"/>
    <w:p w14:paraId="1C8CDEF8" w14:textId="2B83784A" w:rsidR="00235E33" w:rsidRPr="00B40A77" w:rsidRDefault="00DB599F" w:rsidP="0033795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If the defendant or youth has been arrested</w:t>
      </w:r>
      <w:r w:rsidR="00235E33" w:rsidRPr="00B40A77">
        <w:rPr>
          <w:color w:val="000000" w:themeColor="text1"/>
          <w:lang w:val="en-US"/>
        </w:rPr>
        <w:t xml:space="preserve"> in respect of a charge contained in</w:t>
      </w:r>
      <w:r w:rsidR="00411E80" w:rsidRPr="00B40A77">
        <w:rPr>
          <w:color w:val="000000" w:themeColor="text1"/>
          <w:lang w:val="en-US"/>
        </w:rPr>
        <w:t xml:space="preserve"> the Information, the I</w:t>
      </w:r>
      <w:r w:rsidR="00235E33" w:rsidRPr="00B40A77">
        <w:rPr>
          <w:color w:val="000000" w:themeColor="text1"/>
          <w:lang w:val="en-US"/>
        </w:rPr>
        <w:t>nformation must be in the prescribed form.</w:t>
      </w:r>
    </w:p>
    <w:p w14:paraId="33538D80" w14:textId="77777777" w:rsidR="00235E33" w:rsidRPr="00B40A77" w:rsidRDefault="00235E33" w:rsidP="0033795E">
      <w:pPr>
        <w:pStyle w:val="NoteHeader"/>
        <w:keepNext/>
        <w:rPr>
          <w:color w:val="000000" w:themeColor="text1"/>
        </w:rPr>
      </w:pPr>
      <w:r w:rsidRPr="00B40A77">
        <w:rPr>
          <w:color w:val="000000" w:themeColor="text1"/>
        </w:rPr>
        <w:t>Prescribed form—</w:t>
      </w:r>
    </w:p>
    <w:p w14:paraId="27683893" w14:textId="35E0F882" w:rsidR="00235E33" w:rsidRPr="00B40A77" w:rsidRDefault="00235E33" w:rsidP="00235E33">
      <w:pPr>
        <w:pStyle w:val="NoteText"/>
        <w:rPr>
          <w:color w:val="000000" w:themeColor="text1"/>
          <w:u w:val="single"/>
        </w:rPr>
      </w:pPr>
      <w:r w:rsidRPr="00B40A77">
        <w:rPr>
          <w:color w:val="000000" w:themeColor="text1"/>
        </w:rPr>
        <w:t xml:space="preserve">Form 1 </w:t>
      </w:r>
      <w:r w:rsidRPr="00B40A77">
        <w:rPr>
          <w:color w:val="000000" w:themeColor="text1"/>
          <w:u w:val="single"/>
        </w:rPr>
        <w:t>Information</w:t>
      </w:r>
      <w:r w:rsidR="00204D74" w:rsidRPr="00B40A77">
        <w:rPr>
          <w:color w:val="000000" w:themeColor="text1"/>
          <w:u w:val="single"/>
        </w:rPr>
        <w:t xml:space="preserve"> </w:t>
      </w:r>
      <w:r w:rsidR="00E3274D" w:rsidRPr="00B40A77">
        <w:rPr>
          <w:color w:val="000000" w:themeColor="text1"/>
          <w:u w:val="single"/>
        </w:rPr>
        <w:t>L</w:t>
      </w:r>
      <w:r w:rsidR="00204D74" w:rsidRPr="00B40A77">
        <w:rPr>
          <w:color w:val="000000" w:themeColor="text1"/>
          <w:u w:val="single"/>
        </w:rPr>
        <w:t xml:space="preserve">ower </w:t>
      </w:r>
      <w:r w:rsidR="00E3274D" w:rsidRPr="00B40A77">
        <w:rPr>
          <w:color w:val="000000" w:themeColor="text1"/>
          <w:u w:val="single"/>
        </w:rPr>
        <w:t>C</w:t>
      </w:r>
      <w:r w:rsidR="00204D74" w:rsidRPr="00B40A77">
        <w:rPr>
          <w:color w:val="000000" w:themeColor="text1"/>
          <w:u w:val="single"/>
        </w:rPr>
        <w:t>ourts</w:t>
      </w:r>
    </w:p>
    <w:p w14:paraId="3A2F3F37" w14:textId="47ADED3C" w:rsidR="00EE0013" w:rsidRPr="00B40A77" w:rsidRDefault="00EE0013" w:rsidP="0033795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If </w:t>
      </w:r>
      <w:r w:rsidR="00024FA6" w:rsidRPr="00B40A77">
        <w:rPr>
          <w:color w:val="000000" w:themeColor="text1"/>
          <w:lang w:val="en-US"/>
        </w:rPr>
        <w:t>the</w:t>
      </w:r>
      <w:r w:rsidR="00235E33" w:rsidRPr="00B40A77">
        <w:rPr>
          <w:color w:val="000000" w:themeColor="text1"/>
          <w:lang w:val="en-US"/>
        </w:rPr>
        <w:t xml:space="preserve"> defendant or youth has </w:t>
      </w:r>
      <w:r w:rsidR="00204D74" w:rsidRPr="00B40A77">
        <w:rPr>
          <w:color w:val="000000" w:themeColor="text1"/>
          <w:lang w:val="en-US"/>
        </w:rPr>
        <w:t xml:space="preserve">not </w:t>
      </w:r>
      <w:r w:rsidR="00235E33" w:rsidRPr="00B40A77">
        <w:rPr>
          <w:color w:val="000000" w:themeColor="text1"/>
          <w:lang w:val="en-US"/>
        </w:rPr>
        <w:t>been arrested in respect of a charge contained in the Information, the Information must be in the prescribed form</w:t>
      </w:r>
      <w:r w:rsidRPr="00B40A77">
        <w:rPr>
          <w:color w:val="000000" w:themeColor="text1"/>
          <w:lang w:val="en-US"/>
        </w:rPr>
        <w:t>.</w:t>
      </w:r>
    </w:p>
    <w:p w14:paraId="3F9A8070" w14:textId="77777777" w:rsidR="00235E33" w:rsidRPr="00B40A77" w:rsidRDefault="00235E33" w:rsidP="0033795E">
      <w:pPr>
        <w:pStyle w:val="NoteHeader"/>
        <w:keepNext/>
        <w:rPr>
          <w:color w:val="000000" w:themeColor="text1"/>
        </w:rPr>
      </w:pPr>
      <w:r w:rsidRPr="00B40A77">
        <w:rPr>
          <w:color w:val="000000" w:themeColor="text1"/>
        </w:rPr>
        <w:t>Prescribed form—</w:t>
      </w:r>
    </w:p>
    <w:p w14:paraId="21A51DB1" w14:textId="608CD235" w:rsidR="004F433E" w:rsidRPr="00B40A77" w:rsidRDefault="00235E33" w:rsidP="00235E33">
      <w:pPr>
        <w:pStyle w:val="NoteText"/>
        <w:rPr>
          <w:color w:val="000000" w:themeColor="text1"/>
        </w:rPr>
      </w:pPr>
      <w:r w:rsidRPr="00B40A77">
        <w:rPr>
          <w:color w:val="000000" w:themeColor="text1"/>
        </w:rPr>
        <w:t xml:space="preserve">Form 2 </w:t>
      </w:r>
      <w:hyperlink r:id="rId129" w:history="1">
        <w:r w:rsidRPr="00B40A77">
          <w:rPr>
            <w:rStyle w:val="Hyperlink"/>
            <w:color w:val="000000" w:themeColor="text1"/>
          </w:rPr>
          <w:t>Information</w:t>
        </w:r>
        <w:r w:rsidR="00204D74" w:rsidRPr="00B40A77">
          <w:rPr>
            <w:rStyle w:val="Hyperlink"/>
            <w:color w:val="000000" w:themeColor="text1"/>
          </w:rPr>
          <w:t xml:space="preserve"> and </w:t>
        </w:r>
        <w:r w:rsidR="00856BE0" w:rsidRPr="00B40A77">
          <w:rPr>
            <w:rStyle w:val="Hyperlink"/>
            <w:color w:val="000000" w:themeColor="text1"/>
          </w:rPr>
          <w:t>S</w:t>
        </w:r>
        <w:r w:rsidR="00204D74" w:rsidRPr="00B40A77">
          <w:rPr>
            <w:rStyle w:val="Hyperlink"/>
            <w:color w:val="000000" w:themeColor="text1"/>
          </w:rPr>
          <w:t xml:space="preserve">ummons </w:t>
        </w:r>
        <w:r w:rsidR="00E3274D" w:rsidRPr="00B40A77">
          <w:rPr>
            <w:rStyle w:val="Hyperlink"/>
            <w:color w:val="000000" w:themeColor="text1"/>
          </w:rPr>
          <w:t>L</w:t>
        </w:r>
        <w:r w:rsidR="00204D74" w:rsidRPr="00B40A77">
          <w:rPr>
            <w:rStyle w:val="Hyperlink"/>
            <w:color w:val="000000" w:themeColor="text1"/>
          </w:rPr>
          <w:t xml:space="preserve">ower </w:t>
        </w:r>
        <w:r w:rsidR="00E3274D" w:rsidRPr="00B40A77">
          <w:rPr>
            <w:rStyle w:val="Hyperlink"/>
            <w:color w:val="000000" w:themeColor="text1"/>
          </w:rPr>
          <w:t>C</w:t>
        </w:r>
        <w:r w:rsidR="00204D74" w:rsidRPr="00B40A77">
          <w:rPr>
            <w:rStyle w:val="Hyperlink"/>
            <w:color w:val="000000" w:themeColor="text1"/>
          </w:rPr>
          <w:t>ourts</w:t>
        </w:r>
      </w:hyperlink>
    </w:p>
    <w:p w14:paraId="5FC0A296" w14:textId="1076B9CF" w:rsidR="00862CF7" w:rsidRPr="00B40A77" w:rsidRDefault="00204D74" w:rsidP="00862CF7">
      <w:pPr>
        <w:pStyle w:val="Hangindent"/>
        <w:rPr>
          <w:color w:val="000000" w:themeColor="text1"/>
          <w:szCs w:val="24"/>
          <w:lang w:val="en-US"/>
        </w:rPr>
      </w:pPr>
      <w:r w:rsidRPr="00B40A77">
        <w:rPr>
          <w:color w:val="000000" w:themeColor="text1"/>
          <w:lang w:val="en-US"/>
        </w:rPr>
        <w:t>(</w:t>
      </w:r>
      <w:r w:rsidR="00573DBE" w:rsidRPr="00B40A77">
        <w:rPr>
          <w:color w:val="000000" w:themeColor="text1"/>
          <w:szCs w:val="24"/>
          <w:lang w:val="en-US"/>
        </w:rPr>
        <w:t>4</w:t>
      </w:r>
      <w:r w:rsidR="00862CF7" w:rsidRPr="00B40A77">
        <w:rPr>
          <w:color w:val="000000" w:themeColor="text1"/>
          <w:szCs w:val="24"/>
          <w:lang w:val="en-US"/>
        </w:rPr>
        <w:t>)</w:t>
      </w:r>
      <w:r w:rsidR="00862CF7" w:rsidRPr="00B40A77">
        <w:rPr>
          <w:color w:val="000000" w:themeColor="text1"/>
          <w:szCs w:val="24"/>
          <w:lang w:val="en-US"/>
        </w:rPr>
        <w:tab/>
        <w:t>Each defendant</w:t>
      </w:r>
      <w:r w:rsidR="008E248F" w:rsidRPr="00B40A77">
        <w:rPr>
          <w:color w:val="000000" w:themeColor="text1"/>
          <w:szCs w:val="24"/>
          <w:lang w:val="en-US"/>
        </w:rPr>
        <w:t xml:space="preserve"> or youth</w:t>
      </w:r>
      <w:r w:rsidR="00862CF7" w:rsidRPr="00B40A77">
        <w:rPr>
          <w:color w:val="000000" w:themeColor="text1"/>
          <w:szCs w:val="24"/>
          <w:lang w:val="en-US"/>
        </w:rPr>
        <w:t xml:space="preserve"> must be identified in the </w:t>
      </w:r>
      <w:r w:rsidR="00C34B73" w:rsidRPr="00B40A77">
        <w:rPr>
          <w:color w:val="000000" w:themeColor="text1"/>
          <w:szCs w:val="24"/>
          <w:lang w:val="en-US"/>
        </w:rPr>
        <w:t>I</w:t>
      </w:r>
      <w:r w:rsidR="00862CF7" w:rsidRPr="00B40A77">
        <w:rPr>
          <w:color w:val="000000" w:themeColor="text1"/>
          <w:szCs w:val="24"/>
          <w:lang w:val="en-US"/>
        </w:rPr>
        <w:t xml:space="preserve">nformation </w:t>
      </w:r>
      <w:r w:rsidR="00573DBE" w:rsidRPr="00B40A77">
        <w:rPr>
          <w:color w:val="000000" w:themeColor="text1"/>
          <w:szCs w:val="24"/>
          <w:lang w:val="en-US"/>
        </w:rPr>
        <w:t>by name</w:t>
      </w:r>
      <w:r w:rsidR="00736D02" w:rsidRPr="00B40A77">
        <w:rPr>
          <w:color w:val="000000" w:themeColor="text1"/>
          <w:szCs w:val="24"/>
          <w:lang w:val="en-US"/>
        </w:rPr>
        <w:t xml:space="preserve">, </w:t>
      </w:r>
      <w:r w:rsidR="00573DBE" w:rsidRPr="00B40A77">
        <w:rPr>
          <w:color w:val="000000" w:themeColor="text1"/>
          <w:szCs w:val="24"/>
          <w:lang w:val="en-US"/>
        </w:rPr>
        <w:t xml:space="preserve">date of birth </w:t>
      </w:r>
      <w:r w:rsidR="00736D02" w:rsidRPr="00B40A77">
        <w:rPr>
          <w:color w:val="000000" w:themeColor="text1"/>
          <w:szCs w:val="24"/>
          <w:lang w:val="en-US"/>
        </w:rPr>
        <w:t xml:space="preserve">and drivers licence number </w:t>
      </w:r>
      <w:r w:rsidR="00573DBE" w:rsidRPr="00B40A77">
        <w:rPr>
          <w:color w:val="000000" w:themeColor="text1"/>
          <w:szCs w:val="24"/>
          <w:lang w:val="en-US"/>
        </w:rPr>
        <w:t>(to the extent known)</w:t>
      </w:r>
      <w:r w:rsidR="00862CF7" w:rsidRPr="00B40A77">
        <w:rPr>
          <w:color w:val="000000" w:themeColor="text1"/>
          <w:szCs w:val="24"/>
          <w:lang w:val="en-US"/>
        </w:rPr>
        <w:t>.</w:t>
      </w:r>
    </w:p>
    <w:p w14:paraId="4198E9E3" w14:textId="15693670" w:rsidR="00DC1465" w:rsidRPr="00B40A77" w:rsidRDefault="003439EB" w:rsidP="00862CF7">
      <w:pPr>
        <w:pStyle w:val="Hangindent"/>
        <w:rPr>
          <w:color w:val="000000" w:themeColor="text1"/>
          <w:lang w:val="en-US"/>
        </w:rPr>
      </w:pPr>
      <w:r w:rsidRPr="00B40A77">
        <w:rPr>
          <w:color w:val="000000" w:themeColor="text1"/>
          <w:lang w:val="en-US"/>
        </w:rPr>
        <w:t>(5</w:t>
      </w:r>
      <w:r w:rsidR="00862CF7" w:rsidRPr="00B40A77">
        <w:rPr>
          <w:color w:val="000000" w:themeColor="text1"/>
          <w:lang w:val="en-US"/>
        </w:rPr>
        <w:t>)</w:t>
      </w:r>
      <w:r w:rsidR="00862CF7" w:rsidRPr="00B40A77">
        <w:rPr>
          <w:color w:val="000000" w:themeColor="text1"/>
          <w:lang w:val="en-US"/>
        </w:rPr>
        <w:tab/>
        <w:t>T</w:t>
      </w:r>
      <w:r w:rsidR="005208FD" w:rsidRPr="00B40A77">
        <w:rPr>
          <w:color w:val="000000" w:themeColor="text1"/>
          <w:lang w:val="en-US"/>
        </w:rPr>
        <w:t xml:space="preserve">he Information </w:t>
      </w:r>
      <w:r w:rsidR="00862CF7" w:rsidRPr="00B40A77">
        <w:rPr>
          <w:color w:val="000000" w:themeColor="text1"/>
          <w:lang w:val="en-US"/>
        </w:rPr>
        <w:t xml:space="preserve">must identify </w:t>
      </w:r>
      <w:r w:rsidR="005208FD" w:rsidRPr="00B40A77">
        <w:rPr>
          <w:color w:val="000000" w:themeColor="text1"/>
          <w:lang w:val="en-US"/>
        </w:rPr>
        <w:t>t</w:t>
      </w:r>
      <w:r w:rsidR="00214A5A" w:rsidRPr="00B40A77">
        <w:rPr>
          <w:color w:val="000000" w:themeColor="text1"/>
          <w:lang w:val="en-US"/>
        </w:rPr>
        <w:t>he</w:t>
      </w:r>
      <w:r w:rsidR="00C34B73" w:rsidRPr="00B40A77">
        <w:rPr>
          <w:color w:val="000000" w:themeColor="text1"/>
          <w:lang w:val="en-US"/>
        </w:rPr>
        <w:t xml:space="preserve"> highest</w:t>
      </w:r>
      <w:r w:rsidR="00214A5A" w:rsidRPr="00B40A77">
        <w:rPr>
          <w:color w:val="000000" w:themeColor="text1"/>
          <w:lang w:val="en-US"/>
        </w:rPr>
        <w:t xml:space="preserve"> </w:t>
      </w:r>
      <w:hyperlink w:anchor="_2.1—Definitions" w:history="1">
        <w:r w:rsidR="00214A5A" w:rsidRPr="00B40A77">
          <w:rPr>
            <w:rStyle w:val="Hyperlink"/>
            <w:color w:val="000000" w:themeColor="text1"/>
            <w:lang w:val="en-US"/>
          </w:rPr>
          <w:t>charge category</w:t>
        </w:r>
      </w:hyperlink>
      <w:r w:rsidR="00214A5A" w:rsidRPr="00B40A77">
        <w:rPr>
          <w:color w:val="000000" w:themeColor="text1"/>
          <w:lang w:val="en-US"/>
        </w:rPr>
        <w:t xml:space="preserve"> in respect of the offences charged</w:t>
      </w:r>
      <w:r w:rsidR="00C34B73" w:rsidRPr="00B40A77">
        <w:rPr>
          <w:color w:val="000000" w:themeColor="text1"/>
          <w:lang w:val="en-US"/>
        </w:rPr>
        <w:t>,</w:t>
      </w:r>
      <w:r w:rsidR="00214A5A" w:rsidRPr="00B40A77">
        <w:rPr>
          <w:color w:val="000000" w:themeColor="text1"/>
          <w:lang w:val="en-US"/>
        </w:rPr>
        <w:t xml:space="preserve"> on the basis that the charge categories in descending order are</w:t>
      </w:r>
      <w:r w:rsidR="00761305" w:rsidRPr="00B40A77">
        <w:rPr>
          <w:rFonts w:cs="Times New Roman"/>
          <w:color w:val="000000" w:themeColor="text1"/>
        </w:rPr>
        <w:t>—</w:t>
      </w:r>
    </w:p>
    <w:p w14:paraId="22517931" w14:textId="14F50981" w:rsidR="00DC1465" w:rsidRPr="00B40A77" w:rsidRDefault="00214A5A" w:rsidP="005A423A">
      <w:pPr>
        <w:pStyle w:val="Doublehangindent"/>
        <w:rPr>
          <w:color w:val="000000" w:themeColor="text1"/>
        </w:rPr>
      </w:pPr>
      <w:r w:rsidRPr="00B40A77">
        <w:rPr>
          <w:color w:val="000000" w:themeColor="text1"/>
        </w:rPr>
        <w:t>(a)</w:t>
      </w:r>
      <w:r w:rsidRPr="00B40A77">
        <w:rPr>
          <w:color w:val="000000" w:themeColor="text1"/>
        </w:rPr>
        <w:tab/>
        <w:t>major indictable</w:t>
      </w:r>
      <w:r w:rsidR="00DC1465" w:rsidRPr="00B40A77">
        <w:rPr>
          <w:color w:val="000000" w:themeColor="text1"/>
        </w:rPr>
        <w:t>;</w:t>
      </w:r>
    </w:p>
    <w:p w14:paraId="2AA30A78" w14:textId="2BAFCC18" w:rsidR="00DC1465" w:rsidRPr="00B40A77" w:rsidRDefault="00DC1465" w:rsidP="005A423A">
      <w:pPr>
        <w:pStyle w:val="Doublehangindent"/>
        <w:rPr>
          <w:color w:val="000000" w:themeColor="text1"/>
        </w:rPr>
      </w:pPr>
      <w:r w:rsidRPr="00B40A77">
        <w:rPr>
          <w:color w:val="000000" w:themeColor="text1"/>
        </w:rPr>
        <w:t>(</w:t>
      </w:r>
      <w:r w:rsidR="00FB2ACD" w:rsidRPr="00B40A77">
        <w:rPr>
          <w:color w:val="000000" w:themeColor="text1"/>
        </w:rPr>
        <w:t>b</w:t>
      </w:r>
      <w:r w:rsidR="00214A5A" w:rsidRPr="00B40A77">
        <w:rPr>
          <w:color w:val="000000" w:themeColor="text1"/>
        </w:rPr>
        <w:t>)</w:t>
      </w:r>
      <w:r w:rsidR="00214A5A" w:rsidRPr="00B40A77">
        <w:rPr>
          <w:color w:val="000000" w:themeColor="text1"/>
        </w:rPr>
        <w:tab/>
        <w:t>Commonwealth indictable;</w:t>
      </w:r>
    </w:p>
    <w:p w14:paraId="4BD563E0" w14:textId="516FF847" w:rsidR="00DC1465" w:rsidRPr="00B40A77" w:rsidRDefault="00FB2ACD" w:rsidP="005A423A">
      <w:pPr>
        <w:pStyle w:val="Doublehangindent"/>
        <w:rPr>
          <w:color w:val="000000" w:themeColor="text1"/>
        </w:rPr>
      </w:pPr>
      <w:r w:rsidRPr="00B40A77">
        <w:rPr>
          <w:color w:val="000000" w:themeColor="text1"/>
        </w:rPr>
        <w:t>(c</w:t>
      </w:r>
      <w:r w:rsidR="00214A5A" w:rsidRPr="00B40A77">
        <w:rPr>
          <w:color w:val="000000" w:themeColor="text1"/>
        </w:rPr>
        <w:t>)</w:t>
      </w:r>
      <w:r w:rsidR="00214A5A" w:rsidRPr="00B40A77">
        <w:rPr>
          <w:color w:val="000000" w:themeColor="text1"/>
        </w:rPr>
        <w:tab/>
        <w:t>minor indictable;</w:t>
      </w:r>
    </w:p>
    <w:p w14:paraId="4F949076" w14:textId="6A0CCE08" w:rsidR="00214A5A" w:rsidRPr="00B40A77" w:rsidRDefault="00214A5A" w:rsidP="005A423A">
      <w:pPr>
        <w:pStyle w:val="Doublehangindent"/>
        <w:rPr>
          <w:color w:val="000000" w:themeColor="text1"/>
        </w:rPr>
      </w:pPr>
      <w:r w:rsidRPr="00B40A77">
        <w:rPr>
          <w:color w:val="000000" w:themeColor="text1"/>
        </w:rPr>
        <w:t>(d)</w:t>
      </w:r>
      <w:r w:rsidRPr="00B40A77">
        <w:rPr>
          <w:color w:val="000000" w:themeColor="text1"/>
        </w:rPr>
        <w:tab/>
        <w:t>summary; and</w:t>
      </w:r>
    </w:p>
    <w:p w14:paraId="16382E1F" w14:textId="005A31D8" w:rsidR="00214A5A" w:rsidRPr="00B40A77" w:rsidRDefault="00214A5A" w:rsidP="005A423A">
      <w:pPr>
        <w:pStyle w:val="Doublehangindent"/>
        <w:rPr>
          <w:color w:val="000000" w:themeColor="text1"/>
        </w:rPr>
      </w:pPr>
      <w:r w:rsidRPr="00B40A77">
        <w:rPr>
          <w:color w:val="000000" w:themeColor="text1"/>
        </w:rPr>
        <w:t>(e)</w:t>
      </w:r>
      <w:r w:rsidRPr="00B40A77">
        <w:rPr>
          <w:color w:val="000000" w:themeColor="text1"/>
        </w:rPr>
        <w:tab/>
      </w:r>
      <w:hyperlink w:anchor="_2.1—Definitions" w:history="1">
        <w:r w:rsidRPr="00B40A77">
          <w:rPr>
            <w:rStyle w:val="Hyperlink"/>
            <w:color w:val="000000" w:themeColor="text1"/>
          </w:rPr>
          <w:t xml:space="preserve">summary </w:t>
        </w:r>
        <w:r w:rsidR="00C34B73" w:rsidRPr="00B40A77">
          <w:rPr>
            <w:rStyle w:val="Hyperlink"/>
            <w:color w:val="000000" w:themeColor="text1"/>
          </w:rPr>
          <w:t>offence</w:t>
        </w:r>
      </w:hyperlink>
      <w:r w:rsidR="00C34B73" w:rsidRPr="00B40A77">
        <w:rPr>
          <w:color w:val="000000" w:themeColor="text1"/>
        </w:rPr>
        <w:t xml:space="preserve"> </w:t>
      </w:r>
      <w:r w:rsidRPr="00B40A77">
        <w:rPr>
          <w:color w:val="000000" w:themeColor="text1"/>
        </w:rPr>
        <w:t xml:space="preserve">not punishable by </w:t>
      </w:r>
      <w:r w:rsidRPr="00B40A77">
        <w:rPr>
          <w:color w:val="000000" w:themeColor="text1"/>
          <w:lang w:val="en-US"/>
        </w:rPr>
        <w:t>imprisonment or detention.</w:t>
      </w:r>
    </w:p>
    <w:p w14:paraId="29C6750F" w14:textId="47DF4978" w:rsidR="003C380E" w:rsidRPr="00B40A77" w:rsidRDefault="003439EB" w:rsidP="003C380E">
      <w:pPr>
        <w:pStyle w:val="Hangindent"/>
        <w:rPr>
          <w:color w:val="000000" w:themeColor="text1"/>
          <w:lang w:val="en-US"/>
        </w:rPr>
      </w:pPr>
      <w:bookmarkStart w:id="450" w:name="_Hlk30426249"/>
      <w:r w:rsidRPr="00B40A77">
        <w:rPr>
          <w:color w:val="000000" w:themeColor="text1"/>
          <w:lang w:val="en-US"/>
        </w:rPr>
        <w:t>(6</w:t>
      </w:r>
      <w:r w:rsidR="003C380E" w:rsidRPr="00B40A77">
        <w:rPr>
          <w:color w:val="000000" w:themeColor="text1"/>
          <w:lang w:val="en-US"/>
        </w:rPr>
        <w:t>)</w:t>
      </w:r>
      <w:r w:rsidR="003C380E" w:rsidRPr="00B40A77">
        <w:rPr>
          <w:color w:val="000000" w:themeColor="text1"/>
          <w:lang w:val="en-US"/>
        </w:rPr>
        <w:tab/>
        <w:t>The Information must show each offence charge</w:t>
      </w:r>
      <w:r w:rsidR="00862CF7" w:rsidRPr="00B40A77">
        <w:rPr>
          <w:color w:val="000000" w:themeColor="text1"/>
          <w:lang w:val="en-US"/>
        </w:rPr>
        <w:t>d</w:t>
      </w:r>
      <w:r w:rsidR="003C380E" w:rsidRPr="00B40A77">
        <w:rPr>
          <w:color w:val="000000" w:themeColor="text1"/>
          <w:lang w:val="en-US"/>
        </w:rPr>
        <w:t xml:space="preserve"> in a separate </w:t>
      </w:r>
      <w:r w:rsidR="00862CF7" w:rsidRPr="00B40A77">
        <w:rPr>
          <w:color w:val="000000" w:themeColor="text1"/>
          <w:lang w:val="en-US"/>
        </w:rPr>
        <w:t xml:space="preserve">numbered </w:t>
      </w:r>
      <w:r w:rsidR="003C380E" w:rsidRPr="00B40A77">
        <w:rPr>
          <w:color w:val="000000" w:themeColor="text1"/>
          <w:lang w:val="en-US"/>
        </w:rPr>
        <w:t>count.</w:t>
      </w:r>
    </w:p>
    <w:p w14:paraId="380CE603" w14:textId="304BE380" w:rsidR="0045119C" w:rsidRPr="00B40A77" w:rsidRDefault="00343DFA" w:rsidP="003C380E">
      <w:pPr>
        <w:pStyle w:val="Hangindent"/>
        <w:rPr>
          <w:rFonts w:cs="Times New Roman"/>
          <w:color w:val="000000" w:themeColor="text1"/>
        </w:rPr>
      </w:pPr>
      <w:r w:rsidRPr="00B40A77">
        <w:rPr>
          <w:color w:val="000000" w:themeColor="text1"/>
          <w:lang w:val="en-US"/>
        </w:rPr>
        <w:t>(</w:t>
      </w:r>
      <w:r w:rsidR="003439EB" w:rsidRPr="00B40A77">
        <w:rPr>
          <w:color w:val="000000" w:themeColor="text1"/>
          <w:lang w:val="en-US"/>
        </w:rPr>
        <w:t>7</w:t>
      </w:r>
      <w:r w:rsidR="0082081E" w:rsidRPr="00B40A77">
        <w:rPr>
          <w:color w:val="000000" w:themeColor="text1"/>
          <w:lang w:val="en-US"/>
        </w:rPr>
        <w:t>)</w:t>
      </w:r>
      <w:r w:rsidR="0082081E" w:rsidRPr="00B40A77">
        <w:rPr>
          <w:color w:val="000000" w:themeColor="text1"/>
          <w:lang w:val="en-US"/>
        </w:rPr>
        <w:tab/>
        <w:t xml:space="preserve">The </w:t>
      </w:r>
      <w:r w:rsidR="00027BE4" w:rsidRPr="00B40A77">
        <w:rPr>
          <w:color w:val="000000" w:themeColor="text1"/>
          <w:lang w:val="en-US"/>
        </w:rPr>
        <w:t>Information</w:t>
      </w:r>
      <w:r w:rsidR="0082081E" w:rsidRPr="00B40A77">
        <w:rPr>
          <w:color w:val="000000" w:themeColor="text1"/>
          <w:lang w:val="en-US"/>
        </w:rPr>
        <w:t xml:space="preserve"> must</w:t>
      </w:r>
      <w:r w:rsidR="00027BE4" w:rsidRPr="00B40A77">
        <w:rPr>
          <w:color w:val="000000" w:themeColor="text1"/>
          <w:lang w:val="en-US"/>
        </w:rPr>
        <w:t xml:space="preserve"> include the following details in respect of each count as required by the prescribed form</w:t>
      </w:r>
      <w:r w:rsidR="0045119C" w:rsidRPr="00B40A77">
        <w:rPr>
          <w:rFonts w:cs="Times New Roman"/>
          <w:color w:val="000000" w:themeColor="text1"/>
        </w:rPr>
        <w:t>—</w:t>
      </w:r>
    </w:p>
    <w:p w14:paraId="61E0D42F" w14:textId="2026D5D3" w:rsidR="0045119C" w:rsidRPr="00B40A77" w:rsidRDefault="0045119C" w:rsidP="001132FD">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r>
      <w:r w:rsidR="009206A9" w:rsidRPr="00B40A77">
        <w:rPr>
          <w:color w:val="000000" w:themeColor="text1"/>
          <w:lang w:val="en-US"/>
        </w:rPr>
        <w:t>o</w:t>
      </w:r>
      <w:r w:rsidR="00027BE4" w:rsidRPr="00B40A77">
        <w:rPr>
          <w:color w:val="000000" w:themeColor="text1"/>
          <w:lang w:val="en-US"/>
        </w:rPr>
        <w:t>ffence details</w:t>
      </w:r>
      <w:r w:rsidR="00FA1C4C" w:rsidRPr="00B40A77">
        <w:rPr>
          <w:color w:val="000000" w:themeColor="text1"/>
          <w:lang w:val="en-US"/>
        </w:rPr>
        <w:t xml:space="preserve"> being the short name of the </w:t>
      </w:r>
      <w:r w:rsidR="00AB40C2" w:rsidRPr="00B40A77">
        <w:rPr>
          <w:color w:val="000000" w:themeColor="text1"/>
          <w:lang w:val="en-US"/>
        </w:rPr>
        <w:t>offence</w:t>
      </w:r>
      <w:r w:rsidR="00343DFA" w:rsidRPr="00B40A77">
        <w:rPr>
          <w:color w:val="000000" w:themeColor="text1"/>
          <w:lang w:val="en-US"/>
        </w:rPr>
        <w:t xml:space="preserve"> </w:t>
      </w:r>
      <w:r w:rsidR="00FA1C4C" w:rsidRPr="00B40A77">
        <w:rPr>
          <w:color w:val="000000" w:themeColor="text1"/>
          <w:lang w:val="en-US"/>
        </w:rPr>
        <w:t>and statutory provision if applicable</w:t>
      </w:r>
      <w:r w:rsidRPr="00B40A77">
        <w:rPr>
          <w:color w:val="000000" w:themeColor="text1"/>
          <w:lang w:val="en-US"/>
        </w:rPr>
        <w:t>;</w:t>
      </w:r>
    </w:p>
    <w:p w14:paraId="0938F9C7" w14:textId="1F36E611" w:rsidR="0045119C" w:rsidRPr="00B40A77" w:rsidRDefault="0045119C" w:rsidP="00AA301B">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r>
      <w:r w:rsidR="009206A9" w:rsidRPr="00B40A77">
        <w:rPr>
          <w:color w:val="000000" w:themeColor="text1"/>
          <w:lang w:val="en-US"/>
        </w:rPr>
        <w:t>p</w:t>
      </w:r>
      <w:r w:rsidR="00027BE4" w:rsidRPr="00B40A77">
        <w:rPr>
          <w:color w:val="000000" w:themeColor="text1"/>
          <w:lang w:val="en-US"/>
        </w:rPr>
        <w:t>articulars</w:t>
      </w:r>
      <w:r w:rsidR="00DB5645" w:rsidRPr="00B40A77">
        <w:rPr>
          <w:color w:val="000000" w:themeColor="text1"/>
          <w:lang w:val="en-US"/>
        </w:rPr>
        <w:t xml:space="preserve"> </w:t>
      </w:r>
      <w:r w:rsidR="00FA1C4C" w:rsidRPr="00B40A77">
        <w:rPr>
          <w:rFonts w:eastAsia="Calibri" w:cs="Arial"/>
          <w:color w:val="000000" w:themeColor="text1"/>
          <w:szCs w:val="22"/>
        </w:rPr>
        <w:t xml:space="preserve">of the </w:t>
      </w:r>
      <w:r w:rsidR="000E6A53" w:rsidRPr="00B40A77">
        <w:rPr>
          <w:rFonts w:eastAsia="Calibri" w:cs="Arial"/>
          <w:color w:val="000000" w:themeColor="text1"/>
          <w:szCs w:val="22"/>
        </w:rPr>
        <w:t>essence of</w:t>
      </w:r>
      <w:r w:rsidR="00343DFA" w:rsidRPr="00B40A77">
        <w:rPr>
          <w:rFonts w:eastAsia="Calibri" w:cs="Arial"/>
          <w:color w:val="000000" w:themeColor="text1"/>
          <w:szCs w:val="22"/>
        </w:rPr>
        <w:t xml:space="preserve"> the elements of the offence and </w:t>
      </w:r>
      <w:r w:rsidR="00E83080" w:rsidRPr="00B40A77">
        <w:rPr>
          <w:color w:val="000000" w:themeColor="text1"/>
          <w:lang w:val="en-US"/>
        </w:rPr>
        <w:t xml:space="preserve">in accordance with </w:t>
      </w:r>
      <w:hyperlink w:anchor="_62.2—Particulars" w:history="1">
        <w:r w:rsidR="00E83080" w:rsidRPr="00B40A77">
          <w:rPr>
            <w:rStyle w:val="Hyperlink"/>
            <w:color w:val="000000" w:themeColor="text1"/>
            <w:lang w:val="en-US"/>
          </w:rPr>
          <w:t>rule</w:t>
        </w:r>
        <w:r w:rsidR="00A15FBC" w:rsidRPr="00B40A77">
          <w:rPr>
            <w:rStyle w:val="Hyperlink"/>
            <w:color w:val="000000" w:themeColor="text1"/>
            <w:lang w:val="en-US"/>
          </w:rPr>
          <w:t> </w:t>
        </w:r>
        <w:r w:rsidR="00E83080" w:rsidRPr="00B40A77">
          <w:rPr>
            <w:rStyle w:val="Hyperlink"/>
            <w:color w:val="000000" w:themeColor="text1"/>
            <w:lang w:val="en-US"/>
          </w:rPr>
          <w:t>6</w:t>
        </w:r>
        <w:r w:rsidR="00D872F4" w:rsidRPr="00B40A77">
          <w:rPr>
            <w:rStyle w:val="Hyperlink"/>
            <w:color w:val="000000" w:themeColor="text1"/>
            <w:lang w:val="en-US"/>
          </w:rPr>
          <w:t>2</w:t>
        </w:r>
        <w:r w:rsidR="009206A9" w:rsidRPr="00B40A77">
          <w:rPr>
            <w:rStyle w:val="Hyperlink"/>
            <w:color w:val="000000" w:themeColor="text1"/>
            <w:lang w:val="en-US"/>
          </w:rPr>
          <w:t>.</w:t>
        </w:r>
        <w:r w:rsidR="00162959" w:rsidRPr="00B40A77">
          <w:rPr>
            <w:rStyle w:val="Hyperlink"/>
            <w:color w:val="000000" w:themeColor="text1"/>
            <w:lang w:val="en-US"/>
          </w:rPr>
          <w:t>2</w:t>
        </w:r>
      </w:hyperlink>
      <w:r w:rsidRPr="00B40A77">
        <w:rPr>
          <w:color w:val="000000" w:themeColor="text1"/>
          <w:lang w:val="en-US"/>
        </w:rPr>
        <w:t>;</w:t>
      </w:r>
    </w:p>
    <w:p w14:paraId="3BF006D5" w14:textId="0E3E857F" w:rsidR="009D7953" w:rsidRPr="00B40A77" w:rsidRDefault="009D7953" w:rsidP="00E13A93">
      <w:pPr>
        <w:pStyle w:val="NoteHeader"/>
        <w:keepNext/>
        <w:ind w:left="1395" w:firstLine="306"/>
        <w:rPr>
          <w:color w:val="000000" w:themeColor="text1"/>
        </w:rPr>
      </w:pPr>
      <w:r w:rsidRPr="00B40A77">
        <w:rPr>
          <w:color w:val="000000" w:themeColor="text1"/>
        </w:rPr>
        <w:t>Note—</w:t>
      </w:r>
    </w:p>
    <w:p w14:paraId="72F60665" w14:textId="49D91D82" w:rsidR="009D7953" w:rsidRPr="00B40A77" w:rsidRDefault="009D7953" w:rsidP="009D7953">
      <w:pPr>
        <w:pStyle w:val="NoteText"/>
        <w:ind w:left="2160"/>
        <w:rPr>
          <w:color w:val="000000" w:themeColor="text1"/>
        </w:rPr>
      </w:pPr>
      <w:r w:rsidRPr="00B40A77">
        <w:rPr>
          <w:color w:val="000000" w:themeColor="text1"/>
        </w:rPr>
        <w:t xml:space="preserve">Section 100(1)(b) of the Procedure Act requires an </w:t>
      </w:r>
      <w:r w:rsidR="008B3E79" w:rsidRPr="00B40A77">
        <w:rPr>
          <w:color w:val="000000" w:themeColor="text1"/>
        </w:rPr>
        <w:t>I</w:t>
      </w:r>
      <w:r w:rsidRPr="00B40A77">
        <w:rPr>
          <w:color w:val="000000" w:themeColor="text1"/>
        </w:rPr>
        <w:t xml:space="preserve">nformation </w:t>
      </w:r>
      <w:r w:rsidR="001C6A41" w:rsidRPr="00B40A77">
        <w:rPr>
          <w:color w:val="000000" w:themeColor="text1"/>
        </w:rPr>
        <w:t xml:space="preserve">charging an indictable offence to contain </w:t>
      </w:r>
      <w:r w:rsidRPr="00B40A77">
        <w:rPr>
          <w:color w:val="000000" w:themeColor="text1"/>
        </w:rPr>
        <w:t>“such particulars as are necessary for giving reasonable information as to the nature of the charge”.</w:t>
      </w:r>
    </w:p>
    <w:p w14:paraId="74E3A316" w14:textId="4AB95A7B" w:rsidR="00411E80" w:rsidRPr="00B40A77" w:rsidRDefault="009206A9" w:rsidP="001132FD">
      <w:pPr>
        <w:pStyle w:val="Doublehangindent"/>
        <w:rPr>
          <w:color w:val="000000" w:themeColor="text1"/>
          <w:lang w:val="en-US"/>
        </w:rPr>
      </w:pPr>
      <w:r w:rsidRPr="00B40A77">
        <w:rPr>
          <w:color w:val="000000" w:themeColor="text1"/>
          <w:lang w:val="en-US"/>
        </w:rPr>
        <w:t>(c)</w:t>
      </w:r>
      <w:r w:rsidRPr="00B40A77">
        <w:rPr>
          <w:color w:val="000000" w:themeColor="text1"/>
          <w:lang w:val="en-US"/>
        </w:rPr>
        <w:tab/>
        <w:t>i</w:t>
      </w:r>
      <w:r w:rsidR="00411E80" w:rsidRPr="00B40A77">
        <w:rPr>
          <w:color w:val="000000" w:themeColor="text1"/>
          <w:lang w:val="en-US"/>
        </w:rPr>
        <w:t>f it is alleged that the offence is an aggravated offence</w:t>
      </w:r>
      <w:r w:rsidR="00411E80" w:rsidRPr="00B40A77">
        <w:rPr>
          <w:rFonts w:cs="Times New Roman"/>
          <w:color w:val="000000" w:themeColor="text1"/>
        </w:rPr>
        <w:t>—</w:t>
      </w:r>
      <w:r w:rsidR="00411E80" w:rsidRPr="00B40A77">
        <w:rPr>
          <w:color w:val="000000" w:themeColor="text1"/>
          <w:lang w:val="en-US"/>
        </w:rPr>
        <w:t>the circumstances of aggravation alleged;</w:t>
      </w:r>
    </w:p>
    <w:p w14:paraId="69D2ED94" w14:textId="1824CF4E" w:rsidR="0045119C" w:rsidRPr="00B40A77" w:rsidRDefault="006548E9" w:rsidP="001132FD">
      <w:pPr>
        <w:pStyle w:val="Doublehangindent"/>
        <w:rPr>
          <w:color w:val="000000" w:themeColor="text1"/>
        </w:rPr>
      </w:pPr>
      <w:r w:rsidRPr="00B40A77">
        <w:rPr>
          <w:color w:val="000000" w:themeColor="text1"/>
          <w:lang w:val="en-US"/>
        </w:rPr>
        <w:t>(d</w:t>
      </w:r>
      <w:r w:rsidR="0045119C" w:rsidRPr="00B40A77">
        <w:rPr>
          <w:color w:val="000000" w:themeColor="text1"/>
          <w:lang w:val="en-US"/>
        </w:rPr>
        <w:t>)</w:t>
      </w:r>
      <w:r w:rsidR="0045119C" w:rsidRPr="00B40A77">
        <w:rPr>
          <w:color w:val="000000" w:themeColor="text1"/>
          <w:lang w:val="en-US"/>
        </w:rPr>
        <w:tab/>
      </w:r>
      <w:r w:rsidR="009206A9" w:rsidRPr="00B40A77">
        <w:rPr>
          <w:color w:val="000000" w:themeColor="text1"/>
        </w:rPr>
        <w:t>c</w:t>
      </w:r>
      <w:r w:rsidR="00027BE4" w:rsidRPr="00B40A77">
        <w:rPr>
          <w:color w:val="000000" w:themeColor="text1"/>
        </w:rPr>
        <w:t xml:space="preserve">lassification of offence by reference to </w:t>
      </w:r>
      <w:hyperlink w:anchor="_2.1—Definitions" w:history="1">
        <w:r w:rsidR="00027BE4" w:rsidRPr="00B40A77">
          <w:rPr>
            <w:rStyle w:val="Hyperlink"/>
            <w:color w:val="000000" w:themeColor="text1"/>
          </w:rPr>
          <w:t>charge category</w:t>
        </w:r>
      </w:hyperlink>
      <w:r w:rsidR="0045119C" w:rsidRPr="00B40A77">
        <w:rPr>
          <w:color w:val="000000" w:themeColor="text1"/>
        </w:rPr>
        <w:t>;</w:t>
      </w:r>
      <w:r w:rsidR="0082081E" w:rsidRPr="00B40A77">
        <w:rPr>
          <w:color w:val="000000" w:themeColor="text1"/>
        </w:rPr>
        <w:t xml:space="preserve"> and </w:t>
      </w:r>
    </w:p>
    <w:p w14:paraId="5BF14000" w14:textId="255C50C3" w:rsidR="0082081E" w:rsidRPr="00B40A77" w:rsidRDefault="006548E9" w:rsidP="001132FD">
      <w:pPr>
        <w:pStyle w:val="Doublehangindent"/>
        <w:rPr>
          <w:color w:val="000000" w:themeColor="text1"/>
        </w:rPr>
      </w:pPr>
      <w:r w:rsidRPr="00B40A77">
        <w:rPr>
          <w:color w:val="000000" w:themeColor="text1"/>
          <w:lang w:val="en-US"/>
        </w:rPr>
        <w:t>(e</w:t>
      </w:r>
      <w:r w:rsidR="0045119C" w:rsidRPr="00B40A77">
        <w:rPr>
          <w:color w:val="000000" w:themeColor="text1"/>
          <w:lang w:val="en-US"/>
        </w:rPr>
        <w:t>)</w:t>
      </w:r>
      <w:r w:rsidR="0045119C" w:rsidRPr="00B40A77">
        <w:rPr>
          <w:color w:val="000000" w:themeColor="text1"/>
          <w:lang w:val="en-US"/>
        </w:rPr>
        <w:tab/>
      </w:r>
      <w:r w:rsidR="0082081E" w:rsidRPr="00B40A77">
        <w:rPr>
          <w:color w:val="000000" w:themeColor="text1"/>
        </w:rPr>
        <w:t xml:space="preserve">if </w:t>
      </w:r>
      <w:r w:rsidR="002F7684" w:rsidRPr="00B40A77">
        <w:rPr>
          <w:color w:val="000000" w:themeColor="text1"/>
        </w:rPr>
        <w:t xml:space="preserve">the </w:t>
      </w:r>
      <w:r w:rsidR="00EF7603" w:rsidRPr="00B40A77">
        <w:rPr>
          <w:color w:val="000000" w:themeColor="text1"/>
        </w:rPr>
        <w:t xml:space="preserve">offence is or may be a </w:t>
      </w:r>
      <w:hyperlink w:anchor="_2.1—Definitions" w:history="1">
        <w:r w:rsidR="00A840B8" w:rsidRPr="00B40A77">
          <w:rPr>
            <w:rStyle w:val="Hyperlink"/>
            <w:color w:val="000000" w:themeColor="text1"/>
          </w:rPr>
          <w:t>notifiable offence</w:t>
        </w:r>
      </w:hyperlink>
      <w:r w:rsidR="009748E1" w:rsidRPr="00B40A77">
        <w:rPr>
          <w:rFonts w:cs="Times New Roman"/>
          <w:color w:val="000000" w:themeColor="text1"/>
        </w:rPr>
        <w:t>—a statement to that effect</w:t>
      </w:r>
      <w:r w:rsidR="00A840B8" w:rsidRPr="00B40A77">
        <w:rPr>
          <w:rFonts w:cs="Times New Roman"/>
          <w:color w:val="000000" w:themeColor="text1"/>
        </w:rPr>
        <w:t xml:space="preserve"> in respect of each type of </w:t>
      </w:r>
      <w:hyperlink w:anchor="_2.1—Definitions" w:history="1">
        <w:r w:rsidR="003A1982" w:rsidRPr="00B40A77">
          <w:rPr>
            <w:rStyle w:val="Hyperlink"/>
            <w:color w:val="000000" w:themeColor="text1"/>
          </w:rPr>
          <w:t>notifiable offence</w:t>
        </w:r>
      </w:hyperlink>
      <w:r w:rsidR="0055229C" w:rsidRPr="00B40A77">
        <w:rPr>
          <w:rFonts w:cs="Times New Roman"/>
          <w:color w:val="000000" w:themeColor="text1"/>
        </w:rPr>
        <w:t>.</w:t>
      </w:r>
    </w:p>
    <w:bookmarkEnd w:id="450"/>
    <w:p w14:paraId="0B0FF407" w14:textId="2FCBBBC7" w:rsidR="007550AC" w:rsidRPr="00B40A77" w:rsidRDefault="003C380E" w:rsidP="007550AC">
      <w:pPr>
        <w:pStyle w:val="Hangindent"/>
        <w:rPr>
          <w:color w:val="000000" w:themeColor="text1"/>
          <w:lang w:val="en-US"/>
        </w:rPr>
      </w:pPr>
      <w:r w:rsidRPr="00B40A77">
        <w:rPr>
          <w:color w:val="000000" w:themeColor="text1"/>
          <w:lang w:val="en-US"/>
        </w:rPr>
        <w:t>(</w:t>
      </w:r>
      <w:r w:rsidR="009206A9" w:rsidRPr="00B40A77">
        <w:rPr>
          <w:color w:val="000000" w:themeColor="text1"/>
          <w:lang w:val="en-US"/>
        </w:rPr>
        <w:t>9</w:t>
      </w:r>
      <w:r w:rsidR="007550AC" w:rsidRPr="00B40A77">
        <w:rPr>
          <w:color w:val="000000" w:themeColor="text1"/>
          <w:lang w:val="en-US"/>
        </w:rPr>
        <w:t>)</w:t>
      </w:r>
      <w:r w:rsidR="007550AC" w:rsidRPr="00B40A77">
        <w:rPr>
          <w:color w:val="000000" w:themeColor="text1"/>
          <w:lang w:val="en-US"/>
        </w:rPr>
        <w:tab/>
        <w:t>The Information must</w:t>
      </w:r>
      <w:r w:rsidR="00F30830" w:rsidRPr="00B40A77">
        <w:rPr>
          <w:color w:val="000000" w:themeColor="text1"/>
          <w:lang w:val="en-US"/>
        </w:rPr>
        <w:t xml:space="preserve"> identify</w:t>
      </w:r>
      <w:r w:rsidR="007550AC" w:rsidRPr="00B40A77">
        <w:rPr>
          <w:color w:val="000000" w:themeColor="text1"/>
          <w:lang w:val="en-US"/>
        </w:rPr>
        <w:t xml:space="preserve"> any special orders sought in addition to penalty and costs.</w:t>
      </w:r>
    </w:p>
    <w:p w14:paraId="34379BB7" w14:textId="608D0E16" w:rsidR="00F67072" w:rsidRPr="00B40A77" w:rsidRDefault="009206A9" w:rsidP="00F67072">
      <w:pPr>
        <w:pStyle w:val="Hangindent"/>
        <w:rPr>
          <w:color w:val="000000" w:themeColor="text1"/>
          <w:lang w:val="en-US"/>
        </w:rPr>
      </w:pPr>
      <w:r w:rsidRPr="00B40A77">
        <w:rPr>
          <w:color w:val="000000" w:themeColor="text1"/>
          <w:szCs w:val="24"/>
          <w:lang w:val="en-US"/>
        </w:rPr>
        <w:t>(10</w:t>
      </w:r>
      <w:r w:rsidR="00F67072" w:rsidRPr="00B40A77">
        <w:rPr>
          <w:color w:val="000000" w:themeColor="text1"/>
          <w:szCs w:val="24"/>
          <w:lang w:val="en-US"/>
        </w:rPr>
        <w:t>)</w:t>
      </w:r>
      <w:r w:rsidR="00F67072" w:rsidRPr="00B40A77">
        <w:rPr>
          <w:color w:val="000000" w:themeColor="text1"/>
          <w:szCs w:val="24"/>
          <w:lang w:val="en-US"/>
        </w:rPr>
        <w:tab/>
        <w:t xml:space="preserve">If the proceeding is a </w:t>
      </w:r>
      <w:hyperlink w:anchor="_2.1—Definitions" w:history="1">
        <w:r w:rsidR="00F67072" w:rsidRPr="00B40A77">
          <w:rPr>
            <w:rStyle w:val="Hyperlink"/>
            <w:color w:val="000000" w:themeColor="text1"/>
            <w:szCs w:val="24"/>
            <w:lang w:val="en-US"/>
          </w:rPr>
          <w:t>priority proceeding</w:t>
        </w:r>
      </w:hyperlink>
      <w:r w:rsidR="00F67072" w:rsidRPr="00B40A77">
        <w:rPr>
          <w:color w:val="000000" w:themeColor="text1"/>
          <w:szCs w:val="24"/>
          <w:lang w:val="en-US"/>
        </w:rPr>
        <w:t xml:space="preserve">, the Information must identify </w:t>
      </w:r>
      <w:r w:rsidR="00F67072" w:rsidRPr="00B40A77">
        <w:rPr>
          <w:color w:val="000000" w:themeColor="text1"/>
          <w:lang w:val="en-US"/>
        </w:rPr>
        <w:t xml:space="preserve">that the proceeding is a </w:t>
      </w:r>
      <w:hyperlink w:anchor="_2.1—Definitions" w:history="1">
        <w:r w:rsidR="00732D46" w:rsidRPr="00B40A77">
          <w:rPr>
            <w:rStyle w:val="Hyperlink"/>
            <w:color w:val="000000" w:themeColor="text1"/>
            <w:szCs w:val="24"/>
            <w:lang w:val="en-US"/>
          </w:rPr>
          <w:t>priority proceeding</w:t>
        </w:r>
      </w:hyperlink>
      <w:r w:rsidR="00F67072" w:rsidRPr="00B40A77">
        <w:rPr>
          <w:color w:val="000000" w:themeColor="text1"/>
          <w:lang w:val="en-US"/>
        </w:rPr>
        <w:t xml:space="preserve"> and its type </w:t>
      </w:r>
      <w:r w:rsidR="00F67072" w:rsidRPr="00B40A77">
        <w:rPr>
          <w:color w:val="000000" w:themeColor="text1"/>
          <w:szCs w:val="24"/>
          <w:lang w:val="en-US"/>
        </w:rPr>
        <w:t>in accordance with the prescribed form</w:t>
      </w:r>
      <w:r w:rsidR="00F67072" w:rsidRPr="00B40A77">
        <w:rPr>
          <w:color w:val="000000" w:themeColor="text1"/>
          <w:lang w:val="en-US"/>
        </w:rPr>
        <w:t>.</w:t>
      </w:r>
    </w:p>
    <w:p w14:paraId="06B8ADDC" w14:textId="3AC07EFD" w:rsidR="00B43764" w:rsidRPr="00B40A77" w:rsidRDefault="009206A9" w:rsidP="00F67072">
      <w:pPr>
        <w:pStyle w:val="Hangindent"/>
        <w:rPr>
          <w:color w:val="000000" w:themeColor="text1"/>
          <w:lang w:val="en-US"/>
        </w:rPr>
      </w:pPr>
      <w:r w:rsidRPr="00B40A77">
        <w:rPr>
          <w:color w:val="000000" w:themeColor="text1"/>
          <w:lang w:val="en-US"/>
        </w:rPr>
        <w:t>(11</w:t>
      </w:r>
      <w:r w:rsidR="00B43764" w:rsidRPr="00B40A77">
        <w:rPr>
          <w:color w:val="000000" w:themeColor="text1"/>
          <w:lang w:val="en-US"/>
        </w:rPr>
        <w:t>)</w:t>
      </w:r>
      <w:r w:rsidR="00B43764" w:rsidRPr="00B40A77">
        <w:rPr>
          <w:color w:val="000000" w:themeColor="text1"/>
          <w:lang w:val="en-US"/>
        </w:rPr>
        <w:tab/>
        <w:t xml:space="preserve">If the informant is not a </w:t>
      </w:r>
      <w:hyperlink w:anchor="_2.1—Definitions" w:history="1">
        <w:r w:rsidR="00732D46" w:rsidRPr="00B40A77">
          <w:rPr>
            <w:rStyle w:val="Hyperlink"/>
            <w:color w:val="000000" w:themeColor="text1"/>
            <w:lang w:val="en-US"/>
          </w:rPr>
          <w:t>public authority</w:t>
        </w:r>
      </w:hyperlink>
      <w:r w:rsidR="00B43764" w:rsidRPr="00B40A77">
        <w:rPr>
          <w:color w:val="000000" w:themeColor="text1"/>
          <w:lang w:val="en-US"/>
        </w:rPr>
        <w:t xml:space="preserve">, </w:t>
      </w:r>
      <w:r w:rsidR="00E44BF0" w:rsidRPr="00B40A77">
        <w:rPr>
          <w:color w:val="000000" w:themeColor="text1"/>
          <w:lang w:val="en-US"/>
        </w:rPr>
        <w:t xml:space="preserve">the </w:t>
      </w:r>
      <w:r w:rsidR="00600147" w:rsidRPr="00B40A77">
        <w:rPr>
          <w:color w:val="000000" w:themeColor="text1"/>
          <w:lang w:val="en-US"/>
        </w:rPr>
        <w:t>Information</w:t>
      </w:r>
      <w:r w:rsidR="00E44BF0" w:rsidRPr="00B40A77">
        <w:rPr>
          <w:color w:val="000000" w:themeColor="text1"/>
          <w:lang w:val="en-US"/>
        </w:rPr>
        <w:t xml:space="preserve"> must be signed by the informant or the lawyer acting for the informant before an </w:t>
      </w:r>
      <w:hyperlink w:anchor="_2.1—Definitions" w:history="1">
        <w:r w:rsidR="00E44BF0" w:rsidRPr="00B40A77">
          <w:rPr>
            <w:rStyle w:val="Hyperlink"/>
            <w:color w:val="000000" w:themeColor="text1"/>
            <w:lang w:val="en-US"/>
          </w:rPr>
          <w:t>authorised witness</w:t>
        </w:r>
      </w:hyperlink>
      <w:r w:rsidR="00E44BF0" w:rsidRPr="00B40A77">
        <w:rPr>
          <w:color w:val="000000" w:themeColor="text1"/>
          <w:lang w:val="en-US"/>
        </w:rPr>
        <w:t>.</w:t>
      </w:r>
    </w:p>
    <w:p w14:paraId="7E94A811" w14:textId="59BCB92F" w:rsidR="009206A9" w:rsidRPr="00B40A77" w:rsidRDefault="009206A9" w:rsidP="00E13A93">
      <w:pPr>
        <w:pStyle w:val="Hangindent"/>
        <w:keepNext/>
        <w:rPr>
          <w:color w:val="000000" w:themeColor="text1"/>
        </w:rPr>
      </w:pPr>
      <w:r w:rsidRPr="00B40A77">
        <w:rPr>
          <w:i/>
          <w:iCs/>
          <w:color w:val="000000" w:themeColor="text1"/>
          <w:sz w:val="24"/>
        </w:rPr>
        <w:t>Magistrates Court</w:t>
      </w:r>
    </w:p>
    <w:p w14:paraId="502C43C2" w14:textId="2578EBC8" w:rsidR="00277AA0" w:rsidRPr="00B40A77" w:rsidRDefault="00080860" w:rsidP="00173536">
      <w:pPr>
        <w:pStyle w:val="Hangindent"/>
        <w:keepNext/>
        <w:keepLines/>
        <w:rPr>
          <w:color w:val="000000" w:themeColor="text1"/>
        </w:rPr>
      </w:pPr>
      <w:r w:rsidRPr="00B40A77">
        <w:rPr>
          <w:color w:val="000000" w:themeColor="text1"/>
        </w:rPr>
        <w:t>(1</w:t>
      </w:r>
      <w:r w:rsidR="008B7C56" w:rsidRPr="00B40A77">
        <w:rPr>
          <w:color w:val="000000" w:themeColor="text1"/>
        </w:rPr>
        <w:t>2</w:t>
      </w:r>
      <w:r w:rsidRPr="00B40A77">
        <w:rPr>
          <w:color w:val="000000" w:themeColor="text1"/>
        </w:rPr>
        <w:t>)</w:t>
      </w:r>
      <w:r w:rsidRPr="00B40A77">
        <w:rPr>
          <w:color w:val="000000" w:themeColor="text1"/>
        </w:rPr>
        <w:tab/>
      </w:r>
      <w:r w:rsidR="00F970B9" w:rsidRPr="00B40A77">
        <w:rPr>
          <w:color w:val="000000" w:themeColor="text1"/>
        </w:rPr>
        <w:t xml:space="preserve">The </w:t>
      </w:r>
      <w:r w:rsidR="007550AC" w:rsidRPr="00B40A77">
        <w:rPr>
          <w:color w:val="000000" w:themeColor="text1"/>
        </w:rPr>
        <w:t>inform</w:t>
      </w:r>
      <w:r w:rsidR="006B0B60" w:rsidRPr="00B40A77">
        <w:rPr>
          <w:color w:val="000000" w:themeColor="text1"/>
        </w:rPr>
        <w:t>ant</w:t>
      </w:r>
      <w:r w:rsidR="00F970B9" w:rsidRPr="00B40A77">
        <w:rPr>
          <w:color w:val="000000" w:themeColor="text1"/>
        </w:rPr>
        <w:t xml:space="preserve"> </w:t>
      </w:r>
      <w:r w:rsidR="002F7684" w:rsidRPr="00B40A77">
        <w:rPr>
          <w:color w:val="000000" w:themeColor="text1"/>
        </w:rPr>
        <w:t xml:space="preserve">must, </w:t>
      </w:r>
      <w:r w:rsidR="00F970B9" w:rsidRPr="00B40A77">
        <w:rPr>
          <w:color w:val="000000" w:themeColor="text1"/>
        </w:rPr>
        <w:t xml:space="preserve">when </w:t>
      </w:r>
      <w:r w:rsidR="002F7684" w:rsidRPr="00B40A77">
        <w:rPr>
          <w:color w:val="000000" w:themeColor="text1"/>
        </w:rPr>
        <w:t xml:space="preserve">filing </w:t>
      </w:r>
      <w:r w:rsidR="007550AC" w:rsidRPr="00B40A77">
        <w:rPr>
          <w:color w:val="000000" w:themeColor="text1"/>
        </w:rPr>
        <w:t>an Information</w:t>
      </w:r>
      <w:r w:rsidR="002F7684" w:rsidRPr="00B40A77">
        <w:rPr>
          <w:color w:val="000000" w:themeColor="text1"/>
        </w:rPr>
        <w:t>,</w:t>
      </w:r>
      <w:r w:rsidR="00F970B9" w:rsidRPr="00B40A77">
        <w:rPr>
          <w:color w:val="000000" w:themeColor="text1"/>
        </w:rPr>
        <w:t xml:space="preserve"> identify the location at which the </w:t>
      </w:r>
      <w:r w:rsidR="00277AA0" w:rsidRPr="00B40A77">
        <w:rPr>
          <w:color w:val="000000" w:themeColor="text1"/>
        </w:rPr>
        <w:t>a</w:t>
      </w:r>
      <w:r w:rsidR="006B0B60" w:rsidRPr="00B40A77">
        <w:rPr>
          <w:color w:val="000000" w:themeColor="text1"/>
        </w:rPr>
        <w:t>pplicant</w:t>
      </w:r>
      <w:r w:rsidR="00F970B9" w:rsidRPr="00B40A77">
        <w:rPr>
          <w:color w:val="000000" w:themeColor="text1"/>
        </w:rPr>
        <w:t xml:space="preserve"> requests </w:t>
      </w:r>
      <w:r w:rsidR="005105AD" w:rsidRPr="00B40A77">
        <w:rPr>
          <w:color w:val="000000" w:themeColor="text1"/>
        </w:rPr>
        <w:t xml:space="preserve">that </w:t>
      </w:r>
      <w:r w:rsidR="00F970B9" w:rsidRPr="00B40A77">
        <w:rPr>
          <w:color w:val="000000" w:themeColor="text1"/>
        </w:rPr>
        <w:t>the proceeding be heard</w:t>
      </w:r>
      <w:r w:rsidR="00EB6FF6" w:rsidRPr="00B40A77">
        <w:rPr>
          <w:color w:val="000000" w:themeColor="text1"/>
        </w:rPr>
        <w:t>, being</w:t>
      </w:r>
      <w:r w:rsidR="00277AA0" w:rsidRPr="00B40A77">
        <w:rPr>
          <w:color w:val="000000" w:themeColor="text1"/>
        </w:rPr>
        <w:t xml:space="preserve"> a location at which the Court sits</w:t>
      </w:r>
      <w:r w:rsidR="00A54F05" w:rsidRPr="00B40A77">
        <w:rPr>
          <w:color w:val="000000" w:themeColor="text1"/>
        </w:rPr>
        <w:t xml:space="preserve"> and</w:t>
      </w:r>
      <w:r w:rsidR="00277AA0" w:rsidRPr="00B40A77">
        <w:rPr>
          <w:color w:val="000000" w:themeColor="text1"/>
        </w:rPr>
        <w:t xml:space="preserve"> </w:t>
      </w:r>
      <w:r w:rsidR="00EB6FF6" w:rsidRPr="00B40A77">
        <w:rPr>
          <w:color w:val="000000" w:themeColor="text1"/>
        </w:rPr>
        <w:t xml:space="preserve">either close to where the </w:t>
      </w:r>
      <w:r w:rsidR="007550AC" w:rsidRPr="00B40A77">
        <w:rPr>
          <w:color w:val="000000" w:themeColor="text1"/>
        </w:rPr>
        <w:t>offence or one of the offences charged was allegedly committed</w:t>
      </w:r>
      <w:r w:rsidR="00EB6FF6" w:rsidRPr="00B40A77">
        <w:rPr>
          <w:color w:val="000000" w:themeColor="text1"/>
        </w:rPr>
        <w:t xml:space="preserve"> or where the </w:t>
      </w:r>
      <w:r w:rsidR="007550AC" w:rsidRPr="00B40A77">
        <w:rPr>
          <w:color w:val="000000" w:themeColor="text1"/>
        </w:rPr>
        <w:t>defendant</w:t>
      </w:r>
      <w:r w:rsidR="00EB6FF6" w:rsidRPr="00B40A77">
        <w:rPr>
          <w:color w:val="000000" w:themeColor="text1"/>
        </w:rPr>
        <w:t xml:space="preserve"> lives</w:t>
      </w:r>
      <w:r w:rsidR="00F970B9" w:rsidRPr="00B40A77">
        <w:rPr>
          <w:color w:val="000000" w:themeColor="text1"/>
        </w:rPr>
        <w:t>.</w:t>
      </w:r>
    </w:p>
    <w:p w14:paraId="4D30505A" w14:textId="77777777" w:rsidR="00277AA0" w:rsidRPr="00B40A77" w:rsidRDefault="00277AA0" w:rsidP="00E13A93">
      <w:pPr>
        <w:pStyle w:val="NoteHeader"/>
        <w:keepNext/>
        <w:rPr>
          <w:color w:val="000000" w:themeColor="text1"/>
        </w:rPr>
      </w:pPr>
      <w:r w:rsidRPr="00B40A77">
        <w:rPr>
          <w:color w:val="000000" w:themeColor="text1"/>
        </w:rPr>
        <w:t>Note—</w:t>
      </w:r>
    </w:p>
    <w:p w14:paraId="51877598" w14:textId="54E0BFB8" w:rsidR="00F970B9" w:rsidRPr="00B40A77" w:rsidRDefault="00F970B9" w:rsidP="00B221FE">
      <w:pPr>
        <w:pStyle w:val="NoteText"/>
        <w:rPr>
          <w:color w:val="000000" w:themeColor="text1"/>
        </w:rPr>
      </w:pPr>
      <w:r w:rsidRPr="00B40A77">
        <w:rPr>
          <w:color w:val="000000" w:themeColor="text1"/>
        </w:rPr>
        <w:t xml:space="preserve">The Court will take into account the request </w:t>
      </w:r>
      <w:r w:rsidR="00E83080" w:rsidRPr="00B40A77">
        <w:rPr>
          <w:color w:val="000000" w:themeColor="text1"/>
        </w:rPr>
        <w:t xml:space="preserve">in listing the first </w:t>
      </w:r>
      <w:hyperlink w:anchor="_37.1—Application_of_Part" w:history="1">
        <w:r w:rsidR="00CE7A79" w:rsidRPr="00B40A77">
          <w:rPr>
            <w:rStyle w:val="Hyperlink"/>
            <w:color w:val="000000" w:themeColor="text1"/>
            <w:lang w:val="en-US"/>
          </w:rPr>
          <w:t>hearing</w:t>
        </w:r>
      </w:hyperlink>
      <w:r w:rsidR="005105AD" w:rsidRPr="00B40A77">
        <w:rPr>
          <w:color w:val="000000" w:themeColor="text1"/>
        </w:rPr>
        <w:t xml:space="preserve"> </w:t>
      </w:r>
      <w:r w:rsidR="00277AA0" w:rsidRPr="00B40A77">
        <w:rPr>
          <w:color w:val="000000" w:themeColor="text1"/>
        </w:rPr>
        <w:t>but it</w:t>
      </w:r>
      <w:r w:rsidRPr="00B40A77">
        <w:rPr>
          <w:color w:val="000000" w:themeColor="text1"/>
        </w:rPr>
        <w:t xml:space="preserve"> is in the discretion of the Court as to the location </w:t>
      </w:r>
      <w:r w:rsidR="0060322A" w:rsidRPr="00B40A77">
        <w:rPr>
          <w:color w:val="000000" w:themeColor="text1"/>
        </w:rPr>
        <w:t>of</w:t>
      </w:r>
      <w:r w:rsidR="00E83080" w:rsidRPr="00B40A77">
        <w:rPr>
          <w:color w:val="000000" w:themeColor="text1"/>
        </w:rPr>
        <w:t xml:space="preserve"> the first </w:t>
      </w:r>
      <w:hyperlink w:anchor="_37.1—Application_of_Part" w:history="1">
        <w:r w:rsidR="00CE7A79" w:rsidRPr="00B40A77">
          <w:rPr>
            <w:rStyle w:val="Hyperlink"/>
            <w:color w:val="000000" w:themeColor="text1"/>
            <w:lang w:val="en-US"/>
          </w:rPr>
          <w:t>hearing</w:t>
        </w:r>
      </w:hyperlink>
      <w:r w:rsidR="0060322A" w:rsidRPr="00B40A77">
        <w:rPr>
          <w:color w:val="000000" w:themeColor="text1"/>
        </w:rPr>
        <w:t xml:space="preserve">. It is </w:t>
      </w:r>
      <w:r w:rsidRPr="00B40A77">
        <w:rPr>
          <w:color w:val="000000" w:themeColor="text1"/>
        </w:rPr>
        <w:t xml:space="preserve">in the discretion of the Court as to the location </w:t>
      </w:r>
      <w:r w:rsidR="0060322A" w:rsidRPr="00B40A77">
        <w:rPr>
          <w:color w:val="000000" w:themeColor="text1"/>
        </w:rPr>
        <w:t>of</w:t>
      </w:r>
      <w:r w:rsidR="00E83080" w:rsidRPr="00B40A77">
        <w:rPr>
          <w:color w:val="000000" w:themeColor="text1"/>
        </w:rPr>
        <w:t xml:space="preserve"> any subsequent </w:t>
      </w:r>
      <w:hyperlink w:anchor="_37.1—Application_of_Part" w:history="1">
        <w:r w:rsidR="00CE7A79" w:rsidRPr="00B40A77">
          <w:rPr>
            <w:rStyle w:val="Hyperlink"/>
            <w:color w:val="000000" w:themeColor="text1"/>
            <w:lang w:val="en-US"/>
          </w:rPr>
          <w:t>hearing</w:t>
        </w:r>
      </w:hyperlink>
      <w:r w:rsidRPr="00B40A77">
        <w:rPr>
          <w:color w:val="000000" w:themeColor="text1"/>
        </w:rPr>
        <w:t xml:space="preserve">s or </w:t>
      </w:r>
      <w:r w:rsidR="0060322A" w:rsidRPr="00B40A77">
        <w:rPr>
          <w:color w:val="000000" w:themeColor="text1"/>
        </w:rPr>
        <w:t xml:space="preserve">of </w:t>
      </w:r>
      <w:r w:rsidRPr="00B40A77">
        <w:rPr>
          <w:color w:val="000000" w:themeColor="text1"/>
        </w:rPr>
        <w:t xml:space="preserve">any </w:t>
      </w:r>
      <w:hyperlink w:anchor="_2.1—Definitions" w:history="1">
        <w:hyperlink w:anchor="_2.1—Definitions" w:history="1">
          <w:r w:rsidR="00E46B25" w:rsidRPr="00B40A77">
            <w:rPr>
              <w:rStyle w:val="Hyperlink"/>
              <w:color w:val="000000" w:themeColor="text1"/>
              <w:lang w:val="en-US"/>
            </w:rPr>
            <w:t>trial</w:t>
          </w:r>
        </w:hyperlink>
      </w:hyperlink>
      <w:r w:rsidRPr="00B40A77">
        <w:rPr>
          <w:color w:val="000000" w:themeColor="text1"/>
        </w:rPr>
        <w:t>.</w:t>
      </w:r>
    </w:p>
    <w:p w14:paraId="02A4F21C" w14:textId="62DC209A" w:rsidR="009206A9" w:rsidRPr="00B40A77" w:rsidRDefault="009206A9" w:rsidP="00E13A93">
      <w:pPr>
        <w:pStyle w:val="Hangindent"/>
        <w:keepNext/>
        <w:rPr>
          <w:color w:val="000000" w:themeColor="text1"/>
          <w:sz w:val="24"/>
          <w:u w:val="single"/>
        </w:rPr>
      </w:pPr>
      <w:r w:rsidRPr="00B40A77">
        <w:rPr>
          <w:i/>
          <w:iCs/>
          <w:color w:val="000000" w:themeColor="text1"/>
          <w:sz w:val="24"/>
        </w:rPr>
        <w:t>All Court</w:t>
      </w:r>
      <w:r w:rsidR="00E83080" w:rsidRPr="00B40A77">
        <w:rPr>
          <w:i/>
          <w:iCs/>
          <w:color w:val="000000" w:themeColor="text1"/>
          <w:sz w:val="24"/>
        </w:rPr>
        <w:t>s</w:t>
      </w:r>
    </w:p>
    <w:p w14:paraId="667EA76D" w14:textId="0F4B10BA" w:rsidR="004A7CD9" w:rsidRPr="00B40A77" w:rsidRDefault="00080860" w:rsidP="00953638">
      <w:pPr>
        <w:pStyle w:val="Hangindent"/>
        <w:rPr>
          <w:color w:val="000000" w:themeColor="text1"/>
          <w:lang w:val="en-US"/>
        </w:rPr>
      </w:pPr>
      <w:r w:rsidRPr="00B40A77">
        <w:rPr>
          <w:color w:val="000000" w:themeColor="text1"/>
          <w:lang w:val="en-US"/>
        </w:rPr>
        <w:t>(1</w:t>
      </w:r>
      <w:r w:rsidR="008B7C56" w:rsidRPr="00B40A77">
        <w:rPr>
          <w:color w:val="000000" w:themeColor="text1"/>
          <w:lang w:val="en-US"/>
        </w:rPr>
        <w:t>3</w:t>
      </w:r>
      <w:r w:rsidRPr="00B40A77">
        <w:rPr>
          <w:color w:val="000000" w:themeColor="text1"/>
          <w:lang w:val="en-US"/>
        </w:rPr>
        <w:t>)</w:t>
      </w:r>
      <w:r w:rsidRPr="00B40A77">
        <w:rPr>
          <w:color w:val="000000" w:themeColor="text1"/>
          <w:lang w:val="en-US"/>
        </w:rPr>
        <w:tab/>
      </w:r>
      <w:r w:rsidR="004A7CD9" w:rsidRPr="00B40A77">
        <w:rPr>
          <w:color w:val="000000" w:themeColor="text1"/>
          <w:lang w:val="en-US"/>
        </w:rPr>
        <w:t xml:space="preserve">An </w:t>
      </w:r>
      <w:r w:rsidR="008B3E79" w:rsidRPr="00B40A77">
        <w:rPr>
          <w:color w:val="000000" w:themeColor="text1"/>
          <w:lang w:val="en-US"/>
        </w:rPr>
        <w:t>I</w:t>
      </w:r>
      <w:r w:rsidR="004A7CD9" w:rsidRPr="00B40A77">
        <w:rPr>
          <w:color w:val="000000" w:themeColor="text1"/>
          <w:lang w:val="en-US"/>
        </w:rPr>
        <w:t>nformation is not open to objection by reason only of failure to comp</w:t>
      </w:r>
      <w:r w:rsidR="002C32DF" w:rsidRPr="00B40A77">
        <w:rPr>
          <w:color w:val="000000" w:themeColor="text1"/>
          <w:lang w:val="en-US"/>
        </w:rPr>
        <w:t>ly</w:t>
      </w:r>
      <w:r w:rsidR="00E83080" w:rsidRPr="00B40A77">
        <w:rPr>
          <w:color w:val="000000" w:themeColor="text1"/>
          <w:lang w:val="en-US"/>
        </w:rPr>
        <w:t xml:space="preserve"> with this rule or with </w:t>
      </w:r>
      <w:hyperlink w:anchor="Elkera_Print_TOC474" w:history="1">
        <w:r w:rsidR="00E83080" w:rsidRPr="00B40A77">
          <w:rPr>
            <w:rStyle w:val="Hyperlink"/>
            <w:color w:val="000000" w:themeColor="text1"/>
            <w:lang w:val="en-US"/>
          </w:rPr>
          <w:t>rule 6</w:t>
        </w:r>
        <w:r w:rsidR="00D539F2" w:rsidRPr="00B40A77">
          <w:rPr>
            <w:rStyle w:val="Hyperlink"/>
            <w:color w:val="000000" w:themeColor="text1"/>
            <w:lang w:val="en-US"/>
          </w:rPr>
          <w:t>2</w:t>
        </w:r>
        <w:r w:rsidR="009206A9" w:rsidRPr="00B40A77">
          <w:rPr>
            <w:rStyle w:val="Hyperlink"/>
            <w:color w:val="000000" w:themeColor="text1"/>
            <w:lang w:val="en-US"/>
          </w:rPr>
          <w:t>.</w:t>
        </w:r>
        <w:r w:rsidR="00162959" w:rsidRPr="00B40A77">
          <w:rPr>
            <w:rStyle w:val="Hyperlink"/>
            <w:color w:val="000000" w:themeColor="text1"/>
            <w:lang w:val="en-US"/>
          </w:rPr>
          <w:t>2</w:t>
        </w:r>
      </w:hyperlink>
      <w:r w:rsidR="00162959" w:rsidRPr="00B40A77">
        <w:rPr>
          <w:color w:val="000000" w:themeColor="text1"/>
          <w:lang w:val="en-US"/>
        </w:rPr>
        <w:t xml:space="preserve"> or </w:t>
      </w:r>
      <w:hyperlink w:anchor="_62.3—Accompanying_documents" w:history="1">
        <w:r w:rsidR="00162959" w:rsidRPr="00B40A77">
          <w:rPr>
            <w:rStyle w:val="Hyperlink"/>
            <w:color w:val="000000" w:themeColor="text1"/>
            <w:lang w:val="en-US"/>
          </w:rPr>
          <w:t>rule 62.3</w:t>
        </w:r>
      </w:hyperlink>
      <w:r w:rsidR="004A7CD9" w:rsidRPr="00B40A77">
        <w:rPr>
          <w:color w:val="000000" w:themeColor="text1"/>
          <w:lang w:val="en-US"/>
        </w:rPr>
        <w:t>.</w:t>
      </w:r>
    </w:p>
    <w:p w14:paraId="739BA155" w14:textId="70DC09BA" w:rsidR="00686D71" w:rsidRPr="00B40A77" w:rsidRDefault="00E83080" w:rsidP="00A237CA">
      <w:pPr>
        <w:pStyle w:val="Heading4"/>
        <w:rPr>
          <w:color w:val="000000" w:themeColor="text1"/>
        </w:rPr>
      </w:pPr>
      <w:bookmarkStart w:id="451" w:name="Elkera_Print_TOC474"/>
      <w:bookmarkStart w:id="452" w:name="Elkera_Print_BK474"/>
      <w:bookmarkStart w:id="453" w:name="Elkera_Print_TOC475"/>
      <w:bookmarkStart w:id="454" w:name="Elkera_Print_BK475"/>
      <w:bookmarkStart w:id="455" w:name="Elkera_Print_TOC476"/>
      <w:bookmarkStart w:id="456" w:name="Elkera_Print_BK476"/>
      <w:bookmarkStart w:id="457" w:name="Elkera_Print_TOC482"/>
      <w:bookmarkStart w:id="458" w:name="Elkera_Print_BK482"/>
      <w:bookmarkStart w:id="459" w:name="Elkera_Print_TOC483"/>
      <w:bookmarkStart w:id="460" w:name="Elkera_Print_BK483"/>
      <w:bookmarkStart w:id="461" w:name="_63.2—Subsequent_statement_of"/>
      <w:bookmarkStart w:id="462" w:name="_63.3—Claim_documents_to"/>
      <w:bookmarkStart w:id="463" w:name="_62.2—Particulars"/>
      <w:bookmarkStart w:id="464" w:name="_Toc60133501"/>
      <w:bookmarkStart w:id="465" w:name="_Toc175238960"/>
      <w:bookmarkStart w:id="466" w:name="_Toc19183010"/>
      <w:bookmarkEnd w:id="441"/>
      <w:bookmarkEnd w:id="442"/>
      <w:bookmarkEnd w:id="447"/>
      <w:bookmarkEnd w:id="451"/>
      <w:bookmarkEnd w:id="452"/>
      <w:bookmarkEnd w:id="453"/>
      <w:bookmarkEnd w:id="454"/>
      <w:bookmarkEnd w:id="455"/>
      <w:bookmarkEnd w:id="456"/>
      <w:bookmarkEnd w:id="457"/>
      <w:bookmarkEnd w:id="458"/>
      <w:bookmarkEnd w:id="459"/>
      <w:bookmarkEnd w:id="460"/>
      <w:bookmarkEnd w:id="461"/>
      <w:bookmarkEnd w:id="462"/>
      <w:bookmarkEnd w:id="463"/>
      <w:r w:rsidRPr="00B40A77">
        <w:rPr>
          <w:color w:val="000000" w:themeColor="text1"/>
        </w:rPr>
        <w:t>6</w:t>
      </w:r>
      <w:r w:rsidR="00BC5DE3" w:rsidRPr="00B40A77">
        <w:rPr>
          <w:color w:val="000000" w:themeColor="text1"/>
        </w:rPr>
        <w:t>2.2</w:t>
      </w:r>
      <w:r w:rsidR="00686D71" w:rsidRPr="00B40A77">
        <w:rPr>
          <w:color w:val="000000" w:themeColor="text1"/>
        </w:rPr>
        <w:t>—Particulars</w:t>
      </w:r>
      <w:bookmarkEnd w:id="464"/>
      <w:bookmarkEnd w:id="465"/>
    </w:p>
    <w:p w14:paraId="10B3A3F6" w14:textId="23AC98F7" w:rsidR="00F52A22" w:rsidRPr="00B40A77" w:rsidRDefault="000E6A53" w:rsidP="00F52A22">
      <w:pPr>
        <w:pStyle w:val="Hangindent"/>
        <w:keepNext/>
        <w:keepLines/>
        <w:rPr>
          <w:color w:val="000000" w:themeColor="text1"/>
          <w:szCs w:val="24"/>
          <w:lang w:val="en-US"/>
        </w:rPr>
      </w:pPr>
      <w:bookmarkStart w:id="467" w:name="Elkera_Print_TOC477"/>
      <w:bookmarkStart w:id="468" w:name="Elkera_Print_BK477"/>
      <w:bookmarkEnd w:id="467"/>
      <w:bookmarkEnd w:id="468"/>
      <w:r w:rsidRPr="00B40A77">
        <w:rPr>
          <w:color w:val="000000" w:themeColor="text1"/>
          <w:szCs w:val="24"/>
          <w:lang w:val="en-US"/>
        </w:rPr>
        <w:t>(1</w:t>
      </w:r>
      <w:r w:rsidR="00F52A22" w:rsidRPr="00B40A77">
        <w:rPr>
          <w:color w:val="000000" w:themeColor="text1"/>
          <w:szCs w:val="24"/>
          <w:lang w:val="en-US"/>
        </w:rPr>
        <w:t>)</w:t>
      </w:r>
      <w:r w:rsidR="00F52A22" w:rsidRPr="00B40A77">
        <w:rPr>
          <w:color w:val="000000" w:themeColor="text1"/>
          <w:szCs w:val="24"/>
          <w:lang w:val="en-US"/>
        </w:rPr>
        <w:tab/>
        <w:t>If an offence comprises—</w:t>
      </w:r>
    </w:p>
    <w:p w14:paraId="56A5CA64" w14:textId="77777777" w:rsidR="00F52A22" w:rsidRPr="00B40A77" w:rsidRDefault="00F52A22" w:rsidP="00F52A22">
      <w:pPr>
        <w:pStyle w:val="Doublehangindent"/>
        <w:rPr>
          <w:color w:val="000000" w:themeColor="text1"/>
          <w:lang w:val="en-US"/>
        </w:rPr>
      </w:pPr>
      <w:r w:rsidRPr="00B40A77">
        <w:rPr>
          <w:color w:val="000000" w:themeColor="text1"/>
          <w:lang w:val="en-US"/>
        </w:rPr>
        <w:t>(a)</w:t>
      </w:r>
      <w:r w:rsidRPr="00B40A77">
        <w:rPr>
          <w:color w:val="000000" w:themeColor="text1"/>
          <w:lang w:val="en-US"/>
        </w:rPr>
        <w:tab/>
        <w:t>any one of several different acts or omissions;</w:t>
      </w:r>
    </w:p>
    <w:p w14:paraId="315236BF" w14:textId="77777777" w:rsidR="00F52A22" w:rsidRPr="00B40A77" w:rsidRDefault="00F52A22" w:rsidP="00F52A22">
      <w:pPr>
        <w:pStyle w:val="Doublehangindent"/>
        <w:rPr>
          <w:color w:val="000000" w:themeColor="text1"/>
          <w:lang w:val="en-US"/>
        </w:rPr>
      </w:pPr>
      <w:r w:rsidRPr="00B40A77">
        <w:rPr>
          <w:color w:val="000000" w:themeColor="text1"/>
          <w:lang w:val="en-US"/>
        </w:rPr>
        <w:t>(b)</w:t>
      </w:r>
      <w:r w:rsidRPr="00B40A77">
        <w:rPr>
          <w:color w:val="000000" w:themeColor="text1"/>
          <w:lang w:val="en-US"/>
        </w:rPr>
        <w:tab/>
        <w:t>an act or omission in any one of several capacities;</w:t>
      </w:r>
    </w:p>
    <w:p w14:paraId="3A0AFDC0" w14:textId="31FFB75E" w:rsidR="00F52A22" w:rsidRPr="00B40A77" w:rsidRDefault="00F52A22" w:rsidP="00F52A22">
      <w:pPr>
        <w:pStyle w:val="Doublehangindent"/>
        <w:rPr>
          <w:color w:val="000000" w:themeColor="text1"/>
          <w:lang w:val="en-US"/>
        </w:rPr>
      </w:pPr>
      <w:r w:rsidRPr="00B40A77">
        <w:rPr>
          <w:color w:val="000000" w:themeColor="text1"/>
          <w:lang w:val="en-US"/>
        </w:rPr>
        <w:t>(c)</w:t>
      </w:r>
      <w:r w:rsidRPr="00B40A77">
        <w:rPr>
          <w:color w:val="000000" w:themeColor="text1"/>
          <w:lang w:val="en-US"/>
        </w:rPr>
        <w:tab/>
        <w:t>an act or omission with any one of several intentions;</w:t>
      </w:r>
      <w:r w:rsidR="000E6A53" w:rsidRPr="00B40A77">
        <w:rPr>
          <w:color w:val="000000" w:themeColor="text1"/>
          <w:lang w:val="en-US"/>
        </w:rPr>
        <w:t xml:space="preserve"> or</w:t>
      </w:r>
    </w:p>
    <w:p w14:paraId="52B589B6" w14:textId="77777777" w:rsidR="00F52A22" w:rsidRPr="00B40A77" w:rsidRDefault="00F52A22" w:rsidP="00F52A22">
      <w:pPr>
        <w:pStyle w:val="Doublehangindent"/>
        <w:rPr>
          <w:color w:val="000000" w:themeColor="text1"/>
          <w:lang w:val="en-US"/>
        </w:rPr>
      </w:pPr>
      <w:r w:rsidRPr="00B40A77">
        <w:rPr>
          <w:color w:val="000000" w:themeColor="text1"/>
          <w:lang w:val="en-US"/>
        </w:rPr>
        <w:t>(d)</w:t>
      </w:r>
      <w:r w:rsidRPr="00B40A77">
        <w:rPr>
          <w:color w:val="000000" w:themeColor="text1"/>
          <w:lang w:val="en-US"/>
        </w:rPr>
        <w:tab/>
        <w:t>any other element in the alternative,</w:t>
      </w:r>
    </w:p>
    <w:p w14:paraId="1970F897" w14:textId="482BE3D6" w:rsidR="00F52A22" w:rsidRPr="00B40A77" w:rsidRDefault="00F52A22" w:rsidP="000E6A53">
      <w:pPr>
        <w:pStyle w:val="Doublehangindent"/>
        <w:ind w:left="1134" w:firstLine="0"/>
        <w:rPr>
          <w:color w:val="000000" w:themeColor="text1"/>
          <w:lang w:val="en-US"/>
        </w:rPr>
      </w:pPr>
      <w:r w:rsidRPr="00B40A77">
        <w:rPr>
          <w:color w:val="000000" w:themeColor="text1"/>
          <w:lang w:val="en-US"/>
        </w:rPr>
        <w:t>the acts, omissions, capacities, intentions or other matters in the alternative may be stated in the alternative in the count charging the offence.</w:t>
      </w:r>
    </w:p>
    <w:p w14:paraId="1DFD7ACB" w14:textId="7FCBE3DF" w:rsidR="00F52A22" w:rsidRPr="00B40A77" w:rsidRDefault="000E6A53" w:rsidP="00F52A22">
      <w:pPr>
        <w:pStyle w:val="Hangindent"/>
        <w:keepNext/>
        <w:keepLines/>
        <w:rPr>
          <w:color w:val="000000" w:themeColor="text1"/>
          <w:szCs w:val="24"/>
          <w:lang w:val="en-US"/>
        </w:rPr>
      </w:pPr>
      <w:r w:rsidRPr="00B40A77">
        <w:rPr>
          <w:color w:val="000000" w:themeColor="text1"/>
          <w:szCs w:val="24"/>
          <w:lang w:val="en-US"/>
        </w:rPr>
        <w:lastRenderedPageBreak/>
        <w:t>(2</w:t>
      </w:r>
      <w:r w:rsidR="00F52A22" w:rsidRPr="00B40A77">
        <w:rPr>
          <w:color w:val="000000" w:themeColor="text1"/>
          <w:szCs w:val="24"/>
          <w:lang w:val="en-US"/>
        </w:rPr>
        <w:t>)</w:t>
      </w:r>
      <w:r w:rsidR="00F52A22" w:rsidRPr="00B40A77">
        <w:rPr>
          <w:color w:val="000000" w:themeColor="text1"/>
          <w:szCs w:val="24"/>
          <w:lang w:val="en-US"/>
        </w:rPr>
        <w:tab/>
        <w:t xml:space="preserve">It is not necessary, in a count charging a statutory offence, to negative any exception or exemption from, or qualification </w:t>
      </w:r>
      <w:r w:rsidRPr="00B40A77">
        <w:rPr>
          <w:color w:val="000000" w:themeColor="text1"/>
          <w:szCs w:val="24"/>
          <w:lang w:val="en-US"/>
        </w:rPr>
        <w:t>of, the operation of the statutory provision</w:t>
      </w:r>
      <w:r w:rsidR="00F52A22" w:rsidRPr="00B40A77">
        <w:rPr>
          <w:color w:val="000000" w:themeColor="text1"/>
          <w:szCs w:val="24"/>
          <w:lang w:val="en-US"/>
        </w:rPr>
        <w:t xml:space="preserve"> creating the offence. </w:t>
      </w:r>
    </w:p>
    <w:p w14:paraId="3489263A" w14:textId="6463BA73" w:rsidR="00686D71" w:rsidRPr="00B40A77" w:rsidRDefault="000E6A53" w:rsidP="00686D71">
      <w:pPr>
        <w:pStyle w:val="Hangindent"/>
        <w:keepNext/>
        <w:keepLines/>
        <w:rPr>
          <w:color w:val="000000" w:themeColor="text1"/>
          <w:szCs w:val="24"/>
          <w:lang w:val="en-US"/>
        </w:rPr>
      </w:pPr>
      <w:r w:rsidRPr="00B40A77">
        <w:rPr>
          <w:color w:val="000000" w:themeColor="text1"/>
          <w:szCs w:val="24"/>
          <w:lang w:val="en-US"/>
        </w:rPr>
        <w:t>(3</w:t>
      </w:r>
      <w:r w:rsidR="00FA1C4C" w:rsidRPr="00B40A77">
        <w:rPr>
          <w:color w:val="000000" w:themeColor="text1"/>
          <w:szCs w:val="24"/>
          <w:lang w:val="en-US"/>
        </w:rPr>
        <w:t>)</w:t>
      </w:r>
      <w:r w:rsidR="00FA1C4C" w:rsidRPr="00B40A77">
        <w:rPr>
          <w:color w:val="000000" w:themeColor="text1"/>
          <w:szCs w:val="24"/>
          <w:lang w:val="en-US"/>
        </w:rPr>
        <w:tab/>
      </w:r>
      <w:r w:rsidR="00686D71" w:rsidRPr="00B40A77">
        <w:rPr>
          <w:color w:val="000000" w:themeColor="text1"/>
          <w:szCs w:val="24"/>
          <w:lang w:val="en-US"/>
        </w:rPr>
        <w:t xml:space="preserve">The description or designation of a person to whom reference is made (other than a defendant or </w:t>
      </w:r>
      <w:r w:rsidR="007F546C" w:rsidRPr="00B40A77">
        <w:rPr>
          <w:color w:val="000000" w:themeColor="text1"/>
          <w:szCs w:val="24"/>
          <w:lang w:val="en-US"/>
        </w:rPr>
        <w:t>youth</w:t>
      </w:r>
      <w:r w:rsidR="00686D71" w:rsidRPr="00B40A77">
        <w:rPr>
          <w:color w:val="000000" w:themeColor="text1"/>
          <w:szCs w:val="24"/>
          <w:lang w:val="en-US"/>
        </w:rPr>
        <w:t>) must be sufficient to identify the person, without necessarily stating their full and correct name</w:t>
      </w:r>
      <w:r w:rsidR="00DB250B" w:rsidRPr="00B40A77">
        <w:rPr>
          <w:color w:val="000000" w:themeColor="text1"/>
          <w:szCs w:val="24"/>
          <w:lang w:val="en-US"/>
        </w:rPr>
        <w:t xml:space="preserve"> or</w:t>
      </w:r>
      <w:r w:rsidR="00686D71" w:rsidRPr="00B40A77">
        <w:rPr>
          <w:color w:val="000000" w:themeColor="text1"/>
          <w:szCs w:val="24"/>
          <w:lang w:val="en-US"/>
        </w:rPr>
        <w:t xml:space="preserve"> address.</w:t>
      </w:r>
    </w:p>
    <w:p w14:paraId="0C8C4BBA" w14:textId="308C663D" w:rsidR="00686D71" w:rsidRPr="00B40A77" w:rsidRDefault="00686D71"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4</w:t>
      </w:r>
      <w:r w:rsidRPr="00B40A77">
        <w:rPr>
          <w:color w:val="000000" w:themeColor="text1"/>
          <w:szCs w:val="24"/>
          <w:lang w:val="en-US"/>
        </w:rPr>
        <w:t>)</w:t>
      </w:r>
      <w:r w:rsidRPr="00B40A77">
        <w:rPr>
          <w:color w:val="000000" w:themeColor="text1"/>
          <w:szCs w:val="24"/>
          <w:lang w:val="en-US"/>
        </w:rPr>
        <w:tab/>
        <w:t xml:space="preserve">If such a description or designation cannot be given, the best description or designation must be given, or the person may be described as “a person unknown”. </w:t>
      </w:r>
      <w:bookmarkStart w:id="469" w:name="Elkera_Print_TOC478"/>
      <w:bookmarkStart w:id="470" w:name="Elkera_Print_BK478"/>
      <w:bookmarkEnd w:id="469"/>
      <w:bookmarkEnd w:id="470"/>
    </w:p>
    <w:p w14:paraId="594FC898" w14:textId="3FCCC327" w:rsidR="002B3C97" w:rsidRPr="00B40A77" w:rsidRDefault="000E6A53" w:rsidP="00686D71">
      <w:pPr>
        <w:pStyle w:val="Hangindent"/>
        <w:rPr>
          <w:color w:val="000000" w:themeColor="text1"/>
          <w:szCs w:val="24"/>
          <w:lang w:val="en-US"/>
        </w:rPr>
      </w:pPr>
      <w:r w:rsidRPr="00B40A77">
        <w:rPr>
          <w:color w:val="000000" w:themeColor="text1"/>
          <w:szCs w:val="24"/>
          <w:lang w:val="en-US"/>
        </w:rPr>
        <w:t>(5</w:t>
      </w:r>
      <w:r w:rsidR="00686D71" w:rsidRPr="00B40A77">
        <w:rPr>
          <w:color w:val="000000" w:themeColor="text1"/>
          <w:szCs w:val="24"/>
          <w:lang w:val="en-US"/>
        </w:rPr>
        <w:t>)</w:t>
      </w:r>
      <w:r w:rsidR="00686D71" w:rsidRPr="00B40A77">
        <w:rPr>
          <w:color w:val="000000" w:themeColor="text1"/>
          <w:szCs w:val="24"/>
          <w:lang w:val="en-US"/>
        </w:rPr>
        <w:tab/>
        <w:t>The description of property</w:t>
      </w:r>
      <w:r w:rsidR="00686D71" w:rsidRPr="00B40A77">
        <w:rPr>
          <w:color w:val="000000" w:themeColor="text1"/>
          <w:szCs w:val="24"/>
        </w:rPr>
        <w:t xml:space="preserve"> </w:t>
      </w:r>
      <w:r w:rsidR="00686D71" w:rsidRPr="00B40A77">
        <w:rPr>
          <w:color w:val="000000" w:themeColor="text1"/>
          <w:szCs w:val="24"/>
          <w:lang w:val="en-US"/>
        </w:rPr>
        <w:t xml:space="preserve">must be sufficient to identify the property. </w:t>
      </w:r>
    </w:p>
    <w:p w14:paraId="7D41CB13" w14:textId="034DD05F" w:rsidR="00686D71"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6</w:t>
      </w:r>
      <w:r w:rsidRPr="00B40A77">
        <w:rPr>
          <w:color w:val="000000" w:themeColor="text1"/>
          <w:szCs w:val="24"/>
          <w:lang w:val="en-US"/>
        </w:rPr>
        <w:t>)</w:t>
      </w:r>
      <w:r w:rsidRPr="00B40A77">
        <w:rPr>
          <w:color w:val="000000" w:themeColor="text1"/>
          <w:szCs w:val="24"/>
          <w:lang w:val="en-US"/>
        </w:rPr>
        <w:tab/>
      </w:r>
      <w:r w:rsidR="00686D71" w:rsidRPr="00B40A77">
        <w:rPr>
          <w:color w:val="000000" w:themeColor="text1"/>
          <w:szCs w:val="24"/>
          <w:lang w:val="en-US"/>
        </w:rPr>
        <w:t xml:space="preserve">Unless an offence depends on the special ownership or value of </w:t>
      </w:r>
      <w:r w:rsidR="00686D71" w:rsidRPr="00B40A77">
        <w:rPr>
          <w:color w:val="000000" w:themeColor="text1"/>
          <w:szCs w:val="24"/>
        </w:rPr>
        <w:t>property, it</w:t>
      </w:r>
      <w:r w:rsidR="00686D71" w:rsidRPr="00B40A77">
        <w:rPr>
          <w:color w:val="000000" w:themeColor="text1"/>
          <w:szCs w:val="24"/>
          <w:lang w:val="en-US"/>
        </w:rPr>
        <w:t xml:space="preserve"> is not necessary to state the owner or value of the property. </w:t>
      </w:r>
    </w:p>
    <w:p w14:paraId="31D7E49F" w14:textId="7813893D" w:rsidR="002B3C97"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7</w:t>
      </w:r>
      <w:r w:rsidR="00686D71" w:rsidRPr="00B40A77">
        <w:rPr>
          <w:color w:val="000000" w:themeColor="text1"/>
          <w:szCs w:val="24"/>
          <w:lang w:val="en-US"/>
        </w:rPr>
        <w:t>)</w:t>
      </w:r>
      <w:r w:rsidR="00686D71" w:rsidRPr="00B40A77">
        <w:rPr>
          <w:color w:val="000000" w:themeColor="text1"/>
          <w:szCs w:val="24"/>
          <w:lang w:val="en-US"/>
        </w:rPr>
        <w:tab/>
        <w:t xml:space="preserve">If reference is made to property with multiple owners, it is sufficient to describe it as owned by one named person “with others”. </w:t>
      </w:r>
    </w:p>
    <w:p w14:paraId="6018940F" w14:textId="3B577227" w:rsidR="00686D71"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8</w:t>
      </w:r>
      <w:r w:rsidRPr="00B40A77">
        <w:rPr>
          <w:color w:val="000000" w:themeColor="text1"/>
          <w:szCs w:val="24"/>
          <w:lang w:val="en-US"/>
        </w:rPr>
        <w:t>)</w:t>
      </w:r>
      <w:r w:rsidRPr="00B40A77">
        <w:rPr>
          <w:color w:val="000000" w:themeColor="text1"/>
          <w:szCs w:val="24"/>
          <w:lang w:val="en-US"/>
        </w:rPr>
        <w:tab/>
        <w:t xml:space="preserve">If </w:t>
      </w:r>
      <w:r w:rsidR="00686D71" w:rsidRPr="00B40A77">
        <w:rPr>
          <w:color w:val="000000" w:themeColor="text1"/>
          <w:szCs w:val="24"/>
          <w:lang w:val="en-US"/>
        </w:rPr>
        <w:t xml:space="preserve">owners </w:t>
      </w:r>
      <w:r w:rsidRPr="00B40A77">
        <w:rPr>
          <w:color w:val="000000" w:themeColor="text1"/>
          <w:szCs w:val="24"/>
          <w:lang w:val="en-US"/>
        </w:rPr>
        <w:t xml:space="preserve">of property </w:t>
      </w:r>
      <w:r w:rsidR="00686D71" w:rsidRPr="00B40A77">
        <w:rPr>
          <w:color w:val="000000" w:themeColor="text1"/>
          <w:szCs w:val="24"/>
          <w:lang w:val="en-US"/>
        </w:rPr>
        <w:t>are a body of persons with a collective name, such as "Trustees", "Commissioners" or "Club", it is sufficient to use the co</w:t>
      </w:r>
      <w:r w:rsidRPr="00B40A77">
        <w:rPr>
          <w:color w:val="000000" w:themeColor="text1"/>
          <w:szCs w:val="24"/>
          <w:lang w:val="en-US"/>
        </w:rPr>
        <w:t>llective name without naming an</w:t>
      </w:r>
      <w:r w:rsidR="00686D71" w:rsidRPr="00B40A77">
        <w:rPr>
          <w:color w:val="000000" w:themeColor="text1"/>
          <w:szCs w:val="24"/>
          <w:lang w:val="en-US"/>
        </w:rPr>
        <w:t xml:space="preserve"> individual. </w:t>
      </w:r>
      <w:bookmarkStart w:id="471" w:name="Elkera_Print_TOC479"/>
      <w:bookmarkStart w:id="472" w:name="Elkera_Print_BK479"/>
      <w:bookmarkStart w:id="473" w:name="Elkera_Print_TOC480"/>
      <w:bookmarkStart w:id="474" w:name="Elkera_Print_BK480"/>
      <w:bookmarkEnd w:id="471"/>
      <w:bookmarkEnd w:id="472"/>
      <w:bookmarkEnd w:id="473"/>
      <w:bookmarkEnd w:id="474"/>
    </w:p>
    <w:p w14:paraId="57857312" w14:textId="44E5C71B" w:rsidR="002B3C97"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9</w:t>
      </w:r>
      <w:r w:rsidR="00686D71" w:rsidRPr="00B40A77">
        <w:rPr>
          <w:color w:val="000000" w:themeColor="text1"/>
          <w:szCs w:val="24"/>
          <w:lang w:val="en-US"/>
        </w:rPr>
        <w:t>)</w:t>
      </w:r>
      <w:r w:rsidR="00686D71" w:rsidRPr="00B40A77">
        <w:rPr>
          <w:color w:val="000000" w:themeColor="text1"/>
          <w:szCs w:val="24"/>
          <w:lang w:val="en-US"/>
        </w:rPr>
        <w:tab/>
        <w:t xml:space="preserve">The description of a document or instrument </w:t>
      </w:r>
      <w:r w:rsidRPr="00B40A77">
        <w:rPr>
          <w:color w:val="000000" w:themeColor="text1"/>
          <w:szCs w:val="24"/>
          <w:lang w:val="en-US"/>
        </w:rPr>
        <w:t>must</w:t>
      </w:r>
      <w:r w:rsidR="00686D71" w:rsidRPr="00B40A77">
        <w:rPr>
          <w:color w:val="000000" w:themeColor="text1"/>
          <w:szCs w:val="24"/>
          <w:lang w:val="en-US"/>
        </w:rPr>
        <w:t xml:space="preserve"> be sufficient to identify it. </w:t>
      </w:r>
    </w:p>
    <w:p w14:paraId="29F4DC8A" w14:textId="70D00461" w:rsidR="00686D71"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10</w:t>
      </w:r>
      <w:r w:rsidRPr="00B40A77">
        <w:rPr>
          <w:color w:val="000000" w:themeColor="text1"/>
          <w:szCs w:val="24"/>
          <w:lang w:val="en-US"/>
        </w:rPr>
        <w:t>)</w:t>
      </w:r>
      <w:r w:rsidRPr="00B40A77">
        <w:rPr>
          <w:color w:val="000000" w:themeColor="text1"/>
          <w:szCs w:val="24"/>
          <w:lang w:val="en-US"/>
        </w:rPr>
        <w:tab/>
      </w:r>
      <w:r w:rsidR="00686D71" w:rsidRPr="00B40A77">
        <w:rPr>
          <w:color w:val="000000" w:themeColor="text1"/>
          <w:szCs w:val="24"/>
          <w:lang w:val="en-US"/>
        </w:rPr>
        <w:t xml:space="preserve">It is sufficient to describe a document or instrument by a name or designation by which it is </w:t>
      </w:r>
      <w:r w:rsidR="00C53698" w:rsidRPr="00B40A77">
        <w:rPr>
          <w:color w:val="000000" w:themeColor="text1"/>
          <w:szCs w:val="24"/>
          <w:lang w:val="en-US"/>
        </w:rPr>
        <w:t>generally</w:t>
      </w:r>
      <w:r w:rsidR="00686D71" w:rsidRPr="00B40A77">
        <w:rPr>
          <w:color w:val="000000" w:themeColor="text1"/>
          <w:szCs w:val="24"/>
          <w:lang w:val="en-US"/>
        </w:rPr>
        <w:t xml:space="preserve"> known, or by its effect, without setting out a copy of it. </w:t>
      </w:r>
      <w:bookmarkStart w:id="475" w:name="Elkera_Print_TOC481"/>
      <w:bookmarkStart w:id="476" w:name="Elkera_Print_BK481"/>
      <w:bookmarkEnd w:id="475"/>
      <w:bookmarkEnd w:id="476"/>
    </w:p>
    <w:p w14:paraId="31BD72D9" w14:textId="16DB457D" w:rsidR="00686D71" w:rsidRPr="00B40A77" w:rsidRDefault="002B3C97" w:rsidP="00686D71">
      <w:pPr>
        <w:pStyle w:val="Hangindent"/>
        <w:rPr>
          <w:color w:val="000000" w:themeColor="text1"/>
          <w:szCs w:val="24"/>
          <w:lang w:val="en-US"/>
        </w:rPr>
      </w:pPr>
      <w:r w:rsidRPr="00B40A77">
        <w:rPr>
          <w:color w:val="000000" w:themeColor="text1"/>
          <w:szCs w:val="24"/>
          <w:lang w:val="en-US"/>
        </w:rPr>
        <w:t>(</w:t>
      </w:r>
      <w:r w:rsidR="000E6A53" w:rsidRPr="00B40A77">
        <w:rPr>
          <w:color w:val="000000" w:themeColor="text1"/>
          <w:szCs w:val="24"/>
          <w:lang w:val="en-US"/>
        </w:rPr>
        <w:t>11</w:t>
      </w:r>
      <w:r w:rsidR="00686D71" w:rsidRPr="00B40A77">
        <w:rPr>
          <w:color w:val="000000" w:themeColor="text1"/>
          <w:szCs w:val="24"/>
          <w:lang w:val="en-US"/>
        </w:rPr>
        <w:t>)</w:t>
      </w:r>
      <w:r w:rsidR="00686D71" w:rsidRPr="00B40A77">
        <w:rPr>
          <w:color w:val="000000" w:themeColor="text1"/>
          <w:szCs w:val="24"/>
          <w:lang w:val="en-US"/>
        </w:rPr>
        <w:tab/>
        <w:t xml:space="preserve">The description of a place, time, thing, matter, act or omission </w:t>
      </w:r>
      <w:r w:rsidRPr="00B40A77">
        <w:rPr>
          <w:color w:val="000000" w:themeColor="text1"/>
          <w:szCs w:val="24"/>
          <w:lang w:val="en-US"/>
        </w:rPr>
        <w:t>must</w:t>
      </w:r>
      <w:r w:rsidR="00686D71" w:rsidRPr="00B40A77">
        <w:rPr>
          <w:color w:val="000000" w:themeColor="text1"/>
          <w:szCs w:val="24"/>
          <w:lang w:val="en-US"/>
        </w:rPr>
        <w:t xml:space="preserve"> be sufficient to identify it. </w:t>
      </w:r>
    </w:p>
    <w:p w14:paraId="4BEBCB11" w14:textId="5CBE4920" w:rsidR="00686D71" w:rsidRPr="00B40A77" w:rsidRDefault="002B3C97" w:rsidP="00686D71">
      <w:pPr>
        <w:pStyle w:val="Hangindent"/>
        <w:rPr>
          <w:color w:val="000000" w:themeColor="text1"/>
          <w:szCs w:val="24"/>
          <w:lang w:val="en-US"/>
        </w:rPr>
      </w:pPr>
      <w:r w:rsidRPr="00B40A77">
        <w:rPr>
          <w:color w:val="000000" w:themeColor="text1"/>
          <w:szCs w:val="24"/>
          <w:lang w:val="en-US"/>
        </w:rPr>
        <w:t>(1</w:t>
      </w:r>
      <w:r w:rsidR="000E6A53" w:rsidRPr="00B40A77">
        <w:rPr>
          <w:color w:val="000000" w:themeColor="text1"/>
          <w:szCs w:val="24"/>
          <w:lang w:val="en-US"/>
        </w:rPr>
        <w:t>2</w:t>
      </w:r>
      <w:r w:rsidR="00686D71" w:rsidRPr="00B40A77">
        <w:rPr>
          <w:color w:val="000000" w:themeColor="text1"/>
          <w:szCs w:val="24"/>
          <w:lang w:val="en-US"/>
        </w:rPr>
        <w:t>)</w:t>
      </w:r>
      <w:r w:rsidR="00686D71" w:rsidRPr="00B40A77">
        <w:rPr>
          <w:color w:val="000000" w:themeColor="text1"/>
          <w:szCs w:val="24"/>
          <w:lang w:val="en-US"/>
        </w:rPr>
        <w:tab/>
        <w:t>Figures and abbreviations may be used to express anything commonly expressed in that manner.</w:t>
      </w:r>
    </w:p>
    <w:p w14:paraId="2FDA3C05" w14:textId="64EDA71B" w:rsidR="00686D71" w:rsidRPr="00B40A77" w:rsidRDefault="002B3C97" w:rsidP="00686D71">
      <w:pPr>
        <w:pStyle w:val="Hangindent"/>
        <w:rPr>
          <w:color w:val="000000" w:themeColor="text1"/>
          <w:szCs w:val="24"/>
          <w:lang w:val="en-US"/>
        </w:rPr>
      </w:pPr>
      <w:r w:rsidRPr="00B40A77">
        <w:rPr>
          <w:color w:val="000000" w:themeColor="text1"/>
          <w:szCs w:val="24"/>
          <w:lang w:val="en-US"/>
        </w:rPr>
        <w:t>(1</w:t>
      </w:r>
      <w:r w:rsidR="000E6A53" w:rsidRPr="00B40A77">
        <w:rPr>
          <w:color w:val="000000" w:themeColor="text1"/>
          <w:szCs w:val="24"/>
          <w:lang w:val="en-US"/>
        </w:rPr>
        <w:t>3</w:t>
      </w:r>
      <w:r w:rsidR="00686D71" w:rsidRPr="00B40A77">
        <w:rPr>
          <w:color w:val="000000" w:themeColor="text1"/>
          <w:szCs w:val="24"/>
          <w:lang w:val="en-US"/>
        </w:rPr>
        <w:t>)</w:t>
      </w:r>
      <w:r w:rsidR="00686D71" w:rsidRPr="00B40A77">
        <w:rPr>
          <w:color w:val="000000" w:themeColor="text1"/>
          <w:szCs w:val="24"/>
          <w:lang w:val="en-US"/>
        </w:rPr>
        <w:tab/>
        <w:t xml:space="preserve">If a rule of law or </w:t>
      </w:r>
      <w:r w:rsidR="00532AD4" w:rsidRPr="00B40A77">
        <w:rPr>
          <w:color w:val="000000" w:themeColor="text1"/>
          <w:szCs w:val="24"/>
          <w:lang w:val="en-US"/>
        </w:rPr>
        <w:t>statutory provision</w:t>
      </w:r>
      <w:r w:rsidR="00686D71" w:rsidRPr="00B40A77">
        <w:rPr>
          <w:color w:val="000000" w:themeColor="text1"/>
          <w:szCs w:val="24"/>
          <w:lang w:val="en-US"/>
        </w:rPr>
        <w:t xml:space="preserve"> limits the particulars required to be given, this rule does not require more detailed particulars than those required by the rule or </w:t>
      </w:r>
      <w:r w:rsidR="00532AD4" w:rsidRPr="00B40A77">
        <w:rPr>
          <w:color w:val="000000" w:themeColor="text1"/>
          <w:szCs w:val="24"/>
          <w:lang w:val="en-US"/>
        </w:rPr>
        <w:t>statutory provision</w:t>
      </w:r>
      <w:r w:rsidR="00686D71" w:rsidRPr="00B40A77">
        <w:rPr>
          <w:color w:val="000000" w:themeColor="text1"/>
          <w:szCs w:val="24"/>
          <w:lang w:val="en-US"/>
        </w:rPr>
        <w:t>.</w:t>
      </w:r>
    </w:p>
    <w:p w14:paraId="77F9FC50" w14:textId="57ABD67A" w:rsidR="00005E7D" w:rsidRPr="00B40A77" w:rsidRDefault="008F6AC3" w:rsidP="002D0911">
      <w:pPr>
        <w:pStyle w:val="Heading4"/>
        <w:rPr>
          <w:color w:val="000000" w:themeColor="text1"/>
        </w:rPr>
      </w:pPr>
      <w:bookmarkStart w:id="477" w:name="_62.3—Accompanying_documents"/>
      <w:bookmarkStart w:id="478" w:name="_Toc175238961"/>
      <w:bookmarkStart w:id="479" w:name="_Hlk96526419"/>
      <w:bookmarkStart w:id="480" w:name="_Hlk70666206"/>
      <w:bookmarkEnd w:id="477"/>
      <w:r w:rsidRPr="00B40A77">
        <w:rPr>
          <w:color w:val="000000" w:themeColor="text1"/>
        </w:rPr>
        <w:t>6</w:t>
      </w:r>
      <w:r w:rsidR="008F6B2A" w:rsidRPr="00B40A77">
        <w:rPr>
          <w:color w:val="000000" w:themeColor="text1"/>
        </w:rPr>
        <w:t>2.3</w:t>
      </w:r>
      <w:r w:rsidR="00005E7D" w:rsidRPr="00B40A77">
        <w:rPr>
          <w:color w:val="000000" w:themeColor="text1"/>
        </w:rPr>
        <w:t>—</w:t>
      </w:r>
      <w:r w:rsidR="00EB087C" w:rsidRPr="00B40A77">
        <w:rPr>
          <w:color w:val="000000" w:themeColor="text1"/>
        </w:rPr>
        <w:t>Accompanying documents</w:t>
      </w:r>
      <w:bookmarkEnd w:id="478"/>
    </w:p>
    <w:p w14:paraId="487DD56D" w14:textId="2CABB412" w:rsidR="00EB087C" w:rsidRPr="00B40A77" w:rsidRDefault="00EA1F4E" w:rsidP="00EA1F4E">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A779ED" w:rsidRPr="00B40A77">
        <w:rPr>
          <w:color w:val="000000" w:themeColor="text1"/>
          <w:lang w:val="en-US"/>
        </w:rPr>
        <w:t>Subject to subrules</w:t>
      </w:r>
      <w:r w:rsidR="00C42A0C" w:rsidRPr="00B40A77">
        <w:rPr>
          <w:color w:val="000000" w:themeColor="text1"/>
          <w:lang w:val="en-US"/>
        </w:rPr>
        <w:t> </w:t>
      </w:r>
      <w:r w:rsidR="00A779ED" w:rsidRPr="00B40A77">
        <w:rPr>
          <w:color w:val="000000" w:themeColor="text1"/>
          <w:lang w:val="en-US"/>
        </w:rPr>
        <w:t>(2) and</w:t>
      </w:r>
      <w:r w:rsidR="00C42A0C" w:rsidRPr="00B40A77">
        <w:rPr>
          <w:color w:val="000000" w:themeColor="text1"/>
          <w:lang w:val="en-US"/>
        </w:rPr>
        <w:t> </w:t>
      </w:r>
      <w:r w:rsidR="00A779ED" w:rsidRPr="00B40A77">
        <w:rPr>
          <w:color w:val="000000" w:themeColor="text1"/>
          <w:lang w:val="en-US"/>
        </w:rPr>
        <w:t>(3), t</w:t>
      </w:r>
      <w:r w:rsidR="00EB087C" w:rsidRPr="00B40A77">
        <w:rPr>
          <w:color w:val="000000" w:themeColor="text1"/>
          <w:lang w:val="en-US"/>
        </w:rPr>
        <w:t xml:space="preserve">he informant must file with the Information or immediately upon the Information being filed at </w:t>
      </w:r>
      <w:r w:rsidR="00C34B73" w:rsidRPr="00B40A77">
        <w:rPr>
          <w:color w:val="000000" w:themeColor="text1"/>
          <w:lang w:val="en-US"/>
        </w:rPr>
        <w:t>c</w:t>
      </w:r>
      <w:r w:rsidR="00EB087C" w:rsidRPr="00B40A77">
        <w:rPr>
          <w:color w:val="000000" w:themeColor="text1"/>
          <w:lang w:val="en-US"/>
        </w:rPr>
        <w:t>ourt—</w:t>
      </w:r>
    </w:p>
    <w:p w14:paraId="321F3065" w14:textId="3A23959C" w:rsidR="00EB087C" w:rsidRPr="00B40A77" w:rsidRDefault="00EB087C" w:rsidP="0033795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a summary of the allegations in the prescribed form in respect of each count;</w:t>
      </w:r>
    </w:p>
    <w:p w14:paraId="3661F93E" w14:textId="77777777" w:rsidR="00591320" w:rsidRPr="00B40A77" w:rsidRDefault="00591320" w:rsidP="0033795E">
      <w:pPr>
        <w:pStyle w:val="NoteHeader"/>
        <w:keepNext/>
        <w:ind w:left="1701"/>
        <w:rPr>
          <w:color w:val="000000" w:themeColor="text1"/>
        </w:rPr>
      </w:pPr>
      <w:r w:rsidRPr="00B40A77">
        <w:rPr>
          <w:color w:val="000000" w:themeColor="text1"/>
        </w:rPr>
        <w:t>Prescribed form—</w:t>
      </w:r>
    </w:p>
    <w:p w14:paraId="67A396F6" w14:textId="4DCD69CA" w:rsidR="00591320" w:rsidRPr="00B40A77" w:rsidRDefault="00591320" w:rsidP="00A777E7">
      <w:pPr>
        <w:pStyle w:val="NoteText"/>
        <w:ind w:left="1985"/>
        <w:rPr>
          <w:color w:val="000000" w:themeColor="text1"/>
          <w:u w:val="single"/>
        </w:rPr>
      </w:pPr>
      <w:r w:rsidRPr="00B40A77">
        <w:rPr>
          <w:color w:val="000000" w:themeColor="text1"/>
        </w:rPr>
        <w:t xml:space="preserve">Form </w:t>
      </w:r>
      <w:r w:rsidR="00F63EAC" w:rsidRPr="00B40A77">
        <w:rPr>
          <w:color w:val="000000" w:themeColor="text1"/>
        </w:rPr>
        <w:t>9A</w:t>
      </w:r>
      <w:hyperlink r:id="rId130" w:history="1">
        <w:r w:rsidRPr="00B40A77">
          <w:rPr>
            <w:rStyle w:val="Hyperlink"/>
            <w:color w:val="000000" w:themeColor="text1"/>
          </w:rPr>
          <w:t xml:space="preserve"> Summary of </w:t>
        </w:r>
        <w:r w:rsidR="00CC3641" w:rsidRPr="00B40A77">
          <w:rPr>
            <w:rStyle w:val="Hyperlink"/>
            <w:color w:val="000000" w:themeColor="text1"/>
          </w:rPr>
          <w:t>A</w:t>
        </w:r>
        <w:r w:rsidRPr="00B40A77">
          <w:rPr>
            <w:rStyle w:val="Hyperlink"/>
            <w:color w:val="000000" w:themeColor="text1"/>
          </w:rPr>
          <w:t>llegations</w:t>
        </w:r>
      </w:hyperlink>
    </w:p>
    <w:p w14:paraId="067B7CA2" w14:textId="3AC251DB" w:rsidR="008B0FD9" w:rsidRPr="00B40A77" w:rsidRDefault="008B0FD9" w:rsidP="0033795E">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an anteced</w:t>
      </w:r>
      <w:r w:rsidR="00EB087C" w:rsidRPr="00B40A77">
        <w:rPr>
          <w:color w:val="000000" w:themeColor="text1"/>
          <w:lang w:val="en-US"/>
        </w:rPr>
        <w:t xml:space="preserve">ent report in the prescribed form </w:t>
      </w:r>
      <w:r w:rsidRPr="00B40A77">
        <w:rPr>
          <w:color w:val="000000" w:themeColor="text1"/>
          <w:lang w:val="en-US"/>
        </w:rPr>
        <w:t>providing particulars of any previous convictions of each defendant or youth; and</w:t>
      </w:r>
    </w:p>
    <w:p w14:paraId="24BF9078" w14:textId="77777777" w:rsidR="00591320" w:rsidRPr="00B40A77" w:rsidRDefault="00591320" w:rsidP="0033795E">
      <w:pPr>
        <w:pStyle w:val="NoteHeader"/>
        <w:keepNext/>
        <w:ind w:left="1701"/>
        <w:rPr>
          <w:color w:val="000000" w:themeColor="text1"/>
        </w:rPr>
      </w:pPr>
      <w:r w:rsidRPr="00B40A77">
        <w:rPr>
          <w:color w:val="000000" w:themeColor="text1"/>
        </w:rPr>
        <w:t>Prescribed form—</w:t>
      </w:r>
    </w:p>
    <w:p w14:paraId="4BCB1361" w14:textId="5C604964" w:rsidR="00591320" w:rsidRPr="00B40A77" w:rsidRDefault="00591320" w:rsidP="00A777E7">
      <w:pPr>
        <w:pStyle w:val="NoteText"/>
        <w:ind w:left="1985"/>
        <w:rPr>
          <w:color w:val="000000" w:themeColor="text1"/>
        </w:rPr>
      </w:pPr>
      <w:r w:rsidRPr="00B40A77">
        <w:rPr>
          <w:color w:val="000000" w:themeColor="text1"/>
        </w:rPr>
        <w:t xml:space="preserve">Form </w:t>
      </w:r>
      <w:r w:rsidR="00F63EAC" w:rsidRPr="00B40A77">
        <w:rPr>
          <w:color w:val="000000" w:themeColor="text1"/>
        </w:rPr>
        <w:t>9B</w:t>
      </w:r>
      <w:r w:rsidRPr="00B40A77">
        <w:rPr>
          <w:color w:val="000000" w:themeColor="text1"/>
        </w:rPr>
        <w:t xml:space="preserve"> </w:t>
      </w:r>
      <w:hyperlink r:id="rId131" w:history="1">
        <w:r w:rsidRPr="00B40A77">
          <w:rPr>
            <w:rStyle w:val="Hyperlink"/>
            <w:color w:val="000000" w:themeColor="text1"/>
          </w:rPr>
          <w:t>Antecedent Report</w:t>
        </w:r>
      </w:hyperlink>
    </w:p>
    <w:p w14:paraId="4C51739C" w14:textId="5C3D84A6" w:rsidR="00005E7D" w:rsidRPr="00B40A77" w:rsidRDefault="008B0FD9" w:rsidP="00EA1F4E">
      <w:pPr>
        <w:pStyle w:val="Doublehangindent"/>
        <w:rPr>
          <w:color w:val="000000" w:themeColor="text1"/>
          <w:lang w:val="en-US"/>
        </w:rPr>
      </w:pPr>
      <w:r w:rsidRPr="00B40A77">
        <w:rPr>
          <w:color w:val="000000" w:themeColor="text1"/>
          <w:lang w:val="en-US"/>
        </w:rPr>
        <w:t>(c)</w:t>
      </w:r>
      <w:r w:rsidRPr="00B40A77">
        <w:rPr>
          <w:color w:val="000000" w:themeColor="text1"/>
          <w:lang w:val="en-US"/>
        </w:rPr>
        <w:tab/>
        <w:t>if a</w:t>
      </w:r>
      <w:r w:rsidR="00005E7D" w:rsidRPr="00B40A77">
        <w:rPr>
          <w:color w:val="000000" w:themeColor="text1"/>
          <w:lang w:val="en-US"/>
        </w:rPr>
        <w:t xml:space="preserve"> defendant or youth has been granted bail by a police officer under section</w:t>
      </w:r>
      <w:r w:rsidR="00AF0D76" w:rsidRPr="00B40A77">
        <w:rPr>
          <w:color w:val="000000" w:themeColor="text1"/>
          <w:lang w:val="en-US"/>
        </w:rPr>
        <w:t> 5</w:t>
      </w:r>
      <w:r w:rsidR="00005E7D" w:rsidRPr="00B40A77">
        <w:rPr>
          <w:color w:val="000000" w:themeColor="text1"/>
          <w:lang w:val="en-US"/>
        </w:rPr>
        <w:t>(1)(e) of the Ba</w:t>
      </w:r>
      <w:r w:rsidRPr="00B40A77">
        <w:rPr>
          <w:color w:val="000000" w:themeColor="text1"/>
          <w:lang w:val="en-US"/>
        </w:rPr>
        <w:t>il Act—</w:t>
      </w:r>
      <w:r w:rsidR="00005E7D" w:rsidRPr="00B40A77">
        <w:rPr>
          <w:color w:val="000000" w:themeColor="text1"/>
          <w:lang w:val="en-US"/>
        </w:rPr>
        <w:t>the bail</w:t>
      </w:r>
      <w:r w:rsidRPr="00B40A77">
        <w:rPr>
          <w:color w:val="000000" w:themeColor="text1"/>
          <w:lang w:val="en-US"/>
        </w:rPr>
        <w:t xml:space="preserve"> agreement</w:t>
      </w:r>
      <w:r w:rsidR="00005E7D" w:rsidRPr="00B40A77">
        <w:rPr>
          <w:color w:val="000000" w:themeColor="text1"/>
          <w:lang w:val="en-US"/>
        </w:rPr>
        <w:t>.</w:t>
      </w:r>
    </w:p>
    <w:p w14:paraId="5B6D616C" w14:textId="2645BB16" w:rsidR="00127095" w:rsidRPr="00B40A77" w:rsidRDefault="00127095" w:rsidP="0033795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The informant may, instead of filing a separate summary of allegations and separate antecedent report under paragraphs</w:t>
      </w:r>
      <w:r w:rsidR="00C42A0C" w:rsidRPr="00B40A77">
        <w:rPr>
          <w:color w:val="000000" w:themeColor="text1"/>
          <w:lang w:val="en-US"/>
        </w:rPr>
        <w:t> </w:t>
      </w:r>
      <w:r w:rsidRPr="00B40A77">
        <w:rPr>
          <w:color w:val="000000" w:themeColor="text1"/>
          <w:lang w:val="en-US"/>
        </w:rPr>
        <w:t>(a) and</w:t>
      </w:r>
      <w:r w:rsidR="00C42A0C" w:rsidRPr="00B40A77">
        <w:rPr>
          <w:color w:val="000000" w:themeColor="text1"/>
          <w:lang w:val="en-US"/>
        </w:rPr>
        <w:t> </w:t>
      </w:r>
      <w:r w:rsidRPr="00B40A77">
        <w:rPr>
          <w:color w:val="000000" w:themeColor="text1"/>
          <w:lang w:val="en-US"/>
        </w:rPr>
        <w:t>(b) of subrule</w:t>
      </w:r>
      <w:r w:rsidR="00C42A0C" w:rsidRPr="00B40A77">
        <w:rPr>
          <w:color w:val="000000" w:themeColor="text1"/>
          <w:lang w:val="en-US"/>
        </w:rPr>
        <w:t> </w:t>
      </w:r>
      <w:r w:rsidRPr="00B40A77">
        <w:rPr>
          <w:color w:val="000000" w:themeColor="text1"/>
          <w:lang w:val="en-US"/>
        </w:rPr>
        <w:t xml:space="preserve">(1), file a combined summary </w:t>
      </w:r>
      <w:r w:rsidRPr="00B40A77">
        <w:rPr>
          <w:color w:val="000000" w:themeColor="text1"/>
          <w:lang w:val="en-US"/>
        </w:rPr>
        <w:lastRenderedPageBreak/>
        <w:t>of allegations and separate antecedent report in the prescribed form</w:t>
      </w:r>
      <w:r w:rsidR="00867065" w:rsidRPr="00B40A77">
        <w:rPr>
          <w:color w:val="000000" w:themeColor="text1"/>
          <w:lang w:val="en-US"/>
        </w:rPr>
        <w:t xml:space="preserve"> (showing the Antecedent Report on a different page to the Summary of allegations)</w:t>
      </w:r>
      <w:r w:rsidRPr="00B40A77">
        <w:rPr>
          <w:color w:val="000000" w:themeColor="text1"/>
          <w:lang w:val="en-US"/>
        </w:rPr>
        <w:t>.</w:t>
      </w:r>
    </w:p>
    <w:p w14:paraId="798A5937" w14:textId="77777777" w:rsidR="00127095" w:rsidRPr="00B40A77" w:rsidRDefault="00127095" w:rsidP="0033795E">
      <w:pPr>
        <w:pStyle w:val="NoteHeader"/>
        <w:keepNext/>
        <w:rPr>
          <w:color w:val="000000" w:themeColor="text1"/>
        </w:rPr>
      </w:pPr>
      <w:r w:rsidRPr="00B40A77">
        <w:rPr>
          <w:color w:val="000000" w:themeColor="text1"/>
        </w:rPr>
        <w:t>Prescribed form—</w:t>
      </w:r>
    </w:p>
    <w:p w14:paraId="4B8D9415" w14:textId="74EC6774" w:rsidR="00127095" w:rsidRPr="00B40A77" w:rsidRDefault="00127095" w:rsidP="00381ABA">
      <w:pPr>
        <w:pStyle w:val="NoteText"/>
        <w:rPr>
          <w:color w:val="000000" w:themeColor="text1"/>
        </w:rPr>
      </w:pPr>
      <w:r w:rsidRPr="00B40A77">
        <w:rPr>
          <w:color w:val="000000" w:themeColor="text1"/>
        </w:rPr>
        <w:t xml:space="preserve">Form 9C </w:t>
      </w:r>
      <w:hyperlink r:id="rId132" w:history="1">
        <w:r w:rsidR="00007F00" w:rsidRPr="00B40A77">
          <w:rPr>
            <w:rStyle w:val="Hyperlink"/>
            <w:color w:val="000000" w:themeColor="text1"/>
          </w:rPr>
          <w:t>C</w:t>
        </w:r>
        <w:r w:rsidRPr="00B40A77">
          <w:rPr>
            <w:rStyle w:val="Hyperlink"/>
            <w:color w:val="000000" w:themeColor="text1"/>
          </w:rPr>
          <w:t xml:space="preserve">ombined Summary of </w:t>
        </w:r>
        <w:r w:rsidR="00CC3641" w:rsidRPr="00B40A77">
          <w:rPr>
            <w:rStyle w:val="Hyperlink"/>
            <w:color w:val="000000" w:themeColor="text1"/>
          </w:rPr>
          <w:t>A</w:t>
        </w:r>
        <w:r w:rsidRPr="00B40A77">
          <w:rPr>
            <w:rStyle w:val="Hyperlink"/>
            <w:color w:val="000000" w:themeColor="text1"/>
          </w:rPr>
          <w:t>llegations and Antecedent Report</w:t>
        </w:r>
      </w:hyperlink>
    </w:p>
    <w:p w14:paraId="4A9C2977" w14:textId="00CDF63C" w:rsidR="00127095" w:rsidRPr="00B40A77" w:rsidRDefault="00127095" w:rsidP="00127095">
      <w:pPr>
        <w:pStyle w:val="Hangindent"/>
        <w:rPr>
          <w:color w:val="000000" w:themeColor="text1"/>
          <w:lang w:val="en-US"/>
        </w:rPr>
      </w:pPr>
      <w:r w:rsidRPr="00B40A77">
        <w:rPr>
          <w:color w:val="000000" w:themeColor="text1"/>
          <w:lang w:val="en-US"/>
        </w:rPr>
        <w:t>(3)</w:t>
      </w:r>
      <w:r w:rsidRPr="00B40A77">
        <w:rPr>
          <w:color w:val="000000" w:themeColor="text1"/>
          <w:lang w:val="en-US"/>
        </w:rPr>
        <w:tab/>
        <w:t>The informant may, instead of filing a bail agreement under paragraph</w:t>
      </w:r>
      <w:r w:rsidR="00BA143A" w:rsidRPr="00B40A77">
        <w:rPr>
          <w:color w:val="000000" w:themeColor="text1"/>
          <w:lang w:val="en-US"/>
        </w:rPr>
        <w:t> </w:t>
      </w:r>
      <w:r w:rsidRPr="00B40A77">
        <w:rPr>
          <w:color w:val="000000" w:themeColor="text1"/>
          <w:lang w:val="en-US"/>
        </w:rPr>
        <w:t>(c) of subrule</w:t>
      </w:r>
      <w:r w:rsidR="00BA143A" w:rsidRPr="00B40A77">
        <w:rPr>
          <w:color w:val="000000" w:themeColor="text1"/>
          <w:lang w:val="en-US"/>
        </w:rPr>
        <w:t> </w:t>
      </w:r>
      <w:r w:rsidRPr="00B40A77">
        <w:rPr>
          <w:color w:val="000000" w:themeColor="text1"/>
          <w:lang w:val="en-US"/>
        </w:rPr>
        <w:t>(1), provide to the Court data in an acceptable format identifying the date and conditions of the bail agreement.</w:t>
      </w:r>
    </w:p>
    <w:p w14:paraId="6BB655F7" w14:textId="65E9BEAE" w:rsidR="00EA1F4E" w:rsidRPr="00B40A77" w:rsidRDefault="00EA1F4E" w:rsidP="00EA1F4E">
      <w:pPr>
        <w:pStyle w:val="Hangindent"/>
        <w:rPr>
          <w:color w:val="000000" w:themeColor="text1"/>
          <w:lang w:val="en-US"/>
        </w:rPr>
      </w:pPr>
      <w:r w:rsidRPr="00B40A77">
        <w:rPr>
          <w:color w:val="000000" w:themeColor="text1"/>
          <w:lang w:val="en-US"/>
        </w:rPr>
        <w:t>(</w:t>
      </w:r>
      <w:r w:rsidR="00127095" w:rsidRPr="00B40A77">
        <w:rPr>
          <w:color w:val="000000" w:themeColor="text1"/>
          <w:lang w:val="en-US"/>
        </w:rPr>
        <w:t>4</w:t>
      </w:r>
      <w:r w:rsidRPr="00B40A77">
        <w:rPr>
          <w:color w:val="000000" w:themeColor="text1"/>
          <w:lang w:val="en-US"/>
        </w:rPr>
        <w:t>)</w:t>
      </w:r>
      <w:r w:rsidRPr="00B40A77">
        <w:rPr>
          <w:color w:val="000000" w:themeColor="text1"/>
          <w:lang w:val="en-US"/>
        </w:rPr>
        <w:tab/>
        <w:t>A Summary of Allegations</w:t>
      </w:r>
      <w:r w:rsidR="003C5DDD" w:rsidRPr="00B40A77">
        <w:rPr>
          <w:color w:val="000000" w:themeColor="text1"/>
          <w:lang w:val="en-US"/>
        </w:rPr>
        <w:t>,</w:t>
      </w:r>
      <w:r w:rsidRPr="00B40A77">
        <w:rPr>
          <w:color w:val="000000" w:themeColor="text1"/>
          <w:lang w:val="en-US"/>
        </w:rPr>
        <w:t xml:space="preserve"> </w:t>
      </w:r>
      <w:r w:rsidR="003C5DDD" w:rsidRPr="00B40A77">
        <w:rPr>
          <w:color w:val="000000" w:themeColor="text1"/>
          <w:lang w:val="en-US"/>
        </w:rPr>
        <w:t xml:space="preserve">Antecedent Report and </w:t>
      </w:r>
      <w:r w:rsidRPr="00B40A77">
        <w:rPr>
          <w:color w:val="000000" w:themeColor="text1"/>
          <w:lang w:val="en-US"/>
        </w:rPr>
        <w:t xml:space="preserve">bail agreement filed under this rule will be treated as being filed on a </w:t>
      </w:r>
      <w:r w:rsidR="003C5DDD" w:rsidRPr="00B40A77">
        <w:rPr>
          <w:color w:val="000000" w:themeColor="text1"/>
          <w:u w:val="single"/>
          <w:lang w:val="en-US"/>
        </w:rPr>
        <w:t>party access basis</w:t>
      </w:r>
      <w:r w:rsidR="003C5DDD" w:rsidRPr="00B40A77">
        <w:rPr>
          <w:color w:val="000000" w:themeColor="text1"/>
          <w:lang w:val="en-US"/>
        </w:rPr>
        <w:t>.</w:t>
      </w:r>
    </w:p>
    <w:p w14:paraId="777EA32F" w14:textId="18731724" w:rsidR="00CF659D" w:rsidRPr="00B40A77" w:rsidRDefault="008F6AC3" w:rsidP="004057D2">
      <w:pPr>
        <w:pStyle w:val="Heading4"/>
        <w:rPr>
          <w:color w:val="000000" w:themeColor="text1"/>
        </w:rPr>
      </w:pPr>
      <w:bookmarkStart w:id="481" w:name="_Toc175238962"/>
      <w:bookmarkEnd w:id="479"/>
      <w:bookmarkEnd w:id="480"/>
      <w:r w:rsidRPr="00B40A77">
        <w:rPr>
          <w:color w:val="000000" w:themeColor="text1"/>
        </w:rPr>
        <w:t>6</w:t>
      </w:r>
      <w:r w:rsidR="008F6B2A" w:rsidRPr="00B40A77">
        <w:rPr>
          <w:color w:val="000000" w:themeColor="text1"/>
        </w:rPr>
        <w:t>2.4</w:t>
      </w:r>
      <w:r w:rsidR="00A53E13" w:rsidRPr="00B40A77">
        <w:rPr>
          <w:color w:val="000000" w:themeColor="text1"/>
        </w:rPr>
        <w:t>—</w:t>
      </w:r>
      <w:r w:rsidR="002E4F84" w:rsidRPr="00B40A77">
        <w:rPr>
          <w:color w:val="000000" w:themeColor="text1"/>
        </w:rPr>
        <w:t xml:space="preserve">Service of </w:t>
      </w:r>
      <w:r w:rsidR="00A53E13" w:rsidRPr="00B40A77">
        <w:rPr>
          <w:color w:val="000000" w:themeColor="text1"/>
        </w:rPr>
        <w:t>Information</w:t>
      </w:r>
      <w:bookmarkEnd w:id="481"/>
      <w:r w:rsidR="00CF659D" w:rsidRPr="00B40A77">
        <w:rPr>
          <w:color w:val="000000" w:themeColor="text1"/>
        </w:rPr>
        <w:t xml:space="preserve"> </w:t>
      </w:r>
    </w:p>
    <w:p w14:paraId="60ADB599" w14:textId="2C49BD16" w:rsidR="00A53E13" w:rsidRPr="00B40A77" w:rsidRDefault="00CF659D" w:rsidP="00CF659D">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r w:rsidR="00A53E13" w:rsidRPr="00B40A77">
        <w:rPr>
          <w:color w:val="000000" w:themeColor="text1"/>
          <w:lang w:val="en-US"/>
        </w:rPr>
        <w:t xml:space="preserve">Information </w:t>
      </w:r>
      <w:r w:rsidR="00EB087C" w:rsidRPr="00B40A77">
        <w:rPr>
          <w:color w:val="000000" w:themeColor="text1"/>
          <w:lang w:val="en-US"/>
        </w:rPr>
        <w:t xml:space="preserve">and the documents referred to in </w:t>
      </w:r>
      <w:hyperlink w:anchor="_62.3—Accompanying_documents" w:history="1">
        <w:r w:rsidR="00EB087C" w:rsidRPr="00B40A77">
          <w:rPr>
            <w:rStyle w:val="Hyperlink"/>
            <w:color w:val="000000" w:themeColor="text1"/>
            <w:lang w:val="en-US"/>
          </w:rPr>
          <w:t>rule 62.3</w:t>
        </w:r>
      </w:hyperlink>
      <w:r w:rsidR="00EB087C" w:rsidRPr="00B40A77">
        <w:rPr>
          <w:color w:val="000000" w:themeColor="text1"/>
          <w:lang w:val="en-US"/>
        </w:rPr>
        <w:t xml:space="preserve"> </w:t>
      </w:r>
      <w:r w:rsidR="00A53E13" w:rsidRPr="00B40A77">
        <w:rPr>
          <w:color w:val="000000" w:themeColor="text1"/>
          <w:lang w:val="en-US"/>
        </w:rPr>
        <w:t xml:space="preserve">must </w:t>
      </w:r>
      <w:r w:rsidRPr="00B40A77">
        <w:rPr>
          <w:color w:val="000000" w:themeColor="text1"/>
          <w:lang w:val="en-US"/>
        </w:rPr>
        <w:t xml:space="preserve">be served on </w:t>
      </w:r>
      <w:r w:rsidR="00A53E13" w:rsidRPr="00B40A77">
        <w:rPr>
          <w:color w:val="000000" w:themeColor="text1"/>
          <w:lang w:val="en-US"/>
        </w:rPr>
        <w:t>each defendant</w:t>
      </w:r>
      <w:r w:rsidRPr="00B40A77">
        <w:rPr>
          <w:color w:val="000000" w:themeColor="text1"/>
          <w:lang w:val="en-US"/>
        </w:rPr>
        <w:t xml:space="preserve"> or </w:t>
      </w:r>
      <w:r w:rsidR="00A53E13" w:rsidRPr="00B40A77">
        <w:rPr>
          <w:color w:val="000000" w:themeColor="text1"/>
          <w:lang w:val="en-US"/>
        </w:rPr>
        <w:t>youth.</w:t>
      </w:r>
    </w:p>
    <w:p w14:paraId="4650EC4E" w14:textId="23E7B6DB" w:rsidR="008B7C56" w:rsidRPr="00B40A77" w:rsidRDefault="008B7C56" w:rsidP="008B7C56">
      <w:pPr>
        <w:pStyle w:val="Hangindent"/>
        <w:keepNext/>
        <w:rPr>
          <w:color w:val="000000" w:themeColor="text1"/>
          <w:lang w:val="en-US"/>
        </w:rPr>
      </w:pPr>
      <w:bookmarkStart w:id="482" w:name="_Hlk101873842"/>
      <w:r w:rsidRPr="00B40A77">
        <w:rPr>
          <w:color w:val="000000" w:themeColor="text1"/>
          <w:lang w:val="en-US"/>
        </w:rPr>
        <w:t>(2)</w:t>
      </w:r>
      <w:r w:rsidRPr="00B40A77">
        <w:rPr>
          <w:color w:val="000000" w:themeColor="text1"/>
          <w:lang w:val="en-US"/>
        </w:rPr>
        <w:tab/>
        <w:t xml:space="preserve">A notice in the prescribed form appropriate to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and Court must be served with the Information.</w:t>
      </w:r>
    </w:p>
    <w:p w14:paraId="29864906" w14:textId="77777777" w:rsidR="008B7C56" w:rsidRPr="00B40A77" w:rsidRDefault="008B7C56" w:rsidP="008B7C56">
      <w:pPr>
        <w:pStyle w:val="NoteHeader"/>
        <w:keepNext/>
        <w:rPr>
          <w:color w:val="000000" w:themeColor="text1"/>
        </w:rPr>
      </w:pPr>
      <w:r w:rsidRPr="00B40A77">
        <w:rPr>
          <w:color w:val="000000" w:themeColor="text1"/>
        </w:rPr>
        <w:t>Prescribed forms—</w:t>
      </w:r>
    </w:p>
    <w:p w14:paraId="1FAC391B" w14:textId="77777777" w:rsidR="008B7C56" w:rsidRPr="00B40A77" w:rsidRDefault="008B7C56" w:rsidP="008B7C56">
      <w:pPr>
        <w:pStyle w:val="NoteText"/>
        <w:keepNext/>
        <w:rPr>
          <w:color w:val="000000" w:themeColor="text1"/>
        </w:rPr>
      </w:pPr>
      <w:r w:rsidRPr="00B40A77">
        <w:rPr>
          <w:b/>
          <w:bCs/>
          <w:color w:val="000000" w:themeColor="text1"/>
        </w:rPr>
        <w:t>Highest charge category major indictable</w:t>
      </w:r>
    </w:p>
    <w:p w14:paraId="2D17970D" w14:textId="0B5EBC70" w:rsidR="008B7C56" w:rsidRPr="00B40A77" w:rsidRDefault="008B7C56" w:rsidP="008B7C56">
      <w:pPr>
        <w:pStyle w:val="NoteText"/>
        <w:ind w:left="1701"/>
        <w:rPr>
          <w:color w:val="000000" w:themeColor="text1"/>
        </w:rPr>
      </w:pPr>
      <w:r w:rsidRPr="00B40A77">
        <w:rPr>
          <w:color w:val="000000" w:themeColor="text1"/>
        </w:rPr>
        <w:t xml:space="preserve">Form 8A </w:t>
      </w:r>
      <w:hyperlink r:id="rId133" w:history="1">
        <w:r w:rsidRPr="00B40A77">
          <w:rPr>
            <w:rStyle w:val="Hyperlink"/>
            <w:color w:val="000000" w:themeColor="text1"/>
          </w:rPr>
          <w:t>Notice to Defendant – Major Indictable Offence</w:t>
        </w:r>
      </w:hyperlink>
    </w:p>
    <w:p w14:paraId="7D0AAA2E" w14:textId="77777777" w:rsidR="008B7C56" w:rsidRPr="00B40A77" w:rsidRDefault="008B7C56" w:rsidP="008B7C56">
      <w:pPr>
        <w:pStyle w:val="NoteText"/>
        <w:keepNext/>
        <w:rPr>
          <w:b/>
          <w:bCs/>
          <w:color w:val="000000" w:themeColor="text1"/>
        </w:rPr>
      </w:pPr>
      <w:r w:rsidRPr="00B40A77">
        <w:rPr>
          <w:b/>
          <w:bCs/>
          <w:color w:val="000000" w:themeColor="text1"/>
        </w:rPr>
        <w:t>Highest charge category Commonwealth indictable</w:t>
      </w:r>
    </w:p>
    <w:p w14:paraId="1D2FAC76" w14:textId="4C6FD619" w:rsidR="008B7C56" w:rsidRPr="00B40A77" w:rsidRDefault="008B7C56" w:rsidP="008B7C56">
      <w:pPr>
        <w:pStyle w:val="NoteText"/>
        <w:ind w:left="1701"/>
        <w:rPr>
          <w:color w:val="000000" w:themeColor="text1"/>
        </w:rPr>
      </w:pPr>
      <w:r w:rsidRPr="00B40A77">
        <w:rPr>
          <w:color w:val="000000" w:themeColor="text1"/>
        </w:rPr>
        <w:t xml:space="preserve">Form 8B </w:t>
      </w:r>
      <w:hyperlink r:id="rId134" w:history="1">
        <w:r w:rsidRPr="00B40A77">
          <w:rPr>
            <w:rStyle w:val="Hyperlink"/>
            <w:color w:val="000000" w:themeColor="text1"/>
          </w:rPr>
          <w:t>Notice to Defendant – Commonwealth Indictable Offence</w:t>
        </w:r>
      </w:hyperlink>
    </w:p>
    <w:p w14:paraId="48F7E72F" w14:textId="77777777" w:rsidR="008B7C56" w:rsidRPr="00B40A77" w:rsidRDefault="008B7C56" w:rsidP="008B7C56">
      <w:pPr>
        <w:pStyle w:val="NoteText"/>
        <w:keepNext/>
        <w:rPr>
          <w:b/>
          <w:bCs/>
          <w:color w:val="000000" w:themeColor="text1"/>
        </w:rPr>
      </w:pPr>
      <w:r w:rsidRPr="00B40A77">
        <w:rPr>
          <w:b/>
          <w:bCs/>
          <w:color w:val="000000" w:themeColor="text1"/>
        </w:rPr>
        <w:t>Highest charge category minor indictable</w:t>
      </w:r>
    </w:p>
    <w:p w14:paraId="696CD861" w14:textId="79756CDF" w:rsidR="008B7C56" w:rsidRPr="00B40A77" w:rsidRDefault="008B7C56" w:rsidP="008B7C56">
      <w:pPr>
        <w:pStyle w:val="NoteText"/>
        <w:ind w:left="1701" w:firstLine="22"/>
        <w:rPr>
          <w:color w:val="000000" w:themeColor="text1"/>
        </w:rPr>
      </w:pPr>
      <w:r w:rsidRPr="00B40A77">
        <w:rPr>
          <w:color w:val="000000" w:themeColor="text1"/>
        </w:rPr>
        <w:t xml:space="preserve">Form 8C </w:t>
      </w:r>
      <w:hyperlink r:id="rId135" w:history="1">
        <w:r w:rsidRPr="00B40A77">
          <w:rPr>
            <w:rStyle w:val="Hyperlink"/>
            <w:color w:val="000000" w:themeColor="text1"/>
          </w:rPr>
          <w:t>Notice to Defendant – Minor Indictable Offence</w:t>
        </w:r>
      </w:hyperlink>
    </w:p>
    <w:p w14:paraId="0FB5E712" w14:textId="77777777" w:rsidR="008B7C56" w:rsidRPr="00B40A77" w:rsidRDefault="008B7C56" w:rsidP="008B7C56">
      <w:pPr>
        <w:pStyle w:val="NoteText"/>
        <w:keepNext/>
        <w:rPr>
          <w:b/>
          <w:bCs/>
          <w:color w:val="000000" w:themeColor="text1"/>
        </w:rPr>
      </w:pPr>
      <w:r w:rsidRPr="00B40A77">
        <w:rPr>
          <w:b/>
          <w:bCs/>
          <w:color w:val="000000" w:themeColor="text1"/>
        </w:rPr>
        <w:t>Highest charge category indictable (major or minor)</w:t>
      </w:r>
    </w:p>
    <w:p w14:paraId="506E4B3F" w14:textId="28DEA784" w:rsidR="008B7C56" w:rsidRPr="00B40A77" w:rsidRDefault="008B7C56" w:rsidP="008B7C56">
      <w:pPr>
        <w:pStyle w:val="NoteText"/>
        <w:ind w:left="1701" w:firstLine="22"/>
        <w:rPr>
          <w:color w:val="000000" w:themeColor="text1"/>
        </w:rPr>
      </w:pPr>
      <w:r w:rsidRPr="00B40A77">
        <w:rPr>
          <w:color w:val="000000" w:themeColor="text1"/>
        </w:rPr>
        <w:t xml:space="preserve">Form 8CY </w:t>
      </w:r>
      <w:hyperlink r:id="rId136" w:history="1">
        <w:r w:rsidRPr="00B40A77">
          <w:rPr>
            <w:rStyle w:val="Hyperlink"/>
            <w:color w:val="000000" w:themeColor="text1"/>
          </w:rPr>
          <w:t>Notice to Youth – Indictable Offence</w:t>
        </w:r>
      </w:hyperlink>
    </w:p>
    <w:p w14:paraId="32498216" w14:textId="77777777" w:rsidR="008B7C56" w:rsidRPr="00B40A77" w:rsidRDefault="008B7C56" w:rsidP="008B7C56">
      <w:pPr>
        <w:pStyle w:val="NoteText"/>
        <w:keepNext/>
        <w:rPr>
          <w:b/>
          <w:bCs/>
          <w:color w:val="000000" w:themeColor="text1"/>
        </w:rPr>
      </w:pPr>
      <w:r w:rsidRPr="00B40A77">
        <w:rPr>
          <w:b/>
          <w:bCs/>
          <w:color w:val="000000" w:themeColor="text1"/>
        </w:rPr>
        <w:t>Highest charge category summary</w:t>
      </w:r>
    </w:p>
    <w:p w14:paraId="4910436F" w14:textId="00CD3A37" w:rsidR="008B7C56" w:rsidRPr="00B40A77" w:rsidRDefault="008B7C56" w:rsidP="008B7C56">
      <w:pPr>
        <w:pStyle w:val="NoteText"/>
        <w:ind w:left="1701" w:firstLine="22"/>
        <w:rPr>
          <w:color w:val="000000" w:themeColor="text1"/>
        </w:rPr>
      </w:pPr>
      <w:r w:rsidRPr="00B40A77">
        <w:rPr>
          <w:color w:val="000000" w:themeColor="text1"/>
        </w:rPr>
        <w:t xml:space="preserve">Form 8D </w:t>
      </w:r>
      <w:hyperlink r:id="rId137" w:history="1">
        <w:r w:rsidRPr="00B40A77">
          <w:rPr>
            <w:rStyle w:val="Hyperlink"/>
            <w:color w:val="000000" w:themeColor="text1"/>
          </w:rPr>
          <w:t>Notice to Defendant – Summary Offence</w:t>
        </w:r>
      </w:hyperlink>
    </w:p>
    <w:p w14:paraId="0FF7D112" w14:textId="5C3EF97D" w:rsidR="008B7C56" w:rsidRPr="00B40A77" w:rsidRDefault="008B7C56" w:rsidP="008B7C56">
      <w:pPr>
        <w:pStyle w:val="NoteText"/>
        <w:ind w:left="1701" w:firstLine="22"/>
        <w:rPr>
          <w:color w:val="000000" w:themeColor="text1"/>
        </w:rPr>
      </w:pPr>
      <w:r w:rsidRPr="00B40A77">
        <w:rPr>
          <w:color w:val="000000" w:themeColor="text1"/>
        </w:rPr>
        <w:t xml:space="preserve">Form 8DY </w:t>
      </w:r>
      <w:hyperlink r:id="rId138" w:history="1">
        <w:r w:rsidRPr="00B40A77">
          <w:rPr>
            <w:rStyle w:val="Hyperlink"/>
            <w:color w:val="000000" w:themeColor="text1"/>
          </w:rPr>
          <w:t>Notice to Youth – Summary Offence</w:t>
        </w:r>
      </w:hyperlink>
    </w:p>
    <w:p w14:paraId="311C478D" w14:textId="77777777" w:rsidR="008B7C56" w:rsidRPr="00B40A77" w:rsidRDefault="008B7C56" w:rsidP="008B7C56">
      <w:pPr>
        <w:pStyle w:val="NoteText"/>
        <w:keepNext/>
        <w:rPr>
          <w:b/>
          <w:bCs/>
          <w:color w:val="000000" w:themeColor="text1"/>
        </w:rPr>
      </w:pPr>
      <w:r w:rsidRPr="00B40A77">
        <w:rPr>
          <w:b/>
          <w:bCs/>
          <w:color w:val="000000" w:themeColor="text1"/>
        </w:rPr>
        <w:t>Highest charge category summary not punishable by imprisonment or detention</w:t>
      </w:r>
    </w:p>
    <w:p w14:paraId="24F1C5EA" w14:textId="76F62260" w:rsidR="008B7C56" w:rsidRPr="00B40A77" w:rsidRDefault="008B7C56" w:rsidP="008B7C56">
      <w:pPr>
        <w:pStyle w:val="NoteText"/>
        <w:ind w:left="1701" w:firstLine="22"/>
        <w:rPr>
          <w:color w:val="000000" w:themeColor="text1"/>
        </w:rPr>
      </w:pPr>
      <w:r w:rsidRPr="00B40A77">
        <w:rPr>
          <w:color w:val="000000" w:themeColor="text1"/>
        </w:rPr>
        <w:t xml:space="preserve">Form 8E </w:t>
      </w:r>
      <w:hyperlink r:id="rId139" w:history="1">
        <w:r w:rsidRPr="00B40A77">
          <w:rPr>
            <w:rStyle w:val="Hyperlink"/>
            <w:color w:val="000000" w:themeColor="text1"/>
          </w:rPr>
          <w:t>Notice to Defendant – Summary Offence not Punishable by Imprisonment</w:t>
        </w:r>
      </w:hyperlink>
    </w:p>
    <w:p w14:paraId="6A4265BE" w14:textId="5B91ACBE" w:rsidR="008B7C56" w:rsidRPr="00B40A77" w:rsidRDefault="008B7C56" w:rsidP="008B7C56">
      <w:pPr>
        <w:pStyle w:val="NoteText"/>
        <w:ind w:left="1701" w:firstLine="22"/>
        <w:rPr>
          <w:color w:val="000000" w:themeColor="text1"/>
          <w:u w:val="single"/>
        </w:rPr>
      </w:pPr>
      <w:r w:rsidRPr="00B40A77">
        <w:rPr>
          <w:color w:val="000000" w:themeColor="text1"/>
        </w:rPr>
        <w:t xml:space="preserve">Form 8EY </w:t>
      </w:r>
      <w:hyperlink r:id="rId140" w:history="1">
        <w:r w:rsidRPr="00B40A77">
          <w:rPr>
            <w:rStyle w:val="Hyperlink"/>
            <w:color w:val="000000" w:themeColor="text1"/>
          </w:rPr>
          <w:t>Notice to Youth – Summary Offence not Punishable by Detention</w:t>
        </w:r>
      </w:hyperlink>
    </w:p>
    <w:bookmarkEnd w:id="482"/>
    <w:p w14:paraId="33523D2D" w14:textId="61D27948" w:rsidR="00340FA4" w:rsidRPr="00B40A77" w:rsidRDefault="00340FA4" w:rsidP="0033795E">
      <w:pPr>
        <w:pStyle w:val="Hangindent"/>
        <w:keepNext/>
        <w:rPr>
          <w:color w:val="000000" w:themeColor="text1"/>
          <w:lang w:val="en-US"/>
        </w:rPr>
      </w:pPr>
      <w:r w:rsidRPr="00B40A77">
        <w:rPr>
          <w:color w:val="000000" w:themeColor="text1"/>
          <w:lang w:val="en-US"/>
        </w:rPr>
        <w:t>(</w:t>
      </w:r>
      <w:r w:rsidR="008B7C56" w:rsidRPr="00B40A77">
        <w:rPr>
          <w:color w:val="000000" w:themeColor="text1"/>
          <w:lang w:val="en-US"/>
        </w:rPr>
        <w:t>3</w:t>
      </w:r>
      <w:r w:rsidRPr="00B40A77">
        <w:rPr>
          <w:color w:val="000000" w:themeColor="text1"/>
          <w:lang w:val="en-US"/>
        </w:rPr>
        <w:t>)</w:t>
      </w:r>
      <w:r w:rsidRPr="00B40A77">
        <w:rPr>
          <w:color w:val="000000" w:themeColor="text1"/>
          <w:lang w:val="en-US"/>
        </w:rPr>
        <w:tab/>
        <w:t xml:space="preserve">If the highest </w:t>
      </w:r>
      <w:hyperlink w:anchor="_2.1—Definitions" w:history="1">
        <w:r w:rsidR="009B1E46" w:rsidRPr="00B40A77">
          <w:rPr>
            <w:rStyle w:val="Hyperlink"/>
            <w:color w:val="000000" w:themeColor="text1"/>
            <w:lang w:val="en-US"/>
          </w:rPr>
          <w:t xml:space="preserve">charge </w:t>
        </w:r>
        <w:r w:rsidR="009B1E46" w:rsidRPr="00B40A77">
          <w:rPr>
            <w:rStyle w:val="Hyperlink"/>
            <w:rFonts w:cs="Arial"/>
            <w:color w:val="000000" w:themeColor="text1"/>
          </w:rPr>
          <w:t>category</w:t>
        </w:r>
      </w:hyperlink>
      <w:r w:rsidR="009B1E46" w:rsidRPr="00B40A77">
        <w:rPr>
          <w:rFonts w:cs="Arial"/>
          <w:color w:val="000000" w:themeColor="text1"/>
        </w:rPr>
        <w:t xml:space="preserve"> for any offence charged in the Information is</w:t>
      </w:r>
      <w:r w:rsidR="009B1E46" w:rsidRPr="00B40A77">
        <w:rPr>
          <w:color w:val="000000" w:themeColor="text1"/>
          <w:lang w:val="en-US"/>
        </w:rPr>
        <w:t xml:space="preserve"> </w:t>
      </w:r>
      <w:r w:rsidR="00C34B73" w:rsidRPr="00B40A77">
        <w:rPr>
          <w:color w:val="000000" w:themeColor="text1"/>
          <w:lang w:val="en-US"/>
        </w:rPr>
        <w:t xml:space="preserve">a </w:t>
      </w:r>
      <w:hyperlink w:anchor="_2.1—Definitions" w:history="1">
        <w:r w:rsidR="009B1E46" w:rsidRPr="00B40A77">
          <w:rPr>
            <w:rStyle w:val="Hyperlink"/>
            <w:color w:val="000000" w:themeColor="text1"/>
            <w:lang w:val="en-US"/>
          </w:rPr>
          <w:t xml:space="preserve">summary </w:t>
        </w:r>
        <w:r w:rsidR="00C34B73" w:rsidRPr="00B40A77">
          <w:rPr>
            <w:rStyle w:val="Hyperlink"/>
            <w:color w:val="000000" w:themeColor="text1"/>
            <w:lang w:val="en-US"/>
          </w:rPr>
          <w:t>offence</w:t>
        </w:r>
      </w:hyperlink>
      <w:r w:rsidR="00C34B73" w:rsidRPr="00B40A77">
        <w:rPr>
          <w:color w:val="000000" w:themeColor="text1"/>
          <w:lang w:val="en-US"/>
        </w:rPr>
        <w:t xml:space="preserve"> </w:t>
      </w:r>
      <w:r w:rsidR="009B1E46" w:rsidRPr="00B40A77">
        <w:rPr>
          <w:color w:val="000000" w:themeColor="text1"/>
          <w:lang w:val="en-US"/>
        </w:rPr>
        <w:t xml:space="preserve">not punishable by imprisonment or detention, </w:t>
      </w:r>
      <w:r w:rsidR="00D52019" w:rsidRPr="00B40A77">
        <w:rPr>
          <w:color w:val="000000" w:themeColor="text1"/>
          <w:lang w:val="en-US"/>
        </w:rPr>
        <w:t xml:space="preserve">a pro forma Written Guilty Plea </w:t>
      </w:r>
      <w:r w:rsidR="00DB250B" w:rsidRPr="00B40A77">
        <w:rPr>
          <w:color w:val="000000" w:themeColor="text1"/>
          <w:lang w:val="en-US"/>
        </w:rPr>
        <w:t xml:space="preserve">in the prescribed form </w:t>
      </w:r>
      <w:r w:rsidR="00D52019" w:rsidRPr="00B40A77">
        <w:rPr>
          <w:color w:val="000000" w:themeColor="text1"/>
          <w:lang w:val="en-US"/>
        </w:rPr>
        <w:t>must be served with the Information.</w:t>
      </w:r>
    </w:p>
    <w:p w14:paraId="0F69FE77" w14:textId="77777777" w:rsidR="00DB250B" w:rsidRPr="00B40A77" w:rsidRDefault="00DB250B" w:rsidP="0033795E">
      <w:pPr>
        <w:pStyle w:val="NoteHeader"/>
        <w:keepNext/>
        <w:rPr>
          <w:color w:val="000000" w:themeColor="text1"/>
        </w:rPr>
      </w:pPr>
      <w:r w:rsidRPr="00B40A77">
        <w:rPr>
          <w:color w:val="000000" w:themeColor="text1"/>
        </w:rPr>
        <w:t>Prescribed form—</w:t>
      </w:r>
    </w:p>
    <w:p w14:paraId="7053D466" w14:textId="6283AAAD" w:rsidR="00DB250B" w:rsidRPr="00B40A77" w:rsidRDefault="00DB250B" w:rsidP="00DB250B">
      <w:pPr>
        <w:pStyle w:val="NoteText"/>
        <w:rPr>
          <w:color w:val="000000" w:themeColor="text1"/>
        </w:rPr>
      </w:pPr>
      <w:r w:rsidRPr="00B40A77">
        <w:rPr>
          <w:color w:val="000000" w:themeColor="text1"/>
        </w:rPr>
        <w:t xml:space="preserve">Form </w:t>
      </w:r>
      <w:r w:rsidRPr="00B40A77">
        <w:rPr>
          <w:color w:val="000000" w:themeColor="text1"/>
          <w:lang w:val="en-US"/>
        </w:rPr>
        <w:t xml:space="preserve">51 </w:t>
      </w:r>
      <w:hyperlink r:id="rId141" w:history="1">
        <w:r w:rsidRPr="00B40A77">
          <w:rPr>
            <w:rStyle w:val="Hyperlink"/>
            <w:color w:val="000000" w:themeColor="text1"/>
            <w:lang w:val="en-US"/>
          </w:rPr>
          <w:t>Written Guilty Plea</w:t>
        </w:r>
      </w:hyperlink>
    </w:p>
    <w:p w14:paraId="392639F2" w14:textId="7037A1C9" w:rsidR="00973DF3" w:rsidRPr="00B40A77" w:rsidRDefault="00973DF3" w:rsidP="00973DF3">
      <w:pPr>
        <w:pStyle w:val="Hangindent"/>
        <w:keepNext/>
        <w:rPr>
          <w:color w:val="000000" w:themeColor="text1"/>
          <w:lang w:val="en-US"/>
        </w:rPr>
      </w:pPr>
      <w:r w:rsidRPr="00B40A77">
        <w:rPr>
          <w:color w:val="000000" w:themeColor="text1"/>
          <w:lang w:val="en-US"/>
        </w:rPr>
        <w:t>(</w:t>
      </w:r>
      <w:r w:rsidR="008B7C56" w:rsidRPr="00B40A77">
        <w:rPr>
          <w:color w:val="000000" w:themeColor="text1"/>
          <w:lang w:val="en-US"/>
        </w:rPr>
        <w:t>4</w:t>
      </w:r>
      <w:r w:rsidRPr="00B40A77">
        <w:rPr>
          <w:color w:val="000000" w:themeColor="text1"/>
          <w:lang w:val="en-US"/>
        </w:rPr>
        <w:t>)</w:t>
      </w:r>
      <w:r w:rsidRPr="00B40A77">
        <w:rPr>
          <w:color w:val="000000" w:themeColor="text1"/>
          <w:lang w:val="en-US"/>
        </w:rPr>
        <w:tab/>
        <w:t xml:space="preserve">If the highest </w:t>
      </w:r>
      <w:hyperlink w:anchor="_2.1—Definitions" w:history="1">
        <w:r w:rsidRPr="00B40A77">
          <w:rPr>
            <w:rStyle w:val="Hyperlink"/>
            <w:color w:val="000000" w:themeColor="text1"/>
            <w:lang w:val="en-US"/>
          </w:rPr>
          <w:t xml:space="preserve">charge </w:t>
        </w:r>
        <w:r w:rsidRPr="00B40A77">
          <w:rPr>
            <w:rStyle w:val="Hyperlink"/>
            <w:rFonts w:cs="Arial"/>
            <w:color w:val="000000" w:themeColor="text1"/>
          </w:rPr>
          <w:t>category</w:t>
        </w:r>
      </w:hyperlink>
      <w:r w:rsidRPr="00B40A77">
        <w:rPr>
          <w:rFonts w:cs="Arial"/>
          <w:color w:val="000000" w:themeColor="text1"/>
        </w:rPr>
        <w:t xml:space="preserve"> for any offence charged in the Information is</w:t>
      </w:r>
      <w:r w:rsidRPr="00B40A77">
        <w:rPr>
          <w:color w:val="000000" w:themeColor="text1"/>
          <w:lang w:val="en-US"/>
        </w:rPr>
        <w:t xml:space="preserve"> </w:t>
      </w:r>
      <w:r w:rsidRPr="00B40A77">
        <w:rPr>
          <w:color w:val="000000" w:themeColor="text1"/>
          <w:u w:val="single"/>
          <w:lang w:val="en-US"/>
        </w:rPr>
        <w:t>minor indictable</w:t>
      </w:r>
      <w:r w:rsidRPr="00B40A77">
        <w:rPr>
          <w:color w:val="000000" w:themeColor="text1"/>
          <w:lang w:val="en-US"/>
        </w:rPr>
        <w:t xml:space="preserve">, a pro forma </w:t>
      </w:r>
      <w:r w:rsidR="00E0219F" w:rsidRPr="00B40A77">
        <w:rPr>
          <w:color w:val="000000" w:themeColor="text1"/>
          <w:lang w:val="en-US"/>
        </w:rPr>
        <w:t>Election for Trial in District Court</w:t>
      </w:r>
      <w:r w:rsidRPr="00B40A77">
        <w:rPr>
          <w:color w:val="000000" w:themeColor="text1"/>
          <w:lang w:val="en-US"/>
        </w:rPr>
        <w:t xml:space="preserve"> in the prescribed form must be served with the Information.</w:t>
      </w:r>
    </w:p>
    <w:p w14:paraId="0A89BD54" w14:textId="77777777" w:rsidR="00973DF3" w:rsidRPr="00B40A77" w:rsidRDefault="00973DF3" w:rsidP="00973DF3">
      <w:pPr>
        <w:pStyle w:val="NoteHeader"/>
        <w:keepNext/>
        <w:rPr>
          <w:color w:val="000000" w:themeColor="text1"/>
        </w:rPr>
      </w:pPr>
      <w:r w:rsidRPr="00B40A77">
        <w:rPr>
          <w:color w:val="000000" w:themeColor="text1"/>
        </w:rPr>
        <w:t>Prescribed form—</w:t>
      </w:r>
    </w:p>
    <w:p w14:paraId="6130ECC5" w14:textId="21468E4A" w:rsidR="00973DF3" w:rsidRPr="00B40A77" w:rsidRDefault="00973DF3" w:rsidP="00973DF3">
      <w:pPr>
        <w:pStyle w:val="NoteText"/>
        <w:rPr>
          <w:color w:val="000000" w:themeColor="text1"/>
        </w:rPr>
      </w:pPr>
      <w:r w:rsidRPr="00B40A77">
        <w:rPr>
          <w:color w:val="000000" w:themeColor="text1"/>
        </w:rPr>
        <w:t xml:space="preserve">Form </w:t>
      </w:r>
      <w:r w:rsidR="00E0219F" w:rsidRPr="00B40A77">
        <w:rPr>
          <w:color w:val="000000" w:themeColor="text1"/>
          <w:lang w:val="en-US"/>
        </w:rPr>
        <w:t>66</w:t>
      </w:r>
      <w:r w:rsidRPr="00B40A77">
        <w:rPr>
          <w:color w:val="000000" w:themeColor="text1"/>
          <w:lang w:val="en-US"/>
        </w:rPr>
        <w:t xml:space="preserve"> </w:t>
      </w:r>
      <w:hyperlink r:id="rId142" w:history="1">
        <w:r w:rsidR="00E0219F" w:rsidRPr="00B40A77">
          <w:rPr>
            <w:rStyle w:val="Hyperlink"/>
            <w:color w:val="000000" w:themeColor="text1"/>
            <w:lang w:val="en-US"/>
          </w:rPr>
          <w:t>Election for Trial in District Court</w:t>
        </w:r>
      </w:hyperlink>
    </w:p>
    <w:p w14:paraId="5977D465" w14:textId="2ACD6083" w:rsidR="00033BA6" w:rsidRPr="00B40A77" w:rsidRDefault="00033BA6" w:rsidP="00033BA6">
      <w:pPr>
        <w:pStyle w:val="Hangindent"/>
        <w:keepNext/>
        <w:rPr>
          <w:color w:val="000000" w:themeColor="text1"/>
          <w:lang w:val="en-US"/>
        </w:rPr>
      </w:pPr>
      <w:r w:rsidRPr="00B40A77">
        <w:rPr>
          <w:color w:val="000000" w:themeColor="text1"/>
          <w:lang w:val="en-US"/>
        </w:rPr>
        <w:lastRenderedPageBreak/>
        <w:t>(</w:t>
      </w:r>
      <w:r w:rsidR="008B7C56" w:rsidRPr="00B40A77">
        <w:rPr>
          <w:color w:val="000000" w:themeColor="text1"/>
          <w:lang w:val="en-US"/>
        </w:rPr>
        <w:t>5</w:t>
      </w:r>
      <w:r w:rsidRPr="00B40A77">
        <w:rPr>
          <w:color w:val="000000" w:themeColor="text1"/>
          <w:lang w:val="en-US"/>
        </w:rPr>
        <w:t>)</w:t>
      </w:r>
      <w:r w:rsidRPr="00B40A77">
        <w:rPr>
          <w:color w:val="000000" w:themeColor="text1"/>
          <w:lang w:val="en-US"/>
        </w:rPr>
        <w:tab/>
        <w:t xml:space="preserve">If the highest </w:t>
      </w:r>
      <w:hyperlink w:anchor="_2.1—Definitions" w:history="1">
        <w:r w:rsidRPr="00B40A77">
          <w:rPr>
            <w:rStyle w:val="Hyperlink"/>
            <w:color w:val="000000" w:themeColor="text1"/>
            <w:lang w:val="en-US"/>
          </w:rPr>
          <w:t xml:space="preserve">charge </w:t>
        </w:r>
        <w:r w:rsidRPr="00B40A77">
          <w:rPr>
            <w:rStyle w:val="Hyperlink"/>
            <w:rFonts w:cs="Arial"/>
            <w:color w:val="000000" w:themeColor="text1"/>
          </w:rPr>
          <w:t>category</w:t>
        </w:r>
      </w:hyperlink>
      <w:r w:rsidRPr="00B40A77">
        <w:rPr>
          <w:rFonts w:cs="Arial"/>
          <w:color w:val="000000" w:themeColor="text1"/>
        </w:rPr>
        <w:t xml:space="preserve"> for any offence charged in the Information is</w:t>
      </w:r>
      <w:r w:rsidRPr="00B40A77">
        <w:rPr>
          <w:color w:val="000000" w:themeColor="text1"/>
          <w:lang w:val="en-US"/>
        </w:rPr>
        <w:t xml:space="preserve"> </w:t>
      </w:r>
      <w:r w:rsidRPr="00B40A77">
        <w:rPr>
          <w:color w:val="000000" w:themeColor="text1"/>
          <w:u w:val="single"/>
          <w:lang w:val="en-US"/>
        </w:rPr>
        <w:t>indictable</w:t>
      </w:r>
      <w:r w:rsidRPr="00B40A77">
        <w:rPr>
          <w:color w:val="000000" w:themeColor="text1"/>
          <w:lang w:val="en-US"/>
        </w:rPr>
        <w:t>, a pro forma Election to be Dealt with as an Adult in the prescribed form must be served with the Information.</w:t>
      </w:r>
    </w:p>
    <w:p w14:paraId="651BFDD5" w14:textId="77777777" w:rsidR="00033BA6" w:rsidRPr="00B40A77" w:rsidRDefault="00033BA6" w:rsidP="00033BA6">
      <w:pPr>
        <w:pStyle w:val="NoteHeader"/>
        <w:keepNext/>
        <w:rPr>
          <w:color w:val="000000" w:themeColor="text1"/>
        </w:rPr>
      </w:pPr>
      <w:r w:rsidRPr="00B40A77">
        <w:rPr>
          <w:color w:val="000000" w:themeColor="text1"/>
        </w:rPr>
        <w:t>Prescribed form—</w:t>
      </w:r>
    </w:p>
    <w:p w14:paraId="7DE5B7BB" w14:textId="23FC3AD6" w:rsidR="00033BA6" w:rsidRPr="00B40A77" w:rsidRDefault="00033BA6" w:rsidP="00033BA6">
      <w:pPr>
        <w:pStyle w:val="NoteText"/>
        <w:rPr>
          <w:color w:val="000000" w:themeColor="text1"/>
        </w:rPr>
      </w:pPr>
      <w:r w:rsidRPr="00B40A77">
        <w:rPr>
          <w:color w:val="000000" w:themeColor="text1"/>
        </w:rPr>
        <w:t xml:space="preserve">Form </w:t>
      </w:r>
      <w:r w:rsidRPr="00B40A77">
        <w:rPr>
          <w:color w:val="000000" w:themeColor="text1"/>
          <w:lang w:val="en-US"/>
        </w:rPr>
        <w:t xml:space="preserve">67 </w:t>
      </w:r>
      <w:hyperlink r:id="rId143" w:history="1">
        <w:r w:rsidRPr="00B40A77">
          <w:rPr>
            <w:rStyle w:val="Hyperlink"/>
            <w:color w:val="000000" w:themeColor="text1"/>
            <w:lang w:val="en-US"/>
          </w:rPr>
          <w:t>Election to be Dealt with as an Adult</w:t>
        </w:r>
      </w:hyperlink>
    </w:p>
    <w:p w14:paraId="504745F3" w14:textId="0809AD2F" w:rsidR="00CF659D" w:rsidRPr="00B40A77" w:rsidRDefault="009D3293" w:rsidP="00CF659D">
      <w:pPr>
        <w:pStyle w:val="Hangindent"/>
        <w:rPr>
          <w:color w:val="000000" w:themeColor="text1"/>
          <w:lang w:val="en-US"/>
        </w:rPr>
      </w:pPr>
      <w:r w:rsidRPr="00B40A77">
        <w:rPr>
          <w:color w:val="000000" w:themeColor="text1"/>
          <w:lang w:val="en-US"/>
        </w:rPr>
        <w:t>(</w:t>
      </w:r>
      <w:r w:rsidR="002571DD" w:rsidRPr="00B40A77">
        <w:rPr>
          <w:color w:val="000000" w:themeColor="text1"/>
          <w:lang w:val="en-US"/>
        </w:rPr>
        <w:t>6</w:t>
      </w:r>
      <w:r w:rsidR="00A53E13" w:rsidRPr="00B40A77">
        <w:rPr>
          <w:color w:val="000000" w:themeColor="text1"/>
          <w:lang w:val="en-US"/>
        </w:rPr>
        <w:t>)</w:t>
      </w:r>
      <w:r w:rsidR="00A53E13" w:rsidRPr="00B40A77">
        <w:rPr>
          <w:color w:val="000000" w:themeColor="text1"/>
          <w:lang w:val="en-US"/>
        </w:rPr>
        <w:tab/>
        <w:t>The Information must be served</w:t>
      </w:r>
      <w:r w:rsidR="00277AA0" w:rsidRPr="00B40A77">
        <w:rPr>
          <w:color w:val="000000" w:themeColor="text1"/>
        </w:rPr>
        <w:t>—</w:t>
      </w:r>
    </w:p>
    <w:p w14:paraId="59534920" w14:textId="3F40DCFD" w:rsidR="00CF659D" w:rsidRPr="00B40A77" w:rsidRDefault="00DD7F08" w:rsidP="00CF659D">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A53E13" w:rsidRPr="00B40A77">
        <w:rPr>
          <w:color w:val="000000" w:themeColor="text1"/>
          <w:lang w:val="en-US"/>
        </w:rPr>
        <w:t xml:space="preserve">if a </w:t>
      </w:r>
      <w:r w:rsidR="00C34B73" w:rsidRPr="00B40A77">
        <w:rPr>
          <w:color w:val="000000" w:themeColor="text1"/>
          <w:lang w:val="en-US"/>
        </w:rPr>
        <w:t>F</w:t>
      </w:r>
      <w:r w:rsidR="00A53E13" w:rsidRPr="00B40A77">
        <w:rPr>
          <w:color w:val="000000" w:themeColor="text1"/>
          <w:lang w:val="en-US"/>
        </w:rPr>
        <w:t>orm 1</w:t>
      </w:r>
      <w:r w:rsidR="00CC33C3" w:rsidRPr="00B40A77">
        <w:rPr>
          <w:color w:val="000000" w:themeColor="text1"/>
          <w:lang w:val="en-US"/>
        </w:rPr>
        <w:t xml:space="preserve"> Information </w:t>
      </w:r>
      <w:r w:rsidR="00E3274D" w:rsidRPr="00B40A77">
        <w:rPr>
          <w:color w:val="000000" w:themeColor="text1"/>
          <w:lang w:val="en-US"/>
        </w:rPr>
        <w:t>L</w:t>
      </w:r>
      <w:r w:rsidR="00CC33C3" w:rsidRPr="00B40A77">
        <w:rPr>
          <w:color w:val="000000" w:themeColor="text1"/>
          <w:lang w:val="en-US"/>
        </w:rPr>
        <w:t xml:space="preserve">ower </w:t>
      </w:r>
      <w:r w:rsidR="00E3274D" w:rsidRPr="00B40A77">
        <w:rPr>
          <w:color w:val="000000" w:themeColor="text1"/>
          <w:lang w:val="en-US"/>
        </w:rPr>
        <w:t>C</w:t>
      </w:r>
      <w:r w:rsidR="00CC33C3" w:rsidRPr="00B40A77">
        <w:rPr>
          <w:color w:val="000000" w:themeColor="text1"/>
          <w:lang w:val="en-US"/>
        </w:rPr>
        <w:t>ourts</w:t>
      </w:r>
      <w:r w:rsidR="00A53E13" w:rsidRPr="00B40A77">
        <w:rPr>
          <w:color w:val="000000" w:themeColor="text1"/>
        </w:rPr>
        <w:t>—</w:t>
      </w:r>
      <w:r w:rsidR="00AF7BFC" w:rsidRPr="00B40A77">
        <w:rPr>
          <w:color w:val="000000" w:themeColor="text1"/>
        </w:rPr>
        <w:t>as soon as practicable</w:t>
      </w:r>
      <w:r w:rsidR="00CF659D" w:rsidRPr="00B40A77">
        <w:rPr>
          <w:color w:val="000000" w:themeColor="text1"/>
          <w:lang w:val="en-US"/>
        </w:rPr>
        <w:t>;</w:t>
      </w:r>
      <w:r w:rsidRPr="00B40A77">
        <w:rPr>
          <w:color w:val="000000" w:themeColor="text1"/>
          <w:lang w:val="en-US"/>
        </w:rPr>
        <w:t xml:space="preserve"> </w:t>
      </w:r>
      <w:r w:rsidR="00AF7BFC" w:rsidRPr="00B40A77">
        <w:rPr>
          <w:color w:val="000000" w:themeColor="text1"/>
          <w:lang w:val="en-US"/>
        </w:rPr>
        <w:t>and</w:t>
      </w:r>
    </w:p>
    <w:p w14:paraId="516BE93A" w14:textId="1E69F4E4" w:rsidR="00CC33C3" w:rsidRPr="00B40A77" w:rsidRDefault="00CF659D" w:rsidP="00CC33C3">
      <w:pPr>
        <w:pStyle w:val="Doublehangindent"/>
        <w:rPr>
          <w:color w:val="000000" w:themeColor="text1"/>
          <w:lang w:val="en-US"/>
        </w:rPr>
      </w:pPr>
      <w:r w:rsidRPr="00B40A77">
        <w:rPr>
          <w:color w:val="000000" w:themeColor="text1"/>
          <w:lang w:val="en-US"/>
        </w:rPr>
        <w:t>(</w:t>
      </w:r>
      <w:r w:rsidR="00DD7F08" w:rsidRPr="00B40A77">
        <w:rPr>
          <w:color w:val="000000" w:themeColor="text1"/>
          <w:lang w:val="en-US"/>
        </w:rPr>
        <w:t>b</w:t>
      </w:r>
      <w:r w:rsidRPr="00B40A77">
        <w:rPr>
          <w:color w:val="000000" w:themeColor="text1"/>
          <w:lang w:val="en-US"/>
        </w:rPr>
        <w:t>)</w:t>
      </w:r>
      <w:r w:rsidRPr="00B40A77">
        <w:rPr>
          <w:color w:val="000000" w:themeColor="text1"/>
          <w:lang w:val="en-US"/>
        </w:rPr>
        <w:tab/>
      </w:r>
      <w:r w:rsidR="00A53E13" w:rsidRPr="00B40A77">
        <w:rPr>
          <w:color w:val="000000" w:themeColor="text1"/>
          <w:lang w:val="en-US"/>
        </w:rPr>
        <w:t xml:space="preserve">if a </w:t>
      </w:r>
      <w:r w:rsidR="00C34B73" w:rsidRPr="00B40A77">
        <w:rPr>
          <w:color w:val="000000" w:themeColor="text1"/>
          <w:lang w:val="en-US"/>
        </w:rPr>
        <w:t>F</w:t>
      </w:r>
      <w:r w:rsidR="00A53E13" w:rsidRPr="00B40A77">
        <w:rPr>
          <w:color w:val="000000" w:themeColor="text1"/>
          <w:lang w:val="en-US"/>
        </w:rPr>
        <w:t>orm 2</w:t>
      </w:r>
      <w:r w:rsidR="00CC33C3" w:rsidRPr="00B40A77">
        <w:rPr>
          <w:color w:val="000000" w:themeColor="text1"/>
          <w:lang w:val="en-US"/>
        </w:rPr>
        <w:t xml:space="preserve"> Information and Summons </w:t>
      </w:r>
      <w:r w:rsidR="00E3274D" w:rsidRPr="00B40A77">
        <w:rPr>
          <w:color w:val="000000" w:themeColor="text1"/>
          <w:lang w:val="en-US"/>
        </w:rPr>
        <w:t>L</w:t>
      </w:r>
      <w:r w:rsidR="00CC33C3" w:rsidRPr="00B40A77">
        <w:rPr>
          <w:color w:val="000000" w:themeColor="text1"/>
          <w:lang w:val="en-US"/>
        </w:rPr>
        <w:t xml:space="preserve">ower </w:t>
      </w:r>
      <w:r w:rsidR="00E3274D" w:rsidRPr="00B40A77">
        <w:rPr>
          <w:color w:val="000000" w:themeColor="text1"/>
          <w:lang w:val="en-US"/>
        </w:rPr>
        <w:t>C</w:t>
      </w:r>
      <w:r w:rsidR="00CC33C3" w:rsidRPr="00B40A77">
        <w:rPr>
          <w:color w:val="000000" w:themeColor="text1"/>
          <w:lang w:val="en-US"/>
        </w:rPr>
        <w:t>ourts</w:t>
      </w:r>
      <w:r w:rsidR="00A53E13" w:rsidRPr="00B40A77">
        <w:rPr>
          <w:color w:val="000000" w:themeColor="text1"/>
        </w:rPr>
        <w:t xml:space="preserve">—as soon as practicable and in any event </w:t>
      </w:r>
      <w:r w:rsidR="006F6862" w:rsidRPr="00B40A77">
        <w:rPr>
          <w:color w:val="000000" w:themeColor="text1"/>
        </w:rPr>
        <w:t xml:space="preserve">at </w:t>
      </w:r>
      <w:r w:rsidR="00A53E13" w:rsidRPr="00B40A77">
        <w:rPr>
          <w:color w:val="000000" w:themeColor="text1"/>
        </w:rPr>
        <w:t>least 7 days</w:t>
      </w:r>
      <w:r w:rsidR="008F6AC3" w:rsidRPr="00B40A77">
        <w:rPr>
          <w:color w:val="000000" w:themeColor="text1"/>
        </w:rPr>
        <w:t xml:space="preserve"> before the </w:t>
      </w:r>
      <w:r w:rsidR="00A53E13" w:rsidRPr="00B40A77">
        <w:rPr>
          <w:color w:val="000000" w:themeColor="text1"/>
        </w:rPr>
        <w:t xml:space="preserve">first </w:t>
      </w:r>
      <w:hyperlink w:anchor="_37.1—Application_of_Part" w:history="1">
        <w:r w:rsidR="00CE7A79" w:rsidRPr="00B40A77">
          <w:rPr>
            <w:rStyle w:val="Hyperlink"/>
            <w:color w:val="000000" w:themeColor="text1"/>
            <w:lang w:val="en-US"/>
          </w:rPr>
          <w:t>hearing</w:t>
        </w:r>
      </w:hyperlink>
      <w:r w:rsidR="00A53E13" w:rsidRPr="00B40A77">
        <w:rPr>
          <w:color w:val="000000" w:themeColor="text1"/>
        </w:rPr>
        <w:t xml:space="preserve"> date</w:t>
      </w:r>
      <w:r w:rsidR="00AF7BFC" w:rsidRPr="00B40A77">
        <w:rPr>
          <w:color w:val="000000" w:themeColor="text1"/>
          <w:lang w:val="en-US"/>
        </w:rPr>
        <w:t>.</w:t>
      </w:r>
    </w:p>
    <w:p w14:paraId="680F1051" w14:textId="3B963FFD" w:rsidR="00FA1F7C" w:rsidRPr="00B40A77" w:rsidRDefault="002B3C97" w:rsidP="00173536">
      <w:pPr>
        <w:pStyle w:val="Hangindent"/>
        <w:keepNext/>
        <w:rPr>
          <w:color w:val="000000" w:themeColor="text1"/>
        </w:rPr>
      </w:pPr>
      <w:bookmarkStart w:id="483" w:name="_63.4—Manner_of_service"/>
      <w:bookmarkEnd w:id="483"/>
      <w:r w:rsidRPr="00B40A77">
        <w:rPr>
          <w:color w:val="000000" w:themeColor="text1"/>
        </w:rPr>
        <w:t>(</w:t>
      </w:r>
      <w:r w:rsidR="002571DD" w:rsidRPr="00B40A77">
        <w:rPr>
          <w:color w:val="000000" w:themeColor="text1"/>
        </w:rPr>
        <w:t>7</w:t>
      </w:r>
      <w:r w:rsidR="00FA1F7C" w:rsidRPr="00B40A77">
        <w:rPr>
          <w:color w:val="000000" w:themeColor="text1"/>
        </w:rPr>
        <w:t>)</w:t>
      </w:r>
      <w:r w:rsidR="00FA1F7C" w:rsidRPr="00B40A77">
        <w:rPr>
          <w:color w:val="000000" w:themeColor="text1"/>
        </w:rPr>
        <w:tab/>
        <w:t xml:space="preserve">Unless the Court otherwise orders, </w:t>
      </w:r>
      <w:r w:rsidR="003116FC" w:rsidRPr="00B40A77">
        <w:rPr>
          <w:color w:val="000000" w:themeColor="text1"/>
          <w:lang w:val="en-US"/>
        </w:rPr>
        <w:t xml:space="preserve">service </w:t>
      </w:r>
      <w:r w:rsidR="00D12014" w:rsidRPr="00B40A77">
        <w:rPr>
          <w:color w:val="000000" w:themeColor="text1"/>
          <w:lang w:val="en-US"/>
        </w:rPr>
        <w:t>of the Information</w:t>
      </w:r>
      <w:r w:rsidR="00FE5600" w:rsidRPr="00B40A77">
        <w:rPr>
          <w:color w:val="000000" w:themeColor="text1"/>
          <w:lang w:val="en-US"/>
        </w:rPr>
        <w:t xml:space="preserve"> </w:t>
      </w:r>
      <w:r w:rsidR="00647E1F" w:rsidRPr="00B40A77">
        <w:rPr>
          <w:color w:val="000000" w:themeColor="text1"/>
        </w:rPr>
        <w:t>must be effected</w:t>
      </w:r>
      <w:r w:rsidR="00FA1F7C" w:rsidRPr="00B40A77">
        <w:rPr>
          <w:color w:val="000000" w:themeColor="text1"/>
        </w:rPr>
        <w:t xml:space="preserve"> </w:t>
      </w:r>
      <w:r w:rsidR="00540FB1" w:rsidRPr="00B40A77">
        <w:rPr>
          <w:color w:val="000000" w:themeColor="text1"/>
        </w:rPr>
        <w:t xml:space="preserve">by </w:t>
      </w:r>
      <w:hyperlink w:anchor="_2.1—Definitions" w:history="1">
        <w:hyperlink w:anchor="_33.7—Original_service" w:history="1">
          <w:hyperlink w:anchor="_33.7—Original_service" w:history="1">
            <w:r w:rsidR="003A1982" w:rsidRPr="00B40A77">
              <w:rPr>
                <w:rStyle w:val="Hyperlink"/>
                <w:color w:val="000000" w:themeColor="text1"/>
              </w:rPr>
              <w:t>original service</w:t>
            </w:r>
          </w:hyperlink>
        </w:hyperlink>
      </w:hyperlink>
      <w:r w:rsidR="00D22292" w:rsidRPr="00B40A77">
        <w:rPr>
          <w:color w:val="000000" w:themeColor="text1"/>
        </w:rPr>
        <w:t>.</w:t>
      </w:r>
    </w:p>
    <w:p w14:paraId="70BA7D8E" w14:textId="77777777" w:rsidR="00C4140B" w:rsidRPr="00B40A77" w:rsidRDefault="00C4140B" w:rsidP="00282034">
      <w:pPr>
        <w:pStyle w:val="NoteHeader"/>
        <w:keepNext/>
        <w:rPr>
          <w:color w:val="000000" w:themeColor="text1"/>
        </w:rPr>
      </w:pPr>
      <w:r w:rsidRPr="00B40A77">
        <w:rPr>
          <w:color w:val="000000" w:themeColor="text1"/>
        </w:rPr>
        <w:t>Notes—</w:t>
      </w:r>
    </w:p>
    <w:p w14:paraId="3D6FA300" w14:textId="3117774F" w:rsidR="00FA1F7C" w:rsidRPr="00B40A77" w:rsidRDefault="00FA1F7C" w:rsidP="002C1B29">
      <w:pPr>
        <w:pStyle w:val="NoteText"/>
        <w:rPr>
          <w:color w:val="000000" w:themeColor="text1"/>
        </w:rPr>
      </w:pPr>
      <w:r w:rsidRPr="00B40A77">
        <w:rPr>
          <w:color w:val="000000" w:themeColor="text1"/>
        </w:rPr>
        <w:t xml:space="preserve">Service of </w:t>
      </w:r>
      <w:r w:rsidR="00D12014" w:rsidRPr="00B40A77">
        <w:rPr>
          <w:color w:val="000000" w:themeColor="text1"/>
          <w:lang w:val="en-US"/>
        </w:rPr>
        <w:t>an Information</w:t>
      </w:r>
      <w:r w:rsidR="002A6D33" w:rsidRPr="00B40A77">
        <w:rPr>
          <w:color w:val="000000" w:themeColor="text1"/>
          <w:lang w:val="en-US"/>
        </w:rPr>
        <w:t xml:space="preserve"> </w:t>
      </w:r>
      <w:r w:rsidRPr="00B40A77">
        <w:rPr>
          <w:color w:val="000000" w:themeColor="text1"/>
        </w:rPr>
        <w:t xml:space="preserve">in another </w:t>
      </w:r>
      <w:r w:rsidR="00707267" w:rsidRPr="00B40A77">
        <w:rPr>
          <w:color w:val="000000" w:themeColor="text1"/>
        </w:rPr>
        <w:t>State</w:t>
      </w:r>
      <w:r w:rsidRPr="00B40A77">
        <w:rPr>
          <w:color w:val="000000" w:themeColor="text1"/>
        </w:rPr>
        <w:t xml:space="preserve"> is effective only if there is compliance with section</w:t>
      </w:r>
      <w:r w:rsidR="00CC33C3" w:rsidRPr="00B40A77">
        <w:rPr>
          <w:color w:val="000000" w:themeColor="text1"/>
        </w:rPr>
        <w:t> </w:t>
      </w:r>
      <w:r w:rsidRPr="00B40A77">
        <w:rPr>
          <w:color w:val="000000" w:themeColor="text1"/>
        </w:rPr>
        <w:t>16 of the</w:t>
      </w:r>
      <w:r w:rsidRPr="00B40A77">
        <w:rPr>
          <w:i/>
          <w:color w:val="000000" w:themeColor="text1"/>
        </w:rPr>
        <w:t xml:space="preserve"> </w:t>
      </w:r>
      <w:r w:rsidRPr="00B40A77">
        <w:rPr>
          <w:iCs/>
          <w:color w:val="000000" w:themeColor="text1"/>
        </w:rPr>
        <w:t>Service and Execution of Process Act</w:t>
      </w:r>
      <w:r w:rsidRPr="00B40A77">
        <w:rPr>
          <w:color w:val="000000" w:themeColor="text1"/>
        </w:rPr>
        <w:t>.</w:t>
      </w:r>
    </w:p>
    <w:p w14:paraId="3A9391B3" w14:textId="7B17D683" w:rsidR="008F5569" w:rsidRPr="00B40A77" w:rsidRDefault="00585CFC" w:rsidP="00BE23A0">
      <w:pPr>
        <w:pStyle w:val="Heading2"/>
        <w:keepNext/>
        <w:rPr>
          <w:color w:val="000000" w:themeColor="text1"/>
        </w:rPr>
      </w:pPr>
      <w:bookmarkStart w:id="484" w:name="_Toc19183025"/>
      <w:bookmarkStart w:id="485" w:name="_Toc175238963"/>
      <w:bookmarkEnd w:id="466"/>
      <w:r w:rsidRPr="00B40A77">
        <w:rPr>
          <w:color w:val="000000" w:themeColor="text1"/>
        </w:rPr>
        <w:t xml:space="preserve">Part </w:t>
      </w:r>
      <w:r w:rsidR="00F14F1B" w:rsidRPr="00B40A77">
        <w:rPr>
          <w:color w:val="000000" w:themeColor="text1"/>
        </w:rPr>
        <w:t>3</w:t>
      </w:r>
      <w:r w:rsidR="008F5569" w:rsidRPr="00B40A77">
        <w:rPr>
          <w:color w:val="000000" w:themeColor="text1"/>
        </w:rPr>
        <w:t>—Amendment</w:t>
      </w:r>
      <w:bookmarkEnd w:id="484"/>
      <w:r w:rsidR="00F14F1B" w:rsidRPr="00B40A77">
        <w:rPr>
          <w:color w:val="000000" w:themeColor="text1"/>
        </w:rPr>
        <w:t>, challenge and further particulars</w:t>
      </w:r>
      <w:bookmarkEnd w:id="485"/>
    </w:p>
    <w:p w14:paraId="36543DBF" w14:textId="254EFF5D" w:rsidR="00F14F1B" w:rsidRPr="00B40A77" w:rsidRDefault="00F14F1B" w:rsidP="00F14F1B">
      <w:pPr>
        <w:pStyle w:val="Heading3"/>
        <w:rPr>
          <w:color w:val="000000" w:themeColor="text1"/>
        </w:rPr>
      </w:pPr>
      <w:bookmarkStart w:id="486" w:name="_69.1—Amendment_without_consent"/>
      <w:bookmarkStart w:id="487" w:name="_Toc175238964"/>
      <w:bookmarkEnd w:id="486"/>
      <w:r w:rsidRPr="00B40A77">
        <w:rPr>
          <w:color w:val="000000" w:themeColor="text1"/>
        </w:rPr>
        <w:t>Division 1—Amendment of Information</w:t>
      </w:r>
      <w:bookmarkEnd w:id="487"/>
    </w:p>
    <w:p w14:paraId="4A494B1B" w14:textId="16DF27A0" w:rsidR="005A1252" w:rsidRPr="00B40A77" w:rsidRDefault="008F6AC3" w:rsidP="004057D2">
      <w:pPr>
        <w:pStyle w:val="Heading4"/>
        <w:rPr>
          <w:color w:val="000000" w:themeColor="text1"/>
        </w:rPr>
      </w:pPr>
      <w:bookmarkStart w:id="488" w:name="_63.1—Amendment_with_or"/>
      <w:bookmarkStart w:id="489" w:name="_Toc175238965"/>
      <w:bookmarkStart w:id="490" w:name="_Hlk84528291"/>
      <w:bookmarkStart w:id="491" w:name="_Hlk84681326"/>
      <w:bookmarkEnd w:id="488"/>
      <w:r w:rsidRPr="00B40A77">
        <w:rPr>
          <w:color w:val="000000" w:themeColor="text1"/>
        </w:rPr>
        <w:t>6</w:t>
      </w:r>
      <w:r w:rsidR="00B72D5F" w:rsidRPr="00B40A77">
        <w:rPr>
          <w:color w:val="000000" w:themeColor="text1"/>
        </w:rPr>
        <w:t>3</w:t>
      </w:r>
      <w:r w:rsidR="00E82A85" w:rsidRPr="00B40A77">
        <w:rPr>
          <w:color w:val="000000" w:themeColor="text1"/>
        </w:rPr>
        <w:t>.1</w:t>
      </w:r>
      <w:r w:rsidR="005A1252" w:rsidRPr="00B40A77">
        <w:rPr>
          <w:color w:val="000000" w:themeColor="text1"/>
        </w:rPr>
        <w:t xml:space="preserve">—Amendment </w:t>
      </w:r>
      <w:r w:rsidR="00CE49BF" w:rsidRPr="00B40A77">
        <w:rPr>
          <w:color w:val="000000" w:themeColor="text1"/>
        </w:rPr>
        <w:t xml:space="preserve">with or </w:t>
      </w:r>
      <w:r w:rsidR="005A1252" w:rsidRPr="00B40A77">
        <w:rPr>
          <w:color w:val="000000" w:themeColor="text1"/>
        </w:rPr>
        <w:t>without leave</w:t>
      </w:r>
      <w:bookmarkEnd w:id="489"/>
    </w:p>
    <w:p w14:paraId="4910AC29" w14:textId="0906AB8B" w:rsidR="00396047" w:rsidRPr="00B40A77" w:rsidRDefault="00396047" w:rsidP="00396047">
      <w:pPr>
        <w:pStyle w:val="Hangindent"/>
        <w:rPr>
          <w:color w:val="000000" w:themeColor="text1"/>
        </w:rPr>
      </w:pPr>
      <w:r w:rsidRPr="00B40A77">
        <w:rPr>
          <w:rFonts w:cs="Times New Roman"/>
          <w:color w:val="000000" w:themeColor="text1"/>
        </w:rPr>
        <w:t>(1)</w:t>
      </w:r>
      <w:r w:rsidRPr="00B40A77">
        <w:rPr>
          <w:rFonts w:cs="Times New Roman"/>
          <w:color w:val="000000" w:themeColor="text1"/>
        </w:rPr>
        <w:tab/>
        <w:t>Subject to subrules (</w:t>
      </w:r>
      <w:r w:rsidR="00F843BB" w:rsidRPr="00B40A77">
        <w:rPr>
          <w:rFonts w:cs="Times New Roman"/>
          <w:color w:val="000000" w:themeColor="text1"/>
        </w:rPr>
        <w:t>3</w:t>
      </w:r>
      <w:r w:rsidRPr="00B40A77">
        <w:rPr>
          <w:rFonts w:cs="Times New Roman"/>
          <w:color w:val="000000" w:themeColor="text1"/>
        </w:rPr>
        <w:t>)</w:t>
      </w:r>
      <w:r w:rsidR="00BF5815" w:rsidRPr="00B40A77">
        <w:rPr>
          <w:rFonts w:cs="Times New Roman"/>
          <w:color w:val="000000" w:themeColor="text1"/>
        </w:rPr>
        <w:t>,</w:t>
      </w:r>
      <w:r w:rsidRPr="00B40A77">
        <w:rPr>
          <w:rFonts w:cs="Times New Roman"/>
          <w:color w:val="000000" w:themeColor="text1"/>
        </w:rPr>
        <w:t xml:space="preserve"> (</w:t>
      </w:r>
      <w:r w:rsidR="00F843BB" w:rsidRPr="00B40A77">
        <w:rPr>
          <w:rFonts w:cs="Times New Roman"/>
          <w:color w:val="000000" w:themeColor="text1"/>
        </w:rPr>
        <w:t>4</w:t>
      </w:r>
      <w:r w:rsidRPr="00B40A77">
        <w:rPr>
          <w:rFonts w:cs="Times New Roman"/>
          <w:color w:val="000000" w:themeColor="text1"/>
        </w:rPr>
        <w:t>)</w:t>
      </w:r>
      <w:r w:rsidR="00BF5815" w:rsidRPr="00B40A77">
        <w:rPr>
          <w:rFonts w:cs="Times New Roman"/>
          <w:color w:val="000000" w:themeColor="text1"/>
        </w:rPr>
        <w:t xml:space="preserve"> and (5)</w:t>
      </w:r>
      <w:r w:rsidRPr="00B40A77">
        <w:rPr>
          <w:rFonts w:cs="Times New Roman"/>
          <w:color w:val="000000" w:themeColor="text1"/>
        </w:rPr>
        <w:t xml:space="preserve">, the informant may amend the Information </w:t>
      </w:r>
      <w:r w:rsidRPr="00B40A77">
        <w:rPr>
          <w:color w:val="000000" w:themeColor="text1"/>
        </w:rPr>
        <w:t>(including to add</w:t>
      </w:r>
      <w:r w:rsidRPr="00B40A77">
        <w:rPr>
          <w:rFonts w:cs="Times New Roman"/>
          <w:color w:val="000000" w:themeColor="text1"/>
        </w:rPr>
        <w:t xml:space="preserve"> an additional defendant or youth or count or to amend an existing count)</w:t>
      </w:r>
      <w:r w:rsidRPr="00B40A77">
        <w:rPr>
          <w:color w:val="000000" w:themeColor="text1"/>
        </w:rPr>
        <w:t>—</w:t>
      </w:r>
    </w:p>
    <w:p w14:paraId="41B4D8B8" w14:textId="3DA4D2CD" w:rsidR="00396047" w:rsidRPr="00B40A77" w:rsidRDefault="00396047" w:rsidP="00396047">
      <w:pPr>
        <w:pStyle w:val="Doublehangindent"/>
        <w:rPr>
          <w:color w:val="000000" w:themeColor="text1"/>
        </w:rPr>
      </w:pPr>
      <w:r w:rsidRPr="00B40A77">
        <w:rPr>
          <w:color w:val="000000" w:themeColor="text1"/>
          <w:lang w:val="en-US"/>
        </w:rPr>
        <w:t>(a)</w:t>
      </w:r>
      <w:r w:rsidRPr="00B40A77">
        <w:rPr>
          <w:color w:val="000000" w:themeColor="text1"/>
          <w:lang w:val="en-US"/>
        </w:rPr>
        <w:tab/>
        <w:t xml:space="preserve">if the matter is proceeding towards a </w:t>
      </w:r>
      <w:hyperlink w:anchor="_2.1—Definitions" w:history="1">
        <w:r w:rsidR="00D81006" w:rsidRPr="00B40A77">
          <w:rPr>
            <w:rStyle w:val="Hyperlink"/>
            <w:color w:val="000000" w:themeColor="text1"/>
            <w:lang w:val="en-US"/>
          </w:rPr>
          <w:t>trial</w:t>
        </w:r>
      </w:hyperlink>
      <w:r w:rsidRPr="00B40A77">
        <w:rPr>
          <w:color w:val="000000" w:themeColor="text1"/>
          <w:lang w:val="en-US"/>
        </w:rPr>
        <w:t xml:space="preserve"> in the Court</w:t>
      </w:r>
      <w:r w:rsidRPr="00B40A77">
        <w:rPr>
          <w:color w:val="000000" w:themeColor="text1"/>
        </w:rPr>
        <w:t>—</w:t>
      </w:r>
      <w:r w:rsidRPr="00B40A77">
        <w:rPr>
          <w:rFonts w:cs="Times New Roman"/>
          <w:color w:val="000000" w:themeColor="text1"/>
        </w:rPr>
        <w:t>at any time up to</w:t>
      </w:r>
      <w:r w:rsidRPr="00B40A77">
        <w:rPr>
          <w:color w:val="000000" w:themeColor="text1"/>
        </w:rPr>
        <w:t xml:space="preserve"> the </w:t>
      </w:r>
      <w:hyperlink w:anchor="_2.1—Definitions" w:history="1">
        <w:r w:rsidR="00BA51B1" w:rsidRPr="00B40A77">
          <w:rPr>
            <w:rStyle w:val="Hyperlink"/>
            <w:color w:val="000000" w:themeColor="text1"/>
            <w:lang w:val="en-US"/>
          </w:rPr>
          <w:t>pre-trial conference date</w:t>
        </w:r>
      </w:hyperlink>
      <w:r w:rsidRPr="00B40A77">
        <w:rPr>
          <w:color w:val="000000" w:themeColor="text1"/>
        </w:rPr>
        <w:t>;</w:t>
      </w:r>
    </w:p>
    <w:p w14:paraId="4E86F8B3" w14:textId="32489A8D" w:rsidR="00396047" w:rsidRPr="00B40A77" w:rsidRDefault="00396047" w:rsidP="00F843BB">
      <w:pPr>
        <w:pStyle w:val="Doublehangindent"/>
        <w:rPr>
          <w:rFonts w:cs="Times New Roman"/>
          <w:color w:val="000000" w:themeColor="text1"/>
        </w:rPr>
      </w:pPr>
      <w:r w:rsidRPr="00B40A77">
        <w:rPr>
          <w:color w:val="000000" w:themeColor="text1"/>
        </w:rPr>
        <w:t>(b)</w:t>
      </w:r>
      <w:r w:rsidRPr="00B40A77">
        <w:rPr>
          <w:color w:val="000000" w:themeColor="text1"/>
        </w:rPr>
        <w:tab/>
        <w:t xml:space="preserve">if the matter </w:t>
      </w:r>
      <w:r w:rsidR="0024433B" w:rsidRPr="00B40A77">
        <w:rPr>
          <w:color w:val="000000" w:themeColor="text1"/>
        </w:rPr>
        <w:t xml:space="preserve">is </w:t>
      </w:r>
      <w:r w:rsidRPr="00B40A77">
        <w:rPr>
          <w:color w:val="000000" w:themeColor="text1"/>
          <w:lang w:val="en-US"/>
        </w:rPr>
        <w:t xml:space="preserve">proceeding towards a committal for </w:t>
      </w:r>
      <w:hyperlink w:anchor="_2.1—Definitions" w:history="1">
        <w:r w:rsidR="00D81006" w:rsidRPr="00B40A77">
          <w:rPr>
            <w:rStyle w:val="Hyperlink"/>
            <w:color w:val="000000" w:themeColor="text1"/>
            <w:lang w:val="en-US"/>
          </w:rPr>
          <w:t>trial</w:t>
        </w:r>
      </w:hyperlink>
      <w:r w:rsidRPr="00B40A77">
        <w:rPr>
          <w:color w:val="000000" w:themeColor="text1"/>
        </w:rPr>
        <w:t>—</w:t>
      </w:r>
      <w:r w:rsidRPr="00B40A77">
        <w:rPr>
          <w:rFonts w:cs="Times New Roman"/>
          <w:color w:val="000000" w:themeColor="text1"/>
        </w:rPr>
        <w:t>at any time up to</w:t>
      </w:r>
      <w:r w:rsidRPr="00B40A77">
        <w:rPr>
          <w:color w:val="000000" w:themeColor="text1"/>
        </w:rPr>
        <w:t xml:space="preserve"> </w:t>
      </w:r>
      <w:r w:rsidR="0097533C" w:rsidRPr="00B40A77">
        <w:rPr>
          <w:color w:val="000000" w:themeColor="text1"/>
        </w:rPr>
        <w:t>4</w:t>
      </w:r>
      <w:r w:rsidR="005466D4" w:rsidRPr="00B40A77">
        <w:rPr>
          <w:color w:val="000000" w:themeColor="text1"/>
        </w:rPr>
        <w:t xml:space="preserve"> weeks before the </w:t>
      </w:r>
      <w:hyperlink w:anchor="_2.1—Definitions" w:history="1">
        <w:r w:rsidR="005466D4" w:rsidRPr="00B40A77">
          <w:rPr>
            <w:rStyle w:val="Hyperlink"/>
            <w:color w:val="000000" w:themeColor="text1"/>
          </w:rPr>
          <w:t>answer charge date</w:t>
        </w:r>
      </w:hyperlink>
      <w:r w:rsidR="00F843BB" w:rsidRPr="00B40A77">
        <w:rPr>
          <w:color w:val="000000" w:themeColor="text1"/>
        </w:rPr>
        <w:t>.</w:t>
      </w:r>
      <w:r w:rsidRPr="00B40A77">
        <w:rPr>
          <w:rFonts w:cs="Times New Roman"/>
          <w:color w:val="000000" w:themeColor="text1"/>
        </w:rPr>
        <w:t xml:space="preserve"> </w:t>
      </w:r>
    </w:p>
    <w:p w14:paraId="55789615" w14:textId="612999BA" w:rsidR="007743C2" w:rsidRPr="00B40A77" w:rsidRDefault="00396047" w:rsidP="007743C2">
      <w:pPr>
        <w:pStyle w:val="Hangindent"/>
        <w:rPr>
          <w:color w:val="000000" w:themeColor="text1"/>
        </w:rPr>
      </w:pPr>
      <w:bookmarkStart w:id="492" w:name="_Hlk136015772"/>
      <w:r w:rsidRPr="00B40A77">
        <w:rPr>
          <w:rFonts w:cs="Times New Roman"/>
          <w:color w:val="000000" w:themeColor="text1"/>
        </w:rPr>
        <w:t>(</w:t>
      </w:r>
      <w:r w:rsidR="00F843BB" w:rsidRPr="00B40A77">
        <w:rPr>
          <w:rFonts w:cs="Times New Roman"/>
          <w:color w:val="000000" w:themeColor="text1"/>
        </w:rPr>
        <w:t>2</w:t>
      </w:r>
      <w:r w:rsidRPr="00B40A77">
        <w:rPr>
          <w:rFonts w:cs="Times New Roman"/>
          <w:color w:val="000000" w:themeColor="text1"/>
        </w:rPr>
        <w:t>)</w:t>
      </w:r>
      <w:r w:rsidRPr="00B40A77">
        <w:rPr>
          <w:rFonts w:cs="Times New Roman"/>
          <w:color w:val="000000" w:themeColor="text1"/>
        </w:rPr>
        <w:tab/>
        <w:t>Subject to subrules</w:t>
      </w:r>
      <w:r w:rsidR="00BF5815" w:rsidRPr="00B40A77">
        <w:rPr>
          <w:rFonts w:cs="Times New Roman"/>
          <w:color w:val="000000" w:themeColor="text1"/>
        </w:rPr>
        <w:t xml:space="preserve"> </w:t>
      </w:r>
      <w:r w:rsidRPr="00B40A77">
        <w:rPr>
          <w:rFonts w:cs="Times New Roman"/>
          <w:color w:val="000000" w:themeColor="text1"/>
        </w:rPr>
        <w:t>(</w:t>
      </w:r>
      <w:r w:rsidR="00F843BB" w:rsidRPr="00B40A77">
        <w:rPr>
          <w:rFonts w:cs="Times New Roman"/>
          <w:color w:val="000000" w:themeColor="text1"/>
        </w:rPr>
        <w:t>3</w:t>
      </w:r>
      <w:r w:rsidRPr="00B40A77">
        <w:rPr>
          <w:rFonts w:cs="Times New Roman"/>
          <w:color w:val="000000" w:themeColor="text1"/>
        </w:rPr>
        <w:t>)</w:t>
      </w:r>
      <w:r w:rsidR="00BF5815" w:rsidRPr="00B40A77">
        <w:rPr>
          <w:rFonts w:cs="Times New Roman"/>
          <w:color w:val="000000" w:themeColor="text1"/>
        </w:rPr>
        <w:t>,</w:t>
      </w:r>
      <w:r w:rsidRPr="00B40A77">
        <w:rPr>
          <w:rFonts w:cs="Times New Roman"/>
          <w:color w:val="000000" w:themeColor="text1"/>
        </w:rPr>
        <w:t xml:space="preserve"> (</w:t>
      </w:r>
      <w:r w:rsidR="00F843BB" w:rsidRPr="00B40A77">
        <w:rPr>
          <w:rFonts w:cs="Times New Roman"/>
          <w:color w:val="000000" w:themeColor="text1"/>
        </w:rPr>
        <w:t>4)</w:t>
      </w:r>
      <w:r w:rsidR="00BF5815" w:rsidRPr="00B40A77">
        <w:rPr>
          <w:rFonts w:cs="Times New Roman"/>
          <w:color w:val="000000" w:themeColor="text1"/>
        </w:rPr>
        <w:t xml:space="preserve"> and (5)</w:t>
      </w:r>
      <w:r w:rsidRPr="00B40A77">
        <w:rPr>
          <w:rFonts w:cs="Times New Roman"/>
          <w:color w:val="000000" w:themeColor="text1"/>
        </w:rPr>
        <w:t xml:space="preserve">, the </w:t>
      </w:r>
      <w:r w:rsidR="00F843BB" w:rsidRPr="00B40A77">
        <w:rPr>
          <w:rFonts w:cs="Times New Roman"/>
          <w:color w:val="000000" w:themeColor="text1"/>
        </w:rPr>
        <w:t>informant</w:t>
      </w:r>
      <w:r w:rsidRPr="00B40A77">
        <w:rPr>
          <w:rFonts w:cs="Times New Roman"/>
          <w:color w:val="000000" w:themeColor="text1"/>
        </w:rPr>
        <w:t xml:space="preserve"> may amend the Information </w:t>
      </w:r>
      <w:r w:rsidRPr="00B40A77">
        <w:rPr>
          <w:color w:val="000000" w:themeColor="text1"/>
        </w:rPr>
        <w:t>(including to</w:t>
      </w:r>
      <w:r w:rsidR="00B1017B" w:rsidRPr="00B40A77">
        <w:rPr>
          <w:rFonts w:cs="Times New Roman"/>
          <w:color w:val="000000" w:themeColor="text1"/>
        </w:rPr>
        <w:t xml:space="preserve"> add</w:t>
      </w:r>
      <w:r w:rsidRPr="00B40A77">
        <w:rPr>
          <w:rFonts w:cs="Times New Roman"/>
          <w:color w:val="000000" w:themeColor="text1"/>
        </w:rPr>
        <w:t xml:space="preserve"> or amend an existing count)</w:t>
      </w:r>
      <w:r w:rsidR="007743C2" w:rsidRPr="00B40A77">
        <w:rPr>
          <w:color w:val="000000" w:themeColor="text1"/>
        </w:rPr>
        <w:t>—</w:t>
      </w:r>
    </w:p>
    <w:bookmarkEnd w:id="492"/>
    <w:p w14:paraId="4FD3A546" w14:textId="22EAC5EF" w:rsidR="007743C2" w:rsidRPr="00B40A77" w:rsidRDefault="007743C2" w:rsidP="007743C2">
      <w:pPr>
        <w:pStyle w:val="Doublehangindent"/>
        <w:rPr>
          <w:rFonts w:cs="Times New Roman"/>
          <w:color w:val="000000" w:themeColor="text1"/>
        </w:rPr>
      </w:pPr>
      <w:r w:rsidRPr="00B40A77">
        <w:rPr>
          <w:color w:val="000000" w:themeColor="text1"/>
          <w:lang w:val="en-US"/>
        </w:rPr>
        <w:t>(a)</w:t>
      </w:r>
      <w:r w:rsidRPr="00B40A77">
        <w:rPr>
          <w:color w:val="000000" w:themeColor="text1"/>
          <w:lang w:val="en-US"/>
        </w:rPr>
        <w:tab/>
        <w:t xml:space="preserve">if the matter is proceeding towards a </w:t>
      </w:r>
      <w:hyperlink w:anchor="_2.1—Definitions" w:history="1">
        <w:r w:rsidR="00D81006" w:rsidRPr="00B40A77">
          <w:rPr>
            <w:rStyle w:val="Hyperlink"/>
            <w:color w:val="000000" w:themeColor="text1"/>
            <w:lang w:val="en-US"/>
          </w:rPr>
          <w:t>trial</w:t>
        </w:r>
      </w:hyperlink>
      <w:r w:rsidRPr="00B40A77">
        <w:rPr>
          <w:color w:val="000000" w:themeColor="text1"/>
          <w:lang w:val="en-US"/>
        </w:rPr>
        <w:t xml:space="preserve"> in the Court</w:t>
      </w:r>
      <w:r w:rsidRPr="00B40A77">
        <w:rPr>
          <w:color w:val="000000" w:themeColor="text1"/>
        </w:rPr>
        <w:t>—</w:t>
      </w:r>
      <w:r w:rsidR="00B1017B" w:rsidRPr="00B40A77">
        <w:rPr>
          <w:rFonts w:cs="Times New Roman"/>
          <w:color w:val="000000" w:themeColor="text1"/>
        </w:rPr>
        <w:t xml:space="preserve">at any time before the </w:t>
      </w:r>
      <w:hyperlink w:anchor="_2.1—Definitions" w:history="1">
        <w:r w:rsidR="00D11EAA" w:rsidRPr="00B40A77">
          <w:rPr>
            <w:rStyle w:val="Hyperlink"/>
            <w:color w:val="000000" w:themeColor="text1"/>
          </w:rPr>
          <w:t>trial date</w:t>
        </w:r>
      </w:hyperlink>
      <w:r w:rsidR="00D11EAA" w:rsidRPr="00B40A77">
        <w:rPr>
          <w:color w:val="000000" w:themeColor="text1"/>
        </w:rPr>
        <w:t xml:space="preserve"> </w:t>
      </w:r>
      <w:r w:rsidR="00B1017B" w:rsidRPr="00B40A77">
        <w:rPr>
          <w:rFonts w:cs="Times New Roman"/>
          <w:color w:val="000000" w:themeColor="text1"/>
        </w:rPr>
        <w:t xml:space="preserve">if the amendment is not capable of </w:t>
      </w:r>
      <w:r w:rsidR="00396047" w:rsidRPr="00B40A77">
        <w:rPr>
          <w:rFonts w:cs="Times New Roman"/>
          <w:color w:val="000000" w:themeColor="text1"/>
        </w:rPr>
        <w:t xml:space="preserve">increasing the length of the </w:t>
      </w:r>
      <w:hyperlink w:anchor="_2.1—Definitions" w:history="1">
        <w:r w:rsidR="00396047" w:rsidRPr="00B40A77">
          <w:rPr>
            <w:rStyle w:val="Hyperlink"/>
            <w:color w:val="000000" w:themeColor="text1"/>
            <w:lang w:val="en-US"/>
          </w:rPr>
          <w:t>trial</w:t>
        </w:r>
      </w:hyperlink>
      <w:r w:rsidR="00396047" w:rsidRPr="00B40A77">
        <w:rPr>
          <w:rStyle w:val="Hyperlink"/>
          <w:color w:val="000000" w:themeColor="text1"/>
          <w:u w:val="none"/>
          <w:lang w:val="en-US"/>
        </w:rPr>
        <w:t xml:space="preserve"> or affecting the </w:t>
      </w:r>
      <w:hyperlink w:anchor="_2.1—Definitions" w:history="1">
        <w:r w:rsidR="00396047" w:rsidRPr="00B40A77">
          <w:rPr>
            <w:rStyle w:val="Hyperlink"/>
            <w:color w:val="000000" w:themeColor="text1"/>
            <w:lang w:val="en-US"/>
          </w:rPr>
          <w:t>trial</w:t>
        </w:r>
      </w:hyperlink>
      <w:r w:rsidR="00396047" w:rsidRPr="00B40A77">
        <w:rPr>
          <w:rStyle w:val="Hyperlink"/>
          <w:color w:val="000000" w:themeColor="text1"/>
          <w:u w:val="none"/>
          <w:lang w:val="en-US"/>
        </w:rPr>
        <w:t xml:space="preserve"> proceeding on the </w:t>
      </w:r>
      <w:hyperlink w:anchor="_2.1—Definitions" w:history="1">
        <w:r w:rsidR="00D11EAA" w:rsidRPr="00B40A77">
          <w:rPr>
            <w:rStyle w:val="Hyperlink"/>
            <w:color w:val="000000" w:themeColor="text1"/>
          </w:rPr>
          <w:t>trial date</w:t>
        </w:r>
      </w:hyperlink>
      <w:r w:rsidRPr="00B40A77">
        <w:rPr>
          <w:rFonts w:cs="Times New Roman"/>
          <w:color w:val="000000" w:themeColor="text1"/>
        </w:rPr>
        <w:t>;</w:t>
      </w:r>
    </w:p>
    <w:p w14:paraId="44112DAE" w14:textId="6BE750AC" w:rsidR="00E013F2" w:rsidRPr="00B40A77" w:rsidRDefault="007743C2" w:rsidP="007743C2">
      <w:pPr>
        <w:pStyle w:val="Doublehangindent"/>
        <w:rPr>
          <w:color w:val="000000" w:themeColor="text1"/>
        </w:rPr>
      </w:pPr>
      <w:r w:rsidRPr="00B40A77">
        <w:rPr>
          <w:color w:val="000000" w:themeColor="text1"/>
        </w:rPr>
        <w:t>(b)</w:t>
      </w:r>
      <w:r w:rsidRPr="00B40A77">
        <w:rPr>
          <w:color w:val="000000" w:themeColor="text1"/>
        </w:rPr>
        <w:tab/>
        <w:t xml:space="preserve">if the matter </w:t>
      </w:r>
      <w:r w:rsidR="004E1E73" w:rsidRPr="00B40A77">
        <w:rPr>
          <w:color w:val="000000" w:themeColor="text1"/>
        </w:rPr>
        <w:t xml:space="preserve">is </w:t>
      </w:r>
      <w:r w:rsidRPr="00B40A77">
        <w:rPr>
          <w:color w:val="000000" w:themeColor="text1"/>
          <w:lang w:val="en-US"/>
        </w:rPr>
        <w:t xml:space="preserve">proceeding towards a committal for </w:t>
      </w:r>
      <w:hyperlink w:anchor="_2.1—Definitions" w:history="1">
        <w:r w:rsidR="00BA51B1" w:rsidRPr="00B40A77">
          <w:rPr>
            <w:rStyle w:val="Hyperlink"/>
            <w:color w:val="000000" w:themeColor="text1"/>
            <w:lang w:val="en-US"/>
          </w:rPr>
          <w:t>trial</w:t>
        </w:r>
      </w:hyperlink>
      <w:r w:rsidRPr="00B40A77">
        <w:rPr>
          <w:color w:val="000000" w:themeColor="text1"/>
        </w:rPr>
        <w:t>—</w:t>
      </w:r>
      <w:r w:rsidR="00B1017B" w:rsidRPr="00B40A77">
        <w:rPr>
          <w:rFonts w:cs="Times New Roman"/>
          <w:color w:val="000000" w:themeColor="text1"/>
        </w:rPr>
        <w:t xml:space="preserve">at any time before the </w:t>
      </w:r>
      <w:hyperlink w:anchor="_2.1—Definitions" w:history="1">
        <w:r w:rsidR="00D11EAA" w:rsidRPr="00B40A77">
          <w:rPr>
            <w:rStyle w:val="Hyperlink"/>
            <w:color w:val="000000" w:themeColor="text1"/>
            <w:lang w:val="en-US"/>
          </w:rPr>
          <w:t>answer charge date</w:t>
        </w:r>
      </w:hyperlink>
      <w:r w:rsidR="00B1017B" w:rsidRPr="00B40A77">
        <w:rPr>
          <w:rFonts w:cs="Times New Roman"/>
          <w:color w:val="000000" w:themeColor="text1"/>
        </w:rPr>
        <w:t xml:space="preserve"> if the amendment is not capable of</w:t>
      </w:r>
      <w:r w:rsidR="00E013F2" w:rsidRPr="00B40A77">
        <w:rPr>
          <w:color w:val="000000" w:themeColor="text1"/>
        </w:rPr>
        <w:t>—</w:t>
      </w:r>
    </w:p>
    <w:p w14:paraId="127B0718" w14:textId="240EC229" w:rsidR="007F29EF" w:rsidRPr="00B40A77" w:rsidRDefault="00E013F2" w:rsidP="00ED28B4">
      <w:pPr>
        <w:pStyle w:val="Doublehangindent"/>
        <w:ind w:firstLine="0"/>
        <w:rPr>
          <w:rFonts w:cs="Times New Roman"/>
          <w:color w:val="000000" w:themeColor="text1"/>
        </w:rPr>
      </w:pPr>
      <w:r w:rsidRPr="00B40A77">
        <w:rPr>
          <w:rFonts w:cs="Times New Roman"/>
          <w:color w:val="000000" w:themeColor="text1"/>
        </w:rPr>
        <w:t>(i)</w:t>
      </w:r>
      <w:r w:rsidRPr="00B40A77">
        <w:rPr>
          <w:rFonts w:cs="Times New Roman"/>
          <w:color w:val="000000" w:themeColor="text1"/>
        </w:rPr>
        <w:tab/>
      </w:r>
      <w:r w:rsidR="007F29EF" w:rsidRPr="00B40A77">
        <w:rPr>
          <w:rFonts w:cs="Times New Roman"/>
          <w:color w:val="000000" w:themeColor="text1"/>
        </w:rPr>
        <w:t xml:space="preserve">causing an adjournment of an </w:t>
      </w:r>
      <w:hyperlink w:anchor="_2.1—Definitions" w:history="1">
        <w:r w:rsidR="007F29EF" w:rsidRPr="00B40A77">
          <w:rPr>
            <w:rFonts w:cs="Times New Roman"/>
            <w:color w:val="000000" w:themeColor="text1"/>
            <w:u w:val="single"/>
          </w:rPr>
          <w:t>answer charge appearance</w:t>
        </w:r>
      </w:hyperlink>
      <w:r w:rsidR="007F29EF" w:rsidRPr="00B40A77">
        <w:rPr>
          <w:rFonts w:cs="Times New Roman"/>
          <w:color w:val="000000" w:themeColor="text1"/>
        </w:rPr>
        <w:t>;</w:t>
      </w:r>
    </w:p>
    <w:p w14:paraId="4A38ACEF" w14:textId="653B531E" w:rsidR="00E013F2" w:rsidRPr="00B40A77" w:rsidRDefault="007F29EF" w:rsidP="00E20AE4">
      <w:pPr>
        <w:pStyle w:val="Doublehangindent"/>
        <w:ind w:firstLine="0"/>
        <w:rPr>
          <w:rStyle w:val="Hyperlink"/>
          <w:color w:val="000000" w:themeColor="text1"/>
          <w:u w:val="none"/>
          <w:lang w:val="en-US"/>
        </w:rPr>
      </w:pPr>
      <w:r w:rsidRPr="00B40A77">
        <w:rPr>
          <w:rFonts w:cs="Times New Roman"/>
          <w:color w:val="000000" w:themeColor="text1"/>
        </w:rPr>
        <w:t>(ii)</w:t>
      </w:r>
      <w:r w:rsidRPr="00B40A77">
        <w:rPr>
          <w:rFonts w:cs="Times New Roman"/>
          <w:color w:val="000000" w:themeColor="text1"/>
        </w:rPr>
        <w:tab/>
        <w:t xml:space="preserve">causing an </w:t>
      </w:r>
      <w:r w:rsidR="007743C2" w:rsidRPr="00B40A77">
        <w:rPr>
          <w:rFonts w:cs="Times New Roman"/>
          <w:color w:val="000000" w:themeColor="text1"/>
        </w:rPr>
        <w:t>increas</w:t>
      </w:r>
      <w:r w:rsidRPr="00B40A77">
        <w:rPr>
          <w:rFonts w:cs="Times New Roman"/>
          <w:color w:val="000000" w:themeColor="text1"/>
        </w:rPr>
        <w:t>e in</w:t>
      </w:r>
      <w:r w:rsidR="007743C2" w:rsidRPr="00B40A77">
        <w:rPr>
          <w:rFonts w:cs="Times New Roman"/>
          <w:color w:val="000000" w:themeColor="text1"/>
        </w:rPr>
        <w:t xml:space="preserve"> the length of </w:t>
      </w:r>
      <w:r w:rsidR="00B1017B" w:rsidRPr="00B40A77">
        <w:rPr>
          <w:rFonts w:cs="Times New Roman"/>
          <w:color w:val="000000" w:themeColor="text1"/>
        </w:rPr>
        <w:t>a</w:t>
      </w:r>
      <w:r w:rsidR="00BE1A96" w:rsidRPr="00B40A77">
        <w:rPr>
          <w:rFonts w:cs="Times New Roman"/>
          <w:color w:val="000000" w:themeColor="text1"/>
        </w:rPr>
        <w:t>n</w:t>
      </w:r>
      <w:r w:rsidR="00A7587B" w:rsidRPr="00B40A77">
        <w:rPr>
          <w:rFonts w:cs="Times New Roman"/>
          <w:color w:val="000000" w:themeColor="text1"/>
        </w:rPr>
        <w:t xml:space="preserve"> </w:t>
      </w:r>
      <w:hyperlink w:anchor="_2.1—Definitions" w:history="1">
        <w:r w:rsidR="00BE1A96" w:rsidRPr="00B40A77">
          <w:rPr>
            <w:rStyle w:val="Hyperlink"/>
            <w:rFonts w:cs="Times New Roman"/>
            <w:color w:val="000000" w:themeColor="text1"/>
          </w:rPr>
          <w:t>answer charge contested hearing</w:t>
        </w:r>
      </w:hyperlink>
      <w:r w:rsidR="00E013F2" w:rsidRPr="00B40A77">
        <w:rPr>
          <w:color w:val="000000" w:themeColor="text1"/>
          <w:lang w:val="en-US"/>
        </w:rPr>
        <w:t>;</w:t>
      </w:r>
    </w:p>
    <w:p w14:paraId="525345CC" w14:textId="2FF096E4" w:rsidR="007743C2" w:rsidRPr="00B40A77" w:rsidRDefault="00E013F2" w:rsidP="00E013F2">
      <w:pPr>
        <w:pStyle w:val="Doublehangindent"/>
        <w:ind w:left="2160" w:hanging="459"/>
        <w:rPr>
          <w:color w:val="000000" w:themeColor="text1"/>
        </w:rPr>
      </w:pPr>
      <w:r w:rsidRPr="00B40A77">
        <w:rPr>
          <w:rStyle w:val="Hyperlink"/>
          <w:color w:val="000000" w:themeColor="text1"/>
          <w:u w:val="none"/>
          <w:lang w:val="en-US"/>
        </w:rPr>
        <w:t>(i</w:t>
      </w:r>
      <w:r w:rsidR="007F29EF" w:rsidRPr="00B40A77">
        <w:rPr>
          <w:rStyle w:val="Hyperlink"/>
          <w:color w:val="000000" w:themeColor="text1"/>
          <w:u w:val="none"/>
          <w:lang w:val="en-US"/>
        </w:rPr>
        <w:t>i</w:t>
      </w:r>
      <w:r w:rsidRPr="00B40A77">
        <w:rPr>
          <w:rStyle w:val="Hyperlink"/>
          <w:color w:val="000000" w:themeColor="text1"/>
          <w:u w:val="none"/>
          <w:lang w:val="en-US"/>
        </w:rPr>
        <w:t>i)</w:t>
      </w:r>
      <w:r w:rsidRPr="00B40A77">
        <w:rPr>
          <w:rStyle w:val="Hyperlink"/>
          <w:color w:val="000000" w:themeColor="text1"/>
          <w:u w:val="none"/>
          <w:lang w:val="en-US"/>
        </w:rPr>
        <w:tab/>
      </w:r>
      <w:r w:rsidR="007743C2" w:rsidRPr="00B40A77">
        <w:rPr>
          <w:rStyle w:val="Hyperlink"/>
          <w:color w:val="000000" w:themeColor="text1"/>
          <w:u w:val="none"/>
          <w:lang w:val="en-US"/>
        </w:rPr>
        <w:t xml:space="preserve">affecting </w:t>
      </w:r>
      <w:r w:rsidRPr="00B40A77">
        <w:rPr>
          <w:rStyle w:val="Hyperlink"/>
          <w:color w:val="000000" w:themeColor="text1"/>
          <w:u w:val="none"/>
          <w:lang w:val="en-US"/>
        </w:rPr>
        <w:t>a</w:t>
      </w:r>
      <w:r w:rsidR="00BE1A96" w:rsidRPr="00B40A77">
        <w:rPr>
          <w:rStyle w:val="Hyperlink"/>
          <w:color w:val="000000" w:themeColor="text1"/>
          <w:u w:val="none"/>
          <w:lang w:val="en-US"/>
        </w:rPr>
        <w:t>n</w:t>
      </w:r>
      <w:r w:rsidRPr="00B40A77">
        <w:rPr>
          <w:rStyle w:val="Hyperlink"/>
          <w:color w:val="000000" w:themeColor="text1"/>
          <w:u w:val="none"/>
          <w:lang w:val="en-US"/>
        </w:rPr>
        <w:t xml:space="preserve"> </w:t>
      </w:r>
      <w:hyperlink w:anchor="_2.1—Definitions" w:history="1">
        <w:r w:rsidR="00BE1A96" w:rsidRPr="00B40A77">
          <w:rPr>
            <w:rStyle w:val="Hyperlink"/>
            <w:rFonts w:cs="Times New Roman"/>
            <w:color w:val="000000" w:themeColor="text1"/>
          </w:rPr>
          <w:t>answer charge contested hearing</w:t>
        </w:r>
      </w:hyperlink>
      <w:r w:rsidR="00ED400C" w:rsidRPr="00B40A77">
        <w:rPr>
          <w:rFonts w:cs="Times New Roman"/>
          <w:color w:val="000000" w:themeColor="text1"/>
        </w:rPr>
        <w:t xml:space="preserve"> </w:t>
      </w:r>
      <w:r w:rsidRPr="00B40A77">
        <w:rPr>
          <w:rStyle w:val="Hyperlink"/>
          <w:color w:val="000000" w:themeColor="text1"/>
          <w:u w:val="none"/>
          <w:lang w:val="en-US"/>
        </w:rPr>
        <w:t>being heard when it would otherwise be heard; or</w:t>
      </w:r>
    </w:p>
    <w:p w14:paraId="40BA2DD4" w14:textId="3BD97F5F" w:rsidR="00E013F2" w:rsidRPr="00B40A77" w:rsidRDefault="00E013F2" w:rsidP="00E013F2">
      <w:pPr>
        <w:pStyle w:val="Doublehangindent"/>
        <w:ind w:left="2160" w:hanging="459"/>
        <w:rPr>
          <w:rFonts w:cs="Times New Roman"/>
          <w:color w:val="000000" w:themeColor="text1"/>
        </w:rPr>
      </w:pPr>
      <w:r w:rsidRPr="00B40A77">
        <w:rPr>
          <w:color w:val="000000" w:themeColor="text1"/>
        </w:rPr>
        <w:t>(i</w:t>
      </w:r>
      <w:r w:rsidR="007F29EF" w:rsidRPr="00B40A77">
        <w:rPr>
          <w:color w:val="000000" w:themeColor="text1"/>
        </w:rPr>
        <w:t>v</w:t>
      </w:r>
      <w:r w:rsidRPr="00B40A77">
        <w:rPr>
          <w:color w:val="000000" w:themeColor="text1"/>
        </w:rPr>
        <w:t>)</w:t>
      </w:r>
      <w:r w:rsidRPr="00B40A77">
        <w:rPr>
          <w:color w:val="000000" w:themeColor="text1"/>
        </w:rPr>
        <w:tab/>
        <w:t xml:space="preserve">causing an application </w:t>
      </w:r>
      <w:r w:rsidR="007F29EF" w:rsidRPr="00B40A77">
        <w:rPr>
          <w:color w:val="000000" w:themeColor="text1"/>
        </w:rPr>
        <w:t xml:space="preserve">to be made </w:t>
      </w:r>
      <w:r w:rsidRPr="00B40A77">
        <w:rPr>
          <w:color w:val="000000" w:themeColor="text1"/>
        </w:rPr>
        <w:t>or notice to be issued by a defendant or youth resulting in a</w:t>
      </w:r>
      <w:r w:rsidR="00BE1A96" w:rsidRPr="00B40A77">
        <w:rPr>
          <w:color w:val="000000" w:themeColor="text1"/>
        </w:rPr>
        <w:t>n</w:t>
      </w:r>
      <w:r w:rsidRPr="00B40A77">
        <w:rPr>
          <w:color w:val="000000" w:themeColor="text1"/>
        </w:rPr>
        <w:t xml:space="preserve"> </w:t>
      </w:r>
      <w:hyperlink w:anchor="_2.1—Definitions" w:history="1">
        <w:r w:rsidR="00BE1A96" w:rsidRPr="00B40A77">
          <w:rPr>
            <w:rStyle w:val="Hyperlink"/>
            <w:rFonts w:cs="Times New Roman"/>
            <w:color w:val="000000" w:themeColor="text1"/>
          </w:rPr>
          <w:t>answer charge contested hearing</w:t>
        </w:r>
      </w:hyperlink>
      <w:r w:rsidR="00ED400C" w:rsidRPr="00B40A77">
        <w:rPr>
          <w:rFonts w:cs="Times New Roman"/>
          <w:color w:val="000000" w:themeColor="text1"/>
        </w:rPr>
        <w:t xml:space="preserve"> </w:t>
      </w:r>
      <w:r w:rsidR="005F0298" w:rsidRPr="00B40A77">
        <w:rPr>
          <w:color w:val="000000" w:themeColor="text1"/>
          <w:lang w:val="en-US"/>
        </w:rPr>
        <w:t>that would not otherwise have occurred.</w:t>
      </w:r>
    </w:p>
    <w:p w14:paraId="5BB06987" w14:textId="21F8317C" w:rsidR="006D52A7" w:rsidRPr="00B40A77" w:rsidRDefault="006D52A7" w:rsidP="006D52A7">
      <w:pPr>
        <w:pStyle w:val="Hangindent"/>
        <w:rPr>
          <w:rFonts w:cs="Times New Roman"/>
          <w:color w:val="000000" w:themeColor="text1"/>
        </w:rPr>
      </w:pPr>
      <w:r w:rsidRPr="00B40A77">
        <w:rPr>
          <w:rFonts w:cs="Times New Roman"/>
          <w:color w:val="000000" w:themeColor="text1"/>
        </w:rPr>
        <w:t>(</w:t>
      </w:r>
      <w:r w:rsidR="00E70D9B" w:rsidRPr="00B40A77">
        <w:rPr>
          <w:rFonts w:cs="Times New Roman"/>
          <w:color w:val="000000" w:themeColor="text1"/>
        </w:rPr>
        <w:t>3</w:t>
      </w:r>
      <w:r w:rsidRPr="00B40A77">
        <w:rPr>
          <w:rFonts w:cs="Times New Roman"/>
          <w:color w:val="000000" w:themeColor="text1"/>
        </w:rPr>
        <w:t>)</w:t>
      </w:r>
      <w:r w:rsidRPr="00B40A77">
        <w:rPr>
          <w:rFonts w:cs="Times New Roman"/>
          <w:color w:val="000000" w:themeColor="text1"/>
        </w:rPr>
        <w:tab/>
      </w:r>
      <w:r w:rsidR="00E70D9B" w:rsidRPr="00B40A77">
        <w:rPr>
          <w:rFonts w:cs="Times New Roman"/>
          <w:color w:val="000000" w:themeColor="text1"/>
        </w:rPr>
        <w:t xml:space="preserve">The informant </w:t>
      </w:r>
      <w:r w:rsidRPr="00B40A77">
        <w:rPr>
          <w:rFonts w:cs="Times New Roman"/>
          <w:color w:val="000000" w:themeColor="text1"/>
        </w:rPr>
        <w:t>may not amend under subrule</w:t>
      </w:r>
      <w:r w:rsidR="00C42A0C" w:rsidRPr="00B40A77">
        <w:rPr>
          <w:rFonts w:cs="Times New Roman"/>
          <w:color w:val="000000" w:themeColor="text1"/>
        </w:rPr>
        <w:t> </w:t>
      </w:r>
      <w:r w:rsidRPr="00B40A77">
        <w:rPr>
          <w:rFonts w:cs="Times New Roman"/>
          <w:color w:val="000000" w:themeColor="text1"/>
        </w:rPr>
        <w:t xml:space="preserve">(1) </w:t>
      </w:r>
      <w:r w:rsidR="00F843BB" w:rsidRPr="00B40A77">
        <w:rPr>
          <w:rFonts w:cs="Times New Roman"/>
          <w:color w:val="000000" w:themeColor="text1"/>
        </w:rPr>
        <w:t xml:space="preserve">or (2) </w:t>
      </w:r>
      <w:r w:rsidRPr="00B40A77">
        <w:rPr>
          <w:rFonts w:cs="Times New Roman"/>
          <w:color w:val="000000" w:themeColor="text1"/>
        </w:rPr>
        <w:t xml:space="preserve">if the amendment would add a </w:t>
      </w:r>
      <w:hyperlink w:anchor="_2.1—Definitions" w:history="1">
        <w:r w:rsidRPr="00B40A77">
          <w:rPr>
            <w:color w:val="000000" w:themeColor="text1"/>
          </w:rPr>
          <w:t>count</w:t>
        </w:r>
      </w:hyperlink>
      <w:r w:rsidRPr="00B40A77">
        <w:rPr>
          <w:color w:val="000000" w:themeColor="text1"/>
        </w:rPr>
        <w:t xml:space="preserve"> against a party</w:t>
      </w:r>
      <w:r w:rsidRPr="00B40A77">
        <w:rPr>
          <w:rFonts w:cs="Times New Roman"/>
          <w:color w:val="000000" w:themeColor="text1"/>
        </w:rPr>
        <w:t xml:space="preserve"> that is statute barred due to the effluxion of time.</w:t>
      </w:r>
    </w:p>
    <w:p w14:paraId="0811B4FF" w14:textId="13FB68A3" w:rsidR="0008717B" w:rsidRPr="00B40A77" w:rsidRDefault="00CE49BF" w:rsidP="005A1252">
      <w:pPr>
        <w:pStyle w:val="Hangindent"/>
        <w:rPr>
          <w:rFonts w:cs="Times New Roman"/>
          <w:color w:val="000000" w:themeColor="text1"/>
        </w:rPr>
      </w:pPr>
      <w:r w:rsidRPr="00B40A77">
        <w:rPr>
          <w:rFonts w:cs="Times New Roman"/>
          <w:color w:val="000000" w:themeColor="text1"/>
        </w:rPr>
        <w:lastRenderedPageBreak/>
        <w:t>(</w:t>
      </w:r>
      <w:r w:rsidR="00E70D9B" w:rsidRPr="00B40A77">
        <w:rPr>
          <w:rFonts w:cs="Times New Roman"/>
          <w:color w:val="000000" w:themeColor="text1"/>
        </w:rPr>
        <w:t>4</w:t>
      </w:r>
      <w:r w:rsidR="005A1252" w:rsidRPr="00B40A77">
        <w:rPr>
          <w:rFonts w:cs="Times New Roman"/>
          <w:color w:val="000000" w:themeColor="text1"/>
        </w:rPr>
        <w:t>)</w:t>
      </w:r>
      <w:r w:rsidR="005A1252" w:rsidRPr="00B40A77">
        <w:rPr>
          <w:rFonts w:cs="Times New Roman"/>
          <w:color w:val="000000" w:themeColor="text1"/>
        </w:rPr>
        <w:tab/>
        <w:t xml:space="preserve">If </w:t>
      </w:r>
      <w:r w:rsidR="00B26963" w:rsidRPr="00B40A77">
        <w:rPr>
          <w:rFonts w:cs="Times New Roman"/>
          <w:color w:val="000000" w:themeColor="text1"/>
        </w:rPr>
        <w:t xml:space="preserve">the </w:t>
      </w:r>
      <w:r w:rsidR="00CC33C3" w:rsidRPr="00B40A77">
        <w:rPr>
          <w:rFonts w:cs="Times New Roman"/>
          <w:color w:val="000000" w:themeColor="text1"/>
        </w:rPr>
        <w:t>i</w:t>
      </w:r>
      <w:r w:rsidR="00B26963" w:rsidRPr="00B40A77">
        <w:rPr>
          <w:rFonts w:cs="Times New Roman"/>
          <w:color w:val="000000" w:themeColor="text1"/>
        </w:rPr>
        <w:t xml:space="preserve">nformant files a revised Information </w:t>
      </w:r>
      <w:r w:rsidR="00F14F1B" w:rsidRPr="00B40A77">
        <w:rPr>
          <w:rFonts w:cs="Times New Roman"/>
          <w:color w:val="000000" w:themeColor="text1"/>
        </w:rPr>
        <w:t>under sub</w:t>
      </w:r>
      <w:r w:rsidR="005A1252" w:rsidRPr="00B40A77">
        <w:rPr>
          <w:rFonts w:cs="Times New Roman"/>
          <w:color w:val="000000" w:themeColor="text1"/>
        </w:rPr>
        <w:t>rule</w:t>
      </w:r>
      <w:r w:rsidR="00C42A0C" w:rsidRPr="00B40A77">
        <w:rPr>
          <w:rFonts w:cs="Times New Roman"/>
          <w:color w:val="000000" w:themeColor="text1"/>
        </w:rPr>
        <w:t> </w:t>
      </w:r>
      <w:r w:rsidR="00F14F1B" w:rsidRPr="00B40A77">
        <w:rPr>
          <w:rFonts w:cs="Times New Roman"/>
          <w:color w:val="000000" w:themeColor="text1"/>
        </w:rPr>
        <w:t>(1)</w:t>
      </w:r>
      <w:r w:rsidR="00E70D9B" w:rsidRPr="00B40A77">
        <w:rPr>
          <w:rFonts w:cs="Times New Roman"/>
          <w:color w:val="000000" w:themeColor="text1"/>
        </w:rPr>
        <w:t xml:space="preserve"> or (2)</w:t>
      </w:r>
      <w:r w:rsidR="005A1252" w:rsidRPr="00B40A77">
        <w:rPr>
          <w:rFonts w:cs="Times New Roman"/>
          <w:color w:val="000000" w:themeColor="text1"/>
        </w:rPr>
        <w:t xml:space="preserve">, </w:t>
      </w:r>
      <w:r w:rsidR="002B3C97" w:rsidRPr="00B40A77">
        <w:rPr>
          <w:rFonts w:cs="Times New Roman"/>
          <w:color w:val="000000" w:themeColor="text1"/>
        </w:rPr>
        <w:t xml:space="preserve">a </w:t>
      </w:r>
      <w:r w:rsidR="00B26963" w:rsidRPr="00B40A77">
        <w:rPr>
          <w:rFonts w:cs="Times New Roman"/>
          <w:color w:val="000000" w:themeColor="text1"/>
        </w:rPr>
        <w:t xml:space="preserve">defendant or youth </w:t>
      </w:r>
      <w:r w:rsidR="001756AA" w:rsidRPr="00B40A77">
        <w:rPr>
          <w:rFonts w:cs="Times New Roman"/>
          <w:color w:val="000000" w:themeColor="text1"/>
        </w:rPr>
        <w:t xml:space="preserve">may </w:t>
      </w:r>
      <w:r w:rsidR="005A1252" w:rsidRPr="00B40A77">
        <w:rPr>
          <w:rFonts w:cs="Times New Roman"/>
          <w:color w:val="000000" w:themeColor="text1"/>
        </w:rPr>
        <w:t xml:space="preserve">apply for an order disallowing the amendment in whole or </w:t>
      </w:r>
      <w:r w:rsidR="001756AA" w:rsidRPr="00B40A77">
        <w:rPr>
          <w:rFonts w:cs="Times New Roman"/>
          <w:color w:val="000000" w:themeColor="text1"/>
        </w:rPr>
        <w:t xml:space="preserve">in </w:t>
      </w:r>
      <w:r w:rsidR="00B26963" w:rsidRPr="00B40A77">
        <w:rPr>
          <w:rFonts w:cs="Times New Roman"/>
          <w:color w:val="000000" w:themeColor="text1"/>
        </w:rPr>
        <w:t>part</w:t>
      </w:r>
      <w:r w:rsidR="005A1252" w:rsidRPr="00B40A77">
        <w:rPr>
          <w:rFonts w:cs="Times New Roman"/>
          <w:color w:val="000000" w:themeColor="text1"/>
        </w:rPr>
        <w:t>.</w:t>
      </w:r>
      <w:r w:rsidR="00FE2B8D" w:rsidRPr="00B40A77">
        <w:rPr>
          <w:rFonts w:cs="Times New Roman"/>
          <w:color w:val="000000" w:themeColor="text1"/>
        </w:rPr>
        <w:t xml:space="preserve"> </w:t>
      </w:r>
    </w:p>
    <w:p w14:paraId="2FAE6E1B" w14:textId="4AA925BE" w:rsidR="00235777" w:rsidRPr="00B40A77" w:rsidRDefault="00235777" w:rsidP="00D339ED">
      <w:pPr>
        <w:pStyle w:val="ListParagraph"/>
        <w:spacing w:after="0"/>
        <w:ind w:left="1134" w:hanging="567"/>
        <w:contextualSpacing w:val="0"/>
        <w:jc w:val="both"/>
        <w:rPr>
          <w:rFonts w:cs="Times New Roman"/>
          <w:color w:val="000000" w:themeColor="text1"/>
          <w:szCs w:val="23"/>
        </w:rPr>
      </w:pPr>
      <w:r w:rsidRPr="00B40A77">
        <w:rPr>
          <w:color w:val="000000" w:themeColor="text1"/>
          <w:szCs w:val="23"/>
        </w:rPr>
        <w:t>(5)</w:t>
      </w:r>
      <w:r w:rsidRPr="00B40A77">
        <w:rPr>
          <w:color w:val="000000" w:themeColor="text1"/>
          <w:szCs w:val="23"/>
        </w:rPr>
        <w:tab/>
      </w:r>
      <w:r w:rsidR="00F01B22" w:rsidRPr="00B40A77">
        <w:rPr>
          <w:rFonts w:cs="Times New Roman"/>
          <w:color w:val="000000" w:themeColor="text1"/>
          <w:szCs w:val="23"/>
        </w:rPr>
        <w:t>A count</w:t>
      </w:r>
      <w:r w:rsidRPr="00B40A77">
        <w:rPr>
          <w:rFonts w:cs="Times New Roman"/>
          <w:color w:val="000000" w:themeColor="text1"/>
          <w:szCs w:val="23"/>
        </w:rPr>
        <w:t xml:space="preserve"> </w:t>
      </w:r>
      <w:r w:rsidR="00F01B22" w:rsidRPr="00B40A77">
        <w:rPr>
          <w:rFonts w:cs="Times New Roman"/>
          <w:color w:val="000000" w:themeColor="text1"/>
          <w:szCs w:val="23"/>
        </w:rPr>
        <w:t xml:space="preserve">cannot be withdrawn (or deleted from </w:t>
      </w:r>
      <w:r w:rsidRPr="00B40A77">
        <w:rPr>
          <w:rFonts w:cs="Times New Roman"/>
          <w:color w:val="000000" w:themeColor="text1"/>
          <w:szCs w:val="23"/>
        </w:rPr>
        <w:t xml:space="preserve">an </w:t>
      </w:r>
      <w:r w:rsidR="00D339ED" w:rsidRPr="00B40A77">
        <w:rPr>
          <w:rFonts w:cs="Times New Roman"/>
          <w:color w:val="000000" w:themeColor="text1"/>
          <w:szCs w:val="23"/>
        </w:rPr>
        <w:t xml:space="preserve">information) other than by announcement in </w:t>
      </w:r>
      <w:r w:rsidRPr="00B40A77">
        <w:rPr>
          <w:rFonts w:cs="Times New Roman"/>
          <w:color w:val="000000" w:themeColor="text1"/>
          <w:szCs w:val="23"/>
        </w:rPr>
        <w:t>Court.</w:t>
      </w:r>
    </w:p>
    <w:p w14:paraId="4B6E53C7" w14:textId="47A10B33" w:rsidR="00CE49BF" w:rsidRPr="00B40A77" w:rsidRDefault="00CE49BF" w:rsidP="005A1252">
      <w:pPr>
        <w:pStyle w:val="Hangindent"/>
        <w:rPr>
          <w:color w:val="000000" w:themeColor="text1"/>
        </w:rPr>
      </w:pPr>
      <w:r w:rsidRPr="00B40A77">
        <w:rPr>
          <w:rFonts w:cs="Times New Roman"/>
          <w:color w:val="000000" w:themeColor="text1"/>
        </w:rPr>
        <w:t>(</w:t>
      </w:r>
      <w:r w:rsidR="00E65E34" w:rsidRPr="00B40A77">
        <w:rPr>
          <w:rFonts w:cs="Times New Roman"/>
          <w:color w:val="000000" w:themeColor="text1"/>
        </w:rPr>
        <w:t>6</w:t>
      </w:r>
      <w:r w:rsidRPr="00B40A77">
        <w:rPr>
          <w:rFonts w:cs="Times New Roman"/>
          <w:color w:val="000000" w:themeColor="text1"/>
        </w:rPr>
        <w:t>)</w:t>
      </w:r>
      <w:r w:rsidRPr="00B40A77">
        <w:rPr>
          <w:rFonts w:cs="Times New Roman"/>
          <w:color w:val="000000" w:themeColor="text1"/>
        </w:rPr>
        <w:tab/>
        <w:t xml:space="preserve">The </w:t>
      </w:r>
      <w:r w:rsidR="00CC33C3" w:rsidRPr="00B40A77">
        <w:rPr>
          <w:rFonts w:cs="Times New Roman"/>
          <w:color w:val="000000" w:themeColor="text1"/>
        </w:rPr>
        <w:t>i</w:t>
      </w:r>
      <w:r w:rsidRPr="00B40A77">
        <w:rPr>
          <w:rFonts w:cs="Times New Roman"/>
          <w:color w:val="000000" w:themeColor="text1"/>
        </w:rPr>
        <w:t xml:space="preserve">nformant may amend the Information </w:t>
      </w:r>
      <w:r w:rsidRPr="00B40A77">
        <w:rPr>
          <w:color w:val="000000" w:themeColor="text1"/>
        </w:rPr>
        <w:t>(including to add</w:t>
      </w:r>
      <w:r w:rsidRPr="00B40A77">
        <w:rPr>
          <w:rFonts w:cs="Times New Roman"/>
          <w:color w:val="000000" w:themeColor="text1"/>
        </w:rPr>
        <w:t xml:space="preserve"> an additional defendant or youth or count or to delete or amend an existing count) at any time </w:t>
      </w:r>
      <w:r w:rsidRPr="00B40A77">
        <w:rPr>
          <w:color w:val="000000" w:themeColor="text1"/>
        </w:rPr>
        <w:t>with the leave of the Court.</w:t>
      </w:r>
    </w:p>
    <w:p w14:paraId="1DA9179F" w14:textId="51CEC7F8" w:rsidR="00BF7EFD" w:rsidRPr="00B40A77" w:rsidRDefault="00BF7EFD" w:rsidP="003B6C90">
      <w:pPr>
        <w:pStyle w:val="Hangindent"/>
        <w:keepNext/>
        <w:keepLines/>
        <w:rPr>
          <w:rFonts w:cs="Times New Roman"/>
          <w:color w:val="000000" w:themeColor="text1"/>
        </w:rPr>
      </w:pPr>
      <w:r w:rsidRPr="00B40A77">
        <w:rPr>
          <w:rFonts w:cs="Times New Roman"/>
          <w:color w:val="000000" w:themeColor="text1"/>
        </w:rPr>
        <w:t>(</w:t>
      </w:r>
      <w:r w:rsidR="00E65E34" w:rsidRPr="00B40A77">
        <w:rPr>
          <w:rFonts w:cs="Times New Roman"/>
          <w:color w:val="000000" w:themeColor="text1"/>
        </w:rPr>
        <w:t>7</w:t>
      </w:r>
      <w:r w:rsidRPr="00B40A77">
        <w:rPr>
          <w:rFonts w:cs="Times New Roman"/>
          <w:color w:val="000000" w:themeColor="text1"/>
        </w:rPr>
        <w:t>)</w:t>
      </w:r>
      <w:r w:rsidRPr="00B40A77">
        <w:rPr>
          <w:rFonts w:cs="Times New Roman"/>
          <w:color w:val="000000" w:themeColor="text1"/>
        </w:rPr>
        <w:tab/>
        <w:t xml:space="preserve">If </w:t>
      </w:r>
      <w:r w:rsidR="00D8468D" w:rsidRPr="00B40A77">
        <w:rPr>
          <w:rFonts w:cs="Times New Roman"/>
          <w:color w:val="000000" w:themeColor="text1"/>
        </w:rPr>
        <w:t>t</w:t>
      </w:r>
      <w:r w:rsidRPr="00B40A77">
        <w:rPr>
          <w:rFonts w:cs="Times New Roman"/>
          <w:color w:val="000000" w:themeColor="text1"/>
        </w:rPr>
        <w:t xml:space="preserve">he </w:t>
      </w:r>
      <w:r w:rsidR="00CC33C3" w:rsidRPr="00B40A77">
        <w:rPr>
          <w:rFonts w:cs="Times New Roman"/>
          <w:color w:val="000000" w:themeColor="text1"/>
        </w:rPr>
        <w:t>i</w:t>
      </w:r>
      <w:r w:rsidRPr="00B40A77">
        <w:rPr>
          <w:rFonts w:cs="Times New Roman"/>
          <w:color w:val="000000" w:themeColor="text1"/>
        </w:rPr>
        <w:t>nformant seeks leave to amend the Information, the informant must file</w:t>
      </w:r>
      <w:r w:rsidR="0055323C" w:rsidRPr="00B40A77">
        <w:rPr>
          <w:rFonts w:cs="Times New Roman"/>
          <w:color w:val="000000" w:themeColor="text1"/>
        </w:rPr>
        <w:t>,</w:t>
      </w:r>
      <w:r w:rsidRPr="00B40A77">
        <w:rPr>
          <w:rFonts w:cs="Times New Roman"/>
          <w:color w:val="000000" w:themeColor="text1"/>
        </w:rPr>
        <w:t xml:space="preserve"> and serve on each defendant or youth </w:t>
      </w:r>
      <w:r w:rsidR="0055323C" w:rsidRPr="00B40A77">
        <w:rPr>
          <w:rFonts w:cs="Times New Roman"/>
          <w:color w:val="000000" w:themeColor="text1"/>
        </w:rPr>
        <w:t>who has been served with the original Information</w:t>
      </w:r>
      <w:r w:rsidR="003D499D" w:rsidRPr="00B40A77">
        <w:rPr>
          <w:rFonts w:cs="Times New Roman"/>
          <w:color w:val="000000" w:themeColor="text1"/>
        </w:rPr>
        <w:t>,</w:t>
      </w:r>
      <w:r w:rsidR="0055323C" w:rsidRPr="00B40A77">
        <w:rPr>
          <w:rFonts w:cs="Times New Roman"/>
          <w:color w:val="000000" w:themeColor="text1"/>
        </w:rPr>
        <w:t xml:space="preserve"> </w:t>
      </w:r>
      <w:r w:rsidRPr="00B40A77">
        <w:rPr>
          <w:rFonts w:cs="Times New Roman"/>
          <w:color w:val="000000" w:themeColor="text1"/>
        </w:rPr>
        <w:t>a draft revised Information either as a standalone filed document in the prescribed form or as an exhibit to an affidavit.</w:t>
      </w:r>
    </w:p>
    <w:p w14:paraId="4BEB3A4A" w14:textId="77777777" w:rsidR="00274D73" w:rsidRPr="00B40A77" w:rsidRDefault="00274D73" w:rsidP="0033795E">
      <w:pPr>
        <w:pStyle w:val="NoteHeader"/>
        <w:keepNext/>
        <w:rPr>
          <w:color w:val="000000" w:themeColor="text1"/>
        </w:rPr>
      </w:pPr>
      <w:r w:rsidRPr="00B40A77">
        <w:rPr>
          <w:color w:val="000000" w:themeColor="text1"/>
        </w:rPr>
        <w:t>Prescribed form—</w:t>
      </w:r>
    </w:p>
    <w:p w14:paraId="1A27F53D" w14:textId="498F30F2" w:rsidR="00274D73" w:rsidRPr="00B40A77" w:rsidRDefault="00274D73" w:rsidP="00274D73">
      <w:pPr>
        <w:pStyle w:val="NoteText"/>
        <w:rPr>
          <w:color w:val="000000" w:themeColor="text1"/>
          <w:u w:val="single"/>
        </w:rPr>
      </w:pPr>
      <w:r w:rsidRPr="00B40A77">
        <w:rPr>
          <w:color w:val="000000" w:themeColor="text1"/>
        </w:rPr>
        <w:t xml:space="preserve">Form </w:t>
      </w:r>
      <w:r w:rsidR="004916E0" w:rsidRPr="00B40A77">
        <w:rPr>
          <w:color w:val="000000" w:themeColor="text1"/>
        </w:rPr>
        <w:t>4</w:t>
      </w:r>
      <w:r w:rsidRPr="00B40A77">
        <w:rPr>
          <w:color w:val="000000" w:themeColor="text1"/>
        </w:rPr>
        <w:t xml:space="preserve"> </w:t>
      </w:r>
      <w:hyperlink r:id="rId144" w:history="1">
        <w:r w:rsidRPr="00B40A77">
          <w:rPr>
            <w:rStyle w:val="Hyperlink"/>
            <w:color w:val="000000" w:themeColor="text1"/>
          </w:rPr>
          <w:t xml:space="preserve">Draft Revised Information </w:t>
        </w:r>
        <w:r w:rsidR="00E3274D" w:rsidRPr="00B40A77">
          <w:rPr>
            <w:rStyle w:val="Hyperlink"/>
            <w:color w:val="000000" w:themeColor="text1"/>
          </w:rPr>
          <w:t>L</w:t>
        </w:r>
        <w:r w:rsidRPr="00B40A77">
          <w:rPr>
            <w:rStyle w:val="Hyperlink"/>
            <w:color w:val="000000" w:themeColor="text1"/>
          </w:rPr>
          <w:t xml:space="preserve">ower </w:t>
        </w:r>
        <w:r w:rsidR="00E3274D" w:rsidRPr="00B40A77">
          <w:rPr>
            <w:rStyle w:val="Hyperlink"/>
            <w:color w:val="000000" w:themeColor="text1"/>
          </w:rPr>
          <w:t>C</w:t>
        </w:r>
        <w:r w:rsidRPr="00B40A77">
          <w:rPr>
            <w:rStyle w:val="Hyperlink"/>
            <w:color w:val="000000" w:themeColor="text1"/>
          </w:rPr>
          <w:t>ourts</w:t>
        </w:r>
      </w:hyperlink>
    </w:p>
    <w:bookmarkEnd w:id="490"/>
    <w:p w14:paraId="43A9628C" w14:textId="2D2F44C7" w:rsidR="001C0B55" w:rsidRPr="00B40A77" w:rsidRDefault="001C0B55" w:rsidP="00173536">
      <w:pPr>
        <w:pStyle w:val="Hangindent"/>
        <w:keepNext/>
        <w:rPr>
          <w:color w:val="000000" w:themeColor="text1"/>
        </w:rPr>
      </w:pPr>
      <w:r w:rsidRPr="00B40A77">
        <w:rPr>
          <w:rFonts w:cs="Times New Roman"/>
          <w:color w:val="000000" w:themeColor="text1"/>
        </w:rPr>
        <w:t>(</w:t>
      </w:r>
      <w:r w:rsidR="00E65E34" w:rsidRPr="00B40A77">
        <w:rPr>
          <w:rFonts w:cs="Times New Roman"/>
          <w:color w:val="000000" w:themeColor="text1"/>
        </w:rPr>
        <w:t>8</w:t>
      </w:r>
      <w:r w:rsidRPr="00B40A77">
        <w:rPr>
          <w:rFonts w:cs="Times New Roman"/>
          <w:color w:val="000000" w:themeColor="text1"/>
        </w:rPr>
        <w:t>)</w:t>
      </w:r>
      <w:r w:rsidRPr="00B40A77">
        <w:rPr>
          <w:rFonts w:cs="Times New Roman"/>
          <w:color w:val="000000" w:themeColor="text1"/>
        </w:rPr>
        <w:tab/>
        <w:t xml:space="preserve">If the </w:t>
      </w:r>
      <w:r w:rsidR="00CC33C3" w:rsidRPr="00B40A77">
        <w:rPr>
          <w:rFonts w:cs="Times New Roman"/>
          <w:color w:val="000000" w:themeColor="text1"/>
        </w:rPr>
        <w:t>i</w:t>
      </w:r>
      <w:r w:rsidRPr="00B40A77">
        <w:rPr>
          <w:rFonts w:cs="Times New Roman"/>
          <w:color w:val="000000" w:themeColor="text1"/>
        </w:rPr>
        <w:t xml:space="preserve">nformant files a revised Information, any additional defendant or youth must be added in sequential order (after all existing defendants or youths) </w:t>
      </w:r>
      <w:r w:rsidR="00100168" w:rsidRPr="00B40A77">
        <w:rPr>
          <w:rFonts w:cs="Times New Roman"/>
          <w:color w:val="000000" w:themeColor="text1"/>
        </w:rPr>
        <w:t>and any additional count must be added in sequential order (after all existing counts)</w:t>
      </w:r>
      <w:r w:rsidR="0017513F" w:rsidRPr="00B40A77">
        <w:rPr>
          <w:rFonts w:cs="Times New Roman"/>
          <w:color w:val="000000" w:themeColor="text1"/>
        </w:rPr>
        <w:t xml:space="preserve"> </w:t>
      </w:r>
      <w:r w:rsidRPr="00B40A77">
        <w:rPr>
          <w:rFonts w:cs="Times New Roman"/>
          <w:color w:val="000000" w:themeColor="text1"/>
        </w:rPr>
        <w:t>on the Information.</w:t>
      </w:r>
    </w:p>
    <w:p w14:paraId="3DAD1CDB" w14:textId="77777777" w:rsidR="00BF7EFD" w:rsidRPr="00B40A77" w:rsidRDefault="00BF7EFD" w:rsidP="004C2422">
      <w:pPr>
        <w:pStyle w:val="NoteHeader"/>
        <w:keepNext/>
        <w:rPr>
          <w:color w:val="000000" w:themeColor="text1"/>
        </w:rPr>
      </w:pPr>
      <w:r w:rsidRPr="00B40A77">
        <w:rPr>
          <w:color w:val="000000" w:themeColor="text1"/>
        </w:rPr>
        <w:t>Note—</w:t>
      </w:r>
    </w:p>
    <w:p w14:paraId="1B6D8355" w14:textId="57EB3119" w:rsidR="00BF7EFD" w:rsidRPr="00B40A77" w:rsidRDefault="00BF7EFD" w:rsidP="00D8468D">
      <w:pPr>
        <w:pStyle w:val="NoteText"/>
        <w:rPr>
          <w:color w:val="000000" w:themeColor="text1"/>
        </w:rPr>
      </w:pPr>
      <w:r w:rsidRPr="00B40A77">
        <w:rPr>
          <w:color w:val="000000" w:themeColor="text1"/>
        </w:rPr>
        <w:t>There is no limit on the number of times the Information may be amended under this rule.</w:t>
      </w:r>
    </w:p>
    <w:p w14:paraId="6AB0C2DE" w14:textId="00EF4ACF" w:rsidR="005A1252" w:rsidRPr="00B40A77" w:rsidRDefault="00F14F1B" w:rsidP="004057D2">
      <w:pPr>
        <w:pStyle w:val="Heading4"/>
        <w:rPr>
          <w:color w:val="000000" w:themeColor="text1"/>
        </w:rPr>
      </w:pPr>
      <w:bookmarkStart w:id="493" w:name="_69.2—Amendment_by_consent"/>
      <w:bookmarkStart w:id="494" w:name="_Toc175238966"/>
      <w:bookmarkEnd w:id="491"/>
      <w:bookmarkEnd w:id="493"/>
      <w:r w:rsidRPr="00B40A77">
        <w:rPr>
          <w:color w:val="000000" w:themeColor="text1"/>
        </w:rPr>
        <w:t>6</w:t>
      </w:r>
      <w:r w:rsidR="00B72D5F" w:rsidRPr="00B40A77">
        <w:rPr>
          <w:color w:val="000000" w:themeColor="text1"/>
        </w:rPr>
        <w:t>3</w:t>
      </w:r>
      <w:r w:rsidR="00E82A85" w:rsidRPr="00B40A77">
        <w:rPr>
          <w:color w:val="000000" w:themeColor="text1"/>
        </w:rPr>
        <w:t>.2</w:t>
      </w:r>
      <w:r w:rsidR="005A1252" w:rsidRPr="00B40A77">
        <w:rPr>
          <w:color w:val="000000" w:themeColor="text1"/>
        </w:rPr>
        <w:t>—</w:t>
      </w:r>
      <w:r w:rsidR="00CE49BF" w:rsidRPr="00B40A77">
        <w:rPr>
          <w:color w:val="000000" w:themeColor="text1"/>
        </w:rPr>
        <w:t>Method of a</w:t>
      </w:r>
      <w:r w:rsidR="005A1252" w:rsidRPr="00B40A77">
        <w:rPr>
          <w:color w:val="000000" w:themeColor="text1"/>
        </w:rPr>
        <w:t>mendment</w:t>
      </w:r>
      <w:bookmarkEnd w:id="494"/>
    </w:p>
    <w:p w14:paraId="72B65FDD" w14:textId="0FB5C512" w:rsidR="00CE49BF" w:rsidRPr="00B40A77" w:rsidRDefault="00CE49BF" w:rsidP="00CE49BF">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If the </w:t>
      </w:r>
      <w:r w:rsidR="00CC33C3" w:rsidRPr="00B40A77">
        <w:rPr>
          <w:rFonts w:cs="Times New Roman"/>
          <w:color w:val="000000" w:themeColor="text1"/>
        </w:rPr>
        <w:t>i</w:t>
      </w:r>
      <w:r w:rsidRPr="00B40A77">
        <w:rPr>
          <w:rFonts w:cs="Times New Roman"/>
          <w:color w:val="000000" w:themeColor="text1"/>
        </w:rPr>
        <w:t xml:space="preserve">nformant is entitled to amend </w:t>
      </w:r>
      <w:r w:rsidR="00F14F1B" w:rsidRPr="00B40A77">
        <w:rPr>
          <w:rFonts w:cs="Times New Roman"/>
          <w:color w:val="000000" w:themeColor="text1"/>
        </w:rPr>
        <w:t>a</w:t>
      </w:r>
      <w:r w:rsidR="00AB40C2" w:rsidRPr="00B40A77">
        <w:rPr>
          <w:rFonts w:cs="Times New Roman"/>
          <w:color w:val="000000" w:themeColor="text1"/>
        </w:rPr>
        <w:t>n</w:t>
      </w:r>
      <w:r w:rsidR="00DB55B9" w:rsidRPr="00B40A77">
        <w:rPr>
          <w:rFonts w:cs="Times New Roman"/>
          <w:color w:val="000000" w:themeColor="text1"/>
        </w:rPr>
        <w:t xml:space="preserve"> Information </w:t>
      </w:r>
      <w:r w:rsidR="00F14F1B" w:rsidRPr="00B40A77">
        <w:rPr>
          <w:rFonts w:cs="Times New Roman"/>
          <w:color w:val="000000" w:themeColor="text1"/>
        </w:rPr>
        <w:t xml:space="preserve">under </w:t>
      </w:r>
      <w:hyperlink w:anchor="_63.1—Amendment_with_or" w:history="1">
        <w:r w:rsidR="00F14F1B" w:rsidRPr="00B40A77">
          <w:rPr>
            <w:rStyle w:val="Hyperlink"/>
            <w:rFonts w:cs="Times New Roman"/>
            <w:color w:val="000000" w:themeColor="text1"/>
          </w:rPr>
          <w:t>rule 6</w:t>
        </w:r>
        <w:r w:rsidR="003652A2" w:rsidRPr="00B40A77">
          <w:rPr>
            <w:rStyle w:val="Hyperlink"/>
            <w:rFonts w:cs="Times New Roman"/>
            <w:color w:val="000000" w:themeColor="text1"/>
          </w:rPr>
          <w:t>3</w:t>
        </w:r>
        <w:r w:rsidRPr="00B40A77">
          <w:rPr>
            <w:rStyle w:val="Hyperlink"/>
            <w:rFonts w:cs="Times New Roman"/>
            <w:color w:val="000000" w:themeColor="text1"/>
          </w:rPr>
          <w:t>.1</w:t>
        </w:r>
      </w:hyperlink>
      <w:r w:rsidRPr="00B40A77">
        <w:rPr>
          <w:rFonts w:cs="Times New Roman"/>
          <w:color w:val="000000" w:themeColor="text1"/>
        </w:rPr>
        <w:t xml:space="preserve">, the amendment must be made by filing a revised version of the Information in accordance with </w:t>
      </w:r>
      <w:hyperlink w:anchor="_33.2—Manner_of_amendment" w:history="1">
        <w:r w:rsidR="00F14F1B" w:rsidRPr="00B40A77">
          <w:rPr>
            <w:rStyle w:val="Hyperlink"/>
            <w:rFonts w:cs="Times New Roman"/>
            <w:color w:val="000000" w:themeColor="text1"/>
          </w:rPr>
          <w:t>rule</w:t>
        </w:r>
        <w:r w:rsidR="00F86AC0" w:rsidRPr="00B40A77">
          <w:rPr>
            <w:rStyle w:val="Hyperlink"/>
            <w:rFonts w:cs="Times New Roman"/>
            <w:color w:val="000000" w:themeColor="text1"/>
          </w:rPr>
          <w:t> </w:t>
        </w:r>
        <w:r w:rsidR="0017513F" w:rsidRPr="00B40A77">
          <w:rPr>
            <w:rStyle w:val="Hyperlink"/>
            <w:rFonts w:cs="Times New Roman"/>
            <w:color w:val="000000" w:themeColor="text1"/>
          </w:rPr>
          <w:t>30</w:t>
        </w:r>
        <w:r w:rsidRPr="00B40A77">
          <w:rPr>
            <w:rStyle w:val="Hyperlink"/>
            <w:rFonts w:cs="Times New Roman"/>
            <w:color w:val="000000" w:themeColor="text1"/>
          </w:rPr>
          <w:t>.2</w:t>
        </w:r>
      </w:hyperlink>
      <w:r w:rsidRPr="00B40A77">
        <w:rPr>
          <w:rFonts w:cs="Times New Roman"/>
          <w:color w:val="000000" w:themeColor="text1"/>
        </w:rPr>
        <w:t>.</w:t>
      </w:r>
    </w:p>
    <w:p w14:paraId="59888CBB" w14:textId="1EA1A1C6" w:rsidR="00CE49BF" w:rsidRPr="00B40A77" w:rsidRDefault="00922004" w:rsidP="00CE49BF">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informant </w:t>
      </w:r>
      <w:r w:rsidR="00E26F32" w:rsidRPr="00B40A77">
        <w:rPr>
          <w:rFonts w:cs="Times New Roman"/>
          <w:color w:val="000000" w:themeColor="text1"/>
        </w:rPr>
        <w:t>must serve</w:t>
      </w:r>
      <w:r w:rsidR="00CE49BF" w:rsidRPr="00B40A77">
        <w:rPr>
          <w:rFonts w:cs="Times New Roman"/>
          <w:color w:val="000000" w:themeColor="text1"/>
        </w:rPr>
        <w:t xml:space="preserve"> a revised Information on each defendant or youth as soon as practicable.</w:t>
      </w:r>
    </w:p>
    <w:p w14:paraId="6B954E88" w14:textId="78EC828A" w:rsidR="000E6A53" w:rsidRPr="00B40A77" w:rsidRDefault="00F14F1B" w:rsidP="000D4309">
      <w:pPr>
        <w:pStyle w:val="Heading4"/>
        <w:rPr>
          <w:color w:val="000000" w:themeColor="text1"/>
        </w:rPr>
      </w:pPr>
      <w:bookmarkStart w:id="495" w:name="_Toc60133500"/>
      <w:bookmarkStart w:id="496" w:name="_Toc175238967"/>
      <w:r w:rsidRPr="00B40A77">
        <w:rPr>
          <w:color w:val="000000" w:themeColor="text1"/>
        </w:rPr>
        <w:t>6</w:t>
      </w:r>
      <w:r w:rsidR="00B72D5F" w:rsidRPr="00B40A77">
        <w:rPr>
          <w:color w:val="000000" w:themeColor="text1"/>
        </w:rPr>
        <w:t>3</w:t>
      </w:r>
      <w:r w:rsidR="000E6A53" w:rsidRPr="00B40A77">
        <w:rPr>
          <w:color w:val="000000" w:themeColor="text1"/>
        </w:rPr>
        <w:t>.3—</w:t>
      </w:r>
      <w:r w:rsidR="00A840B8" w:rsidRPr="00B40A77">
        <w:rPr>
          <w:color w:val="000000" w:themeColor="text1"/>
        </w:rPr>
        <w:t>Notifiable</w:t>
      </w:r>
      <w:r w:rsidR="000E6A53" w:rsidRPr="00B40A77">
        <w:rPr>
          <w:color w:val="000000" w:themeColor="text1"/>
        </w:rPr>
        <w:t xml:space="preserve"> offences</w:t>
      </w:r>
      <w:bookmarkEnd w:id="495"/>
      <w:bookmarkEnd w:id="496"/>
    </w:p>
    <w:p w14:paraId="59F2B19D" w14:textId="4B56016E" w:rsidR="000E6A53" w:rsidRPr="00B40A77" w:rsidRDefault="000E6A53" w:rsidP="0033795E">
      <w:pPr>
        <w:pStyle w:val="Hangindent"/>
        <w:keepNext/>
        <w:keepLines/>
        <w:ind w:left="567" w:firstLine="0"/>
        <w:rPr>
          <w:color w:val="000000" w:themeColor="text1"/>
          <w:lang w:val="en-US"/>
        </w:rPr>
      </w:pPr>
      <w:r w:rsidRPr="00B40A77">
        <w:rPr>
          <w:color w:val="000000" w:themeColor="text1"/>
          <w:lang w:val="en-US"/>
        </w:rPr>
        <w:t>If the informant becomes aware after an Information has been filed that a</w:t>
      </w:r>
      <w:r w:rsidR="009943E3" w:rsidRPr="00B40A77">
        <w:rPr>
          <w:color w:val="000000" w:themeColor="text1"/>
          <w:lang w:val="en-US"/>
        </w:rPr>
        <w:t xml:space="preserve">n offence </w:t>
      </w:r>
      <w:r w:rsidR="00A840B8" w:rsidRPr="00B40A77">
        <w:rPr>
          <w:color w:val="000000" w:themeColor="text1"/>
          <w:lang w:val="en-US"/>
        </w:rPr>
        <w:t>alleged in the Information is or may be</w:t>
      </w:r>
      <w:r w:rsidR="00F40C9C" w:rsidRPr="00B40A77">
        <w:rPr>
          <w:color w:val="000000" w:themeColor="text1"/>
          <w:lang w:val="en-US"/>
        </w:rPr>
        <w:t xml:space="preserve"> a </w:t>
      </w:r>
      <w:hyperlink w:anchor="_2.1—Definitions" w:history="1">
        <w:r w:rsidR="003A1982" w:rsidRPr="00B40A77">
          <w:rPr>
            <w:rStyle w:val="Hyperlink"/>
            <w:color w:val="000000" w:themeColor="text1"/>
          </w:rPr>
          <w:t>notifiable offence</w:t>
        </w:r>
      </w:hyperlink>
      <w:r w:rsidR="00F40C9C" w:rsidRPr="00B40A77">
        <w:rPr>
          <w:color w:val="000000" w:themeColor="text1"/>
          <w:lang w:val="en-US"/>
        </w:rPr>
        <w:t xml:space="preserve">, </w:t>
      </w:r>
      <w:r w:rsidRPr="00B40A77">
        <w:rPr>
          <w:color w:val="000000" w:themeColor="text1"/>
          <w:lang w:val="en-US"/>
        </w:rPr>
        <w:t>the informant</w:t>
      </w:r>
      <w:r w:rsidR="009943E3" w:rsidRPr="00B40A77">
        <w:rPr>
          <w:color w:val="000000" w:themeColor="text1"/>
          <w:lang w:val="en-US"/>
        </w:rPr>
        <w:t xml:space="preserve"> must</w:t>
      </w:r>
      <w:r w:rsidR="00F40C9C" w:rsidRPr="00B40A77">
        <w:rPr>
          <w:color w:val="000000" w:themeColor="text1"/>
          <w:lang w:val="en-US"/>
        </w:rPr>
        <w:t xml:space="preserve"> file a </w:t>
      </w:r>
      <w:r w:rsidR="00543C47" w:rsidRPr="00B40A77">
        <w:rPr>
          <w:color w:val="000000" w:themeColor="text1"/>
          <w:lang w:val="en-US"/>
        </w:rPr>
        <w:t xml:space="preserve">notice of notifiable offence </w:t>
      </w:r>
      <w:r w:rsidR="009943E3" w:rsidRPr="00B40A77">
        <w:rPr>
          <w:color w:val="000000" w:themeColor="text1"/>
          <w:lang w:val="en-US"/>
        </w:rPr>
        <w:t>in the prescribed</w:t>
      </w:r>
      <w:r w:rsidRPr="00B40A77">
        <w:rPr>
          <w:color w:val="000000" w:themeColor="text1"/>
          <w:lang w:val="en-US"/>
        </w:rPr>
        <w:t xml:space="preserve"> form providing the required information.</w:t>
      </w:r>
    </w:p>
    <w:p w14:paraId="1A4E3B75" w14:textId="77777777" w:rsidR="004C3E8A" w:rsidRPr="00B40A77" w:rsidRDefault="004C3E8A" w:rsidP="0033795E">
      <w:pPr>
        <w:pStyle w:val="NoteHeader"/>
        <w:keepNext/>
        <w:ind w:left="567"/>
        <w:rPr>
          <w:color w:val="000000" w:themeColor="text1"/>
        </w:rPr>
      </w:pPr>
      <w:r w:rsidRPr="00B40A77">
        <w:rPr>
          <w:color w:val="000000" w:themeColor="text1"/>
        </w:rPr>
        <w:t>Prescribed form—</w:t>
      </w:r>
    </w:p>
    <w:p w14:paraId="5C1F49A5" w14:textId="3D81B426" w:rsidR="00CE49BF" w:rsidRPr="00B40A77" w:rsidRDefault="00D750B7" w:rsidP="00A777E7">
      <w:pPr>
        <w:pStyle w:val="NoteText"/>
        <w:ind w:left="851"/>
        <w:rPr>
          <w:color w:val="000000" w:themeColor="text1"/>
          <w:lang w:val="en-US"/>
        </w:rPr>
      </w:pPr>
      <w:r w:rsidRPr="00B40A77">
        <w:rPr>
          <w:color w:val="000000" w:themeColor="text1"/>
        </w:rPr>
        <w:t xml:space="preserve">Form 76 </w:t>
      </w:r>
      <w:hyperlink r:id="rId145" w:history="1">
        <w:r w:rsidRPr="00B40A77">
          <w:rPr>
            <w:rStyle w:val="Hyperlink"/>
            <w:color w:val="000000" w:themeColor="text1"/>
          </w:rPr>
          <w:t xml:space="preserve">Notice of </w:t>
        </w:r>
        <w:r w:rsidR="002E1F61" w:rsidRPr="00B40A77">
          <w:rPr>
            <w:rStyle w:val="Hyperlink"/>
            <w:color w:val="000000" w:themeColor="text1"/>
          </w:rPr>
          <w:t>N</w:t>
        </w:r>
        <w:r w:rsidRPr="00B40A77">
          <w:rPr>
            <w:rStyle w:val="Hyperlink"/>
            <w:color w:val="000000" w:themeColor="text1"/>
          </w:rPr>
          <w:t xml:space="preserve">otifiable </w:t>
        </w:r>
        <w:r w:rsidR="002E1F61" w:rsidRPr="00B40A77">
          <w:rPr>
            <w:rStyle w:val="Hyperlink"/>
            <w:color w:val="000000" w:themeColor="text1"/>
          </w:rPr>
          <w:t>O</w:t>
        </w:r>
        <w:r w:rsidRPr="00B40A77">
          <w:rPr>
            <w:rStyle w:val="Hyperlink"/>
            <w:color w:val="000000" w:themeColor="text1"/>
          </w:rPr>
          <w:t>ffence</w:t>
        </w:r>
      </w:hyperlink>
    </w:p>
    <w:p w14:paraId="54D1A13A" w14:textId="6394C451" w:rsidR="00F67072" w:rsidRPr="00B40A77" w:rsidRDefault="003345E4" w:rsidP="008E1352">
      <w:pPr>
        <w:pStyle w:val="Heading4"/>
        <w:rPr>
          <w:color w:val="000000" w:themeColor="text1"/>
        </w:rPr>
      </w:pPr>
      <w:bookmarkStart w:id="497" w:name="_Toc175238968"/>
      <w:r w:rsidRPr="00B40A77">
        <w:rPr>
          <w:color w:val="000000" w:themeColor="text1"/>
        </w:rPr>
        <w:t>6</w:t>
      </w:r>
      <w:r w:rsidR="003C6D63" w:rsidRPr="00B40A77">
        <w:rPr>
          <w:color w:val="000000" w:themeColor="text1"/>
        </w:rPr>
        <w:t>3</w:t>
      </w:r>
      <w:r w:rsidR="00F67072" w:rsidRPr="00B40A77">
        <w:rPr>
          <w:color w:val="000000" w:themeColor="text1"/>
        </w:rPr>
        <w:t>.4—Priority proceeding</w:t>
      </w:r>
      <w:bookmarkEnd w:id="497"/>
    </w:p>
    <w:p w14:paraId="092306F0" w14:textId="33E8F1D1" w:rsidR="00F67072" w:rsidRPr="00B40A77" w:rsidRDefault="00F67072" w:rsidP="0033795E">
      <w:pPr>
        <w:pStyle w:val="Hangindent"/>
        <w:keepNext/>
        <w:keepLines/>
        <w:ind w:left="567" w:firstLine="0"/>
        <w:rPr>
          <w:color w:val="000000" w:themeColor="text1"/>
          <w:lang w:val="en-US"/>
        </w:rPr>
      </w:pPr>
      <w:r w:rsidRPr="00B40A77">
        <w:rPr>
          <w:color w:val="000000" w:themeColor="text1"/>
          <w:lang w:val="en-US"/>
        </w:rPr>
        <w:t xml:space="preserve">If the informant becomes aware after an Information has been filed that the proceeding is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lang w:val="en-US"/>
        </w:rPr>
        <w:t xml:space="preserve">, the </w:t>
      </w:r>
      <w:r w:rsidR="00747935" w:rsidRPr="00B40A77">
        <w:rPr>
          <w:color w:val="000000" w:themeColor="text1"/>
          <w:lang w:val="en-US"/>
        </w:rPr>
        <w:t xml:space="preserve">informant must file a </w:t>
      </w:r>
      <w:r w:rsidRPr="00B40A77">
        <w:rPr>
          <w:color w:val="000000" w:themeColor="text1"/>
          <w:lang w:val="en-US"/>
        </w:rPr>
        <w:t xml:space="preserve">notice of </w:t>
      </w:r>
      <w:r w:rsidR="00747935" w:rsidRPr="00B40A77">
        <w:rPr>
          <w:color w:val="000000" w:themeColor="text1"/>
          <w:lang w:val="en-US"/>
        </w:rPr>
        <w:t>priority proceeding</w:t>
      </w:r>
      <w:r w:rsidRPr="00B40A77">
        <w:rPr>
          <w:color w:val="000000" w:themeColor="text1"/>
          <w:lang w:val="en-US"/>
        </w:rPr>
        <w:t xml:space="preserve"> in the prescribed form providing the required information.</w:t>
      </w:r>
    </w:p>
    <w:p w14:paraId="1FCDE900" w14:textId="77777777" w:rsidR="00F67072" w:rsidRPr="00B40A77" w:rsidRDefault="00F67072" w:rsidP="0033795E">
      <w:pPr>
        <w:pStyle w:val="NoteHeader"/>
        <w:keepNext/>
        <w:ind w:left="567"/>
        <w:rPr>
          <w:color w:val="000000" w:themeColor="text1"/>
        </w:rPr>
      </w:pPr>
      <w:r w:rsidRPr="00B40A77">
        <w:rPr>
          <w:color w:val="000000" w:themeColor="text1"/>
        </w:rPr>
        <w:t>Prescribed form—</w:t>
      </w:r>
    </w:p>
    <w:p w14:paraId="3970673D" w14:textId="0A91BADE" w:rsidR="00F67072" w:rsidRPr="00B40A77" w:rsidRDefault="00D750B7" w:rsidP="00A777E7">
      <w:pPr>
        <w:pStyle w:val="NoteText"/>
        <w:ind w:left="851"/>
        <w:rPr>
          <w:color w:val="000000" w:themeColor="text1"/>
        </w:rPr>
      </w:pPr>
      <w:r w:rsidRPr="00B40A77">
        <w:rPr>
          <w:color w:val="000000" w:themeColor="text1"/>
        </w:rPr>
        <w:t xml:space="preserve">Form 75 </w:t>
      </w:r>
      <w:hyperlink r:id="rId146" w:history="1">
        <w:r w:rsidRPr="00B40A77">
          <w:rPr>
            <w:rStyle w:val="Hyperlink"/>
            <w:color w:val="000000" w:themeColor="text1"/>
          </w:rPr>
          <w:t xml:space="preserve">Notice of </w:t>
        </w:r>
        <w:r w:rsidR="002E1F61" w:rsidRPr="00B40A77">
          <w:rPr>
            <w:rStyle w:val="Hyperlink"/>
            <w:color w:val="000000" w:themeColor="text1"/>
          </w:rPr>
          <w:t>P</w:t>
        </w:r>
        <w:r w:rsidRPr="00B40A77">
          <w:rPr>
            <w:rStyle w:val="Hyperlink"/>
            <w:color w:val="000000" w:themeColor="text1"/>
          </w:rPr>
          <w:t xml:space="preserve">riority </w:t>
        </w:r>
        <w:r w:rsidR="002E1F61" w:rsidRPr="00B40A77">
          <w:rPr>
            <w:rStyle w:val="Hyperlink"/>
            <w:color w:val="000000" w:themeColor="text1"/>
          </w:rPr>
          <w:t>P</w:t>
        </w:r>
        <w:r w:rsidRPr="00B40A77">
          <w:rPr>
            <w:rStyle w:val="Hyperlink"/>
            <w:color w:val="000000" w:themeColor="text1"/>
          </w:rPr>
          <w:t>roceeding</w:t>
        </w:r>
      </w:hyperlink>
    </w:p>
    <w:p w14:paraId="69DAB52A" w14:textId="3745C805" w:rsidR="000E1987" w:rsidRPr="00B40A77" w:rsidRDefault="003345E4" w:rsidP="003345E4">
      <w:pPr>
        <w:pStyle w:val="Heading3"/>
        <w:rPr>
          <w:color w:val="000000" w:themeColor="text1"/>
        </w:rPr>
      </w:pPr>
      <w:bookmarkStart w:id="498" w:name="_69.3—Manner_of_amendment"/>
      <w:bookmarkStart w:id="499" w:name="_Toc175238969"/>
      <w:bookmarkEnd w:id="498"/>
      <w:r w:rsidRPr="00B40A77">
        <w:rPr>
          <w:color w:val="000000" w:themeColor="text1"/>
        </w:rPr>
        <w:t>Division 2</w:t>
      </w:r>
      <w:r w:rsidR="000E1987" w:rsidRPr="00B40A77">
        <w:rPr>
          <w:color w:val="000000" w:themeColor="text1"/>
        </w:rPr>
        <w:t>—</w:t>
      </w:r>
      <w:r w:rsidR="00F65BB0" w:rsidRPr="00B40A77">
        <w:rPr>
          <w:color w:val="000000" w:themeColor="text1"/>
        </w:rPr>
        <w:t>C</w:t>
      </w:r>
      <w:r w:rsidR="00EC438B" w:rsidRPr="00B40A77">
        <w:rPr>
          <w:color w:val="000000" w:themeColor="text1"/>
        </w:rPr>
        <w:t>hallenge</w:t>
      </w:r>
      <w:r w:rsidRPr="00B40A77">
        <w:rPr>
          <w:color w:val="000000" w:themeColor="text1"/>
        </w:rPr>
        <w:t>s</w:t>
      </w:r>
      <w:bookmarkEnd w:id="499"/>
    </w:p>
    <w:p w14:paraId="7CCBF543" w14:textId="5CC084B2" w:rsidR="000E1987" w:rsidRPr="00B40A77" w:rsidRDefault="003345E4" w:rsidP="000E1987">
      <w:pPr>
        <w:pStyle w:val="Heading4"/>
        <w:rPr>
          <w:color w:val="000000" w:themeColor="text1"/>
        </w:rPr>
      </w:pPr>
      <w:bookmarkStart w:id="500" w:name="_70.3—Strike_out"/>
      <w:bookmarkStart w:id="501" w:name="_Toc175238970"/>
      <w:bookmarkEnd w:id="500"/>
      <w:r w:rsidRPr="00B40A77">
        <w:rPr>
          <w:color w:val="000000" w:themeColor="text1"/>
        </w:rPr>
        <w:t>6</w:t>
      </w:r>
      <w:r w:rsidR="00156A2B" w:rsidRPr="00B40A77">
        <w:rPr>
          <w:color w:val="000000" w:themeColor="text1"/>
        </w:rPr>
        <w:t>4</w:t>
      </w:r>
      <w:r w:rsidR="00747935" w:rsidRPr="00B40A77">
        <w:rPr>
          <w:color w:val="000000" w:themeColor="text1"/>
        </w:rPr>
        <w:t>.</w:t>
      </w:r>
      <w:r w:rsidR="00F65BB0" w:rsidRPr="00B40A77">
        <w:rPr>
          <w:color w:val="000000" w:themeColor="text1"/>
        </w:rPr>
        <w:t>1</w:t>
      </w:r>
      <w:r w:rsidR="000E1987" w:rsidRPr="00B40A77">
        <w:rPr>
          <w:color w:val="000000" w:themeColor="text1"/>
        </w:rPr>
        <w:t>—Strike out</w:t>
      </w:r>
      <w:bookmarkEnd w:id="501"/>
    </w:p>
    <w:p w14:paraId="378CFE81" w14:textId="7A334DF3" w:rsidR="000E1987" w:rsidRPr="00B40A77" w:rsidRDefault="000E1987" w:rsidP="000E1987">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The Court may strike out a count </w:t>
      </w:r>
      <w:r w:rsidR="00747935" w:rsidRPr="00B40A77">
        <w:rPr>
          <w:rFonts w:cs="Times New Roman"/>
          <w:color w:val="000000" w:themeColor="text1"/>
        </w:rPr>
        <w:t xml:space="preserve">in </w:t>
      </w:r>
      <w:r w:rsidRPr="00B40A77">
        <w:rPr>
          <w:rFonts w:cs="Times New Roman"/>
          <w:color w:val="000000" w:themeColor="text1"/>
        </w:rPr>
        <w:t>an Information if—</w:t>
      </w:r>
    </w:p>
    <w:p w14:paraId="370C7BBF" w14:textId="77777777" w:rsidR="000E1987" w:rsidRPr="00B40A77" w:rsidRDefault="000E1987" w:rsidP="000E1987">
      <w:pPr>
        <w:pStyle w:val="Doublehangindent"/>
        <w:rPr>
          <w:color w:val="000000" w:themeColor="text1"/>
        </w:rPr>
      </w:pPr>
      <w:r w:rsidRPr="00B40A77">
        <w:rPr>
          <w:color w:val="000000" w:themeColor="text1"/>
        </w:rPr>
        <w:t>(a)</w:t>
      </w:r>
      <w:r w:rsidRPr="00B40A77">
        <w:rPr>
          <w:color w:val="000000" w:themeColor="text1"/>
        </w:rPr>
        <w:tab/>
        <w:t>it does not comply with these Rules;</w:t>
      </w:r>
    </w:p>
    <w:p w14:paraId="74F422E7" w14:textId="77777777" w:rsidR="000E1987" w:rsidRPr="00B40A77" w:rsidRDefault="000E1987" w:rsidP="000E1987">
      <w:pPr>
        <w:pStyle w:val="Doublehangindent"/>
        <w:rPr>
          <w:color w:val="000000" w:themeColor="text1"/>
        </w:rPr>
      </w:pPr>
      <w:r w:rsidRPr="00B40A77">
        <w:rPr>
          <w:color w:val="000000" w:themeColor="text1"/>
        </w:rPr>
        <w:t>(b)</w:t>
      </w:r>
      <w:r w:rsidRPr="00B40A77">
        <w:rPr>
          <w:color w:val="000000" w:themeColor="text1"/>
        </w:rPr>
        <w:tab/>
        <w:t>it is frivolous, vexatious or an abuse of the process of the Court; or</w:t>
      </w:r>
    </w:p>
    <w:p w14:paraId="54EBF3EC" w14:textId="77777777" w:rsidR="000E1987" w:rsidRPr="00B40A77" w:rsidRDefault="000E1987" w:rsidP="000E1987">
      <w:pPr>
        <w:pStyle w:val="Doublehangindent"/>
        <w:rPr>
          <w:color w:val="000000" w:themeColor="text1"/>
        </w:rPr>
      </w:pPr>
      <w:r w:rsidRPr="00B40A77">
        <w:rPr>
          <w:color w:val="000000" w:themeColor="text1"/>
        </w:rPr>
        <w:lastRenderedPageBreak/>
        <w:t>(c)</w:t>
      </w:r>
      <w:r w:rsidRPr="00B40A77">
        <w:rPr>
          <w:color w:val="000000" w:themeColor="text1"/>
        </w:rPr>
        <w:tab/>
        <w:t>it does not disclose an offence.</w:t>
      </w:r>
    </w:p>
    <w:p w14:paraId="7AF9963F" w14:textId="22D02378" w:rsidR="000E1987" w:rsidRPr="00B40A77" w:rsidRDefault="000E1987" w:rsidP="000E1987">
      <w:pPr>
        <w:pStyle w:val="Hangindent"/>
        <w:rPr>
          <w:color w:val="000000" w:themeColor="text1"/>
        </w:rPr>
      </w:pPr>
      <w:r w:rsidRPr="00B40A77">
        <w:rPr>
          <w:rFonts w:cs="Times New Roman"/>
          <w:color w:val="000000" w:themeColor="text1"/>
        </w:rPr>
        <w:t>(2)</w:t>
      </w:r>
      <w:r w:rsidRPr="00B40A77">
        <w:rPr>
          <w:rFonts w:cs="Times New Roman"/>
          <w:color w:val="000000" w:themeColor="text1"/>
        </w:rPr>
        <w:tab/>
        <w:t>If the Court strikes out a count under subrule</w:t>
      </w:r>
      <w:r w:rsidR="00C42A0C" w:rsidRPr="00B40A77">
        <w:rPr>
          <w:rFonts w:cs="Times New Roman"/>
          <w:color w:val="000000" w:themeColor="text1"/>
        </w:rPr>
        <w:t> </w:t>
      </w:r>
      <w:r w:rsidRPr="00B40A77">
        <w:rPr>
          <w:rFonts w:cs="Times New Roman"/>
          <w:color w:val="000000" w:themeColor="text1"/>
        </w:rPr>
        <w:t xml:space="preserve">(1), it may if it thinks fit grant leave to file within a specified time a revised Information </w:t>
      </w:r>
      <w:r w:rsidRPr="00B40A77">
        <w:rPr>
          <w:color w:val="000000" w:themeColor="text1"/>
          <w:lang w:val="en-US"/>
        </w:rPr>
        <w:t>rectifying the matter that caused the count to be struck out</w:t>
      </w:r>
      <w:r w:rsidRPr="00B40A77">
        <w:rPr>
          <w:color w:val="000000" w:themeColor="text1"/>
        </w:rPr>
        <w:t>.</w:t>
      </w:r>
    </w:p>
    <w:p w14:paraId="6183FC77" w14:textId="60AF8FDB" w:rsidR="00EC438B" w:rsidRPr="00B40A77" w:rsidRDefault="003345E4" w:rsidP="00EC438B">
      <w:pPr>
        <w:pStyle w:val="Heading4"/>
        <w:rPr>
          <w:color w:val="000000" w:themeColor="text1"/>
        </w:rPr>
      </w:pPr>
      <w:bookmarkStart w:id="502" w:name="_Toc175238971"/>
      <w:r w:rsidRPr="00B40A77">
        <w:rPr>
          <w:color w:val="000000" w:themeColor="text1"/>
        </w:rPr>
        <w:t>6</w:t>
      </w:r>
      <w:r w:rsidR="000B150D" w:rsidRPr="00B40A77">
        <w:rPr>
          <w:color w:val="000000" w:themeColor="text1"/>
        </w:rPr>
        <w:t>4</w:t>
      </w:r>
      <w:r w:rsidR="00747935" w:rsidRPr="00B40A77">
        <w:rPr>
          <w:color w:val="000000" w:themeColor="text1"/>
        </w:rPr>
        <w:t>.</w:t>
      </w:r>
      <w:r w:rsidR="00F65BB0" w:rsidRPr="00B40A77">
        <w:rPr>
          <w:color w:val="000000" w:themeColor="text1"/>
        </w:rPr>
        <w:t>2</w:t>
      </w:r>
      <w:r w:rsidR="00EC438B" w:rsidRPr="00B40A77">
        <w:rPr>
          <w:color w:val="000000" w:themeColor="text1"/>
        </w:rPr>
        <w:t>—Challenge to offence category</w:t>
      </w:r>
      <w:bookmarkEnd w:id="502"/>
    </w:p>
    <w:p w14:paraId="1F794B55" w14:textId="6B2EEB98" w:rsidR="00EC438B" w:rsidRPr="00B40A77" w:rsidRDefault="00EC438B" w:rsidP="00EC438B">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r>
      <w:r w:rsidR="00B82D38" w:rsidRPr="00B40A77">
        <w:rPr>
          <w:color w:val="000000" w:themeColor="text1"/>
        </w:rPr>
        <w:t>A challenge under section 5(8) of the Procedure Act must be made</w:t>
      </w:r>
      <w:r w:rsidRPr="00B40A77">
        <w:rPr>
          <w:rFonts w:cs="Times New Roman"/>
          <w:color w:val="000000" w:themeColor="text1"/>
        </w:rPr>
        <w:t>—</w:t>
      </w:r>
    </w:p>
    <w:p w14:paraId="2C3BE45B" w14:textId="13BA8542" w:rsidR="00B82D38" w:rsidRPr="00B40A77" w:rsidRDefault="00B82D38" w:rsidP="00B82D38">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by an </w:t>
      </w:r>
      <w:r w:rsidR="00FA4048" w:rsidRPr="00B40A77">
        <w:rPr>
          <w:color w:val="000000" w:themeColor="text1"/>
          <w:lang w:val="en-US"/>
        </w:rPr>
        <w:t xml:space="preserve">interlocutory application </w:t>
      </w:r>
      <w:r w:rsidR="00336FCD" w:rsidRPr="00B40A77">
        <w:rPr>
          <w:color w:val="000000" w:themeColor="text1"/>
          <w:lang w:val="en-US"/>
        </w:rPr>
        <w:t xml:space="preserve">in accordance with </w:t>
      </w:r>
      <w:hyperlink w:anchor="_39.1—Written_application" w:history="1">
        <w:r w:rsidR="00336FCD" w:rsidRPr="00B40A77">
          <w:rPr>
            <w:rStyle w:val="Hyperlink"/>
            <w:color w:val="000000" w:themeColor="text1"/>
            <w:lang w:val="en-US"/>
          </w:rPr>
          <w:t>rule 39.1</w:t>
        </w:r>
      </w:hyperlink>
      <w:r w:rsidRPr="00B40A77">
        <w:rPr>
          <w:color w:val="000000" w:themeColor="text1"/>
          <w:lang w:val="en-US"/>
        </w:rPr>
        <w:t>; or</w:t>
      </w:r>
    </w:p>
    <w:p w14:paraId="1449FF3E" w14:textId="7596E7B3" w:rsidR="00B82D38" w:rsidRPr="00B40A77" w:rsidRDefault="00B82D38" w:rsidP="00B82D38">
      <w:pPr>
        <w:pStyle w:val="Doublehangindent"/>
        <w:rPr>
          <w:rFonts w:cs="Times New Roman"/>
          <w:color w:val="000000" w:themeColor="text1"/>
        </w:rPr>
      </w:pPr>
      <w:r w:rsidRPr="00B40A77">
        <w:rPr>
          <w:color w:val="000000" w:themeColor="text1"/>
          <w:lang w:val="en-US"/>
        </w:rPr>
        <w:t>(b)</w:t>
      </w:r>
      <w:r w:rsidRPr="00B40A77">
        <w:rPr>
          <w:color w:val="000000" w:themeColor="text1"/>
          <w:lang w:val="en-US"/>
        </w:rPr>
        <w:tab/>
        <w:t xml:space="preserve">by an application made orally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w:t>
      </w:r>
    </w:p>
    <w:p w14:paraId="1503EDB2" w14:textId="3943BD1B" w:rsidR="00EC438B" w:rsidRPr="00B40A77" w:rsidRDefault="00192844" w:rsidP="000E1987">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r>
      <w:r w:rsidRPr="00B40A77">
        <w:rPr>
          <w:color w:val="000000" w:themeColor="text1"/>
        </w:rPr>
        <w:t xml:space="preserve">A challenge must be made before the </w:t>
      </w:r>
      <w:r w:rsidR="00747935" w:rsidRPr="00B40A77">
        <w:rPr>
          <w:color w:val="000000" w:themeColor="text1"/>
        </w:rPr>
        <w:t>proceeding</w:t>
      </w:r>
      <w:r w:rsidRPr="00B40A77">
        <w:rPr>
          <w:color w:val="000000" w:themeColor="text1"/>
        </w:rPr>
        <w:t xml:space="preserve"> is </w:t>
      </w:r>
      <w:r w:rsidR="00B82D38" w:rsidRPr="00B40A77">
        <w:rPr>
          <w:color w:val="000000" w:themeColor="text1"/>
        </w:rPr>
        <w:t xml:space="preserve">listed for </w:t>
      </w:r>
      <w:hyperlink w:anchor="_2.1—Definitions" w:history="1">
        <w:r w:rsidR="00E46B25" w:rsidRPr="00B40A77">
          <w:rPr>
            <w:rStyle w:val="Hyperlink"/>
            <w:color w:val="000000" w:themeColor="text1"/>
            <w:lang w:val="en-US"/>
          </w:rPr>
          <w:t>trial</w:t>
        </w:r>
      </w:hyperlink>
      <w:r w:rsidR="00B82D38" w:rsidRPr="00B40A77">
        <w:rPr>
          <w:color w:val="000000" w:themeColor="text1"/>
        </w:rPr>
        <w:t>.</w:t>
      </w:r>
    </w:p>
    <w:p w14:paraId="55CE3772" w14:textId="7888EA16" w:rsidR="00F65BB0" w:rsidRPr="00B40A77" w:rsidRDefault="00F65BB0" w:rsidP="00F65BB0">
      <w:pPr>
        <w:pStyle w:val="Heading3"/>
        <w:rPr>
          <w:color w:val="000000" w:themeColor="text1"/>
        </w:rPr>
      </w:pPr>
      <w:bookmarkStart w:id="503" w:name="_Division_3—Better_particulars"/>
      <w:bookmarkStart w:id="504" w:name="_Toc175238972"/>
      <w:bookmarkEnd w:id="503"/>
      <w:r w:rsidRPr="00B40A77">
        <w:rPr>
          <w:color w:val="000000" w:themeColor="text1"/>
        </w:rPr>
        <w:t>Division 3—Better particulars</w:t>
      </w:r>
      <w:bookmarkEnd w:id="504"/>
    </w:p>
    <w:p w14:paraId="6332053A" w14:textId="37893ED6" w:rsidR="00F65BB0" w:rsidRPr="00B40A77" w:rsidRDefault="00F65BB0" w:rsidP="00F65BB0">
      <w:pPr>
        <w:pStyle w:val="Heading4"/>
        <w:rPr>
          <w:color w:val="000000" w:themeColor="text1"/>
        </w:rPr>
      </w:pPr>
      <w:bookmarkStart w:id="505" w:name="_Toc175238973"/>
      <w:r w:rsidRPr="00B40A77">
        <w:rPr>
          <w:color w:val="000000" w:themeColor="text1"/>
        </w:rPr>
        <w:t>64A.1—Better particulars</w:t>
      </w:r>
      <w:bookmarkEnd w:id="505"/>
    </w:p>
    <w:p w14:paraId="10FF62BB" w14:textId="77777777" w:rsidR="00F65BB0" w:rsidRPr="00B40A77" w:rsidRDefault="00F65BB0" w:rsidP="00F65BB0">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A defendant or youth may by written notice request better particulars of a count in an Information.</w:t>
      </w:r>
    </w:p>
    <w:p w14:paraId="307B5F8D" w14:textId="77777777" w:rsidR="00F65BB0" w:rsidRPr="00B40A77" w:rsidRDefault="00F65BB0" w:rsidP="00F65BB0">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 request for better particulars must be served within 28 days, or such other period as may be ordered by the Court, of service of the first Information containing the count the subject of the request.</w:t>
      </w:r>
    </w:p>
    <w:p w14:paraId="080D5FDF" w14:textId="1FF5CC44" w:rsidR="00F65BB0" w:rsidRPr="00B40A77" w:rsidRDefault="00F65BB0" w:rsidP="00F65BB0">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If the informant receives a notice under subrule</w:t>
      </w:r>
      <w:r w:rsidR="00C42A0C" w:rsidRPr="00B40A77">
        <w:rPr>
          <w:rFonts w:cs="Times New Roman"/>
          <w:color w:val="000000" w:themeColor="text1"/>
        </w:rPr>
        <w:t> </w:t>
      </w:r>
      <w:r w:rsidRPr="00B40A77">
        <w:rPr>
          <w:rFonts w:cs="Times New Roman"/>
          <w:color w:val="000000" w:themeColor="text1"/>
        </w:rPr>
        <w:t>(1) within the time specified in subrule (2), the informant must, within 14 days or such other period as may be ordered by the Court, provide a written response responding in respect of each request by either—</w:t>
      </w:r>
    </w:p>
    <w:p w14:paraId="0423919B" w14:textId="77777777" w:rsidR="00F65BB0" w:rsidRPr="00B40A77" w:rsidRDefault="00F65BB0" w:rsidP="00F65BB0">
      <w:pPr>
        <w:pStyle w:val="Doublehangindent"/>
        <w:rPr>
          <w:color w:val="000000" w:themeColor="text1"/>
        </w:rPr>
      </w:pPr>
      <w:r w:rsidRPr="00B40A77">
        <w:rPr>
          <w:color w:val="000000" w:themeColor="text1"/>
        </w:rPr>
        <w:t>(a)</w:t>
      </w:r>
      <w:r w:rsidRPr="00B40A77">
        <w:rPr>
          <w:color w:val="000000" w:themeColor="text1"/>
        </w:rPr>
        <w:tab/>
        <w:t xml:space="preserve">providing </w:t>
      </w:r>
      <w:r w:rsidRPr="00B40A77">
        <w:rPr>
          <w:rFonts w:cs="Times New Roman"/>
          <w:color w:val="000000" w:themeColor="text1"/>
        </w:rPr>
        <w:t>better</w:t>
      </w:r>
      <w:r w:rsidRPr="00B40A77">
        <w:rPr>
          <w:color w:val="000000" w:themeColor="text1"/>
        </w:rPr>
        <w:t xml:space="preserve"> particulars; </w:t>
      </w:r>
    </w:p>
    <w:p w14:paraId="6395A57F" w14:textId="64030891" w:rsidR="00F65BB0" w:rsidRPr="00B40A77" w:rsidRDefault="00F65BB0" w:rsidP="00F65BB0">
      <w:pPr>
        <w:pStyle w:val="Doublehangindent"/>
        <w:rPr>
          <w:color w:val="000000" w:themeColor="text1"/>
        </w:rPr>
      </w:pPr>
      <w:r w:rsidRPr="00B40A77">
        <w:rPr>
          <w:color w:val="000000" w:themeColor="text1"/>
        </w:rPr>
        <w:t>(b)</w:t>
      </w:r>
      <w:r w:rsidRPr="00B40A77">
        <w:rPr>
          <w:color w:val="000000" w:themeColor="text1"/>
        </w:rPr>
        <w:tab/>
        <w:t xml:space="preserve">offering to provide </w:t>
      </w:r>
      <w:r w:rsidRPr="00B40A77">
        <w:rPr>
          <w:rFonts w:cs="Times New Roman"/>
          <w:color w:val="000000" w:themeColor="text1"/>
        </w:rPr>
        <w:t>better</w:t>
      </w:r>
      <w:r w:rsidRPr="00B40A77">
        <w:rPr>
          <w:color w:val="000000" w:themeColor="text1"/>
        </w:rPr>
        <w:t xml:space="preserve"> particulars and indicating when they will be provided;</w:t>
      </w:r>
      <w:r w:rsidR="00BA143A" w:rsidRPr="00B40A77">
        <w:rPr>
          <w:color w:val="000000" w:themeColor="text1"/>
        </w:rPr>
        <w:t> </w:t>
      </w:r>
      <w:r w:rsidRPr="00B40A77">
        <w:rPr>
          <w:color w:val="000000" w:themeColor="text1"/>
        </w:rPr>
        <w:t>or</w:t>
      </w:r>
    </w:p>
    <w:p w14:paraId="7EFAF032" w14:textId="77777777" w:rsidR="00F65BB0" w:rsidRPr="00B40A77" w:rsidRDefault="00F65BB0" w:rsidP="00F65BB0">
      <w:pPr>
        <w:pStyle w:val="Doublehangindent"/>
        <w:rPr>
          <w:color w:val="000000" w:themeColor="text1"/>
        </w:rPr>
      </w:pPr>
      <w:r w:rsidRPr="00B40A77">
        <w:rPr>
          <w:color w:val="000000" w:themeColor="text1"/>
        </w:rPr>
        <w:t>(c)</w:t>
      </w:r>
      <w:r w:rsidRPr="00B40A77">
        <w:rPr>
          <w:color w:val="000000" w:themeColor="text1"/>
        </w:rPr>
        <w:tab/>
        <w:t xml:space="preserve">declining to provide </w:t>
      </w:r>
      <w:r w:rsidRPr="00B40A77">
        <w:rPr>
          <w:rFonts w:cs="Times New Roman"/>
          <w:color w:val="000000" w:themeColor="text1"/>
        </w:rPr>
        <w:t>better</w:t>
      </w:r>
      <w:r w:rsidRPr="00B40A77">
        <w:rPr>
          <w:color w:val="000000" w:themeColor="text1"/>
        </w:rPr>
        <w:t xml:space="preserve"> particulars.</w:t>
      </w:r>
    </w:p>
    <w:p w14:paraId="7BDDA00D" w14:textId="77777777" w:rsidR="00F65BB0" w:rsidRPr="00B40A77" w:rsidRDefault="00F65BB0" w:rsidP="00F65BB0">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t>The Court may order the informant to provide better particulars of a count by—</w:t>
      </w:r>
    </w:p>
    <w:p w14:paraId="00521687" w14:textId="77777777" w:rsidR="00F65BB0" w:rsidRPr="00B40A77" w:rsidRDefault="00F65BB0" w:rsidP="00F65BB0">
      <w:pPr>
        <w:pStyle w:val="Doublehangindent"/>
        <w:rPr>
          <w:color w:val="000000" w:themeColor="text1"/>
        </w:rPr>
      </w:pPr>
      <w:r w:rsidRPr="00B40A77">
        <w:rPr>
          <w:color w:val="000000" w:themeColor="text1"/>
        </w:rPr>
        <w:t>(a)</w:t>
      </w:r>
      <w:r w:rsidRPr="00B40A77">
        <w:rPr>
          <w:color w:val="000000" w:themeColor="text1"/>
        </w:rPr>
        <w:tab/>
        <w:t>filing and serving a revised Information containing such particulars; or</w:t>
      </w:r>
    </w:p>
    <w:p w14:paraId="6836D9A2" w14:textId="77777777" w:rsidR="00F65BB0" w:rsidRPr="00B40A77" w:rsidRDefault="00F65BB0" w:rsidP="00F65BB0">
      <w:pPr>
        <w:pStyle w:val="Doublehangindent"/>
        <w:rPr>
          <w:color w:val="000000" w:themeColor="text1"/>
        </w:rPr>
      </w:pPr>
      <w:r w:rsidRPr="00B40A77">
        <w:rPr>
          <w:color w:val="000000" w:themeColor="text1"/>
        </w:rPr>
        <w:t>(b)</w:t>
      </w:r>
      <w:r w:rsidRPr="00B40A77">
        <w:rPr>
          <w:color w:val="000000" w:themeColor="text1"/>
        </w:rPr>
        <w:tab/>
        <w:t>filing and serving a separate document containing such particulars.</w:t>
      </w:r>
    </w:p>
    <w:p w14:paraId="51904700" w14:textId="22DE79B7" w:rsidR="00B51746" w:rsidRPr="00B40A77" w:rsidRDefault="009C08CF" w:rsidP="00BE23A0">
      <w:pPr>
        <w:pStyle w:val="Heading2"/>
        <w:keepNext/>
        <w:rPr>
          <w:color w:val="000000" w:themeColor="text1"/>
        </w:rPr>
      </w:pPr>
      <w:bookmarkStart w:id="506" w:name="_Toc175238974"/>
      <w:r w:rsidRPr="00B40A77">
        <w:rPr>
          <w:color w:val="000000" w:themeColor="text1"/>
        </w:rPr>
        <w:t>Part 4</w:t>
      </w:r>
      <w:r w:rsidR="00B51746" w:rsidRPr="00B40A77">
        <w:rPr>
          <w:color w:val="000000" w:themeColor="text1"/>
        </w:rPr>
        <w:t>—</w:t>
      </w:r>
      <w:r w:rsidR="00A33AC3" w:rsidRPr="00B40A77">
        <w:rPr>
          <w:color w:val="000000" w:themeColor="text1"/>
        </w:rPr>
        <w:t>H</w:t>
      </w:r>
      <w:r w:rsidR="00C52B4A" w:rsidRPr="00B40A77">
        <w:rPr>
          <w:color w:val="000000" w:themeColor="text1"/>
        </w:rPr>
        <w:t>earings</w:t>
      </w:r>
      <w:r w:rsidR="006F230F" w:rsidRPr="00B40A77">
        <w:rPr>
          <w:color w:val="000000" w:themeColor="text1"/>
        </w:rPr>
        <w:t xml:space="preserve"> and applications</w:t>
      </w:r>
      <w:bookmarkEnd w:id="506"/>
    </w:p>
    <w:p w14:paraId="5533F925" w14:textId="742C447B" w:rsidR="006F230F" w:rsidRPr="00B40A77" w:rsidRDefault="006F230F" w:rsidP="006F230F">
      <w:pPr>
        <w:pStyle w:val="Heading3"/>
        <w:rPr>
          <w:color w:val="000000" w:themeColor="text1"/>
        </w:rPr>
      </w:pPr>
      <w:bookmarkStart w:id="507" w:name="_Toc175238975"/>
      <w:r w:rsidRPr="00B40A77">
        <w:rPr>
          <w:color w:val="000000" w:themeColor="text1"/>
        </w:rPr>
        <w:t>Division 1—Hearings</w:t>
      </w:r>
      <w:bookmarkEnd w:id="507"/>
    </w:p>
    <w:p w14:paraId="11D9DBA8" w14:textId="0E476DBB" w:rsidR="000E1987" w:rsidRPr="00B40A77" w:rsidRDefault="003345E4" w:rsidP="000E1987">
      <w:pPr>
        <w:pStyle w:val="Heading4"/>
        <w:rPr>
          <w:color w:val="000000" w:themeColor="text1"/>
        </w:rPr>
      </w:pPr>
      <w:bookmarkStart w:id="508" w:name="_Toc175238976"/>
      <w:r w:rsidRPr="00B40A77">
        <w:rPr>
          <w:color w:val="000000" w:themeColor="text1"/>
        </w:rPr>
        <w:t>6</w:t>
      </w:r>
      <w:r w:rsidR="0052134D" w:rsidRPr="00B40A77">
        <w:rPr>
          <w:color w:val="000000" w:themeColor="text1"/>
        </w:rPr>
        <w:t>5</w:t>
      </w:r>
      <w:r w:rsidR="009C08CF" w:rsidRPr="00B40A77">
        <w:rPr>
          <w:color w:val="000000" w:themeColor="text1"/>
        </w:rPr>
        <w:t>.1</w:t>
      </w:r>
      <w:r w:rsidR="00CE49BF" w:rsidRPr="00B40A77">
        <w:rPr>
          <w:color w:val="000000" w:themeColor="text1"/>
        </w:rPr>
        <w:t>—H</w:t>
      </w:r>
      <w:r w:rsidR="000E1987" w:rsidRPr="00B40A77">
        <w:rPr>
          <w:color w:val="000000" w:themeColor="text1"/>
        </w:rPr>
        <w:t>earing</w:t>
      </w:r>
      <w:r w:rsidR="00C877D1" w:rsidRPr="00B40A77">
        <w:rPr>
          <w:color w:val="000000" w:themeColor="text1"/>
        </w:rPr>
        <w:t>s</w:t>
      </w:r>
      <w:bookmarkEnd w:id="508"/>
    </w:p>
    <w:p w14:paraId="6DCC78CC" w14:textId="6E5B43D6" w:rsidR="000E1987" w:rsidRPr="00B40A77" w:rsidRDefault="000E1987" w:rsidP="000E1987">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In the normal course, the first </w:t>
      </w:r>
      <w:hyperlink w:anchor="_2.1—Definitions" w:history="1">
        <w:hyperlink w:anchor="_37.1—Application_of_Part" w:history="1">
          <w:r w:rsidR="00CE7A79" w:rsidRPr="00B40A77">
            <w:rPr>
              <w:rStyle w:val="Hyperlink"/>
              <w:color w:val="000000" w:themeColor="text1"/>
              <w:lang w:val="en-US"/>
            </w:rPr>
            <w:t>hearing</w:t>
          </w:r>
        </w:hyperlink>
      </w:hyperlink>
      <w:r w:rsidRPr="00B40A77">
        <w:rPr>
          <w:rFonts w:cs="Times New Roman"/>
          <w:color w:val="000000" w:themeColor="text1"/>
        </w:rPr>
        <w:t xml:space="preserve"> </w:t>
      </w:r>
      <w:r w:rsidR="00642508" w:rsidRPr="00B40A77">
        <w:rPr>
          <w:rFonts w:cs="Times New Roman"/>
          <w:color w:val="000000" w:themeColor="text1"/>
        </w:rPr>
        <w:t xml:space="preserve">of a proceeding initiated by a </w:t>
      </w:r>
      <w:r w:rsidR="00566151" w:rsidRPr="00B40A77">
        <w:rPr>
          <w:rFonts w:cs="Times New Roman"/>
          <w:color w:val="000000" w:themeColor="text1"/>
        </w:rPr>
        <w:t>F</w:t>
      </w:r>
      <w:r w:rsidR="00642508" w:rsidRPr="00B40A77">
        <w:rPr>
          <w:rFonts w:cs="Times New Roman"/>
          <w:color w:val="000000" w:themeColor="text1"/>
        </w:rPr>
        <w:t xml:space="preserve">orm 1 Information </w:t>
      </w:r>
      <w:r w:rsidR="00E3274D" w:rsidRPr="00B40A77">
        <w:rPr>
          <w:rFonts w:cs="Times New Roman"/>
          <w:color w:val="000000" w:themeColor="text1"/>
        </w:rPr>
        <w:t>L</w:t>
      </w:r>
      <w:r w:rsidR="00566151" w:rsidRPr="00B40A77">
        <w:rPr>
          <w:rFonts w:cs="Times New Roman"/>
          <w:color w:val="000000" w:themeColor="text1"/>
        </w:rPr>
        <w:t xml:space="preserve">ower </w:t>
      </w:r>
      <w:r w:rsidR="00E3274D" w:rsidRPr="00B40A77">
        <w:rPr>
          <w:rFonts w:cs="Times New Roman"/>
          <w:color w:val="000000" w:themeColor="text1"/>
        </w:rPr>
        <w:t>C</w:t>
      </w:r>
      <w:r w:rsidR="00566151" w:rsidRPr="00B40A77">
        <w:rPr>
          <w:rFonts w:cs="Times New Roman"/>
          <w:color w:val="000000" w:themeColor="text1"/>
        </w:rPr>
        <w:t xml:space="preserve">ourts </w:t>
      </w:r>
      <w:r w:rsidRPr="00B40A77">
        <w:rPr>
          <w:rFonts w:cs="Times New Roman"/>
          <w:color w:val="000000" w:themeColor="text1"/>
        </w:rPr>
        <w:t>will be listed</w:t>
      </w:r>
      <w:r w:rsidR="00642508" w:rsidRPr="00B40A77">
        <w:rPr>
          <w:rFonts w:cs="Times New Roman"/>
          <w:color w:val="000000" w:themeColor="text1"/>
        </w:rPr>
        <w:t xml:space="preserve"> as soon as practicable</w:t>
      </w:r>
      <w:r w:rsidRPr="00B40A77">
        <w:rPr>
          <w:rFonts w:cs="Times New Roman"/>
          <w:color w:val="000000" w:themeColor="text1"/>
        </w:rPr>
        <w:t>.</w:t>
      </w:r>
    </w:p>
    <w:p w14:paraId="12C9401D" w14:textId="2BA57B26" w:rsidR="00642508" w:rsidRPr="00B40A77" w:rsidRDefault="00642508" w:rsidP="00642508">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In the normal course, the first </w:t>
      </w:r>
      <w:hyperlink w:anchor="_2.1—Definitions" w:history="1">
        <w:hyperlink w:anchor="_37.1—Application_of_Part" w:history="1">
          <w:r w:rsidR="00CE7A79" w:rsidRPr="00B40A77">
            <w:rPr>
              <w:rStyle w:val="Hyperlink"/>
              <w:color w:val="000000" w:themeColor="text1"/>
              <w:lang w:val="en-US"/>
            </w:rPr>
            <w:t>hearing</w:t>
          </w:r>
        </w:hyperlink>
      </w:hyperlink>
      <w:r w:rsidRPr="00B40A77">
        <w:rPr>
          <w:rFonts w:cs="Times New Roman"/>
          <w:color w:val="000000" w:themeColor="text1"/>
        </w:rPr>
        <w:t xml:space="preserve"> of a proceeding initiated by a </w:t>
      </w:r>
      <w:r w:rsidR="00566151" w:rsidRPr="00B40A77">
        <w:rPr>
          <w:rFonts w:cs="Times New Roman"/>
          <w:color w:val="000000" w:themeColor="text1"/>
        </w:rPr>
        <w:t>F</w:t>
      </w:r>
      <w:r w:rsidRPr="00B40A77">
        <w:rPr>
          <w:rFonts w:cs="Times New Roman"/>
          <w:color w:val="000000" w:themeColor="text1"/>
        </w:rPr>
        <w:t>orm 2 Information</w:t>
      </w:r>
      <w:r w:rsidR="00566151" w:rsidRPr="00B40A77">
        <w:rPr>
          <w:rFonts w:cs="Times New Roman"/>
          <w:color w:val="000000" w:themeColor="text1"/>
        </w:rPr>
        <w:t xml:space="preserve"> and Summons </w:t>
      </w:r>
      <w:r w:rsidR="00E3274D" w:rsidRPr="00B40A77">
        <w:rPr>
          <w:rFonts w:cs="Times New Roman"/>
          <w:color w:val="000000" w:themeColor="text1"/>
        </w:rPr>
        <w:t>L</w:t>
      </w:r>
      <w:r w:rsidR="00566151" w:rsidRPr="00B40A77">
        <w:rPr>
          <w:rFonts w:cs="Times New Roman"/>
          <w:color w:val="000000" w:themeColor="text1"/>
        </w:rPr>
        <w:t xml:space="preserve">ower </w:t>
      </w:r>
      <w:r w:rsidR="00E3274D" w:rsidRPr="00B40A77">
        <w:rPr>
          <w:rFonts w:cs="Times New Roman"/>
          <w:color w:val="000000" w:themeColor="text1"/>
        </w:rPr>
        <w:t>C</w:t>
      </w:r>
      <w:r w:rsidR="00566151" w:rsidRPr="00B40A77">
        <w:rPr>
          <w:rFonts w:cs="Times New Roman"/>
          <w:color w:val="000000" w:themeColor="text1"/>
        </w:rPr>
        <w:t>ourts</w:t>
      </w:r>
      <w:r w:rsidRPr="00B40A77">
        <w:rPr>
          <w:rFonts w:cs="Times New Roman"/>
          <w:color w:val="000000" w:themeColor="text1"/>
        </w:rPr>
        <w:t xml:space="preserve"> will be listed several weeks after the Information is filed.</w:t>
      </w:r>
    </w:p>
    <w:p w14:paraId="1E76B220" w14:textId="2F55DA57" w:rsidR="00C52B4A" w:rsidRPr="00B40A77" w:rsidRDefault="00642508" w:rsidP="00642508">
      <w:pPr>
        <w:pStyle w:val="Hangindent"/>
        <w:rPr>
          <w:color w:val="000000" w:themeColor="text1"/>
          <w:lang w:val="en-US"/>
        </w:rPr>
      </w:pPr>
      <w:r w:rsidRPr="00B40A77">
        <w:rPr>
          <w:rFonts w:cs="Times New Roman"/>
          <w:color w:val="000000" w:themeColor="text1"/>
        </w:rPr>
        <w:t>(3</w:t>
      </w:r>
      <w:r w:rsidR="000E1987" w:rsidRPr="00B40A77">
        <w:rPr>
          <w:rFonts w:cs="Times New Roman"/>
          <w:color w:val="000000" w:themeColor="text1"/>
        </w:rPr>
        <w:t>)</w:t>
      </w:r>
      <w:r w:rsidR="000E1987" w:rsidRPr="00B40A77">
        <w:rPr>
          <w:rFonts w:cs="Times New Roman"/>
          <w:color w:val="000000" w:themeColor="text1"/>
        </w:rPr>
        <w:tab/>
      </w:r>
      <w:r w:rsidR="00EB0555" w:rsidRPr="00B40A77">
        <w:rPr>
          <w:color w:val="000000" w:themeColor="text1"/>
          <w:lang w:val="en-US"/>
        </w:rPr>
        <w:t>At</w:t>
      </w:r>
      <w:r w:rsidR="00C52B4A" w:rsidRPr="00B40A77">
        <w:rPr>
          <w:color w:val="000000" w:themeColor="text1"/>
          <w:lang w:val="en-US"/>
        </w:rPr>
        <w:t xml:space="preserve"> the </w:t>
      </w:r>
      <w:r w:rsidR="00EB0555" w:rsidRPr="00B40A77">
        <w:rPr>
          <w:rFonts w:cs="Times New Roman"/>
          <w:color w:val="000000" w:themeColor="text1"/>
        </w:rPr>
        <w:t xml:space="preserve">first </w:t>
      </w:r>
      <w:hyperlink w:anchor="_2.1—Definitions" w:history="1">
        <w:hyperlink w:anchor="_37.1—Application_of_Part" w:history="1">
          <w:r w:rsidR="00CE7A79" w:rsidRPr="00B40A77">
            <w:rPr>
              <w:rStyle w:val="Hyperlink"/>
              <w:color w:val="000000" w:themeColor="text1"/>
              <w:lang w:val="en-US"/>
            </w:rPr>
            <w:t>hearing</w:t>
          </w:r>
        </w:hyperlink>
      </w:hyperlink>
      <w:r w:rsidR="00EB0555" w:rsidRPr="00B40A77">
        <w:rPr>
          <w:rStyle w:val="Hyperlink"/>
          <w:rFonts w:cs="Times New Roman"/>
          <w:color w:val="000000" w:themeColor="text1"/>
          <w:u w:val="none"/>
        </w:rPr>
        <w:t xml:space="preserve"> or any subsequent </w:t>
      </w:r>
      <w:hyperlink w:anchor="_37.1—Application_of_Part" w:history="1">
        <w:r w:rsidR="00CE7A79" w:rsidRPr="00B40A77">
          <w:rPr>
            <w:rStyle w:val="Hyperlink"/>
            <w:color w:val="000000" w:themeColor="text1"/>
            <w:lang w:val="en-US"/>
          </w:rPr>
          <w:t>hearing</w:t>
        </w:r>
      </w:hyperlink>
      <w:r w:rsidR="00EB0555" w:rsidRPr="00B40A77">
        <w:rPr>
          <w:rStyle w:val="Hyperlink"/>
          <w:rFonts w:cs="Times New Roman"/>
          <w:color w:val="000000" w:themeColor="text1"/>
          <w:u w:val="none"/>
        </w:rPr>
        <w:t xml:space="preserve"> to which the </w:t>
      </w:r>
      <w:r w:rsidR="00C215FB" w:rsidRPr="00B40A77">
        <w:rPr>
          <w:rFonts w:cs="Times New Roman"/>
          <w:color w:val="000000" w:themeColor="text1"/>
        </w:rPr>
        <w:t>proceeding</w:t>
      </w:r>
      <w:r w:rsidR="00EB0555" w:rsidRPr="00B40A77">
        <w:rPr>
          <w:rStyle w:val="Hyperlink"/>
          <w:rFonts w:cs="Times New Roman"/>
          <w:color w:val="000000" w:themeColor="text1"/>
          <w:u w:val="none"/>
        </w:rPr>
        <w:t xml:space="preserve"> is adjourned, if a defendant or youth pleads guilty, the </w:t>
      </w:r>
      <w:r w:rsidR="00C52B4A" w:rsidRPr="00B40A77">
        <w:rPr>
          <w:color w:val="000000" w:themeColor="text1"/>
          <w:lang w:val="en-US"/>
        </w:rPr>
        <w:t>Court may</w:t>
      </w:r>
      <w:r w:rsidR="0022775D" w:rsidRPr="00B40A77">
        <w:rPr>
          <w:color w:val="000000" w:themeColor="text1"/>
          <w:lang w:val="en-US"/>
        </w:rPr>
        <w:t>, as it thinks fit</w:t>
      </w:r>
      <w:r w:rsidR="00C52B4A" w:rsidRPr="00B40A77">
        <w:rPr>
          <w:color w:val="000000" w:themeColor="text1"/>
        </w:rPr>
        <w:t>—</w:t>
      </w:r>
    </w:p>
    <w:p w14:paraId="3F7909B1" w14:textId="0BA615BF" w:rsidR="004255BC" w:rsidRPr="00B40A77" w:rsidRDefault="00EB0555" w:rsidP="00C52B4A">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22775D" w:rsidRPr="00B40A77">
        <w:rPr>
          <w:color w:val="000000" w:themeColor="text1"/>
          <w:lang w:val="en-US"/>
        </w:rPr>
        <w:t xml:space="preserve">accept the plea and </w:t>
      </w:r>
      <w:r w:rsidR="00C52B4A" w:rsidRPr="00B40A77">
        <w:rPr>
          <w:color w:val="000000" w:themeColor="text1"/>
          <w:lang w:val="en-US"/>
        </w:rPr>
        <w:t xml:space="preserve">hear </w:t>
      </w:r>
      <w:r w:rsidRPr="00B40A77">
        <w:rPr>
          <w:color w:val="000000" w:themeColor="text1"/>
          <w:lang w:val="en-US"/>
        </w:rPr>
        <w:t xml:space="preserve">sentencing submissions at that </w:t>
      </w:r>
      <w:hyperlink w:anchor="_37.1—Application_of_Part" w:history="1">
        <w:r w:rsidR="00CE7A79" w:rsidRPr="00B40A77">
          <w:rPr>
            <w:rStyle w:val="Hyperlink"/>
            <w:color w:val="000000" w:themeColor="text1"/>
            <w:lang w:val="en-US"/>
          </w:rPr>
          <w:t>hearing</w:t>
        </w:r>
      </w:hyperlink>
      <w:r w:rsidR="00EA06D7" w:rsidRPr="00B40A77">
        <w:rPr>
          <w:rStyle w:val="Hyperlink"/>
          <w:rFonts w:cs="Times New Roman"/>
          <w:color w:val="000000" w:themeColor="text1"/>
          <w:u w:val="none"/>
        </w:rPr>
        <w:t xml:space="preserve"> if the defe</w:t>
      </w:r>
      <w:r w:rsidR="00314BEA" w:rsidRPr="00B40A77">
        <w:rPr>
          <w:rStyle w:val="Hyperlink"/>
          <w:rFonts w:cs="Times New Roman"/>
          <w:color w:val="000000" w:themeColor="text1"/>
          <w:u w:val="none"/>
        </w:rPr>
        <w:t xml:space="preserve">ndant or youth can </w:t>
      </w:r>
      <w:r w:rsidR="00EA06D7" w:rsidRPr="00B40A77">
        <w:rPr>
          <w:rStyle w:val="Hyperlink"/>
          <w:rFonts w:cs="Times New Roman"/>
          <w:color w:val="000000" w:themeColor="text1"/>
          <w:u w:val="none"/>
        </w:rPr>
        <w:t>be sentenced by the Court</w:t>
      </w:r>
      <w:r w:rsidRPr="00B40A77">
        <w:rPr>
          <w:color w:val="000000" w:themeColor="text1"/>
          <w:lang w:val="en-US"/>
        </w:rPr>
        <w:t>;</w:t>
      </w:r>
      <w:r w:rsidR="00C52B4A" w:rsidRPr="00B40A77">
        <w:rPr>
          <w:color w:val="000000" w:themeColor="text1"/>
          <w:lang w:val="en-US"/>
        </w:rPr>
        <w:t xml:space="preserve"> </w:t>
      </w:r>
    </w:p>
    <w:p w14:paraId="4A9C2FC5" w14:textId="6353F7B6" w:rsidR="00C52B4A" w:rsidRPr="00B40A77" w:rsidRDefault="004255BC" w:rsidP="00C52B4A">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r>
      <w:r w:rsidR="0022775D" w:rsidRPr="00B40A77">
        <w:rPr>
          <w:color w:val="000000" w:themeColor="text1"/>
          <w:lang w:val="en-US"/>
        </w:rPr>
        <w:t xml:space="preserve">accept the plea and </w:t>
      </w:r>
      <w:r w:rsidRPr="00B40A77">
        <w:rPr>
          <w:color w:val="000000" w:themeColor="text1"/>
          <w:lang w:val="en-US"/>
        </w:rPr>
        <w:t xml:space="preserve">commit the defendant or youth to a </w:t>
      </w:r>
      <w:hyperlink w:anchor="_2.1—Definitions" w:history="1">
        <w:r w:rsidRPr="00B40A77">
          <w:rPr>
            <w:rStyle w:val="Hyperlink"/>
            <w:color w:val="000000" w:themeColor="text1"/>
            <w:lang w:val="en-US"/>
          </w:rPr>
          <w:t>Higher Court</w:t>
        </w:r>
      </w:hyperlink>
      <w:r w:rsidRPr="00B40A77">
        <w:rPr>
          <w:color w:val="000000" w:themeColor="text1"/>
          <w:lang w:val="en-US"/>
        </w:rPr>
        <w:t xml:space="preserve"> for </w:t>
      </w:r>
      <w:hyperlink w:anchor="_2.1—Definitions" w:history="1">
        <w:r w:rsidR="00596ADA" w:rsidRPr="00B40A77">
          <w:rPr>
            <w:rStyle w:val="Hyperlink"/>
            <w:color w:val="000000" w:themeColor="text1"/>
          </w:rPr>
          <w:t>sentence</w:t>
        </w:r>
      </w:hyperlink>
      <w:r w:rsidR="0022775D" w:rsidRPr="00B40A77">
        <w:rPr>
          <w:rStyle w:val="Hyperlink"/>
          <w:rFonts w:cs="Times New Roman"/>
          <w:color w:val="000000" w:themeColor="text1"/>
          <w:u w:val="none"/>
        </w:rPr>
        <w:t xml:space="preserve"> if the defendant or youth is to be sentenced by </w:t>
      </w:r>
      <w:r w:rsidR="0022775D" w:rsidRPr="00B40A77">
        <w:rPr>
          <w:color w:val="000000" w:themeColor="text1"/>
          <w:lang w:val="en-US"/>
        </w:rPr>
        <w:t xml:space="preserve">a </w:t>
      </w:r>
      <w:hyperlink w:anchor="_2.1—Definitions" w:history="1">
        <w:r w:rsidR="00E9233A" w:rsidRPr="00B40A77">
          <w:rPr>
            <w:rStyle w:val="Hyperlink"/>
            <w:color w:val="000000" w:themeColor="text1"/>
            <w:lang w:val="en-US"/>
          </w:rPr>
          <w:t>Higher Court</w:t>
        </w:r>
      </w:hyperlink>
      <w:r w:rsidRPr="00B40A77">
        <w:rPr>
          <w:color w:val="000000" w:themeColor="text1"/>
          <w:lang w:val="en-US"/>
        </w:rPr>
        <w:t>;</w:t>
      </w:r>
    </w:p>
    <w:p w14:paraId="522568CF" w14:textId="2752EC1E" w:rsidR="0022775D" w:rsidRPr="00B40A77" w:rsidRDefault="0022775D" w:rsidP="0022775D">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accept the plea and adjourn the matter to a subsequent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and give s</w:t>
      </w:r>
      <w:r w:rsidR="00F02006" w:rsidRPr="00B40A77">
        <w:rPr>
          <w:color w:val="000000" w:themeColor="text1"/>
          <w:lang w:val="en-US"/>
        </w:rPr>
        <w:t>uch directions as it thinks fit;</w:t>
      </w:r>
      <w:r w:rsidRPr="00B40A77">
        <w:rPr>
          <w:color w:val="000000" w:themeColor="text1"/>
          <w:lang w:val="en-US"/>
        </w:rPr>
        <w:t xml:space="preserve"> or</w:t>
      </w:r>
    </w:p>
    <w:p w14:paraId="1CB60701" w14:textId="3338FD10" w:rsidR="0022775D" w:rsidRPr="00B40A77" w:rsidRDefault="0022775D" w:rsidP="0022775D">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decline to accept the plea at that stage and adjourn the matter to a subsequent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and give such directions as it thinks fit.</w:t>
      </w:r>
    </w:p>
    <w:p w14:paraId="672DF1EF" w14:textId="50124B37" w:rsidR="00EA06D7" w:rsidRPr="00B40A77" w:rsidRDefault="00642508" w:rsidP="00EA06D7">
      <w:pPr>
        <w:pStyle w:val="Hangindent"/>
        <w:rPr>
          <w:color w:val="000000" w:themeColor="text1"/>
          <w:lang w:val="en-US"/>
        </w:rPr>
      </w:pPr>
      <w:r w:rsidRPr="00B40A77">
        <w:rPr>
          <w:color w:val="000000" w:themeColor="text1"/>
          <w:lang w:val="en-US"/>
        </w:rPr>
        <w:t>(4</w:t>
      </w:r>
      <w:r w:rsidR="00C52B4A" w:rsidRPr="00B40A77">
        <w:rPr>
          <w:color w:val="000000" w:themeColor="text1"/>
          <w:lang w:val="en-US"/>
        </w:rPr>
        <w:t>)</w:t>
      </w:r>
      <w:r w:rsidR="00C52B4A" w:rsidRPr="00B40A77">
        <w:rPr>
          <w:color w:val="000000" w:themeColor="text1"/>
          <w:lang w:val="en-US"/>
        </w:rPr>
        <w:tab/>
      </w:r>
      <w:r w:rsidR="00EA06D7" w:rsidRPr="00B40A77">
        <w:rPr>
          <w:color w:val="000000" w:themeColor="text1"/>
          <w:lang w:val="en-US"/>
        </w:rPr>
        <w:t xml:space="preserve">At the </w:t>
      </w:r>
      <w:r w:rsidR="00EA06D7" w:rsidRPr="00B40A77">
        <w:rPr>
          <w:rFonts w:cs="Times New Roman"/>
          <w:color w:val="000000" w:themeColor="text1"/>
        </w:rPr>
        <w:t xml:space="preserve">first </w:t>
      </w:r>
      <w:hyperlink w:anchor="_2.1—Definitions" w:history="1">
        <w:hyperlink w:anchor="_37.1—Application_of_Part" w:history="1">
          <w:r w:rsidR="00CE7A79" w:rsidRPr="00B40A77">
            <w:rPr>
              <w:rStyle w:val="Hyperlink"/>
              <w:color w:val="000000" w:themeColor="text1"/>
              <w:lang w:val="en-US"/>
            </w:rPr>
            <w:t>hearing</w:t>
          </w:r>
        </w:hyperlink>
      </w:hyperlink>
      <w:r w:rsidR="00EA06D7" w:rsidRPr="00B40A77">
        <w:rPr>
          <w:rStyle w:val="Hyperlink"/>
          <w:rFonts w:cs="Times New Roman"/>
          <w:color w:val="000000" w:themeColor="text1"/>
          <w:u w:val="none"/>
        </w:rPr>
        <w:t xml:space="preserve"> or any subsequent </w:t>
      </w:r>
      <w:hyperlink w:anchor="_37.1—Application_of_Part" w:history="1">
        <w:r w:rsidR="00CE7A79" w:rsidRPr="00B40A77">
          <w:rPr>
            <w:rStyle w:val="Hyperlink"/>
            <w:color w:val="000000" w:themeColor="text1"/>
            <w:lang w:val="en-US"/>
          </w:rPr>
          <w:t>hearing</w:t>
        </w:r>
      </w:hyperlink>
      <w:r w:rsidR="00EA06D7" w:rsidRPr="00B40A77">
        <w:rPr>
          <w:rStyle w:val="Hyperlink"/>
          <w:rFonts w:cs="Times New Roman"/>
          <w:color w:val="000000" w:themeColor="text1"/>
          <w:u w:val="none"/>
        </w:rPr>
        <w:t xml:space="preserve"> to which the matter is adjourned, if a defendant or youth does not plead guilty, the </w:t>
      </w:r>
      <w:r w:rsidR="00EA06D7" w:rsidRPr="00B40A77">
        <w:rPr>
          <w:color w:val="000000" w:themeColor="text1"/>
          <w:lang w:val="en-US"/>
        </w:rPr>
        <w:t>Court may</w:t>
      </w:r>
      <w:r w:rsidR="00EA06D7" w:rsidRPr="00B40A77">
        <w:rPr>
          <w:color w:val="000000" w:themeColor="text1"/>
        </w:rPr>
        <w:t>—</w:t>
      </w:r>
    </w:p>
    <w:p w14:paraId="094C3B28" w14:textId="68DC6F65" w:rsidR="00C52B4A" w:rsidRPr="00B40A77" w:rsidRDefault="00C52B4A" w:rsidP="00C52B4A">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EA06D7" w:rsidRPr="00B40A77">
        <w:rPr>
          <w:color w:val="000000" w:themeColor="text1"/>
          <w:lang w:val="en-US"/>
        </w:rPr>
        <w:t xml:space="preserve">give such directions as it thinks fit and adjourn the matter to a subsequent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w:t>
      </w:r>
      <w:r w:rsidR="00111F61" w:rsidRPr="00B40A77">
        <w:rPr>
          <w:color w:val="000000" w:themeColor="text1"/>
          <w:lang w:val="en-US"/>
        </w:rPr>
        <w:t xml:space="preserve"> </w:t>
      </w:r>
    </w:p>
    <w:p w14:paraId="53565CBF" w14:textId="6BAA5D8A" w:rsidR="00C52B4A" w:rsidRPr="00B40A77" w:rsidRDefault="002B1AF6" w:rsidP="002B1AF6">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111F61" w:rsidRPr="00B40A77">
        <w:rPr>
          <w:color w:val="000000" w:themeColor="text1"/>
          <w:lang w:val="en-US"/>
        </w:rPr>
        <w:t xml:space="preserve">if the matter is to be tried in the Court, </w:t>
      </w:r>
      <w:r w:rsidR="00CF3CF6" w:rsidRPr="00B40A77">
        <w:rPr>
          <w:color w:val="000000" w:themeColor="text1"/>
          <w:lang w:val="en-US"/>
        </w:rPr>
        <w:t xml:space="preserve">adjourn the matter to a </w:t>
      </w:r>
      <w:hyperlink w:anchor="_2.1—Definitions" w:history="1">
        <w:r w:rsidR="00012B38" w:rsidRPr="00B40A77">
          <w:rPr>
            <w:rStyle w:val="Hyperlink"/>
            <w:color w:val="000000" w:themeColor="text1"/>
            <w:lang w:val="en-US"/>
          </w:rPr>
          <w:t>pre-trial conference</w:t>
        </w:r>
      </w:hyperlink>
      <w:r w:rsidR="00111F61" w:rsidRPr="00B40A77">
        <w:rPr>
          <w:color w:val="000000" w:themeColor="text1"/>
          <w:lang w:val="en-US"/>
        </w:rPr>
        <w:t>; or</w:t>
      </w:r>
    </w:p>
    <w:p w14:paraId="605B70A5" w14:textId="76B31531" w:rsidR="00111F61" w:rsidRPr="00B40A77" w:rsidRDefault="00111F61" w:rsidP="002B1AF6">
      <w:pPr>
        <w:pStyle w:val="Doublehangindent"/>
        <w:rPr>
          <w:color w:val="000000" w:themeColor="text1"/>
        </w:rPr>
      </w:pPr>
      <w:r w:rsidRPr="00B40A77">
        <w:rPr>
          <w:color w:val="000000" w:themeColor="text1"/>
        </w:rPr>
        <w:t>(c)</w:t>
      </w:r>
      <w:r w:rsidRPr="00B40A77">
        <w:rPr>
          <w:color w:val="000000" w:themeColor="text1"/>
        </w:rPr>
        <w:tab/>
        <w:t>if the matter is not to be tried in the Court, list the matter for a</w:t>
      </w:r>
      <w:r w:rsidR="00D17DCD" w:rsidRPr="00B40A77">
        <w:rPr>
          <w:color w:val="000000" w:themeColor="text1"/>
        </w:rPr>
        <w:t xml:space="preserve"> hearing governed by Chapter 4 </w:t>
      </w:r>
      <w:r w:rsidR="004255BC" w:rsidRPr="00B40A77">
        <w:rPr>
          <w:color w:val="000000" w:themeColor="text1"/>
        </w:rPr>
        <w:t xml:space="preserve">and </w:t>
      </w:r>
      <w:r w:rsidR="004255BC" w:rsidRPr="00B40A77">
        <w:rPr>
          <w:color w:val="000000" w:themeColor="text1"/>
          <w:lang w:val="en-US"/>
        </w:rPr>
        <w:t>give such directions as it thinks fit</w:t>
      </w:r>
      <w:r w:rsidRPr="00B40A77">
        <w:rPr>
          <w:color w:val="000000" w:themeColor="text1"/>
        </w:rPr>
        <w:t>.</w:t>
      </w:r>
    </w:p>
    <w:p w14:paraId="2B99B3BD" w14:textId="074FA37E" w:rsidR="00C52B4A" w:rsidRPr="00B40A77" w:rsidRDefault="00C37557" w:rsidP="00C52B4A">
      <w:pPr>
        <w:pStyle w:val="Heading4"/>
        <w:rPr>
          <w:color w:val="000000" w:themeColor="text1"/>
        </w:rPr>
      </w:pPr>
      <w:bookmarkStart w:id="509" w:name="_Toc175238977"/>
      <w:bookmarkStart w:id="510" w:name="_Hlk71049440"/>
      <w:r w:rsidRPr="00B40A77">
        <w:rPr>
          <w:color w:val="000000" w:themeColor="text1"/>
        </w:rPr>
        <w:t>6</w:t>
      </w:r>
      <w:r w:rsidR="002D2B1F" w:rsidRPr="00B40A77">
        <w:rPr>
          <w:color w:val="000000" w:themeColor="text1"/>
        </w:rPr>
        <w:t>5</w:t>
      </w:r>
      <w:r w:rsidR="009B790B" w:rsidRPr="00B40A77">
        <w:rPr>
          <w:color w:val="000000" w:themeColor="text1"/>
        </w:rPr>
        <w:t>.2</w:t>
      </w:r>
      <w:r w:rsidR="00C52B4A" w:rsidRPr="00B40A77">
        <w:rPr>
          <w:color w:val="000000" w:themeColor="text1"/>
        </w:rPr>
        <w:t>—Attendance of parties</w:t>
      </w:r>
      <w:bookmarkEnd w:id="509"/>
    </w:p>
    <w:p w14:paraId="34D9737A" w14:textId="01D36DE6" w:rsidR="00E916FD" w:rsidRPr="00B40A77" w:rsidRDefault="00C52B4A" w:rsidP="00C52B4A">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E916FD" w:rsidRPr="00B40A77">
        <w:rPr>
          <w:color w:val="000000" w:themeColor="text1"/>
          <w:lang w:val="en-US"/>
        </w:rPr>
        <w:t xml:space="preserve">This rule does not apply to a </w:t>
      </w:r>
      <w:hyperlink w:anchor="_37.1—Application_of_Part" w:history="1">
        <w:r w:rsidR="00CE7A79" w:rsidRPr="00B40A77">
          <w:rPr>
            <w:rStyle w:val="Hyperlink"/>
            <w:color w:val="000000" w:themeColor="text1"/>
            <w:lang w:val="en-US"/>
          </w:rPr>
          <w:t>hearing</w:t>
        </w:r>
      </w:hyperlink>
      <w:r w:rsidR="00E916FD" w:rsidRPr="00B40A77">
        <w:rPr>
          <w:color w:val="000000" w:themeColor="text1"/>
          <w:lang w:val="en-US"/>
        </w:rPr>
        <w:t xml:space="preserve"> at which orders are made in the absence of the parties.</w:t>
      </w:r>
    </w:p>
    <w:p w14:paraId="42911DD8" w14:textId="272BC049" w:rsidR="00C52B4A" w:rsidRPr="00B40A77" w:rsidRDefault="00E916FD" w:rsidP="00C52B4A">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C52B4A" w:rsidRPr="00B40A77">
        <w:rPr>
          <w:color w:val="000000" w:themeColor="text1"/>
          <w:lang w:val="en-US"/>
        </w:rPr>
        <w:t xml:space="preserve">Unless the Court otherwise orders, the </w:t>
      </w:r>
      <w:r w:rsidR="004255BC" w:rsidRPr="00B40A77">
        <w:rPr>
          <w:color w:val="000000" w:themeColor="text1"/>
          <w:lang w:val="en-US"/>
        </w:rPr>
        <w:t xml:space="preserve">informant </w:t>
      </w:r>
      <w:r w:rsidR="00C52B4A" w:rsidRPr="00B40A77">
        <w:rPr>
          <w:color w:val="000000" w:themeColor="text1"/>
          <w:lang w:val="en-US"/>
        </w:rPr>
        <w:t>must attend (</w:t>
      </w:r>
      <w:r w:rsidR="001061E4" w:rsidRPr="00B40A77">
        <w:rPr>
          <w:color w:val="000000" w:themeColor="text1"/>
          <w:lang w:val="en-US"/>
        </w:rPr>
        <w:t>themselves</w:t>
      </w:r>
      <w:r w:rsidR="004255BC" w:rsidRPr="00B40A77">
        <w:rPr>
          <w:color w:val="000000" w:themeColor="text1"/>
          <w:lang w:val="en-US"/>
        </w:rPr>
        <w:t xml:space="preserve"> or by a lawyer) at a </w:t>
      </w:r>
      <w:hyperlink w:anchor="_37.1—Application_of_Part" w:history="1">
        <w:r w:rsidR="00CE7A79" w:rsidRPr="00B40A77">
          <w:rPr>
            <w:rStyle w:val="Hyperlink"/>
            <w:color w:val="000000" w:themeColor="text1"/>
            <w:lang w:val="en-US"/>
          </w:rPr>
          <w:t>hearing</w:t>
        </w:r>
      </w:hyperlink>
      <w:r w:rsidR="004255BC" w:rsidRPr="00B40A77">
        <w:rPr>
          <w:color w:val="000000" w:themeColor="text1"/>
          <w:lang w:val="en-US"/>
        </w:rPr>
        <w:t>.</w:t>
      </w:r>
      <w:r w:rsidR="00C52B4A" w:rsidRPr="00B40A77">
        <w:rPr>
          <w:color w:val="000000" w:themeColor="text1"/>
          <w:lang w:val="en-US"/>
        </w:rPr>
        <w:t xml:space="preserve"> </w:t>
      </w:r>
    </w:p>
    <w:p w14:paraId="3BDDF1F9" w14:textId="547C7F0C" w:rsidR="00C52B4A" w:rsidRPr="00B40A77" w:rsidRDefault="00C52B4A" w:rsidP="00C52B4A">
      <w:pPr>
        <w:pStyle w:val="Hangindent"/>
        <w:rPr>
          <w:color w:val="000000" w:themeColor="text1"/>
          <w:lang w:val="en-US"/>
        </w:rPr>
      </w:pPr>
      <w:r w:rsidRPr="00B40A77">
        <w:rPr>
          <w:color w:val="000000" w:themeColor="text1"/>
          <w:lang w:val="en-US"/>
        </w:rPr>
        <w:t>(</w:t>
      </w:r>
      <w:r w:rsidR="00E916FD" w:rsidRPr="00B40A77">
        <w:rPr>
          <w:color w:val="000000" w:themeColor="text1"/>
          <w:lang w:val="en-US"/>
        </w:rPr>
        <w:t>3</w:t>
      </w:r>
      <w:r w:rsidRPr="00B40A77">
        <w:rPr>
          <w:color w:val="000000" w:themeColor="text1"/>
          <w:lang w:val="en-US"/>
        </w:rPr>
        <w:t>)</w:t>
      </w:r>
      <w:r w:rsidRPr="00B40A77">
        <w:rPr>
          <w:color w:val="000000" w:themeColor="text1"/>
          <w:lang w:val="en-US"/>
        </w:rPr>
        <w:tab/>
        <w:t>Unless</w:t>
      </w:r>
      <w:r w:rsidR="004255BC" w:rsidRPr="00B40A77">
        <w:rPr>
          <w:color w:val="000000" w:themeColor="text1"/>
          <w:lang w:val="en-US"/>
        </w:rPr>
        <w:t xml:space="preserve"> the Court otherwise orders, a defendant</w:t>
      </w:r>
      <w:r w:rsidRPr="00B40A77">
        <w:rPr>
          <w:color w:val="000000" w:themeColor="text1"/>
          <w:lang w:val="en-US"/>
        </w:rPr>
        <w:t xml:space="preserve"> or </w:t>
      </w:r>
      <w:r w:rsidR="004255BC" w:rsidRPr="00B40A77">
        <w:rPr>
          <w:color w:val="000000" w:themeColor="text1"/>
          <w:lang w:val="en-US"/>
        </w:rPr>
        <w:t>youth</w:t>
      </w:r>
      <w:r w:rsidRPr="00B40A77">
        <w:rPr>
          <w:color w:val="000000" w:themeColor="text1"/>
          <w:lang w:val="en-US"/>
        </w:rPr>
        <w:t xml:space="preserve"> must attend (</w:t>
      </w:r>
      <w:r w:rsidR="001061E4" w:rsidRPr="00B40A77">
        <w:rPr>
          <w:color w:val="000000" w:themeColor="text1"/>
          <w:lang w:val="en-US"/>
        </w:rPr>
        <w:t xml:space="preserve">themselves </w:t>
      </w:r>
      <w:r w:rsidRPr="00B40A77">
        <w:rPr>
          <w:color w:val="000000" w:themeColor="text1"/>
          <w:lang w:val="en-US"/>
        </w:rPr>
        <w:t xml:space="preserve">or by a lawyer)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w:t>
      </w:r>
    </w:p>
    <w:p w14:paraId="32EB3EC8" w14:textId="4DA46ACB" w:rsidR="00ED6678" w:rsidRPr="00B40A77" w:rsidRDefault="00ED6678" w:rsidP="00ED6678">
      <w:pPr>
        <w:pStyle w:val="Hangindent"/>
        <w:rPr>
          <w:color w:val="000000" w:themeColor="text1"/>
        </w:rPr>
      </w:pPr>
      <w:r w:rsidRPr="00B40A77">
        <w:rPr>
          <w:color w:val="000000" w:themeColor="text1"/>
          <w:lang w:val="en-US"/>
        </w:rPr>
        <w:t>(</w:t>
      </w:r>
      <w:r w:rsidR="00E916FD" w:rsidRPr="00B40A77">
        <w:rPr>
          <w:color w:val="000000" w:themeColor="text1"/>
          <w:lang w:val="en-US"/>
        </w:rPr>
        <w:t>4</w:t>
      </w:r>
      <w:r w:rsidRPr="00B40A77">
        <w:rPr>
          <w:color w:val="000000" w:themeColor="text1"/>
          <w:lang w:val="en-US"/>
        </w:rPr>
        <w:t>)</w:t>
      </w:r>
      <w:r w:rsidRPr="00B40A77">
        <w:rPr>
          <w:color w:val="000000" w:themeColor="text1"/>
          <w:lang w:val="en-US"/>
        </w:rPr>
        <w:tab/>
      </w:r>
      <w:r w:rsidR="006E6B69" w:rsidRPr="00B40A77">
        <w:rPr>
          <w:color w:val="000000" w:themeColor="text1"/>
          <w:lang w:val="en-US"/>
        </w:rPr>
        <w:t>A</w:t>
      </w:r>
      <w:r w:rsidRPr="00B40A77">
        <w:rPr>
          <w:color w:val="000000" w:themeColor="text1"/>
          <w:lang w:val="en-US"/>
        </w:rPr>
        <w:t xml:space="preserve"> defendant or youth</w:t>
      </w:r>
      <w:r w:rsidRPr="00B40A77">
        <w:rPr>
          <w:color w:val="000000" w:themeColor="text1"/>
        </w:rPr>
        <w:t>—</w:t>
      </w:r>
    </w:p>
    <w:p w14:paraId="63C98F17" w14:textId="4722C7A0" w:rsidR="00ED6678" w:rsidRPr="00B40A77" w:rsidRDefault="00A701E0" w:rsidP="00A701E0">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ED6678" w:rsidRPr="00B40A77">
        <w:rPr>
          <w:color w:val="000000" w:themeColor="text1"/>
          <w:lang w:val="en-US"/>
        </w:rPr>
        <w:t xml:space="preserve">who is on bail—must attend in person at every </w:t>
      </w:r>
      <w:hyperlink w:anchor="_37.1—Application_of_Part" w:history="1">
        <w:r w:rsidR="00CE7A79" w:rsidRPr="00B40A77">
          <w:rPr>
            <w:rStyle w:val="Hyperlink"/>
            <w:color w:val="000000" w:themeColor="text1"/>
            <w:lang w:val="en-US"/>
          </w:rPr>
          <w:t>hearing</w:t>
        </w:r>
      </w:hyperlink>
      <w:r w:rsidR="006E6B69" w:rsidRPr="00B40A77">
        <w:rPr>
          <w:color w:val="000000" w:themeColor="text1"/>
          <w:lang w:val="en-US"/>
        </w:rPr>
        <w:t xml:space="preserve"> unless excused on application</w:t>
      </w:r>
      <w:r w:rsidR="00ED6678" w:rsidRPr="00B40A77">
        <w:rPr>
          <w:color w:val="000000" w:themeColor="text1"/>
          <w:lang w:val="en-US"/>
        </w:rPr>
        <w:t>;</w:t>
      </w:r>
    </w:p>
    <w:p w14:paraId="26E2D27A" w14:textId="6EF57D36" w:rsidR="00ED6678" w:rsidRPr="00B40A77" w:rsidRDefault="00A701E0" w:rsidP="00ED667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who is in custody—must attend in accordance with </w:t>
      </w:r>
      <w:hyperlink w:anchor="_38.3—Appearance_of_defendant" w:history="1">
        <w:r w:rsidRPr="00B40A77">
          <w:rPr>
            <w:rStyle w:val="Hyperlink"/>
            <w:color w:val="000000" w:themeColor="text1"/>
            <w:lang w:val="en-US"/>
          </w:rPr>
          <w:t>rule 3</w:t>
        </w:r>
        <w:r w:rsidR="0017513F" w:rsidRPr="00B40A77">
          <w:rPr>
            <w:rStyle w:val="Hyperlink"/>
            <w:color w:val="000000" w:themeColor="text1"/>
            <w:lang w:val="en-US"/>
          </w:rPr>
          <w:t>8</w:t>
        </w:r>
        <w:r w:rsidRPr="00B40A77">
          <w:rPr>
            <w:rStyle w:val="Hyperlink"/>
            <w:color w:val="000000" w:themeColor="text1"/>
            <w:lang w:val="en-US"/>
          </w:rPr>
          <w:t>.3</w:t>
        </w:r>
      </w:hyperlink>
      <w:r w:rsidRPr="00B40A77">
        <w:rPr>
          <w:color w:val="000000" w:themeColor="text1"/>
          <w:lang w:val="en-US"/>
        </w:rPr>
        <w:t xml:space="preserve"> and </w:t>
      </w:r>
      <w:hyperlink w:anchor="_38.4—Appearance_of_defendant" w:history="1">
        <w:r w:rsidR="007675D0" w:rsidRPr="00B40A77">
          <w:rPr>
            <w:rStyle w:val="Hyperlink"/>
            <w:color w:val="000000" w:themeColor="text1"/>
            <w:lang w:val="en-US"/>
          </w:rPr>
          <w:t>rule </w:t>
        </w:r>
        <w:r w:rsidRPr="00B40A77">
          <w:rPr>
            <w:rStyle w:val="Hyperlink"/>
            <w:color w:val="000000" w:themeColor="text1"/>
            <w:lang w:val="en-US"/>
          </w:rPr>
          <w:t>3</w:t>
        </w:r>
        <w:r w:rsidR="0017513F" w:rsidRPr="00B40A77">
          <w:rPr>
            <w:rStyle w:val="Hyperlink"/>
            <w:color w:val="000000" w:themeColor="text1"/>
            <w:lang w:val="en-US"/>
          </w:rPr>
          <w:t>8</w:t>
        </w:r>
        <w:r w:rsidRPr="00B40A77">
          <w:rPr>
            <w:rStyle w:val="Hyperlink"/>
            <w:color w:val="000000" w:themeColor="text1"/>
            <w:lang w:val="en-US"/>
          </w:rPr>
          <w:t>.4</w:t>
        </w:r>
      </w:hyperlink>
      <w:r w:rsidR="00161CD0" w:rsidRPr="00B40A77">
        <w:rPr>
          <w:color w:val="000000" w:themeColor="text1"/>
          <w:lang w:val="en-US"/>
        </w:rPr>
        <w:t xml:space="preserve"> unless excused on application</w:t>
      </w:r>
      <w:r w:rsidRPr="00B40A77">
        <w:rPr>
          <w:color w:val="000000" w:themeColor="text1"/>
          <w:lang w:val="en-US"/>
        </w:rPr>
        <w:t>;</w:t>
      </w:r>
      <w:r w:rsidR="00964767" w:rsidRPr="00B40A77">
        <w:rPr>
          <w:color w:val="000000" w:themeColor="text1"/>
          <w:lang w:val="en-US"/>
        </w:rPr>
        <w:t xml:space="preserve"> or</w:t>
      </w:r>
    </w:p>
    <w:p w14:paraId="1CC6B49E" w14:textId="2F5C6BA9" w:rsidR="00A701E0" w:rsidRPr="00B40A77" w:rsidRDefault="00A701E0" w:rsidP="00ED6678">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who is not on bail or in custody—must attend at a </w:t>
      </w:r>
      <w:hyperlink w:anchor="_2.1—Definitions" w:history="1">
        <w:r w:rsidR="00E46B25" w:rsidRPr="00B40A77">
          <w:rPr>
            <w:rStyle w:val="Hyperlink"/>
            <w:color w:val="000000" w:themeColor="text1"/>
            <w:lang w:val="en-US"/>
          </w:rPr>
          <w:t>trial</w:t>
        </w:r>
      </w:hyperlink>
      <w:r w:rsidRPr="00B40A77">
        <w:rPr>
          <w:color w:val="000000" w:themeColor="text1"/>
          <w:lang w:val="en-US"/>
        </w:rPr>
        <w:t xml:space="preserve"> or </w:t>
      </w:r>
      <w:hyperlink w:anchor="_2.1—Definitions" w:history="1">
        <w:r w:rsidR="006D6EB8" w:rsidRPr="00B40A77">
          <w:rPr>
            <w:rStyle w:val="Hyperlink"/>
            <w:color w:val="000000" w:themeColor="text1"/>
          </w:rPr>
          <w:t>sentencing hearing</w:t>
        </w:r>
      </w:hyperlink>
      <w:r w:rsidR="00161CD0" w:rsidRPr="00B40A77">
        <w:rPr>
          <w:color w:val="000000" w:themeColor="text1"/>
          <w:lang w:val="en-US"/>
        </w:rPr>
        <w:t xml:space="preserve"> unless excused on application</w:t>
      </w:r>
      <w:r w:rsidRPr="00B40A77">
        <w:rPr>
          <w:color w:val="000000" w:themeColor="text1"/>
          <w:lang w:val="en-US"/>
        </w:rPr>
        <w:t>.</w:t>
      </w:r>
    </w:p>
    <w:p w14:paraId="79E215C4" w14:textId="6B2C1FD3" w:rsidR="0080667B" w:rsidRPr="00B40A77" w:rsidRDefault="00066ACD" w:rsidP="0080667B">
      <w:pPr>
        <w:pStyle w:val="Heading4"/>
        <w:rPr>
          <w:color w:val="000000" w:themeColor="text1"/>
        </w:rPr>
      </w:pPr>
      <w:bookmarkStart w:id="511" w:name="_Toc175238978"/>
      <w:bookmarkEnd w:id="510"/>
      <w:r w:rsidRPr="00B40A77">
        <w:rPr>
          <w:color w:val="000000" w:themeColor="text1"/>
        </w:rPr>
        <w:t>6</w:t>
      </w:r>
      <w:r w:rsidR="002D2B1F" w:rsidRPr="00B40A77">
        <w:rPr>
          <w:color w:val="000000" w:themeColor="text1"/>
        </w:rPr>
        <w:t>5</w:t>
      </w:r>
      <w:r w:rsidRPr="00B40A77">
        <w:rPr>
          <w:color w:val="000000" w:themeColor="text1"/>
        </w:rPr>
        <w:t>.3</w:t>
      </w:r>
      <w:r w:rsidR="0080667B" w:rsidRPr="00B40A77">
        <w:rPr>
          <w:color w:val="000000" w:themeColor="text1"/>
        </w:rPr>
        <w:t>—Priority proceedings</w:t>
      </w:r>
      <w:bookmarkEnd w:id="511"/>
    </w:p>
    <w:p w14:paraId="7169F41D" w14:textId="0B648C69" w:rsidR="0080667B" w:rsidRPr="00B40A77" w:rsidRDefault="0080667B" w:rsidP="00AB40C2">
      <w:pPr>
        <w:pStyle w:val="Hangindent"/>
        <w:ind w:left="567" w:firstLine="0"/>
        <w:rPr>
          <w:color w:val="000000" w:themeColor="text1"/>
          <w:szCs w:val="24"/>
          <w:lang w:val="en-US"/>
        </w:rPr>
      </w:pPr>
      <w:r w:rsidRPr="00B40A77">
        <w:rPr>
          <w:color w:val="000000" w:themeColor="text1"/>
          <w:szCs w:val="24"/>
          <w:lang w:val="en-US"/>
        </w:rPr>
        <w:t xml:space="preserve">If a proceeding is a </w:t>
      </w:r>
      <w:hyperlink w:anchor="_2.1—Definitions" w:history="1">
        <w:r w:rsidR="00732D46" w:rsidRPr="00B40A77">
          <w:rPr>
            <w:rStyle w:val="Hyperlink"/>
            <w:color w:val="000000" w:themeColor="text1"/>
            <w:szCs w:val="24"/>
            <w:lang w:val="en-US"/>
          </w:rPr>
          <w:t>priority proceeding</w:t>
        </w:r>
      </w:hyperlink>
      <w:r w:rsidR="00BB1656" w:rsidRPr="00B40A77">
        <w:rPr>
          <w:color w:val="000000" w:themeColor="text1"/>
          <w:szCs w:val="24"/>
          <w:lang w:val="en-US"/>
        </w:rPr>
        <w:t xml:space="preserve"> and the Information does not refer to the proceeding being a </w:t>
      </w:r>
      <w:hyperlink w:anchor="_2.1—Definitions" w:history="1">
        <w:r w:rsidR="00732D46" w:rsidRPr="00B40A77">
          <w:rPr>
            <w:rStyle w:val="Hyperlink"/>
            <w:color w:val="000000" w:themeColor="text1"/>
            <w:szCs w:val="24"/>
            <w:lang w:val="en-US"/>
          </w:rPr>
          <w:t>priority proceeding</w:t>
        </w:r>
      </w:hyperlink>
      <w:r w:rsidR="00066ACD" w:rsidRPr="00B40A77">
        <w:rPr>
          <w:color w:val="000000" w:themeColor="text1"/>
          <w:szCs w:val="24"/>
          <w:lang w:val="en-US"/>
        </w:rPr>
        <w:t>, the informant</w:t>
      </w:r>
      <w:r w:rsidRPr="00B40A77">
        <w:rPr>
          <w:color w:val="000000" w:themeColor="text1"/>
          <w:szCs w:val="24"/>
          <w:lang w:val="en-US"/>
        </w:rPr>
        <w:t xml:space="preserve"> must inform the Court at the </w:t>
      </w:r>
      <w:r w:rsidR="00066ACD" w:rsidRPr="00B40A77">
        <w:rPr>
          <w:color w:val="000000" w:themeColor="text1"/>
          <w:szCs w:val="24"/>
          <w:lang w:val="en-US"/>
        </w:rPr>
        <w:t xml:space="preserve">first </w:t>
      </w:r>
      <w:hyperlink w:anchor="_37.1—Application_of_Part" w:history="1">
        <w:r w:rsidR="00CE7A79" w:rsidRPr="00B40A77">
          <w:rPr>
            <w:rStyle w:val="Hyperlink"/>
            <w:color w:val="000000" w:themeColor="text1"/>
            <w:lang w:val="en-US"/>
          </w:rPr>
          <w:t>hearing</w:t>
        </w:r>
      </w:hyperlink>
      <w:r w:rsidRPr="00B40A77">
        <w:rPr>
          <w:color w:val="000000" w:themeColor="text1"/>
          <w:szCs w:val="24"/>
          <w:lang w:val="en-US"/>
        </w:rPr>
        <w:t>.</w:t>
      </w:r>
    </w:p>
    <w:p w14:paraId="64182016" w14:textId="77777777" w:rsidR="00E65E34" w:rsidRPr="00B40A77" w:rsidRDefault="00E65E34" w:rsidP="00E65E34">
      <w:pPr>
        <w:pStyle w:val="Heading4"/>
        <w:rPr>
          <w:color w:val="000000" w:themeColor="text1"/>
        </w:rPr>
      </w:pPr>
      <w:bookmarkStart w:id="512" w:name="_Toc122617688"/>
      <w:bookmarkStart w:id="513" w:name="_Toc175238979"/>
      <w:r w:rsidRPr="00B40A77">
        <w:rPr>
          <w:color w:val="000000" w:themeColor="text1"/>
        </w:rPr>
        <w:t>65.4—Documents for use at hearings</w:t>
      </w:r>
      <w:bookmarkEnd w:id="512"/>
      <w:bookmarkEnd w:id="513"/>
    </w:p>
    <w:p w14:paraId="0C93C5C2" w14:textId="4F605780" w:rsidR="00E65E34" w:rsidRPr="00B40A77" w:rsidRDefault="00E65E34" w:rsidP="00E65E34">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Unless the Court otherwise orders, an affidavit, report, reference or other document to be relied on at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must be provided to the Court and served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listed hearing date.</w:t>
      </w:r>
    </w:p>
    <w:p w14:paraId="1C166E2F" w14:textId="143641FC" w:rsidR="00E65E34" w:rsidRPr="00B40A77" w:rsidRDefault="00E65E34" w:rsidP="00E65E34">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Unless the Court otherwise orders, written submissions or a summary of argument to be relied on at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must be filed and served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listed hearing date.</w:t>
      </w:r>
    </w:p>
    <w:p w14:paraId="60F01335" w14:textId="77777777" w:rsidR="00E65E34" w:rsidRPr="00B40A77" w:rsidRDefault="00E65E34" w:rsidP="00E65E34">
      <w:pPr>
        <w:pStyle w:val="Heading4"/>
        <w:rPr>
          <w:color w:val="000000" w:themeColor="text1"/>
        </w:rPr>
      </w:pPr>
      <w:bookmarkStart w:id="514" w:name="_Toc122617689"/>
      <w:bookmarkStart w:id="515" w:name="_Toc175238980"/>
      <w:r w:rsidRPr="00B40A77">
        <w:rPr>
          <w:color w:val="000000" w:themeColor="text1"/>
        </w:rPr>
        <w:t>65.5—Con</w:t>
      </w:r>
      <w:bookmarkEnd w:id="514"/>
      <w:r w:rsidRPr="00B40A77">
        <w:rPr>
          <w:color w:val="000000" w:themeColor="text1"/>
        </w:rPr>
        <w:t>sent orders</w:t>
      </w:r>
      <w:bookmarkEnd w:id="515"/>
    </w:p>
    <w:p w14:paraId="751DBCCE" w14:textId="683DDDD9" w:rsidR="00E65E34" w:rsidRPr="00B40A77" w:rsidRDefault="00E65E34" w:rsidP="00E65E34">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Unless the Court otherwise orders, if the parties consent to an order to be made at or in lieu of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(including, without limitation, an order adjourning the hearing or </w:t>
      </w:r>
      <w:r w:rsidRPr="00B40A77">
        <w:rPr>
          <w:rFonts w:cs="Times New Roman"/>
          <w:color w:val="000000" w:themeColor="text1"/>
          <w:lang w:val="en-US"/>
        </w:rPr>
        <w:lastRenderedPageBreak/>
        <w:t xml:space="preserve">extending time to take a step in the proceeding), the terms of the consent order and   fact of the consent to the order must be communicated to the Court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hearing date.</w:t>
      </w:r>
    </w:p>
    <w:p w14:paraId="10E121E6" w14:textId="2874AA39" w:rsidR="00E65E34" w:rsidRPr="00B40A77" w:rsidRDefault="00E65E34" w:rsidP="00E65E34">
      <w:pPr>
        <w:pStyle w:val="Hangindent"/>
        <w:rPr>
          <w:color w:val="000000" w:themeColor="text1"/>
          <w:szCs w:val="24"/>
          <w:lang w:val="en-US"/>
        </w:rPr>
      </w:pPr>
      <w:r w:rsidRPr="00B40A77">
        <w:rPr>
          <w:rFonts w:cs="Times New Roman"/>
          <w:color w:val="000000" w:themeColor="text1"/>
          <w:lang w:val="en-US"/>
        </w:rPr>
        <w:t>(2)</w:t>
      </w:r>
      <w:r w:rsidRPr="00B40A77">
        <w:rPr>
          <w:rFonts w:cs="Times New Roman"/>
          <w:color w:val="000000" w:themeColor="text1"/>
          <w:lang w:val="en-US"/>
        </w:rPr>
        <w:tab/>
        <w:t xml:space="preserve">Unless the Court otherwise orders, if the parties wish to request an order in chambers in the absence of the parties adjourning a hearing, the request together with the reason for the request and the purpose of the proposed adjournment must be communicated to the Court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hearing date.</w:t>
      </w:r>
    </w:p>
    <w:p w14:paraId="31026D4C" w14:textId="4ADA04A8" w:rsidR="00CD3213" w:rsidRPr="00B40A77" w:rsidRDefault="00CD3213" w:rsidP="00CD3213">
      <w:pPr>
        <w:pStyle w:val="Heading3"/>
        <w:rPr>
          <w:color w:val="000000" w:themeColor="text1"/>
        </w:rPr>
      </w:pPr>
      <w:bookmarkStart w:id="516" w:name="_Division_2—Applications"/>
      <w:bookmarkStart w:id="517" w:name="_Toc175238981"/>
      <w:bookmarkStart w:id="518" w:name="_Toc60133544"/>
      <w:bookmarkEnd w:id="516"/>
      <w:r w:rsidRPr="00B40A77">
        <w:rPr>
          <w:color w:val="000000" w:themeColor="text1"/>
        </w:rPr>
        <w:t>Division 2—Applications</w:t>
      </w:r>
      <w:bookmarkEnd w:id="517"/>
    </w:p>
    <w:p w14:paraId="78E9567A" w14:textId="0B5D1B61" w:rsidR="00D55A2C" w:rsidRPr="00B40A77" w:rsidRDefault="006F230F" w:rsidP="00B87028">
      <w:pPr>
        <w:pStyle w:val="Heading4"/>
        <w:rPr>
          <w:color w:val="000000" w:themeColor="text1"/>
        </w:rPr>
      </w:pPr>
      <w:bookmarkStart w:id="519" w:name="_66.1—Time_for_making"/>
      <w:bookmarkStart w:id="520" w:name="_Toc175238982"/>
      <w:bookmarkEnd w:id="519"/>
      <w:r w:rsidRPr="00B40A77">
        <w:rPr>
          <w:color w:val="000000" w:themeColor="text1"/>
        </w:rPr>
        <w:t>6</w:t>
      </w:r>
      <w:r w:rsidR="00CD3213" w:rsidRPr="00B40A77">
        <w:rPr>
          <w:color w:val="000000" w:themeColor="text1"/>
        </w:rPr>
        <w:t>6.1</w:t>
      </w:r>
      <w:r w:rsidR="00D55A2C" w:rsidRPr="00B40A77">
        <w:rPr>
          <w:color w:val="000000" w:themeColor="text1"/>
        </w:rPr>
        <w:t>—Time for making certain applications</w:t>
      </w:r>
      <w:bookmarkEnd w:id="518"/>
      <w:bookmarkEnd w:id="520"/>
    </w:p>
    <w:p w14:paraId="6D5EF7B9" w14:textId="686FF92A" w:rsidR="00B35224" w:rsidRPr="00B40A77" w:rsidRDefault="00D55A2C" w:rsidP="00D55A2C">
      <w:pPr>
        <w:pStyle w:val="Hangindent"/>
        <w:rPr>
          <w:color w:val="000000" w:themeColor="text1"/>
          <w:lang w:val="en-US"/>
        </w:rPr>
      </w:pPr>
      <w:bookmarkStart w:id="521" w:name="_Hlk84931920"/>
      <w:r w:rsidRPr="00B40A77">
        <w:rPr>
          <w:color w:val="000000" w:themeColor="text1"/>
          <w:lang w:val="en-US"/>
        </w:rPr>
        <w:t>(1)</w:t>
      </w:r>
      <w:r w:rsidRPr="00B40A77">
        <w:rPr>
          <w:color w:val="000000" w:themeColor="text1"/>
          <w:lang w:val="en-US"/>
        </w:rPr>
        <w:tab/>
        <w:t>An application</w:t>
      </w:r>
      <w:r w:rsidR="00B35224" w:rsidRPr="00B40A77">
        <w:rPr>
          <w:color w:val="000000" w:themeColor="text1"/>
        </w:rPr>
        <w:t>—</w:t>
      </w:r>
    </w:p>
    <w:p w14:paraId="3869B27C" w14:textId="7762241B" w:rsidR="00B35224" w:rsidRPr="00B40A77" w:rsidRDefault="00B35224" w:rsidP="00B35224">
      <w:pPr>
        <w:pStyle w:val="Doublehangindent"/>
        <w:rPr>
          <w:color w:val="000000" w:themeColor="text1"/>
          <w:lang w:val="en-US"/>
        </w:rPr>
      </w:pPr>
      <w:r w:rsidRPr="00B40A77">
        <w:rPr>
          <w:color w:val="000000" w:themeColor="text1"/>
          <w:lang w:val="en-US"/>
        </w:rPr>
        <w:t>(a)</w:t>
      </w:r>
      <w:r w:rsidRPr="00B40A77">
        <w:rPr>
          <w:color w:val="000000" w:themeColor="text1"/>
          <w:lang w:val="en-US"/>
        </w:rPr>
        <w:tab/>
        <w:t>relating to joinder or severance or for separate trials;</w:t>
      </w:r>
    </w:p>
    <w:p w14:paraId="49F12420" w14:textId="77777777" w:rsidR="00B35224" w:rsidRPr="00B40A77" w:rsidRDefault="00B35224" w:rsidP="00B35224">
      <w:pPr>
        <w:pStyle w:val="Doublehangindent"/>
        <w:rPr>
          <w:color w:val="000000" w:themeColor="text1"/>
          <w:lang w:val="en-US"/>
        </w:rPr>
      </w:pPr>
      <w:r w:rsidRPr="00B40A77">
        <w:rPr>
          <w:color w:val="000000" w:themeColor="text1"/>
          <w:lang w:val="en-US"/>
        </w:rPr>
        <w:t>(b)</w:t>
      </w:r>
      <w:r w:rsidRPr="00B40A77">
        <w:rPr>
          <w:color w:val="000000" w:themeColor="text1"/>
          <w:lang w:val="en-US"/>
        </w:rPr>
        <w:tab/>
        <w:t>to quash or stay a proceeding;</w:t>
      </w:r>
    </w:p>
    <w:p w14:paraId="4303BABD" w14:textId="77777777" w:rsidR="00B35224" w:rsidRPr="00B40A77" w:rsidRDefault="00B35224" w:rsidP="00B35224">
      <w:pPr>
        <w:pStyle w:val="Doublehangindent"/>
        <w:rPr>
          <w:color w:val="000000" w:themeColor="text1"/>
          <w:lang w:val="en-US"/>
        </w:rPr>
      </w:pPr>
      <w:r w:rsidRPr="00B40A77">
        <w:rPr>
          <w:color w:val="000000" w:themeColor="text1"/>
          <w:lang w:val="en-US"/>
        </w:rPr>
        <w:t>(c)</w:t>
      </w:r>
      <w:r w:rsidRPr="00B40A77">
        <w:rPr>
          <w:color w:val="000000" w:themeColor="text1"/>
          <w:lang w:val="en-US"/>
        </w:rPr>
        <w:tab/>
        <w:t>relating to cross-admissibility of evidence;</w:t>
      </w:r>
    </w:p>
    <w:p w14:paraId="011FB9B5" w14:textId="3AA56C20" w:rsidR="00B35224" w:rsidRPr="00B40A77" w:rsidRDefault="00B35224" w:rsidP="00B35224">
      <w:pPr>
        <w:pStyle w:val="Doublehangindent"/>
        <w:rPr>
          <w:color w:val="000000" w:themeColor="text1"/>
          <w:lang w:val="en-US"/>
        </w:rPr>
      </w:pPr>
      <w:r w:rsidRPr="00B40A77">
        <w:rPr>
          <w:color w:val="000000" w:themeColor="text1"/>
          <w:lang w:val="en-US"/>
        </w:rPr>
        <w:t>(d)</w:t>
      </w:r>
      <w:r w:rsidRPr="00B40A77">
        <w:rPr>
          <w:color w:val="000000" w:themeColor="text1"/>
          <w:lang w:val="en-US"/>
        </w:rPr>
        <w:tab/>
        <w:t>relating to the legality of a search;</w:t>
      </w:r>
    </w:p>
    <w:p w14:paraId="39240E73" w14:textId="77777777" w:rsidR="00B35224" w:rsidRPr="00B40A77" w:rsidRDefault="00B35224" w:rsidP="00B35224">
      <w:pPr>
        <w:pStyle w:val="Doublehangindent"/>
        <w:rPr>
          <w:color w:val="000000" w:themeColor="text1"/>
          <w:lang w:val="en-US"/>
        </w:rPr>
      </w:pPr>
      <w:r w:rsidRPr="00B40A77">
        <w:rPr>
          <w:color w:val="000000" w:themeColor="text1"/>
          <w:lang w:val="en-US"/>
        </w:rPr>
        <w:t>(e)</w:t>
      </w:r>
      <w:r w:rsidRPr="00B40A77">
        <w:rPr>
          <w:color w:val="000000" w:themeColor="text1"/>
          <w:lang w:val="en-US"/>
        </w:rPr>
        <w:tab/>
        <w:t>relating to continuity of custody of exhibits;</w:t>
      </w:r>
    </w:p>
    <w:p w14:paraId="374B2660" w14:textId="3DD8CE26" w:rsidR="00B35224" w:rsidRPr="00B40A77" w:rsidRDefault="00B35224" w:rsidP="00B35224">
      <w:pPr>
        <w:pStyle w:val="Doublehangindent"/>
        <w:rPr>
          <w:color w:val="000000" w:themeColor="text1"/>
          <w:lang w:val="en-US"/>
        </w:rPr>
      </w:pPr>
      <w:r w:rsidRPr="00B40A77">
        <w:rPr>
          <w:color w:val="000000" w:themeColor="text1"/>
          <w:lang w:val="en-US"/>
        </w:rPr>
        <w:t>(f)</w:t>
      </w:r>
      <w:r w:rsidRPr="00B40A77">
        <w:rPr>
          <w:color w:val="000000" w:themeColor="text1"/>
          <w:lang w:val="en-US"/>
        </w:rPr>
        <w:tab/>
        <w:t>relating to the admissibility of other prosecution evidence;</w:t>
      </w:r>
    </w:p>
    <w:p w14:paraId="590BF296" w14:textId="6304899D" w:rsidR="00B35224" w:rsidRPr="00B40A77" w:rsidRDefault="00B35224" w:rsidP="00B35224">
      <w:pPr>
        <w:pStyle w:val="Doublehangindent"/>
        <w:rPr>
          <w:color w:val="000000" w:themeColor="text1"/>
          <w:lang w:val="en-US"/>
        </w:rPr>
      </w:pPr>
      <w:r w:rsidRPr="00B40A77">
        <w:rPr>
          <w:color w:val="000000" w:themeColor="text1"/>
          <w:lang w:val="en-US"/>
        </w:rPr>
        <w:t>(g)</w:t>
      </w:r>
      <w:r w:rsidRPr="00B40A77">
        <w:rPr>
          <w:color w:val="000000" w:themeColor="text1"/>
          <w:lang w:val="en-US"/>
        </w:rPr>
        <w:tab/>
        <w:t>raising any other point of law; or</w:t>
      </w:r>
    </w:p>
    <w:p w14:paraId="66CB4237" w14:textId="1EB30A3A" w:rsidR="00B35224" w:rsidRPr="00B40A77" w:rsidRDefault="00B35224" w:rsidP="00B35224">
      <w:pPr>
        <w:pStyle w:val="Doublehangindent"/>
        <w:rPr>
          <w:color w:val="000000" w:themeColor="text1"/>
          <w:lang w:val="en-US"/>
        </w:rPr>
      </w:pPr>
      <w:r w:rsidRPr="00B40A77">
        <w:rPr>
          <w:color w:val="000000" w:themeColor="text1"/>
          <w:lang w:val="en-US"/>
        </w:rPr>
        <w:t>(h)</w:t>
      </w:r>
      <w:r w:rsidRPr="00B40A77">
        <w:rPr>
          <w:color w:val="000000" w:themeColor="text1"/>
          <w:lang w:val="en-US"/>
        </w:rPr>
        <w:tab/>
        <w:t xml:space="preserve">for a </w:t>
      </w:r>
      <w:hyperlink w:anchor="_2.1—Definitions" w:history="1">
        <w:r w:rsidR="00732D46" w:rsidRPr="00B40A77">
          <w:rPr>
            <w:rStyle w:val="Hyperlink"/>
            <w:color w:val="000000" w:themeColor="text1"/>
            <w:lang w:val="en-US"/>
          </w:rPr>
          <w:t>pre-trial special hearing</w:t>
        </w:r>
      </w:hyperlink>
      <w:r w:rsidRPr="00B40A77">
        <w:rPr>
          <w:color w:val="000000" w:themeColor="text1"/>
          <w:lang w:val="en-US"/>
        </w:rPr>
        <w:t>,</w:t>
      </w:r>
    </w:p>
    <w:p w14:paraId="2AA77F2E" w14:textId="559C0B6A" w:rsidR="00D55A2C" w:rsidRPr="00B40A77" w:rsidRDefault="000C1DEF" w:rsidP="00B35224">
      <w:pPr>
        <w:pStyle w:val="Doublehangindent"/>
        <w:rPr>
          <w:color w:val="000000" w:themeColor="text1"/>
          <w:lang w:val="en-US"/>
        </w:rPr>
      </w:pPr>
      <w:r w:rsidRPr="00B40A77">
        <w:rPr>
          <w:color w:val="000000" w:themeColor="text1"/>
          <w:lang w:val="en-US"/>
        </w:rPr>
        <w:t>must</w:t>
      </w:r>
      <w:r w:rsidR="00D55A2C" w:rsidRPr="00B40A77">
        <w:rPr>
          <w:color w:val="000000" w:themeColor="text1"/>
          <w:lang w:val="en-US"/>
        </w:rPr>
        <w:t xml:space="preserve"> be </w:t>
      </w:r>
      <w:r w:rsidR="009C1032" w:rsidRPr="00B40A77">
        <w:rPr>
          <w:color w:val="000000" w:themeColor="text1"/>
          <w:lang w:val="en-US"/>
        </w:rPr>
        <w:t>made</w:t>
      </w:r>
      <w:r w:rsidR="00D55A2C" w:rsidRPr="00B40A77">
        <w:rPr>
          <w:color w:val="000000" w:themeColor="text1"/>
          <w:lang w:val="en-US"/>
        </w:rPr>
        <w:t xml:space="preserve"> </w:t>
      </w:r>
      <w:r w:rsidRPr="00B40A77">
        <w:rPr>
          <w:color w:val="000000" w:themeColor="text1"/>
          <w:lang w:val="en-US"/>
        </w:rPr>
        <w:t>at least</w:t>
      </w:r>
      <w:r w:rsidR="00F717AD" w:rsidRPr="00B40A77">
        <w:rPr>
          <w:color w:val="000000" w:themeColor="text1"/>
          <w:lang w:val="en-US"/>
        </w:rPr>
        <w:t xml:space="preserve"> 14</w:t>
      </w:r>
      <w:r w:rsidR="00D55A2C" w:rsidRPr="00B40A77">
        <w:rPr>
          <w:color w:val="000000" w:themeColor="text1"/>
          <w:lang w:val="en-US"/>
        </w:rPr>
        <w:t xml:space="preserve"> days before the </w:t>
      </w:r>
      <w:hyperlink w:anchor="_2.1—Definitions" w:history="1">
        <w:r w:rsidR="00F717AD" w:rsidRPr="00B40A77">
          <w:rPr>
            <w:rStyle w:val="Hyperlink"/>
            <w:color w:val="000000" w:themeColor="text1"/>
            <w:lang w:val="en-US"/>
          </w:rPr>
          <w:t>pre-trial conference date</w:t>
        </w:r>
      </w:hyperlink>
      <w:r w:rsidR="00B35224" w:rsidRPr="00B40A77">
        <w:rPr>
          <w:color w:val="000000" w:themeColor="text1"/>
          <w:lang w:val="en-US"/>
        </w:rPr>
        <w:t>.</w:t>
      </w:r>
    </w:p>
    <w:bookmarkEnd w:id="521"/>
    <w:p w14:paraId="4B0F1E40" w14:textId="5E6ED220" w:rsidR="00224A2A" w:rsidRPr="00B40A77" w:rsidRDefault="00224A2A" w:rsidP="00D55A2C">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application for admission of an audio visual record of evidence under section 13BA of the Evidence Act must be made by the </w:t>
      </w:r>
      <w:hyperlink w:anchor="_2.1—Definitions" w:history="1">
        <w:r w:rsidR="00012B38" w:rsidRPr="00B40A77">
          <w:rPr>
            <w:rStyle w:val="Hyperlink"/>
            <w:color w:val="000000" w:themeColor="text1"/>
            <w:lang w:val="en-US"/>
          </w:rPr>
          <w:t>pre-trial conference date</w:t>
        </w:r>
      </w:hyperlink>
      <w:r w:rsidR="007915A0" w:rsidRPr="00B40A77">
        <w:rPr>
          <w:color w:val="000000" w:themeColor="text1"/>
          <w:u w:val="single"/>
          <w:lang w:val="en-US"/>
        </w:rPr>
        <w:t>.</w:t>
      </w:r>
    </w:p>
    <w:p w14:paraId="48D07B45" w14:textId="324171FE" w:rsidR="00B35224" w:rsidRPr="00B40A77" w:rsidRDefault="00B35224" w:rsidP="00D55A2C">
      <w:pPr>
        <w:pStyle w:val="Hangindent"/>
        <w:rPr>
          <w:color w:val="000000" w:themeColor="text1"/>
          <w:lang w:val="en-US"/>
        </w:rPr>
      </w:pPr>
      <w:r w:rsidRPr="00B40A77">
        <w:rPr>
          <w:color w:val="000000" w:themeColor="text1"/>
          <w:lang w:val="en-US"/>
        </w:rPr>
        <w:t>(</w:t>
      </w:r>
      <w:r w:rsidR="00224A2A" w:rsidRPr="00B40A77">
        <w:rPr>
          <w:color w:val="000000" w:themeColor="text1"/>
          <w:lang w:val="en-US"/>
        </w:rPr>
        <w:t>3</w:t>
      </w:r>
      <w:r w:rsidR="00D55A2C" w:rsidRPr="00B40A77">
        <w:rPr>
          <w:color w:val="000000" w:themeColor="text1"/>
          <w:lang w:val="en-US"/>
        </w:rPr>
        <w:t>)</w:t>
      </w:r>
      <w:r w:rsidR="00D55A2C" w:rsidRPr="00B40A77">
        <w:rPr>
          <w:color w:val="000000" w:themeColor="text1"/>
          <w:lang w:val="en-US"/>
        </w:rPr>
        <w:tab/>
        <w:t>An application</w:t>
      </w:r>
      <w:r w:rsidRPr="00B40A77">
        <w:rPr>
          <w:color w:val="000000" w:themeColor="text1"/>
        </w:rPr>
        <w:t>—</w:t>
      </w:r>
    </w:p>
    <w:p w14:paraId="600D423C" w14:textId="5C7FEFB0" w:rsidR="00D55A2C" w:rsidRPr="00B40A77" w:rsidRDefault="00B35224" w:rsidP="00B35224">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D55A2C" w:rsidRPr="00B40A77">
        <w:rPr>
          <w:color w:val="000000" w:themeColor="text1"/>
          <w:lang w:val="en-US"/>
        </w:rPr>
        <w:t xml:space="preserve">for an order </w:t>
      </w:r>
      <w:r w:rsidR="003B169F" w:rsidRPr="00B40A77">
        <w:rPr>
          <w:color w:val="000000" w:themeColor="text1"/>
          <w:lang w:val="en-US"/>
        </w:rPr>
        <w:t>requir</w:t>
      </w:r>
      <w:r w:rsidR="00616C17" w:rsidRPr="00B40A77">
        <w:rPr>
          <w:color w:val="000000" w:themeColor="text1"/>
          <w:lang w:val="en-US"/>
        </w:rPr>
        <w:t>ing notice of intention to ad</w:t>
      </w:r>
      <w:r w:rsidR="003B169F" w:rsidRPr="00B40A77">
        <w:rPr>
          <w:color w:val="000000" w:themeColor="text1"/>
          <w:lang w:val="en-US"/>
        </w:rPr>
        <w:t>duce evidence</w:t>
      </w:r>
      <w:r w:rsidR="001649F5" w:rsidRPr="00B40A77">
        <w:rPr>
          <w:color w:val="000000" w:themeColor="text1"/>
          <w:lang w:val="en-US"/>
        </w:rPr>
        <w:t xml:space="preserve"> of a type referred to in </w:t>
      </w:r>
      <w:hyperlink w:anchor="_75.4—Alibi_evidence" w:history="1">
        <w:r w:rsidR="001649F5" w:rsidRPr="00B40A77">
          <w:rPr>
            <w:rStyle w:val="Hyperlink"/>
            <w:color w:val="000000" w:themeColor="text1"/>
            <w:lang w:val="en-US"/>
          </w:rPr>
          <w:t>rule</w:t>
        </w:r>
        <w:r w:rsidR="003B169F" w:rsidRPr="00B40A77">
          <w:rPr>
            <w:rStyle w:val="Hyperlink"/>
            <w:color w:val="000000" w:themeColor="text1"/>
            <w:lang w:val="en-US"/>
          </w:rPr>
          <w:t xml:space="preserve"> </w:t>
        </w:r>
        <w:r w:rsidR="00493244" w:rsidRPr="00B40A77">
          <w:rPr>
            <w:rStyle w:val="Hyperlink"/>
            <w:color w:val="000000" w:themeColor="text1"/>
            <w:lang w:val="en-US"/>
          </w:rPr>
          <w:t>75.4</w:t>
        </w:r>
      </w:hyperlink>
      <w:r w:rsidR="00FD6D9F" w:rsidRPr="00B40A77">
        <w:rPr>
          <w:color w:val="000000" w:themeColor="text1"/>
          <w:lang w:val="en-US"/>
        </w:rPr>
        <w:t>;</w:t>
      </w:r>
    </w:p>
    <w:p w14:paraId="53E3D65B" w14:textId="331B1984" w:rsidR="00430F28" w:rsidRPr="00B40A77" w:rsidRDefault="00FD6D9F" w:rsidP="007C220F">
      <w:pPr>
        <w:pStyle w:val="Doublehangindent"/>
        <w:rPr>
          <w:color w:val="000000" w:themeColor="text1"/>
          <w:lang w:val="en-US"/>
        </w:rPr>
      </w:pPr>
      <w:r w:rsidRPr="00B40A77">
        <w:rPr>
          <w:color w:val="000000" w:themeColor="text1"/>
          <w:lang w:val="en-US"/>
        </w:rPr>
        <w:t>(b</w:t>
      </w:r>
      <w:r w:rsidR="009C1032" w:rsidRPr="00B40A77">
        <w:rPr>
          <w:color w:val="000000" w:themeColor="text1"/>
          <w:lang w:val="en-US"/>
        </w:rPr>
        <w:t>)</w:t>
      </w:r>
      <w:r w:rsidR="009C1032" w:rsidRPr="00B40A77">
        <w:rPr>
          <w:color w:val="000000" w:themeColor="text1"/>
          <w:lang w:val="en-US"/>
        </w:rPr>
        <w:tab/>
        <w:t xml:space="preserve">for taking evidence outside </w:t>
      </w:r>
      <w:hyperlink w:anchor="_2.1—Definitions" w:history="1">
        <w:r w:rsidR="00AA6FCA" w:rsidRPr="00B40A77">
          <w:rPr>
            <w:rStyle w:val="Hyperlink"/>
            <w:color w:val="000000" w:themeColor="text1"/>
            <w:lang w:val="en-US"/>
          </w:rPr>
          <w:t>the State</w:t>
        </w:r>
      </w:hyperlink>
      <w:r w:rsidRPr="00B40A77">
        <w:rPr>
          <w:color w:val="000000" w:themeColor="text1"/>
          <w:lang w:val="en-US"/>
        </w:rPr>
        <w:t>;</w:t>
      </w:r>
      <w:r w:rsidR="00224A2A" w:rsidRPr="00B40A77">
        <w:rPr>
          <w:color w:val="000000" w:themeColor="text1"/>
          <w:lang w:val="en-US"/>
        </w:rPr>
        <w:t xml:space="preserve"> or</w:t>
      </w:r>
    </w:p>
    <w:p w14:paraId="15B9CC3A" w14:textId="14BBD189" w:rsidR="00FD6D9F" w:rsidRPr="00B40A77" w:rsidRDefault="00FD6D9F" w:rsidP="00B35224">
      <w:pPr>
        <w:pStyle w:val="Doublehangindent"/>
        <w:rPr>
          <w:color w:val="000000" w:themeColor="text1"/>
          <w:lang w:val="en-US"/>
        </w:rPr>
      </w:pPr>
      <w:r w:rsidRPr="00B40A77">
        <w:rPr>
          <w:color w:val="000000" w:themeColor="text1"/>
          <w:lang w:val="en-US"/>
        </w:rPr>
        <w:t>(</w:t>
      </w:r>
      <w:r w:rsidR="007C220F" w:rsidRPr="00B40A77">
        <w:rPr>
          <w:color w:val="000000" w:themeColor="text1"/>
          <w:lang w:val="en-US"/>
        </w:rPr>
        <w:t>c</w:t>
      </w:r>
      <w:r w:rsidR="00D55A2C" w:rsidRPr="00B40A77">
        <w:rPr>
          <w:color w:val="000000" w:themeColor="text1"/>
          <w:lang w:val="en-US"/>
        </w:rPr>
        <w:t>)</w:t>
      </w:r>
      <w:r w:rsidR="00D55A2C" w:rsidRPr="00B40A77">
        <w:rPr>
          <w:color w:val="000000" w:themeColor="text1"/>
          <w:lang w:val="en-US"/>
        </w:rPr>
        <w:tab/>
        <w:t xml:space="preserve">to adduce evidence or make submissions by </w:t>
      </w:r>
      <w:hyperlink w:anchor="_2.1—Definitions" w:history="1">
        <w:r w:rsidR="001D63F7" w:rsidRPr="00B40A77">
          <w:rPr>
            <w:rStyle w:val="Hyperlink"/>
            <w:color w:val="000000" w:themeColor="text1"/>
            <w:lang w:val="en-US"/>
          </w:rPr>
          <w:t>audio visual link</w:t>
        </w:r>
      </w:hyperlink>
      <w:r w:rsidR="00176DEB" w:rsidRPr="00B40A77">
        <w:rPr>
          <w:color w:val="000000" w:themeColor="text1"/>
          <w:lang w:val="en-US"/>
        </w:rPr>
        <w:t xml:space="preserve"> or </w:t>
      </w:r>
      <w:hyperlink w:anchor="_2.1—Definitions" w:history="1">
        <w:r w:rsidR="00176DEB" w:rsidRPr="00B40A77">
          <w:rPr>
            <w:rStyle w:val="Hyperlink"/>
            <w:color w:val="000000" w:themeColor="text1"/>
            <w:lang w:val="en-US"/>
          </w:rPr>
          <w:t>audio link</w:t>
        </w:r>
      </w:hyperlink>
      <w:r w:rsidRPr="00B40A77">
        <w:rPr>
          <w:color w:val="000000" w:themeColor="text1"/>
          <w:lang w:val="en-US"/>
        </w:rPr>
        <w:t>,</w:t>
      </w:r>
    </w:p>
    <w:p w14:paraId="77B2EA22" w14:textId="046235F6" w:rsidR="00D55A2C" w:rsidRPr="00B40A77" w:rsidRDefault="008A5AB1" w:rsidP="00B35224">
      <w:pPr>
        <w:pStyle w:val="Doublehangindent"/>
        <w:rPr>
          <w:color w:val="000000" w:themeColor="text1"/>
          <w:lang w:val="en-US"/>
        </w:rPr>
      </w:pPr>
      <w:r w:rsidRPr="00B40A77">
        <w:rPr>
          <w:color w:val="000000" w:themeColor="text1"/>
          <w:lang w:val="en-US"/>
        </w:rPr>
        <w:t>must be made at least</w:t>
      </w:r>
      <w:r w:rsidR="00D55A2C" w:rsidRPr="00B40A77">
        <w:rPr>
          <w:color w:val="000000" w:themeColor="text1"/>
          <w:lang w:val="en-US"/>
        </w:rPr>
        <w:t xml:space="preserve"> 28 days before the </w:t>
      </w:r>
      <w:hyperlink w:anchor="_2.1—Definitions" w:history="1">
        <w:r w:rsidR="004740A2" w:rsidRPr="00B40A77">
          <w:rPr>
            <w:rStyle w:val="Hyperlink"/>
            <w:color w:val="000000" w:themeColor="text1"/>
          </w:rPr>
          <w:t>trial date</w:t>
        </w:r>
      </w:hyperlink>
      <w:r w:rsidR="00D55A2C" w:rsidRPr="00B40A77">
        <w:rPr>
          <w:color w:val="000000" w:themeColor="text1"/>
          <w:lang w:val="en-US"/>
        </w:rPr>
        <w:t>.</w:t>
      </w:r>
    </w:p>
    <w:p w14:paraId="498EBF2D" w14:textId="46BCD2E4" w:rsidR="00D55A2C" w:rsidRPr="00B40A77" w:rsidRDefault="00430F28" w:rsidP="00D55A2C">
      <w:pPr>
        <w:pStyle w:val="Hangindent"/>
        <w:rPr>
          <w:color w:val="000000" w:themeColor="text1"/>
          <w:lang w:val="en-US"/>
        </w:rPr>
      </w:pPr>
      <w:r w:rsidRPr="00B40A77">
        <w:rPr>
          <w:color w:val="000000" w:themeColor="text1"/>
          <w:lang w:val="en-US"/>
        </w:rPr>
        <w:t>(</w:t>
      </w:r>
      <w:r w:rsidR="00224A2A" w:rsidRPr="00B40A77">
        <w:rPr>
          <w:color w:val="000000" w:themeColor="text1"/>
          <w:lang w:val="en-US"/>
        </w:rPr>
        <w:t>4</w:t>
      </w:r>
      <w:r w:rsidR="00D55A2C" w:rsidRPr="00B40A77">
        <w:rPr>
          <w:color w:val="000000" w:themeColor="text1"/>
          <w:lang w:val="en-US"/>
        </w:rPr>
        <w:t>)</w:t>
      </w:r>
      <w:r w:rsidR="00D55A2C" w:rsidRPr="00B40A77">
        <w:rPr>
          <w:color w:val="000000" w:themeColor="text1"/>
          <w:lang w:val="en-US"/>
        </w:rPr>
        <w:tab/>
        <w:t>An application for special arrangements for the protection of a witness under section</w:t>
      </w:r>
      <w:r w:rsidR="0017513F" w:rsidRPr="00B40A77">
        <w:rPr>
          <w:color w:val="000000" w:themeColor="text1"/>
          <w:lang w:val="en-US"/>
        </w:rPr>
        <w:t> </w:t>
      </w:r>
      <w:r w:rsidR="00D55A2C" w:rsidRPr="00B40A77">
        <w:rPr>
          <w:color w:val="000000" w:themeColor="text1"/>
          <w:lang w:val="en-US"/>
        </w:rPr>
        <w:t>13 or</w:t>
      </w:r>
      <w:r w:rsidR="00BA143A" w:rsidRPr="00B40A77">
        <w:rPr>
          <w:color w:val="000000" w:themeColor="text1"/>
          <w:lang w:val="en-US"/>
        </w:rPr>
        <w:t> </w:t>
      </w:r>
      <w:r w:rsidR="00D55A2C" w:rsidRPr="00B40A77">
        <w:rPr>
          <w:color w:val="000000" w:themeColor="text1"/>
          <w:lang w:val="en-US"/>
        </w:rPr>
        <w:t>13A</w:t>
      </w:r>
      <w:r w:rsidR="008A5AB1" w:rsidRPr="00B40A77">
        <w:rPr>
          <w:color w:val="000000" w:themeColor="text1"/>
          <w:lang w:val="en-US"/>
        </w:rPr>
        <w:t xml:space="preserve"> </w:t>
      </w:r>
      <w:r w:rsidR="00D55A2C" w:rsidRPr="00B40A77">
        <w:rPr>
          <w:color w:val="000000" w:themeColor="text1"/>
          <w:lang w:val="en-US"/>
        </w:rPr>
        <w:t xml:space="preserve">of the </w:t>
      </w:r>
      <w:r w:rsidR="00B82C47" w:rsidRPr="00B40A77">
        <w:rPr>
          <w:color w:val="000000" w:themeColor="text1"/>
          <w:lang w:val="en-US"/>
        </w:rPr>
        <w:t xml:space="preserve">Evidence Act </w:t>
      </w:r>
      <w:r w:rsidR="008A5AB1" w:rsidRPr="00B40A77">
        <w:rPr>
          <w:color w:val="000000" w:themeColor="text1"/>
          <w:lang w:val="en-US"/>
        </w:rPr>
        <w:t>must</w:t>
      </w:r>
      <w:r w:rsidR="00D55A2C" w:rsidRPr="00B40A77">
        <w:rPr>
          <w:color w:val="000000" w:themeColor="text1"/>
          <w:lang w:val="en-US"/>
        </w:rPr>
        <w:t xml:space="preserve"> be made </w:t>
      </w:r>
      <w:r w:rsidR="008A5AB1" w:rsidRPr="00B40A77">
        <w:rPr>
          <w:color w:val="000000" w:themeColor="text1"/>
          <w:lang w:val="en-US"/>
        </w:rPr>
        <w:t>at least</w:t>
      </w:r>
      <w:r w:rsidR="00D55A2C" w:rsidRPr="00B40A77">
        <w:rPr>
          <w:color w:val="000000" w:themeColor="text1"/>
          <w:lang w:val="en-US"/>
        </w:rPr>
        <w:t xml:space="preserve"> 14 days before the </w:t>
      </w:r>
      <w:hyperlink w:anchor="_2.1—Definitions" w:history="1">
        <w:r w:rsidR="004740A2" w:rsidRPr="00B40A77">
          <w:rPr>
            <w:rStyle w:val="Hyperlink"/>
            <w:color w:val="000000" w:themeColor="text1"/>
          </w:rPr>
          <w:t>trial date</w:t>
        </w:r>
      </w:hyperlink>
      <w:r w:rsidR="00D55A2C" w:rsidRPr="00B40A77">
        <w:rPr>
          <w:color w:val="000000" w:themeColor="text1"/>
          <w:lang w:val="en-US"/>
        </w:rPr>
        <w:t>.</w:t>
      </w:r>
    </w:p>
    <w:p w14:paraId="0448FDF7" w14:textId="170391F1" w:rsidR="00D55A2C" w:rsidRPr="00B40A77" w:rsidRDefault="00430F28" w:rsidP="00D55A2C">
      <w:pPr>
        <w:pStyle w:val="Hangindent"/>
        <w:rPr>
          <w:color w:val="000000" w:themeColor="text1"/>
          <w:lang w:val="en-US"/>
        </w:rPr>
      </w:pPr>
      <w:r w:rsidRPr="00B40A77">
        <w:rPr>
          <w:color w:val="000000" w:themeColor="text1"/>
          <w:lang w:val="en-US"/>
        </w:rPr>
        <w:t>(</w:t>
      </w:r>
      <w:r w:rsidR="00224A2A" w:rsidRPr="00B40A77">
        <w:rPr>
          <w:color w:val="000000" w:themeColor="text1"/>
          <w:lang w:val="en-US"/>
        </w:rPr>
        <w:t>5</w:t>
      </w:r>
      <w:r w:rsidR="00D55A2C" w:rsidRPr="00B40A77">
        <w:rPr>
          <w:color w:val="000000" w:themeColor="text1"/>
          <w:lang w:val="en-US"/>
        </w:rPr>
        <w:t>)</w:t>
      </w:r>
      <w:r w:rsidR="00D55A2C" w:rsidRPr="00B40A77">
        <w:rPr>
          <w:color w:val="000000" w:themeColor="text1"/>
          <w:lang w:val="en-US"/>
        </w:rPr>
        <w:tab/>
        <w:t>An</w:t>
      </w:r>
      <w:r w:rsidR="003C0ADD" w:rsidRPr="00B40A77">
        <w:rPr>
          <w:color w:val="000000" w:themeColor="text1"/>
          <w:lang w:val="en-US"/>
        </w:rPr>
        <w:t>y other</w:t>
      </w:r>
      <w:r w:rsidR="00D55A2C" w:rsidRPr="00B40A77">
        <w:rPr>
          <w:color w:val="000000" w:themeColor="text1"/>
          <w:lang w:val="en-US"/>
        </w:rPr>
        <w:t xml:space="preserve"> application </w:t>
      </w:r>
      <w:r w:rsidR="003C0ADD" w:rsidRPr="00B40A77">
        <w:rPr>
          <w:color w:val="000000" w:themeColor="text1"/>
          <w:lang w:val="en-US"/>
        </w:rPr>
        <w:t>to determine an</w:t>
      </w:r>
      <w:r w:rsidR="00D55A2C" w:rsidRPr="00B40A77">
        <w:rPr>
          <w:color w:val="000000" w:themeColor="text1"/>
          <w:lang w:val="en-US"/>
        </w:rPr>
        <w:t xml:space="preserve"> issue before the commencement of the </w:t>
      </w:r>
      <w:hyperlink w:anchor="_2.1—Definitions" w:history="1">
        <w:r w:rsidR="00E46B25" w:rsidRPr="00B40A77">
          <w:rPr>
            <w:rStyle w:val="Hyperlink"/>
            <w:color w:val="000000" w:themeColor="text1"/>
            <w:lang w:val="en-US"/>
          </w:rPr>
          <w:t>trial</w:t>
        </w:r>
      </w:hyperlink>
      <w:r w:rsidR="00D55A2C" w:rsidRPr="00B40A77">
        <w:rPr>
          <w:color w:val="000000" w:themeColor="text1"/>
          <w:lang w:val="en-US"/>
        </w:rPr>
        <w:t xml:space="preserve"> </w:t>
      </w:r>
      <w:r w:rsidR="003C0ADD" w:rsidRPr="00B40A77">
        <w:rPr>
          <w:color w:val="000000" w:themeColor="text1"/>
          <w:lang w:val="en-US"/>
        </w:rPr>
        <w:t>must</w:t>
      </w:r>
      <w:r w:rsidR="00D55A2C" w:rsidRPr="00B40A77">
        <w:rPr>
          <w:color w:val="000000" w:themeColor="text1"/>
          <w:lang w:val="en-US"/>
        </w:rPr>
        <w:t xml:space="preserve"> be </w:t>
      </w:r>
      <w:r w:rsidR="00B82C47" w:rsidRPr="00B40A77">
        <w:rPr>
          <w:color w:val="000000" w:themeColor="text1"/>
          <w:lang w:val="en-US"/>
        </w:rPr>
        <w:t>made</w:t>
      </w:r>
      <w:r w:rsidR="00D55A2C" w:rsidRPr="00B40A77">
        <w:rPr>
          <w:color w:val="000000" w:themeColor="text1"/>
          <w:lang w:val="en-US"/>
        </w:rPr>
        <w:t xml:space="preserve"> </w:t>
      </w:r>
      <w:r w:rsidR="003C0ADD" w:rsidRPr="00B40A77">
        <w:rPr>
          <w:color w:val="000000" w:themeColor="text1"/>
          <w:lang w:val="en-US"/>
        </w:rPr>
        <w:t>at least</w:t>
      </w:r>
      <w:r w:rsidR="00D55A2C" w:rsidRPr="00B40A77">
        <w:rPr>
          <w:color w:val="000000" w:themeColor="text1"/>
          <w:lang w:val="en-US"/>
        </w:rPr>
        <w:t xml:space="preserve"> 14 days before the </w:t>
      </w:r>
      <w:hyperlink w:anchor="_2.1—Definitions" w:history="1">
        <w:r w:rsidR="004740A2" w:rsidRPr="00B40A77">
          <w:rPr>
            <w:rStyle w:val="Hyperlink"/>
            <w:color w:val="000000" w:themeColor="text1"/>
          </w:rPr>
          <w:t>trial date</w:t>
        </w:r>
      </w:hyperlink>
      <w:r w:rsidR="00D55A2C" w:rsidRPr="00B40A77">
        <w:rPr>
          <w:color w:val="000000" w:themeColor="text1"/>
          <w:lang w:val="en-US"/>
        </w:rPr>
        <w:t>.</w:t>
      </w:r>
    </w:p>
    <w:p w14:paraId="231C1020" w14:textId="77777777" w:rsidR="00952C86" w:rsidRPr="00B40A77" w:rsidRDefault="00952C86" w:rsidP="00952C86">
      <w:pPr>
        <w:pStyle w:val="NoteHeader"/>
        <w:keepNext/>
        <w:rPr>
          <w:color w:val="000000" w:themeColor="text1"/>
        </w:rPr>
      </w:pPr>
      <w:r w:rsidRPr="00B40A77">
        <w:rPr>
          <w:color w:val="000000" w:themeColor="text1"/>
        </w:rPr>
        <w:t>Note—</w:t>
      </w:r>
    </w:p>
    <w:p w14:paraId="06A361C3" w14:textId="1CB54F36" w:rsidR="00952C86" w:rsidRPr="00B40A77" w:rsidRDefault="00952C86" w:rsidP="00952C86">
      <w:pPr>
        <w:pStyle w:val="NoteText"/>
        <w:ind w:left="1440"/>
        <w:rPr>
          <w:rStyle w:val="Hyperlink"/>
          <w:color w:val="000000" w:themeColor="text1"/>
        </w:rPr>
      </w:pPr>
      <w:hyperlink w:anchor="_66.1—Time_for_making" w:history="1">
        <w:r w:rsidRPr="00B40A77">
          <w:rPr>
            <w:rStyle w:val="Hyperlink"/>
            <w:color w:val="000000" w:themeColor="text1"/>
          </w:rPr>
          <w:t>Rule 39.1</w:t>
        </w:r>
      </w:hyperlink>
      <w:r w:rsidRPr="00B40A77">
        <w:rPr>
          <w:rStyle w:val="Hyperlink"/>
          <w:color w:val="000000" w:themeColor="text1"/>
        </w:rPr>
        <w:t>(7)</w:t>
      </w:r>
      <w:r w:rsidRPr="00B40A77">
        <w:rPr>
          <w:color w:val="000000" w:themeColor="text1"/>
        </w:rPr>
        <w:t xml:space="preserve"> also requires an interlocutory application to be filed and served at least 7 days before the </w:t>
      </w:r>
      <w:hyperlink w:anchor="_37.1—Application_of_Part" w:history="1">
        <w:r w:rsidRPr="00B40A77">
          <w:rPr>
            <w:rStyle w:val="Hyperlink"/>
            <w:color w:val="000000" w:themeColor="text1"/>
          </w:rPr>
          <w:t>hearing</w:t>
        </w:r>
      </w:hyperlink>
      <w:r w:rsidRPr="00B40A77">
        <w:rPr>
          <w:rStyle w:val="Hyperlink"/>
          <w:color w:val="000000" w:themeColor="text1"/>
        </w:rPr>
        <w:t xml:space="preserve"> at which the orders are to be sought.</w:t>
      </w:r>
    </w:p>
    <w:p w14:paraId="53FCEDB6" w14:textId="19B5DA85" w:rsidR="00952C86" w:rsidRPr="00B40A77" w:rsidRDefault="00952C86" w:rsidP="00D55A2C">
      <w:pPr>
        <w:pStyle w:val="Hangindent"/>
        <w:rPr>
          <w:color w:val="000000" w:themeColor="text1"/>
          <w:lang w:val="en-US"/>
        </w:rPr>
      </w:pPr>
    </w:p>
    <w:p w14:paraId="708CD67D" w14:textId="77777777" w:rsidR="00952C86" w:rsidRPr="00B40A77" w:rsidRDefault="00952C86" w:rsidP="00D55A2C">
      <w:pPr>
        <w:pStyle w:val="Hangindent"/>
        <w:rPr>
          <w:color w:val="000000" w:themeColor="text1"/>
          <w:lang w:val="en-US"/>
        </w:rPr>
      </w:pPr>
    </w:p>
    <w:p w14:paraId="6C3E4146" w14:textId="2841C9AE" w:rsidR="008A68D2" w:rsidRPr="00B40A77" w:rsidRDefault="00CD3213" w:rsidP="008A68D2">
      <w:pPr>
        <w:pStyle w:val="Heading3"/>
        <w:rPr>
          <w:color w:val="000000" w:themeColor="text1"/>
        </w:rPr>
      </w:pPr>
      <w:bookmarkStart w:id="522" w:name="_Toc175238983"/>
      <w:r w:rsidRPr="00B40A77">
        <w:rPr>
          <w:color w:val="000000" w:themeColor="text1"/>
        </w:rPr>
        <w:lastRenderedPageBreak/>
        <w:t>Division 3</w:t>
      </w:r>
      <w:r w:rsidR="008A68D2" w:rsidRPr="00B40A77">
        <w:rPr>
          <w:color w:val="000000" w:themeColor="text1"/>
        </w:rPr>
        <w:t xml:space="preserve">—Identification of potential mental </w:t>
      </w:r>
      <w:r w:rsidR="00AB40C2" w:rsidRPr="00B40A77">
        <w:rPr>
          <w:color w:val="000000" w:themeColor="text1"/>
        </w:rPr>
        <w:t xml:space="preserve">incapacity </w:t>
      </w:r>
      <w:r w:rsidR="008A68D2" w:rsidRPr="00B40A77">
        <w:rPr>
          <w:color w:val="000000" w:themeColor="text1"/>
        </w:rPr>
        <w:t>issues</w:t>
      </w:r>
      <w:bookmarkEnd w:id="522"/>
    </w:p>
    <w:p w14:paraId="2B5B1AA2" w14:textId="1C9B0A51" w:rsidR="008A68D2" w:rsidRPr="00B40A77" w:rsidRDefault="008A68D2" w:rsidP="008A68D2">
      <w:pPr>
        <w:pStyle w:val="Heading4"/>
        <w:rPr>
          <w:color w:val="000000" w:themeColor="text1"/>
        </w:rPr>
      </w:pPr>
      <w:bookmarkStart w:id="523" w:name="_Toc175238984"/>
      <w:r w:rsidRPr="00B40A77">
        <w:rPr>
          <w:color w:val="000000" w:themeColor="text1"/>
        </w:rPr>
        <w:t>6</w:t>
      </w:r>
      <w:r w:rsidR="007D17D2" w:rsidRPr="00B40A77">
        <w:rPr>
          <w:color w:val="000000" w:themeColor="text1"/>
        </w:rPr>
        <w:t>7</w:t>
      </w:r>
      <w:r w:rsidRPr="00B40A77">
        <w:rPr>
          <w:color w:val="000000" w:themeColor="text1"/>
        </w:rPr>
        <w:t>.1—Unfitness to stand trial</w:t>
      </w:r>
      <w:bookmarkEnd w:id="523"/>
    </w:p>
    <w:p w14:paraId="61198A99" w14:textId="72AC82BC" w:rsidR="008A68D2" w:rsidRPr="00B40A77" w:rsidRDefault="008A68D2" w:rsidP="008A68D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defendant or youth is represented by a lawyer and the lawyer has reason to believe that the defendant or youth may be </w:t>
      </w:r>
      <w:hyperlink w:anchor="_2.1—Definitions" w:history="1">
        <w:r w:rsidR="00E9233A" w:rsidRPr="00B40A77">
          <w:rPr>
            <w:rStyle w:val="Hyperlink"/>
            <w:color w:val="000000" w:themeColor="text1"/>
            <w:lang w:val="en-US"/>
          </w:rPr>
          <w:t>unfit to stand trial</w:t>
        </w:r>
      </w:hyperlink>
      <w:r w:rsidRPr="00B40A77">
        <w:rPr>
          <w:color w:val="000000" w:themeColor="text1"/>
          <w:lang w:val="en-US"/>
        </w:rPr>
        <w:t>, the lawyer must</w:t>
      </w:r>
      <w:r w:rsidRPr="00B40A77">
        <w:rPr>
          <w:color w:val="000000" w:themeColor="text1"/>
        </w:rPr>
        <w:t>—</w:t>
      </w:r>
    </w:p>
    <w:p w14:paraId="2BE6EFF1" w14:textId="5F20685F" w:rsidR="008A68D2" w:rsidRPr="00B40A77" w:rsidRDefault="008A68D2" w:rsidP="008A68D2">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w:t>
      </w:r>
      <w:r w:rsidR="009473F3" w:rsidRPr="00B40A77">
        <w:rPr>
          <w:color w:val="000000" w:themeColor="text1"/>
          <w:lang w:val="en-US"/>
        </w:rPr>
        <w:t xml:space="preserve">whether </w:t>
      </w:r>
      <w:r w:rsidRPr="00B40A77">
        <w:rPr>
          <w:color w:val="000000" w:themeColor="text1"/>
          <w:lang w:val="en-US"/>
        </w:rPr>
        <w:t>the defendant or youth</w:t>
      </w:r>
      <w:r w:rsidR="009473F3" w:rsidRPr="00B40A77">
        <w:rPr>
          <w:color w:val="000000" w:themeColor="text1"/>
          <w:lang w:val="en-US"/>
        </w:rPr>
        <w:t xml:space="preserve"> 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Pr="00B40A77">
        <w:rPr>
          <w:color w:val="000000" w:themeColor="text1"/>
          <w:lang w:val="en-US"/>
        </w:rPr>
        <w:t>; and</w:t>
      </w:r>
    </w:p>
    <w:p w14:paraId="558FBAA7" w14:textId="7950EAEF" w:rsidR="008A68D2" w:rsidRPr="00B40A77" w:rsidRDefault="008A68D2" w:rsidP="008A68D2">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w:t>
      </w:r>
      <w:r w:rsidR="009473F3" w:rsidRPr="00B40A77">
        <w:rPr>
          <w:color w:val="000000" w:themeColor="text1"/>
          <w:lang w:val="en-US"/>
        </w:rPr>
        <w:t xml:space="preserve">as soon as practicable </w:t>
      </w:r>
      <w:r w:rsidRPr="00B40A77">
        <w:rPr>
          <w:color w:val="000000" w:themeColor="text1"/>
          <w:lang w:val="en-US"/>
        </w:rPr>
        <w:t xml:space="preserve">that there is or may be an issue about </w:t>
      </w:r>
      <w:r w:rsidR="009473F3" w:rsidRPr="00B40A77">
        <w:rPr>
          <w:color w:val="000000" w:themeColor="text1"/>
          <w:lang w:val="en-US"/>
        </w:rPr>
        <w:t>whether the defendant or youth 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Pr="00B40A77">
        <w:rPr>
          <w:color w:val="000000" w:themeColor="text1"/>
          <w:lang w:val="en-US"/>
        </w:rPr>
        <w:t>.</w:t>
      </w:r>
    </w:p>
    <w:p w14:paraId="05F88B2A" w14:textId="2CEDE408" w:rsidR="008A68D2" w:rsidRPr="00B40A77" w:rsidRDefault="008A68D2" w:rsidP="008A68D2">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a defendant or youth not represented by a lawyer has doubt about their </w:t>
      </w:r>
      <w:r w:rsidRPr="00B40A77">
        <w:rPr>
          <w:color w:val="000000" w:themeColor="text1"/>
          <w:u w:val="single"/>
          <w:lang w:val="en-US"/>
        </w:rPr>
        <w:t>fitness to stand trial</w:t>
      </w:r>
      <w:r w:rsidRPr="00B40A77">
        <w:rPr>
          <w:color w:val="000000" w:themeColor="text1"/>
          <w:lang w:val="en-US"/>
        </w:rPr>
        <w:t xml:space="preserve">, they must inform the Court that there is or may be an issue about their </w:t>
      </w:r>
      <w:r w:rsidRPr="00B40A77">
        <w:rPr>
          <w:color w:val="000000" w:themeColor="text1"/>
          <w:u w:val="single"/>
          <w:lang w:val="en-US"/>
        </w:rPr>
        <w:t>fitness to stand trial</w:t>
      </w:r>
      <w:r w:rsidRPr="00B40A77">
        <w:rPr>
          <w:color w:val="000000" w:themeColor="text1"/>
          <w:lang w:val="en-US"/>
        </w:rPr>
        <w:t xml:space="preserve"> as soon as practicable.</w:t>
      </w:r>
    </w:p>
    <w:p w14:paraId="3D51CA58" w14:textId="3051DEA4" w:rsidR="000661D9" w:rsidRPr="00B40A77" w:rsidRDefault="000661D9" w:rsidP="008A68D2">
      <w:pPr>
        <w:pStyle w:val="Hangindent"/>
        <w:rPr>
          <w:color w:val="000000" w:themeColor="text1"/>
          <w:lang w:val="en-US"/>
        </w:rPr>
      </w:pPr>
      <w:r w:rsidRPr="00B40A77">
        <w:rPr>
          <w:color w:val="000000" w:themeColor="text1"/>
          <w:lang w:val="en-US"/>
        </w:rPr>
        <w:t>(3)</w:t>
      </w:r>
      <w:r w:rsidRPr="00B40A77">
        <w:rPr>
          <w:color w:val="000000" w:themeColor="text1"/>
          <w:lang w:val="en-US"/>
        </w:rPr>
        <w:tab/>
        <w:t>If the prosecution has doubt whether a defendant or youth 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Pr="00B40A77">
        <w:rPr>
          <w:color w:val="000000" w:themeColor="text1"/>
          <w:lang w:val="en-US"/>
        </w:rPr>
        <w:t xml:space="preserve">, they must inform the Court that there is or may be an issue about the defendant’s or youth’s </w:t>
      </w:r>
      <w:r w:rsidRPr="00B40A77">
        <w:rPr>
          <w:color w:val="000000" w:themeColor="text1"/>
          <w:u w:val="single"/>
          <w:lang w:val="en-US"/>
        </w:rPr>
        <w:t>fitness to stand trial</w:t>
      </w:r>
      <w:r w:rsidRPr="00B40A77">
        <w:rPr>
          <w:color w:val="000000" w:themeColor="text1"/>
          <w:lang w:val="en-US"/>
        </w:rPr>
        <w:t xml:space="preserve"> as soon as practicable.</w:t>
      </w:r>
    </w:p>
    <w:p w14:paraId="2AFF6C5A" w14:textId="40E65AEC" w:rsidR="008A68D2" w:rsidRPr="00B40A77" w:rsidRDefault="008A68D2" w:rsidP="008A68D2">
      <w:pPr>
        <w:pStyle w:val="Heading4"/>
        <w:rPr>
          <w:color w:val="000000" w:themeColor="text1"/>
        </w:rPr>
      </w:pPr>
      <w:bookmarkStart w:id="524" w:name="_Toc175238985"/>
      <w:r w:rsidRPr="00B40A77">
        <w:rPr>
          <w:color w:val="000000" w:themeColor="text1"/>
        </w:rPr>
        <w:t>6</w:t>
      </w:r>
      <w:r w:rsidR="007D17D2" w:rsidRPr="00B40A77">
        <w:rPr>
          <w:color w:val="000000" w:themeColor="text1"/>
        </w:rPr>
        <w:t>7</w:t>
      </w:r>
      <w:r w:rsidRPr="00B40A77">
        <w:rPr>
          <w:color w:val="000000" w:themeColor="text1"/>
        </w:rPr>
        <w:t>.2—Mental incompetence to commit offence</w:t>
      </w:r>
      <w:bookmarkEnd w:id="524"/>
    </w:p>
    <w:p w14:paraId="23EC84F9" w14:textId="4FD71152" w:rsidR="008A68D2" w:rsidRPr="00B40A77" w:rsidRDefault="008A68D2" w:rsidP="008A68D2">
      <w:pPr>
        <w:pStyle w:val="Hangindent"/>
        <w:rPr>
          <w:color w:val="000000" w:themeColor="text1"/>
          <w:lang w:val="en-US"/>
        </w:rPr>
      </w:pPr>
      <w:r w:rsidRPr="00B40A77">
        <w:rPr>
          <w:color w:val="000000" w:themeColor="text1"/>
          <w:lang w:val="en-US"/>
        </w:rPr>
        <w:t>(1)</w:t>
      </w:r>
      <w:r w:rsidRPr="00B40A77">
        <w:rPr>
          <w:color w:val="000000" w:themeColor="text1"/>
          <w:lang w:val="en-US"/>
        </w:rPr>
        <w:tab/>
        <w:t>If a defendant or youth is represented by a lawyer and the lawyer has reason to believe tha</w:t>
      </w:r>
      <w:r w:rsidR="00314BEA" w:rsidRPr="00B40A77">
        <w:rPr>
          <w:color w:val="000000" w:themeColor="text1"/>
          <w:lang w:val="en-US"/>
        </w:rPr>
        <w:t xml:space="preserve">t the defendant or youth may </w:t>
      </w:r>
      <w:r w:rsidRPr="00B40A77">
        <w:rPr>
          <w:color w:val="000000" w:themeColor="text1"/>
          <w:lang w:val="en-US"/>
        </w:rPr>
        <w:t xml:space="preserve">have been </w:t>
      </w:r>
      <w:hyperlink w:anchor="_2.1—Definitions" w:history="1">
        <w:r w:rsidR="005A680E" w:rsidRPr="00B40A77">
          <w:rPr>
            <w:rStyle w:val="Hyperlink"/>
            <w:color w:val="000000" w:themeColor="text1"/>
            <w:lang w:val="en-US"/>
          </w:rPr>
          <w:t>mentally incompetent</w:t>
        </w:r>
      </w:hyperlink>
      <w:r w:rsidRPr="00B40A77">
        <w:rPr>
          <w:color w:val="000000" w:themeColor="text1"/>
        </w:rPr>
        <w:t xml:space="preserve"> to commit an offence charged</w:t>
      </w:r>
      <w:r w:rsidRPr="00B40A77">
        <w:rPr>
          <w:color w:val="000000" w:themeColor="text1"/>
          <w:lang w:val="en-US"/>
        </w:rPr>
        <w:t>, the lawyer must</w:t>
      </w:r>
      <w:r w:rsidRPr="00B40A77">
        <w:rPr>
          <w:color w:val="000000" w:themeColor="text1"/>
        </w:rPr>
        <w:t>—</w:t>
      </w:r>
    </w:p>
    <w:p w14:paraId="43B61AD9" w14:textId="08C0452B" w:rsidR="008A68D2" w:rsidRPr="00B40A77" w:rsidRDefault="008A68D2" w:rsidP="008A68D2">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the </w:t>
      </w:r>
      <w:hyperlink w:anchor="_2.1—Definitions" w:history="1">
        <w:r w:rsidR="00175487" w:rsidRPr="00B40A77">
          <w:rPr>
            <w:rStyle w:val="Hyperlink"/>
            <w:color w:val="000000" w:themeColor="text1"/>
          </w:rPr>
          <w:t>mental competence</w:t>
        </w:r>
      </w:hyperlink>
      <w:r w:rsidRPr="00B40A77">
        <w:rPr>
          <w:color w:val="000000" w:themeColor="text1"/>
        </w:rPr>
        <w:t xml:space="preserve"> of </w:t>
      </w:r>
      <w:r w:rsidRPr="00B40A77">
        <w:rPr>
          <w:color w:val="000000" w:themeColor="text1"/>
          <w:lang w:val="en-US"/>
        </w:rPr>
        <w:t>the defendant or youth</w:t>
      </w:r>
      <w:r w:rsidRPr="00B40A77">
        <w:rPr>
          <w:color w:val="000000" w:themeColor="text1"/>
        </w:rPr>
        <w:t xml:space="preserve"> to commit the offence</w:t>
      </w:r>
      <w:r w:rsidRPr="00B40A77">
        <w:rPr>
          <w:color w:val="000000" w:themeColor="text1"/>
          <w:lang w:val="en-US"/>
        </w:rPr>
        <w:t>; and</w:t>
      </w:r>
    </w:p>
    <w:p w14:paraId="3C30E13B" w14:textId="532A35F2" w:rsidR="008A68D2" w:rsidRPr="00B40A77" w:rsidRDefault="008A68D2" w:rsidP="008A68D2">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that there is or may be an issue about the </w:t>
      </w:r>
      <w:hyperlink w:anchor="_2.1—Definitions" w:history="1">
        <w:r w:rsidR="00175487" w:rsidRPr="00B40A77">
          <w:rPr>
            <w:rStyle w:val="Hyperlink"/>
            <w:color w:val="000000" w:themeColor="text1"/>
          </w:rPr>
          <w:t>mental competence</w:t>
        </w:r>
      </w:hyperlink>
      <w:r w:rsidRPr="00B40A77">
        <w:rPr>
          <w:color w:val="000000" w:themeColor="text1"/>
        </w:rPr>
        <w:t xml:space="preserve"> of </w:t>
      </w:r>
      <w:r w:rsidRPr="00B40A77">
        <w:rPr>
          <w:color w:val="000000" w:themeColor="text1"/>
          <w:lang w:val="en-US"/>
        </w:rPr>
        <w:t>the defendant or youth</w:t>
      </w:r>
      <w:r w:rsidRPr="00B40A77">
        <w:rPr>
          <w:color w:val="000000" w:themeColor="text1"/>
        </w:rPr>
        <w:t xml:space="preserve"> to commit the offence</w:t>
      </w:r>
      <w:r w:rsidRPr="00B40A77">
        <w:rPr>
          <w:color w:val="000000" w:themeColor="text1"/>
          <w:lang w:val="en-US"/>
        </w:rPr>
        <w:t xml:space="preserve"> as soon as practicable.</w:t>
      </w:r>
    </w:p>
    <w:p w14:paraId="3A3D6B93" w14:textId="4903A7B9" w:rsidR="008A68D2" w:rsidRPr="00B40A77" w:rsidRDefault="008A68D2" w:rsidP="008A68D2">
      <w:pPr>
        <w:pStyle w:val="Hangindent"/>
        <w:rPr>
          <w:color w:val="000000" w:themeColor="text1"/>
          <w:lang w:val="en-US"/>
        </w:rPr>
      </w:pPr>
      <w:r w:rsidRPr="00B40A77">
        <w:rPr>
          <w:color w:val="000000" w:themeColor="text1"/>
          <w:lang w:val="en-US"/>
        </w:rPr>
        <w:t>(2)</w:t>
      </w:r>
      <w:r w:rsidRPr="00B40A77">
        <w:rPr>
          <w:color w:val="000000" w:themeColor="text1"/>
          <w:lang w:val="en-US"/>
        </w:rPr>
        <w:tab/>
        <w:t>If a</w:t>
      </w:r>
      <w:r w:rsidR="00566151" w:rsidRPr="00B40A77">
        <w:rPr>
          <w:color w:val="000000" w:themeColor="text1"/>
          <w:lang w:val="en-US"/>
        </w:rPr>
        <w:t>n unrepresented</w:t>
      </w:r>
      <w:r w:rsidRPr="00B40A77">
        <w:rPr>
          <w:color w:val="000000" w:themeColor="text1"/>
          <w:lang w:val="en-US"/>
        </w:rPr>
        <w:t xml:space="preserve"> defendant or youth has doubt about their </w:t>
      </w:r>
      <w:hyperlink w:anchor="_2.1—Definitions" w:history="1">
        <w:r w:rsidR="00175487" w:rsidRPr="00B40A77">
          <w:rPr>
            <w:rStyle w:val="Hyperlink"/>
            <w:color w:val="000000" w:themeColor="text1"/>
          </w:rPr>
          <w:t>mental competence</w:t>
        </w:r>
      </w:hyperlink>
      <w:r w:rsidRPr="00B40A77">
        <w:rPr>
          <w:color w:val="000000" w:themeColor="text1"/>
        </w:rPr>
        <w:t xml:space="preserve"> to commit an offence charged</w:t>
      </w:r>
      <w:r w:rsidRPr="00B40A77">
        <w:rPr>
          <w:color w:val="000000" w:themeColor="text1"/>
          <w:lang w:val="en-US"/>
        </w:rPr>
        <w:t xml:space="preserve">, they must inform the Court that there is or may be an issue about their </w:t>
      </w:r>
      <w:hyperlink w:anchor="_2.1—Definitions" w:history="1">
        <w:r w:rsidR="00175487" w:rsidRPr="00B40A77">
          <w:rPr>
            <w:rStyle w:val="Hyperlink"/>
            <w:color w:val="000000" w:themeColor="text1"/>
          </w:rPr>
          <w:t>mental competence</w:t>
        </w:r>
      </w:hyperlink>
      <w:r w:rsidRPr="00B40A77">
        <w:rPr>
          <w:color w:val="000000" w:themeColor="text1"/>
        </w:rPr>
        <w:t xml:space="preserve"> </w:t>
      </w:r>
      <w:r w:rsidRPr="00B40A77">
        <w:rPr>
          <w:color w:val="000000" w:themeColor="text1"/>
          <w:lang w:val="en-US"/>
        </w:rPr>
        <w:t>as soon as practicable.</w:t>
      </w:r>
    </w:p>
    <w:p w14:paraId="159C5A8B" w14:textId="2C4631AF" w:rsidR="00B9708D" w:rsidRPr="00B40A77" w:rsidRDefault="000661D9" w:rsidP="00B9708D">
      <w:pPr>
        <w:pStyle w:val="Hangindent"/>
        <w:rPr>
          <w:color w:val="000000" w:themeColor="text1"/>
          <w:lang w:val="en-US"/>
        </w:rPr>
      </w:pPr>
      <w:r w:rsidRPr="00B40A77">
        <w:rPr>
          <w:color w:val="000000" w:themeColor="text1"/>
          <w:lang w:val="en-US"/>
        </w:rPr>
        <w:t>(3)</w:t>
      </w:r>
      <w:r w:rsidRPr="00B40A77">
        <w:rPr>
          <w:color w:val="000000" w:themeColor="text1"/>
          <w:lang w:val="en-US"/>
        </w:rPr>
        <w:tab/>
        <w:t>If the prosecution has doubt whether a defendant or youth</w:t>
      </w:r>
      <w:r w:rsidR="00342354" w:rsidRPr="00B40A77">
        <w:rPr>
          <w:color w:val="000000" w:themeColor="text1"/>
          <w:lang w:val="en-US"/>
        </w:rPr>
        <w:t xml:space="preserve"> was</w:t>
      </w:r>
      <w:r w:rsidRPr="00B40A77">
        <w:rPr>
          <w:color w:val="000000" w:themeColor="text1"/>
          <w:lang w:val="en-US"/>
        </w:rPr>
        <w:t xml:space="preserve"> </w:t>
      </w:r>
      <w:r w:rsidR="00342354" w:rsidRPr="00B40A77">
        <w:rPr>
          <w:color w:val="000000" w:themeColor="text1"/>
          <w:u w:val="single"/>
          <w:lang w:val="en-US"/>
        </w:rPr>
        <w:t>mentally competent</w:t>
      </w:r>
      <w:r w:rsidR="00342354" w:rsidRPr="00B40A77">
        <w:rPr>
          <w:color w:val="000000" w:themeColor="text1"/>
          <w:lang w:val="en-US"/>
        </w:rPr>
        <w:t xml:space="preserve"> to commit an offence charged</w:t>
      </w:r>
      <w:r w:rsidRPr="00B40A77">
        <w:rPr>
          <w:color w:val="000000" w:themeColor="text1"/>
          <w:lang w:val="en-US"/>
        </w:rPr>
        <w:t xml:space="preserve">, they must inform the Court that there is or may be an issue about the defendant’s or youth’s </w:t>
      </w:r>
      <w:hyperlink w:anchor="_2.1—Definitions" w:history="1">
        <w:r w:rsidR="00175487" w:rsidRPr="00B40A77">
          <w:rPr>
            <w:rStyle w:val="Hyperlink"/>
            <w:color w:val="000000" w:themeColor="text1"/>
          </w:rPr>
          <w:t>mental competence</w:t>
        </w:r>
      </w:hyperlink>
      <w:r w:rsidR="00342354" w:rsidRPr="00B40A77">
        <w:rPr>
          <w:color w:val="000000" w:themeColor="text1"/>
          <w:lang w:val="en-US"/>
        </w:rPr>
        <w:t xml:space="preserve"> to commit the offence charged </w:t>
      </w:r>
      <w:r w:rsidRPr="00B40A77">
        <w:rPr>
          <w:color w:val="000000" w:themeColor="text1"/>
          <w:lang w:val="en-US"/>
        </w:rPr>
        <w:t>as soon as practicable.</w:t>
      </w:r>
      <w:bookmarkStart w:id="525" w:name="_Hlk80695403"/>
    </w:p>
    <w:p w14:paraId="220B3102" w14:textId="6338D04F" w:rsidR="00467606" w:rsidRPr="00B40A77" w:rsidRDefault="00467606" w:rsidP="00467606">
      <w:pPr>
        <w:pStyle w:val="Heading4"/>
        <w:rPr>
          <w:color w:val="000000" w:themeColor="text1"/>
        </w:rPr>
      </w:pPr>
      <w:bookmarkStart w:id="526" w:name="_Toc175238986"/>
      <w:r w:rsidRPr="00B40A77">
        <w:rPr>
          <w:color w:val="000000" w:themeColor="text1"/>
        </w:rPr>
        <w:t>6</w:t>
      </w:r>
      <w:r w:rsidR="007D17D2" w:rsidRPr="00B40A77">
        <w:rPr>
          <w:color w:val="000000" w:themeColor="text1"/>
        </w:rPr>
        <w:t>7</w:t>
      </w:r>
      <w:r w:rsidRPr="00B40A77">
        <w:rPr>
          <w:color w:val="000000" w:themeColor="text1"/>
        </w:rPr>
        <w:t>.3—Presumption of incapacity to commit offence due to age: Youth Court</w:t>
      </w:r>
      <w:bookmarkEnd w:id="526"/>
    </w:p>
    <w:p w14:paraId="2263D0A7" w14:textId="14805F3D" w:rsidR="00467606" w:rsidRPr="00B40A77" w:rsidRDefault="00467606" w:rsidP="00467606">
      <w:pPr>
        <w:pStyle w:val="Hangindent"/>
        <w:rPr>
          <w:color w:val="000000" w:themeColor="text1"/>
          <w:lang w:val="en-US"/>
        </w:rPr>
      </w:pPr>
      <w:r w:rsidRPr="00B40A77">
        <w:rPr>
          <w:color w:val="000000" w:themeColor="text1"/>
          <w:lang w:val="en-US"/>
        </w:rPr>
        <w:t>(1)</w:t>
      </w:r>
      <w:r w:rsidRPr="00B40A77">
        <w:rPr>
          <w:color w:val="000000" w:themeColor="text1"/>
          <w:lang w:val="en-US"/>
        </w:rPr>
        <w:tab/>
        <w:t>If a youth who was between</w:t>
      </w:r>
      <w:r w:rsidR="00234D99" w:rsidRPr="00B40A77">
        <w:rPr>
          <w:color w:val="000000" w:themeColor="text1"/>
          <w:lang w:val="en-US"/>
        </w:rPr>
        <w:t> </w:t>
      </w:r>
      <w:r w:rsidRPr="00B40A77">
        <w:rPr>
          <w:color w:val="000000" w:themeColor="text1"/>
          <w:lang w:val="en-US"/>
        </w:rPr>
        <w:t>10 and</w:t>
      </w:r>
      <w:r w:rsidR="00234D99" w:rsidRPr="00B40A77">
        <w:rPr>
          <w:color w:val="000000" w:themeColor="text1"/>
          <w:lang w:val="en-US"/>
        </w:rPr>
        <w:t> </w:t>
      </w:r>
      <w:r w:rsidRPr="00B40A77">
        <w:rPr>
          <w:color w:val="000000" w:themeColor="text1"/>
          <w:lang w:val="en-US"/>
        </w:rPr>
        <w:t>13</w:t>
      </w:r>
      <w:r w:rsidR="00234D99" w:rsidRPr="00B40A77">
        <w:rPr>
          <w:color w:val="000000" w:themeColor="text1"/>
          <w:lang w:val="en-US"/>
        </w:rPr>
        <w:t> </w:t>
      </w:r>
      <w:r w:rsidRPr="00B40A77">
        <w:rPr>
          <w:color w:val="000000" w:themeColor="text1"/>
          <w:lang w:val="en-US"/>
        </w:rPr>
        <w:t>years old (inclusive) at the time of an alleged offence is represented by a lawyer and the lawyer has reason to believe that the youth may not have had capacity</w:t>
      </w:r>
      <w:r w:rsidRPr="00B40A77">
        <w:rPr>
          <w:color w:val="000000" w:themeColor="text1"/>
        </w:rPr>
        <w:t xml:space="preserve"> to commit an offence charged</w:t>
      </w:r>
      <w:r w:rsidR="002243DD" w:rsidRPr="00B40A77">
        <w:rPr>
          <w:color w:val="000000" w:themeColor="text1"/>
        </w:rPr>
        <w:t xml:space="preserve"> (disregarding the common law presumption</w:t>
      </w:r>
      <w:r w:rsidR="001934B6" w:rsidRPr="00B40A77">
        <w:rPr>
          <w:color w:val="000000" w:themeColor="text1"/>
        </w:rPr>
        <w:t xml:space="preserve"> of </w:t>
      </w:r>
      <w:r w:rsidR="001934B6" w:rsidRPr="00B40A77">
        <w:rPr>
          <w:i/>
          <w:color w:val="000000" w:themeColor="text1"/>
        </w:rPr>
        <w:t>doli incapax</w:t>
      </w:r>
      <w:r w:rsidR="002243DD" w:rsidRPr="00B40A77">
        <w:rPr>
          <w:color w:val="000000" w:themeColor="text1"/>
        </w:rPr>
        <w:t>)</w:t>
      </w:r>
      <w:r w:rsidRPr="00B40A77">
        <w:rPr>
          <w:color w:val="000000" w:themeColor="text1"/>
          <w:lang w:val="en-US"/>
        </w:rPr>
        <w:t>, the lawyer must</w:t>
      </w:r>
      <w:r w:rsidRPr="00B40A77">
        <w:rPr>
          <w:color w:val="000000" w:themeColor="text1"/>
        </w:rPr>
        <w:t>—</w:t>
      </w:r>
    </w:p>
    <w:p w14:paraId="6A484F9C" w14:textId="7614D53F" w:rsidR="00467606" w:rsidRPr="00B40A77" w:rsidRDefault="00467606" w:rsidP="00467606">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the </w:t>
      </w:r>
      <w:r w:rsidRPr="00B40A77">
        <w:rPr>
          <w:color w:val="000000" w:themeColor="text1"/>
        </w:rPr>
        <w:t xml:space="preserve">capacity of </w:t>
      </w:r>
      <w:r w:rsidRPr="00B40A77">
        <w:rPr>
          <w:color w:val="000000" w:themeColor="text1"/>
          <w:lang w:val="en-US"/>
        </w:rPr>
        <w:t>the youth</w:t>
      </w:r>
      <w:r w:rsidRPr="00B40A77">
        <w:rPr>
          <w:color w:val="000000" w:themeColor="text1"/>
        </w:rPr>
        <w:t xml:space="preserve"> to commit the offence</w:t>
      </w:r>
      <w:r w:rsidRPr="00B40A77">
        <w:rPr>
          <w:color w:val="000000" w:themeColor="text1"/>
          <w:lang w:val="en-US"/>
        </w:rPr>
        <w:t>; and</w:t>
      </w:r>
    </w:p>
    <w:p w14:paraId="732315AB" w14:textId="23D2DF58" w:rsidR="00467606" w:rsidRPr="00B40A77" w:rsidRDefault="00467606" w:rsidP="00467606">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that there is or may be an issue about the </w:t>
      </w:r>
      <w:r w:rsidR="00CA3018" w:rsidRPr="00B40A77">
        <w:rPr>
          <w:color w:val="000000" w:themeColor="text1"/>
          <w:lang w:val="en-US"/>
        </w:rPr>
        <w:t xml:space="preserve">capacity </w:t>
      </w:r>
      <w:r w:rsidRPr="00B40A77">
        <w:rPr>
          <w:color w:val="000000" w:themeColor="text1"/>
        </w:rPr>
        <w:t xml:space="preserve">of </w:t>
      </w:r>
      <w:r w:rsidRPr="00B40A77">
        <w:rPr>
          <w:color w:val="000000" w:themeColor="text1"/>
          <w:lang w:val="en-US"/>
        </w:rPr>
        <w:t>the youth</w:t>
      </w:r>
      <w:r w:rsidRPr="00B40A77">
        <w:rPr>
          <w:color w:val="000000" w:themeColor="text1"/>
        </w:rPr>
        <w:t xml:space="preserve"> to commit the offence</w:t>
      </w:r>
      <w:r w:rsidRPr="00B40A77">
        <w:rPr>
          <w:color w:val="000000" w:themeColor="text1"/>
          <w:lang w:val="en-US"/>
        </w:rPr>
        <w:t xml:space="preserve"> </w:t>
      </w:r>
      <w:r w:rsidR="001934B6" w:rsidRPr="00B40A77">
        <w:rPr>
          <w:color w:val="000000" w:themeColor="text1"/>
        </w:rPr>
        <w:t xml:space="preserve">(disregarding the common law presumption) </w:t>
      </w:r>
      <w:r w:rsidRPr="00B40A77">
        <w:rPr>
          <w:color w:val="000000" w:themeColor="text1"/>
          <w:lang w:val="en-US"/>
        </w:rPr>
        <w:t>as soon as practicable.</w:t>
      </w:r>
    </w:p>
    <w:p w14:paraId="240346F2" w14:textId="72F9CDB5" w:rsidR="00467606" w:rsidRPr="00B40A77" w:rsidRDefault="00CA3018" w:rsidP="00E200BE">
      <w:pPr>
        <w:pStyle w:val="Hangindent"/>
        <w:keepNext/>
        <w:keepLines/>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If a </w:t>
      </w:r>
      <w:r w:rsidR="00467606" w:rsidRPr="00B40A77">
        <w:rPr>
          <w:color w:val="000000" w:themeColor="text1"/>
          <w:lang w:val="en-US"/>
        </w:rPr>
        <w:t xml:space="preserve">youth </w:t>
      </w:r>
      <w:r w:rsidRPr="00B40A77">
        <w:rPr>
          <w:color w:val="000000" w:themeColor="text1"/>
          <w:lang w:val="en-US"/>
        </w:rPr>
        <w:t>who was between</w:t>
      </w:r>
      <w:r w:rsidR="00234D99" w:rsidRPr="00B40A77">
        <w:rPr>
          <w:color w:val="000000" w:themeColor="text1"/>
          <w:lang w:val="en-US"/>
        </w:rPr>
        <w:t> </w:t>
      </w:r>
      <w:r w:rsidRPr="00B40A77">
        <w:rPr>
          <w:color w:val="000000" w:themeColor="text1"/>
          <w:lang w:val="en-US"/>
        </w:rPr>
        <w:t>10 and</w:t>
      </w:r>
      <w:r w:rsidR="00234D99" w:rsidRPr="00B40A77">
        <w:rPr>
          <w:color w:val="000000" w:themeColor="text1"/>
          <w:lang w:val="en-US"/>
        </w:rPr>
        <w:t> </w:t>
      </w:r>
      <w:r w:rsidRPr="00B40A77">
        <w:rPr>
          <w:color w:val="000000" w:themeColor="text1"/>
          <w:lang w:val="en-US"/>
        </w:rPr>
        <w:t>13</w:t>
      </w:r>
      <w:r w:rsidR="00234D99" w:rsidRPr="00B40A77">
        <w:rPr>
          <w:color w:val="000000" w:themeColor="text1"/>
          <w:lang w:val="en-US"/>
        </w:rPr>
        <w:t> </w:t>
      </w:r>
      <w:r w:rsidRPr="00B40A77">
        <w:rPr>
          <w:color w:val="000000" w:themeColor="text1"/>
          <w:lang w:val="en-US"/>
        </w:rPr>
        <w:t xml:space="preserve">years old (inclusive) at the time of an alleged offence is </w:t>
      </w:r>
      <w:r w:rsidR="00467606" w:rsidRPr="00B40A77">
        <w:rPr>
          <w:color w:val="000000" w:themeColor="text1"/>
          <w:lang w:val="en-US"/>
        </w:rPr>
        <w:t xml:space="preserve">not represented by a lawyer </w:t>
      </w:r>
      <w:r w:rsidR="001D16D8" w:rsidRPr="00B40A77">
        <w:rPr>
          <w:color w:val="000000" w:themeColor="text1"/>
          <w:lang w:val="en-US"/>
        </w:rPr>
        <w:t>and their parent or guardian has doubt about the youth’s capacity</w:t>
      </w:r>
      <w:r w:rsidR="00467606" w:rsidRPr="00B40A77">
        <w:rPr>
          <w:color w:val="000000" w:themeColor="text1"/>
        </w:rPr>
        <w:t xml:space="preserve"> to commit an offence charged</w:t>
      </w:r>
      <w:r w:rsidR="002243DD" w:rsidRPr="00B40A77">
        <w:rPr>
          <w:color w:val="000000" w:themeColor="text1"/>
        </w:rPr>
        <w:t xml:space="preserve"> (disregarding the common law presumption)</w:t>
      </w:r>
      <w:r w:rsidR="00467606" w:rsidRPr="00B40A77">
        <w:rPr>
          <w:color w:val="000000" w:themeColor="text1"/>
          <w:lang w:val="en-US"/>
        </w:rPr>
        <w:t>, they must inform the Court that there is</w:t>
      </w:r>
      <w:r w:rsidR="001D16D8" w:rsidRPr="00B40A77">
        <w:rPr>
          <w:color w:val="000000" w:themeColor="text1"/>
          <w:lang w:val="en-US"/>
        </w:rPr>
        <w:t xml:space="preserve"> or may be an issue about the youth’s capacity</w:t>
      </w:r>
      <w:r w:rsidR="001D16D8" w:rsidRPr="00B40A77">
        <w:rPr>
          <w:color w:val="000000" w:themeColor="text1"/>
        </w:rPr>
        <w:t xml:space="preserve"> to commit the offence</w:t>
      </w:r>
      <w:r w:rsidR="00467606" w:rsidRPr="00B40A77">
        <w:rPr>
          <w:color w:val="000000" w:themeColor="text1"/>
        </w:rPr>
        <w:t xml:space="preserve"> </w:t>
      </w:r>
      <w:r w:rsidR="002B5526" w:rsidRPr="00B40A77">
        <w:rPr>
          <w:color w:val="000000" w:themeColor="text1"/>
        </w:rPr>
        <w:t xml:space="preserve">(disregarding the common law presumption) </w:t>
      </w:r>
      <w:r w:rsidR="00467606" w:rsidRPr="00B40A77">
        <w:rPr>
          <w:color w:val="000000" w:themeColor="text1"/>
          <w:lang w:val="en-US"/>
        </w:rPr>
        <w:t>as soon as practicable.</w:t>
      </w:r>
    </w:p>
    <w:p w14:paraId="5E357D04" w14:textId="691BB3E6" w:rsidR="00F717AD" w:rsidRPr="00B40A77" w:rsidRDefault="00F717AD" w:rsidP="00381ABA">
      <w:pPr>
        <w:pStyle w:val="NoteHeader"/>
        <w:keepNext/>
        <w:rPr>
          <w:color w:val="000000" w:themeColor="text1"/>
        </w:rPr>
      </w:pPr>
      <w:r w:rsidRPr="00B40A77">
        <w:rPr>
          <w:color w:val="000000" w:themeColor="text1"/>
        </w:rPr>
        <w:t>Note—</w:t>
      </w:r>
    </w:p>
    <w:p w14:paraId="259D9FDE" w14:textId="11869004" w:rsidR="00F717AD" w:rsidRPr="00B40A77" w:rsidRDefault="00F717AD" w:rsidP="00D65D5C">
      <w:pPr>
        <w:pStyle w:val="NoteText"/>
        <w:rPr>
          <w:color w:val="000000" w:themeColor="text1"/>
          <w:lang w:val="en-US"/>
        </w:rPr>
      </w:pPr>
      <w:r w:rsidRPr="00B40A77">
        <w:rPr>
          <w:color w:val="000000" w:themeColor="text1"/>
        </w:rPr>
        <w:t xml:space="preserve">At common law there is a presumption of </w:t>
      </w:r>
      <w:r w:rsidRPr="00B40A77">
        <w:rPr>
          <w:i/>
          <w:color w:val="000000" w:themeColor="text1"/>
        </w:rPr>
        <w:t>doli incapax</w:t>
      </w:r>
      <w:r w:rsidRPr="00B40A77">
        <w:rPr>
          <w:color w:val="000000" w:themeColor="text1"/>
        </w:rPr>
        <w:t>, namely that a youth aged at least 10 and less than 14</w:t>
      </w:r>
      <w:r w:rsidR="00234D99" w:rsidRPr="00B40A77">
        <w:rPr>
          <w:color w:val="000000" w:themeColor="text1"/>
        </w:rPr>
        <w:t> </w:t>
      </w:r>
      <w:r w:rsidRPr="00B40A77">
        <w:rPr>
          <w:color w:val="000000" w:themeColor="text1"/>
        </w:rPr>
        <w:t>years old is not capable of committing a criminal offence.</w:t>
      </w:r>
    </w:p>
    <w:p w14:paraId="60D61D3F" w14:textId="52F9DD7F" w:rsidR="00200DB9" w:rsidRPr="00B40A77" w:rsidRDefault="00200DB9" w:rsidP="00200DB9">
      <w:pPr>
        <w:pStyle w:val="Heading3"/>
        <w:rPr>
          <w:color w:val="000000" w:themeColor="text1"/>
        </w:rPr>
      </w:pPr>
      <w:bookmarkStart w:id="527" w:name="_Toc175238987"/>
      <w:bookmarkEnd w:id="525"/>
      <w:r w:rsidRPr="00B40A77">
        <w:rPr>
          <w:color w:val="000000" w:themeColor="text1"/>
        </w:rPr>
        <w:t>Divisi</w:t>
      </w:r>
      <w:r w:rsidR="0098327F" w:rsidRPr="00B40A77">
        <w:rPr>
          <w:color w:val="000000" w:themeColor="text1"/>
        </w:rPr>
        <w:t xml:space="preserve">on </w:t>
      </w:r>
      <w:r w:rsidR="00CD3213" w:rsidRPr="00B40A77">
        <w:rPr>
          <w:color w:val="000000" w:themeColor="text1"/>
        </w:rPr>
        <w:t>4</w:t>
      </w:r>
      <w:r w:rsidRPr="00B40A77">
        <w:rPr>
          <w:color w:val="000000" w:themeColor="text1"/>
        </w:rPr>
        <w:t>—Non-appearance of defendant or youth</w:t>
      </w:r>
      <w:bookmarkEnd w:id="527"/>
    </w:p>
    <w:p w14:paraId="7702113F" w14:textId="40F1C066" w:rsidR="00DB10C9" w:rsidRPr="00B40A77" w:rsidRDefault="00DB10C9" w:rsidP="00DB10C9">
      <w:pPr>
        <w:pStyle w:val="Heading3"/>
        <w:rPr>
          <w:color w:val="000000" w:themeColor="text1"/>
        </w:rPr>
      </w:pPr>
      <w:bookmarkStart w:id="528" w:name="_Toc175238988"/>
      <w:r w:rsidRPr="00B40A77">
        <w:rPr>
          <w:color w:val="000000" w:themeColor="text1"/>
        </w:rPr>
        <w:t>Subdivision A—Preliminary</w:t>
      </w:r>
      <w:bookmarkEnd w:id="528"/>
    </w:p>
    <w:p w14:paraId="4C8A1F86" w14:textId="2D77D1DA" w:rsidR="002B313F" w:rsidRPr="00B40A77" w:rsidRDefault="0098327F" w:rsidP="002B313F">
      <w:pPr>
        <w:pStyle w:val="Heading4"/>
        <w:rPr>
          <w:color w:val="000000" w:themeColor="text1"/>
        </w:rPr>
      </w:pPr>
      <w:bookmarkStart w:id="529" w:name="_Toc175238989"/>
      <w:r w:rsidRPr="00B40A77">
        <w:rPr>
          <w:color w:val="000000" w:themeColor="text1"/>
        </w:rPr>
        <w:t>6</w:t>
      </w:r>
      <w:r w:rsidR="007D17D2" w:rsidRPr="00B40A77">
        <w:rPr>
          <w:color w:val="000000" w:themeColor="text1"/>
        </w:rPr>
        <w:t>8</w:t>
      </w:r>
      <w:r w:rsidR="00285A21" w:rsidRPr="00B40A77">
        <w:rPr>
          <w:color w:val="000000" w:themeColor="text1"/>
        </w:rPr>
        <w:t xml:space="preserve">.1—Application of </w:t>
      </w:r>
      <w:r w:rsidR="00822239" w:rsidRPr="00B40A77">
        <w:rPr>
          <w:color w:val="000000" w:themeColor="text1"/>
        </w:rPr>
        <w:t>Division</w:t>
      </w:r>
      <w:bookmarkEnd w:id="529"/>
    </w:p>
    <w:p w14:paraId="397C4BA7" w14:textId="0DF05940" w:rsidR="00285A21" w:rsidRPr="00B40A77" w:rsidRDefault="00822239" w:rsidP="00173536">
      <w:pPr>
        <w:pStyle w:val="Hangindent"/>
        <w:keepNext/>
        <w:rPr>
          <w:color w:val="000000" w:themeColor="text1"/>
        </w:rPr>
      </w:pPr>
      <w:r w:rsidRPr="00B40A77">
        <w:rPr>
          <w:color w:val="000000" w:themeColor="text1"/>
          <w:lang w:val="en-US"/>
        </w:rPr>
        <w:t>This Division</w:t>
      </w:r>
      <w:r w:rsidR="00A84AB5" w:rsidRPr="00B40A77">
        <w:rPr>
          <w:color w:val="000000" w:themeColor="text1"/>
          <w:lang w:val="en-US"/>
        </w:rPr>
        <w:t xml:space="preserve"> applies if a</w:t>
      </w:r>
      <w:r w:rsidR="00285A21" w:rsidRPr="00B40A77">
        <w:rPr>
          <w:color w:val="000000" w:themeColor="text1"/>
          <w:lang w:val="en-US"/>
        </w:rPr>
        <w:t xml:space="preserve"> defendant or youth does not attend</w:t>
      </w:r>
      <w:r w:rsidR="00285A21" w:rsidRPr="00B40A77">
        <w:rPr>
          <w:color w:val="000000" w:themeColor="text1"/>
        </w:rPr>
        <w:t>—</w:t>
      </w:r>
    </w:p>
    <w:p w14:paraId="680DF74B" w14:textId="685BE056" w:rsidR="00285A21" w:rsidRPr="00B40A77" w:rsidRDefault="00285A21" w:rsidP="0011511B">
      <w:pPr>
        <w:pStyle w:val="Hangindent"/>
        <w:rPr>
          <w:color w:val="000000" w:themeColor="text1"/>
          <w:lang w:val="en-US"/>
        </w:rPr>
      </w:pPr>
      <w:r w:rsidRPr="00B40A77">
        <w:rPr>
          <w:color w:val="000000" w:themeColor="text1"/>
          <w:lang w:val="en-US"/>
        </w:rPr>
        <w:t>(a)</w:t>
      </w:r>
      <w:r w:rsidRPr="00B40A77">
        <w:rPr>
          <w:color w:val="000000" w:themeColor="text1"/>
          <w:lang w:val="en-US"/>
        </w:rPr>
        <w:tab/>
      </w:r>
      <w:r w:rsidR="00CD6A5E" w:rsidRPr="00B40A77">
        <w:rPr>
          <w:color w:val="000000" w:themeColor="text1"/>
          <w:lang w:val="en-US"/>
        </w:rPr>
        <w:t xml:space="preserve">at </w:t>
      </w:r>
      <w:r w:rsidRPr="00B40A77">
        <w:rPr>
          <w:color w:val="000000" w:themeColor="text1"/>
          <w:lang w:val="en-US"/>
        </w:rPr>
        <w:t xml:space="preserve">the first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of a proceeding after the defendant or youth was served with an </w:t>
      </w:r>
      <w:r w:rsidR="00600147" w:rsidRPr="00B40A77">
        <w:rPr>
          <w:color w:val="000000" w:themeColor="text1"/>
          <w:lang w:val="en-US"/>
        </w:rPr>
        <w:t>Information</w:t>
      </w:r>
      <w:r w:rsidRPr="00B40A77">
        <w:rPr>
          <w:color w:val="000000" w:themeColor="text1"/>
          <w:lang w:val="en-US"/>
        </w:rPr>
        <w:t xml:space="preserve"> and</w:t>
      </w:r>
      <w:r w:rsidR="0098327F" w:rsidRPr="00B40A77">
        <w:rPr>
          <w:color w:val="000000" w:themeColor="text1"/>
          <w:lang w:val="en-US"/>
        </w:rPr>
        <w:t xml:space="preserve"> summons issued under </w:t>
      </w:r>
      <w:hyperlink w:anchor="_62.1—Information" w:history="1">
        <w:r w:rsidR="0098327F" w:rsidRPr="00B40A77">
          <w:rPr>
            <w:rStyle w:val="Hyperlink"/>
            <w:color w:val="000000" w:themeColor="text1"/>
            <w:lang w:val="en-US"/>
          </w:rPr>
          <w:t>rule 6</w:t>
        </w:r>
        <w:r w:rsidR="005E3D01" w:rsidRPr="00B40A77">
          <w:rPr>
            <w:rStyle w:val="Hyperlink"/>
            <w:color w:val="000000" w:themeColor="text1"/>
            <w:lang w:val="en-US"/>
          </w:rPr>
          <w:t>2</w:t>
        </w:r>
        <w:r w:rsidR="002C71DC" w:rsidRPr="00B40A77">
          <w:rPr>
            <w:rStyle w:val="Hyperlink"/>
            <w:color w:val="000000" w:themeColor="text1"/>
            <w:lang w:val="en-US"/>
          </w:rPr>
          <w:t>.</w:t>
        </w:r>
        <w:r w:rsidR="005E3D01" w:rsidRPr="00B40A77">
          <w:rPr>
            <w:rStyle w:val="Hyperlink"/>
            <w:color w:val="000000" w:themeColor="text1"/>
            <w:lang w:val="en-US"/>
          </w:rPr>
          <w:t>1</w:t>
        </w:r>
      </w:hyperlink>
      <w:r w:rsidRPr="00B40A77">
        <w:rPr>
          <w:color w:val="000000" w:themeColor="text1"/>
          <w:lang w:val="en-US"/>
        </w:rPr>
        <w:t>(</w:t>
      </w:r>
      <w:r w:rsidR="005E3D01" w:rsidRPr="00B40A77">
        <w:rPr>
          <w:color w:val="000000" w:themeColor="text1"/>
          <w:lang w:val="en-US"/>
        </w:rPr>
        <w:t>3</w:t>
      </w:r>
      <w:r w:rsidRPr="00B40A77">
        <w:rPr>
          <w:color w:val="000000" w:themeColor="text1"/>
          <w:lang w:val="en-US"/>
        </w:rPr>
        <w:t xml:space="preserve">); </w:t>
      </w:r>
    </w:p>
    <w:p w14:paraId="63A5F9E1" w14:textId="2A78FA9D" w:rsidR="00285A21" w:rsidRPr="00B40A77" w:rsidRDefault="00285A21" w:rsidP="0011511B">
      <w:pPr>
        <w:pStyle w:val="Hangindent"/>
        <w:rPr>
          <w:color w:val="000000" w:themeColor="text1"/>
          <w:lang w:val="en-US"/>
        </w:rPr>
      </w:pPr>
      <w:r w:rsidRPr="00B40A77">
        <w:rPr>
          <w:color w:val="000000" w:themeColor="text1"/>
        </w:rPr>
        <w:t>(</w:t>
      </w:r>
      <w:r w:rsidRPr="00B40A77">
        <w:rPr>
          <w:color w:val="000000" w:themeColor="text1"/>
          <w:lang w:val="en-US"/>
        </w:rPr>
        <w:t>b)</w:t>
      </w:r>
      <w:r w:rsidRPr="00B40A77">
        <w:rPr>
          <w:color w:val="000000" w:themeColor="text1"/>
          <w:lang w:val="en-US"/>
        </w:rPr>
        <w:tab/>
      </w:r>
      <w:r w:rsidR="00CD6A5E" w:rsidRPr="00B40A77">
        <w:rPr>
          <w:color w:val="000000" w:themeColor="text1"/>
          <w:lang w:val="en-US"/>
        </w:rPr>
        <w:t xml:space="preserve">at </w:t>
      </w:r>
      <w:r w:rsidR="00536E18" w:rsidRPr="00B40A77">
        <w:rPr>
          <w:color w:val="000000" w:themeColor="text1"/>
          <w:lang w:val="en-US"/>
        </w:rPr>
        <w:t xml:space="preserve">the first </w:t>
      </w:r>
      <w:hyperlink w:anchor="_37.1—Application_of_Part" w:history="1">
        <w:r w:rsidR="00CE7A79" w:rsidRPr="00B40A77">
          <w:rPr>
            <w:rStyle w:val="Hyperlink"/>
            <w:color w:val="000000" w:themeColor="text1"/>
            <w:lang w:val="en-US"/>
          </w:rPr>
          <w:t>hearing</w:t>
        </w:r>
      </w:hyperlink>
      <w:r w:rsidR="00536E18" w:rsidRPr="00B40A77">
        <w:rPr>
          <w:color w:val="000000" w:themeColor="text1"/>
          <w:lang w:val="en-US"/>
        </w:rPr>
        <w:t xml:space="preserve"> of a proceeding after the defendant or youth was arrested and released on bail to attend at the </w:t>
      </w:r>
      <w:hyperlink w:anchor="_37.1—Application_of_Part" w:history="1">
        <w:r w:rsidR="00CE7A79" w:rsidRPr="00B40A77">
          <w:rPr>
            <w:rStyle w:val="Hyperlink"/>
            <w:color w:val="000000" w:themeColor="text1"/>
            <w:lang w:val="en-US"/>
          </w:rPr>
          <w:t>hearing</w:t>
        </w:r>
      </w:hyperlink>
      <w:r w:rsidR="00536E18" w:rsidRPr="00B40A77">
        <w:rPr>
          <w:color w:val="000000" w:themeColor="text1"/>
          <w:lang w:val="en-US"/>
        </w:rPr>
        <w:t>;</w:t>
      </w:r>
    </w:p>
    <w:p w14:paraId="0B93A0C4" w14:textId="08F4FDF0" w:rsidR="00536E18" w:rsidRPr="00B40A77" w:rsidRDefault="00536E18" w:rsidP="0011511B">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at any adjourned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when the defendant has been remanded on bail to appear at the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w:t>
      </w:r>
    </w:p>
    <w:p w14:paraId="576B563D" w14:textId="441AF618" w:rsidR="00536E18" w:rsidRPr="00B40A77" w:rsidRDefault="00536E18" w:rsidP="0011511B">
      <w:pPr>
        <w:pStyle w:val="Hangindent"/>
        <w:rPr>
          <w:color w:val="000000" w:themeColor="text1"/>
          <w:lang w:val="en-US"/>
        </w:rPr>
      </w:pPr>
      <w:r w:rsidRPr="00B40A77">
        <w:rPr>
          <w:color w:val="000000" w:themeColor="text1"/>
          <w:lang w:val="en-US"/>
        </w:rPr>
        <w:t>(d)</w:t>
      </w:r>
      <w:r w:rsidRPr="00B40A77">
        <w:rPr>
          <w:color w:val="000000" w:themeColor="text1"/>
          <w:lang w:val="en-US"/>
        </w:rPr>
        <w:tab/>
        <w:t xml:space="preserve">at any adjourned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when the defendant or youth or their lawyer was present at a previous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at which the adjourned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date was fixed;</w:t>
      </w:r>
    </w:p>
    <w:p w14:paraId="6FE54DFD" w14:textId="595FC3BE" w:rsidR="00536E18" w:rsidRPr="00B40A77" w:rsidRDefault="00536E18" w:rsidP="0011511B">
      <w:pPr>
        <w:pStyle w:val="Hangindent"/>
        <w:rPr>
          <w:color w:val="000000" w:themeColor="text1"/>
          <w:lang w:val="en-US"/>
        </w:rPr>
      </w:pPr>
      <w:r w:rsidRPr="00B40A77">
        <w:rPr>
          <w:color w:val="000000" w:themeColor="text1"/>
          <w:lang w:val="en-US"/>
        </w:rPr>
        <w:t>(e)</w:t>
      </w:r>
      <w:r w:rsidRPr="00B40A77">
        <w:rPr>
          <w:color w:val="000000" w:themeColor="text1"/>
          <w:lang w:val="en-US"/>
        </w:rPr>
        <w:tab/>
        <w:t xml:space="preserve">at any adjourned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of which notice has been given to the defendant or youth or their lawyer; or</w:t>
      </w:r>
    </w:p>
    <w:p w14:paraId="3D894808" w14:textId="49E545BC" w:rsidR="00536E18" w:rsidRPr="00B40A77" w:rsidRDefault="00536E18" w:rsidP="00AA301B">
      <w:pPr>
        <w:pStyle w:val="Hangindent"/>
        <w:keepNext/>
        <w:rPr>
          <w:color w:val="000000" w:themeColor="text1"/>
          <w:lang w:val="en-US"/>
        </w:rPr>
      </w:pPr>
      <w:r w:rsidRPr="00B40A77">
        <w:rPr>
          <w:color w:val="000000" w:themeColor="text1"/>
          <w:lang w:val="en-US"/>
        </w:rPr>
        <w:t>(f)</w:t>
      </w:r>
      <w:r w:rsidRPr="00B40A77">
        <w:rPr>
          <w:color w:val="000000" w:themeColor="text1"/>
          <w:lang w:val="en-US"/>
        </w:rPr>
        <w:tab/>
        <w:t xml:space="preserve">at the </w:t>
      </w:r>
      <w:hyperlink w:anchor="_2.1—Definitions" w:history="1">
        <w:r w:rsidR="00E46B25" w:rsidRPr="00B40A77">
          <w:rPr>
            <w:rStyle w:val="Hyperlink"/>
            <w:color w:val="000000" w:themeColor="text1"/>
            <w:lang w:val="en-US"/>
          </w:rPr>
          <w:t>trial</w:t>
        </w:r>
      </w:hyperlink>
      <w:r w:rsidRPr="00B40A77">
        <w:rPr>
          <w:color w:val="000000" w:themeColor="text1"/>
          <w:lang w:val="en-US"/>
        </w:rPr>
        <w:t xml:space="preserve"> of a proceeding.</w:t>
      </w:r>
    </w:p>
    <w:p w14:paraId="0206A46B" w14:textId="77777777" w:rsidR="004D30F6" w:rsidRPr="00B40A77" w:rsidRDefault="004D30F6" w:rsidP="00381ABA">
      <w:pPr>
        <w:pStyle w:val="NoteHeader"/>
        <w:keepNext/>
        <w:rPr>
          <w:color w:val="000000" w:themeColor="text1"/>
        </w:rPr>
      </w:pPr>
      <w:r w:rsidRPr="00B40A77">
        <w:rPr>
          <w:color w:val="000000" w:themeColor="text1"/>
        </w:rPr>
        <w:t>Notes—</w:t>
      </w:r>
    </w:p>
    <w:p w14:paraId="53DE4568" w14:textId="7BB124D8" w:rsidR="004D30F6" w:rsidRPr="00B40A77" w:rsidRDefault="004D30F6" w:rsidP="004D30F6">
      <w:pPr>
        <w:pStyle w:val="NoteText"/>
        <w:rPr>
          <w:color w:val="000000" w:themeColor="text1"/>
        </w:rPr>
      </w:pPr>
      <w:r w:rsidRPr="00B40A77">
        <w:rPr>
          <w:color w:val="000000" w:themeColor="text1"/>
        </w:rPr>
        <w:t xml:space="preserve">Sections </w:t>
      </w:r>
      <w:r w:rsidR="008B1822" w:rsidRPr="00B40A77">
        <w:rPr>
          <w:color w:val="000000" w:themeColor="text1"/>
        </w:rPr>
        <w:t xml:space="preserve">27C, </w:t>
      </w:r>
      <w:r w:rsidRPr="00B40A77">
        <w:rPr>
          <w:color w:val="000000" w:themeColor="text1"/>
        </w:rPr>
        <w:t>58</w:t>
      </w:r>
      <w:r w:rsidR="00CF583B" w:rsidRPr="00B40A77">
        <w:rPr>
          <w:color w:val="000000" w:themeColor="text1"/>
        </w:rPr>
        <w:t>(b)</w:t>
      </w:r>
      <w:r w:rsidRPr="00B40A77">
        <w:rPr>
          <w:color w:val="000000" w:themeColor="text1"/>
        </w:rPr>
        <w:t xml:space="preserve"> and 62 of the Procedure Act provide for the exercise of powers when the defendant or youth fails to appear in answer to a summons served a reasonable time before the </w:t>
      </w:r>
      <w:hyperlink w:anchor="_37.1—Application_of_Part" w:history="1">
        <w:r w:rsidR="00CE7A79" w:rsidRPr="00B40A77">
          <w:rPr>
            <w:rStyle w:val="Hyperlink"/>
            <w:color w:val="000000" w:themeColor="text1"/>
            <w:lang w:val="en-US"/>
          </w:rPr>
          <w:t>hearing</w:t>
        </w:r>
      </w:hyperlink>
      <w:r w:rsidRPr="00B40A77">
        <w:rPr>
          <w:color w:val="000000" w:themeColor="text1"/>
        </w:rPr>
        <w:t>.</w:t>
      </w:r>
    </w:p>
    <w:p w14:paraId="074E0393" w14:textId="55DF73B8" w:rsidR="004D30F6" w:rsidRPr="00B40A77" w:rsidRDefault="004D30F6" w:rsidP="004D30F6">
      <w:pPr>
        <w:pStyle w:val="NoteText"/>
        <w:rPr>
          <w:color w:val="000000" w:themeColor="text1"/>
        </w:rPr>
      </w:pPr>
      <w:r w:rsidRPr="00B40A77">
        <w:rPr>
          <w:color w:val="000000" w:themeColor="text1"/>
        </w:rPr>
        <w:t>Section 62</w:t>
      </w:r>
      <w:r w:rsidR="000F2EE3" w:rsidRPr="00B40A77">
        <w:rPr>
          <w:color w:val="000000" w:themeColor="text1"/>
        </w:rPr>
        <w:t>A</w:t>
      </w:r>
      <w:r w:rsidRPr="00B40A77">
        <w:rPr>
          <w:color w:val="000000" w:themeColor="text1"/>
        </w:rPr>
        <w:t xml:space="preserve"> of the Procedure Act provides for the exercise of powers when the defendant or youth fa</w:t>
      </w:r>
      <w:r w:rsidR="000F2EE3" w:rsidRPr="00B40A77">
        <w:rPr>
          <w:color w:val="000000" w:themeColor="text1"/>
        </w:rPr>
        <w:t xml:space="preserve">ils </w:t>
      </w:r>
      <w:r w:rsidR="00CD6A5E" w:rsidRPr="00B40A77">
        <w:rPr>
          <w:color w:val="000000" w:themeColor="text1"/>
        </w:rPr>
        <w:t xml:space="preserve">to appear at a </w:t>
      </w:r>
      <w:hyperlink w:anchor="_37.1—Application_of_Part" w:history="1">
        <w:r w:rsidR="00CE7A79" w:rsidRPr="00B40A77">
          <w:rPr>
            <w:rStyle w:val="Hyperlink"/>
            <w:color w:val="000000" w:themeColor="text1"/>
            <w:lang w:val="en-US"/>
          </w:rPr>
          <w:t>hearing</w:t>
        </w:r>
      </w:hyperlink>
      <w:r w:rsidR="00CD6A5E" w:rsidRPr="00B40A77">
        <w:rPr>
          <w:color w:val="000000" w:themeColor="text1"/>
        </w:rPr>
        <w:t xml:space="preserve"> </w:t>
      </w:r>
      <w:r w:rsidR="000F2EE3" w:rsidRPr="00B40A77">
        <w:rPr>
          <w:color w:val="000000" w:themeColor="text1"/>
        </w:rPr>
        <w:t>after having been released on bail</w:t>
      </w:r>
      <w:r w:rsidR="00CD6A5E" w:rsidRPr="00B40A77">
        <w:rPr>
          <w:color w:val="000000" w:themeColor="text1"/>
        </w:rPr>
        <w:t xml:space="preserve"> when they were originally arrested</w:t>
      </w:r>
      <w:r w:rsidRPr="00B40A77">
        <w:rPr>
          <w:color w:val="000000" w:themeColor="text1"/>
        </w:rPr>
        <w:t>.</w:t>
      </w:r>
    </w:p>
    <w:p w14:paraId="4D4DDD22" w14:textId="7867406B" w:rsidR="00570BEA" w:rsidRPr="00B40A77" w:rsidRDefault="00570BEA" w:rsidP="00570BEA">
      <w:pPr>
        <w:pStyle w:val="NoteText"/>
        <w:rPr>
          <w:color w:val="000000" w:themeColor="text1"/>
        </w:rPr>
      </w:pPr>
      <w:r w:rsidRPr="00B40A77">
        <w:rPr>
          <w:color w:val="000000" w:themeColor="text1"/>
        </w:rPr>
        <w:t>Section 62</w:t>
      </w:r>
      <w:r w:rsidR="00CD6A5E" w:rsidRPr="00B40A77">
        <w:rPr>
          <w:color w:val="000000" w:themeColor="text1"/>
        </w:rPr>
        <w:t>BA</w:t>
      </w:r>
      <w:r w:rsidRPr="00B40A77">
        <w:rPr>
          <w:color w:val="000000" w:themeColor="text1"/>
        </w:rPr>
        <w:t xml:space="preserve"> of the Procedure Act provide</w:t>
      </w:r>
      <w:r w:rsidR="00CD6A5E" w:rsidRPr="00B40A77">
        <w:rPr>
          <w:color w:val="000000" w:themeColor="text1"/>
        </w:rPr>
        <w:t>s</w:t>
      </w:r>
      <w:r w:rsidRPr="00B40A77">
        <w:rPr>
          <w:color w:val="000000" w:themeColor="text1"/>
        </w:rPr>
        <w:t xml:space="preserve"> for the exercise of powers when the defendant or youth fails to appear </w:t>
      </w:r>
      <w:r w:rsidR="00CD6A5E" w:rsidRPr="00B40A77">
        <w:rPr>
          <w:color w:val="000000" w:themeColor="text1"/>
        </w:rPr>
        <w:t xml:space="preserve">at a </w:t>
      </w:r>
      <w:hyperlink w:anchor="_37.1—Application_of_Part" w:history="1">
        <w:r w:rsidR="00CE7A79" w:rsidRPr="00B40A77">
          <w:rPr>
            <w:rStyle w:val="Hyperlink"/>
            <w:color w:val="000000" w:themeColor="text1"/>
            <w:lang w:val="en-US"/>
          </w:rPr>
          <w:t>hearing</w:t>
        </w:r>
      </w:hyperlink>
      <w:r w:rsidR="00CD6A5E" w:rsidRPr="00B40A77">
        <w:rPr>
          <w:color w:val="000000" w:themeColor="text1"/>
        </w:rPr>
        <w:t xml:space="preserve"> when they were originally served with </w:t>
      </w:r>
      <w:r w:rsidRPr="00B40A77">
        <w:rPr>
          <w:color w:val="000000" w:themeColor="text1"/>
        </w:rPr>
        <w:t>a summons.</w:t>
      </w:r>
    </w:p>
    <w:p w14:paraId="5A427A04" w14:textId="587214D1" w:rsidR="00DB10C9" w:rsidRPr="00B40A77" w:rsidRDefault="00DB10C9" w:rsidP="00DB10C9">
      <w:pPr>
        <w:pStyle w:val="Heading3"/>
        <w:rPr>
          <w:color w:val="000000" w:themeColor="text1"/>
        </w:rPr>
      </w:pPr>
      <w:bookmarkStart w:id="530" w:name="_Toc175238990"/>
      <w:r w:rsidRPr="00B40A77">
        <w:rPr>
          <w:color w:val="000000" w:themeColor="text1"/>
        </w:rPr>
        <w:t>Subdivision B—Warrant of ap</w:t>
      </w:r>
      <w:r w:rsidR="00AE1D77" w:rsidRPr="00B40A77">
        <w:rPr>
          <w:color w:val="000000" w:themeColor="text1"/>
        </w:rPr>
        <w:t>p</w:t>
      </w:r>
      <w:r w:rsidRPr="00B40A77">
        <w:rPr>
          <w:color w:val="000000" w:themeColor="text1"/>
        </w:rPr>
        <w:t>rehension</w:t>
      </w:r>
      <w:bookmarkEnd w:id="530"/>
    </w:p>
    <w:p w14:paraId="3F5E509B" w14:textId="1A759FEF" w:rsidR="00CD6A5E" w:rsidRPr="00B40A77" w:rsidRDefault="0098327F" w:rsidP="00CD6A5E">
      <w:pPr>
        <w:pStyle w:val="Heading4"/>
        <w:rPr>
          <w:color w:val="000000" w:themeColor="text1"/>
        </w:rPr>
      </w:pPr>
      <w:bookmarkStart w:id="531" w:name="_Toc175238991"/>
      <w:r w:rsidRPr="00B40A77">
        <w:rPr>
          <w:color w:val="000000" w:themeColor="text1"/>
        </w:rPr>
        <w:t>6</w:t>
      </w:r>
      <w:r w:rsidR="007D17D2" w:rsidRPr="00B40A77">
        <w:rPr>
          <w:color w:val="000000" w:themeColor="text1"/>
        </w:rPr>
        <w:t>8</w:t>
      </w:r>
      <w:r w:rsidR="00751FB1" w:rsidRPr="00B40A77">
        <w:rPr>
          <w:color w:val="000000" w:themeColor="text1"/>
        </w:rPr>
        <w:t>.2</w:t>
      </w:r>
      <w:r w:rsidR="00973C22" w:rsidRPr="00B40A77">
        <w:rPr>
          <w:color w:val="000000" w:themeColor="text1"/>
        </w:rPr>
        <w:t>—Issue warrant of apprehension</w:t>
      </w:r>
      <w:bookmarkEnd w:id="531"/>
    </w:p>
    <w:p w14:paraId="2047237A" w14:textId="4557A5B0" w:rsidR="00CD6A5E" w:rsidRPr="00B40A77" w:rsidRDefault="00CD6A5E" w:rsidP="00CD6A5E">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A84AB5" w:rsidRPr="00B40A77">
        <w:rPr>
          <w:color w:val="000000" w:themeColor="text1"/>
          <w:lang w:val="en-US"/>
        </w:rPr>
        <w:t>Subject to subrule</w:t>
      </w:r>
      <w:r w:rsidR="00AD1D32" w:rsidRPr="00B40A77">
        <w:rPr>
          <w:color w:val="000000" w:themeColor="text1"/>
          <w:lang w:val="en-US"/>
        </w:rPr>
        <w:t> </w:t>
      </w:r>
      <w:r w:rsidR="00A84AB5" w:rsidRPr="00B40A77">
        <w:rPr>
          <w:color w:val="000000" w:themeColor="text1"/>
          <w:lang w:val="en-US"/>
        </w:rPr>
        <w:t xml:space="preserve">(2), </w:t>
      </w:r>
      <w:r w:rsidRPr="00B40A77">
        <w:rPr>
          <w:color w:val="000000" w:themeColor="text1"/>
          <w:lang w:val="en-US"/>
        </w:rPr>
        <w:t xml:space="preserve">on the non-attendance of a defendant or youth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or </w:t>
      </w:r>
      <w:hyperlink w:anchor="_2.1—Definitions" w:history="1">
        <w:r w:rsidR="00E46B25" w:rsidRPr="00B40A77">
          <w:rPr>
            <w:rStyle w:val="Hyperlink"/>
            <w:color w:val="000000" w:themeColor="text1"/>
            <w:lang w:val="en-US"/>
          </w:rPr>
          <w:t>trial</w:t>
        </w:r>
      </w:hyperlink>
      <w:r w:rsidRPr="00B40A77">
        <w:rPr>
          <w:color w:val="000000" w:themeColor="text1"/>
          <w:lang w:val="en-US"/>
        </w:rPr>
        <w:t xml:space="preserve">, the Court may </w:t>
      </w:r>
      <w:r w:rsidR="00751FB1" w:rsidRPr="00B40A77">
        <w:rPr>
          <w:color w:val="000000" w:themeColor="text1"/>
          <w:lang w:val="en-US"/>
        </w:rPr>
        <w:t xml:space="preserve">order the </w:t>
      </w:r>
      <w:r w:rsidRPr="00B40A77">
        <w:rPr>
          <w:color w:val="000000" w:themeColor="text1"/>
          <w:lang w:val="en-US"/>
        </w:rPr>
        <w:t xml:space="preserve">issue </w:t>
      </w:r>
      <w:r w:rsidR="00DF1278" w:rsidRPr="00B40A77">
        <w:rPr>
          <w:color w:val="000000" w:themeColor="text1"/>
          <w:lang w:val="en-US"/>
        </w:rPr>
        <w:t xml:space="preserve">of </w:t>
      </w:r>
      <w:r w:rsidRPr="00B40A77">
        <w:rPr>
          <w:color w:val="000000" w:themeColor="text1"/>
          <w:lang w:val="en-US"/>
        </w:rPr>
        <w:t xml:space="preserve">a warrant of </w:t>
      </w:r>
      <w:r w:rsidR="00751FB1" w:rsidRPr="00B40A77">
        <w:rPr>
          <w:color w:val="000000" w:themeColor="text1"/>
          <w:lang w:val="en-US"/>
        </w:rPr>
        <w:t>apprehension</w:t>
      </w:r>
      <w:r w:rsidR="007C5279" w:rsidRPr="00B40A77">
        <w:rPr>
          <w:color w:val="000000" w:themeColor="text1"/>
          <w:lang w:val="en-US"/>
        </w:rPr>
        <w:t xml:space="preserve"> </w:t>
      </w:r>
      <w:r w:rsidR="00465149" w:rsidRPr="00B40A77">
        <w:rPr>
          <w:color w:val="000000" w:themeColor="text1"/>
          <w:lang w:val="en-US"/>
        </w:rPr>
        <w:t xml:space="preserve">of the defendant or youth </w:t>
      </w:r>
      <w:r w:rsidR="007C5279" w:rsidRPr="00B40A77">
        <w:rPr>
          <w:color w:val="000000" w:themeColor="text1"/>
          <w:lang w:val="en-US"/>
        </w:rPr>
        <w:t>under the relevant provision of the Procedure Act</w:t>
      </w:r>
      <w:r w:rsidR="00751FB1" w:rsidRPr="00B40A77">
        <w:rPr>
          <w:color w:val="000000" w:themeColor="text1"/>
          <w:lang w:val="en-US"/>
        </w:rPr>
        <w:t>.</w:t>
      </w:r>
    </w:p>
    <w:p w14:paraId="42B112A9" w14:textId="0E8FEE4D" w:rsidR="00536E18" w:rsidRPr="00B40A77" w:rsidRDefault="00751FB1" w:rsidP="004D30F6">
      <w:pPr>
        <w:pStyle w:val="Hangindent"/>
        <w:rPr>
          <w:iCs/>
          <w:color w:val="000000" w:themeColor="text1"/>
          <w:lang w:val="en-US"/>
        </w:rPr>
      </w:pPr>
      <w:r w:rsidRPr="00B40A77">
        <w:rPr>
          <w:color w:val="000000" w:themeColor="text1"/>
          <w:lang w:val="en-US"/>
        </w:rPr>
        <w:t>(2)</w:t>
      </w:r>
      <w:r w:rsidRPr="00B40A77">
        <w:rPr>
          <w:color w:val="000000" w:themeColor="text1"/>
          <w:lang w:val="en-US"/>
        </w:rPr>
        <w:tab/>
        <w:t>This rule</w:t>
      </w:r>
      <w:r w:rsidR="00536E18" w:rsidRPr="00B40A77">
        <w:rPr>
          <w:iCs/>
          <w:color w:val="000000" w:themeColor="text1"/>
          <w:lang w:val="en-US"/>
        </w:rPr>
        <w:t xml:space="preserve"> does not apply in respect of a defendant or youth </w:t>
      </w:r>
      <w:r w:rsidR="004D30F6" w:rsidRPr="00B40A77">
        <w:rPr>
          <w:iCs/>
          <w:color w:val="000000" w:themeColor="text1"/>
          <w:lang w:val="en-US"/>
        </w:rPr>
        <w:t>who has filed a w</w:t>
      </w:r>
      <w:r w:rsidR="000F0268" w:rsidRPr="00B40A77">
        <w:rPr>
          <w:iCs/>
          <w:color w:val="000000" w:themeColor="text1"/>
          <w:lang w:val="en-US"/>
        </w:rPr>
        <w:t xml:space="preserve">ritten guilty plea under </w:t>
      </w:r>
      <w:hyperlink w:anchor="_70.2—Entry_of_written" w:history="1">
        <w:r w:rsidR="007D17D2" w:rsidRPr="00B40A77">
          <w:rPr>
            <w:rStyle w:val="Hyperlink"/>
            <w:iCs/>
            <w:color w:val="000000" w:themeColor="text1"/>
            <w:lang w:val="en-US"/>
          </w:rPr>
          <w:t>rule 70</w:t>
        </w:r>
        <w:r w:rsidR="004D30F6" w:rsidRPr="00B40A77">
          <w:rPr>
            <w:rStyle w:val="Hyperlink"/>
            <w:iCs/>
            <w:color w:val="000000" w:themeColor="text1"/>
            <w:lang w:val="en-US"/>
          </w:rPr>
          <w:t>.2</w:t>
        </w:r>
      </w:hyperlink>
      <w:r w:rsidR="004D30F6" w:rsidRPr="00B40A77">
        <w:rPr>
          <w:iCs/>
          <w:color w:val="000000" w:themeColor="text1"/>
          <w:lang w:val="en-US"/>
        </w:rPr>
        <w:t xml:space="preserve"> at the time of the </w:t>
      </w:r>
      <w:hyperlink w:anchor="_37.1—Application_of_Part" w:history="1">
        <w:r w:rsidR="00CE7A79" w:rsidRPr="00B40A77">
          <w:rPr>
            <w:rStyle w:val="Hyperlink"/>
            <w:color w:val="000000" w:themeColor="text1"/>
            <w:lang w:val="en-US"/>
          </w:rPr>
          <w:t>hearing</w:t>
        </w:r>
      </w:hyperlink>
      <w:r w:rsidR="004D30F6" w:rsidRPr="00B40A77">
        <w:rPr>
          <w:iCs/>
          <w:color w:val="000000" w:themeColor="text1"/>
          <w:lang w:val="en-US"/>
        </w:rPr>
        <w:t xml:space="preserve"> in question.</w:t>
      </w:r>
    </w:p>
    <w:p w14:paraId="13EC93FB" w14:textId="61E740AB" w:rsidR="00751FB1" w:rsidRPr="00B40A77" w:rsidRDefault="00751FB1" w:rsidP="00AA301B">
      <w:pPr>
        <w:pStyle w:val="Hangindent"/>
        <w:keepNext/>
        <w:rPr>
          <w:color w:val="000000" w:themeColor="text1"/>
          <w:lang w:val="en-US"/>
        </w:rPr>
      </w:pPr>
      <w:r w:rsidRPr="00B40A77">
        <w:rPr>
          <w:color w:val="000000" w:themeColor="text1"/>
          <w:lang w:val="en-US"/>
        </w:rPr>
        <w:lastRenderedPageBreak/>
        <w:t>(3)</w:t>
      </w:r>
      <w:r w:rsidRPr="00B40A77">
        <w:rPr>
          <w:color w:val="000000" w:themeColor="text1"/>
          <w:lang w:val="en-US"/>
        </w:rPr>
        <w:tab/>
        <w:t xml:space="preserve">A warrant of apprehension ordered under this </w:t>
      </w:r>
      <w:r w:rsidR="007C5279" w:rsidRPr="00B40A77">
        <w:rPr>
          <w:color w:val="000000" w:themeColor="text1"/>
          <w:lang w:val="en-US"/>
        </w:rPr>
        <w:t>rule must</w:t>
      </w:r>
      <w:r w:rsidRPr="00B40A77">
        <w:rPr>
          <w:color w:val="000000" w:themeColor="text1"/>
          <w:lang w:val="en-US"/>
        </w:rPr>
        <w:t xml:space="preserve"> be in the prescribed form.</w:t>
      </w:r>
    </w:p>
    <w:p w14:paraId="29169EB3" w14:textId="77777777" w:rsidR="007C5279" w:rsidRPr="00B40A77" w:rsidRDefault="007C5279" w:rsidP="00633420">
      <w:pPr>
        <w:pStyle w:val="NoteHeader"/>
        <w:keepNext/>
        <w:rPr>
          <w:color w:val="000000" w:themeColor="text1"/>
        </w:rPr>
      </w:pPr>
      <w:r w:rsidRPr="00B40A77">
        <w:rPr>
          <w:color w:val="000000" w:themeColor="text1"/>
        </w:rPr>
        <w:t>Prescribed form—</w:t>
      </w:r>
    </w:p>
    <w:p w14:paraId="63D2F45E" w14:textId="1331416F" w:rsidR="007C5279" w:rsidRPr="00B40A77" w:rsidRDefault="007C5279" w:rsidP="00A777E7">
      <w:pPr>
        <w:pStyle w:val="NoteText"/>
        <w:rPr>
          <w:iCs/>
          <w:color w:val="000000" w:themeColor="text1"/>
          <w:lang w:val="en-US"/>
        </w:rPr>
      </w:pPr>
      <w:r w:rsidRPr="00B40A77">
        <w:rPr>
          <w:color w:val="000000" w:themeColor="text1"/>
        </w:rPr>
        <w:t xml:space="preserve">Form 31 </w:t>
      </w:r>
      <w:r w:rsidRPr="00B40A77">
        <w:rPr>
          <w:color w:val="000000" w:themeColor="text1"/>
          <w:u w:val="single"/>
        </w:rPr>
        <w:t xml:space="preserve">Warrant of </w:t>
      </w:r>
      <w:r w:rsidR="002E1F61" w:rsidRPr="00B40A77">
        <w:rPr>
          <w:color w:val="000000" w:themeColor="text1"/>
          <w:u w:val="single"/>
        </w:rPr>
        <w:t>A</w:t>
      </w:r>
      <w:r w:rsidRPr="00B40A77">
        <w:rPr>
          <w:color w:val="000000" w:themeColor="text1"/>
          <w:u w:val="single"/>
        </w:rPr>
        <w:t xml:space="preserve">pprehension of </w:t>
      </w:r>
      <w:r w:rsidR="002E1F61" w:rsidRPr="00B40A77">
        <w:rPr>
          <w:color w:val="000000" w:themeColor="text1"/>
          <w:u w:val="single"/>
        </w:rPr>
        <w:t>D</w:t>
      </w:r>
      <w:r w:rsidRPr="00B40A77">
        <w:rPr>
          <w:color w:val="000000" w:themeColor="text1"/>
          <w:u w:val="single"/>
        </w:rPr>
        <w:t>efendant</w:t>
      </w:r>
    </w:p>
    <w:p w14:paraId="6FC5207A" w14:textId="424CCF97" w:rsidR="00EC5114" w:rsidRPr="00B40A77" w:rsidRDefault="00EC5114" w:rsidP="00173536">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If the Information is required to be substantiated on oath before a warrant can be issued, it is not necessary that the substantiation be by the informant.</w:t>
      </w:r>
    </w:p>
    <w:p w14:paraId="787BCFB8" w14:textId="0BB5F7EB" w:rsidR="00EC5114" w:rsidRPr="00B40A77" w:rsidRDefault="00EC5114" w:rsidP="00E13A93">
      <w:pPr>
        <w:pStyle w:val="NoteHeader"/>
        <w:keepNext/>
        <w:rPr>
          <w:color w:val="000000" w:themeColor="text1"/>
        </w:rPr>
      </w:pPr>
      <w:r w:rsidRPr="00B40A77">
        <w:rPr>
          <w:color w:val="000000" w:themeColor="text1"/>
        </w:rPr>
        <w:t>Note—</w:t>
      </w:r>
    </w:p>
    <w:p w14:paraId="40DCB929" w14:textId="42C0534D" w:rsidR="00EC5114" w:rsidRPr="00B40A77" w:rsidRDefault="00EC5114" w:rsidP="00592C28">
      <w:pPr>
        <w:pStyle w:val="NoteText"/>
        <w:rPr>
          <w:iCs/>
          <w:color w:val="000000" w:themeColor="text1"/>
          <w:lang w:val="en-US"/>
        </w:rPr>
      </w:pPr>
      <w:r w:rsidRPr="00B40A77">
        <w:rPr>
          <w:color w:val="000000" w:themeColor="text1"/>
        </w:rPr>
        <w:t xml:space="preserve">If a warrant is to be issued under section 49(4)(b), 58(a) or 104(b)(i) of the </w:t>
      </w:r>
      <w:r w:rsidRPr="00B40A77">
        <w:rPr>
          <w:iCs/>
          <w:color w:val="000000" w:themeColor="text1"/>
        </w:rPr>
        <w:t>Procedure Act</w:t>
      </w:r>
      <w:r w:rsidRPr="00B40A77">
        <w:rPr>
          <w:color w:val="000000" w:themeColor="text1"/>
        </w:rPr>
        <w:t xml:space="preserve">, those provisions require that the </w:t>
      </w:r>
      <w:r w:rsidR="0011511B" w:rsidRPr="00B40A77">
        <w:rPr>
          <w:color w:val="000000" w:themeColor="text1"/>
        </w:rPr>
        <w:t>I</w:t>
      </w:r>
      <w:r w:rsidRPr="00B40A77">
        <w:rPr>
          <w:color w:val="000000" w:themeColor="text1"/>
        </w:rPr>
        <w:t>nformation first be substantiated on oath.</w:t>
      </w:r>
    </w:p>
    <w:p w14:paraId="6F7032CE" w14:textId="47189549" w:rsidR="00DB10C9" w:rsidRPr="00B40A77" w:rsidRDefault="00DB10C9" w:rsidP="00DB10C9">
      <w:pPr>
        <w:pStyle w:val="Heading3"/>
        <w:rPr>
          <w:color w:val="000000" w:themeColor="text1"/>
        </w:rPr>
      </w:pPr>
      <w:bookmarkStart w:id="532" w:name="_Subdivision_C—Proceed_to"/>
      <w:bookmarkStart w:id="533" w:name="_Toc175238992"/>
      <w:bookmarkEnd w:id="532"/>
      <w:r w:rsidRPr="00B40A77">
        <w:rPr>
          <w:color w:val="000000" w:themeColor="text1"/>
        </w:rPr>
        <w:t>Subdivision C—Proceed to hear</w:t>
      </w:r>
      <w:bookmarkEnd w:id="533"/>
    </w:p>
    <w:p w14:paraId="2ECEE3CE" w14:textId="5A9DF288" w:rsidR="00751FB1" w:rsidRPr="00B40A77" w:rsidRDefault="00D66B5F" w:rsidP="00751FB1">
      <w:pPr>
        <w:pStyle w:val="Heading4"/>
        <w:rPr>
          <w:color w:val="000000" w:themeColor="text1"/>
        </w:rPr>
      </w:pPr>
      <w:bookmarkStart w:id="534" w:name="_Toc175238993"/>
      <w:r w:rsidRPr="00B40A77">
        <w:rPr>
          <w:color w:val="000000" w:themeColor="text1"/>
        </w:rPr>
        <w:t>6</w:t>
      </w:r>
      <w:r w:rsidR="007D17D2" w:rsidRPr="00B40A77">
        <w:rPr>
          <w:color w:val="000000" w:themeColor="text1"/>
        </w:rPr>
        <w:t>8</w:t>
      </w:r>
      <w:r w:rsidR="00751FB1" w:rsidRPr="00B40A77">
        <w:rPr>
          <w:color w:val="000000" w:themeColor="text1"/>
        </w:rPr>
        <w:t>.3</w:t>
      </w:r>
      <w:r w:rsidR="007C5279" w:rsidRPr="00B40A77">
        <w:rPr>
          <w:color w:val="000000" w:themeColor="text1"/>
        </w:rPr>
        <w:t xml:space="preserve">—Proceed to hear and </w:t>
      </w:r>
      <w:r w:rsidR="00465149" w:rsidRPr="00B40A77">
        <w:rPr>
          <w:color w:val="000000" w:themeColor="text1"/>
        </w:rPr>
        <w:t>adjudicate Information</w:t>
      </w:r>
      <w:bookmarkEnd w:id="534"/>
    </w:p>
    <w:p w14:paraId="6A6BCF3C" w14:textId="42B5C01D" w:rsidR="007C5279" w:rsidRPr="00B40A77" w:rsidRDefault="00A84AB5" w:rsidP="00BB6EE0">
      <w:pPr>
        <w:pStyle w:val="IndentedPara"/>
        <w:rPr>
          <w:color w:val="000000" w:themeColor="text1"/>
        </w:rPr>
      </w:pPr>
      <w:r w:rsidRPr="00B40A77">
        <w:rPr>
          <w:color w:val="000000" w:themeColor="text1"/>
        </w:rPr>
        <w:t>O</w:t>
      </w:r>
      <w:r w:rsidR="00751FB1" w:rsidRPr="00B40A77">
        <w:rPr>
          <w:color w:val="000000" w:themeColor="text1"/>
        </w:rPr>
        <w:t xml:space="preserve">n the non-attendance of a defendant or youth at a </w:t>
      </w:r>
      <w:hyperlink w:anchor="_37.1—Application_of_Part" w:history="1">
        <w:r w:rsidR="00CE7A79" w:rsidRPr="00B40A77">
          <w:rPr>
            <w:rStyle w:val="Hyperlink"/>
            <w:color w:val="000000" w:themeColor="text1"/>
          </w:rPr>
          <w:t>hearing</w:t>
        </w:r>
      </w:hyperlink>
      <w:r w:rsidR="00751FB1" w:rsidRPr="00B40A77">
        <w:rPr>
          <w:color w:val="000000" w:themeColor="text1"/>
        </w:rPr>
        <w:t xml:space="preserve"> or </w:t>
      </w:r>
      <w:r w:rsidR="00751FB1" w:rsidRPr="00B40A77">
        <w:rPr>
          <w:color w:val="000000" w:themeColor="text1"/>
          <w:u w:val="single"/>
        </w:rPr>
        <w:t>trial</w:t>
      </w:r>
      <w:r w:rsidRPr="00B40A77">
        <w:rPr>
          <w:color w:val="000000" w:themeColor="text1"/>
        </w:rPr>
        <w:t xml:space="preserve">, if </w:t>
      </w:r>
      <w:r w:rsidR="00751FB1" w:rsidRPr="00B40A77">
        <w:rPr>
          <w:color w:val="000000" w:themeColor="text1"/>
        </w:rPr>
        <w:t>the Court does</w:t>
      </w:r>
      <w:r w:rsidR="007C5279" w:rsidRPr="00B40A77">
        <w:rPr>
          <w:color w:val="000000" w:themeColor="text1"/>
        </w:rPr>
        <w:t xml:space="preserve"> not </w:t>
      </w:r>
      <w:r w:rsidR="00751FB1" w:rsidRPr="00B40A77">
        <w:rPr>
          <w:color w:val="000000" w:themeColor="text1"/>
        </w:rPr>
        <w:t>issue a warrant o</w:t>
      </w:r>
      <w:r w:rsidR="007C5279" w:rsidRPr="00B40A77">
        <w:rPr>
          <w:color w:val="000000" w:themeColor="text1"/>
        </w:rPr>
        <w:t xml:space="preserve">f </w:t>
      </w:r>
      <w:r w:rsidRPr="00B40A77">
        <w:rPr>
          <w:color w:val="000000" w:themeColor="text1"/>
        </w:rPr>
        <w:t>apprehension</w:t>
      </w:r>
      <w:r w:rsidR="007C5279" w:rsidRPr="00B40A77">
        <w:rPr>
          <w:color w:val="000000" w:themeColor="text1"/>
        </w:rPr>
        <w:t>, the Court may—</w:t>
      </w:r>
    </w:p>
    <w:p w14:paraId="52062A6E" w14:textId="62AF2C0B" w:rsidR="00751FB1" w:rsidRPr="00B40A77" w:rsidRDefault="007C5279" w:rsidP="00BB6EE0">
      <w:pPr>
        <w:pStyle w:val="Doublehangindent"/>
        <w:ind w:left="1134"/>
        <w:rPr>
          <w:color w:val="000000" w:themeColor="text1"/>
          <w:lang w:val="en-US"/>
        </w:rPr>
      </w:pPr>
      <w:r w:rsidRPr="00B40A77">
        <w:rPr>
          <w:color w:val="000000" w:themeColor="text1"/>
        </w:rPr>
        <w:t>(a)</w:t>
      </w:r>
      <w:r w:rsidRPr="00B40A77">
        <w:rPr>
          <w:color w:val="000000" w:themeColor="text1"/>
        </w:rPr>
        <w:tab/>
        <w:t xml:space="preserve">proceed to hear and adjudicate the Information in the absence of the defendant or youth </w:t>
      </w:r>
      <w:r w:rsidRPr="00B40A77">
        <w:rPr>
          <w:color w:val="000000" w:themeColor="text1"/>
          <w:lang w:val="en-US"/>
        </w:rPr>
        <w:t>under the relevant provision of the Procedure Act; or</w:t>
      </w:r>
    </w:p>
    <w:p w14:paraId="5ED1CDBF" w14:textId="5197DE98" w:rsidR="007C5279" w:rsidRPr="00B40A77" w:rsidRDefault="007C5279" w:rsidP="00BB6EE0">
      <w:pPr>
        <w:pStyle w:val="Doublehangindent"/>
        <w:ind w:left="1134"/>
        <w:rPr>
          <w:color w:val="000000" w:themeColor="text1"/>
        </w:rPr>
      </w:pPr>
      <w:r w:rsidRPr="00B40A77">
        <w:rPr>
          <w:color w:val="000000" w:themeColor="text1"/>
          <w:lang w:val="en-US"/>
        </w:rPr>
        <w:t>(b)</w:t>
      </w:r>
      <w:r w:rsidRPr="00B40A77">
        <w:rPr>
          <w:color w:val="000000" w:themeColor="text1"/>
          <w:lang w:val="en-US"/>
        </w:rPr>
        <w:tab/>
        <w:t xml:space="preserve">adjourn the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and adjudication of </w:t>
      </w:r>
      <w:r w:rsidRPr="00B40A77">
        <w:rPr>
          <w:color w:val="000000" w:themeColor="text1"/>
        </w:rPr>
        <w:t xml:space="preserve">the Information in the absence of the defendant or youth </w:t>
      </w:r>
      <w:r w:rsidRPr="00B40A77">
        <w:rPr>
          <w:color w:val="000000" w:themeColor="text1"/>
          <w:lang w:val="en-US"/>
        </w:rPr>
        <w:t>under the relevant provision of the Procedure Act.</w:t>
      </w:r>
    </w:p>
    <w:p w14:paraId="4A1A335C" w14:textId="1EB449CD" w:rsidR="00EC0716" w:rsidRPr="00B40A77" w:rsidRDefault="00EC0716" w:rsidP="00EC0716">
      <w:pPr>
        <w:pStyle w:val="Heading3"/>
        <w:rPr>
          <w:color w:val="000000" w:themeColor="text1"/>
        </w:rPr>
      </w:pPr>
      <w:bookmarkStart w:id="535" w:name="_Division_5—Non-appearance_of"/>
      <w:bookmarkStart w:id="536" w:name="_Toc175238994"/>
      <w:bookmarkEnd w:id="535"/>
      <w:r w:rsidRPr="00B40A77">
        <w:rPr>
          <w:color w:val="000000" w:themeColor="text1"/>
        </w:rPr>
        <w:t>Divisi</w:t>
      </w:r>
      <w:r w:rsidR="00D66B5F" w:rsidRPr="00B40A77">
        <w:rPr>
          <w:color w:val="000000" w:themeColor="text1"/>
        </w:rPr>
        <w:t xml:space="preserve">on </w:t>
      </w:r>
      <w:r w:rsidR="00CD3213" w:rsidRPr="00B40A77">
        <w:rPr>
          <w:color w:val="000000" w:themeColor="text1"/>
        </w:rPr>
        <w:t>5</w:t>
      </w:r>
      <w:r w:rsidRPr="00B40A77">
        <w:rPr>
          <w:color w:val="000000" w:themeColor="text1"/>
        </w:rPr>
        <w:t>—Non-appearance of informant</w:t>
      </w:r>
      <w:bookmarkEnd w:id="536"/>
    </w:p>
    <w:p w14:paraId="0FD9D4DF" w14:textId="165488D3" w:rsidR="00200DB9" w:rsidRPr="00B40A77" w:rsidRDefault="00D66B5F" w:rsidP="00200DB9">
      <w:pPr>
        <w:pStyle w:val="Heading4"/>
        <w:rPr>
          <w:color w:val="000000" w:themeColor="text1"/>
        </w:rPr>
      </w:pPr>
      <w:bookmarkStart w:id="537" w:name="_Toc175238995"/>
      <w:r w:rsidRPr="00B40A77">
        <w:rPr>
          <w:color w:val="000000" w:themeColor="text1"/>
        </w:rPr>
        <w:t>6</w:t>
      </w:r>
      <w:r w:rsidR="007D17D2" w:rsidRPr="00B40A77">
        <w:rPr>
          <w:color w:val="000000" w:themeColor="text1"/>
        </w:rPr>
        <w:t>9</w:t>
      </w:r>
      <w:r w:rsidR="002C71DC" w:rsidRPr="00B40A77">
        <w:rPr>
          <w:color w:val="000000" w:themeColor="text1"/>
        </w:rPr>
        <w:t>.1</w:t>
      </w:r>
      <w:r w:rsidR="00200DB9" w:rsidRPr="00B40A77">
        <w:rPr>
          <w:color w:val="000000" w:themeColor="text1"/>
        </w:rPr>
        <w:t>—</w:t>
      </w:r>
      <w:r w:rsidR="002C71DC" w:rsidRPr="00B40A77">
        <w:rPr>
          <w:color w:val="000000" w:themeColor="text1"/>
        </w:rPr>
        <w:t>Orders on non-appearance</w:t>
      </w:r>
      <w:bookmarkEnd w:id="537"/>
    </w:p>
    <w:p w14:paraId="6A312E88" w14:textId="4A4340B0" w:rsidR="00EC0716" w:rsidRPr="00B40A77" w:rsidRDefault="00EC0716" w:rsidP="00173536">
      <w:pPr>
        <w:pStyle w:val="Hangindent"/>
        <w:keepNext/>
        <w:rPr>
          <w:color w:val="000000" w:themeColor="text1"/>
        </w:rPr>
      </w:pPr>
      <w:r w:rsidRPr="00B40A77">
        <w:rPr>
          <w:color w:val="000000" w:themeColor="text1"/>
          <w:lang w:val="en-US"/>
        </w:rPr>
        <w:t>(</w:t>
      </w:r>
      <w:r w:rsidR="002C71DC" w:rsidRPr="00B40A77">
        <w:rPr>
          <w:color w:val="000000" w:themeColor="text1"/>
          <w:lang w:val="en-US"/>
        </w:rPr>
        <w:t>1)</w:t>
      </w:r>
      <w:r w:rsidR="002C71DC" w:rsidRPr="00B40A77">
        <w:rPr>
          <w:color w:val="000000" w:themeColor="text1"/>
          <w:lang w:val="en-US"/>
        </w:rPr>
        <w:tab/>
        <w:t>This rule</w:t>
      </w:r>
      <w:r w:rsidRPr="00B40A77">
        <w:rPr>
          <w:color w:val="000000" w:themeColor="text1"/>
          <w:lang w:val="en-US"/>
        </w:rPr>
        <w:t xml:space="preserve"> applies if the defendant or youth attend</w:t>
      </w:r>
      <w:r w:rsidR="000F6210" w:rsidRPr="00B40A77">
        <w:rPr>
          <w:color w:val="000000" w:themeColor="text1"/>
          <w:lang w:val="en-US"/>
        </w:rPr>
        <w:t>s but the informant</w:t>
      </w:r>
      <w:r w:rsidR="00200DB9" w:rsidRPr="00B40A77">
        <w:rPr>
          <w:color w:val="000000" w:themeColor="text1"/>
          <w:lang w:val="en-US"/>
        </w:rPr>
        <w:t xml:space="preserve">, having had due notice, </w:t>
      </w:r>
      <w:r w:rsidR="000F6210" w:rsidRPr="00B40A77">
        <w:rPr>
          <w:color w:val="000000" w:themeColor="text1"/>
          <w:lang w:val="en-US"/>
        </w:rPr>
        <w:t xml:space="preserve">does not attend at a </w:t>
      </w:r>
      <w:hyperlink w:anchor="_37.1—Application_of_Part" w:history="1">
        <w:r w:rsidR="00CE7A79" w:rsidRPr="00B40A77">
          <w:rPr>
            <w:rStyle w:val="Hyperlink"/>
            <w:color w:val="000000" w:themeColor="text1"/>
            <w:lang w:val="en-US"/>
          </w:rPr>
          <w:t>hearing</w:t>
        </w:r>
      </w:hyperlink>
      <w:r w:rsidR="000F6210" w:rsidRPr="00B40A77">
        <w:rPr>
          <w:color w:val="000000" w:themeColor="text1"/>
          <w:lang w:val="en-US"/>
        </w:rPr>
        <w:t xml:space="preserve"> or </w:t>
      </w:r>
      <w:r w:rsidR="000F6210" w:rsidRPr="00B40A77">
        <w:rPr>
          <w:color w:val="000000" w:themeColor="text1"/>
          <w:u w:val="single"/>
          <w:lang w:val="en-US"/>
        </w:rPr>
        <w:t>trial</w:t>
      </w:r>
      <w:r w:rsidR="000F6210" w:rsidRPr="00B40A77">
        <w:rPr>
          <w:color w:val="000000" w:themeColor="text1"/>
          <w:lang w:val="en-US"/>
        </w:rPr>
        <w:t>.</w:t>
      </w:r>
    </w:p>
    <w:p w14:paraId="5C428141" w14:textId="4C60A5F4" w:rsidR="00EC0716" w:rsidRPr="00B40A77" w:rsidRDefault="00EC0716" w:rsidP="00E13A93">
      <w:pPr>
        <w:pStyle w:val="NoteHeader"/>
        <w:keepNext/>
        <w:rPr>
          <w:color w:val="000000" w:themeColor="text1"/>
        </w:rPr>
      </w:pPr>
      <w:r w:rsidRPr="00B40A77">
        <w:rPr>
          <w:color w:val="000000" w:themeColor="text1"/>
        </w:rPr>
        <w:t>Note—</w:t>
      </w:r>
    </w:p>
    <w:p w14:paraId="7E6590D9" w14:textId="27373052" w:rsidR="00EC0716" w:rsidRPr="00B40A77" w:rsidRDefault="00EC0716" w:rsidP="00EC0716">
      <w:pPr>
        <w:pStyle w:val="NoteText"/>
        <w:rPr>
          <w:color w:val="000000" w:themeColor="text1"/>
        </w:rPr>
      </w:pPr>
      <w:r w:rsidRPr="00B40A77">
        <w:rPr>
          <w:color w:val="000000" w:themeColor="text1"/>
        </w:rPr>
        <w:t>Section</w:t>
      </w:r>
      <w:r w:rsidR="00200DB9" w:rsidRPr="00B40A77">
        <w:rPr>
          <w:color w:val="000000" w:themeColor="text1"/>
        </w:rPr>
        <w:t xml:space="preserve"> 63</w:t>
      </w:r>
      <w:r w:rsidRPr="00B40A77">
        <w:rPr>
          <w:color w:val="000000" w:themeColor="text1"/>
        </w:rPr>
        <w:t xml:space="preserve"> of the Procedure Act provide</w:t>
      </w:r>
      <w:r w:rsidR="00200DB9" w:rsidRPr="00B40A77">
        <w:rPr>
          <w:color w:val="000000" w:themeColor="text1"/>
        </w:rPr>
        <w:t>s</w:t>
      </w:r>
      <w:r w:rsidRPr="00B40A77">
        <w:rPr>
          <w:color w:val="000000" w:themeColor="text1"/>
        </w:rPr>
        <w:t xml:space="preserve"> for the exercise of powers when the </w:t>
      </w:r>
      <w:r w:rsidR="00200DB9" w:rsidRPr="00B40A77">
        <w:rPr>
          <w:color w:val="000000" w:themeColor="text1"/>
        </w:rPr>
        <w:t>informant, having had due notice</w:t>
      </w:r>
      <w:r w:rsidR="00A73A6D" w:rsidRPr="00B40A77">
        <w:rPr>
          <w:color w:val="000000" w:themeColor="text1"/>
        </w:rPr>
        <w:t>,</w:t>
      </w:r>
      <w:r w:rsidRPr="00B40A77">
        <w:rPr>
          <w:color w:val="000000" w:themeColor="text1"/>
        </w:rPr>
        <w:t xml:space="preserve"> fa</w:t>
      </w:r>
      <w:r w:rsidR="00200DB9" w:rsidRPr="00B40A77">
        <w:rPr>
          <w:color w:val="000000" w:themeColor="text1"/>
        </w:rPr>
        <w:t>ils to appear</w:t>
      </w:r>
      <w:r w:rsidRPr="00B40A77">
        <w:rPr>
          <w:color w:val="000000" w:themeColor="text1"/>
        </w:rPr>
        <w:t>.</w:t>
      </w:r>
    </w:p>
    <w:p w14:paraId="43916F89" w14:textId="1115871E" w:rsidR="00465149" w:rsidRPr="00B40A77" w:rsidRDefault="002C71DC" w:rsidP="00465149">
      <w:pPr>
        <w:pStyle w:val="Hangindent"/>
        <w:rPr>
          <w:color w:val="000000" w:themeColor="text1"/>
        </w:rPr>
      </w:pPr>
      <w:r w:rsidRPr="00B40A77">
        <w:rPr>
          <w:color w:val="000000" w:themeColor="text1"/>
          <w:lang w:val="en-US"/>
        </w:rPr>
        <w:t>(2</w:t>
      </w:r>
      <w:r w:rsidR="00465149" w:rsidRPr="00B40A77">
        <w:rPr>
          <w:color w:val="000000" w:themeColor="text1"/>
          <w:lang w:val="en-US"/>
        </w:rPr>
        <w:t>)</w:t>
      </w:r>
      <w:r w:rsidR="00465149" w:rsidRPr="00B40A77">
        <w:rPr>
          <w:color w:val="000000" w:themeColor="text1"/>
          <w:lang w:val="en-US"/>
        </w:rPr>
        <w:tab/>
        <w:t xml:space="preserve">If this </w:t>
      </w:r>
      <w:r w:rsidR="009556A6" w:rsidRPr="00B40A77">
        <w:rPr>
          <w:color w:val="000000" w:themeColor="text1"/>
          <w:lang w:val="en-US"/>
        </w:rPr>
        <w:t>rule</w:t>
      </w:r>
      <w:r w:rsidR="00465149" w:rsidRPr="00B40A77">
        <w:rPr>
          <w:color w:val="000000" w:themeColor="text1"/>
          <w:lang w:val="en-US"/>
        </w:rPr>
        <w:t xml:space="preserve"> applies, the Court may</w:t>
      </w:r>
      <w:r w:rsidR="00465149" w:rsidRPr="00B40A77">
        <w:rPr>
          <w:color w:val="000000" w:themeColor="text1"/>
        </w:rPr>
        <w:t xml:space="preserve"> dismiss the Information</w:t>
      </w:r>
      <w:r w:rsidR="00465149" w:rsidRPr="00B40A77">
        <w:rPr>
          <w:color w:val="000000" w:themeColor="text1"/>
          <w:lang w:val="en-US"/>
        </w:rPr>
        <w:t xml:space="preserve"> </w:t>
      </w:r>
      <w:r w:rsidRPr="00B40A77">
        <w:rPr>
          <w:color w:val="000000" w:themeColor="text1"/>
          <w:lang w:val="en-US"/>
        </w:rPr>
        <w:t xml:space="preserve">or adjourn the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w:t>
      </w:r>
      <w:r w:rsidR="00867554" w:rsidRPr="00B40A77">
        <w:rPr>
          <w:color w:val="000000" w:themeColor="text1"/>
          <w:lang w:val="en-US"/>
        </w:rPr>
        <w:t xml:space="preserve">or </w:t>
      </w:r>
      <w:r w:rsidR="00867554" w:rsidRPr="00B40A77">
        <w:rPr>
          <w:color w:val="000000" w:themeColor="text1"/>
          <w:u w:val="single"/>
          <w:lang w:val="en-US"/>
        </w:rPr>
        <w:t>trial</w:t>
      </w:r>
      <w:r w:rsidR="00867554" w:rsidRPr="00B40A77">
        <w:rPr>
          <w:color w:val="000000" w:themeColor="text1"/>
          <w:lang w:val="en-US"/>
        </w:rPr>
        <w:t xml:space="preserve"> </w:t>
      </w:r>
      <w:r w:rsidR="00465149" w:rsidRPr="00B40A77">
        <w:rPr>
          <w:color w:val="000000" w:themeColor="text1"/>
          <w:lang w:val="en-US"/>
        </w:rPr>
        <w:t xml:space="preserve">under </w:t>
      </w:r>
      <w:r w:rsidR="0059365A" w:rsidRPr="00B40A77">
        <w:rPr>
          <w:color w:val="000000" w:themeColor="text1"/>
          <w:lang w:val="en-US"/>
        </w:rPr>
        <w:t>section</w:t>
      </w:r>
      <w:r w:rsidR="0068622B" w:rsidRPr="00B40A77">
        <w:rPr>
          <w:color w:val="000000" w:themeColor="text1"/>
          <w:lang w:val="en-US"/>
        </w:rPr>
        <w:t> </w:t>
      </w:r>
      <w:r w:rsidR="0059365A" w:rsidRPr="00B40A77">
        <w:rPr>
          <w:color w:val="000000" w:themeColor="text1"/>
          <w:lang w:val="en-US"/>
        </w:rPr>
        <w:t>63</w:t>
      </w:r>
      <w:r w:rsidR="00465149" w:rsidRPr="00B40A77">
        <w:rPr>
          <w:color w:val="000000" w:themeColor="text1"/>
          <w:lang w:val="en-US"/>
        </w:rPr>
        <w:t xml:space="preserve"> of the Procedure Act</w:t>
      </w:r>
      <w:r w:rsidR="00465149" w:rsidRPr="00B40A77">
        <w:rPr>
          <w:color w:val="000000" w:themeColor="text1"/>
        </w:rPr>
        <w:t>.</w:t>
      </w:r>
    </w:p>
    <w:p w14:paraId="34391072" w14:textId="207DCC3C" w:rsidR="006C1200" w:rsidRPr="00B40A77" w:rsidRDefault="00600147" w:rsidP="00BE23A0">
      <w:pPr>
        <w:pStyle w:val="Heading2"/>
        <w:keepNext/>
        <w:rPr>
          <w:color w:val="000000" w:themeColor="text1"/>
        </w:rPr>
      </w:pPr>
      <w:bookmarkStart w:id="538" w:name="_Toc175238996"/>
      <w:r w:rsidRPr="00B40A77">
        <w:rPr>
          <w:color w:val="000000" w:themeColor="text1"/>
        </w:rPr>
        <w:t>Par</w:t>
      </w:r>
      <w:r w:rsidR="00D66B5F" w:rsidRPr="00B40A77">
        <w:rPr>
          <w:color w:val="000000" w:themeColor="text1"/>
        </w:rPr>
        <w:t xml:space="preserve">t </w:t>
      </w:r>
      <w:r w:rsidR="008A68D2" w:rsidRPr="00B40A77">
        <w:rPr>
          <w:color w:val="000000" w:themeColor="text1"/>
        </w:rPr>
        <w:t>5</w:t>
      </w:r>
      <w:r w:rsidR="006C1200" w:rsidRPr="00B40A77">
        <w:rPr>
          <w:color w:val="000000" w:themeColor="text1"/>
        </w:rPr>
        <w:t>—Guilty pleas</w:t>
      </w:r>
      <w:bookmarkEnd w:id="538"/>
    </w:p>
    <w:p w14:paraId="0F54BB9B" w14:textId="74B112AF" w:rsidR="004506CF" w:rsidRPr="00B40A77" w:rsidRDefault="007D17D2" w:rsidP="004506CF">
      <w:pPr>
        <w:pStyle w:val="Heading4"/>
        <w:rPr>
          <w:color w:val="000000" w:themeColor="text1"/>
        </w:rPr>
      </w:pPr>
      <w:bookmarkStart w:id="539" w:name="_Toc175238997"/>
      <w:r w:rsidRPr="00B40A77">
        <w:rPr>
          <w:color w:val="000000" w:themeColor="text1"/>
        </w:rPr>
        <w:t>70</w:t>
      </w:r>
      <w:r w:rsidR="00093EC1" w:rsidRPr="00B40A77">
        <w:rPr>
          <w:color w:val="000000" w:themeColor="text1"/>
        </w:rPr>
        <w:t>.1—</w:t>
      </w:r>
      <w:r w:rsidR="00F02006" w:rsidRPr="00B40A77">
        <w:rPr>
          <w:color w:val="000000" w:themeColor="text1"/>
        </w:rPr>
        <w:t xml:space="preserve">Entry of </w:t>
      </w:r>
      <w:r w:rsidR="00093EC1" w:rsidRPr="00B40A77">
        <w:rPr>
          <w:color w:val="000000" w:themeColor="text1"/>
        </w:rPr>
        <w:t>plea in court</w:t>
      </w:r>
      <w:bookmarkEnd w:id="539"/>
    </w:p>
    <w:p w14:paraId="60A0FDE4" w14:textId="0607B5A9" w:rsidR="00093EC1" w:rsidRPr="00B40A77" w:rsidRDefault="004506CF" w:rsidP="00A12E24">
      <w:pPr>
        <w:pStyle w:val="IndentedPara"/>
        <w:rPr>
          <w:color w:val="000000" w:themeColor="text1"/>
        </w:rPr>
      </w:pPr>
      <w:r w:rsidRPr="00B40A77">
        <w:rPr>
          <w:color w:val="000000" w:themeColor="text1"/>
        </w:rPr>
        <w:t xml:space="preserve">Subject to </w:t>
      </w:r>
      <w:hyperlink w:anchor="_70.2—Entry_of_written" w:history="1">
        <w:r w:rsidRPr="00B40A77">
          <w:rPr>
            <w:rStyle w:val="Hyperlink"/>
            <w:color w:val="000000" w:themeColor="text1"/>
          </w:rPr>
          <w:t xml:space="preserve">rule </w:t>
        </w:r>
        <w:r w:rsidR="009556A6" w:rsidRPr="00B40A77">
          <w:rPr>
            <w:rStyle w:val="Hyperlink"/>
            <w:color w:val="000000" w:themeColor="text1"/>
          </w:rPr>
          <w:t>70</w:t>
        </w:r>
        <w:r w:rsidR="00093EC1" w:rsidRPr="00B40A77">
          <w:rPr>
            <w:rStyle w:val="Hyperlink"/>
            <w:color w:val="000000" w:themeColor="text1"/>
          </w:rPr>
          <w:t>.2</w:t>
        </w:r>
      </w:hyperlink>
      <w:r w:rsidRPr="00B40A77">
        <w:rPr>
          <w:color w:val="000000" w:themeColor="text1"/>
        </w:rPr>
        <w:t xml:space="preserve">, a plea must be entered in court </w:t>
      </w:r>
      <w:r w:rsidR="00093EC1" w:rsidRPr="00B40A77">
        <w:rPr>
          <w:color w:val="000000" w:themeColor="text1"/>
        </w:rPr>
        <w:t xml:space="preserve">during a </w:t>
      </w:r>
      <w:hyperlink w:anchor="_37.1—Application_of_Part" w:history="1">
        <w:r w:rsidR="00CE7A79" w:rsidRPr="00B40A77">
          <w:rPr>
            <w:rStyle w:val="Hyperlink"/>
            <w:color w:val="000000" w:themeColor="text1"/>
          </w:rPr>
          <w:t>hearing</w:t>
        </w:r>
      </w:hyperlink>
      <w:r w:rsidR="00093EC1" w:rsidRPr="00B40A77">
        <w:rPr>
          <w:color w:val="000000" w:themeColor="text1"/>
        </w:rPr>
        <w:t xml:space="preserve"> or </w:t>
      </w:r>
      <w:r w:rsidR="00093EC1" w:rsidRPr="00B40A77">
        <w:rPr>
          <w:color w:val="000000" w:themeColor="text1"/>
          <w:u w:val="single"/>
        </w:rPr>
        <w:t>trial</w:t>
      </w:r>
      <w:r w:rsidR="00093EC1" w:rsidRPr="00B40A77">
        <w:rPr>
          <w:color w:val="000000" w:themeColor="text1"/>
        </w:rPr>
        <w:t>.</w:t>
      </w:r>
    </w:p>
    <w:p w14:paraId="0C2F84BD" w14:textId="49D18521" w:rsidR="005D4EB4" w:rsidRPr="00B40A77" w:rsidRDefault="007D17D2" w:rsidP="005D4EB4">
      <w:pPr>
        <w:pStyle w:val="Heading4"/>
        <w:rPr>
          <w:color w:val="000000" w:themeColor="text1"/>
        </w:rPr>
      </w:pPr>
      <w:bookmarkStart w:id="540" w:name="_70.2—Entry_of_written"/>
      <w:bookmarkStart w:id="541" w:name="_Toc175238998"/>
      <w:bookmarkEnd w:id="540"/>
      <w:r w:rsidRPr="00B40A77">
        <w:rPr>
          <w:color w:val="000000" w:themeColor="text1"/>
        </w:rPr>
        <w:t>70</w:t>
      </w:r>
      <w:r w:rsidR="005D4EB4" w:rsidRPr="00B40A77">
        <w:rPr>
          <w:color w:val="000000" w:themeColor="text1"/>
        </w:rPr>
        <w:t>.2—</w:t>
      </w:r>
      <w:r w:rsidR="00C111E7" w:rsidRPr="00B40A77">
        <w:rPr>
          <w:color w:val="000000" w:themeColor="text1"/>
        </w:rPr>
        <w:t>Entry of w</w:t>
      </w:r>
      <w:r w:rsidR="005D4EB4" w:rsidRPr="00B40A77">
        <w:rPr>
          <w:color w:val="000000" w:themeColor="text1"/>
        </w:rPr>
        <w:t>ritten guilty plea</w:t>
      </w:r>
      <w:bookmarkEnd w:id="541"/>
    </w:p>
    <w:p w14:paraId="5293ED6F" w14:textId="61ED8AA1" w:rsidR="003C380E" w:rsidRPr="00B40A77" w:rsidRDefault="005D4EB4" w:rsidP="005D4EB4">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w:t>
      </w:r>
      <w:r w:rsidR="003C380E" w:rsidRPr="00B40A77">
        <w:rPr>
          <w:color w:val="000000" w:themeColor="text1"/>
          <w:lang w:val="en-US"/>
        </w:rPr>
        <w:t xml:space="preserve"> </w:t>
      </w:r>
      <w:r w:rsidRPr="00B40A77">
        <w:rPr>
          <w:color w:val="000000" w:themeColor="text1"/>
          <w:lang w:val="en-US"/>
        </w:rPr>
        <w:t>if</w:t>
      </w:r>
      <w:r w:rsidR="003C380E" w:rsidRPr="00B40A77">
        <w:rPr>
          <w:color w:val="000000" w:themeColor="text1"/>
          <w:lang w:val="en-US"/>
        </w:rPr>
        <w:t>—</w:t>
      </w:r>
    </w:p>
    <w:p w14:paraId="1604005C" w14:textId="70D0D894" w:rsidR="005D4EB4" w:rsidRPr="00B40A77" w:rsidRDefault="003C380E" w:rsidP="003C380E">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5D4EB4" w:rsidRPr="00B40A77">
        <w:rPr>
          <w:color w:val="000000" w:themeColor="text1"/>
          <w:lang w:val="en-US"/>
        </w:rPr>
        <w:t xml:space="preserve">the </w:t>
      </w:r>
      <w:r w:rsidRPr="00B40A77">
        <w:rPr>
          <w:color w:val="000000" w:themeColor="text1"/>
          <w:lang w:val="en-US"/>
        </w:rPr>
        <w:t xml:space="preserve">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for any offence charged in the Information is summary not punishable by imprisonment or detention;</w:t>
      </w:r>
      <w:r w:rsidR="0091573D" w:rsidRPr="00B40A77">
        <w:rPr>
          <w:color w:val="000000" w:themeColor="text1"/>
          <w:lang w:val="en-US"/>
        </w:rPr>
        <w:t xml:space="preserve"> and</w:t>
      </w:r>
    </w:p>
    <w:p w14:paraId="4F6AB18B" w14:textId="24D413A5" w:rsidR="003C380E" w:rsidRPr="00B40A77" w:rsidRDefault="003C380E" w:rsidP="00AA301B">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a defendant or </w:t>
      </w:r>
      <w:r w:rsidR="007F546C" w:rsidRPr="00B40A77">
        <w:rPr>
          <w:color w:val="000000" w:themeColor="text1"/>
          <w:lang w:val="en-US"/>
        </w:rPr>
        <w:t>youth</w:t>
      </w:r>
      <w:r w:rsidRPr="00B40A77">
        <w:rPr>
          <w:color w:val="000000" w:themeColor="text1"/>
          <w:lang w:val="en-US"/>
        </w:rPr>
        <w:t xml:space="preserve"> wishes to plead guilty to every count in the Information</w:t>
      </w:r>
      <w:r w:rsidR="00432672" w:rsidRPr="00B40A77">
        <w:rPr>
          <w:color w:val="000000" w:themeColor="text1"/>
          <w:lang w:val="en-US"/>
        </w:rPr>
        <w:t xml:space="preserve"> pressed by the prosecution</w:t>
      </w:r>
      <w:r w:rsidR="00073F19" w:rsidRPr="00B40A77">
        <w:rPr>
          <w:color w:val="000000" w:themeColor="text1"/>
          <w:lang w:val="en-US"/>
        </w:rPr>
        <w:t>.</w:t>
      </w:r>
      <w:r w:rsidR="0091573D" w:rsidRPr="00B40A77">
        <w:rPr>
          <w:color w:val="000000" w:themeColor="text1"/>
          <w:lang w:val="en-US"/>
        </w:rPr>
        <w:t xml:space="preserve"> </w:t>
      </w:r>
    </w:p>
    <w:p w14:paraId="2A8DE96D" w14:textId="11AFC61F" w:rsidR="006664DE" w:rsidRPr="00B40A77" w:rsidRDefault="006664DE" w:rsidP="004C2422">
      <w:pPr>
        <w:pStyle w:val="NoteHeader"/>
        <w:keepNext/>
        <w:ind w:left="1701"/>
        <w:rPr>
          <w:color w:val="000000" w:themeColor="text1"/>
        </w:rPr>
      </w:pPr>
      <w:r w:rsidRPr="00B40A77">
        <w:rPr>
          <w:color w:val="000000" w:themeColor="text1"/>
        </w:rPr>
        <w:t>Note—</w:t>
      </w:r>
    </w:p>
    <w:p w14:paraId="2140BE56" w14:textId="184F5D86" w:rsidR="006664DE" w:rsidRPr="00B40A77" w:rsidRDefault="006664DE" w:rsidP="00592C28">
      <w:pPr>
        <w:pStyle w:val="NoteText"/>
        <w:ind w:left="1985"/>
        <w:rPr>
          <w:color w:val="000000" w:themeColor="text1"/>
        </w:rPr>
      </w:pPr>
      <w:r w:rsidRPr="00B40A77">
        <w:rPr>
          <w:color w:val="000000" w:themeColor="text1"/>
        </w:rPr>
        <w:t xml:space="preserve">Section 57A of the Procedure Act empowers the making of rules to provide for a person against whom an </w:t>
      </w:r>
      <w:r w:rsidR="00600147" w:rsidRPr="00B40A77">
        <w:rPr>
          <w:color w:val="000000" w:themeColor="text1"/>
        </w:rPr>
        <w:t>Information</w:t>
      </w:r>
      <w:r w:rsidRPr="00B40A77">
        <w:rPr>
          <w:color w:val="000000" w:themeColor="text1"/>
        </w:rPr>
        <w:t xml:space="preserve"> has been laid for an offence that is not punishable by imprisonment (either for a first or subsequent offence) to elect to plead guilty to the offence without appearing in the Court in obedience to a summons.</w:t>
      </w:r>
    </w:p>
    <w:p w14:paraId="2BD2EC3D" w14:textId="5E162CD6" w:rsidR="003C380E" w:rsidRPr="00B40A77" w:rsidRDefault="003C380E" w:rsidP="00AA301B">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r>
      <w:r w:rsidR="0091573D" w:rsidRPr="00B40A77">
        <w:rPr>
          <w:color w:val="000000" w:themeColor="text1"/>
          <w:lang w:val="en-US"/>
        </w:rPr>
        <w:t>If this rule applies, a</w:t>
      </w:r>
      <w:r w:rsidRPr="00B40A77">
        <w:rPr>
          <w:color w:val="000000" w:themeColor="text1"/>
          <w:lang w:val="en-US"/>
        </w:rPr>
        <w:t xml:space="preserve"> defendant or </w:t>
      </w:r>
      <w:r w:rsidR="007F546C" w:rsidRPr="00B40A77">
        <w:rPr>
          <w:color w:val="000000" w:themeColor="text1"/>
          <w:lang w:val="en-US"/>
        </w:rPr>
        <w:t>youth</w:t>
      </w:r>
      <w:r w:rsidRPr="00B40A77">
        <w:rPr>
          <w:color w:val="000000" w:themeColor="text1"/>
          <w:lang w:val="en-US"/>
        </w:rPr>
        <w:t xml:space="preserve"> may elect to plead guilty</w:t>
      </w:r>
      <w:r w:rsidR="0091573D" w:rsidRPr="00B40A77">
        <w:rPr>
          <w:color w:val="000000" w:themeColor="text1"/>
          <w:lang w:val="en-US"/>
        </w:rPr>
        <w:t xml:space="preserve"> in writing</w:t>
      </w:r>
      <w:r w:rsidR="003D4C4D" w:rsidRPr="00B40A77">
        <w:rPr>
          <w:color w:val="000000" w:themeColor="text1"/>
          <w:lang w:val="en-US"/>
        </w:rPr>
        <w:t xml:space="preserve"> by filing a </w:t>
      </w:r>
      <w:r w:rsidR="00FB0574" w:rsidRPr="00B40A77">
        <w:rPr>
          <w:color w:val="000000" w:themeColor="text1"/>
          <w:lang w:val="en-US"/>
        </w:rPr>
        <w:t>written guilty plea in the prescribed form.</w:t>
      </w:r>
    </w:p>
    <w:p w14:paraId="2B062345" w14:textId="77777777" w:rsidR="00FB0574" w:rsidRPr="00B40A77" w:rsidRDefault="00FB0574" w:rsidP="00E13A93">
      <w:pPr>
        <w:pStyle w:val="NoteHeader"/>
        <w:keepNext/>
        <w:rPr>
          <w:color w:val="000000" w:themeColor="text1"/>
        </w:rPr>
      </w:pPr>
      <w:r w:rsidRPr="00B40A77">
        <w:rPr>
          <w:color w:val="000000" w:themeColor="text1"/>
        </w:rPr>
        <w:t>Prescribed form—</w:t>
      </w:r>
    </w:p>
    <w:p w14:paraId="2583C896" w14:textId="1711A1D7" w:rsidR="00FB0574" w:rsidRPr="00B40A77" w:rsidRDefault="00FB0574" w:rsidP="00FB0574">
      <w:pPr>
        <w:pStyle w:val="NoteText"/>
        <w:rPr>
          <w:color w:val="000000" w:themeColor="text1"/>
        </w:rPr>
      </w:pPr>
      <w:r w:rsidRPr="00B40A77">
        <w:rPr>
          <w:color w:val="000000" w:themeColor="text1"/>
        </w:rPr>
        <w:t xml:space="preserve">Form 51 </w:t>
      </w:r>
      <w:hyperlink r:id="rId147" w:history="1">
        <w:r w:rsidRPr="00B40A77">
          <w:rPr>
            <w:rStyle w:val="Hyperlink"/>
            <w:color w:val="000000" w:themeColor="text1"/>
          </w:rPr>
          <w:t xml:space="preserve">Written </w:t>
        </w:r>
        <w:r w:rsidR="002E1F61" w:rsidRPr="00B40A77">
          <w:rPr>
            <w:rStyle w:val="Hyperlink"/>
            <w:color w:val="000000" w:themeColor="text1"/>
          </w:rPr>
          <w:t>G</w:t>
        </w:r>
        <w:r w:rsidRPr="00B40A77">
          <w:rPr>
            <w:rStyle w:val="Hyperlink"/>
            <w:color w:val="000000" w:themeColor="text1"/>
          </w:rPr>
          <w:t xml:space="preserve">uilty </w:t>
        </w:r>
        <w:r w:rsidR="002E1F61" w:rsidRPr="00B40A77">
          <w:rPr>
            <w:rStyle w:val="Hyperlink"/>
            <w:color w:val="000000" w:themeColor="text1"/>
          </w:rPr>
          <w:t>P</w:t>
        </w:r>
        <w:r w:rsidRPr="00B40A77">
          <w:rPr>
            <w:rStyle w:val="Hyperlink"/>
            <w:color w:val="000000" w:themeColor="text1"/>
          </w:rPr>
          <w:t>lea</w:t>
        </w:r>
      </w:hyperlink>
    </w:p>
    <w:p w14:paraId="594FEB4F" w14:textId="77777777" w:rsidR="0041400C" w:rsidRPr="00B40A77" w:rsidRDefault="00FB0574" w:rsidP="0041400C">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written guilty plea must be </w:t>
      </w:r>
      <w:r w:rsidRPr="00B40A77">
        <w:rPr>
          <w:color w:val="000000" w:themeColor="text1"/>
        </w:rPr>
        <w:t>signed</w:t>
      </w:r>
      <w:r w:rsidR="0041400C" w:rsidRPr="00B40A77">
        <w:rPr>
          <w:color w:val="000000" w:themeColor="text1"/>
          <w:lang w:val="en-US"/>
        </w:rPr>
        <w:t>—</w:t>
      </w:r>
    </w:p>
    <w:p w14:paraId="5BBBA695" w14:textId="2BFAE057" w:rsidR="0041400C" w:rsidRPr="00B40A77" w:rsidRDefault="0041400C" w:rsidP="0041400C">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1D1D14" w:rsidRPr="00B40A77">
        <w:rPr>
          <w:color w:val="000000" w:themeColor="text1"/>
        </w:rPr>
        <w:t xml:space="preserve">by the defendant or youth </w:t>
      </w:r>
      <w:r w:rsidR="00FB0574" w:rsidRPr="00B40A77">
        <w:rPr>
          <w:color w:val="000000" w:themeColor="text1"/>
        </w:rPr>
        <w:t xml:space="preserve">before </w:t>
      </w:r>
      <w:r w:rsidR="000F3536" w:rsidRPr="00B40A77">
        <w:rPr>
          <w:color w:val="000000" w:themeColor="text1"/>
        </w:rPr>
        <w:t>a</w:t>
      </w:r>
      <w:r w:rsidR="00FB0574" w:rsidRPr="00B40A77">
        <w:rPr>
          <w:color w:val="000000" w:themeColor="text1"/>
        </w:rPr>
        <w:t xml:space="preserve"> </w:t>
      </w:r>
      <w:r w:rsidR="00D51009" w:rsidRPr="00B40A77">
        <w:rPr>
          <w:color w:val="000000" w:themeColor="text1"/>
        </w:rPr>
        <w:t xml:space="preserve">justice of the peace for </w:t>
      </w:r>
      <w:hyperlink w:anchor="_2.1—Definitions" w:history="1">
        <w:r w:rsidR="00AA6FCA" w:rsidRPr="00B40A77">
          <w:rPr>
            <w:rStyle w:val="Hyperlink"/>
            <w:color w:val="000000" w:themeColor="text1"/>
          </w:rPr>
          <w:t>a State</w:t>
        </w:r>
      </w:hyperlink>
      <w:r w:rsidR="00B668D6" w:rsidRPr="00B40A77">
        <w:rPr>
          <w:color w:val="000000" w:themeColor="text1"/>
        </w:rPr>
        <w:t>,</w:t>
      </w:r>
      <w:r w:rsidR="00FB0574" w:rsidRPr="00B40A77">
        <w:rPr>
          <w:color w:val="000000" w:themeColor="text1"/>
        </w:rPr>
        <w:t xml:space="preserve"> a solicitor admitted and entitled to practise in </w:t>
      </w:r>
      <w:hyperlink w:anchor="_2.1—Definitions" w:history="1">
        <w:r w:rsidR="00D51009" w:rsidRPr="00B40A77">
          <w:rPr>
            <w:rStyle w:val="Hyperlink"/>
            <w:color w:val="000000" w:themeColor="text1"/>
          </w:rPr>
          <w:t>a State</w:t>
        </w:r>
      </w:hyperlink>
      <w:r w:rsidR="00FB0574" w:rsidRPr="00B40A77">
        <w:rPr>
          <w:color w:val="000000" w:themeColor="text1"/>
        </w:rPr>
        <w:t xml:space="preserve"> or a police officer of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5D42DCFD" w14:textId="3BF295ED" w:rsidR="00FB0574" w:rsidRPr="00B40A77" w:rsidRDefault="0041400C" w:rsidP="0041400C">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 or youth.</w:t>
      </w:r>
    </w:p>
    <w:p w14:paraId="5DF805BA" w14:textId="563B9A95" w:rsidR="00CA37FA" w:rsidRPr="00B40A77" w:rsidRDefault="00DF1278" w:rsidP="00FB0574">
      <w:pPr>
        <w:pStyle w:val="Hangindent"/>
        <w:rPr>
          <w:color w:val="000000" w:themeColor="text1"/>
          <w:lang w:val="en-US"/>
        </w:rPr>
      </w:pPr>
      <w:r w:rsidRPr="00B40A77">
        <w:rPr>
          <w:color w:val="000000" w:themeColor="text1"/>
          <w:lang w:val="en-US"/>
        </w:rPr>
        <w:t>(4)</w:t>
      </w:r>
      <w:r w:rsidRPr="00B40A77">
        <w:rPr>
          <w:color w:val="000000" w:themeColor="text1"/>
          <w:lang w:val="en-US"/>
        </w:rPr>
        <w:tab/>
        <w:t>If the defendant or</w:t>
      </w:r>
      <w:r w:rsidR="00CA37FA" w:rsidRPr="00B40A77">
        <w:rPr>
          <w:color w:val="000000" w:themeColor="text1"/>
          <w:lang w:val="en-US"/>
        </w:rPr>
        <w:t xml:space="preserve"> </w:t>
      </w:r>
      <w:r w:rsidR="007F546C" w:rsidRPr="00B40A77">
        <w:rPr>
          <w:color w:val="000000" w:themeColor="text1"/>
          <w:lang w:val="en-US"/>
        </w:rPr>
        <w:t>youth</w:t>
      </w:r>
      <w:r w:rsidR="00CA37FA" w:rsidRPr="00B40A77">
        <w:rPr>
          <w:color w:val="000000" w:themeColor="text1"/>
          <w:lang w:val="en-US"/>
        </w:rPr>
        <w:t xml:space="preserve"> is represented by a lawyer, the lawyer must complete the certification contained in the prescribed form.</w:t>
      </w:r>
    </w:p>
    <w:p w14:paraId="69A1B94C" w14:textId="13AB5D2E" w:rsidR="00D51009" w:rsidRPr="00B40A77" w:rsidRDefault="00D51009" w:rsidP="00FB0574">
      <w:pPr>
        <w:pStyle w:val="Hangindent"/>
        <w:rPr>
          <w:color w:val="000000" w:themeColor="text1"/>
        </w:rPr>
      </w:pPr>
      <w:r w:rsidRPr="00B40A77">
        <w:rPr>
          <w:color w:val="000000" w:themeColor="text1"/>
          <w:lang w:val="en-US"/>
        </w:rPr>
        <w:t>(</w:t>
      </w:r>
      <w:r w:rsidR="00CA37FA" w:rsidRPr="00B40A77">
        <w:rPr>
          <w:color w:val="000000" w:themeColor="text1"/>
          <w:lang w:val="en-US"/>
        </w:rPr>
        <w:t>5</w:t>
      </w:r>
      <w:r w:rsidRPr="00B40A77">
        <w:rPr>
          <w:color w:val="000000" w:themeColor="text1"/>
          <w:lang w:val="en-US"/>
        </w:rPr>
        <w:t>)</w:t>
      </w:r>
      <w:r w:rsidRPr="00B40A77">
        <w:rPr>
          <w:color w:val="000000" w:themeColor="text1"/>
          <w:lang w:val="en-US"/>
        </w:rPr>
        <w:tab/>
      </w:r>
      <w:r w:rsidR="006664DE" w:rsidRPr="00B40A77">
        <w:rPr>
          <w:color w:val="000000" w:themeColor="text1"/>
          <w:lang w:val="en-US"/>
        </w:rPr>
        <w:t>Unless the Court otherwise orders, a written guil</w:t>
      </w:r>
      <w:r w:rsidR="00073F19" w:rsidRPr="00B40A77">
        <w:rPr>
          <w:color w:val="000000" w:themeColor="text1"/>
          <w:lang w:val="en-US"/>
        </w:rPr>
        <w:t>ty plea must be filed at least 7</w:t>
      </w:r>
      <w:r w:rsidR="004A0458" w:rsidRPr="00B40A77">
        <w:rPr>
          <w:color w:val="000000" w:themeColor="text1"/>
          <w:lang w:val="en-US"/>
        </w:rPr>
        <w:t> </w:t>
      </w:r>
      <w:r w:rsidR="006664DE" w:rsidRPr="00B40A77">
        <w:rPr>
          <w:color w:val="000000" w:themeColor="text1"/>
          <w:lang w:val="en-US"/>
        </w:rPr>
        <w:t xml:space="preserve">days before </w:t>
      </w:r>
      <w:r w:rsidR="006664DE" w:rsidRPr="00B40A77">
        <w:rPr>
          <w:color w:val="000000" w:themeColor="text1"/>
        </w:rPr>
        <w:t xml:space="preserve">the date of appearance </w:t>
      </w:r>
      <w:r w:rsidR="00D73D56" w:rsidRPr="00B40A77">
        <w:rPr>
          <w:color w:val="000000" w:themeColor="text1"/>
        </w:rPr>
        <w:t xml:space="preserve">shown </w:t>
      </w:r>
      <w:r w:rsidR="006664DE" w:rsidRPr="00B40A77">
        <w:rPr>
          <w:color w:val="000000" w:themeColor="text1"/>
        </w:rPr>
        <w:t>in the Information</w:t>
      </w:r>
      <w:r w:rsidR="00D73D56" w:rsidRPr="00B40A77">
        <w:rPr>
          <w:color w:val="000000" w:themeColor="text1"/>
        </w:rPr>
        <w:t>.</w:t>
      </w:r>
    </w:p>
    <w:p w14:paraId="30E125BD" w14:textId="206A7D4A" w:rsidR="00D73D56" w:rsidRPr="00B40A77" w:rsidRDefault="00D73D56" w:rsidP="00D73D56">
      <w:pPr>
        <w:pStyle w:val="Hangindent"/>
        <w:rPr>
          <w:color w:val="000000" w:themeColor="text1"/>
        </w:rPr>
      </w:pPr>
      <w:r w:rsidRPr="00B40A77">
        <w:rPr>
          <w:color w:val="000000" w:themeColor="text1"/>
          <w:lang w:val="en-US"/>
        </w:rPr>
        <w:t>(</w:t>
      </w:r>
      <w:r w:rsidR="00CA37FA" w:rsidRPr="00B40A77">
        <w:rPr>
          <w:color w:val="000000" w:themeColor="text1"/>
          <w:lang w:val="en-US"/>
        </w:rPr>
        <w:t>6</w:t>
      </w:r>
      <w:r w:rsidRPr="00B40A77">
        <w:rPr>
          <w:color w:val="000000" w:themeColor="text1"/>
          <w:lang w:val="en-US"/>
        </w:rPr>
        <w:t>)</w:t>
      </w:r>
      <w:r w:rsidRPr="00B40A77">
        <w:rPr>
          <w:color w:val="000000" w:themeColor="text1"/>
          <w:lang w:val="en-US"/>
        </w:rPr>
        <w:tab/>
        <w:t>A written guilty plea must be served on the informant as soon as practicable after being filed.</w:t>
      </w:r>
    </w:p>
    <w:p w14:paraId="53543442" w14:textId="0BC7CBC2" w:rsidR="006B5A00" w:rsidRPr="00B40A77" w:rsidRDefault="00600147" w:rsidP="00BE23A0">
      <w:pPr>
        <w:pStyle w:val="Heading2"/>
        <w:keepNext/>
        <w:rPr>
          <w:color w:val="000000" w:themeColor="text1"/>
        </w:rPr>
      </w:pPr>
      <w:bookmarkStart w:id="542" w:name="_Part_6—Election_or"/>
      <w:bookmarkStart w:id="543" w:name="_Toc175238999"/>
      <w:bookmarkEnd w:id="542"/>
      <w:r w:rsidRPr="00B40A77">
        <w:rPr>
          <w:color w:val="000000" w:themeColor="text1"/>
        </w:rPr>
        <w:t>Par</w:t>
      </w:r>
      <w:r w:rsidR="00073F19" w:rsidRPr="00B40A77">
        <w:rPr>
          <w:color w:val="000000" w:themeColor="text1"/>
        </w:rPr>
        <w:t>t 6</w:t>
      </w:r>
      <w:r w:rsidR="006B5A00" w:rsidRPr="00B40A77">
        <w:rPr>
          <w:color w:val="000000" w:themeColor="text1"/>
        </w:rPr>
        <w:t>—</w:t>
      </w:r>
      <w:r w:rsidR="00285900" w:rsidRPr="00B40A77">
        <w:rPr>
          <w:color w:val="000000" w:themeColor="text1"/>
        </w:rPr>
        <w:t xml:space="preserve">Election </w:t>
      </w:r>
      <w:r w:rsidR="00B80BE6" w:rsidRPr="00B40A77">
        <w:rPr>
          <w:color w:val="000000" w:themeColor="text1"/>
        </w:rPr>
        <w:t xml:space="preserve">or </w:t>
      </w:r>
      <w:r w:rsidR="009556A6" w:rsidRPr="00B40A77">
        <w:rPr>
          <w:color w:val="000000" w:themeColor="text1"/>
        </w:rPr>
        <w:t>requirement</w:t>
      </w:r>
      <w:r w:rsidR="00B80BE6" w:rsidRPr="00B40A77">
        <w:rPr>
          <w:color w:val="000000" w:themeColor="text1"/>
        </w:rPr>
        <w:t xml:space="preserve"> </w:t>
      </w:r>
      <w:r w:rsidR="00C7311A" w:rsidRPr="00B40A77">
        <w:rPr>
          <w:color w:val="000000" w:themeColor="text1"/>
        </w:rPr>
        <w:t xml:space="preserve">for </w:t>
      </w:r>
      <w:r w:rsidR="009133C7" w:rsidRPr="00B40A77">
        <w:rPr>
          <w:color w:val="000000" w:themeColor="text1"/>
        </w:rPr>
        <w:t xml:space="preserve">trial or </w:t>
      </w:r>
      <w:r w:rsidR="00C7311A" w:rsidRPr="00B40A77">
        <w:rPr>
          <w:color w:val="000000" w:themeColor="text1"/>
        </w:rPr>
        <w:t>sentencing by Lower Court</w:t>
      </w:r>
      <w:bookmarkEnd w:id="543"/>
    </w:p>
    <w:p w14:paraId="30BC96CA" w14:textId="41CE16A5" w:rsidR="009133C7" w:rsidRPr="00B40A77" w:rsidRDefault="009133C7" w:rsidP="009133C7">
      <w:pPr>
        <w:pStyle w:val="Heading3"/>
        <w:rPr>
          <w:color w:val="000000" w:themeColor="text1"/>
        </w:rPr>
      </w:pPr>
      <w:bookmarkStart w:id="544" w:name="_Toc175239000"/>
      <w:r w:rsidRPr="00B40A77">
        <w:rPr>
          <w:color w:val="000000" w:themeColor="text1"/>
        </w:rPr>
        <w:t>Division 1—Election or requirement for sentencing by Lower Court</w:t>
      </w:r>
      <w:bookmarkEnd w:id="544"/>
    </w:p>
    <w:p w14:paraId="6E09082E" w14:textId="6E4A8573" w:rsidR="00BC71F2" w:rsidRPr="00B40A77" w:rsidRDefault="007D17D2" w:rsidP="00BC71F2">
      <w:pPr>
        <w:pStyle w:val="Heading4"/>
        <w:rPr>
          <w:color w:val="000000" w:themeColor="text1"/>
        </w:rPr>
      </w:pPr>
      <w:bookmarkStart w:id="545" w:name="_Toc175239001"/>
      <w:r w:rsidRPr="00B40A77">
        <w:rPr>
          <w:color w:val="000000" w:themeColor="text1"/>
        </w:rPr>
        <w:t>71</w:t>
      </w:r>
      <w:r w:rsidR="00BC71F2" w:rsidRPr="00B40A77">
        <w:rPr>
          <w:color w:val="000000" w:themeColor="text1"/>
        </w:rPr>
        <w:t>.1—Major indictable offence</w:t>
      </w:r>
      <w:r w:rsidR="007F2AE5" w:rsidRPr="00B40A77">
        <w:rPr>
          <w:color w:val="000000" w:themeColor="text1"/>
        </w:rPr>
        <w:t>: Magistrates Court</w:t>
      </w:r>
      <w:bookmarkEnd w:id="545"/>
    </w:p>
    <w:p w14:paraId="0C1D408C" w14:textId="28E4F15B" w:rsidR="00EA5B13" w:rsidRPr="00B40A77" w:rsidRDefault="00BC71F2" w:rsidP="0033795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to which </w:t>
      </w:r>
      <w:r w:rsidR="00867554" w:rsidRPr="00B40A77">
        <w:rPr>
          <w:color w:val="000000" w:themeColor="text1"/>
          <w:lang w:val="en-US"/>
        </w:rPr>
        <w:t>a</w:t>
      </w:r>
      <w:r w:rsidRPr="00B40A77">
        <w:rPr>
          <w:color w:val="000000" w:themeColor="text1"/>
          <w:lang w:val="en-US"/>
        </w:rPr>
        <w:t xml:space="preserve"> defendant has pleaded or is to plead guilty is </w:t>
      </w:r>
      <w:r w:rsidRPr="00B40A77">
        <w:rPr>
          <w:color w:val="000000" w:themeColor="text1"/>
          <w:u w:val="single"/>
          <w:lang w:val="en-US"/>
        </w:rPr>
        <w:t>major indictable</w:t>
      </w:r>
      <w:r w:rsidRPr="00B40A77">
        <w:rPr>
          <w:color w:val="000000" w:themeColor="text1"/>
          <w:lang w:val="en-US"/>
        </w:rPr>
        <w:t>, a</w:t>
      </w:r>
      <w:r w:rsidR="00C73497" w:rsidRPr="00B40A77">
        <w:rPr>
          <w:color w:val="000000" w:themeColor="text1"/>
          <w:lang w:val="en-US"/>
        </w:rPr>
        <w:t xml:space="preserve"> consent</w:t>
      </w:r>
      <w:r w:rsidRPr="00B40A77">
        <w:rPr>
          <w:color w:val="000000" w:themeColor="text1"/>
          <w:lang w:val="en-US"/>
        </w:rPr>
        <w:t xml:space="preserve"> by the </w:t>
      </w:r>
      <w:r w:rsidR="008548CA" w:rsidRPr="00B40A77">
        <w:rPr>
          <w:rFonts w:cs="Times New Roman"/>
          <w:color w:val="000000" w:themeColor="text1"/>
        </w:rPr>
        <w:t>prosecution and defendant to the defendant</w:t>
      </w:r>
      <w:r w:rsidR="00C73497" w:rsidRPr="00B40A77">
        <w:rPr>
          <w:rFonts w:cs="Times New Roman"/>
          <w:color w:val="000000" w:themeColor="text1"/>
        </w:rPr>
        <w:t xml:space="preserve"> </w:t>
      </w:r>
      <w:r w:rsidR="008548CA" w:rsidRPr="00B40A77">
        <w:rPr>
          <w:rFonts w:cs="Times New Roman"/>
          <w:color w:val="000000" w:themeColor="text1"/>
        </w:rPr>
        <w:t xml:space="preserve">being sentenced by the </w:t>
      </w:r>
      <w:r w:rsidR="007F2AE5" w:rsidRPr="00B40A77">
        <w:rPr>
          <w:rFonts w:cs="Times New Roman"/>
          <w:color w:val="000000" w:themeColor="text1"/>
        </w:rPr>
        <w:t>Magistrates</w:t>
      </w:r>
      <w:r w:rsidR="00C73497" w:rsidRPr="00B40A77">
        <w:rPr>
          <w:rFonts w:cs="Times New Roman"/>
          <w:color w:val="000000" w:themeColor="text1"/>
        </w:rPr>
        <w:t xml:space="preserve"> </w:t>
      </w:r>
      <w:r w:rsidR="008548CA" w:rsidRPr="00B40A77">
        <w:rPr>
          <w:rFonts w:cs="Times New Roman"/>
          <w:color w:val="000000" w:themeColor="text1"/>
        </w:rPr>
        <w:t>Court</w:t>
      </w:r>
      <w:r w:rsidRPr="00B40A77">
        <w:rPr>
          <w:color w:val="000000" w:themeColor="text1"/>
          <w:lang w:val="en-US"/>
        </w:rPr>
        <w:t xml:space="preserve"> </w:t>
      </w:r>
      <w:r w:rsidR="00B1198D" w:rsidRPr="00B40A77">
        <w:rPr>
          <w:color w:val="000000" w:themeColor="text1"/>
          <w:lang w:val="en-US"/>
        </w:rPr>
        <w:t xml:space="preserve">under section 116(1) of the Procedure Act </w:t>
      </w:r>
      <w:r w:rsidR="00C73497" w:rsidRPr="00B40A77">
        <w:rPr>
          <w:color w:val="000000" w:themeColor="text1"/>
          <w:lang w:val="en-US"/>
        </w:rPr>
        <w:t>must be made</w:t>
      </w:r>
      <w:r w:rsidR="009C0068" w:rsidRPr="00B40A77">
        <w:rPr>
          <w:color w:val="000000" w:themeColor="text1"/>
          <w:lang w:val="en-US"/>
        </w:rPr>
        <w:t xml:space="preserve"> </w:t>
      </w:r>
      <w:r w:rsidR="00EA5B13" w:rsidRPr="00B40A77">
        <w:rPr>
          <w:color w:val="000000" w:themeColor="text1"/>
          <w:lang w:val="en-US"/>
        </w:rPr>
        <w:t>by filing a</w:t>
      </w:r>
      <w:r w:rsidR="00E931C6" w:rsidRPr="00B40A77">
        <w:rPr>
          <w:color w:val="000000" w:themeColor="text1"/>
          <w:lang w:val="en-US"/>
        </w:rPr>
        <w:t xml:space="preserve"> consent to sentencing for </w:t>
      </w:r>
      <w:r w:rsidR="00175487" w:rsidRPr="00B40A77">
        <w:rPr>
          <w:color w:val="000000" w:themeColor="text1"/>
          <w:lang w:val="en-US"/>
        </w:rPr>
        <w:t xml:space="preserve">a </w:t>
      </w:r>
      <w:hyperlink w:anchor="_2.1—Definitions" w:history="1">
        <w:r w:rsidR="00E931C6" w:rsidRPr="00B40A77">
          <w:rPr>
            <w:rStyle w:val="Hyperlink"/>
            <w:color w:val="000000" w:themeColor="text1"/>
            <w:lang w:val="en-US"/>
          </w:rPr>
          <w:t xml:space="preserve">major indictable </w:t>
        </w:r>
        <w:r w:rsidR="00E931C6" w:rsidRPr="00B40A77">
          <w:rPr>
            <w:rStyle w:val="Hyperlink"/>
            <w:color w:val="000000" w:themeColor="text1"/>
          </w:rPr>
          <w:t>offence</w:t>
        </w:r>
      </w:hyperlink>
      <w:r w:rsidR="00E931C6" w:rsidRPr="00B40A77">
        <w:rPr>
          <w:color w:val="000000" w:themeColor="text1"/>
          <w:lang w:val="en-US"/>
        </w:rPr>
        <w:t xml:space="preserve"> in Magistrates Court</w:t>
      </w:r>
      <w:r w:rsidR="009C0068" w:rsidRPr="00B40A77">
        <w:rPr>
          <w:color w:val="000000" w:themeColor="text1"/>
          <w:lang w:val="en-US"/>
        </w:rPr>
        <w:t xml:space="preserve"> in the prescribed form.</w:t>
      </w:r>
    </w:p>
    <w:p w14:paraId="06328BD8" w14:textId="77777777" w:rsidR="00B1198D" w:rsidRPr="00B40A77" w:rsidRDefault="00B1198D" w:rsidP="0033795E">
      <w:pPr>
        <w:pStyle w:val="NoteHeader"/>
        <w:keepNext/>
        <w:rPr>
          <w:color w:val="000000" w:themeColor="text1"/>
        </w:rPr>
      </w:pPr>
      <w:r w:rsidRPr="00B40A77">
        <w:rPr>
          <w:color w:val="000000" w:themeColor="text1"/>
        </w:rPr>
        <w:t>Prescribed form—</w:t>
      </w:r>
    </w:p>
    <w:p w14:paraId="5C2B88A0" w14:textId="1C372DFC" w:rsidR="00B1198D" w:rsidRPr="00B40A77" w:rsidRDefault="00B1198D" w:rsidP="00A777E7">
      <w:pPr>
        <w:pStyle w:val="NoteText"/>
        <w:rPr>
          <w:color w:val="000000" w:themeColor="text1"/>
        </w:rPr>
      </w:pPr>
      <w:r w:rsidRPr="00B40A77">
        <w:rPr>
          <w:color w:val="000000" w:themeColor="text1"/>
        </w:rPr>
        <w:t xml:space="preserve">Form 61 </w:t>
      </w:r>
      <w:r w:rsidR="002E1F61" w:rsidRPr="00B40A77">
        <w:rPr>
          <w:color w:val="000000" w:themeColor="text1"/>
          <w:u w:val="single"/>
        </w:rPr>
        <w:t>Consent</w:t>
      </w:r>
      <w:r w:rsidRPr="00B40A77">
        <w:rPr>
          <w:color w:val="000000" w:themeColor="text1"/>
          <w:u w:val="single"/>
          <w:lang w:val="en-US"/>
        </w:rPr>
        <w:t xml:space="preserve"> to </w:t>
      </w:r>
      <w:r w:rsidR="002E1F61" w:rsidRPr="00B40A77">
        <w:rPr>
          <w:color w:val="000000" w:themeColor="text1"/>
          <w:u w:val="single"/>
          <w:lang w:val="en-US"/>
        </w:rPr>
        <w:t>S</w:t>
      </w:r>
      <w:r w:rsidRPr="00B40A77">
        <w:rPr>
          <w:color w:val="000000" w:themeColor="text1"/>
          <w:u w:val="single"/>
          <w:lang w:val="en-US"/>
        </w:rPr>
        <w:t xml:space="preserve">entencing for </w:t>
      </w:r>
      <w:r w:rsidR="002E1F61" w:rsidRPr="00B40A77">
        <w:rPr>
          <w:color w:val="000000" w:themeColor="text1"/>
          <w:u w:val="single"/>
          <w:lang w:val="en-US"/>
        </w:rPr>
        <w:t>M</w:t>
      </w:r>
      <w:r w:rsidRPr="00B40A77">
        <w:rPr>
          <w:color w:val="000000" w:themeColor="text1"/>
          <w:u w:val="single"/>
          <w:lang w:val="en-US"/>
        </w:rPr>
        <w:t xml:space="preserve">ajor </w:t>
      </w:r>
      <w:r w:rsidR="002E1F61" w:rsidRPr="00B40A77">
        <w:rPr>
          <w:color w:val="000000" w:themeColor="text1"/>
          <w:u w:val="single"/>
          <w:lang w:val="en-US"/>
        </w:rPr>
        <w:t>I</w:t>
      </w:r>
      <w:r w:rsidRPr="00B40A77">
        <w:rPr>
          <w:color w:val="000000" w:themeColor="text1"/>
          <w:u w:val="single"/>
          <w:lang w:val="en-US"/>
        </w:rPr>
        <w:t xml:space="preserve">ndictable </w:t>
      </w:r>
      <w:r w:rsidR="002E1F61" w:rsidRPr="00B40A77">
        <w:rPr>
          <w:color w:val="000000" w:themeColor="text1"/>
          <w:u w:val="single"/>
          <w:lang w:val="en-US"/>
        </w:rPr>
        <w:t>O</w:t>
      </w:r>
      <w:r w:rsidRPr="00B40A77">
        <w:rPr>
          <w:color w:val="000000" w:themeColor="text1"/>
          <w:u w:val="single"/>
          <w:lang w:val="en-US"/>
        </w:rPr>
        <w:t>ffence in Magistrates Court</w:t>
      </w:r>
    </w:p>
    <w:p w14:paraId="62F2AB9B" w14:textId="720C09AC" w:rsidR="00E617D9" w:rsidRPr="00B40A77" w:rsidRDefault="008C0CC7" w:rsidP="00E617D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consent to sentencing for </w:t>
      </w:r>
      <w:r w:rsidR="00175487" w:rsidRPr="00B40A77">
        <w:rPr>
          <w:color w:val="000000" w:themeColor="text1"/>
          <w:lang w:val="en-US"/>
        </w:rPr>
        <w:t xml:space="preserve">a </w:t>
      </w:r>
      <w:hyperlink w:anchor="_2.1—Definitions" w:history="1">
        <w:r w:rsidR="00175487" w:rsidRPr="00B40A77">
          <w:rPr>
            <w:rStyle w:val="Hyperlink"/>
            <w:color w:val="000000" w:themeColor="text1"/>
            <w:lang w:val="en-US"/>
          </w:rPr>
          <w:t xml:space="preserve">major indictable </w:t>
        </w:r>
        <w:r w:rsidR="00175487" w:rsidRPr="00B40A77">
          <w:rPr>
            <w:rStyle w:val="Hyperlink"/>
            <w:color w:val="000000" w:themeColor="text1"/>
          </w:rPr>
          <w:t>offence</w:t>
        </w:r>
      </w:hyperlink>
      <w:r w:rsidRPr="00B40A77">
        <w:rPr>
          <w:color w:val="000000" w:themeColor="text1"/>
          <w:lang w:val="en-US"/>
        </w:rPr>
        <w:t xml:space="preserve"> in </w:t>
      </w:r>
      <w:r w:rsidR="00F054ED" w:rsidRPr="00B40A77">
        <w:rPr>
          <w:color w:val="000000" w:themeColor="text1"/>
          <w:lang w:val="en-US"/>
        </w:rPr>
        <w:t xml:space="preserve">the </w:t>
      </w:r>
      <w:r w:rsidRPr="00B40A77">
        <w:rPr>
          <w:color w:val="000000" w:themeColor="text1"/>
          <w:lang w:val="en-US"/>
        </w:rPr>
        <w:t xml:space="preserve">Magistrates Court must be </w:t>
      </w:r>
      <w:r w:rsidRPr="00B40A77">
        <w:rPr>
          <w:color w:val="000000" w:themeColor="text1"/>
        </w:rPr>
        <w:t>signed</w:t>
      </w:r>
      <w:r w:rsidR="00E617D9" w:rsidRPr="00B40A77">
        <w:rPr>
          <w:color w:val="000000" w:themeColor="text1"/>
          <w:lang w:val="en-US"/>
        </w:rPr>
        <w:t>—</w:t>
      </w:r>
    </w:p>
    <w:p w14:paraId="12AE3E77" w14:textId="5A5DE2DD" w:rsidR="00E617D9" w:rsidRPr="00B40A77" w:rsidRDefault="00E617D9" w:rsidP="00E617D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by the defendant before a</w:t>
      </w:r>
      <w:r w:rsidR="00BE2D68" w:rsidRPr="00B40A77">
        <w:rPr>
          <w:color w:val="000000" w:themeColor="text1"/>
        </w:rPr>
        <w:t xml:space="preserve">n </w:t>
      </w:r>
      <w:hyperlink w:anchor="_2.1—Definitions" w:history="1">
        <w:r w:rsidR="00BE2D68" w:rsidRPr="00B40A77">
          <w:rPr>
            <w:rStyle w:val="Hyperlink"/>
            <w:color w:val="000000" w:themeColor="text1"/>
          </w:rPr>
          <w:t>authorised witness</w:t>
        </w:r>
      </w:hyperlink>
      <w:r w:rsidR="00BE2D68" w:rsidRPr="00B40A77">
        <w:rPr>
          <w:color w:val="000000" w:themeColor="text1"/>
        </w:rPr>
        <w:t xml:space="preserve"> or</w:t>
      </w:r>
      <w:r w:rsidRPr="00B40A77">
        <w:rPr>
          <w:color w:val="000000" w:themeColor="text1"/>
        </w:rPr>
        <w:t xml:space="preserve"> a </w:t>
      </w:r>
      <w:r w:rsidR="00BE2D68" w:rsidRPr="00B40A77">
        <w:rPr>
          <w:color w:val="000000" w:themeColor="text1"/>
        </w:rPr>
        <w:t>lawyer</w:t>
      </w:r>
      <w:r w:rsidRPr="00B40A77">
        <w:rPr>
          <w:color w:val="000000" w:themeColor="text1"/>
        </w:rPr>
        <w:t xml:space="preserve">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419F16F3" w14:textId="6171F0B9" w:rsidR="00E617D9" w:rsidRPr="00B40A77" w:rsidRDefault="00E617D9" w:rsidP="00E617D9">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w:t>
      </w:r>
    </w:p>
    <w:p w14:paraId="1077F962" w14:textId="26E642BA" w:rsidR="008C0CC7" w:rsidRPr="00B40A77" w:rsidRDefault="008C0CC7" w:rsidP="008C0CC7">
      <w:pPr>
        <w:pStyle w:val="Hangindent"/>
        <w:rPr>
          <w:color w:val="000000" w:themeColor="text1"/>
          <w:lang w:val="en-US"/>
        </w:rPr>
      </w:pPr>
      <w:r w:rsidRPr="00B40A77">
        <w:rPr>
          <w:color w:val="000000" w:themeColor="text1"/>
          <w:lang w:val="en-US"/>
        </w:rPr>
        <w:t>(3)</w:t>
      </w:r>
      <w:r w:rsidRPr="00B40A77">
        <w:rPr>
          <w:color w:val="000000" w:themeColor="text1"/>
          <w:lang w:val="en-US"/>
        </w:rPr>
        <w:tab/>
        <w:t>If the defendant is represented by a lawyer, the lawyer must complete the certification contained in the prescribed form.</w:t>
      </w:r>
    </w:p>
    <w:p w14:paraId="62D849D7" w14:textId="4CDCFFE8" w:rsidR="00424E14" w:rsidRPr="00B40A77" w:rsidRDefault="00C03587" w:rsidP="00424E14">
      <w:pPr>
        <w:pStyle w:val="Heading4"/>
        <w:rPr>
          <w:color w:val="000000" w:themeColor="text1"/>
        </w:rPr>
      </w:pPr>
      <w:bookmarkStart w:id="546" w:name="_Toc175239002"/>
      <w:r w:rsidRPr="00B40A77">
        <w:rPr>
          <w:color w:val="000000" w:themeColor="text1"/>
        </w:rPr>
        <w:t>7</w:t>
      </w:r>
      <w:r w:rsidR="007D17D2" w:rsidRPr="00B40A77">
        <w:rPr>
          <w:color w:val="000000" w:themeColor="text1"/>
        </w:rPr>
        <w:t>1</w:t>
      </w:r>
      <w:r w:rsidR="00EB51E9" w:rsidRPr="00B40A77">
        <w:rPr>
          <w:color w:val="000000" w:themeColor="text1"/>
        </w:rPr>
        <w:t>.2</w:t>
      </w:r>
      <w:r w:rsidR="00424E14" w:rsidRPr="00B40A77">
        <w:rPr>
          <w:color w:val="000000" w:themeColor="text1"/>
        </w:rPr>
        <w:t>—Minor indictable offence: Magistrates Court and Environment Resources and Development Court</w:t>
      </w:r>
      <w:bookmarkEnd w:id="546"/>
    </w:p>
    <w:p w14:paraId="1E95A87B" w14:textId="2E47D142" w:rsidR="00424E14" w:rsidRPr="00B40A77" w:rsidRDefault="00424E14" w:rsidP="009556A6">
      <w:pPr>
        <w:pStyle w:val="Hangindent"/>
        <w:ind w:left="567" w:firstLine="0"/>
        <w:rPr>
          <w:color w:val="000000" w:themeColor="text1"/>
          <w:lang w:val="en-US"/>
        </w:rPr>
      </w:pPr>
      <w:r w:rsidRPr="00B40A77">
        <w:rPr>
          <w:color w:val="000000" w:themeColor="text1"/>
          <w:lang w:val="en-US"/>
        </w:rPr>
        <w:t xml:space="preserve">If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to which </w:t>
      </w:r>
      <w:r w:rsidR="00867554" w:rsidRPr="00B40A77">
        <w:rPr>
          <w:color w:val="000000" w:themeColor="text1"/>
          <w:lang w:val="en-US"/>
        </w:rPr>
        <w:t>a</w:t>
      </w:r>
      <w:r w:rsidRPr="00B40A77">
        <w:rPr>
          <w:color w:val="000000" w:themeColor="text1"/>
          <w:lang w:val="en-US"/>
        </w:rPr>
        <w:t xml:space="preserve"> defendant has pleaded or is to plead guilty is </w:t>
      </w:r>
      <w:r w:rsidRPr="00B40A77">
        <w:rPr>
          <w:color w:val="000000" w:themeColor="text1"/>
          <w:u w:val="single"/>
          <w:lang w:val="en-US"/>
        </w:rPr>
        <w:t>minor indictable</w:t>
      </w:r>
      <w:r w:rsidRPr="00B40A77">
        <w:rPr>
          <w:color w:val="000000" w:themeColor="text1"/>
          <w:lang w:val="en-US"/>
        </w:rPr>
        <w:t xml:space="preserve">, the defendant will be sentenced by the </w:t>
      </w:r>
      <w:hyperlink w:anchor="_2.1—Definitions" w:history="1">
        <w:r w:rsidR="00981911" w:rsidRPr="00B40A77">
          <w:rPr>
            <w:rStyle w:val="Hyperlink"/>
            <w:color w:val="000000" w:themeColor="text1"/>
          </w:rPr>
          <w:t>Lower Court</w:t>
        </w:r>
      </w:hyperlink>
      <w:r w:rsidR="00DF1324" w:rsidRPr="00B40A77">
        <w:rPr>
          <w:color w:val="000000" w:themeColor="text1"/>
          <w:lang w:val="en-US"/>
        </w:rPr>
        <w:t>.</w:t>
      </w:r>
    </w:p>
    <w:p w14:paraId="55FF82DC" w14:textId="256B3200" w:rsidR="00EB51E9" w:rsidRPr="00B40A77" w:rsidRDefault="007D17D2" w:rsidP="00EB51E9">
      <w:pPr>
        <w:pStyle w:val="Heading4"/>
        <w:rPr>
          <w:color w:val="000000" w:themeColor="text1"/>
        </w:rPr>
      </w:pPr>
      <w:bookmarkStart w:id="547" w:name="_Toc175239003"/>
      <w:r w:rsidRPr="00B40A77">
        <w:rPr>
          <w:color w:val="000000" w:themeColor="text1"/>
        </w:rPr>
        <w:t>71</w:t>
      </w:r>
      <w:r w:rsidR="00EB51E9" w:rsidRPr="00B40A77">
        <w:rPr>
          <w:color w:val="000000" w:themeColor="text1"/>
        </w:rPr>
        <w:t>.3—Indictable offence: Youth Court</w:t>
      </w:r>
      <w:bookmarkEnd w:id="547"/>
    </w:p>
    <w:p w14:paraId="6AE37301" w14:textId="4CEB1CD5" w:rsidR="0072685B" w:rsidRPr="00B40A77" w:rsidRDefault="0072685B" w:rsidP="009556A6">
      <w:pPr>
        <w:pStyle w:val="Hangindent"/>
        <w:ind w:left="567" w:firstLine="0"/>
        <w:rPr>
          <w:color w:val="000000" w:themeColor="text1"/>
          <w:lang w:val="en-US"/>
        </w:rPr>
      </w:pPr>
      <w:r w:rsidRPr="00B40A77">
        <w:rPr>
          <w:color w:val="000000" w:themeColor="text1"/>
          <w:lang w:val="en-US"/>
        </w:rPr>
        <w:t xml:space="preserve">If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w:t>
      </w:r>
      <w:r w:rsidR="00867554" w:rsidRPr="00B40A77">
        <w:rPr>
          <w:color w:val="000000" w:themeColor="text1"/>
          <w:lang w:val="en-US"/>
        </w:rPr>
        <w:t>with</w:t>
      </w:r>
      <w:r w:rsidRPr="00B40A77">
        <w:rPr>
          <w:color w:val="000000" w:themeColor="text1"/>
          <w:lang w:val="en-US"/>
        </w:rPr>
        <w:t xml:space="preserve"> which the </w:t>
      </w:r>
      <w:r w:rsidR="00645915" w:rsidRPr="00B40A77">
        <w:rPr>
          <w:color w:val="000000" w:themeColor="text1"/>
          <w:lang w:val="en-US"/>
        </w:rPr>
        <w:t xml:space="preserve">youth </w:t>
      </w:r>
      <w:r w:rsidR="00867554" w:rsidRPr="00B40A77">
        <w:rPr>
          <w:color w:val="000000" w:themeColor="text1"/>
          <w:lang w:val="en-US"/>
        </w:rPr>
        <w:t>is charged</w:t>
      </w:r>
      <w:r w:rsidRPr="00B40A77">
        <w:rPr>
          <w:color w:val="000000" w:themeColor="text1"/>
          <w:lang w:val="en-US"/>
        </w:rPr>
        <w:t xml:space="preserve"> is </w:t>
      </w:r>
      <w:r w:rsidRPr="00B40A77">
        <w:rPr>
          <w:color w:val="000000" w:themeColor="text1"/>
          <w:u w:val="single"/>
          <w:lang w:val="en-US"/>
        </w:rPr>
        <w:t>major indictable</w:t>
      </w:r>
      <w:r w:rsidRPr="00B40A77">
        <w:rPr>
          <w:color w:val="000000" w:themeColor="text1"/>
          <w:lang w:val="en-US"/>
        </w:rPr>
        <w:t xml:space="preserve"> or </w:t>
      </w:r>
      <w:r w:rsidRPr="00B40A77">
        <w:rPr>
          <w:color w:val="000000" w:themeColor="text1"/>
          <w:u w:val="single"/>
          <w:lang w:val="en-US"/>
        </w:rPr>
        <w:t>minor indictable</w:t>
      </w:r>
      <w:r w:rsidRPr="00B40A77">
        <w:rPr>
          <w:color w:val="000000" w:themeColor="text1"/>
          <w:lang w:val="en-US"/>
        </w:rPr>
        <w:t xml:space="preserve"> </w:t>
      </w:r>
      <w:r w:rsidR="009C0068" w:rsidRPr="00B40A77">
        <w:rPr>
          <w:color w:val="000000" w:themeColor="text1"/>
          <w:lang w:val="en-US"/>
        </w:rPr>
        <w:t xml:space="preserve">or </w:t>
      </w:r>
      <w:r w:rsidR="009C0068" w:rsidRPr="00B40A77">
        <w:rPr>
          <w:color w:val="000000" w:themeColor="text1"/>
          <w:u w:val="single"/>
          <w:lang w:val="en-US"/>
        </w:rPr>
        <w:t>Commonwealth indictable</w:t>
      </w:r>
      <w:r w:rsidR="009C0068" w:rsidRPr="00B40A77">
        <w:rPr>
          <w:color w:val="000000" w:themeColor="text1"/>
          <w:lang w:val="en-US"/>
        </w:rPr>
        <w:t xml:space="preserve"> </w:t>
      </w:r>
      <w:r w:rsidRPr="00B40A77">
        <w:rPr>
          <w:color w:val="000000" w:themeColor="text1"/>
          <w:lang w:val="en-US"/>
        </w:rPr>
        <w:t xml:space="preserve">and the offences do not include </w:t>
      </w:r>
      <w:r w:rsidRPr="00B40A77">
        <w:rPr>
          <w:color w:val="000000" w:themeColor="text1"/>
          <w:lang w:val="en-US"/>
        </w:rPr>
        <w:lastRenderedPageBreak/>
        <w:t xml:space="preserve">a </w:t>
      </w:r>
      <w:hyperlink w:anchor="_2.1—Definitions" w:history="1">
        <w:r w:rsidR="006606F7" w:rsidRPr="00B40A77">
          <w:rPr>
            <w:rStyle w:val="Hyperlink"/>
            <w:rFonts w:cs="Times New Roman"/>
            <w:color w:val="000000" w:themeColor="text1"/>
          </w:rPr>
          <w:t>homicide-related</w:t>
        </w:r>
        <w:r w:rsidRPr="00B40A77">
          <w:rPr>
            <w:rStyle w:val="Hyperlink"/>
            <w:rFonts w:cs="Times New Roman"/>
            <w:color w:val="000000" w:themeColor="text1"/>
          </w:rPr>
          <w:t xml:space="preserve"> offence</w:t>
        </w:r>
      </w:hyperlink>
      <w:r w:rsidRPr="00B40A77">
        <w:rPr>
          <w:color w:val="000000" w:themeColor="text1"/>
          <w:lang w:val="en-US"/>
        </w:rPr>
        <w:t xml:space="preserve">, the </w:t>
      </w:r>
      <w:r w:rsidR="00E448FD" w:rsidRPr="00B40A77">
        <w:rPr>
          <w:color w:val="000000" w:themeColor="text1"/>
          <w:lang w:val="en-US"/>
        </w:rPr>
        <w:t>youth</w:t>
      </w:r>
      <w:r w:rsidRPr="00B40A77">
        <w:rPr>
          <w:color w:val="000000" w:themeColor="text1"/>
          <w:lang w:val="en-US"/>
        </w:rPr>
        <w:t xml:space="preserve"> will be </w:t>
      </w:r>
      <w:r w:rsidR="00867554" w:rsidRPr="00B40A77">
        <w:rPr>
          <w:color w:val="000000" w:themeColor="text1"/>
          <w:lang w:val="en-US"/>
        </w:rPr>
        <w:t xml:space="preserve">tried or </w:t>
      </w:r>
      <w:r w:rsidRPr="00B40A77">
        <w:rPr>
          <w:color w:val="000000" w:themeColor="text1"/>
          <w:lang w:val="en-US"/>
        </w:rPr>
        <w:t xml:space="preserve">sentenced by the </w:t>
      </w:r>
      <w:hyperlink w:anchor="_2.1—Definitions" w:history="1">
        <w:r w:rsidR="00981911" w:rsidRPr="00B40A77">
          <w:rPr>
            <w:rStyle w:val="Hyperlink"/>
            <w:color w:val="000000" w:themeColor="text1"/>
          </w:rPr>
          <w:t>Lower Court</w:t>
        </w:r>
      </w:hyperlink>
      <w:r w:rsidRPr="00B40A77">
        <w:rPr>
          <w:color w:val="000000" w:themeColor="text1"/>
          <w:lang w:val="en-US"/>
        </w:rPr>
        <w:t xml:space="preserve"> unless an election or order </w:t>
      </w:r>
      <w:r w:rsidR="00F054ED" w:rsidRPr="00B40A77">
        <w:rPr>
          <w:color w:val="000000" w:themeColor="text1"/>
          <w:lang w:val="en-US"/>
        </w:rPr>
        <w:t xml:space="preserve">is made under </w:t>
      </w:r>
      <w:hyperlink w:anchor="_74.1—Indictable_offence:_Youth" w:history="1">
        <w:r w:rsidR="00F054ED" w:rsidRPr="00B40A77">
          <w:rPr>
            <w:rStyle w:val="Hyperlink"/>
            <w:color w:val="000000" w:themeColor="text1"/>
            <w:lang w:val="en-US"/>
          </w:rPr>
          <w:t>rule 7</w:t>
        </w:r>
        <w:r w:rsidR="00DD2FAC" w:rsidRPr="00B40A77">
          <w:rPr>
            <w:rStyle w:val="Hyperlink"/>
            <w:color w:val="000000" w:themeColor="text1"/>
            <w:lang w:val="en-US"/>
          </w:rPr>
          <w:t>4</w:t>
        </w:r>
        <w:r w:rsidR="00F054ED" w:rsidRPr="00B40A77">
          <w:rPr>
            <w:rStyle w:val="Hyperlink"/>
            <w:color w:val="000000" w:themeColor="text1"/>
            <w:lang w:val="en-US"/>
          </w:rPr>
          <w:t>.1</w:t>
        </w:r>
      </w:hyperlink>
      <w:r w:rsidR="009133C7" w:rsidRPr="00B40A77">
        <w:rPr>
          <w:color w:val="000000" w:themeColor="text1"/>
          <w:lang w:val="en-US"/>
        </w:rPr>
        <w:t>.</w:t>
      </w:r>
    </w:p>
    <w:p w14:paraId="531EECDD" w14:textId="38560AA5" w:rsidR="00AA7866" w:rsidRPr="00B40A77" w:rsidRDefault="00AA7866" w:rsidP="00AA7866">
      <w:pPr>
        <w:pStyle w:val="Heading3"/>
        <w:rPr>
          <w:color w:val="000000" w:themeColor="text1"/>
        </w:rPr>
      </w:pPr>
      <w:bookmarkStart w:id="548" w:name="_Toc175239004"/>
      <w:r w:rsidRPr="00B40A77">
        <w:rPr>
          <w:color w:val="000000" w:themeColor="text1"/>
        </w:rPr>
        <w:t>Division 2—Election for trial or sentencing by Lower Court</w:t>
      </w:r>
      <w:r w:rsidR="00874D91" w:rsidRPr="00B40A77">
        <w:rPr>
          <w:color w:val="000000" w:themeColor="text1"/>
        </w:rPr>
        <w:t>: Magistrates Court</w:t>
      </w:r>
      <w:bookmarkEnd w:id="548"/>
    </w:p>
    <w:p w14:paraId="567A0677" w14:textId="3AE24EC2" w:rsidR="007F546C" w:rsidRPr="00B40A77" w:rsidRDefault="007D17D2" w:rsidP="007F546C">
      <w:pPr>
        <w:pStyle w:val="Heading4"/>
        <w:rPr>
          <w:color w:val="000000" w:themeColor="text1"/>
        </w:rPr>
      </w:pPr>
      <w:bookmarkStart w:id="549" w:name="_Toc175239005"/>
      <w:r w:rsidRPr="00B40A77">
        <w:rPr>
          <w:color w:val="000000" w:themeColor="text1"/>
        </w:rPr>
        <w:t>72</w:t>
      </w:r>
      <w:r w:rsidR="00C72321" w:rsidRPr="00B40A77">
        <w:rPr>
          <w:color w:val="000000" w:themeColor="text1"/>
        </w:rPr>
        <w:t>.1</w:t>
      </w:r>
      <w:r w:rsidR="00AD3332" w:rsidRPr="00B40A77">
        <w:rPr>
          <w:color w:val="000000" w:themeColor="text1"/>
        </w:rPr>
        <w:t>—Commonwealth</w:t>
      </w:r>
      <w:r w:rsidR="007F546C" w:rsidRPr="00B40A77">
        <w:rPr>
          <w:color w:val="000000" w:themeColor="text1"/>
        </w:rPr>
        <w:t xml:space="preserve"> </w:t>
      </w:r>
      <w:r w:rsidR="00874D91" w:rsidRPr="00B40A77">
        <w:rPr>
          <w:color w:val="000000" w:themeColor="text1"/>
        </w:rPr>
        <w:t xml:space="preserve">minor </w:t>
      </w:r>
      <w:r w:rsidR="007F546C" w:rsidRPr="00B40A77">
        <w:rPr>
          <w:color w:val="000000" w:themeColor="text1"/>
        </w:rPr>
        <w:t>indictable offence</w:t>
      </w:r>
      <w:bookmarkEnd w:id="549"/>
      <w:r w:rsidR="00DC6FE9" w:rsidRPr="00B40A77">
        <w:rPr>
          <w:color w:val="000000" w:themeColor="text1"/>
        </w:rPr>
        <w:t xml:space="preserve"> </w:t>
      </w:r>
    </w:p>
    <w:p w14:paraId="64462235" w14:textId="72BE0179" w:rsidR="00874D91" w:rsidRPr="00B40A77" w:rsidRDefault="007F546C" w:rsidP="009C0068">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874D91" w:rsidRPr="00B40A77">
        <w:rPr>
          <w:color w:val="000000" w:themeColor="text1"/>
          <w:lang w:val="en-US"/>
        </w:rPr>
        <w:t>This rule applies i</w:t>
      </w:r>
      <w:r w:rsidRPr="00B40A77">
        <w:rPr>
          <w:color w:val="000000" w:themeColor="text1"/>
          <w:lang w:val="en-US"/>
        </w:rPr>
        <w:t xml:space="preserve">f the highest </w:t>
      </w:r>
      <w:hyperlink w:anchor="_2.1—Definitions" w:history="1">
        <w:r w:rsidRPr="00B40A77">
          <w:rPr>
            <w:rStyle w:val="Hyperlink"/>
            <w:color w:val="000000" w:themeColor="text1"/>
            <w:lang w:val="en-US"/>
          </w:rPr>
          <w:t>charge category</w:t>
        </w:r>
      </w:hyperlink>
      <w:r w:rsidR="00AA7866" w:rsidRPr="00B40A77">
        <w:rPr>
          <w:color w:val="000000" w:themeColor="text1"/>
          <w:lang w:val="en-US"/>
        </w:rPr>
        <w:t xml:space="preserve"> of the offences with</w:t>
      </w:r>
      <w:r w:rsidRPr="00B40A77">
        <w:rPr>
          <w:color w:val="000000" w:themeColor="text1"/>
          <w:lang w:val="en-US"/>
        </w:rPr>
        <w:t xml:space="preserve"> which </w:t>
      </w:r>
      <w:r w:rsidR="00867554" w:rsidRPr="00B40A77">
        <w:rPr>
          <w:color w:val="000000" w:themeColor="text1"/>
          <w:lang w:val="en-US"/>
        </w:rPr>
        <w:t>a</w:t>
      </w:r>
      <w:r w:rsidRPr="00B40A77">
        <w:rPr>
          <w:color w:val="000000" w:themeColor="text1"/>
          <w:lang w:val="en-US"/>
        </w:rPr>
        <w:t xml:space="preserve"> defendant </w:t>
      </w:r>
      <w:r w:rsidR="00AA7866" w:rsidRPr="00B40A77">
        <w:rPr>
          <w:color w:val="000000" w:themeColor="text1"/>
          <w:lang w:val="en-US"/>
        </w:rPr>
        <w:t>is charged</w:t>
      </w:r>
      <w:r w:rsidRPr="00B40A77">
        <w:rPr>
          <w:color w:val="000000" w:themeColor="text1"/>
          <w:lang w:val="en-US"/>
        </w:rPr>
        <w:t xml:space="preserve"> is </w:t>
      </w:r>
      <w:r w:rsidR="00FD08A8" w:rsidRPr="00B40A77">
        <w:rPr>
          <w:color w:val="000000" w:themeColor="text1"/>
          <w:u w:val="single"/>
          <w:lang w:val="en-US"/>
        </w:rPr>
        <w:t>Commonwealth</w:t>
      </w:r>
      <w:r w:rsidRPr="00B40A77">
        <w:rPr>
          <w:color w:val="000000" w:themeColor="text1"/>
          <w:u w:val="single"/>
          <w:lang w:val="en-US"/>
        </w:rPr>
        <w:t xml:space="preserve"> </w:t>
      </w:r>
      <w:r w:rsidR="0062119E" w:rsidRPr="00B40A77">
        <w:rPr>
          <w:color w:val="000000" w:themeColor="text1"/>
          <w:u w:val="single"/>
          <w:lang w:val="en-US"/>
        </w:rPr>
        <w:t xml:space="preserve">minor </w:t>
      </w:r>
      <w:r w:rsidRPr="00B40A77">
        <w:rPr>
          <w:color w:val="000000" w:themeColor="text1"/>
          <w:u w:val="single"/>
          <w:lang w:val="en-US"/>
        </w:rPr>
        <w:t>indictable</w:t>
      </w:r>
      <w:r w:rsidR="00874D91" w:rsidRPr="00B40A77">
        <w:rPr>
          <w:color w:val="000000" w:themeColor="text1"/>
          <w:lang w:val="en-US"/>
        </w:rPr>
        <w:t>.</w:t>
      </w:r>
    </w:p>
    <w:p w14:paraId="7ACD5D4D" w14:textId="7E4B86F3" w:rsidR="007F546C" w:rsidRPr="00B40A77" w:rsidRDefault="00874D91" w:rsidP="0033795E">
      <w:pPr>
        <w:pStyle w:val="Hangindent"/>
        <w:keepNext/>
        <w:keepLines/>
        <w:rPr>
          <w:color w:val="000000" w:themeColor="text1"/>
          <w:lang w:val="en-US"/>
        </w:rPr>
      </w:pPr>
      <w:r w:rsidRPr="00B40A77">
        <w:rPr>
          <w:color w:val="000000" w:themeColor="text1"/>
          <w:lang w:val="en-US"/>
        </w:rPr>
        <w:t>(2)</w:t>
      </w:r>
      <w:r w:rsidRPr="00B40A77">
        <w:rPr>
          <w:color w:val="000000" w:themeColor="text1"/>
          <w:lang w:val="en-US"/>
        </w:rPr>
        <w:tab/>
        <w:t>A</w:t>
      </w:r>
      <w:r w:rsidR="007F546C" w:rsidRPr="00B40A77">
        <w:rPr>
          <w:color w:val="000000" w:themeColor="text1"/>
          <w:lang w:val="en-US"/>
        </w:rPr>
        <w:t xml:space="preserve"> consent by the </w:t>
      </w:r>
      <w:r w:rsidR="007F546C" w:rsidRPr="00B40A77">
        <w:rPr>
          <w:rFonts w:cs="Times New Roman"/>
          <w:color w:val="000000" w:themeColor="text1"/>
        </w:rPr>
        <w:t xml:space="preserve">prosecution and defendant to </w:t>
      </w:r>
      <w:r w:rsidR="00A352F4" w:rsidRPr="00B40A77">
        <w:rPr>
          <w:rFonts w:cs="Times New Roman"/>
          <w:color w:val="000000" w:themeColor="text1"/>
        </w:rPr>
        <w:t>a</w:t>
      </w:r>
      <w:r w:rsidR="007F546C" w:rsidRPr="00B40A77">
        <w:rPr>
          <w:rFonts w:cs="Times New Roman"/>
          <w:color w:val="000000" w:themeColor="text1"/>
        </w:rPr>
        <w:t xml:space="preserve"> defendant being </w:t>
      </w:r>
      <w:r w:rsidR="00AA7866" w:rsidRPr="00B40A77">
        <w:rPr>
          <w:rFonts w:cs="Times New Roman"/>
          <w:color w:val="000000" w:themeColor="text1"/>
        </w:rPr>
        <w:t xml:space="preserve">tried or </w:t>
      </w:r>
      <w:r w:rsidR="007F546C" w:rsidRPr="00B40A77">
        <w:rPr>
          <w:rFonts w:cs="Times New Roman"/>
          <w:color w:val="000000" w:themeColor="text1"/>
        </w:rPr>
        <w:t xml:space="preserve">sentenced by the </w:t>
      </w:r>
      <w:r w:rsidR="00EC438B" w:rsidRPr="00B40A77">
        <w:rPr>
          <w:rFonts w:cs="Times New Roman"/>
          <w:color w:val="000000" w:themeColor="text1"/>
        </w:rPr>
        <w:t>Magistrates</w:t>
      </w:r>
      <w:r w:rsidR="007F546C" w:rsidRPr="00B40A77">
        <w:rPr>
          <w:rFonts w:cs="Times New Roman"/>
          <w:color w:val="000000" w:themeColor="text1"/>
        </w:rPr>
        <w:t xml:space="preserve"> Court</w:t>
      </w:r>
      <w:r w:rsidR="007F1E7E" w:rsidRPr="00B40A77">
        <w:rPr>
          <w:color w:val="000000" w:themeColor="text1"/>
          <w:lang w:val="en-US"/>
        </w:rPr>
        <w:t xml:space="preserve"> under section</w:t>
      </w:r>
      <w:r w:rsidR="00633420" w:rsidRPr="00B40A77">
        <w:rPr>
          <w:color w:val="000000" w:themeColor="text1"/>
          <w:lang w:val="en-US"/>
        </w:rPr>
        <w:t> </w:t>
      </w:r>
      <w:r w:rsidR="007F1E7E" w:rsidRPr="00B40A77">
        <w:rPr>
          <w:color w:val="000000" w:themeColor="text1"/>
          <w:lang w:val="en-US"/>
        </w:rPr>
        <w:t>4J</w:t>
      </w:r>
      <w:r w:rsidR="007F546C" w:rsidRPr="00B40A77">
        <w:rPr>
          <w:color w:val="000000" w:themeColor="text1"/>
          <w:lang w:val="en-US"/>
        </w:rPr>
        <w:t>(1)</w:t>
      </w:r>
      <w:r w:rsidR="00CD7D82" w:rsidRPr="00B40A77">
        <w:rPr>
          <w:color w:val="000000" w:themeColor="text1"/>
          <w:lang w:val="en-US"/>
        </w:rPr>
        <w:t xml:space="preserve"> or</w:t>
      </w:r>
      <w:r w:rsidR="00633420" w:rsidRPr="00B40A77">
        <w:rPr>
          <w:color w:val="000000" w:themeColor="text1"/>
          <w:lang w:val="en-US"/>
        </w:rPr>
        <w:t> </w:t>
      </w:r>
      <w:r w:rsidR="00CD7D82" w:rsidRPr="00B40A77">
        <w:rPr>
          <w:color w:val="000000" w:themeColor="text1"/>
          <w:lang w:val="en-US"/>
        </w:rPr>
        <w:t>4JA(1)</w:t>
      </w:r>
      <w:r w:rsidR="007F546C" w:rsidRPr="00B40A77">
        <w:rPr>
          <w:color w:val="000000" w:themeColor="text1"/>
          <w:lang w:val="en-US"/>
        </w:rPr>
        <w:t xml:space="preserve"> of the </w:t>
      </w:r>
      <w:r w:rsidR="007F1E7E" w:rsidRPr="00B40A77">
        <w:rPr>
          <w:color w:val="000000" w:themeColor="text1"/>
          <w:lang w:val="en-US"/>
        </w:rPr>
        <w:t>Crimes</w:t>
      </w:r>
      <w:r w:rsidR="007F546C" w:rsidRPr="00B40A77">
        <w:rPr>
          <w:color w:val="000000" w:themeColor="text1"/>
          <w:lang w:val="en-US"/>
        </w:rPr>
        <w:t xml:space="preserve"> Act must be made</w:t>
      </w:r>
      <w:r w:rsidR="009C0068" w:rsidRPr="00B40A77">
        <w:rPr>
          <w:color w:val="000000" w:themeColor="text1"/>
          <w:lang w:val="en-US"/>
        </w:rPr>
        <w:t xml:space="preserve"> </w:t>
      </w:r>
      <w:r w:rsidR="007F546C" w:rsidRPr="00B40A77">
        <w:rPr>
          <w:color w:val="000000" w:themeColor="text1"/>
          <w:lang w:val="en-US"/>
        </w:rPr>
        <w:t xml:space="preserve">by filing a consent to </w:t>
      </w:r>
      <w:hyperlink w:anchor="_2.1—Definitions" w:history="1">
        <w:r w:rsidR="001742C0" w:rsidRPr="00B40A77">
          <w:rPr>
            <w:rStyle w:val="Hyperlink"/>
            <w:color w:val="000000" w:themeColor="text1"/>
          </w:rPr>
          <w:t>Commonwealth indictable offence</w:t>
        </w:r>
      </w:hyperlink>
      <w:r w:rsidR="00372D3A" w:rsidRPr="00B40A77">
        <w:rPr>
          <w:color w:val="000000" w:themeColor="text1"/>
        </w:rPr>
        <w:t xml:space="preserve"> being heard and determined in </w:t>
      </w:r>
      <w:r w:rsidR="00A352F4" w:rsidRPr="00B40A77">
        <w:rPr>
          <w:rFonts w:cs="Times New Roman"/>
          <w:color w:val="000000" w:themeColor="text1"/>
        </w:rPr>
        <w:t>a</w:t>
      </w:r>
      <w:r w:rsidR="00A352F4" w:rsidRPr="00B40A77">
        <w:rPr>
          <w:color w:val="000000" w:themeColor="text1"/>
        </w:rPr>
        <w:t xml:space="preserve"> c</w:t>
      </w:r>
      <w:r w:rsidR="00372D3A" w:rsidRPr="00B40A77">
        <w:rPr>
          <w:color w:val="000000" w:themeColor="text1"/>
        </w:rPr>
        <w:t>ourt</w:t>
      </w:r>
      <w:r w:rsidR="009C0068" w:rsidRPr="00B40A77">
        <w:rPr>
          <w:color w:val="000000" w:themeColor="text1"/>
          <w:lang w:val="en-US"/>
        </w:rPr>
        <w:t xml:space="preserve"> </w:t>
      </w:r>
      <w:r w:rsidR="00A352F4" w:rsidRPr="00B40A77">
        <w:rPr>
          <w:color w:val="000000" w:themeColor="text1"/>
          <w:lang w:val="en-US"/>
        </w:rPr>
        <w:t xml:space="preserve">of summary jurisdiction </w:t>
      </w:r>
      <w:r w:rsidR="009C0068" w:rsidRPr="00B40A77">
        <w:rPr>
          <w:color w:val="000000" w:themeColor="text1"/>
          <w:lang w:val="en-US"/>
        </w:rPr>
        <w:t>in the prescribed form.</w:t>
      </w:r>
    </w:p>
    <w:p w14:paraId="33814A8F" w14:textId="77777777" w:rsidR="007F546C" w:rsidRPr="00B40A77" w:rsidRDefault="007F546C" w:rsidP="0033795E">
      <w:pPr>
        <w:pStyle w:val="NoteHeader"/>
        <w:keepNext/>
        <w:keepLines/>
        <w:rPr>
          <w:color w:val="000000" w:themeColor="text1"/>
        </w:rPr>
      </w:pPr>
      <w:r w:rsidRPr="00B40A77">
        <w:rPr>
          <w:color w:val="000000" w:themeColor="text1"/>
        </w:rPr>
        <w:t>Prescribed form—</w:t>
      </w:r>
    </w:p>
    <w:p w14:paraId="4CFAF579" w14:textId="32850C31" w:rsidR="00372D3A" w:rsidRPr="00B40A77" w:rsidRDefault="007F546C" w:rsidP="00A777E7">
      <w:pPr>
        <w:pStyle w:val="NoteText"/>
        <w:rPr>
          <w:color w:val="000000" w:themeColor="text1"/>
          <w:lang w:val="en-US"/>
        </w:rPr>
      </w:pPr>
      <w:r w:rsidRPr="00B40A77">
        <w:rPr>
          <w:color w:val="000000" w:themeColor="text1"/>
        </w:rPr>
        <w:t>F</w:t>
      </w:r>
      <w:r w:rsidR="00372D3A" w:rsidRPr="00B40A77">
        <w:rPr>
          <w:color w:val="000000" w:themeColor="text1"/>
        </w:rPr>
        <w:t>orm 62</w:t>
      </w:r>
      <w:r w:rsidRPr="00B40A77">
        <w:rPr>
          <w:color w:val="000000" w:themeColor="text1"/>
        </w:rPr>
        <w:t xml:space="preserve"> </w:t>
      </w:r>
      <w:hyperlink r:id="rId148" w:history="1">
        <w:r w:rsidR="00AD51C2" w:rsidRPr="00B40A77">
          <w:rPr>
            <w:rStyle w:val="Hyperlink"/>
            <w:color w:val="000000" w:themeColor="text1"/>
          </w:rPr>
          <w:t>Consent</w:t>
        </w:r>
        <w:r w:rsidR="00372D3A" w:rsidRPr="00B40A77">
          <w:rPr>
            <w:rStyle w:val="Hyperlink"/>
            <w:color w:val="000000" w:themeColor="text1"/>
            <w:lang w:val="en-US"/>
          </w:rPr>
          <w:t xml:space="preserve"> </w:t>
        </w:r>
        <w:r w:rsidR="00372D3A" w:rsidRPr="00B40A77">
          <w:rPr>
            <w:rStyle w:val="Hyperlink"/>
            <w:color w:val="000000" w:themeColor="text1"/>
          </w:rPr>
          <w:t xml:space="preserve">to Commonwealth </w:t>
        </w:r>
        <w:r w:rsidR="002E1F61" w:rsidRPr="00B40A77">
          <w:rPr>
            <w:rStyle w:val="Hyperlink"/>
            <w:color w:val="000000" w:themeColor="text1"/>
          </w:rPr>
          <w:t>I</w:t>
        </w:r>
        <w:r w:rsidR="00372D3A" w:rsidRPr="00B40A77">
          <w:rPr>
            <w:rStyle w:val="Hyperlink"/>
            <w:color w:val="000000" w:themeColor="text1"/>
          </w:rPr>
          <w:t xml:space="preserve">ndictable </w:t>
        </w:r>
        <w:r w:rsidR="002E1F61" w:rsidRPr="00B40A77">
          <w:rPr>
            <w:rStyle w:val="Hyperlink"/>
            <w:color w:val="000000" w:themeColor="text1"/>
          </w:rPr>
          <w:t>O</w:t>
        </w:r>
        <w:r w:rsidR="00372D3A" w:rsidRPr="00B40A77">
          <w:rPr>
            <w:rStyle w:val="Hyperlink"/>
            <w:color w:val="000000" w:themeColor="text1"/>
          </w:rPr>
          <w:t xml:space="preserve">ffence being </w:t>
        </w:r>
        <w:r w:rsidR="002E1F61" w:rsidRPr="00B40A77">
          <w:rPr>
            <w:rStyle w:val="Hyperlink"/>
            <w:color w:val="000000" w:themeColor="text1"/>
          </w:rPr>
          <w:t>H</w:t>
        </w:r>
        <w:r w:rsidR="00372D3A" w:rsidRPr="00B40A77">
          <w:rPr>
            <w:rStyle w:val="Hyperlink"/>
            <w:color w:val="000000" w:themeColor="text1"/>
          </w:rPr>
          <w:t xml:space="preserve">eard and </w:t>
        </w:r>
        <w:r w:rsidR="002E1F61" w:rsidRPr="00B40A77">
          <w:rPr>
            <w:rStyle w:val="Hyperlink"/>
            <w:color w:val="000000" w:themeColor="text1"/>
          </w:rPr>
          <w:t>D</w:t>
        </w:r>
        <w:r w:rsidR="00372D3A" w:rsidRPr="00B40A77">
          <w:rPr>
            <w:rStyle w:val="Hyperlink"/>
            <w:color w:val="000000" w:themeColor="text1"/>
          </w:rPr>
          <w:t>etermined in Court</w:t>
        </w:r>
        <w:r w:rsidR="002E1F61" w:rsidRPr="00B40A77">
          <w:rPr>
            <w:rStyle w:val="Hyperlink"/>
            <w:color w:val="000000" w:themeColor="text1"/>
          </w:rPr>
          <w:t xml:space="preserve"> of Summary Jurisdiction</w:t>
        </w:r>
      </w:hyperlink>
    </w:p>
    <w:p w14:paraId="4157A135" w14:textId="35318DA4" w:rsidR="00E617D9" w:rsidRPr="00B40A77" w:rsidRDefault="007F546C" w:rsidP="00E617D9">
      <w:pPr>
        <w:pStyle w:val="Hangindent"/>
        <w:rPr>
          <w:color w:val="000000" w:themeColor="text1"/>
          <w:lang w:val="en-US"/>
        </w:rPr>
      </w:pPr>
      <w:r w:rsidRPr="00B40A77">
        <w:rPr>
          <w:color w:val="000000" w:themeColor="text1"/>
          <w:lang w:val="en-US"/>
        </w:rPr>
        <w:t>(</w:t>
      </w:r>
      <w:r w:rsidR="00874D91" w:rsidRPr="00B40A77">
        <w:rPr>
          <w:color w:val="000000" w:themeColor="text1"/>
          <w:lang w:val="en-US"/>
        </w:rPr>
        <w:t>3</w:t>
      </w:r>
      <w:r w:rsidRPr="00B40A77">
        <w:rPr>
          <w:color w:val="000000" w:themeColor="text1"/>
          <w:lang w:val="en-US"/>
        </w:rPr>
        <w:t>)</w:t>
      </w:r>
      <w:r w:rsidRPr="00B40A77">
        <w:rPr>
          <w:color w:val="000000" w:themeColor="text1"/>
          <w:lang w:val="en-US"/>
        </w:rPr>
        <w:tab/>
        <w:t xml:space="preserve">A consent to </w:t>
      </w:r>
      <w:r w:rsidR="00645915" w:rsidRPr="00B40A77">
        <w:rPr>
          <w:color w:val="000000" w:themeColor="text1"/>
          <w:lang w:val="en-US"/>
        </w:rPr>
        <w:t xml:space="preserve">a </w:t>
      </w:r>
      <w:hyperlink w:anchor="_2.1—Definitions" w:history="1">
        <w:r w:rsidR="00F606B5" w:rsidRPr="00B40A77">
          <w:rPr>
            <w:rStyle w:val="Hyperlink"/>
            <w:color w:val="000000" w:themeColor="text1"/>
          </w:rPr>
          <w:t xml:space="preserve">Commonwealth </w:t>
        </w:r>
        <w:r w:rsidR="00C12900" w:rsidRPr="00B40A77">
          <w:rPr>
            <w:rStyle w:val="Hyperlink"/>
            <w:color w:val="000000" w:themeColor="text1"/>
          </w:rPr>
          <w:t xml:space="preserve">minor </w:t>
        </w:r>
        <w:r w:rsidR="00F606B5" w:rsidRPr="00B40A77">
          <w:rPr>
            <w:rStyle w:val="Hyperlink"/>
            <w:color w:val="000000" w:themeColor="text1"/>
          </w:rPr>
          <w:t>indictable offence</w:t>
        </w:r>
      </w:hyperlink>
      <w:r w:rsidR="00F606B5" w:rsidRPr="00B40A77">
        <w:rPr>
          <w:color w:val="000000" w:themeColor="text1"/>
        </w:rPr>
        <w:t xml:space="preserve"> being heard and determined in the </w:t>
      </w:r>
      <w:r w:rsidR="00EC438B" w:rsidRPr="00B40A77">
        <w:rPr>
          <w:color w:val="000000" w:themeColor="text1"/>
          <w:lang w:val="en-US"/>
        </w:rPr>
        <w:t>Magistrates</w:t>
      </w:r>
      <w:r w:rsidRPr="00B40A77">
        <w:rPr>
          <w:color w:val="000000" w:themeColor="text1"/>
          <w:lang w:val="en-US"/>
        </w:rPr>
        <w:t xml:space="preserve"> Court must be </w:t>
      </w:r>
      <w:r w:rsidR="00372D3A" w:rsidRPr="00B40A77">
        <w:rPr>
          <w:color w:val="000000" w:themeColor="text1"/>
        </w:rPr>
        <w:t>signed</w:t>
      </w:r>
      <w:r w:rsidR="00E617D9" w:rsidRPr="00B40A77">
        <w:rPr>
          <w:color w:val="000000" w:themeColor="text1"/>
          <w:lang w:val="en-US"/>
        </w:rPr>
        <w:t>—</w:t>
      </w:r>
    </w:p>
    <w:p w14:paraId="59D032AA" w14:textId="10AAD6A5" w:rsidR="00E617D9" w:rsidRPr="00B40A77" w:rsidRDefault="00E617D9" w:rsidP="00E617D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by the defendant before </w:t>
      </w:r>
      <w:r w:rsidR="003C2437" w:rsidRPr="00B40A77">
        <w:rPr>
          <w:color w:val="000000" w:themeColor="text1"/>
        </w:rPr>
        <w:t xml:space="preserve">an </w:t>
      </w:r>
      <w:hyperlink w:anchor="_2.1—Definitions" w:history="1">
        <w:r w:rsidR="003C2437" w:rsidRPr="00B40A77">
          <w:rPr>
            <w:rStyle w:val="Hyperlink"/>
            <w:color w:val="000000" w:themeColor="text1"/>
          </w:rPr>
          <w:t>authorised witness</w:t>
        </w:r>
      </w:hyperlink>
      <w:r w:rsidR="003C2437" w:rsidRPr="00B40A77">
        <w:rPr>
          <w:color w:val="000000" w:themeColor="text1"/>
        </w:rPr>
        <w:t xml:space="preserve"> or a lawyer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23347761" w14:textId="7458DD58" w:rsidR="00E617D9" w:rsidRPr="00B40A77" w:rsidRDefault="00E617D9" w:rsidP="00E617D9">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w:t>
      </w:r>
    </w:p>
    <w:p w14:paraId="6F3FA901" w14:textId="4D6D5325" w:rsidR="007F546C" w:rsidRPr="00B40A77" w:rsidRDefault="007F546C" w:rsidP="007F546C">
      <w:pPr>
        <w:pStyle w:val="Hangindent"/>
        <w:rPr>
          <w:color w:val="000000" w:themeColor="text1"/>
          <w:lang w:val="en-US"/>
        </w:rPr>
      </w:pPr>
      <w:r w:rsidRPr="00B40A77">
        <w:rPr>
          <w:color w:val="000000" w:themeColor="text1"/>
          <w:lang w:val="en-US"/>
        </w:rPr>
        <w:t>(3)</w:t>
      </w:r>
      <w:r w:rsidRPr="00B40A77">
        <w:rPr>
          <w:color w:val="000000" w:themeColor="text1"/>
          <w:lang w:val="en-US"/>
        </w:rPr>
        <w:tab/>
        <w:t>If the defendant is represented by a lawyer, the lawyer must complete the certification contained in the prescribed form.</w:t>
      </w:r>
    </w:p>
    <w:p w14:paraId="2F58C9AE" w14:textId="769E0535" w:rsidR="00874D91" w:rsidRPr="00B40A77" w:rsidRDefault="00874D91" w:rsidP="00874D91">
      <w:pPr>
        <w:pStyle w:val="Heading4"/>
        <w:rPr>
          <w:color w:val="000000" w:themeColor="text1"/>
          <w:sz w:val="22"/>
          <w:szCs w:val="22"/>
        </w:rPr>
      </w:pPr>
      <w:bookmarkStart w:id="550" w:name="_Toc175239006"/>
      <w:r w:rsidRPr="00B40A77">
        <w:rPr>
          <w:color w:val="000000" w:themeColor="text1"/>
        </w:rPr>
        <w:t>72.2—Commonwealth indictable property offence</w:t>
      </w:r>
      <w:bookmarkEnd w:id="550"/>
      <w:r w:rsidRPr="00B40A77">
        <w:rPr>
          <w:color w:val="000000" w:themeColor="text1"/>
        </w:rPr>
        <w:t xml:space="preserve"> </w:t>
      </w:r>
    </w:p>
    <w:p w14:paraId="431DF8BE" w14:textId="77777777" w:rsidR="00874D91" w:rsidRPr="00B40A77" w:rsidRDefault="00CD7D82" w:rsidP="00874D91">
      <w:pPr>
        <w:pStyle w:val="Hangindent"/>
        <w:rPr>
          <w:rFonts w:cs="Times New Roman"/>
          <w:color w:val="000000" w:themeColor="text1"/>
          <w:lang w:val="en-US"/>
        </w:rPr>
      </w:pPr>
      <w:r w:rsidRPr="00B40A77">
        <w:rPr>
          <w:color w:val="000000" w:themeColor="text1"/>
          <w:lang w:val="en-US"/>
        </w:rPr>
        <w:t>(</w:t>
      </w:r>
      <w:r w:rsidR="00874D91" w:rsidRPr="00B40A77">
        <w:rPr>
          <w:color w:val="000000" w:themeColor="text1"/>
          <w:lang w:val="en-US"/>
        </w:rPr>
        <w:t>1</w:t>
      </w:r>
      <w:r w:rsidRPr="00B40A77">
        <w:rPr>
          <w:color w:val="000000" w:themeColor="text1"/>
          <w:lang w:val="en-US"/>
        </w:rPr>
        <w:t>)</w:t>
      </w:r>
      <w:r w:rsidRPr="00B40A77">
        <w:rPr>
          <w:color w:val="000000" w:themeColor="text1"/>
          <w:lang w:val="en-US"/>
        </w:rPr>
        <w:tab/>
      </w:r>
      <w:r w:rsidR="00874D91" w:rsidRPr="00B40A77">
        <w:rPr>
          <w:color w:val="000000" w:themeColor="text1"/>
          <w:lang w:val="en-US"/>
        </w:rPr>
        <w:t>This rule applies i</w:t>
      </w:r>
      <w:r w:rsidRPr="00B40A77">
        <w:rPr>
          <w:color w:val="000000" w:themeColor="text1"/>
          <w:lang w:val="en-US"/>
        </w:rPr>
        <w:t>f</w:t>
      </w:r>
      <w:r w:rsidR="00874D91" w:rsidRPr="00B40A77">
        <w:rPr>
          <w:color w:val="000000" w:themeColor="text1"/>
          <w:lang w:val="en-US"/>
        </w:rPr>
        <w:t>—</w:t>
      </w:r>
    </w:p>
    <w:p w14:paraId="6FDC57C1" w14:textId="04F91FCF" w:rsidR="00874D91" w:rsidRPr="00B40A77" w:rsidRDefault="00874D91" w:rsidP="00874D91">
      <w:pPr>
        <w:pStyle w:val="Doublehangindent"/>
        <w:rPr>
          <w:color w:val="000000" w:themeColor="text1"/>
        </w:rPr>
      </w:pPr>
      <w:r w:rsidRPr="00B40A77">
        <w:rPr>
          <w:color w:val="000000" w:themeColor="text1"/>
          <w:lang w:val="en-US"/>
        </w:rPr>
        <w:t>(a)</w:t>
      </w:r>
      <w:r w:rsidRPr="00B40A77">
        <w:rPr>
          <w:color w:val="000000" w:themeColor="text1"/>
          <w:lang w:val="en-US"/>
        </w:rPr>
        <w:tab/>
        <w:t xml:space="preserve">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w:t>
      </w:r>
      <w:r w:rsidR="00871FD6" w:rsidRPr="00B40A77">
        <w:rPr>
          <w:color w:val="000000" w:themeColor="text1"/>
          <w:lang w:val="en-US"/>
        </w:rPr>
        <w:t>with</w:t>
      </w:r>
      <w:r w:rsidRPr="00B40A77">
        <w:rPr>
          <w:color w:val="000000" w:themeColor="text1"/>
          <w:lang w:val="en-US"/>
        </w:rPr>
        <w:t xml:space="preserve"> which </w:t>
      </w:r>
      <w:r w:rsidR="00A352F4" w:rsidRPr="00B40A77">
        <w:rPr>
          <w:color w:val="000000" w:themeColor="text1"/>
          <w:lang w:val="en-US"/>
        </w:rPr>
        <w:t>a</w:t>
      </w:r>
      <w:r w:rsidRPr="00B40A77">
        <w:rPr>
          <w:color w:val="000000" w:themeColor="text1"/>
          <w:lang w:val="en-US"/>
        </w:rPr>
        <w:t xml:space="preserve"> defendant </w:t>
      </w:r>
      <w:r w:rsidR="00871FD6" w:rsidRPr="00B40A77">
        <w:rPr>
          <w:color w:val="000000" w:themeColor="text1"/>
          <w:lang w:val="en-US"/>
        </w:rPr>
        <w:t>is charged</w:t>
      </w:r>
      <w:r w:rsidRPr="00B40A77">
        <w:rPr>
          <w:color w:val="000000" w:themeColor="text1"/>
          <w:lang w:val="en-US"/>
        </w:rPr>
        <w:t xml:space="preserve"> is </w:t>
      </w:r>
      <w:r w:rsidRPr="00B40A77">
        <w:rPr>
          <w:color w:val="000000" w:themeColor="text1"/>
          <w:u w:val="single"/>
          <w:lang w:val="en-US"/>
        </w:rPr>
        <w:t>Commonwealth indictable;</w:t>
      </w:r>
      <w:r w:rsidRPr="00B40A77">
        <w:rPr>
          <w:color w:val="000000" w:themeColor="text1"/>
          <w:lang w:val="en-US"/>
        </w:rPr>
        <w:t xml:space="preserve"> and</w:t>
      </w:r>
    </w:p>
    <w:p w14:paraId="731F72EF" w14:textId="01E63141" w:rsidR="00874D91" w:rsidRPr="00B40A77" w:rsidRDefault="00874D91" w:rsidP="00874D91">
      <w:pPr>
        <w:pStyle w:val="Doublehangindent"/>
        <w:rPr>
          <w:color w:val="000000" w:themeColor="text1"/>
          <w:lang w:val="en-US"/>
        </w:rPr>
      </w:pPr>
      <w:r w:rsidRPr="00B40A77">
        <w:rPr>
          <w:color w:val="000000" w:themeColor="text1"/>
        </w:rPr>
        <w:t>(b)</w:t>
      </w:r>
      <w:r w:rsidRPr="00B40A77">
        <w:rPr>
          <w:color w:val="000000" w:themeColor="text1"/>
        </w:rPr>
        <w:tab/>
        <w:t>the offences relate to property whose value does not exceed $5,000.</w:t>
      </w:r>
    </w:p>
    <w:p w14:paraId="212C2779" w14:textId="6445ED96" w:rsidR="005E7FC5" w:rsidRPr="00B40A77" w:rsidRDefault="00874D91" w:rsidP="0033795E">
      <w:pPr>
        <w:pStyle w:val="Hangindent"/>
        <w:keepNext/>
        <w:rPr>
          <w:color w:val="000000" w:themeColor="text1"/>
          <w:lang w:val="en-US"/>
        </w:rPr>
      </w:pPr>
      <w:r w:rsidRPr="00B40A77">
        <w:rPr>
          <w:rFonts w:cs="Times New Roman"/>
          <w:color w:val="000000" w:themeColor="text1"/>
        </w:rPr>
        <w:t>(2)</w:t>
      </w:r>
      <w:r w:rsidRPr="00B40A77">
        <w:rPr>
          <w:rFonts w:cs="Times New Roman"/>
          <w:color w:val="000000" w:themeColor="text1"/>
        </w:rPr>
        <w:tab/>
        <w:t>A</w:t>
      </w:r>
      <w:r w:rsidR="00CF7F59" w:rsidRPr="00B40A77">
        <w:rPr>
          <w:color w:val="000000" w:themeColor="text1"/>
          <w:lang w:val="en-US"/>
        </w:rPr>
        <w:t xml:space="preserve"> request</w:t>
      </w:r>
      <w:r w:rsidR="00CD7D82" w:rsidRPr="00B40A77">
        <w:rPr>
          <w:color w:val="000000" w:themeColor="text1"/>
          <w:lang w:val="en-US"/>
        </w:rPr>
        <w:t xml:space="preserve"> by the prosecution that </w:t>
      </w:r>
      <w:r w:rsidR="00871FD6" w:rsidRPr="00B40A77">
        <w:rPr>
          <w:color w:val="000000" w:themeColor="text1"/>
          <w:lang w:val="en-US"/>
        </w:rPr>
        <w:t xml:space="preserve">the proceeding be heard </w:t>
      </w:r>
      <w:r w:rsidR="00871FD6" w:rsidRPr="00B40A77">
        <w:rPr>
          <w:color w:val="000000" w:themeColor="text1"/>
        </w:rPr>
        <w:t xml:space="preserve">and determined </w:t>
      </w:r>
      <w:r w:rsidR="00CD7D82" w:rsidRPr="00B40A77">
        <w:rPr>
          <w:color w:val="000000" w:themeColor="text1"/>
          <w:lang w:val="en-US"/>
        </w:rPr>
        <w:t xml:space="preserve">by </w:t>
      </w:r>
      <w:r w:rsidR="00CF7F59" w:rsidRPr="00B40A77">
        <w:rPr>
          <w:color w:val="000000" w:themeColor="text1"/>
          <w:lang w:val="en-US"/>
        </w:rPr>
        <w:t>the Magistrates</w:t>
      </w:r>
      <w:r w:rsidR="00CD7D82" w:rsidRPr="00B40A77">
        <w:rPr>
          <w:color w:val="000000" w:themeColor="text1"/>
          <w:lang w:val="en-US"/>
        </w:rPr>
        <w:t xml:space="preserve"> Court</w:t>
      </w:r>
      <w:r w:rsidR="00CF7F59" w:rsidRPr="00B40A77">
        <w:rPr>
          <w:color w:val="000000" w:themeColor="text1"/>
          <w:lang w:val="en-US"/>
        </w:rPr>
        <w:t xml:space="preserve"> under section</w:t>
      </w:r>
      <w:r w:rsidR="00645915" w:rsidRPr="00B40A77">
        <w:rPr>
          <w:color w:val="000000" w:themeColor="text1"/>
          <w:lang w:val="en-US"/>
        </w:rPr>
        <w:t> </w:t>
      </w:r>
      <w:r w:rsidR="00CF7F59" w:rsidRPr="00B40A77">
        <w:rPr>
          <w:color w:val="000000" w:themeColor="text1"/>
          <w:lang w:val="en-US"/>
        </w:rPr>
        <w:t>4J(4) of the Crimes Act</w:t>
      </w:r>
      <w:r w:rsidR="00CD7D82" w:rsidRPr="00B40A77">
        <w:rPr>
          <w:color w:val="000000" w:themeColor="text1"/>
          <w:lang w:val="en-US"/>
        </w:rPr>
        <w:t xml:space="preserve"> must be made</w:t>
      </w:r>
      <w:r w:rsidR="002B3F27" w:rsidRPr="00B40A77">
        <w:rPr>
          <w:color w:val="000000" w:themeColor="text1"/>
          <w:lang w:val="en-US"/>
        </w:rPr>
        <w:t xml:space="preserve"> </w:t>
      </w:r>
      <w:r w:rsidR="005E7FC5" w:rsidRPr="00B40A77">
        <w:rPr>
          <w:color w:val="000000" w:themeColor="text1"/>
          <w:lang w:val="en-US"/>
        </w:rPr>
        <w:t xml:space="preserve">by filing a </w:t>
      </w:r>
      <w:r w:rsidR="002F3A43" w:rsidRPr="00B40A77">
        <w:rPr>
          <w:color w:val="000000" w:themeColor="text1"/>
          <w:lang w:val="en-US"/>
        </w:rPr>
        <w:t>prosecution request for</w:t>
      </w:r>
      <w:r w:rsidR="005E7FC5" w:rsidRPr="00B40A77">
        <w:rPr>
          <w:color w:val="000000" w:themeColor="text1"/>
          <w:lang w:val="en-US"/>
        </w:rPr>
        <w:t xml:space="preserve"> </w:t>
      </w:r>
      <w:hyperlink w:anchor="_2.1—Definitions" w:history="1">
        <w:r w:rsidR="001742C0" w:rsidRPr="00B40A77">
          <w:rPr>
            <w:rStyle w:val="Hyperlink"/>
            <w:color w:val="000000" w:themeColor="text1"/>
          </w:rPr>
          <w:t>Commonwealth indictable offence</w:t>
        </w:r>
      </w:hyperlink>
      <w:r w:rsidR="002F3A43" w:rsidRPr="00B40A77">
        <w:rPr>
          <w:color w:val="000000" w:themeColor="text1"/>
        </w:rPr>
        <w:t xml:space="preserve"> to be</w:t>
      </w:r>
      <w:r w:rsidR="005E7FC5" w:rsidRPr="00B40A77">
        <w:rPr>
          <w:color w:val="000000" w:themeColor="text1"/>
        </w:rPr>
        <w:t xml:space="preserve"> heard and determined in </w:t>
      </w:r>
      <w:r w:rsidR="00A352F4" w:rsidRPr="00B40A77">
        <w:rPr>
          <w:color w:val="000000" w:themeColor="text1"/>
        </w:rPr>
        <w:t xml:space="preserve">the </w:t>
      </w:r>
      <w:r w:rsidR="005E7FC5" w:rsidRPr="00B40A77">
        <w:rPr>
          <w:rFonts w:cs="Times New Roman"/>
          <w:color w:val="000000" w:themeColor="text1"/>
        </w:rPr>
        <w:t>Magistrates</w:t>
      </w:r>
      <w:r w:rsidR="005E7FC5" w:rsidRPr="00B40A77">
        <w:rPr>
          <w:color w:val="000000" w:themeColor="text1"/>
        </w:rPr>
        <w:t xml:space="preserve"> Court</w:t>
      </w:r>
      <w:r w:rsidR="002B3F27" w:rsidRPr="00B40A77">
        <w:rPr>
          <w:color w:val="000000" w:themeColor="text1"/>
          <w:lang w:val="en-US"/>
        </w:rPr>
        <w:t xml:space="preserve"> in the prescribed form.</w:t>
      </w:r>
    </w:p>
    <w:p w14:paraId="35F3235A" w14:textId="77777777" w:rsidR="005E7FC5" w:rsidRPr="00B40A77" w:rsidRDefault="005E7FC5" w:rsidP="0033795E">
      <w:pPr>
        <w:pStyle w:val="NoteHeader"/>
        <w:keepNext/>
        <w:rPr>
          <w:color w:val="000000" w:themeColor="text1"/>
        </w:rPr>
      </w:pPr>
      <w:r w:rsidRPr="00B40A77">
        <w:rPr>
          <w:color w:val="000000" w:themeColor="text1"/>
        </w:rPr>
        <w:t>Prescribed form—</w:t>
      </w:r>
    </w:p>
    <w:p w14:paraId="4B9FF7BB" w14:textId="69B885D5" w:rsidR="005E7FC5" w:rsidRPr="00B40A77" w:rsidRDefault="005E7FC5" w:rsidP="00A777E7">
      <w:pPr>
        <w:pStyle w:val="NoteText"/>
        <w:rPr>
          <w:color w:val="000000" w:themeColor="text1"/>
          <w:lang w:val="en-US"/>
        </w:rPr>
      </w:pPr>
      <w:r w:rsidRPr="00B40A77">
        <w:rPr>
          <w:color w:val="000000" w:themeColor="text1"/>
        </w:rPr>
        <w:t>F</w:t>
      </w:r>
      <w:r w:rsidR="002F3A43" w:rsidRPr="00B40A77">
        <w:rPr>
          <w:color w:val="000000" w:themeColor="text1"/>
        </w:rPr>
        <w:t>orm 63</w:t>
      </w:r>
      <w:r w:rsidRPr="00B40A77">
        <w:rPr>
          <w:color w:val="000000" w:themeColor="text1"/>
        </w:rPr>
        <w:t xml:space="preserve"> </w:t>
      </w:r>
      <w:hyperlink r:id="rId149" w:history="1">
        <w:r w:rsidR="002F3A43" w:rsidRPr="00B40A77">
          <w:rPr>
            <w:rStyle w:val="Hyperlink"/>
            <w:color w:val="000000" w:themeColor="text1"/>
            <w:lang w:val="en-US"/>
          </w:rPr>
          <w:t xml:space="preserve">Prosecution Request for </w:t>
        </w:r>
        <w:r w:rsidR="002F3A43" w:rsidRPr="00B40A77">
          <w:rPr>
            <w:rStyle w:val="Hyperlink"/>
            <w:color w:val="000000" w:themeColor="text1"/>
          </w:rPr>
          <w:t xml:space="preserve">Commonwealth </w:t>
        </w:r>
        <w:r w:rsidR="00AD51C2" w:rsidRPr="00B40A77">
          <w:rPr>
            <w:rStyle w:val="Hyperlink"/>
            <w:color w:val="000000" w:themeColor="text1"/>
          </w:rPr>
          <w:t>I</w:t>
        </w:r>
        <w:r w:rsidR="002F3A43" w:rsidRPr="00B40A77">
          <w:rPr>
            <w:rStyle w:val="Hyperlink"/>
            <w:color w:val="000000" w:themeColor="text1"/>
          </w:rPr>
          <w:t xml:space="preserve">ndictable </w:t>
        </w:r>
        <w:r w:rsidR="00AD51C2" w:rsidRPr="00B40A77">
          <w:rPr>
            <w:rStyle w:val="Hyperlink"/>
            <w:color w:val="000000" w:themeColor="text1"/>
          </w:rPr>
          <w:t>O</w:t>
        </w:r>
        <w:r w:rsidR="002F3A43" w:rsidRPr="00B40A77">
          <w:rPr>
            <w:rStyle w:val="Hyperlink"/>
            <w:color w:val="000000" w:themeColor="text1"/>
          </w:rPr>
          <w:t xml:space="preserve">ffence to be </w:t>
        </w:r>
        <w:r w:rsidR="00AD51C2" w:rsidRPr="00B40A77">
          <w:rPr>
            <w:rStyle w:val="Hyperlink"/>
            <w:color w:val="000000" w:themeColor="text1"/>
          </w:rPr>
          <w:t>H</w:t>
        </w:r>
        <w:r w:rsidR="002F3A43" w:rsidRPr="00B40A77">
          <w:rPr>
            <w:rStyle w:val="Hyperlink"/>
            <w:color w:val="000000" w:themeColor="text1"/>
          </w:rPr>
          <w:t xml:space="preserve">eard and </w:t>
        </w:r>
        <w:r w:rsidR="00AD51C2" w:rsidRPr="00B40A77">
          <w:rPr>
            <w:rStyle w:val="Hyperlink"/>
            <w:color w:val="000000" w:themeColor="text1"/>
          </w:rPr>
          <w:t>D</w:t>
        </w:r>
        <w:r w:rsidR="002F3A43" w:rsidRPr="00B40A77">
          <w:rPr>
            <w:rStyle w:val="Hyperlink"/>
            <w:color w:val="000000" w:themeColor="text1"/>
          </w:rPr>
          <w:t>etermined in Magistrates Court</w:t>
        </w:r>
        <w:r w:rsidR="00092FFA" w:rsidRPr="00B40A77">
          <w:rPr>
            <w:rStyle w:val="Hyperlink"/>
            <w:color w:val="000000" w:themeColor="text1"/>
          </w:rPr>
          <w:t xml:space="preserve"> (Cth)</w:t>
        </w:r>
      </w:hyperlink>
    </w:p>
    <w:p w14:paraId="6DD7C62A" w14:textId="06D84BDA" w:rsidR="00600147" w:rsidRPr="00B40A77" w:rsidRDefault="0008072C" w:rsidP="00BE23A0">
      <w:pPr>
        <w:pStyle w:val="Heading2"/>
        <w:keepNext/>
        <w:rPr>
          <w:color w:val="000000" w:themeColor="text1"/>
        </w:rPr>
      </w:pPr>
      <w:bookmarkStart w:id="551" w:name="_Part_7—Election_or"/>
      <w:bookmarkStart w:id="552" w:name="_Toc175239007"/>
      <w:bookmarkEnd w:id="551"/>
      <w:r w:rsidRPr="00B40A77">
        <w:rPr>
          <w:color w:val="000000" w:themeColor="text1"/>
        </w:rPr>
        <w:t>Part 7</w:t>
      </w:r>
      <w:r w:rsidR="00600147" w:rsidRPr="00B40A77">
        <w:rPr>
          <w:color w:val="000000" w:themeColor="text1"/>
        </w:rPr>
        <w:t xml:space="preserve">—Election </w:t>
      </w:r>
      <w:r w:rsidR="002A32A3" w:rsidRPr="00B40A77">
        <w:rPr>
          <w:color w:val="000000" w:themeColor="text1"/>
        </w:rPr>
        <w:t xml:space="preserve">or order </w:t>
      </w:r>
      <w:r w:rsidR="00600147" w:rsidRPr="00B40A77">
        <w:rPr>
          <w:color w:val="000000" w:themeColor="text1"/>
        </w:rPr>
        <w:t xml:space="preserve">for trial </w:t>
      </w:r>
      <w:r w:rsidR="0062119E" w:rsidRPr="00B40A77">
        <w:rPr>
          <w:color w:val="000000" w:themeColor="text1"/>
        </w:rPr>
        <w:t xml:space="preserve">or sentence </w:t>
      </w:r>
      <w:r w:rsidR="00600147" w:rsidRPr="00B40A77">
        <w:rPr>
          <w:color w:val="000000" w:themeColor="text1"/>
        </w:rPr>
        <w:t>by Hig</w:t>
      </w:r>
      <w:r w:rsidR="00DF1324" w:rsidRPr="00B40A77">
        <w:rPr>
          <w:color w:val="000000" w:themeColor="text1"/>
        </w:rPr>
        <w:t>h</w:t>
      </w:r>
      <w:r w:rsidR="00600147" w:rsidRPr="00B40A77">
        <w:rPr>
          <w:color w:val="000000" w:themeColor="text1"/>
        </w:rPr>
        <w:t>er Court</w:t>
      </w:r>
      <w:bookmarkEnd w:id="552"/>
    </w:p>
    <w:p w14:paraId="1A462DF6" w14:textId="4C5C1694" w:rsidR="0062119E" w:rsidRPr="00B40A77" w:rsidRDefault="0062119E" w:rsidP="0062119E">
      <w:pPr>
        <w:pStyle w:val="Heading3"/>
        <w:rPr>
          <w:color w:val="000000" w:themeColor="text1"/>
        </w:rPr>
      </w:pPr>
      <w:bookmarkStart w:id="553" w:name="_Toc175239008"/>
      <w:r w:rsidRPr="00B40A77">
        <w:rPr>
          <w:color w:val="000000" w:themeColor="text1"/>
        </w:rPr>
        <w:t>Division 1—Election for trial by Higher Court</w:t>
      </w:r>
      <w:bookmarkEnd w:id="553"/>
    </w:p>
    <w:p w14:paraId="09DA235C" w14:textId="5D8EB648" w:rsidR="00600147" w:rsidRPr="00B40A77" w:rsidRDefault="007D17D2" w:rsidP="00600147">
      <w:pPr>
        <w:pStyle w:val="Heading4"/>
        <w:rPr>
          <w:color w:val="000000" w:themeColor="text1"/>
        </w:rPr>
      </w:pPr>
      <w:bookmarkStart w:id="554" w:name="_Toc175239009"/>
      <w:r w:rsidRPr="00B40A77">
        <w:rPr>
          <w:color w:val="000000" w:themeColor="text1"/>
        </w:rPr>
        <w:t>73</w:t>
      </w:r>
      <w:r w:rsidR="00DF1324" w:rsidRPr="00B40A77">
        <w:rPr>
          <w:color w:val="000000" w:themeColor="text1"/>
        </w:rPr>
        <w:t>.1—Min</w:t>
      </w:r>
      <w:r w:rsidR="00600147" w:rsidRPr="00B40A77">
        <w:rPr>
          <w:color w:val="000000" w:themeColor="text1"/>
        </w:rPr>
        <w:t>or indictable offence: Magistrates Court</w:t>
      </w:r>
      <w:r w:rsidR="00E8731E" w:rsidRPr="00B40A77">
        <w:rPr>
          <w:color w:val="000000" w:themeColor="text1"/>
        </w:rPr>
        <w:t xml:space="preserve"> and Environment Resources and Development Court</w:t>
      </w:r>
      <w:bookmarkEnd w:id="554"/>
    </w:p>
    <w:p w14:paraId="6FAAF9D4" w14:textId="4BBB3891" w:rsidR="00DF1324" w:rsidRPr="00B40A77" w:rsidRDefault="00600147" w:rsidP="0033795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w:t>
      </w:r>
      <w:r w:rsidR="00A352F4" w:rsidRPr="00B40A77">
        <w:rPr>
          <w:color w:val="000000" w:themeColor="text1"/>
          <w:lang w:val="en-US"/>
        </w:rPr>
        <w:t>with</w:t>
      </w:r>
      <w:r w:rsidRPr="00B40A77">
        <w:rPr>
          <w:color w:val="000000" w:themeColor="text1"/>
          <w:lang w:val="en-US"/>
        </w:rPr>
        <w:t xml:space="preserve"> which </w:t>
      </w:r>
      <w:r w:rsidR="00A352F4" w:rsidRPr="00B40A77">
        <w:rPr>
          <w:color w:val="000000" w:themeColor="text1"/>
          <w:lang w:val="en-US"/>
        </w:rPr>
        <w:t>a</w:t>
      </w:r>
      <w:r w:rsidRPr="00B40A77">
        <w:rPr>
          <w:color w:val="000000" w:themeColor="text1"/>
          <w:lang w:val="en-US"/>
        </w:rPr>
        <w:t xml:space="preserve"> defendant </w:t>
      </w:r>
      <w:r w:rsidR="00A352F4" w:rsidRPr="00B40A77">
        <w:rPr>
          <w:color w:val="000000" w:themeColor="text1"/>
          <w:lang w:val="en-US"/>
        </w:rPr>
        <w:t>is charged</w:t>
      </w:r>
      <w:r w:rsidR="00DF1324" w:rsidRPr="00B40A77">
        <w:rPr>
          <w:color w:val="000000" w:themeColor="text1"/>
          <w:lang w:val="en-US"/>
        </w:rPr>
        <w:t xml:space="preserve"> is </w:t>
      </w:r>
      <w:r w:rsidR="00DF1324" w:rsidRPr="00B40A77">
        <w:rPr>
          <w:color w:val="000000" w:themeColor="text1"/>
          <w:u w:val="single"/>
          <w:lang w:val="en-US"/>
        </w:rPr>
        <w:t>min</w:t>
      </w:r>
      <w:r w:rsidRPr="00B40A77">
        <w:rPr>
          <w:color w:val="000000" w:themeColor="text1"/>
          <w:u w:val="single"/>
          <w:lang w:val="en-US"/>
        </w:rPr>
        <w:t>or indictable</w:t>
      </w:r>
      <w:r w:rsidRPr="00B40A77">
        <w:rPr>
          <w:color w:val="000000" w:themeColor="text1"/>
          <w:lang w:val="en-US"/>
        </w:rPr>
        <w:t>, a</w:t>
      </w:r>
      <w:r w:rsidR="00DF1324" w:rsidRPr="00B40A77">
        <w:rPr>
          <w:color w:val="000000" w:themeColor="text1"/>
          <w:lang w:val="en-US"/>
        </w:rPr>
        <w:t xml:space="preserve">n election </w:t>
      </w:r>
      <w:r w:rsidRPr="00B40A77">
        <w:rPr>
          <w:color w:val="000000" w:themeColor="text1"/>
          <w:lang w:val="en-US"/>
        </w:rPr>
        <w:t xml:space="preserve">by the </w:t>
      </w:r>
      <w:r w:rsidRPr="00B40A77">
        <w:rPr>
          <w:rFonts w:cs="Times New Roman"/>
          <w:color w:val="000000" w:themeColor="text1"/>
        </w:rPr>
        <w:t xml:space="preserve">defendant </w:t>
      </w:r>
      <w:r w:rsidR="006A4033" w:rsidRPr="00B40A77">
        <w:rPr>
          <w:rFonts w:cs="Times New Roman"/>
          <w:color w:val="000000" w:themeColor="text1"/>
        </w:rPr>
        <w:t xml:space="preserve">for </w:t>
      </w:r>
      <w:hyperlink w:anchor="_2.1—Definitions" w:history="1">
        <w:r w:rsidR="00E46B25" w:rsidRPr="00B40A77">
          <w:rPr>
            <w:rStyle w:val="Hyperlink"/>
            <w:color w:val="000000" w:themeColor="text1"/>
            <w:lang w:val="en-US"/>
          </w:rPr>
          <w:t>trial</w:t>
        </w:r>
      </w:hyperlink>
      <w:r w:rsidR="006A4033" w:rsidRPr="00B40A77">
        <w:rPr>
          <w:rFonts w:cs="Times New Roman"/>
          <w:color w:val="000000" w:themeColor="text1"/>
        </w:rPr>
        <w:t xml:space="preserve"> in a superior court</w:t>
      </w:r>
      <w:r w:rsidRPr="00B40A77">
        <w:rPr>
          <w:color w:val="000000" w:themeColor="text1"/>
          <w:lang w:val="en-US"/>
        </w:rPr>
        <w:t xml:space="preserve"> </w:t>
      </w:r>
      <w:r w:rsidR="006A4033" w:rsidRPr="00B40A77">
        <w:rPr>
          <w:color w:val="000000" w:themeColor="text1"/>
          <w:lang w:val="en-US"/>
        </w:rPr>
        <w:t xml:space="preserve">under </w:t>
      </w:r>
      <w:r w:rsidR="006A4033" w:rsidRPr="00B40A77">
        <w:rPr>
          <w:color w:val="000000" w:themeColor="text1"/>
          <w:lang w:val="en-US"/>
        </w:rPr>
        <w:lastRenderedPageBreak/>
        <w:t>section</w:t>
      </w:r>
      <w:r w:rsidR="0084710B" w:rsidRPr="00B40A77">
        <w:rPr>
          <w:color w:val="000000" w:themeColor="text1"/>
          <w:lang w:val="en-US"/>
        </w:rPr>
        <w:t> </w:t>
      </w:r>
      <w:r w:rsidR="006A4033" w:rsidRPr="00B40A77">
        <w:rPr>
          <w:color w:val="000000" w:themeColor="text1"/>
          <w:lang w:val="en-US"/>
        </w:rPr>
        <w:t>108</w:t>
      </w:r>
      <w:r w:rsidRPr="00B40A77">
        <w:rPr>
          <w:color w:val="000000" w:themeColor="text1"/>
          <w:lang w:val="en-US"/>
        </w:rPr>
        <w:t>(1) of the Procedure Act must be made</w:t>
      </w:r>
      <w:r w:rsidR="006A4033" w:rsidRPr="00B40A77">
        <w:rPr>
          <w:color w:val="000000" w:themeColor="text1"/>
          <w:lang w:val="en-US"/>
        </w:rPr>
        <w:t xml:space="preserve"> </w:t>
      </w:r>
      <w:r w:rsidR="00DF1324" w:rsidRPr="00B40A77">
        <w:rPr>
          <w:color w:val="000000" w:themeColor="text1"/>
          <w:lang w:val="en-US"/>
        </w:rPr>
        <w:t>by filing a</w:t>
      </w:r>
      <w:r w:rsidR="006A4033" w:rsidRPr="00B40A77">
        <w:rPr>
          <w:color w:val="000000" w:themeColor="text1"/>
          <w:lang w:val="en-US"/>
        </w:rPr>
        <w:t xml:space="preserve">n election for </w:t>
      </w:r>
      <w:hyperlink w:anchor="_2.1—Definitions" w:history="1">
        <w:r w:rsidR="00E46B25" w:rsidRPr="00B40A77">
          <w:rPr>
            <w:rStyle w:val="Hyperlink"/>
            <w:color w:val="000000" w:themeColor="text1"/>
            <w:lang w:val="en-US"/>
          </w:rPr>
          <w:t>trial</w:t>
        </w:r>
      </w:hyperlink>
      <w:r w:rsidR="006A4033" w:rsidRPr="00B40A77">
        <w:rPr>
          <w:color w:val="000000" w:themeColor="text1"/>
          <w:lang w:val="en-US"/>
        </w:rPr>
        <w:t xml:space="preserve"> in the District Court in the prescribed form.</w:t>
      </w:r>
    </w:p>
    <w:p w14:paraId="0D3F3593" w14:textId="77777777" w:rsidR="00DF1324" w:rsidRPr="00B40A77" w:rsidRDefault="00DF1324" w:rsidP="0033795E">
      <w:pPr>
        <w:pStyle w:val="NoteHeader"/>
        <w:keepNext/>
        <w:rPr>
          <w:color w:val="000000" w:themeColor="text1"/>
        </w:rPr>
      </w:pPr>
      <w:r w:rsidRPr="00B40A77">
        <w:rPr>
          <w:color w:val="000000" w:themeColor="text1"/>
        </w:rPr>
        <w:t>Prescribed form—</w:t>
      </w:r>
    </w:p>
    <w:p w14:paraId="4CF7101C" w14:textId="6875DDC0" w:rsidR="00DF1324" w:rsidRPr="00B40A77" w:rsidRDefault="00DF1324" w:rsidP="00AA301B">
      <w:pPr>
        <w:pStyle w:val="NoteText"/>
        <w:keepNext/>
        <w:rPr>
          <w:color w:val="000000" w:themeColor="text1"/>
          <w:lang w:val="en-US"/>
        </w:rPr>
      </w:pPr>
      <w:r w:rsidRPr="00B40A77">
        <w:rPr>
          <w:color w:val="000000" w:themeColor="text1"/>
        </w:rPr>
        <w:t>F</w:t>
      </w:r>
      <w:r w:rsidR="006A4033" w:rsidRPr="00B40A77">
        <w:rPr>
          <w:color w:val="000000" w:themeColor="text1"/>
        </w:rPr>
        <w:t>orm 66</w:t>
      </w:r>
      <w:r w:rsidRPr="00B40A77">
        <w:rPr>
          <w:color w:val="000000" w:themeColor="text1"/>
        </w:rPr>
        <w:t xml:space="preserve"> </w:t>
      </w:r>
      <w:hyperlink r:id="rId150" w:history="1">
        <w:r w:rsidR="00E8731E" w:rsidRPr="00B40A77">
          <w:rPr>
            <w:rStyle w:val="Hyperlink"/>
            <w:color w:val="000000" w:themeColor="text1"/>
            <w:lang w:val="en-US"/>
          </w:rPr>
          <w:t>E</w:t>
        </w:r>
        <w:r w:rsidR="006A4033" w:rsidRPr="00B40A77">
          <w:rPr>
            <w:rStyle w:val="Hyperlink"/>
            <w:color w:val="000000" w:themeColor="text1"/>
            <w:lang w:val="en-US"/>
          </w:rPr>
          <w:t xml:space="preserve">lection for </w:t>
        </w:r>
        <w:r w:rsidR="00094B9D" w:rsidRPr="00B40A77">
          <w:rPr>
            <w:rStyle w:val="Hyperlink"/>
            <w:color w:val="000000" w:themeColor="text1"/>
            <w:lang w:val="en-US"/>
          </w:rPr>
          <w:t>T</w:t>
        </w:r>
        <w:r w:rsidR="006A4033" w:rsidRPr="00B40A77">
          <w:rPr>
            <w:rStyle w:val="Hyperlink"/>
            <w:color w:val="000000" w:themeColor="text1"/>
            <w:lang w:val="en-US"/>
          </w:rPr>
          <w:t>rial in District Court</w:t>
        </w:r>
      </w:hyperlink>
    </w:p>
    <w:p w14:paraId="57923517" w14:textId="3827F66D" w:rsidR="0005714D" w:rsidRPr="00B40A77" w:rsidRDefault="0005714D" w:rsidP="00E13A93">
      <w:pPr>
        <w:pStyle w:val="NoteHeader"/>
        <w:keepNext/>
        <w:rPr>
          <w:color w:val="000000" w:themeColor="text1"/>
        </w:rPr>
      </w:pPr>
      <w:r w:rsidRPr="00B40A77">
        <w:rPr>
          <w:color w:val="000000" w:themeColor="text1"/>
        </w:rPr>
        <w:t>Note—</w:t>
      </w:r>
    </w:p>
    <w:p w14:paraId="211A8D5F" w14:textId="40CDA497" w:rsidR="0005714D" w:rsidRPr="00B40A77" w:rsidRDefault="0005714D" w:rsidP="00A777E7">
      <w:pPr>
        <w:pStyle w:val="NoteText"/>
        <w:rPr>
          <w:color w:val="000000" w:themeColor="text1"/>
        </w:rPr>
      </w:pPr>
      <w:r w:rsidRPr="00B40A77">
        <w:rPr>
          <w:color w:val="000000" w:themeColor="text1"/>
        </w:rPr>
        <w:t xml:space="preserve">Section 7(2) of the Juries Act provides that no election for trial by Judge alone may be made under </w:t>
      </w:r>
      <w:r w:rsidR="0068622B" w:rsidRPr="00B40A77">
        <w:rPr>
          <w:color w:val="000000" w:themeColor="text1"/>
        </w:rPr>
        <w:t>sub</w:t>
      </w:r>
      <w:r w:rsidRPr="00B40A77">
        <w:rPr>
          <w:color w:val="000000" w:themeColor="text1"/>
        </w:rPr>
        <w:t>section (1) where the defendant is charged with a minor indictable offence and has elected to be tried in the District Court.</w:t>
      </w:r>
    </w:p>
    <w:p w14:paraId="3202D2DB" w14:textId="0CC90F1B" w:rsidR="00E617D9" w:rsidRPr="00B40A77" w:rsidRDefault="006A4033" w:rsidP="00E617D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election </w:t>
      </w:r>
      <w:r w:rsidRPr="00B40A77">
        <w:rPr>
          <w:rFonts w:cs="Times New Roman"/>
          <w:color w:val="000000" w:themeColor="text1"/>
        </w:rPr>
        <w:t xml:space="preserve">for </w:t>
      </w:r>
      <w:hyperlink w:anchor="_2.1—Definitions" w:history="1">
        <w:r w:rsidR="00E46B25" w:rsidRPr="00B40A77">
          <w:rPr>
            <w:rStyle w:val="Hyperlink"/>
            <w:color w:val="000000" w:themeColor="text1"/>
            <w:lang w:val="en-US"/>
          </w:rPr>
          <w:t>trial</w:t>
        </w:r>
      </w:hyperlink>
      <w:r w:rsidRPr="00B40A77">
        <w:rPr>
          <w:rFonts w:cs="Times New Roman"/>
          <w:color w:val="000000" w:themeColor="text1"/>
        </w:rPr>
        <w:t xml:space="preserve"> in </w:t>
      </w:r>
      <w:r w:rsidR="000A5279" w:rsidRPr="00B40A77">
        <w:rPr>
          <w:color w:val="000000" w:themeColor="text1"/>
          <w:lang w:val="en-US"/>
        </w:rPr>
        <w:t>the District Court</w:t>
      </w:r>
      <w:r w:rsidRPr="00B40A77">
        <w:rPr>
          <w:color w:val="000000" w:themeColor="text1"/>
          <w:lang w:val="en-US"/>
        </w:rPr>
        <w:t xml:space="preserve"> must be </w:t>
      </w:r>
      <w:r w:rsidRPr="00B40A77">
        <w:rPr>
          <w:color w:val="000000" w:themeColor="text1"/>
        </w:rPr>
        <w:t>signed</w:t>
      </w:r>
      <w:r w:rsidR="00E617D9" w:rsidRPr="00B40A77">
        <w:rPr>
          <w:color w:val="000000" w:themeColor="text1"/>
          <w:lang w:val="en-US"/>
        </w:rPr>
        <w:t>—</w:t>
      </w:r>
    </w:p>
    <w:p w14:paraId="315FF45A" w14:textId="1854423C" w:rsidR="00E617D9" w:rsidRPr="00B40A77" w:rsidRDefault="00E617D9" w:rsidP="00E617D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by the defendant before </w:t>
      </w:r>
      <w:r w:rsidR="003C2437" w:rsidRPr="00B40A77">
        <w:rPr>
          <w:color w:val="000000" w:themeColor="text1"/>
        </w:rPr>
        <w:t xml:space="preserve">an </w:t>
      </w:r>
      <w:hyperlink w:anchor="_2.1—Definitions" w:history="1">
        <w:r w:rsidR="003C2437" w:rsidRPr="00B40A77">
          <w:rPr>
            <w:rStyle w:val="Hyperlink"/>
            <w:color w:val="000000" w:themeColor="text1"/>
          </w:rPr>
          <w:t>authorised witness</w:t>
        </w:r>
      </w:hyperlink>
      <w:r w:rsidR="003C2437" w:rsidRPr="00B40A77">
        <w:rPr>
          <w:color w:val="000000" w:themeColor="text1"/>
        </w:rPr>
        <w:t xml:space="preserve"> or a lawyer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492DDD89" w14:textId="39E8C014" w:rsidR="00E617D9" w:rsidRPr="00B40A77" w:rsidRDefault="00E617D9" w:rsidP="00E617D9">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w:t>
      </w:r>
    </w:p>
    <w:p w14:paraId="15577CE3" w14:textId="6BC08AED" w:rsidR="006A4033" w:rsidRPr="00B40A77" w:rsidRDefault="006A4033" w:rsidP="006A4033">
      <w:pPr>
        <w:pStyle w:val="Hangindent"/>
        <w:rPr>
          <w:color w:val="000000" w:themeColor="text1"/>
          <w:lang w:val="en-US"/>
        </w:rPr>
      </w:pPr>
      <w:r w:rsidRPr="00B40A77">
        <w:rPr>
          <w:color w:val="000000" w:themeColor="text1"/>
          <w:lang w:val="en-US"/>
        </w:rPr>
        <w:t>(3)</w:t>
      </w:r>
      <w:r w:rsidRPr="00B40A77">
        <w:rPr>
          <w:color w:val="000000" w:themeColor="text1"/>
          <w:lang w:val="en-US"/>
        </w:rPr>
        <w:tab/>
        <w:t>If the defendant is represented by a lawyer, the lawyer must complete the certification contained in the prescribed form.</w:t>
      </w:r>
    </w:p>
    <w:p w14:paraId="7905386C" w14:textId="3B3F5EA4" w:rsidR="00E8731E" w:rsidRPr="00B40A77" w:rsidRDefault="00E8731E" w:rsidP="006A4033">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An election </w:t>
      </w:r>
      <w:r w:rsidRPr="00B40A77">
        <w:rPr>
          <w:rFonts w:cs="Times New Roman"/>
          <w:color w:val="000000" w:themeColor="text1"/>
        </w:rPr>
        <w:t xml:space="preserve">for </w:t>
      </w:r>
      <w:hyperlink w:anchor="_2.1—Definitions" w:history="1">
        <w:r w:rsidR="00E46B25" w:rsidRPr="00B40A77">
          <w:rPr>
            <w:rStyle w:val="Hyperlink"/>
            <w:color w:val="000000" w:themeColor="text1"/>
            <w:lang w:val="en-US"/>
          </w:rPr>
          <w:t>trial</w:t>
        </w:r>
      </w:hyperlink>
      <w:r w:rsidRPr="00B40A77">
        <w:rPr>
          <w:rFonts w:cs="Times New Roman"/>
          <w:color w:val="000000" w:themeColor="text1"/>
        </w:rPr>
        <w:t xml:space="preserve"> in </w:t>
      </w:r>
      <w:r w:rsidRPr="00B40A77">
        <w:rPr>
          <w:color w:val="000000" w:themeColor="text1"/>
          <w:lang w:val="en-US"/>
        </w:rPr>
        <w:t xml:space="preserve">the District Court must be filed by the second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of the Information.</w:t>
      </w:r>
    </w:p>
    <w:p w14:paraId="241B796F" w14:textId="728C1E40" w:rsidR="00E8731E" w:rsidRPr="00B40A77" w:rsidRDefault="00E8731E" w:rsidP="006A4033">
      <w:pPr>
        <w:pStyle w:val="Hangindent"/>
        <w:rPr>
          <w:color w:val="000000" w:themeColor="text1"/>
          <w:lang w:val="en-US"/>
        </w:rPr>
      </w:pPr>
      <w:r w:rsidRPr="00B40A77">
        <w:rPr>
          <w:color w:val="000000" w:themeColor="text1"/>
          <w:lang w:val="en-US"/>
        </w:rPr>
        <w:t>(5)</w:t>
      </w:r>
      <w:r w:rsidRPr="00B40A77">
        <w:rPr>
          <w:color w:val="000000" w:themeColor="text1"/>
          <w:lang w:val="en-US"/>
        </w:rPr>
        <w:tab/>
      </w:r>
      <w:r w:rsidR="0005714D" w:rsidRPr="00B40A77">
        <w:rPr>
          <w:color w:val="000000" w:themeColor="text1"/>
          <w:lang w:val="en-US"/>
        </w:rPr>
        <w:t xml:space="preserve">If an </w:t>
      </w:r>
      <w:r w:rsidRPr="00B40A77">
        <w:rPr>
          <w:color w:val="000000" w:themeColor="text1"/>
          <w:lang w:val="en-US"/>
        </w:rPr>
        <w:t xml:space="preserve">election </w:t>
      </w:r>
      <w:r w:rsidRPr="00B40A77">
        <w:rPr>
          <w:rFonts w:cs="Times New Roman"/>
          <w:color w:val="000000" w:themeColor="text1"/>
        </w:rPr>
        <w:t xml:space="preserve">for </w:t>
      </w:r>
      <w:hyperlink w:anchor="_2.1—Definitions" w:history="1">
        <w:r w:rsidR="00E46B25" w:rsidRPr="00B40A77">
          <w:rPr>
            <w:rStyle w:val="Hyperlink"/>
            <w:color w:val="000000" w:themeColor="text1"/>
            <w:lang w:val="en-US"/>
          </w:rPr>
          <w:t>trial</w:t>
        </w:r>
      </w:hyperlink>
      <w:r w:rsidRPr="00B40A77">
        <w:rPr>
          <w:rFonts w:cs="Times New Roman"/>
          <w:color w:val="000000" w:themeColor="text1"/>
        </w:rPr>
        <w:t xml:space="preserve"> in </w:t>
      </w:r>
      <w:r w:rsidRPr="00B40A77">
        <w:rPr>
          <w:color w:val="000000" w:themeColor="text1"/>
          <w:lang w:val="en-US"/>
        </w:rPr>
        <w:t xml:space="preserve">the District Court </w:t>
      </w:r>
      <w:r w:rsidR="0005714D" w:rsidRPr="00B40A77">
        <w:rPr>
          <w:color w:val="000000" w:themeColor="text1"/>
          <w:lang w:val="en-US"/>
        </w:rPr>
        <w:t>is not</w:t>
      </w:r>
      <w:r w:rsidRPr="00B40A77">
        <w:rPr>
          <w:color w:val="000000" w:themeColor="text1"/>
          <w:lang w:val="en-US"/>
        </w:rPr>
        <w:t xml:space="preserve"> filed by the second hearing of the Information, the matter will proceed to be heard and determined summarily by the </w:t>
      </w:r>
      <w:hyperlink w:anchor="_2.1—Definitions" w:history="1">
        <w:r w:rsidR="00981911" w:rsidRPr="00B40A77">
          <w:rPr>
            <w:rStyle w:val="Hyperlink"/>
            <w:color w:val="000000" w:themeColor="text1"/>
          </w:rPr>
          <w:t>Lower Court</w:t>
        </w:r>
      </w:hyperlink>
      <w:r w:rsidRPr="00B40A77">
        <w:rPr>
          <w:color w:val="000000" w:themeColor="text1"/>
          <w:lang w:val="en-US"/>
        </w:rPr>
        <w:t xml:space="preserve"> in accorda</w:t>
      </w:r>
      <w:r w:rsidR="00B80BE6" w:rsidRPr="00B40A77">
        <w:rPr>
          <w:color w:val="000000" w:themeColor="text1"/>
          <w:lang w:val="en-US"/>
        </w:rPr>
        <w:t>nce with section</w:t>
      </w:r>
      <w:r w:rsidR="0084710B" w:rsidRPr="00B40A77">
        <w:rPr>
          <w:color w:val="000000" w:themeColor="text1"/>
          <w:lang w:val="en-US"/>
        </w:rPr>
        <w:t> </w:t>
      </w:r>
      <w:r w:rsidR="00B80BE6" w:rsidRPr="00B40A77">
        <w:rPr>
          <w:color w:val="000000" w:themeColor="text1"/>
          <w:lang w:val="en-US"/>
        </w:rPr>
        <w:t>108(1) of the Procedure Act</w:t>
      </w:r>
      <w:r w:rsidRPr="00B40A77">
        <w:rPr>
          <w:color w:val="000000" w:themeColor="text1"/>
          <w:lang w:val="en-US"/>
        </w:rPr>
        <w:t>.</w:t>
      </w:r>
    </w:p>
    <w:p w14:paraId="566EF649" w14:textId="01730776" w:rsidR="0062119E" w:rsidRPr="00B40A77" w:rsidRDefault="0062119E" w:rsidP="0062119E">
      <w:pPr>
        <w:pStyle w:val="Heading3"/>
        <w:rPr>
          <w:color w:val="000000" w:themeColor="text1"/>
        </w:rPr>
      </w:pPr>
      <w:bookmarkStart w:id="555" w:name="_Toc175239010"/>
      <w:r w:rsidRPr="00B40A77">
        <w:rPr>
          <w:color w:val="000000" w:themeColor="text1"/>
        </w:rPr>
        <w:t>Divisi</w:t>
      </w:r>
      <w:r w:rsidR="003D5976" w:rsidRPr="00B40A77">
        <w:rPr>
          <w:color w:val="000000" w:themeColor="text1"/>
        </w:rPr>
        <w:t>on 2</w:t>
      </w:r>
      <w:r w:rsidRPr="00B40A77">
        <w:rPr>
          <w:color w:val="000000" w:themeColor="text1"/>
        </w:rPr>
        <w:t>—Election or order for trial or sentence by Higher Court</w:t>
      </w:r>
      <w:bookmarkEnd w:id="555"/>
    </w:p>
    <w:p w14:paraId="3B768FD0" w14:textId="7D80ABEA" w:rsidR="00007462" w:rsidRPr="00B40A77" w:rsidRDefault="007D17D2" w:rsidP="00007462">
      <w:pPr>
        <w:pStyle w:val="Heading4"/>
        <w:rPr>
          <w:color w:val="000000" w:themeColor="text1"/>
        </w:rPr>
      </w:pPr>
      <w:bookmarkStart w:id="556" w:name="_74.1—Indictable_offence:_Youth"/>
      <w:bookmarkStart w:id="557" w:name="_Toc175239011"/>
      <w:bookmarkEnd w:id="556"/>
      <w:r w:rsidRPr="00B40A77">
        <w:rPr>
          <w:color w:val="000000" w:themeColor="text1"/>
        </w:rPr>
        <w:t>74</w:t>
      </w:r>
      <w:r w:rsidR="003D5976" w:rsidRPr="00B40A77">
        <w:rPr>
          <w:color w:val="000000" w:themeColor="text1"/>
        </w:rPr>
        <w:t>.1</w:t>
      </w:r>
      <w:r w:rsidR="00007462" w:rsidRPr="00B40A77">
        <w:rPr>
          <w:color w:val="000000" w:themeColor="text1"/>
        </w:rPr>
        <w:t>—Indictable offence: Youth Court</w:t>
      </w:r>
      <w:bookmarkEnd w:id="557"/>
    </w:p>
    <w:p w14:paraId="0FA6546C" w14:textId="0FF527C1" w:rsidR="009133C7" w:rsidRPr="00B40A77" w:rsidRDefault="009133C7" w:rsidP="009133C7">
      <w:pPr>
        <w:pStyle w:val="Hangindent"/>
        <w:rPr>
          <w:rFonts w:cs="Times New Roman"/>
          <w:color w:val="000000" w:themeColor="text1"/>
        </w:rPr>
      </w:pPr>
      <w:r w:rsidRPr="00B40A77">
        <w:rPr>
          <w:color w:val="000000" w:themeColor="text1"/>
          <w:lang w:val="en-US"/>
        </w:rPr>
        <w:t>(1)</w:t>
      </w:r>
      <w:r w:rsidRPr="00B40A77">
        <w:rPr>
          <w:color w:val="000000" w:themeColor="text1"/>
          <w:lang w:val="en-US"/>
        </w:rPr>
        <w:tab/>
        <w:t xml:space="preserve">This rule applies if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of the offences </w:t>
      </w:r>
      <w:r w:rsidR="00A352F4" w:rsidRPr="00B40A77">
        <w:rPr>
          <w:color w:val="000000" w:themeColor="text1"/>
          <w:lang w:val="en-US"/>
        </w:rPr>
        <w:t>with</w:t>
      </w:r>
      <w:r w:rsidRPr="00B40A77">
        <w:rPr>
          <w:color w:val="000000" w:themeColor="text1"/>
          <w:lang w:val="en-US"/>
        </w:rPr>
        <w:t xml:space="preserve"> which </w:t>
      </w:r>
      <w:r w:rsidR="00A352F4" w:rsidRPr="00B40A77">
        <w:rPr>
          <w:color w:val="000000" w:themeColor="text1"/>
          <w:lang w:val="en-US"/>
        </w:rPr>
        <w:t>a</w:t>
      </w:r>
      <w:r w:rsidRPr="00B40A77">
        <w:rPr>
          <w:color w:val="000000" w:themeColor="text1"/>
          <w:lang w:val="en-US"/>
        </w:rPr>
        <w:t xml:space="preserve"> </w:t>
      </w:r>
      <w:r w:rsidR="00C930CC" w:rsidRPr="00B40A77">
        <w:rPr>
          <w:color w:val="000000" w:themeColor="text1"/>
          <w:lang w:val="en-US"/>
        </w:rPr>
        <w:t>youth</w:t>
      </w:r>
      <w:r w:rsidRPr="00B40A77">
        <w:rPr>
          <w:color w:val="000000" w:themeColor="text1"/>
          <w:lang w:val="en-US"/>
        </w:rPr>
        <w:t xml:space="preserve"> </w:t>
      </w:r>
      <w:r w:rsidR="00A352F4" w:rsidRPr="00B40A77">
        <w:rPr>
          <w:color w:val="000000" w:themeColor="text1"/>
          <w:lang w:val="en-US"/>
        </w:rPr>
        <w:t>is charged</w:t>
      </w:r>
      <w:r w:rsidRPr="00B40A77">
        <w:rPr>
          <w:color w:val="000000" w:themeColor="text1"/>
          <w:lang w:val="en-US"/>
        </w:rPr>
        <w:t xml:space="preserve"> is </w:t>
      </w:r>
      <w:r w:rsidRPr="00B40A77">
        <w:rPr>
          <w:color w:val="000000" w:themeColor="text1"/>
          <w:u w:val="single"/>
          <w:lang w:val="en-US"/>
        </w:rPr>
        <w:t>major indictable</w:t>
      </w:r>
      <w:r w:rsidRPr="00B40A77">
        <w:rPr>
          <w:color w:val="000000" w:themeColor="text1"/>
          <w:lang w:val="en-US"/>
        </w:rPr>
        <w:t xml:space="preserve"> or </w:t>
      </w:r>
      <w:r w:rsidRPr="00B40A77">
        <w:rPr>
          <w:color w:val="000000" w:themeColor="text1"/>
          <w:u w:val="single"/>
          <w:lang w:val="en-US"/>
        </w:rPr>
        <w:t>minor indictable</w:t>
      </w:r>
      <w:r w:rsidRPr="00B40A77">
        <w:rPr>
          <w:color w:val="000000" w:themeColor="text1"/>
          <w:lang w:val="en-US"/>
        </w:rPr>
        <w:t xml:space="preserve"> and the offences do not include </w:t>
      </w:r>
      <w:r w:rsidR="0062119E" w:rsidRPr="00B40A77">
        <w:rPr>
          <w:color w:val="000000" w:themeColor="text1"/>
          <w:lang w:val="en-US"/>
        </w:rPr>
        <w:t xml:space="preserve">a </w:t>
      </w:r>
      <w:hyperlink w:anchor="_2.1—Definitions" w:history="1">
        <w:r w:rsidR="00E83325" w:rsidRPr="00B40A77">
          <w:rPr>
            <w:rStyle w:val="Hyperlink"/>
            <w:rFonts w:cs="Times New Roman"/>
            <w:color w:val="000000" w:themeColor="text1"/>
          </w:rPr>
          <w:t>homicide-related offence</w:t>
        </w:r>
      </w:hyperlink>
      <w:r w:rsidRPr="00B40A77">
        <w:rPr>
          <w:rFonts w:cs="Times New Roman"/>
          <w:color w:val="000000" w:themeColor="text1"/>
        </w:rPr>
        <w:t>.</w:t>
      </w:r>
    </w:p>
    <w:p w14:paraId="7B01741E" w14:textId="4B02D202" w:rsidR="009133C7" w:rsidRPr="00B40A77" w:rsidRDefault="009133C7" w:rsidP="009133C7">
      <w:pPr>
        <w:pStyle w:val="Hangindent"/>
        <w:rPr>
          <w:color w:val="000000" w:themeColor="text1"/>
          <w:lang w:val="en-US"/>
        </w:rPr>
      </w:pPr>
      <w:r w:rsidRPr="00B40A77">
        <w:rPr>
          <w:rFonts w:cs="Times New Roman"/>
          <w:color w:val="000000" w:themeColor="text1"/>
        </w:rPr>
        <w:t>(2)</w:t>
      </w:r>
      <w:r w:rsidRPr="00B40A77">
        <w:rPr>
          <w:rFonts w:cs="Times New Roman"/>
          <w:color w:val="000000" w:themeColor="text1"/>
        </w:rPr>
        <w:tab/>
        <w:t>A</w:t>
      </w:r>
      <w:r w:rsidRPr="00B40A77">
        <w:rPr>
          <w:color w:val="000000" w:themeColor="text1"/>
          <w:lang w:val="en-US"/>
        </w:rPr>
        <w:t xml:space="preserve"> request by a youth to be </w:t>
      </w:r>
      <w:r w:rsidR="0062119E" w:rsidRPr="00B40A77">
        <w:rPr>
          <w:color w:val="000000" w:themeColor="text1"/>
          <w:lang w:val="en-US"/>
        </w:rPr>
        <w:t xml:space="preserve">tried or </w:t>
      </w:r>
      <w:r w:rsidRPr="00B40A77">
        <w:rPr>
          <w:color w:val="000000" w:themeColor="text1"/>
          <w:lang w:val="en-US"/>
        </w:rPr>
        <w:t xml:space="preserve">sentenced by a </w:t>
      </w:r>
      <w:hyperlink w:anchor="_2.1—Definitions" w:history="1">
        <w:r w:rsidR="00E83325" w:rsidRPr="00B40A77">
          <w:rPr>
            <w:rStyle w:val="Hyperlink"/>
            <w:color w:val="000000" w:themeColor="text1"/>
            <w:lang w:val="en-US"/>
          </w:rPr>
          <w:t>Higher Court</w:t>
        </w:r>
      </w:hyperlink>
      <w:r w:rsidR="00E83325" w:rsidRPr="00B40A77">
        <w:rPr>
          <w:color w:val="000000" w:themeColor="text1"/>
          <w:lang w:val="en-US"/>
        </w:rPr>
        <w:t xml:space="preserve"> </w:t>
      </w:r>
      <w:r w:rsidRPr="00B40A77">
        <w:rPr>
          <w:color w:val="000000" w:themeColor="text1"/>
          <w:lang w:val="en-US"/>
        </w:rPr>
        <w:t>under section</w:t>
      </w:r>
      <w:r w:rsidR="00D65FC0" w:rsidRPr="00B40A77">
        <w:rPr>
          <w:color w:val="000000" w:themeColor="text1"/>
          <w:lang w:val="en-US"/>
        </w:rPr>
        <w:t> </w:t>
      </w:r>
      <w:r w:rsidRPr="00B40A77">
        <w:rPr>
          <w:color w:val="000000" w:themeColor="text1"/>
          <w:lang w:val="en-US"/>
        </w:rPr>
        <w:t>17(3)(b) of the Young Offenders Act must be made—</w:t>
      </w:r>
    </w:p>
    <w:p w14:paraId="01D0AEA5" w14:textId="77777777" w:rsidR="009133C7" w:rsidRPr="00B40A77" w:rsidRDefault="009133C7" w:rsidP="0033795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by filing an </w:t>
      </w:r>
      <w:r w:rsidRPr="00B40A77">
        <w:rPr>
          <w:rFonts w:cs="Times New Roman"/>
          <w:color w:val="000000" w:themeColor="text1"/>
        </w:rPr>
        <w:t>election to be dealt with as an adult</w:t>
      </w:r>
      <w:r w:rsidRPr="00B40A77">
        <w:rPr>
          <w:color w:val="000000" w:themeColor="text1"/>
          <w:lang w:val="en-US"/>
        </w:rPr>
        <w:t xml:space="preserve"> in the prescribed form; or</w:t>
      </w:r>
    </w:p>
    <w:p w14:paraId="3DC89A47" w14:textId="77777777" w:rsidR="009133C7" w:rsidRPr="00B40A77" w:rsidRDefault="009133C7" w:rsidP="0033795E">
      <w:pPr>
        <w:pStyle w:val="NoteHeader"/>
        <w:keepNext/>
        <w:ind w:left="1395" w:firstLine="306"/>
        <w:rPr>
          <w:color w:val="000000" w:themeColor="text1"/>
        </w:rPr>
      </w:pPr>
      <w:r w:rsidRPr="00B40A77">
        <w:rPr>
          <w:color w:val="000000" w:themeColor="text1"/>
        </w:rPr>
        <w:t>Prescribed form—</w:t>
      </w:r>
    </w:p>
    <w:p w14:paraId="53D36152" w14:textId="463F67B9" w:rsidR="009133C7" w:rsidRPr="00B40A77" w:rsidRDefault="009133C7" w:rsidP="009133C7">
      <w:pPr>
        <w:pStyle w:val="NoteText"/>
        <w:ind w:left="1679" w:firstLine="481"/>
        <w:rPr>
          <w:color w:val="000000" w:themeColor="text1"/>
        </w:rPr>
      </w:pPr>
      <w:r w:rsidRPr="00B40A77">
        <w:rPr>
          <w:color w:val="000000" w:themeColor="text1"/>
        </w:rPr>
        <w:t xml:space="preserve">Form 67 </w:t>
      </w:r>
      <w:hyperlink r:id="rId151" w:history="1">
        <w:r w:rsidRPr="00B40A77">
          <w:rPr>
            <w:rStyle w:val="Hyperlink"/>
            <w:color w:val="000000" w:themeColor="text1"/>
          </w:rPr>
          <w:t xml:space="preserve">Election to be </w:t>
        </w:r>
        <w:r w:rsidR="00094B9D" w:rsidRPr="00B40A77">
          <w:rPr>
            <w:rStyle w:val="Hyperlink"/>
            <w:color w:val="000000" w:themeColor="text1"/>
          </w:rPr>
          <w:t>D</w:t>
        </w:r>
        <w:r w:rsidRPr="00B40A77">
          <w:rPr>
            <w:rStyle w:val="Hyperlink"/>
            <w:color w:val="000000" w:themeColor="text1"/>
          </w:rPr>
          <w:t xml:space="preserve">ealt with as an </w:t>
        </w:r>
        <w:r w:rsidR="00094B9D" w:rsidRPr="00B40A77">
          <w:rPr>
            <w:rStyle w:val="Hyperlink"/>
            <w:color w:val="000000" w:themeColor="text1"/>
          </w:rPr>
          <w:t>A</w:t>
        </w:r>
        <w:r w:rsidRPr="00B40A77">
          <w:rPr>
            <w:rStyle w:val="Hyperlink"/>
            <w:color w:val="000000" w:themeColor="text1"/>
          </w:rPr>
          <w:t>dult</w:t>
        </w:r>
        <w:r w:rsidR="00094B9D" w:rsidRPr="00B40A77">
          <w:rPr>
            <w:rStyle w:val="Hyperlink"/>
            <w:color w:val="000000" w:themeColor="text1"/>
          </w:rPr>
          <w:t xml:space="preserve"> (Youth Court)</w:t>
        </w:r>
      </w:hyperlink>
    </w:p>
    <w:p w14:paraId="6F497B3A" w14:textId="097B0B9D" w:rsidR="009133C7" w:rsidRPr="00B40A77" w:rsidRDefault="009133C7" w:rsidP="009133C7">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Court grants leave</w:t>
      </w:r>
      <w:r w:rsidR="00D65FC0" w:rsidRPr="00B40A77">
        <w:rPr>
          <w:color w:val="000000" w:themeColor="text1"/>
          <w:lang w:val="en-US"/>
        </w:rPr>
        <w:t>—</w:t>
      </w:r>
      <w:r w:rsidRPr="00B40A77">
        <w:rPr>
          <w:color w:val="000000" w:themeColor="text1"/>
          <w:lang w:val="en-US"/>
        </w:rPr>
        <w:t xml:space="preserve">by the youth expressing their request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 xml:space="preserve"> and satisfactory evidence </w:t>
      </w:r>
      <w:r w:rsidR="0067043B" w:rsidRPr="00B40A77">
        <w:rPr>
          <w:color w:val="000000" w:themeColor="text1"/>
          <w:lang w:val="en-US"/>
        </w:rPr>
        <w:t>being provided that the youth has obtained</w:t>
      </w:r>
      <w:r w:rsidRPr="00B40A77">
        <w:rPr>
          <w:color w:val="000000" w:themeColor="text1"/>
          <w:lang w:val="en-US"/>
        </w:rPr>
        <w:t xml:space="preserve"> the requisite independent legal advice.</w:t>
      </w:r>
    </w:p>
    <w:p w14:paraId="14B5A6EF" w14:textId="77777777" w:rsidR="000B2953" w:rsidRPr="00B40A77" w:rsidRDefault="009133C7" w:rsidP="000B2953">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An </w:t>
      </w:r>
      <w:r w:rsidRPr="00B40A77">
        <w:rPr>
          <w:rFonts w:cs="Times New Roman"/>
          <w:color w:val="000000" w:themeColor="text1"/>
        </w:rPr>
        <w:t>election to be dealt with as an adult</w:t>
      </w:r>
      <w:r w:rsidRPr="00B40A77">
        <w:rPr>
          <w:color w:val="000000" w:themeColor="text1"/>
          <w:lang w:val="en-US"/>
        </w:rPr>
        <w:t xml:space="preserve"> must be </w:t>
      </w:r>
      <w:r w:rsidRPr="00B40A77">
        <w:rPr>
          <w:color w:val="000000" w:themeColor="text1"/>
        </w:rPr>
        <w:t>signed</w:t>
      </w:r>
      <w:r w:rsidR="000B2953" w:rsidRPr="00B40A77">
        <w:rPr>
          <w:color w:val="000000" w:themeColor="text1"/>
          <w:lang w:val="en-US"/>
        </w:rPr>
        <w:t>—</w:t>
      </w:r>
    </w:p>
    <w:p w14:paraId="17D1DDC4" w14:textId="53B1BE81" w:rsidR="000B2953" w:rsidRPr="00B40A77" w:rsidRDefault="000B2953" w:rsidP="000B2953">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by the youth before </w:t>
      </w:r>
      <w:r w:rsidR="003C2437" w:rsidRPr="00B40A77">
        <w:rPr>
          <w:color w:val="000000" w:themeColor="text1"/>
        </w:rPr>
        <w:t xml:space="preserve">an </w:t>
      </w:r>
      <w:hyperlink w:anchor="_2.1—Definitions" w:history="1">
        <w:r w:rsidR="003C2437" w:rsidRPr="00B40A77">
          <w:rPr>
            <w:rStyle w:val="Hyperlink"/>
            <w:color w:val="000000" w:themeColor="text1"/>
          </w:rPr>
          <w:t>authorised witness</w:t>
        </w:r>
      </w:hyperlink>
      <w:r w:rsidR="003C2437" w:rsidRPr="00B40A77">
        <w:rPr>
          <w:color w:val="000000" w:themeColor="text1"/>
        </w:rPr>
        <w:t xml:space="preserve"> or a lawyer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693571DB" w14:textId="5458C112" w:rsidR="000B2953" w:rsidRPr="00B40A77" w:rsidRDefault="000B2953" w:rsidP="000B2953">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youth.</w:t>
      </w:r>
    </w:p>
    <w:p w14:paraId="0B8C1F8C" w14:textId="12887783" w:rsidR="009133C7" w:rsidRPr="00B40A77" w:rsidRDefault="009133C7" w:rsidP="009133C7">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the </w:t>
      </w:r>
      <w:r w:rsidR="0062119E" w:rsidRPr="00B40A77">
        <w:rPr>
          <w:color w:val="000000" w:themeColor="text1"/>
          <w:lang w:val="en-US"/>
        </w:rPr>
        <w:t>youth</w:t>
      </w:r>
      <w:r w:rsidRPr="00B40A77">
        <w:rPr>
          <w:color w:val="000000" w:themeColor="text1"/>
          <w:lang w:val="en-US"/>
        </w:rPr>
        <w:t xml:space="preserve"> is represented by a lawyer, the lawyer must complete the certification contained in the prescribed form.</w:t>
      </w:r>
    </w:p>
    <w:p w14:paraId="19A2FEAD" w14:textId="64E64689" w:rsidR="009133C7" w:rsidRPr="00B40A77" w:rsidRDefault="009133C7" w:rsidP="009133C7">
      <w:pPr>
        <w:pStyle w:val="Hangindent"/>
        <w:rPr>
          <w:color w:val="000000" w:themeColor="text1"/>
          <w:lang w:val="en-US"/>
        </w:rPr>
      </w:pPr>
      <w:r w:rsidRPr="00B40A77">
        <w:rPr>
          <w:color w:val="000000" w:themeColor="text1"/>
          <w:lang w:val="en-US"/>
        </w:rPr>
        <w:t>(5)</w:t>
      </w:r>
      <w:r w:rsidRPr="00B40A77">
        <w:rPr>
          <w:color w:val="000000" w:themeColor="text1"/>
          <w:lang w:val="en-US"/>
        </w:rPr>
        <w:tab/>
        <w:t>An app</w:t>
      </w:r>
      <w:r w:rsidR="0005714D" w:rsidRPr="00B40A77">
        <w:rPr>
          <w:color w:val="000000" w:themeColor="text1"/>
          <w:lang w:val="en-US"/>
        </w:rPr>
        <w:t>lication by the prosecution for</w:t>
      </w:r>
      <w:r w:rsidRPr="00B40A77">
        <w:rPr>
          <w:color w:val="000000" w:themeColor="text1"/>
          <w:lang w:val="en-US"/>
        </w:rPr>
        <w:t xml:space="preserve"> a youth to be </w:t>
      </w:r>
      <w:r w:rsidR="0062119E" w:rsidRPr="00B40A77">
        <w:rPr>
          <w:color w:val="000000" w:themeColor="text1"/>
          <w:lang w:val="en-US"/>
        </w:rPr>
        <w:t xml:space="preserve">tried or </w:t>
      </w:r>
      <w:r w:rsidRPr="00B40A77">
        <w:rPr>
          <w:color w:val="000000" w:themeColor="text1"/>
          <w:lang w:val="en-US"/>
        </w:rPr>
        <w:t xml:space="preserve">sentenced by a </w:t>
      </w:r>
      <w:hyperlink w:anchor="_2.1—Definitions" w:history="1">
        <w:r w:rsidR="00E83325" w:rsidRPr="00B40A77">
          <w:rPr>
            <w:rStyle w:val="Hyperlink"/>
            <w:color w:val="000000" w:themeColor="text1"/>
            <w:lang w:val="en-US"/>
          </w:rPr>
          <w:t>Higher Court</w:t>
        </w:r>
      </w:hyperlink>
      <w:r w:rsidRPr="00B40A77">
        <w:rPr>
          <w:color w:val="000000" w:themeColor="text1"/>
          <w:lang w:val="en-US"/>
        </w:rPr>
        <w:t xml:space="preserve"> under section</w:t>
      </w:r>
      <w:r w:rsidR="0084710B" w:rsidRPr="00B40A77">
        <w:rPr>
          <w:color w:val="000000" w:themeColor="text1"/>
          <w:lang w:val="en-US"/>
        </w:rPr>
        <w:t> </w:t>
      </w:r>
      <w:r w:rsidRPr="00B40A77">
        <w:rPr>
          <w:color w:val="000000" w:themeColor="text1"/>
          <w:lang w:val="en-US"/>
        </w:rPr>
        <w:t>17(3)(c) of the Young Offenders Act must be made—</w:t>
      </w:r>
    </w:p>
    <w:p w14:paraId="1D10EAE5" w14:textId="712CD048" w:rsidR="009133C7" w:rsidRPr="00B40A77" w:rsidRDefault="009133C7" w:rsidP="00AD1D32">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by an </w:t>
      </w:r>
      <w:r w:rsidR="00FA4048" w:rsidRPr="00B40A77">
        <w:rPr>
          <w:color w:val="000000" w:themeColor="text1"/>
          <w:lang w:val="en-US"/>
        </w:rPr>
        <w:t xml:space="preserve">interlocutory application </w:t>
      </w:r>
      <w:r w:rsidR="00320C48" w:rsidRPr="00B40A77">
        <w:rPr>
          <w:color w:val="000000" w:themeColor="text1"/>
          <w:lang w:val="en-US"/>
        </w:rPr>
        <w:t xml:space="preserve">in the prescribed form </w:t>
      </w:r>
      <w:r w:rsidR="005C0717" w:rsidRPr="00B40A77">
        <w:rPr>
          <w:color w:val="000000" w:themeColor="text1"/>
          <w:lang w:val="en-US"/>
        </w:rPr>
        <w:t xml:space="preserve">in accordance with </w:t>
      </w:r>
      <w:hyperlink w:anchor="_39.1—Written_application" w:history="1">
        <w:r w:rsidR="005C0717" w:rsidRPr="00B40A77">
          <w:rPr>
            <w:rStyle w:val="Hyperlink"/>
            <w:color w:val="000000" w:themeColor="text1"/>
            <w:lang w:val="en-US"/>
          </w:rPr>
          <w:t>rule</w:t>
        </w:r>
        <w:r w:rsidR="0084710B" w:rsidRPr="00B40A77">
          <w:rPr>
            <w:rStyle w:val="Hyperlink"/>
            <w:color w:val="000000" w:themeColor="text1"/>
            <w:lang w:val="en-US"/>
          </w:rPr>
          <w:t> </w:t>
        </w:r>
        <w:r w:rsidR="005C0717" w:rsidRPr="00B40A77">
          <w:rPr>
            <w:rStyle w:val="Hyperlink"/>
            <w:color w:val="000000" w:themeColor="text1"/>
            <w:lang w:val="en-US"/>
          </w:rPr>
          <w:t>39.1</w:t>
        </w:r>
      </w:hyperlink>
      <w:r w:rsidRPr="00B40A77">
        <w:rPr>
          <w:color w:val="000000" w:themeColor="text1"/>
          <w:lang w:val="en-US"/>
        </w:rPr>
        <w:t>; or</w:t>
      </w:r>
    </w:p>
    <w:p w14:paraId="1F0AAF98" w14:textId="5F3F442E" w:rsidR="009133C7" w:rsidRPr="00B40A77" w:rsidRDefault="009133C7" w:rsidP="0033795E">
      <w:pPr>
        <w:pStyle w:val="Doublehangindent"/>
        <w:keepNext/>
        <w:rPr>
          <w:color w:val="000000" w:themeColor="text1"/>
          <w:lang w:val="en-US"/>
        </w:rPr>
      </w:pPr>
      <w:r w:rsidRPr="00B40A77">
        <w:rPr>
          <w:color w:val="000000" w:themeColor="text1"/>
          <w:lang w:val="en-US"/>
        </w:rPr>
        <w:t>(b)</w:t>
      </w:r>
      <w:r w:rsidR="00AD1D32" w:rsidRPr="00B40A77">
        <w:rPr>
          <w:color w:val="000000" w:themeColor="text1"/>
          <w:lang w:val="en-US"/>
        </w:rPr>
        <w:tab/>
      </w:r>
      <w:r w:rsidRPr="00B40A77">
        <w:rPr>
          <w:color w:val="000000" w:themeColor="text1"/>
          <w:lang w:val="en-US"/>
        </w:rPr>
        <w:t xml:space="preserve">by an application made orally at a </w:t>
      </w:r>
      <w:hyperlink w:anchor="_37.1—Application_of_Part" w:history="1">
        <w:r w:rsidR="00CE7A79" w:rsidRPr="00B40A77">
          <w:rPr>
            <w:rStyle w:val="Hyperlink"/>
            <w:color w:val="000000" w:themeColor="text1"/>
            <w:lang w:val="en-US"/>
          </w:rPr>
          <w:t>hearing</w:t>
        </w:r>
      </w:hyperlink>
      <w:r w:rsidRPr="00B40A77">
        <w:rPr>
          <w:color w:val="000000" w:themeColor="text1"/>
          <w:lang w:val="en-US"/>
        </w:rPr>
        <w:t>.</w:t>
      </w:r>
    </w:p>
    <w:p w14:paraId="014A61B4" w14:textId="27AAC0D9" w:rsidR="00320C48" w:rsidRPr="00B40A77" w:rsidRDefault="00320C48" w:rsidP="00AD1D32">
      <w:pPr>
        <w:pStyle w:val="NoteHeader"/>
        <w:keepNext/>
        <w:ind w:left="1701"/>
        <w:rPr>
          <w:color w:val="000000" w:themeColor="text1"/>
        </w:rPr>
      </w:pPr>
      <w:r w:rsidRPr="00B40A77">
        <w:rPr>
          <w:color w:val="000000" w:themeColor="text1"/>
        </w:rPr>
        <w:t>Prescribed form—</w:t>
      </w:r>
      <w:r w:rsidR="00B95261" w:rsidRPr="00B40A77">
        <w:rPr>
          <w:color w:val="000000" w:themeColor="text1"/>
        </w:rPr>
        <w:t xml:space="preserve"> </w:t>
      </w:r>
    </w:p>
    <w:p w14:paraId="77FF0EF7" w14:textId="19277374" w:rsidR="009133C7" w:rsidRPr="00B40A77" w:rsidRDefault="00320C48" w:rsidP="00AA301B">
      <w:pPr>
        <w:pStyle w:val="NoteHeader"/>
        <w:keepNext/>
        <w:ind w:left="1985"/>
        <w:rPr>
          <w:b w:val="0"/>
          <w:bCs w:val="0"/>
          <w:color w:val="000000" w:themeColor="text1"/>
        </w:rPr>
      </w:pPr>
      <w:r w:rsidRPr="00B40A77">
        <w:rPr>
          <w:b w:val="0"/>
          <w:bCs w:val="0"/>
          <w:color w:val="000000" w:themeColor="text1"/>
        </w:rPr>
        <w:t xml:space="preserve">Form 68 </w:t>
      </w:r>
      <w:hyperlink r:id="rId152" w:history="1">
        <w:r w:rsidRPr="00B40A77">
          <w:rPr>
            <w:rStyle w:val="Hyperlink"/>
            <w:b w:val="0"/>
            <w:bCs w:val="0"/>
            <w:color w:val="000000" w:themeColor="text1"/>
          </w:rPr>
          <w:t xml:space="preserve">Application for Youth to be </w:t>
        </w:r>
        <w:r w:rsidR="00094B9D" w:rsidRPr="00B40A77">
          <w:rPr>
            <w:rStyle w:val="Hyperlink"/>
            <w:b w:val="0"/>
            <w:bCs w:val="0"/>
            <w:color w:val="000000" w:themeColor="text1"/>
          </w:rPr>
          <w:t>D</w:t>
        </w:r>
        <w:r w:rsidRPr="00B40A77">
          <w:rPr>
            <w:rStyle w:val="Hyperlink"/>
            <w:b w:val="0"/>
            <w:bCs w:val="0"/>
            <w:color w:val="000000" w:themeColor="text1"/>
          </w:rPr>
          <w:t xml:space="preserve">ealt with as an </w:t>
        </w:r>
        <w:r w:rsidR="00094B9D" w:rsidRPr="00B40A77">
          <w:rPr>
            <w:rStyle w:val="Hyperlink"/>
            <w:b w:val="0"/>
            <w:bCs w:val="0"/>
            <w:color w:val="000000" w:themeColor="text1"/>
          </w:rPr>
          <w:t>A</w:t>
        </w:r>
        <w:r w:rsidRPr="00B40A77">
          <w:rPr>
            <w:rStyle w:val="Hyperlink"/>
            <w:b w:val="0"/>
            <w:bCs w:val="0"/>
            <w:color w:val="000000" w:themeColor="text1"/>
          </w:rPr>
          <w:t>dult</w:t>
        </w:r>
      </w:hyperlink>
    </w:p>
    <w:p w14:paraId="6F05FBD6" w14:textId="77777777" w:rsidR="00C5770A" w:rsidRPr="00B40A77" w:rsidRDefault="00B95261" w:rsidP="00AD1D32">
      <w:pPr>
        <w:pStyle w:val="NoteHeader"/>
        <w:keepNext/>
        <w:ind w:left="1701"/>
        <w:rPr>
          <w:color w:val="000000" w:themeColor="text1"/>
        </w:rPr>
      </w:pPr>
      <w:r w:rsidRPr="00B40A77">
        <w:rPr>
          <w:color w:val="000000" w:themeColor="text1"/>
        </w:rPr>
        <w:t>Note—</w:t>
      </w:r>
    </w:p>
    <w:p w14:paraId="47CCDBA7" w14:textId="1984DB58" w:rsidR="00DF1324" w:rsidRPr="00B40A77" w:rsidRDefault="009133C7" w:rsidP="00AD1D32">
      <w:pPr>
        <w:pStyle w:val="NoteText"/>
        <w:ind w:left="1984"/>
        <w:rPr>
          <w:color w:val="000000" w:themeColor="text1"/>
        </w:rPr>
      </w:pPr>
      <w:r w:rsidRPr="00B40A77">
        <w:rPr>
          <w:color w:val="000000" w:themeColor="text1"/>
        </w:rPr>
        <w:t xml:space="preserve">Section </w:t>
      </w:r>
      <w:r w:rsidRPr="00B40A77">
        <w:rPr>
          <w:color w:val="000000" w:themeColor="text1"/>
          <w:lang w:val="en-US"/>
        </w:rPr>
        <w:t>17(3)(a) of the Young Offenders Act</w:t>
      </w:r>
      <w:r w:rsidRPr="00B40A77">
        <w:rPr>
          <w:color w:val="000000" w:themeColor="text1"/>
        </w:rPr>
        <w:t xml:space="preserve"> provides that, if the offence with which the youth is charged is a homicide, or an offence consisting of an attempt</w:t>
      </w:r>
      <w:r w:rsidR="00E13A93" w:rsidRPr="00B40A77">
        <w:rPr>
          <w:color w:val="000000" w:themeColor="text1"/>
        </w:rPr>
        <w:t xml:space="preserve"> </w:t>
      </w:r>
      <w:r w:rsidRPr="00B40A77">
        <w:rPr>
          <w:color w:val="000000" w:themeColor="text1"/>
        </w:rPr>
        <w:t xml:space="preserve">to commit, or assault with intent to commit homicide, the youth must be committed for </w:t>
      </w:r>
      <w:r w:rsidR="0062119E" w:rsidRPr="00B40A77">
        <w:rPr>
          <w:color w:val="000000" w:themeColor="text1"/>
        </w:rPr>
        <w:t xml:space="preserve">trial or </w:t>
      </w:r>
      <w:r w:rsidRPr="00B40A77">
        <w:rPr>
          <w:color w:val="000000" w:themeColor="text1"/>
        </w:rPr>
        <w:t xml:space="preserve">sentence to a </w:t>
      </w:r>
      <w:hyperlink w:anchor="_2.1—Definitions" w:history="1">
        <w:r w:rsidR="00E83325" w:rsidRPr="00B40A77">
          <w:rPr>
            <w:rStyle w:val="Hyperlink"/>
            <w:color w:val="000000" w:themeColor="text1"/>
            <w:lang w:val="en-US"/>
          </w:rPr>
          <w:t>Higher Court</w:t>
        </w:r>
      </w:hyperlink>
      <w:r w:rsidRPr="00B40A77">
        <w:rPr>
          <w:color w:val="000000" w:themeColor="text1"/>
        </w:rPr>
        <w:t>.</w:t>
      </w:r>
    </w:p>
    <w:p w14:paraId="0E86658E" w14:textId="475E3125" w:rsidR="003117A3" w:rsidRPr="00B40A77" w:rsidRDefault="0008072C" w:rsidP="00BE23A0">
      <w:pPr>
        <w:pStyle w:val="Heading2"/>
        <w:keepNext/>
        <w:rPr>
          <w:color w:val="000000" w:themeColor="text1"/>
        </w:rPr>
      </w:pPr>
      <w:bookmarkStart w:id="558" w:name="_Part_8—Pre-trial_disclosure"/>
      <w:bookmarkStart w:id="559" w:name="_Toc175239012"/>
      <w:bookmarkEnd w:id="558"/>
      <w:r w:rsidRPr="00B40A77">
        <w:rPr>
          <w:color w:val="000000" w:themeColor="text1"/>
        </w:rPr>
        <w:t>Part 8</w:t>
      </w:r>
      <w:r w:rsidR="003117A3" w:rsidRPr="00B40A77">
        <w:rPr>
          <w:color w:val="000000" w:themeColor="text1"/>
        </w:rPr>
        <w:t>—Pre-trial disclosure</w:t>
      </w:r>
      <w:r w:rsidR="00C24D60" w:rsidRPr="00B40A77">
        <w:rPr>
          <w:color w:val="000000" w:themeColor="text1"/>
        </w:rPr>
        <w:t xml:space="preserve"> </w:t>
      </w:r>
      <w:r w:rsidR="00037A5B" w:rsidRPr="00B40A77">
        <w:rPr>
          <w:color w:val="000000" w:themeColor="text1"/>
        </w:rPr>
        <w:t>of evidence</w:t>
      </w:r>
      <w:bookmarkEnd w:id="559"/>
      <w:r w:rsidR="00E11EEF" w:rsidRPr="00B40A77">
        <w:rPr>
          <w:color w:val="000000" w:themeColor="text1"/>
        </w:rPr>
        <w:t xml:space="preserve"> </w:t>
      </w:r>
    </w:p>
    <w:p w14:paraId="2635E262" w14:textId="017C60AA" w:rsidR="00D2773B" w:rsidRPr="00B40A77" w:rsidRDefault="00D2773B" w:rsidP="00D2773B">
      <w:pPr>
        <w:pStyle w:val="Heading4"/>
        <w:rPr>
          <w:color w:val="000000" w:themeColor="text1"/>
        </w:rPr>
      </w:pPr>
      <w:bookmarkStart w:id="560" w:name="_75.1—Prosecution_disclosure_of"/>
      <w:bookmarkStart w:id="561" w:name="_Toc175239013"/>
      <w:bookmarkStart w:id="562" w:name="_Hlk96593721"/>
      <w:bookmarkEnd w:id="560"/>
      <w:r w:rsidRPr="00B40A77">
        <w:rPr>
          <w:color w:val="000000" w:themeColor="text1"/>
        </w:rPr>
        <w:t>75.1—</w:t>
      </w:r>
      <w:r w:rsidR="001B631E" w:rsidRPr="00B40A77">
        <w:rPr>
          <w:color w:val="000000" w:themeColor="text1"/>
        </w:rPr>
        <w:t>Prosecution d</w:t>
      </w:r>
      <w:r w:rsidR="009B0DB6" w:rsidRPr="00B40A77">
        <w:rPr>
          <w:color w:val="000000" w:themeColor="text1"/>
        </w:rPr>
        <w:t>isclosure of evidentiary material</w:t>
      </w:r>
      <w:bookmarkEnd w:id="561"/>
    </w:p>
    <w:p w14:paraId="6A7989C3" w14:textId="18DF8D46" w:rsidR="009B0DB6" w:rsidRPr="00B40A77" w:rsidRDefault="009B0DB6" w:rsidP="0033795E">
      <w:pPr>
        <w:pStyle w:val="Hangindent"/>
        <w:keepNext/>
        <w:keepLines/>
        <w:rPr>
          <w:color w:val="000000" w:themeColor="text1"/>
          <w:lang w:val="en-US"/>
        </w:rPr>
      </w:pPr>
      <w:r w:rsidRPr="00B40A77">
        <w:rPr>
          <w:color w:val="000000" w:themeColor="text1"/>
          <w:lang w:val="en-US"/>
        </w:rPr>
        <w:t>(1)</w:t>
      </w:r>
      <w:r w:rsidRPr="00B40A77">
        <w:rPr>
          <w:color w:val="000000" w:themeColor="text1"/>
          <w:lang w:val="en-US"/>
        </w:rPr>
        <w:tab/>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required to be disclosed</w:t>
      </w:r>
      <w:r w:rsidR="0067043B" w:rsidRPr="00B40A77">
        <w:rPr>
          <w:color w:val="000000" w:themeColor="text1"/>
          <w:lang w:val="en-US"/>
        </w:rPr>
        <w:t xml:space="preserve"> by the prosecution</w:t>
      </w:r>
      <w:r w:rsidRPr="00B40A77">
        <w:rPr>
          <w:color w:val="000000" w:themeColor="text1"/>
          <w:lang w:val="en-US"/>
        </w:rPr>
        <w:t xml:space="preserve"> to the defence in accordance with the prosecution’s common law duty of disclosure must be disclosed by serving on the defendant or youth a</w:t>
      </w:r>
      <w:r w:rsidR="001B631E" w:rsidRPr="00B40A77">
        <w:rPr>
          <w:color w:val="000000" w:themeColor="text1"/>
          <w:lang w:val="en-US"/>
        </w:rPr>
        <w:t>n evidentiary material brief in the prescribed form</w:t>
      </w:r>
      <w:r w:rsidRPr="00B40A77">
        <w:rPr>
          <w:color w:val="000000" w:themeColor="text1"/>
          <w:lang w:val="en-US"/>
        </w:rPr>
        <w:t>.</w:t>
      </w:r>
    </w:p>
    <w:p w14:paraId="53A6EE62" w14:textId="77777777" w:rsidR="009B0DB6" w:rsidRPr="00B40A77" w:rsidRDefault="009B0DB6" w:rsidP="00381ABA">
      <w:pPr>
        <w:pStyle w:val="NoteHeader"/>
        <w:keepNext/>
        <w:rPr>
          <w:color w:val="000000" w:themeColor="text1"/>
        </w:rPr>
      </w:pPr>
      <w:r w:rsidRPr="00B40A77">
        <w:rPr>
          <w:color w:val="000000" w:themeColor="text1"/>
        </w:rPr>
        <w:t>Prescribed form—</w:t>
      </w:r>
    </w:p>
    <w:p w14:paraId="4613F8B2" w14:textId="533B62C9" w:rsidR="009B0DB6" w:rsidRPr="00B40A77" w:rsidRDefault="008D70A3" w:rsidP="009C21A6">
      <w:pPr>
        <w:pStyle w:val="NoteText"/>
        <w:rPr>
          <w:color w:val="000000" w:themeColor="text1"/>
        </w:rPr>
      </w:pPr>
      <w:bookmarkStart w:id="563" w:name="_Hlk97557899"/>
      <w:r w:rsidRPr="00B40A77">
        <w:rPr>
          <w:color w:val="000000" w:themeColor="text1"/>
        </w:rPr>
        <w:t xml:space="preserve">If served in electronic form - </w:t>
      </w:r>
      <w:r w:rsidR="009B0DB6" w:rsidRPr="00B40A77">
        <w:rPr>
          <w:color w:val="000000" w:themeColor="text1"/>
        </w:rPr>
        <w:t xml:space="preserve">Form </w:t>
      </w:r>
      <w:hyperlink r:id="rId153" w:history="1">
        <w:r w:rsidR="009B0DB6" w:rsidRPr="00B40A77">
          <w:rPr>
            <w:rStyle w:val="Hyperlink"/>
            <w:color w:val="000000" w:themeColor="text1"/>
          </w:rPr>
          <w:t>71</w:t>
        </w:r>
        <w:r w:rsidRPr="00B40A77">
          <w:rPr>
            <w:rStyle w:val="Hyperlink"/>
            <w:color w:val="000000" w:themeColor="text1"/>
          </w:rPr>
          <w:t>e</w:t>
        </w:r>
        <w:r w:rsidR="009B0DB6" w:rsidRPr="00B40A77">
          <w:rPr>
            <w:rStyle w:val="Hyperlink"/>
            <w:color w:val="000000" w:themeColor="text1"/>
          </w:rPr>
          <w:t xml:space="preserve"> Evidentiary </w:t>
        </w:r>
        <w:r w:rsidR="00094B9D" w:rsidRPr="00B40A77">
          <w:rPr>
            <w:rStyle w:val="Hyperlink"/>
            <w:color w:val="000000" w:themeColor="text1"/>
          </w:rPr>
          <w:t>M</w:t>
        </w:r>
        <w:r w:rsidR="009B0DB6" w:rsidRPr="00B40A77">
          <w:rPr>
            <w:rStyle w:val="Hyperlink"/>
            <w:color w:val="000000" w:themeColor="text1"/>
          </w:rPr>
          <w:t xml:space="preserve">aterial </w:t>
        </w:r>
        <w:r w:rsidR="00094B9D" w:rsidRPr="00B40A77">
          <w:rPr>
            <w:rStyle w:val="Hyperlink"/>
            <w:color w:val="000000" w:themeColor="text1"/>
          </w:rPr>
          <w:t>B</w:t>
        </w:r>
        <w:r w:rsidR="009B0DB6" w:rsidRPr="00B40A77">
          <w:rPr>
            <w:rStyle w:val="Hyperlink"/>
            <w:color w:val="000000" w:themeColor="text1"/>
          </w:rPr>
          <w:t>rief</w:t>
        </w:r>
      </w:hyperlink>
    </w:p>
    <w:p w14:paraId="4A1F2B1C" w14:textId="2849A73E" w:rsidR="008D70A3" w:rsidRPr="00B40A77" w:rsidRDefault="008D70A3" w:rsidP="008D70A3">
      <w:pPr>
        <w:pStyle w:val="NoteText"/>
        <w:rPr>
          <w:color w:val="000000" w:themeColor="text1"/>
        </w:rPr>
      </w:pPr>
      <w:r w:rsidRPr="00B40A77">
        <w:rPr>
          <w:color w:val="000000" w:themeColor="text1"/>
        </w:rPr>
        <w:t xml:space="preserve">If served in physical (hard copy) form - Form 71h </w:t>
      </w:r>
      <w:hyperlink r:id="rId154" w:history="1">
        <w:r w:rsidRPr="00B40A77">
          <w:rPr>
            <w:rStyle w:val="Hyperlink"/>
            <w:color w:val="000000" w:themeColor="text1"/>
          </w:rPr>
          <w:t xml:space="preserve">Evidentiary </w:t>
        </w:r>
        <w:r w:rsidR="00094B9D" w:rsidRPr="00B40A77">
          <w:rPr>
            <w:rStyle w:val="Hyperlink"/>
            <w:color w:val="000000" w:themeColor="text1"/>
          </w:rPr>
          <w:t>M</w:t>
        </w:r>
        <w:r w:rsidRPr="00B40A77">
          <w:rPr>
            <w:rStyle w:val="Hyperlink"/>
            <w:color w:val="000000" w:themeColor="text1"/>
          </w:rPr>
          <w:t xml:space="preserve">aterial </w:t>
        </w:r>
        <w:r w:rsidR="00094B9D" w:rsidRPr="00B40A77">
          <w:rPr>
            <w:rStyle w:val="Hyperlink"/>
            <w:color w:val="000000" w:themeColor="text1"/>
          </w:rPr>
          <w:t>B</w:t>
        </w:r>
        <w:r w:rsidRPr="00B40A77">
          <w:rPr>
            <w:rStyle w:val="Hyperlink"/>
            <w:color w:val="000000" w:themeColor="text1"/>
          </w:rPr>
          <w:t>rief</w:t>
        </w:r>
      </w:hyperlink>
    </w:p>
    <w:bookmarkEnd w:id="563"/>
    <w:p w14:paraId="7B061BA5" w14:textId="77777777" w:rsidR="007A7F70" w:rsidRPr="00B40A77" w:rsidRDefault="007A7F70" w:rsidP="007A7F70">
      <w:pPr>
        <w:pStyle w:val="Hangindent"/>
        <w:rPr>
          <w:color w:val="000000" w:themeColor="text1"/>
          <w:lang w:val="en-US"/>
        </w:rPr>
      </w:pPr>
      <w:r w:rsidRPr="00B40A77">
        <w:rPr>
          <w:color w:val="000000" w:themeColor="text1"/>
          <w:lang w:val="en-US"/>
        </w:rPr>
        <w:t>(2)</w:t>
      </w:r>
      <w:r w:rsidRPr="00B40A77">
        <w:rPr>
          <w:color w:val="000000" w:themeColor="text1"/>
          <w:lang w:val="en-US"/>
        </w:rPr>
        <w:tab/>
        <w:t>Unless the Court otherwise orders, the informant need not file an evidentiary material brief.</w:t>
      </w:r>
    </w:p>
    <w:p w14:paraId="5B5E8ABB" w14:textId="77777777" w:rsidR="00F91F83" w:rsidRPr="00B40A77" w:rsidRDefault="007A7F70" w:rsidP="00F91F83">
      <w:pPr>
        <w:pStyle w:val="Hangindent"/>
        <w:rPr>
          <w:color w:val="000000" w:themeColor="text1"/>
          <w:lang w:val="en-US"/>
        </w:rPr>
      </w:pPr>
      <w:r w:rsidRPr="00B40A77">
        <w:rPr>
          <w:color w:val="000000" w:themeColor="text1"/>
          <w:lang w:val="en-US"/>
        </w:rPr>
        <w:t>(3)</w:t>
      </w:r>
      <w:r w:rsidRPr="00B40A77">
        <w:rPr>
          <w:color w:val="000000" w:themeColor="text1"/>
          <w:lang w:val="en-US"/>
        </w:rPr>
        <w:tab/>
        <w:t>Unless the Court otherwise orders, if the informant files an evidentiary material brief, it must be in electronic form</w:t>
      </w:r>
      <w:r w:rsidR="00F91F83" w:rsidRPr="00B40A77">
        <w:rPr>
          <w:color w:val="000000" w:themeColor="text1"/>
          <w:lang w:val="en-US"/>
        </w:rPr>
        <w:t xml:space="preserve"> and</w:t>
      </w:r>
      <w:r w:rsidR="00F91F83" w:rsidRPr="00B40A77">
        <w:rPr>
          <w:color w:val="000000" w:themeColor="text1"/>
        </w:rPr>
        <w:t>—</w:t>
      </w:r>
    </w:p>
    <w:p w14:paraId="54FD0AB0" w14:textId="2CA1B06B" w:rsidR="00F91F83" w:rsidRPr="00B40A77" w:rsidRDefault="00F91F83" w:rsidP="00F91F83">
      <w:pPr>
        <w:pStyle w:val="Doublehangindent"/>
        <w:rPr>
          <w:color w:val="000000" w:themeColor="text1"/>
          <w:lang w:val="en-US"/>
        </w:rPr>
      </w:pPr>
      <w:r w:rsidRPr="00B40A77">
        <w:rPr>
          <w:color w:val="000000" w:themeColor="text1"/>
          <w:lang w:val="en-US"/>
        </w:rPr>
        <w:t>(a)</w:t>
      </w:r>
      <w:r w:rsidRPr="00B40A77">
        <w:rPr>
          <w:color w:val="000000" w:themeColor="text1"/>
          <w:lang w:val="en-US"/>
        </w:rPr>
        <w:tab/>
        <w:t>if its contents exce</w:t>
      </w:r>
      <w:r w:rsidR="00985001" w:rsidRPr="00B40A77">
        <w:rPr>
          <w:color w:val="000000" w:themeColor="text1"/>
          <w:lang w:val="en-US"/>
        </w:rPr>
        <w:t>ed</w:t>
      </w:r>
      <w:r w:rsidRPr="00B40A77">
        <w:rPr>
          <w:color w:val="000000" w:themeColor="text1"/>
          <w:lang w:val="en-US"/>
        </w:rPr>
        <w:t xml:space="preserve"> 30 megabytes (or such other capacity limit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it must be uploaded in separate documents containing not more than 30 megabytes; </w:t>
      </w:r>
    </w:p>
    <w:p w14:paraId="11009AA8" w14:textId="51F9C9DE" w:rsidR="00985001" w:rsidRPr="00B40A77" w:rsidRDefault="00F91F83" w:rsidP="00F91F83">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DA0882" w:rsidRPr="00B40A77">
        <w:rPr>
          <w:color w:val="000000" w:themeColor="text1"/>
          <w:lang w:val="en-US"/>
        </w:rPr>
        <w:t xml:space="preserve">subject to paragraph (c), </w:t>
      </w:r>
      <w:r w:rsidR="00985001" w:rsidRPr="00B40A77">
        <w:rPr>
          <w:color w:val="000000" w:themeColor="text1"/>
          <w:lang w:val="en-US"/>
        </w:rPr>
        <w:t>the version filed</w:t>
      </w:r>
      <w:r w:rsidRPr="00B40A77">
        <w:rPr>
          <w:color w:val="000000" w:themeColor="text1"/>
          <w:lang w:val="en-US"/>
        </w:rPr>
        <w:t xml:space="preserve"> must not include any </w:t>
      </w:r>
      <w:hyperlink w:anchor="_2.1—Definitions" w:history="1">
        <w:r w:rsidRPr="00B40A77">
          <w:rPr>
            <w:rStyle w:val="Hyperlink"/>
            <w:color w:val="000000" w:themeColor="text1"/>
            <w:lang w:val="en-US"/>
          </w:rPr>
          <w:t xml:space="preserve">electronic </w:t>
        </w:r>
        <w:r w:rsidR="007C6FD4" w:rsidRPr="00B40A77">
          <w:rPr>
            <w:rStyle w:val="Hyperlink"/>
            <w:color w:val="000000" w:themeColor="text1"/>
            <w:lang w:val="en-US"/>
          </w:rPr>
          <w:t>material</w:t>
        </w:r>
      </w:hyperlink>
      <w:r w:rsidR="00985001" w:rsidRPr="00B40A77">
        <w:rPr>
          <w:color w:val="000000" w:themeColor="text1"/>
          <w:lang w:val="en-US"/>
        </w:rPr>
        <w:t xml:space="preserve"> in mpeg or alternative formats containing audiovisual material;</w:t>
      </w:r>
    </w:p>
    <w:p w14:paraId="345F8074" w14:textId="76C2310C" w:rsidR="007A7F70" w:rsidRPr="00B40A77" w:rsidRDefault="00985001" w:rsidP="00AA39D7">
      <w:pPr>
        <w:pStyle w:val="Doublehangindent"/>
        <w:rPr>
          <w:color w:val="000000" w:themeColor="text1"/>
        </w:rPr>
      </w:pPr>
      <w:r w:rsidRPr="00B40A77">
        <w:rPr>
          <w:color w:val="000000" w:themeColor="text1"/>
          <w:lang w:val="en-US"/>
        </w:rPr>
        <w:t>(c)</w:t>
      </w:r>
      <w:r w:rsidRPr="00B40A77">
        <w:rPr>
          <w:color w:val="000000" w:themeColor="text1"/>
          <w:lang w:val="en-US"/>
        </w:rPr>
        <w:tab/>
        <w:t>if the version served includes material that is</w:t>
      </w:r>
      <w:r w:rsidR="00F91F83" w:rsidRPr="00B40A77">
        <w:rPr>
          <w:color w:val="000000" w:themeColor="text1"/>
          <w:lang w:val="en-US"/>
        </w:rPr>
        <w:t xml:space="preserve"> </w:t>
      </w:r>
      <w:r w:rsidRPr="00B40A77">
        <w:rPr>
          <w:color w:val="000000" w:themeColor="text1"/>
          <w:lang w:val="en-US"/>
        </w:rPr>
        <w:t>admissible under section</w:t>
      </w:r>
      <w:r w:rsidR="00DA0882" w:rsidRPr="00B40A77">
        <w:rPr>
          <w:color w:val="000000" w:themeColor="text1"/>
          <w:lang w:val="en-US"/>
        </w:rPr>
        <w:t> </w:t>
      </w:r>
      <w:r w:rsidRPr="00B40A77">
        <w:rPr>
          <w:color w:val="000000" w:themeColor="text1"/>
          <w:lang w:val="en-US"/>
        </w:rPr>
        <w:t xml:space="preserve">13BA </w:t>
      </w:r>
      <w:r w:rsidR="00AA39D7" w:rsidRPr="00B40A77">
        <w:rPr>
          <w:color w:val="000000" w:themeColor="text1"/>
          <w:lang w:val="en-US"/>
        </w:rPr>
        <w:t>or</w:t>
      </w:r>
      <w:r w:rsidR="00DA0882" w:rsidRPr="00B40A77">
        <w:rPr>
          <w:color w:val="000000" w:themeColor="text1"/>
          <w:lang w:val="en-US"/>
        </w:rPr>
        <w:t> </w:t>
      </w:r>
      <w:r w:rsidR="00AA39D7" w:rsidRPr="00B40A77">
        <w:rPr>
          <w:color w:val="000000" w:themeColor="text1"/>
          <w:lang w:val="en-US"/>
        </w:rPr>
        <w:t xml:space="preserve">13BB </w:t>
      </w:r>
      <w:r w:rsidRPr="00B40A77">
        <w:rPr>
          <w:color w:val="000000" w:themeColor="text1"/>
          <w:lang w:val="en-US"/>
        </w:rPr>
        <w:t xml:space="preserve">of the Evidence Act, </w:t>
      </w:r>
      <w:r w:rsidR="00DA0882" w:rsidRPr="00B40A77">
        <w:rPr>
          <w:color w:val="000000" w:themeColor="text1"/>
          <w:lang w:val="en-US"/>
        </w:rPr>
        <w:t xml:space="preserve">the version filed </w:t>
      </w:r>
      <w:r w:rsidRPr="00B40A77">
        <w:rPr>
          <w:color w:val="000000" w:themeColor="text1"/>
          <w:lang w:val="en-US"/>
        </w:rPr>
        <w:t xml:space="preserve">must be accompanied by a </w:t>
      </w:r>
      <w:r w:rsidR="00DA0882" w:rsidRPr="00B40A77">
        <w:rPr>
          <w:color w:val="000000" w:themeColor="text1"/>
          <w:lang w:val="en-US"/>
        </w:rPr>
        <w:t>USB drive</w:t>
      </w:r>
      <w:r w:rsidRPr="00B40A77">
        <w:rPr>
          <w:color w:val="000000" w:themeColor="text1"/>
          <w:lang w:val="en-US"/>
        </w:rPr>
        <w:t xml:space="preserve"> (or such other storage device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containing such material</w:t>
      </w:r>
      <w:r w:rsidR="007A7F70" w:rsidRPr="00B40A77">
        <w:rPr>
          <w:color w:val="000000" w:themeColor="text1"/>
          <w:lang w:val="en-US"/>
        </w:rPr>
        <w:t>.</w:t>
      </w:r>
    </w:p>
    <w:p w14:paraId="4ECFB130" w14:textId="44B0299D" w:rsidR="007A7F70" w:rsidRPr="00B40A77" w:rsidRDefault="007A7F70" w:rsidP="007A7F70">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Unless the Court otherwise orders, the informant must serve an evidentiary material brief (including any required </w:t>
      </w:r>
      <w:hyperlink w:anchor="_2.1—Definitions" w:history="1">
        <w:r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w:t>
      </w:r>
      <w:hyperlink w:anchor="_2.1—Definitions" w:history="1">
        <w:r w:rsidRPr="00B40A77">
          <w:rPr>
            <w:rStyle w:val="Hyperlink"/>
            <w:color w:val="000000" w:themeColor="text1"/>
            <w:lang w:val="en-US"/>
          </w:rPr>
          <w:t>evidentiary material</w:t>
        </w:r>
      </w:hyperlink>
      <w:r w:rsidRPr="00B40A77">
        <w:rPr>
          <w:color w:val="000000" w:themeColor="text1"/>
          <w:lang w:val="en-US"/>
        </w:rPr>
        <w:t xml:space="preserve"> attached) in electronic form if the defendant or youth has an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that includes an email address.</w:t>
      </w:r>
    </w:p>
    <w:p w14:paraId="34C9D858" w14:textId="17F9B730" w:rsidR="00124A1D" w:rsidRPr="00B40A77" w:rsidRDefault="007A7F70" w:rsidP="007A7F70">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Unless the Court otherwise orders, </w:t>
      </w:r>
      <w:r w:rsidR="00124A1D" w:rsidRPr="00B40A77">
        <w:rPr>
          <w:color w:val="000000" w:themeColor="text1"/>
          <w:lang w:val="en-US"/>
        </w:rPr>
        <w:t xml:space="preserve">the informant may serve </w:t>
      </w:r>
      <w:r w:rsidR="00A94CA2" w:rsidRPr="00B40A77">
        <w:rPr>
          <w:color w:val="000000" w:themeColor="text1"/>
          <w:lang w:val="en-US"/>
        </w:rPr>
        <w:t>an</w:t>
      </w:r>
      <w:r w:rsidR="00124A1D" w:rsidRPr="00B40A77">
        <w:rPr>
          <w:color w:val="000000" w:themeColor="text1"/>
          <w:lang w:val="en-US"/>
        </w:rPr>
        <w:t xml:space="preserve"> evidentiary material brief by sending an email informing the defendant or youth of the filing of the brief and that it may be accessed on the Court’s electronic portal </w:t>
      </w:r>
      <w:r w:rsidRPr="00B40A77">
        <w:rPr>
          <w:color w:val="000000" w:themeColor="text1"/>
          <w:lang w:val="en-US"/>
        </w:rPr>
        <w:t>if</w:t>
      </w:r>
      <w:r w:rsidR="00124A1D" w:rsidRPr="00B40A77">
        <w:rPr>
          <w:color w:val="000000" w:themeColor="text1"/>
        </w:rPr>
        <w:t>—</w:t>
      </w:r>
    </w:p>
    <w:p w14:paraId="4CDD6AEC" w14:textId="5A16053A" w:rsidR="00124A1D" w:rsidRPr="00B40A77" w:rsidRDefault="00124A1D" w:rsidP="00124A1D">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7A7F70" w:rsidRPr="00B40A77">
        <w:rPr>
          <w:color w:val="000000" w:themeColor="text1"/>
          <w:lang w:val="en-US"/>
        </w:rPr>
        <w:t>the informant files an evidentiary material brief in electronic form</w:t>
      </w:r>
      <w:r w:rsidRPr="00B40A77">
        <w:rPr>
          <w:color w:val="000000" w:themeColor="text1"/>
          <w:lang w:val="en-US"/>
        </w:rPr>
        <w:t>;</w:t>
      </w:r>
    </w:p>
    <w:p w14:paraId="10CD707B" w14:textId="3539426E" w:rsidR="007A7F70" w:rsidRPr="00B40A77" w:rsidRDefault="00124A1D" w:rsidP="00124A1D">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7A7F70" w:rsidRPr="00B40A77">
        <w:rPr>
          <w:color w:val="000000" w:themeColor="text1"/>
          <w:lang w:val="en-US"/>
        </w:rPr>
        <w:t xml:space="preserve">the defendant or youth has an </w:t>
      </w:r>
      <w:hyperlink w:anchor="_2.1—Definitions" w:history="1">
        <w:r w:rsidR="007A7F70" w:rsidRPr="00B40A77">
          <w:rPr>
            <w:rStyle w:val="Hyperlink"/>
            <w:color w:val="000000" w:themeColor="text1"/>
            <w:lang w:val="en-US"/>
          </w:rPr>
          <w:t>address for service</w:t>
        </w:r>
      </w:hyperlink>
      <w:r w:rsidR="007A7F70" w:rsidRPr="00B40A77">
        <w:rPr>
          <w:color w:val="000000" w:themeColor="text1"/>
          <w:lang w:val="en-US"/>
        </w:rPr>
        <w:t xml:space="preserve"> that includes an email address</w:t>
      </w:r>
      <w:r w:rsidR="00A94CA2" w:rsidRPr="00B40A77">
        <w:rPr>
          <w:color w:val="000000" w:themeColor="text1"/>
          <w:lang w:val="en-US"/>
        </w:rPr>
        <w:t>;</w:t>
      </w:r>
    </w:p>
    <w:p w14:paraId="7BCB2723" w14:textId="70B639FE" w:rsidR="00A94CA2" w:rsidRPr="00B40A77" w:rsidRDefault="00A94CA2" w:rsidP="00124A1D">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email is sent to that email </w:t>
      </w:r>
      <w:hyperlink w:anchor="_2.1—Definitions" w:history="1">
        <w:r w:rsidRPr="00B40A77">
          <w:rPr>
            <w:rStyle w:val="Hyperlink"/>
            <w:color w:val="000000" w:themeColor="text1"/>
            <w:lang w:val="en-US"/>
          </w:rPr>
          <w:t>address for service</w:t>
        </w:r>
      </w:hyperlink>
      <w:r w:rsidR="00DA0882" w:rsidRPr="00B40A77">
        <w:rPr>
          <w:color w:val="000000" w:themeColor="text1"/>
          <w:lang w:val="en-US"/>
        </w:rPr>
        <w:t>; and</w:t>
      </w:r>
    </w:p>
    <w:p w14:paraId="572E1FDD" w14:textId="1ECC2FBA" w:rsidR="00DA0882" w:rsidRPr="00B40A77" w:rsidRDefault="00DA0882" w:rsidP="00BF70DF">
      <w:pPr>
        <w:pStyle w:val="Doublehangindent"/>
        <w:rPr>
          <w:color w:val="000000" w:themeColor="text1"/>
          <w:lang w:val="en-US"/>
        </w:rPr>
      </w:pPr>
      <w:r w:rsidRPr="00B40A77">
        <w:rPr>
          <w:color w:val="000000" w:themeColor="text1"/>
          <w:lang w:val="en-US"/>
        </w:rPr>
        <w:lastRenderedPageBreak/>
        <w:t>(d)</w:t>
      </w:r>
      <w:r w:rsidRPr="00B40A77">
        <w:rPr>
          <w:color w:val="000000" w:themeColor="text1"/>
          <w:lang w:val="en-US"/>
        </w:rPr>
        <w:tab/>
        <w:t xml:space="preserve">the party to be served </w:t>
      </w:r>
      <w:r w:rsidR="00BF70DF" w:rsidRPr="00B40A77">
        <w:rPr>
          <w:color w:val="000000" w:themeColor="text1"/>
          <w:lang w:val="en-US"/>
        </w:rPr>
        <w:t xml:space="preserve">or a lawyer acting for them is a registered user of the </w:t>
      </w:r>
      <w:hyperlink w:anchor="_22.1—Establishment_and_operation" w:history="1">
        <w:r w:rsidR="00E81F20" w:rsidRPr="00B40A77">
          <w:rPr>
            <w:rStyle w:val="Hyperlink"/>
            <w:color w:val="000000" w:themeColor="text1"/>
            <w:lang w:val="en-US"/>
          </w:rPr>
          <w:t>Electronic System</w:t>
        </w:r>
      </w:hyperlink>
      <w:r w:rsidR="00BF70DF" w:rsidRPr="00B40A77">
        <w:rPr>
          <w:color w:val="000000" w:themeColor="text1"/>
          <w:lang w:val="en-US"/>
        </w:rPr>
        <w:t xml:space="preserve"> and has been granted access to the case maintained on the </w:t>
      </w:r>
      <w:hyperlink w:anchor="_22.1—Establishment_and_operation" w:history="1">
        <w:r w:rsidR="00E81F20" w:rsidRPr="00B40A77">
          <w:rPr>
            <w:rStyle w:val="Hyperlink"/>
            <w:color w:val="000000" w:themeColor="text1"/>
            <w:lang w:val="en-US"/>
          </w:rPr>
          <w:t>Electronic System</w:t>
        </w:r>
      </w:hyperlink>
      <w:r w:rsidR="00BF70DF" w:rsidRPr="00B40A77">
        <w:rPr>
          <w:color w:val="000000" w:themeColor="text1"/>
          <w:lang w:val="en-US"/>
        </w:rPr>
        <w:t>.</w:t>
      </w:r>
    </w:p>
    <w:p w14:paraId="3460E3B2" w14:textId="1A4FA779" w:rsidR="007A7F70" w:rsidRPr="00B40A77" w:rsidRDefault="007A7F70" w:rsidP="007A7F70">
      <w:pPr>
        <w:pStyle w:val="Hangindent"/>
        <w:rPr>
          <w:color w:val="000000" w:themeColor="text1"/>
          <w:lang w:val="en-US"/>
        </w:rPr>
      </w:pPr>
      <w:r w:rsidRPr="00B40A77">
        <w:rPr>
          <w:color w:val="000000" w:themeColor="text1"/>
          <w:lang w:val="en-US"/>
        </w:rPr>
        <w:t>(6)</w:t>
      </w:r>
      <w:r w:rsidRPr="00B40A77">
        <w:rPr>
          <w:color w:val="000000" w:themeColor="text1"/>
          <w:lang w:val="en-US"/>
        </w:rPr>
        <w:tab/>
        <w:t xml:space="preserve">The informant must serve as an attachment to the evidentiary material brief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 the evidentiary material brief.</w:t>
      </w:r>
    </w:p>
    <w:p w14:paraId="040BE24F" w14:textId="3E02CDB0" w:rsidR="007A7F70" w:rsidRPr="00B40A77" w:rsidRDefault="007A7F70" w:rsidP="007A7F70">
      <w:pPr>
        <w:pStyle w:val="Hangindent"/>
        <w:rPr>
          <w:color w:val="000000" w:themeColor="text1"/>
          <w:lang w:val="en-US"/>
        </w:rPr>
      </w:pPr>
      <w:r w:rsidRPr="00B40A77">
        <w:rPr>
          <w:color w:val="000000" w:themeColor="text1"/>
          <w:lang w:val="en-US"/>
        </w:rPr>
        <w:t>(7)</w:t>
      </w:r>
      <w:r w:rsidRPr="00B40A77">
        <w:rPr>
          <w:color w:val="000000" w:themeColor="text1"/>
          <w:lang w:val="en-US"/>
        </w:rPr>
        <w:tab/>
        <w:t xml:space="preserve">The informant may serve other </w:t>
      </w:r>
      <w:hyperlink w:anchor="_2.1—Definitions" w:history="1">
        <w:r w:rsidR="00A26A40" w:rsidRPr="00B40A77">
          <w:rPr>
            <w:rStyle w:val="Hyperlink"/>
            <w:color w:val="000000" w:themeColor="text1"/>
            <w:lang w:val="en-US"/>
          </w:rPr>
          <w:t>evidentiary material</w:t>
        </w:r>
      </w:hyperlink>
      <w:r w:rsidRPr="00B40A77">
        <w:rPr>
          <w:color w:val="000000" w:themeColor="text1"/>
          <w:lang w:val="en-US"/>
        </w:rPr>
        <w:t xml:space="preserve"> not attached to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 the evidentiary material brief or alternatively may retain possession of any such other </w:t>
      </w:r>
      <w:hyperlink w:anchor="_2.1—Definitions" w:history="1">
        <w:r w:rsidR="00A26A40" w:rsidRPr="00B40A77">
          <w:rPr>
            <w:rStyle w:val="Hyperlink"/>
            <w:color w:val="000000" w:themeColor="text1"/>
            <w:lang w:val="en-US"/>
          </w:rPr>
          <w:t>evidentiary material</w:t>
        </w:r>
      </w:hyperlink>
      <w:r w:rsidRPr="00B40A77">
        <w:rPr>
          <w:color w:val="000000" w:themeColor="text1"/>
          <w:lang w:val="en-US"/>
        </w:rPr>
        <w:t>.</w:t>
      </w:r>
    </w:p>
    <w:p w14:paraId="56F59E7B" w14:textId="286D091D" w:rsidR="007A7F70" w:rsidRPr="00B40A77" w:rsidRDefault="007A7F70" w:rsidP="007A7F70">
      <w:pPr>
        <w:pStyle w:val="Hangindent"/>
        <w:rPr>
          <w:color w:val="000000" w:themeColor="text1"/>
          <w:lang w:val="en-US"/>
        </w:rPr>
      </w:pPr>
      <w:r w:rsidRPr="00B40A77">
        <w:rPr>
          <w:color w:val="000000" w:themeColor="text1"/>
          <w:lang w:val="en-US"/>
        </w:rPr>
        <w:t>(8)</w:t>
      </w:r>
      <w:r w:rsidRPr="00B40A77">
        <w:rPr>
          <w:color w:val="000000" w:themeColor="text1"/>
          <w:lang w:val="en-US"/>
        </w:rPr>
        <w:tab/>
        <w:t>If the informant wishes to amend or supplement an evidentiary material brief previously served, the informant must do so by serving a revised version of the evidentiary material brief showing the relevant revision number.</w:t>
      </w:r>
    </w:p>
    <w:p w14:paraId="27CDADDA" w14:textId="7EC87555" w:rsidR="007A7F70" w:rsidRPr="00B40A77" w:rsidRDefault="007A7F70" w:rsidP="007A7F70">
      <w:pPr>
        <w:pStyle w:val="Hangindent"/>
        <w:rPr>
          <w:color w:val="000000" w:themeColor="text1"/>
          <w:lang w:val="en-US"/>
        </w:rPr>
      </w:pPr>
      <w:r w:rsidRPr="00B40A77">
        <w:rPr>
          <w:color w:val="000000" w:themeColor="text1"/>
          <w:lang w:val="en-US"/>
        </w:rPr>
        <w:t>(9)</w:t>
      </w:r>
      <w:r w:rsidRPr="00B40A77">
        <w:rPr>
          <w:color w:val="000000" w:themeColor="text1"/>
          <w:lang w:val="en-US"/>
        </w:rPr>
        <w:tab/>
        <w:t xml:space="preserve">If the informant files </w:t>
      </w:r>
      <w:r w:rsidR="00A137DA" w:rsidRPr="00B40A77">
        <w:rPr>
          <w:color w:val="000000" w:themeColor="text1"/>
          <w:lang w:val="en-US"/>
        </w:rPr>
        <w:t xml:space="preserve">or serves </w:t>
      </w:r>
      <w:r w:rsidRPr="00B40A77">
        <w:rPr>
          <w:color w:val="000000" w:themeColor="text1"/>
          <w:lang w:val="en-US"/>
        </w:rPr>
        <w:t>a revised evidentiary material brief</w:t>
      </w:r>
      <w:r w:rsidR="00505A4A" w:rsidRPr="00B40A77">
        <w:rPr>
          <w:color w:val="000000" w:themeColor="text1"/>
          <w:lang w:val="en-US"/>
        </w:rPr>
        <w:t xml:space="preserve"> in electronic form</w:t>
      </w:r>
      <w:r w:rsidRPr="00B40A77">
        <w:rPr>
          <w:color w:val="000000" w:themeColor="text1"/>
          <w:lang w:val="en-US"/>
        </w:rPr>
        <w:t xml:space="preserve">, the informant </w:t>
      </w:r>
      <w:r w:rsidR="00505A4A" w:rsidRPr="00B40A77">
        <w:rPr>
          <w:color w:val="000000" w:themeColor="text1"/>
          <w:lang w:val="en-US"/>
        </w:rPr>
        <w:t>must</w:t>
      </w:r>
      <w:r w:rsidRPr="00B40A77">
        <w:rPr>
          <w:color w:val="000000" w:themeColor="text1"/>
          <w:lang w:val="en-US"/>
        </w:rPr>
        <w:t xml:space="preserve"> </w:t>
      </w:r>
      <w:r w:rsidR="00505A4A" w:rsidRPr="00B40A77">
        <w:rPr>
          <w:color w:val="000000" w:themeColor="text1"/>
          <w:lang w:val="en-US"/>
        </w:rPr>
        <w:t>include</w:t>
      </w:r>
      <w:r w:rsidRPr="00B40A77">
        <w:rPr>
          <w:color w:val="000000" w:themeColor="text1"/>
          <w:lang w:val="en-US"/>
        </w:rPr>
        <w:t xml:space="preserve"> any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A26A40"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5B2EF91D" w14:textId="1AE055EF" w:rsidR="00BF70DF" w:rsidRPr="00B40A77" w:rsidRDefault="00BF70DF" w:rsidP="007A7F70">
      <w:pPr>
        <w:pStyle w:val="Hangindent"/>
        <w:rPr>
          <w:color w:val="000000" w:themeColor="text1"/>
          <w:lang w:val="en-US"/>
        </w:rPr>
      </w:pPr>
      <w:r w:rsidRPr="00B40A77">
        <w:rPr>
          <w:color w:val="000000" w:themeColor="text1"/>
          <w:lang w:val="en-US"/>
        </w:rPr>
        <w:t>(10)</w:t>
      </w:r>
      <w:r w:rsidRPr="00B40A77">
        <w:rPr>
          <w:color w:val="000000" w:themeColor="text1"/>
          <w:lang w:val="en-US"/>
        </w:rPr>
        <w:tab/>
        <w:t xml:space="preserve">If the informant files or serves a revised evidentiary material brief in physical form, the informant is not required to file or serve again any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A26A40"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6CF117CB" w14:textId="5BA9EFE0" w:rsidR="00C24D60" w:rsidRPr="00B40A77" w:rsidRDefault="00DF755F" w:rsidP="00EC34E6">
      <w:pPr>
        <w:pStyle w:val="Heading4"/>
        <w:rPr>
          <w:color w:val="000000" w:themeColor="text1"/>
        </w:rPr>
      </w:pPr>
      <w:bookmarkStart w:id="564" w:name="_Toc175239014"/>
      <w:bookmarkEnd w:id="562"/>
      <w:r w:rsidRPr="00B40A77">
        <w:rPr>
          <w:color w:val="000000" w:themeColor="text1"/>
        </w:rPr>
        <w:t>75</w:t>
      </w:r>
      <w:r w:rsidR="00C24D60" w:rsidRPr="00B40A77">
        <w:rPr>
          <w:color w:val="000000" w:themeColor="text1"/>
        </w:rPr>
        <w:t>.</w:t>
      </w:r>
      <w:r w:rsidR="009B0DB6" w:rsidRPr="00B40A77">
        <w:rPr>
          <w:color w:val="000000" w:themeColor="text1"/>
        </w:rPr>
        <w:t>2</w:t>
      </w:r>
      <w:r w:rsidR="00C24D60" w:rsidRPr="00B40A77">
        <w:rPr>
          <w:color w:val="000000" w:themeColor="text1"/>
        </w:rPr>
        <w:t>—Discreditable conduct evidence</w:t>
      </w:r>
      <w:bookmarkEnd w:id="564"/>
    </w:p>
    <w:p w14:paraId="782AAEBE" w14:textId="2B4D6035" w:rsidR="00C24D60" w:rsidRPr="00B40A77" w:rsidRDefault="00C24D60" w:rsidP="00381ABA">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Notice of intention to adduce evidence of discreditable conduct under section 34P(4) of the </w:t>
      </w:r>
      <w:r w:rsidRPr="00B40A77">
        <w:rPr>
          <w:iCs/>
          <w:color w:val="000000" w:themeColor="text1"/>
          <w:lang w:val="en-US"/>
        </w:rPr>
        <w:t>Evidence Act</w:t>
      </w:r>
      <w:r w:rsidRPr="00B40A77">
        <w:rPr>
          <w:color w:val="000000" w:themeColor="text1"/>
          <w:lang w:val="en-US"/>
        </w:rPr>
        <w:t xml:space="preserve"> must be in </w:t>
      </w:r>
      <w:r w:rsidRPr="00B40A77">
        <w:rPr>
          <w:color w:val="000000" w:themeColor="text1"/>
        </w:rPr>
        <w:t>the prescribed form and</w:t>
      </w:r>
      <w:r w:rsidRPr="00B40A77">
        <w:rPr>
          <w:color w:val="000000" w:themeColor="text1"/>
          <w:lang w:val="en-US"/>
        </w:rPr>
        <w:t xml:space="preserve"> filed and served on all other parties</w:t>
      </w:r>
      <w:r w:rsidR="00CF2ADC" w:rsidRPr="00B40A77">
        <w:rPr>
          <w:color w:val="000000" w:themeColor="text1"/>
          <w:lang w:val="en-US"/>
        </w:rPr>
        <w:t xml:space="preserve"> at least </w:t>
      </w:r>
      <w:r w:rsidR="00160D92" w:rsidRPr="00B40A77">
        <w:rPr>
          <w:color w:val="000000" w:themeColor="text1"/>
          <w:lang w:val="en-US"/>
        </w:rPr>
        <w:t>14</w:t>
      </w:r>
      <w:r w:rsidRPr="00B40A77">
        <w:rPr>
          <w:color w:val="000000" w:themeColor="text1"/>
          <w:lang w:val="en-US"/>
        </w:rPr>
        <w:t xml:space="preserve"> days before the </w:t>
      </w:r>
      <w:hyperlink w:anchor="_2.1—Definitions" w:history="1">
        <w:r w:rsidR="00012B38" w:rsidRPr="00B40A77">
          <w:rPr>
            <w:rStyle w:val="Hyperlink"/>
            <w:color w:val="000000" w:themeColor="text1"/>
            <w:lang w:val="en-US"/>
          </w:rPr>
          <w:t>pre-trial conference date</w:t>
        </w:r>
      </w:hyperlink>
      <w:r w:rsidRPr="00B40A77">
        <w:rPr>
          <w:color w:val="000000" w:themeColor="text1"/>
          <w:lang w:val="en-US"/>
        </w:rPr>
        <w:t>.</w:t>
      </w:r>
    </w:p>
    <w:p w14:paraId="187EB3B9" w14:textId="77777777" w:rsidR="00C24D60" w:rsidRPr="00B40A77" w:rsidRDefault="00C24D60" w:rsidP="00381ABA">
      <w:pPr>
        <w:pStyle w:val="NoteHeader"/>
        <w:keepNext/>
        <w:rPr>
          <w:color w:val="000000" w:themeColor="text1"/>
        </w:rPr>
      </w:pPr>
      <w:r w:rsidRPr="00B40A77">
        <w:rPr>
          <w:color w:val="000000" w:themeColor="text1"/>
        </w:rPr>
        <w:t>Prescribed form—</w:t>
      </w:r>
    </w:p>
    <w:p w14:paraId="4FC18E0F" w14:textId="52709570" w:rsidR="00C24D60" w:rsidRPr="00B40A77" w:rsidRDefault="00C24D60" w:rsidP="009C21A6">
      <w:pPr>
        <w:pStyle w:val="NoteText"/>
        <w:rPr>
          <w:color w:val="000000" w:themeColor="text1"/>
        </w:rPr>
      </w:pPr>
      <w:r w:rsidRPr="00B40A77">
        <w:rPr>
          <w:color w:val="000000" w:themeColor="text1"/>
        </w:rPr>
        <w:t>F</w:t>
      </w:r>
      <w:r w:rsidR="00D750B7" w:rsidRPr="00B40A77">
        <w:rPr>
          <w:color w:val="000000" w:themeColor="text1"/>
        </w:rPr>
        <w:t>orm 79</w:t>
      </w:r>
      <w:r w:rsidRPr="00B40A77">
        <w:rPr>
          <w:color w:val="000000" w:themeColor="text1"/>
        </w:rPr>
        <w:t xml:space="preserve"> </w:t>
      </w:r>
      <w:hyperlink r:id="rId155" w:history="1">
        <w:r w:rsidRPr="00B40A77">
          <w:rPr>
            <w:rStyle w:val="Hyperlink"/>
            <w:color w:val="000000" w:themeColor="text1"/>
          </w:rPr>
          <w:t xml:space="preserve">Notice of </w:t>
        </w:r>
        <w:r w:rsidR="00094B9D" w:rsidRPr="00B40A77">
          <w:rPr>
            <w:rStyle w:val="Hyperlink"/>
            <w:color w:val="000000" w:themeColor="text1"/>
          </w:rPr>
          <w:t>I</w:t>
        </w:r>
        <w:r w:rsidRPr="00B40A77">
          <w:rPr>
            <w:rStyle w:val="Hyperlink"/>
            <w:color w:val="000000" w:themeColor="text1"/>
          </w:rPr>
          <w:t xml:space="preserve">ntention to </w:t>
        </w:r>
        <w:r w:rsidR="00094B9D" w:rsidRPr="00B40A77">
          <w:rPr>
            <w:rStyle w:val="Hyperlink"/>
            <w:color w:val="000000" w:themeColor="text1"/>
          </w:rPr>
          <w:t>A</w:t>
        </w:r>
        <w:r w:rsidRPr="00B40A77">
          <w:rPr>
            <w:rStyle w:val="Hyperlink"/>
            <w:color w:val="000000" w:themeColor="text1"/>
          </w:rPr>
          <w:t xml:space="preserve">dduce </w:t>
        </w:r>
        <w:r w:rsidR="00094B9D" w:rsidRPr="00B40A77">
          <w:rPr>
            <w:rStyle w:val="Hyperlink"/>
            <w:color w:val="000000" w:themeColor="text1"/>
          </w:rPr>
          <w:t>D</w:t>
        </w:r>
        <w:r w:rsidRPr="00B40A77">
          <w:rPr>
            <w:rStyle w:val="Hyperlink"/>
            <w:color w:val="000000" w:themeColor="text1"/>
          </w:rPr>
          <w:t xml:space="preserve">iscreditable </w:t>
        </w:r>
        <w:r w:rsidR="00094B9D" w:rsidRPr="00B40A77">
          <w:rPr>
            <w:rStyle w:val="Hyperlink"/>
            <w:color w:val="000000" w:themeColor="text1"/>
          </w:rPr>
          <w:t>C</w:t>
        </w:r>
        <w:r w:rsidRPr="00B40A77">
          <w:rPr>
            <w:rStyle w:val="Hyperlink"/>
            <w:color w:val="000000" w:themeColor="text1"/>
          </w:rPr>
          <w:t xml:space="preserve">onduct </w:t>
        </w:r>
        <w:r w:rsidR="00094B9D" w:rsidRPr="00B40A77">
          <w:rPr>
            <w:rStyle w:val="Hyperlink"/>
            <w:color w:val="000000" w:themeColor="text1"/>
          </w:rPr>
          <w:t>E</w:t>
        </w:r>
        <w:r w:rsidRPr="00B40A77">
          <w:rPr>
            <w:rStyle w:val="Hyperlink"/>
            <w:color w:val="000000" w:themeColor="text1"/>
          </w:rPr>
          <w:t>vidence</w:t>
        </w:r>
      </w:hyperlink>
    </w:p>
    <w:p w14:paraId="4F73A4B9" w14:textId="2BCDEA58" w:rsidR="00C24D60" w:rsidRPr="00B40A77" w:rsidRDefault="00C24D60" w:rsidP="00AD1D32">
      <w:pPr>
        <w:pStyle w:val="Hangindent"/>
        <w:keepNext/>
        <w:keepLines/>
        <w:rPr>
          <w:color w:val="000000" w:themeColor="text1"/>
          <w:lang w:val="en-US"/>
        </w:rPr>
      </w:pPr>
      <w:r w:rsidRPr="00B40A77">
        <w:rPr>
          <w:color w:val="000000" w:themeColor="text1"/>
          <w:lang w:val="en-US"/>
        </w:rPr>
        <w:t>(2)</w:t>
      </w:r>
      <w:r w:rsidRPr="00B40A77">
        <w:rPr>
          <w:color w:val="000000" w:themeColor="text1"/>
          <w:lang w:val="en-US"/>
        </w:rPr>
        <w:tab/>
        <w:t xml:space="preserve">A party who intends to object to the admission of proposed evidence of discreditable conduct the subject of a notice of intention must file and serve on all other parties a notice of objection in </w:t>
      </w:r>
      <w:r w:rsidRPr="00B40A77">
        <w:rPr>
          <w:color w:val="000000" w:themeColor="text1"/>
        </w:rPr>
        <w:t xml:space="preserve">the prescribed </w:t>
      </w:r>
      <w:r w:rsidRPr="00B40A77">
        <w:rPr>
          <w:color w:val="000000" w:themeColor="text1"/>
          <w:lang w:val="en-US"/>
        </w:rPr>
        <w:t xml:space="preserve">form </w:t>
      </w:r>
      <w:r w:rsidR="00CF2ADC" w:rsidRPr="00B40A77">
        <w:rPr>
          <w:color w:val="000000" w:themeColor="text1"/>
          <w:lang w:val="en-US"/>
        </w:rPr>
        <w:t>within 14</w:t>
      </w:r>
      <w:r w:rsidRPr="00B40A77">
        <w:rPr>
          <w:color w:val="000000" w:themeColor="text1"/>
          <w:lang w:val="en-US"/>
        </w:rPr>
        <w:t> days after service of the notice of intention.</w:t>
      </w:r>
    </w:p>
    <w:p w14:paraId="22832DCB" w14:textId="77777777" w:rsidR="00C24D60" w:rsidRPr="00B40A77" w:rsidRDefault="00C24D60" w:rsidP="00381ABA">
      <w:pPr>
        <w:pStyle w:val="NoteHeader"/>
        <w:keepNext/>
        <w:rPr>
          <w:color w:val="000000" w:themeColor="text1"/>
        </w:rPr>
      </w:pPr>
      <w:r w:rsidRPr="00B40A77">
        <w:rPr>
          <w:color w:val="000000" w:themeColor="text1"/>
        </w:rPr>
        <w:t>Prescribed form—</w:t>
      </w:r>
    </w:p>
    <w:p w14:paraId="1D807D65" w14:textId="4421CEC4" w:rsidR="00C24D60" w:rsidRPr="00B40A77" w:rsidRDefault="00C24D60" w:rsidP="009C21A6">
      <w:pPr>
        <w:pStyle w:val="NoteText"/>
        <w:rPr>
          <w:color w:val="000000" w:themeColor="text1"/>
        </w:rPr>
      </w:pPr>
      <w:r w:rsidRPr="00B40A77">
        <w:rPr>
          <w:color w:val="000000" w:themeColor="text1"/>
        </w:rPr>
        <w:t>F</w:t>
      </w:r>
      <w:r w:rsidR="00D750B7" w:rsidRPr="00B40A77">
        <w:rPr>
          <w:color w:val="000000" w:themeColor="text1"/>
        </w:rPr>
        <w:t>orm 80</w:t>
      </w:r>
      <w:r w:rsidRPr="00B40A77">
        <w:rPr>
          <w:color w:val="000000" w:themeColor="text1"/>
        </w:rPr>
        <w:t xml:space="preserve"> </w:t>
      </w:r>
      <w:hyperlink r:id="rId156" w:history="1">
        <w:r w:rsidRPr="00B40A77">
          <w:rPr>
            <w:rStyle w:val="Hyperlink"/>
            <w:color w:val="000000" w:themeColor="text1"/>
          </w:rPr>
          <w:t xml:space="preserve">Notice of </w:t>
        </w:r>
        <w:r w:rsidR="006248C6" w:rsidRPr="00B40A77">
          <w:rPr>
            <w:rStyle w:val="Hyperlink"/>
            <w:color w:val="000000" w:themeColor="text1"/>
          </w:rPr>
          <w:t>O</w:t>
        </w:r>
        <w:r w:rsidRPr="00B40A77">
          <w:rPr>
            <w:rStyle w:val="Hyperlink"/>
            <w:color w:val="000000" w:themeColor="text1"/>
          </w:rPr>
          <w:t xml:space="preserve">bjection to </w:t>
        </w:r>
        <w:r w:rsidR="006248C6" w:rsidRPr="00B40A77">
          <w:rPr>
            <w:rStyle w:val="Hyperlink"/>
            <w:color w:val="000000" w:themeColor="text1"/>
          </w:rPr>
          <w:t>D</w:t>
        </w:r>
        <w:r w:rsidRPr="00B40A77">
          <w:rPr>
            <w:rStyle w:val="Hyperlink"/>
            <w:color w:val="000000" w:themeColor="text1"/>
          </w:rPr>
          <w:t xml:space="preserve">iscreditable </w:t>
        </w:r>
        <w:r w:rsidR="006248C6" w:rsidRPr="00B40A77">
          <w:rPr>
            <w:rStyle w:val="Hyperlink"/>
            <w:color w:val="000000" w:themeColor="text1"/>
          </w:rPr>
          <w:t>C</w:t>
        </w:r>
        <w:r w:rsidRPr="00B40A77">
          <w:rPr>
            <w:rStyle w:val="Hyperlink"/>
            <w:color w:val="000000" w:themeColor="text1"/>
          </w:rPr>
          <w:t xml:space="preserve">onduct </w:t>
        </w:r>
        <w:r w:rsidR="006248C6" w:rsidRPr="00B40A77">
          <w:rPr>
            <w:rStyle w:val="Hyperlink"/>
            <w:color w:val="000000" w:themeColor="text1"/>
          </w:rPr>
          <w:t>E</w:t>
        </w:r>
        <w:r w:rsidRPr="00B40A77">
          <w:rPr>
            <w:rStyle w:val="Hyperlink"/>
            <w:color w:val="000000" w:themeColor="text1"/>
          </w:rPr>
          <w:t>vidence</w:t>
        </w:r>
      </w:hyperlink>
    </w:p>
    <w:p w14:paraId="044B8626" w14:textId="504120AC" w:rsidR="003117A3" w:rsidRPr="00B40A77" w:rsidRDefault="00886D6B" w:rsidP="003117A3">
      <w:pPr>
        <w:pStyle w:val="Heading4"/>
        <w:rPr>
          <w:color w:val="000000" w:themeColor="text1"/>
        </w:rPr>
      </w:pPr>
      <w:bookmarkStart w:id="565" w:name="_Toc175239015"/>
      <w:r w:rsidRPr="00B40A77">
        <w:rPr>
          <w:color w:val="000000" w:themeColor="text1"/>
        </w:rPr>
        <w:t>75</w:t>
      </w:r>
      <w:r w:rsidR="00D4498D" w:rsidRPr="00B40A77">
        <w:rPr>
          <w:color w:val="000000" w:themeColor="text1"/>
        </w:rPr>
        <w:t>.</w:t>
      </w:r>
      <w:r w:rsidR="009B0DB6" w:rsidRPr="00B40A77">
        <w:rPr>
          <w:color w:val="000000" w:themeColor="text1"/>
        </w:rPr>
        <w:t>3</w:t>
      </w:r>
      <w:r w:rsidR="003117A3" w:rsidRPr="00B40A77">
        <w:rPr>
          <w:color w:val="000000" w:themeColor="text1"/>
        </w:rPr>
        <w:t>—</w:t>
      </w:r>
      <w:r w:rsidR="003620B9" w:rsidRPr="00B40A77">
        <w:rPr>
          <w:color w:val="000000" w:themeColor="text1"/>
        </w:rPr>
        <w:t>Expert evidence</w:t>
      </w:r>
      <w:bookmarkEnd w:id="565"/>
    </w:p>
    <w:p w14:paraId="63961622" w14:textId="63ACC878" w:rsidR="00CE4999" w:rsidRPr="00B40A77" w:rsidRDefault="00CE4999" w:rsidP="00037437">
      <w:pPr>
        <w:pStyle w:val="Hangindent"/>
        <w:keepNext/>
        <w:ind w:left="567" w:firstLine="0"/>
        <w:rPr>
          <w:color w:val="000000" w:themeColor="text1"/>
          <w:lang w:val="en-US"/>
        </w:rPr>
      </w:pPr>
      <w:r w:rsidRPr="00B40A77">
        <w:rPr>
          <w:color w:val="000000" w:themeColor="text1"/>
          <w:lang w:val="en-US"/>
        </w:rPr>
        <w:t xml:space="preserve">If a party intends to adduce expert evidence at </w:t>
      </w:r>
      <w:hyperlink w:anchor="_2.1—Definitions" w:history="1">
        <w:r w:rsidRPr="00B40A77">
          <w:rPr>
            <w:rStyle w:val="Hyperlink"/>
            <w:color w:val="000000" w:themeColor="text1"/>
            <w:lang w:val="en-US"/>
          </w:rPr>
          <w:t>trial</w:t>
        </w:r>
      </w:hyperlink>
      <w:r w:rsidRPr="00B40A77">
        <w:rPr>
          <w:color w:val="000000" w:themeColor="text1"/>
          <w:lang w:val="en-US"/>
        </w:rPr>
        <w:t xml:space="preserve">, they must file and serve on each other party a notice </w:t>
      </w:r>
      <w:r w:rsidR="00584D98" w:rsidRPr="00B40A77">
        <w:rPr>
          <w:color w:val="000000" w:themeColor="text1"/>
        </w:rPr>
        <w:t xml:space="preserve">of intention to adduce expert evidence </w:t>
      </w:r>
      <w:r w:rsidRPr="00B40A77">
        <w:rPr>
          <w:color w:val="000000" w:themeColor="text1"/>
          <w:lang w:val="en-US"/>
        </w:rPr>
        <w:t>in the prescribed form at least 7</w:t>
      </w:r>
      <w:r w:rsidR="004A0458" w:rsidRPr="00B40A77">
        <w:rPr>
          <w:color w:val="000000" w:themeColor="text1"/>
          <w:lang w:val="en-US"/>
        </w:rPr>
        <w:t> </w:t>
      </w:r>
      <w:r w:rsidRPr="00B40A77">
        <w:rPr>
          <w:color w:val="000000" w:themeColor="text1"/>
          <w:lang w:val="en-US"/>
        </w:rPr>
        <w:t xml:space="preserve">days before the </w:t>
      </w:r>
      <w:hyperlink w:anchor="_2.1—Definitions" w:history="1">
        <w:r w:rsidR="00012B38" w:rsidRPr="00B40A77">
          <w:rPr>
            <w:rStyle w:val="Hyperlink"/>
            <w:color w:val="000000" w:themeColor="text1"/>
            <w:lang w:val="en-US"/>
          </w:rPr>
          <w:t>pre-trial conference date</w:t>
        </w:r>
      </w:hyperlink>
      <w:r w:rsidRPr="00B40A77">
        <w:rPr>
          <w:color w:val="000000" w:themeColor="text1"/>
          <w:lang w:val="en-US"/>
        </w:rPr>
        <w:t>.</w:t>
      </w:r>
    </w:p>
    <w:p w14:paraId="0FDBF6CA" w14:textId="77777777" w:rsidR="00CE4999" w:rsidRPr="00B40A77" w:rsidRDefault="00CE4999" w:rsidP="00633420">
      <w:pPr>
        <w:pStyle w:val="NoteHeader"/>
        <w:keepNext/>
        <w:ind w:left="284" w:firstLine="306"/>
        <w:rPr>
          <w:color w:val="000000" w:themeColor="text1"/>
        </w:rPr>
      </w:pPr>
      <w:r w:rsidRPr="00B40A77">
        <w:rPr>
          <w:color w:val="000000" w:themeColor="text1"/>
        </w:rPr>
        <w:t>Prescribed form—</w:t>
      </w:r>
    </w:p>
    <w:p w14:paraId="04974E19" w14:textId="769383A6" w:rsidR="00CE4999" w:rsidRPr="00B40A77" w:rsidRDefault="00CE4999" w:rsidP="00AA301B">
      <w:pPr>
        <w:pStyle w:val="NoteText"/>
        <w:keepNext/>
        <w:ind w:left="850"/>
        <w:rPr>
          <w:color w:val="000000" w:themeColor="text1"/>
        </w:rPr>
      </w:pPr>
      <w:r w:rsidRPr="00B40A77">
        <w:rPr>
          <w:color w:val="000000" w:themeColor="text1"/>
        </w:rPr>
        <w:t>F</w:t>
      </w:r>
      <w:r w:rsidR="00D750B7" w:rsidRPr="00B40A77">
        <w:rPr>
          <w:color w:val="000000" w:themeColor="text1"/>
        </w:rPr>
        <w:t>orm 77</w:t>
      </w:r>
      <w:r w:rsidR="00901FEE" w:rsidRPr="00B40A77">
        <w:rPr>
          <w:color w:val="000000" w:themeColor="text1"/>
        </w:rPr>
        <w:t>B</w:t>
      </w:r>
      <w:r w:rsidRPr="00B40A77">
        <w:rPr>
          <w:color w:val="000000" w:themeColor="text1"/>
        </w:rPr>
        <w:t xml:space="preserve"> </w:t>
      </w:r>
      <w:hyperlink r:id="rId157" w:history="1">
        <w:r w:rsidRPr="00B40A77">
          <w:rPr>
            <w:rStyle w:val="Hyperlink"/>
            <w:color w:val="000000" w:themeColor="text1"/>
          </w:rPr>
          <w:t xml:space="preserve">Notice of </w:t>
        </w:r>
        <w:r w:rsidR="006248C6" w:rsidRPr="00B40A77">
          <w:rPr>
            <w:rStyle w:val="Hyperlink"/>
            <w:color w:val="000000" w:themeColor="text1"/>
          </w:rPr>
          <w:t>I</w:t>
        </w:r>
        <w:r w:rsidRPr="00B40A77">
          <w:rPr>
            <w:rStyle w:val="Hyperlink"/>
            <w:color w:val="000000" w:themeColor="text1"/>
          </w:rPr>
          <w:t>nte</w:t>
        </w:r>
        <w:r w:rsidR="00901FEE" w:rsidRPr="00B40A77">
          <w:rPr>
            <w:rStyle w:val="Hyperlink"/>
            <w:color w:val="000000" w:themeColor="text1"/>
          </w:rPr>
          <w:t xml:space="preserve">ntion to </w:t>
        </w:r>
        <w:r w:rsidR="006248C6" w:rsidRPr="00B40A77">
          <w:rPr>
            <w:rStyle w:val="Hyperlink"/>
            <w:color w:val="000000" w:themeColor="text1"/>
          </w:rPr>
          <w:t>A</w:t>
        </w:r>
        <w:r w:rsidR="00901FEE" w:rsidRPr="00B40A77">
          <w:rPr>
            <w:rStyle w:val="Hyperlink"/>
            <w:color w:val="000000" w:themeColor="text1"/>
          </w:rPr>
          <w:t xml:space="preserve">dduce </w:t>
        </w:r>
        <w:r w:rsidR="006248C6" w:rsidRPr="00B40A77">
          <w:rPr>
            <w:rStyle w:val="Hyperlink"/>
            <w:color w:val="000000" w:themeColor="text1"/>
          </w:rPr>
          <w:t>E</w:t>
        </w:r>
        <w:r w:rsidR="00901FEE" w:rsidRPr="00B40A77">
          <w:rPr>
            <w:rStyle w:val="Hyperlink"/>
            <w:color w:val="000000" w:themeColor="text1"/>
          </w:rPr>
          <w:t xml:space="preserve">xpert </w:t>
        </w:r>
        <w:r w:rsidR="006248C6" w:rsidRPr="00B40A77">
          <w:rPr>
            <w:rStyle w:val="Hyperlink"/>
            <w:color w:val="000000" w:themeColor="text1"/>
          </w:rPr>
          <w:t>E</w:t>
        </w:r>
        <w:r w:rsidRPr="00B40A77">
          <w:rPr>
            <w:rStyle w:val="Hyperlink"/>
            <w:color w:val="000000" w:themeColor="text1"/>
          </w:rPr>
          <w:t>vidence (Lower Courts)</w:t>
        </w:r>
      </w:hyperlink>
    </w:p>
    <w:p w14:paraId="60660F3C" w14:textId="77777777" w:rsidR="003117A3" w:rsidRPr="00B40A77" w:rsidRDefault="003117A3" w:rsidP="00C5770A">
      <w:pPr>
        <w:pStyle w:val="NoteHeader"/>
        <w:keepNext/>
        <w:ind w:left="567"/>
        <w:rPr>
          <w:color w:val="000000" w:themeColor="text1"/>
        </w:rPr>
      </w:pPr>
      <w:r w:rsidRPr="00B40A77">
        <w:rPr>
          <w:color w:val="000000" w:themeColor="text1"/>
        </w:rPr>
        <w:t>Note—</w:t>
      </w:r>
    </w:p>
    <w:p w14:paraId="466349D0" w14:textId="5460138D" w:rsidR="003117A3" w:rsidRPr="00B40A77" w:rsidRDefault="00CE4999" w:rsidP="009C21A6">
      <w:pPr>
        <w:pStyle w:val="NoteText"/>
        <w:ind w:left="852"/>
        <w:rPr>
          <w:color w:val="000000" w:themeColor="text1"/>
        </w:rPr>
      </w:pPr>
      <w:r w:rsidRPr="00B40A77">
        <w:rPr>
          <w:color w:val="000000" w:themeColor="text1"/>
        </w:rPr>
        <w:t xml:space="preserve">Section 49(1)(ca) of the </w:t>
      </w:r>
      <w:r w:rsidRPr="00B40A77">
        <w:rPr>
          <w:i/>
          <w:color w:val="000000" w:themeColor="text1"/>
        </w:rPr>
        <w:t>Magistrates Court Act 1991</w:t>
      </w:r>
      <w:r w:rsidRPr="00B40A77">
        <w:rPr>
          <w:color w:val="000000" w:themeColor="text1"/>
        </w:rPr>
        <w:t xml:space="preserve"> </w:t>
      </w:r>
      <w:r w:rsidR="003117A3" w:rsidRPr="00B40A77">
        <w:rPr>
          <w:color w:val="000000" w:themeColor="text1"/>
        </w:rPr>
        <w:t xml:space="preserve">provides that </w:t>
      </w:r>
      <w:r w:rsidRPr="00B40A77">
        <w:rPr>
          <w:color w:val="000000" w:themeColor="text1"/>
        </w:rPr>
        <w:t>Rules of the Court may be made imposing mutual obligations on parties to proceedings in the Court to disclose to each other the contents of expert reports or other material of relevance to the proceedings before the proceedings are brought to trial</w:t>
      </w:r>
      <w:r w:rsidR="003117A3" w:rsidRPr="00B40A77">
        <w:rPr>
          <w:color w:val="000000" w:themeColor="text1"/>
        </w:rPr>
        <w:t>.</w:t>
      </w:r>
    </w:p>
    <w:p w14:paraId="6A13824F" w14:textId="00C03D4E" w:rsidR="003117A3" w:rsidRPr="00B40A77" w:rsidRDefault="003117A3" w:rsidP="009C21A6">
      <w:pPr>
        <w:pStyle w:val="NoteText"/>
        <w:ind w:left="852"/>
        <w:rPr>
          <w:color w:val="000000" w:themeColor="text1"/>
        </w:rPr>
      </w:pPr>
      <w:r w:rsidRPr="00B40A77">
        <w:rPr>
          <w:color w:val="000000" w:themeColor="text1"/>
        </w:rPr>
        <w:t xml:space="preserve">Sections 18 of the </w:t>
      </w:r>
      <w:r w:rsidRPr="00B40A77">
        <w:rPr>
          <w:iCs/>
          <w:color w:val="000000" w:themeColor="text1"/>
        </w:rPr>
        <w:t>Young Offenders Act</w:t>
      </w:r>
      <w:r w:rsidRPr="00B40A77">
        <w:rPr>
          <w:i/>
          <w:color w:val="000000" w:themeColor="text1"/>
        </w:rPr>
        <w:t xml:space="preserve"> </w:t>
      </w:r>
      <w:r w:rsidRPr="00B40A77">
        <w:rPr>
          <w:color w:val="000000" w:themeColor="text1"/>
        </w:rPr>
        <w:t>provides that the procedure to be followed by and the powers of the Youth Court on the trial of an offence are, subject to th</w:t>
      </w:r>
      <w:r w:rsidR="00915BCF" w:rsidRPr="00B40A77">
        <w:rPr>
          <w:color w:val="000000" w:themeColor="text1"/>
        </w:rPr>
        <w:t>at</w:t>
      </w:r>
      <w:r w:rsidRPr="00B40A77">
        <w:rPr>
          <w:color w:val="000000" w:themeColor="text1"/>
        </w:rPr>
        <w:t xml:space="preserve"> Act, to be the same as for the trial of a summary offence in the Magistrates Court.</w:t>
      </w:r>
    </w:p>
    <w:p w14:paraId="097AF110" w14:textId="7D432A9B" w:rsidR="003117A3" w:rsidRPr="00B40A77" w:rsidRDefault="003117A3" w:rsidP="009C21A6">
      <w:pPr>
        <w:pStyle w:val="NoteText"/>
        <w:ind w:left="852"/>
        <w:rPr>
          <w:color w:val="000000" w:themeColor="text1"/>
        </w:rPr>
      </w:pPr>
      <w:r w:rsidRPr="00B40A77">
        <w:rPr>
          <w:color w:val="000000" w:themeColor="text1"/>
        </w:rPr>
        <w:lastRenderedPageBreak/>
        <w:t xml:space="preserve">Section 7(3a) of the </w:t>
      </w:r>
      <w:r w:rsidRPr="00B40A77">
        <w:rPr>
          <w:i/>
          <w:color w:val="000000" w:themeColor="text1"/>
        </w:rPr>
        <w:t xml:space="preserve">Environment Resources and Development </w:t>
      </w:r>
      <w:r w:rsidR="00990810" w:rsidRPr="00B40A77">
        <w:rPr>
          <w:i/>
          <w:color w:val="000000" w:themeColor="text1"/>
        </w:rPr>
        <w:t xml:space="preserve">Court </w:t>
      </w:r>
      <w:r w:rsidRPr="00B40A77">
        <w:rPr>
          <w:i/>
          <w:color w:val="000000" w:themeColor="text1"/>
        </w:rPr>
        <w:t>Act 1993</w:t>
      </w:r>
      <w:r w:rsidRPr="00B40A77">
        <w:rPr>
          <w:color w:val="000000" w:themeColor="text1"/>
        </w:rPr>
        <w:t xml:space="preserve"> provides that the Court will deal with a charge of a summary offence or a minor indictable offence in the same way as the Magistrates Court deals with such a charge (and in accordance with the procedures that would apply if the Magistrates Court were dealing with such a charge) and the </w:t>
      </w:r>
      <w:r w:rsidR="00990810" w:rsidRPr="00B40A77">
        <w:rPr>
          <w:i/>
          <w:iCs/>
          <w:color w:val="000000" w:themeColor="text1"/>
        </w:rPr>
        <w:t xml:space="preserve">Summary </w:t>
      </w:r>
      <w:r w:rsidR="00901FEE" w:rsidRPr="00B40A77">
        <w:rPr>
          <w:i/>
          <w:iCs/>
          <w:color w:val="000000" w:themeColor="text1"/>
        </w:rPr>
        <w:t>Procedure Act</w:t>
      </w:r>
      <w:r w:rsidR="00D4498D" w:rsidRPr="00B40A77">
        <w:rPr>
          <w:i/>
          <w:iCs/>
          <w:color w:val="000000" w:themeColor="text1"/>
        </w:rPr>
        <w:t xml:space="preserve"> 1921</w:t>
      </w:r>
      <w:r w:rsidRPr="00B40A77">
        <w:rPr>
          <w:i/>
          <w:iCs/>
          <w:color w:val="000000" w:themeColor="text1"/>
        </w:rPr>
        <w:t xml:space="preserve"> </w:t>
      </w:r>
      <w:r w:rsidRPr="00B40A77">
        <w:rPr>
          <w:color w:val="000000" w:themeColor="text1"/>
        </w:rPr>
        <w:t>applies to the Court subject to any additions, exclusions or modifications prescribed by the regulations as if references to the Magistrates Court extended to the Court.</w:t>
      </w:r>
    </w:p>
    <w:p w14:paraId="76F12BC5" w14:textId="48B93552" w:rsidR="003117A3" w:rsidRPr="00B40A77" w:rsidRDefault="00886D6B" w:rsidP="003117A3">
      <w:pPr>
        <w:pStyle w:val="Heading4"/>
        <w:rPr>
          <w:color w:val="000000" w:themeColor="text1"/>
        </w:rPr>
      </w:pPr>
      <w:bookmarkStart w:id="566" w:name="_75.4—Alibi_evidence"/>
      <w:bookmarkStart w:id="567" w:name="_Toc175239016"/>
      <w:bookmarkEnd w:id="566"/>
      <w:r w:rsidRPr="00B40A77">
        <w:rPr>
          <w:color w:val="000000" w:themeColor="text1"/>
        </w:rPr>
        <w:t>75</w:t>
      </w:r>
      <w:r w:rsidR="00D4498D" w:rsidRPr="00B40A77">
        <w:rPr>
          <w:color w:val="000000" w:themeColor="text1"/>
        </w:rPr>
        <w:t>.</w:t>
      </w:r>
      <w:r w:rsidR="009B0DB6" w:rsidRPr="00B40A77">
        <w:rPr>
          <w:color w:val="000000" w:themeColor="text1"/>
        </w:rPr>
        <w:t>4</w:t>
      </w:r>
      <w:r w:rsidR="003117A3" w:rsidRPr="00B40A77">
        <w:rPr>
          <w:color w:val="000000" w:themeColor="text1"/>
        </w:rPr>
        <w:t>—Alibi evidence</w:t>
      </w:r>
      <w:bookmarkEnd w:id="567"/>
    </w:p>
    <w:p w14:paraId="1D291CE7" w14:textId="60EA9A34" w:rsidR="003117A3" w:rsidRPr="00B40A77" w:rsidRDefault="003117A3" w:rsidP="003117A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w:t>
      </w:r>
      <w:r w:rsidR="00584D98" w:rsidRPr="00B40A77">
        <w:rPr>
          <w:color w:val="000000" w:themeColor="text1"/>
          <w:lang w:val="en-US"/>
        </w:rPr>
        <w:t>defendant</w:t>
      </w:r>
      <w:r w:rsidRPr="00B40A77">
        <w:rPr>
          <w:color w:val="000000" w:themeColor="text1"/>
          <w:lang w:val="en-US"/>
        </w:rPr>
        <w:t xml:space="preserve"> </w:t>
      </w:r>
      <w:r w:rsidR="00915BCF" w:rsidRPr="00B40A77">
        <w:rPr>
          <w:color w:val="000000" w:themeColor="text1"/>
          <w:lang w:val="en-US"/>
        </w:rPr>
        <w:t xml:space="preserve">or youth </w:t>
      </w:r>
      <w:r w:rsidRPr="00B40A77">
        <w:rPr>
          <w:color w:val="000000" w:themeColor="text1"/>
          <w:lang w:val="en-US"/>
        </w:rPr>
        <w:t xml:space="preserve">intends to adduce evidence in relation to </w:t>
      </w:r>
      <w:r w:rsidR="00964767" w:rsidRPr="00B40A77">
        <w:rPr>
          <w:color w:val="000000" w:themeColor="text1"/>
          <w:lang w:val="en-US"/>
        </w:rPr>
        <w:t xml:space="preserve">an </w:t>
      </w:r>
      <w:hyperlink w:anchor="_2.1—Definitions" w:history="1">
        <w:r w:rsidRPr="00B40A77">
          <w:rPr>
            <w:rStyle w:val="Hyperlink"/>
            <w:color w:val="000000" w:themeColor="text1"/>
            <w:lang w:val="en-US"/>
          </w:rPr>
          <w:t>alibi</w:t>
        </w:r>
      </w:hyperlink>
      <w:r w:rsidRPr="00B40A77">
        <w:rPr>
          <w:color w:val="000000" w:themeColor="text1"/>
          <w:lang w:val="en-US"/>
        </w:rPr>
        <w:t xml:space="preserve"> at </w:t>
      </w:r>
      <w:hyperlink w:anchor="_2.1—Definitions" w:history="1">
        <w:hyperlink w:anchor="_2.1—Definitions" w:history="1">
          <w:r w:rsidR="00AB0539" w:rsidRPr="00B40A77">
            <w:rPr>
              <w:rStyle w:val="Hyperlink"/>
              <w:color w:val="000000" w:themeColor="text1"/>
              <w:lang w:val="en-US"/>
            </w:rPr>
            <w:t>trial</w:t>
          </w:r>
        </w:hyperlink>
      </w:hyperlink>
      <w:r w:rsidRPr="00B40A77">
        <w:rPr>
          <w:color w:val="000000" w:themeColor="text1"/>
          <w:lang w:val="en-US"/>
        </w:rPr>
        <w:t xml:space="preserve">, they must file and serve on each other party a notice </w:t>
      </w:r>
      <w:r w:rsidR="00584D98" w:rsidRPr="00B40A77">
        <w:rPr>
          <w:color w:val="000000" w:themeColor="text1"/>
          <w:lang w:val="en-US"/>
        </w:rPr>
        <w:t xml:space="preserve">of intention to adduce </w:t>
      </w:r>
      <w:r w:rsidR="00964767" w:rsidRPr="00B40A77">
        <w:rPr>
          <w:color w:val="000000" w:themeColor="text1"/>
          <w:lang w:val="en-US"/>
        </w:rPr>
        <w:t xml:space="preserve">the </w:t>
      </w:r>
      <w:hyperlink w:anchor="_2.1—Definitions" w:history="1">
        <w:r w:rsidR="00584D98" w:rsidRPr="00B40A77">
          <w:rPr>
            <w:rStyle w:val="Hyperlink"/>
            <w:color w:val="000000" w:themeColor="text1"/>
            <w:lang w:val="en-US"/>
          </w:rPr>
          <w:t>alibi</w:t>
        </w:r>
      </w:hyperlink>
      <w:r w:rsidR="00584D98" w:rsidRPr="00B40A77">
        <w:rPr>
          <w:color w:val="000000" w:themeColor="text1"/>
          <w:lang w:val="en-US"/>
        </w:rPr>
        <w:t xml:space="preserve"> evidence </w:t>
      </w:r>
      <w:r w:rsidRPr="00B40A77">
        <w:rPr>
          <w:color w:val="000000" w:themeColor="text1"/>
          <w:lang w:val="en-US"/>
        </w:rPr>
        <w:t xml:space="preserve">in the prescribed form at least </w:t>
      </w:r>
      <w:r w:rsidR="00901FEE" w:rsidRPr="00B40A77">
        <w:rPr>
          <w:color w:val="000000" w:themeColor="text1"/>
          <w:lang w:val="en-US"/>
        </w:rPr>
        <w:t xml:space="preserve">7 days before the </w:t>
      </w:r>
      <w:hyperlink w:anchor="_2.1—Definitions" w:history="1">
        <w:r w:rsidR="00012B38" w:rsidRPr="00B40A77">
          <w:rPr>
            <w:rStyle w:val="Hyperlink"/>
            <w:color w:val="000000" w:themeColor="text1"/>
            <w:lang w:val="en-US"/>
          </w:rPr>
          <w:t>pre-trial conference date</w:t>
        </w:r>
      </w:hyperlink>
      <w:r w:rsidR="00901FEE" w:rsidRPr="00B40A77">
        <w:rPr>
          <w:color w:val="000000" w:themeColor="text1"/>
          <w:lang w:val="en-US"/>
        </w:rPr>
        <w:t>.</w:t>
      </w:r>
    </w:p>
    <w:p w14:paraId="4D4698F8" w14:textId="3FF47442" w:rsidR="003117A3" w:rsidRPr="00B40A77" w:rsidRDefault="003117A3" w:rsidP="00037437">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informant intends to adduce evidence in relation to </w:t>
      </w:r>
      <w:hyperlink w:anchor="_2.1—Definitions" w:history="1">
        <w:r w:rsidRPr="00B40A77">
          <w:rPr>
            <w:rStyle w:val="Hyperlink"/>
            <w:color w:val="000000" w:themeColor="text1"/>
            <w:lang w:val="en-US"/>
          </w:rPr>
          <w:t>alibi</w:t>
        </w:r>
      </w:hyperlink>
      <w:r w:rsidRPr="00B40A77">
        <w:rPr>
          <w:color w:val="000000" w:themeColor="text1"/>
          <w:lang w:val="en-US"/>
        </w:rPr>
        <w:t xml:space="preserve"> at </w:t>
      </w:r>
      <w:hyperlink w:anchor="_2.1—Definitions" w:history="1">
        <w:hyperlink w:anchor="_2.1—Definitions" w:history="1">
          <w:r w:rsidR="00AB0539" w:rsidRPr="00B40A77">
            <w:rPr>
              <w:rStyle w:val="Hyperlink"/>
              <w:color w:val="000000" w:themeColor="text1"/>
              <w:lang w:val="en-US"/>
            </w:rPr>
            <w:t>trial</w:t>
          </w:r>
        </w:hyperlink>
      </w:hyperlink>
      <w:r w:rsidRPr="00B40A77">
        <w:rPr>
          <w:color w:val="000000" w:themeColor="text1"/>
          <w:lang w:val="en-US"/>
        </w:rPr>
        <w:t xml:space="preserve">, they must prepare a summary of the evidence complying with this rule and serve it on each other party </w:t>
      </w:r>
      <w:r w:rsidR="00584D98" w:rsidRPr="00B40A77">
        <w:rPr>
          <w:color w:val="000000" w:themeColor="text1"/>
          <w:lang w:val="en-US"/>
        </w:rPr>
        <w:t>within 28 days of receipt of a notice of intentio</w:t>
      </w:r>
      <w:r w:rsidR="00E87F02" w:rsidRPr="00B40A77">
        <w:rPr>
          <w:color w:val="000000" w:themeColor="text1"/>
          <w:lang w:val="en-US"/>
        </w:rPr>
        <w:t>n</w:t>
      </w:r>
      <w:r w:rsidR="00584D98" w:rsidRPr="00B40A77">
        <w:rPr>
          <w:color w:val="000000" w:themeColor="text1"/>
          <w:lang w:val="en-US"/>
        </w:rPr>
        <w:t xml:space="preserve"> to adduce </w:t>
      </w:r>
      <w:hyperlink w:anchor="_2.1—Definitions" w:history="1">
        <w:r w:rsidR="00E87F02" w:rsidRPr="00B40A77">
          <w:rPr>
            <w:rStyle w:val="Hyperlink"/>
            <w:color w:val="000000" w:themeColor="text1"/>
            <w:lang w:val="en-US"/>
          </w:rPr>
          <w:t>alibi</w:t>
        </w:r>
      </w:hyperlink>
      <w:r w:rsidR="00E87F02" w:rsidRPr="00B40A77">
        <w:rPr>
          <w:color w:val="000000" w:themeColor="text1"/>
          <w:lang w:val="en-US"/>
        </w:rPr>
        <w:t xml:space="preserve"> evidence</w:t>
      </w:r>
      <w:r w:rsidRPr="00B40A77">
        <w:rPr>
          <w:color w:val="000000" w:themeColor="text1"/>
          <w:lang w:val="en-US"/>
        </w:rPr>
        <w:t>.</w:t>
      </w:r>
    </w:p>
    <w:p w14:paraId="28672DC6" w14:textId="77777777" w:rsidR="003117A3" w:rsidRPr="00B40A77" w:rsidRDefault="003117A3" w:rsidP="003B67CF">
      <w:pPr>
        <w:pStyle w:val="NoteHeader"/>
        <w:keepNext/>
        <w:rPr>
          <w:color w:val="000000" w:themeColor="text1"/>
        </w:rPr>
      </w:pPr>
      <w:r w:rsidRPr="00B40A77">
        <w:rPr>
          <w:color w:val="000000" w:themeColor="text1"/>
        </w:rPr>
        <w:t>Prescribed form—</w:t>
      </w:r>
    </w:p>
    <w:p w14:paraId="1953C9F1" w14:textId="201CDBAC" w:rsidR="003117A3" w:rsidRPr="00B40A77" w:rsidRDefault="003117A3" w:rsidP="009C21A6">
      <w:pPr>
        <w:pStyle w:val="NoteText"/>
        <w:rPr>
          <w:color w:val="000000" w:themeColor="text1"/>
        </w:rPr>
      </w:pPr>
      <w:r w:rsidRPr="00B40A77">
        <w:rPr>
          <w:color w:val="000000" w:themeColor="text1"/>
        </w:rPr>
        <w:t xml:space="preserve">Form </w:t>
      </w:r>
      <w:r w:rsidR="00D750B7" w:rsidRPr="00B40A77">
        <w:rPr>
          <w:color w:val="000000" w:themeColor="text1"/>
        </w:rPr>
        <w:t>78</w:t>
      </w:r>
      <w:r w:rsidR="00A0658F" w:rsidRPr="00B40A77">
        <w:rPr>
          <w:color w:val="000000" w:themeColor="text1"/>
        </w:rPr>
        <w:t>B</w:t>
      </w:r>
      <w:r w:rsidRPr="00B40A77">
        <w:rPr>
          <w:color w:val="000000" w:themeColor="text1"/>
        </w:rPr>
        <w:t xml:space="preserve"> </w:t>
      </w:r>
      <w:hyperlink r:id="rId158" w:history="1">
        <w:r w:rsidRPr="00B40A77">
          <w:rPr>
            <w:rStyle w:val="Hyperlink"/>
            <w:color w:val="000000" w:themeColor="text1"/>
          </w:rPr>
          <w:t xml:space="preserve">Notice of </w:t>
        </w:r>
        <w:r w:rsidR="006248C6" w:rsidRPr="00B40A77">
          <w:rPr>
            <w:rStyle w:val="Hyperlink"/>
            <w:color w:val="000000" w:themeColor="text1"/>
          </w:rPr>
          <w:t>I</w:t>
        </w:r>
        <w:r w:rsidR="00A0658F" w:rsidRPr="00B40A77">
          <w:rPr>
            <w:rStyle w:val="Hyperlink"/>
            <w:color w:val="000000" w:themeColor="text1"/>
          </w:rPr>
          <w:t xml:space="preserve">ntention to </w:t>
        </w:r>
        <w:r w:rsidR="006248C6" w:rsidRPr="00B40A77">
          <w:rPr>
            <w:rStyle w:val="Hyperlink"/>
            <w:color w:val="000000" w:themeColor="text1"/>
          </w:rPr>
          <w:t>A</w:t>
        </w:r>
        <w:r w:rsidR="00A0658F" w:rsidRPr="00B40A77">
          <w:rPr>
            <w:rStyle w:val="Hyperlink"/>
            <w:color w:val="000000" w:themeColor="text1"/>
          </w:rPr>
          <w:t xml:space="preserve">dduce </w:t>
        </w:r>
        <w:r w:rsidR="006248C6" w:rsidRPr="00B40A77">
          <w:rPr>
            <w:rStyle w:val="Hyperlink"/>
            <w:color w:val="000000" w:themeColor="text1"/>
          </w:rPr>
          <w:t>A</w:t>
        </w:r>
        <w:r w:rsidRPr="00B40A77">
          <w:rPr>
            <w:rStyle w:val="Hyperlink"/>
            <w:color w:val="000000" w:themeColor="text1"/>
          </w:rPr>
          <w:t xml:space="preserve">libi </w:t>
        </w:r>
        <w:r w:rsidR="006248C6" w:rsidRPr="00B40A77">
          <w:rPr>
            <w:rStyle w:val="Hyperlink"/>
            <w:color w:val="000000" w:themeColor="text1"/>
          </w:rPr>
          <w:t>E</w:t>
        </w:r>
        <w:r w:rsidRPr="00B40A77">
          <w:rPr>
            <w:rStyle w:val="Hyperlink"/>
            <w:color w:val="000000" w:themeColor="text1"/>
          </w:rPr>
          <w:t>vidence</w:t>
        </w:r>
        <w:r w:rsidR="00A0658F" w:rsidRPr="00B40A77">
          <w:rPr>
            <w:rStyle w:val="Hyperlink"/>
            <w:color w:val="000000" w:themeColor="text1"/>
          </w:rPr>
          <w:t xml:space="preserve"> (Lower Courts)</w:t>
        </w:r>
      </w:hyperlink>
    </w:p>
    <w:p w14:paraId="2FCE20B7" w14:textId="545F66E7" w:rsidR="003117A3" w:rsidRPr="00B40A77" w:rsidRDefault="00886D6B" w:rsidP="006E2F03">
      <w:pPr>
        <w:pStyle w:val="Heading4"/>
        <w:rPr>
          <w:color w:val="000000" w:themeColor="text1"/>
        </w:rPr>
      </w:pPr>
      <w:bookmarkStart w:id="568" w:name="_75.5—Other_evidence:_Magistrates"/>
      <w:bookmarkStart w:id="569" w:name="_Toc175239017"/>
      <w:bookmarkEnd w:id="568"/>
      <w:r w:rsidRPr="00B40A77">
        <w:rPr>
          <w:color w:val="000000" w:themeColor="text1"/>
        </w:rPr>
        <w:t>75</w:t>
      </w:r>
      <w:r w:rsidR="00D4498D" w:rsidRPr="00B40A77">
        <w:rPr>
          <w:color w:val="000000" w:themeColor="text1"/>
        </w:rPr>
        <w:t>.</w:t>
      </w:r>
      <w:r w:rsidR="009B0DB6" w:rsidRPr="00B40A77">
        <w:rPr>
          <w:color w:val="000000" w:themeColor="text1"/>
        </w:rPr>
        <w:t>5</w:t>
      </w:r>
      <w:r w:rsidR="003117A3" w:rsidRPr="00B40A77">
        <w:rPr>
          <w:color w:val="000000" w:themeColor="text1"/>
        </w:rPr>
        <w:t>—Other evidence</w:t>
      </w:r>
      <w:r w:rsidR="00435D34" w:rsidRPr="00B40A77">
        <w:rPr>
          <w:color w:val="000000" w:themeColor="text1"/>
        </w:rPr>
        <w:t>: Magistrates Court and Environment Resources and Development Court</w:t>
      </w:r>
      <w:bookmarkEnd w:id="569"/>
    </w:p>
    <w:p w14:paraId="4767DEEE" w14:textId="0E242B35" w:rsidR="007D5008" w:rsidRPr="00B40A77" w:rsidRDefault="007D5008" w:rsidP="00173536">
      <w:pPr>
        <w:pStyle w:val="Hangindent"/>
        <w:keepNext/>
        <w:rPr>
          <w:color w:val="000000" w:themeColor="text1"/>
          <w:lang w:val="en-GB"/>
        </w:rPr>
      </w:pPr>
      <w:r w:rsidRPr="00B40A77">
        <w:rPr>
          <w:color w:val="000000" w:themeColor="text1"/>
          <w:lang w:val="en-GB"/>
        </w:rPr>
        <w:t>(1)</w:t>
      </w:r>
      <w:r w:rsidRPr="00B40A77">
        <w:rPr>
          <w:color w:val="000000" w:themeColor="text1"/>
          <w:lang w:val="en-GB"/>
        </w:rPr>
        <w:tab/>
        <w:t>Section</w:t>
      </w:r>
      <w:r w:rsidR="0084710B" w:rsidRPr="00B40A77">
        <w:rPr>
          <w:color w:val="000000" w:themeColor="text1"/>
          <w:lang w:val="en-GB"/>
        </w:rPr>
        <w:t> </w:t>
      </w:r>
      <w:r w:rsidR="00DE08B0" w:rsidRPr="00B40A77">
        <w:rPr>
          <w:color w:val="000000" w:themeColor="text1"/>
          <w:lang w:val="en-GB"/>
        </w:rPr>
        <w:t>134</w:t>
      </w:r>
      <w:r w:rsidRPr="00B40A77">
        <w:rPr>
          <w:color w:val="000000" w:themeColor="text1"/>
          <w:lang w:val="en-GB"/>
        </w:rPr>
        <w:t xml:space="preserve"> of the </w:t>
      </w:r>
      <w:r w:rsidR="00EF4D21" w:rsidRPr="00B40A77">
        <w:rPr>
          <w:color w:val="000000" w:themeColor="text1"/>
          <w:lang w:val="en-GB"/>
        </w:rPr>
        <w:t>Procedure</w:t>
      </w:r>
      <w:r w:rsidRPr="00B40A77">
        <w:rPr>
          <w:color w:val="000000" w:themeColor="text1"/>
          <w:lang w:val="en-GB"/>
        </w:rPr>
        <w:t xml:space="preserve"> Act </w:t>
      </w:r>
      <w:r w:rsidR="009544F9" w:rsidRPr="00B40A77">
        <w:rPr>
          <w:color w:val="000000" w:themeColor="text1"/>
          <w:lang w:val="en-GB"/>
        </w:rPr>
        <w:t>applies</w:t>
      </w:r>
      <w:r w:rsidRPr="00B40A77">
        <w:rPr>
          <w:color w:val="000000" w:themeColor="text1"/>
          <w:lang w:val="en-GB"/>
        </w:rPr>
        <w:t xml:space="preserve">, with </w:t>
      </w:r>
      <w:r w:rsidR="009544F9" w:rsidRPr="00B40A77">
        <w:rPr>
          <w:color w:val="000000" w:themeColor="text1"/>
          <w:lang w:val="en-GB"/>
        </w:rPr>
        <w:t xml:space="preserve">the modifications made by the following subrules and </w:t>
      </w:r>
      <w:r w:rsidRPr="00B40A77">
        <w:rPr>
          <w:color w:val="000000" w:themeColor="text1"/>
          <w:lang w:val="en-GB"/>
        </w:rPr>
        <w:t xml:space="preserve">any </w:t>
      </w:r>
      <w:r w:rsidR="009544F9" w:rsidRPr="00B40A77">
        <w:rPr>
          <w:color w:val="000000" w:themeColor="text1"/>
          <w:lang w:val="en-GB"/>
        </w:rPr>
        <w:t xml:space="preserve">other </w:t>
      </w:r>
      <w:r w:rsidRPr="00B40A77">
        <w:rPr>
          <w:color w:val="000000" w:themeColor="text1"/>
          <w:lang w:val="en-GB"/>
        </w:rPr>
        <w:t xml:space="preserve">necessary modifications, </w:t>
      </w:r>
      <w:r w:rsidRPr="00B40A77">
        <w:rPr>
          <w:color w:val="000000" w:themeColor="text1"/>
        </w:rPr>
        <w:t xml:space="preserve">to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by the Court of a</w:t>
      </w:r>
      <w:r w:rsidR="00EF4D21" w:rsidRPr="00B40A77">
        <w:rPr>
          <w:color w:val="000000" w:themeColor="text1"/>
        </w:rPr>
        <w:t xml:space="preserve"> defendant</w:t>
      </w:r>
      <w:r w:rsidR="00343872" w:rsidRPr="00B40A77">
        <w:rPr>
          <w:color w:val="000000" w:themeColor="text1"/>
        </w:rPr>
        <w:t xml:space="preserve"> </w:t>
      </w:r>
      <w:r w:rsidR="00EF4D21" w:rsidRPr="00B40A77">
        <w:rPr>
          <w:color w:val="000000" w:themeColor="text1"/>
        </w:rPr>
        <w:t xml:space="preserve">charged with an </w:t>
      </w:r>
      <w:r w:rsidRPr="00B40A77">
        <w:rPr>
          <w:color w:val="000000" w:themeColor="text1"/>
        </w:rPr>
        <w:t>indictable offence.</w:t>
      </w:r>
    </w:p>
    <w:p w14:paraId="76E023DA" w14:textId="77777777" w:rsidR="007D5008" w:rsidRPr="00B40A77" w:rsidRDefault="007D5008" w:rsidP="00C5770A">
      <w:pPr>
        <w:pStyle w:val="NoteHeader"/>
        <w:keepNext/>
        <w:rPr>
          <w:color w:val="000000" w:themeColor="text1"/>
          <w:lang w:val="en-US"/>
        </w:rPr>
      </w:pPr>
      <w:r w:rsidRPr="00B40A77">
        <w:rPr>
          <w:color w:val="000000" w:themeColor="text1"/>
          <w:lang w:val="en-US"/>
        </w:rPr>
        <w:t>Notes—</w:t>
      </w:r>
    </w:p>
    <w:p w14:paraId="0FCC68C5" w14:textId="5CA621A5" w:rsidR="007D5008" w:rsidRPr="00B40A77" w:rsidRDefault="007D5008" w:rsidP="007D5008">
      <w:pPr>
        <w:pStyle w:val="NoteText"/>
        <w:rPr>
          <w:color w:val="000000" w:themeColor="text1"/>
          <w:lang w:val="en-US"/>
        </w:rPr>
      </w:pPr>
      <w:r w:rsidRPr="00B40A77">
        <w:rPr>
          <w:color w:val="000000" w:themeColor="text1"/>
          <w:lang w:val="en-US"/>
        </w:rPr>
        <w:t>Section 117(2) of the Procedure Act provides that t</w:t>
      </w:r>
      <w:r w:rsidRPr="00B40A77">
        <w:rPr>
          <w:color w:val="000000" w:themeColor="text1"/>
        </w:rPr>
        <w:t xml:space="preserve">he rules may provide that specified provisions of the </w:t>
      </w:r>
      <w:r w:rsidRPr="00B40A77">
        <w:rPr>
          <w:color w:val="000000" w:themeColor="text1"/>
          <w:lang w:val="en-US"/>
        </w:rPr>
        <w:t>Procedure</w:t>
      </w:r>
      <w:r w:rsidRPr="00B40A77">
        <w:rPr>
          <w:color w:val="000000" w:themeColor="text1"/>
        </w:rPr>
        <w:t xml:space="preserve"> Act apply with necessary adaptations and modifications to the trial by the Magistrates Court of a person charged with an indictable offence</w:t>
      </w:r>
      <w:r w:rsidRPr="00B40A77">
        <w:rPr>
          <w:color w:val="000000" w:themeColor="text1"/>
          <w:lang w:val="en-US"/>
        </w:rPr>
        <w:t>.</w:t>
      </w:r>
    </w:p>
    <w:p w14:paraId="763DAEF2" w14:textId="77777777" w:rsidR="00AA301B" w:rsidRPr="00B40A77" w:rsidRDefault="007D5008" w:rsidP="00AA301B">
      <w:pPr>
        <w:pStyle w:val="NoteText"/>
        <w:keepLines/>
        <w:rPr>
          <w:color w:val="000000" w:themeColor="text1"/>
        </w:rPr>
      </w:pPr>
      <w:r w:rsidRPr="00B40A77">
        <w:rPr>
          <w:color w:val="000000" w:themeColor="text1"/>
        </w:rPr>
        <w:t xml:space="preserve">Section 7(3a) of the </w:t>
      </w:r>
      <w:r w:rsidRPr="00B40A77">
        <w:rPr>
          <w:i/>
          <w:color w:val="000000" w:themeColor="text1"/>
        </w:rPr>
        <w:t xml:space="preserve">Environment Resources and Development </w:t>
      </w:r>
      <w:r w:rsidR="00990810" w:rsidRPr="00B40A77">
        <w:rPr>
          <w:i/>
          <w:color w:val="000000" w:themeColor="text1"/>
        </w:rPr>
        <w:t xml:space="preserve">Court </w:t>
      </w:r>
      <w:r w:rsidRPr="00B40A77">
        <w:rPr>
          <w:i/>
          <w:color w:val="000000" w:themeColor="text1"/>
        </w:rPr>
        <w:t>Act 1993</w:t>
      </w:r>
      <w:r w:rsidRPr="00B40A77">
        <w:rPr>
          <w:color w:val="000000" w:themeColor="text1"/>
        </w:rPr>
        <w:t xml:space="preserve"> provides that the Court will deal with a charge of a summary offence or a minor indictable offence in the same way as the Magistrates Court deals with such a charge (and in accordance with the procedures that would apply if the Magistrates Court were dealing with such a charge) and the </w:t>
      </w:r>
      <w:r w:rsidR="00990810" w:rsidRPr="00B40A77">
        <w:rPr>
          <w:i/>
          <w:iCs/>
          <w:color w:val="000000" w:themeColor="text1"/>
        </w:rPr>
        <w:t xml:space="preserve">Summary </w:t>
      </w:r>
      <w:r w:rsidRPr="00B40A77">
        <w:rPr>
          <w:i/>
          <w:iCs/>
          <w:color w:val="000000" w:themeColor="text1"/>
        </w:rPr>
        <w:t>Procedure Act</w:t>
      </w:r>
      <w:r w:rsidR="00990810" w:rsidRPr="00B40A77">
        <w:rPr>
          <w:i/>
          <w:iCs/>
          <w:color w:val="000000" w:themeColor="text1"/>
        </w:rPr>
        <w:t xml:space="preserve"> 1921</w:t>
      </w:r>
      <w:r w:rsidRPr="00B40A77">
        <w:rPr>
          <w:i/>
          <w:iCs/>
          <w:color w:val="000000" w:themeColor="text1"/>
        </w:rPr>
        <w:t xml:space="preserve"> </w:t>
      </w:r>
      <w:r w:rsidRPr="00B40A77">
        <w:rPr>
          <w:color w:val="000000" w:themeColor="text1"/>
        </w:rPr>
        <w:t>applies to the Court subject to any additions, exclusions or modifications prescribed by the regulations as if references to the Magistrates Court extended to the Court.</w:t>
      </w:r>
    </w:p>
    <w:p w14:paraId="4C7378D4" w14:textId="7108B611" w:rsidR="007D5008" w:rsidRPr="00B40A77" w:rsidRDefault="007D5008" w:rsidP="00AA301B">
      <w:pPr>
        <w:pStyle w:val="NoteText"/>
        <w:keepLines/>
        <w:rPr>
          <w:color w:val="000000" w:themeColor="text1"/>
        </w:rPr>
      </w:pPr>
      <w:r w:rsidRPr="00B40A77">
        <w:rPr>
          <w:color w:val="000000" w:themeColor="text1"/>
          <w:lang w:val="en-US"/>
        </w:rPr>
        <w:t>In the S</w:t>
      </w:r>
      <w:r w:rsidR="00EF4D21" w:rsidRPr="00B40A77">
        <w:rPr>
          <w:color w:val="000000" w:themeColor="text1"/>
          <w:lang w:val="en-US"/>
        </w:rPr>
        <w:t>upreme and District Courts, section</w:t>
      </w:r>
      <w:r w:rsidR="0084710B" w:rsidRPr="00B40A77">
        <w:rPr>
          <w:color w:val="000000" w:themeColor="text1"/>
          <w:lang w:val="en-US"/>
        </w:rPr>
        <w:t> </w:t>
      </w:r>
      <w:r w:rsidR="00EF4D21" w:rsidRPr="00B40A77">
        <w:rPr>
          <w:color w:val="000000" w:themeColor="text1"/>
          <w:lang w:val="en-US"/>
        </w:rPr>
        <w:t>134</w:t>
      </w:r>
      <w:r w:rsidRPr="00B40A77">
        <w:rPr>
          <w:color w:val="000000" w:themeColor="text1"/>
          <w:lang w:val="en-US"/>
        </w:rPr>
        <w:t xml:space="preserve"> of the </w:t>
      </w:r>
      <w:r w:rsidRPr="00B40A77">
        <w:rPr>
          <w:color w:val="000000" w:themeColor="text1"/>
          <w:lang w:val="en-GB"/>
        </w:rPr>
        <w:t xml:space="preserve">Procedure Act </w:t>
      </w:r>
      <w:r w:rsidR="00EF4D21" w:rsidRPr="00B40A77">
        <w:rPr>
          <w:color w:val="000000" w:themeColor="text1"/>
          <w:lang w:val="en-GB"/>
        </w:rPr>
        <w:t>applies of its</w:t>
      </w:r>
      <w:r w:rsidRPr="00B40A77">
        <w:rPr>
          <w:color w:val="000000" w:themeColor="text1"/>
          <w:lang w:val="en-GB"/>
        </w:rPr>
        <w:t xml:space="preserve"> own force.</w:t>
      </w:r>
    </w:p>
    <w:p w14:paraId="0A815EDC" w14:textId="63FA3C0E" w:rsidR="003117A3" w:rsidRPr="00B40A77" w:rsidRDefault="003117A3" w:rsidP="00F45516">
      <w:pPr>
        <w:pStyle w:val="Hangindent"/>
        <w:keepNext/>
        <w:keepLines/>
        <w:rPr>
          <w:color w:val="000000" w:themeColor="text1"/>
          <w:lang w:val="en-US"/>
        </w:rPr>
      </w:pPr>
      <w:r w:rsidRPr="00B40A77">
        <w:rPr>
          <w:color w:val="000000" w:themeColor="text1"/>
          <w:lang w:val="en-US"/>
        </w:rPr>
        <w:t>(</w:t>
      </w:r>
      <w:r w:rsidR="00EF4D21" w:rsidRPr="00B40A77">
        <w:rPr>
          <w:color w:val="000000" w:themeColor="text1"/>
          <w:lang w:val="en-US"/>
        </w:rPr>
        <w:t>2</w:t>
      </w:r>
      <w:r w:rsidRPr="00B40A77">
        <w:rPr>
          <w:color w:val="000000" w:themeColor="text1"/>
          <w:lang w:val="en-US"/>
        </w:rPr>
        <w:t>)</w:t>
      </w:r>
      <w:r w:rsidRPr="00B40A77">
        <w:rPr>
          <w:color w:val="000000" w:themeColor="text1"/>
          <w:lang w:val="en-US"/>
        </w:rPr>
        <w:tab/>
      </w:r>
      <w:r w:rsidR="00EF4D21" w:rsidRPr="00B40A77">
        <w:rPr>
          <w:color w:val="000000" w:themeColor="text1"/>
          <w:lang w:val="en-US"/>
        </w:rPr>
        <w:t>Subject to subrule</w:t>
      </w:r>
      <w:r w:rsidR="00C42A0C" w:rsidRPr="00B40A77">
        <w:rPr>
          <w:color w:val="000000" w:themeColor="text1"/>
          <w:lang w:val="en-US"/>
        </w:rPr>
        <w:t> </w:t>
      </w:r>
      <w:r w:rsidR="00EF4D21" w:rsidRPr="00B40A77">
        <w:rPr>
          <w:color w:val="000000" w:themeColor="text1"/>
          <w:lang w:val="en-US"/>
        </w:rPr>
        <w:t>(3</w:t>
      </w:r>
      <w:r w:rsidR="00DB638D" w:rsidRPr="00B40A77">
        <w:rPr>
          <w:color w:val="000000" w:themeColor="text1"/>
          <w:lang w:val="en-US"/>
        </w:rPr>
        <w:t>), t</w:t>
      </w:r>
      <w:r w:rsidRPr="00B40A77">
        <w:rPr>
          <w:color w:val="000000" w:themeColor="text1"/>
          <w:lang w:val="en-US"/>
        </w:rPr>
        <w:t>he Court may order that</w:t>
      </w:r>
      <w:r w:rsidR="00EF4D21" w:rsidRPr="00B40A77">
        <w:rPr>
          <w:color w:val="000000" w:themeColor="text1"/>
          <w:lang w:val="en-US"/>
        </w:rPr>
        <w:t xml:space="preserve">, </w:t>
      </w:r>
      <w:r w:rsidRPr="00B40A77">
        <w:rPr>
          <w:color w:val="000000" w:themeColor="text1"/>
          <w:lang w:val="en-US"/>
        </w:rPr>
        <w:t xml:space="preserve">if a defendant intends to adduce evidence in relation to a </w:t>
      </w:r>
      <w:r w:rsidRPr="00B40A77">
        <w:rPr>
          <w:color w:val="000000" w:themeColor="text1"/>
          <w:u w:val="single"/>
          <w:lang w:val="en-US"/>
        </w:rPr>
        <w:t>prescribed matter</w:t>
      </w:r>
      <w:r w:rsidRPr="00B40A77">
        <w:rPr>
          <w:color w:val="000000" w:themeColor="text1"/>
          <w:lang w:val="en-US"/>
        </w:rPr>
        <w:t xml:space="preserve"> at </w:t>
      </w:r>
      <w:hyperlink w:anchor="_2.1—Definitions" w:history="1">
        <w:hyperlink w:anchor="_2.1—Definitions" w:history="1">
          <w:r w:rsidR="00AB0539" w:rsidRPr="00B40A77">
            <w:rPr>
              <w:rStyle w:val="Hyperlink"/>
              <w:color w:val="000000" w:themeColor="text1"/>
              <w:lang w:val="en-US"/>
            </w:rPr>
            <w:t>trial</w:t>
          </w:r>
        </w:hyperlink>
      </w:hyperlink>
      <w:r w:rsidRPr="00B40A77">
        <w:rPr>
          <w:color w:val="000000" w:themeColor="text1"/>
          <w:lang w:val="en-US"/>
        </w:rPr>
        <w:t xml:space="preserve">, they must </w:t>
      </w:r>
      <w:r w:rsidR="00435D34" w:rsidRPr="00B40A77">
        <w:rPr>
          <w:color w:val="000000" w:themeColor="text1"/>
          <w:lang w:val="en-US"/>
        </w:rPr>
        <w:t xml:space="preserve">by such date as the Court specifies </w:t>
      </w:r>
      <w:r w:rsidRPr="00B40A77">
        <w:rPr>
          <w:color w:val="000000" w:themeColor="text1"/>
          <w:lang w:val="en-US"/>
        </w:rPr>
        <w:t xml:space="preserve">file and serve on each other party a notice of intention to adduce evidence </w:t>
      </w:r>
      <w:r w:rsidR="00EF4D21" w:rsidRPr="00B40A77">
        <w:rPr>
          <w:color w:val="000000" w:themeColor="text1"/>
          <w:lang w:val="en-US"/>
        </w:rPr>
        <w:t>in the prescribed form</w:t>
      </w:r>
      <w:r w:rsidR="008817FA" w:rsidRPr="00B40A77">
        <w:rPr>
          <w:color w:val="000000" w:themeColor="text1"/>
          <w:lang w:val="en-US"/>
        </w:rPr>
        <w:t>.</w:t>
      </w:r>
    </w:p>
    <w:p w14:paraId="27167BD5" w14:textId="77777777" w:rsidR="003117A3" w:rsidRPr="00B40A77" w:rsidRDefault="003117A3" w:rsidP="00C5770A">
      <w:pPr>
        <w:pStyle w:val="NoteHeader"/>
        <w:keepNext/>
        <w:rPr>
          <w:color w:val="000000" w:themeColor="text1"/>
        </w:rPr>
      </w:pPr>
      <w:r w:rsidRPr="00B40A77">
        <w:rPr>
          <w:color w:val="000000" w:themeColor="text1"/>
        </w:rPr>
        <w:t>Prescribed form—</w:t>
      </w:r>
    </w:p>
    <w:p w14:paraId="249951E7" w14:textId="11DEC512" w:rsidR="003117A3" w:rsidRPr="00B40A77" w:rsidRDefault="003117A3" w:rsidP="00AA301B">
      <w:pPr>
        <w:pStyle w:val="NoteText"/>
        <w:keepNext/>
        <w:rPr>
          <w:color w:val="000000" w:themeColor="text1"/>
        </w:rPr>
      </w:pPr>
      <w:r w:rsidRPr="00B40A77">
        <w:rPr>
          <w:color w:val="000000" w:themeColor="text1"/>
        </w:rPr>
        <w:t>F</w:t>
      </w:r>
      <w:r w:rsidR="00D750B7" w:rsidRPr="00B40A77">
        <w:rPr>
          <w:color w:val="000000" w:themeColor="text1"/>
        </w:rPr>
        <w:t>orm 81</w:t>
      </w:r>
      <w:r w:rsidR="00AD6F6B" w:rsidRPr="00B40A77">
        <w:rPr>
          <w:color w:val="000000" w:themeColor="text1"/>
        </w:rPr>
        <w:t>B</w:t>
      </w:r>
      <w:r w:rsidRPr="00B40A77">
        <w:rPr>
          <w:color w:val="000000" w:themeColor="text1"/>
        </w:rPr>
        <w:t xml:space="preserve"> </w:t>
      </w:r>
      <w:hyperlink r:id="rId159" w:history="1">
        <w:r w:rsidRPr="00B40A77">
          <w:rPr>
            <w:rStyle w:val="Hyperlink"/>
            <w:color w:val="000000" w:themeColor="text1"/>
          </w:rPr>
          <w:t xml:space="preserve">Notice of </w:t>
        </w:r>
        <w:r w:rsidR="006248C6" w:rsidRPr="00B40A77">
          <w:rPr>
            <w:rStyle w:val="Hyperlink"/>
            <w:color w:val="000000" w:themeColor="text1"/>
          </w:rPr>
          <w:t>I</w:t>
        </w:r>
        <w:r w:rsidRPr="00B40A77">
          <w:rPr>
            <w:rStyle w:val="Hyperlink"/>
            <w:color w:val="000000" w:themeColor="text1"/>
          </w:rPr>
          <w:t xml:space="preserve">ntention to </w:t>
        </w:r>
        <w:r w:rsidR="006248C6" w:rsidRPr="00B40A77">
          <w:rPr>
            <w:rStyle w:val="Hyperlink"/>
            <w:color w:val="000000" w:themeColor="text1"/>
          </w:rPr>
          <w:t>A</w:t>
        </w:r>
        <w:r w:rsidRPr="00B40A77">
          <w:rPr>
            <w:rStyle w:val="Hyperlink"/>
            <w:color w:val="000000" w:themeColor="text1"/>
          </w:rPr>
          <w:t xml:space="preserve">dduce </w:t>
        </w:r>
        <w:r w:rsidR="006248C6" w:rsidRPr="00B40A77">
          <w:rPr>
            <w:rStyle w:val="Hyperlink"/>
            <w:color w:val="000000" w:themeColor="text1"/>
          </w:rPr>
          <w:t>E</w:t>
        </w:r>
        <w:r w:rsidRPr="00B40A77">
          <w:rPr>
            <w:rStyle w:val="Hyperlink"/>
            <w:color w:val="000000" w:themeColor="text1"/>
          </w:rPr>
          <w:t>vidence</w:t>
        </w:r>
        <w:r w:rsidR="004730F0" w:rsidRPr="00B40A77">
          <w:rPr>
            <w:rStyle w:val="Hyperlink"/>
            <w:color w:val="000000" w:themeColor="text1"/>
          </w:rPr>
          <w:t xml:space="preserve"> pursuant to </w:t>
        </w:r>
        <w:r w:rsidR="006248C6" w:rsidRPr="00B40A77">
          <w:rPr>
            <w:rStyle w:val="Hyperlink"/>
            <w:color w:val="000000" w:themeColor="text1"/>
          </w:rPr>
          <w:t>O</w:t>
        </w:r>
        <w:r w:rsidR="004730F0" w:rsidRPr="00B40A77">
          <w:rPr>
            <w:rStyle w:val="Hyperlink"/>
            <w:color w:val="000000" w:themeColor="text1"/>
          </w:rPr>
          <w:t>rder</w:t>
        </w:r>
        <w:r w:rsidR="006248C6" w:rsidRPr="00B40A77">
          <w:rPr>
            <w:rStyle w:val="Hyperlink"/>
            <w:color w:val="000000" w:themeColor="text1"/>
          </w:rPr>
          <w:t xml:space="preserve"> (Lower Courts)</w:t>
        </w:r>
      </w:hyperlink>
    </w:p>
    <w:p w14:paraId="5A2C2515" w14:textId="280BC773" w:rsidR="00883CCE" w:rsidRPr="00B40A77" w:rsidRDefault="00883CCE" w:rsidP="00C5770A">
      <w:pPr>
        <w:pStyle w:val="NoteHeader"/>
        <w:keepNext/>
        <w:rPr>
          <w:color w:val="000000" w:themeColor="text1"/>
        </w:rPr>
      </w:pPr>
      <w:r w:rsidRPr="00B40A77">
        <w:rPr>
          <w:color w:val="000000" w:themeColor="text1"/>
        </w:rPr>
        <w:t>Note—</w:t>
      </w:r>
    </w:p>
    <w:p w14:paraId="7836542D" w14:textId="37F1342A" w:rsidR="00883CCE" w:rsidRPr="00B40A77" w:rsidRDefault="00883CCE" w:rsidP="009C21A6">
      <w:pPr>
        <w:pStyle w:val="NoteText"/>
        <w:rPr>
          <w:color w:val="000000" w:themeColor="text1"/>
        </w:rPr>
      </w:pPr>
      <w:r w:rsidRPr="00B40A77">
        <w:rPr>
          <w:color w:val="000000" w:themeColor="text1"/>
        </w:rPr>
        <w:t xml:space="preserve">Section 134(3) </w:t>
      </w:r>
      <w:r w:rsidRPr="00B40A77">
        <w:rPr>
          <w:color w:val="000000" w:themeColor="text1"/>
          <w:lang w:val="en-US"/>
        </w:rPr>
        <w:t xml:space="preserve">of the Procedure Act </w:t>
      </w:r>
      <w:r w:rsidRPr="00B40A77">
        <w:rPr>
          <w:color w:val="000000" w:themeColor="text1"/>
        </w:rPr>
        <w:t>provides that non-compliance with a requirement under subsection (1) does not render evidence inadmissible</w:t>
      </w:r>
      <w:r w:rsidR="007D1D12" w:rsidRPr="00B40A77">
        <w:rPr>
          <w:color w:val="000000" w:themeColor="text1"/>
        </w:rPr>
        <w:t>,</w:t>
      </w:r>
      <w:r w:rsidRPr="00B40A77">
        <w:rPr>
          <w:color w:val="000000" w:themeColor="text1"/>
        </w:rPr>
        <w:t xml:space="preserve"> but the prosecutor or the </w:t>
      </w:r>
      <w:r w:rsidR="004C0256" w:rsidRPr="00B40A77">
        <w:rPr>
          <w:color w:val="000000" w:themeColor="text1"/>
        </w:rPr>
        <w:t>J</w:t>
      </w:r>
      <w:r w:rsidRPr="00B40A77">
        <w:rPr>
          <w:color w:val="000000" w:themeColor="text1"/>
        </w:rPr>
        <w:t>udge (or both) may comment on the non-compliance.</w:t>
      </w:r>
    </w:p>
    <w:p w14:paraId="1F916ECE" w14:textId="59713F07" w:rsidR="00DB638D" w:rsidRPr="00B40A77" w:rsidRDefault="00883CCE" w:rsidP="00DB638D">
      <w:pPr>
        <w:pStyle w:val="Hangindent"/>
        <w:rPr>
          <w:color w:val="000000" w:themeColor="text1"/>
          <w:lang w:val="en-US"/>
        </w:rPr>
      </w:pPr>
      <w:r w:rsidRPr="00B40A77">
        <w:rPr>
          <w:color w:val="000000" w:themeColor="text1"/>
          <w:lang w:val="en-US"/>
        </w:rPr>
        <w:t>(3</w:t>
      </w:r>
      <w:r w:rsidR="00DB638D" w:rsidRPr="00B40A77">
        <w:rPr>
          <w:color w:val="000000" w:themeColor="text1"/>
          <w:lang w:val="en-US"/>
        </w:rPr>
        <w:t>)</w:t>
      </w:r>
      <w:r w:rsidR="00DB638D" w:rsidRPr="00B40A77">
        <w:rPr>
          <w:color w:val="000000" w:themeColor="text1"/>
          <w:lang w:val="en-US"/>
        </w:rPr>
        <w:tab/>
        <w:t>The Court may only make an order under this rule if satisfied that the prosecution has no existing, but unfulfilled, obligations of disclosure to the defence.</w:t>
      </w:r>
    </w:p>
    <w:p w14:paraId="3857C3DF" w14:textId="41C0C830" w:rsidR="00DB638D" w:rsidRPr="00B40A77" w:rsidRDefault="009C17D8" w:rsidP="00DB638D">
      <w:pPr>
        <w:pStyle w:val="Hangindent"/>
        <w:rPr>
          <w:color w:val="000000" w:themeColor="text1"/>
          <w:lang w:val="en-US"/>
        </w:rPr>
      </w:pPr>
      <w:r w:rsidRPr="00B40A77">
        <w:rPr>
          <w:color w:val="000000" w:themeColor="text1"/>
          <w:lang w:val="en-US"/>
        </w:rPr>
        <w:t>(</w:t>
      </w:r>
      <w:r w:rsidR="00883CCE" w:rsidRPr="00B40A77">
        <w:rPr>
          <w:color w:val="000000" w:themeColor="text1"/>
          <w:lang w:val="en-US"/>
        </w:rPr>
        <w:t>4</w:t>
      </w:r>
      <w:r w:rsidRPr="00B40A77">
        <w:rPr>
          <w:color w:val="000000" w:themeColor="text1"/>
          <w:lang w:val="en-US"/>
        </w:rPr>
        <w:t>)</w:t>
      </w:r>
      <w:r w:rsidRPr="00B40A77">
        <w:rPr>
          <w:color w:val="000000" w:themeColor="text1"/>
          <w:lang w:val="en-US"/>
        </w:rPr>
        <w:tab/>
        <w:t xml:space="preserve">An application </w:t>
      </w:r>
      <w:r w:rsidR="00DB638D" w:rsidRPr="00B40A77">
        <w:rPr>
          <w:color w:val="000000" w:themeColor="text1"/>
          <w:lang w:val="en-US"/>
        </w:rPr>
        <w:t xml:space="preserve">for an order under this rule </w:t>
      </w:r>
      <w:r w:rsidRPr="00B40A77">
        <w:rPr>
          <w:color w:val="000000" w:themeColor="text1"/>
          <w:lang w:val="en-US"/>
        </w:rPr>
        <w:t>must be</w:t>
      </w:r>
      <w:r w:rsidR="00DB638D" w:rsidRPr="00B40A77">
        <w:rPr>
          <w:color w:val="000000" w:themeColor="text1"/>
          <w:lang w:val="en-US"/>
        </w:rPr>
        <w:t>—</w:t>
      </w:r>
    </w:p>
    <w:p w14:paraId="1A02084C" w14:textId="6BB117BB" w:rsidR="00DB638D" w:rsidRPr="00B40A77" w:rsidRDefault="00DB638D" w:rsidP="00DB638D">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supported by an affidavit deposing to the basis of the application and to </w:t>
      </w:r>
      <w:r w:rsidR="00F13EE1" w:rsidRPr="00B40A77">
        <w:rPr>
          <w:color w:val="000000" w:themeColor="text1"/>
          <w:lang w:val="en-US"/>
        </w:rPr>
        <w:t>the fact that the prosecution has no existing, but unfulfilled, obligations of disclosure to the defence</w:t>
      </w:r>
      <w:r w:rsidRPr="00B40A77">
        <w:rPr>
          <w:color w:val="000000" w:themeColor="text1"/>
          <w:lang w:val="en-US"/>
        </w:rPr>
        <w:t>;</w:t>
      </w:r>
      <w:r w:rsidR="00F13EE1" w:rsidRPr="00B40A77">
        <w:rPr>
          <w:color w:val="000000" w:themeColor="text1"/>
          <w:lang w:val="en-US"/>
        </w:rPr>
        <w:t xml:space="preserve"> and</w:t>
      </w:r>
    </w:p>
    <w:p w14:paraId="5EAFD375" w14:textId="2A3B112B" w:rsidR="009C17D8" w:rsidRPr="00B40A77" w:rsidRDefault="00E11F86" w:rsidP="00F13EE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9C17D8" w:rsidRPr="00B40A77">
        <w:rPr>
          <w:color w:val="000000" w:themeColor="text1"/>
          <w:lang w:val="en-US"/>
        </w:rPr>
        <w:t xml:space="preserve">filed and served at least 28 days before the </w:t>
      </w:r>
      <w:hyperlink w:anchor="_2.1—Definitions" w:history="1">
        <w:r w:rsidR="004740A2" w:rsidRPr="00B40A77">
          <w:rPr>
            <w:rStyle w:val="Hyperlink"/>
            <w:color w:val="000000" w:themeColor="text1"/>
          </w:rPr>
          <w:t>trial date</w:t>
        </w:r>
      </w:hyperlink>
      <w:r w:rsidR="009C17D8" w:rsidRPr="00B40A77">
        <w:rPr>
          <w:color w:val="000000" w:themeColor="text1"/>
          <w:lang w:val="en-US"/>
        </w:rPr>
        <w:t>.</w:t>
      </w:r>
    </w:p>
    <w:p w14:paraId="1A50225F" w14:textId="1BCCB47A" w:rsidR="009C17D8" w:rsidRPr="00B40A77" w:rsidRDefault="009C17D8" w:rsidP="009C17D8">
      <w:pPr>
        <w:pStyle w:val="Hangindent"/>
        <w:rPr>
          <w:color w:val="000000" w:themeColor="text1"/>
          <w:lang w:val="en-US"/>
        </w:rPr>
      </w:pPr>
      <w:r w:rsidRPr="00B40A77">
        <w:rPr>
          <w:color w:val="000000" w:themeColor="text1"/>
          <w:lang w:val="en-US"/>
        </w:rPr>
        <w:t>(</w:t>
      </w:r>
      <w:r w:rsidR="00883CCE" w:rsidRPr="00B40A77">
        <w:rPr>
          <w:color w:val="000000" w:themeColor="text1"/>
          <w:lang w:val="en-US"/>
        </w:rPr>
        <w:t>5</w:t>
      </w:r>
      <w:r w:rsidRPr="00B40A77">
        <w:rPr>
          <w:color w:val="000000" w:themeColor="text1"/>
          <w:lang w:val="en-US"/>
        </w:rPr>
        <w:t>)</w:t>
      </w:r>
      <w:r w:rsidRPr="00B40A77">
        <w:rPr>
          <w:color w:val="000000" w:themeColor="text1"/>
          <w:lang w:val="en-US"/>
        </w:rPr>
        <w:tab/>
        <w:t xml:space="preserve">In this rule, </w:t>
      </w:r>
      <w:r w:rsidRPr="00B40A77">
        <w:rPr>
          <w:b/>
          <w:i/>
          <w:color w:val="000000" w:themeColor="text1"/>
          <w:lang w:val="en-US"/>
        </w:rPr>
        <w:t>prescribed matter</w:t>
      </w:r>
      <w:r w:rsidRPr="00B40A77">
        <w:rPr>
          <w:color w:val="000000" w:themeColor="text1"/>
          <w:lang w:val="en-US"/>
        </w:rPr>
        <w:t xml:space="preserve"> means one or more of the following—</w:t>
      </w:r>
    </w:p>
    <w:p w14:paraId="0F435B73" w14:textId="370E58FE" w:rsidR="009C17D8" w:rsidRPr="00B40A77" w:rsidRDefault="009C17D8" w:rsidP="009C17D8">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whether the defendant was </w:t>
      </w:r>
      <w:hyperlink w:anchor="_2.1—Definitions" w:history="1">
        <w:r w:rsidR="005A680E" w:rsidRPr="00B40A77">
          <w:rPr>
            <w:rStyle w:val="Hyperlink"/>
            <w:color w:val="000000" w:themeColor="text1"/>
            <w:lang w:val="en-US"/>
          </w:rPr>
          <w:t>mentally incompetent</w:t>
        </w:r>
      </w:hyperlink>
      <w:r w:rsidRPr="00B40A77">
        <w:rPr>
          <w:color w:val="000000" w:themeColor="text1"/>
          <w:lang w:val="en-US"/>
        </w:rPr>
        <w:t xml:space="preserve"> to commit the alleged offence;</w:t>
      </w:r>
    </w:p>
    <w:p w14:paraId="26180273" w14:textId="3C78CEDB" w:rsidR="009C17D8" w:rsidRPr="00B40A77" w:rsidRDefault="009C17D8" w:rsidP="009C17D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whether the defendant is </w:t>
      </w:r>
      <w:hyperlink w:anchor="_2.1—Definitions" w:history="1">
        <w:r w:rsidR="00E9233A" w:rsidRPr="00B40A77">
          <w:rPr>
            <w:rStyle w:val="Hyperlink"/>
            <w:color w:val="000000" w:themeColor="text1"/>
            <w:lang w:val="en-US"/>
          </w:rPr>
          <w:t>unfit to stand trial</w:t>
        </w:r>
      </w:hyperlink>
      <w:r w:rsidRPr="00B40A77">
        <w:rPr>
          <w:color w:val="000000" w:themeColor="text1"/>
          <w:lang w:val="en-US"/>
        </w:rPr>
        <w:t>;</w:t>
      </w:r>
    </w:p>
    <w:p w14:paraId="0222CE0C" w14:textId="77777777" w:rsidR="009C17D8" w:rsidRPr="00B40A77" w:rsidRDefault="009C17D8" w:rsidP="009C17D8">
      <w:pPr>
        <w:pStyle w:val="Doublehangindent"/>
        <w:rPr>
          <w:color w:val="000000" w:themeColor="text1"/>
          <w:lang w:val="en-US"/>
        </w:rPr>
      </w:pPr>
      <w:r w:rsidRPr="00B40A77">
        <w:rPr>
          <w:color w:val="000000" w:themeColor="text1"/>
          <w:lang w:val="en-US"/>
        </w:rPr>
        <w:t>(c)</w:t>
      </w:r>
      <w:r w:rsidRPr="00B40A77">
        <w:rPr>
          <w:color w:val="000000" w:themeColor="text1"/>
          <w:lang w:val="en-US"/>
        </w:rPr>
        <w:tab/>
        <w:t>whether the defendant acted for a defensive purpose;</w:t>
      </w:r>
    </w:p>
    <w:p w14:paraId="0C4754CA" w14:textId="77777777" w:rsidR="009C17D8" w:rsidRPr="00B40A77" w:rsidRDefault="009C17D8" w:rsidP="009C17D8">
      <w:pPr>
        <w:pStyle w:val="Doublehangindent"/>
        <w:rPr>
          <w:color w:val="000000" w:themeColor="text1"/>
          <w:lang w:val="en-US"/>
        </w:rPr>
      </w:pPr>
      <w:r w:rsidRPr="00B40A77">
        <w:rPr>
          <w:color w:val="000000" w:themeColor="text1"/>
          <w:lang w:val="en-US"/>
        </w:rPr>
        <w:t>(d)</w:t>
      </w:r>
      <w:r w:rsidRPr="00B40A77">
        <w:rPr>
          <w:color w:val="000000" w:themeColor="text1"/>
          <w:lang w:val="en-US"/>
        </w:rPr>
        <w:tab/>
        <w:t>whether the defendant acted under provocation;</w:t>
      </w:r>
    </w:p>
    <w:p w14:paraId="278C863B" w14:textId="77777777" w:rsidR="009C17D8" w:rsidRPr="00B40A77" w:rsidRDefault="009C17D8" w:rsidP="009C17D8">
      <w:pPr>
        <w:pStyle w:val="Doublehangindent"/>
        <w:rPr>
          <w:color w:val="000000" w:themeColor="text1"/>
          <w:lang w:val="en-US"/>
        </w:rPr>
      </w:pPr>
      <w:r w:rsidRPr="00B40A77">
        <w:rPr>
          <w:color w:val="000000" w:themeColor="text1"/>
          <w:lang w:val="en-US"/>
        </w:rPr>
        <w:t>(e)</w:t>
      </w:r>
      <w:r w:rsidRPr="00B40A77">
        <w:rPr>
          <w:color w:val="000000" w:themeColor="text1"/>
          <w:lang w:val="en-US"/>
        </w:rPr>
        <w:tab/>
        <w:t>whether the defendant acted under automatism;</w:t>
      </w:r>
    </w:p>
    <w:p w14:paraId="55063C6C" w14:textId="77777777" w:rsidR="009C17D8" w:rsidRPr="00B40A77" w:rsidRDefault="009C17D8" w:rsidP="009C17D8">
      <w:pPr>
        <w:pStyle w:val="Doublehangindent"/>
        <w:rPr>
          <w:color w:val="000000" w:themeColor="text1"/>
          <w:lang w:val="en-US"/>
        </w:rPr>
      </w:pPr>
      <w:r w:rsidRPr="00B40A77">
        <w:rPr>
          <w:color w:val="000000" w:themeColor="text1"/>
          <w:lang w:val="en-US"/>
        </w:rPr>
        <w:t>(f)</w:t>
      </w:r>
      <w:r w:rsidRPr="00B40A77">
        <w:rPr>
          <w:color w:val="000000" w:themeColor="text1"/>
          <w:lang w:val="en-US"/>
        </w:rPr>
        <w:tab/>
        <w:t>whether the alleged offence occurred by accident;</w:t>
      </w:r>
    </w:p>
    <w:p w14:paraId="6B48D243" w14:textId="79EE8B5B" w:rsidR="009C17D8" w:rsidRPr="00B40A77" w:rsidRDefault="009C17D8" w:rsidP="009C17D8">
      <w:pPr>
        <w:pStyle w:val="Doublehangindent"/>
        <w:rPr>
          <w:color w:val="000000" w:themeColor="text1"/>
          <w:lang w:val="en-US"/>
        </w:rPr>
      </w:pPr>
      <w:r w:rsidRPr="00B40A77">
        <w:rPr>
          <w:color w:val="000000" w:themeColor="text1"/>
          <w:lang w:val="en-US"/>
        </w:rPr>
        <w:t>(g)</w:t>
      </w:r>
      <w:r w:rsidRPr="00B40A77">
        <w:rPr>
          <w:color w:val="000000" w:themeColor="text1"/>
          <w:lang w:val="en-US"/>
        </w:rPr>
        <w:tab/>
        <w:t xml:space="preserve">whether the defendant acted </w:t>
      </w:r>
      <w:r w:rsidR="00465036" w:rsidRPr="00B40A77">
        <w:rPr>
          <w:color w:val="000000" w:themeColor="text1"/>
          <w:lang w:val="en-US"/>
        </w:rPr>
        <w:t xml:space="preserve">out of </w:t>
      </w:r>
      <w:r w:rsidRPr="00B40A77">
        <w:rPr>
          <w:color w:val="000000" w:themeColor="text1"/>
          <w:lang w:val="en-US"/>
        </w:rPr>
        <w:t>necessity;</w:t>
      </w:r>
    </w:p>
    <w:p w14:paraId="63B74062" w14:textId="77777777" w:rsidR="009C17D8" w:rsidRPr="00B40A77" w:rsidRDefault="009C17D8" w:rsidP="009C17D8">
      <w:pPr>
        <w:pStyle w:val="Doublehangindent"/>
        <w:rPr>
          <w:color w:val="000000" w:themeColor="text1"/>
          <w:lang w:val="en-US"/>
        </w:rPr>
      </w:pPr>
      <w:r w:rsidRPr="00B40A77">
        <w:rPr>
          <w:color w:val="000000" w:themeColor="text1"/>
          <w:lang w:val="en-US"/>
        </w:rPr>
        <w:t>(h)</w:t>
      </w:r>
      <w:r w:rsidRPr="00B40A77">
        <w:rPr>
          <w:color w:val="000000" w:themeColor="text1"/>
          <w:lang w:val="en-US"/>
        </w:rPr>
        <w:tab/>
        <w:t>whether the defendant acted under duress;</w:t>
      </w:r>
    </w:p>
    <w:p w14:paraId="082DED1C" w14:textId="77777777" w:rsidR="009C17D8" w:rsidRPr="00B40A77" w:rsidRDefault="009C17D8" w:rsidP="009C17D8">
      <w:pPr>
        <w:pStyle w:val="Doublehangindent"/>
        <w:rPr>
          <w:color w:val="000000" w:themeColor="text1"/>
          <w:lang w:val="en-US"/>
        </w:rPr>
      </w:pPr>
      <w:r w:rsidRPr="00B40A77">
        <w:rPr>
          <w:color w:val="000000" w:themeColor="text1"/>
          <w:lang w:val="en-US"/>
        </w:rPr>
        <w:t>(i)</w:t>
      </w:r>
      <w:r w:rsidRPr="00B40A77">
        <w:rPr>
          <w:color w:val="000000" w:themeColor="text1"/>
          <w:lang w:val="en-US"/>
        </w:rPr>
        <w:tab/>
        <w:t>whether the defendant acted under a claim of right;</w:t>
      </w:r>
    </w:p>
    <w:p w14:paraId="64EE0829" w14:textId="77777777" w:rsidR="009C17D8" w:rsidRPr="00B40A77" w:rsidRDefault="009C17D8" w:rsidP="009C17D8">
      <w:pPr>
        <w:pStyle w:val="Doublehangindent"/>
        <w:rPr>
          <w:color w:val="000000" w:themeColor="text1"/>
          <w:lang w:val="en-US"/>
        </w:rPr>
      </w:pPr>
      <w:r w:rsidRPr="00B40A77">
        <w:rPr>
          <w:color w:val="000000" w:themeColor="text1"/>
          <w:lang w:val="en-US"/>
        </w:rPr>
        <w:t>(j)</w:t>
      </w:r>
      <w:r w:rsidRPr="00B40A77">
        <w:rPr>
          <w:color w:val="000000" w:themeColor="text1"/>
          <w:lang w:val="en-US"/>
        </w:rPr>
        <w:tab/>
        <w:t>whether the defendant acted under intoxication.</w:t>
      </w:r>
    </w:p>
    <w:p w14:paraId="1ABC078E" w14:textId="17347A66" w:rsidR="009C17D8" w:rsidRPr="00B40A77" w:rsidRDefault="009C17D8" w:rsidP="00037437">
      <w:pPr>
        <w:pStyle w:val="Hangindent"/>
        <w:keepNext/>
        <w:rPr>
          <w:color w:val="000000" w:themeColor="text1"/>
          <w:lang w:val="en-US"/>
        </w:rPr>
      </w:pPr>
      <w:r w:rsidRPr="00B40A77">
        <w:rPr>
          <w:color w:val="000000" w:themeColor="text1"/>
          <w:lang w:val="en-US"/>
        </w:rPr>
        <w:t>(</w:t>
      </w:r>
      <w:r w:rsidR="00883CCE" w:rsidRPr="00B40A77">
        <w:rPr>
          <w:color w:val="000000" w:themeColor="text1"/>
          <w:lang w:val="en-US"/>
        </w:rPr>
        <w:t>6</w:t>
      </w:r>
      <w:r w:rsidRPr="00B40A77">
        <w:rPr>
          <w:color w:val="000000" w:themeColor="text1"/>
          <w:lang w:val="en-US"/>
        </w:rPr>
        <w:t>)</w:t>
      </w:r>
      <w:r w:rsidRPr="00B40A77">
        <w:rPr>
          <w:color w:val="000000" w:themeColor="text1"/>
          <w:lang w:val="en-US"/>
        </w:rPr>
        <w:tab/>
        <w:t xml:space="preserve">The written record of an order </w:t>
      </w:r>
      <w:r w:rsidR="00ED134F" w:rsidRPr="00B40A77">
        <w:rPr>
          <w:color w:val="000000" w:themeColor="text1"/>
          <w:lang w:val="en-US"/>
        </w:rPr>
        <w:t>requiring the parties</w:t>
      </w:r>
      <w:r w:rsidRPr="00B40A77">
        <w:rPr>
          <w:color w:val="000000" w:themeColor="text1"/>
          <w:lang w:val="en-US"/>
        </w:rPr>
        <w:t xml:space="preserve"> to give notice of intention to adduce evidence in relation to a </w:t>
      </w:r>
      <w:r w:rsidRPr="00B40A77">
        <w:rPr>
          <w:color w:val="000000" w:themeColor="text1"/>
          <w:u w:val="single"/>
          <w:lang w:val="en-US"/>
        </w:rPr>
        <w:t>prescribed matter</w:t>
      </w:r>
      <w:r w:rsidRPr="00B40A77">
        <w:rPr>
          <w:color w:val="000000" w:themeColor="text1"/>
          <w:lang w:val="en-US"/>
        </w:rPr>
        <w:t xml:space="preserve"> must be in the prescribed form.</w:t>
      </w:r>
    </w:p>
    <w:p w14:paraId="3A7A9353" w14:textId="1F0B4C4F" w:rsidR="009C17D8" w:rsidRPr="00B40A77" w:rsidRDefault="009C17D8" w:rsidP="00C5770A">
      <w:pPr>
        <w:pStyle w:val="NoteHeader"/>
        <w:keepNext/>
        <w:rPr>
          <w:color w:val="000000" w:themeColor="text1"/>
        </w:rPr>
      </w:pPr>
      <w:r w:rsidRPr="00B40A77">
        <w:rPr>
          <w:color w:val="000000" w:themeColor="text1"/>
        </w:rPr>
        <w:t>Prescribed form—</w:t>
      </w:r>
    </w:p>
    <w:p w14:paraId="0B72AE99" w14:textId="01A48573" w:rsidR="009C17D8" w:rsidRPr="00B40A77" w:rsidRDefault="009C17D8" w:rsidP="009C17D8">
      <w:pPr>
        <w:pStyle w:val="NoteText"/>
        <w:rPr>
          <w:color w:val="000000" w:themeColor="text1"/>
        </w:rPr>
      </w:pPr>
      <w:r w:rsidRPr="00B40A77">
        <w:rPr>
          <w:color w:val="000000" w:themeColor="text1"/>
        </w:rPr>
        <w:t xml:space="preserve">Form 99 </w:t>
      </w:r>
      <w:hyperlink r:id="rId160" w:history="1">
        <w:r w:rsidRPr="00B40A77">
          <w:rPr>
            <w:rStyle w:val="Hyperlink"/>
            <w:color w:val="000000" w:themeColor="text1"/>
          </w:rPr>
          <w:t>Record of Outcome</w:t>
        </w:r>
        <w:r w:rsidR="00964582" w:rsidRPr="00B40A77">
          <w:rPr>
            <w:rStyle w:val="Hyperlink"/>
            <w:color w:val="000000" w:themeColor="text1"/>
          </w:rPr>
          <w:t xml:space="preserve"> – Order</w:t>
        </w:r>
      </w:hyperlink>
    </w:p>
    <w:p w14:paraId="776CCC4E" w14:textId="0ED10315" w:rsidR="009332FC" w:rsidRPr="00B40A77" w:rsidRDefault="0008072C" w:rsidP="00BE23A0">
      <w:pPr>
        <w:pStyle w:val="Heading2"/>
        <w:keepNext/>
        <w:rPr>
          <w:color w:val="000000" w:themeColor="text1"/>
        </w:rPr>
      </w:pPr>
      <w:bookmarkStart w:id="570" w:name="_Part_9—Pre-trial_conferral"/>
      <w:bookmarkStart w:id="571" w:name="_Toc175239018"/>
      <w:bookmarkEnd w:id="570"/>
      <w:r w:rsidRPr="00B40A77">
        <w:rPr>
          <w:color w:val="000000" w:themeColor="text1"/>
        </w:rPr>
        <w:t>Part 9</w:t>
      </w:r>
      <w:r w:rsidR="009332FC" w:rsidRPr="00B40A77">
        <w:rPr>
          <w:color w:val="000000" w:themeColor="text1"/>
        </w:rPr>
        <w:t>—</w:t>
      </w:r>
      <w:r w:rsidR="00990626" w:rsidRPr="00B40A77">
        <w:rPr>
          <w:color w:val="000000" w:themeColor="text1"/>
        </w:rPr>
        <w:t xml:space="preserve">Pre-trial </w:t>
      </w:r>
      <w:r w:rsidR="002F672E" w:rsidRPr="00B40A77">
        <w:rPr>
          <w:color w:val="000000" w:themeColor="text1"/>
        </w:rPr>
        <w:t>conferral</w:t>
      </w:r>
      <w:r w:rsidR="003D5976" w:rsidRPr="00B40A77">
        <w:rPr>
          <w:color w:val="000000" w:themeColor="text1"/>
        </w:rPr>
        <w:t xml:space="preserve"> and listing for trial</w:t>
      </w:r>
      <w:bookmarkEnd w:id="571"/>
    </w:p>
    <w:p w14:paraId="67C97D01" w14:textId="455E1059" w:rsidR="00AC5B92" w:rsidRPr="00B40A77" w:rsidRDefault="0086379E" w:rsidP="00AC5B92">
      <w:pPr>
        <w:pStyle w:val="Heading4"/>
        <w:rPr>
          <w:color w:val="000000" w:themeColor="text1"/>
        </w:rPr>
      </w:pPr>
      <w:bookmarkStart w:id="572" w:name="_Toc175239019"/>
      <w:r w:rsidRPr="00B40A77">
        <w:rPr>
          <w:color w:val="000000" w:themeColor="text1"/>
        </w:rPr>
        <w:t>76.1—Disclosure by prosecution</w:t>
      </w:r>
      <w:bookmarkEnd w:id="572"/>
    </w:p>
    <w:p w14:paraId="49C3245A" w14:textId="1FA030BF" w:rsidR="0086379E" w:rsidRPr="00B40A77" w:rsidRDefault="00AC5B92" w:rsidP="00AC5B92">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86379E" w:rsidRPr="00B40A77">
        <w:rPr>
          <w:color w:val="000000" w:themeColor="text1"/>
          <w:lang w:val="en-US"/>
        </w:rPr>
        <w:t xml:space="preserve">Unless the Court otherwise orders, the prosecution must have completed all investigations that may result in the preparation of </w:t>
      </w:r>
      <w:hyperlink w:anchor="_2.1—Definitions" w:history="1">
        <w:r w:rsidR="00A26A40" w:rsidRPr="00B40A77">
          <w:rPr>
            <w:rStyle w:val="Hyperlink"/>
            <w:color w:val="000000" w:themeColor="text1"/>
            <w:lang w:val="en-US"/>
          </w:rPr>
          <w:t>evidentiary material</w:t>
        </w:r>
      </w:hyperlink>
      <w:r w:rsidR="0086379E" w:rsidRPr="00B40A77">
        <w:rPr>
          <w:color w:val="000000" w:themeColor="text1"/>
          <w:lang w:val="en-US"/>
        </w:rPr>
        <w:t xml:space="preserve"> in sufficient time to complete disclosure in accordance with subrule</w:t>
      </w:r>
      <w:r w:rsidR="00633420" w:rsidRPr="00B40A77">
        <w:rPr>
          <w:color w:val="000000" w:themeColor="text1"/>
          <w:lang w:val="en-US"/>
        </w:rPr>
        <w:t> </w:t>
      </w:r>
      <w:r w:rsidR="0086379E" w:rsidRPr="00B40A77">
        <w:rPr>
          <w:color w:val="000000" w:themeColor="text1"/>
          <w:lang w:val="en-US"/>
        </w:rPr>
        <w:t>(2).</w:t>
      </w:r>
    </w:p>
    <w:p w14:paraId="37CD7DA9" w14:textId="5F7ACA0E" w:rsidR="00AC5B92" w:rsidRPr="00B40A77" w:rsidRDefault="0086379E" w:rsidP="00AC5B92">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Unless the Court otherwise orders, the prosecution must have completed disclosure in accordance with their obligations by 14 days before the </w:t>
      </w:r>
      <w:hyperlink w:anchor="_2.1—Definitions" w:history="1">
        <w:r w:rsidR="00012B38" w:rsidRPr="00B40A77">
          <w:rPr>
            <w:rStyle w:val="Hyperlink"/>
            <w:color w:val="000000" w:themeColor="text1"/>
            <w:lang w:val="en-US"/>
          </w:rPr>
          <w:t>pre-trial conference date</w:t>
        </w:r>
      </w:hyperlink>
      <w:r w:rsidRPr="00B40A77">
        <w:rPr>
          <w:color w:val="000000" w:themeColor="text1"/>
          <w:lang w:val="en-US"/>
        </w:rPr>
        <w:t>.</w:t>
      </w:r>
    </w:p>
    <w:p w14:paraId="380AB52B" w14:textId="6EB06F61" w:rsidR="00C97377" w:rsidRPr="00B40A77" w:rsidRDefault="000C09EA" w:rsidP="00C97377">
      <w:pPr>
        <w:pStyle w:val="Heading4"/>
        <w:rPr>
          <w:color w:val="000000" w:themeColor="text1"/>
        </w:rPr>
      </w:pPr>
      <w:bookmarkStart w:id="573" w:name="_Toc175239020"/>
      <w:r w:rsidRPr="00B40A77">
        <w:rPr>
          <w:color w:val="000000" w:themeColor="text1"/>
        </w:rPr>
        <w:t>7</w:t>
      </w:r>
      <w:r w:rsidR="00886D6B" w:rsidRPr="00B40A77">
        <w:rPr>
          <w:color w:val="000000" w:themeColor="text1"/>
        </w:rPr>
        <w:t>6</w:t>
      </w:r>
      <w:r w:rsidR="003D5976" w:rsidRPr="00B40A77">
        <w:rPr>
          <w:color w:val="000000" w:themeColor="text1"/>
        </w:rPr>
        <w:t>.</w:t>
      </w:r>
      <w:r w:rsidR="00AC5B92" w:rsidRPr="00B40A77">
        <w:rPr>
          <w:color w:val="000000" w:themeColor="text1"/>
        </w:rPr>
        <w:t>2</w:t>
      </w:r>
      <w:r w:rsidR="00C97377" w:rsidRPr="00B40A77">
        <w:rPr>
          <w:color w:val="000000" w:themeColor="text1"/>
        </w:rPr>
        <w:t>—Conferral by parties</w:t>
      </w:r>
      <w:bookmarkEnd w:id="573"/>
    </w:p>
    <w:p w14:paraId="086B6B7C" w14:textId="04A6690C" w:rsidR="002A6172" w:rsidRPr="00B40A77" w:rsidRDefault="002A6172" w:rsidP="002A617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parties must before the </w:t>
      </w:r>
      <w:hyperlink w:anchor="_2.1—Definitions" w:history="1">
        <w:r w:rsidR="00012B38" w:rsidRPr="00B40A77">
          <w:rPr>
            <w:rStyle w:val="Hyperlink"/>
            <w:color w:val="000000" w:themeColor="text1"/>
            <w:lang w:val="en-US"/>
          </w:rPr>
          <w:t>pre-trial conference date</w:t>
        </w:r>
      </w:hyperlink>
      <w:r w:rsidR="00487F6B" w:rsidRPr="00B40A77">
        <w:rPr>
          <w:color w:val="000000" w:themeColor="text1"/>
          <w:lang w:val="en-US"/>
        </w:rPr>
        <w:t xml:space="preserve"> </w:t>
      </w:r>
      <w:r w:rsidRPr="00B40A77">
        <w:rPr>
          <w:color w:val="000000" w:themeColor="text1"/>
          <w:lang w:val="en-US"/>
        </w:rPr>
        <w:t>have conferred fully and frankly for the purpose of ascertaining the precise matters in issue as to detailed facts and law.</w:t>
      </w:r>
    </w:p>
    <w:p w14:paraId="1AF17B39" w14:textId="5565B18A" w:rsidR="002A6172" w:rsidRPr="00B40A77" w:rsidRDefault="002A6172" w:rsidP="002A6172">
      <w:pPr>
        <w:pStyle w:val="Hangindent"/>
        <w:rPr>
          <w:color w:val="000000" w:themeColor="text1"/>
          <w:lang w:val="en-US"/>
        </w:rPr>
      </w:pPr>
      <w:r w:rsidRPr="00B40A77">
        <w:rPr>
          <w:color w:val="000000" w:themeColor="text1"/>
          <w:lang w:val="en-US"/>
        </w:rPr>
        <w:t>(2)</w:t>
      </w:r>
      <w:r w:rsidRPr="00B40A77">
        <w:rPr>
          <w:color w:val="000000" w:themeColor="text1"/>
          <w:lang w:val="en-US"/>
        </w:rPr>
        <w:tab/>
        <w:t>The conferral must be such as to—</w:t>
      </w:r>
    </w:p>
    <w:p w14:paraId="0BB0190D" w14:textId="7F18A701" w:rsidR="002A6172" w:rsidRPr="00B40A77" w:rsidRDefault="002A6172" w:rsidP="002A6172">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explore fully the possibility of disposing of the proceeding or a charge other than by way of </w:t>
      </w:r>
      <w:hyperlink w:anchor="_2.1—Definitions" w:history="1">
        <w:r w:rsidR="00AB0539" w:rsidRPr="00B40A77">
          <w:rPr>
            <w:rStyle w:val="Hyperlink"/>
            <w:color w:val="000000" w:themeColor="text1"/>
            <w:lang w:val="en-US"/>
          </w:rPr>
          <w:t>trial</w:t>
        </w:r>
      </w:hyperlink>
      <w:r w:rsidR="00206146" w:rsidRPr="00B40A77">
        <w:rPr>
          <w:color w:val="000000" w:themeColor="text1"/>
          <w:lang w:val="en-US"/>
        </w:rPr>
        <w:t xml:space="preserve"> or </w:t>
      </w:r>
      <w:r w:rsidR="00BB045C" w:rsidRPr="00B40A77">
        <w:rPr>
          <w:color w:val="000000" w:themeColor="text1"/>
          <w:lang w:val="en-US"/>
        </w:rPr>
        <w:t>to</w:t>
      </w:r>
      <w:r w:rsidR="00206146" w:rsidRPr="00B40A77">
        <w:rPr>
          <w:color w:val="000000" w:themeColor="text1"/>
          <w:lang w:val="en-US"/>
        </w:rPr>
        <w:t xml:space="preserve"> narrow the issues</w:t>
      </w:r>
      <w:r w:rsidRPr="00B40A77">
        <w:rPr>
          <w:color w:val="000000" w:themeColor="text1"/>
          <w:lang w:val="en-US"/>
        </w:rPr>
        <w:t>;</w:t>
      </w:r>
    </w:p>
    <w:p w14:paraId="7DBDB7C0" w14:textId="6FCBD3A9" w:rsidR="002A6172" w:rsidRPr="00B40A77" w:rsidRDefault="002A6172" w:rsidP="002A6172">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enable the duration of the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to be estimated as accurately as possible,</w:t>
      </w:r>
    </w:p>
    <w:p w14:paraId="723F2B25" w14:textId="1924665A" w:rsidR="002A6172" w:rsidRPr="00B40A77" w:rsidRDefault="002A6172" w:rsidP="002A6172">
      <w:pPr>
        <w:pStyle w:val="Doublehangindent"/>
        <w:rPr>
          <w:color w:val="000000" w:themeColor="text1"/>
          <w:lang w:val="en-US"/>
        </w:rPr>
      </w:pPr>
      <w:r w:rsidRPr="00B40A77">
        <w:rPr>
          <w:color w:val="000000" w:themeColor="text1"/>
          <w:lang w:val="en-US"/>
        </w:rPr>
        <w:t>(c)</w:t>
      </w:r>
      <w:r w:rsidRPr="00B40A77">
        <w:rPr>
          <w:color w:val="000000" w:themeColor="text1"/>
          <w:lang w:val="en-US"/>
        </w:rPr>
        <w:tab/>
        <w:t>determine what evidence if any may be proved by affidavit; and</w:t>
      </w:r>
    </w:p>
    <w:p w14:paraId="7C6727F1" w14:textId="7983F5CC" w:rsidR="002A6172" w:rsidRPr="00B40A77" w:rsidRDefault="002A6172" w:rsidP="002A6172">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facilitate the course of the </w:t>
      </w:r>
      <w:hyperlink w:anchor="_2.1—Definitions" w:history="1">
        <w:r w:rsidR="00AB0539" w:rsidRPr="00B40A77">
          <w:rPr>
            <w:rStyle w:val="Hyperlink"/>
            <w:color w:val="000000" w:themeColor="text1"/>
            <w:lang w:val="en-US"/>
          </w:rPr>
          <w:t>trial</w:t>
        </w:r>
      </w:hyperlink>
      <w:r w:rsidRPr="00B40A77">
        <w:rPr>
          <w:color w:val="000000" w:themeColor="text1"/>
          <w:lang w:val="en-US"/>
        </w:rPr>
        <w:t>.</w:t>
      </w:r>
    </w:p>
    <w:p w14:paraId="1C745259" w14:textId="5679999B" w:rsidR="002A6172" w:rsidRPr="00B40A77" w:rsidRDefault="002A6172" w:rsidP="002A6172">
      <w:pPr>
        <w:pStyle w:val="Hangindent"/>
        <w:rPr>
          <w:color w:val="000000" w:themeColor="text1"/>
        </w:rPr>
      </w:pPr>
      <w:r w:rsidRPr="00B40A77">
        <w:rPr>
          <w:color w:val="000000" w:themeColor="text1"/>
          <w:lang w:val="en-US"/>
        </w:rPr>
        <w:t>(3)</w:t>
      </w:r>
      <w:r w:rsidRPr="00B40A77">
        <w:rPr>
          <w:color w:val="000000" w:themeColor="text1"/>
          <w:lang w:val="en-US"/>
        </w:rPr>
        <w:tab/>
        <w:t xml:space="preserve">The parties must </w:t>
      </w:r>
      <w:r w:rsidRPr="00B40A77">
        <w:rPr>
          <w:color w:val="000000" w:themeColor="text1"/>
        </w:rPr>
        <w:t>inform t</w:t>
      </w:r>
      <w:r w:rsidR="00B02E55" w:rsidRPr="00B40A77">
        <w:rPr>
          <w:color w:val="000000" w:themeColor="text1"/>
        </w:rPr>
        <w:t xml:space="preserve">he Court </w:t>
      </w:r>
      <w:r w:rsidR="008817FA" w:rsidRPr="00B40A77">
        <w:rPr>
          <w:color w:val="000000" w:themeColor="text1"/>
        </w:rPr>
        <w:t xml:space="preserve">at </w:t>
      </w:r>
      <w:r w:rsidR="008817FA" w:rsidRPr="00B40A77">
        <w:rPr>
          <w:color w:val="000000" w:themeColor="text1"/>
          <w:lang w:val="en-US"/>
        </w:rPr>
        <w:t xml:space="preserve">the </w:t>
      </w:r>
      <w:hyperlink w:anchor="_2.1—Definitions" w:history="1">
        <w:r w:rsidR="00012B38" w:rsidRPr="00B40A77">
          <w:rPr>
            <w:rStyle w:val="Hyperlink"/>
            <w:color w:val="000000" w:themeColor="text1"/>
            <w:lang w:val="en-US"/>
          </w:rPr>
          <w:t>pre-trial conference</w:t>
        </w:r>
      </w:hyperlink>
      <w:r w:rsidR="008817FA" w:rsidRPr="00B40A77">
        <w:rPr>
          <w:color w:val="000000" w:themeColor="text1"/>
          <w:lang w:val="en-US"/>
        </w:rPr>
        <w:t xml:space="preserve"> </w:t>
      </w:r>
      <w:r w:rsidR="00B02E55" w:rsidRPr="00B40A77">
        <w:rPr>
          <w:color w:val="000000" w:themeColor="text1"/>
        </w:rPr>
        <w:t>as to each of the matters referred to in subrule</w:t>
      </w:r>
      <w:r w:rsidR="00633420" w:rsidRPr="00B40A77">
        <w:rPr>
          <w:color w:val="000000" w:themeColor="text1"/>
        </w:rPr>
        <w:t> </w:t>
      </w:r>
      <w:r w:rsidR="00B02E55" w:rsidRPr="00B40A77">
        <w:rPr>
          <w:color w:val="000000" w:themeColor="text1"/>
        </w:rPr>
        <w:t>(2)</w:t>
      </w:r>
      <w:r w:rsidRPr="00B40A77">
        <w:rPr>
          <w:color w:val="000000" w:themeColor="text1"/>
        </w:rPr>
        <w:t>.</w:t>
      </w:r>
    </w:p>
    <w:p w14:paraId="0F052242" w14:textId="5AFEEA2B" w:rsidR="0061421E" w:rsidRPr="00B40A77" w:rsidRDefault="000C09EA" w:rsidP="0061421E">
      <w:pPr>
        <w:pStyle w:val="Heading4"/>
        <w:rPr>
          <w:color w:val="000000" w:themeColor="text1"/>
        </w:rPr>
      </w:pPr>
      <w:bookmarkStart w:id="574" w:name="_76.3—Pre-trial_conference"/>
      <w:bookmarkStart w:id="575" w:name="_Toc175239021"/>
      <w:bookmarkEnd w:id="574"/>
      <w:r w:rsidRPr="00B40A77">
        <w:rPr>
          <w:color w:val="000000" w:themeColor="text1"/>
        </w:rPr>
        <w:lastRenderedPageBreak/>
        <w:t>7</w:t>
      </w:r>
      <w:r w:rsidR="00257ACB" w:rsidRPr="00B40A77">
        <w:rPr>
          <w:color w:val="000000" w:themeColor="text1"/>
        </w:rPr>
        <w:t>6</w:t>
      </w:r>
      <w:r w:rsidR="003D5976" w:rsidRPr="00B40A77">
        <w:rPr>
          <w:color w:val="000000" w:themeColor="text1"/>
        </w:rPr>
        <w:t>.</w:t>
      </w:r>
      <w:r w:rsidR="00AC5B92" w:rsidRPr="00B40A77">
        <w:rPr>
          <w:color w:val="000000" w:themeColor="text1"/>
        </w:rPr>
        <w:t>3</w:t>
      </w:r>
      <w:r w:rsidR="0061421E" w:rsidRPr="00B40A77">
        <w:rPr>
          <w:color w:val="000000" w:themeColor="text1"/>
        </w:rPr>
        <w:t>—Pre-trial conference</w:t>
      </w:r>
      <w:bookmarkEnd w:id="575"/>
    </w:p>
    <w:p w14:paraId="13640BB0" w14:textId="24D8E560" w:rsidR="0061421E" w:rsidRPr="00B40A77" w:rsidRDefault="0061421E" w:rsidP="0061421E">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order that there be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before the listing of a </w:t>
      </w:r>
      <w:hyperlink w:anchor="_2.1—Definitions" w:history="1">
        <w:r w:rsidR="004740A2" w:rsidRPr="00B40A77">
          <w:rPr>
            <w:rStyle w:val="Hyperlink"/>
            <w:color w:val="000000" w:themeColor="text1"/>
          </w:rPr>
          <w:t>trial date</w:t>
        </w:r>
      </w:hyperlink>
      <w:r w:rsidRPr="00B40A77">
        <w:rPr>
          <w:color w:val="000000" w:themeColor="text1"/>
          <w:lang w:val="en-US"/>
        </w:rPr>
        <w:t xml:space="preserve"> or at any other stage.</w:t>
      </w:r>
    </w:p>
    <w:p w14:paraId="2EB21A3A" w14:textId="2FE45716" w:rsidR="00206146" w:rsidRPr="00B40A77" w:rsidRDefault="0061421E" w:rsidP="00206146">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w:t>
      </w:r>
      <w:r w:rsidR="003A4C4E" w:rsidRPr="00B40A77">
        <w:rPr>
          <w:color w:val="000000" w:themeColor="text1"/>
          <w:lang w:val="en-US"/>
        </w:rPr>
        <w:t xml:space="preserve">principal </w:t>
      </w:r>
      <w:r w:rsidRPr="00B40A77">
        <w:rPr>
          <w:color w:val="000000" w:themeColor="text1"/>
          <w:lang w:val="en-US"/>
        </w:rPr>
        <w:t xml:space="preserve">purpose of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is</w:t>
      </w:r>
      <w:r w:rsidR="00206146" w:rsidRPr="00B40A77">
        <w:rPr>
          <w:color w:val="000000" w:themeColor="text1"/>
          <w:lang w:val="en-US"/>
        </w:rPr>
        <w:t>—</w:t>
      </w:r>
    </w:p>
    <w:p w14:paraId="01A4EAB5" w14:textId="65EDBE35" w:rsidR="00206146" w:rsidRPr="00B40A77" w:rsidRDefault="00206146" w:rsidP="00206146">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571E92" w:rsidRPr="00B40A77">
        <w:rPr>
          <w:color w:val="000000" w:themeColor="text1"/>
          <w:lang w:val="en-US"/>
        </w:rPr>
        <w:t xml:space="preserve">to </w:t>
      </w:r>
      <w:r w:rsidRPr="00B40A77">
        <w:rPr>
          <w:color w:val="000000" w:themeColor="text1"/>
          <w:lang w:val="en-US"/>
        </w:rPr>
        <w:t xml:space="preserve">explore fully the possibility of disposing of the proceeding or a charge other than by way of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or </w:t>
      </w:r>
      <w:r w:rsidR="00BB045C" w:rsidRPr="00B40A77">
        <w:rPr>
          <w:color w:val="000000" w:themeColor="text1"/>
          <w:lang w:val="en-US"/>
        </w:rPr>
        <w:t>to</w:t>
      </w:r>
      <w:r w:rsidRPr="00B40A77">
        <w:rPr>
          <w:color w:val="000000" w:themeColor="text1"/>
          <w:lang w:val="en-US"/>
        </w:rPr>
        <w:t xml:space="preserve"> narrow the issues;</w:t>
      </w:r>
    </w:p>
    <w:p w14:paraId="2ECCC7BE" w14:textId="6CA6E193" w:rsidR="00206146" w:rsidRPr="00B40A77" w:rsidRDefault="00206146" w:rsidP="00206146">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571E92" w:rsidRPr="00B40A77">
        <w:rPr>
          <w:color w:val="000000" w:themeColor="text1"/>
          <w:lang w:val="en-US"/>
        </w:rPr>
        <w:t xml:space="preserve">to </w:t>
      </w:r>
      <w:r w:rsidRPr="00B40A77">
        <w:rPr>
          <w:color w:val="000000" w:themeColor="text1"/>
          <w:lang w:val="en-US"/>
        </w:rPr>
        <w:t xml:space="preserve">enable the duration of the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to be estimated as accurately as possible</w:t>
      </w:r>
      <w:r w:rsidR="00BB045C" w:rsidRPr="00B40A77">
        <w:rPr>
          <w:color w:val="000000" w:themeColor="text1"/>
          <w:lang w:val="en-US"/>
        </w:rPr>
        <w:t>;</w:t>
      </w:r>
    </w:p>
    <w:p w14:paraId="2D978C6E" w14:textId="20A3A57B" w:rsidR="00571E92" w:rsidRPr="00B40A77" w:rsidRDefault="00206146" w:rsidP="00206146">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571E92" w:rsidRPr="00B40A77">
        <w:rPr>
          <w:color w:val="000000" w:themeColor="text1"/>
          <w:lang w:val="en-US"/>
        </w:rPr>
        <w:t xml:space="preserve">to </w:t>
      </w:r>
      <w:r w:rsidRPr="00B40A77">
        <w:rPr>
          <w:color w:val="000000" w:themeColor="text1"/>
          <w:lang w:val="en-US"/>
        </w:rPr>
        <w:t xml:space="preserve">determine what evidence if any may be proved by affidavit; </w:t>
      </w:r>
    </w:p>
    <w:p w14:paraId="4EC9466D" w14:textId="77777777" w:rsidR="00571E92" w:rsidRPr="00B40A77" w:rsidRDefault="00571E92" w:rsidP="00206146">
      <w:pPr>
        <w:pStyle w:val="Doublehangindent"/>
        <w:rPr>
          <w:color w:val="000000" w:themeColor="text1"/>
          <w:lang w:val="en-US"/>
        </w:rPr>
      </w:pPr>
      <w:r w:rsidRPr="00B40A77">
        <w:rPr>
          <w:color w:val="000000" w:themeColor="text1"/>
          <w:lang w:val="en-US"/>
        </w:rPr>
        <w:t>(d)</w:t>
      </w:r>
      <w:r w:rsidRPr="00B40A77">
        <w:rPr>
          <w:color w:val="000000" w:themeColor="text1"/>
          <w:lang w:val="en-US"/>
        </w:rPr>
        <w:tab/>
        <w:t>for the prosecution to identify the witnesses to be called;</w:t>
      </w:r>
    </w:p>
    <w:p w14:paraId="0117A164" w14:textId="49D31CCA" w:rsidR="00206146" w:rsidRPr="00B40A77" w:rsidRDefault="00571E92" w:rsidP="00206146">
      <w:pPr>
        <w:pStyle w:val="Doublehangindent"/>
        <w:rPr>
          <w:color w:val="000000" w:themeColor="text1"/>
          <w:lang w:val="en-US"/>
        </w:rPr>
      </w:pPr>
      <w:r w:rsidRPr="00B40A77">
        <w:rPr>
          <w:color w:val="000000" w:themeColor="text1"/>
          <w:lang w:val="en-US"/>
        </w:rPr>
        <w:t>(e)</w:t>
      </w:r>
      <w:r w:rsidRPr="00B40A77">
        <w:rPr>
          <w:color w:val="000000" w:themeColor="text1"/>
          <w:lang w:val="en-US"/>
        </w:rPr>
        <w:tab/>
        <w:t>for the prosecution to give an assurance that disclosure is complete or, if not, identify wh</w:t>
      </w:r>
      <w:r w:rsidR="008817FA" w:rsidRPr="00B40A77">
        <w:rPr>
          <w:color w:val="000000" w:themeColor="text1"/>
          <w:lang w:val="en-US"/>
        </w:rPr>
        <w:t>a</w:t>
      </w:r>
      <w:r w:rsidRPr="00B40A77">
        <w:rPr>
          <w:color w:val="000000" w:themeColor="text1"/>
          <w:lang w:val="en-US"/>
        </w:rPr>
        <w:t>t is outstanding and when it will be provided to enable orders to be made re</w:t>
      </w:r>
      <w:r w:rsidR="008817FA" w:rsidRPr="00B40A77">
        <w:rPr>
          <w:color w:val="000000" w:themeColor="text1"/>
          <w:lang w:val="en-US"/>
        </w:rPr>
        <w:t>la</w:t>
      </w:r>
      <w:r w:rsidRPr="00B40A77">
        <w:rPr>
          <w:color w:val="000000" w:themeColor="text1"/>
          <w:lang w:val="en-US"/>
        </w:rPr>
        <w:t xml:space="preserve">ting to disclosure; </w:t>
      </w:r>
      <w:r w:rsidR="00206146" w:rsidRPr="00B40A77">
        <w:rPr>
          <w:color w:val="000000" w:themeColor="text1"/>
          <w:lang w:val="en-US"/>
        </w:rPr>
        <w:t>and</w:t>
      </w:r>
    </w:p>
    <w:p w14:paraId="02971E62" w14:textId="5928BAF0" w:rsidR="00206146" w:rsidRPr="00B40A77" w:rsidRDefault="00206146" w:rsidP="00206146">
      <w:pPr>
        <w:pStyle w:val="Doublehangindent"/>
        <w:rPr>
          <w:color w:val="000000" w:themeColor="text1"/>
          <w:lang w:val="en-US"/>
        </w:rPr>
      </w:pPr>
      <w:r w:rsidRPr="00B40A77">
        <w:rPr>
          <w:color w:val="000000" w:themeColor="text1"/>
          <w:lang w:val="en-US"/>
        </w:rPr>
        <w:t>(</w:t>
      </w:r>
      <w:r w:rsidR="00571E92" w:rsidRPr="00B40A77">
        <w:rPr>
          <w:color w:val="000000" w:themeColor="text1"/>
          <w:lang w:val="en-US"/>
        </w:rPr>
        <w:t>f</w:t>
      </w:r>
      <w:r w:rsidRPr="00B40A77">
        <w:rPr>
          <w:color w:val="000000" w:themeColor="text1"/>
          <w:lang w:val="en-US"/>
        </w:rPr>
        <w:t>)</w:t>
      </w:r>
      <w:r w:rsidRPr="00B40A77">
        <w:rPr>
          <w:color w:val="000000" w:themeColor="text1"/>
          <w:lang w:val="en-US"/>
        </w:rPr>
        <w:tab/>
      </w:r>
      <w:r w:rsidR="00571E92" w:rsidRPr="00B40A77">
        <w:rPr>
          <w:color w:val="000000" w:themeColor="text1"/>
          <w:lang w:val="en-US"/>
        </w:rPr>
        <w:t xml:space="preserve">to </w:t>
      </w:r>
      <w:r w:rsidRPr="00B40A77">
        <w:rPr>
          <w:color w:val="000000" w:themeColor="text1"/>
          <w:lang w:val="en-US"/>
        </w:rPr>
        <w:t xml:space="preserve">facilitate the course of the </w:t>
      </w:r>
      <w:hyperlink w:anchor="_2.1—Definitions" w:history="1">
        <w:r w:rsidR="00AB0539" w:rsidRPr="00B40A77">
          <w:rPr>
            <w:rStyle w:val="Hyperlink"/>
            <w:color w:val="000000" w:themeColor="text1"/>
            <w:lang w:val="en-US"/>
          </w:rPr>
          <w:t>trial</w:t>
        </w:r>
      </w:hyperlink>
      <w:r w:rsidRPr="00B40A77">
        <w:rPr>
          <w:color w:val="000000" w:themeColor="text1"/>
          <w:lang w:val="en-US"/>
        </w:rPr>
        <w:t>.</w:t>
      </w:r>
    </w:p>
    <w:p w14:paraId="2F907B73" w14:textId="0A9870D1" w:rsidR="00674682" w:rsidRPr="00B40A77" w:rsidRDefault="00674682" w:rsidP="00674682">
      <w:pPr>
        <w:pStyle w:val="Hangindent"/>
        <w:rPr>
          <w:color w:val="000000" w:themeColor="text1"/>
          <w:spacing w:val="-3"/>
          <w:lang w:val="en-US"/>
        </w:rPr>
      </w:pPr>
      <w:bookmarkStart w:id="576" w:name="_Hlk104022638"/>
      <w:r w:rsidRPr="00B40A77">
        <w:rPr>
          <w:color w:val="000000" w:themeColor="text1"/>
          <w:spacing w:val="-3"/>
          <w:lang w:val="en-US"/>
        </w:rPr>
        <w:t>(3)</w:t>
      </w:r>
      <w:r w:rsidRPr="00B40A77">
        <w:rPr>
          <w:color w:val="000000" w:themeColor="text1"/>
          <w:spacing w:val="-3"/>
          <w:lang w:val="en-US"/>
        </w:rPr>
        <w:tab/>
      </w:r>
      <w:r w:rsidRPr="00B40A77">
        <w:rPr>
          <w:color w:val="000000" w:themeColor="text1"/>
        </w:rPr>
        <w:t xml:space="preserve">A </w:t>
      </w:r>
      <w:hyperlink w:anchor="_2.1—Definitions" w:history="1">
        <w:r w:rsidR="00012B38" w:rsidRPr="00B40A77">
          <w:rPr>
            <w:rStyle w:val="Hyperlink"/>
            <w:color w:val="000000" w:themeColor="text1"/>
            <w:lang w:val="en-US"/>
          </w:rPr>
          <w:t>pre-trial conference</w:t>
        </w:r>
      </w:hyperlink>
      <w:r w:rsidRPr="00B40A77">
        <w:rPr>
          <w:color w:val="000000" w:themeColor="text1"/>
          <w:spacing w:val="-3"/>
          <w:lang w:val="en-US"/>
        </w:rPr>
        <w:t xml:space="preserve"> must be attended by</w:t>
      </w:r>
      <w:r w:rsidR="000E6A7C" w:rsidRPr="00B40A77">
        <w:rPr>
          <w:color w:val="000000" w:themeColor="text1"/>
          <w:lang w:val="en-US"/>
        </w:rPr>
        <w:t>—</w:t>
      </w:r>
    </w:p>
    <w:p w14:paraId="23515EB5" w14:textId="6A23480B" w:rsidR="007A3A22" w:rsidRPr="00B40A77" w:rsidRDefault="00674682" w:rsidP="00674682">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defendant or youth </w:t>
      </w:r>
      <w:r w:rsidR="00620CE6" w:rsidRPr="00B40A77">
        <w:rPr>
          <w:color w:val="000000" w:themeColor="text1"/>
          <w:lang w:val="en-US"/>
        </w:rPr>
        <w:t>(</w:t>
      </w:r>
      <w:r w:rsidRPr="00B40A77">
        <w:rPr>
          <w:color w:val="000000" w:themeColor="text1"/>
          <w:lang w:val="en-US"/>
        </w:rPr>
        <w:t>but that attendance may be b</w:t>
      </w:r>
      <w:r w:rsidR="003A4C4E" w:rsidRPr="00B40A77">
        <w:rPr>
          <w:color w:val="000000" w:themeColor="text1"/>
          <w:lang w:val="en-US"/>
        </w:rPr>
        <w:t xml:space="preserve">y </w:t>
      </w:r>
      <w:hyperlink w:anchor="_2.1—Definitions" w:history="1">
        <w:r w:rsidR="001D63F7" w:rsidRPr="00B40A77">
          <w:rPr>
            <w:rStyle w:val="Hyperlink"/>
            <w:color w:val="000000" w:themeColor="text1"/>
            <w:lang w:val="en-US"/>
          </w:rPr>
          <w:t>audio visual link</w:t>
        </w:r>
      </w:hyperlink>
      <w:r w:rsidR="00F36E78" w:rsidRPr="00B40A77">
        <w:rPr>
          <w:color w:val="000000" w:themeColor="text1"/>
          <w:lang w:val="en-US"/>
        </w:rPr>
        <w:t xml:space="preserve"> </w:t>
      </w:r>
      <w:r w:rsidR="00176DEB" w:rsidRPr="00B40A77">
        <w:rPr>
          <w:color w:val="000000" w:themeColor="text1"/>
          <w:lang w:val="en-US"/>
        </w:rPr>
        <w:t xml:space="preserve">or </w:t>
      </w:r>
      <w:hyperlink w:anchor="_2.1—Definitions" w:history="1">
        <w:r w:rsidR="00176DEB" w:rsidRPr="00B40A77">
          <w:rPr>
            <w:rStyle w:val="Hyperlink"/>
            <w:color w:val="000000" w:themeColor="text1"/>
            <w:lang w:val="en-US"/>
          </w:rPr>
          <w:t>audio link</w:t>
        </w:r>
      </w:hyperlink>
      <w:r w:rsidR="00176DEB" w:rsidRPr="00B40A77">
        <w:rPr>
          <w:color w:val="000000" w:themeColor="text1"/>
          <w:lang w:val="en-US"/>
        </w:rPr>
        <w:t xml:space="preserve"> </w:t>
      </w:r>
      <w:r w:rsidR="00B34298" w:rsidRPr="00B40A77">
        <w:rPr>
          <w:color w:val="000000" w:themeColor="text1"/>
          <w:lang w:val="en-US"/>
        </w:rPr>
        <w:t xml:space="preserve">under </w:t>
      </w:r>
      <w:hyperlink w:anchor="_15.3—Hearings_ordinarily_in" w:history="1">
        <w:r w:rsidR="00B34298" w:rsidRPr="00B40A77">
          <w:rPr>
            <w:rStyle w:val="Hyperlink"/>
            <w:color w:val="000000" w:themeColor="text1"/>
            <w:lang w:val="en-US"/>
          </w:rPr>
          <w:t>rule 3</w:t>
        </w:r>
        <w:r w:rsidR="00341D90" w:rsidRPr="00B40A77">
          <w:rPr>
            <w:rStyle w:val="Hyperlink"/>
            <w:color w:val="000000" w:themeColor="text1"/>
            <w:lang w:val="en-US"/>
          </w:rPr>
          <w:t>8</w:t>
        </w:r>
        <w:r w:rsidR="003A4C4E" w:rsidRPr="00B40A77">
          <w:rPr>
            <w:rStyle w:val="Hyperlink"/>
            <w:color w:val="000000" w:themeColor="text1"/>
            <w:lang w:val="en-US"/>
          </w:rPr>
          <w:t>.</w:t>
        </w:r>
        <w:r w:rsidR="00341D90" w:rsidRPr="00B40A77">
          <w:rPr>
            <w:rStyle w:val="Hyperlink"/>
            <w:color w:val="000000" w:themeColor="text1"/>
            <w:lang w:val="en-US"/>
          </w:rPr>
          <w:t>3</w:t>
        </w:r>
      </w:hyperlink>
      <w:r w:rsidR="00620CE6" w:rsidRPr="00B40A77">
        <w:rPr>
          <w:rStyle w:val="Hyperlink"/>
          <w:color w:val="000000" w:themeColor="text1"/>
          <w:u w:val="none"/>
          <w:lang w:val="en-US"/>
        </w:rPr>
        <w:t>)</w:t>
      </w:r>
      <w:r w:rsidRPr="00B40A77">
        <w:rPr>
          <w:color w:val="000000" w:themeColor="text1"/>
          <w:lang w:val="en-US"/>
        </w:rPr>
        <w:t xml:space="preserve">; </w:t>
      </w:r>
    </w:p>
    <w:p w14:paraId="348F44A5" w14:textId="2BAA8A87" w:rsidR="00674682" w:rsidRPr="00B40A77" w:rsidRDefault="007A3A22" w:rsidP="00674682">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informant or an authori</w:t>
      </w:r>
      <w:r w:rsidR="00C202AA" w:rsidRPr="00B40A77">
        <w:rPr>
          <w:color w:val="000000" w:themeColor="text1"/>
          <w:lang w:val="en-US"/>
        </w:rPr>
        <w:t>s</w:t>
      </w:r>
      <w:r w:rsidRPr="00B40A77">
        <w:rPr>
          <w:color w:val="000000" w:themeColor="text1"/>
          <w:lang w:val="en-US"/>
        </w:rPr>
        <w:t xml:space="preserve">ed representative; </w:t>
      </w:r>
      <w:r w:rsidR="00674682" w:rsidRPr="00B40A77">
        <w:rPr>
          <w:color w:val="000000" w:themeColor="text1"/>
          <w:lang w:val="en-US"/>
        </w:rPr>
        <w:t>and</w:t>
      </w:r>
    </w:p>
    <w:p w14:paraId="43D50817" w14:textId="6CDFFA6D" w:rsidR="00674682" w:rsidRPr="00B40A77" w:rsidRDefault="00674682" w:rsidP="00674682">
      <w:pPr>
        <w:pStyle w:val="Doublehangindent"/>
        <w:rPr>
          <w:color w:val="000000" w:themeColor="text1"/>
          <w:lang w:val="en-US"/>
        </w:rPr>
      </w:pPr>
      <w:r w:rsidRPr="00B40A77">
        <w:rPr>
          <w:color w:val="000000" w:themeColor="text1"/>
          <w:lang w:val="en-US"/>
        </w:rPr>
        <w:t>(</w:t>
      </w:r>
      <w:r w:rsidR="007A3A22" w:rsidRPr="00B40A77">
        <w:rPr>
          <w:color w:val="000000" w:themeColor="text1"/>
          <w:lang w:val="en-US"/>
        </w:rPr>
        <w:t>c</w:t>
      </w:r>
      <w:r w:rsidRPr="00B40A77">
        <w:rPr>
          <w:color w:val="000000" w:themeColor="text1"/>
          <w:lang w:val="en-US"/>
        </w:rPr>
        <w:t>)</w:t>
      </w:r>
      <w:r w:rsidRPr="00B40A77">
        <w:rPr>
          <w:color w:val="000000" w:themeColor="text1"/>
          <w:lang w:val="en-US"/>
        </w:rPr>
        <w:tab/>
      </w:r>
      <w:r w:rsidR="007A3A22" w:rsidRPr="00B40A77">
        <w:rPr>
          <w:color w:val="000000" w:themeColor="text1"/>
          <w:lang w:val="en-US"/>
        </w:rPr>
        <w:t xml:space="preserve">if a party is represented by a law firm, the solicitor having the principal conduct of the matter or </w:t>
      </w:r>
      <w:r w:rsidR="007A3A22" w:rsidRPr="00B40A77">
        <w:rPr>
          <w:color w:val="000000" w:themeColor="text1"/>
        </w:rPr>
        <w:t>counsel or</w:t>
      </w:r>
      <w:r w:rsidR="00C202AA" w:rsidRPr="00B40A77">
        <w:rPr>
          <w:color w:val="000000" w:themeColor="text1"/>
        </w:rPr>
        <w:t xml:space="preserve"> both</w:t>
      </w:r>
      <w:r w:rsidR="000E6A7C" w:rsidRPr="00B40A77">
        <w:rPr>
          <w:color w:val="000000" w:themeColor="text1"/>
        </w:rPr>
        <w:t>.</w:t>
      </w:r>
    </w:p>
    <w:bookmarkEnd w:id="576"/>
    <w:p w14:paraId="4C7F992A" w14:textId="668FC44E" w:rsidR="000E6A7C" w:rsidRPr="00B40A77" w:rsidRDefault="000E6A7C" w:rsidP="000E6A7C">
      <w:pPr>
        <w:pStyle w:val="Hangindent"/>
        <w:rPr>
          <w:color w:val="000000" w:themeColor="text1"/>
          <w:lang w:val="en-US"/>
        </w:rPr>
      </w:pPr>
      <w:r w:rsidRPr="00B40A77">
        <w:rPr>
          <w:color w:val="000000" w:themeColor="text1"/>
          <w:lang w:val="en-US"/>
        </w:rPr>
        <w:t>(4)</w:t>
      </w:r>
      <w:r w:rsidRPr="00B40A77">
        <w:rPr>
          <w:color w:val="000000" w:themeColor="text1"/>
          <w:lang w:val="en-US"/>
        </w:rPr>
        <w:tab/>
        <w:t>Unless the Court otherwise o</w:t>
      </w:r>
      <w:r w:rsidR="003A4C4E" w:rsidRPr="00B40A77">
        <w:rPr>
          <w:color w:val="000000" w:themeColor="text1"/>
          <w:lang w:val="en-US"/>
        </w:rPr>
        <w:t xml:space="preserve">rders, a </w:t>
      </w:r>
      <w:hyperlink w:anchor="_2.1—Definitions" w:history="1">
        <w:r w:rsidR="00012B38" w:rsidRPr="00B40A77">
          <w:rPr>
            <w:rStyle w:val="Hyperlink"/>
            <w:color w:val="000000" w:themeColor="text1"/>
            <w:lang w:val="en-US"/>
          </w:rPr>
          <w:t>pre-trial conference</w:t>
        </w:r>
      </w:hyperlink>
      <w:r w:rsidR="003A4C4E" w:rsidRPr="00B40A77">
        <w:rPr>
          <w:color w:val="000000" w:themeColor="text1"/>
          <w:lang w:val="en-US"/>
        </w:rPr>
        <w:t xml:space="preserve"> will</w:t>
      </w:r>
      <w:r w:rsidRPr="00B40A77">
        <w:rPr>
          <w:color w:val="000000" w:themeColor="text1"/>
          <w:lang w:val="en-US"/>
        </w:rPr>
        <w:t xml:space="preserve"> not be open to the public</w:t>
      </w:r>
      <w:r w:rsidR="008817FA" w:rsidRPr="00B40A77">
        <w:rPr>
          <w:color w:val="000000" w:themeColor="text1"/>
          <w:lang w:val="en-US"/>
        </w:rPr>
        <w:t>.</w:t>
      </w:r>
    </w:p>
    <w:p w14:paraId="52142CAA" w14:textId="74A31EA0" w:rsidR="00674682" w:rsidRPr="00B40A77" w:rsidRDefault="000E6A7C" w:rsidP="000E6A7C">
      <w:pPr>
        <w:pStyle w:val="Hangindent"/>
        <w:rPr>
          <w:color w:val="000000" w:themeColor="text1"/>
          <w:lang w:val="en-US"/>
        </w:rPr>
      </w:pPr>
      <w:r w:rsidRPr="00B40A77">
        <w:rPr>
          <w:color w:val="000000" w:themeColor="text1"/>
          <w:lang w:val="en-US"/>
        </w:rPr>
        <w:t>(5</w:t>
      </w:r>
      <w:r w:rsidR="00674682" w:rsidRPr="00B40A77">
        <w:rPr>
          <w:color w:val="000000" w:themeColor="text1"/>
          <w:lang w:val="en-US"/>
        </w:rPr>
        <w:t>)</w:t>
      </w:r>
      <w:r w:rsidR="00674682" w:rsidRPr="00B40A77">
        <w:rPr>
          <w:color w:val="000000" w:themeColor="text1"/>
          <w:lang w:val="en-US"/>
        </w:rPr>
        <w:tab/>
        <w:t xml:space="preserve">Nothing said </w:t>
      </w:r>
      <w:r w:rsidRPr="00B40A77">
        <w:rPr>
          <w:color w:val="000000" w:themeColor="text1"/>
          <w:lang w:val="en-US"/>
        </w:rPr>
        <w:t xml:space="preserve">or not said </w:t>
      </w:r>
      <w:r w:rsidR="00674682" w:rsidRPr="00B40A77">
        <w:rPr>
          <w:color w:val="000000" w:themeColor="text1"/>
          <w:lang w:val="en-US"/>
        </w:rPr>
        <w:t xml:space="preserve">at a </w:t>
      </w:r>
      <w:hyperlink w:anchor="_2.1—Definitions" w:history="1">
        <w:r w:rsidR="00012B38" w:rsidRPr="00B40A77">
          <w:rPr>
            <w:rStyle w:val="Hyperlink"/>
            <w:color w:val="000000" w:themeColor="text1"/>
            <w:lang w:val="en-US"/>
          </w:rPr>
          <w:t>pre-trial conference</w:t>
        </w:r>
      </w:hyperlink>
      <w:r w:rsidRPr="00B40A77">
        <w:rPr>
          <w:color w:val="000000" w:themeColor="text1"/>
          <w:spacing w:val="-3"/>
          <w:lang w:val="en-US"/>
        </w:rPr>
        <w:t xml:space="preserve"> </w:t>
      </w:r>
      <w:r w:rsidR="00674682" w:rsidRPr="00B40A77">
        <w:rPr>
          <w:color w:val="000000" w:themeColor="text1"/>
          <w:lang w:val="en-US"/>
        </w:rPr>
        <w:t xml:space="preserve">can be used </w:t>
      </w:r>
      <w:r w:rsidR="003D667C" w:rsidRPr="00B40A77">
        <w:rPr>
          <w:color w:val="000000" w:themeColor="text1"/>
          <w:lang w:val="en-US"/>
        </w:rPr>
        <w:t xml:space="preserve">for any purpose </w:t>
      </w:r>
      <w:r w:rsidR="00674682" w:rsidRPr="00B40A77">
        <w:rPr>
          <w:color w:val="000000" w:themeColor="text1"/>
          <w:lang w:val="en-US"/>
        </w:rPr>
        <w:t xml:space="preserve">at a subsequent </w:t>
      </w:r>
      <w:hyperlink w:anchor="_2.1—Definitions" w:history="1">
        <w:r w:rsidR="00AB0539" w:rsidRPr="00B40A77">
          <w:rPr>
            <w:rStyle w:val="Hyperlink"/>
            <w:color w:val="000000" w:themeColor="text1"/>
            <w:lang w:val="en-US"/>
          </w:rPr>
          <w:t>trial</w:t>
        </w:r>
      </w:hyperlink>
      <w:r w:rsidR="00674682" w:rsidRPr="00B40A77">
        <w:rPr>
          <w:color w:val="000000" w:themeColor="text1"/>
          <w:lang w:val="en-US"/>
        </w:rPr>
        <w:t xml:space="preserve">, </w:t>
      </w:r>
      <w:hyperlink w:anchor="_2.1—Definitions" w:history="1">
        <w:r w:rsidR="006D6EB8" w:rsidRPr="00B40A77">
          <w:rPr>
            <w:rStyle w:val="Hyperlink"/>
            <w:color w:val="000000" w:themeColor="text1"/>
          </w:rPr>
          <w:t>sentencing hearing</w:t>
        </w:r>
      </w:hyperlink>
      <w:r w:rsidR="00674682" w:rsidRPr="00B40A77">
        <w:rPr>
          <w:color w:val="000000" w:themeColor="text1"/>
          <w:lang w:val="en-US"/>
        </w:rPr>
        <w:t xml:space="preserve"> or other substantive </w:t>
      </w:r>
      <w:hyperlink w:anchor="_37.1—Application_of_Part" w:history="1">
        <w:r w:rsidR="00CE7A79" w:rsidRPr="00B40A77">
          <w:rPr>
            <w:rStyle w:val="Hyperlink"/>
            <w:color w:val="000000" w:themeColor="text1"/>
            <w:lang w:val="en-US"/>
          </w:rPr>
          <w:t>hearing</w:t>
        </w:r>
      </w:hyperlink>
      <w:r w:rsidR="00674682" w:rsidRPr="00B40A77">
        <w:rPr>
          <w:color w:val="000000" w:themeColor="text1"/>
          <w:lang w:val="en-US"/>
        </w:rPr>
        <w:t>.</w:t>
      </w:r>
    </w:p>
    <w:p w14:paraId="2F3439EA" w14:textId="58A5FF35" w:rsidR="000E6A7C" w:rsidRPr="00B40A77" w:rsidRDefault="000E6A7C" w:rsidP="000E6A7C">
      <w:pPr>
        <w:pStyle w:val="Hangindent"/>
        <w:rPr>
          <w:color w:val="000000" w:themeColor="text1"/>
          <w:lang w:val="en-US"/>
        </w:rPr>
      </w:pPr>
      <w:r w:rsidRPr="00B40A77">
        <w:rPr>
          <w:color w:val="000000" w:themeColor="text1"/>
          <w:lang w:val="en-US"/>
        </w:rPr>
        <w:t>(6)</w:t>
      </w:r>
      <w:r w:rsidRPr="00B40A77">
        <w:rPr>
          <w:color w:val="000000" w:themeColor="text1"/>
          <w:lang w:val="en-US"/>
        </w:rPr>
        <w:tab/>
        <w:t xml:space="preserve">At the end of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if the matter is not resolved the Court will </w:t>
      </w:r>
      <w:r w:rsidR="00E03D25" w:rsidRPr="00B40A77">
        <w:rPr>
          <w:color w:val="000000" w:themeColor="text1"/>
          <w:lang w:val="en-US"/>
        </w:rPr>
        <w:t>genera</w:t>
      </w:r>
      <w:r w:rsidRPr="00B40A77">
        <w:rPr>
          <w:color w:val="000000" w:themeColor="text1"/>
          <w:lang w:val="en-US"/>
        </w:rPr>
        <w:t xml:space="preserve">lly list the matter for </w:t>
      </w:r>
      <w:hyperlink w:anchor="_2.1—Definitions" w:history="1">
        <w:r w:rsidR="00AB0539" w:rsidRPr="00B40A77">
          <w:rPr>
            <w:rStyle w:val="Hyperlink"/>
            <w:color w:val="000000" w:themeColor="text1"/>
            <w:lang w:val="en-US"/>
          </w:rPr>
          <w:t>trial</w:t>
        </w:r>
      </w:hyperlink>
      <w:r w:rsidRPr="00B40A77">
        <w:rPr>
          <w:color w:val="000000" w:themeColor="text1"/>
          <w:lang w:val="en-US"/>
        </w:rPr>
        <w:t>.</w:t>
      </w:r>
    </w:p>
    <w:p w14:paraId="7DA8B41D" w14:textId="74159552" w:rsidR="000E6A7C" w:rsidRPr="00B40A77" w:rsidRDefault="000E6A7C" w:rsidP="000E6A7C">
      <w:pPr>
        <w:pStyle w:val="Hangindent"/>
        <w:rPr>
          <w:color w:val="000000" w:themeColor="text1"/>
          <w:lang w:val="en-US"/>
        </w:rPr>
      </w:pPr>
      <w:r w:rsidRPr="00B40A77">
        <w:rPr>
          <w:color w:val="000000" w:themeColor="text1"/>
          <w:lang w:val="en-US"/>
        </w:rPr>
        <w:t>(7)</w:t>
      </w:r>
      <w:r w:rsidRPr="00B40A77">
        <w:rPr>
          <w:color w:val="000000" w:themeColor="text1"/>
          <w:lang w:val="en-US"/>
        </w:rPr>
        <w:tab/>
        <w:t xml:space="preserve">Parties must attend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ready for the matter to be listed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if it is not resolved.</w:t>
      </w:r>
    </w:p>
    <w:p w14:paraId="6865D473" w14:textId="72916633" w:rsidR="00817DA8" w:rsidRPr="00B40A77" w:rsidRDefault="00817DA8" w:rsidP="00817DA8">
      <w:pPr>
        <w:pStyle w:val="Heading4"/>
        <w:rPr>
          <w:color w:val="000000" w:themeColor="text1"/>
        </w:rPr>
      </w:pPr>
      <w:bookmarkStart w:id="577" w:name="_Toc175239022"/>
      <w:r w:rsidRPr="00B40A77">
        <w:rPr>
          <w:color w:val="000000" w:themeColor="text1"/>
        </w:rPr>
        <w:t>76.4—</w:t>
      </w:r>
      <w:r w:rsidR="009154CE" w:rsidRPr="00B40A77">
        <w:rPr>
          <w:color w:val="000000" w:themeColor="text1"/>
        </w:rPr>
        <w:t xml:space="preserve">Listing for </w:t>
      </w:r>
      <w:r w:rsidRPr="00B40A77">
        <w:rPr>
          <w:color w:val="000000" w:themeColor="text1"/>
        </w:rPr>
        <w:t>trial</w:t>
      </w:r>
      <w:bookmarkEnd w:id="577"/>
    </w:p>
    <w:p w14:paraId="614CC2BB" w14:textId="746D5588" w:rsidR="00817DA8" w:rsidRPr="00B40A77" w:rsidRDefault="00817DA8" w:rsidP="00817DA8">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w:t>
      </w:r>
      <w:r w:rsidR="009154CE" w:rsidRPr="00B40A77">
        <w:rPr>
          <w:color w:val="000000" w:themeColor="text1"/>
          <w:lang w:val="en-US"/>
        </w:rPr>
        <w:t xml:space="preserve">will usually list a proceeding for </w:t>
      </w:r>
      <w:hyperlink w:anchor="_2.1—Definitions" w:history="1">
        <w:r w:rsidR="00AB0539" w:rsidRPr="00B40A77">
          <w:rPr>
            <w:rStyle w:val="Hyperlink"/>
            <w:color w:val="000000" w:themeColor="text1"/>
            <w:lang w:val="en-US"/>
          </w:rPr>
          <w:t>trial</w:t>
        </w:r>
      </w:hyperlink>
      <w:r w:rsidR="009154CE" w:rsidRPr="00B40A77">
        <w:rPr>
          <w:color w:val="000000" w:themeColor="text1"/>
          <w:lang w:val="en-US"/>
        </w:rPr>
        <w:t xml:space="preserve"> at the </w:t>
      </w:r>
      <w:hyperlink w:anchor="_2.1—Definitions" w:history="1">
        <w:r w:rsidR="00012B38" w:rsidRPr="00B40A77">
          <w:rPr>
            <w:rStyle w:val="Hyperlink"/>
            <w:color w:val="000000" w:themeColor="text1"/>
            <w:lang w:val="en-US"/>
          </w:rPr>
          <w:t>pre-trial conference</w:t>
        </w:r>
      </w:hyperlink>
      <w:r w:rsidR="009154CE" w:rsidRPr="00B40A77">
        <w:rPr>
          <w:color w:val="000000" w:themeColor="text1"/>
          <w:lang w:val="en-US"/>
        </w:rPr>
        <w:t xml:space="preserve"> if the matter is not resolved.</w:t>
      </w:r>
    </w:p>
    <w:p w14:paraId="7FD82DAA" w14:textId="4304605A" w:rsidR="009154CE" w:rsidRPr="00B40A77" w:rsidRDefault="00817DA8" w:rsidP="00817DA8">
      <w:pPr>
        <w:pStyle w:val="Hangindent"/>
        <w:rPr>
          <w:color w:val="000000" w:themeColor="text1"/>
        </w:rPr>
      </w:pPr>
      <w:r w:rsidRPr="00B40A77">
        <w:rPr>
          <w:color w:val="000000" w:themeColor="text1"/>
          <w:lang w:val="en-US"/>
        </w:rPr>
        <w:t>(2)</w:t>
      </w:r>
      <w:r w:rsidRPr="00B40A77">
        <w:rPr>
          <w:color w:val="000000" w:themeColor="text1"/>
          <w:lang w:val="en-US"/>
        </w:rPr>
        <w:tab/>
      </w:r>
      <w:r w:rsidR="009154CE" w:rsidRPr="00B40A77">
        <w:rPr>
          <w:color w:val="000000" w:themeColor="text1"/>
        </w:rPr>
        <w:t>The Court expects the parties (by their counsel when applicable or</w:t>
      </w:r>
      <w:r w:rsidR="00A94CA2" w:rsidRPr="00B40A77">
        <w:rPr>
          <w:color w:val="000000" w:themeColor="text1"/>
        </w:rPr>
        <w:t>,</w:t>
      </w:r>
      <w:r w:rsidR="009154CE" w:rsidRPr="00B40A77">
        <w:rPr>
          <w:color w:val="000000" w:themeColor="text1"/>
        </w:rPr>
        <w:t xml:space="preserve"> if counsel have not been briefed</w:t>
      </w:r>
      <w:r w:rsidR="003D667C" w:rsidRPr="00B40A77">
        <w:rPr>
          <w:color w:val="000000" w:themeColor="text1"/>
        </w:rPr>
        <w:t>,</w:t>
      </w:r>
      <w:r w:rsidR="009154CE" w:rsidRPr="00B40A77">
        <w:rPr>
          <w:color w:val="000000" w:themeColor="text1"/>
        </w:rPr>
        <w:t xml:space="preserve"> by their solicitors or other representatives when applicable) to make realistic and achievable estimates of the length of trials to be listed.</w:t>
      </w:r>
    </w:p>
    <w:p w14:paraId="58D76B61" w14:textId="21774801" w:rsidR="00817DA8" w:rsidRPr="00B40A77" w:rsidRDefault="009154CE" w:rsidP="003D667C">
      <w:pPr>
        <w:pStyle w:val="Hangindent"/>
        <w:keepNext/>
        <w:rPr>
          <w:color w:val="000000" w:themeColor="text1"/>
        </w:rPr>
      </w:pPr>
      <w:r w:rsidRPr="00B40A77">
        <w:rPr>
          <w:color w:val="000000" w:themeColor="text1"/>
        </w:rPr>
        <w:t>(3)</w:t>
      </w:r>
      <w:r w:rsidRPr="00B40A77">
        <w:rPr>
          <w:color w:val="000000" w:themeColor="text1"/>
        </w:rPr>
        <w:tab/>
        <w:t xml:space="preserve">The Court expects counsel to be available for the whole of the period for which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has been listed.</w:t>
      </w:r>
    </w:p>
    <w:p w14:paraId="395CADCF" w14:textId="6F0A507B" w:rsidR="006D192D" w:rsidRPr="00B40A77" w:rsidRDefault="006D192D" w:rsidP="003D667C">
      <w:pPr>
        <w:pStyle w:val="NoteHeader"/>
        <w:keepNext/>
        <w:rPr>
          <w:color w:val="000000" w:themeColor="text1"/>
        </w:rPr>
      </w:pPr>
      <w:r w:rsidRPr="00B40A77">
        <w:rPr>
          <w:color w:val="000000" w:themeColor="text1"/>
        </w:rPr>
        <w:t>Note—Magistrates Court</w:t>
      </w:r>
    </w:p>
    <w:p w14:paraId="4A2A4707" w14:textId="7812231B" w:rsidR="006D192D" w:rsidRPr="00B40A77" w:rsidRDefault="006D192D" w:rsidP="006D192D">
      <w:pPr>
        <w:pStyle w:val="NoteText"/>
        <w:rPr>
          <w:color w:val="000000" w:themeColor="text1"/>
        </w:rPr>
      </w:pPr>
      <w:r w:rsidRPr="00B40A77">
        <w:rPr>
          <w:color w:val="000000" w:themeColor="text1"/>
        </w:rPr>
        <w:t xml:space="preserve">When the Court sets a date for </w:t>
      </w:r>
      <w:hyperlink w:anchor="_2.1—Definitions" w:history="1">
        <w:r w:rsidR="00AB0539" w:rsidRPr="00B40A77">
          <w:rPr>
            <w:rStyle w:val="Hyperlink"/>
            <w:color w:val="000000" w:themeColor="text1"/>
            <w:lang w:val="en-US"/>
          </w:rPr>
          <w:t>trial</w:t>
        </w:r>
      </w:hyperlink>
      <w:r w:rsidRPr="00B40A77">
        <w:rPr>
          <w:color w:val="000000" w:themeColor="text1"/>
        </w:rPr>
        <w:t>, unless the Court otherwise orders, the proceeding will be listed to continue as follows:</w:t>
      </w:r>
    </w:p>
    <w:p w14:paraId="52F3A2FF" w14:textId="77777777" w:rsidR="006D192D" w:rsidRPr="00B40A77" w:rsidRDefault="006D192D" w:rsidP="004C2422">
      <w:pPr>
        <w:pStyle w:val="NoteText"/>
        <w:keepNext/>
        <w:rPr>
          <w:b/>
          <w:bCs/>
          <w:color w:val="000000" w:themeColor="text1"/>
        </w:rPr>
      </w:pPr>
      <w:r w:rsidRPr="00B40A77">
        <w:rPr>
          <w:b/>
          <w:bCs/>
          <w:color w:val="000000" w:themeColor="text1"/>
        </w:rPr>
        <w:t>Adelaide Magistrates Court</w:t>
      </w:r>
    </w:p>
    <w:p w14:paraId="67C0E71A" w14:textId="77777777" w:rsidR="006D192D" w:rsidRPr="00B40A77" w:rsidRDefault="006D192D" w:rsidP="006D192D">
      <w:pPr>
        <w:pStyle w:val="NoteText"/>
        <w:rPr>
          <w:color w:val="000000" w:themeColor="text1"/>
        </w:rPr>
      </w:pPr>
      <w:r w:rsidRPr="00B40A77">
        <w:rPr>
          <w:color w:val="000000" w:themeColor="text1"/>
        </w:rPr>
        <w:t>On successive days over the balance of the week in which it is listed and thereafter on successive days for the balance of the week to which it is adjourned/remanded until the sworn evidence is completed.</w:t>
      </w:r>
    </w:p>
    <w:p w14:paraId="6E6EC1CF" w14:textId="77777777" w:rsidR="006D192D" w:rsidRPr="00B40A77" w:rsidRDefault="006D192D" w:rsidP="004C2422">
      <w:pPr>
        <w:pStyle w:val="NoteText"/>
        <w:keepNext/>
        <w:rPr>
          <w:b/>
          <w:bCs/>
          <w:color w:val="000000" w:themeColor="text1"/>
        </w:rPr>
      </w:pPr>
      <w:r w:rsidRPr="00B40A77">
        <w:rPr>
          <w:b/>
          <w:bCs/>
          <w:color w:val="000000" w:themeColor="text1"/>
        </w:rPr>
        <w:lastRenderedPageBreak/>
        <w:t>Regional Courts</w:t>
      </w:r>
    </w:p>
    <w:p w14:paraId="2A0E1B96" w14:textId="77777777" w:rsidR="006D192D" w:rsidRPr="00B40A77" w:rsidRDefault="006D192D" w:rsidP="006D192D">
      <w:pPr>
        <w:pStyle w:val="NoteText"/>
        <w:rPr>
          <w:color w:val="000000" w:themeColor="text1"/>
        </w:rPr>
      </w:pPr>
      <w:r w:rsidRPr="00B40A77">
        <w:rPr>
          <w:color w:val="000000" w:themeColor="text1"/>
        </w:rPr>
        <w:t>On successive days until the sworn evidence is completed.</w:t>
      </w:r>
    </w:p>
    <w:p w14:paraId="7A4506DB" w14:textId="77777777" w:rsidR="006D192D" w:rsidRPr="00B40A77" w:rsidRDefault="006D192D" w:rsidP="004C2422">
      <w:pPr>
        <w:pStyle w:val="NoteText"/>
        <w:keepNext/>
        <w:rPr>
          <w:b/>
          <w:bCs/>
          <w:color w:val="000000" w:themeColor="text1"/>
        </w:rPr>
      </w:pPr>
      <w:r w:rsidRPr="00B40A77">
        <w:rPr>
          <w:b/>
          <w:bCs/>
          <w:color w:val="000000" w:themeColor="text1"/>
        </w:rPr>
        <w:t>Circuit Courts</w:t>
      </w:r>
    </w:p>
    <w:p w14:paraId="1E4FF0E2" w14:textId="0B310B7A" w:rsidR="006D192D" w:rsidRPr="00B40A77" w:rsidRDefault="006D192D" w:rsidP="006D192D">
      <w:pPr>
        <w:pStyle w:val="NoteText"/>
        <w:rPr>
          <w:color w:val="000000" w:themeColor="text1"/>
          <w:lang w:val="en-US"/>
        </w:rPr>
      </w:pPr>
      <w:r w:rsidRPr="00B40A77">
        <w:rPr>
          <w:color w:val="000000" w:themeColor="text1"/>
        </w:rPr>
        <w:t>On such successive days as may be available during the circuit week.</w:t>
      </w:r>
    </w:p>
    <w:p w14:paraId="622D71CA" w14:textId="00892E2E" w:rsidR="00B87A65" w:rsidRPr="00B40A77" w:rsidRDefault="00B87A65" w:rsidP="00B87A65">
      <w:pPr>
        <w:pStyle w:val="Heading4"/>
        <w:rPr>
          <w:color w:val="000000" w:themeColor="text1"/>
        </w:rPr>
      </w:pPr>
      <w:bookmarkStart w:id="578" w:name="_Toc175239023"/>
      <w:r w:rsidRPr="00B40A77">
        <w:rPr>
          <w:color w:val="000000" w:themeColor="text1"/>
        </w:rPr>
        <w:t>76</w:t>
      </w:r>
      <w:r w:rsidR="00B9708D" w:rsidRPr="00B40A77">
        <w:rPr>
          <w:color w:val="000000" w:themeColor="text1"/>
        </w:rPr>
        <w:t>.</w:t>
      </w:r>
      <w:r w:rsidR="00817DA8" w:rsidRPr="00B40A77">
        <w:rPr>
          <w:color w:val="000000" w:themeColor="text1"/>
        </w:rPr>
        <w:t>5</w:t>
      </w:r>
      <w:r w:rsidRPr="00B40A77">
        <w:rPr>
          <w:color w:val="000000" w:themeColor="text1"/>
        </w:rPr>
        <w:t>—Costs</w:t>
      </w:r>
      <w:bookmarkEnd w:id="578"/>
    </w:p>
    <w:p w14:paraId="5AB979EB" w14:textId="45D4C130" w:rsidR="00B87A65" w:rsidRPr="00B40A77" w:rsidRDefault="008F35E3" w:rsidP="00187EC1">
      <w:pPr>
        <w:pStyle w:val="IndentedPara"/>
        <w:rPr>
          <w:color w:val="000000" w:themeColor="text1"/>
        </w:rPr>
      </w:pPr>
      <w:r w:rsidRPr="00B40A77">
        <w:rPr>
          <w:color w:val="000000" w:themeColor="text1"/>
          <w:lang w:val="en-AU"/>
        </w:rPr>
        <w:t xml:space="preserve">If a party fails </w:t>
      </w:r>
      <w:r w:rsidR="00AC5B92" w:rsidRPr="00B40A77">
        <w:rPr>
          <w:color w:val="000000" w:themeColor="text1"/>
          <w:lang w:val="en-AU"/>
        </w:rPr>
        <w:t xml:space="preserve">to comply with this Part, the Court may take the non-compliance into account </w:t>
      </w:r>
      <w:r w:rsidR="00B87A65" w:rsidRPr="00B40A77">
        <w:rPr>
          <w:color w:val="000000" w:themeColor="text1"/>
        </w:rPr>
        <w:t>on the question of costs.</w:t>
      </w:r>
    </w:p>
    <w:p w14:paraId="2B663A3F" w14:textId="22BADAFC" w:rsidR="0063146C" w:rsidRPr="00B40A77" w:rsidRDefault="0063146C" w:rsidP="0063146C">
      <w:pPr>
        <w:pStyle w:val="Heading2"/>
        <w:keepNext/>
        <w:rPr>
          <w:color w:val="000000" w:themeColor="text1"/>
        </w:rPr>
      </w:pPr>
      <w:bookmarkStart w:id="579" w:name="_Toc175239024"/>
      <w:bookmarkStart w:id="580" w:name="_Hlk104023527"/>
      <w:r w:rsidRPr="00B40A77">
        <w:rPr>
          <w:color w:val="000000" w:themeColor="text1"/>
        </w:rPr>
        <w:t>Part 10—Pre-trial directions hearings</w:t>
      </w:r>
      <w:bookmarkEnd w:id="579"/>
    </w:p>
    <w:p w14:paraId="0BD5408E" w14:textId="7CD876D4" w:rsidR="0063146C" w:rsidRPr="00B40A77" w:rsidRDefault="0063146C" w:rsidP="0063146C">
      <w:pPr>
        <w:pStyle w:val="Heading4"/>
        <w:rPr>
          <w:color w:val="000000" w:themeColor="text1"/>
        </w:rPr>
      </w:pPr>
      <w:bookmarkStart w:id="581" w:name="_Toc175239025"/>
      <w:r w:rsidRPr="00B40A77">
        <w:rPr>
          <w:color w:val="000000" w:themeColor="text1"/>
        </w:rPr>
        <w:t>7</w:t>
      </w:r>
      <w:r w:rsidR="0008739B" w:rsidRPr="00B40A77">
        <w:rPr>
          <w:color w:val="000000" w:themeColor="text1"/>
        </w:rPr>
        <w:t>7</w:t>
      </w:r>
      <w:r w:rsidRPr="00B40A77">
        <w:rPr>
          <w:color w:val="000000" w:themeColor="text1"/>
        </w:rPr>
        <w:t>.1—Convening pre-trial directions hearing</w:t>
      </w:r>
      <w:bookmarkEnd w:id="581"/>
    </w:p>
    <w:p w14:paraId="0F1A4DDF" w14:textId="108D16A6" w:rsidR="0063146C" w:rsidRPr="00B40A77" w:rsidRDefault="0063146C" w:rsidP="0063146C">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When a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is pending, a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before commencement of the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may be convened on the Court’s own initiative or on application by a party. </w:t>
      </w:r>
    </w:p>
    <w:p w14:paraId="49D785CF" w14:textId="1CBEA1CE" w:rsidR="0063146C" w:rsidRPr="00B40A77" w:rsidRDefault="0063146C" w:rsidP="0063146C">
      <w:pPr>
        <w:pStyle w:val="Hangindent"/>
        <w:rPr>
          <w:color w:val="000000" w:themeColor="text1"/>
          <w:lang w:val="en-US"/>
        </w:rPr>
      </w:pPr>
      <w:r w:rsidRPr="00B40A77">
        <w:rPr>
          <w:color w:val="000000" w:themeColor="text1"/>
          <w:lang w:val="en-US"/>
        </w:rPr>
        <w:t>(</w:t>
      </w:r>
      <w:r w:rsidR="00E91102" w:rsidRPr="00B40A77">
        <w:rPr>
          <w:color w:val="000000" w:themeColor="text1"/>
          <w:lang w:val="en-US"/>
        </w:rPr>
        <w:t>2</w:t>
      </w:r>
      <w:r w:rsidRPr="00B40A77">
        <w:rPr>
          <w:color w:val="000000" w:themeColor="text1"/>
          <w:lang w:val="en-US"/>
        </w:rPr>
        <w:t>)</w:t>
      </w:r>
      <w:r w:rsidRPr="00B40A77">
        <w:rPr>
          <w:color w:val="000000" w:themeColor="text1"/>
          <w:lang w:val="en-US"/>
        </w:rPr>
        <w:tab/>
        <w:t xml:space="preserve">A pre-trial </w:t>
      </w:r>
      <w:hyperlink w:anchor="_2.1—Definitions" w:history="1">
        <w:r w:rsidR="00BF56DC" w:rsidRPr="00B40A77">
          <w:rPr>
            <w:rStyle w:val="Hyperlink"/>
            <w:color w:val="000000" w:themeColor="text1"/>
          </w:rPr>
          <w:t>directions hearing</w:t>
        </w:r>
      </w:hyperlink>
      <w:r w:rsidR="00E91102" w:rsidRPr="00B40A77">
        <w:rPr>
          <w:color w:val="000000" w:themeColor="text1"/>
          <w:lang w:val="en-US"/>
        </w:rPr>
        <w:t xml:space="preserve"> may</w:t>
      </w:r>
      <w:r w:rsidRPr="00B40A77">
        <w:rPr>
          <w:color w:val="000000" w:themeColor="text1"/>
          <w:lang w:val="en-US"/>
        </w:rPr>
        <w:t xml:space="preserve"> be listed at </w:t>
      </w:r>
      <w:r w:rsidR="00E91102" w:rsidRPr="00B40A77">
        <w:rPr>
          <w:color w:val="000000" w:themeColor="text1"/>
          <w:lang w:val="en-US"/>
        </w:rPr>
        <w:t>a</w:t>
      </w:r>
      <w:r w:rsidRPr="00B40A77">
        <w:rPr>
          <w:color w:val="000000" w:themeColor="text1"/>
          <w:lang w:val="en-US"/>
        </w:rPr>
        <w:t xml:space="preserve">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w:t>
      </w:r>
    </w:p>
    <w:p w14:paraId="6C352060" w14:textId="3E575A56" w:rsidR="0063146C" w:rsidRPr="00B40A77" w:rsidRDefault="0063146C" w:rsidP="0063146C">
      <w:pPr>
        <w:pStyle w:val="Heading4"/>
        <w:rPr>
          <w:color w:val="000000" w:themeColor="text1"/>
        </w:rPr>
      </w:pPr>
      <w:bookmarkStart w:id="582" w:name="_Toc175239026"/>
      <w:r w:rsidRPr="00B40A77">
        <w:rPr>
          <w:color w:val="000000" w:themeColor="text1"/>
        </w:rPr>
        <w:t>7</w:t>
      </w:r>
      <w:r w:rsidR="0008739B" w:rsidRPr="00B40A77">
        <w:rPr>
          <w:color w:val="000000" w:themeColor="text1"/>
        </w:rPr>
        <w:t>7</w:t>
      </w:r>
      <w:r w:rsidRPr="00B40A77">
        <w:rPr>
          <w:color w:val="000000" w:themeColor="text1"/>
        </w:rPr>
        <w:t>.2—Proceedings at pre-trial directions hearing</w:t>
      </w:r>
      <w:bookmarkEnd w:id="582"/>
    </w:p>
    <w:p w14:paraId="4D27FC55" w14:textId="16E89FBE" w:rsidR="0063146C" w:rsidRPr="00B40A77" w:rsidRDefault="0063146C" w:rsidP="0063146C">
      <w:pPr>
        <w:pStyle w:val="Hangindent"/>
        <w:rPr>
          <w:color w:val="000000" w:themeColor="text1"/>
          <w:szCs w:val="24"/>
          <w:lang w:val="en-US"/>
        </w:rPr>
      </w:pPr>
      <w:r w:rsidRPr="00B40A77">
        <w:rPr>
          <w:color w:val="000000" w:themeColor="text1"/>
          <w:lang w:val="en-US"/>
        </w:rPr>
        <w:t>(1)</w:t>
      </w:r>
      <w:r w:rsidRPr="00B40A77">
        <w:rPr>
          <w:color w:val="000000" w:themeColor="text1"/>
          <w:lang w:val="en-US"/>
        </w:rPr>
        <w:tab/>
        <w:t xml:space="preserve">The purpose of a pre-trial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is to give directions (including any</w:t>
      </w:r>
      <w:r w:rsidRPr="00B40A77">
        <w:rPr>
          <w:color w:val="000000" w:themeColor="text1"/>
          <w:szCs w:val="24"/>
          <w:lang w:val="en-US"/>
        </w:rPr>
        <w:t xml:space="preserve"> arising by virtue of section 59J of the </w:t>
      </w:r>
      <w:r w:rsidRPr="00B40A77">
        <w:rPr>
          <w:iCs/>
          <w:color w:val="000000" w:themeColor="text1"/>
          <w:szCs w:val="24"/>
          <w:lang w:val="en-US"/>
        </w:rPr>
        <w:t>Evidence Act</w:t>
      </w:r>
      <w:r w:rsidRPr="00B40A77">
        <w:rPr>
          <w:color w:val="000000" w:themeColor="text1"/>
          <w:szCs w:val="24"/>
          <w:lang w:val="en-US"/>
        </w:rPr>
        <w:t xml:space="preserve">) with respect to the </w:t>
      </w:r>
      <w:hyperlink w:anchor="_2.1—Definitions" w:history="1">
        <w:r w:rsidR="00AB0539" w:rsidRPr="00B40A77">
          <w:rPr>
            <w:rStyle w:val="Hyperlink"/>
            <w:color w:val="000000" w:themeColor="text1"/>
            <w:lang w:val="en-US"/>
          </w:rPr>
          <w:t>trial</w:t>
        </w:r>
      </w:hyperlink>
      <w:r w:rsidRPr="00B40A77">
        <w:rPr>
          <w:color w:val="000000" w:themeColor="text1"/>
          <w:szCs w:val="24"/>
          <w:lang w:val="en-US"/>
        </w:rPr>
        <w:t xml:space="preserve"> to ensure that the </w:t>
      </w:r>
      <w:hyperlink w:anchor="_2.1—Definitions" w:history="1">
        <w:r w:rsidR="00AB0539" w:rsidRPr="00B40A77">
          <w:rPr>
            <w:rStyle w:val="Hyperlink"/>
            <w:color w:val="000000" w:themeColor="text1"/>
            <w:lang w:val="en-US"/>
          </w:rPr>
          <w:t>trial</w:t>
        </w:r>
      </w:hyperlink>
      <w:r w:rsidRPr="00B40A77">
        <w:rPr>
          <w:color w:val="000000" w:themeColor="text1"/>
          <w:szCs w:val="24"/>
          <w:lang w:val="en-US"/>
        </w:rPr>
        <w:t xml:space="preserve"> commences on the </w:t>
      </w:r>
      <w:hyperlink w:anchor="_2.1—Definitions" w:history="1">
        <w:r w:rsidR="004740A2" w:rsidRPr="00B40A77">
          <w:rPr>
            <w:rStyle w:val="Hyperlink"/>
            <w:color w:val="000000" w:themeColor="text1"/>
          </w:rPr>
          <w:t>trial date</w:t>
        </w:r>
      </w:hyperlink>
      <w:r w:rsidRPr="00B40A77">
        <w:rPr>
          <w:color w:val="000000" w:themeColor="text1"/>
          <w:szCs w:val="24"/>
          <w:lang w:val="en-US"/>
        </w:rPr>
        <w:t xml:space="preserve"> and will be conducted in an expeditious and fair manner.</w:t>
      </w:r>
    </w:p>
    <w:p w14:paraId="120833A8" w14:textId="7544F843" w:rsidR="0063146C" w:rsidRPr="00B40A77" w:rsidRDefault="0063146C" w:rsidP="0063146C">
      <w:pPr>
        <w:pStyle w:val="Hangindent"/>
        <w:rPr>
          <w:color w:val="000000" w:themeColor="text1"/>
          <w:spacing w:val="-3"/>
          <w:lang w:val="en-US"/>
        </w:rPr>
      </w:pPr>
      <w:r w:rsidRPr="00B40A77">
        <w:rPr>
          <w:color w:val="000000" w:themeColor="text1"/>
          <w:spacing w:val="-3"/>
          <w:lang w:val="en-US"/>
        </w:rPr>
        <w:t>(</w:t>
      </w:r>
      <w:r w:rsidR="00E91102" w:rsidRPr="00B40A77">
        <w:rPr>
          <w:color w:val="000000" w:themeColor="text1"/>
          <w:spacing w:val="-3"/>
          <w:lang w:val="en-US"/>
        </w:rPr>
        <w:t>2</w:t>
      </w:r>
      <w:r w:rsidRPr="00B40A77">
        <w:rPr>
          <w:color w:val="000000" w:themeColor="text1"/>
          <w:spacing w:val="-3"/>
          <w:lang w:val="en-US"/>
        </w:rPr>
        <w:t>)</w:t>
      </w:r>
      <w:r w:rsidRPr="00B40A77">
        <w:rPr>
          <w:color w:val="000000" w:themeColor="text1"/>
          <w:spacing w:val="-3"/>
          <w:lang w:val="en-US"/>
        </w:rPr>
        <w:tab/>
      </w:r>
      <w:r w:rsidRPr="00B40A77">
        <w:rPr>
          <w:color w:val="000000" w:themeColor="text1"/>
        </w:rPr>
        <w:t xml:space="preserve">A pre-trial </w:t>
      </w:r>
      <w:hyperlink w:anchor="_2.1—Definitions" w:history="1">
        <w:r w:rsidR="00BF56DC" w:rsidRPr="00B40A77">
          <w:rPr>
            <w:rStyle w:val="Hyperlink"/>
            <w:color w:val="000000" w:themeColor="text1"/>
          </w:rPr>
          <w:t>directions hearing</w:t>
        </w:r>
      </w:hyperlink>
      <w:r w:rsidRPr="00B40A77">
        <w:rPr>
          <w:color w:val="000000" w:themeColor="text1"/>
          <w:spacing w:val="-3"/>
          <w:lang w:val="en-US"/>
        </w:rPr>
        <w:t xml:space="preserve"> must be attended by</w:t>
      </w:r>
      <w:r w:rsidRPr="00B40A77">
        <w:rPr>
          <w:color w:val="000000" w:themeColor="text1"/>
          <w:lang w:val="en-US"/>
        </w:rPr>
        <w:t>—</w:t>
      </w:r>
    </w:p>
    <w:p w14:paraId="5FB26149" w14:textId="640570C4" w:rsidR="0063146C" w:rsidRPr="00B40A77" w:rsidRDefault="0063146C" w:rsidP="0063146C">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defendant </w:t>
      </w:r>
      <w:r w:rsidR="00E91102" w:rsidRPr="00B40A77">
        <w:rPr>
          <w:color w:val="000000" w:themeColor="text1"/>
          <w:lang w:val="en-US"/>
        </w:rPr>
        <w:t xml:space="preserve">or youth </w:t>
      </w:r>
      <w:r w:rsidRPr="00B40A77">
        <w:rPr>
          <w:color w:val="000000" w:themeColor="text1"/>
          <w:lang w:val="en-US"/>
        </w:rPr>
        <w:t xml:space="preserve">(but that attendance may be by </w:t>
      </w:r>
      <w:hyperlink w:anchor="_2.1—Definitions" w:history="1">
        <w:r w:rsidRPr="00B40A77">
          <w:rPr>
            <w:rStyle w:val="Hyperlink"/>
            <w:color w:val="000000" w:themeColor="text1"/>
            <w:lang w:val="en-US"/>
          </w:rPr>
          <w:t>audio visual link</w:t>
        </w:r>
      </w:hyperlink>
      <w:r w:rsidRPr="00B40A77">
        <w:rPr>
          <w:color w:val="000000" w:themeColor="text1"/>
          <w:lang w:val="en-US"/>
        </w:rPr>
        <w:t xml:space="preserve"> </w:t>
      </w:r>
      <w:r w:rsidR="00176DEB" w:rsidRPr="00B40A77">
        <w:rPr>
          <w:color w:val="000000" w:themeColor="text1"/>
          <w:lang w:val="en-US"/>
        </w:rPr>
        <w:t xml:space="preserve">or </w:t>
      </w:r>
      <w:hyperlink w:anchor="_2.1—Definitions" w:history="1">
        <w:r w:rsidR="00176DEB" w:rsidRPr="00B40A77">
          <w:rPr>
            <w:rStyle w:val="Hyperlink"/>
            <w:color w:val="000000" w:themeColor="text1"/>
            <w:lang w:val="en-US"/>
          </w:rPr>
          <w:t>audio link</w:t>
        </w:r>
      </w:hyperlink>
      <w:r w:rsidR="00176DEB" w:rsidRPr="00B40A77">
        <w:rPr>
          <w:color w:val="000000" w:themeColor="text1"/>
          <w:lang w:val="en-US"/>
        </w:rPr>
        <w:t xml:space="preserve"> </w:t>
      </w:r>
      <w:r w:rsidRPr="00B40A77">
        <w:rPr>
          <w:color w:val="000000" w:themeColor="text1"/>
          <w:lang w:val="en-US"/>
        </w:rPr>
        <w:t xml:space="preserve">under </w:t>
      </w:r>
      <w:hyperlink w:anchor="_15.3—Hearings_ordinarily_in" w:history="1">
        <w:r w:rsidRPr="00B40A77">
          <w:rPr>
            <w:rStyle w:val="Hyperlink"/>
            <w:color w:val="000000" w:themeColor="text1"/>
            <w:lang w:val="en-US"/>
          </w:rPr>
          <w:t>rule 38.3</w:t>
        </w:r>
      </w:hyperlink>
      <w:r w:rsidRPr="00B40A77">
        <w:rPr>
          <w:rStyle w:val="Hyperlink"/>
          <w:color w:val="000000" w:themeColor="text1"/>
          <w:u w:val="none"/>
          <w:lang w:val="en-US"/>
        </w:rPr>
        <w:t>)</w:t>
      </w:r>
      <w:r w:rsidRPr="00B40A77">
        <w:rPr>
          <w:color w:val="000000" w:themeColor="text1"/>
          <w:lang w:val="en-US"/>
        </w:rPr>
        <w:t>;</w:t>
      </w:r>
      <w:r w:rsidR="001B3359" w:rsidRPr="00B40A77">
        <w:rPr>
          <w:color w:val="000000" w:themeColor="text1"/>
          <w:lang w:val="en-US"/>
        </w:rPr>
        <w:t xml:space="preserve"> </w:t>
      </w:r>
    </w:p>
    <w:p w14:paraId="594B22A2" w14:textId="3FC40E22" w:rsidR="0063146C" w:rsidRPr="00B40A77" w:rsidRDefault="0063146C" w:rsidP="0063146C">
      <w:pPr>
        <w:pStyle w:val="Doublehangindent"/>
        <w:rPr>
          <w:color w:val="000000" w:themeColor="text1"/>
        </w:rPr>
      </w:pPr>
      <w:r w:rsidRPr="00B40A77">
        <w:rPr>
          <w:color w:val="000000" w:themeColor="text1"/>
          <w:lang w:val="en-US"/>
        </w:rPr>
        <w:t>(b)</w:t>
      </w:r>
      <w:r w:rsidRPr="00B40A77">
        <w:rPr>
          <w:color w:val="000000" w:themeColor="text1"/>
          <w:lang w:val="en-US"/>
        </w:rPr>
        <w:tab/>
        <w:t xml:space="preserve">if a defendant </w:t>
      </w:r>
      <w:r w:rsidR="00E91102" w:rsidRPr="00B40A77">
        <w:rPr>
          <w:color w:val="000000" w:themeColor="text1"/>
          <w:lang w:val="en-US"/>
        </w:rPr>
        <w:t xml:space="preserve">or youth </w:t>
      </w:r>
      <w:r w:rsidRPr="00B40A77">
        <w:rPr>
          <w:color w:val="000000" w:themeColor="text1"/>
          <w:lang w:val="en-US"/>
        </w:rPr>
        <w:t xml:space="preserve">is represented by a law firm, their </w:t>
      </w:r>
      <w:r w:rsidRPr="00B40A77">
        <w:rPr>
          <w:color w:val="000000" w:themeColor="text1"/>
        </w:rPr>
        <w:t xml:space="preserve">counsel briefed to appear at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or, by leave of the Court, if attendance of counsel is not practicable, by th</w:t>
      </w:r>
      <w:r w:rsidR="00E91102" w:rsidRPr="00B40A77">
        <w:rPr>
          <w:color w:val="000000" w:themeColor="text1"/>
        </w:rPr>
        <w:t>eir</w:t>
      </w:r>
      <w:r w:rsidRPr="00B40A77">
        <w:rPr>
          <w:color w:val="000000" w:themeColor="text1"/>
        </w:rPr>
        <w:t xml:space="preserve"> solicitor; and</w:t>
      </w:r>
    </w:p>
    <w:p w14:paraId="3043145A" w14:textId="5F5EFCA6" w:rsidR="00EC155A" w:rsidRPr="00B40A77" w:rsidRDefault="0063146C" w:rsidP="0063146C">
      <w:pPr>
        <w:pStyle w:val="Doublehangindent"/>
        <w:rPr>
          <w:color w:val="000000" w:themeColor="text1"/>
          <w:lang w:val="en-US"/>
        </w:rPr>
      </w:pPr>
      <w:r w:rsidRPr="00B40A77">
        <w:rPr>
          <w:color w:val="000000" w:themeColor="text1"/>
        </w:rPr>
        <w:t>(c)</w:t>
      </w:r>
      <w:r w:rsidRPr="00B40A77">
        <w:rPr>
          <w:color w:val="000000" w:themeColor="text1"/>
        </w:rPr>
        <w:tab/>
      </w:r>
      <w:r w:rsidR="00E91102" w:rsidRPr="00B40A77">
        <w:rPr>
          <w:color w:val="000000" w:themeColor="text1"/>
        </w:rPr>
        <w:t xml:space="preserve">the lawyer or police prosecutor intended to appear for the informant at the </w:t>
      </w:r>
      <w:hyperlink w:anchor="_2.1—Definitions" w:history="1">
        <w:r w:rsidR="00AB0539" w:rsidRPr="00B40A77">
          <w:rPr>
            <w:rStyle w:val="Hyperlink"/>
            <w:color w:val="000000" w:themeColor="text1"/>
            <w:lang w:val="en-US"/>
          </w:rPr>
          <w:t>trial</w:t>
        </w:r>
      </w:hyperlink>
      <w:r w:rsidR="00E91102" w:rsidRPr="00B40A77">
        <w:rPr>
          <w:color w:val="000000" w:themeColor="text1"/>
        </w:rPr>
        <w:t xml:space="preserve"> or, by leave of the Court, if their attendance is not practicable, by another lawyer or police prosecutor appearing for the informant</w:t>
      </w:r>
      <w:r w:rsidRPr="00B40A77">
        <w:rPr>
          <w:color w:val="000000" w:themeColor="text1"/>
        </w:rPr>
        <w:t>.</w:t>
      </w:r>
    </w:p>
    <w:p w14:paraId="3BC48227" w14:textId="77777777" w:rsidR="005906AF" w:rsidRPr="00B40A77" w:rsidRDefault="005906AF" w:rsidP="005906AF">
      <w:pPr>
        <w:pStyle w:val="Heading1"/>
        <w:keepNext w:val="0"/>
        <w:keepLines w:val="0"/>
        <w:widowControl w:val="0"/>
        <w:ind w:left="0" w:firstLine="0"/>
        <w:rPr>
          <w:color w:val="000000" w:themeColor="text1"/>
          <w:sz w:val="20"/>
          <w:szCs w:val="18"/>
        </w:rPr>
      </w:pPr>
      <w:bookmarkStart w:id="583" w:name="_Chapter_4—Committal_proceedings"/>
      <w:bookmarkEnd w:id="580"/>
      <w:bookmarkEnd w:id="583"/>
      <w:r w:rsidRPr="00B40A77">
        <w:rPr>
          <w:color w:val="000000" w:themeColor="text1"/>
        </w:rPr>
        <w:br w:type="page"/>
      </w:r>
    </w:p>
    <w:p w14:paraId="6B8BFDE8" w14:textId="553209A6" w:rsidR="0076562A" w:rsidRPr="00B40A77" w:rsidRDefault="0076562A" w:rsidP="00A12E24">
      <w:pPr>
        <w:pStyle w:val="Heading1"/>
        <w:ind w:left="0" w:firstLine="0"/>
        <w:rPr>
          <w:color w:val="000000" w:themeColor="text1"/>
        </w:rPr>
      </w:pPr>
      <w:bookmarkStart w:id="584" w:name="_Toc175239027"/>
      <w:r w:rsidRPr="00B40A77">
        <w:rPr>
          <w:color w:val="000000" w:themeColor="text1"/>
        </w:rPr>
        <w:lastRenderedPageBreak/>
        <w:t xml:space="preserve">Chapter </w:t>
      </w:r>
      <w:r w:rsidR="00C07C0B" w:rsidRPr="00B40A77">
        <w:rPr>
          <w:color w:val="000000" w:themeColor="text1"/>
        </w:rPr>
        <w:t>4</w:t>
      </w:r>
      <w:r w:rsidRPr="00B40A77">
        <w:rPr>
          <w:color w:val="000000" w:themeColor="text1"/>
        </w:rPr>
        <w:t>—</w:t>
      </w:r>
      <w:r w:rsidR="00C07C0B" w:rsidRPr="00B40A77">
        <w:rPr>
          <w:color w:val="000000" w:themeColor="text1"/>
        </w:rPr>
        <w:t>Committal p</w:t>
      </w:r>
      <w:r w:rsidRPr="00B40A77">
        <w:rPr>
          <w:color w:val="000000" w:themeColor="text1"/>
        </w:rPr>
        <w:t>roceedings in Lower Courts</w:t>
      </w:r>
      <w:bookmarkEnd w:id="584"/>
      <w:r w:rsidRPr="00B40A77">
        <w:rPr>
          <w:color w:val="000000" w:themeColor="text1"/>
        </w:rPr>
        <w:t xml:space="preserve"> </w:t>
      </w:r>
    </w:p>
    <w:p w14:paraId="7A75E993" w14:textId="38B1D8D7" w:rsidR="00F243E8" w:rsidRPr="00B40A77" w:rsidRDefault="00F243E8" w:rsidP="00BE23A0">
      <w:pPr>
        <w:pStyle w:val="Heading2"/>
        <w:keepNext/>
        <w:rPr>
          <w:color w:val="000000" w:themeColor="text1"/>
        </w:rPr>
      </w:pPr>
      <w:bookmarkStart w:id="585" w:name="_Toc175239028"/>
      <w:r w:rsidRPr="00B40A77">
        <w:rPr>
          <w:color w:val="000000" w:themeColor="text1"/>
        </w:rPr>
        <w:t>Part 1—Scope of Chapter</w:t>
      </w:r>
      <w:bookmarkEnd w:id="585"/>
    </w:p>
    <w:p w14:paraId="188EAD82" w14:textId="1E5D07B2" w:rsidR="00F243E8" w:rsidRPr="00B40A77" w:rsidRDefault="00E706FF" w:rsidP="00F243E8">
      <w:pPr>
        <w:pStyle w:val="Heading4"/>
        <w:rPr>
          <w:color w:val="000000" w:themeColor="text1"/>
        </w:rPr>
      </w:pPr>
      <w:bookmarkStart w:id="586" w:name="_Toc175239029"/>
      <w:r w:rsidRPr="00B40A77">
        <w:rPr>
          <w:color w:val="000000" w:themeColor="text1"/>
        </w:rPr>
        <w:t>8</w:t>
      </w:r>
      <w:r w:rsidR="00854149" w:rsidRPr="00B40A77">
        <w:rPr>
          <w:color w:val="000000" w:themeColor="text1"/>
        </w:rPr>
        <w:t>1</w:t>
      </w:r>
      <w:r w:rsidR="00F243E8" w:rsidRPr="00B40A77">
        <w:rPr>
          <w:color w:val="000000" w:themeColor="text1"/>
        </w:rPr>
        <w:t>.1—Scope</w:t>
      </w:r>
      <w:bookmarkEnd w:id="586"/>
    </w:p>
    <w:p w14:paraId="77FC6E9D" w14:textId="1BB17530" w:rsidR="00F243E8" w:rsidRPr="00B40A77" w:rsidRDefault="00F243E8" w:rsidP="005A0258">
      <w:pPr>
        <w:pStyle w:val="Hangindent"/>
        <w:ind w:left="567" w:firstLine="0"/>
        <w:rPr>
          <w:rFonts w:cs="Times New Roman"/>
          <w:color w:val="000000" w:themeColor="text1"/>
        </w:rPr>
      </w:pPr>
      <w:r w:rsidRPr="00B40A77">
        <w:rPr>
          <w:color w:val="000000" w:themeColor="text1"/>
          <w:lang w:val="en-US"/>
        </w:rPr>
        <w:t>This C</w:t>
      </w:r>
      <w:r w:rsidR="00F80C6E" w:rsidRPr="00B40A77">
        <w:rPr>
          <w:color w:val="000000" w:themeColor="text1"/>
          <w:lang w:val="en-US"/>
        </w:rPr>
        <w:t xml:space="preserve">hapter applies to </w:t>
      </w:r>
      <w:hyperlink w:anchor="_2.1—Definitions" w:history="1">
        <w:r w:rsidR="00F80C6E" w:rsidRPr="00B40A77">
          <w:rPr>
            <w:rStyle w:val="Hyperlink"/>
            <w:color w:val="000000" w:themeColor="text1"/>
            <w:lang w:val="en-US"/>
          </w:rPr>
          <w:t>committal</w:t>
        </w:r>
        <w:r w:rsidRPr="00B40A77">
          <w:rPr>
            <w:rStyle w:val="Hyperlink"/>
            <w:color w:val="000000" w:themeColor="text1"/>
            <w:lang w:val="en-US"/>
          </w:rPr>
          <w:t xml:space="preserve"> proceedings</w:t>
        </w:r>
      </w:hyperlink>
      <w:r w:rsidRPr="00B40A77">
        <w:rPr>
          <w:color w:val="000000" w:themeColor="text1"/>
          <w:lang w:val="en-US"/>
        </w:rPr>
        <w:t xml:space="preserve"> in the </w:t>
      </w:r>
      <w:hyperlink w:anchor="_2.1—Definitions" w:history="1">
        <w:r w:rsidR="00981911" w:rsidRPr="00B40A77">
          <w:rPr>
            <w:rStyle w:val="Hyperlink"/>
            <w:color w:val="000000" w:themeColor="text1"/>
          </w:rPr>
          <w:t>Lower Court</w:t>
        </w:r>
      </w:hyperlink>
      <w:r w:rsidRPr="00B40A77">
        <w:rPr>
          <w:color w:val="000000" w:themeColor="text1"/>
          <w:u w:val="single"/>
          <w:lang w:val="en-US"/>
        </w:rPr>
        <w:t>s</w:t>
      </w:r>
      <w:r w:rsidR="001B0566" w:rsidRPr="00B40A77">
        <w:rPr>
          <w:rFonts w:cs="Times New Roman"/>
          <w:color w:val="000000" w:themeColor="text1"/>
        </w:rPr>
        <w:t>—</w:t>
      </w:r>
    </w:p>
    <w:p w14:paraId="1812B5CD" w14:textId="01E96D56" w:rsidR="00AA2194" w:rsidRPr="00B40A77" w:rsidRDefault="00AA36AB" w:rsidP="00E922F1">
      <w:pPr>
        <w:pStyle w:val="Hangindent"/>
        <w:rPr>
          <w:color w:val="000000" w:themeColor="text1"/>
          <w:lang w:val="en-US"/>
        </w:rPr>
      </w:pPr>
      <w:r w:rsidRPr="00B40A77">
        <w:rPr>
          <w:rFonts w:cs="Times New Roman"/>
          <w:color w:val="000000" w:themeColor="text1"/>
        </w:rPr>
        <w:t>(</w:t>
      </w:r>
      <w:r w:rsidRPr="00B40A77">
        <w:rPr>
          <w:color w:val="000000" w:themeColor="text1"/>
          <w:lang w:val="en-US"/>
        </w:rPr>
        <w:t>a</w:t>
      </w:r>
      <w:r w:rsidR="00AA2194" w:rsidRPr="00B40A77">
        <w:rPr>
          <w:color w:val="000000" w:themeColor="text1"/>
          <w:lang w:val="en-US"/>
        </w:rPr>
        <w:t>)</w:t>
      </w:r>
      <w:r w:rsidR="00AA2194" w:rsidRPr="00B40A77">
        <w:rPr>
          <w:color w:val="000000" w:themeColor="text1"/>
          <w:lang w:val="en-US"/>
        </w:rPr>
        <w:tab/>
        <w:t xml:space="preserve">in the case of Informations in the Magistrates Court in which the highest </w:t>
      </w:r>
      <w:hyperlink w:anchor="_2.1—Definitions" w:history="1">
        <w:r w:rsidR="00AA2194" w:rsidRPr="00B40A77">
          <w:rPr>
            <w:rStyle w:val="Hyperlink"/>
            <w:color w:val="000000" w:themeColor="text1"/>
            <w:lang w:val="en-US"/>
          </w:rPr>
          <w:t>charge category</w:t>
        </w:r>
      </w:hyperlink>
      <w:r w:rsidR="00AA2194" w:rsidRPr="00B40A77">
        <w:rPr>
          <w:color w:val="000000" w:themeColor="text1"/>
          <w:lang w:val="en-US"/>
        </w:rPr>
        <w:t xml:space="preserve"> is </w:t>
      </w:r>
      <w:r w:rsidR="00AA2194" w:rsidRPr="00B40A77">
        <w:rPr>
          <w:color w:val="000000" w:themeColor="text1"/>
          <w:u w:val="single"/>
          <w:lang w:val="en-US"/>
        </w:rPr>
        <w:t>major indictable</w:t>
      </w:r>
      <w:r w:rsidR="00AA2194" w:rsidRPr="00B40A77">
        <w:rPr>
          <w:color w:val="000000" w:themeColor="text1"/>
          <w:lang w:val="en-US"/>
        </w:rPr>
        <w:t>—</w:t>
      </w:r>
      <w:r w:rsidR="00C41374" w:rsidRPr="00B40A77">
        <w:rPr>
          <w:color w:val="000000" w:themeColor="text1"/>
          <w:lang w:val="en-US"/>
        </w:rPr>
        <w:t>unless and until</w:t>
      </w:r>
      <w:r w:rsidR="00AA2194" w:rsidRPr="00B40A77">
        <w:rPr>
          <w:color w:val="000000" w:themeColor="text1"/>
          <w:lang w:val="en-US"/>
        </w:rPr>
        <w:t xml:space="preserve"> an election or order </w:t>
      </w:r>
      <w:r w:rsidR="00E706FF" w:rsidRPr="00B40A77">
        <w:rPr>
          <w:color w:val="000000" w:themeColor="text1"/>
          <w:lang w:val="en-US"/>
        </w:rPr>
        <w:t xml:space="preserve">is </w:t>
      </w:r>
      <w:r w:rsidR="00AA2194" w:rsidRPr="00B40A77">
        <w:rPr>
          <w:color w:val="000000" w:themeColor="text1"/>
          <w:lang w:val="en-US"/>
        </w:rPr>
        <w:t xml:space="preserve">made for </w:t>
      </w:r>
      <w:r w:rsidR="00E45E4F" w:rsidRPr="00B40A77">
        <w:rPr>
          <w:color w:val="000000" w:themeColor="text1"/>
          <w:lang w:val="en-US"/>
        </w:rPr>
        <w:t xml:space="preserve">the defendant to be </w:t>
      </w:r>
      <w:r w:rsidR="00AA2194" w:rsidRPr="00B40A77">
        <w:rPr>
          <w:color w:val="000000" w:themeColor="text1"/>
          <w:lang w:val="en-US"/>
        </w:rPr>
        <w:t>sentence</w:t>
      </w:r>
      <w:r w:rsidR="00E45E4F" w:rsidRPr="00B40A77">
        <w:rPr>
          <w:color w:val="000000" w:themeColor="text1"/>
          <w:lang w:val="en-US"/>
        </w:rPr>
        <w:t>d</w:t>
      </w:r>
      <w:r w:rsidR="00AA2194" w:rsidRPr="00B40A77">
        <w:rPr>
          <w:color w:val="000000" w:themeColor="text1"/>
          <w:lang w:val="en-US"/>
        </w:rPr>
        <w:t xml:space="preserve"> in </w:t>
      </w:r>
      <w:r w:rsidR="00E45E4F" w:rsidRPr="00B40A77">
        <w:rPr>
          <w:color w:val="000000" w:themeColor="text1"/>
          <w:lang w:val="en-US"/>
        </w:rPr>
        <w:t>the Magistrates</w:t>
      </w:r>
      <w:r w:rsidR="00AA2194" w:rsidRPr="00B40A77">
        <w:rPr>
          <w:color w:val="000000" w:themeColor="text1"/>
          <w:lang w:val="en-US"/>
        </w:rPr>
        <w:t xml:space="preserve"> Court;</w:t>
      </w:r>
    </w:p>
    <w:p w14:paraId="2A2C8209" w14:textId="75BC2452" w:rsidR="00F243E8" w:rsidRPr="00B40A77" w:rsidRDefault="00F243E8" w:rsidP="00E922F1">
      <w:pPr>
        <w:pStyle w:val="Hangindent"/>
        <w:rPr>
          <w:color w:val="000000" w:themeColor="text1"/>
          <w:lang w:val="en-US"/>
        </w:rPr>
      </w:pPr>
      <w:r w:rsidRPr="00B40A77">
        <w:rPr>
          <w:color w:val="000000" w:themeColor="text1"/>
          <w:lang w:val="en-US"/>
        </w:rPr>
        <w:t>(</w:t>
      </w:r>
      <w:r w:rsidR="003B4A9B" w:rsidRPr="00B40A77">
        <w:rPr>
          <w:color w:val="000000" w:themeColor="text1"/>
          <w:lang w:val="en-US"/>
        </w:rPr>
        <w:t>b</w:t>
      </w:r>
      <w:r w:rsidRPr="00B40A77">
        <w:rPr>
          <w:color w:val="000000" w:themeColor="text1"/>
          <w:lang w:val="en-US"/>
        </w:rPr>
        <w:t>)</w:t>
      </w:r>
      <w:r w:rsidRPr="00B40A77">
        <w:rPr>
          <w:color w:val="000000" w:themeColor="text1"/>
          <w:lang w:val="en-US"/>
        </w:rPr>
        <w:tab/>
        <w:t xml:space="preserve">in the case of proceedings in the Magistrates Court or </w:t>
      </w:r>
      <w:r w:rsidR="00A85D66" w:rsidRPr="00B40A77">
        <w:rPr>
          <w:color w:val="000000" w:themeColor="text1"/>
          <w:lang w:val="en-US"/>
        </w:rPr>
        <w:t>Environment Resources and Development Court</w:t>
      </w:r>
      <w:r w:rsidRPr="00B40A77">
        <w:rPr>
          <w:color w:val="000000" w:themeColor="text1"/>
          <w:lang w:val="en-US"/>
        </w:rPr>
        <w:t xml:space="preserve"> in which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is </w:t>
      </w:r>
      <w:r w:rsidRPr="00B40A77">
        <w:rPr>
          <w:color w:val="000000" w:themeColor="text1"/>
          <w:u w:val="single"/>
          <w:lang w:val="en-US"/>
        </w:rPr>
        <w:t>minor indictable</w:t>
      </w:r>
      <w:r w:rsidRPr="00B40A77">
        <w:rPr>
          <w:color w:val="000000" w:themeColor="text1"/>
          <w:lang w:val="en-US"/>
        </w:rPr>
        <w:t>—</w:t>
      </w:r>
      <w:r w:rsidR="00E45E4F" w:rsidRPr="00B40A77">
        <w:rPr>
          <w:color w:val="000000" w:themeColor="text1"/>
          <w:lang w:val="en-US"/>
        </w:rPr>
        <w:t>from</w:t>
      </w:r>
      <w:r w:rsidRPr="00B40A77">
        <w:rPr>
          <w:color w:val="000000" w:themeColor="text1"/>
          <w:lang w:val="en-US"/>
        </w:rPr>
        <w:t xml:space="preserve"> the point at which an election is </w:t>
      </w:r>
      <w:r w:rsidR="001B0566" w:rsidRPr="00B40A77">
        <w:rPr>
          <w:color w:val="000000" w:themeColor="text1"/>
          <w:lang w:val="en-US"/>
        </w:rPr>
        <w:t>made</w:t>
      </w:r>
      <w:r w:rsidRPr="00B40A77">
        <w:rPr>
          <w:color w:val="000000" w:themeColor="text1"/>
          <w:lang w:val="en-US"/>
        </w:rPr>
        <w:t xml:space="preserve">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in a </w:t>
      </w:r>
      <w:hyperlink w:anchor="_2.1—Definitions" w:history="1">
        <w:r w:rsidR="00E83325" w:rsidRPr="00B40A77">
          <w:rPr>
            <w:rStyle w:val="Hyperlink"/>
            <w:color w:val="000000" w:themeColor="text1"/>
            <w:lang w:val="en-US"/>
          </w:rPr>
          <w:t>Higher Court</w:t>
        </w:r>
      </w:hyperlink>
      <w:r w:rsidRPr="00B40A77">
        <w:rPr>
          <w:color w:val="000000" w:themeColor="text1"/>
          <w:lang w:val="en-US"/>
        </w:rPr>
        <w:t>;</w:t>
      </w:r>
    </w:p>
    <w:p w14:paraId="2A61E45A" w14:textId="7C825183" w:rsidR="00277B28" w:rsidRPr="00B40A77" w:rsidRDefault="00F243E8" w:rsidP="00E922F1">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in the case of Informations in the Magistrates Court or </w:t>
      </w:r>
      <w:r w:rsidR="00A85D66" w:rsidRPr="00B40A77">
        <w:rPr>
          <w:color w:val="000000" w:themeColor="text1"/>
          <w:lang w:val="en-US"/>
        </w:rPr>
        <w:t>Environment Resources and Development Court</w:t>
      </w:r>
      <w:r w:rsidRPr="00B40A77">
        <w:rPr>
          <w:color w:val="000000" w:themeColor="text1"/>
          <w:lang w:val="en-US"/>
        </w:rPr>
        <w:t xml:space="preserve"> in which</w:t>
      </w:r>
      <w:r w:rsidR="00277B28" w:rsidRPr="00B40A77">
        <w:rPr>
          <w:rFonts w:cs="Times New Roman"/>
          <w:color w:val="000000" w:themeColor="text1"/>
        </w:rPr>
        <w:t>—</w:t>
      </w:r>
    </w:p>
    <w:p w14:paraId="05E7D05C" w14:textId="4DCA4A6F" w:rsidR="00277B28" w:rsidRPr="00B40A77" w:rsidRDefault="00277B28" w:rsidP="000B2978">
      <w:pPr>
        <w:pStyle w:val="Hangindent"/>
        <w:ind w:left="1701"/>
        <w:rPr>
          <w:color w:val="000000" w:themeColor="text1"/>
          <w:lang w:val="en-US"/>
        </w:rPr>
      </w:pPr>
      <w:r w:rsidRPr="00B40A77">
        <w:rPr>
          <w:color w:val="000000" w:themeColor="text1"/>
          <w:lang w:val="en-US"/>
        </w:rPr>
        <w:t>(i)</w:t>
      </w:r>
      <w:r w:rsidRPr="00B40A77">
        <w:rPr>
          <w:color w:val="000000" w:themeColor="text1"/>
          <w:lang w:val="en-US"/>
        </w:rPr>
        <w:tab/>
      </w:r>
      <w:r w:rsidR="00F243E8" w:rsidRPr="00B40A77">
        <w:rPr>
          <w:color w:val="000000" w:themeColor="text1"/>
          <w:lang w:val="en-US"/>
        </w:rPr>
        <w:t xml:space="preserve">the highest </w:t>
      </w:r>
      <w:hyperlink w:anchor="_2.1—Definitions" w:history="1">
        <w:r w:rsidR="00F243E8" w:rsidRPr="00B40A77">
          <w:rPr>
            <w:rStyle w:val="Hyperlink"/>
            <w:color w:val="000000" w:themeColor="text1"/>
            <w:lang w:val="en-US"/>
          </w:rPr>
          <w:t>charge category</w:t>
        </w:r>
      </w:hyperlink>
      <w:r w:rsidR="00F243E8" w:rsidRPr="00B40A77">
        <w:rPr>
          <w:color w:val="000000" w:themeColor="text1"/>
          <w:lang w:val="en-US"/>
        </w:rPr>
        <w:t xml:space="preserve"> is </w:t>
      </w:r>
      <w:r w:rsidR="00F243E8" w:rsidRPr="00B40A77">
        <w:rPr>
          <w:color w:val="000000" w:themeColor="text1"/>
          <w:u w:val="single"/>
          <w:lang w:val="en-US"/>
        </w:rPr>
        <w:t>Commonwealth minor indictable</w:t>
      </w:r>
      <w:r w:rsidRPr="00B40A77">
        <w:rPr>
          <w:color w:val="000000" w:themeColor="text1"/>
          <w:u w:val="single"/>
          <w:lang w:val="en-US"/>
        </w:rPr>
        <w:t>;</w:t>
      </w:r>
      <w:r w:rsidR="00250904" w:rsidRPr="00B40A77">
        <w:rPr>
          <w:color w:val="000000" w:themeColor="text1"/>
          <w:lang w:val="en-US"/>
        </w:rPr>
        <w:t xml:space="preserve"> or </w:t>
      </w:r>
    </w:p>
    <w:p w14:paraId="5BDA802D" w14:textId="64966CD9" w:rsidR="00277B28" w:rsidRPr="00B40A77" w:rsidRDefault="00277B28" w:rsidP="000B2978">
      <w:pPr>
        <w:pStyle w:val="Hangindent"/>
        <w:ind w:left="1701"/>
        <w:rPr>
          <w:color w:val="000000" w:themeColor="text1"/>
          <w:lang w:val="en-US"/>
        </w:rPr>
      </w:pPr>
      <w:r w:rsidRPr="00B40A77">
        <w:rPr>
          <w:color w:val="000000" w:themeColor="text1"/>
          <w:lang w:val="en-US"/>
        </w:rPr>
        <w:t>(ii)</w:t>
      </w:r>
      <w:r w:rsidR="000B2978" w:rsidRPr="00B40A77">
        <w:rPr>
          <w:color w:val="000000" w:themeColor="text1"/>
          <w:lang w:val="en-US"/>
        </w:rPr>
        <w:tab/>
      </w:r>
      <w:r w:rsidR="00AC3FA4" w:rsidRPr="00B40A77">
        <w:rPr>
          <w:color w:val="000000" w:themeColor="text1"/>
          <w:lang w:val="en-US"/>
        </w:rPr>
        <w:t xml:space="preserve">the highest </w:t>
      </w:r>
      <w:hyperlink w:anchor="_2.1—Definitions" w:history="1">
        <w:r w:rsidR="00AC3FA4" w:rsidRPr="00B40A77">
          <w:rPr>
            <w:rStyle w:val="Hyperlink"/>
            <w:color w:val="000000" w:themeColor="text1"/>
            <w:lang w:val="en-US"/>
          </w:rPr>
          <w:t>charge category</w:t>
        </w:r>
      </w:hyperlink>
      <w:r w:rsidR="00AC3FA4" w:rsidRPr="00B40A77">
        <w:rPr>
          <w:color w:val="000000" w:themeColor="text1"/>
          <w:lang w:val="en-US"/>
        </w:rPr>
        <w:t xml:space="preserve"> is </w:t>
      </w:r>
      <w:r w:rsidR="00250904" w:rsidRPr="00B40A77">
        <w:rPr>
          <w:color w:val="000000" w:themeColor="text1"/>
          <w:u w:val="single"/>
          <w:lang w:val="en-US"/>
        </w:rPr>
        <w:t>Commonwealth indic</w:t>
      </w:r>
      <w:r w:rsidR="005E5DDF" w:rsidRPr="00B40A77">
        <w:rPr>
          <w:color w:val="000000" w:themeColor="text1"/>
          <w:u w:val="single"/>
          <w:lang w:val="en-US"/>
        </w:rPr>
        <w:t>table</w:t>
      </w:r>
      <w:r w:rsidR="005E5DDF" w:rsidRPr="00B40A77">
        <w:rPr>
          <w:color w:val="000000" w:themeColor="text1"/>
          <w:lang w:val="en-US"/>
        </w:rPr>
        <w:t xml:space="preserve"> </w:t>
      </w:r>
      <w:r w:rsidR="00AC3FA4" w:rsidRPr="00B40A77">
        <w:rPr>
          <w:color w:val="000000" w:themeColor="text1"/>
          <w:lang w:val="en-US"/>
        </w:rPr>
        <w:t>and</w:t>
      </w:r>
      <w:r w:rsidR="005E5DDF" w:rsidRPr="00B40A77">
        <w:rPr>
          <w:color w:val="000000" w:themeColor="text1"/>
          <w:lang w:val="en-US"/>
        </w:rPr>
        <w:t xml:space="preserve"> the offence relates to property whose value does not exceed $5,000</w:t>
      </w:r>
      <w:r w:rsidRPr="00B40A77">
        <w:rPr>
          <w:color w:val="000000" w:themeColor="text1"/>
          <w:lang w:val="en-US"/>
        </w:rPr>
        <w:t>,</w:t>
      </w:r>
    </w:p>
    <w:p w14:paraId="088556A2" w14:textId="79DAA994" w:rsidR="00F243E8" w:rsidRPr="00B40A77" w:rsidRDefault="00F243E8" w:rsidP="00277B28">
      <w:pPr>
        <w:pStyle w:val="Hangindent"/>
        <w:ind w:left="1138" w:firstLine="0"/>
        <w:rPr>
          <w:color w:val="000000" w:themeColor="text1"/>
          <w:lang w:val="en-US"/>
        </w:rPr>
      </w:pPr>
      <w:r w:rsidRPr="00B40A77">
        <w:rPr>
          <w:color w:val="000000" w:themeColor="text1"/>
          <w:lang w:val="en-US"/>
        </w:rPr>
        <w:t>—</w:t>
      </w:r>
      <w:r w:rsidR="00C41374" w:rsidRPr="00B40A77">
        <w:rPr>
          <w:color w:val="000000" w:themeColor="text1"/>
          <w:lang w:val="en-US"/>
        </w:rPr>
        <w:t xml:space="preserve">unless and until an </w:t>
      </w:r>
      <w:r w:rsidRPr="00B40A77">
        <w:rPr>
          <w:color w:val="000000" w:themeColor="text1"/>
          <w:lang w:val="en-US"/>
        </w:rPr>
        <w:t>order</w:t>
      </w:r>
      <w:r w:rsidR="003B4A9B" w:rsidRPr="00B40A77">
        <w:rPr>
          <w:color w:val="000000" w:themeColor="text1"/>
          <w:lang w:val="en-US"/>
        </w:rPr>
        <w:t xml:space="preserve"> </w:t>
      </w:r>
      <w:r w:rsidR="00E706FF" w:rsidRPr="00B40A77">
        <w:rPr>
          <w:color w:val="000000" w:themeColor="text1"/>
          <w:lang w:val="en-US"/>
        </w:rPr>
        <w:t xml:space="preserve">is </w:t>
      </w:r>
      <w:r w:rsidR="003B4A9B" w:rsidRPr="00B40A77">
        <w:rPr>
          <w:color w:val="000000" w:themeColor="text1"/>
          <w:lang w:val="en-US"/>
        </w:rPr>
        <w:t xml:space="preserve">made for the proceeding to be heard and determined in the </w:t>
      </w:r>
      <w:hyperlink w:anchor="_2.1—Definitions" w:history="1">
        <w:r w:rsidR="00981911" w:rsidRPr="00B40A77">
          <w:rPr>
            <w:rStyle w:val="Hyperlink"/>
            <w:color w:val="000000" w:themeColor="text1"/>
          </w:rPr>
          <w:t>Lower Court</w:t>
        </w:r>
      </w:hyperlink>
      <w:r w:rsidRPr="00B40A77">
        <w:rPr>
          <w:color w:val="000000" w:themeColor="text1"/>
          <w:lang w:val="en-US"/>
        </w:rPr>
        <w:t>;</w:t>
      </w:r>
    </w:p>
    <w:p w14:paraId="7E5943A3" w14:textId="4E05C8D3" w:rsidR="00F243E8" w:rsidRPr="00B40A77" w:rsidRDefault="00F243E8" w:rsidP="00E922F1">
      <w:pPr>
        <w:pStyle w:val="Hangindent"/>
        <w:rPr>
          <w:color w:val="000000" w:themeColor="text1"/>
          <w:lang w:val="en-US"/>
        </w:rPr>
      </w:pPr>
      <w:r w:rsidRPr="00B40A77">
        <w:rPr>
          <w:color w:val="000000" w:themeColor="text1"/>
          <w:lang w:val="en-US"/>
        </w:rPr>
        <w:t>(d)</w:t>
      </w:r>
      <w:r w:rsidRPr="00B40A77">
        <w:rPr>
          <w:color w:val="000000" w:themeColor="text1"/>
          <w:lang w:val="en-US"/>
        </w:rPr>
        <w:tab/>
        <w:t xml:space="preserve">in the case of Informations in the Youth Court in which the highest </w:t>
      </w:r>
      <w:hyperlink w:anchor="_2.1—Definitions" w:history="1">
        <w:r w:rsidRPr="00B40A77">
          <w:rPr>
            <w:rStyle w:val="Hyperlink"/>
            <w:color w:val="000000" w:themeColor="text1"/>
            <w:lang w:val="en-US"/>
          </w:rPr>
          <w:t>charge category</w:t>
        </w:r>
      </w:hyperlink>
      <w:r w:rsidRPr="00B40A77">
        <w:rPr>
          <w:color w:val="000000" w:themeColor="text1"/>
          <w:lang w:val="en-US"/>
        </w:rPr>
        <w:t xml:space="preserve"> is </w:t>
      </w:r>
      <w:r w:rsidRPr="00B40A77">
        <w:rPr>
          <w:color w:val="000000" w:themeColor="text1"/>
          <w:u w:val="single"/>
          <w:lang w:val="en-US"/>
        </w:rPr>
        <w:t>minor indictable</w:t>
      </w:r>
      <w:r w:rsidRPr="00B40A77">
        <w:rPr>
          <w:color w:val="000000" w:themeColor="text1"/>
          <w:lang w:val="en-US"/>
        </w:rPr>
        <w:t xml:space="preserve"> or </w:t>
      </w:r>
      <w:r w:rsidRPr="00B40A77">
        <w:rPr>
          <w:color w:val="000000" w:themeColor="text1"/>
          <w:u w:val="single"/>
          <w:lang w:val="en-US"/>
        </w:rPr>
        <w:t>major indictable</w:t>
      </w:r>
      <w:r w:rsidRPr="00B40A77">
        <w:rPr>
          <w:color w:val="000000" w:themeColor="text1"/>
          <w:lang w:val="en-US"/>
        </w:rPr>
        <w:t xml:space="preserve"> other than a </w:t>
      </w:r>
      <w:hyperlink w:anchor="_2.1—Definitions" w:history="1">
        <w:r w:rsidR="00E83325" w:rsidRPr="00B40A77">
          <w:rPr>
            <w:rStyle w:val="Hyperlink"/>
            <w:rFonts w:cs="Times New Roman"/>
            <w:color w:val="000000" w:themeColor="text1"/>
          </w:rPr>
          <w:t>homicide-related offence</w:t>
        </w:r>
      </w:hyperlink>
      <w:r w:rsidRPr="00B40A77">
        <w:rPr>
          <w:color w:val="000000" w:themeColor="text1"/>
          <w:lang w:val="en-US"/>
        </w:rPr>
        <w:t>—</w:t>
      </w:r>
      <w:r w:rsidR="00C41374" w:rsidRPr="00B40A77">
        <w:rPr>
          <w:color w:val="000000" w:themeColor="text1"/>
          <w:lang w:val="en-US"/>
        </w:rPr>
        <w:t xml:space="preserve">if and </w:t>
      </w:r>
      <w:r w:rsidR="001B0566" w:rsidRPr="00B40A77">
        <w:rPr>
          <w:color w:val="000000" w:themeColor="text1"/>
          <w:lang w:val="en-US"/>
        </w:rPr>
        <w:t>from</w:t>
      </w:r>
      <w:r w:rsidRPr="00B40A77">
        <w:rPr>
          <w:color w:val="000000" w:themeColor="text1"/>
          <w:lang w:val="en-US"/>
        </w:rPr>
        <w:t xml:space="preserve"> the point at which an election or order </w:t>
      </w:r>
      <w:r w:rsidR="00E706FF" w:rsidRPr="00B40A77">
        <w:rPr>
          <w:color w:val="000000" w:themeColor="text1"/>
          <w:lang w:val="en-US"/>
        </w:rPr>
        <w:t xml:space="preserve">is </w:t>
      </w:r>
      <w:r w:rsidRPr="00B40A77">
        <w:rPr>
          <w:color w:val="000000" w:themeColor="text1"/>
          <w:lang w:val="en-US"/>
        </w:rPr>
        <w:t xml:space="preserve">made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or </w:t>
      </w:r>
      <w:hyperlink w:anchor="_2.1—Definitions" w:history="1">
        <w:r w:rsidR="00596ADA" w:rsidRPr="00B40A77">
          <w:rPr>
            <w:rStyle w:val="Hyperlink"/>
            <w:color w:val="000000" w:themeColor="text1"/>
          </w:rPr>
          <w:t>sentence</w:t>
        </w:r>
      </w:hyperlink>
      <w:r w:rsidRPr="00B40A77">
        <w:rPr>
          <w:color w:val="000000" w:themeColor="text1"/>
          <w:lang w:val="en-US"/>
        </w:rPr>
        <w:t xml:space="preserve"> in a </w:t>
      </w:r>
      <w:hyperlink w:anchor="_2.1—Definitions" w:history="1">
        <w:r w:rsidR="00E83325" w:rsidRPr="00B40A77">
          <w:rPr>
            <w:rStyle w:val="Hyperlink"/>
            <w:color w:val="000000" w:themeColor="text1"/>
            <w:lang w:val="en-US"/>
          </w:rPr>
          <w:t>Higher Court</w:t>
        </w:r>
      </w:hyperlink>
      <w:r w:rsidRPr="00B40A77">
        <w:rPr>
          <w:color w:val="000000" w:themeColor="text1"/>
          <w:lang w:val="en-US"/>
        </w:rPr>
        <w:t>;</w:t>
      </w:r>
      <w:r w:rsidR="00E922F1" w:rsidRPr="00B40A77">
        <w:rPr>
          <w:color w:val="000000" w:themeColor="text1"/>
          <w:lang w:val="en-US"/>
        </w:rPr>
        <w:t> </w:t>
      </w:r>
      <w:r w:rsidR="00FF628F" w:rsidRPr="00B40A77">
        <w:rPr>
          <w:color w:val="000000" w:themeColor="text1"/>
          <w:lang w:val="en-US"/>
        </w:rPr>
        <w:t>and</w:t>
      </w:r>
    </w:p>
    <w:p w14:paraId="0215F25F" w14:textId="4EF6194C" w:rsidR="001B0566" w:rsidRPr="00B40A77" w:rsidRDefault="00C41374" w:rsidP="00E922F1">
      <w:pPr>
        <w:pStyle w:val="Hangindent"/>
        <w:rPr>
          <w:color w:val="000000" w:themeColor="text1"/>
          <w:lang w:val="en-US"/>
        </w:rPr>
      </w:pPr>
      <w:r w:rsidRPr="00B40A77">
        <w:rPr>
          <w:color w:val="000000" w:themeColor="text1"/>
          <w:lang w:val="en-US"/>
        </w:rPr>
        <w:t>(e)</w:t>
      </w:r>
      <w:r w:rsidRPr="00B40A77">
        <w:rPr>
          <w:color w:val="000000" w:themeColor="text1"/>
          <w:lang w:val="en-US"/>
        </w:rPr>
        <w:tab/>
        <w:t>in respect</w:t>
      </w:r>
      <w:r w:rsidR="001B0566" w:rsidRPr="00B40A77">
        <w:rPr>
          <w:color w:val="000000" w:themeColor="text1"/>
          <w:lang w:val="en-US"/>
        </w:rPr>
        <w:t xml:space="preserve"> of Informations in the Youth Court in which a </w:t>
      </w:r>
      <w:hyperlink w:anchor="_2.1—Definitions" w:history="1">
        <w:r w:rsidR="00E83325" w:rsidRPr="00B40A77">
          <w:rPr>
            <w:rStyle w:val="Hyperlink"/>
            <w:rFonts w:cs="Times New Roman"/>
            <w:color w:val="000000" w:themeColor="text1"/>
          </w:rPr>
          <w:t>homicide-related offence</w:t>
        </w:r>
      </w:hyperlink>
      <w:r w:rsidR="001B0566" w:rsidRPr="00B40A77">
        <w:rPr>
          <w:color w:val="000000" w:themeColor="text1"/>
          <w:lang w:val="en-US"/>
        </w:rPr>
        <w:t xml:space="preserve"> is </w:t>
      </w:r>
      <w:r w:rsidRPr="00B40A77">
        <w:rPr>
          <w:color w:val="000000" w:themeColor="text1"/>
          <w:lang w:val="en-US"/>
        </w:rPr>
        <w:t>charged</w:t>
      </w:r>
      <w:r w:rsidR="001B0566" w:rsidRPr="00B40A77">
        <w:rPr>
          <w:color w:val="000000" w:themeColor="text1"/>
          <w:lang w:val="en-US"/>
        </w:rPr>
        <w:t>.</w:t>
      </w:r>
    </w:p>
    <w:p w14:paraId="30FE664A" w14:textId="3B2FFD10" w:rsidR="001B0566" w:rsidRPr="00B40A77" w:rsidRDefault="001B0566" w:rsidP="00BE23A0">
      <w:pPr>
        <w:pStyle w:val="Heading2"/>
        <w:keepNext/>
        <w:rPr>
          <w:color w:val="000000" w:themeColor="text1"/>
        </w:rPr>
      </w:pPr>
      <w:bookmarkStart w:id="587" w:name="_Toc175239030"/>
      <w:r w:rsidRPr="00B40A77">
        <w:rPr>
          <w:color w:val="000000" w:themeColor="text1"/>
        </w:rPr>
        <w:t>Part 2—</w:t>
      </w:r>
      <w:r w:rsidR="00ED2E14" w:rsidRPr="00B40A77">
        <w:rPr>
          <w:color w:val="000000" w:themeColor="text1"/>
        </w:rPr>
        <w:t>Evidentiary material brief</w:t>
      </w:r>
      <w:bookmarkEnd w:id="587"/>
      <w:r w:rsidR="00ED2E14" w:rsidRPr="00B40A77">
        <w:rPr>
          <w:color w:val="000000" w:themeColor="text1"/>
        </w:rPr>
        <w:t xml:space="preserve"> </w:t>
      </w:r>
    </w:p>
    <w:p w14:paraId="0AF0B9FC" w14:textId="59D78194" w:rsidR="001B0566" w:rsidRPr="00B40A77" w:rsidRDefault="00E706FF" w:rsidP="001B0566">
      <w:pPr>
        <w:pStyle w:val="Heading4"/>
        <w:rPr>
          <w:color w:val="000000" w:themeColor="text1"/>
        </w:rPr>
      </w:pPr>
      <w:bookmarkStart w:id="588" w:name="_82.1—Preliminary_brief:_Magistrates"/>
      <w:bookmarkStart w:id="589" w:name="_Toc175239031"/>
      <w:bookmarkStart w:id="590" w:name="_Hlk96593924"/>
      <w:bookmarkEnd w:id="588"/>
      <w:r w:rsidRPr="00B40A77">
        <w:rPr>
          <w:color w:val="000000" w:themeColor="text1"/>
        </w:rPr>
        <w:t>8</w:t>
      </w:r>
      <w:r w:rsidR="00854149" w:rsidRPr="00B40A77">
        <w:rPr>
          <w:color w:val="000000" w:themeColor="text1"/>
        </w:rPr>
        <w:t>2</w:t>
      </w:r>
      <w:r w:rsidR="001B0566" w:rsidRPr="00B40A77">
        <w:rPr>
          <w:color w:val="000000" w:themeColor="text1"/>
        </w:rPr>
        <w:t>.1—</w:t>
      </w:r>
      <w:r w:rsidR="00C31AF8" w:rsidRPr="00B40A77">
        <w:rPr>
          <w:color w:val="000000" w:themeColor="text1"/>
        </w:rPr>
        <w:t>Preliminary brief</w:t>
      </w:r>
      <w:r w:rsidR="008D7134" w:rsidRPr="00B40A77">
        <w:rPr>
          <w:color w:val="000000" w:themeColor="text1"/>
        </w:rPr>
        <w:t>: Magistrates Court and Environment Resources and Development Court</w:t>
      </w:r>
      <w:bookmarkEnd w:id="589"/>
    </w:p>
    <w:p w14:paraId="501BB490" w14:textId="39E6E54A" w:rsidR="001B0566" w:rsidRPr="00B40A77" w:rsidRDefault="001B0566" w:rsidP="00173536">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C31AF8" w:rsidRPr="00B40A77">
        <w:rPr>
          <w:color w:val="000000" w:themeColor="text1"/>
          <w:lang w:val="en-US"/>
        </w:rPr>
        <w:t xml:space="preserve">The preliminary brief </w:t>
      </w:r>
      <w:r w:rsidR="00241C46" w:rsidRPr="00B40A77">
        <w:rPr>
          <w:color w:val="000000" w:themeColor="text1"/>
          <w:lang w:val="en-US"/>
        </w:rPr>
        <w:t>to be filed and served pursuant to</w:t>
      </w:r>
      <w:r w:rsidR="00C31AF8" w:rsidRPr="00B40A77">
        <w:rPr>
          <w:color w:val="000000" w:themeColor="text1"/>
          <w:lang w:val="en-US"/>
        </w:rPr>
        <w:t xml:space="preserve"> section</w:t>
      </w:r>
      <w:r w:rsidR="00241C46" w:rsidRPr="00B40A77">
        <w:rPr>
          <w:color w:val="000000" w:themeColor="text1"/>
          <w:lang w:val="en-US"/>
        </w:rPr>
        <w:t> </w:t>
      </w:r>
      <w:r w:rsidR="00C31AF8" w:rsidRPr="00B40A77">
        <w:rPr>
          <w:color w:val="000000" w:themeColor="text1"/>
          <w:lang w:val="en-US"/>
        </w:rPr>
        <w:t>106(1)(c) of the Procedure Act must be in the prescribed form</w:t>
      </w:r>
      <w:r w:rsidR="007A324A" w:rsidRPr="00B40A77">
        <w:rPr>
          <w:color w:val="000000" w:themeColor="text1"/>
          <w:lang w:val="en-US"/>
        </w:rPr>
        <w:t xml:space="preserve"> for an evidentiary material brief</w:t>
      </w:r>
      <w:r w:rsidR="00C31AF8" w:rsidRPr="00B40A77">
        <w:rPr>
          <w:color w:val="000000" w:themeColor="text1"/>
          <w:lang w:val="en-US"/>
        </w:rPr>
        <w:t>.</w:t>
      </w:r>
    </w:p>
    <w:p w14:paraId="4E7798B5" w14:textId="77777777" w:rsidR="00EB0323" w:rsidRPr="00B40A77" w:rsidRDefault="00EB0323" w:rsidP="00173536">
      <w:pPr>
        <w:pStyle w:val="NoteHeader"/>
        <w:keepNext/>
        <w:rPr>
          <w:color w:val="000000" w:themeColor="text1"/>
        </w:rPr>
      </w:pPr>
      <w:r w:rsidRPr="00B40A77">
        <w:rPr>
          <w:color w:val="000000" w:themeColor="text1"/>
        </w:rPr>
        <w:t>Prescribed form—</w:t>
      </w:r>
    </w:p>
    <w:p w14:paraId="5D2A2D65" w14:textId="52355FDC" w:rsidR="00EB0323" w:rsidRPr="00B40A77" w:rsidRDefault="00EB0323" w:rsidP="00173536">
      <w:pPr>
        <w:pStyle w:val="NoteText"/>
        <w:keepNext/>
        <w:rPr>
          <w:color w:val="000000" w:themeColor="text1"/>
        </w:rPr>
      </w:pPr>
      <w:r w:rsidRPr="00B40A77">
        <w:rPr>
          <w:color w:val="000000" w:themeColor="text1"/>
        </w:rPr>
        <w:t xml:space="preserve">If served in electronic form - Form 71e </w:t>
      </w:r>
      <w:hyperlink r:id="rId161"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361C6D22" w14:textId="64AB604C" w:rsidR="00EB0323" w:rsidRPr="00B40A77" w:rsidRDefault="00EB0323" w:rsidP="00173536">
      <w:pPr>
        <w:pStyle w:val="NoteText"/>
        <w:keepNext/>
        <w:rPr>
          <w:color w:val="000000" w:themeColor="text1"/>
        </w:rPr>
      </w:pPr>
      <w:r w:rsidRPr="00B40A77">
        <w:rPr>
          <w:color w:val="000000" w:themeColor="text1"/>
        </w:rPr>
        <w:t xml:space="preserve">If served in physical (hard copy) form - Form 71h </w:t>
      </w:r>
      <w:hyperlink r:id="rId162"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531F0508" w14:textId="471197AC" w:rsidR="00565B69" w:rsidRPr="00B40A77" w:rsidRDefault="00565B69" w:rsidP="00173536">
      <w:pPr>
        <w:pStyle w:val="NoteHeader"/>
        <w:keepNext/>
        <w:rPr>
          <w:color w:val="000000" w:themeColor="text1"/>
        </w:rPr>
      </w:pPr>
      <w:r w:rsidRPr="00B40A77">
        <w:rPr>
          <w:color w:val="000000" w:themeColor="text1"/>
        </w:rPr>
        <w:t>Note—</w:t>
      </w:r>
    </w:p>
    <w:p w14:paraId="6810DECB" w14:textId="69F72863" w:rsidR="00565B69" w:rsidRPr="00B40A77" w:rsidRDefault="00565B69" w:rsidP="00565B69">
      <w:pPr>
        <w:pStyle w:val="NoteText"/>
        <w:rPr>
          <w:color w:val="000000" w:themeColor="text1"/>
        </w:rPr>
      </w:pPr>
      <w:r w:rsidRPr="00B40A77">
        <w:rPr>
          <w:color w:val="000000" w:themeColor="text1"/>
        </w:rPr>
        <w:t xml:space="preserve">Section </w:t>
      </w:r>
      <w:r w:rsidRPr="00B40A77">
        <w:rPr>
          <w:color w:val="000000" w:themeColor="text1"/>
          <w:lang w:val="en-US"/>
        </w:rPr>
        <w:t xml:space="preserve">106(1)(c) of the Procedure Act requires the preliminary brief to be filed </w:t>
      </w:r>
      <w:r w:rsidRPr="00B40A77">
        <w:rPr>
          <w:color w:val="000000" w:themeColor="text1"/>
        </w:rPr>
        <w:t>and served as soon as practicable after providing it to the Director.</w:t>
      </w:r>
    </w:p>
    <w:p w14:paraId="18BCE46E" w14:textId="42C0E13E" w:rsidR="00CB1FA9" w:rsidRPr="00B40A77" w:rsidRDefault="004D0696" w:rsidP="00CB1FA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informant other than the </w:t>
      </w:r>
      <w:r w:rsidR="001E2199" w:rsidRPr="00B40A77">
        <w:rPr>
          <w:color w:val="000000" w:themeColor="text1"/>
          <w:lang w:val="en-US"/>
        </w:rPr>
        <w:t xml:space="preserve">Commissioner of Police </w:t>
      </w:r>
      <w:r w:rsidRPr="00B40A77">
        <w:rPr>
          <w:color w:val="000000" w:themeColor="text1"/>
          <w:lang w:val="en-US"/>
        </w:rPr>
        <w:t>must file and serve a preliminary brief in the prescribed form for an ev</w:t>
      </w:r>
      <w:r w:rsidR="00D65D5C" w:rsidRPr="00B40A77">
        <w:rPr>
          <w:color w:val="000000" w:themeColor="text1"/>
          <w:lang w:val="en-US"/>
        </w:rPr>
        <w:t>identiary material brief as if</w:t>
      </w:r>
      <w:r w:rsidR="00CB1FA9" w:rsidRPr="00B40A77">
        <w:rPr>
          <w:color w:val="000000" w:themeColor="text1"/>
        </w:rPr>
        <w:t>—</w:t>
      </w:r>
    </w:p>
    <w:p w14:paraId="5DEC9548" w14:textId="1D9A3A99" w:rsidR="00CB1FA9" w:rsidRPr="00B40A77" w:rsidRDefault="00CB1FA9" w:rsidP="00CB1FA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section 106(1)(a) of the Procedure Act </w:t>
      </w:r>
      <w:r w:rsidR="00B214E6" w:rsidRPr="00B40A77">
        <w:rPr>
          <w:color w:val="000000" w:themeColor="text1"/>
          <w:lang w:val="en-US"/>
        </w:rPr>
        <w:t>required preparation by or for the informant of</w:t>
      </w:r>
      <w:r w:rsidRPr="00B40A77">
        <w:rPr>
          <w:color w:val="000000" w:themeColor="text1"/>
          <w:lang w:val="en-US"/>
        </w:rPr>
        <w:t xml:space="preserve"> </w:t>
      </w:r>
      <w:r w:rsidR="00B214E6" w:rsidRPr="00B40A77">
        <w:rPr>
          <w:color w:val="000000" w:themeColor="text1"/>
          <w:lang w:val="en-US"/>
        </w:rPr>
        <w:t xml:space="preserve">a brief containing </w:t>
      </w:r>
      <w:r w:rsidRPr="00B40A77">
        <w:rPr>
          <w:color w:val="000000" w:themeColor="text1"/>
          <w:lang w:val="en-US"/>
        </w:rPr>
        <w:t xml:space="preserve">the </w:t>
      </w:r>
      <w:hyperlink w:anchor="_2.1—Definitions" w:history="1">
        <w:r w:rsidR="00A26A40" w:rsidRPr="00B40A77">
          <w:rPr>
            <w:rStyle w:val="Hyperlink"/>
            <w:color w:val="000000" w:themeColor="text1"/>
            <w:lang w:val="en-US"/>
          </w:rPr>
          <w:t>evidentiary material</w:t>
        </w:r>
      </w:hyperlink>
      <w:r w:rsidRPr="00B40A77">
        <w:rPr>
          <w:color w:val="000000" w:themeColor="text1"/>
          <w:lang w:val="en-US"/>
        </w:rPr>
        <w:t xml:space="preserve"> sufficient for a determination to be made by the prosecution as to the appropriate charge or charges to be proceeded with</w:t>
      </w:r>
      <w:r w:rsidR="00B214E6" w:rsidRPr="00B40A77">
        <w:rPr>
          <w:color w:val="000000" w:themeColor="text1"/>
          <w:lang w:val="en-US"/>
        </w:rPr>
        <w:t>; and</w:t>
      </w:r>
    </w:p>
    <w:p w14:paraId="50852197" w14:textId="40C6C424" w:rsidR="00201B5C" w:rsidRPr="00B40A77" w:rsidRDefault="00CB1FA9" w:rsidP="00A12E24">
      <w:pPr>
        <w:pStyle w:val="Doublehangindent"/>
        <w:keepNext/>
        <w:rPr>
          <w:color w:val="000000" w:themeColor="text1"/>
          <w:lang w:val="en-US"/>
        </w:rPr>
      </w:pPr>
      <w:r w:rsidRPr="00B40A77">
        <w:rPr>
          <w:color w:val="000000" w:themeColor="text1"/>
          <w:lang w:val="en-US"/>
        </w:rPr>
        <w:lastRenderedPageBreak/>
        <w:t>(</w:t>
      </w:r>
      <w:r w:rsidR="00B214E6" w:rsidRPr="00B40A77">
        <w:rPr>
          <w:color w:val="000000" w:themeColor="text1"/>
          <w:lang w:val="en-US"/>
        </w:rPr>
        <w:t>b</w:t>
      </w:r>
      <w:r w:rsidRPr="00B40A77">
        <w:rPr>
          <w:color w:val="000000" w:themeColor="text1"/>
          <w:lang w:val="en-US"/>
        </w:rPr>
        <w:t>)</w:t>
      </w:r>
      <w:r w:rsidRPr="00B40A77">
        <w:rPr>
          <w:color w:val="000000" w:themeColor="text1"/>
          <w:lang w:val="en-US"/>
        </w:rPr>
        <w:tab/>
      </w:r>
      <w:r w:rsidR="004D0696" w:rsidRPr="00B40A77">
        <w:rPr>
          <w:color w:val="000000" w:themeColor="text1"/>
          <w:lang w:val="en-US"/>
        </w:rPr>
        <w:t>section</w:t>
      </w:r>
      <w:r w:rsidR="0084710B" w:rsidRPr="00B40A77">
        <w:rPr>
          <w:color w:val="000000" w:themeColor="text1"/>
          <w:lang w:val="en-US"/>
        </w:rPr>
        <w:t> </w:t>
      </w:r>
      <w:r w:rsidR="004D0696" w:rsidRPr="00B40A77">
        <w:rPr>
          <w:color w:val="000000" w:themeColor="text1"/>
          <w:lang w:val="en-US"/>
        </w:rPr>
        <w:t xml:space="preserve">106(1)(c) of the </w:t>
      </w:r>
      <w:r w:rsidR="000A6EBB" w:rsidRPr="00B40A77">
        <w:rPr>
          <w:rFonts w:cs="Times New Roman"/>
          <w:color w:val="000000" w:themeColor="text1"/>
          <w:lang w:val="en-US"/>
        </w:rPr>
        <w:t>Procedure Act</w:t>
      </w:r>
      <w:r w:rsidR="004D0696" w:rsidRPr="00B40A77">
        <w:rPr>
          <w:color w:val="000000" w:themeColor="text1"/>
          <w:lang w:val="en-US"/>
        </w:rPr>
        <w:t xml:space="preserve"> </w:t>
      </w:r>
      <w:r w:rsidR="00B214E6" w:rsidRPr="00B40A77">
        <w:rPr>
          <w:color w:val="000000" w:themeColor="text1"/>
          <w:lang w:val="en-US"/>
        </w:rPr>
        <w:t>required an</w:t>
      </w:r>
      <w:r w:rsidR="004D0696" w:rsidRPr="00B40A77">
        <w:rPr>
          <w:color w:val="000000" w:themeColor="text1"/>
          <w:lang w:val="en-US"/>
        </w:rPr>
        <w:t xml:space="preserve"> informant other than </w:t>
      </w:r>
      <w:hyperlink w:anchor="_2.1—Definitions" w:history="1">
        <w:r w:rsidR="00344475" w:rsidRPr="00B40A77">
          <w:rPr>
            <w:rStyle w:val="Hyperlink"/>
            <w:color w:val="000000" w:themeColor="text1"/>
            <w:lang w:val="en-US"/>
          </w:rPr>
          <w:t>SAPOL</w:t>
        </w:r>
      </w:hyperlink>
      <w:r w:rsidR="00B214E6" w:rsidRPr="00B40A77">
        <w:rPr>
          <w:color w:val="000000" w:themeColor="text1"/>
          <w:lang w:val="en-US"/>
        </w:rPr>
        <w:t xml:space="preserve"> to file and serve on the defendant or youth the evidentiary material brief upon completion</w:t>
      </w:r>
      <w:r w:rsidR="004D0696" w:rsidRPr="00B40A77">
        <w:rPr>
          <w:color w:val="000000" w:themeColor="text1"/>
          <w:lang w:val="en-US"/>
        </w:rPr>
        <w:t>.</w:t>
      </w:r>
    </w:p>
    <w:p w14:paraId="6AB5FDAC" w14:textId="77777777" w:rsidR="00EB0323" w:rsidRPr="00B40A77" w:rsidRDefault="00EB0323" w:rsidP="00201B5C">
      <w:pPr>
        <w:pStyle w:val="NoteHeader"/>
        <w:keepNext/>
        <w:rPr>
          <w:color w:val="000000" w:themeColor="text1"/>
        </w:rPr>
      </w:pPr>
      <w:r w:rsidRPr="00B40A77">
        <w:rPr>
          <w:color w:val="000000" w:themeColor="text1"/>
        </w:rPr>
        <w:t>Prescribed form—</w:t>
      </w:r>
    </w:p>
    <w:p w14:paraId="62D1A62B" w14:textId="245F7AA3" w:rsidR="00EB0323" w:rsidRPr="00B40A77" w:rsidRDefault="00EB0323">
      <w:pPr>
        <w:pStyle w:val="NoteText"/>
        <w:rPr>
          <w:color w:val="000000" w:themeColor="text1"/>
        </w:rPr>
      </w:pPr>
      <w:r w:rsidRPr="00B40A77">
        <w:rPr>
          <w:color w:val="000000" w:themeColor="text1"/>
        </w:rPr>
        <w:t xml:space="preserve">If served in electronic form - Form 71e </w:t>
      </w:r>
      <w:hyperlink r:id="rId163"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1FE0B509" w14:textId="7DF085B8" w:rsidR="00EB0323" w:rsidRPr="00B40A77" w:rsidRDefault="00EB0323">
      <w:pPr>
        <w:pStyle w:val="NoteText"/>
        <w:rPr>
          <w:color w:val="000000" w:themeColor="text1"/>
        </w:rPr>
      </w:pPr>
      <w:r w:rsidRPr="00B40A77">
        <w:rPr>
          <w:color w:val="000000" w:themeColor="text1"/>
        </w:rPr>
        <w:t xml:space="preserve">If served in physical (hard copy) form - Form 71h </w:t>
      </w:r>
      <w:hyperlink r:id="rId164"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27A725DE" w14:textId="0F46E121" w:rsidR="00C31AF8" w:rsidRPr="00B40A77" w:rsidRDefault="004D0696" w:rsidP="004D0696">
      <w:pPr>
        <w:pStyle w:val="Hangindent"/>
        <w:rPr>
          <w:color w:val="000000" w:themeColor="text1"/>
          <w:lang w:val="en-US"/>
        </w:rPr>
      </w:pPr>
      <w:r w:rsidRPr="00B40A77">
        <w:rPr>
          <w:color w:val="000000" w:themeColor="text1"/>
          <w:lang w:val="en-US"/>
        </w:rPr>
        <w:t>(3</w:t>
      </w:r>
      <w:r w:rsidR="007A324A" w:rsidRPr="00B40A77">
        <w:rPr>
          <w:color w:val="000000" w:themeColor="text1"/>
          <w:lang w:val="en-US"/>
        </w:rPr>
        <w:t>)</w:t>
      </w:r>
      <w:r w:rsidR="007A324A" w:rsidRPr="00B40A77">
        <w:rPr>
          <w:color w:val="000000" w:themeColor="text1"/>
          <w:lang w:val="en-US"/>
        </w:rPr>
        <w:tab/>
        <w:t xml:space="preserve">The informant must </w:t>
      </w:r>
      <w:r w:rsidR="00565B69" w:rsidRPr="00B40A77">
        <w:rPr>
          <w:color w:val="000000" w:themeColor="text1"/>
          <w:lang w:val="en-US"/>
        </w:rPr>
        <w:t xml:space="preserve">file and </w:t>
      </w:r>
      <w:r w:rsidR="007A324A" w:rsidRPr="00B40A77">
        <w:rPr>
          <w:color w:val="000000" w:themeColor="text1"/>
          <w:lang w:val="en-US"/>
        </w:rPr>
        <w:t xml:space="preserve">serve as an attachment to the evidentiary material brief the </w:t>
      </w:r>
      <w:hyperlink w:anchor="_2.1—Definitions" w:history="1">
        <w:r w:rsidR="00F5292A" w:rsidRPr="00B40A77">
          <w:rPr>
            <w:rStyle w:val="Hyperlink"/>
            <w:color w:val="000000" w:themeColor="text1"/>
            <w:lang w:val="en-US"/>
          </w:rPr>
          <w:t>witness statement</w:t>
        </w:r>
      </w:hyperlink>
      <w:r w:rsidR="007A324A" w:rsidRPr="00B40A77">
        <w:rPr>
          <w:color w:val="000000" w:themeColor="text1"/>
          <w:u w:val="single"/>
          <w:lang w:val="en-US"/>
        </w:rPr>
        <w:t>s</w:t>
      </w:r>
      <w:r w:rsidR="007A324A" w:rsidRPr="00B40A77">
        <w:rPr>
          <w:color w:val="000000" w:themeColor="text1"/>
          <w:lang w:val="en-US"/>
        </w:rPr>
        <w:t xml:space="preserve"> identified in the evidentiary material brief</w:t>
      </w:r>
      <w:r w:rsidR="00042AB1" w:rsidRPr="00B40A77">
        <w:rPr>
          <w:color w:val="000000" w:themeColor="text1"/>
          <w:lang w:val="en-US"/>
        </w:rPr>
        <w:t>.</w:t>
      </w:r>
    </w:p>
    <w:p w14:paraId="09069373" w14:textId="09FCD7EE" w:rsidR="00424C92" w:rsidRPr="00B40A77" w:rsidRDefault="004D0696" w:rsidP="00424C92">
      <w:pPr>
        <w:pStyle w:val="Hangindent"/>
        <w:rPr>
          <w:color w:val="000000" w:themeColor="text1"/>
          <w:lang w:val="en-US"/>
        </w:rPr>
      </w:pPr>
      <w:r w:rsidRPr="00B40A77">
        <w:rPr>
          <w:color w:val="000000" w:themeColor="text1"/>
          <w:lang w:val="en-US"/>
        </w:rPr>
        <w:t>(4</w:t>
      </w:r>
      <w:r w:rsidR="00424C92" w:rsidRPr="00B40A77">
        <w:rPr>
          <w:color w:val="000000" w:themeColor="text1"/>
          <w:lang w:val="en-US"/>
        </w:rPr>
        <w:t>)</w:t>
      </w:r>
      <w:r w:rsidR="00424C92" w:rsidRPr="00B40A77">
        <w:rPr>
          <w:color w:val="000000" w:themeColor="text1"/>
          <w:lang w:val="en-US"/>
        </w:rPr>
        <w:tab/>
        <w:t xml:space="preserve">The informant may </w:t>
      </w:r>
      <w:r w:rsidR="00565B69" w:rsidRPr="00B40A77">
        <w:rPr>
          <w:color w:val="000000" w:themeColor="text1"/>
          <w:lang w:val="en-US"/>
        </w:rPr>
        <w:t xml:space="preserve">file and </w:t>
      </w:r>
      <w:r w:rsidR="00424C92" w:rsidRPr="00B40A77">
        <w:rPr>
          <w:color w:val="000000" w:themeColor="text1"/>
          <w:lang w:val="en-US"/>
        </w:rPr>
        <w:t xml:space="preserve">serve other </w:t>
      </w:r>
      <w:hyperlink w:anchor="_2.1—Definitions" w:history="1">
        <w:r w:rsidR="00A26A40" w:rsidRPr="00B40A77">
          <w:rPr>
            <w:rStyle w:val="Hyperlink"/>
            <w:color w:val="000000" w:themeColor="text1"/>
            <w:lang w:val="en-US"/>
          </w:rPr>
          <w:t>evidentiary material</w:t>
        </w:r>
      </w:hyperlink>
      <w:r w:rsidR="00424C92" w:rsidRPr="00B40A77">
        <w:rPr>
          <w:color w:val="000000" w:themeColor="text1"/>
          <w:lang w:val="en-US"/>
        </w:rPr>
        <w:t xml:space="preserve"> not attached to the </w:t>
      </w:r>
      <w:hyperlink w:anchor="_2.1—Definitions" w:history="1">
        <w:r w:rsidR="00F5292A" w:rsidRPr="00B40A77">
          <w:rPr>
            <w:rStyle w:val="Hyperlink"/>
            <w:color w:val="000000" w:themeColor="text1"/>
            <w:lang w:val="en-US"/>
          </w:rPr>
          <w:t>witness statement</w:t>
        </w:r>
      </w:hyperlink>
      <w:r w:rsidR="00424C92" w:rsidRPr="00B40A77">
        <w:rPr>
          <w:color w:val="000000" w:themeColor="text1"/>
          <w:u w:val="single"/>
          <w:lang w:val="en-US"/>
        </w:rPr>
        <w:t>s</w:t>
      </w:r>
      <w:r w:rsidR="00424C92" w:rsidRPr="00B40A77">
        <w:rPr>
          <w:color w:val="000000" w:themeColor="text1"/>
          <w:lang w:val="en-US"/>
        </w:rPr>
        <w:t xml:space="preserve"> identified in the evidentiary material brief</w:t>
      </w:r>
      <w:r w:rsidR="007B2F50" w:rsidRPr="00B40A77">
        <w:rPr>
          <w:color w:val="000000" w:themeColor="text1"/>
          <w:lang w:val="en-US"/>
        </w:rPr>
        <w:t>,</w:t>
      </w:r>
      <w:r w:rsidR="00424C92" w:rsidRPr="00B40A77">
        <w:rPr>
          <w:color w:val="000000" w:themeColor="text1"/>
          <w:lang w:val="en-US"/>
        </w:rPr>
        <w:t xml:space="preserve"> or alternatively may retain possession of any such other </w:t>
      </w:r>
      <w:hyperlink w:anchor="_2.1—Definitions" w:history="1">
        <w:r w:rsidR="00A26A40" w:rsidRPr="00B40A77">
          <w:rPr>
            <w:rStyle w:val="Hyperlink"/>
            <w:color w:val="000000" w:themeColor="text1"/>
            <w:lang w:val="en-US"/>
          </w:rPr>
          <w:t>evidentiary material</w:t>
        </w:r>
      </w:hyperlink>
      <w:r w:rsidR="00424C92" w:rsidRPr="00B40A77">
        <w:rPr>
          <w:color w:val="000000" w:themeColor="text1"/>
          <w:lang w:val="en-US"/>
        </w:rPr>
        <w:t>.</w:t>
      </w:r>
    </w:p>
    <w:p w14:paraId="27B1616E" w14:textId="1609B2C4" w:rsidR="007A324A" w:rsidRPr="00B40A77" w:rsidRDefault="004D0696" w:rsidP="001B0566">
      <w:pPr>
        <w:pStyle w:val="Hangindent"/>
        <w:rPr>
          <w:color w:val="000000" w:themeColor="text1"/>
          <w:lang w:val="en-US"/>
        </w:rPr>
      </w:pPr>
      <w:r w:rsidRPr="00B40A77">
        <w:rPr>
          <w:color w:val="000000" w:themeColor="text1"/>
          <w:lang w:val="en-US"/>
        </w:rPr>
        <w:t>(5</w:t>
      </w:r>
      <w:r w:rsidR="007A324A" w:rsidRPr="00B40A77">
        <w:rPr>
          <w:color w:val="000000" w:themeColor="text1"/>
          <w:lang w:val="en-US"/>
        </w:rPr>
        <w:t>)</w:t>
      </w:r>
      <w:r w:rsidR="007A324A" w:rsidRPr="00B40A77">
        <w:rPr>
          <w:color w:val="000000" w:themeColor="text1"/>
          <w:lang w:val="en-US"/>
        </w:rPr>
        <w:tab/>
        <w:t xml:space="preserve">The informant may, but is not required to, complete the sections of the evidentiary material brief in respect of </w:t>
      </w:r>
      <w:hyperlink w:anchor="_2.1—Definitions" w:history="1">
        <w:r w:rsidR="00F5292A" w:rsidRPr="00B40A77">
          <w:rPr>
            <w:rStyle w:val="Hyperlink"/>
            <w:color w:val="000000" w:themeColor="text1"/>
            <w:lang w:val="en-US"/>
          </w:rPr>
          <w:t>witness statement</w:t>
        </w:r>
      </w:hyperlink>
      <w:r w:rsidR="007A324A" w:rsidRPr="00B40A77">
        <w:rPr>
          <w:color w:val="000000" w:themeColor="text1"/>
          <w:u w:val="single"/>
          <w:lang w:val="en-US"/>
        </w:rPr>
        <w:t>s</w:t>
      </w:r>
      <w:r w:rsidR="007A324A" w:rsidRPr="00B40A77">
        <w:rPr>
          <w:color w:val="000000" w:themeColor="text1"/>
          <w:lang w:val="en-US"/>
        </w:rPr>
        <w:t xml:space="preserve"> and other </w:t>
      </w:r>
      <w:hyperlink w:anchor="_2.1—Definitions" w:history="1">
        <w:r w:rsidR="000475CD" w:rsidRPr="00B40A77">
          <w:rPr>
            <w:rStyle w:val="Hyperlink"/>
            <w:color w:val="000000" w:themeColor="text1"/>
            <w:lang w:val="en-US"/>
          </w:rPr>
          <w:t>evidentiary material</w:t>
        </w:r>
      </w:hyperlink>
      <w:r w:rsidR="007A324A" w:rsidRPr="00B40A77">
        <w:rPr>
          <w:color w:val="000000" w:themeColor="text1"/>
          <w:lang w:val="en-US"/>
        </w:rPr>
        <w:t xml:space="preserve"> not relied on at that stage by the prosecution.</w:t>
      </w:r>
    </w:p>
    <w:p w14:paraId="6F874724" w14:textId="0D1BC766" w:rsidR="004D0696" w:rsidRPr="00B40A77" w:rsidRDefault="004D0696" w:rsidP="001B0566">
      <w:pPr>
        <w:pStyle w:val="Hangindent"/>
        <w:rPr>
          <w:color w:val="000000" w:themeColor="text1"/>
          <w:lang w:val="en-US"/>
        </w:rPr>
      </w:pPr>
      <w:r w:rsidRPr="00B40A77">
        <w:rPr>
          <w:color w:val="000000" w:themeColor="text1"/>
          <w:lang w:val="en-US"/>
        </w:rPr>
        <w:t>(6)</w:t>
      </w:r>
      <w:r w:rsidRPr="00B40A77">
        <w:rPr>
          <w:color w:val="000000" w:themeColor="text1"/>
          <w:lang w:val="en-US"/>
        </w:rPr>
        <w:tab/>
      </w:r>
      <w:r w:rsidR="004C139D" w:rsidRPr="00B40A77">
        <w:rPr>
          <w:color w:val="000000" w:themeColor="text1"/>
          <w:lang w:val="en-US"/>
        </w:rPr>
        <w:t xml:space="preserve">The preliminary brief must be filed and served by the second </w:t>
      </w:r>
      <w:hyperlink w:anchor="_37.1—Application_of_Part" w:history="1">
        <w:r w:rsidR="00CE7A79" w:rsidRPr="00B40A77">
          <w:rPr>
            <w:rStyle w:val="Hyperlink"/>
            <w:color w:val="000000" w:themeColor="text1"/>
            <w:lang w:val="en-US"/>
          </w:rPr>
          <w:t>hearing</w:t>
        </w:r>
      </w:hyperlink>
      <w:r w:rsidR="004C139D" w:rsidRPr="00B40A77">
        <w:rPr>
          <w:color w:val="000000" w:themeColor="text1"/>
          <w:lang w:val="en-US"/>
        </w:rPr>
        <w:t xml:space="preserve"> of the proceeding.</w:t>
      </w:r>
    </w:p>
    <w:p w14:paraId="2D45C729" w14:textId="27246FA9" w:rsidR="001813B6" w:rsidRPr="00B40A77" w:rsidRDefault="004D0696" w:rsidP="001B0566">
      <w:pPr>
        <w:pStyle w:val="Hangindent"/>
        <w:rPr>
          <w:color w:val="000000" w:themeColor="text1"/>
          <w:lang w:val="en-US"/>
        </w:rPr>
      </w:pPr>
      <w:r w:rsidRPr="00B40A77">
        <w:rPr>
          <w:color w:val="000000" w:themeColor="text1"/>
          <w:lang w:val="en-US"/>
        </w:rPr>
        <w:t>(7</w:t>
      </w:r>
      <w:r w:rsidR="001813B6" w:rsidRPr="00B40A77">
        <w:rPr>
          <w:color w:val="000000" w:themeColor="text1"/>
          <w:lang w:val="en-US"/>
        </w:rPr>
        <w:t>)</w:t>
      </w:r>
      <w:r w:rsidR="001813B6" w:rsidRPr="00B40A77">
        <w:rPr>
          <w:color w:val="000000" w:themeColor="text1"/>
          <w:lang w:val="en-US"/>
        </w:rPr>
        <w:tab/>
        <w:t xml:space="preserve">If the informant wishes to amend or supplement the preliminary brief (before filing and serving </w:t>
      </w:r>
      <w:r w:rsidR="009A51DE" w:rsidRPr="00B40A77">
        <w:rPr>
          <w:color w:val="000000" w:themeColor="text1"/>
          <w:lang w:val="en-US"/>
        </w:rPr>
        <w:t xml:space="preserve">the </w:t>
      </w:r>
      <w:r w:rsidR="001813B6" w:rsidRPr="00B40A77">
        <w:rPr>
          <w:color w:val="000000" w:themeColor="text1"/>
          <w:lang w:val="en-US"/>
        </w:rPr>
        <w:t>committal brief), the informant must do so by filing and serving a revised version of the evidentiary material brief showi</w:t>
      </w:r>
      <w:r w:rsidR="00424C92" w:rsidRPr="00B40A77">
        <w:rPr>
          <w:color w:val="000000" w:themeColor="text1"/>
          <w:lang w:val="en-US"/>
        </w:rPr>
        <w:t>ng the relevant revision number.</w:t>
      </w:r>
    </w:p>
    <w:p w14:paraId="52616B3C" w14:textId="286A1DB9" w:rsidR="007A324A" w:rsidRPr="00B40A77" w:rsidRDefault="009A51DE" w:rsidP="007A324A">
      <w:pPr>
        <w:pStyle w:val="Heading4"/>
        <w:rPr>
          <w:color w:val="000000" w:themeColor="text1"/>
        </w:rPr>
      </w:pPr>
      <w:bookmarkStart w:id="591" w:name="_82.2—Committal_brief"/>
      <w:bookmarkStart w:id="592" w:name="_Toc175239032"/>
      <w:bookmarkEnd w:id="591"/>
      <w:r w:rsidRPr="00B40A77">
        <w:rPr>
          <w:color w:val="000000" w:themeColor="text1"/>
        </w:rPr>
        <w:t>8</w:t>
      </w:r>
      <w:r w:rsidR="00854149" w:rsidRPr="00B40A77">
        <w:rPr>
          <w:color w:val="000000" w:themeColor="text1"/>
        </w:rPr>
        <w:t>2</w:t>
      </w:r>
      <w:r w:rsidR="007A324A" w:rsidRPr="00B40A77">
        <w:rPr>
          <w:color w:val="000000" w:themeColor="text1"/>
        </w:rPr>
        <w:t>.2—</w:t>
      </w:r>
      <w:r w:rsidR="001813B6" w:rsidRPr="00B40A77">
        <w:rPr>
          <w:color w:val="000000" w:themeColor="text1"/>
        </w:rPr>
        <w:t>Committal</w:t>
      </w:r>
      <w:r w:rsidR="007A324A" w:rsidRPr="00B40A77">
        <w:rPr>
          <w:color w:val="000000" w:themeColor="text1"/>
        </w:rPr>
        <w:t xml:space="preserve"> brief</w:t>
      </w:r>
      <w:bookmarkEnd w:id="592"/>
    </w:p>
    <w:p w14:paraId="7E5BBAAE" w14:textId="2BB8CC6E" w:rsidR="007A324A" w:rsidRPr="00B40A77" w:rsidRDefault="007A324A"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The </w:t>
      </w:r>
      <w:r w:rsidR="001813B6" w:rsidRPr="00B40A77">
        <w:rPr>
          <w:color w:val="000000" w:themeColor="text1"/>
          <w:lang w:val="en-US"/>
        </w:rPr>
        <w:t>committal</w:t>
      </w:r>
      <w:r w:rsidRPr="00B40A77">
        <w:rPr>
          <w:color w:val="000000" w:themeColor="text1"/>
          <w:lang w:val="en-US"/>
        </w:rPr>
        <w:t xml:space="preserve"> bri</w:t>
      </w:r>
      <w:r w:rsidR="001813B6" w:rsidRPr="00B40A77">
        <w:rPr>
          <w:color w:val="000000" w:themeColor="text1"/>
          <w:lang w:val="en-US"/>
        </w:rPr>
        <w:t>ef required by section</w:t>
      </w:r>
      <w:r w:rsidR="0084710B" w:rsidRPr="00B40A77">
        <w:rPr>
          <w:color w:val="000000" w:themeColor="text1"/>
          <w:lang w:val="en-US"/>
        </w:rPr>
        <w:t> </w:t>
      </w:r>
      <w:r w:rsidR="001813B6" w:rsidRPr="00B40A77">
        <w:rPr>
          <w:color w:val="000000" w:themeColor="text1"/>
          <w:lang w:val="en-US"/>
        </w:rPr>
        <w:t>111</w:t>
      </w:r>
      <w:r w:rsidRPr="00B40A77">
        <w:rPr>
          <w:color w:val="000000" w:themeColor="text1"/>
          <w:lang w:val="en-US"/>
        </w:rPr>
        <w:t xml:space="preserve"> of the Procedure Act to be filed and served must be in the prescribed form for an evidentiary material brief.</w:t>
      </w:r>
    </w:p>
    <w:p w14:paraId="201595E8" w14:textId="77777777" w:rsidR="007A324A" w:rsidRPr="00B40A77" w:rsidRDefault="007A324A" w:rsidP="00AD1D32">
      <w:pPr>
        <w:pStyle w:val="NoteHeader"/>
        <w:keepNext/>
        <w:rPr>
          <w:color w:val="000000" w:themeColor="text1"/>
        </w:rPr>
      </w:pPr>
      <w:r w:rsidRPr="00B40A77">
        <w:rPr>
          <w:color w:val="000000" w:themeColor="text1"/>
        </w:rPr>
        <w:t>Prescribed form—</w:t>
      </w:r>
    </w:p>
    <w:p w14:paraId="7F09F951" w14:textId="7DBD3E63" w:rsidR="00EB0323" w:rsidRPr="00B40A77" w:rsidRDefault="00EB0323" w:rsidP="00763DD0">
      <w:pPr>
        <w:pStyle w:val="NoteText"/>
        <w:keepNext/>
        <w:rPr>
          <w:color w:val="000000" w:themeColor="text1"/>
        </w:rPr>
      </w:pPr>
      <w:r w:rsidRPr="00B40A77">
        <w:rPr>
          <w:color w:val="000000" w:themeColor="text1"/>
        </w:rPr>
        <w:t xml:space="preserve">If served in electronic form - Form 71e </w:t>
      </w:r>
      <w:hyperlink r:id="rId165"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3CAEA13F" w14:textId="600F4DDB" w:rsidR="00EB0323" w:rsidRPr="00B40A77" w:rsidRDefault="00EB0323" w:rsidP="00763DD0">
      <w:pPr>
        <w:pStyle w:val="NoteText"/>
        <w:keepNext/>
        <w:rPr>
          <w:color w:val="000000" w:themeColor="text1"/>
        </w:rPr>
      </w:pPr>
      <w:r w:rsidRPr="00B40A77">
        <w:rPr>
          <w:color w:val="000000" w:themeColor="text1"/>
        </w:rPr>
        <w:t xml:space="preserve">If served in physical (hard copy) form - Form 71h </w:t>
      </w:r>
      <w:hyperlink r:id="rId166" w:history="1">
        <w:r w:rsidRPr="00B40A77">
          <w:rPr>
            <w:rStyle w:val="Hyperlink"/>
            <w:color w:val="000000" w:themeColor="text1"/>
          </w:rPr>
          <w:t xml:space="preserve">Evidentiary </w:t>
        </w:r>
        <w:r w:rsidR="00964582" w:rsidRPr="00B40A77">
          <w:rPr>
            <w:rStyle w:val="Hyperlink"/>
            <w:color w:val="000000" w:themeColor="text1"/>
          </w:rPr>
          <w:t>M</w:t>
        </w:r>
        <w:r w:rsidRPr="00B40A77">
          <w:rPr>
            <w:rStyle w:val="Hyperlink"/>
            <w:color w:val="000000" w:themeColor="text1"/>
          </w:rPr>
          <w:t xml:space="preserve">aterial </w:t>
        </w:r>
        <w:r w:rsidR="00964582" w:rsidRPr="00B40A77">
          <w:rPr>
            <w:rStyle w:val="Hyperlink"/>
            <w:color w:val="000000" w:themeColor="text1"/>
          </w:rPr>
          <w:t>B</w:t>
        </w:r>
        <w:r w:rsidRPr="00B40A77">
          <w:rPr>
            <w:rStyle w:val="Hyperlink"/>
            <w:color w:val="000000" w:themeColor="text1"/>
          </w:rPr>
          <w:t>rief</w:t>
        </w:r>
      </w:hyperlink>
    </w:p>
    <w:p w14:paraId="13DE134F" w14:textId="77777777" w:rsidR="00565B69" w:rsidRPr="00B40A77" w:rsidRDefault="00565B69" w:rsidP="004E3D0F">
      <w:pPr>
        <w:pStyle w:val="NoteHeader"/>
        <w:keepNext/>
        <w:rPr>
          <w:color w:val="000000" w:themeColor="text1"/>
        </w:rPr>
      </w:pPr>
      <w:r w:rsidRPr="00B40A77">
        <w:rPr>
          <w:color w:val="000000" w:themeColor="text1"/>
        </w:rPr>
        <w:t>Note—</w:t>
      </w:r>
    </w:p>
    <w:p w14:paraId="499786D5" w14:textId="10E0FBF2" w:rsidR="00565B69" w:rsidRPr="00B40A77" w:rsidRDefault="00565B69" w:rsidP="00565B69">
      <w:pPr>
        <w:pStyle w:val="NoteText"/>
        <w:rPr>
          <w:color w:val="000000" w:themeColor="text1"/>
        </w:rPr>
      </w:pPr>
      <w:r w:rsidRPr="00B40A77">
        <w:rPr>
          <w:color w:val="000000" w:themeColor="text1"/>
        </w:rPr>
        <w:t xml:space="preserve">Section </w:t>
      </w:r>
      <w:r w:rsidRPr="00B40A77">
        <w:rPr>
          <w:color w:val="000000" w:themeColor="text1"/>
          <w:lang w:val="en-US"/>
        </w:rPr>
        <w:t xml:space="preserve">111(1) </w:t>
      </w:r>
      <w:r w:rsidR="007A3929" w:rsidRPr="00B40A77">
        <w:rPr>
          <w:color w:val="000000" w:themeColor="text1"/>
          <w:lang w:val="en-US"/>
        </w:rPr>
        <w:t xml:space="preserve">and (3) </w:t>
      </w:r>
      <w:r w:rsidRPr="00B40A77">
        <w:rPr>
          <w:color w:val="000000" w:themeColor="text1"/>
          <w:lang w:val="en-US"/>
        </w:rPr>
        <w:t xml:space="preserve">of the Procedure Act require the committal brief to be filed </w:t>
      </w:r>
      <w:r w:rsidRPr="00B40A77">
        <w:rPr>
          <w:color w:val="000000" w:themeColor="text1"/>
        </w:rPr>
        <w:t>and served at least 4 weeks before the date appointed for an answer charge hearing.</w:t>
      </w:r>
    </w:p>
    <w:p w14:paraId="57C0341A" w14:textId="462AA7FE" w:rsidR="00290669" w:rsidRPr="00B40A77" w:rsidRDefault="007A324A" w:rsidP="007A324A">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informant must </w:t>
      </w:r>
      <w:r w:rsidR="00565B69" w:rsidRPr="00B40A77">
        <w:rPr>
          <w:color w:val="000000" w:themeColor="text1"/>
          <w:lang w:val="en-US"/>
        </w:rPr>
        <w:t xml:space="preserve">file and </w:t>
      </w:r>
      <w:r w:rsidRPr="00B40A77">
        <w:rPr>
          <w:color w:val="000000" w:themeColor="text1"/>
          <w:lang w:val="en-US"/>
        </w:rPr>
        <w:t xml:space="preserve">serve as an attachment to the evidentiary material brief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w:t>
      </w:r>
      <w:r w:rsidR="00424C92" w:rsidRPr="00B40A77">
        <w:rPr>
          <w:color w:val="000000" w:themeColor="text1"/>
          <w:lang w:val="en-US"/>
        </w:rPr>
        <w:t xml:space="preserve"> the evidentiary material brief</w:t>
      </w:r>
      <w:r w:rsidR="00290669" w:rsidRPr="00B40A77">
        <w:rPr>
          <w:color w:val="000000" w:themeColor="text1"/>
          <w:lang w:val="en-US"/>
        </w:rPr>
        <w:t>.</w:t>
      </w:r>
    </w:p>
    <w:p w14:paraId="6784AC5A" w14:textId="6BD32B66" w:rsidR="00424C92" w:rsidRPr="00B40A77" w:rsidRDefault="00424C92" w:rsidP="007A324A">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informant may serve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not attached to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 the evidentiary material brief or alternatively may retain possession of any such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w:t>
      </w:r>
    </w:p>
    <w:p w14:paraId="4F7A93E2" w14:textId="16323E36" w:rsidR="00424C92" w:rsidRPr="00B40A77" w:rsidRDefault="007A324A" w:rsidP="00424C92">
      <w:pPr>
        <w:pStyle w:val="Hangindent"/>
        <w:rPr>
          <w:color w:val="000000" w:themeColor="text1"/>
          <w:lang w:val="en-US"/>
        </w:rPr>
      </w:pPr>
      <w:r w:rsidRPr="00B40A77">
        <w:rPr>
          <w:color w:val="000000" w:themeColor="text1"/>
          <w:lang w:val="en-US"/>
        </w:rPr>
        <w:t>(</w:t>
      </w:r>
      <w:r w:rsidR="00424C92" w:rsidRPr="00B40A77">
        <w:rPr>
          <w:color w:val="000000" w:themeColor="text1"/>
          <w:lang w:val="en-US"/>
        </w:rPr>
        <w:t>4</w:t>
      </w:r>
      <w:r w:rsidRPr="00B40A77">
        <w:rPr>
          <w:color w:val="000000" w:themeColor="text1"/>
          <w:lang w:val="en-US"/>
        </w:rPr>
        <w:t>)</w:t>
      </w:r>
      <w:r w:rsidRPr="00B40A77">
        <w:rPr>
          <w:color w:val="000000" w:themeColor="text1"/>
          <w:lang w:val="en-US"/>
        </w:rPr>
        <w:tab/>
      </w:r>
      <w:r w:rsidR="00424C92" w:rsidRPr="00B40A77">
        <w:rPr>
          <w:color w:val="000000" w:themeColor="text1"/>
          <w:lang w:val="en-US"/>
        </w:rPr>
        <w:t xml:space="preserve">If the </w:t>
      </w:r>
      <w:r w:rsidRPr="00B40A77">
        <w:rPr>
          <w:color w:val="000000" w:themeColor="text1"/>
          <w:lang w:val="en-US"/>
        </w:rPr>
        <w:t xml:space="preserve">informant </w:t>
      </w:r>
      <w:r w:rsidR="00424C92" w:rsidRPr="00B40A77">
        <w:rPr>
          <w:color w:val="000000" w:themeColor="text1"/>
          <w:lang w:val="en-US"/>
        </w:rPr>
        <w:t>previously filed and served a preliminary brief</w:t>
      </w:r>
      <w:r w:rsidR="00EB659D" w:rsidRPr="00B40A77">
        <w:rPr>
          <w:color w:val="000000" w:themeColor="text1"/>
          <w:lang w:val="en-US"/>
        </w:rPr>
        <w:t xml:space="preserve">, the </w:t>
      </w:r>
      <w:r w:rsidR="00424C92" w:rsidRPr="00B40A77">
        <w:rPr>
          <w:color w:val="000000" w:themeColor="text1"/>
          <w:lang w:val="en-US"/>
        </w:rPr>
        <w:t>c</w:t>
      </w:r>
      <w:r w:rsidR="00EB659D" w:rsidRPr="00B40A77">
        <w:rPr>
          <w:color w:val="000000" w:themeColor="text1"/>
          <w:lang w:val="en-US"/>
        </w:rPr>
        <w:t>ommittal brief</w:t>
      </w:r>
      <w:r w:rsidR="00424C92" w:rsidRPr="00B40A77">
        <w:rPr>
          <w:color w:val="000000" w:themeColor="text1"/>
          <w:lang w:val="en-US"/>
        </w:rPr>
        <w:t xml:space="preserve"> </w:t>
      </w:r>
      <w:r w:rsidR="004507EE" w:rsidRPr="00B40A77">
        <w:rPr>
          <w:color w:val="000000" w:themeColor="text1"/>
          <w:lang w:val="en-US"/>
        </w:rPr>
        <w:t>must be in th</w:t>
      </w:r>
      <w:r w:rsidR="00EB659D" w:rsidRPr="00B40A77">
        <w:rPr>
          <w:color w:val="000000" w:themeColor="text1"/>
          <w:lang w:val="en-US"/>
        </w:rPr>
        <w:t xml:space="preserve">e form of </w:t>
      </w:r>
      <w:r w:rsidR="00424C92" w:rsidRPr="00B40A77">
        <w:rPr>
          <w:color w:val="000000" w:themeColor="text1"/>
          <w:lang w:val="en-US"/>
        </w:rPr>
        <w:t xml:space="preserve">a revised version of the </w:t>
      </w:r>
      <w:r w:rsidR="00EB659D" w:rsidRPr="00B40A77">
        <w:rPr>
          <w:color w:val="000000" w:themeColor="text1"/>
          <w:lang w:val="en-US"/>
        </w:rPr>
        <w:t xml:space="preserve">earlier </w:t>
      </w:r>
      <w:r w:rsidR="00424C92" w:rsidRPr="00B40A77">
        <w:rPr>
          <w:color w:val="000000" w:themeColor="text1"/>
          <w:lang w:val="en-US"/>
        </w:rPr>
        <w:t>evidentiary material brief showi</w:t>
      </w:r>
      <w:r w:rsidR="009A51DE" w:rsidRPr="00B40A77">
        <w:rPr>
          <w:color w:val="000000" w:themeColor="text1"/>
          <w:lang w:val="en-US"/>
        </w:rPr>
        <w:t>ng the relevant revision number.</w:t>
      </w:r>
    </w:p>
    <w:p w14:paraId="3084D482" w14:textId="0CA08DE9" w:rsidR="00EB659D" w:rsidRPr="00B40A77" w:rsidRDefault="00EB659D" w:rsidP="00EB659D">
      <w:pPr>
        <w:pStyle w:val="Hangindent"/>
        <w:rPr>
          <w:color w:val="000000" w:themeColor="text1"/>
          <w:lang w:val="en-US"/>
        </w:rPr>
      </w:pPr>
      <w:r w:rsidRPr="00B40A77">
        <w:rPr>
          <w:color w:val="000000" w:themeColor="text1"/>
          <w:lang w:val="en-US"/>
        </w:rPr>
        <w:t>(5)</w:t>
      </w:r>
      <w:r w:rsidRPr="00B40A77">
        <w:rPr>
          <w:color w:val="000000" w:themeColor="text1"/>
          <w:lang w:val="en-US"/>
        </w:rPr>
        <w:tab/>
        <w:t>If the informant wishes to amend or supplement the committal brief, the informant must do so by filing and serving a revised version of the evidentiary material brief showing the relevant revision number.</w:t>
      </w:r>
    </w:p>
    <w:p w14:paraId="6BCDBD34" w14:textId="775ACB90" w:rsidR="00E11742" w:rsidRPr="00B40A77" w:rsidRDefault="009A51DE" w:rsidP="00E11742">
      <w:pPr>
        <w:pStyle w:val="Heading4"/>
        <w:rPr>
          <w:color w:val="000000" w:themeColor="text1"/>
        </w:rPr>
      </w:pPr>
      <w:bookmarkStart w:id="593" w:name="_82.3—Evidentiary_material_briefs"/>
      <w:bookmarkStart w:id="594" w:name="_Toc175239033"/>
      <w:bookmarkEnd w:id="593"/>
      <w:r w:rsidRPr="00B40A77">
        <w:rPr>
          <w:color w:val="000000" w:themeColor="text1"/>
        </w:rPr>
        <w:t>8</w:t>
      </w:r>
      <w:r w:rsidR="004507EE" w:rsidRPr="00B40A77">
        <w:rPr>
          <w:color w:val="000000" w:themeColor="text1"/>
        </w:rPr>
        <w:t>2.3</w:t>
      </w:r>
      <w:r w:rsidR="00E11742" w:rsidRPr="00B40A77">
        <w:rPr>
          <w:color w:val="000000" w:themeColor="text1"/>
        </w:rPr>
        <w:t>—Evidentiary material briefs generally</w:t>
      </w:r>
      <w:bookmarkEnd w:id="594"/>
    </w:p>
    <w:p w14:paraId="4F0334E5" w14:textId="485804D5" w:rsidR="00711A34" w:rsidRPr="00B40A77" w:rsidRDefault="00E11742" w:rsidP="00711A34">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Unless the Court otherwise orders, the informant must file an evidentiary material brief (including </w:t>
      </w:r>
      <w:r w:rsidR="008B1E6E" w:rsidRPr="00B40A77">
        <w:rPr>
          <w:color w:val="000000" w:themeColor="text1"/>
          <w:lang w:val="en-US"/>
        </w:rPr>
        <w:t xml:space="preserve">any required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w:t>
      </w:r>
      <w:hyperlink w:anchor="_2.1—Definitions" w:history="1">
        <w:r w:rsidR="000475CD" w:rsidRPr="00B40A77">
          <w:rPr>
            <w:rStyle w:val="Hyperlink"/>
            <w:color w:val="000000" w:themeColor="text1"/>
            <w:lang w:val="en-US"/>
          </w:rPr>
          <w:t>evidentiary material</w:t>
        </w:r>
      </w:hyperlink>
      <w:r w:rsidR="008B1E6E" w:rsidRPr="00B40A77">
        <w:rPr>
          <w:color w:val="000000" w:themeColor="text1"/>
          <w:lang w:val="en-US"/>
        </w:rPr>
        <w:t xml:space="preserve"> attached</w:t>
      </w:r>
      <w:r w:rsidRPr="00B40A77">
        <w:rPr>
          <w:color w:val="000000" w:themeColor="text1"/>
          <w:lang w:val="en-US"/>
        </w:rPr>
        <w:t>) in electronic form</w:t>
      </w:r>
      <w:r w:rsidR="00711A34" w:rsidRPr="00B40A77">
        <w:rPr>
          <w:color w:val="000000" w:themeColor="text1"/>
          <w:lang w:val="en-US"/>
        </w:rPr>
        <w:t xml:space="preserve"> and</w:t>
      </w:r>
      <w:r w:rsidR="00711A34" w:rsidRPr="00B40A77">
        <w:rPr>
          <w:color w:val="000000" w:themeColor="text1"/>
        </w:rPr>
        <w:t>—</w:t>
      </w:r>
    </w:p>
    <w:p w14:paraId="49111566" w14:textId="73BE4DD2" w:rsidR="00711A34" w:rsidRPr="00B40A77" w:rsidRDefault="00711A34" w:rsidP="00711A34">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if its contents exceed 30 megabytes (or such other capacity limit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it must be uploaded in separate documents containing not more than 30 megabytes; </w:t>
      </w:r>
    </w:p>
    <w:p w14:paraId="2F6ECC96" w14:textId="66BC6773" w:rsidR="00711A34" w:rsidRPr="00B40A77" w:rsidRDefault="00711A34" w:rsidP="00711A34">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2E4DDD" w:rsidRPr="00B40A77">
        <w:rPr>
          <w:color w:val="000000" w:themeColor="text1"/>
          <w:lang w:val="en-US"/>
        </w:rPr>
        <w:t xml:space="preserve">subject to paragraph (c). </w:t>
      </w:r>
      <w:r w:rsidRPr="00B40A77">
        <w:rPr>
          <w:color w:val="000000" w:themeColor="text1"/>
          <w:lang w:val="en-US"/>
        </w:rPr>
        <w:t xml:space="preserve">the version filed must not include any </w:t>
      </w:r>
      <w:hyperlink w:anchor="_2.1—Definitions" w:history="1">
        <w:r w:rsidR="00423A9E" w:rsidRPr="00B40A77">
          <w:rPr>
            <w:rStyle w:val="Hyperlink"/>
            <w:color w:val="000000" w:themeColor="text1"/>
            <w:lang w:val="en-US"/>
          </w:rPr>
          <w:t>electronic material</w:t>
        </w:r>
      </w:hyperlink>
      <w:r w:rsidRPr="00B40A77">
        <w:rPr>
          <w:color w:val="000000" w:themeColor="text1"/>
          <w:lang w:val="en-US"/>
        </w:rPr>
        <w:t xml:space="preserve"> in mpeg or alternative formats containing audiovisual material;</w:t>
      </w:r>
    </w:p>
    <w:p w14:paraId="4EE05872" w14:textId="64D991D9" w:rsidR="00E11742" w:rsidRPr="00B40A77" w:rsidRDefault="00711A34" w:rsidP="00AA39D7">
      <w:pPr>
        <w:pStyle w:val="Doublehangindent"/>
        <w:rPr>
          <w:color w:val="000000" w:themeColor="text1"/>
          <w:lang w:val="en-US"/>
        </w:rPr>
      </w:pPr>
      <w:r w:rsidRPr="00B40A77">
        <w:rPr>
          <w:color w:val="000000" w:themeColor="text1"/>
          <w:lang w:val="en-US"/>
        </w:rPr>
        <w:t>(c)</w:t>
      </w:r>
      <w:r w:rsidRPr="00B40A77">
        <w:rPr>
          <w:color w:val="000000" w:themeColor="text1"/>
          <w:lang w:val="en-US"/>
        </w:rPr>
        <w:tab/>
        <w:t>if the version served includes material that is admissible under section</w:t>
      </w:r>
      <w:r w:rsidR="002E4DDD" w:rsidRPr="00B40A77">
        <w:rPr>
          <w:color w:val="000000" w:themeColor="text1"/>
          <w:lang w:val="en-US"/>
        </w:rPr>
        <w:t> </w:t>
      </w:r>
      <w:r w:rsidRPr="00B40A77">
        <w:rPr>
          <w:color w:val="000000" w:themeColor="text1"/>
          <w:lang w:val="en-US"/>
        </w:rPr>
        <w:t>13BA or</w:t>
      </w:r>
      <w:r w:rsidR="002E4DDD" w:rsidRPr="00B40A77">
        <w:rPr>
          <w:color w:val="000000" w:themeColor="text1"/>
          <w:lang w:val="en-US"/>
        </w:rPr>
        <w:t> </w:t>
      </w:r>
      <w:r w:rsidRPr="00B40A77">
        <w:rPr>
          <w:color w:val="000000" w:themeColor="text1"/>
          <w:lang w:val="en-US"/>
        </w:rPr>
        <w:t xml:space="preserve">13BB of the Evidence Act, </w:t>
      </w:r>
      <w:r w:rsidR="002E4DDD" w:rsidRPr="00B40A77">
        <w:rPr>
          <w:color w:val="000000" w:themeColor="text1"/>
          <w:lang w:val="en-US"/>
        </w:rPr>
        <w:t xml:space="preserve">the version filed </w:t>
      </w:r>
      <w:r w:rsidRPr="00B40A77">
        <w:rPr>
          <w:color w:val="000000" w:themeColor="text1"/>
          <w:lang w:val="en-US"/>
        </w:rPr>
        <w:t xml:space="preserve">must be accompanied by a </w:t>
      </w:r>
      <w:r w:rsidR="002E4DDD" w:rsidRPr="00B40A77">
        <w:rPr>
          <w:color w:val="000000" w:themeColor="text1"/>
          <w:lang w:val="en-US"/>
        </w:rPr>
        <w:t>USB drive</w:t>
      </w:r>
      <w:r w:rsidRPr="00B40A77">
        <w:rPr>
          <w:color w:val="000000" w:themeColor="text1"/>
          <w:lang w:val="en-US"/>
        </w:rPr>
        <w:t xml:space="preserve"> (or such other storage device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containing such material</w:t>
      </w:r>
      <w:r w:rsidR="00E11742" w:rsidRPr="00B40A77">
        <w:rPr>
          <w:color w:val="000000" w:themeColor="text1"/>
          <w:lang w:val="en-US"/>
        </w:rPr>
        <w:t>.</w:t>
      </w:r>
    </w:p>
    <w:p w14:paraId="7A7A6743" w14:textId="1BB23D53" w:rsidR="00BE344D" w:rsidRPr="00B40A77" w:rsidRDefault="00BE344D" w:rsidP="00BE344D">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Unless the Court otherwise orders, the informant must serve an evidentiary material brief (including any required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in electronic form if the defendant or youth has an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that includes an email address.</w:t>
      </w:r>
    </w:p>
    <w:p w14:paraId="1BCD3B96" w14:textId="2DE5F81F" w:rsidR="00A94CA2" w:rsidRPr="00B40A77" w:rsidRDefault="00A94CA2" w:rsidP="00A94CA2">
      <w:pPr>
        <w:pStyle w:val="Hangindent"/>
        <w:rPr>
          <w:color w:val="000000" w:themeColor="text1"/>
          <w:lang w:val="en-US"/>
        </w:rPr>
      </w:pPr>
      <w:r w:rsidRPr="00B40A77">
        <w:rPr>
          <w:color w:val="000000" w:themeColor="text1"/>
          <w:lang w:val="en-US"/>
        </w:rPr>
        <w:t>(3)</w:t>
      </w:r>
      <w:r w:rsidRPr="00B40A77">
        <w:rPr>
          <w:color w:val="000000" w:themeColor="text1"/>
          <w:lang w:val="en-US"/>
        </w:rPr>
        <w:tab/>
        <w:t>Unless the Court otherwise orders, the informant may serve an evidentiary material brief by sending an email informing the defendant or youth of the filing of the brief and that it may be accessed on the Court’s electronic portal if</w:t>
      </w:r>
      <w:r w:rsidRPr="00B40A77">
        <w:rPr>
          <w:color w:val="000000" w:themeColor="text1"/>
        </w:rPr>
        <w:t>—</w:t>
      </w:r>
    </w:p>
    <w:p w14:paraId="2B739D92" w14:textId="77777777" w:rsidR="00A94CA2" w:rsidRPr="00B40A77" w:rsidRDefault="00A94CA2" w:rsidP="00A94CA2">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informant files an evidentiary material brief in electronic form;</w:t>
      </w:r>
    </w:p>
    <w:p w14:paraId="0D70A6BC" w14:textId="1FE76090" w:rsidR="00A94CA2" w:rsidRPr="00B40A77" w:rsidRDefault="00A94CA2" w:rsidP="00A94CA2">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defendant or youth has an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that includes an email address;</w:t>
      </w:r>
    </w:p>
    <w:p w14:paraId="59AC89C9" w14:textId="0A702BC3" w:rsidR="002E4DDD" w:rsidRPr="00B40A77" w:rsidRDefault="00A94CA2" w:rsidP="00A94CA2">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email is sent to that email </w:t>
      </w:r>
      <w:hyperlink w:anchor="_2.1—Definitions" w:history="1">
        <w:r w:rsidRPr="00B40A77">
          <w:rPr>
            <w:rStyle w:val="Hyperlink"/>
            <w:color w:val="000000" w:themeColor="text1"/>
            <w:lang w:val="en-US"/>
          </w:rPr>
          <w:t>address for service</w:t>
        </w:r>
      </w:hyperlink>
      <w:r w:rsidR="002E4DDD" w:rsidRPr="00B40A77">
        <w:rPr>
          <w:color w:val="000000" w:themeColor="text1"/>
          <w:lang w:val="en-US"/>
        </w:rPr>
        <w:t>; and</w:t>
      </w:r>
    </w:p>
    <w:p w14:paraId="35B932B8" w14:textId="4B8DD8AE" w:rsidR="00A94CA2" w:rsidRPr="00B40A77" w:rsidRDefault="002E4DDD" w:rsidP="00A94CA2">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party to be served or a lawyer acting for them is a registered user of the </w:t>
      </w:r>
      <w:hyperlink w:anchor="_22.1—Establishment_and_operation" w:history="1">
        <w:r w:rsidR="00A26A40" w:rsidRPr="00B40A77">
          <w:rPr>
            <w:rStyle w:val="Hyperlink"/>
            <w:color w:val="000000" w:themeColor="text1"/>
            <w:lang w:val="en-US"/>
          </w:rPr>
          <w:t>Electronic System</w:t>
        </w:r>
      </w:hyperlink>
      <w:r w:rsidRPr="00B40A77">
        <w:rPr>
          <w:color w:val="000000" w:themeColor="text1"/>
          <w:lang w:val="en-US"/>
        </w:rPr>
        <w:t xml:space="preserve"> and has been granted access to the case maintained on the </w:t>
      </w:r>
      <w:hyperlink w:anchor="_22.1—Establishment_and_operation" w:history="1">
        <w:r w:rsidR="00A26A40" w:rsidRPr="00B40A77">
          <w:rPr>
            <w:rStyle w:val="Hyperlink"/>
            <w:color w:val="000000" w:themeColor="text1"/>
            <w:lang w:val="en-US"/>
          </w:rPr>
          <w:t>Electronic System</w:t>
        </w:r>
      </w:hyperlink>
      <w:r w:rsidR="00A94CA2" w:rsidRPr="00B40A77">
        <w:rPr>
          <w:color w:val="000000" w:themeColor="text1"/>
          <w:lang w:val="en-US"/>
        </w:rPr>
        <w:t>.</w:t>
      </w:r>
    </w:p>
    <w:p w14:paraId="3C172A37" w14:textId="71A0F29F" w:rsidR="00BE344D" w:rsidRPr="00B40A77" w:rsidRDefault="00BE344D" w:rsidP="00BE344D">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the informant is permitted </w:t>
      </w:r>
      <w:r w:rsidR="005906AF" w:rsidRPr="00B40A77">
        <w:rPr>
          <w:color w:val="000000" w:themeColor="text1"/>
          <w:lang w:val="en-US"/>
        </w:rPr>
        <w:t xml:space="preserve">or required </w:t>
      </w:r>
      <w:r w:rsidRPr="00B40A77">
        <w:rPr>
          <w:color w:val="000000" w:themeColor="text1"/>
          <w:lang w:val="en-US"/>
        </w:rPr>
        <w:t xml:space="preserve">to file an evidentiary material brief in physical form, </w:t>
      </w:r>
      <w:r w:rsidRPr="00B40A77">
        <w:rPr>
          <w:rFonts w:cs="Times New Roman"/>
          <w:color w:val="000000" w:themeColor="text1"/>
        </w:rPr>
        <w:t xml:space="preserve">the informant must file two copies of the </w:t>
      </w:r>
      <w:r w:rsidRPr="00B40A77">
        <w:rPr>
          <w:color w:val="000000" w:themeColor="text1"/>
          <w:lang w:val="en-US"/>
        </w:rPr>
        <w:t>evidentiary material brief (including any attached material).</w:t>
      </w:r>
    </w:p>
    <w:p w14:paraId="08B610F3" w14:textId="7373A72A" w:rsidR="005906AF" w:rsidRPr="00B40A77" w:rsidRDefault="005906AF" w:rsidP="00BE344D">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the informant files or serves a revised evidentiary material brief in electronic form, the informant </w:t>
      </w:r>
      <w:r w:rsidR="001F6A2A" w:rsidRPr="00B40A77">
        <w:rPr>
          <w:color w:val="000000" w:themeColor="text1"/>
          <w:lang w:val="en-US"/>
        </w:rPr>
        <w:t xml:space="preserve">may, but is not required to, </w:t>
      </w:r>
      <w:r w:rsidRPr="00B40A77">
        <w:rPr>
          <w:color w:val="000000" w:themeColor="text1"/>
          <w:lang w:val="en-US"/>
        </w:rPr>
        <w:t xml:space="preserve">include any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5FBB5DA4" w14:textId="7058D33B" w:rsidR="00BE344D" w:rsidRPr="00B40A77" w:rsidRDefault="00BE344D" w:rsidP="00BE344D">
      <w:pPr>
        <w:pStyle w:val="Hangindent"/>
        <w:rPr>
          <w:color w:val="000000" w:themeColor="text1"/>
          <w:lang w:val="en-US"/>
        </w:rPr>
      </w:pPr>
      <w:r w:rsidRPr="00B40A77">
        <w:rPr>
          <w:color w:val="000000" w:themeColor="text1"/>
          <w:lang w:val="en-US"/>
        </w:rPr>
        <w:t>(</w:t>
      </w:r>
      <w:r w:rsidR="005906AF" w:rsidRPr="00B40A77">
        <w:rPr>
          <w:color w:val="000000" w:themeColor="text1"/>
          <w:lang w:val="en-US"/>
        </w:rPr>
        <w:t>6</w:t>
      </w:r>
      <w:r w:rsidRPr="00B40A77">
        <w:rPr>
          <w:color w:val="000000" w:themeColor="text1"/>
          <w:lang w:val="en-US"/>
        </w:rPr>
        <w:t>)</w:t>
      </w:r>
      <w:r w:rsidRPr="00B40A77">
        <w:rPr>
          <w:color w:val="000000" w:themeColor="text1"/>
          <w:lang w:val="en-US"/>
        </w:rPr>
        <w:tab/>
        <w:t xml:space="preserve">If the informant files </w:t>
      </w:r>
      <w:r w:rsidR="00A137DA" w:rsidRPr="00B40A77">
        <w:rPr>
          <w:color w:val="000000" w:themeColor="text1"/>
          <w:lang w:val="en-US"/>
        </w:rPr>
        <w:t xml:space="preserve">or serves </w:t>
      </w:r>
      <w:r w:rsidRPr="00B40A77">
        <w:rPr>
          <w:color w:val="000000" w:themeColor="text1"/>
          <w:lang w:val="en-US"/>
        </w:rPr>
        <w:t>a revised evidentiary material brief</w:t>
      </w:r>
      <w:r w:rsidR="00505A4A" w:rsidRPr="00B40A77">
        <w:rPr>
          <w:color w:val="000000" w:themeColor="text1"/>
          <w:lang w:val="en-US"/>
        </w:rPr>
        <w:t xml:space="preserve"> in </w:t>
      </w:r>
      <w:r w:rsidR="005906AF" w:rsidRPr="00B40A77">
        <w:rPr>
          <w:color w:val="000000" w:themeColor="text1"/>
          <w:lang w:val="en-US"/>
        </w:rPr>
        <w:t xml:space="preserve">physical </w:t>
      </w:r>
      <w:r w:rsidR="00505A4A" w:rsidRPr="00B40A77">
        <w:rPr>
          <w:color w:val="000000" w:themeColor="text1"/>
          <w:lang w:val="en-US"/>
        </w:rPr>
        <w:t>form</w:t>
      </w:r>
      <w:r w:rsidRPr="00B40A77">
        <w:rPr>
          <w:color w:val="000000" w:themeColor="text1"/>
          <w:lang w:val="en-US"/>
        </w:rPr>
        <w:t xml:space="preserve">, the informant is not required to file or serve again any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1E85D927" w14:textId="0B600771" w:rsidR="00F5651C" w:rsidRPr="00B40A77" w:rsidRDefault="00F5651C" w:rsidP="00F5651C">
      <w:pPr>
        <w:pStyle w:val="Heading2"/>
        <w:keepNext/>
        <w:rPr>
          <w:color w:val="000000" w:themeColor="text1"/>
        </w:rPr>
      </w:pPr>
      <w:bookmarkStart w:id="595" w:name="_Toc175239034"/>
      <w:bookmarkStart w:id="596" w:name="_Hlk93313734"/>
      <w:bookmarkEnd w:id="590"/>
      <w:r w:rsidRPr="00B40A77">
        <w:rPr>
          <w:color w:val="000000" w:themeColor="text1"/>
        </w:rPr>
        <w:t xml:space="preserve">Part 3—Pre-committal </w:t>
      </w:r>
      <w:r w:rsidR="00CC0BDB" w:rsidRPr="00B40A77">
        <w:rPr>
          <w:color w:val="000000" w:themeColor="text1"/>
        </w:rPr>
        <w:t>appearance</w:t>
      </w:r>
      <w:r w:rsidR="00DD3A45" w:rsidRPr="00B40A77">
        <w:rPr>
          <w:color w:val="000000" w:themeColor="text1"/>
        </w:rPr>
        <w:t>s</w:t>
      </w:r>
      <w:bookmarkEnd w:id="595"/>
      <w:r w:rsidRPr="00B40A77">
        <w:rPr>
          <w:color w:val="000000" w:themeColor="text1"/>
        </w:rPr>
        <w:t xml:space="preserve"> </w:t>
      </w:r>
    </w:p>
    <w:p w14:paraId="0FE85F73" w14:textId="77777777" w:rsidR="00F5651C" w:rsidRPr="00B40A77" w:rsidRDefault="00F5651C" w:rsidP="00F5651C">
      <w:pPr>
        <w:pStyle w:val="Heading4"/>
        <w:rPr>
          <w:color w:val="000000" w:themeColor="text1"/>
        </w:rPr>
      </w:pPr>
      <w:bookmarkStart w:id="597" w:name="_Toc175239035"/>
      <w:r w:rsidRPr="00B40A77">
        <w:rPr>
          <w:color w:val="000000" w:themeColor="text1"/>
        </w:rPr>
        <w:t>83.1—First hearing</w:t>
      </w:r>
      <w:bookmarkEnd w:id="597"/>
    </w:p>
    <w:p w14:paraId="68E05D1E" w14:textId="55831773" w:rsidR="00EB7224" w:rsidRPr="00B40A77" w:rsidRDefault="00EB7224" w:rsidP="00EB7224">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expects that generally there will only be one </w:t>
      </w:r>
      <w:bookmarkStart w:id="598" w:name="_Hlk111141071"/>
      <w:r w:rsidR="009E6842" w:rsidRPr="00B40A77">
        <w:rPr>
          <w:color w:val="000000" w:themeColor="text1"/>
          <w:lang w:val="en-US"/>
        </w:rPr>
        <w:fldChar w:fldCharType="begin"/>
      </w:r>
      <w:r w:rsidR="009E6842" w:rsidRPr="00B40A77">
        <w:rPr>
          <w:color w:val="000000" w:themeColor="text1"/>
          <w:lang w:val="en-US"/>
        </w:rPr>
        <w:instrText xml:space="preserve"> HYPERLINK  \l "_2.1—Definitions" </w:instrText>
      </w:r>
      <w:r w:rsidR="009E6842" w:rsidRPr="00B40A77">
        <w:rPr>
          <w:color w:val="000000" w:themeColor="text1"/>
          <w:lang w:val="en-US"/>
        </w:rPr>
      </w:r>
      <w:r w:rsidR="009E6842" w:rsidRPr="00B40A77">
        <w:rPr>
          <w:color w:val="000000" w:themeColor="text1"/>
          <w:lang w:val="en-US"/>
        </w:rPr>
        <w:fldChar w:fldCharType="separate"/>
      </w:r>
      <w:r w:rsidRPr="00B40A77">
        <w:rPr>
          <w:rStyle w:val="Hyperlink"/>
          <w:color w:val="000000" w:themeColor="text1"/>
          <w:lang w:val="en-US"/>
        </w:rPr>
        <w:t xml:space="preserve">pre-committal </w:t>
      </w:r>
      <w:r w:rsidR="00CC0BDB" w:rsidRPr="00B40A77">
        <w:rPr>
          <w:rStyle w:val="Hyperlink"/>
          <w:color w:val="000000" w:themeColor="text1"/>
          <w:lang w:val="en-US"/>
        </w:rPr>
        <w:t>appearance</w:t>
      </w:r>
      <w:r w:rsidR="009E6842" w:rsidRPr="00B40A77">
        <w:rPr>
          <w:color w:val="000000" w:themeColor="text1"/>
          <w:lang w:val="en-US"/>
        </w:rPr>
        <w:fldChar w:fldCharType="end"/>
      </w:r>
      <w:r w:rsidR="009E6842" w:rsidRPr="00B40A77">
        <w:rPr>
          <w:color w:val="000000" w:themeColor="text1"/>
          <w:lang w:val="en-US"/>
        </w:rPr>
        <w:t xml:space="preserve"> </w:t>
      </w:r>
      <w:bookmarkEnd w:id="598"/>
      <w:r w:rsidR="00FD5BF2" w:rsidRPr="00B40A77">
        <w:rPr>
          <w:color w:val="000000" w:themeColor="text1"/>
          <w:lang w:val="en-US"/>
        </w:rPr>
        <w:t xml:space="preserve">before the charge determination </w:t>
      </w:r>
      <w:r w:rsidRPr="00B40A77">
        <w:rPr>
          <w:color w:val="000000" w:themeColor="text1"/>
          <w:lang w:val="en-US"/>
        </w:rPr>
        <w:t xml:space="preserve">and the matter will be adjourned at the first </w:t>
      </w:r>
      <w:hyperlink w:anchor="_37.1—Application_of_Part" w:history="1">
        <w:r w:rsidR="00BF49F7" w:rsidRPr="00B40A77">
          <w:rPr>
            <w:rStyle w:val="Hyperlink"/>
            <w:color w:val="000000" w:themeColor="text1"/>
            <w:lang w:val="en-US"/>
          </w:rPr>
          <w:t>hearing</w:t>
        </w:r>
      </w:hyperlink>
      <w:r w:rsidRPr="00B40A77">
        <w:rPr>
          <w:color w:val="000000" w:themeColor="text1"/>
          <w:lang w:val="en-US"/>
        </w:rPr>
        <w:t xml:space="preserve"> to a</w:t>
      </w:r>
      <w:r w:rsidR="00FD5BF2" w:rsidRPr="00B40A77">
        <w:rPr>
          <w:color w:val="000000" w:themeColor="text1"/>
          <w:lang w:val="en-US"/>
        </w:rPr>
        <w:t xml:space="preserv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w:t>
      </w:r>
    </w:p>
    <w:p w14:paraId="60A26DAE" w14:textId="4A4F3561" w:rsidR="00F5651C" w:rsidRPr="00B40A77" w:rsidRDefault="00F5651C" w:rsidP="00F5651C">
      <w:pPr>
        <w:pStyle w:val="Hangindent"/>
        <w:rPr>
          <w:color w:val="000000" w:themeColor="text1"/>
          <w:lang w:val="en-US"/>
        </w:rPr>
      </w:pPr>
      <w:r w:rsidRPr="00B40A77">
        <w:rPr>
          <w:color w:val="000000" w:themeColor="text1"/>
          <w:lang w:val="en-US"/>
        </w:rPr>
        <w:t>(</w:t>
      </w:r>
      <w:r w:rsidR="00816FEF" w:rsidRPr="00B40A77">
        <w:rPr>
          <w:color w:val="000000" w:themeColor="text1"/>
          <w:lang w:val="en-US"/>
        </w:rPr>
        <w:t>2</w:t>
      </w:r>
      <w:r w:rsidRPr="00B40A77">
        <w:rPr>
          <w:color w:val="000000" w:themeColor="text1"/>
          <w:lang w:val="en-US"/>
        </w:rPr>
        <w:t>)</w:t>
      </w:r>
      <w:r w:rsidRPr="00B40A77">
        <w:rPr>
          <w:color w:val="000000" w:themeColor="text1"/>
          <w:lang w:val="en-US"/>
        </w:rPr>
        <w:tab/>
        <w:t xml:space="preserve">The informant must inform the Court at the </w:t>
      </w:r>
      <w:r w:rsidR="00DD3A45" w:rsidRPr="00B40A77">
        <w:rPr>
          <w:color w:val="000000" w:themeColor="text1"/>
          <w:lang w:val="en-US"/>
        </w:rPr>
        <w:t xml:space="preserve">first hearing or any adjournment of the first hearing </w:t>
      </w:r>
      <w:r w:rsidR="009B1B8A" w:rsidRPr="00B40A77">
        <w:rPr>
          <w:color w:val="000000" w:themeColor="text1"/>
          <w:lang w:val="en-US"/>
        </w:rPr>
        <w:t>if a defendant or youth has not been served with any of the documents required to be served under rule 62.4</w:t>
      </w:r>
      <w:r w:rsidRPr="00B40A77">
        <w:rPr>
          <w:color w:val="000000" w:themeColor="text1"/>
          <w:lang w:val="en-US"/>
        </w:rPr>
        <w:t>.</w:t>
      </w:r>
    </w:p>
    <w:p w14:paraId="4E3FC6D5" w14:textId="780E66BA" w:rsidR="00B5064E" w:rsidRPr="00B40A77" w:rsidRDefault="00F5651C" w:rsidP="00B5064E">
      <w:pPr>
        <w:pStyle w:val="Hangindent"/>
        <w:rPr>
          <w:color w:val="000000" w:themeColor="text1"/>
          <w:lang w:val="en-US"/>
        </w:rPr>
      </w:pPr>
      <w:r w:rsidRPr="00B40A77">
        <w:rPr>
          <w:color w:val="000000" w:themeColor="text1"/>
          <w:lang w:val="en-US"/>
        </w:rPr>
        <w:t>(</w:t>
      </w:r>
      <w:r w:rsidR="00816FEF" w:rsidRPr="00B40A77">
        <w:rPr>
          <w:color w:val="000000" w:themeColor="text1"/>
          <w:lang w:val="en-US"/>
        </w:rPr>
        <w:t>3</w:t>
      </w:r>
      <w:r w:rsidRPr="00B40A77">
        <w:rPr>
          <w:color w:val="000000" w:themeColor="text1"/>
          <w:lang w:val="en-US"/>
        </w:rPr>
        <w:t>)</w:t>
      </w:r>
      <w:r w:rsidRPr="00B40A77">
        <w:rPr>
          <w:color w:val="000000" w:themeColor="text1"/>
          <w:lang w:val="en-US"/>
        </w:rPr>
        <w:tab/>
      </w:r>
      <w:r w:rsidR="00816FEF" w:rsidRPr="00B40A77">
        <w:rPr>
          <w:color w:val="000000" w:themeColor="text1"/>
          <w:lang w:val="en-US"/>
        </w:rPr>
        <w:t>I</w:t>
      </w:r>
      <w:r w:rsidR="009B1B8A" w:rsidRPr="00B40A77">
        <w:rPr>
          <w:color w:val="000000" w:themeColor="text1"/>
          <w:lang w:val="en-US"/>
        </w:rPr>
        <w:t xml:space="preserve">f a defendant or youth has not been served with </w:t>
      </w:r>
      <w:r w:rsidR="00B5064E" w:rsidRPr="00B40A77">
        <w:rPr>
          <w:color w:val="000000" w:themeColor="text1"/>
          <w:lang w:val="en-US"/>
        </w:rPr>
        <w:t xml:space="preserve">the information, </w:t>
      </w:r>
      <w:r w:rsidR="005D65BB" w:rsidRPr="00B40A77">
        <w:rPr>
          <w:color w:val="000000" w:themeColor="text1"/>
          <w:lang w:val="en-US"/>
        </w:rPr>
        <w:t>a</w:t>
      </w:r>
      <w:r w:rsidR="00B5064E" w:rsidRPr="00B40A77">
        <w:rPr>
          <w:color w:val="000000" w:themeColor="text1"/>
          <w:lang w:val="en-US"/>
        </w:rPr>
        <w:t xml:space="preserve"> </w:t>
      </w:r>
      <w:r w:rsidR="00FB2D7B" w:rsidRPr="00B40A77">
        <w:rPr>
          <w:color w:val="000000" w:themeColor="text1"/>
          <w:lang w:val="en-US"/>
        </w:rPr>
        <w:t>F</w:t>
      </w:r>
      <w:r w:rsidR="00B5064E" w:rsidRPr="00B40A77">
        <w:rPr>
          <w:color w:val="000000" w:themeColor="text1"/>
          <w:lang w:val="en-US"/>
        </w:rPr>
        <w:t xml:space="preserve">orm 9A </w:t>
      </w:r>
      <w:r w:rsidR="005D65BB" w:rsidRPr="00B40A77">
        <w:rPr>
          <w:color w:val="000000" w:themeColor="text1"/>
          <w:lang w:val="en-US"/>
        </w:rPr>
        <w:t xml:space="preserve">or </w:t>
      </w:r>
      <w:r w:rsidR="00FB2D7B" w:rsidRPr="00B40A77">
        <w:rPr>
          <w:color w:val="000000" w:themeColor="text1"/>
          <w:lang w:val="en-US"/>
        </w:rPr>
        <w:t>Form </w:t>
      </w:r>
      <w:r w:rsidR="005D65BB" w:rsidRPr="00B40A77">
        <w:rPr>
          <w:color w:val="000000" w:themeColor="text1"/>
          <w:lang w:val="en-US"/>
        </w:rPr>
        <w:t>9</w:t>
      </w:r>
      <w:r w:rsidR="00FB2D7B" w:rsidRPr="00B40A77">
        <w:rPr>
          <w:color w:val="000000" w:themeColor="text1"/>
          <w:lang w:val="en-US"/>
        </w:rPr>
        <w:t>C</w:t>
      </w:r>
      <w:r w:rsidR="005D65BB" w:rsidRPr="00B40A77">
        <w:rPr>
          <w:color w:val="000000" w:themeColor="text1"/>
          <w:lang w:val="en-US"/>
        </w:rPr>
        <w:t xml:space="preserve"> Summary of Allegations, </w:t>
      </w:r>
      <w:r w:rsidR="00FB2D7B" w:rsidRPr="00B40A77">
        <w:rPr>
          <w:color w:val="000000" w:themeColor="text1"/>
          <w:lang w:val="en-US"/>
        </w:rPr>
        <w:t xml:space="preserve">a Form 9B or Form 9C Antecedent Report and </w:t>
      </w:r>
      <w:r w:rsidR="005D65BB" w:rsidRPr="00B40A77">
        <w:rPr>
          <w:color w:val="000000" w:themeColor="text1"/>
          <w:lang w:val="en-US"/>
        </w:rPr>
        <w:t xml:space="preserve">the applicable </w:t>
      </w:r>
      <w:r w:rsidR="00BA506A" w:rsidRPr="00B40A77">
        <w:rPr>
          <w:color w:val="000000" w:themeColor="text1"/>
          <w:lang w:val="en-US"/>
        </w:rPr>
        <w:t>F</w:t>
      </w:r>
      <w:r w:rsidR="005D65BB" w:rsidRPr="00B40A77">
        <w:rPr>
          <w:color w:val="000000" w:themeColor="text1"/>
          <w:lang w:val="en-US"/>
        </w:rPr>
        <w:t xml:space="preserve">orm 8 </w:t>
      </w:r>
      <w:r w:rsidR="00BA506A" w:rsidRPr="00B40A77">
        <w:rPr>
          <w:color w:val="000000" w:themeColor="text1"/>
          <w:lang w:val="en-US"/>
        </w:rPr>
        <w:t>N</w:t>
      </w:r>
      <w:r w:rsidR="005D65BB" w:rsidRPr="00B40A77">
        <w:rPr>
          <w:color w:val="000000" w:themeColor="text1"/>
          <w:lang w:val="en-US"/>
        </w:rPr>
        <w:t>otice</w:t>
      </w:r>
      <w:r w:rsidR="00B5064E" w:rsidRPr="00B40A77">
        <w:rPr>
          <w:color w:val="000000" w:themeColor="text1"/>
          <w:lang w:val="en-US"/>
        </w:rPr>
        <w:t>, the Court may</w:t>
      </w:r>
      <w:r w:rsidR="00B5064E" w:rsidRPr="00B40A77">
        <w:rPr>
          <w:color w:val="000000" w:themeColor="text1"/>
        </w:rPr>
        <w:t>—</w:t>
      </w:r>
    </w:p>
    <w:p w14:paraId="29235E13" w14:textId="79CB9054" w:rsidR="00B5064E" w:rsidRPr="00B40A77" w:rsidRDefault="00B5064E" w:rsidP="00B5064E">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adjourn </w:t>
      </w:r>
      <w:r w:rsidR="00DD3A45" w:rsidRPr="00B40A77">
        <w:rPr>
          <w:color w:val="000000" w:themeColor="text1"/>
          <w:lang w:val="en-US"/>
        </w:rPr>
        <w:t xml:space="preserve">the first hearing; </w:t>
      </w:r>
      <w:r w:rsidR="00816FEF" w:rsidRPr="00B40A77">
        <w:rPr>
          <w:color w:val="000000" w:themeColor="text1"/>
          <w:lang w:val="en-US"/>
        </w:rPr>
        <w:t>or</w:t>
      </w:r>
    </w:p>
    <w:p w14:paraId="5256A12C" w14:textId="2127732B" w:rsidR="00F5651C" w:rsidRPr="00B40A77" w:rsidRDefault="00B5064E" w:rsidP="00397267">
      <w:pPr>
        <w:pStyle w:val="Doublehangindent"/>
        <w:keepNext/>
        <w:rPr>
          <w:color w:val="000000" w:themeColor="text1"/>
          <w:lang w:val="en-US"/>
        </w:rPr>
      </w:pPr>
      <w:r w:rsidRPr="00B40A77">
        <w:rPr>
          <w:color w:val="000000" w:themeColor="text1"/>
          <w:lang w:val="en-US"/>
        </w:rPr>
        <w:lastRenderedPageBreak/>
        <w:t>(b)</w:t>
      </w:r>
      <w:r w:rsidRPr="00B40A77">
        <w:rPr>
          <w:color w:val="000000" w:themeColor="text1"/>
          <w:lang w:val="en-US"/>
        </w:rPr>
        <w:tab/>
      </w:r>
      <w:r w:rsidR="00816FEF" w:rsidRPr="00B40A77">
        <w:rPr>
          <w:color w:val="000000" w:themeColor="text1"/>
          <w:lang w:val="en-US"/>
        </w:rPr>
        <w:t>order that the</w:t>
      </w:r>
      <w:r w:rsidRPr="00B40A77">
        <w:rPr>
          <w:color w:val="000000" w:themeColor="text1"/>
          <w:lang w:val="en-US"/>
        </w:rPr>
        <w:t xml:space="preserve"> documents </w:t>
      </w:r>
      <w:r w:rsidR="00816FEF" w:rsidRPr="00B40A77">
        <w:rPr>
          <w:color w:val="000000" w:themeColor="text1"/>
          <w:lang w:val="en-US"/>
        </w:rPr>
        <w:t>be served and adjourn the matter to a</w:t>
      </w:r>
      <w:r w:rsidR="00DD3A45" w:rsidRPr="00B40A77">
        <w:rPr>
          <w:color w:val="000000" w:themeColor="text1"/>
          <w:lang w:val="en-US"/>
        </w:rPr>
        <w:t xml:space="preserv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w:t>
      </w:r>
    </w:p>
    <w:p w14:paraId="718DFFEE" w14:textId="77777777" w:rsidR="00B5064E" w:rsidRPr="00B40A77" w:rsidRDefault="00B5064E" w:rsidP="00564655">
      <w:pPr>
        <w:pStyle w:val="NoteHeader"/>
        <w:keepNext/>
        <w:ind w:left="1701"/>
        <w:rPr>
          <w:color w:val="000000" w:themeColor="text1"/>
        </w:rPr>
      </w:pPr>
      <w:r w:rsidRPr="00B40A77">
        <w:rPr>
          <w:color w:val="000000" w:themeColor="text1"/>
        </w:rPr>
        <w:t>Note—</w:t>
      </w:r>
    </w:p>
    <w:p w14:paraId="6FA046EB" w14:textId="07234976" w:rsidR="00B5064E" w:rsidRPr="00B40A77" w:rsidRDefault="00B5064E" w:rsidP="00564655">
      <w:pPr>
        <w:pStyle w:val="NoteText"/>
        <w:ind w:left="1985"/>
        <w:rPr>
          <w:color w:val="000000" w:themeColor="text1"/>
          <w:lang w:val="en-US"/>
        </w:rPr>
      </w:pPr>
      <w:r w:rsidRPr="00B40A77">
        <w:rPr>
          <w:color w:val="000000" w:themeColor="text1"/>
        </w:rPr>
        <w:t xml:space="preserve">Section </w:t>
      </w:r>
      <w:r w:rsidRPr="00B40A77">
        <w:rPr>
          <w:color w:val="000000" w:themeColor="text1"/>
          <w:lang w:val="en-US"/>
        </w:rPr>
        <w:t>105(1) of the Procedure Act requires a defendant or youth charged with an indictable offence to be given these documents at or before the first appearance.</w:t>
      </w:r>
    </w:p>
    <w:p w14:paraId="104B8675" w14:textId="3D2CAF36" w:rsidR="00816FEF" w:rsidRPr="00B40A77" w:rsidRDefault="00816FEF" w:rsidP="00816FEF">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informant must inform the Court at the </w:t>
      </w:r>
      <w:r w:rsidR="00E422C8" w:rsidRPr="00B40A77">
        <w:rPr>
          <w:color w:val="000000" w:themeColor="text1"/>
          <w:lang w:val="en-US"/>
        </w:rPr>
        <w:t xml:space="preserve">first hearing </w:t>
      </w:r>
      <w:r w:rsidRPr="00B40A77">
        <w:rPr>
          <w:color w:val="000000" w:themeColor="text1"/>
          <w:lang w:val="en-US"/>
        </w:rPr>
        <w:t xml:space="preserve">as to the likely length of time the prosecution requires in order to obtain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material prior to the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 xml:space="preserve"> </w:t>
      </w:r>
      <w:r w:rsidRPr="00B40A77">
        <w:rPr>
          <w:color w:val="000000" w:themeColor="text1"/>
          <w:lang w:val="en-US"/>
        </w:rPr>
        <w:t>and why that length of time is required.</w:t>
      </w:r>
    </w:p>
    <w:p w14:paraId="3AB6884C" w14:textId="77777777" w:rsidR="00816FEF" w:rsidRPr="00B40A77" w:rsidRDefault="00816FEF" w:rsidP="00816FEF">
      <w:pPr>
        <w:pStyle w:val="NoteHeader"/>
        <w:keepNext/>
        <w:rPr>
          <w:color w:val="000000" w:themeColor="text1"/>
        </w:rPr>
      </w:pPr>
      <w:r w:rsidRPr="00B40A77">
        <w:rPr>
          <w:color w:val="000000" w:themeColor="text1"/>
        </w:rPr>
        <w:t>Note—</w:t>
      </w:r>
    </w:p>
    <w:p w14:paraId="351818CD" w14:textId="3CF9FAD6" w:rsidR="00816FEF" w:rsidRPr="00B40A77" w:rsidRDefault="00816FEF" w:rsidP="00BA42AC">
      <w:pPr>
        <w:pStyle w:val="NoteText"/>
        <w:rPr>
          <w:color w:val="000000" w:themeColor="text1"/>
        </w:rPr>
      </w:pPr>
      <w:r w:rsidRPr="00B40A77">
        <w:rPr>
          <w:color w:val="000000" w:themeColor="text1"/>
        </w:rPr>
        <w:t xml:space="preserve">Section </w:t>
      </w:r>
      <w:r w:rsidRPr="00B40A77">
        <w:rPr>
          <w:color w:val="000000" w:themeColor="text1"/>
          <w:lang w:val="en-US"/>
        </w:rPr>
        <w:t>1</w:t>
      </w:r>
      <w:r w:rsidR="005D65BB" w:rsidRPr="00B40A77">
        <w:rPr>
          <w:color w:val="000000" w:themeColor="text1"/>
          <w:lang w:val="en-US"/>
        </w:rPr>
        <w:t>05</w:t>
      </w:r>
      <w:r w:rsidRPr="00B40A77">
        <w:rPr>
          <w:color w:val="000000" w:themeColor="text1"/>
          <w:lang w:val="en-US"/>
        </w:rPr>
        <w:t>(</w:t>
      </w:r>
      <w:r w:rsidR="00235F24" w:rsidRPr="00B40A77">
        <w:rPr>
          <w:color w:val="000000" w:themeColor="text1"/>
          <w:lang w:val="en-US"/>
        </w:rPr>
        <w:t>5</w:t>
      </w:r>
      <w:r w:rsidRPr="00B40A77">
        <w:rPr>
          <w:color w:val="000000" w:themeColor="text1"/>
          <w:lang w:val="en-US"/>
        </w:rPr>
        <w:t xml:space="preserve">) of the Procedure Act </w:t>
      </w:r>
      <w:r w:rsidR="00235F24" w:rsidRPr="00B40A77">
        <w:rPr>
          <w:color w:val="000000" w:themeColor="text1"/>
        </w:rPr>
        <w:t>provides that the Court must, on adjourning the first appearance before the Court in relation to the charge, appoint a time and place for the second appearance before the Court in relation to the charge, having regard to any information provided by the prosecution as to the likely length of time the prosecution requires in order to obtain witness statements and other material prior to the next appearance (subject to any requirements applying under</w:t>
      </w:r>
      <w:r w:rsidR="00356A00" w:rsidRPr="00B40A77">
        <w:rPr>
          <w:color w:val="000000" w:themeColor="text1"/>
        </w:rPr>
        <w:t xml:space="preserve"> </w:t>
      </w:r>
      <w:r w:rsidR="00235F24" w:rsidRPr="00B40A77">
        <w:rPr>
          <w:color w:val="000000" w:themeColor="text1"/>
        </w:rPr>
        <w:t>section</w:t>
      </w:r>
      <w:r w:rsidR="00356A00" w:rsidRPr="00B40A77">
        <w:rPr>
          <w:color w:val="000000" w:themeColor="text1"/>
        </w:rPr>
        <w:t xml:space="preserve"> </w:t>
      </w:r>
      <w:r w:rsidR="00BA42AC" w:rsidRPr="00B40A77">
        <w:rPr>
          <w:color w:val="000000" w:themeColor="text1"/>
        </w:rPr>
        <w:t>106</w:t>
      </w:r>
      <w:r w:rsidR="00235F24" w:rsidRPr="00B40A77">
        <w:rPr>
          <w:color w:val="000000" w:themeColor="text1"/>
        </w:rPr>
        <w:t>).</w:t>
      </w:r>
    </w:p>
    <w:p w14:paraId="11002281" w14:textId="2367D9E7" w:rsidR="00F5651C" w:rsidRPr="00B40A77" w:rsidRDefault="00F5651C" w:rsidP="00F5651C">
      <w:pPr>
        <w:pStyle w:val="Heading4"/>
        <w:rPr>
          <w:color w:val="000000" w:themeColor="text1"/>
        </w:rPr>
      </w:pPr>
      <w:bookmarkStart w:id="599" w:name="_Toc175239036"/>
      <w:bookmarkStart w:id="600" w:name="_Hlk103239908"/>
      <w:r w:rsidRPr="00B40A77">
        <w:rPr>
          <w:color w:val="000000" w:themeColor="text1"/>
        </w:rPr>
        <w:t>8</w:t>
      </w:r>
      <w:r w:rsidR="00397267" w:rsidRPr="00B40A77">
        <w:rPr>
          <w:color w:val="000000" w:themeColor="text1"/>
        </w:rPr>
        <w:t>3</w:t>
      </w:r>
      <w:r w:rsidRPr="00B40A77">
        <w:rPr>
          <w:color w:val="000000" w:themeColor="text1"/>
        </w:rPr>
        <w:t>.</w:t>
      </w:r>
      <w:r w:rsidR="00FD5BF2" w:rsidRPr="00B40A77">
        <w:rPr>
          <w:color w:val="000000" w:themeColor="text1"/>
        </w:rPr>
        <w:t>2</w:t>
      </w:r>
      <w:r w:rsidRPr="00B40A77">
        <w:rPr>
          <w:color w:val="000000" w:themeColor="text1"/>
        </w:rPr>
        <w:t>—Charge determination</w:t>
      </w:r>
      <w:r w:rsidR="00E422C8" w:rsidRPr="00B40A77">
        <w:rPr>
          <w:color w:val="000000" w:themeColor="text1"/>
        </w:rPr>
        <w:t xml:space="preserve"> appearance</w:t>
      </w:r>
      <w:bookmarkEnd w:id="599"/>
    </w:p>
    <w:p w14:paraId="4D386B41" w14:textId="764A8594" w:rsidR="00F5651C" w:rsidRPr="00B40A77" w:rsidRDefault="00F5651C" w:rsidP="00F5651C">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expects that a charge determination under section 106(1) </w:t>
      </w:r>
      <w:r w:rsidR="008F0A36" w:rsidRPr="00B40A77">
        <w:rPr>
          <w:color w:val="000000" w:themeColor="text1"/>
          <w:lang w:val="en-US"/>
        </w:rPr>
        <w:t>of the Procedure</w:t>
      </w:r>
      <w:r w:rsidR="00201B5C" w:rsidRPr="00B40A77">
        <w:rPr>
          <w:color w:val="000000" w:themeColor="text1"/>
          <w:lang w:val="en-US"/>
        </w:rPr>
        <w:t> </w:t>
      </w:r>
      <w:r w:rsidR="008F0A36" w:rsidRPr="00B40A77">
        <w:rPr>
          <w:color w:val="000000" w:themeColor="text1"/>
          <w:lang w:val="en-US"/>
        </w:rPr>
        <w:t xml:space="preserve">Act </w:t>
      </w:r>
      <w:r w:rsidRPr="00B40A77">
        <w:rPr>
          <w:color w:val="000000" w:themeColor="text1"/>
          <w:lang w:val="en-US"/>
        </w:rPr>
        <w:t xml:space="preserve">will generally have been made by the </w:t>
      </w:r>
      <w:r w:rsidR="006F79D8" w:rsidRPr="00B40A77">
        <w:rPr>
          <w:color w:val="000000" w:themeColor="text1"/>
          <w:lang w:val="en-US"/>
        </w:rPr>
        <w:t xml:space="preserve">date on which the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 xml:space="preserve"> </w:t>
      </w:r>
      <w:r w:rsidR="006F79D8" w:rsidRPr="00B40A77">
        <w:rPr>
          <w:color w:val="000000" w:themeColor="text1"/>
          <w:lang w:val="en-US"/>
        </w:rPr>
        <w:t>is listed</w:t>
      </w:r>
      <w:r w:rsidRPr="00B40A77">
        <w:rPr>
          <w:color w:val="000000" w:themeColor="text1"/>
          <w:lang w:val="en-US"/>
        </w:rPr>
        <w:t>.</w:t>
      </w:r>
    </w:p>
    <w:p w14:paraId="087785E4" w14:textId="23F377B4" w:rsidR="00F5651C" w:rsidRPr="00B40A77" w:rsidRDefault="00F5651C" w:rsidP="00F5651C">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informant must notify the Court and each defendant in writing whether a charge determination has or has not been made 2 days before the </w:t>
      </w:r>
      <w:r w:rsidR="006F79D8" w:rsidRPr="00B40A77">
        <w:rPr>
          <w:color w:val="000000" w:themeColor="text1"/>
          <w:lang w:val="en-US"/>
        </w:rPr>
        <w:t xml:space="preserve">date on which the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 xml:space="preserve"> </w:t>
      </w:r>
      <w:r w:rsidR="006F79D8" w:rsidRPr="00B40A77">
        <w:rPr>
          <w:color w:val="000000" w:themeColor="text1"/>
          <w:lang w:val="en-US"/>
        </w:rPr>
        <w:t>is listed</w:t>
      </w:r>
      <w:r w:rsidRPr="00B40A77">
        <w:rPr>
          <w:color w:val="000000" w:themeColor="text1"/>
          <w:lang w:val="en-US"/>
        </w:rPr>
        <w:t xml:space="preserve">. </w:t>
      </w:r>
    </w:p>
    <w:p w14:paraId="1FCAAC20" w14:textId="282AE68F" w:rsidR="00FD5BF2" w:rsidRPr="00B40A77" w:rsidRDefault="00FD5BF2" w:rsidP="00FD5BF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expects that generally there will only be one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 xml:space="preserve"> </w:t>
      </w:r>
      <w:r w:rsidRPr="00B40A77">
        <w:rPr>
          <w:color w:val="000000" w:themeColor="text1"/>
          <w:lang w:val="en-US"/>
        </w:rPr>
        <w:t xml:space="preserve">and the matter will be adjourned at the </w:t>
      </w:r>
      <w:hyperlink w:anchor="_2.1—Definitions" w:history="1">
        <w:r w:rsidR="00897E1A" w:rsidRPr="00B40A77">
          <w:rPr>
            <w:rStyle w:val="Hyperlink"/>
            <w:color w:val="000000" w:themeColor="text1"/>
            <w:lang w:val="en-US"/>
          </w:rPr>
          <w:t>charge determination appearance</w:t>
        </w:r>
      </w:hyperlink>
      <w:r w:rsidR="00897E1A" w:rsidRPr="00B40A77">
        <w:rPr>
          <w:color w:val="000000" w:themeColor="text1"/>
          <w:lang w:val="en-US"/>
        </w:rPr>
        <w:t xml:space="preserve"> </w:t>
      </w:r>
      <w:r w:rsidRPr="00B40A77">
        <w:rPr>
          <w:color w:val="000000" w:themeColor="text1"/>
          <w:lang w:val="en-US"/>
        </w:rPr>
        <w:t xml:space="preserve">to a </w:t>
      </w:r>
      <w:hyperlink w:anchor="_2.1—Definitions" w:history="1">
        <w:r w:rsidRPr="00B40A77">
          <w:rPr>
            <w:rStyle w:val="Hyperlink"/>
            <w:color w:val="000000" w:themeColor="text1"/>
            <w:lang w:val="en-US"/>
          </w:rPr>
          <w:t>committal appearance</w:t>
        </w:r>
      </w:hyperlink>
      <w:r w:rsidRPr="00B40A77">
        <w:rPr>
          <w:color w:val="000000" w:themeColor="text1"/>
          <w:lang w:val="en-US"/>
        </w:rPr>
        <w:t>.</w:t>
      </w:r>
    </w:p>
    <w:p w14:paraId="3FE385E6" w14:textId="5292A134" w:rsidR="00FD5BF2" w:rsidRPr="00B40A77" w:rsidRDefault="00FD5BF2" w:rsidP="00FD5BF2">
      <w:pPr>
        <w:pStyle w:val="Heading4"/>
        <w:rPr>
          <w:color w:val="000000" w:themeColor="text1"/>
        </w:rPr>
      </w:pPr>
      <w:bookmarkStart w:id="601" w:name="_Toc175239037"/>
      <w:r w:rsidRPr="00B40A77">
        <w:rPr>
          <w:color w:val="000000" w:themeColor="text1"/>
        </w:rPr>
        <w:t>83.3—Guilty plea matters</w:t>
      </w:r>
      <w:bookmarkEnd w:id="601"/>
    </w:p>
    <w:p w14:paraId="16949955" w14:textId="5A18F569" w:rsidR="00FD5BF2" w:rsidRPr="00B40A77" w:rsidRDefault="00FD5BF2" w:rsidP="00FD5BF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This rule applies if and to the extent that a defendant or youth pleads guilty at a </w:t>
      </w:r>
      <w:hyperlink w:anchor="_2.1—Definitions" w:history="1">
        <w:r w:rsidRPr="00B40A77">
          <w:rPr>
            <w:rStyle w:val="Hyperlink"/>
            <w:color w:val="000000" w:themeColor="text1"/>
            <w:lang w:val="en-US"/>
          </w:rPr>
          <w:t>pre-committal appearance</w:t>
        </w:r>
      </w:hyperlink>
      <w:r w:rsidR="00305064" w:rsidRPr="00B40A77">
        <w:rPr>
          <w:color w:val="000000" w:themeColor="text1"/>
          <w:lang w:val="en-US"/>
        </w:rPr>
        <w:t xml:space="preserve"> (whether a first hearing or a </w:t>
      </w:r>
      <w:hyperlink w:anchor="_2.1—Definitions" w:history="1">
        <w:r w:rsidR="00897E1A" w:rsidRPr="00B40A77">
          <w:rPr>
            <w:rStyle w:val="Hyperlink"/>
            <w:color w:val="000000" w:themeColor="text1"/>
            <w:lang w:val="en-US"/>
          </w:rPr>
          <w:t>charge determination appearance</w:t>
        </w:r>
      </w:hyperlink>
      <w:r w:rsidR="00305064" w:rsidRPr="00B40A77">
        <w:rPr>
          <w:color w:val="000000" w:themeColor="text1"/>
          <w:lang w:val="en-US"/>
        </w:rPr>
        <w:t>)</w:t>
      </w:r>
      <w:r w:rsidRPr="00B40A77">
        <w:rPr>
          <w:color w:val="000000" w:themeColor="text1"/>
          <w:lang w:val="en-US"/>
        </w:rPr>
        <w:t>.</w:t>
      </w:r>
    </w:p>
    <w:p w14:paraId="5DCAFE03" w14:textId="507FE540" w:rsidR="00FD5BF2" w:rsidRPr="00B40A77" w:rsidRDefault="00FD5BF2" w:rsidP="00FD5BF2">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the Court has power to </w:t>
      </w:r>
      <w:hyperlink w:anchor="_2.1—Definitions" w:history="1">
        <w:r w:rsidRPr="00B40A77">
          <w:rPr>
            <w:rStyle w:val="Hyperlink"/>
            <w:color w:val="000000" w:themeColor="text1"/>
          </w:rPr>
          <w:t>sentence</w:t>
        </w:r>
      </w:hyperlink>
      <w:r w:rsidRPr="00B40A77">
        <w:rPr>
          <w:color w:val="000000" w:themeColor="text1"/>
          <w:lang w:val="en-US"/>
        </w:rPr>
        <w:t xml:space="preserve"> the defendant or youth, the parties must inform the Court whether they consent to the Court imposing </w:t>
      </w:r>
      <w:hyperlink w:anchor="_2.1—Definitions" w:history="1">
        <w:r w:rsidRPr="00B40A77">
          <w:rPr>
            <w:rStyle w:val="Hyperlink"/>
            <w:color w:val="000000" w:themeColor="text1"/>
          </w:rPr>
          <w:t>sentence</w:t>
        </w:r>
      </w:hyperlink>
      <w:r w:rsidRPr="00B40A77">
        <w:rPr>
          <w:color w:val="000000" w:themeColor="text1"/>
          <w:lang w:val="en-US"/>
        </w:rPr>
        <w:t xml:space="preserve"> or seek that the defendant or youth be committed for </w:t>
      </w:r>
      <w:hyperlink w:anchor="_2.1—Definitions" w:history="1">
        <w:r w:rsidRPr="00B40A77">
          <w:rPr>
            <w:rStyle w:val="Hyperlink"/>
            <w:color w:val="000000" w:themeColor="text1"/>
          </w:rPr>
          <w:t>sentence</w:t>
        </w:r>
      </w:hyperlink>
      <w:r w:rsidRPr="00B40A77">
        <w:rPr>
          <w:color w:val="000000" w:themeColor="text1"/>
          <w:lang w:val="en-US"/>
        </w:rPr>
        <w:t xml:space="preserve"> to a </w:t>
      </w:r>
      <w:hyperlink w:anchor="_2.1—Definitions" w:history="1">
        <w:r w:rsidRPr="00B40A77">
          <w:rPr>
            <w:rStyle w:val="Hyperlink"/>
            <w:color w:val="000000" w:themeColor="text1"/>
            <w:lang w:val="en-US"/>
          </w:rPr>
          <w:t>Higher Court</w:t>
        </w:r>
      </w:hyperlink>
      <w:r w:rsidRPr="00B40A77">
        <w:rPr>
          <w:color w:val="000000" w:themeColor="text1"/>
          <w:lang w:val="en-US"/>
        </w:rPr>
        <w:t>.</w:t>
      </w:r>
    </w:p>
    <w:p w14:paraId="4F7F9267" w14:textId="77777777" w:rsidR="00FD5BF2" w:rsidRPr="00B40A77" w:rsidRDefault="00FD5BF2" w:rsidP="00FD5BF2">
      <w:pPr>
        <w:pStyle w:val="NoteHeader"/>
        <w:keepNext/>
        <w:rPr>
          <w:color w:val="000000" w:themeColor="text1"/>
        </w:rPr>
      </w:pPr>
      <w:r w:rsidRPr="00B40A77">
        <w:rPr>
          <w:color w:val="000000" w:themeColor="text1"/>
        </w:rPr>
        <w:t>Note—</w:t>
      </w:r>
    </w:p>
    <w:p w14:paraId="6C206709" w14:textId="430BB76F" w:rsidR="00FD5BF2" w:rsidRPr="00B40A77" w:rsidRDefault="00FD5BF2" w:rsidP="00FD5BF2">
      <w:pPr>
        <w:pStyle w:val="NoteText"/>
        <w:rPr>
          <w:color w:val="000000" w:themeColor="text1"/>
          <w:lang w:val="en-US"/>
        </w:rPr>
      </w:pPr>
      <w:r w:rsidRPr="00B40A77">
        <w:rPr>
          <w:color w:val="000000" w:themeColor="text1"/>
        </w:rPr>
        <w:t xml:space="preserve">See </w:t>
      </w:r>
      <w:r w:rsidRPr="00B40A77">
        <w:rPr>
          <w:color w:val="000000" w:themeColor="text1"/>
          <w:u w:val="single"/>
        </w:rPr>
        <w:t xml:space="preserve">Chapter 3 </w:t>
      </w:r>
      <w:hyperlink w:anchor="_Part_6—Election_or" w:history="1">
        <w:r w:rsidRPr="00B40A77">
          <w:rPr>
            <w:rStyle w:val="Hyperlink"/>
            <w:color w:val="000000" w:themeColor="text1"/>
          </w:rPr>
          <w:t>Part 6</w:t>
        </w:r>
      </w:hyperlink>
      <w:r w:rsidRPr="00B40A77">
        <w:rPr>
          <w:color w:val="000000" w:themeColor="text1"/>
        </w:rPr>
        <w:t xml:space="preserve"> and </w:t>
      </w:r>
      <w:r w:rsidRPr="00B40A77">
        <w:rPr>
          <w:color w:val="000000" w:themeColor="text1"/>
          <w:u w:val="single"/>
        </w:rPr>
        <w:t xml:space="preserve">Chapter 3 </w:t>
      </w:r>
      <w:hyperlink w:anchor="_Part_7—Election_or" w:history="1">
        <w:r w:rsidRPr="00B40A77">
          <w:rPr>
            <w:rStyle w:val="Hyperlink"/>
            <w:color w:val="000000" w:themeColor="text1"/>
          </w:rPr>
          <w:t>Part 7</w:t>
        </w:r>
      </w:hyperlink>
      <w:r w:rsidRPr="00B40A77">
        <w:rPr>
          <w:color w:val="000000" w:themeColor="text1"/>
          <w:lang w:val="en-US"/>
        </w:rPr>
        <w:t>.</w:t>
      </w:r>
    </w:p>
    <w:p w14:paraId="321DBA82" w14:textId="25AD5864" w:rsidR="00FD5BF2" w:rsidRPr="00B40A77" w:rsidRDefault="00FD5BF2" w:rsidP="00FD5BF2">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If a defendant or youth is committed for </w:t>
      </w:r>
      <w:hyperlink w:anchor="_2.1—Definitions" w:history="1">
        <w:r w:rsidRPr="00B40A77">
          <w:rPr>
            <w:rStyle w:val="Hyperlink"/>
            <w:color w:val="000000" w:themeColor="text1"/>
          </w:rPr>
          <w:t>sentence</w:t>
        </w:r>
      </w:hyperlink>
      <w:r w:rsidRPr="00B40A77">
        <w:rPr>
          <w:color w:val="000000" w:themeColor="text1"/>
          <w:lang w:val="en-US"/>
        </w:rPr>
        <w:t xml:space="preserve"> to a </w:t>
      </w:r>
      <w:hyperlink w:anchor="_2.1—Definitions" w:history="1">
        <w:r w:rsidRPr="00B40A77">
          <w:rPr>
            <w:rStyle w:val="Hyperlink"/>
            <w:color w:val="000000" w:themeColor="text1"/>
            <w:lang w:val="en-US"/>
          </w:rPr>
          <w:t>Higher Court</w:t>
        </w:r>
      </w:hyperlink>
      <w:r w:rsidRPr="00B40A77">
        <w:rPr>
          <w:color w:val="000000" w:themeColor="text1"/>
          <w:lang w:val="en-US"/>
        </w:rPr>
        <w:t>, a notice must be provided to the defendant or youth in the prescribed form.</w:t>
      </w:r>
    </w:p>
    <w:p w14:paraId="3988D8FB" w14:textId="77777777" w:rsidR="00FD5BF2" w:rsidRPr="00B40A77" w:rsidRDefault="00FD5BF2" w:rsidP="00FD5BF2">
      <w:pPr>
        <w:pStyle w:val="NoteHeader"/>
        <w:keepNext/>
        <w:rPr>
          <w:color w:val="000000" w:themeColor="text1"/>
        </w:rPr>
      </w:pPr>
      <w:r w:rsidRPr="00B40A77">
        <w:rPr>
          <w:color w:val="000000" w:themeColor="text1"/>
        </w:rPr>
        <w:t>Prescribed form—</w:t>
      </w:r>
    </w:p>
    <w:p w14:paraId="51F8E129" w14:textId="0624CC4C" w:rsidR="00FD5BF2" w:rsidRPr="00B40A77" w:rsidRDefault="00FD5BF2" w:rsidP="00FD5BF2">
      <w:pPr>
        <w:pStyle w:val="NoteText"/>
        <w:rPr>
          <w:color w:val="000000" w:themeColor="text1"/>
          <w:lang w:val="en-US"/>
        </w:rPr>
      </w:pPr>
      <w:r w:rsidRPr="00B40A77">
        <w:rPr>
          <w:color w:val="000000" w:themeColor="text1"/>
        </w:rPr>
        <w:t xml:space="preserve">Form 125 </w:t>
      </w:r>
      <w:hyperlink r:id="rId167" w:history="1">
        <w:r w:rsidRPr="00B40A77">
          <w:rPr>
            <w:rStyle w:val="Hyperlink"/>
            <w:color w:val="000000" w:themeColor="text1"/>
            <w:lang w:val="en-US"/>
          </w:rPr>
          <w:t>Notice</w:t>
        </w:r>
        <w:r w:rsidRPr="00B40A77">
          <w:rPr>
            <w:rStyle w:val="Hyperlink"/>
            <w:color w:val="000000" w:themeColor="text1"/>
          </w:rPr>
          <w:t xml:space="preserve"> to Defendant </w:t>
        </w:r>
        <w:r w:rsidR="00007FB5" w:rsidRPr="00B40A77">
          <w:rPr>
            <w:rStyle w:val="Hyperlink"/>
            <w:color w:val="000000" w:themeColor="text1"/>
          </w:rPr>
          <w:t xml:space="preserve">or Youth </w:t>
        </w:r>
        <w:r w:rsidRPr="00B40A77">
          <w:rPr>
            <w:rStyle w:val="Hyperlink"/>
            <w:color w:val="000000" w:themeColor="text1"/>
          </w:rPr>
          <w:t>Committed for Sentence in Supreme Court or District Court</w:t>
        </w:r>
      </w:hyperlink>
    </w:p>
    <w:p w14:paraId="7A4FACDD" w14:textId="77777777" w:rsidR="00FD5BF2" w:rsidRPr="00B40A77" w:rsidRDefault="00FD5BF2" w:rsidP="00FD5BF2">
      <w:pPr>
        <w:pStyle w:val="Heading2"/>
        <w:keepNext/>
        <w:rPr>
          <w:color w:val="000000" w:themeColor="text1"/>
        </w:rPr>
      </w:pPr>
      <w:bookmarkStart w:id="602" w:name="_Toc175239038"/>
      <w:r w:rsidRPr="00B40A77">
        <w:rPr>
          <w:color w:val="000000" w:themeColor="text1"/>
        </w:rPr>
        <w:t>Part 4—Committal appearance</w:t>
      </w:r>
      <w:bookmarkEnd w:id="602"/>
      <w:r w:rsidRPr="00B40A77">
        <w:rPr>
          <w:color w:val="000000" w:themeColor="text1"/>
        </w:rPr>
        <w:t xml:space="preserve"> </w:t>
      </w:r>
    </w:p>
    <w:p w14:paraId="527E3374" w14:textId="49A498A1" w:rsidR="00C20EDE" w:rsidRPr="00B40A77" w:rsidRDefault="00C20EDE" w:rsidP="00C20EDE">
      <w:pPr>
        <w:pStyle w:val="Heading4"/>
        <w:rPr>
          <w:color w:val="000000" w:themeColor="text1"/>
        </w:rPr>
      </w:pPr>
      <w:bookmarkStart w:id="603" w:name="_Toc175239039"/>
      <w:bookmarkEnd w:id="596"/>
      <w:bookmarkEnd w:id="600"/>
      <w:r w:rsidRPr="00B40A77">
        <w:rPr>
          <w:color w:val="000000" w:themeColor="text1"/>
        </w:rPr>
        <w:t>84.</w:t>
      </w:r>
      <w:r w:rsidR="00FD5BF2" w:rsidRPr="00B40A77">
        <w:rPr>
          <w:color w:val="000000" w:themeColor="text1"/>
        </w:rPr>
        <w:t>1</w:t>
      </w:r>
      <w:r w:rsidRPr="00B40A77">
        <w:rPr>
          <w:color w:val="000000" w:themeColor="text1"/>
        </w:rPr>
        <w:t>—Guilty plea</w:t>
      </w:r>
      <w:r w:rsidR="00D05186" w:rsidRPr="00B40A77">
        <w:rPr>
          <w:color w:val="000000" w:themeColor="text1"/>
        </w:rPr>
        <w:t xml:space="preserve"> matters</w:t>
      </w:r>
      <w:bookmarkEnd w:id="603"/>
    </w:p>
    <w:p w14:paraId="4E88C2E7" w14:textId="4CBE3C87" w:rsidR="00C20EDE" w:rsidRPr="00B40A77" w:rsidRDefault="00C20EDE" w:rsidP="00C20EDE">
      <w:pPr>
        <w:pStyle w:val="Hangindent"/>
        <w:rPr>
          <w:color w:val="000000" w:themeColor="text1"/>
          <w:lang w:val="en-US"/>
        </w:rPr>
      </w:pPr>
      <w:r w:rsidRPr="00B40A77">
        <w:rPr>
          <w:color w:val="000000" w:themeColor="text1"/>
          <w:lang w:val="en-US"/>
        </w:rPr>
        <w:t>(1)</w:t>
      </w:r>
      <w:r w:rsidRPr="00B40A77">
        <w:rPr>
          <w:color w:val="000000" w:themeColor="text1"/>
          <w:lang w:val="en-US"/>
        </w:rPr>
        <w:tab/>
        <w:t>Th</w:t>
      </w:r>
      <w:r w:rsidR="009A5255" w:rsidRPr="00B40A77">
        <w:rPr>
          <w:color w:val="000000" w:themeColor="text1"/>
          <w:lang w:val="en-US"/>
        </w:rPr>
        <w:t xml:space="preserve">is rule applies if </w:t>
      </w:r>
      <w:r w:rsidR="00D05186" w:rsidRPr="00B40A77">
        <w:rPr>
          <w:color w:val="000000" w:themeColor="text1"/>
          <w:lang w:val="en-US"/>
        </w:rPr>
        <w:t xml:space="preserve">and to the extent that </w:t>
      </w:r>
      <w:r w:rsidR="00A16C30" w:rsidRPr="00B40A77">
        <w:rPr>
          <w:color w:val="000000" w:themeColor="text1"/>
          <w:lang w:val="en-US"/>
        </w:rPr>
        <w:t xml:space="preserve">a defendant or youth pleads guilty at </w:t>
      </w:r>
      <w:r w:rsidR="00E97F39" w:rsidRPr="00B40A77">
        <w:rPr>
          <w:color w:val="000000" w:themeColor="text1"/>
          <w:lang w:val="en-US"/>
        </w:rPr>
        <w:t>a</w:t>
      </w:r>
      <w:r w:rsidR="00A16C30" w:rsidRPr="00B40A77">
        <w:rPr>
          <w:color w:val="000000" w:themeColor="text1"/>
          <w:lang w:val="en-US"/>
        </w:rPr>
        <w:t xml:space="preserve"> </w:t>
      </w:r>
      <w:hyperlink w:anchor="_2.1—Definitions" w:history="1">
        <w:r w:rsidR="009E6842" w:rsidRPr="00B40A77">
          <w:rPr>
            <w:rStyle w:val="Hyperlink"/>
            <w:color w:val="000000" w:themeColor="text1"/>
            <w:lang w:val="en-US"/>
          </w:rPr>
          <w:t>committal appearance</w:t>
        </w:r>
      </w:hyperlink>
      <w:r w:rsidR="00A16C30" w:rsidRPr="00B40A77">
        <w:rPr>
          <w:color w:val="000000" w:themeColor="text1"/>
          <w:lang w:val="en-US"/>
        </w:rPr>
        <w:t>.</w:t>
      </w:r>
    </w:p>
    <w:p w14:paraId="3CF7F5C7" w14:textId="77777777" w:rsidR="00D05186" w:rsidRPr="00B40A77" w:rsidRDefault="00D05186" w:rsidP="00D05186">
      <w:pPr>
        <w:pStyle w:val="NoteHeader"/>
        <w:keepNext/>
        <w:rPr>
          <w:color w:val="000000" w:themeColor="text1"/>
        </w:rPr>
      </w:pPr>
      <w:r w:rsidRPr="00B40A77">
        <w:rPr>
          <w:color w:val="000000" w:themeColor="text1"/>
        </w:rPr>
        <w:lastRenderedPageBreak/>
        <w:t>Note—</w:t>
      </w:r>
    </w:p>
    <w:p w14:paraId="0F9CB454" w14:textId="205CC595" w:rsidR="00D05186" w:rsidRPr="00B40A77" w:rsidRDefault="00D05186" w:rsidP="00D05186">
      <w:pPr>
        <w:pStyle w:val="NoteText"/>
        <w:rPr>
          <w:color w:val="000000" w:themeColor="text1"/>
          <w:lang w:val="en-US"/>
        </w:rPr>
      </w:pPr>
      <w:r w:rsidRPr="00B40A77">
        <w:rPr>
          <w:color w:val="000000" w:themeColor="text1"/>
        </w:rPr>
        <w:t>See section 110(1) of the Procedure Act.</w:t>
      </w:r>
    </w:p>
    <w:p w14:paraId="28CEF38C" w14:textId="0F13DE28" w:rsidR="00A16C30" w:rsidRPr="00B40A77" w:rsidRDefault="00A16C30" w:rsidP="00C20EDE">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the Court has power to </w:t>
      </w:r>
      <w:hyperlink w:anchor="_2.1—Definitions" w:history="1">
        <w:r w:rsidR="00596ADA" w:rsidRPr="00B40A77">
          <w:rPr>
            <w:rStyle w:val="Hyperlink"/>
            <w:color w:val="000000" w:themeColor="text1"/>
          </w:rPr>
          <w:t>sentence</w:t>
        </w:r>
      </w:hyperlink>
      <w:r w:rsidRPr="00B40A77">
        <w:rPr>
          <w:color w:val="000000" w:themeColor="text1"/>
          <w:lang w:val="en-US"/>
        </w:rPr>
        <w:t xml:space="preserve"> the defendant or youth, the parties must inform the Court whether they consent to the Court imposing </w:t>
      </w:r>
      <w:hyperlink w:anchor="_2.1—Definitions" w:history="1">
        <w:r w:rsidR="00596ADA" w:rsidRPr="00B40A77">
          <w:rPr>
            <w:rStyle w:val="Hyperlink"/>
            <w:color w:val="000000" w:themeColor="text1"/>
          </w:rPr>
          <w:t>sentence</w:t>
        </w:r>
      </w:hyperlink>
      <w:r w:rsidRPr="00B40A77">
        <w:rPr>
          <w:color w:val="000000" w:themeColor="text1"/>
          <w:lang w:val="en-US"/>
        </w:rPr>
        <w:t xml:space="preserve"> or seek that the defendant or youth be committed for </w:t>
      </w:r>
      <w:hyperlink w:anchor="_2.1—Definitions" w:history="1">
        <w:r w:rsidR="00596ADA" w:rsidRPr="00B40A77">
          <w:rPr>
            <w:rStyle w:val="Hyperlink"/>
            <w:color w:val="000000" w:themeColor="text1"/>
          </w:rPr>
          <w:t>sentence</w:t>
        </w:r>
      </w:hyperlink>
      <w:r w:rsidRPr="00B40A77">
        <w:rPr>
          <w:color w:val="000000" w:themeColor="text1"/>
          <w:lang w:val="en-US"/>
        </w:rPr>
        <w:t xml:space="preserve"> to a </w:t>
      </w:r>
      <w:hyperlink w:anchor="_2.1—Definitions" w:history="1">
        <w:r w:rsidR="00E83325" w:rsidRPr="00B40A77">
          <w:rPr>
            <w:rStyle w:val="Hyperlink"/>
            <w:color w:val="000000" w:themeColor="text1"/>
            <w:lang w:val="en-US"/>
          </w:rPr>
          <w:t>Higher Court</w:t>
        </w:r>
      </w:hyperlink>
      <w:r w:rsidRPr="00B40A77">
        <w:rPr>
          <w:color w:val="000000" w:themeColor="text1"/>
          <w:lang w:val="en-US"/>
        </w:rPr>
        <w:t>.</w:t>
      </w:r>
    </w:p>
    <w:p w14:paraId="5E103EE2" w14:textId="77777777" w:rsidR="00A16C30" w:rsidRPr="00B40A77" w:rsidRDefault="00A16C30" w:rsidP="00A16C30">
      <w:pPr>
        <w:pStyle w:val="NoteHeader"/>
        <w:keepNext/>
        <w:rPr>
          <w:color w:val="000000" w:themeColor="text1"/>
        </w:rPr>
      </w:pPr>
      <w:r w:rsidRPr="00B40A77">
        <w:rPr>
          <w:color w:val="000000" w:themeColor="text1"/>
        </w:rPr>
        <w:t>Note—</w:t>
      </w:r>
    </w:p>
    <w:p w14:paraId="30495A7D" w14:textId="5A8C78DB" w:rsidR="00A16C30" w:rsidRPr="00B40A77" w:rsidRDefault="00A16C30" w:rsidP="00A16C30">
      <w:pPr>
        <w:pStyle w:val="NoteText"/>
        <w:rPr>
          <w:color w:val="000000" w:themeColor="text1"/>
          <w:lang w:val="en-US"/>
        </w:rPr>
      </w:pPr>
      <w:r w:rsidRPr="00B40A77">
        <w:rPr>
          <w:color w:val="000000" w:themeColor="text1"/>
        </w:rPr>
        <w:t>See</w:t>
      </w:r>
      <w:r w:rsidR="002B6729" w:rsidRPr="00B40A77">
        <w:rPr>
          <w:color w:val="000000" w:themeColor="text1"/>
        </w:rPr>
        <w:t xml:space="preserve"> </w:t>
      </w:r>
      <w:r w:rsidR="002B6729" w:rsidRPr="00B40A77">
        <w:rPr>
          <w:color w:val="000000" w:themeColor="text1"/>
          <w:u w:val="single"/>
        </w:rPr>
        <w:t xml:space="preserve">Chapter 3 </w:t>
      </w:r>
      <w:hyperlink w:anchor="_Part_6—Election_or" w:history="1">
        <w:r w:rsidR="002B6729" w:rsidRPr="00B40A77">
          <w:rPr>
            <w:rStyle w:val="Hyperlink"/>
            <w:color w:val="000000" w:themeColor="text1"/>
          </w:rPr>
          <w:t xml:space="preserve">Part </w:t>
        </w:r>
        <w:r w:rsidR="00943129" w:rsidRPr="00B40A77">
          <w:rPr>
            <w:rStyle w:val="Hyperlink"/>
            <w:color w:val="000000" w:themeColor="text1"/>
          </w:rPr>
          <w:t>6</w:t>
        </w:r>
      </w:hyperlink>
      <w:r w:rsidR="002B6729" w:rsidRPr="00B40A77">
        <w:rPr>
          <w:color w:val="000000" w:themeColor="text1"/>
        </w:rPr>
        <w:t xml:space="preserve"> and </w:t>
      </w:r>
      <w:r w:rsidR="00AF52B6" w:rsidRPr="00B40A77">
        <w:rPr>
          <w:color w:val="000000" w:themeColor="text1"/>
          <w:u w:val="single"/>
        </w:rPr>
        <w:t xml:space="preserve">Chapter 3 </w:t>
      </w:r>
      <w:hyperlink w:anchor="_Part_7—Election_or" w:history="1">
        <w:r w:rsidR="002B6729" w:rsidRPr="00B40A77">
          <w:rPr>
            <w:rStyle w:val="Hyperlink"/>
            <w:color w:val="000000" w:themeColor="text1"/>
          </w:rPr>
          <w:t>Part 7</w:t>
        </w:r>
      </w:hyperlink>
      <w:r w:rsidRPr="00B40A77">
        <w:rPr>
          <w:color w:val="000000" w:themeColor="text1"/>
          <w:lang w:val="en-US"/>
        </w:rPr>
        <w:t>.</w:t>
      </w:r>
    </w:p>
    <w:p w14:paraId="317FDFC0" w14:textId="17228FCA" w:rsidR="00A16C30" w:rsidRPr="00B40A77" w:rsidRDefault="00A16C30" w:rsidP="00A16C30">
      <w:pPr>
        <w:pStyle w:val="Hangindent"/>
        <w:keepNext/>
        <w:rPr>
          <w:color w:val="000000" w:themeColor="text1"/>
          <w:lang w:val="en-US"/>
        </w:rPr>
      </w:pPr>
      <w:r w:rsidRPr="00B40A77">
        <w:rPr>
          <w:color w:val="000000" w:themeColor="text1"/>
          <w:lang w:val="en-US"/>
        </w:rPr>
        <w:t>(</w:t>
      </w:r>
      <w:r w:rsidR="00D05186" w:rsidRPr="00B40A77">
        <w:rPr>
          <w:color w:val="000000" w:themeColor="text1"/>
          <w:lang w:val="en-US"/>
        </w:rPr>
        <w:t>3</w:t>
      </w:r>
      <w:r w:rsidRPr="00B40A77">
        <w:rPr>
          <w:color w:val="000000" w:themeColor="text1"/>
          <w:lang w:val="en-US"/>
        </w:rPr>
        <w:t>)</w:t>
      </w:r>
      <w:r w:rsidRPr="00B40A77">
        <w:rPr>
          <w:color w:val="000000" w:themeColor="text1"/>
          <w:lang w:val="en-US"/>
        </w:rPr>
        <w:tab/>
        <w:t xml:space="preserve">If a defendant or youth is committed for </w:t>
      </w:r>
      <w:hyperlink w:anchor="_2.1—Definitions" w:history="1">
        <w:r w:rsidR="00596ADA" w:rsidRPr="00B40A77">
          <w:rPr>
            <w:rStyle w:val="Hyperlink"/>
            <w:color w:val="000000" w:themeColor="text1"/>
          </w:rPr>
          <w:t>sentence</w:t>
        </w:r>
      </w:hyperlink>
      <w:r w:rsidR="00D05186" w:rsidRPr="00B40A77">
        <w:rPr>
          <w:color w:val="000000" w:themeColor="text1"/>
          <w:lang w:val="en-US"/>
        </w:rPr>
        <w:t xml:space="preserve"> to a </w:t>
      </w:r>
      <w:hyperlink w:anchor="_2.1—Definitions" w:history="1">
        <w:r w:rsidR="00E83325" w:rsidRPr="00B40A77">
          <w:rPr>
            <w:rStyle w:val="Hyperlink"/>
            <w:color w:val="000000" w:themeColor="text1"/>
            <w:lang w:val="en-US"/>
          </w:rPr>
          <w:t>Higher Court</w:t>
        </w:r>
      </w:hyperlink>
      <w:r w:rsidRPr="00B40A77">
        <w:rPr>
          <w:color w:val="000000" w:themeColor="text1"/>
          <w:lang w:val="en-US"/>
        </w:rPr>
        <w:t>, a notice must be provided to the defendant or youth in the prescribed form.</w:t>
      </w:r>
    </w:p>
    <w:p w14:paraId="11B797CD" w14:textId="77777777" w:rsidR="00A16C30" w:rsidRPr="00B40A77" w:rsidRDefault="00A16C30" w:rsidP="00A16C30">
      <w:pPr>
        <w:pStyle w:val="NoteHeader"/>
        <w:keepNext/>
        <w:rPr>
          <w:color w:val="000000" w:themeColor="text1"/>
        </w:rPr>
      </w:pPr>
      <w:r w:rsidRPr="00B40A77">
        <w:rPr>
          <w:color w:val="000000" w:themeColor="text1"/>
        </w:rPr>
        <w:t>Prescribed form—</w:t>
      </w:r>
    </w:p>
    <w:p w14:paraId="363BDC51" w14:textId="23F2FA52" w:rsidR="00A16C30" w:rsidRPr="00B40A77" w:rsidRDefault="00A16C30" w:rsidP="00D05186">
      <w:pPr>
        <w:pStyle w:val="NoteText"/>
        <w:rPr>
          <w:color w:val="000000" w:themeColor="text1"/>
          <w:lang w:val="en-US"/>
        </w:rPr>
      </w:pPr>
      <w:r w:rsidRPr="00B40A77">
        <w:rPr>
          <w:color w:val="000000" w:themeColor="text1"/>
        </w:rPr>
        <w:t xml:space="preserve">Form 125 </w:t>
      </w:r>
      <w:hyperlink r:id="rId168" w:history="1">
        <w:r w:rsidRPr="00B40A77">
          <w:rPr>
            <w:rStyle w:val="Hyperlink"/>
            <w:color w:val="000000" w:themeColor="text1"/>
            <w:lang w:val="en-US"/>
          </w:rPr>
          <w:t>Notice</w:t>
        </w:r>
        <w:r w:rsidRPr="00B40A77">
          <w:rPr>
            <w:rStyle w:val="Hyperlink"/>
            <w:color w:val="000000" w:themeColor="text1"/>
          </w:rPr>
          <w:t xml:space="preserve"> to Defendant </w:t>
        </w:r>
        <w:r w:rsidR="00007FB5" w:rsidRPr="00B40A77">
          <w:rPr>
            <w:rStyle w:val="Hyperlink"/>
            <w:color w:val="000000" w:themeColor="text1"/>
          </w:rPr>
          <w:t xml:space="preserve">or Youth </w:t>
        </w:r>
        <w:r w:rsidRPr="00B40A77">
          <w:rPr>
            <w:rStyle w:val="Hyperlink"/>
            <w:color w:val="000000" w:themeColor="text1"/>
          </w:rPr>
          <w:t>Committed for Sentence in Supreme Court or District Court</w:t>
        </w:r>
      </w:hyperlink>
    </w:p>
    <w:p w14:paraId="3F2C747F" w14:textId="4A802A29" w:rsidR="006A6710" w:rsidRPr="00B40A77" w:rsidRDefault="006A6710" w:rsidP="006A6710">
      <w:pPr>
        <w:pStyle w:val="Heading4"/>
        <w:rPr>
          <w:color w:val="000000" w:themeColor="text1"/>
        </w:rPr>
      </w:pPr>
      <w:bookmarkStart w:id="604" w:name="_Toc175239040"/>
      <w:r w:rsidRPr="00B40A77">
        <w:rPr>
          <w:color w:val="000000" w:themeColor="text1"/>
        </w:rPr>
        <w:t>8</w:t>
      </w:r>
      <w:r w:rsidR="00C20EDE" w:rsidRPr="00B40A77">
        <w:rPr>
          <w:color w:val="000000" w:themeColor="text1"/>
        </w:rPr>
        <w:t>4.</w:t>
      </w:r>
      <w:r w:rsidR="00FD5BF2" w:rsidRPr="00B40A77">
        <w:rPr>
          <w:color w:val="000000" w:themeColor="text1"/>
        </w:rPr>
        <w:t>2</w:t>
      </w:r>
      <w:r w:rsidRPr="00B40A77">
        <w:rPr>
          <w:color w:val="000000" w:themeColor="text1"/>
        </w:rPr>
        <w:t>—</w:t>
      </w:r>
      <w:r w:rsidR="00DC22A0" w:rsidRPr="00B40A77">
        <w:rPr>
          <w:color w:val="000000" w:themeColor="text1"/>
        </w:rPr>
        <w:t>Not guilty</w:t>
      </w:r>
      <w:r w:rsidR="00D05186" w:rsidRPr="00B40A77">
        <w:rPr>
          <w:color w:val="000000" w:themeColor="text1"/>
        </w:rPr>
        <w:t xml:space="preserve"> matters</w:t>
      </w:r>
      <w:bookmarkEnd w:id="604"/>
    </w:p>
    <w:p w14:paraId="36C36A84" w14:textId="3B79EFA2" w:rsidR="00D05186" w:rsidRPr="00B40A77" w:rsidRDefault="00D05186" w:rsidP="00564655">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This rule applies if and to the extent that a defendant or youth pleads not guilty at </w:t>
      </w:r>
      <w:r w:rsidR="00E97F39" w:rsidRPr="00B40A77">
        <w:rPr>
          <w:color w:val="000000" w:themeColor="text1"/>
          <w:lang w:val="en-US"/>
        </w:rPr>
        <w:t>a</w:t>
      </w:r>
      <w:r w:rsidRPr="00B40A77">
        <w:rPr>
          <w:color w:val="000000" w:themeColor="text1"/>
          <w:lang w:val="en-US"/>
        </w:rPr>
        <w:t xml:space="preserve"> </w:t>
      </w:r>
      <w:hyperlink w:anchor="_2.1—Definitions" w:history="1">
        <w:r w:rsidR="009E6842" w:rsidRPr="00B40A77">
          <w:rPr>
            <w:rStyle w:val="Hyperlink"/>
            <w:color w:val="000000" w:themeColor="text1"/>
            <w:lang w:val="en-US"/>
          </w:rPr>
          <w:t>committal appearance</w:t>
        </w:r>
      </w:hyperlink>
      <w:r w:rsidRPr="00B40A77">
        <w:rPr>
          <w:color w:val="000000" w:themeColor="text1"/>
          <w:lang w:val="en-US"/>
        </w:rPr>
        <w:t>.</w:t>
      </w:r>
    </w:p>
    <w:p w14:paraId="3341B167" w14:textId="77777777" w:rsidR="00D05186" w:rsidRPr="00B40A77" w:rsidRDefault="00D05186" w:rsidP="00D05186">
      <w:pPr>
        <w:pStyle w:val="NoteHeader"/>
        <w:keepNext/>
        <w:rPr>
          <w:color w:val="000000" w:themeColor="text1"/>
        </w:rPr>
      </w:pPr>
      <w:r w:rsidRPr="00B40A77">
        <w:rPr>
          <w:color w:val="000000" w:themeColor="text1"/>
        </w:rPr>
        <w:t>Note—</w:t>
      </w:r>
    </w:p>
    <w:p w14:paraId="7A3F80F9" w14:textId="2A819EA1" w:rsidR="00D05186" w:rsidRPr="00B40A77" w:rsidRDefault="00D05186" w:rsidP="00D05186">
      <w:pPr>
        <w:pStyle w:val="NoteText"/>
        <w:rPr>
          <w:color w:val="000000" w:themeColor="text1"/>
          <w:lang w:val="en-US"/>
        </w:rPr>
      </w:pPr>
      <w:r w:rsidRPr="00B40A77">
        <w:rPr>
          <w:color w:val="000000" w:themeColor="text1"/>
        </w:rPr>
        <w:t>See section 110(</w:t>
      </w:r>
      <w:r w:rsidR="00DC22A0" w:rsidRPr="00B40A77">
        <w:rPr>
          <w:color w:val="000000" w:themeColor="text1"/>
        </w:rPr>
        <w:t>2</w:t>
      </w:r>
      <w:r w:rsidRPr="00B40A77">
        <w:rPr>
          <w:color w:val="000000" w:themeColor="text1"/>
        </w:rPr>
        <w:t>) of the Procedure Act.</w:t>
      </w:r>
    </w:p>
    <w:p w14:paraId="277E1317" w14:textId="050C2E09" w:rsidR="006A6710" w:rsidRPr="00B40A77" w:rsidRDefault="006A6710" w:rsidP="006A6710">
      <w:pPr>
        <w:pStyle w:val="Hangindent"/>
        <w:rPr>
          <w:color w:val="000000" w:themeColor="text1"/>
          <w:lang w:val="en-US"/>
        </w:rPr>
      </w:pPr>
      <w:r w:rsidRPr="00B40A77">
        <w:rPr>
          <w:color w:val="000000" w:themeColor="text1"/>
          <w:lang w:val="en-US"/>
        </w:rPr>
        <w:t>(</w:t>
      </w:r>
      <w:r w:rsidR="00D05186" w:rsidRPr="00B40A77">
        <w:rPr>
          <w:color w:val="000000" w:themeColor="text1"/>
          <w:lang w:val="en-US"/>
        </w:rPr>
        <w:t>2</w:t>
      </w:r>
      <w:r w:rsidRPr="00B40A77">
        <w:rPr>
          <w:color w:val="000000" w:themeColor="text1"/>
          <w:lang w:val="en-US"/>
        </w:rPr>
        <w:t>)</w:t>
      </w:r>
      <w:r w:rsidRPr="00B40A77">
        <w:rPr>
          <w:color w:val="000000" w:themeColor="text1"/>
          <w:lang w:val="en-US"/>
        </w:rPr>
        <w:tab/>
        <w:t>The Court expects that generally the</w:t>
      </w:r>
      <w:r w:rsidR="00C21C9E" w:rsidRPr="00B40A77">
        <w:rPr>
          <w:color w:val="000000" w:themeColor="text1"/>
          <w:lang w:val="en-US"/>
        </w:rPr>
        <w:t xml:space="preserve"> </w:t>
      </w:r>
      <w:hyperlink w:anchor="_2.1—Definitions" w:history="1">
        <w:r w:rsidR="009E6842" w:rsidRPr="00B40A77">
          <w:rPr>
            <w:rStyle w:val="Hyperlink"/>
            <w:color w:val="000000" w:themeColor="text1"/>
            <w:lang w:val="en-US"/>
          </w:rPr>
          <w:t>committal appearance</w:t>
        </w:r>
      </w:hyperlink>
      <w:r w:rsidRPr="00B40A77">
        <w:rPr>
          <w:color w:val="000000" w:themeColor="text1"/>
          <w:lang w:val="en-US"/>
        </w:rPr>
        <w:t xml:space="preserve"> </w:t>
      </w:r>
      <w:r w:rsidR="00C21C9E" w:rsidRPr="00B40A77">
        <w:rPr>
          <w:color w:val="000000" w:themeColor="text1"/>
          <w:lang w:val="en-US"/>
        </w:rPr>
        <w:t xml:space="preserve">will proceed </w:t>
      </w:r>
      <w:r w:rsidR="00210DE0" w:rsidRPr="00B40A77">
        <w:rPr>
          <w:color w:val="000000" w:themeColor="text1"/>
          <w:lang w:val="en-US"/>
        </w:rPr>
        <w:t xml:space="preserve">immediately following the </w:t>
      </w:r>
      <w:hyperlink w:anchor="_2.1—Definitions" w:history="1">
        <w:r w:rsidR="00897E1A" w:rsidRPr="00B40A77">
          <w:rPr>
            <w:rStyle w:val="Hyperlink"/>
            <w:color w:val="000000" w:themeColor="text1"/>
            <w:lang w:val="en-US"/>
          </w:rPr>
          <w:t>charge determination appearance</w:t>
        </w:r>
      </w:hyperlink>
      <w:r w:rsidR="00C21C9E" w:rsidRPr="00B40A77">
        <w:rPr>
          <w:color w:val="000000" w:themeColor="text1"/>
          <w:lang w:val="en-US"/>
        </w:rPr>
        <w:t>.</w:t>
      </w:r>
    </w:p>
    <w:p w14:paraId="35E5F3D8" w14:textId="4B16509F" w:rsidR="00C21C9E" w:rsidRPr="00B40A77" w:rsidRDefault="006A6710" w:rsidP="00C21C9E">
      <w:pPr>
        <w:pStyle w:val="Hangindent"/>
        <w:rPr>
          <w:color w:val="000000" w:themeColor="text1"/>
          <w:lang w:val="en-US"/>
        </w:rPr>
      </w:pPr>
      <w:r w:rsidRPr="00B40A77">
        <w:rPr>
          <w:color w:val="000000" w:themeColor="text1"/>
          <w:lang w:val="en-US"/>
        </w:rPr>
        <w:t>(</w:t>
      </w:r>
      <w:r w:rsidR="00D05186" w:rsidRPr="00B40A77">
        <w:rPr>
          <w:color w:val="000000" w:themeColor="text1"/>
          <w:lang w:val="en-US"/>
        </w:rPr>
        <w:t>3</w:t>
      </w:r>
      <w:r w:rsidRPr="00B40A77">
        <w:rPr>
          <w:color w:val="000000" w:themeColor="text1"/>
          <w:lang w:val="en-US"/>
        </w:rPr>
        <w:t>)</w:t>
      </w:r>
      <w:r w:rsidRPr="00B40A77">
        <w:rPr>
          <w:color w:val="000000" w:themeColor="text1"/>
          <w:lang w:val="en-US"/>
        </w:rPr>
        <w:tab/>
        <w:t xml:space="preserve">The informant must inform the Court at the </w:t>
      </w:r>
      <w:hyperlink w:anchor="_2.1—Definitions" w:history="1">
        <w:r w:rsidR="009E6842" w:rsidRPr="00B40A77">
          <w:rPr>
            <w:rStyle w:val="Hyperlink"/>
            <w:color w:val="000000" w:themeColor="text1"/>
            <w:lang w:val="en-US"/>
          </w:rPr>
          <w:t>committal appearance</w:t>
        </w:r>
      </w:hyperlink>
      <w:r w:rsidR="00C21C9E" w:rsidRPr="00B40A77">
        <w:rPr>
          <w:color w:val="000000" w:themeColor="text1"/>
          <w:lang w:val="en-US"/>
        </w:rPr>
        <w:t xml:space="preserve"> as to the </w:t>
      </w:r>
      <w:hyperlink w:anchor="_2.1—Definitions" w:history="1">
        <w:r w:rsidR="00F5292A" w:rsidRPr="00B40A77">
          <w:rPr>
            <w:rStyle w:val="Hyperlink"/>
            <w:color w:val="000000" w:themeColor="text1"/>
            <w:lang w:val="en-US"/>
          </w:rPr>
          <w:t>witness statement</w:t>
        </w:r>
      </w:hyperlink>
      <w:r w:rsidR="00C21C9E" w:rsidRPr="00B40A77">
        <w:rPr>
          <w:color w:val="000000" w:themeColor="text1"/>
          <w:u w:val="single"/>
          <w:lang w:val="en-US"/>
        </w:rPr>
        <w:t>s</w:t>
      </w:r>
      <w:r w:rsidR="00C21C9E" w:rsidRPr="00B40A77">
        <w:rPr>
          <w:color w:val="000000" w:themeColor="text1"/>
          <w:lang w:val="en-US"/>
        </w:rPr>
        <w:t xml:space="preserve"> and other material to be obtained for the purpose of completion of the committal brief in accordance with the</w:t>
      </w:r>
      <w:r w:rsidR="00DC22A0" w:rsidRPr="00B40A77">
        <w:rPr>
          <w:color w:val="000000" w:themeColor="text1"/>
          <w:lang w:val="en-US"/>
        </w:rPr>
        <w:t xml:space="preserve"> </w:t>
      </w:r>
      <w:r w:rsidR="00C21C9E" w:rsidRPr="00B40A77">
        <w:rPr>
          <w:color w:val="000000" w:themeColor="text1"/>
          <w:lang w:val="en-US"/>
        </w:rPr>
        <w:t>requirements of section 111 of the Procedure Act and the time within which it is expected that the committal brief can be completed.</w:t>
      </w:r>
    </w:p>
    <w:p w14:paraId="215B3925" w14:textId="77777777" w:rsidR="006A6710" w:rsidRPr="00B40A77" w:rsidRDefault="006A6710" w:rsidP="006A6710">
      <w:pPr>
        <w:pStyle w:val="NoteHeader"/>
        <w:keepNext/>
        <w:rPr>
          <w:color w:val="000000" w:themeColor="text1"/>
        </w:rPr>
      </w:pPr>
      <w:r w:rsidRPr="00B40A77">
        <w:rPr>
          <w:color w:val="000000" w:themeColor="text1"/>
        </w:rPr>
        <w:t>Note—</w:t>
      </w:r>
    </w:p>
    <w:p w14:paraId="43ABF1E5" w14:textId="000455B2" w:rsidR="006A6710" w:rsidRPr="00B40A77" w:rsidRDefault="006A6710" w:rsidP="006A6710">
      <w:pPr>
        <w:pStyle w:val="NoteText"/>
        <w:rPr>
          <w:color w:val="000000" w:themeColor="text1"/>
        </w:rPr>
      </w:pPr>
      <w:r w:rsidRPr="00B40A77">
        <w:rPr>
          <w:color w:val="000000" w:themeColor="text1"/>
        </w:rPr>
        <w:t>Section 1</w:t>
      </w:r>
      <w:r w:rsidR="00DC22A0" w:rsidRPr="00B40A77">
        <w:rPr>
          <w:color w:val="000000" w:themeColor="text1"/>
        </w:rPr>
        <w:t>10</w:t>
      </w:r>
      <w:r w:rsidRPr="00B40A77">
        <w:rPr>
          <w:color w:val="000000" w:themeColor="text1"/>
        </w:rPr>
        <w:t>((</w:t>
      </w:r>
      <w:r w:rsidR="00DC22A0" w:rsidRPr="00B40A77">
        <w:rPr>
          <w:color w:val="000000" w:themeColor="text1"/>
        </w:rPr>
        <w:t>2</w:t>
      </w:r>
      <w:r w:rsidRPr="00B40A77">
        <w:rPr>
          <w:color w:val="000000" w:themeColor="text1"/>
        </w:rPr>
        <w:t>)</w:t>
      </w:r>
      <w:r w:rsidR="00DC22A0" w:rsidRPr="00B40A77">
        <w:rPr>
          <w:color w:val="000000" w:themeColor="text1"/>
        </w:rPr>
        <w:t>(a)</w:t>
      </w:r>
      <w:r w:rsidRPr="00B40A77">
        <w:rPr>
          <w:color w:val="000000" w:themeColor="text1"/>
        </w:rPr>
        <w:t xml:space="preserve"> of the Procedure Act provides that the </w:t>
      </w:r>
      <w:r w:rsidR="00DC22A0" w:rsidRPr="00B40A77">
        <w:rPr>
          <w:color w:val="000000" w:themeColor="text1"/>
        </w:rPr>
        <w:t>prosecution must provide the Court with information as to the witness statements and other material to be obtained for the purposes of completion of the</w:t>
      </w:r>
      <w:r w:rsidR="00356A00" w:rsidRPr="00B40A77">
        <w:rPr>
          <w:color w:val="000000" w:themeColor="text1"/>
        </w:rPr>
        <w:t xml:space="preserve"> </w:t>
      </w:r>
      <w:r w:rsidR="00DC22A0" w:rsidRPr="00B40A77">
        <w:rPr>
          <w:color w:val="000000" w:themeColor="text1"/>
        </w:rPr>
        <w:t>committal brief</w:t>
      </w:r>
      <w:r w:rsidR="00356A00" w:rsidRPr="00B40A77">
        <w:rPr>
          <w:color w:val="000000" w:themeColor="text1"/>
        </w:rPr>
        <w:t xml:space="preserve"> </w:t>
      </w:r>
      <w:r w:rsidR="00DC22A0" w:rsidRPr="00B40A77">
        <w:rPr>
          <w:color w:val="000000" w:themeColor="text1"/>
        </w:rPr>
        <w:t>in accordance with the requirements of section 111 and the time within which it is expected that the</w:t>
      </w:r>
      <w:r w:rsidR="00356A00" w:rsidRPr="00B40A77">
        <w:rPr>
          <w:color w:val="000000" w:themeColor="text1"/>
        </w:rPr>
        <w:t xml:space="preserve"> </w:t>
      </w:r>
      <w:r w:rsidR="00DC22A0" w:rsidRPr="00B40A77">
        <w:rPr>
          <w:color w:val="000000" w:themeColor="text1"/>
        </w:rPr>
        <w:t>committal</w:t>
      </w:r>
      <w:r w:rsidR="00356A00" w:rsidRPr="00B40A77">
        <w:rPr>
          <w:color w:val="000000" w:themeColor="text1"/>
        </w:rPr>
        <w:t xml:space="preserve"> </w:t>
      </w:r>
      <w:r w:rsidR="00DC22A0" w:rsidRPr="00B40A77">
        <w:rPr>
          <w:color w:val="000000" w:themeColor="text1"/>
        </w:rPr>
        <w:t>brief</w:t>
      </w:r>
      <w:r w:rsidR="00356A00" w:rsidRPr="00B40A77">
        <w:rPr>
          <w:color w:val="000000" w:themeColor="text1"/>
        </w:rPr>
        <w:t xml:space="preserve"> </w:t>
      </w:r>
      <w:r w:rsidR="00DC22A0" w:rsidRPr="00B40A77">
        <w:rPr>
          <w:color w:val="000000" w:themeColor="text1"/>
        </w:rPr>
        <w:t>can be completed</w:t>
      </w:r>
      <w:r w:rsidR="007C31D5" w:rsidRPr="00B40A77">
        <w:rPr>
          <w:color w:val="000000" w:themeColor="text1"/>
        </w:rPr>
        <w:t>.</w:t>
      </w:r>
    </w:p>
    <w:p w14:paraId="188D58D9" w14:textId="4DECE28B" w:rsidR="00DC22A0" w:rsidRPr="00B40A77" w:rsidRDefault="00DC22A0" w:rsidP="00DC22A0">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Court </w:t>
      </w:r>
      <w:r w:rsidR="008B7C56" w:rsidRPr="00B40A77">
        <w:rPr>
          <w:color w:val="000000" w:themeColor="text1"/>
          <w:lang w:val="en-US"/>
        </w:rPr>
        <w:t>will give to the defendant or youth an opportunity to respond to the information provided by the prosecution</w:t>
      </w:r>
      <w:r w:rsidRPr="00B40A77">
        <w:rPr>
          <w:color w:val="000000" w:themeColor="text1"/>
          <w:lang w:val="en-US"/>
        </w:rPr>
        <w:t>.</w:t>
      </w:r>
    </w:p>
    <w:p w14:paraId="2942F769" w14:textId="62926069" w:rsidR="008B7C56" w:rsidRPr="00B40A77" w:rsidRDefault="008B7C56" w:rsidP="008B7C56">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The Court will </w:t>
      </w:r>
      <w:r w:rsidR="007C31D5" w:rsidRPr="00B40A77">
        <w:rPr>
          <w:color w:val="000000" w:themeColor="text1"/>
          <w:lang w:val="en-US"/>
        </w:rPr>
        <w:t xml:space="preserve">inquire of the parties whether any negotiations are taking place between a defendant </w:t>
      </w:r>
      <w:r w:rsidR="00AF52B6" w:rsidRPr="00B40A77">
        <w:rPr>
          <w:color w:val="000000" w:themeColor="text1"/>
          <w:lang w:val="en-US"/>
        </w:rPr>
        <w:t xml:space="preserve">or youth </w:t>
      </w:r>
      <w:r w:rsidR="007C31D5" w:rsidRPr="00B40A77">
        <w:rPr>
          <w:color w:val="000000" w:themeColor="text1"/>
          <w:lang w:val="en-US"/>
        </w:rPr>
        <w:t>and the prosecution</w:t>
      </w:r>
      <w:r w:rsidRPr="00B40A77">
        <w:rPr>
          <w:color w:val="000000" w:themeColor="text1"/>
          <w:lang w:val="en-US"/>
        </w:rPr>
        <w:t>.</w:t>
      </w:r>
    </w:p>
    <w:p w14:paraId="441E56D7" w14:textId="77777777" w:rsidR="007C31D5" w:rsidRPr="00B40A77" w:rsidRDefault="007C31D5" w:rsidP="007C31D5">
      <w:pPr>
        <w:pStyle w:val="NoteHeader"/>
        <w:keepNext/>
        <w:rPr>
          <w:color w:val="000000" w:themeColor="text1"/>
        </w:rPr>
      </w:pPr>
      <w:r w:rsidRPr="00B40A77">
        <w:rPr>
          <w:color w:val="000000" w:themeColor="text1"/>
        </w:rPr>
        <w:t>Note—</w:t>
      </w:r>
    </w:p>
    <w:p w14:paraId="5AF650EB" w14:textId="715A98AA" w:rsidR="007C31D5" w:rsidRPr="00B40A77" w:rsidRDefault="007C31D5" w:rsidP="007C31D5">
      <w:pPr>
        <w:pStyle w:val="NoteText"/>
        <w:rPr>
          <w:color w:val="000000" w:themeColor="text1"/>
        </w:rPr>
      </w:pPr>
      <w:r w:rsidRPr="00B40A77">
        <w:rPr>
          <w:color w:val="000000" w:themeColor="text1"/>
        </w:rPr>
        <w:t>Section 110(2)(b) of the Procedure Act provides that  the defendant must be given an opportunity to respond to the information provided by the prosecution and to advise the Court whether any negotiations are taking place with the prosecution or provide the Court with information as to any other relevant matter</w:t>
      </w:r>
      <w:r w:rsidR="00697458" w:rsidRPr="00B40A77">
        <w:rPr>
          <w:color w:val="000000" w:themeColor="text1"/>
        </w:rPr>
        <w:t>.</w:t>
      </w:r>
    </w:p>
    <w:p w14:paraId="7AD63C29" w14:textId="0477C89E" w:rsidR="007C31D5" w:rsidRPr="00B40A77" w:rsidRDefault="007C31D5" w:rsidP="007C31D5">
      <w:pPr>
        <w:pStyle w:val="Hangindent"/>
        <w:rPr>
          <w:color w:val="000000" w:themeColor="text1"/>
          <w:lang w:val="en-US"/>
        </w:rPr>
      </w:pPr>
      <w:r w:rsidRPr="00B40A77">
        <w:rPr>
          <w:color w:val="000000" w:themeColor="text1"/>
          <w:lang w:val="en-US"/>
        </w:rPr>
        <w:t>(6)</w:t>
      </w:r>
      <w:r w:rsidRPr="00B40A77">
        <w:rPr>
          <w:color w:val="000000" w:themeColor="text1"/>
          <w:lang w:val="en-US"/>
        </w:rPr>
        <w:tab/>
        <w:t xml:space="preserve">The Court will </w:t>
      </w:r>
      <w:r w:rsidR="00697458" w:rsidRPr="00B40A77">
        <w:rPr>
          <w:color w:val="000000" w:themeColor="text1"/>
          <w:lang w:val="en-US"/>
        </w:rPr>
        <w:t xml:space="preserve">generally adjourn the proceeding to an </w:t>
      </w:r>
      <w:hyperlink w:anchor="_2.1—Definitions" w:history="1">
        <w:r w:rsidR="00D11EAA" w:rsidRPr="00B40A77">
          <w:rPr>
            <w:rStyle w:val="Hyperlink"/>
            <w:color w:val="000000" w:themeColor="text1"/>
          </w:rPr>
          <w:t>answer charge appearance</w:t>
        </w:r>
      </w:hyperlink>
      <w:r w:rsidR="006F79D8" w:rsidRPr="00B40A77">
        <w:rPr>
          <w:color w:val="000000" w:themeColor="text1"/>
          <w:lang w:val="en-US"/>
        </w:rPr>
        <w:t xml:space="preserve"> </w:t>
      </w:r>
      <w:r w:rsidR="00697458" w:rsidRPr="00B40A77">
        <w:rPr>
          <w:color w:val="000000" w:themeColor="text1"/>
          <w:lang w:val="en-US"/>
        </w:rPr>
        <w:t xml:space="preserve">but may in exceptional circumstances adjourn it to a future </w:t>
      </w:r>
      <w:hyperlink w:anchor="_2.1—Definitions" w:history="1">
        <w:r w:rsidR="009E6842" w:rsidRPr="00B40A77">
          <w:rPr>
            <w:rStyle w:val="Hyperlink"/>
            <w:color w:val="000000" w:themeColor="text1"/>
            <w:lang w:val="en-US"/>
          </w:rPr>
          <w:t>committal appearance</w:t>
        </w:r>
      </w:hyperlink>
      <w:r w:rsidRPr="00B40A77">
        <w:rPr>
          <w:color w:val="000000" w:themeColor="text1"/>
          <w:lang w:val="en-US"/>
        </w:rPr>
        <w:t>.</w:t>
      </w:r>
    </w:p>
    <w:p w14:paraId="5A22A30D" w14:textId="77777777" w:rsidR="00697458" w:rsidRPr="00B40A77" w:rsidRDefault="00697458" w:rsidP="00697458">
      <w:pPr>
        <w:pStyle w:val="NoteHeader"/>
        <w:keepNext/>
        <w:rPr>
          <w:color w:val="000000" w:themeColor="text1"/>
        </w:rPr>
      </w:pPr>
      <w:r w:rsidRPr="00B40A77">
        <w:rPr>
          <w:color w:val="000000" w:themeColor="text1"/>
        </w:rPr>
        <w:t>Note—</w:t>
      </w:r>
    </w:p>
    <w:p w14:paraId="42F153E6" w14:textId="3956BA8D" w:rsidR="006A6710" w:rsidRPr="00B40A77" w:rsidRDefault="00697458" w:rsidP="00697458">
      <w:pPr>
        <w:pStyle w:val="NoteText"/>
        <w:rPr>
          <w:b/>
          <w:bCs/>
          <w:color w:val="000000" w:themeColor="text1"/>
        </w:rPr>
      </w:pPr>
      <w:r w:rsidRPr="00B40A77">
        <w:rPr>
          <w:color w:val="000000" w:themeColor="text1"/>
        </w:rPr>
        <w:t>Section 110(2)(c) of the Procedure Act provides the Court must adjourn the proceedings and appoint a time and place for the</w:t>
      </w:r>
      <w:r w:rsidR="00BF49F7" w:rsidRPr="00B40A77">
        <w:rPr>
          <w:color w:val="000000" w:themeColor="text1"/>
        </w:rPr>
        <w:t xml:space="preserve"> </w:t>
      </w:r>
      <w:r w:rsidRPr="00B40A77">
        <w:rPr>
          <w:color w:val="000000" w:themeColor="text1"/>
        </w:rPr>
        <w:t>answer charge hearing, ensuring that sufficient time is allowed for the completion of the</w:t>
      </w:r>
      <w:r w:rsidR="00BF49F7" w:rsidRPr="00B40A77">
        <w:rPr>
          <w:color w:val="000000" w:themeColor="text1"/>
        </w:rPr>
        <w:t xml:space="preserve"> </w:t>
      </w:r>
      <w:r w:rsidRPr="00B40A77">
        <w:rPr>
          <w:color w:val="000000" w:themeColor="text1"/>
        </w:rPr>
        <w:t>committal brief</w:t>
      </w:r>
      <w:r w:rsidR="00BF49F7" w:rsidRPr="00B40A77">
        <w:rPr>
          <w:color w:val="000000" w:themeColor="text1"/>
        </w:rPr>
        <w:t xml:space="preserve"> </w:t>
      </w:r>
      <w:r w:rsidRPr="00B40A77">
        <w:rPr>
          <w:color w:val="000000" w:themeColor="text1"/>
        </w:rPr>
        <w:t>in accordance with the requirements of section 111.</w:t>
      </w:r>
    </w:p>
    <w:p w14:paraId="02B682D0" w14:textId="638D6890" w:rsidR="00EC357A" w:rsidRPr="00B40A77" w:rsidRDefault="00EC357A" w:rsidP="00BE23A0">
      <w:pPr>
        <w:pStyle w:val="Heading2"/>
        <w:keepNext/>
        <w:rPr>
          <w:color w:val="000000" w:themeColor="text1"/>
        </w:rPr>
      </w:pPr>
      <w:bookmarkStart w:id="605" w:name="_Toc175239041"/>
      <w:r w:rsidRPr="00B40A77">
        <w:rPr>
          <w:color w:val="000000" w:themeColor="text1"/>
        </w:rPr>
        <w:lastRenderedPageBreak/>
        <w:t xml:space="preserve">Part </w:t>
      </w:r>
      <w:r w:rsidR="0016589E" w:rsidRPr="00B40A77">
        <w:rPr>
          <w:color w:val="000000" w:themeColor="text1"/>
        </w:rPr>
        <w:t>5</w:t>
      </w:r>
      <w:r w:rsidRPr="00B40A77">
        <w:rPr>
          <w:color w:val="000000" w:themeColor="text1"/>
        </w:rPr>
        <w:t>—Entry of guilty plea after committal appearance</w:t>
      </w:r>
      <w:bookmarkEnd w:id="605"/>
    </w:p>
    <w:p w14:paraId="2EC5240E" w14:textId="75729870" w:rsidR="00EC357A" w:rsidRPr="00B40A77" w:rsidRDefault="00386DCC" w:rsidP="00EC357A">
      <w:pPr>
        <w:pStyle w:val="Heading4"/>
        <w:rPr>
          <w:color w:val="000000" w:themeColor="text1"/>
        </w:rPr>
      </w:pPr>
      <w:bookmarkStart w:id="606" w:name="_Toc175239042"/>
      <w:r w:rsidRPr="00B40A77">
        <w:rPr>
          <w:color w:val="000000" w:themeColor="text1"/>
        </w:rPr>
        <w:t>8</w:t>
      </w:r>
      <w:r w:rsidR="0016589E" w:rsidRPr="00B40A77">
        <w:rPr>
          <w:color w:val="000000" w:themeColor="text1"/>
        </w:rPr>
        <w:t>5</w:t>
      </w:r>
      <w:r w:rsidR="00EC357A" w:rsidRPr="00B40A77">
        <w:rPr>
          <w:color w:val="000000" w:themeColor="text1"/>
        </w:rPr>
        <w:t>.1—</w:t>
      </w:r>
      <w:r w:rsidR="00431A60" w:rsidRPr="00B40A77">
        <w:rPr>
          <w:color w:val="000000" w:themeColor="text1"/>
        </w:rPr>
        <w:t>Request for matter to be called on</w:t>
      </w:r>
      <w:bookmarkEnd w:id="606"/>
    </w:p>
    <w:p w14:paraId="220575C3" w14:textId="0257F8C5" w:rsidR="00210DE0" w:rsidRPr="00B40A77" w:rsidRDefault="00210DE0" w:rsidP="00210DE0">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This rule applies if and to the extent that a defendant or youth wishes to plead guilty at after the </w:t>
      </w:r>
      <w:hyperlink w:anchor="_2.1—Definitions" w:history="1">
        <w:r w:rsidRPr="00B40A77">
          <w:rPr>
            <w:rStyle w:val="Hyperlink"/>
            <w:color w:val="000000" w:themeColor="text1"/>
            <w:lang w:val="en-US"/>
          </w:rPr>
          <w:t>committal appearance</w:t>
        </w:r>
      </w:hyperlink>
      <w:r w:rsidRPr="00B40A77">
        <w:rPr>
          <w:color w:val="000000" w:themeColor="text1"/>
          <w:lang w:val="en-US"/>
        </w:rPr>
        <w:t>.</w:t>
      </w:r>
    </w:p>
    <w:p w14:paraId="5C04F34B" w14:textId="0D7DF643" w:rsidR="00EC357A" w:rsidRPr="00B40A77" w:rsidRDefault="00210DE0" w:rsidP="00EF6045">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EC357A" w:rsidRPr="00B40A77">
        <w:rPr>
          <w:color w:val="000000" w:themeColor="text1"/>
          <w:lang w:val="en-US"/>
        </w:rPr>
        <w:t xml:space="preserve">If a defendant or youth </w:t>
      </w:r>
      <w:r w:rsidR="00431A60" w:rsidRPr="00B40A77">
        <w:rPr>
          <w:color w:val="000000" w:themeColor="text1"/>
          <w:lang w:val="en-US"/>
        </w:rPr>
        <w:t>wishes to request within four weeks</w:t>
      </w:r>
      <w:r w:rsidR="00DF7225" w:rsidRPr="00B40A77">
        <w:rPr>
          <w:color w:val="000000" w:themeColor="text1"/>
          <w:lang w:val="en-US"/>
        </w:rPr>
        <w:t xml:space="preserve"> after the </w:t>
      </w:r>
      <w:hyperlink w:anchor="_2.1—Definitions" w:history="1">
        <w:r w:rsidR="009E6842" w:rsidRPr="00B40A77">
          <w:rPr>
            <w:rStyle w:val="Hyperlink"/>
            <w:color w:val="000000" w:themeColor="text1"/>
            <w:lang w:val="en-US"/>
          </w:rPr>
          <w:t>committal appearance</w:t>
        </w:r>
      </w:hyperlink>
      <w:r w:rsidR="00431A60" w:rsidRPr="00B40A77">
        <w:rPr>
          <w:color w:val="000000" w:themeColor="text1"/>
          <w:lang w:val="en-US"/>
        </w:rPr>
        <w:t xml:space="preserve"> that the matter be called on</w:t>
      </w:r>
      <w:r w:rsidR="00EC357A" w:rsidRPr="00B40A77">
        <w:rPr>
          <w:color w:val="000000" w:themeColor="text1"/>
          <w:lang w:val="en-US"/>
        </w:rPr>
        <w:t xml:space="preserve"> under section</w:t>
      </w:r>
      <w:r w:rsidR="0084710B" w:rsidRPr="00B40A77">
        <w:rPr>
          <w:color w:val="000000" w:themeColor="text1"/>
          <w:lang w:val="en-US"/>
        </w:rPr>
        <w:t> </w:t>
      </w:r>
      <w:r w:rsidR="00EC357A" w:rsidRPr="00B40A77">
        <w:rPr>
          <w:color w:val="000000" w:themeColor="text1"/>
          <w:lang w:val="en-US"/>
        </w:rPr>
        <w:t>11</w:t>
      </w:r>
      <w:r w:rsidR="007157FD" w:rsidRPr="00B40A77">
        <w:rPr>
          <w:color w:val="000000" w:themeColor="text1"/>
          <w:lang w:val="en-US"/>
        </w:rPr>
        <w:t>0</w:t>
      </w:r>
      <w:r w:rsidR="00EC357A" w:rsidRPr="00B40A77">
        <w:rPr>
          <w:color w:val="000000" w:themeColor="text1"/>
          <w:lang w:val="en-US"/>
        </w:rPr>
        <w:t>(</w:t>
      </w:r>
      <w:r w:rsidR="007157FD" w:rsidRPr="00B40A77">
        <w:rPr>
          <w:color w:val="000000" w:themeColor="text1"/>
          <w:lang w:val="en-US"/>
        </w:rPr>
        <w:t>3</w:t>
      </w:r>
      <w:r w:rsidR="00EC357A" w:rsidRPr="00B40A77">
        <w:rPr>
          <w:color w:val="000000" w:themeColor="text1"/>
          <w:lang w:val="en-US"/>
        </w:rPr>
        <w:t xml:space="preserve">) of the Procedure Act </w:t>
      </w:r>
      <w:r w:rsidR="00431A60" w:rsidRPr="00B40A77">
        <w:rPr>
          <w:color w:val="000000" w:themeColor="text1"/>
          <w:lang w:val="en-US"/>
        </w:rPr>
        <w:t>for the purpose of entering a guilty plea, the defendant or youth must</w:t>
      </w:r>
      <w:r w:rsidR="00F9011C" w:rsidRPr="00B40A77">
        <w:rPr>
          <w:color w:val="000000" w:themeColor="text1"/>
          <w:lang w:val="en-US"/>
        </w:rPr>
        <w:t>,</w:t>
      </w:r>
      <w:r w:rsidR="00431A60" w:rsidRPr="00B40A77">
        <w:rPr>
          <w:color w:val="000000" w:themeColor="text1"/>
          <w:lang w:val="en-US"/>
        </w:rPr>
        <w:t xml:space="preserve"> </w:t>
      </w:r>
      <w:r w:rsidR="00985D8F" w:rsidRPr="00B40A77">
        <w:rPr>
          <w:color w:val="000000" w:themeColor="text1"/>
          <w:lang w:val="en-US"/>
        </w:rPr>
        <w:t xml:space="preserve">within four weeks after the </w:t>
      </w:r>
      <w:hyperlink w:anchor="_2.1—Definitions" w:history="1">
        <w:r w:rsidR="009E6842" w:rsidRPr="00B40A77">
          <w:rPr>
            <w:rStyle w:val="Hyperlink"/>
            <w:color w:val="000000" w:themeColor="text1"/>
            <w:lang w:val="en-US"/>
          </w:rPr>
          <w:t>committal appearance</w:t>
        </w:r>
      </w:hyperlink>
      <w:r w:rsidR="00F9011C" w:rsidRPr="00B40A77">
        <w:rPr>
          <w:color w:val="000000" w:themeColor="text1"/>
          <w:lang w:val="en-US"/>
        </w:rPr>
        <w:t>,</w:t>
      </w:r>
      <w:r w:rsidR="00985D8F" w:rsidRPr="00B40A77">
        <w:rPr>
          <w:color w:val="000000" w:themeColor="text1"/>
          <w:lang w:val="en-US"/>
        </w:rPr>
        <w:t xml:space="preserve"> </w:t>
      </w:r>
      <w:r w:rsidR="00431A60" w:rsidRPr="00B40A77">
        <w:rPr>
          <w:color w:val="000000" w:themeColor="text1"/>
          <w:lang w:val="en-US"/>
        </w:rPr>
        <w:t xml:space="preserve">file a request to have </w:t>
      </w:r>
      <w:r w:rsidR="00280CA1" w:rsidRPr="00B40A77">
        <w:rPr>
          <w:color w:val="000000" w:themeColor="text1"/>
          <w:lang w:val="en-US"/>
        </w:rPr>
        <w:t xml:space="preserve">the </w:t>
      </w:r>
      <w:r w:rsidR="00431A60" w:rsidRPr="00B40A77">
        <w:rPr>
          <w:color w:val="000000" w:themeColor="text1"/>
          <w:lang w:val="en-US"/>
        </w:rPr>
        <w:t xml:space="preserve">matter called on for guilty plea </w:t>
      </w:r>
      <w:r w:rsidR="00EC357A" w:rsidRPr="00B40A77">
        <w:rPr>
          <w:color w:val="000000" w:themeColor="text1"/>
          <w:lang w:val="en-US"/>
        </w:rPr>
        <w:t>in the prescribed form.</w:t>
      </w:r>
    </w:p>
    <w:p w14:paraId="44F67CA8" w14:textId="77777777" w:rsidR="00EC357A" w:rsidRPr="00B40A77" w:rsidRDefault="00EC357A" w:rsidP="00EF6045">
      <w:pPr>
        <w:pStyle w:val="NoteHeader"/>
        <w:rPr>
          <w:color w:val="000000" w:themeColor="text1"/>
        </w:rPr>
      </w:pPr>
      <w:r w:rsidRPr="00B40A77">
        <w:rPr>
          <w:color w:val="000000" w:themeColor="text1"/>
        </w:rPr>
        <w:t>Prescribed form—</w:t>
      </w:r>
    </w:p>
    <w:p w14:paraId="03AE9215" w14:textId="345D2360" w:rsidR="00EC357A" w:rsidRPr="00B40A77" w:rsidRDefault="00EC357A" w:rsidP="00EF6045">
      <w:pPr>
        <w:pStyle w:val="NoteText"/>
        <w:rPr>
          <w:color w:val="000000" w:themeColor="text1"/>
          <w:lang w:val="en-US"/>
        </w:rPr>
      </w:pPr>
      <w:r w:rsidRPr="00B40A77">
        <w:rPr>
          <w:color w:val="000000" w:themeColor="text1"/>
        </w:rPr>
        <w:t>F</w:t>
      </w:r>
      <w:r w:rsidR="00431A60" w:rsidRPr="00B40A77">
        <w:rPr>
          <w:color w:val="000000" w:themeColor="text1"/>
        </w:rPr>
        <w:t>orm 52</w:t>
      </w:r>
      <w:r w:rsidRPr="00B40A77">
        <w:rPr>
          <w:color w:val="000000" w:themeColor="text1"/>
        </w:rPr>
        <w:t xml:space="preserve"> </w:t>
      </w:r>
      <w:hyperlink r:id="rId169" w:history="1">
        <w:r w:rsidR="00431A60" w:rsidRPr="00B40A77">
          <w:rPr>
            <w:rStyle w:val="Hyperlink"/>
            <w:color w:val="000000" w:themeColor="text1"/>
            <w:lang w:val="en-US"/>
          </w:rPr>
          <w:t xml:space="preserve">Request to have </w:t>
        </w:r>
        <w:r w:rsidR="00724FBB" w:rsidRPr="00B40A77">
          <w:rPr>
            <w:rStyle w:val="Hyperlink"/>
            <w:color w:val="000000" w:themeColor="text1"/>
            <w:lang w:val="en-US"/>
          </w:rPr>
          <w:t>M</w:t>
        </w:r>
        <w:r w:rsidR="00431A60" w:rsidRPr="00B40A77">
          <w:rPr>
            <w:rStyle w:val="Hyperlink"/>
            <w:color w:val="000000" w:themeColor="text1"/>
            <w:lang w:val="en-US"/>
          </w:rPr>
          <w:t xml:space="preserve">atter </w:t>
        </w:r>
        <w:r w:rsidR="00724FBB" w:rsidRPr="00B40A77">
          <w:rPr>
            <w:rStyle w:val="Hyperlink"/>
            <w:color w:val="000000" w:themeColor="text1"/>
            <w:lang w:val="en-US"/>
          </w:rPr>
          <w:t>C</w:t>
        </w:r>
        <w:r w:rsidR="00431A60" w:rsidRPr="00B40A77">
          <w:rPr>
            <w:rStyle w:val="Hyperlink"/>
            <w:color w:val="000000" w:themeColor="text1"/>
            <w:lang w:val="en-US"/>
          </w:rPr>
          <w:t xml:space="preserve">alled on for </w:t>
        </w:r>
        <w:r w:rsidR="00724FBB" w:rsidRPr="00B40A77">
          <w:rPr>
            <w:rStyle w:val="Hyperlink"/>
            <w:color w:val="000000" w:themeColor="text1"/>
            <w:lang w:val="en-US"/>
          </w:rPr>
          <w:t>G</w:t>
        </w:r>
        <w:r w:rsidR="00431A60" w:rsidRPr="00B40A77">
          <w:rPr>
            <w:rStyle w:val="Hyperlink"/>
            <w:color w:val="000000" w:themeColor="text1"/>
            <w:lang w:val="en-US"/>
          </w:rPr>
          <w:t xml:space="preserve">uilty </w:t>
        </w:r>
        <w:r w:rsidR="00724FBB" w:rsidRPr="00B40A77">
          <w:rPr>
            <w:rStyle w:val="Hyperlink"/>
            <w:color w:val="000000" w:themeColor="text1"/>
            <w:lang w:val="en-US"/>
          </w:rPr>
          <w:t>P</w:t>
        </w:r>
        <w:r w:rsidR="00431A60" w:rsidRPr="00B40A77">
          <w:rPr>
            <w:rStyle w:val="Hyperlink"/>
            <w:color w:val="000000" w:themeColor="text1"/>
            <w:lang w:val="en-US"/>
          </w:rPr>
          <w:t>lea</w:t>
        </w:r>
      </w:hyperlink>
    </w:p>
    <w:p w14:paraId="7C08FEC2" w14:textId="5E37D294" w:rsidR="00210DE0" w:rsidRPr="00B40A77" w:rsidRDefault="00210DE0" w:rsidP="00210DE0">
      <w:pPr>
        <w:pStyle w:val="Hangindent"/>
        <w:rPr>
          <w:color w:val="000000" w:themeColor="text1"/>
          <w:lang w:val="en-US"/>
        </w:rPr>
      </w:pPr>
      <w:r w:rsidRPr="00B40A77">
        <w:rPr>
          <w:color w:val="000000" w:themeColor="text1"/>
          <w:lang w:val="en-US"/>
        </w:rPr>
        <w:t>(</w:t>
      </w:r>
      <w:r w:rsidR="00F333E4" w:rsidRPr="00B40A77">
        <w:rPr>
          <w:color w:val="000000" w:themeColor="text1"/>
          <w:lang w:val="en-US"/>
        </w:rPr>
        <w:t>3</w:t>
      </w:r>
      <w:r w:rsidRPr="00B40A77">
        <w:rPr>
          <w:color w:val="000000" w:themeColor="text1"/>
          <w:lang w:val="en-US"/>
        </w:rPr>
        <w:t>)</w:t>
      </w:r>
      <w:r w:rsidRPr="00B40A77">
        <w:rPr>
          <w:color w:val="000000" w:themeColor="text1"/>
          <w:lang w:val="en-US"/>
        </w:rPr>
        <w:tab/>
        <w:t xml:space="preserve">If the Court has power to </w:t>
      </w:r>
      <w:hyperlink w:anchor="_2.1—Definitions" w:history="1">
        <w:r w:rsidRPr="00B40A77">
          <w:rPr>
            <w:rStyle w:val="Hyperlink"/>
            <w:color w:val="000000" w:themeColor="text1"/>
          </w:rPr>
          <w:t>sentence</w:t>
        </w:r>
      </w:hyperlink>
      <w:r w:rsidRPr="00B40A77">
        <w:rPr>
          <w:color w:val="000000" w:themeColor="text1"/>
          <w:lang w:val="en-US"/>
        </w:rPr>
        <w:t xml:space="preserve"> the defendant or youth, the parties must inform the Court </w:t>
      </w:r>
      <w:r w:rsidR="00F333E4" w:rsidRPr="00B40A77">
        <w:rPr>
          <w:color w:val="000000" w:themeColor="text1"/>
          <w:lang w:val="en-US"/>
        </w:rPr>
        <w:t xml:space="preserve">at the hearing </w:t>
      </w:r>
      <w:r w:rsidRPr="00B40A77">
        <w:rPr>
          <w:color w:val="000000" w:themeColor="text1"/>
          <w:lang w:val="en-US"/>
        </w:rPr>
        <w:t xml:space="preserve">whether they consent to the Court imposing </w:t>
      </w:r>
      <w:hyperlink w:anchor="_2.1—Definitions" w:history="1">
        <w:r w:rsidRPr="00B40A77">
          <w:rPr>
            <w:rStyle w:val="Hyperlink"/>
            <w:color w:val="000000" w:themeColor="text1"/>
          </w:rPr>
          <w:t>sentence</w:t>
        </w:r>
      </w:hyperlink>
      <w:r w:rsidRPr="00B40A77">
        <w:rPr>
          <w:color w:val="000000" w:themeColor="text1"/>
          <w:lang w:val="en-US"/>
        </w:rPr>
        <w:t xml:space="preserve"> or seek that the defendant or youth be committed for </w:t>
      </w:r>
      <w:hyperlink w:anchor="_2.1—Definitions" w:history="1">
        <w:r w:rsidRPr="00B40A77">
          <w:rPr>
            <w:rStyle w:val="Hyperlink"/>
            <w:color w:val="000000" w:themeColor="text1"/>
          </w:rPr>
          <w:t>sentence</w:t>
        </w:r>
      </w:hyperlink>
      <w:r w:rsidRPr="00B40A77">
        <w:rPr>
          <w:color w:val="000000" w:themeColor="text1"/>
          <w:lang w:val="en-US"/>
        </w:rPr>
        <w:t xml:space="preserve"> to a </w:t>
      </w:r>
      <w:hyperlink w:anchor="_2.1—Definitions" w:history="1">
        <w:r w:rsidRPr="00B40A77">
          <w:rPr>
            <w:rStyle w:val="Hyperlink"/>
            <w:color w:val="000000" w:themeColor="text1"/>
            <w:lang w:val="en-US"/>
          </w:rPr>
          <w:t>Higher Court</w:t>
        </w:r>
      </w:hyperlink>
      <w:r w:rsidRPr="00B40A77">
        <w:rPr>
          <w:color w:val="000000" w:themeColor="text1"/>
          <w:lang w:val="en-US"/>
        </w:rPr>
        <w:t>.</w:t>
      </w:r>
    </w:p>
    <w:p w14:paraId="00224726" w14:textId="77777777" w:rsidR="00210DE0" w:rsidRPr="00B40A77" w:rsidRDefault="00210DE0" w:rsidP="00210DE0">
      <w:pPr>
        <w:pStyle w:val="NoteHeader"/>
        <w:keepNext/>
        <w:rPr>
          <w:color w:val="000000" w:themeColor="text1"/>
        </w:rPr>
      </w:pPr>
      <w:r w:rsidRPr="00B40A77">
        <w:rPr>
          <w:color w:val="000000" w:themeColor="text1"/>
        </w:rPr>
        <w:t>Note—</w:t>
      </w:r>
    </w:p>
    <w:p w14:paraId="3E103B38" w14:textId="0B2C71CC" w:rsidR="00210DE0" w:rsidRPr="00B40A77" w:rsidRDefault="00210DE0" w:rsidP="00210DE0">
      <w:pPr>
        <w:pStyle w:val="NoteText"/>
        <w:rPr>
          <w:color w:val="000000" w:themeColor="text1"/>
          <w:lang w:val="en-US"/>
        </w:rPr>
      </w:pPr>
      <w:r w:rsidRPr="00B40A77">
        <w:rPr>
          <w:color w:val="000000" w:themeColor="text1"/>
        </w:rPr>
        <w:t xml:space="preserve">See </w:t>
      </w:r>
      <w:r w:rsidRPr="00B40A77">
        <w:rPr>
          <w:color w:val="000000" w:themeColor="text1"/>
          <w:u w:val="single"/>
        </w:rPr>
        <w:t xml:space="preserve">Chapter 3 </w:t>
      </w:r>
      <w:hyperlink w:anchor="_Part_6—Election_or" w:history="1">
        <w:r w:rsidRPr="00B40A77">
          <w:rPr>
            <w:rStyle w:val="Hyperlink"/>
            <w:color w:val="000000" w:themeColor="text1"/>
          </w:rPr>
          <w:t>Part 6</w:t>
        </w:r>
      </w:hyperlink>
      <w:r w:rsidRPr="00B40A77">
        <w:rPr>
          <w:color w:val="000000" w:themeColor="text1"/>
        </w:rPr>
        <w:t xml:space="preserve"> and </w:t>
      </w:r>
      <w:r w:rsidRPr="00B40A77">
        <w:rPr>
          <w:color w:val="000000" w:themeColor="text1"/>
          <w:u w:val="single"/>
        </w:rPr>
        <w:t xml:space="preserve">Chapter 3 </w:t>
      </w:r>
      <w:hyperlink w:anchor="_Part_7—Election_or" w:history="1">
        <w:r w:rsidRPr="00B40A77">
          <w:rPr>
            <w:rStyle w:val="Hyperlink"/>
            <w:color w:val="000000" w:themeColor="text1"/>
          </w:rPr>
          <w:t>Part 7</w:t>
        </w:r>
      </w:hyperlink>
      <w:r w:rsidRPr="00B40A77">
        <w:rPr>
          <w:color w:val="000000" w:themeColor="text1"/>
          <w:lang w:val="en-US"/>
        </w:rPr>
        <w:t>.</w:t>
      </w:r>
    </w:p>
    <w:p w14:paraId="0FBCB8F4" w14:textId="4CF1D911" w:rsidR="00210DE0" w:rsidRPr="00B40A77" w:rsidRDefault="00210DE0" w:rsidP="00210DE0">
      <w:pPr>
        <w:pStyle w:val="Hangindent"/>
        <w:keepNext/>
        <w:rPr>
          <w:color w:val="000000" w:themeColor="text1"/>
          <w:lang w:val="en-US"/>
        </w:rPr>
      </w:pPr>
      <w:r w:rsidRPr="00B40A77">
        <w:rPr>
          <w:color w:val="000000" w:themeColor="text1"/>
          <w:lang w:val="en-US"/>
        </w:rPr>
        <w:t>(</w:t>
      </w:r>
      <w:r w:rsidR="00F333E4" w:rsidRPr="00B40A77">
        <w:rPr>
          <w:color w:val="000000" w:themeColor="text1"/>
          <w:lang w:val="en-US"/>
        </w:rPr>
        <w:t>4</w:t>
      </w:r>
      <w:r w:rsidRPr="00B40A77">
        <w:rPr>
          <w:color w:val="000000" w:themeColor="text1"/>
          <w:lang w:val="en-US"/>
        </w:rPr>
        <w:t>)</w:t>
      </w:r>
      <w:r w:rsidRPr="00B40A77">
        <w:rPr>
          <w:color w:val="000000" w:themeColor="text1"/>
          <w:lang w:val="en-US"/>
        </w:rPr>
        <w:tab/>
        <w:t xml:space="preserve">If a defendant or youth is committed for </w:t>
      </w:r>
      <w:hyperlink w:anchor="_2.1—Definitions" w:history="1">
        <w:r w:rsidRPr="00B40A77">
          <w:rPr>
            <w:rStyle w:val="Hyperlink"/>
            <w:color w:val="000000" w:themeColor="text1"/>
          </w:rPr>
          <w:t>sentence</w:t>
        </w:r>
      </w:hyperlink>
      <w:r w:rsidRPr="00B40A77">
        <w:rPr>
          <w:color w:val="000000" w:themeColor="text1"/>
          <w:lang w:val="en-US"/>
        </w:rPr>
        <w:t xml:space="preserve"> to a </w:t>
      </w:r>
      <w:hyperlink w:anchor="_2.1—Definitions" w:history="1">
        <w:r w:rsidRPr="00B40A77">
          <w:rPr>
            <w:rStyle w:val="Hyperlink"/>
            <w:color w:val="000000" w:themeColor="text1"/>
            <w:lang w:val="en-US"/>
          </w:rPr>
          <w:t>Higher Court</w:t>
        </w:r>
      </w:hyperlink>
      <w:r w:rsidRPr="00B40A77">
        <w:rPr>
          <w:color w:val="000000" w:themeColor="text1"/>
          <w:lang w:val="en-US"/>
        </w:rPr>
        <w:t>, a notice must be provided to the defendant or youth in the prescribed form.</w:t>
      </w:r>
    </w:p>
    <w:p w14:paraId="56100FD4" w14:textId="77777777" w:rsidR="00210DE0" w:rsidRPr="00B40A77" w:rsidRDefault="00210DE0" w:rsidP="00210DE0">
      <w:pPr>
        <w:pStyle w:val="NoteHeader"/>
        <w:keepNext/>
        <w:rPr>
          <w:color w:val="000000" w:themeColor="text1"/>
        </w:rPr>
      </w:pPr>
      <w:r w:rsidRPr="00B40A77">
        <w:rPr>
          <w:color w:val="000000" w:themeColor="text1"/>
        </w:rPr>
        <w:t>Prescribed form—</w:t>
      </w:r>
    </w:p>
    <w:p w14:paraId="2D4F888C" w14:textId="7521340B" w:rsidR="00210DE0" w:rsidRPr="00B40A77" w:rsidRDefault="00210DE0" w:rsidP="00EF6045">
      <w:pPr>
        <w:pStyle w:val="NoteText"/>
        <w:rPr>
          <w:color w:val="000000" w:themeColor="text1"/>
          <w:lang w:val="en-US"/>
        </w:rPr>
      </w:pPr>
      <w:r w:rsidRPr="00B40A77">
        <w:rPr>
          <w:color w:val="000000" w:themeColor="text1"/>
        </w:rPr>
        <w:t xml:space="preserve">Form 125 </w:t>
      </w:r>
      <w:hyperlink r:id="rId170" w:history="1">
        <w:r w:rsidRPr="00B40A77">
          <w:rPr>
            <w:rStyle w:val="Hyperlink"/>
            <w:color w:val="000000" w:themeColor="text1"/>
            <w:lang w:val="en-US"/>
          </w:rPr>
          <w:t>Notice</w:t>
        </w:r>
        <w:r w:rsidRPr="00B40A77">
          <w:rPr>
            <w:rStyle w:val="Hyperlink"/>
            <w:color w:val="000000" w:themeColor="text1"/>
          </w:rPr>
          <w:t xml:space="preserve"> to Defendant </w:t>
        </w:r>
        <w:r w:rsidR="00007FB5" w:rsidRPr="00B40A77">
          <w:rPr>
            <w:rStyle w:val="Hyperlink"/>
            <w:color w:val="000000" w:themeColor="text1"/>
          </w:rPr>
          <w:t xml:space="preserve">or Youth </w:t>
        </w:r>
        <w:r w:rsidRPr="00B40A77">
          <w:rPr>
            <w:rStyle w:val="Hyperlink"/>
            <w:color w:val="000000" w:themeColor="text1"/>
          </w:rPr>
          <w:t>Committed for Sentence in Supreme Court or District Court</w:t>
        </w:r>
      </w:hyperlink>
    </w:p>
    <w:p w14:paraId="415270EA" w14:textId="5494F19F" w:rsidR="007A531F" w:rsidRPr="00B40A77" w:rsidRDefault="00EC357A" w:rsidP="00BE23A0">
      <w:pPr>
        <w:pStyle w:val="Heading2"/>
        <w:keepNext/>
        <w:rPr>
          <w:color w:val="000000" w:themeColor="text1"/>
        </w:rPr>
      </w:pPr>
      <w:bookmarkStart w:id="607" w:name="_Toc175239043"/>
      <w:r w:rsidRPr="00B40A77">
        <w:rPr>
          <w:color w:val="000000" w:themeColor="text1"/>
        </w:rPr>
        <w:t xml:space="preserve">Part </w:t>
      </w:r>
      <w:r w:rsidR="0016589E" w:rsidRPr="00B40A77">
        <w:rPr>
          <w:color w:val="000000" w:themeColor="text1"/>
        </w:rPr>
        <w:t>6</w:t>
      </w:r>
      <w:r w:rsidR="007A531F" w:rsidRPr="00B40A77">
        <w:rPr>
          <w:color w:val="000000" w:themeColor="text1"/>
        </w:rPr>
        <w:t>—</w:t>
      </w:r>
      <w:r w:rsidR="00E97F39" w:rsidRPr="00B40A77">
        <w:rPr>
          <w:color w:val="000000" w:themeColor="text1"/>
        </w:rPr>
        <w:t>Steps be</w:t>
      </w:r>
      <w:r w:rsidR="003C4076" w:rsidRPr="00B40A77">
        <w:rPr>
          <w:color w:val="000000" w:themeColor="text1"/>
        </w:rPr>
        <w:t>for</w:t>
      </w:r>
      <w:r w:rsidR="00E97F39" w:rsidRPr="00B40A77">
        <w:rPr>
          <w:color w:val="000000" w:themeColor="text1"/>
        </w:rPr>
        <w:t>e</w:t>
      </w:r>
      <w:r w:rsidR="003C4076" w:rsidRPr="00B40A77">
        <w:rPr>
          <w:color w:val="000000" w:themeColor="text1"/>
        </w:rPr>
        <w:t xml:space="preserve"> answer charge </w:t>
      </w:r>
      <w:r w:rsidR="007E3A05" w:rsidRPr="00B40A77">
        <w:rPr>
          <w:color w:val="000000" w:themeColor="text1"/>
        </w:rPr>
        <w:t>appearance</w:t>
      </w:r>
      <w:bookmarkEnd w:id="607"/>
    </w:p>
    <w:p w14:paraId="12C28C77" w14:textId="1AE4B0F0" w:rsidR="007A531F" w:rsidRPr="00B40A77" w:rsidRDefault="00386DCC" w:rsidP="007A531F">
      <w:pPr>
        <w:pStyle w:val="Heading4"/>
        <w:rPr>
          <w:color w:val="000000" w:themeColor="text1"/>
        </w:rPr>
      </w:pPr>
      <w:bookmarkStart w:id="608" w:name="_86.1—Notices_by_defendant"/>
      <w:bookmarkStart w:id="609" w:name="_Toc175239044"/>
      <w:bookmarkEnd w:id="608"/>
      <w:r w:rsidRPr="00B40A77">
        <w:rPr>
          <w:color w:val="000000" w:themeColor="text1"/>
        </w:rPr>
        <w:t>8</w:t>
      </w:r>
      <w:r w:rsidR="0016589E" w:rsidRPr="00B40A77">
        <w:rPr>
          <w:color w:val="000000" w:themeColor="text1"/>
        </w:rPr>
        <w:t>6</w:t>
      </w:r>
      <w:r w:rsidR="007A531F" w:rsidRPr="00B40A77">
        <w:rPr>
          <w:color w:val="000000" w:themeColor="text1"/>
        </w:rPr>
        <w:t>.1—</w:t>
      </w:r>
      <w:r w:rsidR="00BE6EA8" w:rsidRPr="00B40A77">
        <w:rPr>
          <w:color w:val="000000" w:themeColor="text1"/>
        </w:rPr>
        <w:t>Notices</w:t>
      </w:r>
      <w:r w:rsidR="00A25FD0" w:rsidRPr="00B40A77">
        <w:rPr>
          <w:color w:val="000000" w:themeColor="text1"/>
        </w:rPr>
        <w:t xml:space="preserve"> by defendant or youth</w:t>
      </w:r>
      <w:bookmarkEnd w:id="609"/>
    </w:p>
    <w:p w14:paraId="4C936156" w14:textId="5903EB9D" w:rsidR="007A531F" w:rsidRPr="00B40A77" w:rsidRDefault="007A531F"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3C4076" w:rsidRPr="00B40A77">
        <w:rPr>
          <w:color w:val="000000" w:themeColor="text1"/>
          <w:lang w:val="en-US"/>
        </w:rPr>
        <w:t xml:space="preserve">A notice </w:t>
      </w:r>
      <w:r w:rsidR="00BE6EA8" w:rsidRPr="00B40A77">
        <w:rPr>
          <w:color w:val="000000" w:themeColor="text1"/>
          <w:lang w:val="en-US"/>
        </w:rPr>
        <w:t xml:space="preserve">of intention to assert </w:t>
      </w:r>
      <w:r w:rsidR="00F9011C" w:rsidRPr="00B40A77">
        <w:rPr>
          <w:color w:val="000000" w:themeColor="text1"/>
          <w:lang w:val="en-US"/>
        </w:rPr>
        <w:t xml:space="preserve">that there is </w:t>
      </w:r>
      <w:r w:rsidR="00BE6EA8" w:rsidRPr="00B40A77">
        <w:rPr>
          <w:color w:val="000000" w:themeColor="text1"/>
          <w:lang w:val="en-US"/>
        </w:rPr>
        <w:t>no case to answer under section</w:t>
      </w:r>
      <w:r w:rsidR="00F9011C" w:rsidRPr="00B40A77">
        <w:rPr>
          <w:color w:val="000000" w:themeColor="text1"/>
          <w:lang w:val="en-US"/>
        </w:rPr>
        <w:t> </w:t>
      </w:r>
      <w:r w:rsidR="00BE6EA8" w:rsidRPr="00B40A77">
        <w:rPr>
          <w:color w:val="000000" w:themeColor="text1"/>
          <w:lang w:val="en-US"/>
        </w:rPr>
        <w:t xml:space="preserve">112(1) of the Procedure Act </w:t>
      </w:r>
      <w:r w:rsidR="00EB6394" w:rsidRPr="00B40A77">
        <w:rPr>
          <w:color w:val="000000" w:themeColor="text1"/>
          <w:lang w:val="en-US"/>
        </w:rPr>
        <w:t xml:space="preserve">(a </w:t>
      </w:r>
      <w:r w:rsidR="00EB6394" w:rsidRPr="00B40A77">
        <w:rPr>
          <w:b/>
          <w:bCs/>
          <w:i/>
          <w:iCs/>
          <w:color w:val="000000" w:themeColor="text1"/>
          <w:lang w:val="en-US"/>
        </w:rPr>
        <w:t>no case submission notice</w:t>
      </w:r>
      <w:r w:rsidR="00EB6394" w:rsidRPr="00B40A77">
        <w:rPr>
          <w:color w:val="000000" w:themeColor="text1"/>
          <w:lang w:val="en-US"/>
        </w:rPr>
        <w:t xml:space="preserve">) </w:t>
      </w:r>
      <w:r w:rsidR="00BE6EA8" w:rsidRPr="00B40A77">
        <w:rPr>
          <w:color w:val="000000" w:themeColor="text1"/>
          <w:lang w:val="en-US"/>
        </w:rPr>
        <w:t>must be in the prescribed form.</w:t>
      </w:r>
    </w:p>
    <w:p w14:paraId="7B791D24" w14:textId="77777777" w:rsidR="00BE6EA8" w:rsidRPr="00B40A77" w:rsidRDefault="00BE6EA8" w:rsidP="00282034">
      <w:pPr>
        <w:pStyle w:val="NoteHeader"/>
        <w:keepNext/>
        <w:rPr>
          <w:color w:val="000000" w:themeColor="text1"/>
        </w:rPr>
      </w:pPr>
      <w:r w:rsidRPr="00B40A77">
        <w:rPr>
          <w:color w:val="000000" w:themeColor="text1"/>
        </w:rPr>
        <w:t>Prescribed form—</w:t>
      </w:r>
    </w:p>
    <w:p w14:paraId="705FEDC1" w14:textId="503D26E0" w:rsidR="00BE6EA8" w:rsidRPr="00B40A77" w:rsidRDefault="00BE6EA8" w:rsidP="009C21A6">
      <w:pPr>
        <w:pStyle w:val="NoteText"/>
        <w:rPr>
          <w:color w:val="000000" w:themeColor="text1"/>
        </w:rPr>
      </w:pPr>
      <w:r w:rsidRPr="00B40A77">
        <w:rPr>
          <w:color w:val="000000" w:themeColor="text1"/>
        </w:rPr>
        <w:t xml:space="preserve">Form 121 </w:t>
      </w:r>
      <w:r w:rsidRPr="00B40A77">
        <w:rPr>
          <w:color w:val="000000" w:themeColor="text1"/>
          <w:u w:val="single"/>
          <w:lang w:val="en-US"/>
        </w:rPr>
        <w:t xml:space="preserve">Notice of </w:t>
      </w:r>
      <w:r w:rsidR="00724FBB" w:rsidRPr="00B40A77">
        <w:rPr>
          <w:color w:val="000000" w:themeColor="text1"/>
          <w:u w:val="single"/>
          <w:lang w:val="en-US"/>
        </w:rPr>
        <w:t>I</w:t>
      </w:r>
      <w:r w:rsidRPr="00B40A77">
        <w:rPr>
          <w:color w:val="000000" w:themeColor="text1"/>
          <w:u w:val="single"/>
          <w:lang w:val="en-US"/>
        </w:rPr>
        <w:t xml:space="preserve">ntention to </w:t>
      </w:r>
      <w:r w:rsidR="00724FBB" w:rsidRPr="00B40A77">
        <w:rPr>
          <w:color w:val="000000" w:themeColor="text1"/>
          <w:u w:val="single"/>
          <w:lang w:val="en-US"/>
        </w:rPr>
        <w:t>A</w:t>
      </w:r>
      <w:r w:rsidRPr="00B40A77">
        <w:rPr>
          <w:color w:val="000000" w:themeColor="text1"/>
          <w:u w:val="single"/>
          <w:lang w:val="en-US"/>
        </w:rPr>
        <w:t xml:space="preserve">ssert </w:t>
      </w:r>
      <w:r w:rsidR="00724FBB" w:rsidRPr="00B40A77">
        <w:rPr>
          <w:color w:val="000000" w:themeColor="text1"/>
          <w:u w:val="single"/>
          <w:lang w:val="en-US"/>
        </w:rPr>
        <w:t>N</w:t>
      </w:r>
      <w:r w:rsidRPr="00B40A77">
        <w:rPr>
          <w:color w:val="000000" w:themeColor="text1"/>
          <w:u w:val="single"/>
          <w:lang w:val="en-US"/>
        </w:rPr>
        <w:t xml:space="preserve">o </w:t>
      </w:r>
      <w:r w:rsidR="00724FBB" w:rsidRPr="00B40A77">
        <w:rPr>
          <w:color w:val="000000" w:themeColor="text1"/>
          <w:u w:val="single"/>
          <w:lang w:val="en-US"/>
        </w:rPr>
        <w:t>C</w:t>
      </w:r>
      <w:r w:rsidRPr="00B40A77">
        <w:rPr>
          <w:color w:val="000000" w:themeColor="text1"/>
          <w:u w:val="single"/>
          <w:lang w:val="en-US"/>
        </w:rPr>
        <w:t xml:space="preserve">ase to </w:t>
      </w:r>
      <w:r w:rsidR="00724FBB" w:rsidRPr="00B40A77">
        <w:rPr>
          <w:color w:val="000000" w:themeColor="text1"/>
          <w:u w:val="single"/>
          <w:lang w:val="en-US"/>
        </w:rPr>
        <w:t>A</w:t>
      </w:r>
      <w:r w:rsidRPr="00B40A77">
        <w:rPr>
          <w:color w:val="000000" w:themeColor="text1"/>
          <w:u w:val="single"/>
          <w:lang w:val="en-US"/>
        </w:rPr>
        <w:t>nswer</w:t>
      </w:r>
    </w:p>
    <w:p w14:paraId="5C200B59" w14:textId="15D68628" w:rsidR="00BE6EA8" w:rsidRPr="00B40A77" w:rsidRDefault="00A25FD0" w:rsidP="00037437">
      <w:pPr>
        <w:pStyle w:val="Hangindent"/>
        <w:keepNext/>
        <w:rPr>
          <w:color w:val="000000" w:themeColor="text1"/>
          <w:lang w:val="en-US"/>
        </w:rPr>
      </w:pPr>
      <w:r w:rsidRPr="00B40A77">
        <w:rPr>
          <w:color w:val="000000" w:themeColor="text1"/>
          <w:lang w:val="en-US"/>
        </w:rPr>
        <w:t>(2</w:t>
      </w:r>
      <w:r w:rsidR="00BE6EA8" w:rsidRPr="00B40A77">
        <w:rPr>
          <w:color w:val="000000" w:themeColor="text1"/>
          <w:lang w:val="en-US"/>
        </w:rPr>
        <w:t>)</w:t>
      </w:r>
      <w:r w:rsidR="00BE6EA8" w:rsidRPr="00B40A77">
        <w:rPr>
          <w:color w:val="000000" w:themeColor="text1"/>
          <w:lang w:val="en-US"/>
        </w:rPr>
        <w:tab/>
        <w:t xml:space="preserve">A notice </w:t>
      </w:r>
      <w:r w:rsidRPr="00B40A77">
        <w:rPr>
          <w:color w:val="000000" w:themeColor="text1"/>
          <w:lang w:val="en-US"/>
        </w:rPr>
        <w:t xml:space="preserve">requesting oral examination of a witness </w:t>
      </w:r>
      <w:r w:rsidR="008E6D86" w:rsidRPr="00B40A77">
        <w:rPr>
          <w:color w:val="000000" w:themeColor="text1"/>
          <w:lang w:val="en-US"/>
        </w:rPr>
        <w:t xml:space="preserve">or witnesses </w:t>
      </w:r>
      <w:r w:rsidRPr="00B40A77">
        <w:rPr>
          <w:color w:val="000000" w:themeColor="text1"/>
          <w:lang w:val="en-US"/>
        </w:rPr>
        <w:t xml:space="preserve">in </w:t>
      </w:r>
      <w:r w:rsidR="00AF52B6" w:rsidRPr="00B40A77">
        <w:rPr>
          <w:color w:val="000000" w:themeColor="text1"/>
          <w:lang w:val="en-US"/>
        </w:rPr>
        <w:t xml:space="preserve">a </w:t>
      </w:r>
      <w:hyperlink w:anchor="_2.1—Definitions" w:history="1">
        <w:r w:rsidR="00CC121C" w:rsidRPr="00B40A77">
          <w:rPr>
            <w:rStyle w:val="Hyperlink"/>
            <w:color w:val="000000" w:themeColor="text1"/>
            <w:lang w:val="en-US"/>
          </w:rPr>
          <w:t>committal proceeding</w:t>
        </w:r>
      </w:hyperlink>
      <w:r w:rsidR="00CC121C" w:rsidRPr="00B40A77">
        <w:rPr>
          <w:color w:val="000000" w:themeColor="text1"/>
          <w:lang w:val="en-US"/>
        </w:rPr>
        <w:t xml:space="preserve"> </w:t>
      </w:r>
      <w:r w:rsidRPr="00B40A77">
        <w:rPr>
          <w:color w:val="000000" w:themeColor="text1"/>
          <w:lang w:val="en-US"/>
        </w:rPr>
        <w:t xml:space="preserve">under </w:t>
      </w:r>
      <w:r w:rsidR="00BE6EA8" w:rsidRPr="00B40A77">
        <w:rPr>
          <w:color w:val="000000" w:themeColor="text1"/>
          <w:lang w:val="en-US"/>
        </w:rPr>
        <w:t>section</w:t>
      </w:r>
      <w:r w:rsidR="0084710B" w:rsidRPr="00B40A77">
        <w:rPr>
          <w:color w:val="000000" w:themeColor="text1"/>
          <w:lang w:val="en-US"/>
        </w:rPr>
        <w:t> </w:t>
      </w:r>
      <w:r w:rsidR="00BE6EA8" w:rsidRPr="00B40A77">
        <w:rPr>
          <w:color w:val="000000" w:themeColor="text1"/>
          <w:lang w:val="en-US"/>
        </w:rPr>
        <w:t>112(</w:t>
      </w:r>
      <w:r w:rsidRPr="00B40A77">
        <w:rPr>
          <w:color w:val="000000" w:themeColor="text1"/>
          <w:lang w:val="en-US"/>
        </w:rPr>
        <w:t>2</w:t>
      </w:r>
      <w:r w:rsidR="00BE6EA8" w:rsidRPr="00B40A77">
        <w:rPr>
          <w:color w:val="000000" w:themeColor="text1"/>
          <w:lang w:val="en-US"/>
        </w:rPr>
        <w:t xml:space="preserve">) of the Procedure Act </w:t>
      </w:r>
      <w:r w:rsidR="00EB6394" w:rsidRPr="00B40A77">
        <w:rPr>
          <w:color w:val="000000" w:themeColor="text1"/>
          <w:lang w:val="en-US"/>
        </w:rPr>
        <w:t xml:space="preserve">(a </w:t>
      </w:r>
      <w:r w:rsidR="00EB6394" w:rsidRPr="00B40A77">
        <w:rPr>
          <w:b/>
          <w:bCs/>
          <w:i/>
          <w:iCs/>
          <w:color w:val="000000" w:themeColor="text1"/>
          <w:lang w:val="en-US"/>
        </w:rPr>
        <w:t>cross-examination request notice</w:t>
      </w:r>
      <w:r w:rsidR="00EB6394" w:rsidRPr="00B40A77">
        <w:rPr>
          <w:color w:val="000000" w:themeColor="text1"/>
          <w:lang w:val="en-US"/>
        </w:rPr>
        <w:t xml:space="preserve">) </w:t>
      </w:r>
      <w:r w:rsidR="00BE6EA8" w:rsidRPr="00B40A77">
        <w:rPr>
          <w:color w:val="000000" w:themeColor="text1"/>
          <w:lang w:val="en-US"/>
        </w:rPr>
        <w:t>must be in the prescribed form.</w:t>
      </w:r>
    </w:p>
    <w:p w14:paraId="5460376A" w14:textId="77777777" w:rsidR="00BE6EA8" w:rsidRPr="00B40A77" w:rsidRDefault="00BE6EA8" w:rsidP="00282034">
      <w:pPr>
        <w:pStyle w:val="NoteHeader"/>
        <w:keepNext/>
        <w:rPr>
          <w:color w:val="000000" w:themeColor="text1"/>
        </w:rPr>
      </w:pPr>
      <w:r w:rsidRPr="00B40A77">
        <w:rPr>
          <w:color w:val="000000" w:themeColor="text1"/>
        </w:rPr>
        <w:t>Prescribed form—</w:t>
      </w:r>
    </w:p>
    <w:p w14:paraId="0A3AAE6F" w14:textId="269B56B1" w:rsidR="00BE6EA8" w:rsidRPr="00B40A77" w:rsidRDefault="00BE6EA8" w:rsidP="009C21A6">
      <w:pPr>
        <w:pStyle w:val="NoteText"/>
        <w:rPr>
          <w:color w:val="000000" w:themeColor="text1"/>
          <w:lang w:val="en-US"/>
        </w:rPr>
      </w:pPr>
      <w:r w:rsidRPr="00B40A77">
        <w:rPr>
          <w:color w:val="000000" w:themeColor="text1"/>
        </w:rPr>
        <w:t>Form 12</w:t>
      </w:r>
      <w:r w:rsidR="00A25FD0" w:rsidRPr="00B40A77">
        <w:rPr>
          <w:color w:val="000000" w:themeColor="text1"/>
        </w:rPr>
        <w:t>2</w:t>
      </w:r>
      <w:r w:rsidRPr="00B40A77">
        <w:rPr>
          <w:color w:val="000000" w:themeColor="text1"/>
        </w:rPr>
        <w:t xml:space="preserve"> </w:t>
      </w:r>
      <w:r w:rsidRPr="00B40A77">
        <w:rPr>
          <w:color w:val="000000" w:themeColor="text1"/>
          <w:u w:val="single"/>
          <w:lang w:val="en-US"/>
        </w:rPr>
        <w:t>Notice</w:t>
      </w:r>
      <w:r w:rsidR="00724FBB" w:rsidRPr="00B40A77">
        <w:rPr>
          <w:color w:val="000000" w:themeColor="text1"/>
          <w:u w:val="single"/>
          <w:lang w:val="en-US"/>
        </w:rPr>
        <w:t xml:space="preserve"> to</w:t>
      </w:r>
      <w:r w:rsidRPr="00B40A77">
        <w:rPr>
          <w:color w:val="000000" w:themeColor="text1"/>
          <w:u w:val="single"/>
          <w:lang w:val="en-US"/>
        </w:rPr>
        <w:t xml:space="preserve"> </w:t>
      </w:r>
      <w:r w:rsidR="00724FBB" w:rsidRPr="00B40A77">
        <w:rPr>
          <w:color w:val="000000" w:themeColor="text1"/>
          <w:u w:val="single"/>
          <w:lang w:val="en-US"/>
        </w:rPr>
        <w:t>R</w:t>
      </w:r>
      <w:r w:rsidR="00A25FD0" w:rsidRPr="00B40A77">
        <w:rPr>
          <w:color w:val="000000" w:themeColor="text1"/>
          <w:u w:val="single"/>
          <w:lang w:val="en-US"/>
        </w:rPr>
        <w:t xml:space="preserve">equest </w:t>
      </w:r>
      <w:r w:rsidR="00724FBB" w:rsidRPr="00B40A77">
        <w:rPr>
          <w:color w:val="000000" w:themeColor="text1"/>
          <w:u w:val="single"/>
          <w:lang w:val="en-US"/>
        </w:rPr>
        <w:t>O</w:t>
      </w:r>
      <w:r w:rsidR="00A25FD0" w:rsidRPr="00B40A77">
        <w:rPr>
          <w:color w:val="000000" w:themeColor="text1"/>
          <w:u w:val="single"/>
          <w:lang w:val="en-US"/>
        </w:rPr>
        <w:t xml:space="preserve">ral </w:t>
      </w:r>
      <w:r w:rsidR="00724FBB" w:rsidRPr="00B40A77">
        <w:rPr>
          <w:color w:val="000000" w:themeColor="text1"/>
          <w:u w:val="single"/>
          <w:lang w:val="en-US"/>
        </w:rPr>
        <w:t>E</w:t>
      </w:r>
      <w:r w:rsidR="00A25FD0" w:rsidRPr="00B40A77">
        <w:rPr>
          <w:color w:val="000000" w:themeColor="text1"/>
          <w:u w:val="single"/>
          <w:lang w:val="en-US"/>
        </w:rPr>
        <w:t xml:space="preserve">xamination of </w:t>
      </w:r>
      <w:r w:rsidR="00724FBB" w:rsidRPr="00B40A77">
        <w:rPr>
          <w:color w:val="000000" w:themeColor="text1"/>
          <w:u w:val="single"/>
          <w:lang w:val="en-US"/>
        </w:rPr>
        <w:t>W</w:t>
      </w:r>
      <w:r w:rsidR="00A25FD0" w:rsidRPr="00B40A77">
        <w:rPr>
          <w:color w:val="000000" w:themeColor="text1"/>
          <w:u w:val="single"/>
          <w:lang w:val="en-US"/>
        </w:rPr>
        <w:t xml:space="preserve">itness in </w:t>
      </w:r>
      <w:r w:rsidR="00724FBB" w:rsidRPr="00B40A77">
        <w:rPr>
          <w:color w:val="000000" w:themeColor="text1"/>
          <w:u w:val="single"/>
          <w:lang w:val="en-US"/>
        </w:rPr>
        <w:t>C</w:t>
      </w:r>
      <w:r w:rsidR="00A25FD0" w:rsidRPr="00B40A77">
        <w:rPr>
          <w:color w:val="000000" w:themeColor="text1"/>
          <w:u w:val="single"/>
          <w:lang w:val="en-US"/>
        </w:rPr>
        <w:t xml:space="preserve">ommittal </w:t>
      </w:r>
      <w:r w:rsidR="00724FBB" w:rsidRPr="00B40A77">
        <w:rPr>
          <w:color w:val="000000" w:themeColor="text1"/>
          <w:u w:val="single"/>
          <w:lang w:val="en-US"/>
        </w:rPr>
        <w:t>P</w:t>
      </w:r>
      <w:r w:rsidR="00A25FD0" w:rsidRPr="00B40A77">
        <w:rPr>
          <w:color w:val="000000" w:themeColor="text1"/>
          <w:u w:val="single"/>
          <w:lang w:val="en-US"/>
        </w:rPr>
        <w:t>roceeding</w:t>
      </w:r>
    </w:p>
    <w:p w14:paraId="11F7B192" w14:textId="37843FB1" w:rsidR="00C2585C" w:rsidRPr="00B40A77" w:rsidRDefault="00C2585C" w:rsidP="00173536">
      <w:pPr>
        <w:pStyle w:val="Hangindent"/>
        <w:keepNext/>
        <w:rPr>
          <w:color w:val="000000" w:themeColor="text1"/>
          <w:u w:val="single"/>
        </w:rPr>
      </w:pPr>
      <w:r w:rsidRPr="00B40A77">
        <w:rPr>
          <w:color w:val="000000" w:themeColor="text1"/>
          <w:lang w:val="en-US"/>
        </w:rPr>
        <w:t>(3)</w:t>
      </w:r>
      <w:r w:rsidRPr="00B40A77">
        <w:rPr>
          <w:color w:val="000000" w:themeColor="text1"/>
          <w:lang w:val="en-US"/>
        </w:rPr>
        <w:tab/>
        <w:t>A notice governed by this rule must be</w:t>
      </w:r>
      <w:r w:rsidRPr="00B40A77">
        <w:rPr>
          <w:color w:val="000000" w:themeColor="text1"/>
        </w:rPr>
        <w:t xml:space="preserve"> filed </w:t>
      </w:r>
      <w:r w:rsidR="007032F1" w:rsidRPr="00B40A77">
        <w:rPr>
          <w:color w:val="000000" w:themeColor="text1"/>
        </w:rPr>
        <w:t xml:space="preserve">and served </w:t>
      </w:r>
      <w:r w:rsidRPr="00B40A77">
        <w:rPr>
          <w:color w:val="000000" w:themeColor="text1"/>
        </w:rPr>
        <w:t xml:space="preserve">at least </w:t>
      </w:r>
      <w:r w:rsidR="00070604" w:rsidRPr="00B40A77">
        <w:rPr>
          <w:color w:val="000000" w:themeColor="text1"/>
        </w:rPr>
        <w:t>14</w:t>
      </w:r>
      <w:r w:rsidRPr="00B40A77">
        <w:rPr>
          <w:color w:val="000000" w:themeColor="text1"/>
        </w:rPr>
        <w:t xml:space="preserve"> days before the </w:t>
      </w:r>
      <w:hyperlink w:anchor="_2.1—Definitions" w:history="1">
        <w:hyperlink w:anchor="_2.1—Definitions" w:history="1">
          <w:r w:rsidR="005916E6" w:rsidRPr="00B40A77">
            <w:rPr>
              <w:rStyle w:val="Hyperlink"/>
              <w:color w:val="000000" w:themeColor="text1"/>
            </w:rPr>
            <w:t>answer charge date</w:t>
          </w:r>
        </w:hyperlink>
        <w:r w:rsidRPr="00B40A77">
          <w:rPr>
            <w:rStyle w:val="Hyperlink"/>
            <w:color w:val="000000" w:themeColor="text1"/>
            <w:u w:val="none"/>
          </w:rPr>
          <w:t>.</w:t>
        </w:r>
      </w:hyperlink>
    </w:p>
    <w:p w14:paraId="0E7A33AA" w14:textId="28BAD7A5" w:rsidR="00070604" w:rsidRPr="00B40A77" w:rsidRDefault="00070604" w:rsidP="004E3D0F">
      <w:pPr>
        <w:pStyle w:val="NoteHeader"/>
        <w:keepNext/>
        <w:rPr>
          <w:color w:val="000000" w:themeColor="text1"/>
        </w:rPr>
      </w:pPr>
      <w:r w:rsidRPr="00B40A77">
        <w:rPr>
          <w:color w:val="000000" w:themeColor="text1"/>
        </w:rPr>
        <w:t>Note—</w:t>
      </w:r>
    </w:p>
    <w:p w14:paraId="011CB4C3" w14:textId="4FF38582" w:rsidR="00070604" w:rsidRPr="00B40A77" w:rsidRDefault="00070604" w:rsidP="00E200BE">
      <w:pPr>
        <w:pStyle w:val="NoteText"/>
        <w:keepNext/>
        <w:keepLines/>
        <w:rPr>
          <w:color w:val="000000" w:themeColor="text1"/>
        </w:rPr>
      </w:pPr>
      <w:r w:rsidRPr="00B40A77">
        <w:rPr>
          <w:color w:val="000000" w:themeColor="text1"/>
        </w:rPr>
        <w:t>Section 112(4) of the Procedure Act provides that, if a notice is given to the prosecution less than 2 weeks before the answer charge hearing, the Court must, at the request of the prosecution, adjourn the answer charge hearing</w:t>
      </w:r>
      <w:r w:rsidR="00BF49F7" w:rsidRPr="00B40A77">
        <w:rPr>
          <w:color w:val="000000" w:themeColor="text1"/>
        </w:rPr>
        <w:t xml:space="preserve"> </w:t>
      </w:r>
      <w:r w:rsidRPr="00B40A77">
        <w:rPr>
          <w:color w:val="000000" w:themeColor="text1"/>
        </w:rPr>
        <w:t>for up to 2 weeks (or such longer period as the Court thinks fit) to allow the prosecution time to consider the notice and properly prepare for the</w:t>
      </w:r>
      <w:r w:rsidR="00BF49F7" w:rsidRPr="00B40A77">
        <w:rPr>
          <w:color w:val="000000" w:themeColor="text1"/>
        </w:rPr>
        <w:t xml:space="preserve"> </w:t>
      </w:r>
      <w:r w:rsidRPr="00B40A77">
        <w:rPr>
          <w:color w:val="000000" w:themeColor="text1"/>
        </w:rPr>
        <w:t>hearing.</w:t>
      </w:r>
    </w:p>
    <w:p w14:paraId="6ABCB415" w14:textId="383CC0BF" w:rsidR="00631EBA" w:rsidRPr="00B40A77" w:rsidRDefault="00876D3B" w:rsidP="00E200BE">
      <w:pPr>
        <w:pStyle w:val="NoteText"/>
        <w:keepNext/>
        <w:rPr>
          <w:color w:val="000000" w:themeColor="text1"/>
        </w:rPr>
      </w:pPr>
      <w:r w:rsidRPr="00B40A77">
        <w:rPr>
          <w:color w:val="000000" w:themeColor="text1"/>
        </w:rPr>
        <w:t xml:space="preserve">If a notice </w:t>
      </w:r>
      <w:r w:rsidRPr="00B40A77">
        <w:rPr>
          <w:color w:val="000000" w:themeColor="text1"/>
          <w:lang w:val="en-US"/>
        </w:rPr>
        <w:t>governed by this rule is</w:t>
      </w:r>
      <w:r w:rsidRPr="00B40A77">
        <w:rPr>
          <w:color w:val="000000" w:themeColor="text1"/>
        </w:rPr>
        <w:t xml:space="preserve"> filed</w:t>
      </w:r>
      <w:r w:rsidR="007032F1" w:rsidRPr="00B40A77">
        <w:rPr>
          <w:color w:val="000000" w:themeColor="text1"/>
        </w:rPr>
        <w:t xml:space="preserve"> or served</w:t>
      </w:r>
      <w:r w:rsidRPr="00B40A77">
        <w:rPr>
          <w:color w:val="000000" w:themeColor="text1"/>
        </w:rPr>
        <w:t xml:space="preserve"> less than 14 days before the date fixed for the answer charge hearing, it is not invalid but the </w:t>
      </w:r>
      <w:r w:rsidR="007032F1" w:rsidRPr="00B40A77">
        <w:rPr>
          <w:color w:val="000000" w:themeColor="text1"/>
        </w:rPr>
        <w:t xml:space="preserve">late filing and service may result in the </w:t>
      </w:r>
      <w:r w:rsidRPr="00B40A77">
        <w:rPr>
          <w:color w:val="000000" w:themeColor="text1"/>
        </w:rPr>
        <w:t xml:space="preserve">Court </w:t>
      </w:r>
      <w:r w:rsidRPr="00B40A77">
        <w:rPr>
          <w:color w:val="000000" w:themeColor="text1"/>
        </w:rPr>
        <w:lastRenderedPageBreak/>
        <w:t>exercis</w:t>
      </w:r>
      <w:r w:rsidR="000B5B3E" w:rsidRPr="00B40A77">
        <w:rPr>
          <w:color w:val="000000" w:themeColor="text1"/>
        </w:rPr>
        <w:t>ing</w:t>
      </w:r>
      <w:r w:rsidRPr="00B40A77">
        <w:rPr>
          <w:color w:val="000000" w:themeColor="text1"/>
        </w:rPr>
        <w:t xml:space="preserve"> </w:t>
      </w:r>
      <w:r w:rsidR="00F9011C" w:rsidRPr="00B40A77">
        <w:rPr>
          <w:color w:val="000000" w:themeColor="text1"/>
        </w:rPr>
        <w:t xml:space="preserve">its </w:t>
      </w:r>
      <w:r w:rsidRPr="00B40A77">
        <w:rPr>
          <w:color w:val="000000" w:themeColor="text1"/>
        </w:rPr>
        <w:t>power under sections</w:t>
      </w:r>
      <w:r w:rsidR="0084710B" w:rsidRPr="00B40A77">
        <w:rPr>
          <w:color w:val="000000" w:themeColor="text1"/>
        </w:rPr>
        <w:t> </w:t>
      </w:r>
      <w:r w:rsidRPr="00B40A77">
        <w:rPr>
          <w:color w:val="000000" w:themeColor="text1"/>
        </w:rPr>
        <w:t>189</w:t>
      </w:r>
      <w:r w:rsidR="007032F1" w:rsidRPr="00B40A77">
        <w:rPr>
          <w:color w:val="000000" w:themeColor="text1"/>
        </w:rPr>
        <w:t xml:space="preserve"> to 189D of the Procedure Act </w:t>
      </w:r>
      <w:r w:rsidRPr="00B40A77">
        <w:rPr>
          <w:color w:val="000000" w:themeColor="text1"/>
        </w:rPr>
        <w:t xml:space="preserve">to </w:t>
      </w:r>
      <w:r w:rsidR="007032F1" w:rsidRPr="00B40A77">
        <w:rPr>
          <w:color w:val="000000" w:themeColor="text1"/>
        </w:rPr>
        <w:t>order that the defendant</w:t>
      </w:r>
      <w:r w:rsidR="00631EBA" w:rsidRPr="00B40A77">
        <w:rPr>
          <w:color w:val="000000" w:themeColor="text1"/>
        </w:rPr>
        <w:t>,</w:t>
      </w:r>
      <w:r w:rsidR="007032F1" w:rsidRPr="00B40A77">
        <w:rPr>
          <w:color w:val="000000" w:themeColor="text1"/>
        </w:rPr>
        <w:t xml:space="preserve"> youth or the law firm in question</w:t>
      </w:r>
      <w:r w:rsidR="00631EBA" w:rsidRPr="00B40A77">
        <w:rPr>
          <w:color w:val="000000" w:themeColor="text1"/>
        </w:rPr>
        <w:t>:</w:t>
      </w:r>
    </w:p>
    <w:p w14:paraId="1823CC2E" w14:textId="67E7D420" w:rsidR="00631EBA" w:rsidRPr="00B40A77" w:rsidRDefault="00631EBA" w:rsidP="00E200BE">
      <w:pPr>
        <w:pStyle w:val="NoteText"/>
        <w:keepNext/>
        <w:ind w:left="1985" w:hanging="567"/>
        <w:rPr>
          <w:color w:val="000000" w:themeColor="text1"/>
        </w:rPr>
      </w:pPr>
      <w:r w:rsidRPr="00B40A77">
        <w:rPr>
          <w:color w:val="000000" w:themeColor="text1"/>
        </w:rPr>
        <w:t>(a)</w:t>
      </w:r>
      <w:r w:rsidR="008238EB" w:rsidRPr="00B40A77">
        <w:rPr>
          <w:color w:val="000000" w:themeColor="text1"/>
        </w:rPr>
        <w:tab/>
      </w:r>
      <w:r w:rsidR="007032F1" w:rsidRPr="00B40A77">
        <w:rPr>
          <w:color w:val="000000" w:themeColor="text1"/>
        </w:rPr>
        <w:t>pay</w:t>
      </w:r>
      <w:r w:rsidR="00876D3B" w:rsidRPr="00B40A77">
        <w:rPr>
          <w:color w:val="000000" w:themeColor="text1"/>
        </w:rPr>
        <w:t xml:space="preserve"> the costs</w:t>
      </w:r>
      <w:r w:rsidR="007032F1" w:rsidRPr="00B40A77">
        <w:rPr>
          <w:color w:val="000000" w:themeColor="text1"/>
        </w:rPr>
        <w:t xml:space="preserve"> </w:t>
      </w:r>
      <w:r w:rsidR="00D568EE" w:rsidRPr="00B40A77">
        <w:rPr>
          <w:color w:val="000000" w:themeColor="text1"/>
        </w:rPr>
        <w:t>of the other parties</w:t>
      </w:r>
      <w:r w:rsidRPr="00B40A77">
        <w:rPr>
          <w:color w:val="000000" w:themeColor="text1"/>
        </w:rPr>
        <w:t>;</w:t>
      </w:r>
    </w:p>
    <w:p w14:paraId="1CAD2C23" w14:textId="724FFE30" w:rsidR="00631EBA" w:rsidRPr="00B40A77" w:rsidRDefault="00631EBA" w:rsidP="00E200BE">
      <w:pPr>
        <w:pStyle w:val="NoteText"/>
        <w:keepNext/>
        <w:ind w:left="1985" w:hanging="567"/>
        <w:rPr>
          <w:color w:val="000000" w:themeColor="text1"/>
        </w:rPr>
      </w:pPr>
      <w:r w:rsidRPr="00B40A77">
        <w:rPr>
          <w:color w:val="000000" w:themeColor="text1"/>
        </w:rPr>
        <w:t>(b)</w:t>
      </w:r>
      <w:r w:rsidRPr="00B40A77">
        <w:rPr>
          <w:color w:val="000000" w:themeColor="text1"/>
        </w:rPr>
        <w:tab/>
      </w:r>
      <w:r w:rsidR="00F9011C" w:rsidRPr="00B40A77">
        <w:rPr>
          <w:color w:val="000000" w:themeColor="text1"/>
        </w:rPr>
        <w:t xml:space="preserve">pay </w:t>
      </w:r>
      <w:r w:rsidR="00D568EE" w:rsidRPr="00B40A77">
        <w:rPr>
          <w:color w:val="000000" w:themeColor="text1"/>
        </w:rPr>
        <w:t xml:space="preserve">compensation to the Court for time wasted, </w:t>
      </w:r>
      <w:r w:rsidR="007032F1" w:rsidRPr="00B40A77">
        <w:rPr>
          <w:color w:val="000000" w:themeColor="text1"/>
        </w:rPr>
        <w:t>caused by the late filing and service</w:t>
      </w:r>
      <w:r w:rsidRPr="00B40A77">
        <w:rPr>
          <w:color w:val="000000" w:themeColor="text1"/>
        </w:rPr>
        <w:t>;</w:t>
      </w:r>
      <w:r w:rsidR="00F9011C" w:rsidRPr="00B40A77">
        <w:rPr>
          <w:color w:val="000000" w:themeColor="text1"/>
        </w:rPr>
        <w:t> </w:t>
      </w:r>
      <w:r w:rsidRPr="00B40A77">
        <w:rPr>
          <w:color w:val="000000" w:themeColor="text1"/>
        </w:rPr>
        <w:t>or</w:t>
      </w:r>
    </w:p>
    <w:p w14:paraId="5F0A9D9B" w14:textId="3EC92891" w:rsidR="00876D3B" w:rsidRPr="00B40A77" w:rsidRDefault="00631EBA" w:rsidP="008238EB">
      <w:pPr>
        <w:pStyle w:val="NoteText"/>
        <w:ind w:left="1985" w:hanging="567"/>
        <w:rPr>
          <w:color w:val="000000" w:themeColor="text1"/>
        </w:rPr>
      </w:pPr>
      <w:r w:rsidRPr="00B40A77">
        <w:rPr>
          <w:color w:val="000000" w:themeColor="text1"/>
        </w:rPr>
        <w:t>(c)</w:t>
      </w:r>
      <w:r w:rsidRPr="00B40A77">
        <w:rPr>
          <w:color w:val="000000" w:themeColor="text1"/>
        </w:rPr>
        <w:tab/>
        <w:t>both (a) and (b)</w:t>
      </w:r>
      <w:r w:rsidR="007032F1" w:rsidRPr="00B40A77">
        <w:rPr>
          <w:color w:val="000000" w:themeColor="text1"/>
        </w:rPr>
        <w:t>.</w:t>
      </w:r>
    </w:p>
    <w:p w14:paraId="78458777" w14:textId="5BF11E52" w:rsidR="00C17AB2" w:rsidRPr="00B40A77" w:rsidRDefault="00386DCC" w:rsidP="00C17AB2">
      <w:pPr>
        <w:pStyle w:val="Heading4"/>
        <w:rPr>
          <w:color w:val="000000" w:themeColor="text1"/>
        </w:rPr>
      </w:pPr>
      <w:bookmarkStart w:id="610" w:name="_Toc175239045"/>
      <w:r w:rsidRPr="00B40A77">
        <w:rPr>
          <w:color w:val="000000" w:themeColor="text1"/>
        </w:rPr>
        <w:t>8</w:t>
      </w:r>
      <w:r w:rsidR="00AF52B6" w:rsidRPr="00B40A77">
        <w:rPr>
          <w:color w:val="000000" w:themeColor="text1"/>
        </w:rPr>
        <w:t>6</w:t>
      </w:r>
      <w:r w:rsidR="00C17AB2" w:rsidRPr="00B40A77">
        <w:rPr>
          <w:color w:val="000000" w:themeColor="text1"/>
        </w:rPr>
        <w:t>.2—</w:t>
      </w:r>
      <w:r w:rsidR="00135EC7" w:rsidRPr="00B40A77">
        <w:rPr>
          <w:color w:val="000000" w:themeColor="text1"/>
        </w:rPr>
        <w:t>Subpoena</w:t>
      </w:r>
      <w:bookmarkEnd w:id="610"/>
    </w:p>
    <w:p w14:paraId="63A52DAA" w14:textId="678C4589" w:rsidR="007E3A05" w:rsidRPr="00B40A77" w:rsidRDefault="00A03D6B" w:rsidP="007E3A05">
      <w:pPr>
        <w:pStyle w:val="Hangindent"/>
        <w:rPr>
          <w:color w:val="000000" w:themeColor="text1"/>
          <w:lang w:val="en-US"/>
        </w:rPr>
      </w:pPr>
      <w:r w:rsidRPr="00B40A77">
        <w:rPr>
          <w:color w:val="000000" w:themeColor="text1"/>
          <w:lang w:val="en-US"/>
        </w:rPr>
        <w:t>(1)</w:t>
      </w:r>
      <w:r w:rsidRPr="00B40A77">
        <w:rPr>
          <w:color w:val="000000" w:themeColor="text1"/>
          <w:lang w:val="en-US"/>
        </w:rPr>
        <w:tab/>
        <w:t>A</w:t>
      </w:r>
      <w:r w:rsidR="007E3A05" w:rsidRPr="00B40A77">
        <w:rPr>
          <w:color w:val="000000" w:themeColor="text1"/>
          <w:lang w:val="en-US"/>
        </w:rPr>
        <w:t xml:space="preserve"> </w:t>
      </w:r>
      <w:hyperlink w:anchor="_2.1—Definitions" w:history="1">
        <w:r w:rsidR="007E3A05" w:rsidRPr="00B40A77">
          <w:rPr>
            <w:rStyle w:val="Hyperlink"/>
            <w:color w:val="000000" w:themeColor="text1"/>
            <w:lang w:val="en-US"/>
          </w:rPr>
          <w:t>committal subpoena application</w:t>
        </w:r>
      </w:hyperlink>
      <w:r w:rsidR="007E3A05" w:rsidRPr="00B40A77">
        <w:rPr>
          <w:color w:val="000000" w:themeColor="text1"/>
          <w:lang w:val="en-US"/>
        </w:rPr>
        <w:t xml:space="preserve"> must be made</w:t>
      </w:r>
      <w:r w:rsidR="007E3A05" w:rsidRPr="00B40A77">
        <w:rPr>
          <w:color w:val="000000" w:themeColor="text1"/>
        </w:rPr>
        <w:t>—</w:t>
      </w:r>
    </w:p>
    <w:p w14:paraId="715565F9" w14:textId="0B54899D" w:rsidR="001A3701" w:rsidRPr="00B40A77" w:rsidRDefault="007E3A05" w:rsidP="007E3A05">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by an interlocutory application </w:t>
      </w:r>
      <w:r w:rsidR="001A3701" w:rsidRPr="00B40A77">
        <w:rPr>
          <w:color w:val="000000" w:themeColor="text1"/>
          <w:lang w:val="en-US"/>
        </w:rPr>
        <w:t xml:space="preserve">in accordance with </w:t>
      </w:r>
      <w:hyperlink w:anchor="_39.1—Written_application" w:history="1">
        <w:r w:rsidR="001A3701" w:rsidRPr="00B40A77">
          <w:rPr>
            <w:rStyle w:val="Hyperlink"/>
            <w:color w:val="000000" w:themeColor="text1"/>
            <w:lang w:val="en-US"/>
          </w:rPr>
          <w:t>rule 39.1</w:t>
        </w:r>
      </w:hyperlink>
      <w:r w:rsidR="001A3701" w:rsidRPr="00B40A77">
        <w:rPr>
          <w:color w:val="000000" w:themeColor="text1"/>
          <w:lang w:val="en-US"/>
        </w:rPr>
        <w:t xml:space="preserve"> </w:t>
      </w:r>
      <w:r w:rsidRPr="00B40A77">
        <w:rPr>
          <w:color w:val="000000" w:themeColor="text1"/>
          <w:lang w:val="en-US"/>
        </w:rPr>
        <w:t>(which need not be supported by an affidavit) or orally at a hearing; and</w:t>
      </w:r>
    </w:p>
    <w:p w14:paraId="5F62F30D" w14:textId="6094B1CA" w:rsidR="00A03D6B" w:rsidRPr="00B40A77" w:rsidRDefault="007E3A05" w:rsidP="007E3A05">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8F7D53" w:rsidRPr="00B40A77">
        <w:rPr>
          <w:color w:val="000000" w:themeColor="text1"/>
          <w:lang w:val="en-US"/>
        </w:rPr>
        <w:t xml:space="preserve">unless the Court otherwise orders, </w:t>
      </w:r>
      <w:r w:rsidRPr="00B40A77">
        <w:rPr>
          <w:color w:val="000000" w:themeColor="text1"/>
          <w:lang w:val="en-US"/>
        </w:rPr>
        <w:t xml:space="preserve">at least </w:t>
      </w:r>
      <w:r w:rsidR="008F7D53" w:rsidRPr="00B40A77">
        <w:rPr>
          <w:color w:val="000000" w:themeColor="text1"/>
          <w:lang w:val="en-US"/>
        </w:rPr>
        <w:t>5</w:t>
      </w:r>
      <w:r w:rsidRPr="00B40A77">
        <w:rPr>
          <w:color w:val="000000" w:themeColor="text1"/>
          <w:lang w:val="en-US"/>
        </w:rPr>
        <w:t xml:space="preserve"> weeks before the</w:t>
      </w:r>
      <w:r w:rsidR="00A03D6B" w:rsidRPr="00B40A77">
        <w:rPr>
          <w:color w:val="000000" w:themeColor="text1"/>
          <w:lang w:val="en-US"/>
        </w:rPr>
        <w:t xml:space="preserve"> </w:t>
      </w:r>
      <w:hyperlink w:anchor="_2.1—Definitions" w:history="1">
        <w:hyperlink w:anchor="_2.1—Definitions" w:history="1">
          <w:r w:rsidR="005916E6" w:rsidRPr="00B40A77">
            <w:rPr>
              <w:rStyle w:val="Hyperlink"/>
              <w:color w:val="000000" w:themeColor="text1"/>
            </w:rPr>
            <w:t>answer charge date</w:t>
          </w:r>
        </w:hyperlink>
        <w:r w:rsidR="001A3701" w:rsidRPr="00B40A77">
          <w:rPr>
            <w:rStyle w:val="Hyperlink"/>
            <w:color w:val="000000" w:themeColor="text1"/>
            <w:u w:val="none"/>
          </w:rPr>
          <w:t>.</w:t>
        </w:r>
      </w:hyperlink>
    </w:p>
    <w:p w14:paraId="7055ECCD" w14:textId="0EC4EA58" w:rsidR="001A3701" w:rsidRPr="00B40A77" w:rsidRDefault="001A3701" w:rsidP="00A03D6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Court will usually list a </w:t>
      </w:r>
      <w:hyperlink w:anchor="_2.1—Definitions" w:history="1">
        <w:r w:rsidR="00D11EAA" w:rsidRPr="00B40A77">
          <w:rPr>
            <w:rStyle w:val="Hyperlink"/>
            <w:color w:val="000000" w:themeColor="text1"/>
            <w:lang w:val="en-US"/>
          </w:rPr>
          <w:t>committal subpoena application</w:t>
        </w:r>
      </w:hyperlink>
      <w:r w:rsidRPr="00B40A77">
        <w:rPr>
          <w:color w:val="000000" w:themeColor="text1"/>
          <w:lang w:val="en-US"/>
        </w:rPr>
        <w:t xml:space="preserve"> for hearing before the </w:t>
      </w:r>
      <w:hyperlink w:anchor="_2.1—Definitions" w:history="1">
        <w:r w:rsidR="009E6842" w:rsidRPr="00B40A77">
          <w:rPr>
            <w:rStyle w:val="Hyperlink"/>
            <w:color w:val="000000" w:themeColor="text1"/>
          </w:rPr>
          <w:t>answer charge date</w:t>
        </w:r>
      </w:hyperlink>
      <w:r w:rsidR="00DE0EEE" w:rsidRPr="00B40A77">
        <w:rPr>
          <w:color w:val="000000" w:themeColor="text1"/>
        </w:rPr>
        <w:t>.</w:t>
      </w:r>
    </w:p>
    <w:p w14:paraId="18FCC563" w14:textId="335EDBB4" w:rsidR="008F7D53" w:rsidRPr="00B40A77" w:rsidRDefault="00A03D6B" w:rsidP="008F7D53">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8F7D53" w:rsidRPr="00B40A77">
        <w:rPr>
          <w:color w:val="000000" w:themeColor="text1"/>
          <w:lang w:val="en-US"/>
        </w:rPr>
        <w:t xml:space="preserve">Unless the Court otherwise orders, a </w:t>
      </w:r>
      <w:hyperlink w:anchor="_2.1—Definitions" w:history="1">
        <w:r w:rsidR="008F7D53" w:rsidRPr="00B40A77">
          <w:rPr>
            <w:rStyle w:val="Hyperlink"/>
            <w:color w:val="000000" w:themeColor="text1"/>
            <w:lang w:val="en-US"/>
          </w:rPr>
          <w:t>committal subpoena</w:t>
        </w:r>
      </w:hyperlink>
      <w:r w:rsidR="008F7D53" w:rsidRPr="00B40A77">
        <w:rPr>
          <w:color w:val="000000" w:themeColor="text1"/>
          <w:lang w:val="en-US"/>
        </w:rPr>
        <w:t xml:space="preserve"> must be</w:t>
      </w:r>
      <w:r w:rsidR="008F7D53" w:rsidRPr="00B40A77">
        <w:rPr>
          <w:color w:val="000000" w:themeColor="text1"/>
        </w:rPr>
        <w:t>—</w:t>
      </w:r>
    </w:p>
    <w:p w14:paraId="4F70A7D6" w14:textId="591F68E6" w:rsidR="008F7D53" w:rsidRPr="00B40A77" w:rsidRDefault="008F7D53" w:rsidP="008F7D53">
      <w:pPr>
        <w:pStyle w:val="Doublehangindent"/>
        <w:rPr>
          <w:rStyle w:val="Hyperlink"/>
          <w:color w:val="000000" w:themeColor="text1"/>
        </w:rPr>
      </w:pPr>
      <w:r w:rsidRPr="00B40A77">
        <w:rPr>
          <w:color w:val="000000" w:themeColor="text1"/>
          <w:lang w:val="en-US"/>
        </w:rPr>
        <w:t>(a)</w:t>
      </w:r>
      <w:r w:rsidRPr="00B40A77">
        <w:rPr>
          <w:color w:val="000000" w:themeColor="text1"/>
          <w:lang w:val="en-US"/>
        </w:rPr>
        <w:tab/>
        <w:t xml:space="preserve">issued at least 3 weeks before the </w:t>
      </w:r>
      <w:hyperlink w:anchor="_2.1—Definitions" w:history="1">
        <w:r w:rsidR="009E6842" w:rsidRPr="00B40A77">
          <w:rPr>
            <w:rStyle w:val="Hyperlink"/>
            <w:color w:val="000000" w:themeColor="text1"/>
          </w:rPr>
          <w:t>answer charge date</w:t>
        </w:r>
      </w:hyperlink>
      <w:r w:rsidRPr="00B40A77">
        <w:rPr>
          <w:rStyle w:val="Hyperlink"/>
          <w:color w:val="000000" w:themeColor="text1"/>
          <w:u w:val="none"/>
        </w:rPr>
        <w:t>; and</w:t>
      </w:r>
    </w:p>
    <w:p w14:paraId="7656E70B" w14:textId="25081799" w:rsidR="008F7D53" w:rsidRPr="00B40A77" w:rsidRDefault="008F7D53" w:rsidP="008F7D5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returnable at least 1 week before the </w:t>
      </w:r>
      <w:hyperlink w:anchor="_2.1—Definitions" w:history="1">
        <w:r w:rsidR="009E6842" w:rsidRPr="00B40A77">
          <w:rPr>
            <w:rStyle w:val="Hyperlink"/>
            <w:color w:val="000000" w:themeColor="text1"/>
          </w:rPr>
          <w:t>answer charge date</w:t>
        </w:r>
      </w:hyperlink>
      <w:r w:rsidRPr="00B40A77">
        <w:rPr>
          <w:rStyle w:val="Hyperlink"/>
          <w:color w:val="000000" w:themeColor="text1"/>
          <w:u w:val="none"/>
        </w:rPr>
        <w:t>.</w:t>
      </w:r>
    </w:p>
    <w:p w14:paraId="1E6AC5E9" w14:textId="3E441DB5" w:rsidR="00C17AB2" w:rsidRPr="00B40A77" w:rsidRDefault="008F7D53" w:rsidP="00A03D6B">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C17AB2" w:rsidRPr="00B40A77">
        <w:rPr>
          <w:color w:val="000000" w:themeColor="text1"/>
          <w:lang w:val="en-US"/>
        </w:rPr>
        <w:t xml:space="preserve">A </w:t>
      </w:r>
      <w:hyperlink w:anchor="_122.1—Interpretation" w:history="1">
        <w:r w:rsidR="00135EC7" w:rsidRPr="00B40A77">
          <w:rPr>
            <w:rStyle w:val="Hyperlink"/>
            <w:color w:val="000000" w:themeColor="text1"/>
            <w:lang w:val="en-US"/>
          </w:rPr>
          <w:t>subpoena</w:t>
        </w:r>
      </w:hyperlink>
      <w:r w:rsidR="00200F69" w:rsidRPr="00B40A77">
        <w:rPr>
          <w:color w:val="000000" w:themeColor="text1"/>
          <w:lang w:val="en-US"/>
        </w:rPr>
        <w:t xml:space="preserve"> </w:t>
      </w:r>
      <w:r w:rsidR="00C17AB2" w:rsidRPr="00B40A77">
        <w:rPr>
          <w:color w:val="000000" w:themeColor="text1"/>
          <w:lang w:val="en-US"/>
        </w:rPr>
        <w:t>governed by section</w:t>
      </w:r>
      <w:r w:rsidR="00953C51" w:rsidRPr="00B40A77">
        <w:rPr>
          <w:color w:val="000000" w:themeColor="text1"/>
          <w:lang w:val="en-US"/>
        </w:rPr>
        <w:t> </w:t>
      </w:r>
      <w:r w:rsidR="00C17AB2" w:rsidRPr="00B40A77">
        <w:rPr>
          <w:color w:val="000000" w:themeColor="text1"/>
          <w:lang w:val="en-US"/>
        </w:rPr>
        <w:t xml:space="preserve">107 of the </w:t>
      </w:r>
      <w:hyperlink w:anchor="_2.1—Definitions" w:history="1">
        <w:r w:rsidR="00C17AB2" w:rsidRPr="00B40A77">
          <w:rPr>
            <w:rStyle w:val="Hyperlink"/>
            <w:color w:val="000000" w:themeColor="text1"/>
            <w:u w:val="none"/>
            <w:lang w:val="en-US"/>
          </w:rPr>
          <w:t>Procedure Act</w:t>
        </w:r>
      </w:hyperlink>
      <w:r w:rsidR="00C17AB2" w:rsidRPr="00B40A77">
        <w:rPr>
          <w:color w:val="000000" w:themeColor="text1"/>
          <w:lang w:val="en-US"/>
        </w:rPr>
        <w:t xml:space="preserve"> must be in the prescribed form</w:t>
      </w:r>
      <w:r w:rsidR="000E5C54" w:rsidRPr="00B40A77">
        <w:rPr>
          <w:color w:val="000000" w:themeColor="text1"/>
          <w:lang w:val="en-US"/>
        </w:rPr>
        <w:t xml:space="preserve"> and must comply with </w:t>
      </w:r>
      <w:hyperlink w:anchor="_Division_2—Issue_and" w:history="1">
        <w:r w:rsidR="000E5C54" w:rsidRPr="00B40A77">
          <w:rPr>
            <w:rStyle w:val="Hyperlink"/>
            <w:color w:val="000000" w:themeColor="text1"/>
            <w:lang w:val="en-US"/>
          </w:rPr>
          <w:t>Chapter</w:t>
        </w:r>
        <w:r w:rsidR="00582B40" w:rsidRPr="00B40A77">
          <w:rPr>
            <w:rStyle w:val="Hyperlink"/>
            <w:color w:val="000000" w:themeColor="text1"/>
            <w:lang w:val="en-US"/>
          </w:rPr>
          <w:t> </w:t>
        </w:r>
        <w:r w:rsidR="000E5C54" w:rsidRPr="00B40A77">
          <w:rPr>
            <w:rStyle w:val="Hyperlink"/>
            <w:color w:val="000000" w:themeColor="text1"/>
            <w:lang w:val="en-US"/>
          </w:rPr>
          <w:t>6 Part</w:t>
        </w:r>
        <w:r w:rsidR="00582B40" w:rsidRPr="00B40A77">
          <w:rPr>
            <w:rStyle w:val="Hyperlink"/>
            <w:color w:val="000000" w:themeColor="text1"/>
            <w:lang w:val="en-US"/>
          </w:rPr>
          <w:t> </w:t>
        </w:r>
        <w:r w:rsidR="00505A4A" w:rsidRPr="00B40A77">
          <w:rPr>
            <w:rStyle w:val="Hyperlink"/>
            <w:color w:val="000000" w:themeColor="text1"/>
            <w:lang w:val="en-US"/>
          </w:rPr>
          <w:t>2</w:t>
        </w:r>
        <w:r w:rsidR="000E5C54" w:rsidRPr="00B40A77">
          <w:rPr>
            <w:rStyle w:val="Hyperlink"/>
            <w:color w:val="000000" w:themeColor="text1"/>
            <w:lang w:val="en-US"/>
          </w:rPr>
          <w:t xml:space="preserve"> Division</w:t>
        </w:r>
        <w:r w:rsidR="00582B40" w:rsidRPr="00B40A77">
          <w:rPr>
            <w:rStyle w:val="Hyperlink"/>
            <w:color w:val="000000" w:themeColor="text1"/>
            <w:lang w:val="en-US"/>
          </w:rPr>
          <w:t> </w:t>
        </w:r>
        <w:r w:rsidR="00505A4A" w:rsidRPr="00B40A77">
          <w:rPr>
            <w:rStyle w:val="Hyperlink"/>
            <w:color w:val="000000" w:themeColor="text1"/>
            <w:lang w:val="en-US"/>
          </w:rPr>
          <w:t>2</w:t>
        </w:r>
      </w:hyperlink>
      <w:r w:rsidR="000E5C54" w:rsidRPr="00B40A77">
        <w:rPr>
          <w:color w:val="000000" w:themeColor="text1"/>
          <w:lang w:val="en-US"/>
        </w:rPr>
        <w:t>.</w:t>
      </w:r>
    </w:p>
    <w:p w14:paraId="013741DB" w14:textId="77777777" w:rsidR="00C17AB2" w:rsidRPr="00B40A77" w:rsidRDefault="00C17AB2" w:rsidP="004E3D0F">
      <w:pPr>
        <w:pStyle w:val="NoteHeader"/>
        <w:keepNext/>
        <w:ind w:left="284" w:firstLine="306"/>
        <w:rPr>
          <w:color w:val="000000" w:themeColor="text1"/>
        </w:rPr>
      </w:pPr>
      <w:r w:rsidRPr="00B40A77">
        <w:rPr>
          <w:color w:val="000000" w:themeColor="text1"/>
        </w:rPr>
        <w:t>Prescribed form—</w:t>
      </w:r>
    </w:p>
    <w:p w14:paraId="3FE6299A" w14:textId="56347C4C" w:rsidR="00C17AB2" w:rsidRPr="00B40A77" w:rsidRDefault="00C17AB2" w:rsidP="00763DD0">
      <w:pPr>
        <w:pStyle w:val="NoteText"/>
        <w:keepNext/>
        <w:ind w:left="568" w:firstLine="481"/>
        <w:rPr>
          <w:color w:val="000000" w:themeColor="text1"/>
        </w:rPr>
      </w:pPr>
      <w:r w:rsidRPr="00B40A77">
        <w:rPr>
          <w:color w:val="000000" w:themeColor="text1"/>
        </w:rPr>
        <w:t>Form 1</w:t>
      </w:r>
      <w:r w:rsidR="004A4690" w:rsidRPr="00B40A77">
        <w:rPr>
          <w:color w:val="000000" w:themeColor="text1"/>
        </w:rPr>
        <w:t>12A</w:t>
      </w:r>
      <w:r w:rsidRPr="00B40A77">
        <w:rPr>
          <w:color w:val="000000" w:themeColor="text1"/>
        </w:rPr>
        <w:t xml:space="preserve"> </w:t>
      </w:r>
      <w:hyperlink r:id="rId171" w:history="1">
        <w:r w:rsidR="004A4690" w:rsidRPr="00B40A77">
          <w:rPr>
            <w:rStyle w:val="Hyperlink"/>
            <w:color w:val="000000" w:themeColor="text1"/>
          </w:rPr>
          <w:t>Su</w:t>
        </w:r>
        <w:r w:rsidR="0023389C" w:rsidRPr="00B40A77">
          <w:rPr>
            <w:rStyle w:val="Hyperlink"/>
            <w:color w:val="000000" w:themeColor="text1"/>
          </w:rPr>
          <w:t>bpoena</w:t>
        </w:r>
        <w:r w:rsidR="00ED400C" w:rsidRPr="00B40A77">
          <w:rPr>
            <w:rStyle w:val="Hyperlink"/>
            <w:color w:val="000000" w:themeColor="text1"/>
          </w:rPr>
          <w:t xml:space="preserve"> </w:t>
        </w:r>
        <w:r w:rsidR="004A4690" w:rsidRPr="00B40A77">
          <w:rPr>
            <w:rStyle w:val="Hyperlink"/>
            <w:color w:val="000000" w:themeColor="text1"/>
          </w:rPr>
          <w:t xml:space="preserve">to </w:t>
        </w:r>
        <w:r w:rsidR="00B74C34" w:rsidRPr="00B40A77">
          <w:rPr>
            <w:rStyle w:val="Hyperlink"/>
            <w:color w:val="000000" w:themeColor="text1"/>
          </w:rPr>
          <w:t>A</w:t>
        </w:r>
        <w:r w:rsidR="004A4690" w:rsidRPr="00B40A77">
          <w:rPr>
            <w:rStyle w:val="Hyperlink"/>
            <w:color w:val="000000" w:themeColor="text1"/>
          </w:rPr>
          <w:t xml:space="preserve">ttend to </w:t>
        </w:r>
        <w:r w:rsidR="00B74C34" w:rsidRPr="00B40A77">
          <w:rPr>
            <w:rStyle w:val="Hyperlink"/>
            <w:color w:val="000000" w:themeColor="text1"/>
          </w:rPr>
          <w:t>G</w:t>
        </w:r>
        <w:r w:rsidR="004A4690" w:rsidRPr="00B40A77">
          <w:rPr>
            <w:rStyle w:val="Hyperlink"/>
            <w:color w:val="000000" w:themeColor="text1"/>
          </w:rPr>
          <w:t xml:space="preserve">ive </w:t>
        </w:r>
        <w:r w:rsidR="00B74C34" w:rsidRPr="00B40A77">
          <w:rPr>
            <w:rStyle w:val="Hyperlink"/>
            <w:color w:val="000000" w:themeColor="text1"/>
          </w:rPr>
          <w:t>E</w:t>
        </w:r>
        <w:r w:rsidR="004A4690" w:rsidRPr="00B40A77">
          <w:rPr>
            <w:rStyle w:val="Hyperlink"/>
            <w:color w:val="000000" w:themeColor="text1"/>
          </w:rPr>
          <w:t>vidence</w:t>
        </w:r>
        <w:r w:rsidR="00B74C34" w:rsidRPr="00B40A77">
          <w:rPr>
            <w:rStyle w:val="Hyperlink"/>
            <w:color w:val="000000" w:themeColor="text1"/>
          </w:rPr>
          <w:t xml:space="preserve"> (Magistrates, Youth and ERD Courts)</w:t>
        </w:r>
      </w:hyperlink>
    </w:p>
    <w:p w14:paraId="572F9C65" w14:textId="36915DC1" w:rsidR="004A4690" w:rsidRPr="00B40A77" w:rsidRDefault="004A4690" w:rsidP="00763DD0">
      <w:pPr>
        <w:pStyle w:val="NoteText"/>
        <w:keepNext/>
        <w:ind w:left="568" w:firstLine="481"/>
        <w:rPr>
          <w:color w:val="000000" w:themeColor="text1"/>
        </w:rPr>
      </w:pPr>
      <w:r w:rsidRPr="00B40A77">
        <w:rPr>
          <w:color w:val="000000" w:themeColor="text1"/>
        </w:rPr>
        <w:t xml:space="preserve">Form 112B </w:t>
      </w:r>
      <w:hyperlink r:id="rId172" w:history="1">
        <w:r w:rsidRPr="00B40A77">
          <w:rPr>
            <w:rStyle w:val="Hyperlink"/>
            <w:color w:val="000000" w:themeColor="text1"/>
          </w:rPr>
          <w:t>S</w:t>
        </w:r>
        <w:r w:rsidR="0023389C" w:rsidRPr="00B40A77">
          <w:rPr>
            <w:rStyle w:val="Hyperlink"/>
            <w:color w:val="000000" w:themeColor="text1"/>
          </w:rPr>
          <w:t>ubpoena</w:t>
        </w:r>
        <w:r w:rsidRPr="00B40A77">
          <w:rPr>
            <w:rStyle w:val="Hyperlink"/>
            <w:color w:val="000000" w:themeColor="text1"/>
          </w:rPr>
          <w:t xml:space="preserve"> to </w:t>
        </w:r>
        <w:r w:rsidR="00B74C34" w:rsidRPr="00B40A77">
          <w:rPr>
            <w:rStyle w:val="Hyperlink"/>
            <w:color w:val="000000" w:themeColor="text1"/>
          </w:rPr>
          <w:t>P</w:t>
        </w:r>
        <w:r w:rsidRPr="00B40A77">
          <w:rPr>
            <w:rStyle w:val="Hyperlink"/>
            <w:color w:val="000000" w:themeColor="text1"/>
          </w:rPr>
          <w:t xml:space="preserve">roduce </w:t>
        </w:r>
        <w:r w:rsidR="00B74C34" w:rsidRPr="00B40A77">
          <w:rPr>
            <w:rStyle w:val="Hyperlink"/>
            <w:color w:val="000000" w:themeColor="text1"/>
          </w:rPr>
          <w:t>D</w:t>
        </w:r>
        <w:r w:rsidRPr="00B40A77">
          <w:rPr>
            <w:rStyle w:val="Hyperlink"/>
            <w:color w:val="000000" w:themeColor="text1"/>
          </w:rPr>
          <w:t>ocuments</w:t>
        </w:r>
        <w:r w:rsidR="001C21AF" w:rsidRPr="00B40A77">
          <w:rPr>
            <w:rStyle w:val="Hyperlink"/>
            <w:color w:val="000000" w:themeColor="text1"/>
          </w:rPr>
          <w:t xml:space="preserve"> (Magistrates, Youth and ERD Courts)</w:t>
        </w:r>
      </w:hyperlink>
    </w:p>
    <w:p w14:paraId="3801865B" w14:textId="01C68F68" w:rsidR="004A4690" w:rsidRPr="00B40A77" w:rsidRDefault="004A4690" w:rsidP="00D17DCD">
      <w:pPr>
        <w:pStyle w:val="NoteText"/>
        <w:ind w:left="1049"/>
        <w:rPr>
          <w:color w:val="000000" w:themeColor="text1"/>
          <w:u w:val="single"/>
        </w:rPr>
      </w:pPr>
      <w:r w:rsidRPr="00B40A77">
        <w:rPr>
          <w:color w:val="000000" w:themeColor="text1"/>
        </w:rPr>
        <w:t xml:space="preserve">Form 112C </w:t>
      </w:r>
      <w:hyperlink r:id="rId173" w:history="1">
        <w:r w:rsidRPr="00B40A77">
          <w:rPr>
            <w:rStyle w:val="Hyperlink"/>
            <w:color w:val="000000" w:themeColor="text1"/>
          </w:rPr>
          <w:t>Su</w:t>
        </w:r>
        <w:r w:rsidR="0023389C" w:rsidRPr="00B40A77">
          <w:rPr>
            <w:rStyle w:val="Hyperlink"/>
            <w:color w:val="000000" w:themeColor="text1"/>
          </w:rPr>
          <w:t>bpoena</w:t>
        </w:r>
        <w:r w:rsidRPr="00B40A77">
          <w:rPr>
            <w:rStyle w:val="Hyperlink"/>
            <w:color w:val="000000" w:themeColor="text1"/>
          </w:rPr>
          <w:t xml:space="preserve"> to </w:t>
        </w:r>
        <w:r w:rsidR="001C21AF" w:rsidRPr="00B40A77">
          <w:rPr>
            <w:rStyle w:val="Hyperlink"/>
            <w:color w:val="000000" w:themeColor="text1"/>
          </w:rPr>
          <w:t>A</w:t>
        </w:r>
        <w:r w:rsidRPr="00B40A77">
          <w:rPr>
            <w:rStyle w:val="Hyperlink"/>
            <w:color w:val="000000" w:themeColor="text1"/>
          </w:rPr>
          <w:t xml:space="preserve">ttend and </w:t>
        </w:r>
        <w:r w:rsidR="001C21AF" w:rsidRPr="00B40A77">
          <w:rPr>
            <w:rStyle w:val="Hyperlink"/>
            <w:color w:val="000000" w:themeColor="text1"/>
          </w:rPr>
          <w:t>to P</w:t>
        </w:r>
        <w:r w:rsidRPr="00B40A77">
          <w:rPr>
            <w:rStyle w:val="Hyperlink"/>
            <w:color w:val="000000" w:themeColor="text1"/>
          </w:rPr>
          <w:t xml:space="preserve">roduce </w:t>
        </w:r>
        <w:r w:rsidR="001C21AF" w:rsidRPr="00B40A77">
          <w:rPr>
            <w:rStyle w:val="Hyperlink"/>
            <w:color w:val="000000" w:themeColor="text1"/>
          </w:rPr>
          <w:t>D</w:t>
        </w:r>
        <w:r w:rsidRPr="00B40A77">
          <w:rPr>
            <w:rStyle w:val="Hyperlink"/>
            <w:color w:val="000000" w:themeColor="text1"/>
          </w:rPr>
          <w:t xml:space="preserve">ocuments </w:t>
        </w:r>
        <w:r w:rsidR="001C21AF" w:rsidRPr="00B40A77">
          <w:rPr>
            <w:rStyle w:val="Hyperlink"/>
            <w:color w:val="000000" w:themeColor="text1"/>
          </w:rPr>
          <w:t>(Magistrates, Youth and ERD Courts)</w:t>
        </w:r>
      </w:hyperlink>
    </w:p>
    <w:p w14:paraId="769B625D" w14:textId="403258C1" w:rsidR="00B43D0C" w:rsidRPr="00B40A77" w:rsidRDefault="00C2585C" w:rsidP="00D17DCD">
      <w:pPr>
        <w:pStyle w:val="Heading2"/>
        <w:keepNext/>
        <w:contextualSpacing w:val="0"/>
        <w:rPr>
          <w:color w:val="000000" w:themeColor="text1"/>
        </w:rPr>
      </w:pPr>
      <w:bookmarkStart w:id="611" w:name="_Toc175239046"/>
      <w:r w:rsidRPr="00B40A77">
        <w:rPr>
          <w:color w:val="000000" w:themeColor="text1"/>
        </w:rPr>
        <w:t xml:space="preserve">Part </w:t>
      </w:r>
      <w:r w:rsidR="0016589E" w:rsidRPr="00B40A77">
        <w:rPr>
          <w:color w:val="000000" w:themeColor="text1"/>
        </w:rPr>
        <w:t>7</w:t>
      </w:r>
      <w:r w:rsidR="00B43D0C" w:rsidRPr="00B40A77">
        <w:rPr>
          <w:color w:val="000000" w:themeColor="text1"/>
        </w:rPr>
        <w:t xml:space="preserve">—Answer charge </w:t>
      </w:r>
      <w:r w:rsidR="0030786A" w:rsidRPr="00B40A77">
        <w:rPr>
          <w:color w:val="000000" w:themeColor="text1"/>
        </w:rPr>
        <w:t>appearance</w:t>
      </w:r>
      <w:bookmarkEnd w:id="611"/>
    </w:p>
    <w:p w14:paraId="084CB1BD" w14:textId="77777777" w:rsidR="0030786A" w:rsidRPr="00B40A77" w:rsidRDefault="0030786A" w:rsidP="0030786A">
      <w:pPr>
        <w:pStyle w:val="Heading4"/>
        <w:rPr>
          <w:color w:val="000000" w:themeColor="text1"/>
        </w:rPr>
      </w:pPr>
      <w:bookmarkStart w:id="612" w:name="_87.1—Oral_examination_application"/>
      <w:bookmarkStart w:id="613" w:name="_Toc175239047"/>
      <w:bookmarkEnd w:id="612"/>
      <w:r w:rsidRPr="00B40A77">
        <w:rPr>
          <w:color w:val="000000" w:themeColor="text1"/>
        </w:rPr>
        <w:t>87.1—Oral examination application</w:t>
      </w:r>
      <w:bookmarkEnd w:id="613"/>
    </w:p>
    <w:p w14:paraId="014B54A3" w14:textId="55A29E96" w:rsidR="0030786A" w:rsidRPr="00B40A77" w:rsidRDefault="0030786A" w:rsidP="0030786A">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defendant or youth has given a </w:t>
      </w:r>
      <w:hyperlink w:anchor="_86.1—Notices_by_defendant" w:history="1">
        <w:r w:rsidR="00EB6394" w:rsidRPr="00B40A77">
          <w:rPr>
            <w:rStyle w:val="Hyperlink"/>
            <w:color w:val="000000" w:themeColor="text1"/>
            <w:lang w:val="en-US"/>
          </w:rPr>
          <w:t xml:space="preserve">cross-examination request </w:t>
        </w:r>
        <w:r w:rsidRPr="00B40A77">
          <w:rPr>
            <w:rStyle w:val="Hyperlink"/>
            <w:color w:val="000000" w:themeColor="text1"/>
            <w:lang w:val="en-US"/>
          </w:rPr>
          <w:t>notice</w:t>
        </w:r>
      </w:hyperlink>
      <w:r w:rsidR="002D3C9D" w:rsidRPr="00B40A77">
        <w:rPr>
          <w:color w:val="000000" w:themeColor="text1"/>
          <w:lang w:val="en-US"/>
        </w:rPr>
        <w:t>, at</w:t>
      </w:r>
      <w:r w:rsidRPr="00B40A77">
        <w:rPr>
          <w:color w:val="000000" w:themeColor="text1"/>
          <w:lang w:val="en-US"/>
        </w:rPr>
        <w:t xml:space="preserve"> </w:t>
      </w:r>
      <w:r w:rsidR="00696DD9" w:rsidRPr="00B40A77">
        <w:rPr>
          <w:color w:val="000000" w:themeColor="text1"/>
          <w:lang w:val="en-US"/>
        </w:rPr>
        <w:t xml:space="preserve">the </w:t>
      </w:r>
      <w:hyperlink w:anchor="_2.1—Definitions" w:history="1">
        <w:r w:rsidR="00D11EAA" w:rsidRPr="00B40A77">
          <w:rPr>
            <w:rStyle w:val="Hyperlink"/>
            <w:color w:val="000000" w:themeColor="text1"/>
          </w:rPr>
          <w:t>answer charge appearance</w:t>
        </w:r>
      </w:hyperlink>
      <w:r w:rsidR="009C592D" w:rsidRPr="00B40A77">
        <w:rPr>
          <w:color w:val="000000" w:themeColor="text1"/>
        </w:rPr>
        <w:t xml:space="preserve"> </w:t>
      </w:r>
      <w:r w:rsidRPr="00B40A77">
        <w:rPr>
          <w:color w:val="000000" w:themeColor="text1"/>
          <w:lang w:val="en-US"/>
        </w:rPr>
        <w:t xml:space="preserve">the </w:t>
      </w:r>
      <w:hyperlink w:anchor="_2.1—Definitions" w:history="1">
        <w:r w:rsidR="00CF6E09" w:rsidRPr="00B40A77">
          <w:rPr>
            <w:rStyle w:val="Hyperlink"/>
            <w:color w:val="000000" w:themeColor="text1"/>
            <w:lang w:val="en-US"/>
          </w:rPr>
          <w:t>committal</w:t>
        </w:r>
        <w:r w:rsidR="008E5CE8" w:rsidRPr="00B40A77">
          <w:rPr>
            <w:rStyle w:val="Hyperlink"/>
            <w:color w:val="000000" w:themeColor="text1"/>
            <w:lang w:val="en-US"/>
          </w:rPr>
          <w:t xml:space="preserve"> oral </w:t>
        </w:r>
        <w:r w:rsidR="00CF6E09" w:rsidRPr="00B40A77">
          <w:rPr>
            <w:rStyle w:val="Hyperlink"/>
            <w:color w:val="000000" w:themeColor="text1"/>
            <w:lang w:val="en-US"/>
          </w:rPr>
          <w:t>examination application</w:t>
        </w:r>
      </w:hyperlink>
      <w:r w:rsidRPr="00B40A77">
        <w:rPr>
          <w:color w:val="000000" w:themeColor="text1"/>
        </w:rPr>
        <w:t>—</w:t>
      </w:r>
    </w:p>
    <w:p w14:paraId="41FAB4CD" w14:textId="5AAAB469" w:rsidR="0030786A" w:rsidRPr="00B40A77" w:rsidRDefault="0030786A" w:rsidP="0030786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may be heard and determined on the </w:t>
      </w:r>
      <w:hyperlink w:anchor="_2.1—Definitions" w:history="1">
        <w:r w:rsidRPr="00B40A77">
          <w:rPr>
            <w:rStyle w:val="Hyperlink"/>
            <w:color w:val="000000" w:themeColor="text1"/>
          </w:rPr>
          <w:t>answer charge date</w:t>
        </w:r>
      </w:hyperlink>
      <w:r w:rsidRPr="00B40A77">
        <w:rPr>
          <w:color w:val="000000" w:themeColor="text1"/>
          <w:lang w:val="en-US"/>
        </w:rPr>
        <w:t xml:space="preserve">; but </w:t>
      </w:r>
    </w:p>
    <w:p w14:paraId="49F6F02B" w14:textId="77777777" w:rsidR="0030786A" w:rsidRPr="00B40A77" w:rsidRDefault="0030786A" w:rsidP="0030786A">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will usually be adjourned for hearing on a different date (the </w:t>
      </w:r>
      <w:r w:rsidRPr="00B40A77">
        <w:rPr>
          <w:b/>
          <w:bCs/>
          <w:i/>
          <w:iCs/>
          <w:color w:val="000000" w:themeColor="text1"/>
          <w:lang w:val="en-US"/>
        </w:rPr>
        <w:t>section 112(2) hearing date</w:t>
      </w:r>
      <w:r w:rsidRPr="00B40A77">
        <w:rPr>
          <w:color w:val="000000" w:themeColor="text1"/>
          <w:lang w:val="en-US"/>
        </w:rPr>
        <w:t>).</w:t>
      </w:r>
    </w:p>
    <w:p w14:paraId="216882CE" w14:textId="61D80AC4" w:rsidR="0030786A" w:rsidRPr="00B40A77" w:rsidRDefault="0030786A" w:rsidP="0030786A">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the Court proceeds under subrule (1)(b), on the </w:t>
      </w:r>
      <w:hyperlink w:anchor="_87.1—Oral_examination_application" w:history="1">
        <w:r w:rsidRPr="00B40A77">
          <w:rPr>
            <w:rStyle w:val="Hyperlink"/>
            <w:color w:val="000000" w:themeColor="text1"/>
            <w:lang w:val="en-US"/>
          </w:rPr>
          <w:t>section 112(2) hearing date</w:t>
        </w:r>
      </w:hyperlink>
      <w:r w:rsidRPr="00B40A77">
        <w:rPr>
          <w:color w:val="000000" w:themeColor="text1"/>
        </w:rPr>
        <w:t>—</w:t>
      </w:r>
    </w:p>
    <w:p w14:paraId="416EE2DE" w14:textId="3821ED40" w:rsidR="0030786A" w:rsidRPr="00B40A77" w:rsidRDefault="0030786A" w:rsidP="0030786A">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CF6E09" w:rsidRPr="00B40A77">
        <w:rPr>
          <w:color w:val="000000" w:themeColor="text1"/>
          <w:lang w:val="en-US"/>
        </w:rPr>
        <w:t xml:space="preserve">if the Court grants leave on the </w:t>
      </w:r>
      <w:hyperlink w:anchor="_2.1—Definitions" w:history="1">
        <w:r w:rsidR="00D11EAA" w:rsidRPr="00B40A77">
          <w:rPr>
            <w:rStyle w:val="Hyperlink"/>
            <w:color w:val="000000" w:themeColor="text1"/>
            <w:lang w:val="en-US"/>
          </w:rPr>
          <w:t>committal oral examination application</w:t>
        </w:r>
      </w:hyperlink>
      <w:r w:rsidR="009C592D" w:rsidRPr="00B40A77">
        <w:rPr>
          <w:color w:val="000000" w:themeColor="text1"/>
        </w:rPr>
        <w:t>—</w:t>
      </w:r>
      <w:r w:rsidR="00CF6E09" w:rsidRPr="00B40A77">
        <w:rPr>
          <w:color w:val="000000" w:themeColor="text1"/>
          <w:lang w:val="en-US"/>
        </w:rPr>
        <w:t xml:space="preserve">the Court will usually adjourn the proceeding </w:t>
      </w:r>
      <w:r w:rsidR="00A849FF" w:rsidRPr="00B40A77">
        <w:rPr>
          <w:color w:val="000000" w:themeColor="text1"/>
          <w:lang w:val="en-US"/>
        </w:rPr>
        <w:t>to</w:t>
      </w:r>
      <w:r w:rsidR="00CF6E09" w:rsidRPr="00B40A77">
        <w:rPr>
          <w:color w:val="000000" w:themeColor="text1"/>
          <w:lang w:val="en-US"/>
        </w:rPr>
        <w:t xml:space="preserve"> </w:t>
      </w:r>
      <w:r w:rsidR="00A849FF" w:rsidRPr="00B40A77">
        <w:rPr>
          <w:color w:val="000000" w:themeColor="text1"/>
          <w:lang w:val="en-US"/>
        </w:rPr>
        <w:t xml:space="preserve">a hearing at which </w:t>
      </w:r>
      <w:r w:rsidR="00CF6E09" w:rsidRPr="00B40A77">
        <w:rPr>
          <w:color w:val="000000" w:themeColor="text1"/>
          <w:lang w:val="en-US"/>
        </w:rPr>
        <w:t xml:space="preserve">the witness </w:t>
      </w:r>
      <w:r w:rsidR="00A849FF" w:rsidRPr="00B40A77">
        <w:rPr>
          <w:color w:val="000000" w:themeColor="text1"/>
          <w:lang w:val="en-US"/>
        </w:rPr>
        <w:t xml:space="preserve">is </w:t>
      </w:r>
      <w:r w:rsidR="00CF6E09" w:rsidRPr="00B40A77">
        <w:rPr>
          <w:color w:val="000000" w:themeColor="text1"/>
          <w:lang w:val="en-US"/>
        </w:rPr>
        <w:t xml:space="preserve">or witnesses </w:t>
      </w:r>
      <w:r w:rsidR="00A849FF" w:rsidRPr="00B40A77">
        <w:rPr>
          <w:color w:val="000000" w:themeColor="text1"/>
          <w:lang w:val="en-US"/>
        </w:rPr>
        <w:t xml:space="preserve">are </w:t>
      </w:r>
      <w:r w:rsidR="00CF6E09" w:rsidRPr="00B40A77">
        <w:rPr>
          <w:color w:val="000000" w:themeColor="text1"/>
          <w:lang w:val="en-US"/>
        </w:rPr>
        <w:t xml:space="preserve">to be orally examined and, if a notice governed by rule </w:t>
      </w:r>
      <w:r w:rsidR="00A849FF" w:rsidRPr="00B40A77">
        <w:rPr>
          <w:color w:val="000000" w:themeColor="text1"/>
          <w:lang w:val="en-US"/>
        </w:rPr>
        <w:t>86.1(1) was given, for hearing the assertion that there is no case to answer;</w:t>
      </w:r>
    </w:p>
    <w:p w14:paraId="49188511" w14:textId="382C2AF1" w:rsidR="00A849FF" w:rsidRPr="00B40A77" w:rsidRDefault="00A849FF" w:rsidP="00A849FF">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Court does not grant leave on the </w:t>
      </w:r>
      <w:hyperlink w:anchor="_2.1—Definitions" w:history="1">
        <w:r w:rsidR="00D11EAA" w:rsidRPr="00B40A77">
          <w:rPr>
            <w:rStyle w:val="Hyperlink"/>
            <w:color w:val="000000" w:themeColor="text1"/>
            <w:lang w:val="en-US"/>
          </w:rPr>
          <w:t>committal oral examination application</w:t>
        </w:r>
      </w:hyperlink>
      <w:r w:rsidRPr="00B40A77">
        <w:rPr>
          <w:color w:val="000000" w:themeColor="text1"/>
          <w:lang w:val="en-US"/>
        </w:rPr>
        <w:t xml:space="preserve"> and a </w:t>
      </w:r>
      <w:hyperlink w:anchor="_86.1—Notices_by_defendant" w:history="1">
        <w:r w:rsidR="00696DD9" w:rsidRPr="00B40A77">
          <w:rPr>
            <w:rStyle w:val="Hyperlink"/>
            <w:color w:val="000000" w:themeColor="text1"/>
            <w:lang w:val="en-US"/>
          </w:rPr>
          <w:t xml:space="preserve">no case submission </w:t>
        </w:r>
        <w:r w:rsidRPr="00B40A77">
          <w:rPr>
            <w:rStyle w:val="Hyperlink"/>
            <w:color w:val="000000" w:themeColor="text1"/>
            <w:lang w:val="en-US"/>
          </w:rPr>
          <w:t>notice</w:t>
        </w:r>
      </w:hyperlink>
      <w:r w:rsidRPr="00B40A77">
        <w:rPr>
          <w:color w:val="000000" w:themeColor="text1"/>
          <w:lang w:val="en-US"/>
        </w:rPr>
        <w:t xml:space="preserve"> was given</w:t>
      </w:r>
      <w:r w:rsidR="009C592D" w:rsidRPr="00B40A77">
        <w:rPr>
          <w:color w:val="000000" w:themeColor="text1"/>
        </w:rPr>
        <w:t>—</w:t>
      </w:r>
      <w:r w:rsidRPr="00B40A77">
        <w:rPr>
          <w:color w:val="000000" w:themeColor="text1"/>
          <w:lang w:val="en-US"/>
        </w:rPr>
        <w:t>the Court will usually adjourn the proceeding to a hearing whether there is no case to answer;</w:t>
      </w:r>
    </w:p>
    <w:p w14:paraId="5EC355ED" w14:textId="171B5475" w:rsidR="00A849FF" w:rsidRPr="00B40A77" w:rsidRDefault="00A849FF" w:rsidP="00A849FF">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if the Court does not grant leave on the </w:t>
      </w:r>
      <w:hyperlink w:anchor="_2.1—Definitions" w:history="1">
        <w:r w:rsidR="00D11EAA" w:rsidRPr="00B40A77">
          <w:rPr>
            <w:rStyle w:val="Hyperlink"/>
            <w:color w:val="000000" w:themeColor="text1"/>
            <w:lang w:val="en-US"/>
          </w:rPr>
          <w:t>committal oral examination application</w:t>
        </w:r>
      </w:hyperlink>
      <w:r w:rsidRPr="00B40A77">
        <w:rPr>
          <w:color w:val="000000" w:themeColor="text1"/>
          <w:lang w:val="en-US"/>
        </w:rPr>
        <w:t xml:space="preserve"> and a </w:t>
      </w:r>
      <w:hyperlink w:anchor="_86.1—Notices_by_defendant" w:history="1">
        <w:r w:rsidR="00ED400C" w:rsidRPr="00B40A77">
          <w:rPr>
            <w:rStyle w:val="Hyperlink"/>
            <w:color w:val="000000" w:themeColor="text1"/>
            <w:lang w:val="en-US"/>
          </w:rPr>
          <w:t>no case submission notice</w:t>
        </w:r>
      </w:hyperlink>
      <w:r w:rsidR="00696DD9" w:rsidRPr="00B40A77">
        <w:rPr>
          <w:color w:val="000000" w:themeColor="text1"/>
          <w:lang w:val="en-US"/>
        </w:rPr>
        <w:t xml:space="preserve"> was </w:t>
      </w:r>
      <w:r w:rsidRPr="00B40A77">
        <w:rPr>
          <w:color w:val="000000" w:themeColor="text1"/>
          <w:lang w:val="en-US"/>
        </w:rPr>
        <w:t>not given</w:t>
      </w:r>
      <w:r w:rsidR="009C592D" w:rsidRPr="00B40A77">
        <w:rPr>
          <w:color w:val="000000" w:themeColor="text1"/>
        </w:rPr>
        <w:t>—</w:t>
      </w:r>
      <w:r w:rsidRPr="00B40A77">
        <w:rPr>
          <w:color w:val="000000" w:themeColor="text1"/>
          <w:lang w:val="en-US"/>
        </w:rPr>
        <w:t>the Court will usually adjourn the proceeding to a</w:t>
      </w:r>
      <w:r w:rsidR="00436FC9" w:rsidRPr="00B40A77">
        <w:rPr>
          <w:color w:val="000000" w:themeColor="text1"/>
          <w:lang w:val="en-US"/>
        </w:rPr>
        <w:t xml:space="preserve">n </w:t>
      </w:r>
      <w:hyperlink w:anchor="_2.1—Definitions" w:history="1">
        <w:r w:rsidR="00D11EAA" w:rsidRPr="00B40A77">
          <w:rPr>
            <w:rStyle w:val="Hyperlink"/>
            <w:color w:val="000000" w:themeColor="text1"/>
          </w:rPr>
          <w:t>answer charge appearance</w:t>
        </w:r>
      </w:hyperlink>
      <w:r w:rsidR="00436FC9" w:rsidRPr="00B40A77">
        <w:rPr>
          <w:color w:val="000000" w:themeColor="text1"/>
          <w:lang w:val="en-US"/>
        </w:rPr>
        <w:t>.</w:t>
      </w:r>
    </w:p>
    <w:p w14:paraId="14BE5A42" w14:textId="5683D845" w:rsidR="00EB6394" w:rsidRPr="00B40A77" w:rsidRDefault="00EB6394" w:rsidP="00EB6394">
      <w:pPr>
        <w:pStyle w:val="Heading4"/>
        <w:rPr>
          <w:color w:val="000000" w:themeColor="text1"/>
        </w:rPr>
      </w:pPr>
      <w:bookmarkStart w:id="614" w:name="_87.2—No_case_to"/>
      <w:bookmarkStart w:id="615" w:name="_Toc175239048"/>
      <w:bookmarkEnd w:id="614"/>
      <w:r w:rsidRPr="00B40A77">
        <w:rPr>
          <w:color w:val="000000" w:themeColor="text1"/>
        </w:rPr>
        <w:lastRenderedPageBreak/>
        <w:t>87.2—No case to answer submission</w:t>
      </w:r>
      <w:bookmarkEnd w:id="615"/>
    </w:p>
    <w:p w14:paraId="3BC0E9AB" w14:textId="6FB0AE9F" w:rsidR="00EB6394" w:rsidRPr="00B40A77" w:rsidRDefault="00EB6394" w:rsidP="007F73D0">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defendant or youth has given a </w:t>
      </w:r>
      <w:hyperlink w:anchor="_86.1—Notices_by_defendant" w:history="1">
        <w:r w:rsidR="00ED400C" w:rsidRPr="00B40A77">
          <w:rPr>
            <w:rStyle w:val="Hyperlink"/>
            <w:color w:val="000000" w:themeColor="text1"/>
            <w:lang w:val="en-US"/>
          </w:rPr>
          <w:t>no case submission notice</w:t>
        </w:r>
      </w:hyperlink>
      <w:r w:rsidR="002D3C9D" w:rsidRPr="00B40A77">
        <w:rPr>
          <w:rStyle w:val="CommentReference"/>
          <w:rFonts w:eastAsia="Times New Roman" w:cs="Times New Roman"/>
          <w:color w:val="000000" w:themeColor="text1"/>
        </w:rPr>
        <w:t>,</w:t>
      </w:r>
      <w:r w:rsidR="00696DD9" w:rsidRPr="00B40A77">
        <w:rPr>
          <w:color w:val="000000" w:themeColor="text1"/>
          <w:lang w:val="en-US"/>
        </w:rPr>
        <w:t xml:space="preserve"> at the </w:t>
      </w:r>
      <w:hyperlink w:anchor="_2.1—Definitions" w:history="1">
        <w:r w:rsidR="00D11EAA" w:rsidRPr="00B40A77">
          <w:rPr>
            <w:rStyle w:val="Hyperlink"/>
            <w:color w:val="000000" w:themeColor="text1"/>
          </w:rPr>
          <w:t>answer charge appearance</w:t>
        </w:r>
      </w:hyperlink>
      <w:r w:rsidR="00696DD9" w:rsidRPr="00B40A77">
        <w:rPr>
          <w:color w:val="000000" w:themeColor="text1"/>
          <w:lang w:val="en-US"/>
        </w:rPr>
        <w:t xml:space="preserve"> the proceeding w</w:t>
      </w:r>
      <w:r w:rsidRPr="00B40A77">
        <w:rPr>
          <w:color w:val="000000" w:themeColor="text1"/>
          <w:lang w:val="en-US"/>
        </w:rPr>
        <w:t xml:space="preserve">ill usually be adjourned for hearing on a different date (the </w:t>
      </w:r>
      <w:r w:rsidRPr="00B40A77">
        <w:rPr>
          <w:b/>
          <w:bCs/>
          <w:i/>
          <w:iCs/>
          <w:color w:val="000000" w:themeColor="text1"/>
          <w:lang w:val="en-US"/>
        </w:rPr>
        <w:t>section 11</w:t>
      </w:r>
      <w:r w:rsidR="009A4636" w:rsidRPr="00B40A77">
        <w:rPr>
          <w:b/>
          <w:bCs/>
          <w:i/>
          <w:iCs/>
          <w:color w:val="000000" w:themeColor="text1"/>
          <w:lang w:val="en-US"/>
        </w:rPr>
        <w:t>4</w:t>
      </w:r>
      <w:r w:rsidRPr="00B40A77">
        <w:rPr>
          <w:b/>
          <w:bCs/>
          <w:i/>
          <w:iCs/>
          <w:color w:val="000000" w:themeColor="text1"/>
          <w:lang w:val="en-US"/>
        </w:rPr>
        <w:t>(</w:t>
      </w:r>
      <w:r w:rsidR="009A4636" w:rsidRPr="00B40A77">
        <w:rPr>
          <w:b/>
          <w:bCs/>
          <w:i/>
          <w:iCs/>
          <w:color w:val="000000" w:themeColor="text1"/>
          <w:lang w:val="en-US"/>
        </w:rPr>
        <w:t>1</w:t>
      </w:r>
      <w:r w:rsidR="005B2490" w:rsidRPr="00B40A77">
        <w:rPr>
          <w:b/>
          <w:bCs/>
          <w:i/>
          <w:iCs/>
          <w:color w:val="000000" w:themeColor="text1"/>
          <w:lang w:val="en-US"/>
        </w:rPr>
        <w:t>)</w:t>
      </w:r>
      <w:r w:rsidR="009A4636" w:rsidRPr="00B40A77">
        <w:rPr>
          <w:b/>
          <w:bCs/>
          <w:i/>
          <w:iCs/>
          <w:color w:val="000000" w:themeColor="text1"/>
          <w:lang w:val="en-US"/>
        </w:rPr>
        <w:t>(d)</w:t>
      </w:r>
      <w:r w:rsidRPr="00B40A77">
        <w:rPr>
          <w:b/>
          <w:bCs/>
          <w:i/>
          <w:iCs/>
          <w:color w:val="000000" w:themeColor="text1"/>
          <w:lang w:val="en-US"/>
        </w:rPr>
        <w:t xml:space="preserve"> hearing date</w:t>
      </w:r>
      <w:r w:rsidRPr="00B40A77">
        <w:rPr>
          <w:color w:val="000000" w:themeColor="text1"/>
          <w:lang w:val="en-US"/>
        </w:rPr>
        <w:t>).</w:t>
      </w:r>
    </w:p>
    <w:p w14:paraId="2F61693F" w14:textId="6827EF36" w:rsidR="00EB6394" w:rsidRPr="00B40A77" w:rsidRDefault="00EB6394" w:rsidP="007F73D0">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9A4636" w:rsidRPr="00B40A77">
        <w:rPr>
          <w:color w:val="000000" w:themeColor="text1"/>
          <w:lang w:val="en-US"/>
        </w:rPr>
        <w:t xml:space="preserve">On the </w:t>
      </w:r>
      <w:hyperlink w:anchor="_87.2—No_case_to" w:history="1">
        <w:r w:rsidR="009A4636" w:rsidRPr="00B40A77">
          <w:rPr>
            <w:rStyle w:val="Hyperlink"/>
            <w:color w:val="000000" w:themeColor="text1"/>
          </w:rPr>
          <w:t>section 114(1)(d) hearing date</w:t>
        </w:r>
      </w:hyperlink>
      <w:r w:rsidR="009C592D" w:rsidRPr="00B40A77">
        <w:rPr>
          <w:color w:val="000000" w:themeColor="text1"/>
          <w:lang w:val="en-US"/>
        </w:rPr>
        <w:t>,</w:t>
      </w:r>
      <w:r w:rsidR="009A4636" w:rsidRPr="00B40A77">
        <w:rPr>
          <w:color w:val="000000" w:themeColor="text1"/>
          <w:lang w:val="en-US"/>
        </w:rPr>
        <w:t xml:space="preserve"> the Court will hear and usually determine whether there is a case to answer on the charges.</w:t>
      </w:r>
    </w:p>
    <w:p w14:paraId="57CB6C6D" w14:textId="741E69C5" w:rsidR="009A4636" w:rsidRPr="00B40A77" w:rsidRDefault="009A4636" w:rsidP="009A4636">
      <w:pPr>
        <w:pStyle w:val="Heading4"/>
        <w:rPr>
          <w:color w:val="000000" w:themeColor="text1"/>
        </w:rPr>
      </w:pPr>
      <w:bookmarkStart w:id="616" w:name="_Toc175239049"/>
      <w:r w:rsidRPr="00B40A77">
        <w:rPr>
          <w:color w:val="000000" w:themeColor="text1"/>
        </w:rPr>
        <w:t>87.3—Other cases</w:t>
      </w:r>
      <w:bookmarkEnd w:id="616"/>
    </w:p>
    <w:p w14:paraId="1F5FB5B6" w14:textId="26BCCF95" w:rsidR="005466D4" w:rsidRPr="00B40A77" w:rsidRDefault="009A4636" w:rsidP="009A4636">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5466D4" w:rsidRPr="00B40A77">
        <w:rPr>
          <w:color w:val="000000" w:themeColor="text1"/>
          <w:lang w:val="en-US"/>
        </w:rPr>
        <w:t>This rule applies i</w:t>
      </w:r>
      <w:r w:rsidRPr="00B40A77">
        <w:rPr>
          <w:color w:val="000000" w:themeColor="text1"/>
          <w:lang w:val="en-US"/>
        </w:rPr>
        <w:t xml:space="preserve">f a defendant or youth has not given a </w:t>
      </w:r>
      <w:hyperlink w:anchor="_86.1—Notices_by_defendant" w:history="1">
        <w:r w:rsidR="00ED400C" w:rsidRPr="00B40A77">
          <w:rPr>
            <w:rStyle w:val="Hyperlink"/>
            <w:color w:val="000000" w:themeColor="text1"/>
            <w:lang w:val="en-US"/>
          </w:rPr>
          <w:t>no case submission notice</w:t>
        </w:r>
      </w:hyperlink>
      <w:r w:rsidR="005466D4" w:rsidRPr="00B40A77">
        <w:rPr>
          <w:color w:val="000000" w:themeColor="text1"/>
          <w:lang w:val="en-US"/>
        </w:rPr>
        <w:t xml:space="preserve"> and</w:t>
      </w:r>
      <w:r w:rsidRPr="00B40A77">
        <w:rPr>
          <w:color w:val="000000" w:themeColor="text1"/>
          <w:lang w:val="en-US"/>
        </w:rPr>
        <w:t xml:space="preserve"> the Court has not granted leave on a </w:t>
      </w:r>
      <w:hyperlink w:anchor="_2.1—Definitions" w:history="1">
        <w:r w:rsidR="00D11EAA" w:rsidRPr="00B40A77">
          <w:rPr>
            <w:rStyle w:val="Hyperlink"/>
            <w:color w:val="000000" w:themeColor="text1"/>
            <w:lang w:val="en-US"/>
          </w:rPr>
          <w:t>committal oral examination application</w:t>
        </w:r>
      </w:hyperlink>
      <w:r w:rsidR="005466D4" w:rsidRPr="00B40A77">
        <w:rPr>
          <w:color w:val="000000" w:themeColor="text1"/>
          <w:lang w:val="en-US"/>
        </w:rPr>
        <w:t>.</w:t>
      </w:r>
    </w:p>
    <w:p w14:paraId="18E1A701" w14:textId="347460D2" w:rsidR="009A4636" w:rsidRPr="00B40A77" w:rsidRDefault="005466D4" w:rsidP="009A4636">
      <w:pPr>
        <w:pStyle w:val="Hangindent"/>
        <w:rPr>
          <w:color w:val="000000" w:themeColor="text1"/>
          <w:lang w:val="en-US"/>
        </w:rPr>
      </w:pPr>
      <w:r w:rsidRPr="00B40A77">
        <w:rPr>
          <w:color w:val="000000" w:themeColor="text1"/>
          <w:lang w:val="en-US"/>
        </w:rPr>
        <w:t>(2)</w:t>
      </w:r>
      <w:r w:rsidRPr="00B40A77">
        <w:rPr>
          <w:color w:val="000000" w:themeColor="text1"/>
          <w:lang w:val="en-US"/>
        </w:rPr>
        <w:tab/>
        <w:t>If t</w:t>
      </w:r>
      <w:r w:rsidR="009A4636" w:rsidRPr="00B40A77">
        <w:rPr>
          <w:color w:val="000000" w:themeColor="text1"/>
          <w:lang w:val="en-US"/>
        </w:rPr>
        <w:t>he defendant or youth do</w:t>
      </w:r>
      <w:r w:rsidRPr="00B40A77">
        <w:rPr>
          <w:color w:val="000000" w:themeColor="text1"/>
          <w:lang w:val="en-US"/>
        </w:rPr>
        <w:t>e</w:t>
      </w:r>
      <w:r w:rsidR="009A4636" w:rsidRPr="00B40A77">
        <w:rPr>
          <w:color w:val="000000" w:themeColor="text1"/>
          <w:lang w:val="en-US"/>
        </w:rPr>
        <w:t>s not plead guilty</w:t>
      </w:r>
      <w:r w:rsidR="007F73D0" w:rsidRPr="00B40A77">
        <w:rPr>
          <w:color w:val="000000" w:themeColor="text1"/>
          <w:lang w:val="en-US"/>
        </w:rPr>
        <w:t xml:space="preserve"> at </w:t>
      </w:r>
      <w:r w:rsidR="009A4636" w:rsidRPr="00B40A77">
        <w:rPr>
          <w:color w:val="000000" w:themeColor="text1"/>
          <w:lang w:val="en-US"/>
        </w:rPr>
        <w:t xml:space="preserve">the </w:t>
      </w:r>
      <w:hyperlink w:anchor="_2.1—Definitions" w:history="1">
        <w:r w:rsidR="00D11EAA" w:rsidRPr="00B40A77">
          <w:rPr>
            <w:rStyle w:val="Hyperlink"/>
            <w:color w:val="000000" w:themeColor="text1"/>
          </w:rPr>
          <w:t>answer charge appearance</w:t>
        </w:r>
      </w:hyperlink>
      <w:r w:rsidR="005B2490" w:rsidRPr="00B40A77">
        <w:rPr>
          <w:color w:val="000000" w:themeColor="text1"/>
        </w:rPr>
        <w:t>,</w:t>
      </w:r>
      <w:r w:rsidR="009A4636" w:rsidRPr="00B40A77">
        <w:rPr>
          <w:color w:val="000000" w:themeColor="text1"/>
          <w:lang w:val="en-US"/>
        </w:rPr>
        <w:t xml:space="preserve"> the Cou</w:t>
      </w:r>
      <w:r w:rsidRPr="00B40A77">
        <w:rPr>
          <w:color w:val="000000" w:themeColor="text1"/>
          <w:lang w:val="en-US"/>
        </w:rPr>
        <w:t>r</w:t>
      </w:r>
      <w:r w:rsidR="009A4636" w:rsidRPr="00B40A77">
        <w:rPr>
          <w:color w:val="000000" w:themeColor="text1"/>
          <w:lang w:val="en-US"/>
        </w:rPr>
        <w:t>t will usually proceed to hear and determine whether the defendant or youth should be committed for trial.</w:t>
      </w:r>
    </w:p>
    <w:p w14:paraId="2B2488C7" w14:textId="6FB31C06" w:rsidR="0030786A" w:rsidRPr="00B40A77" w:rsidRDefault="005466D4" w:rsidP="007F73D0">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If the defendant or youth pleads guilty, at the </w:t>
      </w:r>
      <w:hyperlink w:anchor="_2.1—Definitions" w:history="1">
        <w:r w:rsidR="00D11EAA" w:rsidRPr="00B40A77">
          <w:rPr>
            <w:rStyle w:val="Hyperlink"/>
            <w:color w:val="000000" w:themeColor="text1"/>
          </w:rPr>
          <w:t>answer charge appearance</w:t>
        </w:r>
      </w:hyperlink>
      <w:r w:rsidR="005B2490" w:rsidRPr="00B40A77">
        <w:rPr>
          <w:color w:val="000000" w:themeColor="text1"/>
        </w:rPr>
        <w:t>,</w:t>
      </w:r>
      <w:r w:rsidRPr="00B40A77">
        <w:rPr>
          <w:color w:val="000000" w:themeColor="text1"/>
          <w:lang w:val="en-US"/>
        </w:rPr>
        <w:t xml:space="preserve"> the Court will usually proceed to determine whether the defendant or youth should be committed for sentence or should be sentenced by the Court.</w:t>
      </w:r>
    </w:p>
    <w:p w14:paraId="7F903512" w14:textId="11523D2A" w:rsidR="00B319F1" w:rsidRPr="00B40A77" w:rsidRDefault="00386DCC" w:rsidP="00B319F1">
      <w:pPr>
        <w:pStyle w:val="Heading4"/>
        <w:rPr>
          <w:color w:val="000000" w:themeColor="text1"/>
        </w:rPr>
      </w:pPr>
      <w:bookmarkStart w:id="617" w:name="_Toc175239050"/>
      <w:r w:rsidRPr="00B40A77">
        <w:rPr>
          <w:color w:val="000000" w:themeColor="text1"/>
        </w:rPr>
        <w:t>8</w:t>
      </w:r>
      <w:r w:rsidR="0016589E" w:rsidRPr="00B40A77">
        <w:rPr>
          <w:color w:val="000000" w:themeColor="text1"/>
        </w:rPr>
        <w:t>7</w:t>
      </w:r>
      <w:r w:rsidR="00B319F1" w:rsidRPr="00B40A77">
        <w:rPr>
          <w:color w:val="000000" w:themeColor="text1"/>
        </w:rPr>
        <w:t>.</w:t>
      </w:r>
      <w:r w:rsidR="005466D4" w:rsidRPr="00B40A77">
        <w:rPr>
          <w:color w:val="000000" w:themeColor="text1"/>
        </w:rPr>
        <w:t>4</w:t>
      </w:r>
      <w:r w:rsidR="00B319F1" w:rsidRPr="00B40A77">
        <w:rPr>
          <w:color w:val="000000" w:themeColor="text1"/>
        </w:rPr>
        <w:t>—Record of order for committal</w:t>
      </w:r>
      <w:bookmarkEnd w:id="617"/>
    </w:p>
    <w:p w14:paraId="4D505DA6" w14:textId="4E04401D" w:rsidR="00B319F1" w:rsidRPr="00B40A77" w:rsidRDefault="00B319F1" w:rsidP="00763DD0">
      <w:pPr>
        <w:pStyle w:val="Hangindent"/>
        <w:keepNext/>
        <w:ind w:left="567" w:firstLine="0"/>
        <w:rPr>
          <w:color w:val="000000" w:themeColor="text1"/>
          <w:lang w:val="en-US"/>
        </w:rPr>
      </w:pPr>
      <w:r w:rsidRPr="00B40A77">
        <w:rPr>
          <w:color w:val="000000" w:themeColor="text1"/>
          <w:lang w:val="en-US"/>
        </w:rPr>
        <w:t xml:space="preserve">The written </w:t>
      </w:r>
      <w:r w:rsidR="00247A21" w:rsidRPr="00B40A77">
        <w:rPr>
          <w:color w:val="000000" w:themeColor="text1"/>
          <w:lang w:val="en-US"/>
        </w:rPr>
        <w:t>record of an</w:t>
      </w:r>
      <w:r w:rsidRPr="00B40A77">
        <w:rPr>
          <w:color w:val="000000" w:themeColor="text1"/>
          <w:lang w:val="en-US"/>
        </w:rPr>
        <w:t xml:space="preserve"> order </w:t>
      </w:r>
      <w:r w:rsidR="00247A21" w:rsidRPr="00B40A77">
        <w:rPr>
          <w:color w:val="000000" w:themeColor="text1"/>
          <w:lang w:val="en-US"/>
        </w:rPr>
        <w:t xml:space="preserve">of committal for </w:t>
      </w:r>
      <w:hyperlink w:anchor="_2.1—Definitions" w:history="1">
        <w:r w:rsidR="00AB0539" w:rsidRPr="00B40A77">
          <w:rPr>
            <w:rStyle w:val="Hyperlink"/>
            <w:color w:val="000000" w:themeColor="text1"/>
            <w:lang w:val="en-US"/>
          </w:rPr>
          <w:t>trial</w:t>
        </w:r>
      </w:hyperlink>
      <w:r w:rsidR="00247A21" w:rsidRPr="00B40A77">
        <w:rPr>
          <w:color w:val="000000" w:themeColor="text1"/>
          <w:lang w:val="en-US"/>
        </w:rPr>
        <w:t xml:space="preserve"> or </w:t>
      </w:r>
      <w:hyperlink w:anchor="_2.1—Definitions" w:history="1">
        <w:r w:rsidR="00596ADA" w:rsidRPr="00B40A77">
          <w:rPr>
            <w:rStyle w:val="Hyperlink"/>
            <w:color w:val="000000" w:themeColor="text1"/>
          </w:rPr>
          <w:t>sentence</w:t>
        </w:r>
      </w:hyperlink>
      <w:r w:rsidR="00247A21" w:rsidRPr="00B40A77">
        <w:rPr>
          <w:color w:val="000000" w:themeColor="text1"/>
          <w:lang w:val="en-US"/>
        </w:rPr>
        <w:t xml:space="preserve"> </w:t>
      </w:r>
      <w:r w:rsidRPr="00B40A77">
        <w:rPr>
          <w:color w:val="000000" w:themeColor="text1"/>
          <w:lang w:val="en-US"/>
        </w:rPr>
        <w:t>must be in the prescribed form.</w:t>
      </w:r>
    </w:p>
    <w:p w14:paraId="1F2599ED" w14:textId="0A75B661" w:rsidR="00B319F1" w:rsidRPr="00B40A77" w:rsidRDefault="00B319F1" w:rsidP="008238EB">
      <w:pPr>
        <w:pStyle w:val="NoteHeader"/>
        <w:keepNext/>
        <w:ind w:left="567"/>
        <w:rPr>
          <w:color w:val="000000" w:themeColor="text1"/>
        </w:rPr>
      </w:pPr>
      <w:r w:rsidRPr="00B40A77">
        <w:rPr>
          <w:color w:val="000000" w:themeColor="text1"/>
        </w:rPr>
        <w:t>Prescribed form—</w:t>
      </w:r>
    </w:p>
    <w:p w14:paraId="58859C53" w14:textId="141C724D" w:rsidR="00247A21" w:rsidRPr="00B40A77" w:rsidRDefault="00247A21" w:rsidP="00763DD0">
      <w:pPr>
        <w:pStyle w:val="NoteText"/>
        <w:keepNext/>
        <w:ind w:left="851"/>
        <w:rPr>
          <w:color w:val="000000" w:themeColor="text1"/>
        </w:rPr>
      </w:pPr>
      <w:r w:rsidRPr="00B40A77">
        <w:rPr>
          <w:color w:val="000000" w:themeColor="text1"/>
        </w:rPr>
        <w:t xml:space="preserve">Form </w:t>
      </w:r>
      <w:r w:rsidR="006D25C3" w:rsidRPr="00B40A77">
        <w:rPr>
          <w:color w:val="000000" w:themeColor="text1"/>
        </w:rPr>
        <w:t>123</w:t>
      </w:r>
      <w:r w:rsidRPr="00B40A77">
        <w:rPr>
          <w:color w:val="000000" w:themeColor="text1"/>
        </w:rPr>
        <w:t xml:space="preserve"> </w:t>
      </w:r>
      <w:hyperlink r:id="rId174" w:history="1">
        <w:r w:rsidRPr="00B40A77">
          <w:rPr>
            <w:rStyle w:val="Hyperlink"/>
            <w:color w:val="000000" w:themeColor="text1"/>
          </w:rPr>
          <w:t>Record of Outcome</w:t>
        </w:r>
      </w:hyperlink>
    </w:p>
    <w:p w14:paraId="42196FFD" w14:textId="0851FBE4" w:rsidR="00B43D0C" w:rsidRPr="00B40A77" w:rsidRDefault="00386DCC" w:rsidP="00B43D0C">
      <w:pPr>
        <w:pStyle w:val="Heading4"/>
        <w:rPr>
          <w:color w:val="000000" w:themeColor="text1"/>
        </w:rPr>
      </w:pPr>
      <w:bookmarkStart w:id="618" w:name="_Toc175239051"/>
      <w:r w:rsidRPr="00B40A77">
        <w:rPr>
          <w:color w:val="000000" w:themeColor="text1"/>
        </w:rPr>
        <w:t>8</w:t>
      </w:r>
      <w:r w:rsidR="0016589E" w:rsidRPr="00B40A77">
        <w:rPr>
          <w:color w:val="000000" w:themeColor="text1"/>
        </w:rPr>
        <w:t>7</w:t>
      </w:r>
      <w:r w:rsidR="00B319F1" w:rsidRPr="00B40A77">
        <w:rPr>
          <w:color w:val="000000" w:themeColor="text1"/>
        </w:rPr>
        <w:t>.</w:t>
      </w:r>
      <w:r w:rsidR="005466D4" w:rsidRPr="00B40A77">
        <w:rPr>
          <w:color w:val="000000" w:themeColor="text1"/>
        </w:rPr>
        <w:t>5</w:t>
      </w:r>
      <w:r w:rsidR="00B43D0C" w:rsidRPr="00B40A77">
        <w:rPr>
          <w:color w:val="000000" w:themeColor="text1"/>
        </w:rPr>
        <w:t>—</w:t>
      </w:r>
      <w:r w:rsidR="00503480" w:rsidRPr="00B40A77">
        <w:rPr>
          <w:color w:val="000000" w:themeColor="text1"/>
        </w:rPr>
        <w:t>Notices to</w:t>
      </w:r>
      <w:r w:rsidR="00B43D0C" w:rsidRPr="00B40A77">
        <w:rPr>
          <w:color w:val="000000" w:themeColor="text1"/>
        </w:rPr>
        <w:t xml:space="preserve"> defendant or youth</w:t>
      </w:r>
      <w:bookmarkEnd w:id="618"/>
    </w:p>
    <w:p w14:paraId="64EA0D75" w14:textId="2259BEAE" w:rsidR="00B43D0C" w:rsidRPr="00B40A77" w:rsidRDefault="00B43D0C" w:rsidP="00763DD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503480" w:rsidRPr="00B40A77">
        <w:rPr>
          <w:color w:val="000000" w:themeColor="text1"/>
          <w:lang w:val="en-US"/>
        </w:rPr>
        <w:t xml:space="preserve">If a defendant or youth is committed for </w:t>
      </w:r>
      <w:hyperlink w:anchor="_2.1—Definitions" w:history="1">
        <w:r w:rsidR="00AB0539" w:rsidRPr="00B40A77">
          <w:rPr>
            <w:rStyle w:val="Hyperlink"/>
            <w:color w:val="000000" w:themeColor="text1"/>
            <w:lang w:val="en-US"/>
          </w:rPr>
          <w:t>trial</w:t>
        </w:r>
      </w:hyperlink>
      <w:r w:rsidR="00503480" w:rsidRPr="00B40A77">
        <w:rPr>
          <w:color w:val="000000" w:themeColor="text1"/>
          <w:lang w:val="en-US"/>
        </w:rPr>
        <w:t xml:space="preserve">, the written </w:t>
      </w:r>
      <w:r w:rsidR="0026617E" w:rsidRPr="00B40A77">
        <w:rPr>
          <w:color w:val="000000" w:themeColor="text1"/>
          <w:lang w:val="en-US"/>
        </w:rPr>
        <w:t xml:space="preserve">statement </w:t>
      </w:r>
      <w:r w:rsidR="00503480" w:rsidRPr="00B40A77">
        <w:rPr>
          <w:color w:val="000000" w:themeColor="text1"/>
          <w:lang w:val="en-US"/>
        </w:rPr>
        <w:t>required to be provided to the</w:t>
      </w:r>
      <w:r w:rsidRPr="00B40A77">
        <w:rPr>
          <w:color w:val="000000" w:themeColor="text1"/>
          <w:lang w:val="en-US"/>
        </w:rPr>
        <w:t xml:space="preserve"> </w:t>
      </w:r>
      <w:r w:rsidR="00503480" w:rsidRPr="00B40A77">
        <w:rPr>
          <w:color w:val="000000" w:themeColor="text1"/>
          <w:lang w:val="en-US"/>
        </w:rPr>
        <w:t>defendant or youth under section</w:t>
      </w:r>
      <w:r w:rsidR="003F313A" w:rsidRPr="00B40A77">
        <w:rPr>
          <w:color w:val="000000" w:themeColor="text1"/>
          <w:lang w:val="en-US"/>
        </w:rPr>
        <w:t> </w:t>
      </w:r>
      <w:r w:rsidR="00503480" w:rsidRPr="00B40A77">
        <w:rPr>
          <w:color w:val="000000" w:themeColor="text1"/>
          <w:lang w:val="en-US"/>
        </w:rPr>
        <w:t>115(4</w:t>
      </w:r>
      <w:r w:rsidRPr="00B40A77">
        <w:rPr>
          <w:color w:val="000000" w:themeColor="text1"/>
          <w:lang w:val="en-US"/>
        </w:rPr>
        <w:t>) of the Procedure Act must be in the prescribed form.</w:t>
      </w:r>
    </w:p>
    <w:p w14:paraId="02132576" w14:textId="77777777" w:rsidR="00B43D0C" w:rsidRPr="00B40A77" w:rsidRDefault="00B43D0C" w:rsidP="008238EB">
      <w:pPr>
        <w:pStyle w:val="NoteHeader"/>
        <w:keepNext/>
        <w:rPr>
          <w:color w:val="000000" w:themeColor="text1"/>
        </w:rPr>
      </w:pPr>
      <w:r w:rsidRPr="00B40A77">
        <w:rPr>
          <w:color w:val="000000" w:themeColor="text1"/>
        </w:rPr>
        <w:t>Prescribed form—</w:t>
      </w:r>
    </w:p>
    <w:p w14:paraId="2CF435CF" w14:textId="67F4D05B" w:rsidR="00503480" w:rsidRPr="00B40A77" w:rsidRDefault="00B43D0C" w:rsidP="008074FE">
      <w:pPr>
        <w:pStyle w:val="NoteText"/>
        <w:rPr>
          <w:color w:val="000000" w:themeColor="text1"/>
          <w:lang w:val="en-US"/>
        </w:rPr>
      </w:pPr>
      <w:r w:rsidRPr="00B40A77">
        <w:rPr>
          <w:color w:val="000000" w:themeColor="text1"/>
        </w:rPr>
        <w:t>F</w:t>
      </w:r>
      <w:r w:rsidR="00503480" w:rsidRPr="00B40A77">
        <w:rPr>
          <w:color w:val="000000" w:themeColor="text1"/>
        </w:rPr>
        <w:t>orm 124</w:t>
      </w:r>
      <w:r w:rsidRPr="00B40A77">
        <w:rPr>
          <w:color w:val="000000" w:themeColor="text1"/>
        </w:rPr>
        <w:t xml:space="preserve"> </w:t>
      </w:r>
      <w:hyperlink r:id="rId175" w:history="1">
        <w:r w:rsidR="00503480" w:rsidRPr="00B40A77">
          <w:rPr>
            <w:rStyle w:val="Hyperlink"/>
            <w:color w:val="000000" w:themeColor="text1"/>
            <w:lang w:val="en-US"/>
          </w:rPr>
          <w:t>Notice</w:t>
        </w:r>
        <w:r w:rsidR="00503480" w:rsidRPr="00B40A77">
          <w:rPr>
            <w:rStyle w:val="Hyperlink"/>
            <w:color w:val="000000" w:themeColor="text1"/>
          </w:rPr>
          <w:t xml:space="preserve"> to </w:t>
        </w:r>
        <w:r w:rsidR="00C87587" w:rsidRPr="00B40A77">
          <w:rPr>
            <w:rStyle w:val="Hyperlink"/>
            <w:color w:val="000000" w:themeColor="text1"/>
          </w:rPr>
          <w:t>D</w:t>
        </w:r>
        <w:r w:rsidR="00503480" w:rsidRPr="00B40A77">
          <w:rPr>
            <w:rStyle w:val="Hyperlink"/>
            <w:color w:val="000000" w:themeColor="text1"/>
          </w:rPr>
          <w:t xml:space="preserve">efendant </w:t>
        </w:r>
        <w:r w:rsidR="00007FB5" w:rsidRPr="00B40A77">
          <w:rPr>
            <w:rStyle w:val="Hyperlink"/>
            <w:color w:val="000000" w:themeColor="text1"/>
          </w:rPr>
          <w:t xml:space="preserve">or Youth </w:t>
        </w:r>
        <w:r w:rsidR="00C87587" w:rsidRPr="00B40A77">
          <w:rPr>
            <w:rStyle w:val="Hyperlink"/>
            <w:color w:val="000000" w:themeColor="text1"/>
          </w:rPr>
          <w:t>C</w:t>
        </w:r>
        <w:r w:rsidR="00503480" w:rsidRPr="00B40A77">
          <w:rPr>
            <w:rStyle w:val="Hyperlink"/>
            <w:color w:val="000000" w:themeColor="text1"/>
          </w:rPr>
          <w:t xml:space="preserve">ommitted for </w:t>
        </w:r>
        <w:r w:rsidR="00C87587" w:rsidRPr="00B40A77">
          <w:rPr>
            <w:rStyle w:val="Hyperlink"/>
            <w:color w:val="000000" w:themeColor="text1"/>
          </w:rPr>
          <w:t>T</w:t>
        </w:r>
        <w:r w:rsidR="00503480" w:rsidRPr="00B40A77">
          <w:rPr>
            <w:rStyle w:val="Hyperlink"/>
            <w:color w:val="000000" w:themeColor="text1"/>
          </w:rPr>
          <w:t>rial in Supreme Court or District Court</w:t>
        </w:r>
      </w:hyperlink>
    </w:p>
    <w:p w14:paraId="76029133" w14:textId="35EA2746" w:rsidR="00503480" w:rsidRPr="00B40A77" w:rsidRDefault="00503480" w:rsidP="00037437">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a defendant or youth is committed for </w:t>
      </w:r>
      <w:hyperlink w:anchor="_2.1—Definitions" w:history="1">
        <w:r w:rsidR="00596ADA" w:rsidRPr="00B40A77">
          <w:rPr>
            <w:rStyle w:val="Hyperlink"/>
            <w:color w:val="000000" w:themeColor="text1"/>
          </w:rPr>
          <w:t>sentence</w:t>
        </w:r>
      </w:hyperlink>
      <w:r w:rsidRPr="00B40A77">
        <w:rPr>
          <w:color w:val="000000" w:themeColor="text1"/>
          <w:lang w:val="en-US"/>
        </w:rPr>
        <w:t xml:space="preserve">, </w:t>
      </w:r>
      <w:r w:rsidR="0026617E" w:rsidRPr="00B40A77">
        <w:rPr>
          <w:color w:val="000000" w:themeColor="text1"/>
          <w:lang w:val="en-US"/>
        </w:rPr>
        <w:t>a notice must</w:t>
      </w:r>
      <w:r w:rsidRPr="00B40A77">
        <w:rPr>
          <w:color w:val="000000" w:themeColor="text1"/>
          <w:lang w:val="en-US"/>
        </w:rPr>
        <w:t xml:space="preserve"> be provided to the defendant or youth in the prescribed form.</w:t>
      </w:r>
    </w:p>
    <w:p w14:paraId="5B895B3F" w14:textId="77777777" w:rsidR="00503480" w:rsidRPr="00B40A77" w:rsidRDefault="00503480" w:rsidP="008238EB">
      <w:pPr>
        <w:pStyle w:val="NoteHeader"/>
        <w:keepNext/>
        <w:rPr>
          <w:color w:val="000000" w:themeColor="text1"/>
        </w:rPr>
      </w:pPr>
      <w:r w:rsidRPr="00B40A77">
        <w:rPr>
          <w:color w:val="000000" w:themeColor="text1"/>
        </w:rPr>
        <w:t>Prescribed form—</w:t>
      </w:r>
    </w:p>
    <w:p w14:paraId="74C613C9" w14:textId="72F177B3" w:rsidR="00EB659D" w:rsidRPr="00B40A77" w:rsidRDefault="00503480" w:rsidP="008074FE">
      <w:pPr>
        <w:pStyle w:val="NoteText"/>
        <w:rPr>
          <w:color w:val="000000" w:themeColor="text1"/>
          <w:lang w:val="en-US"/>
        </w:rPr>
      </w:pPr>
      <w:r w:rsidRPr="00B40A77">
        <w:rPr>
          <w:color w:val="000000" w:themeColor="text1"/>
        </w:rPr>
        <w:t>Form 12</w:t>
      </w:r>
      <w:r w:rsidR="0026617E" w:rsidRPr="00B40A77">
        <w:rPr>
          <w:color w:val="000000" w:themeColor="text1"/>
        </w:rPr>
        <w:t>5</w:t>
      </w:r>
      <w:r w:rsidRPr="00B40A77">
        <w:rPr>
          <w:color w:val="000000" w:themeColor="text1"/>
        </w:rPr>
        <w:t xml:space="preserve"> </w:t>
      </w:r>
      <w:hyperlink r:id="rId176" w:history="1">
        <w:r w:rsidRPr="00B40A77">
          <w:rPr>
            <w:rStyle w:val="Hyperlink"/>
            <w:color w:val="000000" w:themeColor="text1"/>
            <w:lang w:val="en-US"/>
          </w:rPr>
          <w:t>Notice</w:t>
        </w:r>
        <w:r w:rsidRPr="00B40A77">
          <w:rPr>
            <w:rStyle w:val="Hyperlink"/>
            <w:color w:val="000000" w:themeColor="text1"/>
          </w:rPr>
          <w:t xml:space="preserve"> to </w:t>
        </w:r>
        <w:r w:rsidR="00C4214D" w:rsidRPr="00B40A77">
          <w:rPr>
            <w:rStyle w:val="Hyperlink"/>
            <w:color w:val="000000" w:themeColor="text1"/>
          </w:rPr>
          <w:t>D</w:t>
        </w:r>
        <w:r w:rsidRPr="00B40A77">
          <w:rPr>
            <w:rStyle w:val="Hyperlink"/>
            <w:color w:val="000000" w:themeColor="text1"/>
          </w:rPr>
          <w:t>efendant</w:t>
        </w:r>
        <w:r w:rsidR="00711F17" w:rsidRPr="00B40A77">
          <w:rPr>
            <w:rStyle w:val="Hyperlink"/>
            <w:color w:val="000000" w:themeColor="text1"/>
          </w:rPr>
          <w:t xml:space="preserve"> </w:t>
        </w:r>
        <w:r w:rsidR="00007FB5" w:rsidRPr="00B40A77">
          <w:rPr>
            <w:rStyle w:val="Hyperlink"/>
            <w:color w:val="000000" w:themeColor="text1"/>
          </w:rPr>
          <w:t xml:space="preserve">or Youth </w:t>
        </w:r>
        <w:r w:rsidR="00C4214D" w:rsidRPr="00B40A77">
          <w:rPr>
            <w:rStyle w:val="Hyperlink"/>
            <w:color w:val="000000" w:themeColor="text1"/>
          </w:rPr>
          <w:t>C</w:t>
        </w:r>
        <w:r w:rsidR="0026617E" w:rsidRPr="00B40A77">
          <w:rPr>
            <w:rStyle w:val="Hyperlink"/>
            <w:color w:val="000000" w:themeColor="text1"/>
          </w:rPr>
          <w:t xml:space="preserve">ommitted for </w:t>
        </w:r>
        <w:r w:rsidR="00C4214D" w:rsidRPr="00B40A77">
          <w:rPr>
            <w:rStyle w:val="Hyperlink"/>
            <w:color w:val="000000" w:themeColor="text1"/>
          </w:rPr>
          <w:t>S</w:t>
        </w:r>
        <w:r w:rsidR="0026617E" w:rsidRPr="00B40A77">
          <w:rPr>
            <w:rStyle w:val="Hyperlink"/>
            <w:color w:val="000000" w:themeColor="text1"/>
          </w:rPr>
          <w:t>entence</w:t>
        </w:r>
        <w:r w:rsidRPr="00B40A77">
          <w:rPr>
            <w:rStyle w:val="Hyperlink"/>
            <w:color w:val="000000" w:themeColor="text1"/>
          </w:rPr>
          <w:t xml:space="preserve"> in Supreme Court or District Court</w:t>
        </w:r>
      </w:hyperlink>
    </w:p>
    <w:p w14:paraId="6295AEC9" w14:textId="2ACD3118" w:rsidR="00342112" w:rsidRPr="00B40A77" w:rsidRDefault="00342112" w:rsidP="00BE23A0">
      <w:pPr>
        <w:pStyle w:val="Heading2"/>
        <w:keepNext/>
        <w:rPr>
          <w:color w:val="000000" w:themeColor="text1"/>
        </w:rPr>
      </w:pPr>
      <w:bookmarkStart w:id="619" w:name="_Toc175239052"/>
      <w:r w:rsidRPr="00B40A77">
        <w:rPr>
          <w:color w:val="000000" w:themeColor="text1"/>
        </w:rPr>
        <w:t xml:space="preserve">Part </w:t>
      </w:r>
      <w:r w:rsidR="0016589E" w:rsidRPr="00B40A77">
        <w:rPr>
          <w:color w:val="000000" w:themeColor="text1"/>
        </w:rPr>
        <w:t>8</w:t>
      </w:r>
      <w:r w:rsidRPr="00B40A77">
        <w:rPr>
          <w:color w:val="000000" w:themeColor="text1"/>
        </w:rPr>
        <w:t xml:space="preserve">—Referral to Higher Court if </w:t>
      </w:r>
      <w:r w:rsidR="00C5388F" w:rsidRPr="00B40A77">
        <w:rPr>
          <w:color w:val="000000" w:themeColor="text1"/>
        </w:rPr>
        <w:t>Federal</w:t>
      </w:r>
      <w:r w:rsidRPr="00B40A77">
        <w:rPr>
          <w:color w:val="000000" w:themeColor="text1"/>
        </w:rPr>
        <w:t xml:space="preserve"> offence</w:t>
      </w:r>
      <w:r w:rsidR="00C5388F" w:rsidRPr="00B40A77">
        <w:rPr>
          <w:color w:val="000000" w:themeColor="text1"/>
        </w:rPr>
        <w:t>: Magistrates Court</w:t>
      </w:r>
      <w:bookmarkEnd w:id="619"/>
    </w:p>
    <w:p w14:paraId="7E6F6F3E" w14:textId="1EE99B54" w:rsidR="00342112" w:rsidRPr="00B40A77" w:rsidRDefault="00386DCC" w:rsidP="00342112">
      <w:pPr>
        <w:pStyle w:val="Heading4"/>
        <w:rPr>
          <w:color w:val="000000" w:themeColor="text1"/>
        </w:rPr>
      </w:pPr>
      <w:bookmarkStart w:id="620" w:name="_Toc175239053"/>
      <w:r w:rsidRPr="00B40A77">
        <w:rPr>
          <w:color w:val="000000" w:themeColor="text1"/>
        </w:rPr>
        <w:t>8</w:t>
      </w:r>
      <w:r w:rsidR="0016589E" w:rsidRPr="00B40A77">
        <w:rPr>
          <w:color w:val="000000" w:themeColor="text1"/>
        </w:rPr>
        <w:t>8</w:t>
      </w:r>
      <w:r w:rsidR="00C5388F" w:rsidRPr="00B40A77">
        <w:rPr>
          <w:color w:val="000000" w:themeColor="text1"/>
        </w:rPr>
        <w:t>.1</w:t>
      </w:r>
      <w:r w:rsidR="00342112" w:rsidRPr="00B40A77">
        <w:rPr>
          <w:color w:val="000000" w:themeColor="text1"/>
        </w:rPr>
        <w:t>—Referral to Higher Court</w:t>
      </w:r>
      <w:bookmarkEnd w:id="620"/>
    </w:p>
    <w:p w14:paraId="140B9ABB" w14:textId="348A14F9" w:rsidR="00342112" w:rsidRPr="00B40A77" w:rsidRDefault="00342112" w:rsidP="00037437">
      <w:pPr>
        <w:pStyle w:val="IndentedPara"/>
        <w:keepNext/>
        <w:rPr>
          <w:color w:val="000000" w:themeColor="text1"/>
        </w:rPr>
      </w:pPr>
      <w:r w:rsidRPr="00B40A77">
        <w:rPr>
          <w:color w:val="000000" w:themeColor="text1"/>
        </w:rPr>
        <w:t xml:space="preserve">The written record of an order </w:t>
      </w:r>
      <w:r w:rsidR="003D0E81" w:rsidRPr="00B40A77">
        <w:rPr>
          <w:rFonts w:cs="Arial"/>
          <w:color w:val="000000" w:themeColor="text1"/>
        </w:rPr>
        <w:t>that a</w:t>
      </w:r>
      <w:r w:rsidR="00C5388F" w:rsidRPr="00B40A77">
        <w:rPr>
          <w:rFonts w:cs="Arial"/>
          <w:color w:val="000000" w:themeColor="text1"/>
        </w:rPr>
        <w:t xml:space="preserve"> proceeding be referred to a </w:t>
      </w:r>
      <w:hyperlink w:anchor="_2.1—Definitions" w:history="1">
        <w:r w:rsidR="00E83325" w:rsidRPr="00B40A77">
          <w:rPr>
            <w:rStyle w:val="Hyperlink"/>
            <w:color w:val="000000" w:themeColor="text1"/>
          </w:rPr>
          <w:t>Higher Court</w:t>
        </w:r>
      </w:hyperlink>
      <w:r w:rsidR="00C5388F" w:rsidRPr="00B40A77">
        <w:rPr>
          <w:rFonts w:cs="Arial"/>
          <w:color w:val="000000" w:themeColor="text1"/>
        </w:rPr>
        <w:t xml:space="preserve"> for determination as to the </w:t>
      </w:r>
      <w:r w:rsidR="00C5388F" w:rsidRPr="00B40A77">
        <w:rPr>
          <w:rFonts w:eastAsia="Arial" w:cs="Arial"/>
          <w:color w:val="000000" w:themeColor="text1"/>
          <w:szCs w:val="24"/>
        </w:rPr>
        <w:t>defendant</w:t>
      </w:r>
      <w:r w:rsidR="00C5388F" w:rsidRPr="00B40A77">
        <w:rPr>
          <w:rFonts w:cs="Arial"/>
          <w:color w:val="000000" w:themeColor="text1"/>
        </w:rPr>
        <w:t xml:space="preserve">’s fitness to be tried </w:t>
      </w:r>
      <w:r w:rsidRPr="00B40A77">
        <w:rPr>
          <w:color w:val="000000" w:themeColor="text1"/>
        </w:rPr>
        <w:t xml:space="preserve">under </w:t>
      </w:r>
      <w:r w:rsidR="00C5388F" w:rsidRPr="00B40A77">
        <w:rPr>
          <w:color w:val="000000" w:themeColor="text1"/>
        </w:rPr>
        <w:t>section</w:t>
      </w:r>
      <w:r w:rsidR="003F313A" w:rsidRPr="00B40A77">
        <w:rPr>
          <w:color w:val="000000" w:themeColor="text1"/>
        </w:rPr>
        <w:t> </w:t>
      </w:r>
      <w:r w:rsidR="00C5388F" w:rsidRPr="00B40A77">
        <w:rPr>
          <w:color w:val="000000" w:themeColor="text1"/>
        </w:rPr>
        <w:t>20B(1</w:t>
      </w:r>
      <w:r w:rsidRPr="00B40A77">
        <w:rPr>
          <w:color w:val="000000" w:themeColor="text1"/>
        </w:rPr>
        <w:t xml:space="preserve">) of the </w:t>
      </w:r>
      <w:r w:rsidR="00C5388F" w:rsidRPr="00B40A77">
        <w:rPr>
          <w:color w:val="000000" w:themeColor="text1"/>
        </w:rPr>
        <w:t xml:space="preserve">Crimes </w:t>
      </w:r>
      <w:r w:rsidRPr="00B40A77">
        <w:rPr>
          <w:color w:val="000000" w:themeColor="text1"/>
        </w:rPr>
        <w:t>Act must be in the prescribed form.</w:t>
      </w:r>
    </w:p>
    <w:p w14:paraId="1C3BBF7E" w14:textId="36702C2A" w:rsidR="00342112" w:rsidRPr="00B40A77" w:rsidRDefault="00342112" w:rsidP="00AD1D32">
      <w:pPr>
        <w:pStyle w:val="NoteHeader"/>
        <w:keepNext/>
        <w:ind w:left="567"/>
        <w:rPr>
          <w:color w:val="000000" w:themeColor="text1"/>
        </w:rPr>
      </w:pPr>
      <w:r w:rsidRPr="00B40A77">
        <w:rPr>
          <w:color w:val="000000" w:themeColor="text1"/>
        </w:rPr>
        <w:t>Prescribed form—</w:t>
      </w:r>
    </w:p>
    <w:p w14:paraId="3B2E0A28" w14:textId="3053738B" w:rsidR="00342112" w:rsidRPr="00B40A77" w:rsidRDefault="00342112" w:rsidP="008074FE">
      <w:pPr>
        <w:pStyle w:val="NoteText"/>
        <w:ind w:left="850"/>
        <w:rPr>
          <w:color w:val="000000" w:themeColor="text1"/>
        </w:rPr>
      </w:pPr>
      <w:r w:rsidRPr="00B40A77">
        <w:rPr>
          <w:color w:val="000000" w:themeColor="text1"/>
        </w:rPr>
        <w:t xml:space="preserve">Form </w:t>
      </w:r>
      <w:r w:rsidR="007206BB" w:rsidRPr="00B40A77">
        <w:rPr>
          <w:color w:val="000000" w:themeColor="text1"/>
        </w:rPr>
        <w:t>123</w:t>
      </w:r>
      <w:r w:rsidRPr="00B40A77">
        <w:rPr>
          <w:color w:val="000000" w:themeColor="text1"/>
        </w:rPr>
        <w:t xml:space="preserve"> </w:t>
      </w:r>
      <w:hyperlink r:id="rId177" w:history="1">
        <w:r w:rsidRPr="00B40A77">
          <w:rPr>
            <w:rStyle w:val="Hyperlink"/>
            <w:color w:val="000000" w:themeColor="text1"/>
          </w:rPr>
          <w:t>Record of Outcome</w:t>
        </w:r>
      </w:hyperlink>
    </w:p>
    <w:p w14:paraId="524C2A65" w14:textId="2D18EE0B" w:rsidR="00342112" w:rsidRPr="00B40A77" w:rsidRDefault="00342112">
      <w:pPr>
        <w:spacing w:before="0" w:after="160" w:line="259" w:lineRule="auto"/>
        <w:rPr>
          <w:rFonts w:cs="Times New Roman"/>
          <w:color w:val="000000" w:themeColor="text1"/>
          <w:sz w:val="20"/>
          <w:szCs w:val="20"/>
        </w:rPr>
      </w:pPr>
      <w:r w:rsidRPr="00B40A77">
        <w:rPr>
          <w:color w:val="000000" w:themeColor="text1"/>
        </w:rPr>
        <w:br w:type="page"/>
      </w:r>
    </w:p>
    <w:p w14:paraId="28D54728" w14:textId="3DBA9AE4" w:rsidR="00BB6CBE" w:rsidRPr="00B40A77" w:rsidRDefault="0076562A" w:rsidP="0013380A">
      <w:pPr>
        <w:pStyle w:val="Heading1"/>
        <w:rPr>
          <w:color w:val="000000" w:themeColor="text1"/>
        </w:rPr>
      </w:pPr>
      <w:bookmarkStart w:id="621" w:name="_Toc175239054"/>
      <w:r w:rsidRPr="00B40A77">
        <w:rPr>
          <w:color w:val="000000" w:themeColor="text1"/>
        </w:rPr>
        <w:lastRenderedPageBreak/>
        <w:t xml:space="preserve">Chapter </w:t>
      </w:r>
      <w:r w:rsidR="00C07C0B" w:rsidRPr="00B40A77">
        <w:rPr>
          <w:color w:val="000000" w:themeColor="text1"/>
        </w:rPr>
        <w:t>5</w:t>
      </w:r>
      <w:r w:rsidRPr="00B40A77">
        <w:rPr>
          <w:color w:val="000000" w:themeColor="text1"/>
        </w:rPr>
        <w:t>—Proceedings in Higher Courts</w:t>
      </w:r>
      <w:bookmarkEnd w:id="621"/>
    </w:p>
    <w:p w14:paraId="47A10473" w14:textId="6CDE9572" w:rsidR="00E643A5" w:rsidRPr="00B40A77" w:rsidRDefault="00E643A5" w:rsidP="00BE23A0">
      <w:pPr>
        <w:pStyle w:val="Heading2"/>
        <w:keepNext/>
        <w:rPr>
          <w:color w:val="000000" w:themeColor="text1"/>
        </w:rPr>
      </w:pPr>
      <w:bookmarkStart w:id="622" w:name="_Toc175239055"/>
      <w:r w:rsidRPr="00B40A77">
        <w:rPr>
          <w:color w:val="000000" w:themeColor="text1"/>
        </w:rPr>
        <w:t>Part 1—Scope of Chapter</w:t>
      </w:r>
      <w:bookmarkEnd w:id="622"/>
    </w:p>
    <w:p w14:paraId="07348C18" w14:textId="79E625D9" w:rsidR="00E643A5" w:rsidRPr="00B40A77" w:rsidRDefault="00873EDE" w:rsidP="00E643A5">
      <w:pPr>
        <w:pStyle w:val="Heading4"/>
        <w:rPr>
          <w:color w:val="000000" w:themeColor="text1"/>
        </w:rPr>
      </w:pPr>
      <w:bookmarkStart w:id="623" w:name="_Toc175239056"/>
      <w:r w:rsidRPr="00B40A77">
        <w:rPr>
          <w:color w:val="000000" w:themeColor="text1"/>
        </w:rPr>
        <w:t>9</w:t>
      </w:r>
      <w:r w:rsidR="00E643A5" w:rsidRPr="00B40A77">
        <w:rPr>
          <w:color w:val="000000" w:themeColor="text1"/>
        </w:rPr>
        <w:t>1.1—Scope</w:t>
      </w:r>
      <w:bookmarkEnd w:id="623"/>
    </w:p>
    <w:p w14:paraId="05EF1FCE" w14:textId="054CD294" w:rsidR="00E643A5" w:rsidRPr="00B40A77" w:rsidRDefault="00676FEC" w:rsidP="005A0258">
      <w:pPr>
        <w:pStyle w:val="Hangindent"/>
        <w:ind w:left="567" w:firstLine="0"/>
        <w:rPr>
          <w:color w:val="000000" w:themeColor="text1"/>
          <w:lang w:val="en-US"/>
        </w:rPr>
      </w:pPr>
      <w:r w:rsidRPr="00B40A77">
        <w:rPr>
          <w:color w:val="000000" w:themeColor="text1"/>
          <w:lang w:val="en-US"/>
        </w:rPr>
        <w:t>T</w:t>
      </w:r>
      <w:r w:rsidR="00E643A5" w:rsidRPr="00B40A77">
        <w:rPr>
          <w:color w:val="000000" w:themeColor="text1"/>
          <w:lang w:val="en-US"/>
        </w:rPr>
        <w:t>his Chapter applies to the commencement and conduct</w:t>
      </w:r>
      <w:r w:rsidRPr="00B40A77">
        <w:rPr>
          <w:color w:val="000000" w:themeColor="text1"/>
          <w:lang w:val="en-US"/>
        </w:rPr>
        <w:t xml:space="preserve"> of all proceedings in the </w:t>
      </w:r>
      <w:hyperlink w:anchor="_2.1—Definitions" w:history="1">
        <w:r w:rsidR="00E83325" w:rsidRPr="00B40A77">
          <w:rPr>
            <w:rStyle w:val="Hyperlink"/>
            <w:color w:val="000000" w:themeColor="text1"/>
            <w:lang w:val="en-US"/>
          </w:rPr>
          <w:t>Higher Court</w:t>
        </w:r>
      </w:hyperlink>
      <w:r w:rsidR="00E643A5" w:rsidRPr="00B40A77">
        <w:rPr>
          <w:color w:val="000000" w:themeColor="text1"/>
          <w:u w:val="single"/>
          <w:lang w:val="en-US"/>
        </w:rPr>
        <w:t>s</w:t>
      </w:r>
      <w:r w:rsidR="00E643A5" w:rsidRPr="00B40A77">
        <w:rPr>
          <w:color w:val="000000" w:themeColor="text1"/>
          <w:lang w:val="en-US"/>
        </w:rPr>
        <w:t xml:space="preserve"> up to but not including matters governed by </w:t>
      </w:r>
      <w:hyperlink w:anchor="_Chapter_6—Trial" w:history="1">
        <w:r w:rsidR="00E643A5" w:rsidRPr="00B40A77">
          <w:rPr>
            <w:rStyle w:val="Hyperlink"/>
            <w:color w:val="000000" w:themeColor="text1"/>
            <w:lang w:val="en-US"/>
          </w:rPr>
          <w:t>Chapter</w:t>
        </w:r>
        <w:r w:rsidR="00582B40" w:rsidRPr="00B40A77">
          <w:rPr>
            <w:rStyle w:val="Hyperlink"/>
            <w:color w:val="000000" w:themeColor="text1"/>
            <w:lang w:val="en-US"/>
          </w:rPr>
          <w:t> </w:t>
        </w:r>
        <w:r w:rsidR="00E643A5" w:rsidRPr="00B40A77">
          <w:rPr>
            <w:rStyle w:val="Hyperlink"/>
            <w:color w:val="000000" w:themeColor="text1"/>
            <w:lang w:val="en-US"/>
          </w:rPr>
          <w:t>6</w:t>
        </w:r>
      </w:hyperlink>
      <w:r w:rsidR="00944FF6" w:rsidRPr="00B40A77">
        <w:rPr>
          <w:color w:val="000000" w:themeColor="text1"/>
          <w:lang w:val="en-US"/>
        </w:rPr>
        <w:t>,</w:t>
      </w:r>
      <w:r w:rsidR="00E643A5" w:rsidRPr="00B40A77">
        <w:rPr>
          <w:color w:val="000000" w:themeColor="text1"/>
          <w:lang w:val="en-US"/>
        </w:rPr>
        <w:t xml:space="preserve"> </w:t>
      </w:r>
      <w:hyperlink w:anchor="_Chapter_7—Sentencing_and" w:history="1">
        <w:r w:rsidR="003F3619" w:rsidRPr="00B40A77">
          <w:rPr>
            <w:rStyle w:val="Hyperlink"/>
            <w:color w:val="000000" w:themeColor="text1"/>
            <w:lang w:val="en-US"/>
          </w:rPr>
          <w:t>Chapter</w:t>
        </w:r>
        <w:r w:rsidR="00582B40" w:rsidRPr="00B40A77">
          <w:rPr>
            <w:rStyle w:val="Hyperlink"/>
            <w:color w:val="000000" w:themeColor="text1"/>
            <w:lang w:val="en-US"/>
          </w:rPr>
          <w:t> </w:t>
        </w:r>
        <w:r w:rsidR="00E643A5" w:rsidRPr="00B40A77">
          <w:rPr>
            <w:rStyle w:val="Hyperlink"/>
            <w:color w:val="000000" w:themeColor="text1"/>
            <w:lang w:val="en-US"/>
          </w:rPr>
          <w:t>7</w:t>
        </w:r>
      </w:hyperlink>
      <w:r w:rsidR="00944FF6" w:rsidRPr="00B40A77">
        <w:rPr>
          <w:color w:val="000000" w:themeColor="text1"/>
          <w:lang w:val="en-US"/>
        </w:rPr>
        <w:t xml:space="preserve"> or </w:t>
      </w:r>
      <w:hyperlink w:anchor="_Chapter_8—Variation_and" w:history="1">
        <w:r w:rsidR="00944FF6" w:rsidRPr="00B40A77">
          <w:rPr>
            <w:rStyle w:val="Hyperlink"/>
            <w:color w:val="000000" w:themeColor="text1"/>
            <w:lang w:val="en-US"/>
          </w:rPr>
          <w:t>Chapter 8</w:t>
        </w:r>
      </w:hyperlink>
      <w:r w:rsidR="00944FF6" w:rsidRPr="00B40A77">
        <w:rPr>
          <w:color w:val="000000" w:themeColor="text1"/>
          <w:lang w:val="en-US"/>
        </w:rPr>
        <w:t>.</w:t>
      </w:r>
    </w:p>
    <w:p w14:paraId="207A3CF3" w14:textId="776CBC99" w:rsidR="00C07C0B" w:rsidRPr="00B40A77" w:rsidRDefault="00676FEC" w:rsidP="00BE23A0">
      <w:pPr>
        <w:pStyle w:val="Heading2"/>
        <w:keepNext/>
        <w:rPr>
          <w:color w:val="000000" w:themeColor="text1"/>
        </w:rPr>
      </w:pPr>
      <w:bookmarkStart w:id="624" w:name="_Toc175239057"/>
      <w:r w:rsidRPr="00B40A77">
        <w:rPr>
          <w:color w:val="000000" w:themeColor="text1"/>
        </w:rPr>
        <w:t>Part 2</w:t>
      </w:r>
      <w:r w:rsidR="00C07C0B" w:rsidRPr="00B40A77">
        <w:rPr>
          <w:color w:val="000000" w:themeColor="text1"/>
        </w:rPr>
        <w:t>—Commencement and service of proceeding</w:t>
      </w:r>
      <w:bookmarkEnd w:id="624"/>
    </w:p>
    <w:p w14:paraId="0C80FD76" w14:textId="041C0A96" w:rsidR="00C07C0B" w:rsidRPr="00B40A77" w:rsidRDefault="00873EDE" w:rsidP="00C07C0B">
      <w:pPr>
        <w:pStyle w:val="Heading4"/>
        <w:rPr>
          <w:color w:val="000000" w:themeColor="text1"/>
        </w:rPr>
      </w:pPr>
      <w:bookmarkStart w:id="625" w:name="_Toc175239058"/>
      <w:bookmarkStart w:id="626" w:name="_Hlk107843919"/>
      <w:r w:rsidRPr="00B40A77">
        <w:rPr>
          <w:color w:val="000000" w:themeColor="text1"/>
        </w:rPr>
        <w:t>92</w:t>
      </w:r>
      <w:r w:rsidR="00C07C0B" w:rsidRPr="00B40A77">
        <w:rPr>
          <w:color w:val="000000" w:themeColor="text1"/>
        </w:rPr>
        <w:t>.1—Information</w:t>
      </w:r>
      <w:bookmarkEnd w:id="625"/>
    </w:p>
    <w:p w14:paraId="4B8860C6" w14:textId="6F372CD0" w:rsidR="00C07C0B" w:rsidRPr="00B40A77" w:rsidRDefault="00C07C0B"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D03513" w:rsidRPr="00B40A77">
        <w:rPr>
          <w:color w:val="000000" w:themeColor="text1"/>
          <w:lang w:val="en-US"/>
        </w:rPr>
        <w:t xml:space="preserve">Unless all defendants or youths are committed for </w:t>
      </w:r>
      <w:hyperlink w:anchor="_2.1—Definitions" w:history="1">
        <w:r w:rsidR="00596ADA" w:rsidRPr="00B40A77">
          <w:rPr>
            <w:rStyle w:val="Hyperlink"/>
            <w:color w:val="000000" w:themeColor="text1"/>
          </w:rPr>
          <w:t>sentence</w:t>
        </w:r>
      </w:hyperlink>
      <w:r w:rsidR="00AA47B0" w:rsidRPr="00B40A77">
        <w:rPr>
          <w:color w:val="000000" w:themeColor="text1"/>
          <w:lang w:val="en-US"/>
        </w:rPr>
        <w:t xml:space="preserve"> only, a</w:t>
      </w:r>
      <w:r w:rsidRPr="00B40A77">
        <w:rPr>
          <w:color w:val="000000" w:themeColor="text1"/>
          <w:lang w:val="en-US"/>
        </w:rPr>
        <w:t xml:space="preserve"> proceeding must be instituted by filing an Information in the prescribed form.</w:t>
      </w:r>
    </w:p>
    <w:p w14:paraId="64C9F9B2" w14:textId="7065D3FF" w:rsidR="00C07C0B" w:rsidRPr="00B40A77" w:rsidRDefault="001B43F4" w:rsidP="008238EB">
      <w:pPr>
        <w:pStyle w:val="NoteHeader"/>
        <w:keepNext/>
        <w:rPr>
          <w:color w:val="000000" w:themeColor="text1"/>
        </w:rPr>
      </w:pPr>
      <w:r w:rsidRPr="00B40A77">
        <w:rPr>
          <w:color w:val="000000" w:themeColor="text1"/>
        </w:rPr>
        <w:t>P</w:t>
      </w:r>
      <w:r w:rsidR="00C07C0B" w:rsidRPr="00B40A77">
        <w:rPr>
          <w:color w:val="000000" w:themeColor="text1"/>
        </w:rPr>
        <w:t>rescribed form—</w:t>
      </w:r>
    </w:p>
    <w:p w14:paraId="337D0E50" w14:textId="32BF187B" w:rsidR="00C07C0B" w:rsidRPr="00B40A77" w:rsidRDefault="00C0792D" w:rsidP="00C07C0B">
      <w:pPr>
        <w:pStyle w:val="NoteText"/>
        <w:rPr>
          <w:color w:val="000000" w:themeColor="text1"/>
        </w:rPr>
      </w:pPr>
      <w:r w:rsidRPr="00B40A77">
        <w:rPr>
          <w:color w:val="000000" w:themeColor="text1"/>
        </w:rPr>
        <w:t xml:space="preserve">Form </w:t>
      </w:r>
      <w:r w:rsidR="00A90D76" w:rsidRPr="00B40A77">
        <w:rPr>
          <w:color w:val="000000" w:themeColor="text1"/>
        </w:rPr>
        <w:t>5</w:t>
      </w:r>
      <w:r w:rsidR="00C07C0B" w:rsidRPr="00B40A77">
        <w:rPr>
          <w:color w:val="000000" w:themeColor="text1"/>
        </w:rPr>
        <w:t xml:space="preserve"> </w:t>
      </w:r>
      <w:hyperlink r:id="rId178" w:history="1">
        <w:r w:rsidR="00C07C0B" w:rsidRPr="00B40A77">
          <w:rPr>
            <w:rStyle w:val="Hyperlink"/>
            <w:color w:val="000000" w:themeColor="text1"/>
          </w:rPr>
          <w:t>Information</w:t>
        </w:r>
        <w:r w:rsidR="001B43F4" w:rsidRPr="00B40A77">
          <w:rPr>
            <w:rStyle w:val="Hyperlink"/>
            <w:color w:val="000000" w:themeColor="text1"/>
          </w:rPr>
          <w:t xml:space="preserve"> </w:t>
        </w:r>
        <w:r w:rsidR="00300FC2" w:rsidRPr="00B40A77">
          <w:rPr>
            <w:rStyle w:val="Hyperlink"/>
            <w:color w:val="000000" w:themeColor="text1"/>
          </w:rPr>
          <w:t>H</w:t>
        </w:r>
        <w:r w:rsidR="001B43F4" w:rsidRPr="00B40A77">
          <w:rPr>
            <w:rStyle w:val="Hyperlink"/>
            <w:color w:val="000000" w:themeColor="text1"/>
          </w:rPr>
          <w:t>igher</w:t>
        </w:r>
        <w:r w:rsidR="00C07C0B" w:rsidRPr="00B40A77">
          <w:rPr>
            <w:rStyle w:val="Hyperlink"/>
            <w:color w:val="000000" w:themeColor="text1"/>
          </w:rPr>
          <w:t xml:space="preserve"> </w:t>
        </w:r>
        <w:r w:rsidR="00300FC2" w:rsidRPr="00B40A77">
          <w:rPr>
            <w:rStyle w:val="Hyperlink"/>
            <w:color w:val="000000" w:themeColor="text1"/>
          </w:rPr>
          <w:t>C</w:t>
        </w:r>
        <w:r w:rsidR="00C07C0B" w:rsidRPr="00B40A77">
          <w:rPr>
            <w:rStyle w:val="Hyperlink"/>
            <w:color w:val="000000" w:themeColor="text1"/>
          </w:rPr>
          <w:t>ourts</w:t>
        </w:r>
      </w:hyperlink>
    </w:p>
    <w:p w14:paraId="47054495" w14:textId="681AF655" w:rsidR="00C0792D" w:rsidRPr="00B40A77" w:rsidRDefault="00C0792D" w:rsidP="00C0792D">
      <w:pPr>
        <w:pStyle w:val="NoteText"/>
        <w:rPr>
          <w:color w:val="000000" w:themeColor="text1"/>
        </w:rPr>
      </w:pPr>
      <w:r w:rsidRPr="00B40A77">
        <w:rPr>
          <w:color w:val="000000" w:themeColor="text1"/>
        </w:rPr>
        <w:t xml:space="preserve">Form </w:t>
      </w:r>
      <w:r w:rsidR="00D04DA6" w:rsidRPr="00B40A77">
        <w:rPr>
          <w:color w:val="000000" w:themeColor="text1"/>
        </w:rPr>
        <w:t>6</w:t>
      </w:r>
      <w:r w:rsidRPr="00B40A77">
        <w:rPr>
          <w:color w:val="000000" w:themeColor="text1"/>
        </w:rPr>
        <w:t xml:space="preserve"> </w:t>
      </w:r>
      <w:hyperlink r:id="rId179" w:history="1">
        <w:r w:rsidRPr="00B40A77">
          <w:rPr>
            <w:rStyle w:val="Hyperlink"/>
            <w:color w:val="000000" w:themeColor="text1"/>
          </w:rPr>
          <w:t xml:space="preserve">Information </w:t>
        </w:r>
        <w:r w:rsidR="00300FC2" w:rsidRPr="00B40A77">
          <w:rPr>
            <w:rStyle w:val="Hyperlink"/>
            <w:color w:val="000000" w:themeColor="text1"/>
          </w:rPr>
          <w:t>H</w:t>
        </w:r>
        <w:r w:rsidRPr="00B40A77">
          <w:rPr>
            <w:rStyle w:val="Hyperlink"/>
            <w:color w:val="000000" w:themeColor="text1"/>
          </w:rPr>
          <w:t xml:space="preserve">igher </w:t>
        </w:r>
        <w:r w:rsidR="00300FC2" w:rsidRPr="00B40A77">
          <w:rPr>
            <w:rStyle w:val="Hyperlink"/>
            <w:color w:val="000000" w:themeColor="text1"/>
          </w:rPr>
          <w:t>C</w:t>
        </w:r>
        <w:r w:rsidRPr="00B40A77">
          <w:rPr>
            <w:rStyle w:val="Hyperlink"/>
            <w:color w:val="000000" w:themeColor="text1"/>
          </w:rPr>
          <w:t>ourts ex officio</w:t>
        </w:r>
      </w:hyperlink>
    </w:p>
    <w:bookmarkEnd w:id="626"/>
    <w:p w14:paraId="3F710E6D" w14:textId="6EFCA2F4" w:rsidR="00AA47B0" w:rsidRPr="00B40A77" w:rsidRDefault="00D03513" w:rsidP="00C07C0B">
      <w:pPr>
        <w:pStyle w:val="Hangindent"/>
        <w:rPr>
          <w:color w:val="000000" w:themeColor="text1"/>
          <w:lang w:val="en-US"/>
        </w:rPr>
      </w:pPr>
      <w:r w:rsidRPr="00B40A77">
        <w:rPr>
          <w:color w:val="000000" w:themeColor="text1"/>
        </w:rPr>
        <w:t>(2)</w:t>
      </w:r>
      <w:r w:rsidRPr="00B40A77">
        <w:rPr>
          <w:color w:val="000000" w:themeColor="text1"/>
        </w:rPr>
        <w:tab/>
      </w:r>
      <w:r w:rsidR="00AA47B0" w:rsidRPr="00B40A77">
        <w:rPr>
          <w:color w:val="000000" w:themeColor="text1"/>
        </w:rPr>
        <w:t xml:space="preserve">If a defendant or youth was committed for </w:t>
      </w:r>
      <w:hyperlink w:anchor="_2.1—Definitions" w:history="1">
        <w:r w:rsidR="00AB0539" w:rsidRPr="00B40A77">
          <w:rPr>
            <w:rStyle w:val="Hyperlink"/>
            <w:color w:val="000000" w:themeColor="text1"/>
            <w:lang w:val="en-US"/>
          </w:rPr>
          <w:t>trial</w:t>
        </w:r>
      </w:hyperlink>
      <w:r w:rsidR="00AA47B0" w:rsidRPr="00B40A77">
        <w:rPr>
          <w:color w:val="000000" w:themeColor="text1"/>
        </w:rPr>
        <w:t>, the I</w:t>
      </w:r>
      <w:r w:rsidRPr="00B40A77">
        <w:rPr>
          <w:color w:val="000000" w:themeColor="text1"/>
        </w:rPr>
        <w:t xml:space="preserve">nformation </w:t>
      </w:r>
      <w:r w:rsidR="00AA47B0" w:rsidRPr="00B40A77">
        <w:rPr>
          <w:color w:val="000000" w:themeColor="text1"/>
        </w:rPr>
        <w:t>must</w:t>
      </w:r>
      <w:r w:rsidRPr="00B40A77">
        <w:rPr>
          <w:color w:val="000000" w:themeColor="text1"/>
        </w:rPr>
        <w:t xml:space="preserve"> be filed </w:t>
      </w:r>
      <w:r w:rsidR="00AA47B0" w:rsidRPr="00B40A77">
        <w:rPr>
          <w:color w:val="000000" w:themeColor="text1"/>
        </w:rPr>
        <w:t xml:space="preserve">within </w:t>
      </w:r>
      <w:r w:rsidR="00944FF6" w:rsidRPr="00B40A77">
        <w:rPr>
          <w:color w:val="000000" w:themeColor="text1"/>
        </w:rPr>
        <w:t>6 weeks</w:t>
      </w:r>
      <w:r w:rsidRPr="00B40A77">
        <w:rPr>
          <w:color w:val="000000" w:themeColor="text1"/>
        </w:rPr>
        <w:t xml:space="preserve"> after the </w:t>
      </w:r>
      <w:r w:rsidR="00AA47B0" w:rsidRPr="00B40A77">
        <w:rPr>
          <w:color w:val="000000" w:themeColor="text1"/>
        </w:rPr>
        <w:t xml:space="preserve">committal for </w:t>
      </w:r>
      <w:hyperlink w:anchor="_2.1—Definitions" w:history="1">
        <w:r w:rsidR="00AB0539" w:rsidRPr="00B40A77">
          <w:rPr>
            <w:rStyle w:val="Hyperlink"/>
            <w:color w:val="000000" w:themeColor="text1"/>
            <w:lang w:val="en-US"/>
          </w:rPr>
          <w:t>trial</w:t>
        </w:r>
      </w:hyperlink>
      <w:r w:rsidRPr="00B40A77">
        <w:rPr>
          <w:color w:val="000000" w:themeColor="text1"/>
        </w:rPr>
        <w:t>.</w:t>
      </w:r>
    </w:p>
    <w:p w14:paraId="11EE32B7" w14:textId="6BC7979E" w:rsidR="00C0792D" w:rsidRPr="00B40A77" w:rsidRDefault="006140AA" w:rsidP="00C0792D">
      <w:pPr>
        <w:pStyle w:val="Hangindent"/>
        <w:rPr>
          <w:color w:val="000000" w:themeColor="text1"/>
          <w:szCs w:val="24"/>
          <w:lang w:val="en-US"/>
        </w:rPr>
      </w:pPr>
      <w:r w:rsidRPr="00B40A77">
        <w:rPr>
          <w:color w:val="000000" w:themeColor="text1"/>
          <w:szCs w:val="24"/>
          <w:lang w:val="en-US"/>
        </w:rPr>
        <w:t>(3</w:t>
      </w:r>
      <w:r w:rsidR="00C07C0B" w:rsidRPr="00B40A77">
        <w:rPr>
          <w:color w:val="000000" w:themeColor="text1"/>
          <w:szCs w:val="24"/>
          <w:lang w:val="en-US"/>
        </w:rPr>
        <w:t>)</w:t>
      </w:r>
      <w:r w:rsidR="00C07C0B" w:rsidRPr="00B40A77">
        <w:rPr>
          <w:color w:val="000000" w:themeColor="text1"/>
          <w:szCs w:val="24"/>
          <w:lang w:val="en-US"/>
        </w:rPr>
        <w:tab/>
      </w:r>
      <w:r w:rsidR="009C6A77" w:rsidRPr="00B40A77">
        <w:rPr>
          <w:color w:val="000000" w:themeColor="text1"/>
          <w:szCs w:val="24"/>
          <w:lang w:val="en-US"/>
        </w:rPr>
        <w:t xml:space="preserve">If </w:t>
      </w:r>
      <w:r w:rsidR="00E90A89" w:rsidRPr="00B40A77">
        <w:rPr>
          <w:color w:val="000000" w:themeColor="text1"/>
          <w:szCs w:val="24"/>
          <w:lang w:val="en-US"/>
        </w:rPr>
        <w:t>an ex officio</w:t>
      </w:r>
      <w:r w:rsidR="009C6A77" w:rsidRPr="00B40A77">
        <w:rPr>
          <w:color w:val="000000" w:themeColor="text1"/>
          <w:szCs w:val="24"/>
          <w:lang w:val="en-US"/>
        </w:rPr>
        <w:t xml:space="preserve"> </w:t>
      </w:r>
      <w:r w:rsidR="00C0792D" w:rsidRPr="00B40A77">
        <w:rPr>
          <w:color w:val="000000" w:themeColor="text1"/>
          <w:szCs w:val="24"/>
          <w:lang w:val="en-US"/>
        </w:rPr>
        <w:t xml:space="preserve">Information is filed in respect of a defendant who was </w:t>
      </w:r>
      <w:r w:rsidR="0006141E" w:rsidRPr="00B40A77">
        <w:rPr>
          <w:color w:val="000000" w:themeColor="text1"/>
          <w:szCs w:val="24"/>
          <w:lang w:val="en-US"/>
        </w:rPr>
        <w:t xml:space="preserve">not </w:t>
      </w:r>
      <w:r w:rsidR="00C0792D" w:rsidRPr="00B40A77">
        <w:rPr>
          <w:color w:val="000000" w:themeColor="text1"/>
          <w:szCs w:val="24"/>
          <w:lang w:val="en-US"/>
        </w:rPr>
        <w:t xml:space="preserve">committed for </w:t>
      </w:r>
      <w:hyperlink w:anchor="_2.1—Definitions" w:history="1">
        <w:r w:rsidR="00AB0539" w:rsidRPr="00B40A77">
          <w:rPr>
            <w:rStyle w:val="Hyperlink"/>
            <w:color w:val="000000" w:themeColor="text1"/>
            <w:lang w:val="en-US"/>
          </w:rPr>
          <w:t>trial</w:t>
        </w:r>
      </w:hyperlink>
      <w:r w:rsidR="00C0792D" w:rsidRPr="00B40A77">
        <w:rPr>
          <w:color w:val="000000" w:themeColor="text1"/>
          <w:szCs w:val="24"/>
          <w:lang w:val="en-US"/>
        </w:rPr>
        <w:t xml:space="preserve"> or </w:t>
      </w:r>
      <w:hyperlink w:anchor="_2.1—Definitions" w:history="1">
        <w:r w:rsidR="00596ADA" w:rsidRPr="00B40A77">
          <w:rPr>
            <w:rStyle w:val="Hyperlink"/>
            <w:color w:val="000000" w:themeColor="text1"/>
          </w:rPr>
          <w:t>sentence</w:t>
        </w:r>
      </w:hyperlink>
      <w:r w:rsidR="00C0792D" w:rsidRPr="00B40A77">
        <w:rPr>
          <w:color w:val="000000" w:themeColor="text1"/>
          <w:szCs w:val="24"/>
          <w:lang w:val="en-US"/>
        </w:rPr>
        <w:t xml:space="preserve"> by a </w:t>
      </w:r>
      <w:hyperlink w:anchor="_2.1—Definitions" w:history="1">
        <w:r w:rsidR="00981911" w:rsidRPr="00B40A77">
          <w:rPr>
            <w:rStyle w:val="Hyperlink"/>
            <w:color w:val="000000" w:themeColor="text1"/>
          </w:rPr>
          <w:t>Lower Court</w:t>
        </w:r>
      </w:hyperlink>
      <w:r w:rsidR="00C0792D" w:rsidRPr="00B40A77">
        <w:rPr>
          <w:color w:val="000000" w:themeColor="text1"/>
          <w:szCs w:val="24"/>
          <w:lang w:val="en-US"/>
        </w:rPr>
        <w:t>, e</w:t>
      </w:r>
      <w:r w:rsidR="00C07C0B" w:rsidRPr="00B40A77">
        <w:rPr>
          <w:color w:val="000000" w:themeColor="text1"/>
          <w:szCs w:val="24"/>
          <w:lang w:val="en-US"/>
        </w:rPr>
        <w:t xml:space="preserve">ach </w:t>
      </w:r>
      <w:r w:rsidR="0006141E" w:rsidRPr="00B40A77">
        <w:rPr>
          <w:color w:val="000000" w:themeColor="text1"/>
          <w:szCs w:val="24"/>
          <w:lang w:val="en-US"/>
        </w:rPr>
        <w:t xml:space="preserve">such </w:t>
      </w:r>
      <w:r w:rsidR="00C07C0B" w:rsidRPr="00B40A77">
        <w:rPr>
          <w:color w:val="000000" w:themeColor="text1"/>
          <w:szCs w:val="24"/>
          <w:lang w:val="en-US"/>
        </w:rPr>
        <w:t xml:space="preserve">defendant must be </w:t>
      </w:r>
      <w:r w:rsidR="00C0792D" w:rsidRPr="00B40A77">
        <w:rPr>
          <w:color w:val="000000" w:themeColor="text1"/>
          <w:szCs w:val="24"/>
          <w:lang w:val="en-US"/>
        </w:rPr>
        <w:t xml:space="preserve">identified in the </w:t>
      </w:r>
      <w:r w:rsidR="007B492F" w:rsidRPr="00B40A77">
        <w:rPr>
          <w:color w:val="000000" w:themeColor="text1"/>
          <w:szCs w:val="24"/>
          <w:lang w:val="en-US"/>
        </w:rPr>
        <w:t>I</w:t>
      </w:r>
      <w:r w:rsidR="00C0792D" w:rsidRPr="00B40A77">
        <w:rPr>
          <w:color w:val="000000" w:themeColor="text1"/>
          <w:szCs w:val="24"/>
          <w:lang w:val="en-US"/>
        </w:rPr>
        <w:t xml:space="preserve">nformation by name, date of birth and </w:t>
      </w:r>
      <w:r w:rsidR="00F16063" w:rsidRPr="00B40A77">
        <w:rPr>
          <w:color w:val="000000" w:themeColor="text1"/>
          <w:szCs w:val="24"/>
          <w:lang w:val="en-US"/>
        </w:rPr>
        <w:t xml:space="preserve">any </w:t>
      </w:r>
      <w:r w:rsidR="00C0792D" w:rsidRPr="00B40A77">
        <w:rPr>
          <w:color w:val="000000" w:themeColor="text1"/>
          <w:szCs w:val="24"/>
          <w:lang w:val="en-US"/>
        </w:rPr>
        <w:t>drivers licence number (to the extent known).</w:t>
      </w:r>
    </w:p>
    <w:p w14:paraId="6038EB50" w14:textId="6F65541B" w:rsidR="00C07C0B" w:rsidRPr="00B40A77" w:rsidRDefault="00C0792D" w:rsidP="00C07C0B">
      <w:pPr>
        <w:pStyle w:val="Hangindent"/>
        <w:rPr>
          <w:color w:val="000000" w:themeColor="text1"/>
          <w:lang w:val="en-US"/>
        </w:rPr>
      </w:pPr>
      <w:r w:rsidRPr="00B40A77">
        <w:rPr>
          <w:color w:val="000000" w:themeColor="text1"/>
          <w:lang w:val="en-US"/>
        </w:rPr>
        <w:t>(4</w:t>
      </w:r>
      <w:r w:rsidR="00C07C0B" w:rsidRPr="00B40A77">
        <w:rPr>
          <w:color w:val="000000" w:themeColor="text1"/>
          <w:lang w:val="en-US"/>
        </w:rPr>
        <w:t>)</w:t>
      </w:r>
      <w:r w:rsidR="00C07C0B" w:rsidRPr="00B40A77">
        <w:rPr>
          <w:color w:val="000000" w:themeColor="text1"/>
          <w:lang w:val="en-US"/>
        </w:rPr>
        <w:tab/>
        <w:t>The Information must show each offence charged in a separate numbered count.</w:t>
      </w:r>
    </w:p>
    <w:p w14:paraId="02A84AE3" w14:textId="071D01C4" w:rsidR="00C07C0B" w:rsidRPr="00B40A77" w:rsidRDefault="00C0792D" w:rsidP="00C07C0B">
      <w:pPr>
        <w:pStyle w:val="Hangindent"/>
        <w:rPr>
          <w:rFonts w:cs="Times New Roman"/>
          <w:color w:val="000000" w:themeColor="text1"/>
        </w:rPr>
      </w:pPr>
      <w:r w:rsidRPr="00B40A77">
        <w:rPr>
          <w:color w:val="000000" w:themeColor="text1"/>
          <w:lang w:val="en-US"/>
        </w:rPr>
        <w:t>(5</w:t>
      </w:r>
      <w:r w:rsidR="00C07C0B" w:rsidRPr="00B40A77">
        <w:rPr>
          <w:color w:val="000000" w:themeColor="text1"/>
          <w:lang w:val="en-US"/>
        </w:rPr>
        <w:t>)</w:t>
      </w:r>
      <w:r w:rsidR="00C07C0B" w:rsidRPr="00B40A77">
        <w:rPr>
          <w:color w:val="000000" w:themeColor="text1"/>
          <w:lang w:val="en-US"/>
        </w:rPr>
        <w:tab/>
        <w:t>The Information must include the following details in respect of each count as required by the prescribed form</w:t>
      </w:r>
      <w:r w:rsidR="00C07C0B" w:rsidRPr="00B40A77">
        <w:rPr>
          <w:rFonts w:cs="Times New Roman"/>
          <w:color w:val="000000" w:themeColor="text1"/>
        </w:rPr>
        <w:t>—</w:t>
      </w:r>
    </w:p>
    <w:p w14:paraId="0D4D8C62" w14:textId="0E80BF25" w:rsidR="00C07C0B" w:rsidRPr="00B40A77" w:rsidRDefault="00C07C0B" w:rsidP="00C07C0B">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7C65EF" w:rsidRPr="00B40A77">
        <w:rPr>
          <w:color w:val="000000" w:themeColor="text1"/>
          <w:lang w:val="en-US"/>
        </w:rPr>
        <w:t>o</w:t>
      </w:r>
      <w:r w:rsidRPr="00B40A77">
        <w:rPr>
          <w:color w:val="000000" w:themeColor="text1"/>
          <w:lang w:val="en-US"/>
        </w:rPr>
        <w:t>ffence details being the short name of the offence and statutory provision if applicable;</w:t>
      </w:r>
    </w:p>
    <w:p w14:paraId="730F3BA1" w14:textId="63107A4A" w:rsidR="00C07C0B" w:rsidRPr="00B40A77" w:rsidRDefault="00C07C0B" w:rsidP="00763DD0">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r>
      <w:r w:rsidR="007C65EF" w:rsidRPr="00B40A77">
        <w:rPr>
          <w:color w:val="000000" w:themeColor="text1"/>
          <w:lang w:val="en-US"/>
        </w:rPr>
        <w:t>p</w:t>
      </w:r>
      <w:r w:rsidRPr="00B40A77">
        <w:rPr>
          <w:color w:val="000000" w:themeColor="text1"/>
          <w:lang w:val="en-US"/>
        </w:rPr>
        <w:t xml:space="preserve">articulars </w:t>
      </w:r>
      <w:r w:rsidRPr="00B40A77">
        <w:rPr>
          <w:rFonts w:eastAsia="Calibri" w:cs="Arial"/>
          <w:color w:val="000000" w:themeColor="text1"/>
          <w:szCs w:val="22"/>
        </w:rPr>
        <w:t xml:space="preserve">of the essence of the elements of the offence and </w:t>
      </w:r>
      <w:r w:rsidRPr="00B40A77">
        <w:rPr>
          <w:color w:val="000000" w:themeColor="text1"/>
          <w:lang w:val="en-US"/>
        </w:rPr>
        <w:t xml:space="preserve">in accordance with </w:t>
      </w:r>
      <w:hyperlink w:anchor="_92.2—Particulars" w:history="1">
        <w:r w:rsidRPr="00B40A77">
          <w:rPr>
            <w:rStyle w:val="Hyperlink"/>
            <w:color w:val="000000" w:themeColor="text1"/>
            <w:lang w:val="en-US"/>
          </w:rPr>
          <w:t>rule</w:t>
        </w:r>
        <w:r w:rsidR="002E3019" w:rsidRPr="00B40A77">
          <w:rPr>
            <w:rStyle w:val="Hyperlink"/>
            <w:color w:val="000000" w:themeColor="text1"/>
            <w:lang w:val="en-US"/>
          </w:rPr>
          <w:t> </w:t>
        </w:r>
        <w:r w:rsidR="0006141E" w:rsidRPr="00B40A77">
          <w:rPr>
            <w:rStyle w:val="Hyperlink"/>
            <w:color w:val="000000" w:themeColor="text1"/>
            <w:lang w:val="en-US"/>
          </w:rPr>
          <w:t>92</w:t>
        </w:r>
        <w:r w:rsidRPr="00B40A77">
          <w:rPr>
            <w:rStyle w:val="Hyperlink"/>
            <w:color w:val="000000" w:themeColor="text1"/>
            <w:lang w:val="en-US"/>
          </w:rPr>
          <w:t>.2</w:t>
        </w:r>
      </w:hyperlink>
      <w:r w:rsidRPr="00B40A77">
        <w:rPr>
          <w:color w:val="000000" w:themeColor="text1"/>
          <w:lang w:val="en-US"/>
        </w:rPr>
        <w:t>;</w:t>
      </w:r>
    </w:p>
    <w:p w14:paraId="74C0011E" w14:textId="77777777" w:rsidR="00D35C5D" w:rsidRPr="00B40A77" w:rsidRDefault="00D35C5D" w:rsidP="004E3D0F">
      <w:pPr>
        <w:pStyle w:val="NoteHeader"/>
        <w:keepNext/>
        <w:ind w:left="1395" w:firstLine="306"/>
        <w:rPr>
          <w:color w:val="000000" w:themeColor="text1"/>
        </w:rPr>
      </w:pPr>
      <w:r w:rsidRPr="00B40A77">
        <w:rPr>
          <w:color w:val="000000" w:themeColor="text1"/>
        </w:rPr>
        <w:t>Note—</w:t>
      </w:r>
    </w:p>
    <w:p w14:paraId="04F7D9B5" w14:textId="44EC6648" w:rsidR="00D35C5D" w:rsidRPr="00B40A77" w:rsidRDefault="00D35C5D" w:rsidP="00D35C5D">
      <w:pPr>
        <w:pStyle w:val="NoteText"/>
        <w:ind w:left="2160"/>
        <w:rPr>
          <w:color w:val="000000" w:themeColor="text1"/>
        </w:rPr>
      </w:pPr>
      <w:r w:rsidRPr="00B40A77">
        <w:rPr>
          <w:color w:val="000000" w:themeColor="text1"/>
        </w:rPr>
        <w:t xml:space="preserve">Section 100(1)(b) of the Procedure Act requires an </w:t>
      </w:r>
      <w:r w:rsidR="004B141C" w:rsidRPr="00B40A77">
        <w:rPr>
          <w:color w:val="000000" w:themeColor="text1"/>
        </w:rPr>
        <w:t>I</w:t>
      </w:r>
      <w:r w:rsidRPr="00B40A77">
        <w:rPr>
          <w:color w:val="000000" w:themeColor="text1"/>
        </w:rPr>
        <w:t>nformation charging an indictable offence to contain “such particulars as are necessary for giving reasonable information as to the nature of the charge”.</w:t>
      </w:r>
    </w:p>
    <w:p w14:paraId="2A6F90E2" w14:textId="45D7BC31" w:rsidR="00C07C0B" w:rsidRPr="00B40A77" w:rsidRDefault="007C65EF" w:rsidP="00C07C0B">
      <w:pPr>
        <w:pStyle w:val="Doublehangindent"/>
        <w:rPr>
          <w:color w:val="000000" w:themeColor="text1"/>
          <w:lang w:val="en-US"/>
        </w:rPr>
      </w:pPr>
      <w:r w:rsidRPr="00B40A77">
        <w:rPr>
          <w:color w:val="000000" w:themeColor="text1"/>
          <w:lang w:val="en-US"/>
        </w:rPr>
        <w:t>(c)</w:t>
      </w:r>
      <w:r w:rsidRPr="00B40A77">
        <w:rPr>
          <w:color w:val="000000" w:themeColor="text1"/>
          <w:lang w:val="en-US"/>
        </w:rPr>
        <w:tab/>
        <w:t>i</w:t>
      </w:r>
      <w:r w:rsidR="00C07C0B" w:rsidRPr="00B40A77">
        <w:rPr>
          <w:color w:val="000000" w:themeColor="text1"/>
          <w:lang w:val="en-US"/>
        </w:rPr>
        <w:t>f it is alleged that the offence is an aggravated offence</w:t>
      </w:r>
      <w:r w:rsidR="00C07C0B" w:rsidRPr="00B40A77">
        <w:rPr>
          <w:rFonts w:cs="Times New Roman"/>
          <w:color w:val="000000" w:themeColor="text1"/>
        </w:rPr>
        <w:t>—</w:t>
      </w:r>
      <w:r w:rsidR="00C07C0B" w:rsidRPr="00B40A77">
        <w:rPr>
          <w:color w:val="000000" w:themeColor="text1"/>
          <w:lang w:val="en-US"/>
        </w:rPr>
        <w:t>the circumstances of aggravation alleged;</w:t>
      </w:r>
      <w:r w:rsidR="00E9030B" w:rsidRPr="00B40A77">
        <w:rPr>
          <w:color w:val="000000" w:themeColor="text1"/>
          <w:lang w:val="en-US"/>
        </w:rPr>
        <w:t xml:space="preserve"> and</w:t>
      </w:r>
    </w:p>
    <w:p w14:paraId="0530A8C9" w14:textId="79067EAB" w:rsidR="00C07C0B" w:rsidRPr="00B40A77" w:rsidRDefault="00C07C0B" w:rsidP="00C07C0B">
      <w:pPr>
        <w:pStyle w:val="Doublehangindent"/>
        <w:rPr>
          <w:color w:val="000000" w:themeColor="text1"/>
        </w:rPr>
      </w:pPr>
      <w:r w:rsidRPr="00B40A77">
        <w:rPr>
          <w:color w:val="000000" w:themeColor="text1"/>
          <w:lang w:val="en-US"/>
        </w:rPr>
        <w:t>(</w:t>
      </w:r>
      <w:r w:rsidR="008238EB" w:rsidRPr="00B40A77">
        <w:rPr>
          <w:color w:val="000000" w:themeColor="text1"/>
          <w:lang w:val="en-US"/>
        </w:rPr>
        <w:t>d</w:t>
      </w:r>
      <w:r w:rsidRPr="00B40A77">
        <w:rPr>
          <w:color w:val="000000" w:themeColor="text1"/>
          <w:lang w:val="en-US"/>
        </w:rPr>
        <w:t>)</w:t>
      </w:r>
      <w:r w:rsidRPr="00B40A77">
        <w:rPr>
          <w:color w:val="000000" w:themeColor="text1"/>
          <w:lang w:val="en-US"/>
        </w:rPr>
        <w:tab/>
      </w:r>
      <w:r w:rsidRPr="00B40A77">
        <w:rPr>
          <w:color w:val="000000" w:themeColor="text1"/>
        </w:rPr>
        <w:t xml:space="preserve">if the offence is or may be a </w:t>
      </w:r>
      <w:hyperlink w:anchor="_2.1—Definitions" w:history="1">
        <w:r w:rsidR="003A1982" w:rsidRPr="00B40A77">
          <w:rPr>
            <w:rStyle w:val="Hyperlink"/>
            <w:color w:val="000000" w:themeColor="text1"/>
          </w:rPr>
          <w:t>notifiable offence</w:t>
        </w:r>
      </w:hyperlink>
      <w:r w:rsidRPr="00B40A77">
        <w:rPr>
          <w:rFonts w:cs="Times New Roman"/>
          <w:color w:val="000000" w:themeColor="text1"/>
        </w:rPr>
        <w:t xml:space="preserve">—a statement to that effect in respect of each type of </w:t>
      </w:r>
      <w:hyperlink w:anchor="_2.1—Definitions" w:history="1">
        <w:r w:rsidR="003A1982" w:rsidRPr="00B40A77">
          <w:rPr>
            <w:rStyle w:val="Hyperlink"/>
            <w:color w:val="000000" w:themeColor="text1"/>
          </w:rPr>
          <w:t>notifiable offence</w:t>
        </w:r>
      </w:hyperlink>
      <w:r w:rsidRPr="00B40A77">
        <w:rPr>
          <w:rFonts w:cs="Times New Roman"/>
          <w:color w:val="000000" w:themeColor="text1"/>
        </w:rPr>
        <w:t>.</w:t>
      </w:r>
    </w:p>
    <w:p w14:paraId="1F3141DD" w14:textId="06091B06" w:rsidR="005D0949" w:rsidRPr="00B40A77" w:rsidRDefault="005D0949" w:rsidP="00F67072">
      <w:pPr>
        <w:pStyle w:val="Hangindent"/>
        <w:rPr>
          <w:color w:val="000000" w:themeColor="text1"/>
          <w:lang w:val="en-US"/>
        </w:rPr>
      </w:pPr>
      <w:r w:rsidRPr="00B40A77">
        <w:rPr>
          <w:color w:val="000000" w:themeColor="text1"/>
          <w:szCs w:val="24"/>
          <w:lang w:val="en-US"/>
        </w:rPr>
        <w:t>(</w:t>
      </w:r>
      <w:r w:rsidR="008238EB" w:rsidRPr="00B40A77">
        <w:rPr>
          <w:color w:val="000000" w:themeColor="text1"/>
          <w:szCs w:val="24"/>
          <w:lang w:val="en-US"/>
        </w:rPr>
        <w:t>6</w:t>
      </w:r>
      <w:r w:rsidRPr="00B40A77">
        <w:rPr>
          <w:color w:val="000000" w:themeColor="text1"/>
          <w:szCs w:val="24"/>
          <w:lang w:val="en-US"/>
        </w:rPr>
        <w:t>)</w:t>
      </w:r>
      <w:r w:rsidRPr="00B40A77">
        <w:rPr>
          <w:color w:val="000000" w:themeColor="text1"/>
          <w:szCs w:val="24"/>
          <w:lang w:val="en-US"/>
        </w:rPr>
        <w:tab/>
        <w:t xml:space="preserve">If the proceeding is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szCs w:val="24"/>
          <w:lang w:val="en-US"/>
        </w:rPr>
        <w:t xml:space="preserve">, the Information </w:t>
      </w:r>
      <w:r w:rsidR="00B075A4" w:rsidRPr="00B40A77">
        <w:rPr>
          <w:color w:val="000000" w:themeColor="text1"/>
          <w:szCs w:val="24"/>
          <w:lang w:val="en-US"/>
        </w:rPr>
        <w:t xml:space="preserve">must identify </w:t>
      </w:r>
      <w:r w:rsidRPr="00B40A77">
        <w:rPr>
          <w:color w:val="000000" w:themeColor="text1"/>
          <w:lang w:val="en-US"/>
        </w:rPr>
        <w:t xml:space="preserve">that the proceeding is a </w:t>
      </w:r>
      <w:hyperlink w:anchor="_2.1—Definitions" w:history="1">
        <w:r w:rsidR="00732D46" w:rsidRPr="00B40A77">
          <w:rPr>
            <w:rStyle w:val="Hyperlink"/>
            <w:color w:val="000000" w:themeColor="text1"/>
            <w:szCs w:val="24"/>
            <w:lang w:val="en-US"/>
          </w:rPr>
          <w:t>priority proceeding</w:t>
        </w:r>
      </w:hyperlink>
      <w:r w:rsidR="00F67072" w:rsidRPr="00B40A77">
        <w:rPr>
          <w:color w:val="000000" w:themeColor="text1"/>
          <w:lang w:val="en-US"/>
        </w:rPr>
        <w:t xml:space="preserve"> and its type </w:t>
      </w:r>
      <w:r w:rsidR="00F67072" w:rsidRPr="00B40A77">
        <w:rPr>
          <w:color w:val="000000" w:themeColor="text1"/>
          <w:szCs w:val="24"/>
          <w:lang w:val="en-US"/>
        </w:rPr>
        <w:t>in accordance with the prescribed form</w:t>
      </w:r>
      <w:r w:rsidR="00F67072" w:rsidRPr="00B40A77">
        <w:rPr>
          <w:color w:val="000000" w:themeColor="text1"/>
          <w:lang w:val="en-US"/>
        </w:rPr>
        <w:t xml:space="preserve">. </w:t>
      </w:r>
    </w:p>
    <w:p w14:paraId="3FC17959" w14:textId="265E7851" w:rsidR="00C07C0B" w:rsidRPr="00B40A77" w:rsidRDefault="00AD0E3E" w:rsidP="00C07C0B">
      <w:pPr>
        <w:pStyle w:val="Hangindent"/>
        <w:rPr>
          <w:color w:val="000000" w:themeColor="text1"/>
          <w:lang w:val="en-US"/>
        </w:rPr>
      </w:pPr>
      <w:r w:rsidRPr="00B40A77">
        <w:rPr>
          <w:color w:val="000000" w:themeColor="text1"/>
          <w:lang w:val="en-US"/>
        </w:rPr>
        <w:t>(</w:t>
      </w:r>
      <w:r w:rsidR="008238EB" w:rsidRPr="00B40A77">
        <w:rPr>
          <w:color w:val="000000" w:themeColor="text1"/>
          <w:lang w:val="en-US"/>
        </w:rPr>
        <w:t>7</w:t>
      </w:r>
      <w:r w:rsidR="00C07C0B" w:rsidRPr="00B40A77">
        <w:rPr>
          <w:color w:val="000000" w:themeColor="text1"/>
          <w:lang w:val="en-US"/>
        </w:rPr>
        <w:t>)</w:t>
      </w:r>
      <w:r w:rsidR="00C07C0B" w:rsidRPr="00B40A77">
        <w:rPr>
          <w:color w:val="000000" w:themeColor="text1"/>
          <w:lang w:val="en-US"/>
        </w:rPr>
        <w:tab/>
        <w:t xml:space="preserve">An </w:t>
      </w:r>
      <w:r w:rsidR="004B141C" w:rsidRPr="00B40A77">
        <w:rPr>
          <w:color w:val="000000" w:themeColor="text1"/>
          <w:lang w:val="en-US"/>
        </w:rPr>
        <w:t>I</w:t>
      </w:r>
      <w:r w:rsidR="00C07C0B" w:rsidRPr="00B40A77">
        <w:rPr>
          <w:color w:val="000000" w:themeColor="text1"/>
          <w:lang w:val="en-US"/>
        </w:rPr>
        <w:t>nformation is not open to objection by reason only of any failure to compl</w:t>
      </w:r>
      <w:r w:rsidR="007C65EF" w:rsidRPr="00B40A77">
        <w:rPr>
          <w:color w:val="000000" w:themeColor="text1"/>
          <w:lang w:val="en-US"/>
        </w:rPr>
        <w:t xml:space="preserve">y with this rule or with </w:t>
      </w:r>
      <w:hyperlink w:anchor="_92.2—Particulars" w:history="1">
        <w:r w:rsidR="006D6016" w:rsidRPr="00B40A77">
          <w:rPr>
            <w:rStyle w:val="Hyperlink"/>
            <w:color w:val="000000" w:themeColor="text1"/>
            <w:lang w:val="en-US"/>
          </w:rPr>
          <w:t>rule 92.2</w:t>
        </w:r>
      </w:hyperlink>
      <w:r w:rsidR="00C07C0B" w:rsidRPr="00B40A77">
        <w:rPr>
          <w:color w:val="000000" w:themeColor="text1"/>
          <w:lang w:val="en-US"/>
        </w:rPr>
        <w:t>.</w:t>
      </w:r>
    </w:p>
    <w:p w14:paraId="7C59252B" w14:textId="05D1ED6E" w:rsidR="00C07C0B" w:rsidRPr="00B40A77" w:rsidRDefault="004D7B6A" w:rsidP="00A766C1">
      <w:pPr>
        <w:pStyle w:val="Heading4"/>
        <w:rPr>
          <w:color w:val="000000" w:themeColor="text1"/>
        </w:rPr>
      </w:pPr>
      <w:bookmarkStart w:id="627" w:name="_92.2—Particulars"/>
      <w:bookmarkStart w:id="628" w:name="_Toc175239059"/>
      <w:bookmarkEnd w:id="627"/>
      <w:r w:rsidRPr="00B40A77">
        <w:rPr>
          <w:color w:val="000000" w:themeColor="text1"/>
        </w:rPr>
        <w:lastRenderedPageBreak/>
        <w:t>92</w:t>
      </w:r>
      <w:r w:rsidR="00C07C0B" w:rsidRPr="00B40A77">
        <w:rPr>
          <w:color w:val="000000" w:themeColor="text1"/>
        </w:rPr>
        <w:t>.2—Particulars</w:t>
      </w:r>
      <w:bookmarkEnd w:id="628"/>
    </w:p>
    <w:p w14:paraId="02F3DAA9" w14:textId="77777777" w:rsidR="00C07C0B" w:rsidRPr="00B40A77" w:rsidRDefault="00C07C0B" w:rsidP="00C07C0B">
      <w:pPr>
        <w:pStyle w:val="Hangindent"/>
        <w:keepNext/>
        <w:keepLines/>
        <w:rPr>
          <w:color w:val="000000" w:themeColor="text1"/>
          <w:szCs w:val="24"/>
          <w:lang w:val="en-US"/>
        </w:rPr>
      </w:pPr>
      <w:r w:rsidRPr="00B40A77">
        <w:rPr>
          <w:color w:val="000000" w:themeColor="text1"/>
          <w:szCs w:val="24"/>
          <w:lang w:val="en-US"/>
        </w:rPr>
        <w:t>(1)</w:t>
      </w:r>
      <w:r w:rsidRPr="00B40A77">
        <w:rPr>
          <w:color w:val="000000" w:themeColor="text1"/>
          <w:szCs w:val="24"/>
          <w:lang w:val="en-US"/>
        </w:rPr>
        <w:tab/>
        <w:t>If an offence comprises—</w:t>
      </w:r>
    </w:p>
    <w:p w14:paraId="60183892" w14:textId="77777777" w:rsidR="00C07C0B" w:rsidRPr="00B40A77" w:rsidRDefault="00C07C0B" w:rsidP="00C07C0B">
      <w:pPr>
        <w:pStyle w:val="Doublehangindent"/>
        <w:rPr>
          <w:color w:val="000000" w:themeColor="text1"/>
          <w:lang w:val="en-US"/>
        </w:rPr>
      </w:pPr>
      <w:r w:rsidRPr="00B40A77">
        <w:rPr>
          <w:color w:val="000000" w:themeColor="text1"/>
          <w:lang w:val="en-US"/>
        </w:rPr>
        <w:t>(a)</w:t>
      </w:r>
      <w:r w:rsidRPr="00B40A77">
        <w:rPr>
          <w:color w:val="000000" w:themeColor="text1"/>
          <w:lang w:val="en-US"/>
        </w:rPr>
        <w:tab/>
        <w:t>any one of several different acts or omissions;</w:t>
      </w:r>
    </w:p>
    <w:p w14:paraId="1C3F1535" w14:textId="77777777" w:rsidR="00C07C0B" w:rsidRPr="00B40A77" w:rsidRDefault="00C07C0B" w:rsidP="00C07C0B">
      <w:pPr>
        <w:pStyle w:val="Doublehangindent"/>
        <w:rPr>
          <w:color w:val="000000" w:themeColor="text1"/>
          <w:lang w:val="en-US"/>
        </w:rPr>
      </w:pPr>
      <w:r w:rsidRPr="00B40A77">
        <w:rPr>
          <w:color w:val="000000" w:themeColor="text1"/>
          <w:lang w:val="en-US"/>
        </w:rPr>
        <w:t>(b)</w:t>
      </w:r>
      <w:r w:rsidRPr="00B40A77">
        <w:rPr>
          <w:color w:val="000000" w:themeColor="text1"/>
          <w:lang w:val="en-US"/>
        </w:rPr>
        <w:tab/>
        <w:t>an act or omission in any one of several capacities;</w:t>
      </w:r>
    </w:p>
    <w:p w14:paraId="3B1D4668" w14:textId="77777777" w:rsidR="00C07C0B" w:rsidRPr="00B40A77" w:rsidRDefault="00C07C0B" w:rsidP="00C07C0B">
      <w:pPr>
        <w:pStyle w:val="Doublehangindent"/>
        <w:rPr>
          <w:color w:val="000000" w:themeColor="text1"/>
          <w:lang w:val="en-US"/>
        </w:rPr>
      </w:pPr>
      <w:r w:rsidRPr="00B40A77">
        <w:rPr>
          <w:color w:val="000000" w:themeColor="text1"/>
          <w:lang w:val="en-US"/>
        </w:rPr>
        <w:t>(c)</w:t>
      </w:r>
      <w:r w:rsidRPr="00B40A77">
        <w:rPr>
          <w:color w:val="000000" w:themeColor="text1"/>
          <w:lang w:val="en-US"/>
        </w:rPr>
        <w:tab/>
        <w:t>an act or omission with any one of several intentions; or</w:t>
      </w:r>
    </w:p>
    <w:p w14:paraId="6D22C770" w14:textId="77777777" w:rsidR="00C07C0B" w:rsidRPr="00B40A77" w:rsidRDefault="00C07C0B" w:rsidP="00C07C0B">
      <w:pPr>
        <w:pStyle w:val="Doublehangindent"/>
        <w:rPr>
          <w:color w:val="000000" w:themeColor="text1"/>
          <w:lang w:val="en-US"/>
        </w:rPr>
      </w:pPr>
      <w:r w:rsidRPr="00B40A77">
        <w:rPr>
          <w:color w:val="000000" w:themeColor="text1"/>
          <w:lang w:val="en-US"/>
        </w:rPr>
        <w:t>(d)</w:t>
      </w:r>
      <w:r w:rsidRPr="00B40A77">
        <w:rPr>
          <w:color w:val="000000" w:themeColor="text1"/>
          <w:lang w:val="en-US"/>
        </w:rPr>
        <w:tab/>
        <w:t>any other element in the alternative,</w:t>
      </w:r>
    </w:p>
    <w:p w14:paraId="6A4A14B6" w14:textId="526723C1" w:rsidR="00C07C0B" w:rsidRPr="00B40A77" w:rsidRDefault="00C07C0B" w:rsidP="00C07C0B">
      <w:pPr>
        <w:pStyle w:val="Doublehangindent"/>
        <w:ind w:left="1134" w:firstLine="0"/>
        <w:rPr>
          <w:color w:val="000000" w:themeColor="text1"/>
          <w:lang w:val="en-US"/>
        </w:rPr>
      </w:pPr>
      <w:r w:rsidRPr="00B40A77">
        <w:rPr>
          <w:color w:val="000000" w:themeColor="text1"/>
          <w:lang w:val="en-US"/>
        </w:rPr>
        <w:t>the acts, omissions, capacities, intentions or other matters in the alternative may be stated in the alternative in the count charging the offence.</w:t>
      </w:r>
    </w:p>
    <w:p w14:paraId="3709823A" w14:textId="77777777" w:rsidR="00C07C0B" w:rsidRPr="00B40A77" w:rsidRDefault="00C07C0B" w:rsidP="007B492F">
      <w:pPr>
        <w:pStyle w:val="Hangindent"/>
        <w:keepLines/>
        <w:widowControl w:val="0"/>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t xml:space="preserve">It is not necessary, in a count charging a statutory offence, to negative any exception or exemption from, or qualification of, the operation of the statutory provision creating the offence. </w:t>
      </w:r>
    </w:p>
    <w:p w14:paraId="02D5CB6F" w14:textId="122368CD" w:rsidR="00C07C0B" w:rsidRPr="00B40A77" w:rsidRDefault="00C07C0B" w:rsidP="00C07C0B">
      <w:pPr>
        <w:pStyle w:val="Hangindent"/>
        <w:keepNext/>
        <w:keepLines/>
        <w:rPr>
          <w:color w:val="000000" w:themeColor="text1"/>
          <w:szCs w:val="24"/>
          <w:lang w:val="en-US"/>
        </w:rPr>
      </w:pPr>
      <w:r w:rsidRPr="00B40A77">
        <w:rPr>
          <w:color w:val="000000" w:themeColor="text1"/>
          <w:szCs w:val="24"/>
          <w:lang w:val="en-US"/>
        </w:rPr>
        <w:t>(3)</w:t>
      </w:r>
      <w:r w:rsidRPr="00B40A77">
        <w:rPr>
          <w:color w:val="000000" w:themeColor="text1"/>
          <w:szCs w:val="24"/>
          <w:lang w:val="en-US"/>
        </w:rPr>
        <w:tab/>
        <w:t>The description or designation of a person to whom reference is made (other than a defendant) must be sufficient to identify the person, without necessarily stating their full and correct name</w:t>
      </w:r>
      <w:r w:rsidR="004F119C" w:rsidRPr="00B40A77">
        <w:rPr>
          <w:color w:val="000000" w:themeColor="text1"/>
          <w:szCs w:val="24"/>
          <w:lang w:val="en-US"/>
        </w:rPr>
        <w:t xml:space="preserve"> and</w:t>
      </w:r>
      <w:r w:rsidRPr="00B40A77">
        <w:rPr>
          <w:color w:val="000000" w:themeColor="text1"/>
          <w:szCs w:val="24"/>
          <w:lang w:val="en-US"/>
        </w:rPr>
        <w:t xml:space="preserve"> address.</w:t>
      </w:r>
    </w:p>
    <w:p w14:paraId="5EEA0510"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(4)</w:t>
      </w:r>
      <w:r w:rsidRPr="00B40A77">
        <w:rPr>
          <w:color w:val="000000" w:themeColor="text1"/>
          <w:szCs w:val="24"/>
          <w:lang w:val="en-US"/>
        </w:rPr>
        <w:tab/>
        <w:t xml:space="preserve">If such a description or designation cannot be given, the best description or designation must be given, or the person may be described as “a person unknown”. </w:t>
      </w:r>
    </w:p>
    <w:p w14:paraId="52D1294E" w14:textId="34245BC2" w:rsidR="00C07C0B" w:rsidRPr="00B40A77" w:rsidRDefault="00C07C0B" w:rsidP="00C07C0B">
      <w:pPr>
        <w:pStyle w:val="Hangindent"/>
        <w:rPr>
          <w:color w:val="000000" w:themeColor="text1"/>
          <w:szCs w:val="24"/>
          <w:lang w:val="en-US"/>
        </w:rPr>
      </w:pPr>
      <w:r w:rsidRPr="00B40A77">
        <w:rPr>
          <w:color w:val="000000" w:themeColor="text1"/>
          <w:szCs w:val="24"/>
          <w:lang w:val="en-US"/>
        </w:rPr>
        <w:t>(5)</w:t>
      </w:r>
      <w:r w:rsidRPr="00B40A77">
        <w:rPr>
          <w:color w:val="000000" w:themeColor="text1"/>
          <w:szCs w:val="24"/>
          <w:lang w:val="en-US"/>
        </w:rPr>
        <w:tab/>
        <w:t>The description of property</w:t>
      </w:r>
      <w:r w:rsidRPr="00B40A77">
        <w:rPr>
          <w:color w:val="000000" w:themeColor="text1"/>
          <w:szCs w:val="24"/>
        </w:rPr>
        <w:t xml:space="preserve"> </w:t>
      </w:r>
      <w:r w:rsidRPr="00B40A77">
        <w:rPr>
          <w:color w:val="000000" w:themeColor="text1"/>
          <w:szCs w:val="24"/>
          <w:lang w:val="en-US"/>
        </w:rPr>
        <w:t xml:space="preserve">must be sufficient to identify the property. </w:t>
      </w:r>
    </w:p>
    <w:p w14:paraId="3D2A74CC" w14:textId="28AC9286" w:rsidR="00C07C0B" w:rsidRPr="00B40A77" w:rsidRDefault="00C07C0B" w:rsidP="00C07C0B">
      <w:pPr>
        <w:pStyle w:val="Hangindent"/>
        <w:rPr>
          <w:color w:val="000000" w:themeColor="text1"/>
          <w:szCs w:val="24"/>
          <w:lang w:val="en-US"/>
        </w:rPr>
      </w:pPr>
      <w:r w:rsidRPr="00B40A77">
        <w:rPr>
          <w:color w:val="000000" w:themeColor="text1"/>
          <w:szCs w:val="24"/>
          <w:lang w:val="en-US"/>
        </w:rPr>
        <w:t>(6)</w:t>
      </w:r>
      <w:r w:rsidRPr="00B40A77">
        <w:rPr>
          <w:color w:val="000000" w:themeColor="text1"/>
          <w:szCs w:val="24"/>
          <w:lang w:val="en-US"/>
        </w:rPr>
        <w:tab/>
        <w:t xml:space="preserve">Unless an offence depends on the special ownership or value of </w:t>
      </w:r>
      <w:r w:rsidRPr="00B40A77">
        <w:rPr>
          <w:color w:val="000000" w:themeColor="text1"/>
          <w:szCs w:val="24"/>
        </w:rPr>
        <w:t>property, it</w:t>
      </w:r>
      <w:r w:rsidRPr="00B40A77">
        <w:rPr>
          <w:color w:val="000000" w:themeColor="text1"/>
          <w:szCs w:val="24"/>
          <w:lang w:val="en-US"/>
        </w:rPr>
        <w:t xml:space="preserve"> is not necessary to state the owner or value of the property. </w:t>
      </w:r>
    </w:p>
    <w:p w14:paraId="20CF7953"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(7)</w:t>
      </w:r>
      <w:r w:rsidRPr="00B40A77">
        <w:rPr>
          <w:color w:val="000000" w:themeColor="text1"/>
          <w:szCs w:val="24"/>
          <w:lang w:val="en-US"/>
        </w:rPr>
        <w:tab/>
        <w:t xml:space="preserve">If reference is made to property with multiple owners, it is sufficient to describe it as owned by one named person “with others”. </w:t>
      </w:r>
    </w:p>
    <w:p w14:paraId="526E1601"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(8)</w:t>
      </w:r>
      <w:r w:rsidRPr="00B40A77">
        <w:rPr>
          <w:color w:val="000000" w:themeColor="text1"/>
          <w:szCs w:val="24"/>
          <w:lang w:val="en-US"/>
        </w:rPr>
        <w:tab/>
        <w:t xml:space="preserve">If owners of property are a body of persons with a collective name, such as "Trustees", "Commissioners" or "Club", it is sufficient to use the collective name without naming an individual. </w:t>
      </w:r>
    </w:p>
    <w:p w14:paraId="644F0EAF"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(9)</w:t>
      </w:r>
      <w:r w:rsidRPr="00B40A77">
        <w:rPr>
          <w:color w:val="000000" w:themeColor="text1"/>
          <w:szCs w:val="24"/>
          <w:lang w:val="en-US"/>
        </w:rPr>
        <w:tab/>
        <w:t xml:space="preserve">The description of a document or instrument must be sufficient to identify it. </w:t>
      </w:r>
    </w:p>
    <w:p w14:paraId="47F3461C" w14:textId="3FDA96CC" w:rsidR="00C07C0B" w:rsidRPr="00B40A77" w:rsidRDefault="00C07C0B" w:rsidP="00C07C0B">
      <w:pPr>
        <w:pStyle w:val="Hangindent"/>
        <w:rPr>
          <w:color w:val="000000" w:themeColor="text1"/>
          <w:szCs w:val="24"/>
          <w:lang w:val="en-US"/>
        </w:rPr>
      </w:pPr>
      <w:r w:rsidRPr="00B40A77">
        <w:rPr>
          <w:color w:val="000000" w:themeColor="text1"/>
          <w:szCs w:val="24"/>
          <w:lang w:val="en-US"/>
        </w:rPr>
        <w:t>(10)</w:t>
      </w:r>
      <w:r w:rsidRPr="00B40A77">
        <w:rPr>
          <w:color w:val="000000" w:themeColor="text1"/>
          <w:szCs w:val="24"/>
          <w:lang w:val="en-US"/>
        </w:rPr>
        <w:tab/>
        <w:t xml:space="preserve">It is sufficient to describe a document or instrument by a name or designation by which it is </w:t>
      </w:r>
      <w:r w:rsidR="00C53698" w:rsidRPr="00B40A77">
        <w:rPr>
          <w:color w:val="000000" w:themeColor="text1"/>
          <w:szCs w:val="24"/>
          <w:lang w:val="en-US"/>
        </w:rPr>
        <w:t>generally</w:t>
      </w:r>
      <w:r w:rsidRPr="00B40A77">
        <w:rPr>
          <w:color w:val="000000" w:themeColor="text1"/>
          <w:szCs w:val="24"/>
          <w:lang w:val="en-US"/>
        </w:rPr>
        <w:t xml:space="preserve"> known, or by its effect, without setting out a copy of it. </w:t>
      </w:r>
    </w:p>
    <w:p w14:paraId="5AD587A6"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(11)</w:t>
      </w:r>
      <w:r w:rsidRPr="00B40A77">
        <w:rPr>
          <w:color w:val="000000" w:themeColor="text1"/>
          <w:szCs w:val="24"/>
          <w:lang w:val="en-US"/>
        </w:rPr>
        <w:tab/>
        <w:t xml:space="preserve">The description of a place, time, thing, matter, act or omission must be sufficient to identify it. </w:t>
      </w:r>
    </w:p>
    <w:p w14:paraId="4CC1BF39" w14:textId="77777777" w:rsidR="00C07C0B" w:rsidRPr="00B40A77" w:rsidRDefault="00C07C0B" w:rsidP="00C07C0B">
      <w:pPr>
        <w:pStyle w:val="Hangindent"/>
        <w:rPr>
          <w:color w:val="000000" w:themeColor="text1"/>
          <w:szCs w:val="24"/>
          <w:lang w:val="en-US"/>
        </w:rPr>
      </w:pPr>
      <w:r w:rsidRPr="00B40A77">
        <w:rPr>
          <w:color w:val="000000" w:themeColor="text1"/>
          <w:szCs w:val="24"/>
          <w:lang w:val="en-US"/>
        </w:rPr>
        <w:t>(12)</w:t>
      </w:r>
      <w:r w:rsidRPr="00B40A77">
        <w:rPr>
          <w:color w:val="000000" w:themeColor="text1"/>
          <w:szCs w:val="24"/>
          <w:lang w:val="en-US"/>
        </w:rPr>
        <w:tab/>
        <w:t>Figures and abbreviations may be used to express anything commonly expressed in that manner.</w:t>
      </w:r>
    </w:p>
    <w:p w14:paraId="3FD1D855" w14:textId="678EB399" w:rsidR="00C07C0B" w:rsidRPr="00B40A77" w:rsidRDefault="00C07C0B" w:rsidP="00C07C0B">
      <w:pPr>
        <w:pStyle w:val="Hangindent"/>
        <w:rPr>
          <w:color w:val="000000" w:themeColor="text1"/>
          <w:szCs w:val="24"/>
          <w:lang w:val="en-US"/>
        </w:rPr>
      </w:pPr>
      <w:r w:rsidRPr="00B40A77">
        <w:rPr>
          <w:color w:val="000000" w:themeColor="text1"/>
          <w:szCs w:val="24"/>
          <w:lang w:val="en-US"/>
        </w:rPr>
        <w:t>(13)</w:t>
      </w:r>
      <w:r w:rsidRPr="00B40A77">
        <w:rPr>
          <w:color w:val="000000" w:themeColor="text1"/>
          <w:szCs w:val="24"/>
          <w:lang w:val="en-US"/>
        </w:rPr>
        <w:tab/>
        <w:t xml:space="preserve">If a rule of law or </w:t>
      </w:r>
      <w:r w:rsidR="00532AD4" w:rsidRPr="00B40A77">
        <w:rPr>
          <w:color w:val="000000" w:themeColor="text1"/>
          <w:szCs w:val="24"/>
          <w:lang w:val="en-US"/>
        </w:rPr>
        <w:t>statutory provision</w:t>
      </w:r>
      <w:r w:rsidRPr="00B40A77">
        <w:rPr>
          <w:color w:val="000000" w:themeColor="text1"/>
          <w:szCs w:val="24"/>
          <w:lang w:val="en-US"/>
        </w:rPr>
        <w:t xml:space="preserve"> limits the particulars required to be given, this rule does not require more detailed particulars than those required by the rule or </w:t>
      </w:r>
      <w:r w:rsidR="00532AD4" w:rsidRPr="00B40A77">
        <w:rPr>
          <w:color w:val="000000" w:themeColor="text1"/>
          <w:szCs w:val="24"/>
          <w:lang w:val="en-US"/>
        </w:rPr>
        <w:t>statutory provision</w:t>
      </w:r>
      <w:r w:rsidRPr="00B40A77">
        <w:rPr>
          <w:color w:val="000000" w:themeColor="text1"/>
          <w:szCs w:val="24"/>
          <w:lang w:val="en-US"/>
        </w:rPr>
        <w:t>.</w:t>
      </w:r>
    </w:p>
    <w:p w14:paraId="7064FA8F" w14:textId="62A9A12D" w:rsidR="00C07C0B" w:rsidRPr="00B40A77" w:rsidRDefault="004D7B6A" w:rsidP="00C07C0B">
      <w:pPr>
        <w:pStyle w:val="Heading4"/>
        <w:rPr>
          <w:color w:val="000000" w:themeColor="text1"/>
        </w:rPr>
      </w:pPr>
      <w:bookmarkStart w:id="629" w:name="_Toc175239060"/>
      <w:r w:rsidRPr="00B40A77">
        <w:rPr>
          <w:color w:val="000000" w:themeColor="text1"/>
        </w:rPr>
        <w:t>92</w:t>
      </w:r>
      <w:r w:rsidR="00C07C0B" w:rsidRPr="00B40A77">
        <w:rPr>
          <w:color w:val="000000" w:themeColor="text1"/>
        </w:rPr>
        <w:t>.3—Service of Information</w:t>
      </w:r>
      <w:bookmarkEnd w:id="629"/>
      <w:r w:rsidR="00C07C0B" w:rsidRPr="00B40A77">
        <w:rPr>
          <w:color w:val="000000" w:themeColor="text1"/>
        </w:rPr>
        <w:t xml:space="preserve"> </w:t>
      </w:r>
    </w:p>
    <w:p w14:paraId="6CED3D4D" w14:textId="7B48006B" w:rsidR="00C07C0B" w:rsidRPr="00B40A77" w:rsidRDefault="00C07C0B" w:rsidP="00C07C0B">
      <w:pPr>
        <w:pStyle w:val="Hangindent"/>
        <w:rPr>
          <w:color w:val="000000" w:themeColor="text1"/>
          <w:lang w:val="en-US"/>
        </w:rPr>
      </w:pPr>
      <w:r w:rsidRPr="00B40A77">
        <w:rPr>
          <w:color w:val="000000" w:themeColor="text1"/>
          <w:lang w:val="en-US"/>
        </w:rPr>
        <w:t>(1)</w:t>
      </w:r>
      <w:r w:rsidRPr="00B40A77">
        <w:rPr>
          <w:color w:val="000000" w:themeColor="text1"/>
          <w:lang w:val="en-US"/>
        </w:rPr>
        <w:tab/>
        <w:t>The Information must be served on each defendant.</w:t>
      </w:r>
    </w:p>
    <w:p w14:paraId="7608566A" w14:textId="113A8BAD" w:rsidR="00C07C0B" w:rsidRPr="00B40A77" w:rsidRDefault="009573CE" w:rsidP="00AD0E3E">
      <w:pPr>
        <w:pStyle w:val="Hangindent"/>
        <w:rPr>
          <w:color w:val="000000" w:themeColor="text1"/>
          <w:lang w:val="en-US"/>
        </w:rPr>
      </w:pPr>
      <w:r w:rsidRPr="00B40A77">
        <w:rPr>
          <w:color w:val="000000" w:themeColor="text1"/>
          <w:lang w:val="en-US"/>
        </w:rPr>
        <w:t>(2</w:t>
      </w:r>
      <w:r w:rsidR="00C07C0B" w:rsidRPr="00B40A77">
        <w:rPr>
          <w:color w:val="000000" w:themeColor="text1"/>
          <w:lang w:val="en-US"/>
        </w:rPr>
        <w:t>)</w:t>
      </w:r>
      <w:r w:rsidR="00C07C0B" w:rsidRPr="00B40A77">
        <w:rPr>
          <w:color w:val="000000" w:themeColor="text1"/>
          <w:lang w:val="en-US"/>
        </w:rPr>
        <w:tab/>
        <w:t>The Information must be served</w:t>
      </w:r>
      <w:r w:rsidR="00AD0E3E" w:rsidRPr="00B40A77">
        <w:rPr>
          <w:color w:val="000000" w:themeColor="text1"/>
          <w:lang w:val="en-US"/>
        </w:rPr>
        <w:t xml:space="preserve"> </w:t>
      </w:r>
      <w:r w:rsidR="00C07C0B" w:rsidRPr="00B40A77">
        <w:rPr>
          <w:color w:val="000000" w:themeColor="text1"/>
        </w:rPr>
        <w:t xml:space="preserve">at least </w:t>
      </w:r>
      <w:r w:rsidR="00D73963" w:rsidRPr="00B40A77">
        <w:rPr>
          <w:color w:val="000000" w:themeColor="text1"/>
        </w:rPr>
        <w:t>6 weeks</w:t>
      </w:r>
      <w:r w:rsidR="00C07C0B" w:rsidRPr="00B40A77">
        <w:rPr>
          <w:color w:val="000000" w:themeColor="text1"/>
        </w:rPr>
        <w:t xml:space="preserve"> before the </w:t>
      </w:r>
      <w:hyperlink w:anchor="_2.1—Definitions" w:history="1">
        <w:r w:rsidR="0090777C" w:rsidRPr="00B40A77">
          <w:rPr>
            <w:rStyle w:val="Hyperlink"/>
            <w:color w:val="000000" w:themeColor="text1"/>
          </w:rPr>
          <w:t>first arraignment d</w:t>
        </w:r>
        <w:r w:rsidR="00C07C0B" w:rsidRPr="00B40A77">
          <w:rPr>
            <w:rStyle w:val="Hyperlink"/>
            <w:color w:val="000000" w:themeColor="text1"/>
          </w:rPr>
          <w:t>ate</w:t>
        </w:r>
      </w:hyperlink>
      <w:r w:rsidR="00E52884" w:rsidRPr="00B40A77">
        <w:rPr>
          <w:color w:val="000000" w:themeColor="text1"/>
          <w:lang w:val="en-US"/>
        </w:rPr>
        <w:t>.</w:t>
      </w:r>
    </w:p>
    <w:p w14:paraId="05567056" w14:textId="2B8E0143" w:rsidR="00C07C0B" w:rsidRPr="00B40A77" w:rsidRDefault="009573CE" w:rsidP="00763DD0">
      <w:pPr>
        <w:pStyle w:val="Hangindent"/>
        <w:keepNext/>
        <w:rPr>
          <w:color w:val="000000" w:themeColor="text1"/>
        </w:rPr>
      </w:pPr>
      <w:r w:rsidRPr="00B40A77">
        <w:rPr>
          <w:color w:val="000000" w:themeColor="text1"/>
        </w:rPr>
        <w:lastRenderedPageBreak/>
        <w:t>(3</w:t>
      </w:r>
      <w:r w:rsidR="00C07C0B" w:rsidRPr="00B40A77">
        <w:rPr>
          <w:color w:val="000000" w:themeColor="text1"/>
        </w:rPr>
        <w:t>)</w:t>
      </w:r>
      <w:r w:rsidR="00C07C0B" w:rsidRPr="00B40A77">
        <w:rPr>
          <w:color w:val="000000" w:themeColor="text1"/>
        </w:rPr>
        <w:tab/>
        <w:t xml:space="preserve">Unless the Court otherwise orders, </w:t>
      </w:r>
      <w:r w:rsidR="00C07C0B" w:rsidRPr="00B40A77">
        <w:rPr>
          <w:color w:val="000000" w:themeColor="text1"/>
          <w:lang w:val="en-US"/>
        </w:rPr>
        <w:t xml:space="preserve">service of the Information </w:t>
      </w:r>
      <w:r w:rsidR="00C07C0B" w:rsidRPr="00B40A77">
        <w:rPr>
          <w:color w:val="000000" w:themeColor="text1"/>
        </w:rPr>
        <w:t xml:space="preserve">must be effected by </w:t>
      </w:r>
      <w:hyperlink w:anchor="_2.1—Definitions" w:history="1">
        <w:hyperlink w:anchor="_33.7—Original_service" w:history="1">
          <w:r w:rsidR="003A1982" w:rsidRPr="00B40A77">
            <w:rPr>
              <w:rStyle w:val="Hyperlink"/>
              <w:color w:val="000000" w:themeColor="text1"/>
            </w:rPr>
            <w:t>original service</w:t>
          </w:r>
        </w:hyperlink>
      </w:hyperlink>
      <w:r w:rsidR="00C07C0B" w:rsidRPr="00B40A77">
        <w:rPr>
          <w:color w:val="000000" w:themeColor="text1"/>
        </w:rPr>
        <w:t>.</w:t>
      </w:r>
    </w:p>
    <w:p w14:paraId="4F96A5EA" w14:textId="539FB812" w:rsidR="00C07C0B" w:rsidRPr="00B40A77" w:rsidRDefault="00CE22A2" w:rsidP="004E3D0F">
      <w:pPr>
        <w:pStyle w:val="NoteHeader"/>
        <w:keepNext/>
        <w:rPr>
          <w:color w:val="000000" w:themeColor="text1"/>
        </w:rPr>
      </w:pPr>
      <w:r w:rsidRPr="00B40A77">
        <w:rPr>
          <w:color w:val="000000" w:themeColor="text1"/>
        </w:rPr>
        <w:t>Note</w:t>
      </w:r>
      <w:r w:rsidR="00C07C0B" w:rsidRPr="00B40A77">
        <w:rPr>
          <w:color w:val="000000" w:themeColor="text1"/>
        </w:rPr>
        <w:t>—</w:t>
      </w:r>
    </w:p>
    <w:p w14:paraId="6167DFBE" w14:textId="0AD83E0D" w:rsidR="00C07C0B" w:rsidRPr="00B40A77" w:rsidRDefault="00C07C0B" w:rsidP="00C07C0B">
      <w:pPr>
        <w:pStyle w:val="NoteText"/>
        <w:rPr>
          <w:color w:val="000000" w:themeColor="text1"/>
        </w:rPr>
      </w:pPr>
      <w:r w:rsidRPr="00B40A77">
        <w:rPr>
          <w:color w:val="000000" w:themeColor="text1"/>
        </w:rPr>
        <w:t xml:space="preserve">Service of </w:t>
      </w:r>
      <w:r w:rsidRPr="00B40A77">
        <w:rPr>
          <w:color w:val="000000" w:themeColor="text1"/>
          <w:lang w:val="en-US"/>
        </w:rPr>
        <w:t xml:space="preserve">an Information </w:t>
      </w:r>
      <w:r w:rsidRPr="00B40A77">
        <w:rPr>
          <w:color w:val="000000" w:themeColor="text1"/>
        </w:rPr>
        <w:t>in another State is effective only if there is compliance with section</w:t>
      </w:r>
      <w:r w:rsidR="0068622B" w:rsidRPr="00B40A77">
        <w:rPr>
          <w:color w:val="000000" w:themeColor="text1"/>
        </w:rPr>
        <w:t> </w:t>
      </w:r>
      <w:r w:rsidRPr="00B40A77">
        <w:rPr>
          <w:color w:val="000000" w:themeColor="text1"/>
        </w:rPr>
        <w:t>16 of the</w:t>
      </w:r>
      <w:r w:rsidRPr="00B40A77">
        <w:rPr>
          <w:i/>
          <w:color w:val="000000" w:themeColor="text1"/>
        </w:rPr>
        <w:t xml:space="preserve"> </w:t>
      </w:r>
      <w:r w:rsidRPr="00B40A77">
        <w:rPr>
          <w:iCs/>
          <w:color w:val="000000" w:themeColor="text1"/>
        </w:rPr>
        <w:t>Service and Execution of Process Act</w:t>
      </w:r>
      <w:r w:rsidRPr="00B40A77">
        <w:rPr>
          <w:color w:val="000000" w:themeColor="text1"/>
        </w:rPr>
        <w:t>.</w:t>
      </w:r>
    </w:p>
    <w:p w14:paraId="3392ADE9" w14:textId="2A796341" w:rsidR="007F01B9" w:rsidRPr="00B40A77" w:rsidRDefault="00A766C1" w:rsidP="007F01B9">
      <w:pPr>
        <w:pStyle w:val="Heading4"/>
        <w:rPr>
          <w:color w:val="000000" w:themeColor="text1"/>
        </w:rPr>
      </w:pPr>
      <w:bookmarkStart w:id="630" w:name="_Toc175239061"/>
      <w:bookmarkStart w:id="631" w:name="_Hlk65160243"/>
      <w:bookmarkStart w:id="632" w:name="_Hlk67649391"/>
      <w:r w:rsidRPr="00B40A77">
        <w:rPr>
          <w:color w:val="000000" w:themeColor="text1"/>
        </w:rPr>
        <w:t>92</w:t>
      </w:r>
      <w:r w:rsidR="007F01B9" w:rsidRPr="00B40A77">
        <w:rPr>
          <w:color w:val="000000" w:themeColor="text1"/>
        </w:rPr>
        <w:t>.4—Notification to Supreme Court</w:t>
      </w:r>
      <w:bookmarkEnd w:id="630"/>
    </w:p>
    <w:p w14:paraId="1D2696E4" w14:textId="01D32BFA" w:rsidR="007F01B9" w:rsidRPr="00B40A77" w:rsidRDefault="007F01B9" w:rsidP="007F01B9">
      <w:pPr>
        <w:pStyle w:val="Hangindent"/>
        <w:rPr>
          <w:color w:val="000000" w:themeColor="text1"/>
          <w:szCs w:val="24"/>
          <w:lang w:val="en-US"/>
        </w:rPr>
      </w:pPr>
      <w:r w:rsidRPr="00B40A77">
        <w:rPr>
          <w:color w:val="000000" w:themeColor="text1"/>
          <w:lang w:val="en-US"/>
        </w:rPr>
        <w:t>(1)</w:t>
      </w:r>
      <w:r w:rsidRPr="00B40A77">
        <w:rPr>
          <w:color w:val="000000" w:themeColor="text1"/>
          <w:lang w:val="en-US"/>
        </w:rPr>
        <w:tab/>
        <w:t xml:space="preserve">If the defendant was committed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in the District Court or the Director files an ex officio </w:t>
      </w:r>
      <w:r w:rsidR="004B141C" w:rsidRPr="00B40A77">
        <w:rPr>
          <w:color w:val="000000" w:themeColor="text1"/>
          <w:lang w:val="en-US"/>
        </w:rPr>
        <w:t>I</w:t>
      </w:r>
      <w:r w:rsidRPr="00B40A77">
        <w:rPr>
          <w:color w:val="000000" w:themeColor="text1"/>
          <w:lang w:val="en-US"/>
        </w:rPr>
        <w:t>nformation under section</w:t>
      </w:r>
      <w:r w:rsidR="003F313A" w:rsidRPr="00B40A77">
        <w:rPr>
          <w:color w:val="000000" w:themeColor="text1"/>
          <w:lang w:val="en-US"/>
        </w:rPr>
        <w:t> </w:t>
      </w:r>
      <w:r w:rsidRPr="00B40A77">
        <w:rPr>
          <w:color w:val="000000" w:themeColor="text1"/>
          <w:szCs w:val="24"/>
          <w:lang w:val="en-US"/>
        </w:rPr>
        <w:t>103 of the Procedure Act</w:t>
      </w:r>
      <w:r w:rsidR="00C92759" w:rsidRPr="00B40A77">
        <w:rPr>
          <w:color w:val="000000" w:themeColor="text1"/>
          <w:szCs w:val="24"/>
          <w:lang w:val="en-US"/>
        </w:rPr>
        <w:t xml:space="preserve"> on a</w:t>
      </w:r>
      <w:r w:rsidR="006F2620" w:rsidRPr="00B40A77">
        <w:rPr>
          <w:color w:val="000000" w:themeColor="text1"/>
          <w:szCs w:val="24"/>
          <w:lang w:val="en-US"/>
        </w:rPr>
        <w:t xml:space="preserve"> charge that includes a charge or charges to which this rule applies</w:t>
      </w:r>
      <w:r w:rsidRPr="00B40A77">
        <w:rPr>
          <w:color w:val="000000" w:themeColor="text1"/>
          <w:szCs w:val="24"/>
          <w:lang w:val="en-US"/>
        </w:rPr>
        <w:t xml:space="preserve">, the Director must </w:t>
      </w:r>
      <w:r w:rsidR="00C92759" w:rsidRPr="00B40A77">
        <w:rPr>
          <w:color w:val="000000" w:themeColor="text1"/>
          <w:szCs w:val="24"/>
          <w:lang w:val="en-US"/>
        </w:rPr>
        <w:t>within 14 days of</w:t>
      </w:r>
      <w:r w:rsidRPr="00B40A77">
        <w:rPr>
          <w:color w:val="000000" w:themeColor="text1"/>
          <w:szCs w:val="24"/>
          <w:lang w:val="en-US"/>
        </w:rPr>
        <w:t xml:space="preserve"> filing the Information in the District Court give written not</w:t>
      </w:r>
      <w:r w:rsidR="006F2620" w:rsidRPr="00B40A77">
        <w:rPr>
          <w:color w:val="000000" w:themeColor="text1"/>
          <w:szCs w:val="24"/>
          <w:lang w:val="en-US"/>
        </w:rPr>
        <w:t>ice to the Supreme Court that the charge is one to which this rule applies and the reason</w:t>
      </w:r>
      <w:r w:rsidR="00C92759" w:rsidRPr="00B40A77">
        <w:rPr>
          <w:color w:val="000000" w:themeColor="text1"/>
          <w:szCs w:val="24"/>
          <w:lang w:val="en-US"/>
        </w:rPr>
        <w:t>.</w:t>
      </w:r>
    </w:p>
    <w:p w14:paraId="3A51142E" w14:textId="59461604" w:rsidR="006F2620" w:rsidRPr="00B40A77" w:rsidRDefault="000E1511" w:rsidP="006F2620">
      <w:pPr>
        <w:pStyle w:val="Hangindent"/>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t>This rule applies to</w:t>
      </w:r>
      <w:r w:rsidR="003D1615" w:rsidRPr="00B40A77">
        <w:rPr>
          <w:color w:val="000000" w:themeColor="text1"/>
          <w:szCs w:val="24"/>
          <w:lang w:val="en-US"/>
        </w:rPr>
        <w:t xml:space="preserve"> an </w:t>
      </w:r>
      <w:r w:rsidR="004B141C" w:rsidRPr="00B40A77">
        <w:rPr>
          <w:color w:val="000000" w:themeColor="text1"/>
          <w:szCs w:val="24"/>
          <w:lang w:val="en-US"/>
        </w:rPr>
        <w:t>I</w:t>
      </w:r>
      <w:r w:rsidR="003D1615" w:rsidRPr="00B40A77">
        <w:rPr>
          <w:color w:val="000000" w:themeColor="text1"/>
          <w:szCs w:val="24"/>
          <w:lang w:val="en-US"/>
        </w:rPr>
        <w:t>nformation containing one or more of the following charges</w:t>
      </w:r>
      <w:r w:rsidR="006F2620" w:rsidRPr="00B40A77">
        <w:rPr>
          <w:rFonts w:cs="Times New Roman"/>
          <w:color w:val="000000" w:themeColor="text1"/>
        </w:rPr>
        <w:t>—</w:t>
      </w:r>
    </w:p>
    <w:p w14:paraId="537FF6DC" w14:textId="143EAA8D" w:rsidR="006F2620" w:rsidRPr="00B40A77" w:rsidRDefault="006F2620" w:rsidP="006F2620">
      <w:pPr>
        <w:pStyle w:val="Doublehangindent"/>
        <w:rPr>
          <w:color w:val="000000" w:themeColor="text1"/>
          <w:lang w:val="en-US"/>
        </w:rPr>
      </w:pPr>
      <w:r w:rsidRPr="00B40A77">
        <w:rPr>
          <w:color w:val="000000" w:themeColor="text1"/>
          <w:lang w:val="en-US"/>
        </w:rPr>
        <w:t>(a)</w:t>
      </w:r>
      <w:r w:rsidRPr="00B40A77">
        <w:rPr>
          <w:color w:val="000000" w:themeColor="text1"/>
          <w:lang w:val="en-US"/>
        </w:rPr>
        <w:tab/>
        <w:t>manslaughter or cause death by dangerous driving;</w:t>
      </w:r>
    </w:p>
    <w:p w14:paraId="3BB1C539" w14:textId="6C876D39" w:rsidR="006F2620" w:rsidRPr="00B40A77" w:rsidRDefault="006F2620" w:rsidP="00301D7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301D71" w:rsidRPr="00B40A77">
        <w:rPr>
          <w:color w:val="000000" w:themeColor="text1"/>
          <w:lang w:val="en-US"/>
        </w:rPr>
        <w:t xml:space="preserve">a terrorism offence </w:t>
      </w:r>
      <w:r w:rsidR="000E1511" w:rsidRPr="00B40A77">
        <w:rPr>
          <w:color w:val="000000" w:themeColor="text1"/>
          <w:lang w:val="en-US"/>
        </w:rPr>
        <w:t xml:space="preserve">within the meaning of the Crimes Act </w:t>
      </w:r>
      <w:r w:rsidR="00301D71" w:rsidRPr="00B40A77">
        <w:rPr>
          <w:color w:val="000000" w:themeColor="text1"/>
          <w:lang w:val="en-US"/>
        </w:rPr>
        <w:t xml:space="preserve">or </w:t>
      </w:r>
      <w:r w:rsidR="00664B73" w:rsidRPr="00B40A77">
        <w:rPr>
          <w:color w:val="000000" w:themeColor="text1"/>
          <w:lang w:val="en-US"/>
        </w:rPr>
        <w:t xml:space="preserve">an </w:t>
      </w:r>
      <w:r w:rsidR="00301D71" w:rsidRPr="00B40A77">
        <w:rPr>
          <w:color w:val="000000" w:themeColor="text1"/>
          <w:lang w:val="en-US"/>
        </w:rPr>
        <w:t>attempt or conspiracy to commit such an offence;</w:t>
      </w:r>
      <w:r w:rsidR="000E1511" w:rsidRPr="00B40A77">
        <w:rPr>
          <w:color w:val="000000" w:themeColor="text1"/>
          <w:lang w:val="en-US"/>
        </w:rPr>
        <w:t xml:space="preserve"> </w:t>
      </w:r>
      <w:r w:rsidR="003D1615" w:rsidRPr="00B40A77">
        <w:rPr>
          <w:color w:val="000000" w:themeColor="text1"/>
          <w:lang w:val="en-US"/>
        </w:rPr>
        <w:t>or</w:t>
      </w:r>
    </w:p>
    <w:p w14:paraId="0E672CCA" w14:textId="3E9DDBD8" w:rsidR="00301D71" w:rsidRPr="00B40A77" w:rsidRDefault="00301D71" w:rsidP="00301D71">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0E1511" w:rsidRPr="00B40A77">
        <w:rPr>
          <w:color w:val="000000" w:themeColor="text1"/>
          <w:lang w:val="en-US"/>
        </w:rPr>
        <w:t xml:space="preserve">a </w:t>
      </w:r>
      <w:r w:rsidR="000E1511" w:rsidRPr="00B40A77">
        <w:rPr>
          <w:color w:val="000000" w:themeColor="text1"/>
          <w:szCs w:val="24"/>
          <w:lang w:val="en-US"/>
        </w:rPr>
        <w:t>charge or charges</w:t>
      </w:r>
      <w:r w:rsidR="000E1511" w:rsidRPr="00B40A77">
        <w:rPr>
          <w:color w:val="000000" w:themeColor="text1"/>
          <w:lang w:val="en-US"/>
        </w:rPr>
        <w:t xml:space="preserve"> </w:t>
      </w:r>
      <w:r w:rsidRPr="00B40A77">
        <w:rPr>
          <w:color w:val="000000" w:themeColor="text1"/>
          <w:lang w:val="en-US"/>
        </w:rPr>
        <w:t>in which there is expected to be highly technical or complex expert evidence or the facts and issues are expected to be highly technical or complex</w:t>
      </w:r>
      <w:r w:rsidR="000E1511" w:rsidRPr="00B40A77">
        <w:rPr>
          <w:color w:val="000000" w:themeColor="text1"/>
          <w:lang w:val="en-US"/>
        </w:rPr>
        <w:t>.</w:t>
      </w:r>
    </w:p>
    <w:p w14:paraId="1783DAD9" w14:textId="0101276B" w:rsidR="007D374A" w:rsidRPr="00B40A77" w:rsidRDefault="00A766C1" w:rsidP="007D374A">
      <w:pPr>
        <w:pStyle w:val="Heading4"/>
        <w:rPr>
          <w:color w:val="000000" w:themeColor="text1"/>
        </w:rPr>
      </w:pPr>
      <w:bookmarkStart w:id="633" w:name="_Toc175239062"/>
      <w:bookmarkEnd w:id="631"/>
      <w:bookmarkEnd w:id="632"/>
      <w:r w:rsidRPr="00B40A77">
        <w:rPr>
          <w:color w:val="000000" w:themeColor="text1"/>
        </w:rPr>
        <w:t>92</w:t>
      </w:r>
      <w:r w:rsidR="007D374A" w:rsidRPr="00B40A77">
        <w:rPr>
          <w:color w:val="000000" w:themeColor="text1"/>
        </w:rPr>
        <w:t>.5—Decision not to prosecute</w:t>
      </w:r>
      <w:bookmarkEnd w:id="633"/>
    </w:p>
    <w:p w14:paraId="386F7180" w14:textId="1D4AD7FC" w:rsidR="007D374A" w:rsidRPr="00B40A77" w:rsidRDefault="007D374A"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BB121E" w:rsidRPr="00B40A77">
        <w:rPr>
          <w:color w:val="000000" w:themeColor="text1"/>
          <w:lang w:val="en-US"/>
        </w:rPr>
        <w:t>If a</w:t>
      </w:r>
      <w:r w:rsidRPr="00B40A77">
        <w:rPr>
          <w:color w:val="000000" w:themeColor="text1"/>
          <w:lang w:val="en-US"/>
        </w:rPr>
        <w:t xml:space="preserve"> defendant </w:t>
      </w:r>
      <w:r w:rsidR="0027512B" w:rsidRPr="00B40A77">
        <w:rPr>
          <w:color w:val="000000" w:themeColor="text1"/>
          <w:lang w:val="en-US"/>
        </w:rPr>
        <w:t xml:space="preserve">or youth </w:t>
      </w:r>
      <w:r w:rsidR="00664B73" w:rsidRPr="00B40A77">
        <w:rPr>
          <w:color w:val="000000" w:themeColor="text1"/>
          <w:lang w:val="en-US"/>
        </w:rPr>
        <w:t xml:space="preserve">is </w:t>
      </w:r>
      <w:r w:rsidRPr="00B40A77">
        <w:rPr>
          <w:color w:val="000000" w:themeColor="text1"/>
          <w:lang w:val="en-US"/>
        </w:rPr>
        <w:t xml:space="preserve">committed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and the Director </w:t>
      </w:r>
      <w:r w:rsidR="00FF63C0" w:rsidRPr="00B40A77">
        <w:rPr>
          <w:color w:val="000000" w:themeColor="text1"/>
          <w:lang w:val="en-US"/>
        </w:rPr>
        <w:t xml:space="preserve">decides not to file an Information </w:t>
      </w:r>
      <w:r w:rsidR="003F0310" w:rsidRPr="00B40A77">
        <w:rPr>
          <w:color w:val="000000" w:themeColor="text1"/>
          <w:lang w:val="en-US"/>
        </w:rPr>
        <w:t>under section</w:t>
      </w:r>
      <w:r w:rsidR="003F313A" w:rsidRPr="00B40A77">
        <w:rPr>
          <w:color w:val="000000" w:themeColor="text1"/>
          <w:lang w:val="en-US"/>
        </w:rPr>
        <w:t> </w:t>
      </w:r>
      <w:r w:rsidR="003F0310" w:rsidRPr="00B40A77">
        <w:rPr>
          <w:color w:val="000000" w:themeColor="text1"/>
          <w:lang w:val="en-US"/>
        </w:rPr>
        <w:t xml:space="preserve">122 of the Procedure Act, the Director must file and serve on the defendant or youth a </w:t>
      </w:r>
      <w:r w:rsidR="0027512B" w:rsidRPr="00B40A77">
        <w:rPr>
          <w:color w:val="000000" w:themeColor="text1"/>
        </w:rPr>
        <w:t>certificate of prosecution declining to prosecute</w:t>
      </w:r>
      <w:r w:rsidR="0027512B" w:rsidRPr="00B40A77">
        <w:rPr>
          <w:color w:val="000000" w:themeColor="text1"/>
          <w:lang w:val="en-US"/>
        </w:rPr>
        <w:t xml:space="preserve"> in the prescribed form.</w:t>
      </w:r>
    </w:p>
    <w:p w14:paraId="1F7D5EF1" w14:textId="77777777" w:rsidR="00C34919" w:rsidRPr="00B40A77" w:rsidRDefault="00C34919" w:rsidP="00037437">
      <w:pPr>
        <w:pStyle w:val="NoteHeader"/>
        <w:keepNext/>
        <w:rPr>
          <w:color w:val="000000" w:themeColor="text1"/>
        </w:rPr>
      </w:pPr>
      <w:r w:rsidRPr="00B40A77">
        <w:rPr>
          <w:color w:val="000000" w:themeColor="text1"/>
        </w:rPr>
        <w:t>Prescribed form—</w:t>
      </w:r>
    </w:p>
    <w:p w14:paraId="27AFFD8C" w14:textId="6A1E5B70" w:rsidR="00C34919" w:rsidRPr="00B40A77" w:rsidRDefault="00C34919" w:rsidP="00C34919">
      <w:pPr>
        <w:pStyle w:val="NoteText"/>
        <w:rPr>
          <w:color w:val="000000" w:themeColor="text1"/>
          <w:u w:val="single"/>
        </w:rPr>
      </w:pPr>
      <w:r w:rsidRPr="00B40A77">
        <w:rPr>
          <w:color w:val="000000" w:themeColor="text1"/>
        </w:rPr>
        <w:t xml:space="preserve">Form </w:t>
      </w:r>
      <w:r w:rsidR="00D04DA6" w:rsidRPr="00B40A77">
        <w:rPr>
          <w:color w:val="000000" w:themeColor="text1"/>
        </w:rPr>
        <w:t>10</w:t>
      </w:r>
      <w:r w:rsidRPr="00B40A77">
        <w:rPr>
          <w:color w:val="000000" w:themeColor="text1"/>
        </w:rPr>
        <w:t xml:space="preserve"> </w:t>
      </w:r>
      <w:r w:rsidRPr="00B40A77">
        <w:rPr>
          <w:color w:val="000000" w:themeColor="text1"/>
          <w:u w:val="single"/>
        </w:rPr>
        <w:t>Certificate of Prosecution Declining to Prosecute</w:t>
      </w:r>
      <w:r w:rsidR="00D04DA6" w:rsidRPr="00B40A77">
        <w:rPr>
          <w:color w:val="000000" w:themeColor="text1"/>
          <w:u w:val="single"/>
        </w:rPr>
        <w:t xml:space="preserve"> (Higher Courts)</w:t>
      </w:r>
    </w:p>
    <w:p w14:paraId="779A434A" w14:textId="07596353" w:rsidR="00664B73" w:rsidRPr="00B40A77" w:rsidRDefault="0027512B" w:rsidP="0027512B">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664B73" w:rsidRPr="00B40A77">
        <w:rPr>
          <w:color w:val="000000" w:themeColor="text1"/>
          <w:lang w:val="en-US"/>
        </w:rPr>
        <w:t>The Court will issue a warrant of discharge in the prescribed form if</w:t>
      </w:r>
      <w:r w:rsidR="00664B73" w:rsidRPr="00B40A77">
        <w:rPr>
          <w:color w:val="000000" w:themeColor="text1"/>
        </w:rPr>
        <w:t>—</w:t>
      </w:r>
    </w:p>
    <w:p w14:paraId="06BED7AE" w14:textId="0B441E9A" w:rsidR="00664B73" w:rsidRPr="00B40A77" w:rsidRDefault="00664B73" w:rsidP="00664B73">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27512B" w:rsidRPr="00B40A77">
        <w:rPr>
          <w:color w:val="000000" w:themeColor="text1"/>
          <w:lang w:val="en-US"/>
        </w:rPr>
        <w:t xml:space="preserve">the Director files a </w:t>
      </w:r>
      <w:r w:rsidR="0027512B" w:rsidRPr="00B40A77">
        <w:rPr>
          <w:color w:val="000000" w:themeColor="text1"/>
        </w:rPr>
        <w:t xml:space="preserve">certificate of </w:t>
      </w:r>
      <w:r w:rsidR="0027512B" w:rsidRPr="00B40A77">
        <w:rPr>
          <w:color w:val="000000" w:themeColor="text1"/>
          <w:lang w:val="en-US"/>
        </w:rPr>
        <w:t>prosecution declining to prosecute</w:t>
      </w:r>
      <w:r w:rsidRPr="00B40A77">
        <w:rPr>
          <w:color w:val="000000" w:themeColor="text1"/>
          <w:lang w:val="en-US"/>
        </w:rPr>
        <w:t>;</w:t>
      </w:r>
    </w:p>
    <w:p w14:paraId="161B9A51" w14:textId="4F56BD4E" w:rsidR="0032524F" w:rsidRPr="00B40A77" w:rsidRDefault="00664B73" w:rsidP="00664B73">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27512B" w:rsidRPr="00B40A77">
        <w:rPr>
          <w:color w:val="000000" w:themeColor="text1"/>
          <w:lang w:val="en-US"/>
        </w:rPr>
        <w:t>a defendant or youth is in custody</w:t>
      </w:r>
      <w:r w:rsidR="0032524F" w:rsidRPr="00B40A77">
        <w:rPr>
          <w:color w:val="000000" w:themeColor="text1"/>
          <w:lang w:val="en-US"/>
        </w:rPr>
        <w:t>;</w:t>
      </w:r>
      <w:r w:rsidR="0027512B" w:rsidRPr="00B40A77">
        <w:rPr>
          <w:color w:val="000000" w:themeColor="text1"/>
          <w:lang w:val="en-US"/>
        </w:rPr>
        <w:t xml:space="preserve"> and</w:t>
      </w:r>
    </w:p>
    <w:p w14:paraId="55E43495" w14:textId="559169B2" w:rsidR="0027512B" w:rsidRPr="00B40A77" w:rsidRDefault="0032524F" w:rsidP="00037437">
      <w:pPr>
        <w:pStyle w:val="Doublehangindent"/>
        <w:keepNext/>
        <w:rPr>
          <w:color w:val="000000" w:themeColor="text1"/>
          <w:lang w:val="en-US"/>
        </w:rPr>
      </w:pPr>
      <w:r w:rsidRPr="00B40A77">
        <w:rPr>
          <w:color w:val="000000" w:themeColor="text1"/>
          <w:lang w:val="en-US"/>
        </w:rPr>
        <w:t>(c)</w:t>
      </w:r>
      <w:r w:rsidRPr="00B40A77">
        <w:rPr>
          <w:color w:val="000000" w:themeColor="text1"/>
          <w:lang w:val="en-US"/>
        </w:rPr>
        <w:tab/>
      </w:r>
      <w:r w:rsidR="0027512B" w:rsidRPr="00B40A77">
        <w:rPr>
          <w:color w:val="000000" w:themeColor="text1"/>
          <w:lang w:val="en-US"/>
        </w:rPr>
        <w:t>a Judge direct</w:t>
      </w:r>
      <w:r w:rsidR="00BB121E" w:rsidRPr="00B40A77">
        <w:rPr>
          <w:color w:val="000000" w:themeColor="text1"/>
          <w:lang w:val="en-US"/>
        </w:rPr>
        <w:t>s</w:t>
      </w:r>
      <w:r w:rsidR="0027512B" w:rsidRPr="00B40A77">
        <w:rPr>
          <w:color w:val="000000" w:themeColor="text1"/>
          <w:lang w:val="en-US"/>
        </w:rPr>
        <w:t xml:space="preserve"> that </w:t>
      </w:r>
      <w:r w:rsidR="00BB121E" w:rsidRPr="00B40A77">
        <w:rPr>
          <w:color w:val="000000" w:themeColor="text1"/>
          <w:lang w:val="en-US"/>
        </w:rPr>
        <w:t>the defendant or youth</w:t>
      </w:r>
      <w:r w:rsidR="0027512B" w:rsidRPr="00B40A77">
        <w:rPr>
          <w:color w:val="000000" w:themeColor="text1"/>
          <w:lang w:val="en-US"/>
        </w:rPr>
        <w:t xml:space="preserve"> be discharged from custody</w:t>
      </w:r>
      <w:r w:rsidR="00BB121E" w:rsidRPr="00B40A77">
        <w:rPr>
          <w:color w:val="000000" w:themeColor="text1"/>
          <w:lang w:val="en-US"/>
        </w:rPr>
        <w:t xml:space="preserve"> under section</w:t>
      </w:r>
      <w:r w:rsidR="003F313A" w:rsidRPr="00B40A77">
        <w:rPr>
          <w:color w:val="000000" w:themeColor="text1"/>
          <w:lang w:val="en-US"/>
        </w:rPr>
        <w:t> </w:t>
      </w:r>
      <w:r w:rsidR="00BB121E" w:rsidRPr="00B40A77">
        <w:rPr>
          <w:color w:val="000000" w:themeColor="text1"/>
          <w:lang w:val="en-US"/>
        </w:rPr>
        <w:t>122(2)(a)(ii) of the Procedure Act</w:t>
      </w:r>
      <w:r w:rsidR="0027512B" w:rsidRPr="00B40A77">
        <w:rPr>
          <w:color w:val="000000" w:themeColor="text1"/>
          <w:lang w:val="en-US"/>
        </w:rPr>
        <w:t>.</w:t>
      </w:r>
    </w:p>
    <w:p w14:paraId="2C749F24" w14:textId="77777777" w:rsidR="0027512B" w:rsidRPr="00B40A77" w:rsidRDefault="0027512B" w:rsidP="00037437">
      <w:pPr>
        <w:pStyle w:val="NoteHeader"/>
        <w:keepNext/>
        <w:ind w:left="1701"/>
        <w:rPr>
          <w:color w:val="000000" w:themeColor="text1"/>
        </w:rPr>
      </w:pPr>
      <w:r w:rsidRPr="00B40A77">
        <w:rPr>
          <w:color w:val="000000" w:themeColor="text1"/>
        </w:rPr>
        <w:t>Prescribed form—</w:t>
      </w:r>
    </w:p>
    <w:p w14:paraId="2B56B23A" w14:textId="5B4CA0EF" w:rsidR="00083ACA" w:rsidRPr="00B40A77" w:rsidRDefault="0027512B" w:rsidP="00AD1D32">
      <w:pPr>
        <w:pStyle w:val="NoteText"/>
        <w:ind w:left="1985"/>
        <w:rPr>
          <w:color w:val="000000" w:themeColor="text1"/>
        </w:rPr>
      </w:pPr>
      <w:r w:rsidRPr="00B40A77">
        <w:rPr>
          <w:color w:val="000000" w:themeColor="text1"/>
        </w:rPr>
        <w:t xml:space="preserve">Form 147 </w:t>
      </w:r>
      <w:hyperlink r:id="rId180" w:history="1">
        <w:r w:rsidRPr="00B40A77">
          <w:rPr>
            <w:rStyle w:val="Hyperlink"/>
            <w:color w:val="000000" w:themeColor="text1"/>
          </w:rPr>
          <w:t>Warrant of Discharge</w:t>
        </w:r>
      </w:hyperlink>
    </w:p>
    <w:p w14:paraId="3FABE28F" w14:textId="779720E2" w:rsidR="00FD4767" w:rsidRPr="00B40A77" w:rsidRDefault="00FD4767" w:rsidP="00BE23A0">
      <w:pPr>
        <w:pStyle w:val="Heading2"/>
        <w:keepNext/>
        <w:rPr>
          <w:color w:val="000000" w:themeColor="text1"/>
        </w:rPr>
      </w:pPr>
      <w:bookmarkStart w:id="634" w:name="_Toc175239063"/>
      <w:bookmarkStart w:id="635" w:name="_Toc60133503"/>
      <w:r w:rsidRPr="00B40A77">
        <w:rPr>
          <w:color w:val="000000" w:themeColor="text1"/>
        </w:rPr>
        <w:t xml:space="preserve">Part </w:t>
      </w:r>
      <w:r w:rsidR="00B87028" w:rsidRPr="00B40A77">
        <w:rPr>
          <w:color w:val="000000" w:themeColor="text1"/>
        </w:rPr>
        <w:t>3</w:t>
      </w:r>
      <w:r w:rsidRPr="00B40A77">
        <w:rPr>
          <w:color w:val="000000" w:themeColor="text1"/>
        </w:rPr>
        <w:t>—Disclosure</w:t>
      </w:r>
      <w:bookmarkEnd w:id="634"/>
    </w:p>
    <w:p w14:paraId="3479DCD2" w14:textId="4534509F" w:rsidR="00FD4767" w:rsidRPr="00B40A77" w:rsidRDefault="001D53FE" w:rsidP="00A766C1">
      <w:pPr>
        <w:pStyle w:val="Heading4"/>
        <w:rPr>
          <w:color w:val="000000" w:themeColor="text1"/>
        </w:rPr>
      </w:pPr>
      <w:bookmarkStart w:id="636" w:name="_93.1—Case_Statements"/>
      <w:bookmarkStart w:id="637" w:name="_Toc60133504"/>
      <w:bookmarkStart w:id="638" w:name="_Toc175239064"/>
      <w:bookmarkStart w:id="639" w:name="_Hlk96594884"/>
      <w:bookmarkEnd w:id="635"/>
      <w:bookmarkEnd w:id="636"/>
      <w:r w:rsidRPr="00B40A77">
        <w:rPr>
          <w:color w:val="000000" w:themeColor="text1"/>
        </w:rPr>
        <w:t>93</w:t>
      </w:r>
      <w:r w:rsidR="00D73963" w:rsidRPr="00B40A77">
        <w:rPr>
          <w:color w:val="000000" w:themeColor="text1"/>
        </w:rPr>
        <w:t>.1</w:t>
      </w:r>
      <w:r w:rsidR="00FD4767" w:rsidRPr="00B40A77">
        <w:rPr>
          <w:color w:val="000000" w:themeColor="text1"/>
        </w:rPr>
        <w:t>—Case Statements</w:t>
      </w:r>
      <w:bookmarkEnd w:id="637"/>
      <w:bookmarkEnd w:id="638"/>
    </w:p>
    <w:p w14:paraId="42192D45" w14:textId="4690B219" w:rsidR="00FD4767" w:rsidRPr="00B40A77" w:rsidRDefault="00D73963" w:rsidP="00D73963">
      <w:pPr>
        <w:pStyle w:val="Hangindent"/>
        <w:keepNext/>
        <w:keepLines/>
        <w:rPr>
          <w:color w:val="000000" w:themeColor="text1"/>
          <w:szCs w:val="24"/>
          <w:lang w:val="en-US"/>
        </w:rPr>
      </w:pPr>
      <w:r w:rsidRPr="00B40A77">
        <w:rPr>
          <w:color w:val="000000" w:themeColor="text1"/>
          <w:szCs w:val="24"/>
          <w:lang w:val="en-US"/>
        </w:rPr>
        <w:t>(1)</w:t>
      </w:r>
      <w:r w:rsidRPr="00B40A77">
        <w:rPr>
          <w:color w:val="000000" w:themeColor="text1"/>
          <w:szCs w:val="24"/>
          <w:lang w:val="en-US"/>
        </w:rPr>
        <w:tab/>
        <w:t>If a proceeding is</w:t>
      </w:r>
      <w:r w:rsidR="00FD4767" w:rsidRPr="00B40A77">
        <w:rPr>
          <w:color w:val="000000" w:themeColor="text1"/>
          <w:szCs w:val="24"/>
          <w:lang w:val="en-US"/>
        </w:rPr>
        <w:t xml:space="preserve"> instituted by the Director layi</w:t>
      </w:r>
      <w:r w:rsidR="006D6736" w:rsidRPr="00B40A77">
        <w:rPr>
          <w:color w:val="000000" w:themeColor="text1"/>
          <w:szCs w:val="24"/>
          <w:lang w:val="en-US"/>
        </w:rPr>
        <w:t xml:space="preserve">ng an </w:t>
      </w:r>
      <w:r w:rsidR="00DC1CCC" w:rsidRPr="00B40A77">
        <w:rPr>
          <w:color w:val="000000" w:themeColor="text1"/>
          <w:szCs w:val="24"/>
          <w:lang w:val="en-US"/>
        </w:rPr>
        <w:t>I</w:t>
      </w:r>
      <w:r w:rsidR="006D6736" w:rsidRPr="00B40A77">
        <w:rPr>
          <w:color w:val="000000" w:themeColor="text1"/>
          <w:szCs w:val="24"/>
          <w:lang w:val="en-US"/>
        </w:rPr>
        <w:t xml:space="preserve">nformation ex officio </w:t>
      </w:r>
      <w:r w:rsidRPr="00B40A77">
        <w:rPr>
          <w:color w:val="000000" w:themeColor="text1"/>
          <w:szCs w:val="24"/>
          <w:lang w:val="en-US"/>
        </w:rPr>
        <w:t>under</w:t>
      </w:r>
      <w:r w:rsidR="00767F8C" w:rsidRPr="00B40A77">
        <w:rPr>
          <w:color w:val="000000" w:themeColor="text1"/>
          <w:szCs w:val="24"/>
          <w:lang w:val="en-US"/>
        </w:rPr>
        <w:t xml:space="preserve"> section</w:t>
      </w:r>
      <w:r w:rsidR="003F313A" w:rsidRPr="00B40A77">
        <w:rPr>
          <w:color w:val="000000" w:themeColor="text1"/>
          <w:szCs w:val="24"/>
          <w:lang w:val="en-US"/>
        </w:rPr>
        <w:t> </w:t>
      </w:r>
      <w:r w:rsidR="00767F8C" w:rsidRPr="00B40A77">
        <w:rPr>
          <w:color w:val="000000" w:themeColor="text1"/>
          <w:szCs w:val="24"/>
          <w:lang w:val="en-US"/>
        </w:rPr>
        <w:t xml:space="preserve">103 of the </w:t>
      </w:r>
      <w:r w:rsidR="00316B94" w:rsidRPr="00B40A77">
        <w:rPr>
          <w:color w:val="000000" w:themeColor="text1"/>
          <w:szCs w:val="24"/>
          <w:lang w:val="en-US"/>
        </w:rPr>
        <w:t xml:space="preserve">Procedure </w:t>
      </w:r>
      <w:r w:rsidR="00767F8C" w:rsidRPr="00B40A77">
        <w:rPr>
          <w:color w:val="000000" w:themeColor="text1"/>
          <w:szCs w:val="24"/>
          <w:lang w:val="en-US"/>
        </w:rPr>
        <w:t>Act</w:t>
      </w:r>
      <w:r w:rsidR="00767F8C" w:rsidRPr="00B40A77">
        <w:rPr>
          <w:rFonts w:cs="Times New Roman"/>
          <w:color w:val="000000" w:themeColor="text1"/>
        </w:rPr>
        <w:t>—</w:t>
      </w:r>
    </w:p>
    <w:p w14:paraId="5AEA9242" w14:textId="25C6DF1F" w:rsidR="00FD4767" w:rsidRPr="00B40A77" w:rsidRDefault="00E30AC4" w:rsidP="00D73963">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Director must file and serve on each</w:t>
      </w:r>
      <w:r w:rsidR="00FD4767" w:rsidRPr="00B40A77">
        <w:rPr>
          <w:color w:val="000000" w:themeColor="text1"/>
          <w:lang w:val="en-US"/>
        </w:rPr>
        <w:t xml:space="preserve"> </w:t>
      </w:r>
      <w:r w:rsidRPr="00B40A77">
        <w:rPr>
          <w:color w:val="000000" w:themeColor="text1"/>
          <w:lang w:val="en-US"/>
        </w:rPr>
        <w:t>defendant</w:t>
      </w:r>
      <w:r w:rsidR="00FD4767" w:rsidRPr="00B40A77">
        <w:rPr>
          <w:color w:val="000000" w:themeColor="text1"/>
          <w:lang w:val="en-US"/>
        </w:rPr>
        <w:t xml:space="preserve"> a prosecution case statement </w:t>
      </w:r>
      <w:r w:rsidRPr="00B40A77">
        <w:rPr>
          <w:color w:val="000000" w:themeColor="text1"/>
          <w:lang w:val="en-US"/>
        </w:rPr>
        <w:t>complying</w:t>
      </w:r>
      <w:r w:rsidR="00FD4767" w:rsidRPr="00B40A77">
        <w:rPr>
          <w:color w:val="000000" w:themeColor="text1"/>
          <w:lang w:val="en-US"/>
        </w:rPr>
        <w:t xml:space="preserve"> with section</w:t>
      </w:r>
      <w:r w:rsidR="003F313A" w:rsidRPr="00B40A77">
        <w:rPr>
          <w:color w:val="000000" w:themeColor="text1"/>
          <w:lang w:val="en-US"/>
        </w:rPr>
        <w:t> </w:t>
      </w:r>
      <w:r w:rsidR="00FD4767" w:rsidRPr="00B40A77">
        <w:rPr>
          <w:color w:val="000000" w:themeColor="text1"/>
          <w:lang w:val="en-US"/>
        </w:rPr>
        <w:t>123(2)</w:t>
      </w:r>
      <w:r w:rsidRPr="00B40A77">
        <w:rPr>
          <w:color w:val="000000" w:themeColor="text1"/>
          <w:lang w:val="en-US"/>
        </w:rPr>
        <w:t xml:space="preserve"> of the </w:t>
      </w:r>
      <w:r w:rsidR="008F15BA" w:rsidRPr="00B40A77">
        <w:rPr>
          <w:color w:val="000000" w:themeColor="text1"/>
          <w:lang w:val="en-US"/>
        </w:rPr>
        <w:t xml:space="preserve">Procedure </w:t>
      </w:r>
      <w:r w:rsidRPr="00B40A77">
        <w:rPr>
          <w:color w:val="000000" w:themeColor="text1"/>
          <w:lang w:val="en-US"/>
        </w:rPr>
        <w:t xml:space="preserve">Act at least </w:t>
      </w:r>
      <w:r w:rsidRPr="00B40A77">
        <w:rPr>
          <w:color w:val="000000" w:themeColor="text1"/>
        </w:rPr>
        <w:t xml:space="preserve">6 weeks before the </w:t>
      </w:r>
      <w:hyperlink w:anchor="_2.1—Definitions" w:history="1">
        <w:r w:rsidR="00E9233A" w:rsidRPr="00B40A77">
          <w:rPr>
            <w:rStyle w:val="Hyperlink"/>
            <w:color w:val="000000" w:themeColor="text1"/>
          </w:rPr>
          <w:t>first arraignment date</w:t>
        </w:r>
      </w:hyperlink>
      <w:r w:rsidR="00FD4767" w:rsidRPr="00B40A77">
        <w:rPr>
          <w:color w:val="000000" w:themeColor="text1"/>
          <w:lang w:val="en-US"/>
        </w:rPr>
        <w:t>;</w:t>
      </w:r>
    </w:p>
    <w:p w14:paraId="73F9DC91" w14:textId="596A6A1F" w:rsidR="00FD4767" w:rsidRPr="00B40A77" w:rsidRDefault="00E30AC4" w:rsidP="00D73963">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each</w:t>
      </w:r>
      <w:r w:rsidR="00FD4767" w:rsidRPr="00B40A77">
        <w:rPr>
          <w:color w:val="000000" w:themeColor="text1"/>
          <w:lang w:val="en-US"/>
        </w:rPr>
        <w:t xml:space="preserve"> </w:t>
      </w:r>
      <w:r w:rsidRPr="00B40A77">
        <w:rPr>
          <w:color w:val="000000" w:themeColor="text1"/>
          <w:lang w:val="en-US"/>
        </w:rPr>
        <w:t>defendant</w:t>
      </w:r>
      <w:r w:rsidR="00FD4767" w:rsidRPr="00B40A77">
        <w:rPr>
          <w:color w:val="000000" w:themeColor="text1"/>
          <w:lang w:val="en-US"/>
        </w:rPr>
        <w:t xml:space="preserve"> </w:t>
      </w:r>
      <w:r w:rsidRPr="00B40A77">
        <w:rPr>
          <w:color w:val="000000" w:themeColor="text1"/>
          <w:lang w:val="en-US"/>
        </w:rPr>
        <w:t>must</w:t>
      </w:r>
      <w:r w:rsidR="00FD4767" w:rsidRPr="00B40A77">
        <w:rPr>
          <w:color w:val="000000" w:themeColor="text1"/>
          <w:lang w:val="en-US"/>
        </w:rPr>
        <w:t xml:space="preserve"> file and serve on the Director </w:t>
      </w:r>
      <w:r w:rsidR="00BA1E71" w:rsidRPr="00B40A77">
        <w:rPr>
          <w:color w:val="000000" w:themeColor="text1"/>
          <w:lang w:val="en-US"/>
        </w:rPr>
        <w:t xml:space="preserve">and any other defendant </w:t>
      </w:r>
      <w:r w:rsidR="00FD4767" w:rsidRPr="00B40A77">
        <w:rPr>
          <w:color w:val="000000" w:themeColor="text1"/>
          <w:lang w:val="en-US"/>
        </w:rPr>
        <w:t xml:space="preserve">a defence case statement </w:t>
      </w:r>
      <w:r w:rsidRPr="00B40A77">
        <w:rPr>
          <w:color w:val="000000" w:themeColor="text1"/>
          <w:lang w:val="en-US"/>
        </w:rPr>
        <w:t xml:space="preserve">complying with </w:t>
      </w:r>
      <w:r w:rsidR="00FD4767" w:rsidRPr="00B40A77">
        <w:rPr>
          <w:color w:val="000000" w:themeColor="text1"/>
          <w:lang w:val="en-US"/>
        </w:rPr>
        <w:t>section</w:t>
      </w:r>
      <w:r w:rsidR="003F313A" w:rsidRPr="00B40A77">
        <w:rPr>
          <w:color w:val="000000" w:themeColor="text1"/>
          <w:lang w:val="en-US"/>
        </w:rPr>
        <w:t> </w:t>
      </w:r>
      <w:r w:rsidR="00FD4767" w:rsidRPr="00B40A77">
        <w:rPr>
          <w:color w:val="000000" w:themeColor="text1"/>
          <w:lang w:val="en-US"/>
        </w:rPr>
        <w:t xml:space="preserve">123(3) of the </w:t>
      </w:r>
      <w:r w:rsidR="008F15BA" w:rsidRPr="00B40A77">
        <w:rPr>
          <w:color w:val="000000" w:themeColor="text1"/>
          <w:lang w:val="en-US"/>
        </w:rPr>
        <w:t xml:space="preserve">Procedure </w:t>
      </w:r>
      <w:r w:rsidR="00FD4767" w:rsidRPr="00B40A77">
        <w:rPr>
          <w:color w:val="000000" w:themeColor="text1"/>
          <w:lang w:val="en-US"/>
        </w:rPr>
        <w:t xml:space="preserve">Act </w:t>
      </w:r>
      <w:r w:rsidRPr="00B40A77">
        <w:rPr>
          <w:color w:val="000000" w:themeColor="text1"/>
          <w:lang w:val="en-US"/>
        </w:rPr>
        <w:t>at least</w:t>
      </w:r>
      <w:r w:rsidR="00FD4767" w:rsidRPr="00B40A77">
        <w:rPr>
          <w:color w:val="000000" w:themeColor="text1"/>
          <w:lang w:val="en-US"/>
        </w:rPr>
        <w:t xml:space="preserve"> 14 days before the </w:t>
      </w:r>
      <w:hyperlink w:anchor="_2.1—Definitions" w:history="1">
        <w:r w:rsidR="00E9233A" w:rsidRPr="00B40A77">
          <w:rPr>
            <w:rStyle w:val="Hyperlink"/>
            <w:color w:val="000000" w:themeColor="text1"/>
          </w:rPr>
          <w:t>first arraignment date</w:t>
        </w:r>
      </w:hyperlink>
      <w:r w:rsidR="00FD4767" w:rsidRPr="00B40A77">
        <w:rPr>
          <w:color w:val="000000" w:themeColor="text1"/>
          <w:lang w:val="en-US"/>
        </w:rPr>
        <w:t>;</w:t>
      </w:r>
    </w:p>
    <w:p w14:paraId="538FAAC6" w14:textId="62761A80" w:rsidR="00FD4767" w:rsidRPr="00B40A77" w:rsidRDefault="00FA3F87" w:rsidP="00173536">
      <w:pPr>
        <w:pStyle w:val="Doublehangindent"/>
        <w:keepNext/>
        <w:rPr>
          <w:color w:val="000000" w:themeColor="text1"/>
          <w:lang w:val="en-US"/>
        </w:rPr>
      </w:pPr>
      <w:r w:rsidRPr="00B40A77">
        <w:rPr>
          <w:color w:val="000000" w:themeColor="text1"/>
          <w:lang w:val="en-US"/>
        </w:rPr>
        <w:t>(c)</w:t>
      </w:r>
      <w:r w:rsidRPr="00B40A77">
        <w:rPr>
          <w:color w:val="000000" w:themeColor="text1"/>
          <w:lang w:val="en-US"/>
        </w:rPr>
        <w:tab/>
        <w:t>i</w:t>
      </w:r>
      <w:r w:rsidR="00FD4767" w:rsidRPr="00B40A77">
        <w:rPr>
          <w:color w:val="000000" w:themeColor="text1"/>
          <w:lang w:val="en-US"/>
        </w:rPr>
        <w:t xml:space="preserve">f the regulations made under the </w:t>
      </w:r>
      <w:r w:rsidR="008F15BA" w:rsidRPr="00B40A77">
        <w:rPr>
          <w:color w:val="000000" w:themeColor="text1"/>
          <w:lang w:val="en-US"/>
        </w:rPr>
        <w:t xml:space="preserve">Procedure </w:t>
      </w:r>
      <w:r w:rsidR="00FD4767" w:rsidRPr="00B40A77">
        <w:rPr>
          <w:color w:val="000000" w:themeColor="text1"/>
          <w:lang w:val="en-US"/>
        </w:rPr>
        <w:t>Act require the prosec</w:t>
      </w:r>
      <w:r w:rsidR="008F15BA" w:rsidRPr="00B40A77">
        <w:rPr>
          <w:color w:val="000000" w:themeColor="text1"/>
          <w:lang w:val="en-US"/>
        </w:rPr>
        <w:t>ution to serve a response to a</w:t>
      </w:r>
      <w:r w:rsidR="00FD4767" w:rsidRPr="00B40A77">
        <w:rPr>
          <w:color w:val="000000" w:themeColor="text1"/>
          <w:lang w:val="en-US"/>
        </w:rPr>
        <w:t xml:space="preserve"> defence case statement, the Director </w:t>
      </w:r>
      <w:r w:rsidR="008F15BA" w:rsidRPr="00B40A77">
        <w:rPr>
          <w:color w:val="000000" w:themeColor="text1"/>
          <w:lang w:val="en-US"/>
        </w:rPr>
        <w:t>must</w:t>
      </w:r>
      <w:r w:rsidR="00FD4767" w:rsidRPr="00B40A77">
        <w:rPr>
          <w:color w:val="000000" w:themeColor="text1"/>
          <w:lang w:val="en-US"/>
        </w:rPr>
        <w:t xml:space="preserve"> file and serve on </w:t>
      </w:r>
      <w:r w:rsidR="008F15BA" w:rsidRPr="00B40A77">
        <w:rPr>
          <w:color w:val="000000" w:themeColor="text1"/>
          <w:lang w:val="en-US"/>
        </w:rPr>
        <w:t>each</w:t>
      </w:r>
      <w:r w:rsidR="00FD4767" w:rsidRPr="00B40A77">
        <w:rPr>
          <w:color w:val="000000" w:themeColor="text1"/>
          <w:lang w:val="en-US"/>
        </w:rPr>
        <w:t xml:space="preserve"> </w:t>
      </w:r>
      <w:r w:rsidR="008F15BA" w:rsidRPr="00B40A77">
        <w:rPr>
          <w:color w:val="000000" w:themeColor="text1"/>
          <w:lang w:val="en-US"/>
        </w:rPr>
        <w:t>defendant</w:t>
      </w:r>
      <w:r w:rsidR="00FD4767" w:rsidRPr="00B40A77">
        <w:rPr>
          <w:color w:val="000000" w:themeColor="text1"/>
          <w:lang w:val="en-US"/>
        </w:rPr>
        <w:t xml:space="preserve"> a response to the defence statement in the same circumstances as if section</w:t>
      </w:r>
      <w:r w:rsidR="003F313A" w:rsidRPr="00B40A77">
        <w:rPr>
          <w:color w:val="000000" w:themeColor="text1"/>
          <w:lang w:val="en-US"/>
        </w:rPr>
        <w:t> </w:t>
      </w:r>
      <w:r w:rsidR="00FD4767" w:rsidRPr="00B40A77">
        <w:rPr>
          <w:color w:val="000000" w:themeColor="text1"/>
          <w:lang w:val="en-US"/>
        </w:rPr>
        <w:t>123(9) and the regulations applied</w:t>
      </w:r>
      <w:r w:rsidR="00C64F6C" w:rsidRPr="00B40A77">
        <w:rPr>
          <w:color w:val="000000" w:themeColor="text1"/>
          <w:lang w:val="en-US"/>
        </w:rPr>
        <w:t xml:space="preserve"> at least 7</w:t>
      </w:r>
      <w:r w:rsidR="00CE22A2" w:rsidRPr="00B40A77">
        <w:rPr>
          <w:color w:val="000000" w:themeColor="text1"/>
          <w:lang w:val="en-US"/>
        </w:rPr>
        <w:t xml:space="preserve"> day</w:t>
      </w:r>
      <w:r w:rsidR="00C64F6C" w:rsidRPr="00B40A77">
        <w:rPr>
          <w:color w:val="000000" w:themeColor="text1"/>
          <w:lang w:val="en-US"/>
        </w:rPr>
        <w:t>s</w:t>
      </w:r>
      <w:r w:rsidR="00CE22A2" w:rsidRPr="00B40A77">
        <w:rPr>
          <w:color w:val="000000" w:themeColor="text1"/>
          <w:lang w:val="en-US"/>
        </w:rPr>
        <w:t xml:space="preserve"> before the </w:t>
      </w:r>
      <w:hyperlink w:anchor="_2.1—Definitions" w:history="1">
        <w:r w:rsidR="00E9233A" w:rsidRPr="00B40A77">
          <w:rPr>
            <w:rStyle w:val="Hyperlink"/>
            <w:color w:val="000000" w:themeColor="text1"/>
          </w:rPr>
          <w:t>first arraignment date</w:t>
        </w:r>
      </w:hyperlink>
      <w:r w:rsidR="00FD4767" w:rsidRPr="00B40A77">
        <w:rPr>
          <w:color w:val="000000" w:themeColor="text1"/>
          <w:lang w:val="en-US"/>
        </w:rPr>
        <w:t>.</w:t>
      </w:r>
    </w:p>
    <w:p w14:paraId="499750C3" w14:textId="4CF0DCD9" w:rsidR="00FD4767" w:rsidRPr="00B40A77" w:rsidRDefault="00FD4767" w:rsidP="00B9368A">
      <w:pPr>
        <w:pStyle w:val="NoteHeader"/>
        <w:keepNext/>
        <w:ind w:left="1701"/>
        <w:rPr>
          <w:color w:val="000000" w:themeColor="text1"/>
        </w:rPr>
      </w:pPr>
      <w:r w:rsidRPr="00B40A77">
        <w:rPr>
          <w:color w:val="000000" w:themeColor="text1"/>
        </w:rPr>
        <w:t>Note</w:t>
      </w:r>
      <w:r w:rsidR="00130C35" w:rsidRPr="00B40A77">
        <w:rPr>
          <w:color w:val="000000" w:themeColor="text1"/>
        </w:rPr>
        <w:t>s</w:t>
      </w:r>
      <w:r w:rsidRPr="00B40A77">
        <w:rPr>
          <w:color w:val="000000" w:themeColor="text1"/>
        </w:rPr>
        <w:t>–</w:t>
      </w:r>
    </w:p>
    <w:p w14:paraId="774461CA" w14:textId="0A1C505C" w:rsidR="00130C35" w:rsidRPr="00B40A77" w:rsidRDefault="00FD4767" w:rsidP="00B9368A">
      <w:pPr>
        <w:pStyle w:val="NoteText"/>
        <w:ind w:left="1985"/>
        <w:rPr>
          <w:color w:val="000000" w:themeColor="text1"/>
        </w:rPr>
      </w:pPr>
      <w:r w:rsidRPr="00B40A77">
        <w:rPr>
          <w:color w:val="000000" w:themeColor="text1"/>
        </w:rPr>
        <w:t xml:space="preserve">Section 123 of the </w:t>
      </w:r>
      <w:r w:rsidR="00316B94" w:rsidRPr="00B40A77">
        <w:rPr>
          <w:color w:val="000000" w:themeColor="text1"/>
        </w:rPr>
        <w:t xml:space="preserve">Procedure </w:t>
      </w:r>
      <w:r w:rsidRPr="00B40A77">
        <w:rPr>
          <w:color w:val="000000" w:themeColor="text1"/>
        </w:rPr>
        <w:t xml:space="preserve">Act applies of its own force when the </w:t>
      </w:r>
      <w:r w:rsidR="00D73963" w:rsidRPr="00B40A77">
        <w:rPr>
          <w:color w:val="000000" w:themeColor="text1"/>
        </w:rPr>
        <w:t>defendant</w:t>
      </w:r>
      <w:r w:rsidRPr="00B40A77">
        <w:rPr>
          <w:color w:val="000000" w:themeColor="text1"/>
        </w:rPr>
        <w:t xml:space="preserve"> has been committed for</w:t>
      </w:r>
      <w:r w:rsidR="00227217" w:rsidRPr="00B40A77">
        <w:rPr>
          <w:color w:val="000000" w:themeColor="text1"/>
        </w:rPr>
        <w:t xml:space="preserve"> </w:t>
      </w:r>
      <w:r w:rsidRPr="00B40A77">
        <w:rPr>
          <w:color w:val="000000" w:themeColor="text1"/>
        </w:rPr>
        <w:t>trial.</w:t>
      </w:r>
    </w:p>
    <w:p w14:paraId="4D0212B8" w14:textId="67E38846" w:rsidR="00FD4767" w:rsidRPr="00B40A77" w:rsidRDefault="00130C35" w:rsidP="00B9368A">
      <w:pPr>
        <w:pStyle w:val="NoteText"/>
        <w:ind w:left="1985"/>
        <w:rPr>
          <w:color w:val="000000" w:themeColor="text1"/>
        </w:rPr>
      </w:pPr>
      <w:r w:rsidRPr="00B40A77">
        <w:rPr>
          <w:color w:val="000000" w:themeColor="text1"/>
        </w:rPr>
        <w:t xml:space="preserve">Section 123(11) </w:t>
      </w:r>
      <w:r w:rsidR="00316B94" w:rsidRPr="00B40A77">
        <w:rPr>
          <w:color w:val="000000" w:themeColor="text1"/>
        </w:rPr>
        <w:t xml:space="preserve">of the Procedure Act </w:t>
      </w:r>
      <w:r w:rsidRPr="00B40A77">
        <w:rPr>
          <w:color w:val="000000" w:themeColor="text1"/>
        </w:rPr>
        <w:t>provides that, whe</w:t>
      </w:r>
      <w:r w:rsidR="004F119C" w:rsidRPr="00B40A77">
        <w:rPr>
          <w:color w:val="000000" w:themeColor="text1"/>
        </w:rPr>
        <w:t>n</w:t>
      </w:r>
      <w:r w:rsidRPr="00B40A77">
        <w:rPr>
          <w:color w:val="000000" w:themeColor="text1"/>
        </w:rPr>
        <w:t xml:space="preserve"> proceedings have been instituted in a superior court by the Director laying an </w:t>
      </w:r>
      <w:r w:rsidR="00DC1CCC" w:rsidRPr="00B40A77">
        <w:rPr>
          <w:color w:val="000000" w:themeColor="text1"/>
        </w:rPr>
        <w:t>I</w:t>
      </w:r>
      <w:r w:rsidRPr="00B40A77">
        <w:rPr>
          <w:color w:val="000000" w:themeColor="text1"/>
        </w:rPr>
        <w:t xml:space="preserve">nformation ex officio in accordance with </w:t>
      </w:r>
      <w:hyperlink w:anchor="id5f20075b_e52e_4e77_86fd_2020b6158876_b" w:history="1">
        <w:r w:rsidRPr="00B40A77">
          <w:rPr>
            <w:color w:val="000000" w:themeColor="text1"/>
          </w:rPr>
          <w:t>section 103</w:t>
        </w:r>
      </w:hyperlink>
      <w:r w:rsidRPr="00B40A77">
        <w:rPr>
          <w:color w:val="000000" w:themeColor="text1"/>
        </w:rPr>
        <w:t>, section</w:t>
      </w:r>
      <w:r w:rsidR="00316B94" w:rsidRPr="00B40A77">
        <w:rPr>
          <w:color w:val="000000" w:themeColor="text1"/>
        </w:rPr>
        <w:t>s</w:t>
      </w:r>
      <w:r w:rsidR="0064389F" w:rsidRPr="00B40A77">
        <w:rPr>
          <w:color w:val="000000" w:themeColor="text1"/>
        </w:rPr>
        <w:t> </w:t>
      </w:r>
      <w:r w:rsidR="00316B94" w:rsidRPr="00B40A77">
        <w:rPr>
          <w:color w:val="000000" w:themeColor="text1"/>
        </w:rPr>
        <w:t>123</w:t>
      </w:r>
      <w:r w:rsidR="0064389F" w:rsidRPr="00B40A77">
        <w:rPr>
          <w:color w:val="000000" w:themeColor="text1"/>
        </w:rPr>
        <w:t xml:space="preserve"> </w:t>
      </w:r>
      <w:r w:rsidR="00316B94" w:rsidRPr="00B40A77">
        <w:rPr>
          <w:color w:val="000000" w:themeColor="text1"/>
        </w:rPr>
        <w:t>and</w:t>
      </w:r>
      <w:r w:rsidR="0064389F" w:rsidRPr="00B40A77">
        <w:rPr>
          <w:color w:val="000000" w:themeColor="text1"/>
        </w:rPr>
        <w:t> </w:t>
      </w:r>
      <w:r w:rsidRPr="00B40A77">
        <w:rPr>
          <w:color w:val="000000" w:themeColor="text1"/>
        </w:rPr>
        <w:t>124 appl</w:t>
      </w:r>
      <w:r w:rsidR="00316B94" w:rsidRPr="00B40A77">
        <w:rPr>
          <w:color w:val="000000" w:themeColor="text1"/>
        </w:rPr>
        <w:t>y</w:t>
      </w:r>
      <w:r w:rsidRPr="00B40A77">
        <w:rPr>
          <w:color w:val="000000" w:themeColor="text1"/>
        </w:rPr>
        <w:t xml:space="preserve"> in relation to those proceedings with the modifications prescribed by the rules of the superior court.</w:t>
      </w:r>
    </w:p>
    <w:p w14:paraId="02062104" w14:textId="5E0AF3F7" w:rsidR="00CE22A2" w:rsidRPr="00B40A77" w:rsidRDefault="00CE22A2" w:rsidP="00037437">
      <w:pPr>
        <w:pStyle w:val="Hangindent"/>
        <w:keepNext/>
        <w:keepLines/>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r>
      <w:r w:rsidRPr="00B40A77">
        <w:rPr>
          <w:color w:val="000000" w:themeColor="text1"/>
          <w:lang w:val="en-US"/>
        </w:rPr>
        <w:t>A prosecution case statement</w:t>
      </w:r>
      <w:r w:rsidRPr="00B40A77">
        <w:rPr>
          <w:color w:val="000000" w:themeColor="text1"/>
          <w:szCs w:val="24"/>
          <w:lang w:val="en-US"/>
        </w:rPr>
        <w:t>, defence case statement or prosecution response case statement required by section</w:t>
      </w:r>
      <w:r w:rsidR="003F313A" w:rsidRPr="00B40A77">
        <w:rPr>
          <w:color w:val="000000" w:themeColor="text1"/>
          <w:szCs w:val="24"/>
          <w:lang w:val="en-US"/>
        </w:rPr>
        <w:t> </w:t>
      </w:r>
      <w:r w:rsidRPr="00B40A77">
        <w:rPr>
          <w:color w:val="000000" w:themeColor="text1"/>
          <w:szCs w:val="24"/>
          <w:lang w:val="en-US"/>
        </w:rPr>
        <w:t xml:space="preserve">123 </w:t>
      </w:r>
      <w:r w:rsidRPr="00B40A77">
        <w:rPr>
          <w:color w:val="000000" w:themeColor="text1"/>
          <w:lang w:val="en-US"/>
        </w:rPr>
        <w:t xml:space="preserve">of the Procedure Act </w:t>
      </w:r>
      <w:r w:rsidR="00F26894" w:rsidRPr="00B40A77">
        <w:rPr>
          <w:color w:val="000000" w:themeColor="text1"/>
          <w:lang w:val="en-US"/>
        </w:rPr>
        <w:t>or subrule</w:t>
      </w:r>
      <w:r w:rsidR="00B9368A" w:rsidRPr="00B40A77">
        <w:rPr>
          <w:color w:val="000000" w:themeColor="text1"/>
          <w:lang w:val="en-US"/>
        </w:rPr>
        <w:t> </w:t>
      </w:r>
      <w:r w:rsidR="00F26894" w:rsidRPr="00B40A77">
        <w:rPr>
          <w:color w:val="000000" w:themeColor="text1"/>
          <w:lang w:val="en-US"/>
        </w:rPr>
        <w:t xml:space="preserve">(1) </w:t>
      </w:r>
      <w:r w:rsidRPr="00B40A77">
        <w:rPr>
          <w:color w:val="000000" w:themeColor="text1"/>
          <w:lang w:val="en-US"/>
        </w:rPr>
        <w:t>must be in the prescribed form.</w:t>
      </w:r>
    </w:p>
    <w:p w14:paraId="1C929E1F" w14:textId="66A7914B" w:rsidR="00CE22A2" w:rsidRPr="00B40A77" w:rsidRDefault="00CE22A2" w:rsidP="004E3D0F">
      <w:pPr>
        <w:pStyle w:val="NoteHeader"/>
        <w:keepNext/>
        <w:rPr>
          <w:color w:val="000000" w:themeColor="text1"/>
        </w:rPr>
      </w:pPr>
      <w:r w:rsidRPr="00B40A77">
        <w:rPr>
          <w:color w:val="000000" w:themeColor="text1"/>
        </w:rPr>
        <w:t>Prescribed forms—</w:t>
      </w:r>
    </w:p>
    <w:p w14:paraId="3FC8D943" w14:textId="1EEFD53A" w:rsidR="00CE22A2" w:rsidRPr="00B40A77" w:rsidRDefault="00D750B7" w:rsidP="00CE22A2">
      <w:pPr>
        <w:pStyle w:val="NoteText"/>
        <w:rPr>
          <w:color w:val="000000" w:themeColor="text1"/>
          <w:lang w:val="en-US"/>
        </w:rPr>
      </w:pPr>
      <w:r w:rsidRPr="00B40A77">
        <w:rPr>
          <w:color w:val="000000" w:themeColor="text1"/>
        </w:rPr>
        <w:t xml:space="preserve">Form 72 </w:t>
      </w:r>
      <w:hyperlink r:id="rId181" w:history="1">
        <w:r w:rsidRPr="00B40A77">
          <w:rPr>
            <w:rStyle w:val="Hyperlink"/>
            <w:color w:val="000000" w:themeColor="text1"/>
          </w:rPr>
          <w:t xml:space="preserve">Prosecution </w:t>
        </w:r>
        <w:r w:rsidR="00D04DA6" w:rsidRPr="00B40A77">
          <w:rPr>
            <w:rStyle w:val="Hyperlink"/>
            <w:color w:val="000000" w:themeColor="text1"/>
          </w:rPr>
          <w:t>C</w:t>
        </w:r>
        <w:r w:rsidRPr="00B40A77">
          <w:rPr>
            <w:rStyle w:val="Hyperlink"/>
            <w:color w:val="000000" w:themeColor="text1"/>
          </w:rPr>
          <w:t xml:space="preserve">ase </w:t>
        </w:r>
        <w:r w:rsidR="00D04DA6" w:rsidRPr="00B40A77">
          <w:rPr>
            <w:rStyle w:val="Hyperlink"/>
            <w:color w:val="000000" w:themeColor="text1"/>
          </w:rPr>
          <w:t>S</w:t>
        </w:r>
        <w:r w:rsidRPr="00B40A77">
          <w:rPr>
            <w:rStyle w:val="Hyperlink"/>
            <w:color w:val="000000" w:themeColor="text1"/>
          </w:rPr>
          <w:t>tatement</w:t>
        </w:r>
      </w:hyperlink>
    </w:p>
    <w:p w14:paraId="4D4BA034" w14:textId="71D3C5D8" w:rsidR="00CE22A2" w:rsidRPr="00B40A77" w:rsidRDefault="00D750B7" w:rsidP="00CE22A2">
      <w:pPr>
        <w:pStyle w:val="NoteText"/>
        <w:rPr>
          <w:color w:val="000000" w:themeColor="text1"/>
          <w:lang w:val="en-US"/>
        </w:rPr>
      </w:pPr>
      <w:r w:rsidRPr="00B40A77">
        <w:rPr>
          <w:color w:val="000000" w:themeColor="text1"/>
        </w:rPr>
        <w:t>Form 73</w:t>
      </w:r>
      <w:r w:rsidR="00CE22A2" w:rsidRPr="00B40A77">
        <w:rPr>
          <w:color w:val="000000" w:themeColor="text1"/>
        </w:rPr>
        <w:t xml:space="preserve"> </w:t>
      </w:r>
      <w:hyperlink r:id="rId182" w:history="1">
        <w:r w:rsidR="00CE22A2" w:rsidRPr="00B40A77">
          <w:rPr>
            <w:rStyle w:val="Hyperlink"/>
            <w:color w:val="000000" w:themeColor="text1"/>
            <w:lang w:val="en-US"/>
          </w:rPr>
          <w:t xml:space="preserve">Defence </w:t>
        </w:r>
        <w:r w:rsidR="00D04DA6" w:rsidRPr="00B40A77">
          <w:rPr>
            <w:rStyle w:val="Hyperlink"/>
            <w:color w:val="000000" w:themeColor="text1"/>
            <w:lang w:val="en-US"/>
          </w:rPr>
          <w:t>C</w:t>
        </w:r>
        <w:r w:rsidR="00CE22A2" w:rsidRPr="00B40A77">
          <w:rPr>
            <w:rStyle w:val="Hyperlink"/>
            <w:color w:val="000000" w:themeColor="text1"/>
            <w:lang w:val="en-US"/>
          </w:rPr>
          <w:t xml:space="preserve">ase </w:t>
        </w:r>
        <w:r w:rsidR="00D04DA6" w:rsidRPr="00B40A77">
          <w:rPr>
            <w:rStyle w:val="Hyperlink"/>
            <w:color w:val="000000" w:themeColor="text1"/>
            <w:lang w:val="en-US"/>
          </w:rPr>
          <w:t>S</w:t>
        </w:r>
        <w:r w:rsidR="00CE22A2" w:rsidRPr="00B40A77">
          <w:rPr>
            <w:rStyle w:val="Hyperlink"/>
            <w:color w:val="000000" w:themeColor="text1"/>
            <w:lang w:val="en-US"/>
          </w:rPr>
          <w:t>tatement</w:t>
        </w:r>
      </w:hyperlink>
    </w:p>
    <w:p w14:paraId="633C4DC7" w14:textId="6459DD03" w:rsidR="008816B5" w:rsidRPr="00B40A77" w:rsidRDefault="00D750B7" w:rsidP="006D6692">
      <w:pPr>
        <w:pStyle w:val="NoteText"/>
        <w:rPr>
          <w:color w:val="000000" w:themeColor="text1"/>
          <w:lang w:val="en-US"/>
        </w:rPr>
      </w:pPr>
      <w:r w:rsidRPr="00B40A77">
        <w:rPr>
          <w:color w:val="000000" w:themeColor="text1"/>
        </w:rPr>
        <w:t>Form 74</w:t>
      </w:r>
      <w:r w:rsidR="00CE22A2" w:rsidRPr="00B40A77">
        <w:rPr>
          <w:color w:val="000000" w:themeColor="text1"/>
        </w:rPr>
        <w:t xml:space="preserve"> </w:t>
      </w:r>
      <w:hyperlink r:id="rId183" w:history="1">
        <w:r w:rsidR="00CE22A2" w:rsidRPr="00B40A77">
          <w:rPr>
            <w:rStyle w:val="Hyperlink"/>
            <w:color w:val="000000" w:themeColor="text1"/>
            <w:lang w:val="en-US"/>
          </w:rPr>
          <w:t xml:space="preserve">Prosecution </w:t>
        </w:r>
        <w:r w:rsidR="00D04DA6" w:rsidRPr="00B40A77">
          <w:rPr>
            <w:rStyle w:val="Hyperlink"/>
            <w:color w:val="000000" w:themeColor="text1"/>
            <w:lang w:val="en-US"/>
          </w:rPr>
          <w:t>R</w:t>
        </w:r>
        <w:r w:rsidR="00CE22A2" w:rsidRPr="00B40A77">
          <w:rPr>
            <w:rStyle w:val="Hyperlink"/>
            <w:color w:val="000000" w:themeColor="text1"/>
            <w:lang w:val="en-US"/>
          </w:rPr>
          <w:t xml:space="preserve">esponse to </w:t>
        </w:r>
        <w:r w:rsidR="00D04DA6" w:rsidRPr="00B40A77">
          <w:rPr>
            <w:rStyle w:val="Hyperlink"/>
            <w:color w:val="000000" w:themeColor="text1"/>
            <w:lang w:val="en-US"/>
          </w:rPr>
          <w:t>D</w:t>
        </w:r>
        <w:r w:rsidR="00CE22A2" w:rsidRPr="00B40A77">
          <w:rPr>
            <w:rStyle w:val="Hyperlink"/>
            <w:color w:val="000000" w:themeColor="text1"/>
            <w:lang w:val="en-US"/>
          </w:rPr>
          <w:t xml:space="preserve">efence </w:t>
        </w:r>
        <w:r w:rsidR="00D04DA6" w:rsidRPr="00B40A77">
          <w:rPr>
            <w:rStyle w:val="Hyperlink"/>
            <w:color w:val="000000" w:themeColor="text1"/>
            <w:lang w:val="en-US"/>
          </w:rPr>
          <w:t>C</w:t>
        </w:r>
        <w:r w:rsidR="00CE22A2" w:rsidRPr="00B40A77">
          <w:rPr>
            <w:rStyle w:val="Hyperlink"/>
            <w:color w:val="000000" w:themeColor="text1"/>
            <w:lang w:val="en-US"/>
          </w:rPr>
          <w:t xml:space="preserve">ase </w:t>
        </w:r>
        <w:r w:rsidR="00D04DA6" w:rsidRPr="00B40A77">
          <w:rPr>
            <w:rStyle w:val="Hyperlink"/>
            <w:color w:val="000000" w:themeColor="text1"/>
            <w:lang w:val="en-US"/>
          </w:rPr>
          <w:t>S</w:t>
        </w:r>
        <w:r w:rsidR="00CE22A2" w:rsidRPr="00B40A77">
          <w:rPr>
            <w:rStyle w:val="Hyperlink"/>
            <w:color w:val="000000" w:themeColor="text1"/>
            <w:lang w:val="en-US"/>
          </w:rPr>
          <w:t>tatement</w:t>
        </w:r>
        <w:bookmarkStart w:id="640" w:name="_Hlk5014376"/>
      </w:hyperlink>
    </w:p>
    <w:p w14:paraId="568C7E45" w14:textId="538BD201" w:rsidR="00511A48" w:rsidRPr="00B40A77" w:rsidRDefault="00511A48" w:rsidP="00511A48">
      <w:pPr>
        <w:pStyle w:val="Heading4"/>
        <w:rPr>
          <w:color w:val="000000" w:themeColor="text1"/>
        </w:rPr>
      </w:pPr>
      <w:bookmarkStart w:id="641" w:name="_93.2—Prosecution_disclosure_of"/>
      <w:bookmarkStart w:id="642" w:name="_Toc175239065"/>
      <w:bookmarkStart w:id="643" w:name="_Hlk107843970"/>
      <w:bookmarkStart w:id="644" w:name="_Hlk96597110"/>
      <w:bookmarkEnd w:id="641"/>
      <w:r w:rsidRPr="00B40A77">
        <w:rPr>
          <w:color w:val="000000" w:themeColor="text1"/>
        </w:rPr>
        <w:t>93.2—Prosecution disclosure of evidentiary material</w:t>
      </w:r>
      <w:bookmarkEnd w:id="642"/>
    </w:p>
    <w:p w14:paraId="66D512ED" w14:textId="6680AB82" w:rsidR="00511A48" w:rsidRPr="00B40A77" w:rsidRDefault="00511A48" w:rsidP="00173536">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required to be disclosed </w:t>
      </w:r>
      <w:r w:rsidR="0064389F" w:rsidRPr="00B40A77">
        <w:rPr>
          <w:color w:val="000000" w:themeColor="text1"/>
          <w:lang w:val="en-US"/>
        </w:rPr>
        <w:t xml:space="preserve">by the prosecution </w:t>
      </w:r>
      <w:r w:rsidRPr="00B40A77">
        <w:rPr>
          <w:color w:val="000000" w:themeColor="text1"/>
          <w:lang w:val="en-US"/>
        </w:rPr>
        <w:t>to the defence in accordance with the prosecution’s common law duty of disclosure must be disclosed by serving on the defendant an evidentiary material brief in the prescribed form.</w:t>
      </w:r>
    </w:p>
    <w:p w14:paraId="17440397" w14:textId="77777777" w:rsidR="00511A48" w:rsidRPr="00B40A77" w:rsidRDefault="00511A48" w:rsidP="00B9368A">
      <w:pPr>
        <w:pStyle w:val="NoteHeader"/>
        <w:keepNext/>
        <w:rPr>
          <w:color w:val="000000" w:themeColor="text1"/>
        </w:rPr>
      </w:pPr>
      <w:r w:rsidRPr="00B40A77">
        <w:rPr>
          <w:color w:val="000000" w:themeColor="text1"/>
        </w:rPr>
        <w:t>Prescribed form—</w:t>
      </w:r>
    </w:p>
    <w:p w14:paraId="274A6424" w14:textId="71510AD8" w:rsidR="00511A48" w:rsidRPr="00B40A77" w:rsidRDefault="00511A48" w:rsidP="00511A48">
      <w:pPr>
        <w:pStyle w:val="NoteText"/>
        <w:rPr>
          <w:color w:val="000000" w:themeColor="text1"/>
        </w:rPr>
      </w:pPr>
      <w:r w:rsidRPr="00B40A77">
        <w:rPr>
          <w:color w:val="000000" w:themeColor="text1"/>
        </w:rPr>
        <w:t xml:space="preserve">If served in electronic form - Form 71e </w:t>
      </w:r>
      <w:r w:rsidRPr="00B40A77">
        <w:rPr>
          <w:color w:val="000000" w:themeColor="text1"/>
          <w:u w:val="single"/>
        </w:rPr>
        <w:t xml:space="preserve">Evidentiary </w:t>
      </w:r>
      <w:r w:rsidR="00D04DA6" w:rsidRPr="00B40A77">
        <w:rPr>
          <w:color w:val="000000" w:themeColor="text1"/>
          <w:u w:val="single"/>
        </w:rPr>
        <w:t>M</w:t>
      </w:r>
      <w:r w:rsidRPr="00B40A77">
        <w:rPr>
          <w:color w:val="000000" w:themeColor="text1"/>
          <w:u w:val="single"/>
        </w:rPr>
        <w:t xml:space="preserve">aterial </w:t>
      </w:r>
      <w:r w:rsidR="00D04DA6" w:rsidRPr="00B40A77">
        <w:rPr>
          <w:color w:val="000000" w:themeColor="text1"/>
          <w:u w:val="single"/>
        </w:rPr>
        <w:t>B</w:t>
      </w:r>
      <w:r w:rsidRPr="00B40A77">
        <w:rPr>
          <w:color w:val="000000" w:themeColor="text1"/>
          <w:u w:val="single"/>
        </w:rPr>
        <w:t>rief</w:t>
      </w:r>
    </w:p>
    <w:p w14:paraId="6BF079F7" w14:textId="79003F28" w:rsidR="00511A48" w:rsidRPr="00B40A77" w:rsidRDefault="00511A48" w:rsidP="00511A48">
      <w:pPr>
        <w:pStyle w:val="NoteText"/>
        <w:rPr>
          <w:color w:val="000000" w:themeColor="text1"/>
        </w:rPr>
      </w:pPr>
      <w:r w:rsidRPr="00B40A77">
        <w:rPr>
          <w:color w:val="000000" w:themeColor="text1"/>
        </w:rPr>
        <w:t xml:space="preserve">If served in physical (hard copy) form - Form 71h </w:t>
      </w:r>
      <w:r w:rsidRPr="00B40A77">
        <w:rPr>
          <w:color w:val="000000" w:themeColor="text1"/>
          <w:u w:val="single"/>
        </w:rPr>
        <w:t xml:space="preserve">Evidentiary </w:t>
      </w:r>
      <w:r w:rsidR="00D04DA6" w:rsidRPr="00B40A77">
        <w:rPr>
          <w:color w:val="000000" w:themeColor="text1"/>
          <w:u w:val="single"/>
        </w:rPr>
        <w:t>M</w:t>
      </w:r>
      <w:r w:rsidRPr="00B40A77">
        <w:rPr>
          <w:color w:val="000000" w:themeColor="text1"/>
          <w:u w:val="single"/>
        </w:rPr>
        <w:t xml:space="preserve">aterial </w:t>
      </w:r>
      <w:r w:rsidR="00D04DA6" w:rsidRPr="00B40A77">
        <w:rPr>
          <w:color w:val="000000" w:themeColor="text1"/>
          <w:u w:val="single"/>
        </w:rPr>
        <w:t>B</w:t>
      </w:r>
      <w:r w:rsidRPr="00B40A77">
        <w:rPr>
          <w:color w:val="000000" w:themeColor="text1"/>
          <w:u w:val="single"/>
        </w:rPr>
        <w:t>rief</w:t>
      </w:r>
    </w:p>
    <w:bookmarkEnd w:id="643"/>
    <w:p w14:paraId="0383DE1D" w14:textId="34FC41A8" w:rsidR="00511A48" w:rsidRPr="00B40A77" w:rsidRDefault="00511A48" w:rsidP="00511A48">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Unless the Court otherwise orders, the </w:t>
      </w:r>
      <w:r w:rsidR="007A7F70" w:rsidRPr="00B40A77">
        <w:rPr>
          <w:color w:val="000000" w:themeColor="text1"/>
          <w:lang w:val="en-US"/>
        </w:rPr>
        <w:t>Director</w:t>
      </w:r>
      <w:r w:rsidRPr="00B40A77">
        <w:rPr>
          <w:color w:val="000000" w:themeColor="text1"/>
          <w:lang w:val="en-US"/>
        </w:rPr>
        <w:t xml:space="preserve"> need not file an evidentiary material brief</w:t>
      </w:r>
      <w:r w:rsidR="00851D78" w:rsidRPr="00B40A77">
        <w:rPr>
          <w:color w:val="000000" w:themeColor="text1"/>
          <w:lang w:val="en-US"/>
        </w:rPr>
        <w:t xml:space="preserve"> upon serving it</w:t>
      </w:r>
      <w:r w:rsidR="0064389F" w:rsidRPr="00B40A77">
        <w:rPr>
          <w:color w:val="000000" w:themeColor="text1"/>
          <w:lang w:val="en-US"/>
        </w:rPr>
        <w:t>,</w:t>
      </w:r>
      <w:r w:rsidR="00851D78" w:rsidRPr="00B40A77">
        <w:rPr>
          <w:color w:val="000000" w:themeColor="text1"/>
          <w:lang w:val="en-US"/>
        </w:rPr>
        <w:t xml:space="preserve"> but must file an evidentiary material brief in accordance with subrule</w:t>
      </w:r>
      <w:r w:rsidR="00F93A0D" w:rsidRPr="00B40A77">
        <w:rPr>
          <w:color w:val="000000" w:themeColor="text1"/>
          <w:lang w:val="en-US"/>
        </w:rPr>
        <w:t> </w:t>
      </w:r>
      <w:r w:rsidR="00851D78" w:rsidRPr="00B40A77">
        <w:rPr>
          <w:color w:val="000000" w:themeColor="text1"/>
          <w:lang w:val="en-US"/>
        </w:rPr>
        <w:t>(3).</w:t>
      </w:r>
    </w:p>
    <w:p w14:paraId="47B36CC7" w14:textId="0C735D45" w:rsidR="007A7F70" w:rsidRPr="00B40A77" w:rsidRDefault="00851D78" w:rsidP="007A7F70">
      <w:pPr>
        <w:pStyle w:val="Hangindent"/>
        <w:rPr>
          <w:color w:val="000000" w:themeColor="text1"/>
        </w:rPr>
      </w:pPr>
      <w:r w:rsidRPr="00B40A77">
        <w:rPr>
          <w:color w:val="000000" w:themeColor="text1"/>
          <w:lang w:val="en-US"/>
        </w:rPr>
        <w:t>(3)</w:t>
      </w:r>
      <w:r w:rsidRPr="00B40A77">
        <w:rPr>
          <w:color w:val="000000" w:themeColor="text1"/>
          <w:lang w:val="en-US"/>
        </w:rPr>
        <w:tab/>
        <w:t xml:space="preserve">Unless the Court otherwise orders, the </w:t>
      </w:r>
      <w:r w:rsidR="007A7F70" w:rsidRPr="00B40A77">
        <w:rPr>
          <w:color w:val="000000" w:themeColor="text1"/>
          <w:lang w:val="en-US"/>
        </w:rPr>
        <w:t>Director</w:t>
      </w:r>
      <w:r w:rsidRPr="00B40A77">
        <w:rPr>
          <w:color w:val="000000" w:themeColor="text1"/>
          <w:lang w:val="en-US"/>
        </w:rPr>
        <w:t xml:space="preserve"> must file an evidentiary material brief</w:t>
      </w:r>
      <w:r w:rsidR="007A7F70" w:rsidRPr="00B40A77">
        <w:rPr>
          <w:color w:val="000000" w:themeColor="text1"/>
        </w:rPr>
        <w:t>—</w:t>
      </w:r>
    </w:p>
    <w:p w14:paraId="51286B6F" w14:textId="0556A226" w:rsidR="007A7F70" w:rsidRPr="00B40A77" w:rsidRDefault="007A7F70" w:rsidP="007A7F70">
      <w:pPr>
        <w:pStyle w:val="Doublehangindent"/>
        <w:rPr>
          <w:color w:val="000000" w:themeColor="text1"/>
        </w:rPr>
      </w:pPr>
      <w:r w:rsidRPr="00B40A77">
        <w:rPr>
          <w:color w:val="000000" w:themeColor="text1"/>
        </w:rPr>
        <w:t>(a)</w:t>
      </w:r>
      <w:r w:rsidRPr="00B40A77">
        <w:rPr>
          <w:color w:val="000000" w:themeColor="text1"/>
        </w:rPr>
        <w:tab/>
      </w:r>
      <w:r w:rsidRPr="00B40A77">
        <w:rPr>
          <w:color w:val="000000" w:themeColor="text1"/>
          <w:lang w:val="en-US"/>
        </w:rPr>
        <w:t xml:space="preserve">if the matter has been committed for </w:t>
      </w:r>
      <w:hyperlink w:anchor="_2.1—Definitions" w:history="1">
        <w:r w:rsidR="00596ADA" w:rsidRPr="00B40A77">
          <w:rPr>
            <w:rStyle w:val="Hyperlink"/>
            <w:color w:val="000000" w:themeColor="text1"/>
          </w:rPr>
          <w:t>sentence</w:t>
        </w:r>
      </w:hyperlink>
      <w:r w:rsidRPr="00B40A77">
        <w:rPr>
          <w:color w:val="000000" w:themeColor="text1"/>
          <w:lang w:val="en-US"/>
        </w:rPr>
        <w:t xml:space="preserve"> </w:t>
      </w:r>
      <w:r w:rsidR="00AA6CA6" w:rsidRPr="00B40A77">
        <w:rPr>
          <w:color w:val="000000" w:themeColor="text1"/>
          <w:lang w:val="en-US"/>
        </w:rPr>
        <w:t xml:space="preserve">or the defendant has pleaded guilty after committal for </w:t>
      </w:r>
      <w:hyperlink w:anchor="_2.1—Definitions" w:history="1">
        <w:r w:rsidR="00AB0539" w:rsidRPr="00B40A77">
          <w:rPr>
            <w:rStyle w:val="Hyperlink"/>
            <w:color w:val="000000" w:themeColor="text1"/>
            <w:lang w:val="en-US"/>
          </w:rPr>
          <w:t>trial</w:t>
        </w:r>
      </w:hyperlink>
      <w:r w:rsidR="00AA6CA6" w:rsidRPr="00B40A77">
        <w:rPr>
          <w:color w:val="000000" w:themeColor="text1"/>
          <w:lang w:val="en-US"/>
        </w:rPr>
        <w:t xml:space="preserve"> </w:t>
      </w:r>
      <w:r w:rsidRPr="00B40A77">
        <w:rPr>
          <w:color w:val="000000" w:themeColor="text1"/>
          <w:lang w:val="en-US"/>
        </w:rPr>
        <w:t xml:space="preserve">and the Director receives or creates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relevant to </w:t>
      </w:r>
      <w:hyperlink w:anchor="_2.1—Definitions" w:history="1">
        <w:r w:rsidR="00596ADA" w:rsidRPr="00B40A77">
          <w:rPr>
            <w:rStyle w:val="Hyperlink"/>
            <w:color w:val="000000" w:themeColor="text1"/>
          </w:rPr>
          <w:t>sentence</w:t>
        </w:r>
      </w:hyperlink>
      <w:r w:rsidRPr="00B40A77">
        <w:rPr>
          <w:color w:val="000000" w:themeColor="text1"/>
          <w:lang w:val="en-US"/>
        </w:rPr>
        <w:t xml:space="preserve"> after commit</w:t>
      </w:r>
      <w:r w:rsidR="00AA6CA6" w:rsidRPr="00B40A77">
        <w:rPr>
          <w:color w:val="000000" w:themeColor="text1"/>
          <w:lang w:val="en-US"/>
        </w:rPr>
        <w:t>t</w:t>
      </w:r>
      <w:r w:rsidRPr="00B40A77">
        <w:rPr>
          <w:color w:val="000000" w:themeColor="text1"/>
          <w:lang w:val="en-US"/>
        </w:rPr>
        <w:t>al</w:t>
      </w:r>
      <w:r w:rsidRPr="00B40A77">
        <w:rPr>
          <w:color w:val="000000" w:themeColor="text1"/>
        </w:rPr>
        <w:t>—</w:t>
      </w:r>
    </w:p>
    <w:p w14:paraId="7305ADB0" w14:textId="2CCED0E2" w:rsidR="007A7F70" w:rsidRPr="00B40A77" w:rsidRDefault="007A7F70" w:rsidP="007A7F70">
      <w:pPr>
        <w:pStyle w:val="Doublehangindent"/>
        <w:ind w:firstLine="0"/>
        <w:rPr>
          <w:color w:val="000000" w:themeColor="text1"/>
          <w:lang w:val="en-US"/>
        </w:rPr>
      </w:pPr>
      <w:r w:rsidRPr="00B40A77">
        <w:rPr>
          <w:color w:val="000000" w:themeColor="text1"/>
        </w:rPr>
        <w:t>(i)</w:t>
      </w:r>
      <w:r w:rsidRPr="00B40A77">
        <w:rPr>
          <w:color w:val="000000" w:themeColor="text1"/>
        </w:rPr>
        <w:tab/>
      </w:r>
      <w:r w:rsidR="00882D6C" w:rsidRPr="00B40A77">
        <w:rPr>
          <w:color w:val="000000" w:themeColor="text1"/>
        </w:rPr>
        <w:t>4 weeks</w:t>
      </w:r>
      <w:r w:rsidRPr="00B40A77">
        <w:rPr>
          <w:color w:val="000000" w:themeColor="text1"/>
        </w:rPr>
        <w:t xml:space="preserve"> before arraignment</w:t>
      </w:r>
      <w:r w:rsidRPr="00B40A77">
        <w:rPr>
          <w:color w:val="000000" w:themeColor="text1"/>
          <w:lang w:val="en-US"/>
        </w:rPr>
        <w:t>; and</w:t>
      </w:r>
    </w:p>
    <w:p w14:paraId="676F4ACA" w14:textId="08134BBA" w:rsidR="00AA6CA6" w:rsidRPr="00B40A77" w:rsidRDefault="007A7F70" w:rsidP="003A597F">
      <w:pPr>
        <w:pStyle w:val="Doublehangindent"/>
        <w:ind w:left="2160" w:hanging="459"/>
        <w:rPr>
          <w:color w:val="000000" w:themeColor="text1"/>
          <w:lang w:val="en-US"/>
        </w:rPr>
      </w:pPr>
      <w:r w:rsidRPr="00B40A77">
        <w:rPr>
          <w:color w:val="000000" w:themeColor="text1"/>
          <w:lang w:val="en-US"/>
        </w:rPr>
        <w:t>(ii)</w:t>
      </w:r>
      <w:r w:rsidRPr="00B40A77">
        <w:rPr>
          <w:color w:val="000000" w:themeColor="text1"/>
          <w:lang w:val="en-US"/>
        </w:rPr>
        <w:tab/>
      </w:r>
      <w:r w:rsidR="00882D6C" w:rsidRPr="00B40A77">
        <w:rPr>
          <w:color w:val="000000" w:themeColor="text1"/>
          <w:lang w:val="en-US"/>
        </w:rPr>
        <w:t>thereafter, whenever an evidentiary material brief is served</w:t>
      </w:r>
      <w:r w:rsidR="00AA6CA6" w:rsidRPr="00B40A77">
        <w:rPr>
          <w:color w:val="000000" w:themeColor="text1"/>
          <w:lang w:val="en-US"/>
        </w:rPr>
        <w:t>;</w:t>
      </w:r>
    </w:p>
    <w:p w14:paraId="6E4D5644" w14:textId="2F7D892D" w:rsidR="00AA6CA6" w:rsidRPr="00B40A77" w:rsidRDefault="00AA6CA6" w:rsidP="00AA6CA6">
      <w:pPr>
        <w:pStyle w:val="Doublehangindent"/>
        <w:rPr>
          <w:color w:val="000000" w:themeColor="text1"/>
        </w:rPr>
      </w:pPr>
      <w:r w:rsidRPr="00B40A77">
        <w:rPr>
          <w:color w:val="000000" w:themeColor="text1"/>
        </w:rPr>
        <w:t>(b)</w:t>
      </w:r>
      <w:r w:rsidRPr="00B40A77">
        <w:rPr>
          <w:color w:val="000000" w:themeColor="text1"/>
        </w:rPr>
        <w:tab/>
      </w:r>
      <w:r w:rsidRPr="00B40A77">
        <w:rPr>
          <w:color w:val="000000" w:themeColor="text1"/>
          <w:lang w:val="en-US"/>
        </w:rPr>
        <w:t xml:space="preserve">if the matter has been committed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and the Director receives or creates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after committal</w:t>
      </w:r>
      <w:r w:rsidRPr="00B40A77">
        <w:rPr>
          <w:color w:val="000000" w:themeColor="text1"/>
        </w:rPr>
        <w:t>—</w:t>
      </w:r>
    </w:p>
    <w:p w14:paraId="27F368C3" w14:textId="3A2FF755" w:rsidR="00AA6CA6" w:rsidRPr="00B40A77" w:rsidRDefault="00AA6CA6" w:rsidP="00AA6CA6">
      <w:pPr>
        <w:pStyle w:val="Doublehangindent"/>
        <w:ind w:firstLine="0"/>
        <w:rPr>
          <w:color w:val="000000" w:themeColor="text1"/>
          <w:lang w:val="en-US"/>
        </w:rPr>
      </w:pPr>
      <w:r w:rsidRPr="00B40A77">
        <w:rPr>
          <w:color w:val="000000" w:themeColor="text1"/>
        </w:rPr>
        <w:t>(i)</w:t>
      </w:r>
      <w:r w:rsidRPr="00B40A77">
        <w:rPr>
          <w:color w:val="000000" w:themeColor="text1"/>
        </w:rPr>
        <w:tab/>
        <w:t>at the same time as filing the prosecution case statement</w:t>
      </w:r>
      <w:r w:rsidRPr="00B40A77">
        <w:rPr>
          <w:color w:val="000000" w:themeColor="text1"/>
          <w:lang w:val="en-US"/>
        </w:rPr>
        <w:t>;</w:t>
      </w:r>
    </w:p>
    <w:p w14:paraId="4006D6A2" w14:textId="7E044D26" w:rsidR="00AA6CA6" w:rsidRPr="00B40A77" w:rsidRDefault="00AA6CA6" w:rsidP="00AA6CA6">
      <w:pPr>
        <w:pStyle w:val="Doublehangindent"/>
        <w:ind w:left="2160" w:hanging="459"/>
        <w:rPr>
          <w:color w:val="000000" w:themeColor="text1"/>
          <w:lang w:val="en-US"/>
        </w:rPr>
      </w:pPr>
      <w:r w:rsidRPr="00B40A77">
        <w:rPr>
          <w:color w:val="000000" w:themeColor="text1"/>
          <w:lang w:val="en-US"/>
        </w:rPr>
        <w:t>(ii)</w:t>
      </w:r>
      <w:r w:rsidRPr="00B40A77">
        <w:rPr>
          <w:color w:val="000000" w:themeColor="text1"/>
          <w:lang w:val="en-US"/>
        </w:rPr>
        <w:tab/>
      </w:r>
      <w:r w:rsidR="00882D6C" w:rsidRPr="00B40A77">
        <w:rPr>
          <w:color w:val="000000" w:themeColor="text1"/>
          <w:lang w:val="en-US"/>
        </w:rPr>
        <w:t>14</w:t>
      </w:r>
      <w:r w:rsidRPr="00B40A77">
        <w:rPr>
          <w:color w:val="000000" w:themeColor="text1"/>
          <w:lang w:val="en-US"/>
        </w:rPr>
        <w:t xml:space="preserve"> days before the date fixed </w:t>
      </w:r>
      <w:r w:rsidR="00882D6C" w:rsidRPr="00B40A77">
        <w:rPr>
          <w:color w:val="000000" w:themeColor="text1"/>
          <w:lang w:val="en-US"/>
        </w:rPr>
        <w:t xml:space="preserve">(if any) </w:t>
      </w:r>
      <w:r w:rsidRPr="00B40A77">
        <w:rPr>
          <w:color w:val="000000" w:themeColor="text1"/>
          <w:lang w:val="en-US"/>
        </w:rPr>
        <w:t xml:space="preserve">for </w:t>
      </w:r>
      <w:r w:rsidR="00882D6C" w:rsidRPr="00B40A77">
        <w:rPr>
          <w:color w:val="000000" w:themeColor="text1"/>
          <w:lang w:val="en-US"/>
        </w:rPr>
        <w:t xml:space="preserve">a </w:t>
      </w:r>
      <w:hyperlink w:anchor="_2.1—Definitions" w:history="1">
        <w:r w:rsidR="00012B38" w:rsidRPr="00B40A77">
          <w:rPr>
            <w:rStyle w:val="Hyperlink"/>
            <w:color w:val="000000" w:themeColor="text1"/>
            <w:lang w:val="en-US"/>
          </w:rPr>
          <w:t>pre-trial conference</w:t>
        </w:r>
      </w:hyperlink>
      <w:r w:rsidR="00505A4A" w:rsidRPr="00B40A77">
        <w:rPr>
          <w:color w:val="000000" w:themeColor="text1"/>
          <w:lang w:val="en-US"/>
        </w:rPr>
        <w:t>;</w:t>
      </w:r>
      <w:r w:rsidRPr="00B40A77">
        <w:rPr>
          <w:color w:val="000000" w:themeColor="text1"/>
          <w:lang w:val="en-US"/>
        </w:rPr>
        <w:t xml:space="preserve"> </w:t>
      </w:r>
    </w:p>
    <w:p w14:paraId="4960EE33" w14:textId="0610A7CA" w:rsidR="007A7F70" w:rsidRPr="00B40A77" w:rsidRDefault="00AA6CA6" w:rsidP="00AA6CA6">
      <w:pPr>
        <w:pStyle w:val="Doublehangindent"/>
        <w:ind w:left="2160" w:hanging="459"/>
        <w:rPr>
          <w:color w:val="000000" w:themeColor="text1"/>
          <w:lang w:val="en-US"/>
        </w:rPr>
      </w:pPr>
      <w:r w:rsidRPr="00B40A77">
        <w:rPr>
          <w:color w:val="000000" w:themeColor="text1"/>
          <w:lang w:val="en-US"/>
        </w:rPr>
        <w:lastRenderedPageBreak/>
        <w:t>(iii)</w:t>
      </w:r>
      <w:r w:rsidRPr="00B40A77">
        <w:rPr>
          <w:color w:val="000000" w:themeColor="text1"/>
          <w:lang w:val="en-US"/>
        </w:rPr>
        <w:tab/>
      </w:r>
      <w:r w:rsidR="00882D6C" w:rsidRPr="00B40A77">
        <w:rPr>
          <w:color w:val="000000" w:themeColor="text1"/>
          <w:lang w:val="en-US"/>
        </w:rPr>
        <w:t>14</w:t>
      </w:r>
      <w:r w:rsidRPr="00B40A77">
        <w:rPr>
          <w:color w:val="000000" w:themeColor="text1"/>
          <w:lang w:val="en-US"/>
        </w:rPr>
        <w:t xml:space="preserve"> days before the date fixed for a pre-trial </w:t>
      </w:r>
      <w:hyperlink w:anchor="_2.1—Definitions" w:history="1">
        <w:r w:rsidRPr="00B40A77">
          <w:rPr>
            <w:rStyle w:val="Hyperlink"/>
            <w:color w:val="000000" w:themeColor="text1"/>
            <w:lang w:val="en-US"/>
          </w:rPr>
          <w:t>directions hearing</w:t>
        </w:r>
      </w:hyperlink>
      <w:r w:rsidRPr="00B40A77">
        <w:rPr>
          <w:color w:val="000000" w:themeColor="text1"/>
          <w:lang w:val="en-US"/>
        </w:rPr>
        <w:t>; and</w:t>
      </w:r>
    </w:p>
    <w:p w14:paraId="783D4D1D" w14:textId="6E966FBB" w:rsidR="00AA6CA6" w:rsidRPr="00B40A77" w:rsidRDefault="00AA6CA6" w:rsidP="00AA6CA6">
      <w:pPr>
        <w:pStyle w:val="Doublehangindent"/>
        <w:ind w:left="2160" w:hanging="459"/>
        <w:rPr>
          <w:color w:val="000000" w:themeColor="text1"/>
          <w:lang w:val="en-US"/>
        </w:rPr>
      </w:pPr>
      <w:r w:rsidRPr="00B40A77">
        <w:rPr>
          <w:color w:val="000000" w:themeColor="text1"/>
          <w:lang w:val="en-US"/>
        </w:rPr>
        <w:t>(iv)</w:t>
      </w:r>
      <w:r w:rsidRPr="00B40A77">
        <w:rPr>
          <w:color w:val="000000" w:themeColor="text1"/>
          <w:lang w:val="en-US"/>
        </w:rPr>
        <w:tab/>
      </w:r>
      <w:r w:rsidR="00882D6C" w:rsidRPr="00B40A77">
        <w:rPr>
          <w:color w:val="000000" w:themeColor="text1"/>
          <w:lang w:val="en-US"/>
        </w:rPr>
        <w:t>thereafter, whenever an evidentiary material brief is served</w:t>
      </w:r>
      <w:r w:rsidRPr="00B40A77">
        <w:rPr>
          <w:color w:val="000000" w:themeColor="text1"/>
          <w:lang w:val="en-US"/>
        </w:rPr>
        <w:t>.</w:t>
      </w:r>
    </w:p>
    <w:p w14:paraId="6EAAAE8E" w14:textId="77777777" w:rsidR="000B2978" w:rsidRPr="00B40A77" w:rsidRDefault="000B2978" w:rsidP="000B2978">
      <w:pPr>
        <w:pStyle w:val="NoteHeader"/>
        <w:rPr>
          <w:color w:val="000000" w:themeColor="text1"/>
          <w:lang w:val="en-US"/>
        </w:rPr>
      </w:pPr>
      <w:r w:rsidRPr="00B40A77">
        <w:rPr>
          <w:color w:val="000000" w:themeColor="text1"/>
          <w:lang w:val="en-US"/>
        </w:rPr>
        <w:t>Note</w:t>
      </w:r>
      <w:r w:rsidRPr="00B40A77">
        <w:rPr>
          <w:color w:val="000000" w:themeColor="text1"/>
        </w:rPr>
        <w:t>—</w:t>
      </w:r>
    </w:p>
    <w:p w14:paraId="1C494E33" w14:textId="4801A2F6" w:rsidR="000B2978" w:rsidRPr="00B40A77" w:rsidRDefault="000B2978" w:rsidP="000B2978">
      <w:pPr>
        <w:pStyle w:val="NoteText"/>
        <w:rPr>
          <w:color w:val="000000" w:themeColor="text1"/>
          <w:lang w:val="en-US"/>
        </w:rPr>
      </w:pPr>
      <w:r w:rsidRPr="00B40A77">
        <w:rPr>
          <w:color w:val="000000" w:themeColor="text1"/>
          <w:lang w:val="en-US"/>
        </w:rPr>
        <w:t xml:space="preserve">This subrule does not delay the Director’s obligation to serve a revised evidentiary material brief upon receipt or creation of additional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w:t>
      </w:r>
    </w:p>
    <w:p w14:paraId="75A26826" w14:textId="76EEA9EB" w:rsidR="00711A34" w:rsidRPr="00B40A77" w:rsidRDefault="003044DF" w:rsidP="00711A34">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Unless the Court otherwise orders, the Director must file an evidentiary material brief (including any required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in electronic form</w:t>
      </w:r>
      <w:r w:rsidR="00711A34" w:rsidRPr="00B40A77">
        <w:rPr>
          <w:color w:val="000000" w:themeColor="text1"/>
          <w:lang w:val="en-US"/>
        </w:rPr>
        <w:t xml:space="preserve"> and</w:t>
      </w:r>
      <w:r w:rsidR="00711A34" w:rsidRPr="00B40A77">
        <w:rPr>
          <w:color w:val="000000" w:themeColor="text1"/>
        </w:rPr>
        <w:t>—</w:t>
      </w:r>
    </w:p>
    <w:p w14:paraId="72826087" w14:textId="3CF98C77" w:rsidR="00711A34" w:rsidRPr="00B40A77" w:rsidRDefault="00711A34" w:rsidP="00711A34">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its contents exceed 30 megabytes (or such other capacity limit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it must be uploaded in separate documents containing not more than 30 megabytes; </w:t>
      </w:r>
    </w:p>
    <w:p w14:paraId="0EBE1C73" w14:textId="4C8E97F5" w:rsidR="00711A34" w:rsidRPr="00B40A77" w:rsidRDefault="00711A34" w:rsidP="00711A34">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DD3169" w:rsidRPr="00B40A77">
        <w:rPr>
          <w:color w:val="000000" w:themeColor="text1"/>
          <w:lang w:val="en-US"/>
        </w:rPr>
        <w:t xml:space="preserve">subject to paragraph (c), </w:t>
      </w:r>
      <w:r w:rsidRPr="00B40A77">
        <w:rPr>
          <w:color w:val="000000" w:themeColor="text1"/>
          <w:lang w:val="en-US"/>
        </w:rPr>
        <w:t xml:space="preserve">the version filed must not include any </w:t>
      </w:r>
      <w:hyperlink w:anchor="_2.1—Definitions" w:history="1">
        <w:r w:rsidR="00423A9E" w:rsidRPr="00B40A77">
          <w:rPr>
            <w:rStyle w:val="Hyperlink"/>
            <w:color w:val="000000" w:themeColor="text1"/>
            <w:lang w:val="en-US"/>
          </w:rPr>
          <w:t>electronic material</w:t>
        </w:r>
      </w:hyperlink>
      <w:r w:rsidRPr="00B40A77">
        <w:rPr>
          <w:color w:val="000000" w:themeColor="text1"/>
          <w:lang w:val="en-US"/>
        </w:rPr>
        <w:t xml:space="preserve"> in mpeg or alternative formats containing audiovisual material;</w:t>
      </w:r>
    </w:p>
    <w:p w14:paraId="0835DEE5" w14:textId="15686CF8" w:rsidR="003044DF" w:rsidRPr="00B40A77" w:rsidRDefault="00711A34" w:rsidP="00AA39D7">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if the version served includes material that is admissible under section 13BA </w:t>
      </w:r>
      <w:r w:rsidR="00AA39D7" w:rsidRPr="00B40A77">
        <w:rPr>
          <w:color w:val="000000" w:themeColor="text1"/>
          <w:lang w:val="en-US"/>
        </w:rPr>
        <w:t>or</w:t>
      </w:r>
      <w:r w:rsidR="00454D03" w:rsidRPr="00B40A77">
        <w:rPr>
          <w:color w:val="000000" w:themeColor="text1"/>
          <w:lang w:val="en-US"/>
        </w:rPr>
        <w:t> </w:t>
      </w:r>
      <w:r w:rsidR="00AA39D7" w:rsidRPr="00B40A77">
        <w:rPr>
          <w:color w:val="000000" w:themeColor="text1"/>
          <w:lang w:val="en-US"/>
        </w:rPr>
        <w:t xml:space="preserve">13BB </w:t>
      </w:r>
      <w:r w:rsidRPr="00B40A77">
        <w:rPr>
          <w:color w:val="000000" w:themeColor="text1"/>
          <w:lang w:val="en-US"/>
        </w:rPr>
        <w:t xml:space="preserve">of the Evidence Act, </w:t>
      </w:r>
      <w:r w:rsidR="00DD3169" w:rsidRPr="00B40A77">
        <w:rPr>
          <w:color w:val="000000" w:themeColor="text1"/>
          <w:lang w:val="en-US"/>
        </w:rPr>
        <w:t xml:space="preserve">the version filed </w:t>
      </w:r>
      <w:r w:rsidRPr="00B40A77">
        <w:rPr>
          <w:color w:val="000000" w:themeColor="text1"/>
          <w:lang w:val="en-US"/>
        </w:rPr>
        <w:t xml:space="preserve">must be accompanied by a </w:t>
      </w:r>
      <w:r w:rsidR="00DD3169" w:rsidRPr="00B40A77">
        <w:rPr>
          <w:color w:val="000000" w:themeColor="text1"/>
          <w:lang w:val="en-US"/>
        </w:rPr>
        <w:t>USB drive</w:t>
      </w:r>
      <w:r w:rsidRPr="00B40A77">
        <w:rPr>
          <w:color w:val="000000" w:themeColor="text1"/>
          <w:lang w:val="en-US"/>
        </w:rPr>
        <w:t xml:space="preserve"> (or such other storage device as may be specified by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from time to time) containing such material</w:t>
      </w:r>
      <w:r w:rsidR="003044DF" w:rsidRPr="00B40A77">
        <w:rPr>
          <w:color w:val="000000" w:themeColor="text1"/>
          <w:lang w:val="en-US"/>
        </w:rPr>
        <w:t>.</w:t>
      </w:r>
    </w:p>
    <w:p w14:paraId="74ECA8DE" w14:textId="09F8C9DD" w:rsidR="00511A48" w:rsidRPr="00B40A77" w:rsidRDefault="00511A48" w:rsidP="00511A48">
      <w:pPr>
        <w:pStyle w:val="Hangindent"/>
        <w:rPr>
          <w:color w:val="000000" w:themeColor="text1"/>
          <w:lang w:val="en-US"/>
        </w:rPr>
      </w:pPr>
      <w:r w:rsidRPr="00B40A77">
        <w:rPr>
          <w:color w:val="000000" w:themeColor="text1"/>
          <w:lang w:val="en-US"/>
        </w:rPr>
        <w:t>(</w:t>
      </w:r>
      <w:r w:rsidR="003044DF" w:rsidRPr="00B40A77">
        <w:rPr>
          <w:color w:val="000000" w:themeColor="text1"/>
          <w:lang w:val="en-US"/>
        </w:rPr>
        <w:t>5</w:t>
      </w:r>
      <w:r w:rsidRPr="00B40A77">
        <w:rPr>
          <w:color w:val="000000" w:themeColor="text1"/>
          <w:lang w:val="en-US"/>
        </w:rPr>
        <w:t>)</w:t>
      </w:r>
      <w:r w:rsidRPr="00B40A77">
        <w:rPr>
          <w:color w:val="000000" w:themeColor="text1"/>
          <w:lang w:val="en-US"/>
        </w:rPr>
        <w:tab/>
        <w:t xml:space="preserve">Unless the Court otherwise orders, the </w:t>
      </w:r>
      <w:r w:rsidR="009E2EA4" w:rsidRPr="00B40A77">
        <w:rPr>
          <w:color w:val="000000" w:themeColor="text1"/>
          <w:lang w:val="en-US"/>
        </w:rPr>
        <w:t>Director</w:t>
      </w:r>
      <w:r w:rsidRPr="00B40A77">
        <w:rPr>
          <w:color w:val="000000" w:themeColor="text1"/>
          <w:lang w:val="en-US"/>
        </w:rPr>
        <w:t xml:space="preserve"> must serve an evidentiary material brief (including any required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and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in electronic form if the defendant has an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that includes an email address.</w:t>
      </w:r>
    </w:p>
    <w:p w14:paraId="73B49888" w14:textId="60A85FA5" w:rsidR="00343DC6" w:rsidRPr="00B40A77" w:rsidRDefault="00343DC6" w:rsidP="00343DC6">
      <w:pPr>
        <w:pStyle w:val="Hangindent"/>
        <w:rPr>
          <w:color w:val="000000" w:themeColor="text1"/>
          <w:lang w:val="en-US"/>
        </w:rPr>
      </w:pPr>
      <w:r w:rsidRPr="00B40A77">
        <w:rPr>
          <w:color w:val="000000" w:themeColor="text1"/>
          <w:lang w:val="en-US"/>
        </w:rPr>
        <w:t>(</w:t>
      </w:r>
      <w:r w:rsidR="003044DF" w:rsidRPr="00B40A77">
        <w:rPr>
          <w:color w:val="000000" w:themeColor="text1"/>
          <w:lang w:val="en-US"/>
        </w:rPr>
        <w:t>6</w:t>
      </w:r>
      <w:r w:rsidRPr="00B40A77">
        <w:rPr>
          <w:color w:val="000000" w:themeColor="text1"/>
          <w:lang w:val="en-US"/>
        </w:rPr>
        <w:t>)</w:t>
      </w:r>
      <w:r w:rsidRPr="00B40A77">
        <w:rPr>
          <w:color w:val="000000" w:themeColor="text1"/>
          <w:lang w:val="en-US"/>
        </w:rPr>
        <w:tab/>
        <w:t>Unless the Court otherwise orders, the D</w:t>
      </w:r>
      <w:r w:rsidR="007976BE" w:rsidRPr="00B40A77">
        <w:rPr>
          <w:color w:val="000000" w:themeColor="text1"/>
          <w:lang w:val="en-US"/>
        </w:rPr>
        <w:t>irector</w:t>
      </w:r>
      <w:r w:rsidRPr="00B40A77">
        <w:rPr>
          <w:color w:val="000000" w:themeColor="text1"/>
          <w:lang w:val="en-US"/>
        </w:rPr>
        <w:t xml:space="preserve"> may serve the evidentiary material brief by sending an email informing the defendant of the filing of the brief and that it may be accessed on the Court’s electronic portal if</w:t>
      </w:r>
      <w:r w:rsidRPr="00B40A77">
        <w:rPr>
          <w:color w:val="000000" w:themeColor="text1"/>
        </w:rPr>
        <w:t>—</w:t>
      </w:r>
    </w:p>
    <w:p w14:paraId="724C7FD5" w14:textId="592D3642" w:rsidR="00343DC6" w:rsidRPr="00B40A77" w:rsidRDefault="00343DC6" w:rsidP="00343DC6">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w:t>
      </w:r>
      <w:r w:rsidR="00505A4A" w:rsidRPr="00B40A77">
        <w:rPr>
          <w:color w:val="000000" w:themeColor="text1"/>
          <w:lang w:val="en-US"/>
        </w:rPr>
        <w:t>Director</w:t>
      </w:r>
      <w:r w:rsidRPr="00B40A77">
        <w:rPr>
          <w:color w:val="000000" w:themeColor="text1"/>
          <w:lang w:val="en-US"/>
        </w:rPr>
        <w:t xml:space="preserve"> files an evidentiary material brief in electronic form;</w:t>
      </w:r>
    </w:p>
    <w:p w14:paraId="67F5A1D1" w14:textId="2864E094" w:rsidR="00343DC6" w:rsidRPr="00B40A77" w:rsidRDefault="00343DC6" w:rsidP="00343DC6">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defendant has an </w:t>
      </w:r>
      <w:hyperlink w:anchor="_2.1—Definitions" w:history="1">
        <w:r w:rsidRPr="00B40A77">
          <w:rPr>
            <w:rStyle w:val="Hyperlink"/>
            <w:color w:val="000000" w:themeColor="text1"/>
            <w:lang w:val="en-US"/>
          </w:rPr>
          <w:t>address for service</w:t>
        </w:r>
      </w:hyperlink>
      <w:r w:rsidRPr="00B40A77">
        <w:rPr>
          <w:color w:val="000000" w:themeColor="text1"/>
          <w:lang w:val="en-US"/>
        </w:rPr>
        <w:t xml:space="preserve"> that includes an email address</w:t>
      </w:r>
      <w:r w:rsidR="00505A4A" w:rsidRPr="00B40A77">
        <w:rPr>
          <w:color w:val="000000" w:themeColor="text1"/>
          <w:lang w:val="en-US"/>
        </w:rPr>
        <w:t>;</w:t>
      </w:r>
    </w:p>
    <w:p w14:paraId="39B6EC87" w14:textId="41085792" w:rsidR="00583700" w:rsidRPr="00B40A77" w:rsidRDefault="00505A4A" w:rsidP="00343DC6">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email is sent to that email </w:t>
      </w:r>
      <w:hyperlink w:anchor="_2.1—Definitions" w:history="1">
        <w:r w:rsidR="00531F32" w:rsidRPr="00B40A77">
          <w:rPr>
            <w:rStyle w:val="Hyperlink"/>
            <w:color w:val="000000" w:themeColor="text1"/>
            <w:lang w:val="en-US"/>
          </w:rPr>
          <w:t>address for service</w:t>
        </w:r>
      </w:hyperlink>
      <w:r w:rsidR="00583700" w:rsidRPr="00B40A77">
        <w:rPr>
          <w:color w:val="000000" w:themeColor="text1"/>
          <w:lang w:val="en-US"/>
        </w:rPr>
        <w:t>; and</w:t>
      </w:r>
    </w:p>
    <w:p w14:paraId="6CC35766" w14:textId="3EB3CFF9" w:rsidR="00505A4A" w:rsidRPr="00B40A77" w:rsidRDefault="00583700" w:rsidP="00343DC6">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party to be served or a lawyer acting for them is a registered user of the </w:t>
      </w:r>
      <w:hyperlink w:anchor="_22.1—Establishment_and_operation" w:history="1">
        <w:r w:rsidR="00A26A40" w:rsidRPr="00B40A77">
          <w:rPr>
            <w:rStyle w:val="Hyperlink"/>
            <w:color w:val="000000" w:themeColor="text1"/>
            <w:lang w:val="en-US"/>
          </w:rPr>
          <w:t>Electronic System</w:t>
        </w:r>
      </w:hyperlink>
      <w:r w:rsidRPr="00B40A77">
        <w:rPr>
          <w:color w:val="000000" w:themeColor="text1"/>
          <w:lang w:val="en-US"/>
        </w:rPr>
        <w:t xml:space="preserve"> and has been granted access to the case maintained on the </w:t>
      </w:r>
      <w:hyperlink w:anchor="_22.1—Establishment_and_operation" w:history="1">
        <w:r w:rsidR="00A26A40" w:rsidRPr="00B40A77">
          <w:rPr>
            <w:rStyle w:val="Hyperlink"/>
            <w:color w:val="000000" w:themeColor="text1"/>
            <w:lang w:val="en-US"/>
          </w:rPr>
          <w:t>Electronic System</w:t>
        </w:r>
      </w:hyperlink>
      <w:r w:rsidR="00505A4A" w:rsidRPr="00B40A77">
        <w:rPr>
          <w:color w:val="000000" w:themeColor="text1"/>
          <w:lang w:val="en-US"/>
        </w:rPr>
        <w:t>.</w:t>
      </w:r>
    </w:p>
    <w:p w14:paraId="34C71192" w14:textId="133E4E50" w:rsidR="00511A48" w:rsidRPr="00B40A77" w:rsidRDefault="00511A48" w:rsidP="00511A48">
      <w:pPr>
        <w:pStyle w:val="Hangindent"/>
        <w:rPr>
          <w:color w:val="000000" w:themeColor="text1"/>
          <w:lang w:val="en-US"/>
        </w:rPr>
      </w:pPr>
      <w:r w:rsidRPr="00B40A77">
        <w:rPr>
          <w:color w:val="000000" w:themeColor="text1"/>
          <w:lang w:val="en-US"/>
        </w:rPr>
        <w:t>(</w:t>
      </w:r>
      <w:r w:rsidR="003044DF" w:rsidRPr="00B40A77">
        <w:rPr>
          <w:color w:val="000000" w:themeColor="text1"/>
          <w:lang w:val="en-US"/>
        </w:rPr>
        <w:t>7</w:t>
      </w:r>
      <w:r w:rsidRPr="00B40A77">
        <w:rPr>
          <w:color w:val="000000" w:themeColor="text1"/>
          <w:lang w:val="en-US"/>
        </w:rPr>
        <w:t>)</w:t>
      </w:r>
      <w:r w:rsidRPr="00B40A77">
        <w:rPr>
          <w:color w:val="000000" w:themeColor="text1"/>
          <w:lang w:val="en-US"/>
        </w:rPr>
        <w:tab/>
        <w:t xml:space="preserve">The </w:t>
      </w:r>
      <w:r w:rsidR="009E2EA4" w:rsidRPr="00B40A77">
        <w:rPr>
          <w:color w:val="000000" w:themeColor="text1"/>
          <w:lang w:val="en-US"/>
        </w:rPr>
        <w:t>Director</w:t>
      </w:r>
      <w:r w:rsidRPr="00B40A77">
        <w:rPr>
          <w:color w:val="000000" w:themeColor="text1"/>
          <w:lang w:val="en-US"/>
        </w:rPr>
        <w:t xml:space="preserve"> must </w:t>
      </w:r>
      <w:r w:rsidR="00AA6CA6" w:rsidRPr="00B40A77">
        <w:rPr>
          <w:color w:val="000000" w:themeColor="text1"/>
          <w:lang w:val="en-US"/>
        </w:rPr>
        <w:t xml:space="preserve">file and </w:t>
      </w:r>
      <w:r w:rsidRPr="00B40A77">
        <w:rPr>
          <w:color w:val="000000" w:themeColor="text1"/>
          <w:lang w:val="en-US"/>
        </w:rPr>
        <w:t xml:space="preserve">serve as an attachment to the evidentiary material brief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 the evidentiary material brief.</w:t>
      </w:r>
    </w:p>
    <w:p w14:paraId="53F9D4EC" w14:textId="514DC588" w:rsidR="00511A48" w:rsidRPr="00B40A77" w:rsidRDefault="00511A48" w:rsidP="00511A48">
      <w:pPr>
        <w:pStyle w:val="Hangindent"/>
        <w:rPr>
          <w:color w:val="000000" w:themeColor="text1"/>
          <w:lang w:val="en-US"/>
        </w:rPr>
      </w:pPr>
      <w:r w:rsidRPr="00B40A77">
        <w:rPr>
          <w:color w:val="000000" w:themeColor="text1"/>
          <w:lang w:val="en-US"/>
        </w:rPr>
        <w:t>(</w:t>
      </w:r>
      <w:r w:rsidR="003044DF" w:rsidRPr="00B40A77">
        <w:rPr>
          <w:color w:val="000000" w:themeColor="text1"/>
          <w:lang w:val="en-US"/>
        </w:rPr>
        <w:t>8</w:t>
      </w:r>
      <w:r w:rsidRPr="00B40A77">
        <w:rPr>
          <w:color w:val="000000" w:themeColor="text1"/>
          <w:lang w:val="en-US"/>
        </w:rPr>
        <w:t>)</w:t>
      </w:r>
      <w:r w:rsidRPr="00B40A77">
        <w:rPr>
          <w:color w:val="000000" w:themeColor="text1"/>
          <w:lang w:val="en-US"/>
        </w:rPr>
        <w:tab/>
        <w:t xml:space="preserve">The </w:t>
      </w:r>
      <w:r w:rsidR="009E2EA4" w:rsidRPr="00B40A77">
        <w:rPr>
          <w:color w:val="000000" w:themeColor="text1"/>
          <w:lang w:val="en-US"/>
        </w:rPr>
        <w:t xml:space="preserve">Director </w:t>
      </w:r>
      <w:r w:rsidRPr="00B40A77">
        <w:rPr>
          <w:color w:val="000000" w:themeColor="text1"/>
          <w:lang w:val="en-US"/>
        </w:rPr>
        <w:t xml:space="preserve">may </w:t>
      </w:r>
      <w:r w:rsidR="00AA6CA6" w:rsidRPr="00B40A77">
        <w:rPr>
          <w:color w:val="000000" w:themeColor="text1"/>
          <w:lang w:val="en-US"/>
        </w:rPr>
        <w:t xml:space="preserve">file and </w:t>
      </w:r>
      <w:r w:rsidRPr="00B40A77">
        <w:rPr>
          <w:color w:val="000000" w:themeColor="text1"/>
          <w:lang w:val="en-US"/>
        </w:rPr>
        <w:t xml:space="preserve">serve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not attached to the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identified in the evidentiary material brief or alternatively may retain possession of any such other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w:t>
      </w:r>
    </w:p>
    <w:p w14:paraId="326A3521" w14:textId="5E3171BD" w:rsidR="00511A48" w:rsidRPr="00B40A77" w:rsidRDefault="00511A48" w:rsidP="00511A48">
      <w:pPr>
        <w:pStyle w:val="Hangindent"/>
        <w:rPr>
          <w:color w:val="000000" w:themeColor="text1"/>
          <w:lang w:val="en-US"/>
        </w:rPr>
      </w:pPr>
      <w:r w:rsidRPr="00B40A77">
        <w:rPr>
          <w:color w:val="000000" w:themeColor="text1"/>
          <w:lang w:val="en-US"/>
        </w:rPr>
        <w:t>(</w:t>
      </w:r>
      <w:r w:rsidR="003044DF" w:rsidRPr="00B40A77">
        <w:rPr>
          <w:color w:val="000000" w:themeColor="text1"/>
          <w:lang w:val="en-US"/>
        </w:rPr>
        <w:t>9</w:t>
      </w:r>
      <w:r w:rsidRPr="00B40A77">
        <w:rPr>
          <w:color w:val="000000" w:themeColor="text1"/>
          <w:lang w:val="en-US"/>
        </w:rPr>
        <w:t>)</w:t>
      </w:r>
      <w:r w:rsidRPr="00B40A77">
        <w:rPr>
          <w:color w:val="000000" w:themeColor="text1"/>
          <w:lang w:val="en-US"/>
        </w:rPr>
        <w:tab/>
        <w:t xml:space="preserve">If the </w:t>
      </w:r>
      <w:r w:rsidR="009E2EA4" w:rsidRPr="00B40A77">
        <w:rPr>
          <w:color w:val="000000" w:themeColor="text1"/>
          <w:lang w:val="en-US"/>
        </w:rPr>
        <w:t>Director</w:t>
      </w:r>
      <w:r w:rsidRPr="00B40A77">
        <w:rPr>
          <w:color w:val="000000" w:themeColor="text1"/>
          <w:lang w:val="en-US"/>
        </w:rPr>
        <w:t xml:space="preserve"> wishes to amend or supplement an evidentiary material brief previously served, the </w:t>
      </w:r>
      <w:r w:rsidR="009E2EA4" w:rsidRPr="00B40A77">
        <w:rPr>
          <w:color w:val="000000" w:themeColor="text1"/>
          <w:lang w:val="en-US"/>
        </w:rPr>
        <w:t xml:space="preserve">Director </w:t>
      </w:r>
      <w:r w:rsidRPr="00B40A77">
        <w:rPr>
          <w:color w:val="000000" w:themeColor="text1"/>
          <w:lang w:val="en-US"/>
        </w:rPr>
        <w:t xml:space="preserve">must do so by </w:t>
      </w:r>
      <w:r w:rsidR="00505A4A" w:rsidRPr="00B40A77">
        <w:rPr>
          <w:color w:val="000000" w:themeColor="text1"/>
          <w:lang w:val="en-US"/>
        </w:rPr>
        <w:t xml:space="preserve">filing or </w:t>
      </w:r>
      <w:r w:rsidRPr="00B40A77">
        <w:rPr>
          <w:color w:val="000000" w:themeColor="text1"/>
          <w:lang w:val="en-US"/>
        </w:rPr>
        <w:t>serving a revised version of the evidentiary material brief showing the relevant revision number.</w:t>
      </w:r>
    </w:p>
    <w:p w14:paraId="2F851333" w14:textId="205FDF14" w:rsidR="00511A48" w:rsidRPr="00B40A77" w:rsidRDefault="00511A48" w:rsidP="00A600F9">
      <w:pPr>
        <w:pStyle w:val="Hangindent"/>
        <w:rPr>
          <w:color w:val="000000" w:themeColor="text1"/>
          <w:lang w:val="en-US"/>
        </w:rPr>
      </w:pPr>
      <w:r w:rsidRPr="00B40A77">
        <w:rPr>
          <w:color w:val="000000" w:themeColor="text1"/>
          <w:lang w:val="en-US"/>
        </w:rPr>
        <w:t>(</w:t>
      </w:r>
      <w:r w:rsidR="003044DF" w:rsidRPr="00B40A77">
        <w:rPr>
          <w:color w:val="000000" w:themeColor="text1"/>
          <w:lang w:val="en-US"/>
        </w:rPr>
        <w:t>10</w:t>
      </w:r>
      <w:r w:rsidRPr="00B40A77">
        <w:rPr>
          <w:color w:val="000000" w:themeColor="text1"/>
          <w:lang w:val="en-US"/>
        </w:rPr>
        <w:t>)</w:t>
      </w:r>
      <w:r w:rsidRPr="00B40A77">
        <w:rPr>
          <w:color w:val="000000" w:themeColor="text1"/>
          <w:lang w:val="en-US"/>
        </w:rPr>
        <w:tab/>
        <w:t xml:space="preserve">If the </w:t>
      </w:r>
      <w:r w:rsidR="009E2EA4" w:rsidRPr="00B40A77">
        <w:rPr>
          <w:color w:val="000000" w:themeColor="text1"/>
          <w:lang w:val="en-US"/>
        </w:rPr>
        <w:t>Director</w:t>
      </w:r>
      <w:r w:rsidRPr="00B40A77">
        <w:rPr>
          <w:color w:val="000000" w:themeColor="text1"/>
          <w:lang w:val="en-US"/>
        </w:rPr>
        <w:t xml:space="preserve"> files a revised evidentiary material brief</w:t>
      </w:r>
      <w:r w:rsidR="0008316E" w:rsidRPr="00B40A77">
        <w:rPr>
          <w:color w:val="000000" w:themeColor="text1"/>
          <w:lang w:val="en-US"/>
        </w:rPr>
        <w:t xml:space="preserve"> in electronic form</w:t>
      </w:r>
      <w:r w:rsidRPr="00B40A77">
        <w:rPr>
          <w:color w:val="000000" w:themeColor="text1"/>
          <w:lang w:val="en-US"/>
        </w:rPr>
        <w:t xml:space="preserve">, the </w:t>
      </w:r>
      <w:r w:rsidR="009E2EA4" w:rsidRPr="00B40A77">
        <w:rPr>
          <w:color w:val="000000" w:themeColor="text1"/>
          <w:lang w:val="en-US"/>
        </w:rPr>
        <w:t>Director</w:t>
      </w:r>
      <w:r w:rsidRPr="00B40A77">
        <w:rPr>
          <w:color w:val="000000" w:themeColor="text1"/>
          <w:lang w:val="en-US"/>
        </w:rPr>
        <w:t xml:space="preserve"> </w:t>
      </w:r>
      <w:r w:rsidR="001C69EF" w:rsidRPr="00B40A77">
        <w:rPr>
          <w:color w:val="000000" w:themeColor="text1"/>
          <w:lang w:val="en-US"/>
        </w:rPr>
        <w:t xml:space="preserve">may, but is not required to, </w:t>
      </w:r>
      <w:r w:rsidR="00505A4A" w:rsidRPr="00B40A77">
        <w:rPr>
          <w:color w:val="000000" w:themeColor="text1"/>
          <w:lang w:val="en-US"/>
        </w:rPr>
        <w:t>include a</w:t>
      </w:r>
      <w:r w:rsidRPr="00B40A77">
        <w:rPr>
          <w:color w:val="000000" w:themeColor="text1"/>
          <w:lang w:val="en-US"/>
        </w:rPr>
        <w:t xml:space="preserve">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4AEC25AD" w14:textId="5A993005" w:rsidR="00583700" w:rsidRPr="00B40A77" w:rsidRDefault="00583700" w:rsidP="00763DD0">
      <w:pPr>
        <w:pStyle w:val="Hangindent"/>
        <w:keepNext/>
        <w:rPr>
          <w:color w:val="000000" w:themeColor="text1"/>
          <w:lang w:val="en-US"/>
        </w:rPr>
      </w:pPr>
      <w:r w:rsidRPr="00B40A77">
        <w:rPr>
          <w:color w:val="000000" w:themeColor="text1"/>
          <w:lang w:val="en-US"/>
        </w:rPr>
        <w:lastRenderedPageBreak/>
        <w:t>(11)</w:t>
      </w:r>
      <w:r w:rsidRPr="00B40A77">
        <w:rPr>
          <w:color w:val="000000" w:themeColor="text1"/>
          <w:lang w:val="en-US"/>
        </w:rPr>
        <w:tab/>
        <w:t xml:space="preserve">If the informant files or serves a revised evidentiary material brief in physical form, the informant is not required to file or serve again any </w:t>
      </w:r>
      <w:hyperlink w:anchor="_2.1—Definitions" w:history="1">
        <w:r w:rsidR="00F5292A" w:rsidRPr="00B40A77">
          <w:rPr>
            <w:rStyle w:val="Hyperlink"/>
            <w:color w:val="000000" w:themeColor="text1"/>
            <w:lang w:val="en-US"/>
          </w:rPr>
          <w:t>witness statement</w:t>
        </w:r>
      </w:hyperlink>
      <w:r w:rsidRPr="00B40A77">
        <w:rPr>
          <w:color w:val="000000" w:themeColor="text1"/>
          <w:u w:val="single"/>
          <w:lang w:val="en-US"/>
        </w:rPr>
        <w:t>s</w:t>
      </w:r>
      <w:r w:rsidRPr="00B40A77">
        <w:rPr>
          <w:color w:val="000000" w:themeColor="text1"/>
          <w:lang w:val="en-US"/>
        </w:rPr>
        <w:t xml:space="preserve"> or </w:t>
      </w:r>
      <w:hyperlink w:anchor="_2.1—Definitions" w:history="1">
        <w:r w:rsidR="000475CD" w:rsidRPr="00B40A77">
          <w:rPr>
            <w:rStyle w:val="Hyperlink"/>
            <w:color w:val="000000" w:themeColor="text1"/>
            <w:lang w:val="en-US"/>
          </w:rPr>
          <w:t>evidentiary material</w:t>
        </w:r>
      </w:hyperlink>
      <w:r w:rsidRPr="00B40A77">
        <w:rPr>
          <w:color w:val="000000" w:themeColor="text1"/>
          <w:lang w:val="en-US"/>
        </w:rPr>
        <w:t xml:space="preserve"> attached to a previous evidentiary material brief.</w:t>
      </w:r>
    </w:p>
    <w:p w14:paraId="3272AE58" w14:textId="77777777" w:rsidR="00505A4A" w:rsidRPr="00B40A77" w:rsidRDefault="00505A4A" w:rsidP="00505A4A">
      <w:pPr>
        <w:pStyle w:val="NoteHeader"/>
        <w:keepNext/>
        <w:rPr>
          <w:color w:val="000000" w:themeColor="text1"/>
        </w:rPr>
      </w:pPr>
      <w:r w:rsidRPr="00B40A77">
        <w:rPr>
          <w:color w:val="000000" w:themeColor="text1"/>
        </w:rPr>
        <w:t>Note—</w:t>
      </w:r>
    </w:p>
    <w:p w14:paraId="5719CFE0" w14:textId="0CC929C9" w:rsidR="00505A4A" w:rsidRPr="00B40A77" w:rsidRDefault="00505A4A" w:rsidP="00505A4A">
      <w:pPr>
        <w:pStyle w:val="NoteText"/>
        <w:ind w:left="1440"/>
        <w:rPr>
          <w:color w:val="000000" w:themeColor="text1"/>
          <w:lang w:val="en-US"/>
        </w:rPr>
      </w:pPr>
      <w:r w:rsidRPr="00B40A77">
        <w:rPr>
          <w:color w:val="000000" w:themeColor="text1"/>
        </w:rPr>
        <w:t xml:space="preserve">An evidentiary material brief filed under this rule may but is not required to refer to or attach </w:t>
      </w:r>
      <w:hyperlink w:anchor="_2.1—Definitions" w:history="1">
        <w:r w:rsidR="000475CD" w:rsidRPr="00B40A77">
          <w:rPr>
            <w:rStyle w:val="Hyperlink"/>
            <w:color w:val="000000" w:themeColor="text1"/>
            <w:lang w:val="en-US"/>
          </w:rPr>
          <w:t>evidentiary material</w:t>
        </w:r>
      </w:hyperlink>
      <w:r w:rsidRPr="00B40A77">
        <w:rPr>
          <w:color w:val="000000" w:themeColor="text1"/>
        </w:rPr>
        <w:t xml:space="preserve"> filed in a </w:t>
      </w:r>
      <w:hyperlink w:anchor="_2.1—Definitions" w:history="1">
        <w:r w:rsidR="00981911" w:rsidRPr="00B40A77">
          <w:rPr>
            <w:rStyle w:val="Hyperlink"/>
            <w:color w:val="000000" w:themeColor="text1"/>
          </w:rPr>
          <w:t>Lower Court</w:t>
        </w:r>
      </w:hyperlink>
      <w:r w:rsidRPr="00B40A77">
        <w:rPr>
          <w:color w:val="000000" w:themeColor="text1"/>
        </w:rPr>
        <w:t xml:space="preserve"> in the relevant </w:t>
      </w:r>
      <w:hyperlink w:anchor="_2.1—Definitions" w:history="1">
        <w:r w:rsidRPr="00B40A77">
          <w:rPr>
            <w:rStyle w:val="Hyperlink"/>
            <w:color w:val="000000" w:themeColor="text1"/>
          </w:rPr>
          <w:t>committal proceeding</w:t>
        </w:r>
      </w:hyperlink>
      <w:r w:rsidRPr="00B40A77">
        <w:rPr>
          <w:color w:val="000000" w:themeColor="text1"/>
        </w:rPr>
        <w:t>.</w:t>
      </w:r>
    </w:p>
    <w:p w14:paraId="78BC4164" w14:textId="08526775" w:rsidR="004910C7" w:rsidRPr="00B40A77" w:rsidRDefault="001D53FE" w:rsidP="004910C7">
      <w:pPr>
        <w:pStyle w:val="Heading4"/>
        <w:rPr>
          <w:color w:val="000000" w:themeColor="text1"/>
        </w:rPr>
      </w:pPr>
      <w:bookmarkStart w:id="645" w:name="_Toc175239066"/>
      <w:bookmarkEnd w:id="639"/>
      <w:bookmarkEnd w:id="644"/>
      <w:r w:rsidRPr="00B40A77">
        <w:rPr>
          <w:color w:val="000000" w:themeColor="text1"/>
        </w:rPr>
        <w:t>93</w:t>
      </w:r>
      <w:r w:rsidR="004910C7" w:rsidRPr="00B40A77">
        <w:rPr>
          <w:color w:val="000000" w:themeColor="text1"/>
        </w:rPr>
        <w:t>.</w:t>
      </w:r>
      <w:r w:rsidR="00511A48" w:rsidRPr="00B40A77">
        <w:rPr>
          <w:color w:val="000000" w:themeColor="text1"/>
        </w:rPr>
        <w:t>3</w:t>
      </w:r>
      <w:r w:rsidR="004910C7" w:rsidRPr="00B40A77">
        <w:rPr>
          <w:color w:val="000000" w:themeColor="text1"/>
        </w:rPr>
        <w:t>—Expert evidence</w:t>
      </w:r>
      <w:bookmarkEnd w:id="645"/>
    </w:p>
    <w:p w14:paraId="69259D0D" w14:textId="7755A8B9" w:rsidR="004910C7" w:rsidRPr="00B40A77" w:rsidRDefault="00F12729" w:rsidP="00F12729">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AD08F1" w:rsidRPr="00B40A77">
        <w:rPr>
          <w:color w:val="000000" w:themeColor="text1"/>
          <w:lang w:val="en-US"/>
        </w:rPr>
        <w:t>If a defendant</w:t>
      </w:r>
      <w:r w:rsidR="004910C7" w:rsidRPr="00B40A77">
        <w:rPr>
          <w:color w:val="000000" w:themeColor="text1"/>
          <w:lang w:val="en-US"/>
        </w:rPr>
        <w:t xml:space="preserve"> intends to adduce expert evidence at </w:t>
      </w:r>
      <w:hyperlink w:anchor="_2.1—Definitions" w:history="1">
        <w:hyperlink w:anchor="_2.1—Definitions" w:history="1">
          <w:r w:rsidR="00AB0539" w:rsidRPr="00B40A77">
            <w:rPr>
              <w:rStyle w:val="Hyperlink"/>
              <w:color w:val="000000" w:themeColor="text1"/>
              <w:lang w:val="en-US"/>
            </w:rPr>
            <w:t>trial</w:t>
          </w:r>
        </w:hyperlink>
      </w:hyperlink>
      <w:r w:rsidR="004910C7" w:rsidRPr="00B40A77">
        <w:rPr>
          <w:color w:val="000000" w:themeColor="text1"/>
          <w:lang w:val="en-US"/>
        </w:rPr>
        <w:t xml:space="preserve">, they must file and serve on each other party a notice </w:t>
      </w:r>
      <w:r w:rsidR="008247DC" w:rsidRPr="00B40A77">
        <w:rPr>
          <w:color w:val="000000" w:themeColor="text1"/>
          <w:lang w:val="en-US"/>
        </w:rPr>
        <w:t xml:space="preserve">of intention to adduce expert evidence </w:t>
      </w:r>
      <w:r w:rsidR="004910C7" w:rsidRPr="00B40A77">
        <w:rPr>
          <w:color w:val="000000" w:themeColor="text1"/>
          <w:lang w:val="en-US"/>
        </w:rPr>
        <w:t xml:space="preserve">in the prescribed </w:t>
      </w:r>
      <w:r w:rsidR="00AD08F1" w:rsidRPr="00B40A77">
        <w:rPr>
          <w:color w:val="000000" w:themeColor="text1"/>
          <w:lang w:val="en-US"/>
        </w:rPr>
        <w:t xml:space="preserve">form </w:t>
      </w:r>
      <w:r w:rsidR="002217AE" w:rsidRPr="00B40A77">
        <w:rPr>
          <w:color w:val="000000" w:themeColor="text1"/>
          <w:lang w:val="en-US"/>
        </w:rPr>
        <w:t>at or before</w:t>
      </w:r>
      <w:r w:rsidR="004910C7" w:rsidRPr="00B40A77">
        <w:rPr>
          <w:color w:val="000000" w:themeColor="text1"/>
          <w:lang w:val="en-US"/>
        </w:rPr>
        <w:t xml:space="preserve"> the time fixed for filing a defence case statement.</w:t>
      </w:r>
    </w:p>
    <w:p w14:paraId="0E1C074B" w14:textId="1DC82298" w:rsidR="00F12729" w:rsidRPr="00B40A77" w:rsidRDefault="00F12729" w:rsidP="00F12729">
      <w:pPr>
        <w:pStyle w:val="Hangindent"/>
        <w:rPr>
          <w:color w:val="000000" w:themeColor="text1"/>
          <w:lang w:val="en-US"/>
        </w:rPr>
      </w:pPr>
      <w:r w:rsidRPr="00B40A77">
        <w:rPr>
          <w:color w:val="000000" w:themeColor="text1"/>
          <w:lang w:val="en-US"/>
        </w:rPr>
        <w:t>(2)</w:t>
      </w:r>
      <w:r w:rsidRPr="00B40A77">
        <w:rPr>
          <w:color w:val="000000" w:themeColor="text1"/>
          <w:lang w:val="en-US"/>
        </w:rPr>
        <w:tab/>
        <w:t>If expert evidence becomes available to the defence after the time referred to in sub</w:t>
      </w:r>
      <w:r w:rsidR="00CE5EC2" w:rsidRPr="00B40A77">
        <w:rPr>
          <w:color w:val="000000" w:themeColor="text1"/>
          <w:lang w:val="en-US"/>
        </w:rPr>
        <w:t>rule</w:t>
      </w:r>
      <w:r w:rsidRPr="00B40A77">
        <w:rPr>
          <w:color w:val="000000" w:themeColor="text1"/>
          <w:lang w:val="en-US"/>
        </w:rPr>
        <w:t> (1), the</w:t>
      </w:r>
      <w:r w:rsidR="009E513E" w:rsidRPr="00B40A77">
        <w:rPr>
          <w:color w:val="000000" w:themeColor="text1"/>
          <w:lang w:val="en-US"/>
        </w:rPr>
        <w:t xml:space="preserve"> </w:t>
      </w:r>
      <w:r w:rsidRPr="00B40A77">
        <w:rPr>
          <w:color w:val="000000" w:themeColor="text1"/>
          <w:lang w:val="en-US"/>
        </w:rPr>
        <w:t>defendant</w:t>
      </w:r>
      <w:r w:rsidR="009E513E" w:rsidRPr="00B40A77">
        <w:rPr>
          <w:color w:val="000000" w:themeColor="text1"/>
          <w:lang w:val="en-US"/>
        </w:rPr>
        <w:t xml:space="preserve"> </w:t>
      </w:r>
      <w:r w:rsidRPr="00B40A77">
        <w:rPr>
          <w:color w:val="000000" w:themeColor="text1"/>
          <w:lang w:val="en-US"/>
        </w:rPr>
        <w:t xml:space="preserve">must file </w:t>
      </w:r>
      <w:r w:rsidR="008E1C99" w:rsidRPr="00B40A77">
        <w:rPr>
          <w:color w:val="000000" w:themeColor="text1"/>
          <w:lang w:val="en-US"/>
        </w:rPr>
        <w:t>and serve on each other party a notice of intention to adduce expert evidence in the prescribed form as soon as practicable</w:t>
      </w:r>
      <w:r w:rsidRPr="00B40A77">
        <w:rPr>
          <w:color w:val="000000" w:themeColor="text1"/>
          <w:lang w:val="en-US"/>
        </w:rPr>
        <w:t>.</w:t>
      </w:r>
    </w:p>
    <w:p w14:paraId="23CA8EEC" w14:textId="40F84D92" w:rsidR="00F12729" w:rsidRPr="00B40A77" w:rsidRDefault="00CE5EC2" w:rsidP="00F12729">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If </w:t>
      </w:r>
      <w:r w:rsidR="008E1C99" w:rsidRPr="00B40A77">
        <w:rPr>
          <w:color w:val="000000" w:themeColor="text1"/>
          <w:lang w:val="en-US"/>
        </w:rPr>
        <w:t xml:space="preserve">any information </w:t>
      </w:r>
      <w:r w:rsidR="00A11E02" w:rsidRPr="00B40A77">
        <w:rPr>
          <w:color w:val="000000" w:themeColor="text1"/>
          <w:lang w:val="en-US"/>
        </w:rPr>
        <w:t xml:space="preserve">relating to expert evidence </w:t>
      </w:r>
      <w:r w:rsidR="008E1C99" w:rsidRPr="00B40A77">
        <w:rPr>
          <w:color w:val="000000" w:themeColor="text1"/>
          <w:lang w:val="en-US"/>
        </w:rPr>
        <w:t>specified in a notice under subrule (1) or</w:t>
      </w:r>
      <w:r w:rsidR="00A11E02" w:rsidRPr="00B40A77">
        <w:rPr>
          <w:color w:val="000000" w:themeColor="text1"/>
          <w:lang w:val="en-US"/>
        </w:rPr>
        <w:t> </w:t>
      </w:r>
      <w:r w:rsidR="008E1C99" w:rsidRPr="00B40A77">
        <w:rPr>
          <w:color w:val="000000" w:themeColor="text1"/>
          <w:lang w:val="en-US"/>
        </w:rPr>
        <w:t xml:space="preserve">(2) subsequently changes, </w:t>
      </w:r>
      <w:r w:rsidRPr="00B40A77">
        <w:rPr>
          <w:color w:val="000000" w:themeColor="text1"/>
          <w:lang w:val="en-US"/>
        </w:rPr>
        <w:t>the</w:t>
      </w:r>
      <w:r w:rsidR="00A11E02" w:rsidRPr="00B40A77">
        <w:rPr>
          <w:color w:val="000000" w:themeColor="text1"/>
          <w:lang w:val="en-US"/>
        </w:rPr>
        <w:t xml:space="preserve"> </w:t>
      </w:r>
      <w:r w:rsidRPr="00B40A77">
        <w:rPr>
          <w:color w:val="000000" w:themeColor="text1"/>
          <w:lang w:val="en-US"/>
        </w:rPr>
        <w:t>defendant</w:t>
      </w:r>
      <w:r w:rsidR="00A11E02" w:rsidRPr="00B40A77">
        <w:rPr>
          <w:color w:val="000000" w:themeColor="text1"/>
          <w:lang w:val="en-US"/>
        </w:rPr>
        <w:t xml:space="preserve"> </w:t>
      </w:r>
      <w:r w:rsidRPr="00B40A77">
        <w:rPr>
          <w:color w:val="000000" w:themeColor="text1"/>
          <w:lang w:val="en-US"/>
        </w:rPr>
        <w:t xml:space="preserve">must file </w:t>
      </w:r>
      <w:r w:rsidR="008E1C99" w:rsidRPr="00B40A77">
        <w:rPr>
          <w:color w:val="000000" w:themeColor="text1"/>
          <w:lang w:val="en-US"/>
        </w:rPr>
        <w:t xml:space="preserve">and serve </w:t>
      </w:r>
      <w:r w:rsidRPr="00B40A77">
        <w:rPr>
          <w:color w:val="000000" w:themeColor="text1"/>
          <w:lang w:val="en-US"/>
        </w:rPr>
        <w:t xml:space="preserve">on each other party a notice </w:t>
      </w:r>
      <w:r w:rsidR="008E1C99" w:rsidRPr="00B40A77">
        <w:rPr>
          <w:color w:val="000000" w:themeColor="text1"/>
          <w:lang w:val="en-US"/>
        </w:rPr>
        <w:t xml:space="preserve">or revised notice </w:t>
      </w:r>
      <w:r w:rsidRPr="00B40A77">
        <w:rPr>
          <w:color w:val="000000" w:themeColor="text1"/>
          <w:lang w:val="en-US"/>
        </w:rPr>
        <w:t xml:space="preserve">of intention to adduce expert evidence in the prescribed form </w:t>
      </w:r>
      <w:r w:rsidR="008E1C99" w:rsidRPr="00B40A77">
        <w:rPr>
          <w:color w:val="000000" w:themeColor="text1"/>
          <w:lang w:val="en-US"/>
        </w:rPr>
        <w:t>as soon as practicable after the defence becomes aware of such change.</w:t>
      </w:r>
    </w:p>
    <w:p w14:paraId="6306E226" w14:textId="77777777" w:rsidR="004910C7" w:rsidRPr="00B40A77" w:rsidRDefault="004910C7" w:rsidP="00F12729">
      <w:pPr>
        <w:pStyle w:val="NoteHeader"/>
        <w:keepNext/>
        <w:rPr>
          <w:color w:val="000000" w:themeColor="text1"/>
        </w:rPr>
      </w:pPr>
      <w:r w:rsidRPr="00B40A77">
        <w:rPr>
          <w:color w:val="000000" w:themeColor="text1"/>
        </w:rPr>
        <w:t>Prescribed form—</w:t>
      </w:r>
    </w:p>
    <w:p w14:paraId="1A1EB143" w14:textId="2C36AF6E" w:rsidR="004910C7" w:rsidRPr="00B40A77" w:rsidRDefault="004910C7" w:rsidP="00F12729">
      <w:pPr>
        <w:pStyle w:val="NoteText"/>
        <w:ind w:left="1440"/>
        <w:rPr>
          <w:color w:val="000000" w:themeColor="text1"/>
          <w:u w:val="single"/>
        </w:rPr>
      </w:pPr>
      <w:r w:rsidRPr="00B40A77">
        <w:rPr>
          <w:color w:val="000000" w:themeColor="text1"/>
        </w:rPr>
        <w:t>F</w:t>
      </w:r>
      <w:r w:rsidR="00D750B7" w:rsidRPr="00B40A77">
        <w:rPr>
          <w:color w:val="000000" w:themeColor="text1"/>
        </w:rPr>
        <w:t>orm 77</w:t>
      </w:r>
      <w:r w:rsidRPr="00B40A77">
        <w:rPr>
          <w:color w:val="000000" w:themeColor="text1"/>
        </w:rPr>
        <w:t xml:space="preserve">A </w:t>
      </w:r>
      <w:hyperlink r:id="rId184" w:history="1">
        <w:r w:rsidRPr="00B40A77">
          <w:rPr>
            <w:rStyle w:val="Hyperlink"/>
            <w:color w:val="000000" w:themeColor="text1"/>
          </w:rPr>
          <w:t>Notice o</w:t>
        </w:r>
        <w:r w:rsidR="00D629C8" w:rsidRPr="00B40A77">
          <w:rPr>
            <w:rStyle w:val="Hyperlink"/>
            <w:color w:val="000000" w:themeColor="text1"/>
          </w:rPr>
          <w:t xml:space="preserve">f </w:t>
        </w:r>
        <w:r w:rsidR="00D04DA6" w:rsidRPr="00B40A77">
          <w:rPr>
            <w:rStyle w:val="Hyperlink"/>
            <w:color w:val="000000" w:themeColor="text1"/>
          </w:rPr>
          <w:t>I</w:t>
        </w:r>
        <w:r w:rsidR="00D629C8" w:rsidRPr="00B40A77">
          <w:rPr>
            <w:rStyle w:val="Hyperlink"/>
            <w:color w:val="000000" w:themeColor="text1"/>
          </w:rPr>
          <w:t xml:space="preserve">ntention to </w:t>
        </w:r>
        <w:r w:rsidR="00D04DA6" w:rsidRPr="00B40A77">
          <w:rPr>
            <w:rStyle w:val="Hyperlink"/>
            <w:color w:val="000000" w:themeColor="text1"/>
          </w:rPr>
          <w:t>A</w:t>
        </w:r>
        <w:r w:rsidR="00D629C8" w:rsidRPr="00B40A77">
          <w:rPr>
            <w:rStyle w:val="Hyperlink"/>
            <w:color w:val="000000" w:themeColor="text1"/>
          </w:rPr>
          <w:t xml:space="preserve">dduce </w:t>
        </w:r>
        <w:r w:rsidR="00D04DA6" w:rsidRPr="00B40A77">
          <w:rPr>
            <w:rStyle w:val="Hyperlink"/>
            <w:color w:val="000000" w:themeColor="text1"/>
          </w:rPr>
          <w:t>E</w:t>
        </w:r>
        <w:r w:rsidR="00D629C8" w:rsidRPr="00B40A77">
          <w:rPr>
            <w:rStyle w:val="Hyperlink"/>
            <w:color w:val="000000" w:themeColor="text1"/>
          </w:rPr>
          <w:t xml:space="preserve">xpert </w:t>
        </w:r>
        <w:r w:rsidR="00D04DA6" w:rsidRPr="00B40A77">
          <w:rPr>
            <w:rStyle w:val="Hyperlink"/>
            <w:color w:val="000000" w:themeColor="text1"/>
          </w:rPr>
          <w:t>E</w:t>
        </w:r>
        <w:r w:rsidRPr="00B40A77">
          <w:rPr>
            <w:rStyle w:val="Hyperlink"/>
            <w:color w:val="000000" w:themeColor="text1"/>
          </w:rPr>
          <w:t>vidence (Higher Courts)</w:t>
        </w:r>
      </w:hyperlink>
    </w:p>
    <w:p w14:paraId="62DDDCFE" w14:textId="77777777" w:rsidR="00F12729" w:rsidRPr="00B40A77" w:rsidRDefault="00F12729" w:rsidP="00F12729">
      <w:pPr>
        <w:pStyle w:val="NoteHeader"/>
        <w:keepNext/>
        <w:rPr>
          <w:color w:val="000000" w:themeColor="text1"/>
        </w:rPr>
      </w:pPr>
      <w:r w:rsidRPr="00B40A77">
        <w:rPr>
          <w:color w:val="000000" w:themeColor="text1"/>
        </w:rPr>
        <w:t>Note—</w:t>
      </w:r>
    </w:p>
    <w:p w14:paraId="4A3CA6D8" w14:textId="2C811D8A" w:rsidR="00F12729" w:rsidRPr="00B40A77" w:rsidRDefault="008E1C99" w:rsidP="00F12729">
      <w:pPr>
        <w:pStyle w:val="NoteText"/>
        <w:ind w:left="1440"/>
        <w:rPr>
          <w:color w:val="000000" w:themeColor="text1"/>
        </w:rPr>
      </w:pPr>
      <w:r w:rsidRPr="00B40A77">
        <w:rPr>
          <w:color w:val="000000" w:themeColor="text1"/>
        </w:rPr>
        <w:t>Section 124(1) and (2) of the Procedure Act impose obligations on the defence to give notice of expert evidence</w:t>
      </w:r>
      <w:r w:rsidR="00F12729" w:rsidRPr="00B40A77">
        <w:rPr>
          <w:color w:val="000000" w:themeColor="text1"/>
        </w:rPr>
        <w:t>.</w:t>
      </w:r>
    </w:p>
    <w:p w14:paraId="26830892" w14:textId="0E4F392A" w:rsidR="004910C7" w:rsidRPr="00B40A77" w:rsidRDefault="001D53FE" w:rsidP="004910C7">
      <w:pPr>
        <w:pStyle w:val="Heading4"/>
        <w:rPr>
          <w:color w:val="000000" w:themeColor="text1"/>
        </w:rPr>
      </w:pPr>
      <w:bookmarkStart w:id="646" w:name="_Toc175239067"/>
      <w:r w:rsidRPr="00B40A77">
        <w:rPr>
          <w:color w:val="000000" w:themeColor="text1"/>
        </w:rPr>
        <w:t>93</w:t>
      </w:r>
      <w:r w:rsidR="004910C7" w:rsidRPr="00B40A77">
        <w:rPr>
          <w:color w:val="000000" w:themeColor="text1"/>
        </w:rPr>
        <w:t>.</w:t>
      </w:r>
      <w:r w:rsidR="00511A48" w:rsidRPr="00B40A77">
        <w:rPr>
          <w:color w:val="000000" w:themeColor="text1"/>
        </w:rPr>
        <w:t>4</w:t>
      </w:r>
      <w:r w:rsidR="004910C7" w:rsidRPr="00B40A77">
        <w:rPr>
          <w:color w:val="000000" w:themeColor="text1"/>
        </w:rPr>
        <w:t>—Alibi evidence</w:t>
      </w:r>
      <w:bookmarkEnd w:id="646"/>
    </w:p>
    <w:p w14:paraId="0BEC897B" w14:textId="46FBDC24" w:rsidR="004910C7" w:rsidRPr="00B40A77" w:rsidRDefault="004910C7" w:rsidP="00173536">
      <w:pPr>
        <w:pStyle w:val="Hangindent"/>
        <w:keepNext/>
        <w:ind w:left="567" w:firstLine="0"/>
        <w:rPr>
          <w:color w:val="000000" w:themeColor="text1"/>
          <w:lang w:val="en-US"/>
        </w:rPr>
      </w:pPr>
      <w:r w:rsidRPr="00B40A77">
        <w:rPr>
          <w:color w:val="000000" w:themeColor="text1"/>
          <w:lang w:val="en-US"/>
        </w:rPr>
        <w:t xml:space="preserve">If a defendant intends to adduce evidence in relation to </w:t>
      </w:r>
      <w:hyperlink w:anchor="_2.1—Definitions" w:history="1">
        <w:r w:rsidRPr="00B40A77">
          <w:rPr>
            <w:rStyle w:val="Hyperlink"/>
            <w:color w:val="000000" w:themeColor="text1"/>
            <w:lang w:val="en-US"/>
          </w:rPr>
          <w:t>alibi</w:t>
        </w:r>
      </w:hyperlink>
      <w:r w:rsidRPr="00B40A77">
        <w:rPr>
          <w:color w:val="000000" w:themeColor="text1"/>
          <w:lang w:val="en-US"/>
        </w:rPr>
        <w:t xml:space="preserve"> at </w:t>
      </w:r>
      <w:hyperlink w:anchor="_2.1—Definitions" w:history="1">
        <w:hyperlink w:anchor="_2.1—Definitions" w:history="1">
          <w:r w:rsidR="00AB0539" w:rsidRPr="00B40A77">
            <w:rPr>
              <w:rStyle w:val="Hyperlink"/>
              <w:color w:val="000000" w:themeColor="text1"/>
              <w:lang w:val="en-US"/>
            </w:rPr>
            <w:t>trial</w:t>
          </w:r>
        </w:hyperlink>
      </w:hyperlink>
      <w:r w:rsidRPr="00B40A77">
        <w:rPr>
          <w:color w:val="000000" w:themeColor="text1"/>
          <w:lang w:val="en-US"/>
        </w:rPr>
        <w:t xml:space="preserve">, they must file and serve on each other party a notice </w:t>
      </w:r>
      <w:r w:rsidR="008247DC" w:rsidRPr="00B40A77">
        <w:rPr>
          <w:color w:val="000000" w:themeColor="text1"/>
          <w:lang w:val="en-US"/>
        </w:rPr>
        <w:t xml:space="preserve">of intention to adduce </w:t>
      </w:r>
      <w:hyperlink w:anchor="_2.1—Definitions" w:history="1">
        <w:r w:rsidR="008247DC" w:rsidRPr="00B40A77">
          <w:rPr>
            <w:rStyle w:val="Hyperlink"/>
            <w:color w:val="000000" w:themeColor="text1"/>
            <w:lang w:val="en-US"/>
          </w:rPr>
          <w:t>alibi</w:t>
        </w:r>
      </w:hyperlink>
      <w:r w:rsidR="008247DC" w:rsidRPr="00B40A77">
        <w:rPr>
          <w:color w:val="000000" w:themeColor="text1"/>
          <w:lang w:val="en-US"/>
        </w:rPr>
        <w:t xml:space="preserve"> evidence </w:t>
      </w:r>
      <w:r w:rsidRPr="00B40A77">
        <w:rPr>
          <w:color w:val="000000" w:themeColor="text1"/>
          <w:lang w:val="en-US"/>
        </w:rPr>
        <w:t xml:space="preserve">in the prescribed form </w:t>
      </w:r>
      <w:r w:rsidR="002217AE" w:rsidRPr="00B40A77">
        <w:rPr>
          <w:color w:val="000000" w:themeColor="text1"/>
          <w:lang w:val="en-US"/>
        </w:rPr>
        <w:t>at or before</w:t>
      </w:r>
      <w:r w:rsidR="00AD08F1" w:rsidRPr="00B40A77">
        <w:rPr>
          <w:color w:val="000000" w:themeColor="text1"/>
          <w:lang w:val="en-US"/>
        </w:rPr>
        <w:t xml:space="preserve"> the time fixed for filing a defence case statement</w:t>
      </w:r>
      <w:r w:rsidRPr="00B40A77">
        <w:rPr>
          <w:color w:val="000000" w:themeColor="text1"/>
          <w:lang w:val="en-US"/>
        </w:rPr>
        <w:t>.</w:t>
      </w:r>
    </w:p>
    <w:p w14:paraId="4A815399" w14:textId="77777777" w:rsidR="004910C7" w:rsidRPr="00B40A77" w:rsidRDefault="004910C7" w:rsidP="00F93A0D">
      <w:pPr>
        <w:pStyle w:val="NoteHeader"/>
        <w:keepNext/>
        <w:ind w:left="567"/>
        <w:rPr>
          <w:color w:val="000000" w:themeColor="text1"/>
        </w:rPr>
      </w:pPr>
      <w:r w:rsidRPr="00B40A77">
        <w:rPr>
          <w:color w:val="000000" w:themeColor="text1"/>
        </w:rPr>
        <w:t>Prescribed form—</w:t>
      </w:r>
    </w:p>
    <w:p w14:paraId="5E70FD41" w14:textId="47391CE8" w:rsidR="004910C7" w:rsidRPr="00B40A77" w:rsidRDefault="004910C7" w:rsidP="00227217">
      <w:pPr>
        <w:pStyle w:val="NoteText"/>
        <w:ind w:left="851"/>
        <w:rPr>
          <w:color w:val="000000" w:themeColor="text1"/>
          <w:u w:val="single"/>
        </w:rPr>
      </w:pPr>
      <w:r w:rsidRPr="00B40A77">
        <w:rPr>
          <w:color w:val="000000" w:themeColor="text1"/>
        </w:rPr>
        <w:t>F</w:t>
      </w:r>
      <w:r w:rsidR="00D750B7" w:rsidRPr="00B40A77">
        <w:rPr>
          <w:color w:val="000000" w:themeColor="text1"/>
        </w:rPr>
        <w:t>orm 78</w:t>
      </w:r>
      <w:r w:rsidR="00AD08F1" w:rsidRPr="00B40A77">
        <w:rPr>
          <w:color w:val="000000" w:themeColor="text1"/>
        </w:rPr>
        <w:t>A</w:t>
      </w:r>
      <w:r w:rsidRPr="00B40A77">
        <w:rPr>
          <w:color w:val="000000" w:themeColor="text1"/>
        </w:rPr>
        <w:t xml:space="preserve"> </w:t>
      </w:r>
      <w:hyperlink r:id="rId185" w:history="1">
        <w:r w:rsidRPr="00B40A77">
          <w:rPr>
            <w:rStyle w:val="Hyperlink"/>
            <w:color w:val="000000" w:themeColor="text1"/>
          </w:rPr>
          <w:t xml:space="preserve">Notice of </w:t>
        </w:r>
        <w:r w:rsidR="00D04DA6" w:rsidRPr="00B40A77">
          <w:rPr>
            <w:rStyle w:val="Hyperlink"/>
            <w:color w:val="000000" w:themeColor="text1"/>
          </w:rPr>
          <w:t>I</w:t>
        </w:r>
        <w:r w:rsidRPr="00B40A77">
          <w:rPr>
            <w:rStyle w:val="Hyperlink"/>
            <w:color w:val="000000" w:themeColor="text1"/>
          </w:rPr>
          <w:t xml:space="preserve">ntention to </w:t>
        </w:r>
        <w:r w:rsidR="00D04DA6" w:rsidRPr="00B40A77">
          <w:rPr>
            <w:rStyle w:val="Hyperlink"/>
            <w:color w:val="000000" w:themeColor="text1"/>
          </w:rPr>
          <w:t>A</w:t>
        </w:r>
        <w:r w:rsidRPr="00B40A77">
          <w:rPr>
            <w:rStyle w:val="Hyperlink"/>
            <w:color w:val="000000" w:themeColor="text1"/>
          </w:rPr>
          <w:t xml:space="preserve">dduce </w:t>
        </w:r>
        <w:r w:rsidR="00D04DA6" w:rsidRPr="00B40A77">
          <w:rPr>
            <w:rStyle w:val="Hyperlink"/>
            <w:color w:val="000000" w:themeColor="text1"/>
          </w:rPr>
          <w:t>A</w:t>
        </w:r>
        <w:r w:rsidRPr="00B40A77">
          <w:rPr>
            <w:rStyle w:val="Hyperlink"/>
            <w:color w:val="000000" w:themeColor="text1"/>
          </w:rPr>
          <w:t xml:space="preserve">libi </w:t>
        </w:r>
        <w:r w:rsidR="00D04DA6" w:rsidRPr="00B40A77">
          <w:rPr>
            <w:rStyle w:val="Hyperlink"/>
            <w:color w:val="000000" w:themeColor="text1"/>
          </w:rPr>
          <w:t>E</w:t>
        </w:r>
        <w:r w:rsidRPr="00B40A77">
          <w:rPr>
            <w:rStyle w:val="Hyperlink"/>
            <w:color w:val="000000" w:themeColor="text1"/>
          </w:rPr>
          <w:t>vidence</w:t>
        </w:r>
        <w:r w:rsidR="00AD08F1" w:rsidRPr="00B40A77">
          <w:rPr>
            <w:rStyle w:val="Hyperlink"/>
            <w:color w:val="000000" w:themeColor="text1"/>
          </w:rPr>
          <w:t xml:space="preserve"> (Higher Courts)</w:t>
        </w:r>
      </w:hyperlink>
    </w:p>
    <w:p w14:paraId="4A55CDB0" w14:textId="77777777" w:rsidR="00D52F3B" w:rsidRPr="00B40A77" w:rsidRDefault="00D52F3B" w:rsidP="00A11E02">
      <w:pPr>
        <w:pStyle w:val="NoteHeader"/>
        <w:keepNext/>
        <w:ind w:left="567"/>
        <w:rPr>
          <w:color w:val="000000" w:themeColor="text1"/>
        </w:rPr>
      </w:pPr>
      <w:r w:rsidRPr="00B40A77">
        <w:rPr>
          <w:color w:val="000000" w:themeColor="text1"/>
        </w:rPr>
        <w:t>Note—</w:t>
      </w:r>
    </w:p>
    <w:p w14:paraId="5347B309" w14:textId="700AFDC9" w:rsidR="00D52F3B" w:rsidRPr="00B40A77" w:rsidRDefault="00D52F3B" w:rsidP="00A11E02">
      <w:pPr>
        <w:pStyle w:val="NoteText"/>
        <w:ind w:left="852"/>
        <w:rPr>
          <w:color w:val="000000" w:themeColor="text1"/>
        </w:rPr>
      </w:pPr>
      <w:r w:rsidRPr="00B40A77">
        <w:rPr>
          <w:color w:val="000000" w:themeColor="text1"/>
        </w:rPr>
        <w:t xml:space="preserve">Section 124(1) of the Procedure Act imposes an obligation on the defence to give notice of </w:t>
      </w:r>
      <w:r w:rsidR="007C2986" w:rsidRPr="00B40A77">
        <w:rPr>
          <w:color w:val="000000" w:themeColor="text1"/>
          <w:lang w:val="en-US"/>
        </w:rPr>
        <w:t>alibi</w:t>
      </w:r>
      <w:r w:rsidR="007C2986" w:rsidRPr="00B40A77">
        <w:rPr>
          <w:rStyle w:val="Hyperlink"/>
          <w:color w:val="000000" w:themeColor="text1"/>
          <w:lang w:val="en-US"/>
        </w:rPr>
        <w:t xml:space="preserve"> </w:t>
      </w:r>
      <w:r w:rsidRPr="00B40A77">
        <w:rPr>
          <w:color w:val="000000" w:themeColor="text1"/>
        </w:rPr>
        <w:t>evidence.</w:t>
      </w:r>
    </w:p>
    <w:p w14:paraId="540D0E23" w14:textId="32FA30E7" w:rsidR="00D73963" w:rsidRPr="00B40A77" w:rsidRDefault="001D53FE" w:rsidP="00B87028">
      <w:pPr>
        <w:pStyle w:val="Heading4"/>
        <w:rPr>
          <w:color w:val="000000" w:themeColor="text1"/>
        </w:rPr>
      </w:pPr>
      <w:bookmarkStart w:id="647" w:name="_Toc175239068"/>
      <w:r w:rsidRPr="00B40A77">
        <w:rPr>
          <w:color w:val="000000" w:themeColor="text1"/>
        </w:rPr>
        <w:t>93</w:t>
      </w:r>
      <w:r w:rsidR="00AD08F1" w:rsidRPr="00B40A77">
        <w:rPr>
          <w:color w:val="000000" w:themeColor="text1"/>
        </w:rPr>
        <w:t>.</w:t>
      </w:r>
      <w:r w:rsidR="00511A48" w:rsidRPr="00B40A77">
        <w:rPr>
          <w:color w:val="000000" w:themeColor="text1"/>
        </w:rPr>
        <w:t>5</w:t>
      </w:r>
      <w:r w:rsidR="00D73963" w:rsidRPr="00B40A77">
        <w:rPr>
          <w:color w:val="000000" w:themeColor="text1"/>
        </w:rPr>
        <w:t>—</w:t>
      </w:r>
      <w:bookmarkEnd w:id="640"/>
      <w:r w:rsidR="007A3250" w:rsidRPr="00B40A77">
        <w:rPr>
          <w:color w:val="000000" w:themeColor="text1"/>
        </w:rPr>
        <w:t>Information for guilty plea</w:t>
      </w:r>
      <w:bookmarkEnd w:id="647"/>
    </w:p>
    <w:p w14:paraId="25B7B57A" w14:textId="6EEFB77E" w:rsidR="005226AD" w:rsidRPr="00B40A77" w:rsidRDefault="005226AD" w:rsidP="00384C6B">
      <w:pPr>
        <w:pStyle w:val="Hangindent"/>
        <w:keepNext/>
        <w:rPr>
          <w:color w:val="000000" w:themeColor="text1"/>
        </w:rPr>
      </w:pPr>
      <w:r w:rsidRPr="00B40A77">
        <w:rPr>
          <w:color w:val="000000" w:themeColor="text1"/>
        </w:rPr>
        <w:t>(1)</w:t>
      </w:r>
      <w:r w:rsidRPr="00B40A77">
        <w:rPr>
          <w:color w:val="000000" w:themeColor="text1"/>
        </w:rPr>
        <w:tab/>
        <w:t xml:space="preserve">If </w:t>
      </w:r>
      <w:r w:rsidR="007976BE" w:rsidRPr="00B40A77">
        <w:rPr>
          <w:color w:val="000000" w:themeColor="text1"/>
        </w:rPr>
        <w:t xml:space="preserve">a matter is resolved </w:t>
      </w:r>
      <w:r w:rsidRPr="00B40A77">
        <w:rPr>
          <w:color w:val="000000" w:themeColor="text1"/>
        </w:rPr>
        <w:t xml:space="preserve">before arraignment on the basis of </w:t>
      </w:r>
      <w:r w:rsidR="007976BE" w:rsidRPr="00B40A77">
        <w:rPr>
          <w:color w:val="000000" w:themeColor="text1"/>
        </w:rPr>
        <w:t xml:space="preserve">the </w:t>
      </w:r>
      <w:r w:rsidRPr="00B40A77">
        <w:rPr>
          <w:color w:val="000000" w:themeColor="text1"/>
        </w:rPr>
        <w:t xml:space="preserve">entry of a guilty plea or the defendant wishes to change their plea to guilty, the defendant must as soon as practicable file and serve on the Director a </w:t>
      </w:r>
      <w:r w:rsidRPr="00B40A77">
        <w:rPr>
          <w:color w:val="000000" w:themeColor="text1"/>
          <w:lang w:val="en-US"/>
        </w:rPr>
        <w:t xml:space="preserve">request to have </w:t>
      </w:r>
      <w:r w:rsidR="00F26894" w:rsidRPr="00B40A77">
        <w:rPr>
          <w:color w:val="000000" w:themeColor="text1"/>
          <w:lang w:val="en-US"/>
        </w:rPr>
        <w:t xml:space="preserve">the </w:t>
      </w:r>
      <w:r w:rsidRPr="00B40A77">
        <w:rPr>
          <w:color w:val="000000" w:themeColor="text1"/>
          <w:lang w:val="en-US"/>
        </w:rPr>
        <w:t xml:space="preserve">matter called on for </w:t>
      </w:r>
      <w:r w:rsidR="007976BE" w:rsidRPr="00B40A77">
        <w:rPr>
          <w:color w:val="000000" w:themeColor="text1"/>
          <w:lang w:val="en-US"/>
        </w:rPr>
        <w:t xml:space="preserve">a </w:t>
      </w:r>
      <w:r w:rsidRPr="00B40A77">
        <w:rPr>
          <w:color w:val="000000" w:themeColor="text1"/>
          <w:lang w:val="en-US"/>
        </w:rPr>
        <w:t>guilty plea in the prescribed form</w:t>
      </w:r>
      <w:r w:rsidRPr="00B40A77">
        <w:rPr>
          <w:color w:val="000000" w:themeColor="text1"/>
        </w:rPr>
        <w:t>.</w:t>
      </w:r>
    </w:p>
    <w:p w14:paraId="13B9C6C4" w14:textId="453ABDEE" w:rsidR="005226AD" w:rsidRPr="00B40A77" w:rsidRDefault="005226AD" w:rsidP="00384C6B">
      <w:pPr>
        <w:pStyle w:val="NoteHeader"/>
        <w:keepNext/>
        <w:rPr>
          <w:color w:val="000000" w:themeColor="text1"/>
        </w:rPr>
      </w:pPr>
      <w:r w:rsidRPr="00B40A77">
        <w:rPr>
          <w:color w:val="000000" w:themeColor="text1"/>
        </w:rPr>
        <w:t>Prescribed form—</w:t>
      </w:r>
    </w:p>
    <w:p w14:paraId="38C6B851" w14:textId="7516C339" w:rsidR="005226AD" w:rsidRPr="00B40A77" w:rsidRDefault="005226AD" w:rsidP="005226AD">
      <w:pPr>
        <w:pStyle w:val="NoteText"/>
        <w:rPr>
          <w:color w:val="000000" w:themeColor="text1"/>
        </w:rPr>
      </w:pPr>
      <w:r w:rsidRPr="00B40A77">
        <w:rPr>
          <w:color w:val="000000" w:themeColor="text1"/>
        </w:rPr>
        <w:t xml:space="preserve">Form 52 </w:t>
      </w:r>
      <w:hyperlink r:id="rId186" w:history="1">
        <w:r w:rsidR="00E036D6" w:rsidRPr="00B40A77">
          <w:rPr>
            <w:rStyle w:val="Hyperlink"/>
            <w:color w:val="000000" w:themeColor="text1"/>
          </w:rPr>
          <w:t>R</w:t>
        </w:r>
        <w:r w:rsidRPr="00B40A77">
          <w:rPr>
            <w:rStyle w:val="Hyperlink"/>
            <w:color w:val="000000" w:themeColor="text1"/>
          </w:rPr>
          <w:t xml:space="preserve">equest to have </w:t>
        </w:r>
        <w:r w:rsidR="00E036D6" w:rsidRPr="00B40A77">
          <w:rPr>
            <w:rStyle w:val="Hyperlink"/>
            <w:color w:val="000000" w:themeColor="text1"/>
          </w:rPr>
          <w:t>M</w:t>
        </w:r>
        <w:r w:rsidRPr="00B40A77">
          <w:rPr>
            <w:rStyle w:val="Hyperlink"/>
            <w:color w:val="000000" w:themeColor="text1"/>
          </w:rPr>
          <w:t xml:space="preserve">atter </w:t>
        </w:r>
        <w:r w:rsidR="00E036D6" w:rsidRPr="00B40A77">
          <w:rPr>
            <w:rStyle w:val="Hyperlink"/>
            <w:color w:val="000000" w:themeColor="text1"/>
          </w:rPr>
          <w:t>C</w:t>
        </w:r>
        <w:r w:rsidRPr="00B40A77">
          <w:rPr>
            <w:rStyle w:val="Hyperlink"/>
            <w:color w:val="000000" w:themeColor="text1"/>
          </w:rPr>
          <w:t xml:space="preserve">alled on for </w:t>
        </w:r>
        <w:r w:rsidR="00E036D6" w:rsidRPr="00B40A77">
          <w:rPr>
            <w:rStyle w:val="Hyperlink"/>
            <w:color w:val="000000" w:themeColor="text1"/>
          </w:rPr>
          <w:t>G</w:t>
        </w:r>
        <w:r w:rsidRPr="00B40A77">
          <w:rPr>
            <w:rStyle w:val="Hyperlink"/>
            <w:color w:val="000000" w:themeColor="text1"/>
          </w:rPr>
          <w:t xml:space="preserve">uilty </w:t>
        </w:r>
        <w:r w:rsidR="00E036D6" w:rsidRPr="00B40A77">
          <w:rPr>
            <w:rStyle w:val="Hyperlink"/>
            <w:color w:val="000000" w:themeColor="text1"/>
          </w:rPr>
          <w:t>P</w:t>
        </w:r>
        <w:r w:rsidRPr="00B40A77">
          <w:rPr>
            <w:rStyle w:val="Hyperlink"/>
            <w:color w:val="000000" w:themeColor="text1"/>
          </w:rPr>
          <w:t>lea</w:t>
        </w:r>
      </w:hyperlink>
    </w:p>
    <w:p w14:paraId="20B9EFF8" w14:textId="5EC5146C" w:rsidR="00722D91" w:rsidRPr="00B40A77" w:rsidRDefault="00722D91" w:rsidP="00722D91">
      <w:pPr>
        <w:pStyle w:val="Hangindent"/>
        <w:keepLines/>
        <w:rPr>
          <w:color w:val="000000" w:themeColor="text1"/>
        </w:rPr>
      </w:pPr>
      <w:bookmarkStart w:id="648" w:name="_Hlk110959521"/>
      <w:r w:rsidRPr="00B40A77">
        <w:rPr>
          <w:color w:val="000000" w:themeColor="text1"/>
        </w:rPr>
        <w:t>(2)</w:t>
      </w:r>
      <w:r w:rsidRPr="00B40A77">
        <w:rPr>
          <w:color w:val="000000" w:themeColor="text1"/>
        </w:rPr>
        <w:tab/>
        <w:t xml:space="preserve">If a defendant is committed for </w:t>
      </w:r>
      <w:hyperlink w:anchor="_2.1—Definitions" w:history="1">
        <w:r w:rsidR="00596ADA" w:rsidRPr="00B40A77">
          <w:rPr>
            <w:rStyle w:val="Hyperlink"/>
            <w:color w:val="000000" w:themeColor="text1"/>
          </w:rPr>
          <w:t>sentence</w:t>
        </w:r>
      </w:hyperlink>
      <w:r w:rsidRPr="00B40A77">
        <w:rPr>
          <w:color w:val="000000" w:themeColor="text1"/>
        </w:rPr>
        <w:t xml:space="preserve">, the Director must file and serve on the defendant at least </w:t>
      </w:r>
      <w:r w:rsidR="00363796" w:rsidRPr="00B40A77">
        <w:rPr>
          <w:color w:val="000000" w:themeColor="text1"/>
        </w:rPr>
        <w:t>2</w:t>
      </w:r>
      <w:r w:rsidR="007A6E1B" w:rsidRPr="00B40A77">
        <w:rPr>
          <w:color w:val="000000" w:themeColor="text1"/>
        </w:rPr>
        <w:t>1</w:t>
      </w:r>
      <w:r w:rsidRPr="00B40A77">
        <w:rPr>
          <w:color w:val="000000" w:themeColor="text1"/>
        </w:rPr>
        <w:t xml:space="preserve"> days before the </w:t>
      </w:r>
      <w:hyperlink w:anchor="_2.1—Definitions" w:history="1">
        <w:r w:rsidR="00E9233A" w:rsidRPr="00B40A77">
          <w:rPr>
            <w:rStyle w:val="Hyperlink"/>
            <w:color w:val="000000" w:themeColor="text1"/>
          </w:rPr>
          <w:t>first arraignment date</w:t>
        </w:r>
      </w:hyperlink>
      <w:r w:rsidRPr="00B40A77">
        <w:rPr>
          <w:color w:val="000000" w:themeColor="text1"/>
        </w:rPr>
        <w:t xml:space="preserve"> a prosecution summary of the proposed factual basis for sentencing in the prescribed form, setting out a summary of the facts on which the Director intends to rely for sentencing and an antecedent report.</w:t>
      </w:r>
    </w:p>
    <w:p w14:paraId="13E445C9" w14:textId="196138D8" w:rsidR="00D73963" w:rsidRPr="00B40A77" w:rsidRDefault="006C22F4" w:rsidP="00037437">
      <w:pPr>
        <w:pStyle w:val="Hangindent"/>
        <w:keepNext/>
        <w:keepLines/>
        <w:rPr>
          <w:color w:val="000000" w:themeColor="text1"/>
          <w:szCs w:val="24"/>
          <w:lang w:val="en-US"/>
        </w:rPr>
      </w:pPr>
      <w:r w:rsidRPr="00B40A77">
        <w:rPr>
          <w:color w:val="000000" w:themeColor="text1"/>
          <w:szCs w:val="24"/>
          <w:lang w:val="en-US"/>
        </w:rPr>
        <w:lastRenderedPageBreak/>
        <w:t>(</w:t>
      </w:r>
      <w:r w:rsidR="00722D91" w:rsidRPr="00B40A77">
        <w:rPr>
          <w:color w:val="000000" w:themeColor="text1"/>
          <w:szCs w:val="24"/>
          <w:lang w:val="en-US"/>
        </w:rPr>
        <w:t>3</w:t>
      </w:r>
      <w:r w:rsidR="00D73963" w:rsidRPr="00B40A77">
        <w:rPr>
          <w:color w:val="000000" w:themeColor="text1"/>
          <w:szCs w:val="24"/>
          <w:lang w:val="en-US"/>
        </w:rPr>
        <w:t>)</w:t>
      </w:r>
      <w:r w:rsidR="00D73963" w:rsidRPr="00B40A77">
        <w:rPr>
          <w:color w:val="000000" w:themeColor="text1"/>
          <w:szCs w:val="24"/>
          <w:lang w:val="en-US"/>
        </w:rPr>
        <w:tab/>
        <w:t xml:space="preserve">If </w:t>
      </w:r>
      <w:r w:rsidR="00E319DD" w:rsidRPr="00B40A77">
        <w:rPr>
          <w:color w:val="000000" w:themeColor="text1"/>
          <w:szCs w:val="24"/>
          <w:lang w:val="en-US"/>
        </w:rPr>
        <w:t xml:space="preserve">a defendant committed for </w:t>
      </w:r>
      <w:hyperlink w:anchor="_2.1—Definitions" w:history="1">
        <w:r w:rsidR="00596ADA" w:rsidRPr="00B40A77">
          <w:rPr>
            <w:rStyle w:val="Hyperlink"/>
            <w:color w:val="000000" w:themeColor="text1"/>
          </w:rPr>
          <w:t>sentence</w:t>
        </w:r>
      </w:hyperlink>
      <w:r w:rsidR="00E319DD" w:rsidRPr="00B40A77">
        <w:rPr>
          <w:color w:val="000000" w:themeColor="text1"/>
          <w:szCs w:val="24"/>
          <w:lang w:val="en-US"/>
        </w:rPr>
        <w:t xml:space="preserve"> or who intends</w:t>
      </w:r>
      <w:r w:rsidRPr="00B40A77">
        <w:rPr>
          <w:color w:val="000000" w:themeColor="text1"/>
          <w:szCs w:val="24"/>
          <w:lang w:val="en-US"/>
        </w:rPr>
        <w:t xml:space="preserve"> to plead guilty at arraignment</w:t>
      </w:r>
      <w:r w:rsidR="00D73963" w:rsidRPr="00B40A77">
        <w:rPr>
          <w:color w:val="000000" w:themeColor="text1"/>
          <w:szCs w:val="24"/>
          <w:lang w:val="en-US"/>
        </w:rPr>
        <w:t xml:space="preserve"> is repres</w:t>
      </w:r>
      <w:r w:rsidR="00E319DD" w:rsidRPr="00B40A77">
        <w:rPr>
          <w:color w:val="000000" w:themeColor="text1"/>
          <w:szCs w:val="24"/>
          <w:lang w:val="en-US"/>
        </w:rPr>
        <w:t>ented by a lawyer, the lawyer must</w:t>
      </w:r>
      <w:r w:rsidRPr="00B40A77">
        <w:rPr>
          <w:color w:val="000000" w:themeColor="text1"/>
          <w:szCs w:val="24"/>
          <w:lang w:val="en-US"/>
        </w:rPr>
        <w:t xml:space="preserve">, at least </w:t>
      </w:r>
      <w:r w:rsidR="007A6E1B" w:rsidRPr="00B40A77">
        <w:rPr>
          <w:color w:val="000000" w:themeColor="text1"/>
          <w:szCs w:val="24"/>
          <w:lang w:val="en-US"/>
        </w:rPr>
        <w:t xml:space="preserve">7 </w:t>
      </w:r>
      <w:r w:rsidR="00D73963" w:rsidRPr="00B40A77">
        <w:rPr>
          <w:color w:val="000000" w:themeColor="text1"/>
          <w:szCs w:val="24"/>
          <w:lang w:val="en-US"/>
        </w:rPr>
        <w:t xml:space="preserve">days before the </w:t>
      </w:r>
      <w:hyperlink w:anchor="_2.1—Definitions" w:history="1">
        <w:r w:rsidR="00E9233A" w:rsidRPr="00B40A77">
          <w:rPr>
            <w:rStyle w:val="Hyperlink"/>
            <w:color w:val="000000" w:themeColor="text1"/>
          </w:rPr>
          <w:t>first arraignment date</w:t>
        </w:r>
      </w:hyperlink>
      <w:r w:rsidR="00D73963" w:rsidRPr="00B40A77">
        <w:rPr>
          <w:color w:val="000000" w:themeColor="text1"/>
          <w:szCs w:val="24"/>
          <w:lang w:val="en-US"/>
        </w:rPr>
        <w:t xml:space="preserve">, file and serve on the Director </w:t>
      </w:r>
      <w:r w:rsidR="00F7400D" w:rsidRPr="00B40A77">
        <w:rPr>
          <w:color w:val="000000" w:themeColor="text1"/>
        </w:rPr>
        <w:t xml:space="preserve">an </w:t>
      </w:r>
      <w:r w:rsidR="00DC1CCC" w:rsidRPr="00B40A77">
        <w:rPr>
          <w:color w:val="000000" w:themeColor="text1"/>
        </w:rPr>
        <w:t>I</w:t>
      </w:r>
      <w:r w:rsidR="00F7400D" w:rsidRPr="00B40A77">
        <w:rPr>
          <w:color w:val="000000" w:themeColor="text1"/>
        </w:rPr>
        <w:t>nformation for arraignment on committal for sentence</w:t>
      </w:r>
      <w:r w:rsidR="00F7400D" w:rsidRPr="00B40A77">
        <w:rPr>
          <w:color w:val="000000" w:themeColor="text1"/>
          <w:szCs w:val="24"/>
          <w:lang w:val="en-US"/>
        </w:rPr>
        <w:t xml:space="preserve"> </w:t>
      </w:r>
      <w:r w:rsidR="00E319DD" w:rsidRPr="00B40A77">
        <w:rPr>
          <w:color w:val="000000" w:themeColor="text1"/>
          <w:szCs w:val="24"/>
          <w:lang w:val="en-US"/>
        </w:rPr>
        <w:t>in the prescribed form</w:t>
      </w:r>
      <w:r w:rsidR="00D73963" w:rsidRPr="00B40A77">
        <w:rPr>
          <w:color w:val="000000" w:themeColor="text1"/>
          <w:szCs w:val="24"/>
          <w:lang w:val="en-US"/>
        </w:rPr>
        <w:t>.</w:t>
      </w:r>
    </w:p>
    <w:p w14:paraId="22E349E5" w14:textId="77777777" w:rsidR="008F15BA" w:rsidRPr="00B40A77" w:rsidRDefault="008F15BA" w:rsidP="00384C6B">
      <w:pPr>
        <w:pStyle w:val="NoteHeader"/>
        <w:keepNext/>
        <w:rPr>
          <w:color w:val="000000" w:themeColor="text1"/>
        </w:rPr>
      </w:pPr>
      <w:r w:rsidRPr="00B40A77">
        <w:rPr>
          <w:color w:val="000000" w:themeColor="text1"/>
        </w:rPr>
        <w:t>Prescribed form—</w:t>
      </w:r>
    </w:p>
    <w:p w14:paraId="04969715" w14:textId="41CE6CB8" w:rsidR="008F15BA" w:rsidRPr="00B40A77" w:rsidRDefault="008F15BA" w:rsidP="00384C6B">
      <w:pPr>
        <w:pStyle w:val="NoteText"/>
        <w:rPr>
          <w:color w:val="000000" w:themeColor="text1"/>
        </w:rPr>
      </w:pPr>
      <w:r w:rsidRPr="00B40A77">
        <w:rPr>
          <w:color w:val="000000" w:themeColor="text1"/>
        </w:rPr>
        <w:t xml:space="preserve">Form 53 </w:t>
      </w:r>
      <w:hyperlink r:id="rId187" w:history="1">
        <w:r w:rsidRPr="00B40A77">
          <w:rPr>
            <w:rStyle w:val="Hyperlink"/>
            <w:color w:val="000000" w:themeColor="text1"/>
          </w:rPr>
          <w:t xml:space="preserve">Information for </w:t>
        </w:r>
        <w:r w:rsidR="00E036D6" w:rsidRPr="00B40A77">
          <w:rPr>
            <w:rStyle w:val="Hyperlink"/>
            <w:color w:val="000000" w:themeColor="text1"/>
          </w:rPr>
          <w:t>A</w:t>
        </w:r>
        <w:r w:rsidRPr="00B40A77">
          <w:rPr>
            <w:rStyle w:val="Hyperlink"/>
            <w:color w:val="000000" w:themeColor="text1"/>
          </w:rPr>
          <w:t xml:space="preserve">rraignment on </w:t>
        </w:r>
        <w:r w:rsidR="00E036D6" w:rsidRPr="00B40A77">
          <w:rPr>
            <w:rStyle w:val="Hyperlink"/>
            <w:color w:val="000000" w:themeColor="text1"/>
          </w:rPr>
          <w:t>C</w:t>
        </w:r>
        <w:r w:rsidRPr="00B40A77">
          <w:rPr>
            <w:rStyle w:val="Hyperlink"/>
            <w:color w:val="000000" w:themeColor="text1"/>
          </w:rPr>
          <w:t xml:space="preserve">ommittal for </w:t>
        </w:r>
        <w:r w:rsidR="00E036D6" w:rsidRPr="00B40A77">
          <w:rPr>
            <w:rStyle w:val="Hyperlink"/>
            <w:color w:val="000000" w:themeColor="text1"/>
          </w:rPr>
          <w:t>S</w:t>
        </w:r>
        <w:r w:rsidRPr="00B40A77">
          <w:rPr>
            <w:rStyle w:val="Hyperlink"/>
            <w:color w:val="000000" w:themeColor="text1"/>
          </w:rPr>
          <w:t>entence</w:t>
        </w:r>
      </w:hyperlink>
    </w:p>
    <w:bookmarkEnd w:id="648"/>
    <w:p w14:paraId="3FA85852" w14:textId="407E243B" w:rsidR="006C22F4" w:rsidRPr="00B40A77" w:rsidRDefault="006C22F4" w:rsidP="00037437">
      <w:pPr>
        <w:pStyle w:val="Hangindent"/>
        <w:keepNext/>
        <w:rPr>
          <w:color w:val="000000" w:themeColor="text1"/>
        </w:rPr>
      </w:pPr>
      <w:r w:rsidRPr="00B40A77">
        <w:rPr>
          <w:color w:val="000000" w:themeColor="text1"/>
        </w:rPr>
        <w:t>(4)</w:t>
      </w:r>
      <w:r w:rsidRPr="00B40A77">
        <w:rPr>
          <w:color w:val="000000" w:themeColor="text1"/>
        </w:rPr>
        <w:tab/>
        <w:t xml:space="preserve">If a defendant </w:t>
      </w:r>
      <w:r w:rsidR="000330A3" w:rsidRPr="00B40A77">
        <w:rPr>
          <w:color w:val="000000" w:themeColor="text1"/>
        </w:rPr>
        <w:t xml:space="preserve">notifies </w:t>
      </w:r>
      <w:r w:rsidR="00946163" w:rsidRPr="00B40A77">
        <w:rPr>
          <w:color w:val="000000" w:themeColor="text1"/>
        </w:rPr>
        <w:t>the Director</w:t>
      </w:r>
      <w:r w:rsidRPr="00B40A77">
        <w:rPr>
          <w:color w:val="000000" w:themeColor="text1"/>
        </w:rPr>
        <w:t xml:space="preserve"> </w:t>
      </w:r>
      <w:r w:rsidR="00A77794" w:rsidRPr="00B40A77">
        <w:rPr>
          <w:color w:val="000000" w:themeColor="text1"/>
          <w:lang w:val="en-US"/>
        </w:rPr>
        <w:t xml:space="preserve">of </w:t>
      </w:r>
      <w:r w:rsidR="000330A3" w:rsidRPr="00B40A77">
        <w:rPr>
          <w:color w:val="000000" w:themeColor="text1"/>
          <w:lang w:val="en-US"/>
        </w:rPr>
        <w:t xml:space="preserve">a </w:t>
      </w:r>
      <w:r w:rsidR="00A77794" w:rsidRPr="00B40A77">
        <w:rPr>
          <w:color w:val="000000" w:themeColor="text1"/>
          <w:lang w:val="en-US"/>
        </w:rPr>
        <w:t xml:space="preserve">change of plea </w:t>
      </w:r>
      <w:r w:rsidR="00A77794" w:rsidRPr="00B40A77">
        <w:rPr>
          <w:color w:val="000000" w:themeColor="text1"/>
        </w:rPr>
        <w:t>under subrule</w:t>
      </w:r>
      <w:r w:rsidR="00C42A0C" w:rsidRPr="00B40A77">
        <w:rPr>
          <w:color w:val="000000" w:themeColor="text1"/>
        </w:rPr>
        <w:t> </w:t>
      </w:r>
      <w:r w:rsidR="00A77794" w:rsidRPr="00B40A77">
        <w:rPr>
          <w:color w:val="000000" w:themeColor="text1"/>
        </w:rPr>
        <w:t xml:space="preserve">(1), </w:t>
      </w:r>
      <w:r w:rsidRPr="00B40A77">
        <w:rPr>
          <w:color w:val="000000" w:themeColor="text1"/>
        </w:rPr>
        <w:t xml:space="preserve">the Director </w:t>
      </w:r>
      <w:r w:rsidR="00A77794" w:rsidRPr="00B40A77">
        <w:rPr>
          <w:color w:val="000000" w:themeColor="text1"/>
        </w:rPr>
        <w:t>must</w:t>
      </w:r>
      <w:r w:rsidRPr="00B40A77">
        <w:rPr>
          <w:color w:val="000000" w:themeColor="text1"/>
        </w:rPr>
        <w:t xml:space="preserve"> as so</w:t>
      </w:r>
      <w:r w:rsidR="00A77794" w:rsidRPr="00B40A77">
        <w:rPr>
          <w:color w:val="000000" w:themeColor="text1"/>
        </w:rPr>
        <w:t xml:space="preserve">on as reasonably practicable </w:t>
      </w:r>
      <w:r w:rsidRPr="00B40A77">
        <w:rPr>
          <w:color w:val="000000" w:themeColor="text1"/>
        </w:rPr>
        <w:t xml:space="preserve">file and serve on the defendant </w:t>
      </w:r>
      <w:r w:rsidR="00A77794" w:rsidRPr="00B40A77">
        <w:rPr>
          <w:color w:val="000000" w:themeColor="text1"/>
        </w:rPr>
        <w:t xml:space="preserve">a prosecution summary of </w:t>
      </w:r>
      <w:r w:rsidR="000330A3" w:rsidRPr="00B40A77">
        <w:rPr>
          <w:color w:val="000000" w:themeColor="text1"/>
        </w:rPr>
        <w:t xml:space="preserve">the </w:t>
      </w:r>
      <w:r w:rsidR="00A77794" w:rsidRPr="00B40A77">
        <w:rPr>
          <w:color w:val="000000" w:themeColor="text1"/>
        </w:rPr>
        <w:t xml:space="preserve">proposed factual basis for sentencing </w:t>
      </w:r>
      <w:r w:rsidR="007C12D2" w:rsidRPr="00B40A77">
        <w:rPr>
          <w:color w:val="000000" w:themeColor="text1"/>
        </w:rPr>
        <w:t xml:space="preserve">and an antecedent report </w:t>
      </w:r>
      <w:r w:rsidR="00A77794" w:rsidRPr="00B40A77">
        <w:rPr>
          <w:color w:val="000000" w:themeColor="text1"/>
        </w:rPr>
        <w:t xml:space="preserve">in </w:t>
      </w:r>
      <w:r w:rsidR="00DD1F07" w:rsidRPr="00B40A77">
        <w:rPr>
          <w:color w:val="000000" w:themeColor="text1"/>
        </w:rPr>
        <w:t>accordance with subrule</w:t>
      </w:r>
      <w:r w:rsidR="00A64928" w:rsidRPr="00B40A77">
        <w:rPr>
          <w:color w:val="000000" w:themeColor="text1"/>
        </w:rPr>
        <w:t> </w:t>
      </w:r>
      <w:r w:rsidR="00DD1F07" w:rsidRPr="00B40A77">
        <w:rPr>
          <w:color w:val="000000" w:themeColor="text1"/>
        </w:rPr>
        <w:t>(3)</w:t>
      </w:r>
      <w:r w:rsidRPr="00B40A77">
        <w:rPr>
          <w:color w:val="000000" w:themeColor="text1"/>
        </w:rPr>
        <w:t>.</w:t>
      </w:r>
    </w:p>
    <w:p w14:paraId="11E44299" w14:textId="77777777" w:rsidR="00A77794" w:rsidRPr="00B40A77" w:rsidRDefault="00A77794" w:rsidP="00F45516">
      <w:pPr>
        <w:pStyle w:val="NoteHeader"/>
        <w:keepNext/>
        <w:rPr>
          <w:color w:val="000000" w:themeColor="text1"/>
        </w:rPr>
      </w:pPr>
      <w:r w:rsidRPr="00B40A77">
        <w:rPr>
          <w:color w:val="000000" w:themeColor="text1"/>
        </w:rPr>
        <w:t>Prescribed form—</w:t>
      </w:r>
    </w:p>
    <w:p w14:paraId="7CDB9F1A" w14:textId="272D95CD" w:rsidR="00A77794" w:rsidRPr="00B40A77" w:rsidRDefault="00A77794" w:rsidP="00A77794">
      <w:pPr>
        <w:pStyle w:val="NoteText"/>
        <w:rPr>
          <w:color w:val="000000" w:themeColor="text1"/>
        </w:rPr>
      </w:pPr>
      <w:r w:rsidRPr="00B40A77">
        <w:rPr>
          <w:color w:val="000000" w:themeColor="text1"/>
        </w:rPr>
        <w:t xml:space="preserve">Form 54 </w:t>
      </w:r>
      <w:hyperlink r:id="rId188" w:history="1">
        <w:r w:rsidRPr="00B40A77">
          <w:rPr>
            <w:rStyle w:val="Hyperlink"/>
            <w:color w:val="000000" w:themeColor="text1"/>
          </w:rPr>
          <w:t xml:space="preserve">Prosecution </w:t>
        </w:r>
        <w:r w:rsidR="00E036D6" w:rsidRPr="00B40A77">
          <w:rPr>
            <w:rStyle w:val="Hyperlink"/>
            <w:color w:val="000000" w:themeColor="text1"/>
          </w:rPr>
          <w:t>S</w:t>
        </w:r>
        <w:r w:rsidRPr="00B40A77">
          <w:rPr>
            <w:rStyle w:val="Hyperlink"/>
            <w:color w:val="000000" w:themeColor="text1"/>
          </w:rPr>
          <w:t xml:space="preserve">ummary of </w:t>
        </w:r>
        <w:r w:rsidR="00E036D6" w:rsidRPr="00B40A77">
          <w:rPr>
            <w:rStyle w:val="Hyperlink"/>
            <w:color w:val="000000" w:themeColor="text1"/>
          </w:rPr>
          <w:t>P</w:t>
        </w:r>
        <w:r w:rsidRPr="00B40A77">
          <w:rPr>
            <w:rStyle w:val="Hyperlink"/>
            <w:color w:val="000000" w:themeColor="text1"/>
          </w:rPr>
          <w:t xml:space="preserve">roposed </w:t>
        </w:r>
        <w:r w:rsidR="00E036D6" w:rsidRPr="00B40A77">
          <w:rPr>
            <w:rStyle w:val="Hyperlink"/>
            <w:color w:val="000000" w:themeColor="text1"/>
          </w:rPr>
          <w:t>F</w:t>
        </w:r>
        <w:r w:rsidRPr="00B40A77">
          <w:rPr>
            <w:rStyle w:val="Hyperlink"/>
            <w:color w:val="000000" w:themeColor="text1"/>
          </w:rPr>
          <w:t xml:space="preserve">actual </w:t>
        </w:r>
        <w:r w:rsidR="00E036D6" w:rsidRPr="00B40A77">
          <w:rPr>
            <w:rStyle w:val="Hyperlink"/>
            <w:color w:val="000000" w:themeColor="text1"/>
          </w:rPr>
          <w:t>B</w:t>
        </w:r>
        <w:r w:rsidRPr="00B40A77">
          <w:rPr>
            <w:rStyle w:val="Hyperlink"/>
            <w:color w:val="000000" w:themeColor="text1"/>
          </w:rPr>
          <w:t xml:space="preserve">asis for </w:t>
        </w:r>
        <w:r w:rsidR="00E036D6" w:rsidRPr="00B40A77">
          <w:rPr>
            <w:rStyle w:val="Hyperlink"/>
            <w:color w:val="000000" w:themeColor="text1"/>
          </w:rPr>
          <w:t>S</w:t>
        </w:r>
        <w:r w:rsidRPr="00B40A77">
          <w:rPr>
            <w:rStyle w:val="Hyperlink"/>
            <w:color w:val="000000" w:themeColor="text1"/>
          </w:rPr>
          <w:t>entencing</w:t>
        </w:r>
      </w:hyperlink>
    </w:p>
    <w:p w14:paraId="674AAC63" w14:textId="0A264065" w:rsidR="00775CE2" w:rsidRPr="00B40A77" w:rsidRDefault="001D53FE" w:rsidP="00B87028">
      <w:pPr>
        <w:pStyle w:val="Heading4"/>
        <w:rPr>
          <w:color w:val="000000" w:themeColor="text1"/>
        </w:rPr>
      </w:pPr>
      <w:bookmarkStart w:id="649" w:name="_Toc175239069"/>
      <w:r w:rsidRPr="00B40A77">
        <w:rPr>
          <w:color w:val="000000" w:themeColor="text1"/>
        </w:rPr>
        <w:t>9</w:t>
      </w:r>
      <w:r w:rsidR="00595206" w:rsidRPr="00B40A77">
        <w:rPr>
          <w:color w:val="000000" w:themeColor="text1"/>
        </w:rPr>
        <w:t>3</w:t>
      </w:r>
      <w:r w:rsidR="00AD08F1" w:rsidRPr="00B40A77">
        <w:rPr>
          <w:color w:val="000000" w:themeColor="text1"/>
        </w:rPr>
        <w:t>.</w:t>
      </w:r>
      <w:r w:rsidR="00511A48" w:rsidRPr="00B40A77">
        <w:rPr>
          <w:color w:val="000000" w:themeColor="text1"/>
        </w:rPr>
        <w:t>6</w:t>
      </w:r>
      <w:r w:rsidR="00775CE2" w:rsidRPr="00B40A77">
        <w:rPr>
          <w:color w:val="000000" w:themeColor="text1"/>
        </w:rPr>
        <w:t>—Priority proceedings</w:t>
      </w:r>
      <w:bookmarkEnd w:id="649"/>
    </w:p>
    <w:p w14:paraId="5A7C0F53" w14:textId="0677F4D5" w:rsidR="00767F8C" w:rsidRPr="00B40A77" w:rsidRDefault="00775CE2" w:rsidP="007C12D2">
      <w:pPr>
        <w:pStyle w:val="Hangindent"/>
        <w:keepNext/>
        <w:keepLines/>
        <w:ind w:left="567" w:firstLine="0"/>
        <w:rPr>
          <w:color w:val="000000" w:themeColor="text1"/>
          <w:szCs w:val="24"/>
          <w:lang w:val="en-US"/>
        </w:rPr>
      </w:pPr>
      <w:r w:rsidRPr="00B40A77">
        <w:rPr>
          <w:color w:val="000000" w:themeColor="text1"/>
          <w:szCs w:val="24"/>
          <w:lang w:val="en-US"/>
        </w:rPr>
        <w:t>An applicati</w:t>
      </w:r>
      <w:r w:rsidR="00E95229" w:rsidRPr="00B40A77">
        <w:rPr>
          <w:color w:val="000000" w:themeColor="text1"/>
          <w:szCs w:val="24"/>
          <w:lang w:val="en-US"/>
        </w:rPr>
        <w:t>on by the Director or a defendant</w:t>
      </w:r>
      <w:r w:rsidRPr="00B40A77">
        <w:rPr>
          <w:color w:val="000000" w:themeColor="text1"/>
          <w:szCs w:val="24"/>
          <w:lang w:val="en-US"/>
        </w:rPr>
        <w:t xml:space="preserve"> for an order under section</w:t>
      </w:r>
      <w:r w:rsidR="003F313A" w:rsidRPr="00B40A77">
        <w:rPr>
          <w:color w:val="000000" w:themeColor="text1"/>
          <w:szCs w:val="24"/>
          <w:lang w:val="en-US"/>
        </w:rPr>
        <w:t> </w:t>
      </w:r>
      <w:r w:rsidRPr="00B40A77">
        <w:rPr>
          <w:color w:val="000000" w:themeColor="text1"/>
          <w:szCs w:val="24"/>
          <w:lang w:val="en-US"/>
        </w:rPr>
        <w:t xml:space="preserve">127 of the </w:t>
      </w:r>
      <w:r w:rsidR="00E95229" w:rsidRPr="00B40A77">
        <w:rPr>
          <w:color w:val="000000" w:themeColor="text1"/>
          <w:szCs w:val="24"/>
          <w:lang w:val="en-US"/>
        </w:rPr>
        <w:t>Procedure</w:t>
      </w:r>
      <w:r w:rsidR="00201B5C" w:rsidRPr="00B40A77">
        <w:rPr>
          <w:color w:val="000000" w:themeColor="text1"/>
          <w:szCs w:val="24"/>
          <w:lang w:val="en-US"/>
        </w:rPr>
        <w:t> </w:t>
      </w:r>
      <w:r w:rsidRPr="00B40A77">
        <w:rPr>
          <w:color w:val="000000" w:themeColor="text1"/>
          <w:szCs w:val="24"/>
          <w:lang w:val="en-US"/>
        </w:rPr>
        <w:t xml:space="preserve">Act that exceptional circumstances justify the </w:t>
      </w:r>
      <w:hyperlink w:anchor="_2.1—Definitions" w:history="1">
        <w:r w:rsidR="00AB0539" w:rsidRPr="00B40A77">
          <w:rPr>
            <w:rStyle w:val="Hyperlink"/>
            <w:color w:val="000000" w:themeColor="text1"/>
            <w:lang w:val="en-US"/>
          </w:rPr>
          <w:t>trial</w:t>
        </w:r>
      </w:hyperlink>
      <w:r w:rsidRPr="00B40A77">
        <w:rPr>
          <w:color w:val="000000" w:themeColor="text1"/>
          <w:szCs w:val="24"/>
          <w:lang w:val="en-US"/>
        </w:rPr>
        <w:t xml:space="preserve"> not commencing within 6 months of t</w:t>
      </w:r>
      <w:r w:rsidR="00E95229" w:rsidRPr="00B40A77">
        <w:rPr>
          <w:color w:val="000000" w:themeColor="text1"/>
          <w:szCs w:val="24"/>
          <w:lang w:val="en-US"/>
        </w:rPr>
        <w:t>he determination that a defendant</w:t>
      </w:r>
      <w:r w:rsidRPr="00B40A77">
        <w:rPr>
          <w:color w:val="000000" w:themeColor="text1"/>
          <w:szCs w:val="24"/>
          <w:lang w:val="en-US"/>
        </w:rPr>
        <w:t xml:space="preserve"> is a </w:t>
      </w:r>
      <w:hyperlink w:anchor="_2.1—Definitions" w:history="1">
        <w:r w:rsidRPr="00B40A77">
          <w:rPr>
            <w:rStyle w:val="Hyperlink"/>
            <w:color w:val="000000" w:themeColor="text1"/>
            <w:szCs w:val="24"/>
            <w:lang w:val="en-US"/>
          </w:rPr>
          <w:t>serious and organised crime suspect</w:t>
        </w:r>
      </w:hyperlink>
      <w:r w:rsidRPr="00B40A77">
        <w:rPr>
          <w:color w:val="000000" w:themeColor="text1"/>
          <w:szCs w:val="24"/>
          <w:lang w:val="en-US"/>
        </w:rPr>
        <w:t xml:space="preserve"> </w:t>
      </w:r>
      <w:r w:rsidR="00E95229" w:rsidRPr="00B40A77">
        <w:rPr>
          <w:color w:val="000000" w:themeColor="text1"/>
          <w:szCs w:val="24"/>
          <w:lang w:val="en-US"/>
        </w:rPr>
        <w:t>must</w:t>
      </w:r>
      <w:r w:rsidRPr="00B40A77">
        <w:rPr>
          <w:color w:val="000000" w:themeColor="text1"/>
          <w:szCs w:val="24"/>
          <w:lang w:val="en-US"/>
        </w:rPr>
        <w:t xml:space="preserve"> be</w:t>
      </w:r>
      <w:r w:rsidR="00767F8C" w:rsidRPr="00B40A77">
        <w:rPr>
          <w:rFonts w:cs="Times New Roman"/>
          <w:color w:val="000000" w:themeColor="text1"/>
        </w:rPr>
        <w:t>—</w:t>
      </w:r>
    </w:p>
    <w:p w14:paraId="4C5B98C5" w14:textId="42F84BEC" w:rsidR="006E2CFE" w:rsidRPr="00B40A77" w:rsidRDefault="00767F8C" w:rsidP="00AD1D32">
      <w:pPr>
        <w:pStyle w:val="Doublehangindent"/>
        <w:tabs>
          <w:tab w:val="left" w:pos="1134"/>
        </w:tabs>
        <w:ind w:left="0" w:firstLine="567"/>
        <w:rPr>
          <w:color w:val="000000" w:themeColor="text1"/>
          <w:lang w:val="en-US"/>
        </w:rPr>
      </w:pPr>
      <w:r w:rsidRPr="00B40A77">
        <w:rPr>
          <w:color w:val="000000" w:themeColor="text1"/>
          <w:lang w:val="en-US"/>
        </w:rPr>
        <w:t>(a)</w:t>
      </w:r>
      <w:r w:rsidRPr="00B40A77">
        <w:rPr>
          <w:color w:val="000000" w:themeColor="text1"/>
          <w:lang w:val="en-US"/>
        </w:rPr>
        <w:tab/>
      </w:r>
      <w:r w:rsidR="00A07DCF" w:rsidRPr="00B40A77">
        <w:rPr>
          <w:color w:val="000000" w:themeColor="text1"/>
          <w:lang w:val="en-US"/>
        </w:rPr>
        <w:t xml:space="preserve">by an </w:t>
      </w:r>
      <w:r w:rsidR="00FA4048" w:rsidRPr="00B40A77">
        <w:rPr>
          <w:color w:val="000000" w:themeColor="text1"/>
          <w:lang w:val="en-US"/>
        </w:rPr>
        <w:t xml:space="preserve">interlocutory application </w:t>
      </w:r>
      <w:r w:rsidR="00A07DCF" w:rsidRPr="00B40A77">
        <w:rPr>
          <w:color w:val="000000" w:themeColor="text1"/>
          <w:lang w:val="en-US"/>
        </w:rPr>
        <w:t xml:space="preserve">in accordance with </w:t>
      </w:r>
      <w:hyperlink w:anchor="_39.1—Written_application" w:history="1">
        <w:r w:rsidR="00A07DCF" w:rsidRPr="00B40A77">
          <w:rPr>
            <w:rStyle w:val="Hyperlink"/>
            <w:color w:val="000000" w:themeColor="text1"/>
            <w:lang w:val="en-US"/>
          </w:rPr>
          <w:t>rule 39.1</w:t>
        </w:r>
      </w:hyperlink>
      <w:r w:rsidRPr="00B40A77">
        <w:rPr>
          <w:color w:val="000000" w:themeColor="text1"/>
          <w:lang w:val="en-US"/>
        </w:rPr>
        <w:t>;</w:t>
      </w:r>
      <w:r w:rsidR="00E95229" w:rsidRPr="00B40A77">
        <w:rPr>
          <w:color w:val="000000" w:themeColor="text1"/>
          <w:lang w:val="en-US"/>
        </w:rPr>
        <w:t xml:space="preserve"> and</w:t>
      </w:r>
    </w:p>
    <w:p w14:paraId="20DC77F9" w14:textId="4A856D95" w:rsidR="00775CE2" w:rsidRPr="00B40A77" w:rsidRDefault="006E2CFE" w:rsidP="00AD1D32">
      <w:pPr>
        <w:pStyle w:val="Doublehangindent"/>
        <w:tabs>
          <w:tab w:val="left" w:pos="1134"/>
        </w:tabs>
        <w:ind w:left="0" w:firstLine="567"/>
        <w:rPr>
          <w:color w:val="000000" w:themeColor="text1"/>
          <w:lang w:val="en-US"/>
        </w:rPr>
      </w:pPr>
      <w:r w:rsidRPr="00B40A77">
        <w:rPr>
          <w:color w:val="000000" w:themeColor="text1"/>
          <w:lang w:val="en-US"/>
        </w:rPr>
        <w:t>(b)</w:t>
      </w:r>
      <w:r w:rsidRPr="00B40A77">
        <w:rPr>
          <w:color w:val="000000" w:themeColor="text1"/>
          <w:lang w:val="en-US"/>
        </w:rPr>
        <w:tab/>
      </w:r>
      <w:r w:rsidR="00775CE2" w:rsidRPr="00B40A77">
        <w:rPr>
          <w:color w:val="000000" w:themeColor="text1"/>
          <w:lang w:val="en-US"/>
        </w:rPr>
        <w:t>file</w:t>
      </w:r>
      <w:r w:rsidR="00E95229" w:rsidRPr="00B40A77">
        <w:rPr>
          <w:color w:val="000000" w:themeColor="text1"/>
          <w:lang w:val="en-US"/>
        </w:rPr>
        <w:t>d and served at least 7</w:t>
      </w:r>
      <w:r w:rsidR="00775CE2" w:rsidRPr="00B40A77">
        <w:rPr>
          <w:color w:val="000000" w:themeColor="text1"/>
          <w:lang w:val="en-US"/>
        </w:rPr>
        <w:t xml:space="preserve"> days before the </w:t>
      </w:r>
      <w:hyperlink w:anchor="_2.1—Definitions" w:history="1">
        <w:r w:rsidR="00E9233A" w:rsidRPr="00B40A77">
          <w:rPr>
            <w:rStyle w:val="Hyperlink"/>
            <w:color w:val="000000" w:themeColor="text1"/>
          </w:rPr>
          <w:t>first arraignment date</w:t>
        </w:r>
      </w:hyperlink>
      <w:r w:rsidR="00775CE2" w:rsidRPr="00B40A77">
        <w:rPr>
          <w:color w:val="000000" w:themeColor="text1"/>
          <w:lang w:val="en-US"/>
        </w:rPr>
        <w:t>.</w:t>
      </w:r>
    </w:p>
    <w:p w14:paraId="413E9D10" w14:textId="6E15D7B4" w:rsidR="00ED6D8F" w:rsidRPr="00B40A77" w:rsidRDefault="00B87028" w:rsidP="00BE23A0">
      <w:pPr>
        <w:pStyle w:val="Heading2"/>
        <w:keepNext/>
        <w:rPr>
          <w:color w:val="000000" w:themeColor="text1"/>
        </w:rPr>
      </w:pPr>
      <w:bookmarkStart w:id="650" w:name="_Toc60133526"/>
      <w:bookmarkStart w:id="651" w:name="_Toc175239070"/>
      <w:bookmarkStart w:id="652" w:name="_Toc60133505"/>
      <w:r w:rsidRPr="00B40A77">
        <w:rPr>
          <w:color w:val="000000" w:themeColor="text1"/>
        </w:rPr>
        <w:t>Part 4</w:t>
      </w:r>
      <w:r w:rsidR="00796F32" w:rsidRPr="00B40A77">
        <w:rPr>
          <w:color w:val="000000" w:themeColor="text1"/>
        </w:rPr>
        <w:t xml:space="preserve">—Election </w:t>
      </w:r>
      <w:r w:rsidR="004F32E8" w:rsidRPr="00B40A77">
        <w:rPr>
          <w:color w:val="000000" w:themeColor="text1"/>
        </w:rPr>
        <w:t xml:space="preserve">or order </w:t>
      </w:r>
      <w:r w:rsidR="00796F32" w:rsidRPr="00B40A77">
        <w:rPr>
          <w:color w:val="000000" w:themeColor="text1"/>
        </w:rPr>
        <w:t>for trial by j</w:t>
      </w:r>
      <w:r w:rsidR="00ED6D8F" w:rsidRPr="00B40A77">
        <w:rPr>
          <w:color w:val="000000" w:themeColor="text1"/>
        </w:rPr>
        <w:t>udge alone</w:t>
      </w:r>
      <w:bookmarkEnd w:id="650"/>
      <w:bookmarkEnd w:id="651"/>
    </w:p>
    <w:p w14:paraId="28D319A7" w14:textId="1D66054E" w:rsidR="004F32E8" w:rsidRPr="00B40A77" w:rsidRDefault="004F32E8" w:rsidP="004F32E8">
      <w:pPr>
        <w:pStyle w:val="Heading3"/>
        <w:rPr>
          <w:color w:val="000000" w:themeColor="text1"/>
        </w:rPr>
      </w:pPr>
      <w:bookmarkStart w:id="653" w:name="_Toc175239071"/>
      <w:bookmarkStart w:id="654" w:name="_Toc60133527"/>
      <w:r w:rsidRPr="00B40A77">
        <w:rPr>
          <w:color w:val="000000" w:themeColor="text1"/>
        </w:rPr>
        <w:t>Division 1—</w:t>
      </w:r>
      <w:r w:rsidR="00A532D3" w:rsidRPr="00B40A77">
        <w:rPr>
          <w:color w:val="000000" w:themeColor="text1"/>
        </w:rPr>
        <w:t>Election for trial by judge alone</w:t>
      </w:r>
      <w:bookmarkEnd w:id="653"/>
    </w:p>
    <w:p w14:paraId="1A1C56D1" w14:textId="12295802" w:rsidR="00ED6D8F" w:rsidRPr="00B40A77" w:rsidRDefault="001D53FE" w:rsidP="00B87028">
      <w:pPr>
        <w:pStyle w:val="Heading4"/>
        <w:rPr>
          <w:color w:val="000000" w:themeColor="text1"/>
        </w:rPr>
      </w:pPr>
      <w:bookmarkStart w:id="655" w:name="_94.1—Election_requirements"/>
      <w:bookmarkStart w:id="656" w:name="_Toc175239072"/>
      <w:bookmarkEnd w:id="655"/>
      <w:r w:rsidRPr="00B40A77">
        <w:rPr>
          <w:color w:val="000000" w:themeColor="text1"/>
        </w:rPr>
        <w:t>9</w:t>
      </w:r>
      <w:r w:rsidR="00595206" w:rsidRPr="00B40A77">
        <w:rPr>
          <w:color w:val="000000" w:themeColor="text1"/>
        </w:rPr>
        <w:t>4</w:t>
      </w:r>
      <w:r w:rsidR="00B90C72" w:rsidRPr="00B40A77">
        <w:rPr>
          <w:color w:val="000000" w:themeColor="text1"/>
        </w:rPr>
        <w:t>.1</w:t>
      </w:r>
      <w:r w:rsidR="00ED6D8F" w:rsidRPr="00B40A77">
        <w:rPr>
          <w:color w:val="000000" w:themeColor="text1"/>
        </w:rPr>
        <w:t>—Election</w:t>
      </w:r>
      <w:bookmarkEnd w:id="654"/>
      <w:r w:rsidR="00D01604" w:rsidRPr="00B40A77">
        <w:rPr>
          <w:color w:val="000000" w:themeColor="text1"/>
        </w:rPr>
        <w:t xml:space="preserve"> requirements</w:t>
      </w:r>
      <w:bookmarkEnd w:id="656"/>
    </w:p>
    <w:p w14:paraId="4C3B5EE6" w14:textId="670505F7" w:rsidR="00ED6D8F" w:rsidRPr="00B40A77" w:rsidRDefault="00796F32" w:rsidP="00ED6D8F">
      <w:pPr>
        <w:pStyle w:val="Hangindent"/>
        <w:rPr>
          <w:color w:val="000000" w:themeColor="text1"/>
        </w:rPr>
      </w:pPr>
      <w:r w:rsidRPr="00B40A77">
        <w:rPr>
          <w:color w:val="000000" w:themeColor="text1"/>
        </w:rPr>
        <w:t>(1)</w:t>
      </w:r>
      <w:r w:rsidRPr="00B40A77">
        <w:rPr>
          <w:color w:val="000000" w:themeColor="text1"/>
        </w:rPr>
        <w:tab/>
        <w:t>A</w:t>
      </w:r>
      <w:r w:rsidR="00290A05" w:rsidRPr="00B40A77">
        <w:rPr>
          <w:color w:val="000000" w:themeColor="text1"/>
        </w:rPr>
        <w:t xml:space="preserve"> judge alone</w:t>
      </w:r>
      <w:r w:rsidR="00ED6D8F" w:rsidRPr="00B40A77">
        <w:rPr>
          <w:color w:val="000000" w:themeColor="text1"/>
        </w:rPr>
        <w:t xml:space="preserve"> election under section 7(1)(a) of the </w:t>
      </w:r>
      <w:r w:rsidR="00ED6D8F" w:rsidRPr="00B40A77">
        <w:rPr>
          <w:iCs/>
          <w:color w:val="000000" w:themeColor="text1"/>
        </w:rPr>
        <w:t>Juries Act</w:t>
      </w:r>
      <w:r w:rsidR="00ED6D8F" w:rsidRPr="00B40A77">
        <w:rPr>
          <w:i/>
          <w:color w:val="000000" w:themeColor="text1"/>
        </w:rPr>
        <w:t xml:space="preserve"> </w:t>
      </w:r>
      <w:r w:rsidR="00ED6D8F" w:rsidRPr="00B40A77">
        <w:rPr>
          <w:color w:val="000000" w:themeColor="text1"/>
        </w:rPr>
        <w:t>(</w:t>
      </w:r>
      <w:r w:rsidR="00D00C31" w:rsidRPr="00B40A77">
        <w:rPr>
          <w:color w:val="000000" w:themeColor="text1"/>
        </w:rPr>
        <w:t>an</w:t>
      </w:r>
      <w:r w:rsidR="00ED6D8F" w:rsidRPr="00B40A77">
        <w:rPr>
          <w:b/>
          <w:i/>
          <w:color w:val="000000" w:themeColor="text1"/>
        </w:rPr>
        <w:t xml:space="preserve"> election</w:t>
      </w:r>
      <w:r w:rsidR="00927AA6" w:rsidRPr="00B40A77">
        <w:rPr>
          <w:bCs/>
          <w:iCs/>
          <w:color w:val="000000" w:themeColor="text1"/>
        </w:rPr>
        <w:t xml:space="preserve"> or a </w:t>
      </w:r>
      <w:r w:rsidR="00927AA6" w:rsidRPr="00B40A77">
        <w:rPr>
          <w:b/>
          <w:i/>
          <w:color w:val="000000" w:themeColor="text1"/>
        </w:rPr>
        <w:t>judge alone election</w:t>
      </w:r>
      <w:r w:rsidR="00ED6D8F" w:rsidRPr="00B40A77">
        <w:rPr>
          <w:color w:val="000000" w:themeColor="text1"/>
        </w:rPr>
        <w:t xml:space="preserve">) </w:t>
      </w:r>
      <w:r w:rsidRPr="00B40A77">
        <w:rPr>
          <w:color w:val="000000" w:themeColor="text1"/>
        </w:rPr>
        <w:t xml:space="preserve">must be made </w:t>
      </w:r>
      <w:r w:rsidR="00ED6D8F" w:rsidRPr="00B40A77">
        <w:rPr>
          <w:color w:val="000000" w:themeColor="text1"/>
        </w:rPr>
        <w:t>in the manner and at the</w:t>
      </w:r>
      <w:r w:rsidR="004F32E8" w:rsidRPr="00B40A77">
        <w:rPr>
          <w:color w:val="000000" w:themeColor="text1"/>
        </w:rPr>
        <w:t xml:space="preserve"> time stipulated in this Division</w:t>
      </w:r>
      <w:r w:rsidR="00ED6D8F" w:rsidRPr="00B40A77">
        <w:rPr>
          <w:color w:val="000000" w:themeColor="text1"/>
        </w:rPr>
        <w:t>.</w:t>
      </w:r>
    </w:p>
    <w:p w14:paraId="7F3B1BE3" w14:textId="06D48A6B" w:rsidR="0063648B" w:rsidRPr="00B40A77" w:rsidRDefault="0063648B" w:rsidP="0063648B">
      <w:pPr>
        <w:pStyle w:val="Hangindent"/>
        <w:rPr>
          <w:color w:val="000000" w:themeColor="text1"/>
          <w:spacing w:val="-3"/>
        </w:rPr>
      </w:pPr>
      <w:r w:rsidRPr="00B40A77">
        <w:rPr>
          <w:color w:val="000000" w:themeColor="text1"/>
          <w:spacing w:val="-3"/>
        </w:rPr>
        <w:t>(2)</w:t>
      </w:r>
      <w:r w:rsidRPr="00B40A77">
        <w:rPr>
          <w:color w:val="000000" w:themeColor="text1"/>
          <w:spacing w:val="-3"/>
        </w:rPr>
        <w:tab/>
        <w:t xml:space="preserve">The Court may extend the time for making or revoking an election </w:t>
      </w:r>
      <w:r w:rsidR="00E95206" w:rsidRPr="00B40A77">
        <w:rPr>
          <w:color w:val="000000" w:themeColor="text1"/>
          <w:spacing w:val="-3"/>
        </w:rPr>
        <w:t xml:space="preserve">under </w:t>
      </w:r>
      <w:hyperlink w:anchor="_94.5—Time_for_making" w:history="1">
        <w:r w:rsidR="00E95206" w:rsidRPr="00B40A77">
          <w:rPr>
            <w:rStyle w:val="Hyperlink"/>
            <w:color w:val="000000" w:themeColor="text1"/>
            <w:spacing w:val="-3"/>
          </w:rPr>
          <w:t>rule</w:t>
        </w:r>
        <w:r w:rsidR="00F7267D" w:rsidRPr="00B40A77">
          <w:rPr>
            <w:rStyle w:val="Hyperlink"/>
            <w:color w:val="000000" w:themeColor="text1"/>
            <w:spacing w:val="-3"/>
          </w:rPr>
          <w:t> </w:t>
        </w:r>
        <w:r w:rsidR="00E95206" w:rsidRPr="00B40A77">
          <w:rPr>
            <w:rStyle w:val="Hyperlink"/>
            <w:color w:val="000000" w:themeColor="text1"/>
            <w:spacing w:val="-3"/>
          </w:rPr>
          <w:t>94.5</w:t>
        </w:r>
      </w:hyperlink>
      <w:r w:rsidR="00C40847" w:rsidRPr="00B40A77">
        <w:rPr>
          <w:color w:val="000000" w:themeColor="text1"/>
          <w:spacing w:val="-3"/>
        </w:rPr>
        <w:t> </w:t>
      </w:r>
      <w:r w:rsidR="00E95206" w:rsidRPr="00B40A77">
        <w:rPr>
          <w:color w:val="000000" w:themeColor="text1"/>
          <w:spacing w:val="-3"/>
        </w:rPr>
        <w:t>or</w:t>
      </w:r>
      <w:r w:rsidR="00C40847" w:rsidRPr="00B40A77">
        <w:rPr>
          <w:color w:val="000000" w:themeColor="text1"/>
          <w:spacing w:val="-3"/>
        </w:rPr>
        <w:t> </w:t>
      </w:r>
      <w:hyperlink w:anchor="_94.6—Election_after_order" w:history="1">
        <w:r w:rsidR="00F7267D" w:rsidRPr="00B40A77">
          <w:rPr>
            <w:rStyle w:val="Hyperlink"/>
            <w:color w:val="000000" w:themeColor="text1"/>
            <w:spacing w:val="-3"/>
          </w:rPr>
          <w:t>rule </w:t>
        </w:r>
        <w:r w:rsidR="00E95206" w:rsidRPr="00B40A77">
          <w:rPr>
            <w:rStyle w:val="Hyperlink"/>
            <w:color w:val="000000" w:themeColor="text1"/>
            <w:spacing w:val="-3"/>
          </w:rPr>
          <w:t>94.6</w:t>
        </w:r>
      </w:hyperlink>
      <w:r w:rsidRPr="00B40A77">
        <w:rPr>
          <w:color w:val="000000" w:themeColor="text1"/>
          <w:spacing w:val="-3"/>
        </w:rPr>
        <w:t xml:space="preserve"> if satisfied that there are special reasons for so doing or that it would be unjust not to</w:t>
      </w:r>
      <w:r w:rsidR="00E95206" w:rsidRPr="00B40A77">
        <w:rPr>
          <w:color w:val="000000" w:themeColor="text1"/>
          <w:spacing w:val="-3"/>
        </w:rPr>
        <w:t xml:space="preserve"> do so notwithstanding that the prescribed</w:t>
      </w:r>
      <w:r w:rsidRPr="00B40A77">
        <w:rPr>
          <w:color w:val="000000" w:themeColor="text1"/>
          <w:spacing w:val="-3"/>
        </w:rPr>
        <w:t xml:space="preserve"> period has expired.</w:t>
      </w:r>
    </w:p>
    <w:p w14:paraId="230DE120" w14:textId="46C9A59A" w:rsidR="00796F32" w:rsidRPr="00B40A77" w:rsidRDefault="001D53FE" w:rsidP="00B87028">
      <w:pPr>
        <w:pStyle w:val="Heading4"/>
        <w:rPr>
          <w:color w:val="000000" w:themeColor="text1"/>
        </w:rPr>
      </w:pPr>
      <w:bookmarkStart w:id="657" w:name="_Toc175239073"/>
      <w:r w:rsidRPr="00B40A77">
        <w:rPr>
          <w:color w:val="000000" w:themeColor="text1"/>
        </w:rPr>
        <w:t>9</w:t>
      </w:r>
      <w:r w:rsidR="00595206" w:rsidRPr="00B40A77">
        <w:rPr>
          <w:color w:val="000000" w:themeColor="text1"/>
        </w:rPr>
        <w:t>4</w:t>
      </w:r>
      <w:r w:rsidR="00796F32" w:rsidRPr="00B40A77">
        <w:rPr>
          <w:color w:val="000000" w:themeColor="text1"/>
        </w:rPr>
        <w:t>.2—Subject matter of election</w:t>
      </w:r>
      <w:bookmarkEnd w:id="657"/>
    </w:p>
    <w:p w14:paraId="0FBEEE50" w14:textId="6A1D83A8" w:rsidR="0042494D" w:rsidRPr="00B40A77" w:rsidRDefault="00D01604" w:rsidP="00ED6D8F">
      <w:pPr>
        <w:pStyle w:val="Hangindent"/>
        <w:rPr>
          <w:color w:val="000000" w:themeColor="text1"/>
        </w:rPr>
      </w:pPr>
      <w:r w:rsidRPr="00B40A77">
        <w:rPr>
          <w:color w:val="000000" w:themeColor="text1"/>
        </w:rPr>
        <w:t>(1</w:t>
      </w:r>
      <w:r w:rsidR="00ED6D8F" w:rsidRPr="00B40A77">
        <w:rPr>
          <w:color w:val="000000" w:themeColor="text1"/>
        </w:rPr>
        <w:t>)</w:t>
      </w:r>
      <w:r w:rsidR="00ED6D8F" w:rsidRPr="00B40A77">
        <w:rPr>
          <w:color w:val="000000" w:themeColor="text1"/>
        </w:rPr>
        <w:tab/>
        <w:t xml:space="preserve">Subject to </w:t>
      </w:r>
      <w:r w:rsidR="0042494D" w:rsidRPr="00B40A77">
        <w:rPr>
          <w:color w:val="000000" w:themeColor="text1"/>
        </w:rPr>
        <w:t>the succeeding subrules—</w:t>
      </w:r>
    </w:p>
    <w:p w14:paraId="5774F826" w14:textId="473FBC36" w:rsidR="0042494D" w:rsidRPr="00B40A77" w:rsidRDefault="0042494D" w:rsidP="0042494D">
      <w:pPr>
        <w:pStyle w:val="Doublehangindent"/>
        <w:rPr>
          <w:color w:val="000000" w:themeColor="text1"/>
          <w:lang w:val="en-US"/>
        </w:rPr>
      </w:pPr>
      <w:r w:rsidRPr="00B40A77">
        <w:rPr>
          <w:color w:val="000000" w:themeColor="text1"/>
        </w:rPr>
        <w:t>(a)</w:t>
      </w:r>
      <w:r w:rsidRPr="00B40A77">
        <w:rPr>
          <w:color w:val="000000" w:themeColor="text1"/>
        </w:rPr>
        <w:tab/>
      </w:r>
      <w:r w:rsidR="00D01604" w:rsidRPr="00B40A77">
        <w:rPr>
          <w:color w:val="000000" w:themeColor="text1"/>
          <w:lang w:val="en-US"/>
        </w:rPr>
        <w:t>a</w:t>
      </w:r>
      <w:r w:rsidR="00290A05" w:rsidRPr="00B40A77">
        <w:rPr>
          <w:color w:val="000000" w:themeColor="text1"/>
          <w:lang w:val="en-US"/>
        </w:rPr>
        <w:t xml:space="preserve"> </w:t>
      </w:r>
      <w:hyperlink w:anchor="_94.1—Election_requirements" w:history="1">
        <w:r w:rsidR="00290A05" w:rsidRPr="00B40A77">
          <w:rPr>
            <w:rStyle w:val="Hyperlink"/>
            <w:color w:val="000000" w:themeColor="text1"/>
            <w:lang w:val="en-US"/>
          </w:rPr>
          <w:t>judge alone</w:t>
        </w:r>
        <w:r w:rsidR="00ED6D8F" w:rsidRPr="00B40A77">
          <w:rPr>
            <w:rStyle w:val="Hyperlink"/>
            <w:color w:val="000000" w:themeColor="text1"/>
            <w:lang w:val="en-US"/>
          </w:rPr>
          <w:t xml:space="preserve"> election</w:t>
        </w:r>
      </w:hyperlink>
      <w:r w:rsidR="00ED6D8F" w:rsidRPr="00B40A77">
        <w:rPr>
          <w:color w:val="000000" w:themeColor="text1"/>
          <w:lang w:val="en-US"/>
        </w:rPr>
        <w:t xml:space="preserve"> </w:t>
      </w:r>
      <w:r w:rsidR="00D01604" w:rsidRPr="00B40A77">
        <w:rPr>
          <w:color w:val="000000" w:themeColor="text1"/>
          <w:lang w:val="en-US"/>
        </w:rPr>
        <w:t xml:space="preserve">must relate to </w:t>
      </w:r>
      <w:r w:rsidR="00ED6D8F" w:rsidRPr="00B40A77">
        <w:rPr>
          <w:color w:val="000000" w:themeColor="text1"/>
          <w:lang w:val="en-US"/>
        </w:rPr>
        <w:t>t</w:t>
      </w:r>
      <w:r w:rsidR="00D01604" w:rsidRPr="00B40A77">
        <w:rPr>
          <w:color w:val="000000" w:themeColor="text1"/>
          <w:lang w:val="en-US"/>
        </w:rPr>
        <w:t xml:space="preserve">he </w:t>
      </w:r>
      <w:hyperlink w:anchor="_2.1—Definitions" w:history="1">
        <w:r w:rsidR="00AB0539" w:rsidRPr="00B40A77">
          <w:rPr>
            <w:rStyle w:val="Hyperlink"/>
            <w:color w:val="000000" w:themeColor="text1"/>
            <w:lang w:val="en-US"/>
          </w:rPr>
          <w:t>trial</w:t>
        </w:r>
      </w:hyperlink>
      <w:r w:rsidR="00D01604" w:rsidRPr="00B40A77">
        <w:rPr>
          <w:color w:val="000000" w:themeColor="text1"/>
          <w:lang w:val="en-US"/>
        </w:rPr>
        <w:t xml:space="preserve"> of all charges against all defendants in the I</w:t>
      </w:r>
      <w:r w:rsidR="00ED6D8F" w:rsidRPr="00B40A77">
        <w:rPr>
          <w:color w:val="000000" w:themeColor="text1"/>
          <w:lang w:val="en-US"/>
        </w:rPr>
        <w:t>nformation in respect of</w:t>
      </w:r>
      <w:r w:rsidR="00D01604" w:rsidRPr="00B40A77">
        <w:rPr>
          <w:color w:val="000000" w:themeColor="text1"/>
          <w:lang w:val="en-US"/>
        </w:rPr>
        <w:t xml:space="preserve"> which a </w:t>
      </w:r>
      <w:hyperlink w:anchor="_2.1—Definitions" w:history="1">
        <w:r w:rsidR="00AB0539" w:rsidRPr="00B40A77">
          <w:rPr>
            <w:rStyle w:val="Hyperlink"/>
            <w:color w:val="000000" w:themeColor="text1"/>
            <w:lang w:val="en-US"/>
          </w:rPr>
          <w:t>trial</w:t>
        </w:r>
      </w:hyperlink>
      <w:r w:rsidR="00D01604" w:rsidRPr="00B40A77">
        <w:rPr>
          <w:color w:val="000000" w:themeColor="text1"/>
          <w:lang w:val="en-US"/>
        </w:rPr>
        <w:t xml:space="preserve"> is to be held</w:t>
      </w:r>
      <w:r w:rsidRPr="00B40A77">
        <w:rPr>
          <w:color w:val="000000" w:themeColor="text1"/>
          <w:lang w:val="en-US"/>
        </w:rPr>
        <w:t>;</w:t>
      </w:r>
      <w:r w:rsidR="00D01604" w:rsidRPr="00B40A77">
        <w:rPr>
          <w:color w:val="000000" w:themeColor="text1"/>
          <w:lang w:val="en-US"/>
        </w:rPr>
        <w:t xml:space="preserve"> and</w:t>
      </w:r>
      <w:r w:rsidR="00ED6D8F" w:rsidRPr="00B40A77">
        <w:rPr>
          <w:color w:val="000000" w:themeColor="text1"/>
          <w:lang w:val="en-US"/>
        </w:rPr>
        <w:t xml:space="preserve"> </w:t>
      </w:r>
    </w:p>
    <w:p w14:paraId="1CB488A1" w14:textId="73244A57" w:rsidR="00ED6D8F" w:rsidRPr="00B40A77" w:rsidRDefault="0042494D" w:rsidP="0042494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an </w:t>
      </w:r>
      <w:hyperlink w:anchor="_94.1—Election_requirements" w:history="1">
        <w:r w:rsidR="00ED6D8F" w:rsidRPr="00B40A77">
          <w:rPr>
            <w:rStyle w:val="Hyperlink"/>
            <w:color w:val="000000" w:themeColor="text1"/>
            <w:lang w:val="en-US"/>
          </w:rPr>
          <w:t>election</w:t>
        </w:r>
      </w:hyperlink>
      <w:r w:rsidR="00ED6D8F" w:rsidRPr="00B40A77">
        <w:rPr>
          <w:color w:val="000000" w:themeColor="text1"/>
          <w:lang w:val="en-US"/>
        </w:rPr>
        <w:t xml:space="preserve"> that purports to be limited to certain charges </w:t>
      </w:r>
      <w:r w:rsidR="00D01604" w:rsidRPr="00B40A77">
        <w:rPr>
          <w:color w:val="000000" w:themeColor="text1"/>
          <w:lang w:val="en-US"/>
        </w:rPr>
        <w:t xml:space="preserve">only or </w:t>
      </w:r>
      <w:r w:rsidRPr="00B40A77">
        <w:rPr>
          <w:color w:val="000000" w:themeColor="text1"/>
          <w:lang w:val="en-US"/>
        </w:rPr>
        <w:t>is</w:t>
      </w:r>
      <w:r w:rsidR="00D01604" w:rsidRPr="00B40A77">
        <w:rPr>
          <w:color w:val="000000" w:themeColor="text1"/>
          <w:lang w:val="en-US"/>
        </w:rPr>
        <w:t xml:space="preserve"> not made by all defendants is </w:t>
      </w:r>
      <w:r w:rsidR="00927AA6" w:rsidRPr="00B40A77">
        <w:rPr>
          <w:color w:val="000000" w:themeColor="text1"/>
          <w:lang w:val="en-US"/>
        </w:rPr>
        <w:t>void</w:t>
      </w:r>
      <w:r w:rsidR="00ED6D8F" w:rsidRPr="00B40A77">
        <w:rPr>
          <w:color w:val="000000" w:themeColor="text1"/>
          <w:lang w:val="en-US"/>
        </w:rPr>
        <w:t>.</w:t>
      </w:r>
    </w:p>
    <w:p w14:paraId="46D9514E" w14:textId="40A07981" w:rsidR="00D01604" w:rsidRPr="00B40A77" w:rsidRDefault="00D01604" w:rsidP="00ED6D8F">
      <w:pPr>
        <w:pStyle w:val="Hangindent"/>
        <w:rPr>
          <w:color w:val="000000" w:themeColor="text1"/>
        </w:rPr>
      </w:pPr>
      <w:r w:rsidRPr="00B40A77">
        <w:rPr>
          <w:color w:val="000000" w:themeColor="text1"/>
        </w:rPr>
        <w:t>(2)</w:t>
      </w:r>
      <w:r w:rsidRPr="00B40A77">
        <w:rPr>
          <w:color w:val="000000" w:themeColor="text1"/>
        </w:rPr>
        <w:tab/>
        <w:t xml:space="preserve">If two or more defendants are jointly charged with an offence, they must concur, as required by section 7(3) of the </w:t>
      </w:r>
      <w:r w:rsidRPr="00B40A77">
        <w:rPr>
          <w:iCs/>
          <w:color w:val="000000" w:themeColor="text1"/>
        </w:rPr>
        <w:t>Juries Act</w:t>
      </w:r>
      <w:r w:rsidRPr="00B40A77">
        <w:rPr>
          <w:color w:val="000000" w:themeColor="text1"/>
        </w:rPr>
        <w:t xml:space="preserve">, in making the </w:t>
      </w:r>
      <w:hyperlink w:anchor="_94.1—Election_requirements" w:history="1">
        <w:r w:rsidR="00944F51" w:rsidRPr="00B40A77">
          <w:rPr>
            <w:rStyle w:val="Hyperlink"/>
            <w:color w:val="000000" w:themeColor="text1"/>
            <w:lang w:val="en-US"/>
          </w:rPr>
          <w:t>election</w:t>
        </w:r>
      </w:hyperlink>
      <w:r w:rsidRPr="00B40A77">
        <w:rPr>
          <w:color w:val="000000" w:themeColor="text1"/>
        </w:rPr>
        <w:t xml:space="preserve"> by jointly signifying their concurrence in the </w:t>
      </w:r>
      <w:hyperlink w:anchor="_94.1—Election_requirements" w:history="1">
        <w:r w:rsidR="00944F51" w:rsidRPr="00B40A77">
          <w:rPr>
            <w:rStyle w:val="Hyperlink"/>
            <w:color w:val="000000" w:themeColor="text1"/>
            <w:lang w:val="en-US"/>
          </w:rPr>
          <w:t>election</w:t>
        </w:r>
      </w:hyperlink>
      <w:r w:rsidRPr="00B40A77">
        <w:rPr>
          <w:color w:val="000000" w:themeColor="text1"/>
        </w:rPr>
        <w:t xml:space="preserve"> or by each of them separately notifying </w:t>
      </w:r>
      <w:r w:rsidR="00C845CB" w:rsidRPr="00B40A77">
        <w:rPr>
          <w:color w:val="000000" w:themeColor="text1"/>
        </w:rPr>
        <w:t>their</w:t>
      </w:r>
      <w:r w:rsidRPr="00B40A77">
        <w:rPr>
          <w:color w:val="000000" w:themeColor="text1"/>
        </w:rPr>
        <w:t xml:space="preserve"> </w:t>
      </w:r>
      <w:hyperlink w:anchor="_94.1—Election_requirements" w:history="1">
        <w:r w:rsidR="00944F51" w:rsidRPr="00B40A77">
          <w:rPr>
            <w:rStyle w:val="Hyperlink"/>
            <w:color w:val="000000" w:themeColor="text1"/>
            <w:lang w:val="en-US"/>
          </w:rPr>
          <w:t>election</w:t>
        </w:r>
      </w:hyperlink>
      <w:r w:rsidR="004F32E8" w:rsidRPr="00B40A77">
        <w:rPr>
          <w:color w:val="000000" w:themeColor="text1"/>
        </w:rPr>
        <w:t xml:space="preserve"> in accordance with this Division</w:t>
      </w:r>
      <w:r w:rsidRPr="00B40A77">
        <w:rPr>
          <w:color w:val="000000" w:themeColor="text1"/>
        </w:rPr>
        <w:t>.</w:t>
      </w:r>
    </w:p>
    <w:p w14:paraId="54EA519E" w14:textId="38DE5AA3" w:rsidR="00ED6D8F" w:rsidRPr="00B40A77" w:rsidRDefault="00D01604" w:rsidP="00ED6D8F">
      <w:pPr>
        <w:pStyle w:val="Hangindent"/>
        <w:rPr>
          <w:color w:val="000000" w:themeColor="text1"/>
        </w:rPr>
      </w:pPr>
      <w:r w:rsidRPr="00B40A77">
        <w:rPr>
          <w:color w:val="000000" w:themeColor="text1"/>
        </w:rPr>
        <w:t>(</w:t>
      </w:r>
      <w:r w:rsidR="00C845CB" w:rsidRPr="00B40A77">
        <w:rPr>
          <w:color w:val="000000" w:themeColor="text1"/>
        </w:rPr>
        <w:t>3</w:t>
      </w:r>
      <w:r w:rsidR="00ED6D8F" w:rsidRPr="00B40A77">
        <w:rPr>
          <w:color w:val="000000" w:themeColor="text1"/>
        </w:rPr>
        <w:t>)</w:t>
      </w:r>
      <w:r w:rsidR="00ED6D8F" w:rsidRPr="00B40A77">
        <w:rPr>
          <w:color w:val="000000" w:themeColor="text1"/>
        </w:rPr>
        <w:tab/>
      </w:r>
      <w:r w:rsidRPr="00B40A77">
        <w:rPr>
          <w:color w:val="000000" w:themeColor="text1"/>
        </w:rPr>
        <w:t>If a</w:t>
      </w:r>
      <w:r w:rsidR="00ED6D8F" w:rsidRPr="00B40A77">
        <w:rPr>
          <w:color w:val="000000" w:themeColor="text1"/>
        </w:rPr>
        <w:t xml:space="preserve"> </w:t>
      </w:r>
      <w:r w:rsidRPr="00B40A77">
        <w:rPr>
          <w:color w:val="000000" w:themeColor="text1"/>
        </w:rPr>
        <w:t>defendant who is charged with more than one count</w:t>
      </w:r>
      <w:r w:rsidR="00ED6D8F" w:rsidRPr="00B40A77">
        <w:rPr>
          <w:color w:val="000000" w:themeColor="text1"/>
        </w:rPr>
        <w:t xml:space="preserve"> proposes to apply for a separate </w:t>
      </w:r>
      <w:hyperlink w:anchor="_2.1—Definitions" w:history="1">
        <w:r w:rsidR="00AB0539" w:rsidRPr="00B40A77">
          <w:rPr>
            <w:rStyle w:val="Hyperlink"/>
            <w:color w:val="000000" w:themeColor="text1"/>
            <w:lang w:val="en-US"/>
          </w:rPr>
          <w:t>trial</w:t>
        </w:r>
      </w:hyperlink>
      <w:r w:rsidR="00ED6D8F" w:rsidRPr="00B40A77">
        <w:rPr>
          <w:color w:val="000000" w:themeColor="text1"/>
        </w:rPr>
        <w:t xml:space="preserve"> in respect of one or more counts, a separate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rPr>
        <w:t xml:space="preserve"> may be </w:t>
      </w:r>
      <w:r w:rsidRPr="00B40A77">
        <w:rPr>
          <w:color w:val="000000" w:themeColor="text1"/>
        </w:rPr>
        <w:t xml:space="preserve">conditionally </w:t>
      </w:r>
      <w:r w:rsidR="00ED6D8F" w:rsidRPr="00B40A77">
        <w:rPr>
          <w:color w:val="000000" w:themeColor="text1"/>
        </w:rPr>
        <w:t>made as to the counts sought to be severed or as to the counts remaining in anticipation of an order for severance.</w:t>
      </w:r>
    </w:p>
    <w:p w14:paraId="366494CA" w14:textId="48F1088B" w:rsidR="00C845CB" w:rsidRPr="00B40A77" w:rsidRDefault="00C845CB" w:rsidP="00D01604">
      <w:pPr>
        <w:pStyle w:val="Hangindent"/>
        <w:rPr>
          <w:color w:val="000000" w:themeColor="text1"/>
        </w:rPr>
      </w:pPr>
      <w:r w:rsidRPr="00B40A77">
        <w:rPr>
          <w:color w:val="000000" w:themeColor="text1"/>
        </w:rPr>
        <w:lastRenderedPageBreak/>
        <w:t>(4)</w:t>
      </w:r>
      <w:r w:rsidRPr="00B40A77">
        <w:rPr>
          <w:color w:val="000000" w:themeColor="text1"/>
        </w:rPr>
        <w:tab/>
        <w:t>If a defendant who is</w:t>
      </w:r>
      <w:r w:rsidR="00ED6D8F" w:rsidRPr="00B40A77">
        <w:rPr>
          <w:color w:val="000000" w:themeColor="text1"/>
        </w:rPr>
        <w:t xml:space="preserve"> jointly charged </w:t>
      </w:r>
      <w:r w:rsidRPr="00B40A77">
        <w:rPr>
          <w:color w:val="000000" w:themeColor="text1"/>
        </w:rPr>
        <w:t xml:space="preserve">with other defendants </w:t>
      </w:r>
      <w:r w:rsidR="00ED6D8F" w:rsidRPr="00B40A77">
        <w:rPr>
          <w:color w:val="000000" w:themeColor="text1"/>
        </w:rPr>
        <w:t xml:space="preserve">proposes to apply for a separate </w:t>
      </w:r>
      <w:hyperlink w:anchor="_2.1—Definitions" w:history="1">
        <w:r w:rsidR="00AB0539" w:rsidRPr="00B40A77">
          <w:rPr>
            <w:rStyle w:val="Hyperlink"/>
            <w:color w:val="000000" w:themeColor="text1"/>
            <w:lang w:val="en-US"/>
          </w:rPr>
          <w:t>trial</w:t>
        </w:r>
      </w:hyperlink>
      <w:r w:rsidR="00ED6D8F" w:rsidRPr="00B40A77">
        <w:rPr>
          <w:color w:val="000000" w:themeColor="text1"/>
        </w:rPr>
        <w:t xml:space="preserve"> from the </w:t>
      </w:r>
      <w:hyperlink w:anchor="_2.1—Definitions" w:history="1">
        <w:r w:rsidR="00AB0539" w:rsidRPr="00B40A77">
          <w:rPr>
            <w:rStyle w:val="Hyperlink"/>
            <w:color w:val="000000" w:themeColor="text1"/>
            <w:lang w:val="en-US"/>
          </w:rPr>
          <w:t>trial</w:t>
        </w:r>
      </w:hyperlink>
      <w:r w:rsidR="00ED6D8F" w:rsidRPr="00B40A77">
        <w:rPr>
          <w:color w:val="000000" w:themeColor="text1"/>
        </w:rPr>
        <w:t xml:space="preserve"> of others jointly charged, a separate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rPr>
        <w:t xml:space="preserve"> may be</w:t>
      </w:r>
      <w:r w:rsidRPr="00B40A77">
        <w:rPr>
          <w:color w:val="000000" w:themeColor="text1"/>
        </w:rPr>
        <w:t xml:space="preserve"> conditionally</w:t>
      </w:r>
      <w:r w:rsidR="00ED6D8F" w:rsidRPr="00B40A77">
        <w:rPr>
          <w:color w:val="000000" w:themeColor="text1"/>
        </w:rPr>
        <w:t xml:space="preserve"> made by that </w:t>
      </w:r>
      <w:r w:rsidR="0060304D" w:rsidRPr="00B40A77">
        <w:rPr>
          <w:color w:val="000000" w:themeColor="text1"/>
        </w:rPr>
        <w:t>defendant</w:t>
      </w:r>
      <w:r w:rsidR="00ED6D8F" w:rsidRPr="00B40A77">
        <w:rPr>
          <w:color w:val="000000" w:themeColor="text1"/>
        </w:rPr>
        <w:t xml:space="preserve"> in anticipation of an order for separate trials. </w:t>
      </w:r>
    </w:p>
    <w:p w14:paraId="5F25F87F" w14:textId="61E18A7F" w:rsidR="00C845CB" w:rsidRPr="00B40A77" w:rsidRDefault="00C845CB" w:rsidP="00D01604">
      <w:pPr>
        <w:pStyle w:val="Hangindent"/>
        <w:rPr>
          <w:color w:val="000000" w:themeColor="text1"/>
        </w:rPr>
      </w:pPr>
      <w:r w:rsidRPr="00B40A77">
        <w:rPr>
          <w:color w:val="000000" w:themeColor="text1"/>
        </w:rPr>
        <w:t>(5)</w:t>
      </w:r>
      <w:r w:rsidRPr="00B40A77">
        <w:rPr>
          <w:color w:val="000000" w:themeColor="text1"/>
        </w:rPr>
        <w:tab/>
        <w:t xml:space="preserve">A conditional </w:t>
      </w:r>
      <w:hyperlink w:anchor="_94.1—Election_requirements" w:history="1">
        <w:r w:rsidR="00944F51" w:rsidRPr="00B40A77">
          <w:rPr>
            <w:rStyle w:val="Hyperlink"/>
            <w:color w:val="000000" w:themeColor="text1"/>
            <w:lang w:val="en-US"/>
          </w:rPr>
          <w:t>election</w:t>
        </w:r>
      </w:hyperlink>
      <w:r w:rsidRPr="00B40A77">
        <w:rPr>
          <w:color w:val="000000" w:themeColor="text1"/>
        </w:rPr>
        <w:t xml:space="preserve"> under subrule</w:t>
      </w:r>
      <w:r w:rsidR="00C42A0C" w:rsidRPr="00B40A77">
        <w:rPr>
          <w:color w:val="000000" w:themeColor="text1"/>
        </w:rPr>
        <w:t> </w:t>
      </w:r>
      <w:r w:rsidRPr="00B40A77">
        <w:rPr>
          <w:color w:val="000000" w:themeColor="text1"/>
        </w:rPr>
        <w:t>(3) or</w:t>
      </w:r>
      <w:r w:rsidR="00C42A0C" w:rsidRPr="00B40A77">
        <w:rPr>
          <w:color w:val="000000" w:themeColor="text1"/>
        </w:rPr>
        <w:t> </w:t>
      </w:r>
      <w:r w:rsidRPr="00B40A77">
        <w:rPr>
          <w:color w:val="000000" w:themeColor="text1"/>
        </w:rPr>
        <w:t xml:space="preserve">(4) must </w:t>
      </w:r>
      <w:r w:rsidR="00ED6D8F" w:rsidRPr="00B40A77">
        <w:rPr>
          <w:color w:val="000000" w:themeColor="text1"/>
        </w:rPr>
        <w:t>be made in the manner and at the</w:t>
      </w:r>
      <w:r w:rsidR="0042494D" w:rsidRPr="00B40A77">
        <w:rPr>
          <w:color w:val="000000" w:themeColor="text1"/>
        </w:rPr>
        <w:t xml:space="preserve"> time stipulated in this Division</w:t>
      </w:r>
      <w:r w:rsidRPr="00B40A77">
        <w:rPr>
          <w:color w:val="000000" w:themeColor="text1"/>
        </w:rPr>
        <w:t xml:space="preserve"> and expressed to be conditional in accordance with subrule</w:t>
      </w:r>
      <w:r w:rsidR="000835D6" w:rsidRPr="00B40A77">
        <w:rPr>
          <w:color w:val="000000" w:themeColor="text1"/>
        </w:rPr>
        <w:t> </w:t>
      </w:r>
      <w:r w:rsidRPr="00B40A77">
        <w:rPr>
          <w:color w:val="000000" w:themeColor="text1"/>
        </w:rPr>
        <w:t>(3) or</w:t>
      </w:r>
      <w:r w:rsidR="000835D6" w:rsidRPr="00B40A77">
        <w:rPr>
          <w:color w:val="000000" w:themeColor="text1"/>
        </w:rPr>
        <w:t> </w:t>
      </w:r>
      <w:r w:rsidRPr="00B40A77">
        <w:rPr>
          <w:color w:val="000000" w:themeColor="text1"/>
        </w:rPr>
        <w:t>(4) as the case may be.</w:t>
      </w:r>
    </w:p>
    <w:p w14:paraId="651EC030" w14:textId="248B0759" w:rsidR="00D25254" w:rsidRPr="00B40A77" w:rsidRDefault="00C845CB" w:rsidP="00ED6D8F">
      <w:pPr>
        <w:pStyle w:val="Hangindent"/>
        <w:rPr>
          <w:color w:val="000000" w:themeColor="text1"/>
        </w:rPr>
      </w:pPr>
      <w:r w:rsidRPr="00B40A77">
        <w:rPr>
          <w:color w:val="000000" w:themeColor="text1"/>
        </w:rPr>
        <w:t>(6)</w:t>
      </w:r>
      <w:r w:rsidRPr="00B40A77">
        <w:rPr>
          <w:color w:val="000000" w:themeColor="text1"/>
        </w:rPr>
        <w:tab/>
        <w:t xml:space="preserve">A conditional </w:t>
      </w:r>
      <w:hyperlink w:anchor="_94.1—Election_requirements" w:history="1">
        <w:r w:rsidR="00944F51" w:rsidRPr="00B40A77">
          <w:rPr>
            <w:rStyle w:val="Hyperlink"/>
            <w:color w:val="000000" w:themeColor="text1"/>
            <w:lang w:val="en-US"/>
          </w:rPr>
          <w:t>election</w:t>
        </w:r>
      </w:hyperlink>
      <w:r w:rsidRPr="00B40A77">
        <w:rPr>
          <w:color w:val="000000" w:themeColor="text1"/>
        </w:rPr>
        <w:t xml:space="preserve"> under</w:t>
      </w:r>
      <w:r w:rsidR="00D25254" w:rsidRPr="00B40A77">
        <w:rPr>
          <w:color w:val="000000" w:themeColor="text1"/>
        </w:rPr>
        <w:t>—</w:t>
      </w:r>
    </w:p>
    <w:p w14:paraId="4B5158DE" w14:textId="1750E68D" w:rsidR="00D25254" w:rsidRPr="00B40A77" w:rsidRDefault="00D25254" w:rsidP="00D25254">
      <w:pPr>
        <w:pStyle w:val="Doublehangindent"/>
        <w:rPr>
          <w:color w:val="000000" w:themeColor="text1"/>
        </w:rPr>
      </w:pPr>
      <w:r w:rsidRPr="00B40A77">
        <w:rPr>
          <w:color w:val="000000" w:themeColor="text1"/>
        </w:rPr>
        <w:t>(a)</w:t>
      </w:r>
      <w:r w:rsidRPr="00B40A77">
        <w:rPr>
          <w:color w:val="000000" w:themeColor="text1"/>
        </w:rPr>
        <w:tab/>
      </w:r>
      <w:r w:rsidR="00C845CB" w:rsidRPr="00B40A77">
        <w:rPr>
          <w:color w:val="000000" w:themeColor="text1"/>
        </w:rPr>
        <w:t>subrule</w:t>
      </w:r>
      <w:r w:rsidR="00C42A0C" w:rsidRPr="00B40A77">
        <w:rPr>
          <w:color w:val="000000" w:themeColor="text1"/>
        </w:rPr>
        <w:t> </w:t>
      </w:r>
      <w:r w:rsidR="00C845CB" w:rsidRPr="00B40A77">
        <w:rPr>
          <w:color w:val="000000" w:themeColor="text1"/>
        </w:rPr>
        <w:t xml:space="preserve">(3) </w:t>
      </w:r>
      <w:r w:rsidR="00ED6D8F" w:rsidRPr="00B40A77">
        <w:rPr>
          <w:color w:val="000000" w:themeColor="text1"/>
        </w:rPr>
        <w:t xml:space="preserve">will be valid and effectual only </w:t>
      </w:r>
      <w:r w:rsidR="00C845CB" w:rsidRPr="00B40A77">
        <w:rPr>
          <w:color w:val="000000" w:themeColor="text1"/>
        </w:rPr>
        <w:t xml:space="preserve">if the application for severance </w:t>
      </w:r>
      <w:r w:rsidRPr="00B40A77">
        <w:rPr>
          <w:color w:val="000000" w:themeColor="text1"/>
        </w:rPr>
        <w:t>is granted;</w:t>
      </w:r>
    </w:p>
    <w:p w14:paraId="3754EA06" w14:textId="04A5B9AD" w:rsidR="00ED6D8F" w:rsidRPr="00B40A77" w:rsidRDefault="00D25254" w:rsidP="00D25254">
      <w:pPr>
        <w:pStyle w:val="Doublehangindent"/>
        <w:rPr>
          <w:color w:val="000000" w:themeColor="text1"/>
        </w:rPr>
      </w:pPr>
      <w:r w:rsidRPr="00B40A77">
        <w:rPr>
          <w:color w:val="000000" w:themeColor="text1"/>
        </w:rPr>
        <w:t>(b)</w:t>
      </w:r>
      <w:r w:rsidRPr="00B40A77">
        <w:rPr>
          <w:color w:val="000000" w:themeColor="text1"/>
        </w:rPr>
        <w:tab/>
        <w:t>subrule</w:t>
      </w:r>
      <w:r w:rsidR="00C42A0C" w:rsidRPr="00B40A77">
        <w:rPr>
          <w:color w:val="000000" w:themeColor="text1"/>
        </w:rPr>
        <w:t> </w:t>
      </w:r>
      <w:r w:rsidR="00290A05" w:rsidRPr="00B40A77">
        <w:rPr>
          <w:color w:val="000000" w:themeColor="text1"/>
        </w:rPr>
        <w:t xml:space="preserve">(4) </w:t>
      </w:r>
      <w:r w:rsidR="0042494D" w:rsidRPr="00B40A77">
        <w:rPr>
          <w:color w:val="000000" w:themeColor="text1"/>
        </w:rPr>
        <w:t xml:space="preserve">will be valid and effectual only </w:t>
      </w:r>
      <w:r w:rsidRPr="00B40A77">
        <w:rPr>
          <w:color w:val="000000" w:themeColor="text1"/>
        </w:rPr>
        <w:t xml:space="preserve">if the application for separate trials is granted or </w:t>
      </w:r>
      <w:r w:rsidR="00290A05" w:rsidRPr="00B40A77">
        <w:rPr>
          <w:color w:val="000000" w:themeColor="text1"/>
        </w:rPr>
        <w:t>all defendants</w:t>
      </w:r>
      <w:r w:rsidR="00ED6D8F" w:rsidRPr="00B40A77">
        <w:rPr>
          <w:color w:val="000000" w:themeColor="text1"/>
        </w:rPr>
        <w:t xml:space="preserve"> make a valid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rPr>
        <w:t xml:space="preserve"> in accordance with subrule</w:t>
      </w:r>
      <w:r w:rsidR="00290A05" w:rsidRPr="00B40A77">
        <w:rPr>
          <w:color w:val="000000" w:themeColor="text1"/>
        </w:rPr>
        <w:t>s</w:t>
      </w:r>
      <w:r w:rsidR="00ED6D8F" w:rsidRPr="00B40A77">
        <w:rPr>
          <w:color w:val="000000" w:themeColor="text1"/>
        </w:rPr>
        <w:t> (1)</w:t>
      </w:r>
      <w:r w:rsidR="00290A05" w:rsidRPr="00B40A77">
        <w:rPr>
          <w:color w:val="000000" w:themeColor="text1"/>
        </w:rPr>
        <w:t xml:space="preserve"> and</w:t>
      </w:r>
      <w:r w:rsidR="000835D6" w:rsidRPr="00B40A77">
        <w:rPr>
          <w:color w:val="000000" w:themeColor="text1"/>
        </w:rPr>
        <w:t> </w:t>
      </w:r>
      <w:r w:rsidR="00290A05" w:rsidRPr="00B40A77">
        <w:rPr>
          <w:color w:val="000000" w:themeColor="text1"/>
        </w:rPr>
        <w:t>(2)</w:t>
      </w:r>
      <w:r w:rsidR="00ED6D8F" w:rsidRPr="00B40A77">
        <w:rPr>
          <w:color w:val="000000" w:themeColor="text1"/>
        </w:rPr>
        <w:t>.</w:t>
      </w:r>
    </w:p>
    <w:p w14:paraId="4FA2C610" w14:textId="4E93BD3B" w:rsidR="00ED6D8F" w:rsidRPr="00B40A77" w:rsidRDefault="001D53FE" w:rsidP="00B87028">
      <w:pPr>
        <w:pStyle w:val="Heading4"/>
        <w:rPr>
          <w:color w:val="000000" w:themeColor="text1"/>
        </w:rPr>
      </w:pPr>
      <w:bookmarkStart w:id="658" w:name="_Toc60133529"/>
      <w:bookmarkStart w:id="659" w:name="_Toc175239074"/>
      <w:r w:rsidRPr="00B40A77">
        <w:rPr>
          <w:color w:val="000000" w:themeColor="text1"/>
        </w:rPr>
        <w:t>9</w:t>
      </w:r>
      <w:r w:rsidR="00595206" w:rsidRPr="00B40A77">
        <w:rPr>
          <w:color w:val="000000" w:themeColor="text1"/>
        </w:rPr>
        <w:t>4</w:t>
      </w:r>
      <w:r w:rsidR="00290A05" w:rsidRPr="00B40A77">
        <w:rPr>
          <w:color w:val="000000" w:themeColor="text1"/>
        </w:rPr>
        <w:t>.3</w:t>
      </w:r>
      <w:r w:rsidR="00ED6D8F" w:rsidRPr="00B40A77">
        <w:rPr>
          <w:color w:val="000000" w:themeColor="text1"/>
        </w:rPr>
        <w:t>—Manner of making election</w:t>
      </w:r>
      <w:bookmarkEnd w:id="658"/>
      <w:bookmarkEnd w:id="659"/>
    </w:p>
    <w:p w14:paraId="4A484201" w14:textId="64D0DB3E" w:rsidR="00290A05" w:rsidRPr="00B40A77" w:rsidRDefault="00290A05" w:rsidP="00037437">
      <w:pPr>
        <w:pStyle w:val="Hangindent"/>
        <w:keepNext/>
        <w:rPr>
          <w:color w:val="000000" w:themeColor="text1"/>
        </w:rPr>
      </w:pPr>
      <w:r w:rsidRPr="00B40A77">
        <w:rPr>
          <w:color w:val="000000" w:themeColor="text1"/>
        </w:rPr>
        <w:t>(1)</w:t>
      </w:r>
      <w:r w:rsidRPr="00B40A77">
        <w:rPr>
          <w:color w:val="000000" w:themeColor="text1"/>
        </w:rPr>
        <w:tab/>
        <w:t xml:space="preserve">A </w:t>
      </w:r>
      <w:hyperlink w:anchor="_94.1—Election_requirements" w:history="1">
        <w:r w:rsidR="00944F51" w:rsidRPr="00B40A77">
          <w:rPr>
            <w:rStyle w:val="Hyperlink"/>
            <w:color w:val="000000" w:themeColor="text1"/>
            <w:lang w:val="en-US"/>
          </w:rPr>
          <w:t>judge alone election</w:t>
        </w:r>
      </w:hyperlink>
      <w:r w:rsidR="00ED6D8F" w:rsidRPr="00B40A77">
        <w:rPr>
          <w:color w:val="000000" w:themeColor="text1"/>
        </w:rPr>
        <w:t xml:space="preserve"> </w:t>
      </w:r>
      <w:r w:rsidRPr="00B40A77">
        <w:rPr>
          <w:color w:val="000000" w:themeColor="text1"/>
        </w:rPr>
        <w:t>must</w:t>
      </w:r>
      <w:r w:rsidR="00ED6D8F" w:rsidRPr="00B40A77">
        <w:rPr>
          <w:color w:val="000000" w:themeColor="text1"/>
        </w:rPr>
        <w:t xml:space="preserve"> be made by filing a notice of election in </w:t>
      </w:r>
      <w:r w:rsidRPr="00B40A77">
        <w:rPr>
          <w:color w:val="000000" w:themeColor="text1"/>
        </w:rPr>
        <w:t>the prescribed</w:t>
      </w:r>
      <w:r w:rsidR="00ED6D8F" w:rsidRPr="00B40A77">
        <w:rPr>
          <w:color w:val="000000" w:themeColor="text1"/>
        </w:rPr>
        <w:t xml:space="preserve"> form</w:t>
      </w:r>
      <w:r w:rsidRPr="00B40A77">
        <w:rPr>
          <w:color w:val="000000" w:themeColor="text1"/>
        </w:rPr>
        <w:t>.</w:t>
      </w:r>
    </w:p>
    <w:p w14:paraId="2349B2CF" w14:textId="77777777" w:rsidR="00F97B1B" w:rsidRPr="00B40A77" w:rsidRDefault="00F97B1B" w:rsidP="00037437">
      <w:pPr>
        <w:pStyle w:val="NoteHeader"/>
        <w:keepNext/>
        <w:rPr>
          <w:color w:val="000000" w:themeColor="text1"/>
        </w:rPr>
      </w:pPr>
      <w:r w:rsidRPr="00B40A77">
        <w:rPr>
          <w:color w:val="000000" w:themeColor="text1"/>
        </w:rPr>
        <w:t>Prescribed form—</w:t>
      </w:r>
    </w:p>
    <w:p w14:paraId="5D5D77A7" w14:textId="3B77B89C" w:rsidR="00F97B1B" w:rsidRPr="00B40A77" w:rsidRDefault="00002EBA" w:rsidP="00F97B1B">
      <w:pPr>
        <w:pStyle w:val="NoteText"/>
        <w:rPr>
          <w:color w:val="000000" w:themeColor="text1"/>
        </w:rPr>
      </w:pPr>
      <w:r w:rsidRPr="00B40A77">
        <w:rPr>
          <w:color w:val="000000" w:themeColor="text1"/>
        </w:rPr>
        <w:t>Form 64</w:t>
      </w:r>
      <w:r w:rsidR="00F97B1B" w:rsidRPr="00B40A77">
        <w:rPr>
          <w:color w:val="000000" w:themeColor="text1"/>
        </w:rPr>
        <w:t xml:space="preserve"> </w:t>
      </w:r>
      <w:hyperlink r:id="rId189" w:history="1">
        <w:r w:rsidRPr="00B40A77">
          <w:rPr>
            <w:rStyle w:val="Hyperlink"/>
            <w:color w:val="000000" w:themeColor="text1"/>
          </w:rPr>
          <w:t xml:space="preserve">Election for </w:t>
        </w:r>
        <w:r w:rsidR="00E036D6" w:rsidRPr="00B40A77">
          <w:rPr>
            <w:rStyle w:val="Hyperlink"/>
            <w:color w:val="000000" w:themeColor="text1"/>
          </w:rPr>
          <w:t>T</w:t>
        </w:r>
        <w:r w:rsidRPr="00B40A77">
          <w:rPr>
            <w:rStyle w:val="Hyperlink"/>
            <w:color w:val="000000" w:themeColor="text1"/>
          </w:rPr>
          <w:t xml:space="preserve">rial by </w:t>
        </w:r>
        <w:r w:rsidR="00E036D6" w:rsidRPr="00B40A77">
          <w:rPr>
            <w:rStyle w:val="Hyperlink"/>
            <w:color w:val="000000" w:themeColor="text1"/>
          </w:rPr>
          <w:t>J</w:t>
        </w:r>
        <w:r w:rsidRPr="00B40A77">
          <w:rPr>
            <w:rStyle w:val="Hyperlink"/>
            <w:color w:val="000000" w:themeColor="text1"/>
          </w:rPr>
          <w:t xml:space="preserve">udge </w:t>
        </w:r>
        <w:r w:rsidR="00E036D6" w:rsidRPr="00B40A77">
          <w:rPr>
            <w:rStyle w:val="Hyperlink"/>
            <w:color w:val="000000" w:themeColor="text1"/>
          </w:rPr>
          <w:t>A</w:t>
        </w:r>
        <w:r w:rsidRPr="00B40A77">
          <w:rPr>
            <w:rStyle w:val="Hyperlink"/>
            <w:color w:val="000000" w:themeColor="text1"/>
          </w:rPr>
          <w:t>lone</w:t>
        </w:r>
      </w:hyperlink>
    </w:p>
    <w:p w14:paraId="58EF6D9E" w14:textId="7AF1FF67" w:rsidR="00A525B7" w:rsidRPr="00B40A77" w:rsidRDefault="004F32E8" w:rsidP="00A525B7">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w:t>
      </w:r>
      <w:hyperlink w:anchor="_94.1—Election_requirements" w:history="1">
        <w:r w:rsidR="00944F51" w:rsidRPr="00B40A77">
          <w:rPr>
            <w:rStyle w:val="Hyperlink"/>
            <w:color w:val="000000" w:themeColor="text1"/>
            <w:lang w:val="en-US"/>
          </w:rPr>
          <w:t>judge alone election</w:t>
        </w:r>
      </w:hyperlink>
      <w:r w:rsidRPr="00B40A77">
        <w:rPr>
          <w:color w:val="000000" w:themeColor="text1"/>
        </w:rPr>
        <w:t xml:space="preserve"> </w:t>
      </w:r>
      <w:r w:rsidRPr="00B40A77">
        <w:rPr>
          <w:color w:val="000000" w:themeColor="text1"/>
          <w:lang w:val="en-US"/>
        </w:rPr>
        <w:t xml:space="preserve">must be </w:t>
      </w:r>
      <w:r w:rsidRPr="00B40A77">
        <w:rPr>
          <w:color w:val="000000" w:themeColor="text1"/>
        </w:rPr>
        <w:t>signed</w:t>
      </w:r>
      <w:r w:rsidR="00A525B7" w:rsidRPr="00B40A77">
        <w:rPr>
          <w:color w:val="000000" w:themeColor="text1"/>
          <w:lang w:val="en-US"/>
        </w:rPr>
        <w:t>—</w:t>
      </w:r>
    </w:p>
    <w:p w14:paraId="744D36B7" w14:textId="1C2952B0" w:rsidR="00A525B7" w:rsidRPr="00B40A77" w:rsidRDefault="00A525B7" w:rsidP="00A525B7">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by the defendant before an </w:t>
      </w:r>
      <w:hyperlink w:anchor="_2.1—Definitions" w:history="1">
        <w:r w:rsidRPr="00B40A77">
          <w:rPr>
            <w:rStyle w:val="Hyperlink"/>
            <w:color w:val="000000" w:themeColor="text1"/>
          </w:rPr>
          <w:t>authorised witness</w:t>
        </w:r>
      </w:hyperlink>
      <w:r w:rsidRPr="00B40A77">
        <w:rPr>
          <w:color w:val="000000" w:themeColor="text1"/>
        </w:rPr>
        <w:t xml:space="preserve"> or a lawyer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68532641" w14:textId="56D09B47" w:rsidR="00A525B7" w:rsidRPr="00B40A77" w:rsidRDefault="00A525B7" w:rsidP="00A525B7">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w:t>
      </w:r>
    </w:p>
    <w:p w14:paraId="3991E882" w14:textId="6F5C85E3" w:rsidR="00F97B9E" w:rsidRPr="00B40A77" w:rsidRDefault="00F97B1B" w:rsidP="00ED6D8F">
      <w:pPr>
        <w:pStyle w:val="Hangindent"/>
        <w:rPr>
          <w:color w:val="000000" w:themeColor="text1"/>
        </w:rPr>
      </w:pPr>
      <w:r w:rsidRPr="00B40A77">
        <w:rPr>
          <w:color w:val="000000" w:themeColor="text1"/>
          <w:lang w:val="en-US"/>
        </w:rPr>
        <w:t>(3</w:t>
      </w:r>
      <w:r w:rsidR="004F32E8" w:rsidRPr="00B40A77">
        <w:rPr>
          <w:color w:val="000000" w:themeColor="text1"/>
          <w:lang w:val="en-US"/>
        </w:rPr>
        <w:t>)</w:t>
      </w:r>
      <w:r w:rsidR="004F32E8" w:rsidRPr="00B40A77">
        <w:rPr>
          <w:color w:val="000000" w:themeColor="text1"/>
          <w:lang w:val="en-US"/>
        </w:rPr>
        <w:tab/>
        <w:t>If the defendant is represented by a lawyer, the lawyer must complete the certification contained in the prescribed form.</w:t>
      </w:r>
    </w:p>
    <w:p w14:paraId="2371E9E6" w14:textId="7855EC52" w:rsidR="00ED6D8F" w:rsidRPr="00B40A77" w:rsidRDefault="00F97B1B" w:rsidP="00037437">
      <w:pPr>
        <w:pStyle w:val="Hangindent"/>
        <w:keepNext/>
        <w:rPr>
          <w:color w:val="000000" w:themeColor="text1"/>
        </w:rPr>
      </w:pPr>
      <w:r w:rsidRPr="00B40A77">
        <w:rPr>
          <w:color w:val="000000" w:themeColor="text1"/>
        </w:rPr>
        <w:t>(4</w:t>
      </w:r>
      <w:r w:rsidR="00ED6D8F" w:rsidRPr="00B40A77">
        <w:rPr>
          <w:color w:val="000000" w:themeColor="text1"/>
        </w:rPr>
        <w:t>)</w:t>
      </w:r>
      <w:r w:rsidR="00ED6D8F" w:rsidRPr="00B40A77">
        <w:rPr>
          <w:color w:val="000000" w:themeColor="text1"/>
        </w:rPr>
        <w:tab/>
        <w:t xml:space="preserve">An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rPr>
        <w:t xml:space="preserve"> made by counsel on behalf of </w:t>
      </w:r>
      <w:r w:rsidRPr="00B40A77">
        <w:rPr>
          <w:color w:val="000000" w:themeColor="text1"/>
        </w:rPr>
        <w:t>a</w:t>
      </w:r>
      <w:r w:rsidR="00ED6D8F" w:rsidRPr="00B40A77">
        <w:rPr>
          <w:color w:val="000000" w:themeColor="text1"/>
        </w:rPr>
        <w:t xml:space="preserve"> defendant under section</w:t>
      </w:r>
      <w:r w:rsidR="003F313A" w:rsidRPr="00B40A77">
        <w:rPr>
          <w:color w:val="000000" w:themeColor="text1"/>
        </w:rPr>
        <w:t> </w:t>
      </w:r>
      <w:r w:rsidR="00ED6D8F" w:rsidRPr="00B40A77">
        <w:rPr>
          <w:color w:val="000000" w:themeColor="text1"/>
        </w:rPr>
        <w:t xml:space="preserve">269W(2)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rPr>
        <w:t>must</w:t>
      </w:r>
      <w:r w:rsidR="00ED6D8F" w:rsidRPr="00B40A77">
        <w:rPr>
          <w:color w:val="000000" w:themeColor="text1"/>
        </w:rPr>
        <w:t xml:space="preserve"> be made by filing a notice of election in </w:t>
      </w:r>
      <w:r w:rsidRPr="00B40A77">
        <w:rPr>
          <w:color w:val="000000" w:themeColor="text1"/>
        </w:rPr>
        <w:t>the</w:t>
      </w:r>
      <w:r w:rsidR="00ED6D8F" w:rsidRPr="00B40A77">
        <w:rPr>
          <w:color w:val="000000" w:themeColor="text1"/>
        </w:rPr>
        <w:t xml:space="preserve"> </w:t>
      </w:r>
      <w:r w:rsidR="00D25254" w:rsidRPr="00B40A77">
        <w:rPr>
          <w:color w:val="000000" w:themeColor="text1"/>
        </w:rPr>
        <w:t xml:space="preserve">prescribed </w:t>
      </w:r>
      <w:r w:rsidR="00ED6D8F" w:rsidRPr="00B40A77">
        <w:rPr>
          <w:color w:val="000000" w:themeColor="text1"/>
        </w:rPr>
        <w:t>form</w:t>
      </w:r>
      <w:r w:rsidRPr="00B40A77">
        <w:rPr>
          <w:color w:val="000000" w:themeColor="text1"/>
        </w:rPr>
        <w:t xml:space="preserve"> signed by counsel</w:t>
      </w:r>
      <w:r w:rsidR="00ED6D8F" w:rsidRPr="00B40A77">
        <w:rPr>
          <w:color w:val="000000" w:themeColor="text1"/>
        </w:rPr>
        <w:t>.</w:t>
      </w:r>
    </w:p>
    <w:p w14:paraId="7F5FB4FC" w14:textId="77777777" w:rsidR="00F97B1B" w:rsidRPr="00B40A77" w:rsidRDefault="00F97B1B" w:rsidP="00037437">
      <w:pPr>
        <w:pStyle w:val="NoteHeader"/>
        <w:keepNext/>
        <w:rPr>
          <w:color w:val="000000" w:themeColor="text1"/>
        </w:rPr>
      </w:pPr>
      <w:r w:rsidRPr="00B40A77">
        <w:rPr>
          <w:color w:val="000000" w:themeColor="text1"/>
        </w:rPr>
        <w:t>Prescribed form—</w:t>
      </w:r>
    </w:p>
    <w:p w14:paraId="15AF262E" w14:textId="13580372" w:rsidR="00F97B1B" w:rsidRPr="00B40A77" w:rsidRDefault="00002EBA" w:rsidP="00F97B1B">
      <w:pPr>
        <w:pStyle w:val="NoteText"/>
        <w:rPr>
          <w:color w:val="000000" w:themeColor="text1"/>
        </w:rPr>
      </w:pPr>
      <w:r w:rsidRPr="00B40A77">
        <w:rPr>
          <w:color w:val="000000" w:themeColor="text1"/>
        </w:rPr>
        <w:t xml:space="preserve">Form 64 </w:t>
      </w:r>
      <w:hyperlink r:id="rId190" w:history="1">
        <w:r w:rsidRPr="00B40A77">
          <w:rPr>
            <w:rStyle w:val="Hyperlink"/>
            <w:color w:val="000000" w:themeColor="text1"/>
          </w:rPr>
          <w:t xml:space="preserve">Election for </w:t>
        </w:r>
        <w:r w:rsidR="00E036D6" w:rsidRPr="00B40A77">
          <w:rPr>
            <w:rStyle w:val="Hyperlink"/>
            <w:color w:val="000000" w:themeColor="text1"/>
          </w:rPr>
          <w:t>T</w:t>
        </w:r>
        <w:r w:rsidRPr="00B40A77">
          <w:rPr>
            <w:rStyle w:val="Hyperlink"/>
            <w:color w:val="000000" w:themeColor="text1"/>
          </w:rPr>
          <w:t xml:space="preserve">rial by </w:t>
        </w:r>
        <w:r w:rsidR="00E036D6" w:rsidRPr="00B40A77">
          <w:rPr>
            <w:rStyle w:val="Hyperlink"/>
            <w:color w:val="000000" w:themeColor="text1"/>
          </w:rPr>
          <w:t>J</w:t>
        </w:r>
        <w:r w:rsidRPr="00B40A77">
          <w:rPr>
            <w:rStyle w:val="Hyperlink"/>
            <w:color w:val="000000" w:themeColor="text1"/>
          </w:rPr>
          <w:t xml:space="preserve">udge </w:t>
        </w:r>
        <w:r w:rsidR="00E036D6" w:rsidRPr="00B40A77">
          <w:rPr>
            <w:rStyle w:val="Hyperlink"/>
            <w:color w:val="000000" w:themeColor="text1"/>
          </w:rPr>
          <w:t>A</w:t>
        </w:r>
        <w:r w:rsidRPr="00B40A77">
          <w:rPr>
            <w:rStyle w:val="Hyperlink"/>
            <w:color w:val="000000" w:themeColor="text1"/>
          </w:rPr>
          <w:t>lone</w:t>
        </w:r>
      </w:hyperlink>
    </w:p>
    <w:p w14:paraId="6426D8A5" w14:textId="5D83A1AA" w:rsidR="00ED6D8F" w:rsidRPr="00B40A77" w:rsidRDefault="00F97B1B" w:rsidP="00ED6D8F">
      <w:pPr>
        <w:pStyle w:val="Hangindent"/>
        <w:rPr>
          <w:color w:val="000000" w:themeColor="text1"/>
        </w:rPr>
      </w:pPr>
      <w:r w:rsidRPr="00B40A77">
        <w:rPr>
          <w:color w:val="000000" w:themeColor="text1"/>
        </w:rPr>
        <w:t>(5</w:t>
      </w:r>
      <w:r w:rsidR="00ED6D8F" w:rsidRPr="00B40A77">
        <w:rPr>
          <w:color w:val="000000" w:themeColor="text1"/>
        </w:rPr>
        <w:t>)</w:t>
      </w:r>
      <w:r w:rsidR="00ED6D8F" w:rsidRPr="00B40A77">
        <w:rPr>
          <w:color w:val="000000" w:themeColor="text1"/>
        </w:rPr>
        <w:tab/>
      </w:r>
      <w:r w:rsidRPr="00B40A77">
        <w:rPr>
          <w:color w:val="000000" w:themeColor="text1"/>
        </w:rPr>
        <w:t xml:space="preserve">A notice of election must be served by the filing party </w:t>
      </w:r>
      <w:r w:rsidR="00ED6D8F" w:rsidRPr="00B40A77">
        <w:rPr>
          <w:color w:val="000000" w:themeColor="text1"/>
        </w:rPr>
        <w:t>as soon as practicable on the Director and on any</w:t>
      </w:r>
      <w:r w:rsidRPr="00B40A77">
        <w:rPr>
          <w:color w:val="000000" w:themeColor="text1"/>
        </w:rPr>
        <w:t xml:space="preserve"> other</w:t>
      </w:r>
      <w:r w:rsidR="00ED6D8F" w:rsidRPr="00B40A77">
        <w:rPr>
          <w:color w:val="000000" w:themeColor="text1"/>
        </w:rPr>
        <w:t xml:space="preserve"> </w:t>
      </w:r>
      <w:r w:rsidRPr="00B40A77">
        <w:rPr>
          <w:color w:val="000000" w:themeColor="text1"/>
        </w:rPr>
        <w:t>defendant</w:t>
      </w:r>
      <w:r w:rsidR="00ED6D8F" w:rsidRPr="00B40A77">
        <w:rPr>
          <w:color w:val="000000" w:themeColor="text1"/>
        </w:rPr>
        <w:t>.</w:t>
      </w:r>
    </w:p>
    <w:p w14:paraId="41945A8C" w14:textId="61707C61" w:rsidR="005C6C68" w:rsidRPr="00B40A77" w:rsidRDefault="005C6C68" w:rsidP="00ED6D8F">
      <w:pPr>
        <w:pStyle w:val="Hangindent"/>
        <w:keepNext/>
        <w:keepLines/>
        <w:rPr>
          <w:color w:val="000000" w:themeColor="text1"/>
        </w:rPr>
      </w:pPr>
      <w:r w:rsidRPr="00B40A77">
        <w:rPr>
          <w:color w:val="000000" w:themeColor="text1"/>
        </w:rPr>
        <w:t>(6)</w:t>
      </w:r>
      <w:r w:rsidRPr="00B40A77">
        <w:rPr>
          <w:color w:val="000000" w:themeColor="text1"/>
        </w:rPr>
        <w:tab/>
      </w:r>
      <w:r w:rsidR="000835D6" w:rsidRPr="00B40A77">
        <w:rPr>
          <w:color w:val="000000" w:themeColor="text1"/>
          <w:lang w:val="en-US"/>
        </w:rPr>
        <w:t xml:space="preserve">At any stage of the proceeding </w:t>
      </w:r>
      <w:r w:rsidR="000835D6" w:rsidRPr="00B40A77">
        <w:rPr>
          <w:color w:val="000000" w:themeColor="text1"/>
        </w:rPr>
        <w:t>a</w:t>
      </w:r>
      <w:r w:rsidRPr="00B40A77">
        <w:rPr>
          <w:color w:val="000000" w:themeColor="text1"/>
        </w:rPr>
        <w:t>—</w:t>
      </w:r>
    </w:p>
    <w:p w14:paraId="3E349FF4" w14:textId="32867253" w:rsidR="005C6C68" w:rsidRPr="00B40A77" w:rsidRDefault="005C6C68" w:rsidP="005C6C68">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ED6D8F" w:rsidRPr="00B40A77">
        <w:rPr>
          <w:color w:val="000000" w:themeColor="text1"/>
          <w:lang w:val="en-US"/>
        </w:rPr>
        <w:t xml:space="preserve">notice of election </w:t>
      </w:r>
      <w:r w:rsidR="00F97B1B" w:rsidRPr="00B40A77">
        <w:rPr>
          <w:color w:val="000000" w:themeColor="text1"/>
          <w:lang w:val="en-US"/>
        </w:rPr>
        <w:t>signed by a defendant</w:t>
      </w:r>
      <w:r w:rsidR="00FB3853" w:rsidRPr="00B40A77">
        <w:rPr>
          <w:color w:val="000000" w:themeColor="text1"/>
          <w:lang w:val="en-US"/>
        </w:rPr>
        <w:t xml:space="preserve"> or their solicitor</w:t>
      </w:r>
      <w:r w:rsidRPr="00B40A77">
        <w:rPr>
          <w:color w:val="000000" w:themeColor="text1"/>
          <w:lang w:val="en-US"/>
        </w:rPr>
        <w:t>; or</w:t>
      </w:r>
    </w:p>
    <w:p w14:paraId="00A03525" w14:textId="0248E8DC" w:rsidR="005C6C68" w:rsidRPr="00B40A77" w:rsidRDefault="005C6C68" w:rsidP="005C6C68">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ED6D8F" w:rsidRPr="00B40A77">
        <w:rPr>
          <w:color w:val="000000" w:themeColor="text1"/>
          <w:lang w:val="en-US"/>
        </w:rPr>
        <w:t xml:space="preserve">certificate </w:t>
      </w:r>
      <w:r w:rsidRPr="00B40A77">
        <w:rPr>
          <w:color w:val="000000" w:themeColor="text1"/>
          <w:lang w:val="en-US"/>
        </w:rPr>
        <w:t>signed by a lawyer in a notice of election</w:t>
      </w:r>
      <w:r w:rsidR="00210397" w:rsidRPr="00B40A77">
        <w:rPr>
          <w:color w:val="000000" w:themeColor="text1"/>
          <w:lang w:val="en-US"/>
        </w:rPr>
        <w:t>,</w:t>
      </w:r>
    </w:p>
    <w:p w14:paraId="09707ACE" w14:textId="4B8896E4" w:rsidR="00ED6D8F" w:rsidRPr="00B40A77" w:rsidRDefault="00ED6D8F" w:rsidP="005C6C68">
      <w:pPr>
        <w:pStyle w:val="Doublehangindent"/>
        <w:ind w:left="1134" w:firstLine="0"/>
        <w:rPr>
          <w:color w:val="000000" w:themeColor="text1"/>
          <w:lang w:val="en-US"/>
        </w:rPr>
      </w:pPr>
      <w:r w:rsidRPr="00B40A77">
        <w:rPr>
          <w:color w:val="000000" w:themeColor="text1"/>
          <w:lang w:val="en-US"/>
        </w:rPr>
        <w:t xml:space="preserve">is admissible as evidence that the </w:t>
      </w:r>
      <w:r w:rsidR="005C6C68" w:rsidRPr="00B40A77">
        <w:rPr>
          <w:color w:val="000000" w:themeColor="text1"/>
          <w:lang w:val="en-US"/>
        </w:rPr>
        <w:t>defendant</w:t>
      </w:r>
      <w:r w:rsidRPr="00B40A77">
        <w:rPr>
          <w:color w:val="000000" w:themeColor="text1"/>
          <w:lang w:val="en-US"/>
        </w:rPr>
        <w:t xml:space="preserve"> before making the </w:t>
      </w:r>
      <w:hyperlink w:anchor="_94.1—Election_requirements" w:history="1">
        <w:r w:rsidR="00944F51" w:rsidRPr="00B40A77">
          <w:rPr>
            <w:rStyle w:val="Hyperlink"/>
            <w:color w:val="000000" w:themeColor="text1"/>
            <w:lang w:val="en-US"/>
          </w:rPr>
          <w:t>election</w:t>
        </w:r>
      </w:hyperlink>
      <w:r w:rsidRPr="00B40A77">
        <w:rPr>
          <w:color w:val="000000" w:themeColor="text1"/>
          <w:lang w:val="en-US"/>
        </w:rPr>
        <w:t xml:space="preserve"> sought and received advice </w:t>
      </w:r>
      <w:r w:rsidR="00927AA6" w:rsidRPr="00B40A77">
        <w:rPr>
          <w:color w:val="000000" w:themeColor="text1"/>
          <w:lang w:val="en-US"/>
        </w:rPr>
        <w:t xml:space="preserve">from a lawyer </w:t>
      </w:r>
      <w:r w:rsidRPr="00B40A77">
        <w:rPr>
          <w:color w:val="000000" w:themeColor="text1"/>
          <w:lang w:val="en-US"/>
        </w:rPr>
        <w:t xml:space="preserve">in relation to the </w:t>
      </w:r>
      <w:hyperlink w:anchor="_94.1—Election_requirements" w:history="1">
        <w:r w:rsidR="00944F51" w:rsidRPr="00B40A77">
          <w:rPr>
            <w:rStyle w:val="Hyperlink"/>
            <w:color w:val="000000" w:themeColor="text1"/>
            <w:lang w:val="en-US"/>
          </w:rPr>
          <w:t>election</w:t>
        </w:r>
      </w:hyperlink>
      <w:r w:rsidRPr="00B40A77">
        <w:rPr>
          <w:color w:val="000000" w:themeColor="text1"/>
          <w:lang w:val="en-US"/>
        </w:rPr>
        <w:t>.</w:t>
      </w:r>
    </w:p>
    <w:p w14:paraId="1B1066DD" w14:textId="27DEB03C" w:rsidR="003F2E99" w:rsidRPr="00B40A77" w:rsidRDefault="001D53FE" w:rsidP="00B87028">
      <w:pPr>
        <w:pStyle w:val="Heading4"/>
        <w:rPr>
          <w:color w:val="000000" w:themeColor="text1"/>
        </w:rPr>
      </w:pPr>
      <w:bookmarkStart w:id="660" w:name="_94.4—Election_irrevocable"/>
      <w:bookmarkStart w:id="661" w:name="_Toc60133532"/>
      <w:bookmarkStart w:id="662" w:name="_Toc175239075"/>
      <w:bookmarkStart w:id="663" w:name="_Toc60133531"/>
      <w:bookmarkEnd w:id="660"/>
      <w:r w:rsidRPr="00B40A77">
        <w:rPr>
          <w:color w:val="000000" w:themeColor="text1"/>
        </w:rPr>
        <w:t>9</w:t>
      </w:r>
      <w:r w:rsidR="00595206" w:rsidRPr="00B40A77">
        <w:rPr>
          <w:color w:val="000000" w:themeColor="text1"/>
        </w:rPr>
        <w:t>4</w:t>
      </w:r>
      <w:r w:rsidR="003F2E99" w:rsidRPr="00B40A77">
        <w:rPr>
          <w:color w:val="000000" w:themeColor="text1"/>
        </w:rPr>
        <w:t>.4—Election irrevocable</w:t>
      </w:r>
      <w:bookmarkEnd w:id="661"/>
      <w:bookmarkEnd w:id="662"/>
    </w:p>
    <w:p w14:paraId="5F46E7ED" w14:textId="064A1ABA" w:rsidR="003F2E99" w:rsidRPr="00B40A77" w:rsidRDefault="00D25254" w:rsidP="003F2E99">
      <w:pPr>
        <w:pStyle w:val="Hangindent"/>
        <w:rPr>
          <w:color w:val="000000" w:themeColor="text1"/>
        </w:rPr>
      </w:pPr>
      <w:r w:rsidRPr="00B40A77">
        <w:rPr>
          <w:color w:val="000000" w:themeColor="text1"/>
        </w:rPr>
        <w:t>(1)</w:t>
      </w:r>
      <w:r w:rsidRPr="00B40A77">
        <w:rPr>
          <w:color w:val="000000" w:themeColor="text1"/>
        </w:rPr>
        <w:tab/>
        <w:t xml:space="preserve">Subject to </w:t>
      </w:r>
      <w:hyperlink w:anchor="_94.6—Election_after_order" w:history="1">
        <w:r w:rsidRPr="00B40A77">
          <w:rPr>
            <w:rStyle w:val="Hyperlink"/>
            <w:color w:val="000000" w:themeColor="text1"/>
          </w:rPr>
          <w:t>rule 94</w:t>
        </w:r>
        <w:r w:rsidR="003F2E99" w:rsidRPr="00B40A77">
          <w:rPr>
            <w:rStyle w:val="Hyperlink"/>
            <w:color w:val="000000" w:themeColor="text1"/>
          </w:rPr>
          <w:t>.6</w:t>
        </w:r>
      </w:hyperlink>
      <w:r w:rsidR="003F2E99" w:rsidRPr="00B40A77">
        <w:rPr>
          <w:color w:val="000000" w:themeColor="text1"/>
        </w:rPr>
        <w:t xml:space="preserve">, </w:t>
      </w:r>
      <w:r w:rsidR="003F2E99" w:rsidRPr="00B40A77">
        <w:rPr>
          <w:color w:val="000000" w:themeColor="text1"/>
          <w:lang w:val="en-US"/>
        </w:rPr>
        <w:t>a defendant</w:t>
      </w:r>
      <w:r w:rsidR="003F2E99" w:rsidRPr="00B40A77">
        <w:rPr>
          <w:color w:val="000000" w:themeColor="text1"/>
        </w:rPr>
        <w:t xml:space="preserve"> who has made a </w:t>
      </w:r>
      <w:hyperlink w:anchor="_94.1—Election_requirements" w:history="1">
        <w:r w:rsidR="00944F51" w:rsidRPr="00B40A77">
          <w:rPr>
            <w:rStyle w:val="Hyperlink"/>
            <w:color w:val="000000" w:themeColor="text1"/>
            <w:lang w:val="en-US"/>
          </w:rPr>
          <w:t>judge alone election</w:t>
        </w:r>
      </w:hyperlink>
      <w:r w:rsidR="003F2E99" w:rsidRPr="00B40A77">
        <w:rPr>
          <w:color w:val="000000" w:themeColor="text1"/>
        </w:rPr>
        <w:t xml:space="preserve"> cannot revoke </w:t>
      </w:r>
      <w:r w:rsidR="00927AA6" w:rsidRPr="00B40A77">
        <w:rPr>
          <w:color w:val="000000" w:themeColor="text1"/>
        </w:rPr>
        <w:t>it</w:t>
      </w:r>
      <w:r w:rsidR="003F2E99" w:rsidRPr="00B40A77">
        <w:rPr>
          <w:color w:val="000000" w:themeColor="text1"/>
        </w:rPr>
        <w:t xml:space="preserve"> without the leave of the Court.</w:t>
      </w:r>
    </w:p>
    <w:p w14:paraId="3E3C5F6A" w14:textId="63EFFDB4" w:rsidR="003F2E99" w:rsidRPr="00B40A77" w:rsidRDefault="003F2E99" w:rsidP="003F2E99">
      <w:pPr>
        <w:pStyle w:val="Hangindent"/>
        <w:rPr>
          <w:color w:val="000000" w:themeColor="text1"/>
        </w:rPr>
      </w:pPr>
      <w:r w:rsidRPr="00B40A77">
        <w:rPr>
          <w:color w:val="000000" w:themeColor="text1"/>
        </w:rPr>
        <w:t>(2)</w:t>
      </w:r>
      <w:r w:rsidRPr="00B40A77">
        <w:rPr>
          <w:color w:val="000000" w:themeColor="text1"/>
        </w:rPr>
        <w:tab/>
      </w:r>
      <w:r w:rsidR="00E95206" w:rsidRPr="00B40A77">
        <w:rPr>
          <w:color w:val="000000" w:themeColor="text1"/>
        </w:rPr>
        <w:t>The Court may grant leave to</w:t>
      </w:r>
      <w:r w:rsidRPr="00B40A77">
        <w:rPr>
          <w:color w:val="000000" w:themeColor="text1"/>
        </w:rPr>
        <w:t xml:space="preserve"> revoke a </w:t>
      </w:r>
      <w:hyperlink w:anchor="_94.1—Election_requirements" w:history="1">
        <w:r w:rsidR="00944F51" w:rsidRPr="00B40A77">
          <w:rPr>
            <w:rStyle w:val="Hyperlink"/>
            <w:color w:val="000000" w:themeColor="text1"/>
            <w:lang w:val="en-US"/>
          </w:rPr>
          <w:t>judge alone election</w:t>
        </w:r>
      </w:hyperlink>
      <w:r w:rsidRPr="00B40A77">
        <w:rPr>
          <w:color w:val="000000" w:themeColor="text1"/>
        </w:rPr>
        <w:t xml:space="preserve"> </w:t>
      </w:r>
      <w:r w:rsidR="00E95206" w:rsidRPr="00B40A77">
        <w:rPr>
          <w:color w:val="000000" w:themeColor="text1"/>
          <w:spacing w:val="-3"/>
        </w:rPr>
        <w:t>if satisfied that there are special reasons for so doing or that it would be unjust not to do so</w:t>
      </w:r>
      <w:r w:rsidRPr="00B40A77">
        <w:rPr>
          <w:color w:val="000000" w:themeColor="text1"/>
        </w:rPr>
        <w:t>.</w:t>
      </w:r>
    </w:p>
    <w:p w14:paraId="3B23EA88" w14:textId="67D2D1EC" w:rsidR="00ED6D8F" w:rsidRPr="00B40A77" w:rsidRDefault="001D53FE" w:rsidP="00B87028">
      <w:pPr>
        <w:pStyle w:val="Heading4"/>
        <w:rPr>
          <w:color w:val="000000" w:themeColor="text1"/>
        </w:rPr>
      </w:pPr>
      <w:bookmarkStart w:id="664" w:name="_94.5—Time_for_making"/>
      <w:bookmarkStart w:id="665" w:name="_Toc175239076"/>
      <w:bookmarkEnd w:id="664"/>
      <w:r w:rsidRPr="00B40A77">
        <w:rPr>
          <w:color w:val="000000" w:themeColor="text1"/>
        </w:rPr>
        <w:lastRenderedPageBreak/>
        <w:t>9</w:t>
      </w:r>
      <w:r w:rsidR="00595206" w:rsidRPr="00B40A77">
        <w:rPr>
          <w:color w:val="000000" w:themeColor="text1"/>
        </w:rPr>
        <w:t>4</w:t>
      </w:r>
      <w:r w:rsidR="005C6C68" w:rsidRPr="00B40A77">
        <w:rPr>
          <w:color w:val="000000" w:themeColor="text1"/>
        </w:rPr>
        <w:t>.</w:t>
      </w:r>
      <w:r w:rsidR="003F2E99" w:rsidRPr="00B40A77">
        <w:rPr>
          <w:color w:val="000000" w:themeColor="text1"/>
        </w:rPr>
        <w:t>5</w:t>
      </w:r>
      <w:r w:rsidR="00ED6D8F" w:rsidRPr="00B40A77">
        <w:rPr>
          <w:color w:val="000000" w:themeColor="text1"/>
        </w:rPr>
        <w:t>—Time for making election</w:t>
      </w:r>
      <w:bookmarkEnd w:id="663"/>
      <w:bookmarkEnd w:id="665"/>
    </w:p>
    <w:p w14:paraId="6BE937FF" w14:textId="4A01D603" w:rsidR="00ED6D8F" w:rsidRPr="00B40A77" w:rsidRDefault="00210397" w:rsidP="000E1511">
      <w:pPr>
        <w:pStyle w:val="Hangindent"/>
        <w:rPr>
          <w:color w:val="000000" w:themeColor="text1"/>
          <w:lang w:val="en-US"/>
        </w:rPr>
      </w:pPr>
      <w:r w:rsidRPr="00B40A77">
        <w:rPr>
          <w:color w:val="000000" w:themeColor="text1"/>
        </w:rPr>
        <w:t>(1)</w:t>
      </w:r>
      <w:r w:rsidRPr="00B40A77">
        <w:rPr>
          <w:color w:val="000000" w:themeColor="text1"/>
        </w:rPr>
        <w:tab/>
        <w:t>A</w:t>
      </w:r>
      <w:r w:rsidR="003F2E99" w:rsidRPr="00B40A77">
        <w:rPr>
          <w:color w:val="000000" w:themeColor="text1"/>
        </w:rPr>
        <w:t xml:space="preserve"> </w:t>
      </w:r>
      <w:hyperlink w:anchor="_94.1—Election_requirements" w:history="1">
        <w:r w:rsidR="00944F51" w:rsidRPr="00B40A77">
          <w:rPr>
            <w:rStyle w:val="Hyperlink"/>
            <w:color w:val="000000" w:themeColor="text1"/>
            <w:lang w:val="en-US"/>
          </w:rPr>
          <w:t>judge alone election</w:t>
        </w:r>
      </w:hyperlink>
      <w:r w:rsidR="003F2E99" w:rsidRPr="00B40A77">
        <w:rPr>
          <w:color w:val="000000" w:themeColor="text1"/>
        </w:rPr>
        <w:t xml:space="preserve"> must</w:t>
      </w:r>
      <w:r w:rsidR="00ED6D8F" w:rsidRPr="00B40A77">
        <w:rPr>
          <w:color w:val="000000" w:themeColor="text1"/>
        </w:rPr>
        <w:t xml:space="preserve"> be made</w:t>
      </w:r>
      <w:r w:rsidR="000E1511" w:rsidRPr="00B40A77">
        <w:rPr>
          <w:color w:val="000000" w:themeColor="text1"/>
        </w:rPr>
        <w:t xml:space="preserve"> </w:t>
      </w:r>
      <w:r w:rsidR="003F2E99" w:rsidRPr="00B40A77">
        <w:rPr>
          <w:color w:val="000000" w:themeColor="text1"/>
          <w:lang w:val="en-US"/>
        </w:rPr>
        <w:t>by</w:t>
      </w:r>
      <w:r w:rsidR="00ED6D8F" w:rsidRPr="00B40A77">
        <w:rPr>
          <w:color w:val="000000" w:themeColor="text1"/>
          <w:lang w:val="en-US"/>
        </w:rPr>
        <w:t xml:space="preserve"> the </w:t>
      </w:r>
      <w:hyperlink w:anchor="_2.1—Definitions" w:history="1">
        <w:r w:rsidR="00E9233A" w:rsidRPr="00B40A77">
          <w:rPr>
            <w:rStyle w:val="Hyperlink"/>
            <w:color w:val="000000" w:themeColor="text1"/>
          </w:rPr>
          <w:t>first arraignment date</w:t>
        </w:r>
      </w:hyperlink>
      <w:r w:rsidR="00ED6D8F" w:rsidRPr="00B40A77">
        <w:rPr>
          <w:color w:val="000000" w:themeColor="text1"/>
          <w:lang w:val="en-US"/>
        </w:rPr>
        <w:t xml:space="preserve"> or within such time </w:t>
      </w:r>
      <w:r w:rsidRPr="00B40A77">
        <w:rPr>
          <w:color w:val="000000" w:themeColor="text1"/>
          <w:lang w:val="en-US"/>
        </w:rPr>
        <w:t>as the Court</w:t>
      </w:r>
      <w:r w:rsidR="00ED6D8F" w:rsidRPr="00B40A77">
        <w:rPr>
          <w:color w:val="000000" w:themeColor="text1"/>
          <w:lang w:val="en-US"/>
        </w:rPr>
        <w:t xml:space="preserve"> </w:t>
      </w:r>
      <w:r w:rsidRPr="00B40A77">
        <w:rPr>
          <w:color w:val="000000" w:themeColor="text1"/>
          <w:lang w:val="en-US"/>
        </w:rPr>
        <w:t>on the first arraignment orders</w:t>
      </w:r>
      <w:r w:rsidR="000E1511" w:rsidRPr="00B40A77">
        <w:rPr>
          <w:color w:val="000000" w:themeColor="text1"/>
          <w:lang w:val="en-US"/>
        </w:rPr>
        <w:t>.</w:t>
      </w:r>
    </w:p>
    <w:p w14:paraId="07ED31FF" w14:textId="03A7B749" w:rsidR="00ED6D8F" w:rsidRPr="00B40A77" w:rsidRDefault="005B495F" w:rsidP="00ED6D8F">
      <w:pPr>
        <w:pStyle w:val="Hangindent"/>
        <w:rPr>
          <w:color w:val="000000" w:themeColor="text1"/>
          <w:spacing w:val="-3"/>
        </w:rPr>
      </w:pPr>
      <w:r w:rsidRPr="00B40A77">
        <w:rPr>
          <w:color w:val="000000" w:themeColor="text1"/>
          <w:spacing w:val="-3"/>
        </w:rPr>
        <w:t>(2</w:t>
      </w:r>
      <w:r w:rsidR="00ED6D8F" w:rsidRPr="00B40A77">
        <w:rPr>
          <w:color w:val="000000" w:themeColor="text1"/>
          <w:spacing w:val="-3"/>
        </w:rPr>
        <w:t>)</w:t>
      </w:r>
      <w:r w:rsidR="00ED6D8F" w:rsidRPr="00B40A77">
        <w:rPr>
          <w:color w:val="000000" w:themeColor="text1"/>
          <w:spacing w:val="-3"/>
        </w:rPr>
        <w:tab/>
        <w:t xml:space="preserve">Subject to </w:t>
      </w:r>
      <w:hyperlink w:anchor="_94.6—Election_after_order" w:history="1">
        <w:r w:rsidR="00F7267D" w:rsidRPr="00B40A77">
          <w:rPr>
            <w:rStyle w:val="Hyperlink"/>
            <w:color w:val="000000" w:themeColor="text1"/>
          </w:rPr>
          <w:t>rule 94.6</w:t>
        </w:r>
      </w:hyperlink>
      <w:r w:rsidR="002D33DD" w:rsidRPr="00B40A77">
        <w:rPr>
          <w:color w:val="000000" w:themeColor="text1"/>
        </w:rPr>
        <w:t xml:space="preserve"> and </w:t>
      </w:r>
      <w:hyperlink w:anchor="_94.1—Election_requirements" w:history="1">
        <w:r w:rsidR="002D33DD" w:rsidRPr="00B40A77">
          <w:rPr>
            <w:rStyle w:val="Hyperlink"/>
            <w:color w:val="000000" w:themeColor="text1"/>
          </w:rPr>
          <w:t>rule 94.1</w:t>
        </w:r>
      </w:hyperlink>
      <w:r w:rsidR="002D33DD" w:rsidRPr="00B40A77">
        <w:rPr>
          <w:color w:val="000000" w:themeColor="text1"/>
        </w:rPr>
        <w:t>(2)</w:t>
      </w:r>
      <w:r w:rsidR="00210397" w:rsidRPr="00B40A77">
        <w:rPr>
          <w:color w:val="000000" w:themeColor="text1"/>
          <w:spacing w:val="-3"/>
        </w:rPr>
        <w:t>,</w:t>
      </w:r>
      <w:r w:rsidR="00872EE9" w:rsidRPr="00B40A77">
        <w:rPr>
          <w:color w:val="000000" w:themeColor="text1"/>
          <w:spacing w:val="-3"/>
        </w:rPr>
        <w:t xml:space="preserve"> </w:t>
      </w:r>
      <w:r w:rsidR="00210397" w:rsidRPr="00B40A77">
        <w:rPr>
          <w:color w:val="000000" w:themeColor="text1"/>
          <w:spacing w:val="-3"/>
        </w:rPr>
        <w:t>if an</w:t>
      </w:r>
      <w:r w:rsidR="00ED6D8F" w:rsidRPr="00B40A77">
        <w:rPr>
          <w:color w:val="000000" w:themeColor="text1"/>
          <w:spacing w:val="-3"/>
        </w:rPr>
        <w:t xml:space="preserve">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spacing w:val="-3"/>
        </w:rPr>
        <w:t xml:space="preserve"> is not made i</w:t>
      </w:r>
      <w:r w:rsidR="00210397" w:rsidRPr="00B40A77">
        <w:rPr>
          <w:color w:val="000000" w:themeColor="text1"/>
          <w:spacing w:val="-3"/>
        </w:rPr>
        <w:t>n accordance with the subrule</w:t>
      </w:r>
      <w:r w:rsidR="00C42A0C" w:rsidRPr="00B40A77">
        <w:rPr>
          <w:color w:val="000000" w:themeColor="text1"/>
          <w:spacing w:val="-3"/>
        </w:rPr>
        <w:t> </w:t>
      </w:r>
      <w:r w:rsidR="00210397" w:rsidRPr="00B40A77">
        <w:rPr>
          <w:color w:val="000000" w:themeColor="text1"/>
          <w:spacing w:val="-3"/>
        </w:rPr>
        <w:t>(1), a</w:t>
      </w:r>
      <w:r w:rsidR="00ED6D8F" w:rsidRPr="00B40A77">
        <w:rPr>
          <w:color w:val="000000" w:themeColor="text1"/>
          <w:spacing w:val="-3"/>
        </w:rPr>
        <w:t xml:space="preserve"> </w:t>
      </w:r>
      <w:r w:rsidR="00210397" w:rsidRPr="00B40A77">
        <w:rPr>
          <w:color w:val="000000" w:themeColor="text1"/>
          <w:spacing w:val="-3"/>
        </w:rPr>
        <w:t>defendant is precluded from making an</w:t>
      </w:r>
      <w:r w:rsidR="00ED6D8F" w:rsidRPr="00B40A77">
        <w:rPr>
          <w:color w:val="000000" w:themeColor="text1"/>
          <w:spacing w:val="-3"/>
        </w:rPr>
        <w:t xml:space="preserve"> </w:t>
      </w:r>
      <w:hyperlink w:anchor="_94.1—Election_requirements" w:history="1">
        <w:r w:rsidR="00944F51" w:rsidRPr="00B40A77">
          <w:rPr>
            <w:rStyle w:val="Hyperlink"/>
            <w:color w:val="000000" w:themeColor="text1"/>
            <w:lang w:val="en-US"/>
          </w:rPr>
          <w:t>election</w:t>
        </w:r>
      </w:hyperlink>
      <w:r w:rsidR="00ED6D8F" w:rsidRPr="00B40A77">
        <w:rPr>
          <w:color w:val="000000" w:themeColor="text1"/>
          <w:spacing w:val="-3"/>
        </w:rPr>
        <w:t xml:space="preserve"> subsequently notwithstanding that the </w:t>
      </w:r>
      <w:r w:rsidR="00210397" w:rsidRPr="00B40A77">
        <w:rPr>
          <w:color w:val="000000" w:themeColor="text1"/>
          <w:spacing w:val="-3"/>
        </w:rPr>
        <w:t>I</w:t>
      </w:r>
      <w:r w:rsidR="000423EC" w:rsidRPr="00B40A77">
        <w:rPr>
          <w:color w:val="000000" w:themeColor="text1"/>
          <w:spacing w:val="-3"/>
        </w:rPr>
        <w:t>nformation may be</w:t>
      </w:r>
      <w:r w:rsidR="00ED6D8F" w:rsidRPr="00B40A77">
        <w:rPr>
          <w:color w:val="000000" w:themeColor="text1"/>
          <w:spacing w:val="-3"/>
        </w:rPr>
        <w:t xml:space="preserve"> </w:t>
      </w:r>
      <w:r w:rsidRPr="00B40A77">
        <w:rPr>
          <w:color w:val="000000" w:themeColor="text1"/>
          <w:spacing w:val="-3"/>
        </w:rPr>
        <w:t>revised</w:t>
      </w:r>
      <w:r w:rsidR="00ED6D8F" w:rsidRPr="00B40A77">
        <w:rPr>
          <w:color w:val="000000" w:themeColor="text1"/>
          <w:spacing w:val="-3"/>
        </w:rPr>
        <w:t>.</w:t>
      </w:r>
    </w:p>
    <w:p w14:paraId="109447FF" w14:textId="74826E31" w:rsidR="00ED6D8F" w:rsidRPr="00B40A77" w:rsidRDefault="001D53FE" w:rsidP="00B87028">
      <w:pPr>
        <w:pStyle w:val="Heading4"/>
        <w:rPr>
          <w:color w:val="000000" w:themeColor="text1"/>
        </w:rPr>
      </w:pPr>
      <w:bookmarkStart w:id="666" w:name="_94.6—Election_after_order"/>
      <w:bookmarkStart w:id="667" w:name="_Toc60133533"/>
      <w:bookmarkStart w:id="668" w:name="_Toc175239077"/>
      <w:bookmarkEnd w:id="666"/>
      <w:r w:rsidRPr="00B40A77">
        <w:rPr>
          <w:color w:val="000000" w:themeColor="text1"/>
        </w:rPr>
        <w:t>9</w:t>
      </w:r>
      <w:r w:rsidR="00595206" w:rsidRPr="00B40A77">
        <w:rPr>
          <w:color w:val="000000" w:themeColor="text1"/>
        </w:rPr>
        <w:t>4</w:t>
      </w:r>
      <w:r w:rsidR="006103F3" w:rsidRPr="00B40A77">
        <w:rPr>
          <w:color w:val="000000" w:themeColor="text1"/>
        </w:rPr>
        <w:t>.6</w:t>
      </w:r>
      <w:r w:rsidR="00002EBA" w:rsidRPr="00B40A77">
        <w:rPr>
          <w:color w:val="000000" w:themeColor="text1"/>
        </w:rPr>
        <w:t>—Election after orde</w:t>
      </w:r>
      <w:r w:rsidR="005226AD" w:rsidRPr="00B40A77">
        <w:rPr>
          <w:color w:val="000000" w:themeColor="text1"/>
        </w:rPr>
        <w:t>r</w:t>
      </w:r>
      <w:r w:rsidR="00ED6D8F" w:rsidRPr="00B40A77">
        <w:rPr>
          <w:color w:val="000000" w:themeColor="text1"/>
        </w:rPr>
        <w:t xml:space="preserve"> for new trial</w:t>
      </w:r>
      <w:bookmarkEnd w:id="667"/>
      <w:bookmarkEnd w:id="668"/>
    </w:p>
    <w:p w14:paraId="239ACB85" w14:textId="4057AE28" w:rsidR="00ED6D8F" w:rsidRPr="00B40A77" w:rsidRDefault="00757456" w:rsidP="00ED6D8F">
      <w:pPr>
        <w:pStyle w:val="Hangindent"/>
        <w:rPr>
          <w:color w:val="000000" w:themeColor="text1"/>
        </w:rPr>
      </w:pPr>
      <w:r w:rsidRPr="00B40A77">
        <w:rPr>
          <w:color w:val="000000" w:themeColor="text1"/>
        </w:rPr>
        <w:t>(1)</w:t>
      </w:r>
      <w:r w:rsidRPr="00B40A77">
        <w:rPr>
          <w:color w:val="000000" w:themeColor="text1"/>
        </w:rPr>
        <w:tab/>
        <w:t xml:space="preserve">Despite </w:t>
      </w:r>
      <w:hyperlink w:anchor="_94.5—Time_for_making" w:history="1">
        <w:r w:rsidRPr="00B40A77">
          <w:rPr>
            <w:rStyle w:val="Hyperlink"/>
            <w:color w:val="000000" w:themeColor="text1"/>
          </w:rPr>
          <w:t>rule 94</w:t>
        </w:r>
        <w:r w:rsidR="00002EBA" w:rsidRPr="00B40A77">
          <w:rPr>
            <w:rStyle w:val="Hyperlink"/>
            <w:color w:val="000000" w:themeColor="text1"/>
          </w:rPr>
          <w:t>.5</w:t>
        </w:r>
      </w:hyperlink>
      <w:r w:rsidR="00002EBA" w:rsidRPr="00B40A77">
        <w:rPr>
          <w:color w:val="000000" w:themeColor="text1"/>
        </w:rPr>
        <w:t>, if</w:t>
      </w:r>
      <w:r w:rsidR="00ED6D8F" w:rsidRPr="00B40A77">
        <w:rPr>
          <w:color w:val="000000" w:themeColor="text1"/>
        </w:rPr>
        <w:t xml:space="preserve"> there has been a mistrial or a jury has been unable to reach a verdict or an appeal against conviction has been allowed and the </w:t>
      </w:r>
      <w:r w:rsidR="006103F3" w:rsidRPr="00B40A77">
        <w:rPr>
          <w:color w:val="000000" w:themeColor="text1"/>
          <w:lang w:val="en-US"/>
        </w:rPr>
        <w:t>defendant</w:t>
      </w:r>
      <w:r w:rsidR="00ED6D8F" w:rsidRPr="00B40A77">
        <w:rPr>
          <w:color w:val="000000" w:themeColor="text1"/>
        </w:rPr>
        <w:t xml:space="preserve"> has been remanded for a new</w:t>
      </w:r>
      <w:r w:rsidR="006103F3" w:rsidRPr="00B40A77">
        <w:rPr>
          <w:color w:val="000000" w:themeColor="text1"/>
        </w:rPr>
        <w:t xml:space="preserve"> </w:t>
      </w:r>
      <w:hyperlink w:anchor="_2.1—Definitions" w:history="1">
        <w:r w:rsidR="00AB0539" w:rsidRPr="00B40A77">
          <w:rPr>
            <w:rStyle w:val="Hyperlink"/>
            <w:color w:val="000000" w:themeColor="text1"/>
            <w:lang w:val="en-US"/>
          </w:rPr>
          <w:t>trial</w:t>
        </w:r>
      </w:hyperlink>
      <w:r w:rsidR="006103F3" w:rsidRPr="00B40A77">
        <w:rPr>
          <w:color w:val="000000" w:themeColor="text1"/>
        </w:rPr>
        <w:t xml:space="preserve">, the </w:t>
      </w:r>
      <w:r w:rsidR="0060304D" w:rsidRPr="00B40A77">
        <w:rPr>
          <w:color w:val="000000" w:themeColor="text1"/>
        </w:rPr>
        <w:t>defendant</w:t>
      </w:r>
      <w:r w:rsidR="006103F3" w:rsidRPr="00B40A77">
        <w:rPr>
          <w:color w:val="000000" w:themeColor="text1"/>
        </w:rPr>
        <w:t xml:space="preserve"> may make a</w:t>
      </w:r>
      <w:r w:rsidR="00ED6D8F" w:rsidRPr="00B40A77">
        <w:rPr>
          <w:color w:val="000000" w:themeColor="text1"/>
        </w:rPr>
        <w:t xml:space="preserve"> </w:t>
      </w:r>
      <w:hyperlink w:anchor="_94.1—Election_requirements" w:history="1">
        <w:r w:rsidR="00944F51" w:rsidRPr="00B40A77">
          <w:rPr>
            <w:rStyle w:val="Hyperlink"/>
            <w:color w:val="000000" w:themeColor="text1"/>
            <w:lang w:val="en-US"/>
          </w:rPr>
          <w:t>judge alone election</w:t>
        </w:r>
      </w:hyperlink>
      <w:r w:rsidR="00ED6D8F" w:rsidRPr="00B40A77">
        <w:rPr>
          <w:color w:val="000000" w:themeColor="text1"/>
        </w:rPr>
        <w:t xml:space="preserve"> in the manner set out i</w:t>
      </w:r>
      <w:r w:rsidR="00002EBA" w:rsidRPr="00B40A77">
        <w:rPr>
          <w:color w:val="000000" w:themeColor="text1"/>
        </w:rPr>
        <w:t>n the preceding rules within 28</w:t>
      </w:r>
      <w:r w:rsidR="00ED6D8F" w:rsidRPr="00B40A77">
        <w:rPr>
          <w:color w:val="000000" w:themeColor="text1"/>
        </w:rPr>
        <w:t xml:space="preserve"> days after being remanded for a new </w:t>
      </w:r>
      <w:hyperlink w:anchor="_2.1—Definitions" w:history="1">
        <w:r w:rsidR="00AB0539" w:rsidRPr="00B40A77">
          <w:rPr>
            <w:rStyle w:val="Hyperlink"/>
            <w:color w:val="000000" w:themeColor="text1"/>
            <w:lang w:val="en-US"/>
          </w:rPr>
          <w:t>trial</w:t>
        </w:r>
      </w:hyperlink>
      <w:r w:rsidR="00ED6D8F" w:rsidRPr="00B40A77">
        <w:rPr>
          <w:color w:val="000000" w:themeColor="text1"/>
        </w:rPr>
        <w:t>.</w:t>
      </w:r>
    </w:p>
    <w:p w14:paraId="047E648B" w14:textId="663AC27F" w:rsidR="00ED6D8F" w:rsidRPr="00B40A77" w:rsidRDefault="00757456" w:rsidP="00037437">
      <w:pPr>
        <w:pStyle w:val="Hangindent"/>
        <w:keepNext/>
        <w:keepLines/>
        <w:rPr>
          <w:color w:val="000000" w:themeColor="text1"/>
        </w:rPr>
      </w:pPr>
      <w:r w:rsidRPr="00B40A77">
        <w:rPr>
          <w:color w:val="000000" w:themeColor="text1"/>
        </w:rPr>
        <w:t>(2)</w:t>
      </w:r>
      <w:r w:rsidRPr="00B40A77">
        <w:rPr>
          <w:color w:val="000000" w:themeColor="text1"/>
        </w:rPr>
        <w:tab/>
        <w:t xml:space="preserve">Despite </w:t>
      </w:r>
      <w:hyperlink w:anchor="_94.4—Election_irrevocable" w:history="1">
        <w:r w:rsidRPr="00B40A77">
          <w:rPr>
            <w:rStyle w:val="Hyperlink"/>
            <w:color w:val="000000" w:themeColor="text1"/>
          </w:rPr>
          <w:t>rule 94</w:t>
        </w:r>
        <w:r w:rsidR="00002EBA" w:rsidRPr="00B40A77">
          <w:rPr>
            <w:rStyle w:val="Hyperlink"/>
            <w:color w:val="000000" w:themeColor="text1"/>
          </w:rPr>
          <w:t>.4</w:t>
        </w:r>
      </w:hyperlink>
      <w:r w:rsidR="00002EBA" w:rsidRPr="00B40A77">
        <w:rPr>
          <w:color w:val="000000" w:themeColor="text1"/>
        </w:rPr>
        <w:t>, if</w:t>
      </w:r>
      <w:r w:rsidR="00ED6D8F" w:rsidRPr="00B40A77">
        <w:rPr>
          <w:color w:val="000000" w:themeColor="text1"/>
        </w:rPr>
        <w:t xml:space="preserve"> an appeal against conviction by a Judge alone has been allowed and the </w:t>
      </w:r>
      <w:r w:rsidR="0060304D" w:rsidRPr="00B40A77">
        <w:rPr>
          <w:color w:val="000000" w:themeColor="text1"/>
        </w:rPr>
        <w:t>defendant</w:t>
      </w:r>
      <w:r w:rsidR="00ED6D8F" w:rsidRPr="00B40A77">
        <w:rPr>
          <w:color w:val="000000" w:themeColor="text1"/>
        </w:rPr>
        <w:t xml:space="preserve"> has been remanded for a new </w:t>
      </w:r>
      <w:hyperlink w:anchor="_2.1—Definitions" w:history="1">
        <w:r w:rsidR="00AB0539" w:rsidRPr="00B40A77">
          <w:rPr>
            <w:rStyle w:val="Hyperlink"/>
            <w:color w:val="000000" w:themeColor="text1"/>
            <w:lang w:val="en-US"/>
          </w:rPr>
          <w:t>trial</w:t>
        </w:r>
      </w:hyperlink>
      <w:r w:rsidR="00ED6D8F" w:rsidRPr="00B40A77">
        <w:rPr>
          <w:color w:val="000000" w:themeColor="text1"/>
        </w:rPr>
        <w:t xml:space="preserve">, the </w:t>
      </w:r>
      <w:r w:rsidR="0060304D" w:rsidRPr="00B40A77">
        <w:rPr>
          <w:color w:val="000000" w:themeColor="text1"/>
        </w:rPr>
        <w:t>defendant</w:t>
      </w:r>
      <w:r w:rsidR="00ED6D8F" w:rsidRPr="00B40A77">
        <w:rPr>
          <w:color w:val="000000" w:themeColor="text1"/>
        </w:rPr>
        <w:t xml:space="preserve"> may revoke </w:t>
      </w:r>
      <w:r w:rsidR="00002EBA" w:rsidRPr="00B40A77">
        <w:rPr>
          <w:color w:val="000000" w:themeColor="text1"/>
        </w:rPr>
        <w:t xml:space="preserve">a </w:t>
      </w:r>
      <w:hyperlink w:anchor="_94.1—Election_requirements" w:history="1">
        <w:r w:rsidR="00944F51" w:rsidRPr="00B40A77">
          <w:rPr>
            <w:rStyle w:val="Hyperlink"/>
            <w:color w:val="000000" w:themeColor="text1"/>
            <w:lang w:val="en-US"/>
          </w:rPr>
          <w:t>judge alone election</w:t>
        </w:r>
      </w:hyperlink>
      <w:r w:rsidR="00002EBA" w:rsidRPr="00B40A77">
        <w:rPr>
          <w:color w:val="000000" w:themeColor="text1"/>
        </w:rPr>
        <w:t xml:space="preserve"> </w:t>
      </w:r>
      <w:r w:rsidR="00ED6D8F" w:rsidRPr="00B40A77">
        <w:rPr>
          <w:color w:val="000000" w:themeColor="text1"/>
        </w:rPr>
        <w:t xml:space="preserve">by filing a notice of revocation in </w:t>
      </w:r>
      <w:r w:rsidR="00002EBA" w:rsidRPr="00B40A77">
        <w:rPr>
          <w:color w:val="000000" w:themeColor="text1"/>
        </w:rPr>
        <w:t>the prescribed</w:t>
      </w:r>
      <w:r w:rsidR="00ED6D8F" w:rsidRPr="00B40A77">
        <w:rPr>
          <w:color w:val="000000" w:themeColor="text1"/>
        </w:rPr>
        <w:t xml:space="preserve"> form </w:t>
      </w:r>
      <w:r w:rsidR="00002EBA" w:rsidRPr="00B40A77">
        <w:rPr>
          <w:color w:val="000000" w:themeColor="text1"/>
        </w:rPr>
        <w:t>within 28</w:t>
      </w:r>
      <w:r w:rsidR="00ED6D8F" w:rsidRPr="00B40A77">
        <w:rPr>
          <w:color w:val="000000" w:themeColor="text1"/>
        </w:rPr>
        <w:t xml:space="preserve"> days after being remanded for a new </w:t>
      </w:r>
      <w:hyperlink w:anchor="_2.1—Definitions" w:history="1">
        <w:r w:rsidR="00AB0539" w:rsidRPr="00B40A77">
          <w:rPr>
            <w:rStyle w:val="Hyperlink"/>
            <w:color w:val="000000" w:themeColor="text1"/>
            <w:lang w:val="en-US"/>
          </w:rPr>
          <w:t>trial</w:t>
        </w:r>
      </w:hyperlink>
      <w:r w:rsidR="00ED6D8F" w:rsidRPr="00B40A77">
        <w:rPr>
          <w:color w:val="000000" w:themeColor="text1"/>
        </w:rPr>
        <w:t>.</w:t>
      </w:r>
    </w:p>
    <w:p w14:paraId="4497DACB" w14:textId="77777777" w:rsidR="00002EBA" w:rsidRPr="00B40A77" w:rsidRDefault="00002EBA" w:rsidP="00037437">
      <w:pPr>
        <w:pStyle w:val="NoteHeader"/>
        <w:keepNext/>
        <w:rPr>
          <w:color w:val="000000" w:themeColor="text1"/>
        </w:rPr>
      </w:pPr>
      <w:r w:rsidRPr="00B40A77">
        <w:rPr>
          <w:color w:val="000000" w:themeColor="text1"/>
        </w:rPr>
        <w:t>Prescribed form—</w:t>
      </w:r>
    </w:p>
    <w:p w14:paraId="10B17A70" w14:textId="77446078" w:rsidR="00002EBA" w:rsidRPr="00B40A77" w:rsidRDefault="00002EBA" w:rsidP="00002EBA">
      <w:pPr>
        <w:pStyle w:val="NoteText"/>
        <w:rPr>
          <w:color w:val="000000" w:themeColor="text1"/>
        </w:rPr>
      </w:pPr>
      <w:r w:rsidRPr="00B40A77">
        <w:rPr>
          <w:color w:val="000000" w:themeColor="text1"/>
        </w:rPr>
        <w:t xml:space="preserve">Form </w:t>
      </w:r>
      <w:hyperlink r:id="rId191" w:history="1">
        <w:r w:rsidRPr="00B40A77">
          <w:rPr>
            <w:rStyle w:val="Hyperlink"/>
            <w:color w:val="000000" w:themeColor="text1"/>
          </w:rPr>
          <w:t xml:space="preserve">65 Revocation of </w:t>
        </w:r>
        <w:r w:rsidR="00E036D6" w:rsidRPr="00B40A77">
          <w:rPr>
            <w:rStyle w:val="Hyperlink"/>
            <w:color w:val="000000" w:themeColor="text1"/>
          </w:rPr>
          <w:t>E</w:t>
        </w:r>
        <w:r w:rsidRPr="00B40A77">
          <w:rPr>
            <w:rStyle w:val="Hyperlink"/>
            <w:color w:val="000000" w:themeColor="text1"/>
          </w:rPr>
          <w:t xml:space="preserve">lection for </w:t>
        </w:r>
        <w:r w:rsidR="00E036D6" w:rsidRPr="00B40A77">
          <w:rPr>
            <w:rStyle w:val="Hyperlink"/>
            <w:color w:val="000000" w:themeColor="text1"/>
          </w:rPr>
          <w:t>T</w:t>
        </w:r>
        <w:r w:rsidRPr="00B40A77">
          <w:rPr>
            <w:rStyle w:val="Hyperlink"/>
            <w:color w:val="000000" w:themeColor="text1"/>
          </w:rPr>
          <w:t xml:space="preserve">rial by </w:t>
        </w:r>
        <w:r w:rsidR="00E036D6" w:rsidRPr="00B40A77">
          <w:rPr>
            <w:rStyle w:val="Hyperlink"/>
            <w:color w:val="000000" w:themeColor="text1"/>
          </w:rPr>
          <w:t>J</w:t>
        </w:r>
        <w:r w:rsidRPr="00B40A77">
          <w:rPr>
            <w:rStyle w:val="Hyperlink"/>
            <w:color w:val="000000" w:themeColor="text1"/>
          </w:rPr>
          <w:t xml:space="preserve">udge </w:t>
        </w:r>
        <w:r w:rsidR="00E036D6" w:rsidRPr="00B40A77">
          <w:rPr>
            <w:rStyle w:val="Hyperlink"/>
            <w:color w:val="000000" w:themeColor="text1"/>
          </w:rPr>
          <w:t>A</w:t>
        </w:r>
        <w:r w:rsidRPr="00B40A77">
          <w:rPr>
            <w:rStyle w:val="Hyperlink"/>
            <w:color w:val="000000" w:themeColor="text1"/>
          </w:rPr>
          <w:t>lone</w:t>
        </w:r>
      </w:hyperlink>
    </w:p>
    <w:p w14:paraId="50A28AA9" w14:textId="1535CFBC" w:rsidR="00422949" w:rsidRPr="00B40A77" w:rsidRDefault="00002EBA" w:rsidP="00422949">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revocation of a </w:t>
      </w:r>
      <w:hyperlink w:anchor="_94.1—Election_requirements" w:history="1">
        <w:r w:rsidR="00944F51" w:rsidRPr="00B40A77">
          <w:rPr>
            <w:rStyle w:val="Hyperlink"/>
            <w:color w:val="000000" w:themeColor="text1"/>
            <w:lang w:val="en-US"/>
          </w:rPr>
          <w:t>judge alone election</w:t>
        </w:r>
      </w:hyperlink>
      <w:r w:rsidRPr="00B40A77">
        <w:rPr>
          <w:color w:val="000000" w:themeColor="text1"/>
        </w:rPr>
        <w:t xml:space="preserve"> </w:t>
      </w:r>
      <w:r w:rsidRPr="00B40A77">
        <w:rPr>
          <w:color w:val="000000" w:themeColor="text1"/>
          <w:lang w:val="en-US"/>
        </w:rPr>
        <w:t xml:space="preserve">must be </w:t>
      </w:r>
      <w:r w:rsidRPr="00B40A77">
        <w:rPr>
          <w:color w:val="000000" w:themeColor="text1"/>
        </w:rPr>
        <w:t>signed</w:t>
      </w:r>
      <w:r w:rsidR="00422949" w:rsidRPr="00B40A77">
        <w:rPr>
          <w:color w:val="000000" w:themeColor="text1"/>
          <w:lang w:val="en-US"/>
        </w:rPr>
        <w:t>—</w:t>
      </w:r>
    </w:p>
    <w:p w14:paraId="06AE6498" w14:textId="5F54E364" w:rsidR="00422949" w:rsidRPr="00B40A77" w:rsidRDefault="00422949" w:rsidP="0042294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by the defendant before an </w:t>
      </w:r>
      <w:hyperlink w:anchor="_2.1—Definitions" w:history="1">
        <w:r w:rsidRPr="00B40A77">
          <w:rPr>
            <w:rStyle w:val="Hyperlink"/>
            <w:color w:val="000000" w:themeColor="text1"/>
          </w:rPr>
          <w:t>authorised witness</w:t>
        </w:r>
      </w:hyperlink>
      <w:r w:rsidRPr="00B40A77">
        <w:rPr>
          <w:color w:val="000000" w:themeColor="text1"/>
        </w:rPr>
        <w:t xml:space="preserve"> or a lawyer admitted and entitled to practise in </w:t>
      </w:r>
      <w:hyperlink w:anchor="_2.1—Definitions" w:history="1">
        <w:r w:rsidR="00AA6FCA" w:rsidRPr="00B40A77">
          <w:rPr>
            <w:rStyle w:val="Hyperlink"/>
            <w:color w:val="000000" w:themeColor="text1"/>
          </w:rPr>
          <w:t>a State</w:t>
        </w:r>
      </w:hyperlink>
      <w:r w:rsidRPr="00B40A77">
        <w:rPr>
          <w:color w:val="000000" w:themeColor="text1"/>
          <w:lang w:val="en-US"/>
        </w:rPr>
        <w:t>; or</w:t>
      </w:r>
    </w:p>
    <w:p w14:paraId="1F0652C8" w14:textId="7A1DD145" w:rsidR="00422949" w:rsidRPr="00B40A77" w:rsidRDefault="00422949" w:rsidP="00422949">
      <w:pPr>
        <w:pStyle w:val="Doublehangindent"/>
        <w:rPr>
          <w:color w:val="000000" w:themeColor="text1"/>
          <w:lang w:val="en-US"/>
        </w:rPr>
      </w:pPr>
      <w:r w:rsidRPr="00B40A77">
        <w:rPr>
          <w:color w:val="000000" w:themeColor="text1"/>
          <w:lang w:val="en-US"/>
        </w:rPr>
        <w:t>(b)</w:t>
      </w:r>
      <w:r w:rsidRPr="00B40A77">
        <w:rPr>
          <w:color w:val="000000" w:themeColor="text1"/>
          <w:lang w:val="en-US"/>
        </w:rPr>
        <w:tab/>
        <w:t>by a solicitor acting for and signing on the authority of the defendant.</w:t>
      </w:r>
    </w:p>
    <w:p w14:paraId="7BD2E77D" w14:textId="1E3A7CEC" w:rsidR="00002EBA" w:rsidRPr="00B40A77" w:rsidRDefault="00002EBA" w:rsidP="00002EBA">
      <w:pPr>
        <w:pStyle w:val="Hangindent"/>
        <w:rPr>
          <w:color w:val="000000" w:themeColor="text1"/>
        </w:rPr>
      </w:pPr>
      <w:r w:rsidRPr="00B40A77">
        <w:rPr>
          <w:color w:val="000000" w:themeColor="text1"/>
          <w:lang w:val="en-US"/>
        </w:rPr>
        <w:t>(4)</w:t>
      </w:r>
      <w:r w:rsidRPr="00B40A77">
        <w:rPr>
          <w:color w:val="000000" w:themeColor="text1"/>
          <w:lang w:val="en-US"/>
        </w:rPr>
        <w:tab/>
        <w:t>If the defendant is represented by a lawyer, the lawyer must complete the certification contained in the prescribed form.</w:t>
      </w:r>
    </w:p>
    <w:p w14:paraId="4C90BA95" w14:textId="56A449B8" w:rsidR="00D157CC" w:rsidRPr="00B40A77" w:rsidRDefault="00A532D3" w:rsidP="00037437">
      <w:pPr>
        <w:pStyle w:val="Hangindent"/>
        <w:keepNext/>
        <w:rPr>
          <w:color w:val="000000" w:themeColor="text1"/>
        </w:rPr>
      </w:pPr>
      <w:r w:rsidRPr="00B40A77">
        <w:rPr>
          <w:color w:val="000000" w:themeColor="text1"/>
        </w:rPr>
        <w:t>(5</w:t>
      </w:r>
      <w:r w:rsidR="00D157CC" w:rsidRPr="00B40A77">
        <w:rPr>
          <w:color w:val="000000" w:themeColor="text1"/>
        </w:rPr>
        <w:t>)</w:t>
      </w:r>
      <w:r w:rsidR="00D157CC" w:rsidRPr="00B40A77">
        <w:rPr>
          <w:color w:val="000000" w:themeColor="text1"/>
        </w:rPr>
        <w:tab/>
        <w:t>A</w:t>
      </w:r>
      <w:r w:rsidR="00757456" w:rsidRPr="00B40A77">
        <w:rPr>
          <w:color w:val="000000" w:themeColor="text1"/>
        </w:rPr>
        <w:t xml:space="preserve"> revocation of a</w:t>
      </w:r>
      <w:r w:rsidR="00D157CC" w:rsidRPr="00B40A77">
        <w:rPr>
          <w:color w:val="000000" w:themeColor="text1"/>
        </w:rPr>
        <w:t xml:space="preserve">n </w:t>
      </w:r>
      <w:hyperlink w:anchor="_94.1—Election_requirements" w:history="1">
        <w:r w:rsidR="00944F51" w:rsidRPr="00B40A77">
          <w:rPr>
            <w:rStyle w:val="Hyperlink"/>
            <w:color w:val="000000" w:themeColor="text1"/>
            <w:lang w:val="en-US"/>
          </w:rPr>
          <w:t>election</w:t>
        </w:r>
      </w:hyperlink>
      <w:r w:rsidR="00D157CC" w:rsidRPr="00B40A77">
        <w:rPr>
          <w:color w:val="000000" w:themeColor="text1"/>
        </w:rPr>
        <w:t xml:space="preserve"> </w:t>
      </w:r>
      <w:r w:rsidR="00757456" w:rsidRPr="00B40A77">
        <w:rPr>
          <w:color w:val="000000" w:themeColor="text1"/>
        </w:rPr>
        <w:t>under subrule</w:t>
      </w:r>
      <w:r w:rsidR="00C42A0C" w:rsidRPr="00B40A77">
        <w:rPr>
          <w:color w:val="000000" w:themeColor="text1"/>
        </w:rPr>
        <w:t> </w:t>
      </w:r>
      <w:r w:rsidR="00757456" w:rsidRPr="00B40A77">
        <w:rPr>
          <w:color w:val="000000" w:themeColor="text1"/>
        </w:rPr>
        <w:t xml:space="preserve">(2) </w:t>
      </w:r>
      <w:r w:rsidR="00D157CC" w:rsidRPr="00B40A77">
        <w:rPr>
          <w:color w:val="000000" w:themeColor="text1"/>
        </w:rPr>
        <w:t>made by counsel on behalf of a defendant under section</w:t>
      </w:r>
      <w:r w:rsidR="003F313A" w:rsidRPr="00B40A77">
        <w:rPr>
          <w:color w:val="000000" w:themeColor="text1"/>
        </w:rPr>
        <w:t> </w:t>
      </w:r>
      <w:r w:rsidR="00D157CC" w:rsidRPr="00B40A77">
        <w:rPr>
          <w:color w:val="000000" w:themeColor="text1"/>
        </w:rPr>
        <w:t xml:space="preserve">269W(2) of the </w:t>
      </w:r>
      <w:r w:rsidR="003A2F8B" w:rsidRPr="00B40A77">
        <w:rPr>
          <w:color w:val="000000" w:themeColor="text1"/>
          <w:szCs w:val="24"/>
        </w:rPr>
        <w:t>Consolidation Act</w:t>
      </w:r>
      <w:r w:rsidR="003A2F8B" w:rsidRPr="00B40A77">
        <w:rPr>
          <w:i/>
          <w:iCs/>
          <w:color w:val="000000" w:themeColor="text1"/>
          <w:szCs w:val="24"/>
        </w:rPr>
        <w:t xml:space="preserve"> </w:t>
      </w:r>
      <w:r w:rsidR="00D157CC" w:rsidRPr="00B40A77">
        <w:rPr>
          <w:color w:val="000000" w:themeColor="text1"/>
        </w:rPr>
        <w:t xml:space="preserve">must be made by filing a notice of election in the </w:t>
      </w:r>
      <w:r w:rsidR="002D33DD" w:rsidRPr="00B40A77">
        <w:rPr>
          <w:color w:val="000000" w:themeColor="text1"/>
        </w:rPr>
        <w:t xml:space="preserve">prescribed </w:t>
      </w:r>
      <w:r w:rsidR="00D157CC" w:rsidRPr="00B40A77">
        <w:rPr>
          <w:color w:val="000000" w:themeColor="text1"/>
        </w:rPr>
        <w:t>form signed by counsel.</w:t>
      </w:r>
    </w:p>
    <w:p w14:paraId="6752C7E9" w14:textId="77777777" w:rsidR="00D157CC" w:rsidRPr="00B40A77" w:rsidRDefault="00D157CC" w:rsidP="00037437">
      <w:pPr>
        <w:pStyle w:val="NoteHeader"/>
        <w:keepNext/>
        <w:rPr>
          <w:color w:val="000000" w:themeColor="text1"/>
        </w:rPr>
      </w:pPr>
      <w:r w:rsidRPr="00B40A77">
        <w:rPr>
          <w:color w:val="000000" w:themeColor="text1"/>
        </w:rPr>
        <w:t>Prescribed form—</w:t>
      </w:r>
    </w:p>
    <w:p w14:paraId="5D3CBBC8" w14:textId="77AD023D" w:rsidR="00D157CC" w:rsidRPr="00B40A77" w:rsidRDefault="00D157CC" w:rsidP="00D157CC">
      <w:pPr>
        <w:pStyle w:val="NoteText"/>
        <w:rPr>
          <w:color w:val="000000" w:themeColor="text1"/>
        </w:rPr>
      </w:pPr>
      <w:r w:rsidRPr="00B40A77">
        <w:rPr>
          <w:color w:val="000000" w:themeColor="text1"/>
        </w:rPr>
        <w:t xml:space="preserve">Form 65 </w:t>
      </w:r>
      <w:hyperlink r:id="rId192" w:history="1">
        <w:r w:rsidRPr="00B40A77">
          <w:rPr>
            <w:rStyle w:val="Hyperlink"/>
            <w:color w:val="000000" w:themeColor="text1"/>
          </w:rPr>
          <w:t xml:space="preserve">Revocation of </w:t>
        </w:r>
        <w:r w:rsidR="00E036D6" w:rsidRPr="00B40A77">
          <w:rPr>
            <w:rStyle w:val="Hyperlink"/>
            <w:color w:val="000000" w:themeColor="text1"/>
          </w:rPr>
          <w:t>E</w:t>
        </w:r>
        <w:r w:rsidRPr="00B40A77">
          <w:rPr>
            <w:rStyle w:val="Hyperlink"/>
            <w:color w:val="000000" w:themeColor="text1"/>
          </w:rPr>
          <w:t xml:space="preserve">lection for </w:t>
        </w:r>
        <w:r w:rsidR="00E036D6" w:rsidRPr="00B40A77">
          <w:rPr>
            <w:rStyle w:val="Hyperlink"/>
            <w:color w:val="000000" w:themeColor="text1"/>
          </w:rPr>
          <w:t>T</w:t>
        </w:r>
        <w:r w:rsidRPr="00B40A77">
          <w:rPr>
            <w:rStyle w:val="Hyperlink"/>
            <w:color w:val="000000" w:themeColor="text1"/>
          </w:rPr>
          <w:t xml:space="preserve">rial by </w:t>
        </w:r>
        <w:r w:rsidR="00E036D6" w:rsidRPr="00B40A77">
          <w:rPr>
            <w:rStyle w:val="Hyperlink"/>
            <w:color w:val="000000" w:themeColor="text1"/>
          </w:rPr>
          <w:t>J</w:t>
        </w:r>
        <w:r w:rsidRPr="00B40A77">
          <w:rPr>
            <w:rStyle w:val="Hyperlink"/>
            <w:color w:val="000000" w:themeColor="text1"/>
          </w:rPr>
          <w:t xml:space="preserve">udge </w:t>
        </w:r>
        <w:r w:rsidR="00E036D6" w:rsidRPr="00B40A77">
          <w:rPr>
            <w:rStyle w:val="Hyperlink"/>
            <w:color w:val="000000" w:themeColor="text1"/>
          </w:rPr>
          <w:t>A</w:t>
        </w:r>
        <w:r w:rsidRPr="00B40A77">
          <w:rPr>
            <w:rStyle w:val="Hyperlink"/>
            <w:color w:val="000000" w:themeColor="text1"/>
          </w:rPr>
          <w:t>lone</w:t>
        </w:r>
      </w:hyperlink>
    </w:p>
    <w:p w14:paraId="28895C82" w14:textId="12B74B8E" w:rsidR="00A532D3" w:rsidRPr="00B40A77" w:rsidRDefault="00A532D3" w:rsidP="00A532D3">
      <w:pPr>
        <w:pStyle w:val="Hangindent"/>
        <w:keepNext/>
        <w:keepLines/>
        <w:rPr>
          <w:color w:val="000000" w:themeColor="text1"/>
        </w:rPr>
      </w:pPr>
      <w:bookmarkStart w:id="669" w:name="_Toc60133534"/>
      <w:r w:rsidRPr="00B40A77">
        <w:rPr>
          <w:color w:val="000000" w:themeColor="text1"/>
        </w:rPr>
        <w:t>(6)</w:t>
      </w:r>
      <w:r w:rsidRPr="00B40A77">
        <w:rPr>
          <w:color w:val="000000" w:themeColor="text1"/>
        </w:rPr>
        <w:tab/>
      </w:r>
      <w:r w:rsidR="000835D6" w:rsidRPr="00B40A77">
        <w:rPr>
          <w:color w:val="000000" w:themeColor="text1"/>
          <w:lang w:val="en-US"/>
        </w:rPr>
        <w:t xml:space="preserve">At any stage of the proceeding </w:t>
      </w:r>
      <w:r w:rsidR="000835D6" w:rsidRPr="00B40A77">
        <w:rPr>
          <w:color w:val="000000" w:themeColor="text1"/>
        </w:rPr>
        <w:t>a</w:t>
      </w:r>
      <w:r w:rsidRPr="00B40A77">
        <w:rPr>
          <w:color w:val="000000" w:themeColor="text1"/>
        </w:rPr>
        <w:t>—</w:t>
      </w:r>
    </w:p>
    <w:p w14:paraId="38AEB35B" w14:textId="63E2863C" w:rsidR="00A532D3" w:rsidRPr="00B40A77" w:rsidRDefault="00A532D3" w:rsidP="00A532D3">
      <w:pPr>
        <w:pStyle w:val="Doublehangindent"/>
        <w:rPr>
          <w:color w:val="000000" w:themeColor="text1"/>
          <w:lang w:val="en-US"/>
        </w:rPr>
      </w:pPr>
      <w:r w:rsidRPr="00B40A77">
        <w:rPr>
          <w:color w:val="000000" w:themeColor="text1"/>
          <w:lang w:val="en-US"/>
        </w:rPr>
        <w:t>(a)</w:t>
      </w:r>
      <w:r w:rsidRPr="00B40A77">
        <w:rPr>
          <w:color w:val="000000" w:themeColor="text1"/>
          <w:lang w:val="en-US"/>
        </w:rPr>
        <w:tab/>
        <w:t>notice of revocation signed by a defendant</w:t>
      </w:r>
      <w:r w:rsidR="00FB3853" w:rsidRPr="00B40A77">
        <w:rPr>
          <w:color w:val="000000" w:themeColor="text1"/>
          <w:lang w:val="en-US"/>
        </w:rPr>
        <w:t xml:space="preserve"> or their solicitor</w:t>
      </w:r>
      <w:r w:rsidRPr="00B40A77">
        <w:rPr>
          <w:color w:val="000000" w:themeColor="text1"/>
          <w:lang w:val="en-US"/>
        </w:rPr>
        <w:t>; or</w:t>
      </w:r>
    </w:p>
    <w:p w14:paraId="21237284" w14:textId="127EA730" w:rsidR="00A532D3" w:rsidRPr="00B40A77" w:rsidRDefault="00A532D3" w:rsidP="00A532D3">
      <w:pPr>
        <w:pStyle w:val="Doublehangindent"/>
        <w:rPr>
          <w:color w:val="000000" w:themeColor="text1"/>
          <w:lang w:val="en-US"/>
        </w:rPr>
      </w:pPr>
      <w:r w:rsidRPr="00B40A77">
        <w:rPr>
          <w:color w:val="000000" w:themeColor="text1"/>
          <w:lang w:val="en-US"/>
        </w:rPr>
        <w:t>(b)</w:t>
      </w:r>
      <w:r w:rsidRPr="00B40A77">
        <w:rPr>
          <w:color w:val="000000" w:themeColor="text1"/>
          <w:lang w:val="en-US"/>
        </w:rPr>
        <w:tab/>
        <w:t>certificate signed by a lawyer in a notice of revocation,</w:t>
      </w:r>
    </w:p>
    <w:p w14:paraId="67ECFE3A" w14:textId="1CDA39EA" w:rsidR="00A532D3" w:rsidRPr="00B40A77" w:rsidRDefault="00A532D3" w:rsidP="00A532D3">
      <w:pPr>
        <w:pStyle w:val="Doublehangindent"/>
        <w:ind w:left="1134" w:firstLine="0"/>
        <w:rPr>
          <w:color w:val="000000" w:themeColor="text1"/>
          <w:lang w:val="en-US"/>
        </w:rPr>
      </w:pPr>
      <w:r w:rsidRPr="00B40A77">
        <w:rPr>
          <w:color w:val="000000" w:themeColor="text1"/>
          <w:lang w:val="en-US"/>
        </w:rPr>
        <w:t>is admissible as evidence that the defendant before making the revocation sought and received advice in relation to the revocation from a lawyer.</w:t>
      </w:r>
    </w:p>
    <w:p w14:paraId="6C775DC8" w14:textId="47810971" w:rsidR="00A532D3" w:rsidRPr="00B40A77" w:rsidRDefault="00946163" w:rsidP="00A532D3">
      <w:pPr>
        <w:pStyle w:val="Heading3"/>
        <w:rPr>
          <w:color w:val="000000" w:themeColor="text1"/>
        </w:rPr>
      </w:pPr>
      <w:bookmarkStart w:id="670" w:name="_Toc175239078"/>
      <w:r w:rsidRPr="00B40A77">
        <w:rPr>
          <w:color w:val="000000" w:themeColor="text1"/>
        </w:rPr>
        <w:t>Division 2</w:t>
      </w:r>
      <w:r w:rsidR="00A532D3" w:rsidRPr="00B40A77">
        <w:rPr>
          <w:color w:val="000000" w:themeColor="text1"/>
        </w:rPr>
        <w:t>—</w:t>
      </w:r>
      <w:r w:rsidR="005065C0" w:rsidRPr="00B40A77">
        <w:rPr>
          <w:color w:val="000000" w:themeColor="text1"/>
        </w:rPr>
        <w:t>Order</w:t>
      </w:r>
      <w:r w:rsidR="00A532D3" w:rsidRPr="00B40A77">
        <w:rPr>
          <w:color w:val="000000" w:themeColor="text1"/>
        </w:rPr>
        <w:t xml:space="preserve"> for trial by judge alone</w:t>
      </w:r>
      <w:bookmarkEnd w:id="670"/>
    </w:p>
    <w:p w14:paraId="62BA19CB" w14:textId="746FF0A2" w:rsidR="00ED6D8F" w:rsidRPr="00B40A77" w:rsidRDefault="00595206" w:rsidP="00B87028">
      <w:pPr>
        <w:pStyle w:val="Heading4"/>
        <w:rPr>
          <w:color w:val="000000" w:themeColor="text1"/>
        </w:rPr>
      </w:pPr>
      <w:bookmarkStart w:id="671" w:name="_Toc175239079"/>
      <w:r w:rsidRPr="00B40A77">
        <w:rPr>
          <w:color w:val="000000" w:themeColor="text1"/>
        </w:rPr>
        <w:t>95</w:t>
      </w:r>
      <w:r w:rsidR="00946163" w:rsidRPr="00B40A77">
        <w:rPr>
          <w:color w:val="000000" w:themeColor="text1"/>
        </w:rPr>
        <w:t>.1</w:t>
      </w:r>
      <w:r w:rsidR="00ED6D8F" w:rsidRPr="00B40A77">
        <w:rPr>
          <w:color w:val="000000" w:themeColor="text1"/>
        </w:rPr>
        <w:t>—Application by Director</w:t>
      </w:r>
      <w:bookmarkEnd w:id="669"/>
      <w:bookmarkEnd w:id="671"/>
    </w:p>
    <w:p w14:paraId="10EA85E7" w14:textId="097FC8B4" w:rsidR="005065C0" w:rsidRPr="00B40A77" w:rsidRDefault="00ED6D8F" w:rsidP="005065C0">
      <w:pPr>
        <w:pStyle w:val="IndentedPara"/>
        <w:rPr>
          <w:color w:val="000000" w:themeColor="text1"/>
        </w:rPr>
      </w:pPr>
      <w:r w:rsidRPr="00B40A77">
        <w:rPr>
          <w:color w:val="000000" w:themeColor="text1"/>
        </w:rPr>
        <w:t xml:space="preserve">An application by </w:t>
      </w:r>
      <w:r w:rsidR="00770E08" w:rsidRPr="00B40A77">
        <w:rPr>
          <w:color w:val="000000" w:themeColor="text1"/>
        </w:rPr>
        <w:t>the Director for an order</w:t>
      </w:r>
      <w:r w:rsidRPr="00B40A77">
        <w:rPr>
          <w:color w:val="000000" w:themeColor="text1"/>
        </w:rPr>
        <w:t xml:space="preserve"> under section 7(3a) of the </w:t>
      </w:r>
      <w:r w:rsidRPr="00B40A77">
        <w:rPr>
          <w:iCs/>
          <w:color w:val="000000" w:themeColor="text1"/>
        </w:rPr>
        <w:t>Juries Act</w:t>
      </w:r>
      <w:r w:rsidRPr="00B40A77">
        <w:rPr>
          <w:i/>
          <w:color w:val="000000" w:themeColor="text1"/>
        </w:rPr>
        <w:t xml:space="preserve"> </w:t>
      </w:r>
      <w:r w:rsidRPr="00B40A77">
        <w:rPr>
          <w:color w:val="000000" w:themeColor="text1"/>
        </w:rPr>
        <w:t xml:space="preserve">that the </w:t>
      </w:r>
      <w:hyperlink w:anchor="_2.1—Definitions" w:history="1">
        <w:r w:rsidR="00AB0539" w:rsidRPr="00B40A77">
          <w:rPr>
            <w:rStyle w:val="Hyperlink"/>
            <w:color w:val="000000" w:themeColor="text1"/>
          </w:rPr>
          <w:t>trial</w:t>
        </w:r>
      </w:hyperlink>
      <w:r w:rsidRPr="00B40A77">
        <w:rPr>
          <w:color w:val="000000" w:themeColor="text1"/>
        </w:rPr>
        <w:t xml:space="preserve"> of an </w:t>
      </w:r>
      <w:r w:rsidR="002D33DD" w:rsidRPr="00B40A77">
        <w:rPr>
          <w:color w:val="000000" w:themeColor="text1"/>
        </w:rPr>
        <w:t>I</w:t>
      </w:r>
      <w:r w:rsidRPr="00B40A77">
        <w:rPr>
          <w:color w:val="000000" w:themeColor="text1"/>
        </w:rPr>
        <w:t xml:space="preserve">nformation that includes a charge of a </w:t>
      </w:r>
      <w:r w:rsidRPr="00B40A77">
        <w:rPr>
          <w:color w:val="000000" w:themeColor="text1"/>
          <w:u w:val="single"/>
        </w:rPr>
        <w:t>serious and organised cr</w:t>
      </w:r>
      <w:r w:rsidR="00A532D3" w:rsidRPr="00B40A77">
        <w:rPr>
          <w:color w:val="000000" w:themeColor="text1"/>
          <w:u w:val="single"/>
        </w:rPr>
        <w:t>ime offence</w:t>
      </w:r>
      <w:r w:rsidR="00A532D3" w:rsidRPr="00B40A77">
        <w:rPr>
          <w:color w:val="000000" w:themeColor="text1"/>
        </w:rPr>
        <w:t xml:space="preserve"> be heard by </w:t>
      </w:r>
      <w:r w:rsidR="004C0256" w:rsidRPr="00B40A77">
        <w:rPr>
          <w:color w:val="000000" w:themeColor="text1"/>
        </w:rPr>
        <w:t>J</w:t>
      </w:r>
      <w:r w:rsidRPr="00B40A77">
        <w:rPr>
          <w:color w:val="000000" w:themeColor="text1"/>
        </w:rPr>
        <w:t xml:space="preserve">udge alone </w:t>
      </w:r>
      <w:r w:rsidR="00A532D3" w:rsidRPr="00B40A77">
        <w:rPr>
          <w:color w:val="000000" w:themeColor="text1"/>
        </w:rPr>
        <w:t>must</w:t>
      </w:r>
      <w:r w:rsidRPr="00B40A77">
        <w:rPr>
          <w:color w:val="000000" w:themeColor="text1"/>
        </w:rPr>
        <w:t xml:space="preserve"> be made by</w:t>
      </w:r>
      <w:r w:rsidR="00A532D3" w:rsidRPr="00B40A77">
        <w:rPr>
          <w:color w:val="000000" w:themeColor="text1"/>
        </w:rPr>
        <w:t xml:space="preserve"> an</w:t>
      </w:r>
      <w:r w:rsidRPr="00B40A77">
        <w:rPr>
          <w:color w:val="000000" w:themeColor="text1"/>
        </w:rPr>
        <w:t xml:space="preserve"> </w:t>
      </w:r>
      <w:r w:rsidR="002D33DD" w:rsidRPr="00B40A77">
        <w:rPr>
          <w:color w:val="000000" w:themeColor="text1"/>
        </w:rPr>
        <w:t xml:space="preserve">interlocutory </w:t>
      </w:r>
      <w:r w:rsidRPr="00B40A77">
        <w:rPr>
          <w:color w:val="000000" w:themeColor="text1"/>
        </w:rPr>
        <w:t xml:space="preserve">application </w:t>
      </w:r>
      <w:r w:rsidR="00A07DCF" w:rsidRPr="00B40A77">
        <w:rPr>
          <w:color w:val="000000" w:themeColor="text1"/>
        </w:rPr>
        <w:t xml:space="preserve">in accordance with </w:t>
      </w:r>
      <w:hyperlink w:anchor="_39.1—Written_application" w:history="1">
        <w:r w:rsidR="00A07DCF" w:rsidRPr="00B40A77">
          <w:rPr>
            <w:rStyle w:val="Hyperlink"/>
            <w:color w:val="000000" w:themeColor="text1"/>
          </w:rPr>
          <w:t>rule</w:t>
        </w:r>
        <w:r w:rsidR="008005FB" w:rsidRPr="00B40A77">
          <w:rPr>
            <w:rStyle w:val="Hyperlink"/>
            <w:color w:val="000000" w:themeColor="text1"/>
          </w:rPr>
          <w:t> </w:t>
        </w:r>
        <w:r w:rsidR="00A07DCF" w:rsidRPr="00B40A77">
          <w:rPr>
            <w:rStyle w:val="Hyperlink"/>
            <w:color w:val="000000" w:themeColor="text1"/>
          </w:rPr>
          <w:t>39.1</w:t>
        </w:r>
      </w:hyperlink>
      <w:r w:rsidR="00A07DCF" w:rsidRPr="00B40A77">
        <w:rPr>
          <w:color w:val="000000" w:themeColor="text1"/>
        </w:rPr>
        <w:t xml:space="preserve"> </w:t>
      </w:r>
      <w:r w:rsidR="005065C0" w:rsidRPr="00B40A77">
        <w:rPr>
          <w:color w:val="000000" w:themeColor="text1"/>
        </w:rPr>
        <w:t>within</w:t>
      </w:r>
      <w:r w:rsidRPr="00B40A77">
        <w:rPr>
          <w:color w:val="000000" w:themeColor="text1"/>
        </w:rPr>
        <w:t xml:space="preserve"> 28 </w:t>
      </w:r>
      <w:r w:rsidR="00D7133D" w:rsidRPr="00B40A77">
        <w:rPr>
          <w:color w:val="000000" w:themeColor="text1"/>
        </w:rPr>
        <w:t>d</w:t>
      </w:r>
      <w:r w:rsidRPr="00B40A77">
        <w:rPr>
          <w:color w:val="000000" w:themeColor="text1"/>
        </w:rPr>
        <w:t xml:space="preserve">ays after the </w:t>
      </w:r>
      <w:hyperlink w:anchor="_2.1—Definitions" w:history="1">
        <w:r w:rsidR="00E9233A" w:rsidRPr="00B40A77">
          <w:rPr>
            <w:rStyle w:val="Hyperlink"/>
            <w:color w:val="000000" w:themeColor="text1"/>
          </w:rPr>
          <w:t>first arraignment date</w:t>
        </w:r>
      </w:hyperlink>
      <w:r w:rsidRPr="00B40A77">
        <w:rPr>
          <w:color w:val="000000" w:themeColor="text1"/>
        </w:rPr>
        <w:t>.</w:t>
      </w:r>
    </w:p>
    <w:p w14:paraId="6394FA6D" w14:textId="2BD3EC28" w:rsidR="00FD4767" w:rsidRPr="00B40A77" w:rsidRDefault="00B87028" w:rsidP="00BE23A0">
      <w:pPr>
        <w:pStyle w:val="Heading2"/>
        <w:keepNext/>
        <w:rPr>
          <w:color w:val="000000" w:themeColor="text1"/>
        </w:rPr>
      </w:pPr>
      <w:bookmarkStart w:id="672" w:name="_Toc175239080"/>
      <w:r w:rsidRPr="00B40A77">
        <w:rPr>
          <w:color w:val="000000" w:themeColor="text1"/>
        </w:rPr>
        <w:lastRenderedPageBreak/>
        <w:t>Part 5</w:t>
      </w:r>
      <w:r w:rsidR="00FD4767" w:rsidRPr="00B40A77">
        <w:rPr>
          <w:color w:val="000000" w:themeColor="text1"/>
        </w:rPr>
        <w:t>—Arraignment</w:t>
      </w:r>
      <w:bookmarkEnd w:id="652"/>
      <w:bookmarkEnd w:id="672"/>
    </w:p>
    <w:p w14:paraId="655822C7" w14:textId="6627B4E2" w:rsidR="00FD4767" w:rsidRPr="00B40A77" w:rsidRDefault="00731EC5" w:rsidP="00B87028">
      <w:pPr>
        <w:pStyle w:val="Heading4"/>
        <w:rPr>
          <w:color w:val="000000" w:themeColor="text1"/>
        </w:rPr>
      </w:pPr>
      <w:bookmarkStart w:id="673" w:name="_Toc60133506"/>
      <w:bookmarkStart w:id="674" w:name="_Toc175239081"/>
      <w:r w:rsidRPr="00B40A77">
        <w:rPr>
          <w:color w:val="000000" w:themeColor="text1"/>
        </w:rPr>
        <w:t>96</w:t>
      </w:r>
      <w:r w:rsidR="00B61858" w:rsidRPr="00B40A77">
        <w:rPr>
          <w:color w:val="000000" w:themeColor="text1"/>
        </w:rPr>
        <w:t>.1</w:t>
      </w:r>
      <w:r w:rsidR="00FD4767" w:rsidRPr="00B40A77">
        <w:rPr>
          <w:color w:val="000000" w:themeColor="text1"/>
        </w:rPr>
        <w:t xml:space="preserve">—Arraignment </w:t>
      </w:r>
      <w:bookmarkEnd w:id="673"/>
      <w:r w:rsidR="00B61858" w:rsidRPr="00B40A77">
        <w:rPr>
          <w:color w:val="000000" w:themeColor="text1"/>
        </w:rPr>
        <w:t>date</w:t>
      </w:r>
      <w:bookmarkEnd w:id="674"/>
    </w:p>
    <w:p w14:paraId="53F36F28" w14:textId="06435E03" w:rsidR="00FD4767" w:rsidRPr="00B40A77" w:rsidRDefault="00FD4767" w:rsidP="002D33DD">
      <w:pPr>
        <w:pStyle w:val="Hangindent"/>
        <w:ind w:left="567" w:firstLine="0"/>
        <w:rPr>
          <w:color w:val="000000" w:themeColor="text1"/>
          <w:lang w:val="en-US"/>
        </w:rPr>
      </w:pPr>
      <w:r w:rsidRPr="00B40A77">
        <w:rPr>
          <w:color w:val="000000" w:themeColor="text1"/>
          <w:lang w:val="en-US"/>
        </w:rPr>
        <w:t>The Court may</w:t>
      </w:r>
      <w:r w:rsidR="00697A9D" w:rsidRPr="00B40A77">
        <w:rPr>
          <w:color w:val="000000" w:themeColor="text1"/>
          <w:lang w:val="en-US"/>
        </w:rPr>
        <w:t>,</w:t>
      </w:r>
      <w:r w:rsidRPr="00B40A77">
        <w:rPr>
          <w:color w:val="000000" w:themeColor="text1"/>
          <w:lang w:val="en-US"/>
        </w:rPr>
        <w:t xml:space="preserve"> </w:t>
      </w:r>
      <w:r w:rsidR="00B61858" w:rsidRPr="00B40A77">
        <w:rPr>
          <w:color w:val="000000" w:themeColor="text1"/>
          <w:lang w:val="en-US"/>
        </w:rPr>
        <w:t>if it thinks fit</w:t>
      </w:r>
      <w:r w:rsidR="00697A9D" w:rsidRPr="00B40A77">
        <w:rPr>
          <w:color w:val="000000" w:themeColor="text1"/>
          <w:lang w:val="en-US"/>
        </w:rPr>
        <w:t>,</w:t>
      </w:r>
      <w:r w:rsidR="00B61858" w:rsidRPr="00B40A77">
        <w:rPr>
          <w:color w:val="000000" w:themeColor="text1"/>
          <w:lang w:val="en-US"/>
        </w:rPr>
        <w:t xml:space="preserve"> vary the date of the first arraignment from the </w:t>
      </w:r>
      <w:hyperlink w:anchor="_2.1—Definitions" w:history="1">
        <w:r w:rsidR="00E9233A" w:rsidRPr="00B40A77">
          <w:rPr>
            <w:rStyle w:val="Hyperlink"/>
            <w:color w:val="000000" w:themeColor="text1"/>
          </w:rPr>
          <w:t>first arraignment date</w:t>
        </w:r>
      </w:hyperlink>
      <w:r w:rsidR="00B61858" w:rsidRPr="00B40A77">
        <w:rPr>
          <w:color w:val="000000" w:themeColor="text1"/>
          <w:lang w:val="en-US"/>
        </w:rPr>
        <w:t>.</w:t>
      </w:r>
    </w:p>
    <w:p w14:paraId="22B31F2A" w14:textId="3EB3E750" w:rsidR="00FD4767" w:rsidRPr="00B40A77" w:rsidRDefault="00731EC5" w:rsidP="00B87028">
      <w:pPr>
        <w:pStyle w:val="Heading4"/>
        <w:rPr>
          <w:color w:val="000000" w:themeColor="text1"/>
        </w:rPr>
      </w:pPr>
      <w:bookmarkStart w:id="675" w:name="_Toc60133508"/>
      <w:bookmarkStart w:id="676" w:name="_Toc175239082"/>
      <w:r w:rsidRPr="00B40A77">
        <w:rPr>
          <w:color w:val="000000" w:themeColor="text1"/>
        </w:rPr>
        <w:t>96</w:t>
      </w:r>
      <w:r w:rsidR="00946163" w:rsidRPr="00B40A77">
        <w:rPr>
          <w:color w:val="000000" w:themeColor="text1"/>
        </w:rPr>
        <w:t>.2</w:t>
      </w:r>
      <w:r w:rsidR="00FD4767" w:rsidRPr="00B40A77">
        <w:rPr>
          <w:color w:val="000000" w:themeColor="text1"/>
        </w:rPr>
        <w:t>—Priority proceedings</w:t>
      </w:r>
      <w:bookmarkEnd w:id="675"/>
      <w:bookmarkEnd w:id="676"/>
    </w:p>
    <w:p w14:paraId="79A22058" w14:textId="2B8A8BD7" w:rsidR="00775CE2" w:rsidRPr="00B40A77" w:rsidRDefault="00775CE2" w:rsidP="00775CE2">
      <w:pPr>
        <w:pStyle w:val="Hangindent"/>
        <w:rPr>
          <w:color w:val="000000" w:themeColor="text1"/>
          <w:szCs w:val="24"/>
          <w:lang w:val="en-US"/>
        </w:rPr>
      </w:pPr>
      <w:r w:rsidRPr="00B40A77">
        <w:rPr>
          <w:color w:val="000000" w:themeColor="text1"/>
          <w:szCs w:val="24"/>
          <w:lang w:val="en-US"/>
        </w:rPr>
        <w:t>(1)</w:t>
      </w:r>
      <w:r w:rsidRPr="00B40A77">
        <w:rPr>
          <w:color w:val="000000" w:themeColor="text1"/>
          <w:szCs w:val="24"/>
          <w:lang w:val="en-US"/>
        </w:rPr>
        <w:tab/>
        <w:t xml:space="preserve">If a proceeding is a </w:t>
      </w:r>
      <w:hyperlink w:anchor="_2.1—Definitions" w:history="1">
        <w:r w:rsidR="00732D46" w:rsidRPr="00B40A77">
          <w:rPr>
            <w:rStyle w:val="Hyperlink"/>
            <w:color w:val="000000" w:themeColor="text1"/>
            <w:szCs w:val="24"/>
            <w:lang w:val="en-US"/>
          </w:rPr>
          <w:t>priority proceeding</w:t>
        </w:r>
      </w:hyperlink>
      <w:r w:rsidR="00A31C3F" w:rsidRPr="00B40A77">
        <w:rPr>
          <w:color w:val="000000" w:themeColor="text1"/>
          <w:szCs w:val="24"/>
          <w:lang w:val="en-US"/>
        </w:rPr>
        <w:t xml:space="preserve"> and the Information does not refer to the proceeding being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szCs w:val="24"/>
          <w:lang w:val="en-US"/>
        </w:rPr>
        <w:t xml:space="preserve">, the Director must inform the Court at the </w:t>
      </w:r>
      <w:r w:rsidRPr="00B40A77">
        <w:rPr>
          <w:color w:val="000000" w:themeColor="text1"/>
          <w:szCs w:val="24"/>
          <w:u w:val="single"/>
          <w:lang w:val="en-US"/>
        </w:rPr>
        <w:t>first arraignment</w:t>
      </w:r>
      <w:r w:rsidRPr="00B40A77">
        <w:rPr>
          <w:color w:val="000000" w:themeColor="text1"/>
          <w:szCs w:val="24"/>
          <w:lang w:val="en-US"/>
        </w:rPr>
        <w:t>.</w:t>
      </w:r>
    </w:p>
    <w:p w14:paraId="4CBF4661" w14:textId="7D238CAC" w:rsidR="00FD4767" w:rsidRPr="00B40A77" w:rsidRDefault="002F7B21" w:rsidP="002F7B21">
      <w:pPr>
        <w:pStyle w:val="Hangindent"/>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t xml:space="preserve">If a proceeding is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szCs w:val="24"/>
          <w:lang w:val="en-US"/>
        </w:rPr>
        <w:t xml:space="preserve">, </w:t>
      </w:r>
      <w:r w:rsidR="00FD4767" w:rsidRPr="00B40A77">
        <w:rPr>
          <w:color w:val="000000" w:themeColor="text1"/>
          <w:szCs w:val="24"/>
          <w:lang w:val="en-US"/>
        </w:rPr>
        <w:t xml:space="preserve">the </w:t>
      </w:r>
      <w:r w:rsidR="00502F6A" w:rsidRPr="00B40A77">
        <w:rPr>
          <w:color w:val="000000" w:themeColor="text1"/>
          <w:szCs w:val="24"/>
          <w:lang w:val="en-US"/>
        </w:rPr>
        <w:t>following</w:t>
      </w:r>
      <w:r w:rsidR="008F7170" w:rsidRPr="00B40A77">
        <w:rPr>
          <w:color w:val="000000" w:themeColor="text1"/>
          <w:szCs w:val="24"/>
          <w:lang w:val="en-US"/>
        </w:rPr>
        <w:t xml:space="preserve"> </w:t>
      </w:r>
      <w:r w:rsidR="00502F6A" w:rsidRPr="00B40A77">
        <w:rPr>
          <w:color w:val="000000" w:themeColor="text1"/>
          <w:szCs w:val="24"/>
          <w:lang w:val="en-US"/>
        </w:rPr>
        <w:t>must be addressed at the first arraignment</w:t>
      </w:r>
      <w:r w:rsidR="00FD4767" w:rsidRPr="00B40A77">
        <w:rPr>
          <w:color w:val="000000" w:themeColor="text1"/>
          <w:szCs w:val="24"/>
          <w:lang w:val="en-US"/>
        </w:rPr>
        <w:t>—</w:t>
      </w:r>
    </w:p>
    <w:p w14:paraId="60FBD2F3" w14:textId="56E9B2B1" w:rsidR="00FD4767" w:rsidRPr="00B40A77" w:rsidRDefault="00FD4767" w:rsidP="002F7B21">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502F6A" w:rsidRPr="00B40A77">
        <w:rPr>
          <w:color w:val="000000" w:themeColor="text1"/>
          <w:szCs w:val="24"/>
          <w:lang w:val="en-US"/>
        </w:rPr>
        <w:t>the means by which</w:t>
      </w:r>
      <w:r w:rsidR="00502F6A" w:rsidRPr="00B40A77">
        <w:rPr>
          <w:color w:val="000000" w:themeColor="text1"/>
          <w:lang w:val="en-US"/>
        </w:rPr>
        <w:t xml:space="preserve"> </w:t>
      </w:r>
      <w:r w:rsidRPr="00B40A77">
        <w:rPr>
          <w:color w:val="000000" w:themeColor="text1"/>
          <w:lang w:val="en-US"/>
        </w:rPr>
        <w:t>the proceeding may be expedited; and</w:t>
      </w:r>
    </w:p>
    <w:p w14:paraId="37D89AB5" w14:textId="249724A4" w:rsidR="00FD4767" w:rsidRPr="00B40A77" w:rsidRDefault="00FD4767" w:rsidP="002F7B2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FC7ED9" w:rsidRPr="00B40A77">
        <w:rPr>
          <w:color w:val="000000" w:themeColor="text1"/>
          <w:lang w:val="en-US"/>
        </w:rPr>
        <w:t xml:space="preserve">if the defendant is a </w:t>
      </w:r>
      <w:hyperlink w:anchor="_2.1—Definitions" w:history="1">
        <w:r w:rsidR="00340620" w:rsidRPr="00B40A77">
          <w:rPr>
            <w:rStyle w:val="Hyperlink"/>
            <w:color w:val="000000" w:themeColor="text1"/>
            <w:szCs w:val="24"/>
            <w:lang w:val="en-US"/>
          </w:rPr>
          <w:t>serious and organised crime suspect</w:t>
        </w:r>
      </w:hyperlink>
      <w:r w:rsidR="00FC7ED9" w:rsidRPr="00B40A77">
        <w:rPr>
          <w:color w:val="000000" w:themeColor="text1"/>
          <w:lang w:val="en-US"/>
        </w:rPr>
        <w:t>—</w:t>
      </w:r>
      <w:r w:rsidR="00502F6A" w:rsidRPr="00B40A77">
        <w:rPr>
          <w:color w:val="000000" w:themeColor="text1"/>
          <w:szCs w:val="24"/>
          <w:lang w:val="en-US"/>
        </w:rPr>
        <w:t>the means by which</w:t>
      </w:r>
      <w:r w:rsidR="00502F6A" w:rsidRPr="00B40A77">
        <w:rPr>
          <w:color w:val="000000" w:themeColor="text1"/>
          <w:lang w:val="en-US"/>
        </w:rPr>
        <w:t xml:space="preserve"> </w:t>
      </w:r>
      <w:r w:rsidRPr="00B40A77">
        <w:rPr>
          <w:color w:val="000000" w:themeColor="text1"/>
          <w:lang w:val="en-US"/>
        </w:rPr>
        <w:t xml:space="preserve">the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is to commence within 6 months after the determination by reason of which the </w:t>
      </w:r>
      <w:r w:rsidR="0060304D" w:rsidRPr="00B40A77">
        <w:rPr>
          <w:color w:val="000000" w:themeColor="text1"/>
          <w:lang w:val="en-US"/>
        </w:rPr>
        <w:t>defendant</w:t>
      </w:r>
      <w:r w:rsidRPr="00B40A77">
        <w:rPr>
          <w:color w:val="000000" w:themeColor="text1"/>
          <w:lang w:val="en-US"/>
        </w:rPr>
        <w:t xml:space="preserve"> became a </w:t>
      </w:r>
      <w:hyperlink w:anchor="_2.1—Definitions" w:history="1">
        <w:r w:rsidR="00340620" w:rsidRPr="00B40A77">
          <w:rPr>
            <w:rStyle w:val="Hyperlink"/>
            <w:color w:val="000000" w:themeColor="text1"/>
            <w:szCs w:val="24"/>
            <w:lang w:val="en-US"/>
          </w:rPr>
          <w:t>serious and organised crime suspect</w:t>
        </w:r>
      </w:hyperlink>
      <w:r w:rsidRPr="00B40A77">
        <w:rPr>
          <w:color w:val="000000" w:themeColor="text1"/>
          <w:lang w:val="en-US"/>
        </w:rPr>
        <w:t>.</w:t>
      </w:r>
    </w:p>
    <w:p w14:paraId="32D19B24" w14:textId="4F7CBAE9" w:rsidR="00804DD7" w:rsidRPr="00B40A77" w:rsidRDefault="00731EC5" w:rsidP="00B87028">
      <w:pPr>
        <w:pStyle w:val="Heading4"/>
        <w:rPr>
          <w:color w:val="000000" w:themeColor="text1"/>
        </w:rPr>
      </w:pPr>
      <w:bookmarkStart w:id="677" w:name="_96.3—Procedure_at_arraignment:"/>
      <w:bookmarkStart w:id="678" w:name="_Toc175239083"/>
      <w:bookmarkStart w:id="679" w:name="_Toc394312639"/>
      <w:bookmarkStart w:id="680" w:name="_Toc60133902"/>
      <w:bookmarkEnd w:id="677"/>
      <w:r w:rsidRPr="00B40A77">
        <w:rPr>
          <w:color w:val="000000" w:themeColor="text1"/>
        </w:rPr>
        <w:t>96</w:t>
      </w:r>
      <w:r w:rsidR="00FA780B" w:rsidRPr="00B40A77">
        <w:rPr>
          <w:color w:val="000000" w:themeColor="text1"/>
        </w:rPr>
        <w:t>.3</w:t>
      </w:r>
      <w:r w:rsidR="00804DD7" w:rsidRPr="00B40A77">
        <w:rPr>
          <w:color w:val="000000" w:themeColor="text1"/>
        </w:rPr>
        <w:t>—Procedure at arraignment: Supreme Court</w:t>
      </w:r>
      <w:bookmarkEnd w:id="678"/>
    </w:p>
    <w:p w14:paraId="2E3992A4" w14:textId="55657820" w:rsidR="00804DD7" w:rsidRPr="00B40A77" w:rsidRDefault="00804DD7" w:rsidP="00804DD7">
      <w:pPr>
        <w:pStyle w:val="Hangindent"/>
        <w:rPr>
          <w:color w:val="000000" w:themeColor="text1"/>
        </w:rPr>
      </w:pPr>
      <w:r w:rsidRPr="00B40A77">
        <w:rPr>
          <w:color w:val="000000" w:themeColor="text1"/>
        </w:rPr>
        <w:t>(1)</w:t>
      </w:r>
      <w:r w:rsidRPr="00B40A77">
        <w:rPr>
          <w:color w:val="000000" w:themeColor="text1"/>
        </w:rPr>
        <w:tab/>
        <w:t xml:space="preserve">If a defendant pleads not guilty at arraignment, the proceeding will </w:t>
      </w:r>
      <w:r w:rsidR="00E816DF" w:rsidRPr="00B40A77">
        <w:rPr>
          <w:color w:val="000000" w:themeColor="text1"/>
        </w:rPr>
        <w:t xml:space="preserve">generally </w:t>
      </w:r>
      <w:r w:rsidRPr="00B40A77">
        <w:rPr>
          <w:color w:val="000000" w:themeColor="text1"/>
        </w:rPr>
        <w:t>be remanded to a</w:t>
      </w:r>
      <w:r w:rsidR="000342C3" w:rsidRPr="00B40A77">
        <w:rPr>
          <w:color w:val="000000" w:themeColor="text1"/>
        </w:rPr>
        <w:t xml:space="preserve"> </w:t>
      </w:r>
      <w:hyperlink w:anchor="_2.1—Definitions" w:history="1">
        <w:r w:rsidR="00BF56DC" w:rsidRPr="00B40A77">
          <w:rPr>
            <w:rStyle w:val="Hyperlink"/>
            <w:color w:val="000000" w:themeColor="text1"/>
          </w:rPr>
          <w:t>directions hearing</w:t>
        </w:r>
      </w:hyperlink>
      <w:r w:rsidRPr="00B40A77">
        <w:rPr>
          <w:color w:val="000000" w:themeColor="text1"/>
        </w:rPr>
        <w:t>.</w:t>
      </w:r>
    </w:p>
    <w:p w14:paraId="71BB59E5" w14:textId="0ECCDE72" w:rsidR="00804DD7" w:rsidRPr="00B40A77" w:rsidRDefault="00C62E77" w:rsidP="00804DD7">
      <w:pPr>
        <w:pStyle w:val="Hangindent"/>
        <w:rPr>
          <w:color w:val="000000" w:themeColor="text1"/>
        </w:rPr>
      </w:pPr>
      <w:r w:rsidRPr="00B40A77">
        <w:rPr>
          <w:color w:val="000000" w:themeColor="text1"/>
        </w:rPr>
        <w:t>(2</w:t>
      </w:r>
      <w:r w:rsidR="00804DD7" w:rsidRPr="00B40A77">
        <w:rPr>
          <w:color w:val="000000" w:themeColor="text1"/>
        </w:rPr>
        <w:t>)</w:t>
      </w:r>
      <w:r w:rsidR="00804DD7" w:rsidRPr="00B40A77">
        <w:rPr>
          <w:color w:val="000000" w:themeColor="text1"/>
        </w:rPr>
        <w:tab/>
        <w:t xml:space="preserve">If at arraignment an issue of </w:t>
      </w:r>
      <w:r w:rsidR="00804DD7" w:rsidRPr="00B40A77">
        <w:rPr>
          <w:color w:val="000000" w:themeColor="text1"/>
          <w:u w:val="single"/>
        </w:rPr>
        <w:t>fitness to stand trial</w:t>
      </w:r>
      <w:r w:rsidR="00804DD7" w:rsidRPr="00B40A77">
        <w:rPr>
          <w:color w:val="000000" w:themeColor="text1"/>
        </w:rPr>
        <w:t xml:space="preserve"> or </w:t>
      </w:r>
      <w:hyperlink w:anchor="_2.1—Definitions" w:history="1">
        <w:r w:rsidR="005A680E" w:rsidRPr="00B40A77">
          <w:rPr>
            <w:rStyle w:val="Hyperlink"/>
            <w:color w:val="000000" w:themeColor="text1"/>
          </w:rPr>
          <w:t>mental competence</w:t>
        </w:r>
      </w:hyperlink>
      <w:r w:rsidR="00804DD7" w:rsidRPr="00B40A77">
        <w:rPr>
          <w:color w:val="000000" w:themeColor="text1"/>
        </w:rPr>
        <w:t xml:space="preserve"> </w:t>
      </w:r>
      <w:r w:rsidR="0076774B" w:rsidRPr="00B40A77">
        <w:rPr>
          <w:color w:val="000000" w:themeColor="text1"/>
        </w:rPr>
        <w:t xml:space="preserve">of the defendant </w:t>
      </w:r>
      <w:r w:rsidR="00804DD7" w:rsidRPr="00B40A77">
        <w:rPr>
          <w:color w:val="000000" w:themeColor="text1"/>
        </w:rPr>
        <w:t xml:space="preserve">is raised, </w:t>
      </w:r>
      <w:r w:rsidR="00E47AF8" w:rsidRPr="00B40A77">
        <w:rPr>
          <w:color w:val="000000" w:themeColor="text1"/>
        </w:rPr>
        <w:t xml:space="preserve">procedural orders will </w:t>
      </w:r>
      <w:r w:rsidR="00E816DF" w:rsidRPr="00B40A77">
        <w:rPr>
          <w:color w:val="000000" w:themeColor="text1"/>
        </w:rPr>
        <w:t xml:space="preserve">generally </w:t>
      </w:r>
      <w:r w:rsidR="00E47AF8" w:rsidRPr="00B40A77">
        <w:rPr>
          <w:color w:val="000000" w:themeColor="text1"/>
        </w:rPr>
        <w:t xml:space="preserve">be made and </w:t>
      </w:r>
      <w:r w:rsidR="00804DD7" w:rsidRPr="00B40A77">
        <w:rPr>
          <w:color w:val="000000" w:themeColor="text1"/>
        </w:rPr>
        <w:t>the proceeding will be remanded to a</w:t>
      </w:r>
      <w:r w:rsidR="000342C3" w:rsidRPr="00B40A77">
        <w:rPr>
          <w:color w:val="000000" w:themeColor="text1"/>
        </w:rPr>
        <w:t xml:space="preserve"> </w:t>
      </w:r>
      <w:hyperlink w:anchor="_2.1—Definitions" w:history="1">
        <w:r w:rsidR="00BF56DC" w:rsidRPr="00B40A77">
          <w:rPr>
            <w:rStyle w:val="Hyperlink"/>
            <w:color w:val="000000" w:themeColor="text1"/>
          </w:rPr>
          <w:t>directions hearing</w:t>
        </w:r>
      </w:hyperlink>
      <w:r w:rsidR="00804DD7" w:rsidRPr="00B40A77">
        <w:rPr>
          <w:color w:val="000000" w:themeColor="text1"/>
        </w:rPr>
        <w:t>.</w:t>
      </w:r>
    </w:p>
    <w:p w14:paraId="61DFB8CC" w14:textId="643CB24C" w:rsidR="00804DD7" w:rsidRPr="00B40A77" w:rsidRDefault="00804DD7" w:rsidP="00C62E77">
      <w:pPr>
        <w:pStyle w:val="Hangindent"/>
        <w:rPr>
          <w:color w:val="000000" w:themeColor="text1"/>
        </w:rPr>
      </w:pPr>
      <w:r w:rsidRPr="00B40A77">
        <w:rPr>
          <w:color w:val="000000" w:themeColor="text1"/>
        </w:rPr>
        <w:t>(3)</w:t>
      </w:r>
      <w:r w:rsidRPr="00B40A77">
        <w:rPr>
          <w:color w:val="000000" w:themeColor="text1"/>
        </w:rPr>
        <w:tab/>
        <w:t xml:space="preserve">If a defendant was committed </w:t>
      </w:r>
      <w:r w:rsidR="008F7728" w:rsidRPr="00B40A77">
        <w:rPr>
          <w:color w:val="000000" w:themeColor="text1"/>
        </w:rPr>
        <w:t xml:space="preserve">for </w:t>
      </w:r>
      <w:hyperlink w:anchor="_2.1—Definitions" w:history="1">
        <w:r w:rsidR="00596ADA" w:rsidRPr="00B40A77">
          <w:rPr>
            <w:rStyle w:val="Hyperlink"/>
            <w:color w:val="000000" w:themeColor="text1"/>
          </w:rPr>
          <w:t>sentence</w:t>
        </w:r>
      </w:hyperlink>
      <w:r w:rsidR="008F7728" w:rsidRPr="00B40A77">
        <w:rPr>
          <w:color w:val="000000" w:themeColor="text1"/>
        </w:rPr>
        <w:t xml:space="preserve"> or pleads </w:t>
      </w:r>
      <w:r w:rsidRPr="00B40A77">
        <w:rPr>
          <w:color w:val="000000" w:themeColor="text1"/>
        </w:rPr>
        <w:t>guilty at arraignment</w:t>
      </w:r>
      <w:r w:rsidR="00C62E77" w:rsidRPr="00B40A77">
        <w:rPr>
          <w:color w:val="000000" w:themeColor="text1"/>
        </w:rPr>
        <w:t xml:space="preserve">, the proceeding will </w:t>
      </w:r>
      <w:r w:rsidR="00E816DF" w:rsidRPr="00B40A77">
        <w:rPr>
          <w:color w:val="000000" w:themeColor="text1"/>
        </w:rPr>
        <w:t xml:space="preserve">generally </w:t>
      </w:r>
      <w:r w:rsidR="00C62E77" w:rsidRPr="00B40A77">
        <w:rPr>
          <w:color w:val="000000" w:themeColor="text1"/>
        </w:rPr>
        <w:t xml:space="preserve">be remanded to a </w:t>
      </w:r>
      <w:hyperlink w:anchor="_2.1—Definitions" w:history="1">
        <w:r w:rsidR="006D6EB8" w:rsidRPr="00B40A77">
          <w:rPr>
            <w:rStyle w:val="Hyperlink"/>
            <w:color w:val="000000" w:themeColor="text1"/>
          </w:rPr>
          <w:t>sentencing hearing</w:t>
        </w:r>
      </w:hyperlink>
      <w:r w:rsidR="00C62E77" w:rsidRPr="00B40A77">
        <w:rPr>
          <w:color w:val="000000" w:themeColor="text1"/>
        </w:rPr>
        <w:t>.</w:t>
      </w:r>
    </w:p>
    <w:p w14:paraId="250D4C4E" w14:textId="17FD2A16" w:rsidR="00C55D89" w:rsidRPr="00B40A77" w:rsidRDefault="00731EC5" w:rsidP="00B87028">
      <w:pPr>
        <w:pStyle w:val="Heading4"/>
        <w:rPr>
          <w:color w:val="000000" w:themeColor="text1"/>
        </w:rPr>
      </w:pPr>
      <w:bookmarkStart w:id="681" w:name="_96.4—Procedure_at_arraignment:"/>
      <w:bookmarkStart w:id="682" w:name="_Toc175239084"/>
      <w:bookmarkEnd w:id="681"/>
      <w:r w:rsidRPr="00B40A77">
        <w:rPr>
          <w:color w:val="000000" w:themeColor="text1"/>
        </w:rPr>
        <w:t>96</w:t>
      </w:r>
      <w:r w:rsidR="00FA780B" w:rsidRPr="00B40A77">
        <w:rPr>
          <w:color w:val="000000" w:themeColor="text1"/>
        </w:rPr>
        <w:t>.4</w:t>
      </w:r>
      <w:r w:rsidR="00C55D89" w:rsidRPr="00B40A77">
        <w:rPr>
          <w:color w:val="000000" w:themeColor="text1"/>
        </w:rPr>
        <w:t>—</w:t>
      </w:r>
      <w:bookmarkEnd w:id="679"/>
      <w:r w:rsidR="00C55D89" w:rsidRPr="00B40A77">
        <w:rPr>
          <w:color w:val="000000" w:themeColor="text1"/>
        </w:rPr>
        <w:t>Procedure at arraignment</w:t>
      </w:r>
      <w:bookmarkEnd w:id="680"/>
      <w:r w:rsidR="00BC6CFA" w:rsidRPr="00B40A77">
        <w:rPr>
          <w:color w:val="000000" w:themeColor="text1"/>
        </w:rPr>
        <w:t>: District Court</w:t>
      </w:r>
      <w:bookmarkEnd w:id="682"/>
    </w:p>
    <w:p w14:paraId="7479D0CB" w14:textId="0790F0AB" w:rsidR="0082781F" w:rsidRPr="00B40A77" w:rsidRDefault="0082781F" w:rsidP="0082781F">
      <w:pPr>
        <w:pStyle w:val="Hangindent"/>
        <w:rPr>
          <w:color w:val="000000" w:themeColor="text1"/>
        </w:rPr>
      </w:pPr>
      <w:r w:rsidRPr="00B40A77">
        <w:rPr>
          <w:color w:val="000000" w:themeColor="text1"/>
        </w:rPr>
        <w:t>(1)</w:t>
      </w:r>
      <w:r w:rsidRPr="00B40A77">
        <w:rPr>
          <w:color w:val="000000" w:themeColor="text1"/>
        </w:rPr>
        <w:tab/>
        <w:t>If a defendant pleads not guilty at arraignment</w:t>
      </w:r>
      <w:r w:rsidR="0021758F" w:rsidRPr="00B40A77">
        <w:rPr>
          <w:color w:val="000000" w:themeColor="text1"/>
        </w:rPr>
        <w:t xml:space="preserve"> in the not guilty arraignment list</w:t>
      </w:r>
      <w:r w:rsidRPr="00B40A77">
        <w:rPr>
          <w:color w:val="000000" w:themeColor="text1"/>
        </w:rPr>
        <w:t xml:space="preserve">, the proceeding will </w:t>
      </w:r>
      <w:r w:rsidR="00E816DF" w:rsidRPr="00B40A77">
        <w:rPr>
          <w:color w:val="000000" w:themeColor="text1"/>
        </w:rPr>
        <w:t xml:space="preserve">generally </w:t>
      </w:r>
      <w:r w:rsidRPr="00B40A77">
        <w:rPr>
          <w:color w:val="000000" w:themeColor="text1"/>
        </w:rPr>
        <w:t xml:space="preserve">be listed for </w:t>
      </w:r>
      <w:hyperlink w:anchor="_2.1—Definitions" w:history="1">
        <w:r w:rsidR="00AB0539" w:rsidRPr="00B40A77">
          <w:rPr>
            <w:rStyle w:val="Hyperlink"/>
            <w:color w:val="000000" w:themeColor="text1"/>
            <w:lang w:val="en-US"/>
          </w:rPr>
          <w:t>trial</w:t>
        </w:r>
      </w:hyperlink>
      <w:r w:rsidRPr="00B40A77">
        <w:rPr>
          <w:color w:val="000000" w:themeColor="text1"/>
        </w:rPr>
        <w:t xml:space="preserve"> and remanded to a first </w:t>
      </w:r>
      <w:r w:rsidR="00BA2879" w:rsidRPr="00B40A77">
        <w:rPr>
          <w:color w:val="000000" w:themeColor="text1"/>
        </w:rPr>
        <w:t>directions hearing</w:t>
      </w:r>
      <w:r w:rsidR="00BA2879" w:rsidRPr="00B40A77">
        <w:rPr>
          <w:rStyle w:val="Hyperlink"/>
          <w:color w:val="000000" w:themeColor="text1"/>
        </w:rPr>
        <w:t xml:space="preserve"> </w:t>
      </w:r>
      <w:r w:rsidR="000E2727" w:rsidRPr="00B40A77">
        <w:rPr>
          <w:color w:val="000000" w:themeColor="text1"/>
        </w:rPr>
        <w:t>callover</w:t>
      </w:r>
      <w:r w:rsidRPr="00B40A77">
        <w:rPr>
          <w:color w:val="000000" w:themeColor="text1"/>
        </w:rPr>
        <w:t xml:space="preserve">. </w:t>
      </w:r>
    </w:p>
    <w:p w14:paraId="3DFB2DE1" w14:textId="4DA18B01" w:rsidR="00A26CAB" w:rsidRPr="00B40A77" w:rsidRDefault="00A26CAB" w:rsidP="00A26CAB">
      <w:pPr>
        <w:pStyle w:val="Hangindent"/>
        <w:rPr>
          <w:color w:val="000000" w:themeColor="text1"/>
        </w:rPr>
      </w:pPr>
      <w:r w:rsidRPr="00B40A77">
        <w:rPr>
          <w:color w:val="000000" w:themeColor="text1"/>
          <w:lang w:val="en-US"/>
        </w:rPr>
        <w:t>(2)</w:t>
      </w:r>
      <w:r w:rsidRPr="00B40A77">
        <w:rPr>
          <w:color w:val="000000" w:themeColor="text1"/>
          <w:lang w:val="en-US"/>
        </w:rPr>
        <w:tab/>
      </w:r>
      <w:r w:rsidRPr="00B40A77">
        <w:rPr>
          <w:color w:val="000000" w:themeColor="text1"/>
        </w:rPr>
        <w:t>The Court expects parties (by their counsel when applicable or if counsel have not been briefed by their solicitors or other representatives when applicable) to make realistic and achievable estimates of the length of trials to be listed.</w:t>
      </w:r>
    </w:p>
    <w:p w14:paraId="681BD43F" w14:textId="5E6D888A" w:rsidR="00A26CAB" w:rsidRPr="00B40A77" w:rsidRDefault="00A26CAB" w:rsidP="00A26CAB">
      <w:pPr>
        <w:pStyle w:val="Hangindent"/>
        <w:rPr>
          <w:color w:val="000000" w:themeColor="text1"/>
          <w:lang w:val="en-US"/>
        </w:rPr>
      </w:pPr>
      <w:r w:rsidRPr="00B40A77">
        <w:rPr>
          <w:color w:val="000000" w:themeColor="text1"/>
        </w:rPr>
        <w:t>(3)</w:t>
      </w:r>
      <w:r w:rsidRPr="00B40A77">
        <w:rPr>
          <w:color w:val="000000" w:themeColor="text1"/>
        </w:rPr>
        <w:tab/>
        <w:t xml:space="preserve">The Court expects counsel to be available for the whole of the period for which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has been listed.</w:t>
      </w:r>
    </w:p>
    <w:p w14:paraId="1669CBE2" w14:textId="6E4721C9" w:rsidR="00804DD7" w:rsidRPr="00B40A77" w:rsidRDefault="00C62E77" w:rsidP="00804DD7">
      <w:pPr>
        <w:pStyle w:val="Hangindent"/>
        <w:rPr>
          <w:color w:val="000000" w:themeColor="text1"/>
        </w:rPr>
      </w:pPr>
      <w:r w:rsidRPr="00B40A77">
        <w:rPr>
          <w:color w:val="000000" w:themeColor="text1"/>
        </w:rPr>
        <w:t>(</w:t>
      </w:r>
      <w:r w:rsidR="00A26CAB" w:rsidRPr="00B40A77">
        <w:rPr>
          <w:color w:val="000000" w:themeColor="text1"/>
        </w:rPr>
        <w:t>4</w:t>
      </w:r>
      <w:r w:rsidR="00804DD7" w:rsidRPr="00B40A77">
        <w:rPr>
          <w:color w:val="000000" w:themeColor="text1"/>
        </w:rPr>
        <w:t>)</w:t>
      </w:r>
      <w:r w:rsidR="00804DD7" w:rsidRPr="00B40A77">
        <w:rPr>
          <w:color w:val="000000" w:themeColor="text1"/>
        </w:rPr>
        <w:tab/>
        <w:t xml:space="preserve">If at arraignment an issue of </w:t>
      </w:r>
      <w:r w:rsidR="00044FC6" w:rsidRPr="00B40A77">
        <w:rPr>
          <w:color w:val="000000" w:themeColor="text1"/>
        </w:rPr>
        <w:t>a</w:t>
      </w:r>
      <w:r w:rsidR="0076774B" w:rsidRPr="00B40A77">
        <w:rPr>
          <w:color w:val="000000" w:themeColor="text1"/>
        </w:rPr>
        <w:t xml:space="preserve"> defendant’s </w:t>
      </w:r>
      <w:r w:rsidR="00804DD7" w:rsidRPr="00B40A77">
        <w:rPr>
          <w:color w:val="000000" w:themeColor="text1"/>
          <w:u w:val="single"/>
        </w:rPr>
        <w:t>fitness to stand trial</w:t>
      </w:r>
      <w:r w:rsidR="00804DD7" w:rsidRPr="00B40A77">
        <w:rPr>
          <w:color w:val="000000" w:themeColor="text1"/>
        </w:rPr>
        <w:t xml:space="preserve"> or </w:t>
      </w:r>
      <w:hyperlink w:anchor="_2.1—Definitions" w:history="1">
        <w:r w:rsidR="005A680E" w:rsidRPr="00B40A77">
          <w:rPr>
            <w:rStyle w:val="Hyperlink"/>
            <w:color w:val="000000" w:themeColor="text1"/>
          </w:rPr>
          <w:t>mental competence</w:t>
        </w:r>
      </w:hyperlink>
      <w:r w:rsidR="00804DD7" w:rsidRPr="00B40A77">
        <w:rPr>
          <w:color w:val="000000" w:themeColor="text1"/>
        </w:rPr>
        <w:t xml:space="preserve"> is raised, the proceeding will </w:t>
      </w:r>
      <w:r w:rsidR="00E816DF" w:rsidRPr="00B40A77">
        <w:rPr>
          <w:color w:val="000000" w:themeColor="text1"/>
        </w:rPr>
        <w:t xml:space="preserve">generally </w:t>
      </w:r>
      <w:r w:rsidR="00804DD7" w:rsidRPr="00B40A77">
        <w:rPr>
          <w:color w:val="000000" w:themeColor="text1"/>
        </w:rPr>
        <w:t xml:space="preserve">be remanded </w:t>
      </w:r>
      <w:r w:rsidR="001078A4" w:rsidRPr="00B40A77">
        <w:rPr>
          <w:color w:val="000000" w:themeColor="text1"/>
        </w:rPr>
        <w:t xml:space="preserve">either </w:t>
      </w:r>
      <w:r w:rsidR="00804DD7" w:rsidRPr="00B40A77">
        <w:rPr>
          <w:color w:val="000000" w:themeColor="text1"/>
        </w:rPr>
        <w:t xml:space="preserve">to a first </w:t>
      </w:r>
      <w:r w:rsidR="00BA2879" w:rsidRPr="00B40A77">
        <w:rPr>
          <w:color w:val="000000" w:themeColor="text1"/>
        </w:rPr>
        <w:t>directions hearing</w:t>
      </w:r>
      <w:r w:rsidR="00BA2879" w:rsidRPr="00B40A77">
        <w:rPr>
          <w:rStyle w:val="Hyperlink"/>
          <w:color w:val="000000" w:themeColor="text1"/>
        </w:rPr>
        <w:t xml:space="preserve"> </w:t>
      </w:r>
      <w:r w:rsidR="000E2727" w:rsidRPr="00B40A77">
        <w:rPr>
          <w:color w:val="000000" w:themeColor="text1"/>
        </w:rPr>
        <w:t>callover</w:t>
      </w:r>
      <w:r w:rsidR="001078A4" w:rsidRPr="00B40A77">
        <w:rPr>
          <w:color w:val="000000" w:themeColor="text1"/>
        </w:rPr>
        <w:t xml:space="preserve"> or to a </w:t>
      </w:r>
      <w:hyperlink w:anchor="_2.1—Definitions" w:history="1">
        <w:r w:rsidR="001078A4" w:rsidRPr="00B40A77">
          <w:rPr>
            <w:rStyle w:val="Hyperlink"/>
            <w:color w:val="000000" w:themeColor="text1"/>
          </w:rPr>
          <w:t>hearing</w:t>
        </w:r>
      </w:hyperlink>
      <w:r w:rsidR="001078A4" w:rsidRPr="00B40A77">
        <w:rPr>
          <w:color w:val="000000" w:themeColor="text1"/>
        </w:rPr>
        <w:t xml:space="preserve"> before the arraignment </w:t>
      </w:r>
      <w:r w:rsidR="00944F51" w:rsidRPr="00B40A77">
        <w:rPr>
          <w:color w:val="000000" w:themeColor="text1"/>
        </w:rPr>
        <w:t>J</w:t>
      </w:r>
      <w:r w:rsidR="001078A4" w:rsidRPr="00B40A77">
        <w:rPr>
          <w:color w:val="000000" w:themeColor="text1"/>
        </w:rPr>
        <w:t>udge</w:t>
      </w:r>
      <w:r w:rsidR="00804DD7" w:rsidRPr="00B40A77">
        <w:rPr>
          <w:color w:val="000000" w:themeColor="text1"/>
        </w:rPr>
        <w:t xml:space="preserve">. </w:t>
      </w:r>
    </w:p>
    <w:p w14:paraId="67593B45" w14:textId="39E802F9" w:rsidR="0090073B" w:rsidRPr="00B40A77" w:rsidRDefault="0090073B" w:rsidP="00022A5B">
      <w:pPr>
        <w:pStyle w:val="Hangindent"/>
        <w:rPr>
          <w:color w:val="000000" w:themeColor="text1"/>
          <w:lang w:val="en-US"/>
        </w:rPr>
      </w:pPr>
      <w:r w:rsidRPr="00B40A77">
        <w:rPr>
          <w:color w:val="000000" w:themeColor="text1"/>
        </w:rPr>
        <w:t>(</w:t>
      </w:r>
      <w:r w:rsidR="00A26CAB" w:rsidRPr="00B40A77">
        <w:rPr>
          <w:color w:val="000000" w:themeColor="text1"/>
        </w:rPr>
        <w:t>5</w:t>
      </w:r>
      <w:r w:rsidR="00C55D89" w:rsidRPr="00B40A77">
        <w:rPr>
          <w:color w:val="000000" w:themeColor="text1"/>
        </w:rPr>
        <w:t>)</w:t>
      </w:r>
      <w:r w:rsidR="00C55D89" w:rsidRPr="00B40A77">
        <w:rPr>
          <w:color w:val="000000" w:themeColor="text1"/>
        </w:rPr>
        <w:tab/>
      </w:r>
      <w:r w:rsidR="0082781F" w:rsidRPr="00B40A77">
        <w:rPr>
          <w:color w:val="000000" w:themeColor="text1"/>
        </w:rPr>
        <w:t>If a defendant was commi</w:t>
      </w:r>
      <w:r w:rsidR="008F7728" w:rsidRPr="00B40A77">
        <w:rPr>
          <w:color w:val="000000" w:themeColor="text1"/>
        </w:rPr>
        <w:t xml:space="preserve">tted for </w:t>
      </w:r>
      <w:hyperlink w:anchor="_2.1—Definitions" w:history="1">
        <w:r w:rsidR="00596ADA" w:rsidRPr="00B40A77">
          <w:rPr>
            <w:rStyle w:val="Hyperlink"/>
            <w:color w:val="000000" w:themeColor="text1"/>
          </w:rPr>
          <w:t>sentence</w:t>
        </w:r>
      </w:hyperlink>
      <w:r w:rsidR="008F7728" w:rsidRPr="00B40A77">
        <w:rPr>
          <w:color w:val="000000" w:themeColor="text1"/>
        </w:rPr>
        <w:t xml:space="preserve"> or pleads </w:t>
      </w:r>
      <w:r w:rsidR="0082781F" w:rsidRPr="00B40A77">
        <w:rPr>
          <w:color w:val="000000" w:themeColor="text1"/>
        </w:rPr>
        <w:t>guilty at arraignment</w:t>
      </w:r>
      <w:r w:rsidR="00022A5B" w:rsidRPr="00B40A77">
        <w:rPr>
          <w:color w:val="000000" w:themeColor="text1"/>
          <w:lang w:val="en-US"/>
        </w:rPr>
        <w:t xml:space="preserve"> and</w:t>
      </w:r>
      <w:r w:rsidR="009B218B" w:rsidRPr="00B40A77">
        <w:rPr>
          <w:color w:val="000000" w:themeColor="text1"/>
          <w:lang w:val="en-US"/>
        </w:rPr>
        <w:t xml:space="preserve"> </w:t>
      </w:r>
      <w:r w:rsidR="00C55D89" w:rsidRPr="00B40A77">
        <w:rPr>
          <w:color w:val="000000" w:themeColor="text1"/>
          <w:lang w:val="en-US"/>
        </w:rPr>
        <w:t>there is to be a dispu</w:t>
      </w:r>
      <w:r w:rsidR="008F7728" w:rsidRPr="00B40A77">
        <w:rPr>
          <w:color w:val="000000" w:themeColor="text1"/>
          <w:lang w:val="en-US"/>
        </w:rPr>
        <w:t>ted fact</w:t>
      </w:r>
      <w:r w:rsidRPr="00B40A77">
        <w:rPr>
          <w:color w:val="000000" w:themeColor="text1"/>
          <w:lang w:val="en-US"/>
        </w:rPr>
        <w:t xml:space="preserve"> hearing</w:t>
      </w:r>
      <w:r w:rsidR="00F45FD5" w:rsidRPr="00B40A77">
        <w:rPr>
          <w:color w:val="000000" w:themeColor="text1"/>
          <w:lang w:val="en-US"/>
        </w:rPr>
        <w:t xml:space="preserve">, </w:t>
      </w:r>
      <w:r w:rsidR="00C55D89" w:rsidRPr="00B40A77">
        <w:rPr>
          <w:color w:val="000000" w:themeColor="text1"/>
          <w:lang w:val="en-US"/>
        </w:rPr>
        <w:t>the matter wil</w:t>
      </w:r>
      <w:r w:rsidR="008F7728" w:rsidRPr="00B40A77">
        <w:rPr>
          <w:color w:val="000000" w:themeColor="text1"/>
          <w:lang w:val="en-US"/>
        </w:rPr>
        <w:t xml:space="preserve">l </w:t>
      </w:r>
      <w:r w:rsidR="00E816DF" w:rsidRPr="00B40A77">
        <w:rPr>
          <w:color w:val="000000" w:themeColor="text1"/>
          <w:lang w:val="en-US"/>
        </w:rPr>
        <w:t xml:space="preserve">generally </w:t>
      </w:r>
      <w:r w:rsidR="008F7728" w:rsidRPr="00B40A77">
        <w:rPr>
          <w:color w:val="000000" w:themeColor="text1"/>
          <w:lang w:val="en-US"/>
        </w:rPr>
        <w:t>be listed for a disputed fact</w:t>
      </w:r>
      <w:r w:rsidR="00C55D89" w:rsidRPr="00B40A77">
        <w:rPr>
          <w:color w:val="000000" w:themeColor="text1"/>
          <w:lang w:val="en-US"/>
        </w:rPr>
        <w:t xml:space="preserve"> hearing</w:t>
      </w:r>
      <w:r w:rsidR="00022A5B" w:rsidRPr="00B40A77">
        <w:rPr>
          <w:color w:val="000000" w:themeColor="text1"/>
          <w:lang w:val="en-US"/>
        </w:rPr>
        <w:t xml:space="preserve"> with or without sentencing submissions</w:t>
      </w:r>
      <w:r w:rsidR="00F45FD5" w:rsidRPr="00B40A77">
        <w:rPr>
          <w:color w:val="000000" w:themeColor="text1"/>
          <w:lang w:val="en-US"/>
        </w:rPr>
        <w:t>.</w:t>
      </w:r>
    </w:p>
    <w:p w14:paraId="31181FC6" w14:textId="14C6D41D" w:rsidR="00C55D89" w:rsidRPr="00B40A77" w:rsidRDefault="00F45FD5" w:rsidP="00F45FD5">
      <w:pPr>
        <w:pStyle w:val="Hangindent"/>
        <w:rPr>
          <w:color w:val="000000" w:themeColor="text1"/>
        </w:rPr>
      </w:pPr>
      <w:r w:rsidRPr="00B40A77">
        <w:rPr>
          <w:color w:val="000000" w:themeColor="text1"/>
          <w:lang w:val="en-US"/>
        </w:rPr>
        <w:t>(6)</w:t>
      </w:r>
      <w:r w:rsidRPr="00B40A77">
        <w:rPr>
          <w:color w:val="000000" w:themeColor="text1"/>
          <w:lang w:val="en-US"/>
        </w:rPr>
        <w:tab/>
      </w:r>
      <w:r w:rsidRPr="00B40A77">
        <w:rPr>
          <w:color w:val="000000" w:themeColor="text1"/>
        </w:rPr>
        <w:t xml:space="preserve">If a defendant appears </w:t>
      </w:r>
      <w:r w:rsidR="00E776A2" w:rsidRPr="00B40A77">
        <w:rPr>
          <w:color w:val="000000" w:themeColor="text1"/>
        </w:rPr>
        <w:t xml:space="preserve">at arraignment </w:t>
      </w:r>
      <w:r w:rsidRPr="00B40A77">
        <w:rPr>
          <w:color w:val="000000" w:themeColor="text1"/>
        </w:rPr>
        <w:t xml:space="preserve">in the guilty arraignment list, </w:t>
      </w:r>
      <w:r w:rsidR="00FA780B" w:rsidRPr="00B40A77">
        <w:rPr>
          <w:color w:val="000000" w:themeColor="text1"/>
          <w:lang w:val="en-US"/>
        </w:rPr>
        <w:t xml:space="preserve">generally </w:t>
      </w:r>
      <w:r w:rsidR="009655C6" w:rsidRPr="00B40A77">
        <w:rPr>
          <w:color w:val="000000" w:themeColor="text1"/>
        </w:rPr>
        <w:t>submissions</w:t>
      </w:r>
      <w:r w:rsidR="00C55D89" w:rsidRPr="00B40A77">
        <w:rPr>
          <w:color w:val="000000" w:themeColor="text1"/>
        </w:rPr>
        <w:t xml:space="preserve"> on </w:t>
      </w:r>
      <w:hyperlink w:anchor="_2.1—Definitions" w:history="1">
        <w:r w:rsidR="00596ADA" w:rsidRPr="00B40A77">
          <w:rPr>
            <w:rStyle w:val="Hyperlink"/>
            <w:color w:val="000000" w:themeColor="text1"/>
          </w:rPr>
          <w:t>sentence</w:t>
        </w:r>
      </w:hyperlink>
      <w:r w:rsidR="00C55D89" w:rsidRPr="00B40A77">
        <w:rPr>
          <w:color w:val="000000" w:themeColor="text1"/>
        </w:rPr>
        <w:t xml:space="preserve"> are </w:t>
      </w:r>
      <w:r w:rsidRPr="00B40A77">
        <w:rPr>
          <w:color w:val="000000" w:themeColor="text1"/>
        </w:rPr>
        <w:t xml:space="preserve">expected </w:t>
      </w:r>
      <w:r w:rsidR="00C55D89" w:rsidRPr="00B40A77">
        <w:rPr>
          <w:color w:val="000000" w:themeColor="text1"/>
        </w:rPr>
        <w:t>t</w:t>
      </w:r>
      <w:r w:rsidR="00FA780B" w:rsidRPr="00B40A77">
        <w:rPr>
          <w:color w:val="000000" w:themeColor="text1"/>
        </w:rPr>
        <w:t>o be made on the arraignment date</w:t>
      </w:r>
      <w:r w:rsidR="00C55D89" w:rsidRPr="00B40A77">
        <w:rPr>
          <w:color w:val="000000" w:themeColor="text1"/>
        </w:rPr>
        <w:t xml:space="preserve">. </w:t>
      </w:r>
    </w:p>
    <w:p w14:paraId="656EAA68" w14:textId="54834ECD" w:rsidR="00E776A2" w:rsidRPr="00B40A77" w:rsidRDefault="00E776A2" w:rsidP="009B218B">
      <w:pPr>
        <w:pStyle w:val="Hangindent"/>
        <w:keepNext/>
        <w:rPr>
          <w:color w:val="000000" w:themeColor="text1"/>
        </w:rPr>
      </w:pPr>
      <w:r w:rsidRPr="00B40A77">
        <w:rPr>
          <w:color w:val="000000" w:themeColor="text1"/>
        </w:rPr>
        <w:lastRenderedPageBreak/>
        <w:t>(7)</w:t>
      </w:r>
      <w:r w:rsidRPr="00B40A77">
        <w:rPr>
          <w:color w:val="000000" w:themeColor="text1"/>
        </w:rPr>
        <w:tab/>
        <w:t>If a defendant appears at arraignment in the not guilty arraignment list and pleads guilty, generally the defendant will be remanded for sentencing submissions.</w:t>
      </w:r>
    </w:p>
    <w:p w14:paraId="70BCC5EB" w14:textId="77777777" w:rsidR="007A4E80" w:rsidRPr="00B40A77" w:rsidRDefault="007A4E80" w:rsidP="007A4E80">
      <w:pPr>
        <w:pStyle w:val="NoteHeader"/>
        <w:keepNext/>
        <w:rPr>
          <w:color w:val="000000" w:themeColor="text1"/>
        </w:rPr>
      </w:pPr>
      <w:r w:rsidRPr="00B40A77">
        <w:rPr>
          <w:color w:val="000000" w:themeColor="text1"/>
        </w:rPr>
        <w:t>Note—</w:t>
      </w:r>
    </w:p>
    <w:p w14:paraId="4C72F20D" w14:textId="6762A5EA" w:rsidR="007A4E80" w:rsidRPr="00B40A77" w:rsidRDefault="008E273D" w:rsidP="001632A0">
      <w:pPr>
        <w:pStyle w:val="NoteText"/>
        <w:ind w:left="1440"/>
        <w:rPr>
          <w:color w:val="000000" w:themeColor="text1"/>
        </w:rPr>
      </w:pPr>
      <w:r w:rsidRPr="00B40A77">
        <w:rPr>
          <w:color w:val="000000" w:themeColor="text1"/>
        </w:rPr>
        <w:t>For circuit matters, the procedures for listing trials, disputed fact hearings and sentencing submissions are adapted to the circumstances of circuit hearings and differ from the procedures set out in this rule.</w:t>
      </w:r>
    </w:p>
    <w:p w14:paraId="26720AF5" w14:textId="6B8B59F3" w:rsidR="00804DD7" w:rsidRPr="00B40A77" w:rsidRDefault="00731EC5" w:rsidP="00B87028">
      <w:pPr>
        <w:pStyle w:val="Heading4"/>
        <w:rPr>
          <w:color w:val="000000" w:themeColor="text1"/>
        </w:rPr>
      </w:pPr>
      <w:bookmarkStart w:id="683" w:name="_Toc175239085"/>
      <w:r w:rsidRPr="00B40A77">
        <w:rPr>
          <w:color w:val="000000" w:themeColor="text1"/>
        </w:rPr>
        <w:t>96</w:t>
      </w:r>
      <w:r w:rsidR="00FA780B" w:rsidRPr="00B40A77">
        <w:rPr>
          <w:color w:val="000000" w:themeColor="text1"/>
        </w:rPr>
        <w:t>.5</w:t>
      </w:r>
      <w:r w:rsidR="00C62E77" w:rsidRPr="00B40A77">
        <w:rPr>
          <w:color w:val="000000" w:themeColor="text1"/>
        </w:rPr>
        <w:t>—Subsequent resolution</w:t>
      </w:r>
      <w:bookmarkEnd w:id="683"/>
    </w:p>
    <w:p w14:paraId="556EC9E9" w14:textId="2A461350" w:rsidR="005226AD" w:rsidRPr="00B40A77" w:rsidRDefault="00F275F2" w:rsidP="00037437">
      <w:pPr>
        <w:pStyle w:val="Hangindent"/>
        <w:keepNext/>
        <w:keepLines/>
        <w:rPr>
          <w:color w:val="000000" w:themeColor="text1"/>
        </w:rPr>
      </w:pPr>
      <w:r w:rsidRPr="00B40A77">
        <w:rPr>
          <w:color w:val="000000" w:themeColor="text1"/>
        </w:rPr>
        <w:t>(1)</w:t>
      </w:r>
      <w:r w:rsidRPr="00B40A77">
        <w:rPr>
          <w:color w:val="000000" w:themeColor="text1"/>
        </w:rPr>
        <w:tab/>
        <w:t>If</w:t>
      </w:r>
      <w:r w:rsidR="005226AD" w:rsidRPr="00B40A77">
        <w:rPr>
          <w:color w:val="000000" w:themeColor="text1"/>
        </w:rPr>
        <w:t xml:space="preserve"> after arraignment the matter is resolved on the basis of entry of a guilty plea or the defendant wishes to change their plea to guilty, the defendant must as soon as practicable file and serve on the Director a </w:t>
      </w:r>
      <w:r w:rsidR="005226AD" w:rsidRPr="00B40A77">
        <w:rPr>
          <w:color w:val="000000" w:themeColor="text1"/>
          <w:lang w:val="en-US"/>
        </w:rPr>
        <w:t xml:space="preserve">request to have </w:t>
      </w:r>
      <w:r w:rsidRPr="00B40A77">
        <w:rPr>
          <w:color w:val="000000" w:themeColor="text1"/>
          <w:lang w:val="en-US"/>
        </w:rPr>
        <w:t xml:space="preserve">the </w:t>
      </w:r>
      <w:r w:rsidR="005226AD" w:rsidRPr="00B40A77">
        <w:rPr>
          <w:color w:val="000000" w:themeColor="text1"/>
          <w:lang w:val="en-US"/>
        </w:rPr>
        <w:t>matter called on for guilty plea in the prescribed form</w:t>
      </w:r>
      <w:r w:rsidR="005226AD" w:rsidRPr="00B40A77">
        <w:rPr>
          <w:color w:val="000000" w:themeColor="text1"/>
        </w:rPr>
        <w:t>.</w:t>
      </w:r>
    </w:p>
    <w:p w14:paraId="1644C571" w14:textId="77777777" w:rsidR="005226AD" w:rsidRPr="00B40A77" w:rsidRDefault="005226AD" w:rsidP="00F45516">
      <w:pPr>
        <w:pStyle w:val="NoteHeader"/>
        <w:keepNext/>
        <w:rPr>
          <w:color w:val="000000" w:themeColor="text1"/>
        </w:rPr>
      </w:pPr>
      <w:r w:rsidRPr="00B40A77">
        <w:rPr>
          <w:color w:val="000000" w:themeColor="text1"/>
        </w:rPr>
        <w:t>Prescribed form—</w:t>
      </w:r>
    </w:p>
    <w:p w14:paraId="675732B3" w14:textId="2AC42538" w:rsidR="005226AD" w:rsidRPr="00B40A77" w:rsidRDefault="005226AD" w:rsidP="005226AD">
      <w:pPr>
        <w:pStyle w:val="NoteText"/>
        <w:rPr>
          <w:color w:val="000000" w:themeColor="text1"/>
        </w:rPr>
      </w:pPr>
      <w:r w:rsidRPr="00B40A77">
        <w:rPr>
          <w:color w:val="000000" w:themeColor="text1"/>
        </w:rPr>
        <w:t xml:space="preserve">Form 52 </w:t>
      </w:r>
      <w:hyperlink r:id="rId193" w:history="1">
        <w:r w:rsidR="00F275F2" w:rsidRPr="00B40A77">
          <w:rPr>
            <w:rStyle w:val="Hyperlink"/>
            <w:color w:val="000000" w:themeColor="text1"/>
          </w:rPr>
          <w:t>R</w:t>
        </w:r>
        <w:r w:rsidRPr="00B40A77">
          <w:rPr>
            <w:rStyle w:val="Hyperlink"/>
            <w:color w:val="000000" w:themeColor="text1"/>
          </w:rPr>
          <w:t xml:space="preserve">equest to have </w:t>
        </w:r>
        <w:r w:rsidR="00E036D6" w:rsidRPr="00B40A77">
          <w:rPr>
            <w:rStyle w:val="Hyperlink"/>
            <w:color w:val="000000" w:themeColor="text1"/>
          </w:rPr>
          <w:t>M</w:t>
        </w:r>
        <w:r w:rsidRPr="00B40A77">
          <w:rPr>
            <w:rStyle w:val="Hyperlink"/>
            <w:color w:val="000000" w:themeColor="text1"/>
          </w:rPr>
          <w:t xml:space="preserve">atter </w:t>
        </w:r>
        <w:r w:rsidR="00E036D6" w:rsidRPr="00B40A77">
          <w:rPr>
            <w:rStyle w:val="Hyperlink"/>
            <w:color w:val="000000" w:themeColor="text1"/>
          </w:rPr>
          <w:t>C</w:t>
        </w:r>
        <w:r w:rsidRPr="00B40A77">
          <w:rPr>
            <w:rStyle w:val="Hyperlink"/>
            <w:color w:val="000000" w:themeColor="text1"/>
          </w:rPr>
          <w:t xml:space="preserve">alled on for </w:t>
        </w:r>
        <w:r w:rsidR="00E036D6" w:rsidRPr="00B40A77">
          <w:rPr>
            <w:rStyle w:val="Hyperlink"/>
            <w:color w:val="000000" w:themeColor="text1"/>
          </w:rPr>
          <w:t>G</w:t>
        </w:r>
        <w:r w:rsidRPr="00B40A77">
          <w:rPr>
            <w:rStyle w:val="Hyperlink"/>
            <w:color w:val="000000" w:themeColor="text1"/>
          </w:rPr>
          <w:t xml:space="preserve">uilty </w:t>
        </w:r>
        <w:r w:rsidR="00E036D6" w:rsidRPr="00B40A77">
          <w:rPr>
            <w:rStyle w:val="Hyperlink"/>
            <w:color w:val="000000" w:themeColor="text1"/>
          </w:rPr>
          <w:t>P</w:t>
        </w:r>
        <w:r w:rsidRPr="00B40A77">
          <w:rPr>
            <w:rStyle w:val="Hyperlink"/>
            <w:color w:val="000000" w:themeColor="text1"/>
          </w:rPr>
          <w:t>lea</w:t>
        </w:r>
      </w:hyperlink>
    </w:p>
    <w:p w14:paraId="51B51510" w14:textId="12AB654A" w:rsidR="00FD4767" w:rsidRPr="00B40A77" w:rsidRDefault="00FA780B" w:rsidP="00C25F97">
      <w:pPr>
        <w:pStyle w:val="Hangindent"/>
        <w:rPr>
          <w:color w:val="000000" w:themeColor="text1"/>
          <w:lang w:val="en-US"/>
        </w:rPr>
      </w:pPr>
      <w:r w:rsidRPr="00B40A77">
        <w:rPr>
          <w:color w:val="000000" w:themeColor="text1"/>
        </w:rPr>
        <w:t>(</w:t>
      </w:r>
      <w:r w:rsidR="00C25F97" w:rsidRPr="00B40A77">
        <w:rPr>
          <w:color w:val="000000" w:themeColor="text1"/>
        </w:rPr>
        <w:t>2)</w:t>
      </w:r>
      <w:r w:rsidR="00C25F97" w:rsidRPr="00B40A77">
        <w:rPr>
          <w:color w:val="000000" w:themeColor="text1"/>
        </w:rPr>
        <w:tab/>
        <w:t>U</w:t>
      </w:r>
      <w:r w:rsidR="00AE0F70" w:rsidRPr="00B40A77">
        <w:rPr>
          <w:color w:val="000000" w:themeColor="text1"/>
        </w:rPr>
        <w:t xml:space="preserve">pon </w:t>
      </w:r>
      <w:r w:rsidR="00C25F97" w:rsidRPr="00B40A77">
        <w:rPr>
          <w:color w:val="000000" w:themeColor="text1"/>
        </w:rPr>
        <w:t>filing of a request to have matter called on for guilty plea under subrule</w:t>
      </w:r>
      <w:r w:rsidR="00C42A0C" w:rsidRPr="00B40A77">
        <w:rPr>
          <w:color w:val="000000" w:themeColor="text1"/>
        </w:rPr>
        <w:t> </w:t>
      </w:r>
      <w:r w:rsidR="00C25F97" w:rsidRPr="00B40A77">
        <w:rPr>
          <w:color w:val="000000" w:themeColor="text1"/>
        </w:rPr>
        <w:t xml:space="preserve">(1), </w:t>
      </w:r>
      <w:r w:rsidR="00AE0F70" w:rsidRPr="00B40A77">
        <w:rPr>
          <w:color w:val="000000" w:themeColor="text1"/>
        </w:rPr>
        <w:t xml:space="preserve">the </w:t>
      </w:r>
      <w:r w:rsidR="00C55D89" w:rsidRPr="00B40A77">
        <w:rPr>
          <w:color w:val="000000" w:themeColor="text1"/>
        </w:rPr>
        <w:t>matter</w:t>
      </w:r>
      <w:r w:rsidR="00AE0F70" w:rsidRPr="00B40A77">
        <w:rPr>
          <w:color w:val="000000" w:themeColor="text1"/>
        </w:rPr>
        <w:t xml:space="preserve"> will be placed</w:t>
      </w:r>
      <w:r w:rsidR="00C55D89" w:rsidRPr="00B40A77">
        <w:rPr>
          <w:color w:val="000000" w:themeColor="text1"/>
        </w:rPr>
        <w:t xml:space="preserve"> into an arraignment list and any listed </w:t>
      </w:r>
      <w:hyperlink w:anchor="_2.1—Definitions" w:history="1">
        <w:r w:rsidR="00C55D89" w:rsidRPr="00B40A77">
          <w:rPr>
            <w:rStyle w:val="Hyperlink"/>
            <w:color w:val="000000" w:themeColor="text1"/>
          </w:rPr>
          <w:t>hearing</w:t>
        </w:r>
      </w:hyperlink>
      <w:r w:rsidR="00C55D89" w:rsidRPr="00B40A77">
        <w:rPr>
          <w:color w:val="000000" w:themeColor="text1"/>
        </w:rPr>
        <w:t xml:space="preserve"> or </w:t>
      </w:r>
      <w:hyperlink w:anchor="_2.1—Definitions" w:history="1">
        <w:r w:rsidR="00AB0539" w:rsidRPr="00B40A77">
          <w:rPr>
            <w:rStyle w:val="Hyperlink"/>
            <w:color w:val="000000" w:themeColor="text1"/>
            <w:lang w:val="en-US"/>
          </w:rPr>
          <w:t>trial</w:t>
        </w:r>
      </w:hyperlink>
      <w:r w:rsidR="00C55D89" w:rsidRPr="00B40A77">
        <w:rPr>
          <w:color w:val="000000" w:themeColor="text1"/>
        </w:rPr>
        <w:t xml:space="preserve"> for that matter</w:t>
      </w:r>
      <w:r w:rsidR="00AE0F70" w:rsidRPr="00B40A77">
        <w:rPr>
          <w:color w:val="000000" w:themeColor="text1"/>
        </w:rPr>
        <w:t xml:space="preserve"> will be vacated</w:t>
      </w:r>
      <w:r w:rsidR="00C55D89" w:rsidRPr="00B40A77">
        <w:rPr>
          <w:color w:val="000000" w:themeColor="text1"/>
        </w:rPr>
        <w:t>.</w:t>
      </w:r>
    </w:p>
    <w:p w14:paraId="5DBA9BDE" w14:textId="263E53D7" w:rsidR="00970CE0" w:rsidRPr="00B40A77" w:rsidRDefault="00970CE0" w:rsidP="00BE23A0">
      <w:pPr>
        <w:pStyle w:val="Heading2"/>
        <w:keepNext/>
        <w:rPr>
          <w:color w:val="000000" w:themeColor="text1"/>
        </w:rPr>
      </w:pPr>
      <w:bookmarkStart w:id="684" w:name="_Toc175239086"/>
      <w:r w:rsidRPr="00B40A77">
        <w:rPr>
          <w:color w:val="000000" w:themeColor="text1"/>
        </w:rPr>
        <w:t xml:space="preserve">Part </w:t>
      </w:r>
      <w:r w:rsidR="00B87028" w:rsidRPr="00B40A77">
        <w:rPr>
          <w:color w:val="000000" w:themeColor="text1"/>
        </w:rPr>
        <w:t>6</w:t>
      </w:r>
      <w:r w:rsidRPr="00B40A77">
        <w:rPr>
          <w:color w:val="000000" w:themeColor="text1"/>
        </w:rPr>
        <w:t>—Amendment of Information</w:t>
      </w:r>
      <w:r w:rsidR="00B87028" w:rsidRPr="00B40A77">
        <w:rPr>
          <w:color w:val="000000" w:themeColor="text1"/>
        </w:rPr>
        <w:t xml:space="preserve"> and </w:t>
      </w:r>
      <w:r w:rsidR="00EC435E" w:rsidRPr="00B40A77">
        <w:rPr>
          <w:color w:val="000000" w:themeColor="text1"/>
        </w:rPr>
        <w:t>Particulars</w:t>
      </w:r>
      <w:bookmarkEnd w:id="684"/>
    </w:p>
    <w:p w14:paraId="5AFA707C" w14:textId="5C95F24B" w:rsidR="00970CE0" w:rsidRPr="00B40A77" w:rsidRDefault="00731EC5" w:rsidP="00970CE0">
      <w:pPr>
        <w:pStyle w:val="Heading4"/>
        <w:rPr>
          <w:color w:val="000000" w:themeColor="text1"/>
        </w:rPr>
      </w:pPr>
      <w:bookmarkStart w:id="685" w:name="_97.1—Amendment_with_or"/>
      <w:bookmarkStart w:id="686" w:name="_Toc175239087"/>
      <w:bookmarkStart w:id="687" w:name="_Hlk110929514"/>
      <w:bookmarkEnd w:id="685"/>
      <w:r w:rsidRPr="00B40A77">
        <w:rPr>
          <w:color w:val="000000" w:themeColor="text1"/>
        </w:rPr>
        <w:t>97</w:t>
      </w:r>
      <w:r w:rsidR="00970CE0" w:rsidRPr="00B40A77">
        <w:rPr>
          <w:color w:val="000000" w:themeColor="text1"/>
        </w:rPr>
        <w:t>.1—Amendment with or without leave</w:t>
      </w:r>
      <w:bookmarkEnd w:id="686"/>
    </w:p>
    <w:p w14:paraId="54BA20E8" w14:textId="54598D0A" w:rsidR="00970CE0" w:rsidRPr="00B40A77" w:rsidRDefault="00970CE0" w:rsidP="00970CE0">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Subject to subrules</w:t>
      </w:r>
      <w:r w:rsidR="00C42A0C" w:rsidRPr="00B40A77">
        <w:rPr>
          <w:rFonts w:cs="Times New Roman"/>
          <w:color w:val="000000" w:themeColor="text1"/>
        </w:rPr>
        <w:t> </w:t>
      </w:r>
      <w:r w:rsidRPr="00B40A77">
        <w:rPr>
          <w:rFonts w:cs="Times New Roman"/>
          <w:color w:val="000000" w:themeColor="text1"/>
        </w:rPr>
        <w:t>(</w:t>
      </w:r>
      <w:r w:rsidR="00244AAD" w:rsidRPr="00B40A77">
        <w:rPr>
          <w:rFonts w:cs="Times New Roman"/>
          <w:color w:val="000000" w:themeColor="text1"/>
        </w:rPr>
        <w:t>4</w:t>
      </w:r>
      <w:r w:rsidRPr="00B40A77">
        <w:rPr>
          <w:rFonts w:cs="Times New Roman"/>
          <w:color w:val="000000" w:themeColor="text1"/>
        </w:rPr>
        <w:t>)</w:t>
      </w:r>
      <w:r w:rsidR="003239AA" w:rsidRPr="00B40A77">
        <w:rPr>
          <w:rFonts w:cs="Times New Roman"/>
          <w:color w:val="000000" w:themeColor="text1"/>
        </w:rPr>
        <w:t>, (</w:t>
      </w:r>
      <w:r w:rsidR="00244AAD" w:rsidRPr="00B40A77">
        <w:rPr>
          <w:rFonts w:cs="Times New Roman"/>
          <w:color w:val="000000" w:themeColor="text1"/>
        </w:rPr>
        <w:t>5</w:t>
      </w:r>
      <w:r w:rsidR="003239AA" w:rsidRPr="00B40A77">
        <w:rPr>
          <w:rFonts w:cs="Times New Roman"/>
          <w:color w:val="000000" w:themeColor="text1"/>
        </w:rPr>
        <w:t>)</w:t>
      </w:r>
      <w:r w:rsidRPr="00B40A77">
        <w:rPr>
          <w:rFonts w:cs="Times New Roman"/>
          <w:color w:val="000000" w:themeColor="text1"/>
        </w:rPr>
        <w:t xml:space="preserve"> and</w:t>
      </w:r>
      <w:r w:rsidR="00C42A0C" w:rsidRPr="00B40A77">
        <w:rPr>
          <w:rFonts w:cs="Times New Roman"/>
          <w:color w:val="000000" w:themeColor="text1"/>
        </w:rPr>
        <w:t> </w:t>
      </w:r>
      <w:r w:rsidRPr="00B40A77">
        <w:rPr>
          <w:rFonts w:cs="Times New Roman"/>
          <w:color w:val="000000" w:themeColor="text1"/>
        </w:rPr>
        <w:t>(</w:t>
      </w:r>
      <w:r w:rsidR="00244AAD" w:rsidRPr="00B40A77">
        <w:rPr>
          <w:rFonts w:cs="Times New Roman"/>
          <w:color w:val="000000" w:themeColor="text1"/>
        </w:rPr>
        <w:t>6</w:t>
      </w:r>
      <w:r w:rsidRPr="00B40A77">
        <w:rPr>
          <w:rFonts w:cs="Times New Roman"/>
          <w:color w:val="000000" w:themeColor="text1"/>
        </w:rPr>
        <w:t xml:space="preserve">), the Director may amend the Information </w:t>
      </w:r>
      <w:r w:rsidRPr="00B40A77">
        <w:rPr>
          <w:color w:val="000000" w:themeColor="text1"/>
        </w:rPr>
        <w:t>(including to add</w:t>
      </w:r>
      <w:r w:rsidRPr="00B40A77">
        <w:rPr>
          <w:rFonts w:cs="Times New Roman"/>
          <w:color w:val="000000" w:themeColor="text1"/>
        </w:rPr>
        <w:t xml:space="preserve"> an additional defendant or count or to delete or amend an existing count) at any time up to</w:t>
      </w:r>
      <w:r w:rsidR="00CF5081" w:rsidRPr="00B40A77">
        <w:rPr>
          <w:rFonts w:cs="Times New Roman"/>
          <w:color w:val="000000" w:themeColor="text1"/>
        </w:rPr>
        <w:t xml:space="preserve"> </w:t>
      </w:r>
      <w:r w:rsidR="00216F94" w:rsidRPr="00B40A77">
        <w:rPr>
          <w:rFonts w:cs="Times New Roman"/>
          <w:color w:val="000000" w:themeColor="text1"/>
        </w:rPr>
        <w:t xml:space="preserve">6 weeks </w:t>
      </w:r>
      <w:r w:rsidR="00CF5081" w:rsidRPr="00B40A77">
        <w:rPr>
          <w:rFonts w:cs="Times New Roman"/>
          <w:color w:val="000000" w:themeColor="text1"/>
        </w:rPr>
        <w:t xml:space="preserve">before the </w:t>
      </w:r>
      <w:hyperlink w:anchor="_2.1—Definitions" w:history="1">
        <w:r w:rsidR="004740A2" w:rsidRPr="00B40A77">
          <w:rPr>
            <w:rStyle w:val="Hyperlink"/>
            <w:color w:val="000000" w:themeColor="text1"/>
          </w:rPr>
          <w:t>trial date</w:t>
        </w:r>
      </w:hyperlink>
      <w:r w:rsidRPr="00B40A77">
        <w:rPr>
          <w:rFonts w:cs="Times New Roman"/>
          <w:color w:val="000000" w:themeColor="text1"/>
        </w:rPr>
        <w:t>.</w:t>
      </w:r>
    </w:p>
    <w:p w14:paraId="13ABDA44" w14:textId="6B7A743F" w:rsidR="00E578A1" w:rsidRPr="00B40A77" w:rsidRDefault="00E578A1" w:rsidP="00E578A1">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If the Director files a revised Information under subrule (1) and the amendment is capable of increasing the length of the </w:t>
      </w:r>
      <w:hyperlink w:anchor="_2.1—Definitions" w:history="1">
        <w:r w:rsidRPr="00B40A77">
          <w:rPr>
            <w:rStyle w:val="Hyperlink"/>
            <w:color w:val="000000" w:themeColor="text1"/>
            <w:lang w:val="en-US"/>
          </w:rPr>
          <w:t>trial</w:t>
        </w:r>
      </w:hyperlink>
      <w:r w:rsidRPr="00B40A77">
        <w:rPr>
          <w:rStyle w:val="Hyperlink"/>
          <w:color w:val="000000" w:themeColor="text1"/>
          <w:u w:val="none"/>
          <w:lang w:val="en-US"/>
        </w:rPr>
        <w:t xml:space="preserve"> or affecting the </w:t>
      </w:r>
      <w:hyperlink w:anchor="_2.1—Definitions" w:history="1">
        <w:r w:rsidR="00D40F1D" w:rsidRPr="00B40A77">
          <w:rPr>
            <w:rStyle w:val="Hyperlink"/>
            <w:color w:val="000000" w:themeColor="text1"/>
            <w:lang w:val="en-US"/>
          </w:rPr>
          <w:t>trial</w:t>
        </w:r>
      </w:hyperlink>
      <w:r w:rsidRPr="00B40A77">
        <w:rPr>
          <w:rStyle w:val="Hyperlink"/>
          <w:color w:val="000000" w:themeColor="text1"/>
          <w:u w:val="none"/>
          <w:lang w:val="en-US"/>
        </w:rPr>
        <w:t xml:space="preserve"> proceeding on the </w:t>
      </w:r>
      <w:hyperlink w:anchor="_2.1—Definitions" w:history="1">
        <w:r w:rsidR="00D40F1D" w:rsidRPr="00B40A77">
          <w:rPr>
            <w:rStyle w:val="Hyperlink"/>
            <w:color w:val="000000" w:themeColor="text1"/>
          </w:rPr>
          <w:t>trial date</w:t>
        </w:r>
      </w:hyperlink>
      <w:r w:rsidRPr="00B40A77">
        <w:rPr>
          <w:rFonts w:cs="Times New Roman"/>
          <w:color w:val="000000" w:themeColor="text1"/>
        </w:rPr>
        <w:t xml:space="preserve">, the Director must, upon filing the revised Information, notify the Court of this fact. </w:t>
      </w:r>
    </w:p>
    <w:p w14:paraId="77EFFD8F" w14:textId="6D1283B1" w:rsidR="003239AA" w:rsidRPr="00B40A77" w:rsidRDefault="003239AA" w:rsidP="003239AA">
      <w:pPr>
        <w:pStyle w:val="Hangindent"/>
        <w:rPr>
          <w:rFonts w:cs="Times New Roman"/>
          <w:color w:val="000000" w:themeColor="text1"/>
        </w:rPr>
      </w:pPr>
      <w:r w:rsidRPr="00B40A77">
        <w:rPr>
          <w:rFonts w:cs="Times New Roman"/>
          <w:color w:val="000000" w:themeColor="text1"/>
        </w:rPr>
        <w:t>(</w:t>
      </w:r>
      <w:r w:rsidR="00244AAD" w:rsidRPr="00B40A77">
        <w:rPr>
          <w:rFonts w:cs="Times New Roman"/>
          <w:color w:val="000000" w:themeColor="text1"/>
        </w:rPr>
        <w:t>3</w:t>
      </w:r>
      <w:r w:rsidRPr="00B40A77">
        <w:rPr>
          <w:rFonts w:cs="Times New Roman"/>
          <w:color w:val="000000" w:themeColor="text1"/>
        </w:rPr>
        <w:t>)</w:t>
      </w:r>
      <w:r w:rsidRPr="00B40A77">
        <w:rPr>
          <w:rFonts w:cs="Times New Roman"/>
          <w:color w:val="000000" w:themeColor="text1"/>
        </w:rPr>
        <w:tab/>
        <w:t>Subject to subrules (</w:t>
      </w:r>
      <w:r w:rsidR="00244AAD" w:rsidRPr="00B40A77">
        <w:rPr>
          <w:rFonts w:cs="Times New Roman"/>
          <w:color w:val="000000" w:themeColor="text1"/>
        </w:rPr>
        <w:t>4</w:t>
      </w:r>
      <w:r w:rsidRPr="00B40A77">
        <w:rPr>
          <w:rFonts w:cs="Times New Roman"/>
          <w:color w:val="000000" w:themeColor="text1"/>
        </w:rPr>
        <w:t>), (</w:t>
      </w:r>
      <w:r w:rsidR="00244AAD" w:rsidRPr="00B40A77">
        <w:rPr>
          <w:rFonts w:cs="Times New Roman"/>
          <w:color w:val="000000" w:themeColor="text1"/>
        </w:rPr>
        <w:t>5</w:t>
      </w:r>
      <w:r w:rsidRPr="00B40A77">
        <w:rPr>
          <w:rFonts w:cs="Times New Roman"/>
          <w:color w:val="000000" w:themeColor="text1"/>
        </w:rPr>
        <w:t>) and (</w:t>
      </w:r>
      <w:r w:rsidR="00244AAD" w:rsidRPr="00B40A77">
        <w:rPr>
          <w:rFonts w:cs="Times New Roman"/>
          <w:color w:val="000000" w:themeColor="text1"/>
        </w:rPr>
        <w:t>6</w:t>
      </w:r>
      <w:r w:rsidRPr="00B40A77">
        <w:rPr>
          <w:rFonts w:cs="Times New Roman"/>
          <w:color w:val="000000" w:themeColor="text1"/>
        </w:rPr>
        <w:t xml:space="preserve">), the Director may amend the Information </w:t>
      </w:r>
      <w:r w:rsidRPr="00B40A77">
        <w:rPr>
          <w:color w:val="000000" w:themeColor="text1"/>
        </w:rPr>
        <w:t xml:space="preserve">(including to </w:t>
      </w:r>
      <w:r w:rsidRPr="00B40A77">
        <w:rPr>
          <w:rFonts w:cs="Times New Roman"/>
          <w:color w:val="000000" w:themeColor="text1"/>
        </w:rPr>
        <w:t>delete</w:t>
      </w:r>
      <w:r w:rsidR="0097533C" w:rsidRPr="00B40A77">
        <w:rPr>
          <w:rFonts w:cs="Times New Roman"/>
          <w:color w:val="000000" w:themeColor="text1"/>
        </w:rPr>
        <w:t>, add</w:t>
      </w:r>
      <w:r w:rsidRPr="00B40A77">
        <w:rPr>
          <w:rFonts w:cs="Times New Roman"/>
          <w:color w:val="000000" w:themeColor="text1"/>
        </w:rPr>
        <w:t xml:space="preserve"> or amend an existing count) at any time</w:t>
      </w:r>
      <w:r w:rsidR="0097533C" w:rsidRPr="00B40A77">
        <w:rPr>
          <w:rFonts w:cs="Times New Roman"/>
          <w:color w:val="000000" w:themeColor="text1"/>
        </w:rPr>
        <w:t xml:space="preserve"> before the</w:t>
      </w:r>
      <w:r w:rsidRPr="00B40A77">
        <w:rPr>
          <w:rFonts w:cs="Times New Roman"/>
          <w:color w:val="000000" w:themeColor="text1"/>
        </w:rPr>
        <w:t xml:space="preserve"> </w:t>
      </w:r>
      <w:hyperlink w:anchor="_2.1—Definitions" w:history="1">
        <w:r w:rsidR="0097533C" w:rsidRPr="00B40A77">
          <w:rPr>
            <w:rStyle w:val="Hyperlink"/>
            <w:color w:val="000000" w:themeColor="text1"/>
          </w:rPr>
          <w:t>trial date</w:t>
        </w:r>
      </w:hyperlink>
      <w:r w:rsidR="0097533C" w:rsidRPr="00B40A77">
        <w:rPr>
          <w:color w:val="000000" w:themeColor="text1"/>
          <w:u w:val="single"/>
        </w:rPr>
        <w:t xml:space="preserve"> </w:t>
      </w:r>
      <w:r w:rsidRPr="00B40A77">
        <w:rPr>
          <w:rFonts w:cs="Times New Roman"/>
          <w:color w:val="000000" w:themeColor="text1"/>
        </w:rPr>
        <w:t xml:space="preserve">if the amendment is not capable of increasing the length of the </w:t>
      </w:r>
      <w:hyperlink w:anchor="_2.1—Definitions" w:history="1">
        <w:r w:rsidRPr="00B40A77">
          <w:rPr>
            <w:rStyle w:val="Hyperlink"/>
            <w:color w:val="000000" w:themeColor="text1"/>
            <w:lang w:val="en-US"/>
          </w:rPr>
          <w:t>trial</w:t>
        </w:r>
      </w:hyperlink>
      <w:r w:rsidR="00D1217E" w:rsidRPr="00B40A77">
        <w:rPr>
          <w:rStyle w:val="Hyperlink"/>
          <w:color w:val="000000" w:themeColor="text1"/>
          <w:u w:val="none"/>
          <w:lang w:val="en-US"/>
        </w:rPr>
        <w:t xml:space="preserve"> or affecting the </w:t>
      </w:r>
      <w:hyperlink w:anchor="_2.1—Definitions" w:history="1">
        <w:r w:rsidR="00D40F1D" w:rsidRPr="00B40A77">
          <w:rPr>
            <w:rStyle w:val="Hyperlink"/>
            <w:color w:val="000000" w:themeColor="text1"/>
            <w:lang w:val="en-US"/>
          </w:rPr>
          <w:t>trial</w:t>
        </w:r>
      </w:hyperlink>
      <w:r w:rsidR="00D1217E" w:rsidRPr="00B40A77">
        <w:rPr>
          <w:rStyle w:val="Hyperlink"/>
          <w:color w:val="000000" w:themeColor="text1"/>
          <w:u w:val="none"/>
          <w:lang w:val="en-US"/>
        </w:rPr>
        <w:t xml:space="preserve"> proceeding on the </w:t>
      </w:r>
      <w:hyperlink w:anchor="_2.1—Definitions" w:history="1">
        <w:r w:rsidR="00D40F1D" w:rsidRPr="00B40A77">
          <w:rPr>
            <w:rStyle w:val="Hyperlink"/>
            <w:color w:val="000000" w:themeColor="text1"/>
          </w:rPr>
          <w:t>trial date</w:t>
        </w:r>
      </w:hyperlink>
      <w:r w:rsidRPr="00B40A77">
        <w:rPr>
          <w:rFonts w:cs="Times New Roman"/>
          <w:color w:val="000000" w:themeColor="text1"/>
        </w:rPr>
        <w:t>.</w:t>
      </w:r>
    </w:p>
    <w:p w14:paraId="038D58A6" w14:textId="7A5321D8" w:rsidR="00970CE0" w:rsidRPr="00B40A77" w:rsidRDefault="00970CE0" w:rsidP="00970CE0">
      <w:pPr>
        <w:pStyle w:val="Hangindent"/>
        <w:rPr>
          <w:rFonts w:cs="Times New Roman"/>
          <w:color w:val="000000" w:themeColor="text1"/>
        </w:rPr>
      </w:pPr>
      <w:r w:rsidRPr="00B40A77">
        <w:rPr>
          <w:rFonts w:cs="Times New Roman"/>
          <w:color w:val="000000" w:themeColor="text1"/>
        </w:rPr>
        <w:t>(</w:t>
      </w:r>
      <w:r w:rsidR="00244AAD" w:rsidRPr="00B40A77">
        <w:rPr>
          <w:rFonts w:cs="Times New Roman"/>
          <w:color w:val="000000" w:themeColor="text1"/>
        </w:rPr>
        <w:t>4</w:t>
      </w:r>
      <w:r w:rsidRPr="00B40A77">
        <w:rPr>
          <w:rFonts w:cs="Times New Roman"/>
          <w:color w:val="000000" w:themeColor="text1"/>
        </w:rPr>
        <w:t>)</w:t>
      </w:r>
      <w:r w:rsidRPr="00B40A77">
        <w:rPr>
          <w:rFonts w:cs="Times New Roman"/>
          <w:color w:val="000000" w:themeColor="text1"/>
        </w:rPr>
        <w:tab/>
      </w:r>
      <w:r w:rsidR="00E26F32" w:rsidRPr="00B40A77">
        <w:rPr>
          <w:rFonts w:cs="Times New Roman"/>
          <w:color w:val="000000" w:themeColor="text1"/>
        </w:rPr>
        <w:t xml:space="preserve">The Director </w:t>
      </w:r>
      <w:r w:rsidRPr="00B40A77">
        <w:rPr>
          <w:rFonts w:cs="Times New Roman"/>
          <w:color w:val="000000" w:themeColor="text1"/>
        </w:rPr>
        <w:t xml:space="preserve">may not amend under this rule if the amendment would add a </w:t>
      </w:r>
      <w:hyperlink w:anchor="_2.1—Definitions" w:history="1">
        <w:r w:rsidRPr="00B40A77">
          <w:rPr>
            <w:rStyle w:val="Hyperlink"/>
            <w:rFonts w:cs="Times New Roman"/>
            <w:color w:val="000000" w:themeColor="text1"/>
            <w:u w:val="none"/>
          </w:rPr>
          <w:t>count</w:t>
        </w:r>
      </w:hyperlink>
      <w:r w:rsidRPr="00B40A77">
        <w:rPr>
          <w:rStyle w:val="Hyperlink"/>
          <w:rFonts w:cs="Times New Roman"/>
          <w:color w:val="000000" w:themeColor="text1"/>
          <w:u w:val="none"/>
        </w:rPr>
        <w:t xml:space="preserve"> against a party</w:t>
      </w:r>
      <w:r w:rsidRPr="00B40A77">
        <w:rPr>
          <w:rFonts w:cs="Times New Roman"/>
          <w:color w:val="000000" w:themeColor="text1"/>
        </w:rPr>
        <w:t xml:space="preserve"> that is statute barred </w:t>
      </w:r>
      <w:r w:rsidRPr="00B40A77">
        <w:rPr>
          <w:color w:val="000000" w:themeColor="text1"/>
        </w:rPr>
        <w:t>due to the effluxion of time</w:t>
      </w:r>
      <w:r w:rsidRPr="00B40A77">
        <w:rPr>
          <w:rFonts w:cs="Times New Roman"/>
          <w:color w:val="000000" w:themeColor="text1"/>
        </w:rPr>
        <w:t>.</w:t>
      </w:r>
    </w:p>
    <w:p w14:paraId="16354B06" w14:textId="72F74DD0" w:rsidR="00594436" w:rsidRPr="00B40A77" w:rsidRDefault="00594436" w:rsidP="00594436">
      <w:pPr>
        <w:pStyle w:val="Hangindent"/>
        <w:rPr>
          <w:rFonts w:cs="Times New Roman"/>
          <w:color w:val="000000" w:themeColor="text1"/>
        </w:rPr>
      </w:pPr>
      <w:r w:rsidRPr="00B40A77">
        <w:rPr>
          <w:rFonts w:cs="Times New Roman"/>
          <w:color w:val="000000" w:themeColor="text1"/>
        </w:rPr>
        <w:t>(</w:t>
      </w:r>
      <w:r w:rsidR="00244AAD" w:rsidRPr="00B40A77">
        <w:rPr>
          <w:rFonts w:cs="Times New Roman"/>
          <w:color w:val="000000" w:themeColor="text1"/>
        </w:rPr>
        <w:t>5</w:t>
      </w:r>
      <w:r w:rsidRPr="00B40A77">
        <w:rPr>
          <w:rFonts w:cs="Times New Roman"/>
          <w:color w:val="000000" w:themeColor="text1"/>
        </w:rPr>
        <w:t>)</w:t>
      </w:r>
      <w:r w:rsidRPr="00B40A77">
        <w:rPr>
          <w:rFonts w:cs="Times New Roman"/>
          <w:color w:val="000000" w:themeColor="text1"/>
        </w:rPr>
        <w:tab/>
        <w:t>The Director may not amend under subrule (1) or (2) if the trial of the proceeding has been allocated to</w:t>
      </w:r>
      <w:r w:rsidR="008B1380" w:rsidRPr="00B40A77">
        <w:rPr>
          <w:rFonts w:cs="Times New Roman"/>
          <w:color w:val="000000" w:themeColor="text1"/>
        </w:rPr>
        <w:t xml:space="preserve">, and pre-trial proceedings are being managed by, the </w:t>
      </w:r>
      <w:r w:rsidRPr="00B40A77">
        <w:rPr>
          <w:rFonts w:cs="Times New Roman"/>
          <w:color w:val="000000" w:themeColor="text1"/>
        </w:rPr>
        <w:t xml:space="preserve"> trial Judge.</w:t>
      </w:r>
    </w:p>
    <w:p w14:paraId="608E8F27" w14:textId="1B5188A8" w:rsidR="00970CE0" w:rsidRPr="00B40A77" w:rsidRDefault="00970CE0" w:rsidP="00970CE0">
      <w:pPr>
        <w:pStyle w:val="Hangindent"/>
        <w:rPr>
          <w:rFonts w:cs="Times New Roman"/>
          <w:color w:val="000000" w:themeColor="text1"/>
        </w:rPr>
      </w:pPr>
      <w:r w:rsidRPr="00B40A77">
        <w:rPr>
          <w:rFonts w:cs="Times New Roman"/>
          <w:color w:val="000000" w:themeColor="text1"/>
        </w:rPr>
        <w:t>(</w:t>
      </w:r>
      <w:r w:rsidR="00244AAD" w:rsidRPr="00B40A77">
        <w:rPr>
          <w:rFonts w:cs="Times New Roman"/>
          <w:color w:val="000000" w:themeColor="text1"/>
        </w:rPr>
        <w:t>6</w:t>
      </w:r>
      <w:r w:rsidRPr="00B40A77">
        <w:rPr>
          <w:rFonts w:cs="Times New Roman"/>
          <w:color w:val="000000" w:themeColor="text1"/>
        </w:rPr>
        <w:t>)</w:t>
      </w:r>
      <w:r w:rsidRPr="00B40A77">
        <w:rPr>
          <w:rFonts w:cs="Times New Roman"/>
          <w:color w:val="000000" w:themeColor="text1"/>
        </w:rPr>
        <w:tab/>
        <w:t xml:space="preserve">If </w:t>
      </w:r>
      <w:r w:rsidR="00E26F32" w:rsidRPr="00B40A77">
        <w:rPr>
          <w:rFonts w:cs="Times New Roman"/>
          <w:color w:val="000000" w:themeColor="text1"/>
        </w:rPr>
        <w:t xml:space="preserve">the Director </w:t>
      </w:r>
      <w:r w:rsidRPr="00B40A77">
        <w:rPr>
          <w:rFonts w:cs="Times New Roman"/>
          <w:color w:val="000000" w:themeColor="text1"/>
        </w:rPr>
        <w:t xml:space="preserve">files a revised Information under </w:t>
      </w:r>
      <w:r w:rsidR="005F2961" w:rsidRPr="00B40A77">
        <w:rPr>
          <w:rFonts w:cs="Times New Roman"/>
          <w:color w:val="000000" w:themeColor="text1"/>
        </w:rPr>
        <w:t>sub</w:t>
      </w:r>
      <w:r w:rsidRPr="00B40A77">
        <w:rPr>
          <w:rFonts w:cs="Times New Roman"/>
          <w:color w:val="000000" w:themeColor="text1"/>
        </w:rPr>
        <w:t>rule</w:t>
      </w:r>
      <w:r w:rsidR="005F2961" w:rsidRPr="00B40A77">
        <w:rPr>
          <w:rFonts w:cs="Times New Roman"/>
          <w:color w:val="000000" w:themeColor="text1"/>
        </w:rPr>
        <w:t xml:space="preserve"> (1)</w:t>
      </w:r>
      <w:r w:rsidR="00216F94" w:rsidRPr="00B40A77">
        <w:rPr>
          <w:rFonts w:cs="Times New Roman"/>
          <w:color w:val="000000" w:themeColor="text1"/>
        </w:rPr>
        <w:t xml:space="preserve"> or (</w:t>
      </w:r>
      <w:r w:rsidR="00594436" w:rsidRPr="00B40A77">
        <w:rPr>
          <w:rFonts w:cs="Times New Roman"/>
          <w:color w:val="000000" w:themeColor="text1"/>
        </w:rPr>
        <w:t>2</w:t>
      </w:r>
      <w:r w:rsidR="00216F94" w:rsidRPr="00B40A77">
        <w:rPr>
          <w:rFonts w:cs="Times New Roman"/>
          <w:color w:val="000000" w:themeColor="text1"/>
        </w:rPr>
        <w:t>)</w:t>
      </w:r>
      <w:r w:rsidRPr="00B40A77">
        <w:rPr>
          <w:rFonts w:cs="Times New Roman"/>
          <w:color w:val="000000" w:themeColor="text1"/>
        </w:rPr>
        <w:t xml:space="preserve">, a defendant may apply for an order disallowing the amendment in whole or in part. </w:t>
      </w:r>
    </w:p>
    <w:p w14:paraId="5816A382" w14:textId="62616221" w:rsidR="00970CE0" w:rsidRPr="00B40A77" w:rsidRDefault="00970CE0" w:rsidP="00970CE0">
      <w:pPr>
        <w:pStyle w:val="Hangindent"/>
        <w:rPr>
          <w:rFonts w:cs="Times New Roman"/>
          <w:color w:val="000000" w:themeColor="text1"/>
        </w:rPr>
      </w:pPr>
      <w:r w:rsidRPr="00B40A77">
        <w:rPr>
          <w:rFonts w:cs="Times New Roman"/>
          <w:color w:val="000000" w:themeColor="text1"/>
        </w:rPr>
        <w:t>(</w:t>
      </w:r>
      <w:r w:rsidR="00594436" w:rsidRPr="00B40A77">
        <w:rPr>
          <w:rFonts w:cs="Times New Roman"/>
          <w:color w:val="000000" w:themeColor="text1"/>
        </w:rPr>
        <w:t>7</w:t>
      </w:r>
      <w:r w:rsidRPr="00B40A77">
        <w:rPr>
          <w:rFonts w:cs="Times New Roman"/>
          <w:color w:val="000000" w:themeColor="text1"/>
        </w:rPr>
        <w:t>)</w:t>
      </w:r>
      <w:r w:rsidRPr="00B40A77">
        <w:rPr>
          <w:rFonts w:cs="Times New Roman"/>
          <w:color w:val="000000" w:themeColor="text1"/>
        </w:rPr>
        <w:tab/>
        <w:t xml:space="preserve">The </w:t>
      </w:r>
      <w:r w:rsidR="00E26F32" w:rsidRPr="00B40A77">
        <w:rPr>
          <w:rFonts w:cs="Times New Roman"/>
          <w:color w:val="000000" w:themeColor="text1"/>
        </w:rPr>
        <w:t>Director</w:t>
      </w:r>
      <w:r w:rsidRPr="00B40A77">
        <w:rPr>
          <w:rFonts w:cs="Times New Roman"/>
          <w:color w:val="000000" w:themeColor="text1"/>
        </w:rPr>
        <w:t xml:space="preserve"> may amend the Information </w:t>
      </w:r>
      <w:r w:rsidRPr="00B40A77">
        <w:rPr>
          <w:color w:val="000000" w:themeColor="text1"/>
        </w:rPr>
        <w:t>(including to add</w:t>
      </w:r>
      <w:r w:rsidRPr="00B40A77">
        <w:rPr>
          <w:rFonts w:cs="Times New Roman"/>
          <w:color w:val="000000" w:themeColor="text1"/>
        </w:rPr>
        <w:t xml:space="preserve"> an additional defendant or count or to delete or amend an existing count) at any time </w:t>
      </w:r>
      <w:r w:rsidRPr="00B40A77">
        <w:rPr>
          <w:color w:val="000000" w:themeColor="text1"/>
        </w:rPr>
        <w:t>with the leave of the Court.</w:t>
      </w:r>
    </w:p>
    <w:p w14:paraId="79375853" w14:textId="590C3B56" w:rsidR="00274D73" w:rsidRPr="00B40A77" w:rsidRDefault="00274D73" w:rsidP="00037437">
      <w:pPr>
        <w:pStyle w:val="Hangindent"/>
        <w:keepNext/>
        <w:rPr>
          <w:rFonts w:cs="Times New Roman"/>
          <w:color w:val="000000" w:themeColor="text1"/>
        </w:rPr>
      </w:pPr>
      <w:r w:rsidRPr="00B40A77">
        <w:rPr>
          <w:rFonts w:cs="Times New Roman"/>
          <w:color w:val="000000" w:themeColor="text1"/>
        </w:rPr>
        <w:lastRenderedPageBreak/>
        <w:t>(</w:t>
      </w:r>
      <w:r w:rsidR="00594436" w:rsidRPr="00B40A77">
        <w:rPr>
          <w:rFonts w:cs="Times New Roman"/>
          <w:color w:val="000000" w:themeColor="text1"/>
        </w:rPr>
        <w:t>8</w:t>
      </w:r>
      <w:r w:rsidRPr="00B40A77">
        <w:rPr>
          <w:rFonts w:cs="Times New Roman"/>
          <w:color w:val="000000" w:themeColor="text1"/>
        </w:rPr>
        <w:t>)</w:t>
      </w:r>
      <w:r w:rsidRPr="00B40A77">
        <w:rPr>
          <w:rFonts w:cs="Times New Roman"/>
          <w:color w:val="000000" w:themeColor="text1"/>
        </w:rPr>
        <w:tab/>
        <w:t>If the Director seeks leave to amend the Information, the Director must file, and serve on each defendant, a draft revised Information either as a standalone filed document in the prescribed form or as an exhibit to an affidavit.</w:t>
      </w:r>
    </w:p>
    <w:p w14:paraId="5B445373" w14:textId="77777777" w:rsidR="00274D73" w:rsidRPr="00B40A77" w:rsidRDefault="00274D73" w:rsidP="003B67CF">
      <w:pPr>
        <w:pStyle w:val="NoteHeader"/>
        <w:keepNext/>
        <w:rPr>
          <w:color w:val="000000" w:themeColor="text1"/>
        </w:rPr>
      </w:pPr>
      <w:r w:rsidRPr="00B40A77">
        <w:rPr>
          <w:color w:val="000000" w:themeColor="text1"/>
        </w:rPr>
        <w:t>Prescribed form—</w:t>
      </w:r>
    </w:p>
    <w:p w14:paraId="674240CF" w14:textId="6246681B" w:rsidR="00274D73" w:rsidRPr="00B40A77" w:rsidRDefault="00274D73" w:rsidP="00763DD0">
      <w:pPr>
        <w:pStyle w:val="NoteText"/>
        <w:keepNext/>
        <w:rPr>
          <w:color w:val="000000" w:themeColor="text1"/>
          <w:u w:val="single"/>
        </w:rPr>
      </w:pPr>
      <w:r w:rsidRPr="00B40A77">
        <w:rPr>
          <w:color w:val="000000" w:themeColor="text1"/>
        </w:rPr>
        <w:t xml:space="preserve">Form </w:t>
      </w:r>
      <w:r w:rsidR="008D7AA4" w:rsidRPr="00B40A77">
        <w:rPr>
          <w:color w:val="000000" w:themeColor="text1"/>
        </w:rPr>
        <w:t>7</w:t>
      </w:r>
      <w:r w:rsidRPr="00B40A77">
        <w:rPr>
          <w:color w:val="000000" w:themeColor="text1"/>
        </w:rPr>
        <w:t xml:space="preserve"> </w:t>
      </w:r>
      <w:hyperlink r:id="rId194" w:history="1">
        <w:r w:rsidRPr="00B40A77">
          <w:rPr>
            <w:rStyle w:val="Hyperlink"/>
            <w:color w:val="000000" w:themeColor="text1"/>
          </w:rPr>
          <w:t xml:space="preserve">Draft Revised Information </w:t>
        </w:r>
        <w:r w:rsidR="00300FC2" w:rsidRPr="00B40A77">
          <w:rPr>
            <w:rStyle w:val="Hyperlink"/>
            <w:color w:val="000000" w:themeColor="text1"/>
          </w:rPr>
          <w:t>H</w:t>
        </w:r>
        <w:r w:rsidR="008D7AA4" w:rsidRPr="00B40A77">
          <w:rPr>
            <w:rStyle w:val="Hyperlink"/>
            <w:color w:val="000000" w:themeColor="text1"/>
          </w:rPr>
          <w:t>igh</w:t>
        </w:r>
        <w:r w:rsidRPr="00B40A77">
          <w:rPr>
            <w:rStyle w:val="Hyperlink"/>
            <w:color w:val="000000" w:themeColor="text1"/>
          </w:rPr>
          <w:t xml:space="preserve">er </w:t>
        </w:r>
        <w:r w:rsidR="00300FC2" w:rsidRPr="00B40A77">
          <w:rPr>
            <w:rStyle w:val="Hyperlink"/>
            <w:color w:val="000000" w:themeColor="text1"/>
          </w:rPr>
          <w:t>C</w:t>
        </w:r>
        <w:r w:rsidRPr="00B40A77">
          <w:rPr>
            <w:rStyle w:val="Hyperlink"/>
            <w:color w:val="000000" w:themeColor="text1"/>
          </w:rPr>
          <w:t>ourts</w:t>
        </w:r>
      </w:hyperlink>
    </w:p>
    <w:p w14:paraId="6CF1C025" w14:textId="298AFC59" w:rsidR="00E70D9B" w:rsidRPr="00B40A77" w:rsidRDefault="00E70D9B" w:rsidP="00E70D9B">
      <w:pPr>
        <w:pStyle w:val="Hangindent"/>
        <w:keepNext/>
        <w:rPr>
          <w:color w:val="000000" w:themeColor="text1"/>
        </w:rPr>
      </w:pPr>
      <w:r w:rsidRPr="00B40A77">
        <w:rPr>
          <w:rFonts w:cs="Times New Roman"/>
          <w:color w:val="000000" w:themeColor="text1"/>
        </w:rPr>
        <w:t>(9)</w:t>
      </w:r>
      <w:r w:rsidRPr="00B40A77">
        <w:rPr>
          <w:rFonts w:cs="Times New Roman"/>
          <w:color w:val="000000" w:themeColor="text1"/>
        </w:rPr>
        <w:tab/>
        <w:t>If the Director files a revised Information, any additional defendant must be added in sequential order (after all existing defendants) and any additional count must be added in sequential order (after all existing counts) on the Information.</w:t>
      </w:r>
    </w:p>
    <w:p w14:paraId="778B91FB" w14:textId="77777777" w:rsidR="00970CE0" w:rsidRPr="00B40A77" w:rsidRDefault="00970CE0" w:rsidP="003B67CF">
      <w:pPr>
        <w:pStyle w:val="NoteHeader"/>
        <w:keepNext/>
        <w:rPr>
          <w:color w:val="000000" w:themeColor="text1"/>
        </w:rPr>
      </w:pPr>
      <w:r w:rsidRPr="00B40A77">
        <w:rPr>
          <w:color w:val="000000" w:themeColor="text1"/>
        </w:rPr>
        <w:t>Note—</w:t>
      </w:r>
    </w:p>
    <w:p w14:paraId="406C4FA2" w14:textId="77777777" w:rsidR="00970CE0" w:rsidRPr="00B40A77" w:rsidRDefault="00970CE0" w:rsidP="00970CE0">
      <w:pPr>
        <w:pStyle w:val="NoteText"/>
        <w:rPr>
          <w:color w:val="000000" w:themeColor="text1"/>
        </w:rPr>
      </w:pPr>
      <w:r w:rsidRPr="00B40A77">
        <w:rPr>
          <w:color w:val="000000" w:themeColor="text1"/>
        </w:rPr>
        <w:t>There is no limit on the number of times the Information may be amended under this rule.</w:t>
      </w:r>
    </w:p>
    <w:p w14:paraId="1637C0A9" w14:textId="4EA127B3" w:rsidR="00970CE0" w:rsidRPr="00B40A77" w:rsidRDefault="00731EC5" w:rsidP="00970CE0">
      <w:pPr>
        <w:pStyle w:val="Heading4"/>
        <w:rPr>
          <w:color w:val="000000" w:themeColor="text1"/>
        </w:rPr>
      </w:pPr>
      <w:bookmarkStart w:id="688" w:name="_Toc175239088"/>
      <w:bookmarkEnd w:id="687"/>
      <w:r w:rsidRPr="00B40A77">
        <w:rPr>
          <w:color w:val="000000" w:themeColor="text1"/>
        </w:rPr>
        <w:t>97</w:t>
      </w:r>
      <w:r w:rsidR="00970CE0" w:rsidRPr="00B40A77">
        <w:rPr>
          <w:color w:val="000000" w:themeColor="text1"/>
        </w:rPr>
        <w:t>.2—Method of amendment</w:t>
      </w:r>
      <w:bookmarkEnd w:id="688"/>
    </w:p>
    <w:p w14:paraId="73E6DFD2" w14:textId="33C00CA4" w:rsidR="00970CE0" w:rsidRPr="00B40A77" w:rsidRDefault="00970CE0" w:rsidP="00382B6C">
      <w:pPr>
        <w:pStyle w:val="Hangindent"/>
        <w:ind w:left="567" w:firstLine="0"/>
        <w:rPr>
          <w:rFonts w:cs="Times New Roman"/>
          <w:color w:val="000000" w:themeColor="text1"/>
        </w:rPr>
      </w:pPr>
      <w:r w:rsidRPr="00B40A77">
        <w:rPr>
          <w:rFonts w:cs="Times New Roman"/>
          <w:color w:val="000000" w:themeColor="text1"/>
        </w:rPr>
        <w:t xml:space="preserve">If </w:t>
      </w:r>
      <w:r w:rsidR="00E26F32" w:rsidRPr="00B40A77">
        <w:rPr>
          <w:rFonts w:cs="Times New Roman"/>
          <w:color w:val="000000" w:themeColor="text1"/>
        </w:rPr>
        <w:t xml:space="preserve">the Director </w:t>
      </w:r>
      <w:r w:rsidRPr="00B40A77">
        <w:rPr>
          <w:rFonts w:cs="Times New Roman"/>
          <w:color w:val="000000" w:themeColor="text1"/>
        </w:rPr>
        <w:t xml:space="preserve">is entitled to amend </w:t>
      </w:r>
      <w:r w:rsidR="00F275F2" w:rsidRPr="00B40A77">
        <w:rPr>
          <w:rFonts w:cs="Times New Roman"/>
          <w:color w:val="000000" w:themeColor="text1"/>
        </w:rPr>
        <w:t xml:space="preserve">the Information under </w:t>
      </w:r>
      <w:hyperlink w:anchor="_97.1—Amendment_with_or" w:history="1">
        <w:r w:rsidR="00F275F2" w:rsidRPr="00B40A77">
          <w:rPr>
            <w:rStyle w:val="Hyperlink"/>
            <w:rFonts w:cs="Times New Roman"/>
            <w:color w:val="000000" w:themeColor="text1"/>
          </w:rPr>
          <w:t>rule 97</w:t>
        </w:r>
        <w:r w:rsidRPr="00B40A77">
          <w:rPr>
            <w:rStyle w:val="Hyperlink"/>
            <w:rFonts w:cs="Times New Roman"/>
            <w:color w:val="000000" w:themeColor="text1"/>
          </w:rPr>
          <w:t>.1</w:t>
        </w:r>
      </w:hyperlink>
      <w:r w:rsidRPr="00B40A77">
        <w:rPr>
          <w:rFonts w:cs="Times New Roman"/>
          <w:color w:val="000000" w:themeColor="text1"/>
        </w:rPr>
        <w:t xml:space="preserve">, the amendment must be made by filing a revised version of the Information in accordance with </w:t>
      </w:r>
      <w:hyperlink w:anchor="_33.2—Manner_of_amendment" w:history="1">
        <w:r w:rsidR="00F275F2" w:rsidRPr="00B40A77">
          <w:rPr>
            <w:rStyle w:val="Hyperlink"/>
            <w:rFonts w:cs="Times New Roman"/>
            <w:color w:val="000000" w:themeColor="text1"/>
          </w:rPr>
          <w:t xml:space="preserve">rule </w:t>
        </w:r>
        <w:r w:rsidR="006F304B" w:rsidRPr="00B40A77">
          <w:rPr>
            <w:rStyle w:val="Hyperlink"/>
            <w:rFonts w:cs="Times New Roman"/>
            <w:color w:val="000000" w:themeColor="text1"/>
          </w:rPr>
          <w:t>30</w:t>
        </w:r>
        <w:r w:rsidRPr="00B40A77">
          <w:rPr>
            <w:rStyle w:val="Hyperlink"/>
            <w:rFonts w:cs="Times New Roman"/>
            <w:color w:val="000000" w:themeColor="text1"/>
          </w:rPr>
          <w:t>.2</w:t>
        </w:r>
      </w:hyperlink>
      <w:r w:rsidRPr="00B40A77">
        <w:rPr>
          <w:rFonts w:cs="Times New Roman"/>
          <w:color w:val="000000" w:themeColor="text1"/>
        </w:rPr>
        <w:t>.</w:t>
      </w:r>
    </w:p>
    <w:p w14:paraId="63D212A1" w14:textId="70EBD865" w:rsidR="00970CE0" w:rsidRPr="00B40A77" w:rsidRDefault="00731EC5" w:rsidP="005D29D4">
      <w:pPr>
        <w:pStyle w:val="Heading4"/>
        <w:rPr>
          <w:color w:val="000000" w:themeColor="text1"/>
        </w:rPr>
      </w:pPr>
      <w:bookmarkStart w:id="689" w:name="_Toc175239089"/>
      <w:r w:rsidRPr="00B40A77">
        <w:rPr>
          <w:color w:val="000000" w:themeColor="text1"/>
        </w:rPr>
        <w:t>97</w:t>
      </w:r>
      <w:r w:rsidR="00970CE0" w:rsidRPr="00B40A77">
        <w:rPr>
          <w:color w:val="000000" w:themeColor="text1"/>
        </w:rPr>
        <w:t>.3—Notifiable offences</w:t>
      </w:r>
      <w:bookmarkEnd w:id="689"/>
    </w:p>
    <w:p w14:paraId="0D21896D" w14:textId="69B1D182" w:rsidR="00970CE0" w:rsidRPr="00B40A77" w:rsidRDefault="00970CE0" w:rsidP="00037437">
      <w:pPr>
        <w:pStyle w:val="Hangindent"/>
        <w:keepNext/>
        <w:keepLines/>
        <w:ind w:left="567" w:firstLine="0"/>
        <w:rPr>
          <w:color w:val="000000" w:themeColor="text1"/>
          <w:lang w:val="en-US"/>
        </w:rPr>
      </w:pPr>
      <w:r w:rsidRPr="00B40A77">
        <w:rPr>
          <w:color w:val="000000" w:themeColor="text1"/>
          <w:lang w:val="en-US"/>
        </w:rPr>
        <w:t xml:space="preserve">If </w:t>
      </w:r>
      <w:r w:rsidR="00770BD8" w:rsidRPr="00B40A77">
        <w:rPr>
          <w:rFonts w:cs="Times New Roman"/>
          <w:color w:val="000000" w:themeColor="text1"/>
        </w:rPr>
        <w:t xml:space="preserve">the Director </w:t>
      </w:r>
      <w:r w:rsidRPr="00B40A77">
        <w:rPr>
          <w:color w:val="000000" w:themeColor="text1"/>
          <w:lang w:val="en-US"/>
        </w:rPr>
        <w:t>becomes aware after an Information has been filed that a</w:t>
      </w:r>
      <w:r w:rsidR="00675049" w:rsidRPr="00B40A77">
        <w:rPr>
          <w:color w:val="000000" w:themeColor="text1"/>
          <w:lang w:val="en-US"/>
        </w:rPr>
        <w:t xml:space="preserve">n offence </w:t>
      </w:r>
      <w:r w:rsidRPr="00B40A77">
        <w:rPr>
          <w:color w:val="000000" w:themeColor="text1"/>
          <w:lang w:val="en-US"/>
        </w:rPr>
        <w:t xml:space="preserve">alleged in the Information is or may be a </w:t>
      </w:r>
      <w:hyperlink w:anchor="_2.1—Definitions" w:history="1">
        <w:r w:rsidR="003A1982" w:rsidRPr="00B40A77">
          <w:rPr>
            <w:rStyle w:val="Hyperlink"/>
            <w:color w:val="000000" w:themeColor="text1"/>
          </w:rPr>
          <w:t>notifiable offence</w:t>
        </w:r>
      </w:hyperlink>
      <w:r w:rsidRPr="00B40A77">
        <w:rPr>
          <w:color w:val="000000" w:themeColor="text1"/>
          <w:lang w:val="en-US"/>
        </w:rPr>
        <w:t xml:space="preserve">, </w:t>
      </w:r>
      <w:r w:rsidR="00770BD8" w:rsidRPr="00B40A77">
        <w:rPr>
          <w:rFonts w:cs="Times New Roman"/>
          <w:color w:val="000000" w:themeColor="text1"/>
        </w:rPr>
        <w:t xml:space="preserve">the Director </w:t>
      </w:r>
      <w:r w:rsidRPr="00B40A77">
        <w:rPr>
          <w:color w:val="000000" w:themeColor="text1"/>
          <w:lang w:val="en-US"/>
        </w:rPr>
        <w:t>must file a notice of notifiable offence in the prescribed</w:t>
      </w:r>
      <w:r w:rsidR="00665B58" w:rsidRPr="00B40A77">
        <w:rPr>
          <w:color w:val="000000" w:themeColor="text1"/>
          <w:lang w:val="en-US"/>
        </w:rPr>
        <w:t xml:space="preserve"> form</w:t>
      </w:r>
      <w:r w:rsidRPr="00B40A77">
        <w:rPr>
          <w:color w:val="000000" w:themeColor="text1"/>
          <w:lang w:val="en-US"/>
        </w:rPr>
        <w:t>.</w:t>
      </w:r>
    </w:p>
    <w:p w14:paraId="5AA1D364" w14:textId="77777777" w:rsidR="00970CE0" w:rsidRPr="00B40A77" w:rsidRDefault="00970CE0" w:rsidP="002B7732">
      <w:pPr>
        <w:pStyle w:val="NoteHeader"/>
        <w:keepNext/>
        <w:ind w:left="567"/>
        <w:rPr>
          <w:color w:val="000000" w:themeColor="text1"/>
        </w:rPr>
      </w:pPr>
      <w:r w:rsidRPr="00B40A77">
        <w:rPr>
          <w:color w:val="000000" w:themeColor="text1"/>
        </w:rPr>
        <w:t>Prescribed form—</w:t>
      </w:r>
    </w:p>
    <w:p w14:paraId="0D379765" w14:textId="65BF5193" w:rsidR="00970CE0" w:rsidRPr="00B40A77" w:rsidRDefault="00D750B7" w:rsidP="00227217">
      <w:pPr>
        <w:pStyle w:val="NoteText"/>
        <w:ind w:left="851"/>
        <w:rPr>
          <w:color w:val="000000" w:themeColor="text1"/>
          <w:lang w:val="en-US"/>
        </w:rPr>
      </w:pPr>
      <w:r w:rsidRPr="00B40A77">
        <w:rPr>
          <w:color w:val="000000" w:themeColor="text1"/>
        </w:rPr>
        <w:t xml:space="preserve">Form 76 </w:t>
      </w:r>
      <w:hyperlink r:id="rId195" w:history="1">
        <w:r w:rsidRPr="00B40A77">
          <w:rPr>
            <w:rStyle w:val="Hyperlink"/>
            <w:color w:val="000000" w:themeColor="text1"/>
          </w:rPr>
          <w:t xml:space="preserve">Notice of </w:t>
        </w:r>
        <w:r w:rsidR="00E036D6" w:rsidRPr="00B40A77">
          <w:rPr>
            <w:rStyle w:val="Hyperlink"/>
            <w:color w:val="000000" w:themeColor="text1"/>
          </w:rPr>
          <w:t>N</w:t>
        </w:r>
        <w:r w:rsidRPr="00B40A77">
          <w:rPr>
            <w:rStyle w:val="Hyperlink"/>
            <w:color w:val="000000" w:themeColor="text1"/>
          </w:rPr>
          <w:t xml:space="preserve">otifiable </w:t>
        </w:r>
        <w:r w:rsidR="00E036D6" w:rsidRPr="00B40A77">
          <w:rPr>
            <w:rStyle w:val="Hyperlink"/>
            <w:color w:val="000000" w:themeColor="text1"/>
          </w:rPr>
          <w:t>O</w:t>
        </w:r>
        <w:r w:rsidRPr="00B40A77">
          <w:rPr>
            <w:rStyle w:val="Hyperlink"/>
            <w:color w:val="000000" w:themeColor="text1"/>
          </w:rPr>
          <w:t>ffence</w:t>
        </w:r>
      </w:hyperlink>
    </w:p>
    <w:p w14:paraId="28B7BF08" w14:textId="74D5BEAF" w:rsidR="00970CE0" w:rsidRPr="00B40A77" w:rsidRDefault="00731EC5" w:rsidP="007C579B">
      <w:pPr>
        <w:pStyle w:val="Heading4"/>
        <w:rPr>
          <w:color w:val="000000" w:themeColor="text1"/>
        </w:rPr>
      </w:pPr>
      <w:bookmarkStart w:id="690" w:name="_Toc175239090"/>
      <w:r w:rsidRPr="00B40A77">
        <w:rPr>
          <w:color w:val="000000" w:themeColor="text1"/>
        </w:rPr>
        <w:t>97</w:t>
      </w:r>
      <w:r w:rsidR="00970CE0" w:rsidRPr="00B40A77">
        <w:rPr>
          <w:color w:val="000000" w:themeColor="text1"/>
        </w:rPr>
        <w:t>.4—Priority proceeding</w:t>
      </w:r>
      <w:bookmarkEnd w:id="690"/>
    </w:p>
    <w:p w14:paraId="2C28585F" w14:textId="77A95D13" w:rsidR="00970CE0" w:rsidRPr="00B40A77" w:rsidRDefault="00970CE0" w:rsidP="000835D6">
      <w:pPr>
        <w:pStyle w:val="Hangindent"/>
        <w:keepNext/>
        <w:keepLines/>
        <w:ind w:left="567" w:firstLine="0"/>
        <w:rPr>
          <w:color w:val="000000" w:themeColor="text1"/>
          <w:lang w:val="en-US"/>
        </w:rPr>
      </w:pPr>
      <w:r w:rsidRPr="00B40A77">
        <w:rPr>
          <w:color w:val="000000" w:themeColor="text1"/>
          <w:lang w:val="en-US"/>
        </w:rPr>
        <w:t xml:space="preserve">If </w:t>
      </w:r>
      <w:r w:rsidR="00770BD8" w:rsidRPr="00B40A77">
        <w:rPr>
          <w:rFonts w:cs="Times New Roman"/>
          <w:color w:val="000000" w:themeColor="text1"/>
        </w:rPr>
        <w:t xml:space="preserve">the Director </w:t>
      </w:r>
      <w:r w:rsidRPr="00B40A77">
        <w:rPr>
          <w:color w:val="000000" w:themeColor="text1"/>
          <w:lang w:val="en-US"/>
        </w:rPr>
        <w:t xml:space="preserve">becomes aware after an Information has been filed that the proceeding is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lang w:val="en-US"/>
        </w:rPr>
        <w:t xml:space="preserve">, </w:t>
      </w:r>
      <w:r w:rsidR="00770BD8" w:rsidRPr="00B40A77">
        <w:rPr>
          <w:rFonts w:cs="Times New Roman"/>
          <w:color w:val="000000" w:themeColor="text1"/>
        </w:rPr>
        <w:t xml:space="preserve">the Director </w:t>
      </w:r>
      <w:r w:rsidR="00775CE2" w:rsidRPr="00B40A77">
        <w:rPr>
          <w:color w:val="000000" w:themeColor="text1"/>
          <w:lang w:val="en-US"/>
        </w:rPr>
        <w:t xml:space="preserve">must file a </w:t>
      </w:r>
      <w:r w:rsidRPr="00B40A77">
        <w:rPr>
          <w:color w:val="000000" w:themeColor="text1"/>
          <w:lang w:val="en-US"/>
        </w:rPr>
        <w:t xml:space="preserve">notice of </w:t>
      </w:r>
      <w:r w:rsidR="00665B58" w:rsidRPr="00B40A77">
        <w:rPr>
          <w:color w:val="000000" w:themeColor="text1"/>
          <w:lang w:val="en-US"/>
        </w:rPr>
        <w:t xml:space="preserve">priority proceeding </w:t>
      </w:r>
      <w:r w:rsidRPr="00B40A77">
        <w:rPr>
          <w:color w:val="000000" w:themeColor="text1"/>
          <w:lang w:val="en-US"/>
        </w:rPr>
        <w:t>in the prescribed</w:t>
      </w:r>
      <w:r w:rsidR="00665B58" w:rsidRPr="00B40A77">
        <w:rPr>
          <w:color w:val="000000" w:themeColor="text1"/>
          <w:lang w:val="en-US"/>
        </w:rPr>
        <w:t xml:space="preserve"> form</w:t>
      </w:r>
      <w:r w:rsidRPr="00B40A77">
        <w:rPr>
          <w:color w:val="000000" w:themeColor="text1"/>
          <w:lang w:val="en-US"/>
        </w:rPr>
        <w:t>.</w:t>
      </w:r>
    </w:p>
    <w:p w14:paraId="22D2EC69" w14:textId="77777777" w:rsidR="00970CE0" w:rsidRPr="00B40A77" w:rsidRDefault="00970CE0" w:rsidP="000835D6">
      <w:pPr>
        <w:pStyle w:val="NoteHeader"/>
        <w:keepNext/>
        <w:ind w:left="567"/>
        <w:rPr>
          <w:color w:val="000000" w:themeColor="text1"/>
        </w:rPr>
      </w:pPr>
      <w:r w:rsidRPr="00B40A77">
        <w:rPr>
          <w:color w:val="000000" w:themeColor="text1"/>
        </w:rPr>
        <w:t>Prescribed form—</w:t>
      </w:r>
    </w:p>
    <w:p w14:paraId="10C43EF4" w14:textId="37649897" w:rsidR="00970CE0" w:rsidRPr="00B40A77" w:rsidRDefault="00D750B7" w:rsidP="00227217">
      <w:pPr>
        <w:pStyle w:val="NoteText"/>
        <w:ind w:left="851"/>
        <w:rPr>
          <w:color w:val="000000" w:themeColor="text1"/>
        </w:rPr>
      </w:pPr>
      <w:r w:rsidRPr="00B40A77">
        <w:rPr>
          <w:color w:val="000000" w:themeColor="text1"/>
        </w:rPr>
        <w:t xml:space="preserve">Form 75 </w:t>
      </w:r>
      <w:hyperlink r:id="rId196" w:history="1">
        <w:r w:rsidRPr="00B40A77">
          <w:rPr>
            <w:rStyle w:val="Hyperlink"/>
            <w:color w:val="000000" w:themeColor="text1"/>
          </w:rPr>
          <w:t xml:space="preserve">Notice of </w:t>
        </w:r>
        <w:r w:rsidR="00E036D6" w:rsidRPr="00B40A77">
          <w:rPr>
            <w:rStyle w:val="Hyperlink"/>
            <w:color w:val="000000" w:themeColor="text1"/>
          </w:rPr>
          <w:t>P</w:t>
        </w:r>
        <w:r w:rsidRPr="00B40A77">
          <w:rPr>
            <w:rStyle w:val="Hyperlink"/>
            <w:color w:val="000000" w:themeColor="text1"/>
          </w:rPr>
          <w:t xml:space="preserve">riority </w:t>
        </w:r>
        <w:r w:rsidR="00E036D6" w:rsidRPr="00B40A77">
          <w:rPr>
            <w:rStyle w:val="Hyperlink"/>
            <w:color w:val="000000" w:themeColor="text1"/>
          </w:rPr>
          <w:t>P</w:t>
        </w:r>
        <w:r w:rsidRPr="00B40A77">
          <w:rPr>
            <w:rStyle w:val="Hyperlink"/>
            <w:color w:val="000000" w:themeColor="text1"/>
          </w:rPr>
          <w:t>roceeding</w:t>
        </w:r>
      </w:hyperlink>
    </w:p>
    <w:p w14:paraId="1DA6E782" w14:textId="3A413C27" w:rsidR="00970CE0" w:rsidRPr="00B40A77" w:rsidRDefault="00A20A53" w:rsidP="00970CE0">
      <w:pPr>
        <w:pStyle w:val="Heading4"/>
        <w:rPr>
          <w:color w:val="000000" w:themeColor="text1"/>
        </w:rPr>
      </w:pPr>
      <w:bookmarkStart w:id="691" w:name="_Toc175239091"/>
      <w:r w:rsidRPr="00B40A77">
        <w:rPr>
          <w:color w:val="000000" w:themeColor="text1"/>
        </w:rPr>
        <w:t>97</w:t>
      </w:r>
      <w:r w:rsidR="00B87028" w:rsidRPr="00B40A77">
        <w:rPr>
          <w:color w:val="000000" w:themeColor="text1"/>
        </w:rPr>
        <w:t>.5</w:t>
      </w:r>
      <w:r w:rsidR="00970CE0" w:rsidRPr="00B40A77">
        <w:rPr>
          <w:color w:val="000000" w:themeColor="text1"/>
        </w:rPr>
        <w:t>—Better particulars</w:t>
      </w:r>
      <w:bookmarkEnd w:id="691"/>
    </w:p>
    <w:p w14:paraId="270C2205" w14:textId="5CDF14C4" w:rsidR="00970CE0" w:rsidRPr="00B40A77" w:rsidRDefault="00970CE0" w:rsidP="00970CE0">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A defendant may by written notice request better particulars of a count in an Information.</w:t>
      </w:r>
    </w:p>
    <w:p w14:paraId="1781F1B6" w14:textId="77777777" w:rsidR="00970CE0" w:rsidRPr="00B40A77" w:rsidRDefault="00970CE0" w:rsidP="00970CE0">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 request for better particulars must be served within 28 days, or such other period as may be ordered by the Court, of service of the first Information containing the count the subject of the request.</w:t>
      </w:r>
    </w:p>
    <w:p w14:paraId="6F228910" w14:textId="120E3627" w:rsidR="00970CE0" w:rsidRPr="00B40A77" w:rsidRDefault="008D2046" w:rsidP="00970CE0">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If the Director re</w:t>
      </w:r>
      <w:r w:rsidR="00970CE0" w:rsidRPr="00B40A77">
        <w:rPr>
          <w:rFonts w:cs="Times New Roman"/>
          <w:color w:val="000000" w:themeColor="text1"/>
        </w:rPr>
        <w:t>ceives a notice under subrule</w:t>
      </w:r>
      <w:r w:rsidR="00C42A0C" w:rsidRPr="00B40A77">
        <w:rPr>
          <w:rFonts w:cs="Times New Roman"/>
          <w:color w:val="000000" w:themeColor="text1"/>
        </w:rPr>
        <w:t> </w:t>
      </w:r>
      <w:r w:rsidR="00970CE0" w:rsidRPr="00B40A77">
        <w:rPr>
          <w:rFonts w:cs="Times New Roman"/>
          <w:color w:val="000000" w:themeColor="text1"/>
        </w:rPr>
        <w:t>(1) within the time specified under subrule (2)</w:t>
      </w:r>
      <w:r w:rsidRPr="00B40A77">
        <w:rPr>
          <w:rFonts w:cs="Times New Roman"/>
          <w:color w:val="000000" w:themeColor="text1"/>
        </w:rPr>
        <w:t xml:space="preserve">, the Director </w:t>
      </w:r>
      <w:r w:rsidR="00970CE0" w:rsidRPr="00B40A77">
        <w:rPr>
          <w:rFonts w:cs="Times New Roman"/>
          <w:color w:val="000000" w:themeColor="text1"/>
        </w:rPr>
        <w:t>must, within 14 days or such other period as may be ordered by the Court, provide a written response responding in respect of each request by either—</w:t>
      </w:r>
    </w:p>
    <w:p w14:paraId="1AF122A0" w14:textId="77777777" w:rsidR="00970CE0" w:rsidRPr="00B40A77" w:rsidRDefault="00970CE0" w:rsidP="00970CE0">
      <w:pPr>
        <w:pStyle w:val="Doublehangindent"/>
        <w:rPr>
          <w:color w:val="000000" w:themeColor="text1"/>
        </w:rPr>
      </w:pPr>
      <w:r w:rsidRPr="00B40A77">
        <w:rPr>
          <w:color w:val="000000" w:themeColor="text1"/>
        </w:rPr>
        <w:t>(a)</w:t>
      </w:r>
      <w:r w:rsidRPr="00B40A77">
        <w:rPr>
          <w:color w:val="000000" w:themeColor="text1"/>
        </w:rPr>
        <w:tab/>
        <w:t xml:space="preserve">providing </w:t>
      </w:r>
      <w:r w:rsidRPr="00B40A77">
        <w:rPr>
          <w:rFonts w:cs="Times New Roman"/>
          <w:color w:val="000000" w:themeColor="text1"/>
        </w:rPr>
        <w:t>better</w:t>
      </w:r>
      <w:r w:rsidRPr="00B40A77">
        <w:rPr>
          <w:color w:val="000000" w:themeColor="text1"/>
        </w:rPr>
        <w:t xml:space="preserve"> particulars; </w:t>
      </w:r>
    </w:p>
    <w:p w14:paraId="2FCA18B0" w14:textId="48920776" w:rsidR="00970CE0" w:rsidRPr="00B40A77" w:rsidRDefault="00970CE0" w:rsidP="00970CE0">
      <w:pPr>
        <w:pStyle w:val="Doublehangindent"/>
        <w:rPr>
          <w:color w:val="000000" w:themeColor="text1"/>
        </w:rPr>
      </w:pPr>
      <w:r w:rsidRPr="00B40A77">
        <w:rPr>
          <w:color w:val="000000" w:themeColor="text1"/>
        </w:rPr>
        <w:t>(b)</w:t>
      </w:r>
      <w:r w:rsidRPr="00B40A77">
        <w:rPr>
          <w:color w:val="000000" w:themeColor="text1"/>
        </w:rPr>
        <w:tab/>
        <w:t xml:space="preserve">offering to provide </w:t>
      </w:r>
      <w:r w:rsidRPr="00B40A77">
        <w:rPr>
          <w:rFonts w:cs="Times New Roman"/>
          <w:color w:val="000000" w:themeColor="text1"/>
        </w:rPr>
        <w:t>better</w:t>
      </w:r>
      <w:r w:rsidRPr="00B40A77">
        <w:rPr>
          <w:color w:val="000000" w:themeColor="text1"/>
        </w:rPr>
        <w:t xml:space="preserve"> particulars and indicating when they will be provided;</w:t>
      </w:r>
      <w:r w:rsidR="000835D6" w:rsidRPr="00B40A77">
        <w:rPr>
          <w:color w:val="000000" w:themeColor="text1"/>
        </w:rPr>
        <w:t> </w:t>
      </w:r>
      <w:r w:rsidRPr="00B40A77">
        <w:rPr>
          <w:color w:val="000000" w:themeColor="text1"/>
        </w:rPr>
        <w:t>or</w:t>
      </w:r>
    </w:p>
    <w:p w14:paraId="7721D321" w14:textId="77777777" w:rsidR="00970CE0" w:rsidRPr="00B40A77" w:rsidRDefault="00970CE0" w:rsidP="00970CE0">
      <w:pPr>
        <w:pStyle w:val="Doublehangindent"/>
        <w:rPr>
          <w:color w:val="000000" w:themeColor="text1"/>
        </w:rPr>
      </w:pPr>
      <w:r w:rsidRPr="00B40A77">
        <w:rPr>
          <w:color w:val="000000" w:themeColor="text1"/>
        </w:rPr>
        <w:t>(c)</w:t>
      </w:r>
      <w:r w:rsidRPr="00B40A77">
        <w:rPr>
          <w:color w:val="000000" w:themeColor="text1"/>
        </w:rPr>
        <w:tab/>
        <w:t xml:space="preserve">declining to provide </w:t>
      </w:r>
      <w:r w:rsidRPr="00B40A77">
        <w:rPr>
          <w:rFonts w:cs="Times New Roman"/>
          <w:color w:val="000000" w:themeColor="text1"/>
        </w:rPr>
        <w:t>better</w:t>
      </w:r>
      <w:r w:rsidRPr="00B40A77">
        <w:rPr>
          <w:color w:val="000000" w:themeColor="text1"/>
        </w:rPr>
        <w:t xml:space="preserve"> particulars.</w:t>
      </w:r>
    </w:p>
    <w:p w14:paraId="67AD85DB" w14:textId="65E34FF6" w:rsidR="00970CE0" w:rsidRPr="00B40A77" w:rsidRDefault="00970CE0" w:rsidP="00970CE0">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r>
      <w:r w:rsidR="008D2046" w:rsidRPr="00B40A77">
        <w:rPr>
          <w:rFonts w:cs="Times New Roman"/>
          <w:color w:val="000000" w:themeColor="text1"/>
        </w:rPr>
        <w:t>The Court may order the Director</w:t>
      </w:r>
      <w:r w:rsidRPr="00B40A77">
        <w:rPr>
          <w:rFonts w:cs="Times New Roman"/>
          <w:color w:val="000000" w:themeColor="text1"/>
        </w:rPr>
        <w:t xml:space="preserve"> to provide better particulars of a count by—</w:t>
      </w:r>
    </w:p>
    <w:p w14:paraId="06F51FEB" w14:textId="77777777" w:rsidR="00970CE0" w:rsidRPr="00B40A77" w:rsidRDefault="00970CE0" w:rsidP="00970CE0">
      <w:pPr>
        <w:pStyle w:val="Doublehangindent"/>
        <w:rPr>
          <w:color w:val="000000" w:themeColor="text1"/>
        </w:rPr>
      </w:pPr>
      <w:r w:rsidRPr="00B40A77">
        <w:rPr>
          <w:color w:val="000000" w:themeColor="text1"/>
        </w:rPr>
        <w:t>(a)</w:t>
      </w:r>
      <w:r w:rsidRPr="00B40A77">
        <w:rPr>
          <w:color w:val="000000" w:themeColor="text1"/>
        </w:rPr>
        <w:tab/>
        <w:t>filing and serving a revised Information containing such particulars; or</w:t>
      </w:r>
    </w:p>
    <w:p w14:paraId="04D6296E" w14:textId="77777777" w:rsidR="00970CE0" w:rsidRPr="00B40A77" w:rsidRDefault="00970CE0" w:rsidP="00970CE0">
      <w:pPr>
        <w:pStyle w:val="Doublehangindent"/>
        <w:rPr>
          <w:color w:val="000000" w:themeColor="text1"/>
        </w:rPr>
      </w:pPr>
      <w:r w:rsidRPr="00B40A77">
        <w:rPr>
          <w:color w:val="000000" w:themeColor="text1"/>
        </w:rPr>
        <w:lastRenderedPageBreak/>
        <w:t>(b)</w:t>
      </w:r>
      <w:r w:rsidRPr="00B40A77">
        <w:rPr>
          <w:color w:val="000000" w:themeColor="text1"/>
        </w:rPr>
        <w:tab/>
        <w:t>filing and serving a separate document containing such particulars.</w:t>
      </w:r>
    </w:p>
    <w:p w14:paraId="5B5BB4FF" w14:textId="6AED5F7A" w:rsidR="0060304D" w:rsidRPr="00B40A77" w:rsidRDefault="0060304D" w:rsidP="00BE23A0">
      <w:pPr>
        <w:pStyle w:val="Heading2"/>
        <w:keepNext/>
        <w:rPr>
          <w:color w:val="000000" w:themeColor="text1"/>
        </w:rPr>
      </w:pPr>
      <w:bookmarkStart w:id="692" w:name="Elkera_Print_TOC9"/>
      <w:bookmarkStart w:id="693" w:name="_Toc60133536"/>
      <w:bookmarkStart w:id="694" w:name="_Toc175239092"/>
      <w:r w:rsidRPr="00B40A77">
        <w:rPr>
          <w:color w:val="000000" w:themeColor="text1"/>
        </w:rPr>
        <w:t>Part 7—</w:t>
      </w:r>
      <w:bookmarkEnd w:id="692"/>
      <w:r w:rsidRPr="00B40A77">
        <w:rPr>
          <w:color w:val="000000" w:themeColor="text1"/>
        </w:rPr>
        <w:t>Matters before first directions hearing</w:t>
      </w:r>
      <w:bookmarkEnd w:id="693"/>
      <w:bookmarkEnd w:id="694"/>
    </w:p>
    <w:p w14:paraId="683B8675" w14:textId="4274BDDD" w:rsidR="0060304D" w:rsidRPr="00B40A77" w:rsidRDefault="00AC0F08" w:rsidP="00B87028">
      <w:pPr>
        <w:pStyle w:val="Heading4"/>
        <w:rPr>
          <w:color w:val="000000" w:themeColor="text1"/>
        </w:rPr>
      </w:pPr>
      <w:bookmarkStart w:id="695" w:name="_Toc60133537"/>
      <w:bookmarkStart w:id="696" w:name="_Toc175239093"/>
      <w:r w:rsidRPr="00B40A77">
        <w:rPr>
          <w:color w:val="000000" w:themeColor="text1"/>
        </w:rPr>
        <w:t>98</w:t>
      </w:r>
      <w:r w:rsidR="0060304D" w:rsidRPr="00B40A77">
        <w:rPr>
          <w:color w:val="000000" w:themeColor="text1"/>
        </w:rPr>
        <w:t>.1—Legal representation certificate or written assurance</w:t>
      </w:r>
      <w:bookmarkEnd w:id="695"/>
      <w:bookmarkEnd w:id="696"/>
    </w:p>
    <w:p w14:paraId="4EA21EF4" w14:textId="293EA7E8" w:rsidR="0060304D" w:rsidRPr="00B40A77" w:rsidRDefault="0060304D" w:rsidP="0060304D">
      <w:pPr>
        <w:pStyle w:val="Hangindent"/>
        <w:tabs>
          <w:tab w:val="left" w:pos="1418"/>
        </w:tabs>
        <w:rPr>
          <w:color w:val="000000" w:themeColor="text1"/>
          <w:lang w:val="en-US"/>
        </w:rPr>
      </w:pPr>
      <w:r w:rsidRPr="00B40A77">
        <w:rPr>
          <w:color w:val="000000" w:themeColor="text1"/>
          <w:lang w:val="en-US"/>
        </w:rPr>
        <w:t>(1)</w:t>
      </w:r>
      <w:r w:rsidRPr="00B40A77">
        <w:rPr>
          <w:color w:val="000000" w:themeColor="text1"/>
          <w:lang w:val="en-US"/>
        </w:rPr>
        <w:tab/>
      </w:r>
      <w:r w:rsidRPr="00B40A77">
        <w:rPr>
          <w:color w:val="000000" w:themeColor="text1"/>
          <w:szCs w:val="24"/>
          <w:lang w:val="en-US"/>
        </w:rPr>
        <w:t xml:space="preserve">If </w:t>
      </w:r>
      <w:r w:rsidR="00524419" w:rsidRPr="00B40A77">
        <w:rPr>
          <w:color w:val="000000" w:themeColor="text1"/>
          <w:szCs w:val="24"/>
          <w:lang w:val="en-US"/>
        </w:rPr>
        <w:t>a</w:t>
      </w:r>
      <w:r w:rsidRPr="00B40A77">
        <w:rPr>
          <w:color w:val="000000" w:themeColor="text1"/>
          <w:szCs w:val="24"/>
          <w:lang w:val="en-US"/>
        </w:rPr>
        <w:t xml:space="preserve"> defendant is represented by a lawyer, the lawyer must at least 14 days before t</w:t>
      </w:r>
      <w:r w:rsidR="004C599C" w:rsidRPr="00B40A77">
        <w:rPr>
          <w:color w:val="000000" w:themeColor="text1"/>
          <w:szCs w:val="24"/>
          <w:lang w:val="en-US"/>
        </w:rPr>
        <w:t xml:space="preserve">he first </w:t>
      </w:r>
      <w:hyperlink w:anchor="_2.1—Definitions" w:history="1">
        <w:r w:rsidR="00BF56DC" w:rsidRPr="00B40A77">
          <w:rPr>
            <w:rStyle w:val="Hyperlink"/>
            <w:color w:val="000000" w:themeColor="text1"/>
          </w:rPr>
          <w:t>directions hearing</w:t>
        </w:r>
      </w:hyperlink>
      <w:r w:rsidR="004C599C" w:rsidRPr="00B40A77">
        <w:rPr>
          <w:color w:val="000000" w:themeColor="text1"/>
          <w:szCs w:val="24"/>
          <w:lang w:val="en-US"/>
        </w:rPr>
        <w:t xml:space="preserve"> </w:t>
      </w:r>
      <w:r w:rsidRPr="00B40A77">
        <w:rPr>
          <w:color w:val="000000" w:themeColor="text1"/>
          <w:szCs w:val="24"/>
          <w:lang w:val="en-US"/>
        </w:rPr>
        <w:t xml:space="preserve">file a certificate </w:t>
      </w:r>
      <w:r w:rsidR="004C599C" w:rsidRPr="00B40A77">
        <w:rPr>
          <w:color w:val="000000" w:themeColor="text1"/>
          <w:lang w:val="en-US"/>
        </w:rPr>
        <w:t>of legal representation</w:t>
      </w:r>
      <w:r w:rsidR="004C599C" w:rsidRPr="00B40A77">
        <w:rPr>
          <w:color w:val="000000" w:themeColor="text1"/>
          <w:szCs w:val="24"/>
        </w:rPr>
        <w:t xml:space="preserve"> </w:t>
      </w:r>
      <w:r w:rsidRPr="00B40A77">
        <w:rPr>
          <w:color w:val="000000" w:themeColor="text1"/>
          <w:szCs w:val="24"/>
        </w:rPr>
        <w:t>under section</w:t>
      </w:r>
      <w:r w:rsidR="003F313A" w:rsidRPr="00B40A77">
        <w:rPr>
          <w:color w:val="000000" w:themeColor="text1"/>
          <w:szCs w:val="24"/>
        </w:rPr>
        <w:t> </w:t>
      </w:r>
      <w:r w:rsidRPr="00B40A77">
        <w:rPr>
          <w:color w:val="000000" w:themeColor="text1"/>
          <w:szCs w:val="24"/>
        </w:rPr>
        <w:t xml:space="preserve">8(2) of </w:t>
      </w:r>
      <w:r w:rsidRPr="00B40A77">
        <w:rPr>
          <w:color w:val="000000" w:themeColor="text1"/>
          <w:szCs w:val="24"/>
          <w:lang w:val="en-US"/>
        </w:rPr>
        <w:t xml:space="preserve">the </w:t>
      </w:r>
      <w:r w:rsidRPr="00B40A77">
        <w:rPr>
          <w:i/>
          <w:color w:val="000000" w:themeColor="text1"/>
          <w:szCs w:val="24"/>
          <w:lang w:val="en-US"/>
        </w:rPr>
        <w:t>Criminal Law (Legal Representation) Act 2001</w:t>
      </w:r>
      <w:r w:rsidRPr="00B40A77">
        <w:rPr>
          <w:color w:val="000000" w:themeColor="text1"/>
          <w:szCs w:val="24"/>
          <w:lang w:val="en-US"/>
        </w:rPr>
        <w:t xml:space="preserve"> in the prescribed form certifying that:</w:t>
      </w:r>
    </w:p>
    <w:p w14:paraId="3C8A586C" w14:textId="59A719AB" w:rsidR="0060304D" w:rsidRPr="00B40A77" w:rsidRDefault="0060304D" w:rsidP="0060304D">
      <w:pPr>
        <w:pStyle w:val="Doublehangindent"/>
        <w:rPr>
          <w:color w:val="000000" w:themeColor="text1"/>
        </w:rPr>
      </w:pPr>
      <w:r w:rsidRPr="00B40A77">
        <w:rPr>
          <w:color w:val="000000" w:themeColor="text1"/>
          <w:szCs w:val="24"/>
          <w:lang w:val="en-US"/>
        </w:rPr>
        <w:t>(</w:t>
      </w:r>
      <w:r w:rsidRPr="00B40A77">
        <w:rPr>
          <w:color w:val="000000" w:themeColor="text1"/>
        </w:rPr>
        <w:t>a)</w:t>
      </w:r>
      <w:r w:rsidRPr="00B40A77">
        <w:rPr>
          <w:color w:val="000000" w:themeColor="text1"/>
        </w:rPr>
        <w:tab/>
        <w:t>the defendant is an assisted person</w:t>
      </w:r>
      <w:r w:rsidR="00AA39DA" w:rsidRPr="00B40A77">
        <w:rPr>
          <w:color w:val="000000" w:themeColor="text1"/>
        </w:rPr>
        <w:t>;</w:t>
      </w:r>
    </w:p>
    <w:p w14:paraId="226F02A6" w14:textId="63BC3AF5" w:rsidR="0060304D" w:rsidRPr="00B40A77" w:rsidRDefault="0060304D" w:rsidP="0060304D">
      <w:pPr>
        <w:pStyle w:val="Doublehangindent"/>
        <w:rPr>
          <w:color w:val="000000" w:themeColor="text1"/>
        </w:rPr>
      </w:pPr>
      <w:r w:rsidRPr="00B40A77">
        <w:rPr>
          <w:color w:val="000000" w:themeColor="text1"/>
        </w:rPr>
        <w:t>(b)</w:t>
      </w:r>
      <w:r w:rsidRPr="00B40A77">
        <w:rPr>
          <w:color w:val="000000" w:themeColor="text1"/>
        </w:rPr>
        <w:tab/>
        <w:t xml:space="preserve">the lawyer undertakes that the defendant will be provided with legal representation for the duration of the </w:t>
      </w:r>
      <w:hyperlink w:anchor="_2.1—Definitions" w:history="1">
        <w:r w:rsidR="00AB0539" w:rsidRPr="00B40A77">
          <w:rPr>
            <w:color w:val="000000" w:themeColor="text1"/>
            <w:lang w:val="en-US"/>
          </w:rPr>
          <w:t>trial</w:t>
        </w:r>
      </w:hyperlink>
      <w:r w:rsidRPr="00B40A77">
        <w:rPr>
          <w:color w:val="000000" w:themeColor="text1"/>
        </w:rPr>
        <w:t xml:space="preserve">; or </w:t>
      </w:r>
    </w:p>
    <w:p w14:paraId="17C564DC" w14:textId="68D27B16" w:rsidR="0060304D" w:rsidRPr="00B40A77" w:rsidRDefault="0060304D" w:rsidP="00037437">
      <w:pPr>
        <w:pStyle w:val="Doublehangindent"/>
        <w:keepNext/>
        <w:rPr>
          <w:color w:val="000000" w:themeColor="text1"/>
        </w:rPr>
      </w:pPr>
      <w:r w:rsidRPr="00B40A77">
        <w:rPr>
          <w:color w:val="000000" w:themeColor="text1"/>
        </w:rPr>
        <w:t>(c)</w:t>
      </w:r>
      <w:r w:rsidRPr="00B40A77">
        <w:rPr>
          <w:color w:val="000000" w:themeColor="text1"/>
        </w:rPr>
        <w:tab/>
        <w:t>the defendant is not an assisted person and the lawyer is not prepared to give an u</w:t>
      </w:r>
      <w:r w:rsidR="00AA39DA" w:rsidRPr="00B40A77">
        <w:rPr>
          <w:color w:val="000000" w:themeColor="text1"/>
        </w:rPr>
        <w:t>ndertaking under paragraph (b).</w:t>
      </w:r>
    </w:p>
    <w:p w14:paraId="1D5B1766" w14:textId="77777777" w:rsidR="00003D19" w:rsidRPr="00B40A77" w:rsidRDefault="00003D19" w:rsidP="002B7732">
      <w:pPr>
        <w:pStyle w:val="NoteHeader"/>
        <w:keepNext/>
        <w:ind w:left="1701"/>
        <w:rPr>
          <w:color w:val="000000" w:themeColor="text1"/>
        </w:rPr>
      </w:pPr>
      <w:r w:rsidRPr="00B40A77">
        <w:rPr>
          <w:color w:val="000000" w:themeColor="text1"/>
        </w:rPr>
        <w:t>Prescribed form—</w:t>
      </w:r>
    </w:p>
    <w:p w14:paraId="622978A1" w14:textId="472EB460" w:rsidR="00AA39DA" w:rsidRPr="00B40A77" w:rsidRDefault="00003D19" w:rsidP="002B7732">
      <w:pPr>
        <w:pStyle w:val="NoteText"/>
        <w:ind w:left="1985"/>
        <w:rPr>
          <w:color w:val="000000" w:themeColor="text1"/>
        </w:rPr>
      </w:pPr>
      <w:r w:rsidRPr="00B40A77">
        <w:rPr>
          <w:color w:val="000000" w:themeColor="text1"/>
        </w:rPr>
        <w:t>F</w:t>
      </w:r>
      <w:r w:rsidR="007F0A8D" w:rsidRPr="00B40A77">
        <w:rPr>
          <w:color w:val="000000" w:themeColor="text1"/>
        </w:rPr>
        <w:t>orm 16</w:t>
      </w:r>
      <w:r w:rsidRPr="00B40A77">
        <w:rPr>
          <w:color w:val="000000" w:themeColor="text1"/>
        </w:rPr>
        <w:t xml:space="preserve"> </w:t>
      </w:r>
      <w:hyperlink r:id="rId197" w:history="1">
        <w:r w:rsidR="004C599C" w:rsidRPr="00B40A77">
          <w:rPr>
            <w:rStyle w:val="Hyperlink"/>
            <w:color w:val="000000" w:themeColor="text1"/>
            <w:lang w:val="en-US"/>
          </w:rPr>
          <w:t xml:space="preserve">Certificate of </w:t>
        </w:r>
        <w:r w:rsidR="006F6EA8" w:rsidRPr="00B40A77">
          <w:rPr>
            <w:rStyle w:val="Hyperlink"/>
            <w:color w:val="000000" w:themeColor="text1"/>
            <w:lang w:val="en-US"/>
          </w:rPr>
          <w:t>L</w:t>
        </w:r>
        <w:r w:rsidR="004C599C" w:rsidRPr="00B40A77">
          <w:rPr>
            <w:rStyle w:val="Hyperlink"/>
            <w:color w:val="000000" w:themeColor="text1"/>
            <w:lang w:val="en-US"/>
          </w:rPr>
          <w:t xml:space="preserve">egal </w:t>
        </w:r>
        <w:r w:rsidR="006F6EA8" w:rsidRPr="00B40A77">
          <w:rPr>
            <w:rStyle w:val="Hyperlink"/>
            <w:color w:val="000000" w:themeColor="text1"/>
            <w:lang w:val="en-US"/>
          </w:rPr>
          <w:t>R</w:t>
        </w:r>
        <w:r w:rsidR="004C599C" w:rsidRPr="00B40A77">
          <w:rPr>
            <w:rStyle w:val="Hyperlink"/>
            <w:color w:val="000000" w:themeColor="text1"/>
            <w:lang w:val="en-US"/>
          </w:rPr>
          <w:t>epresentation</w:t>
        </w:r>
      </w:hyperlink>
    </w:p>
    <w:p w14:paraId="471AAD3B" w14:textId="65CAABE0" w:rsidR="0060304D" w:rsidRPr="00B40A77" w:rsidRDefault="00AA39DA" w:rsidP="00037437">
      <w:pPr>
        <w:pStyle w:val="Hangindent"/>
        <w:keepNext/>
        <w:rPr>
          <w:color w:val="000000" w:themeColor="text1"/>
        </w:rPr>
      </w:pPr>
      <w:r w:rsidRPr="00B40A77">
        <w:rPr>
          <w:color w:val="000000" w:themeColor="text1"/>
        </w:rPr>
        <w:t>(2</w:t>
      </w:r>
      <w:r w:rsidR="0060304D" w:rsidRPr="00B40A77">
        <w:rPr>
          <w:color w:val="000000" w:themeColor="text1"/>
        </w:rPr>
        <w:t>)</w:t>
      </w:r>
      <w:r w:rsidR="0060304D" w:rsidRPr="00B40A77">
        <w:rPr>
          <w:color w:val="000000" w:themeColor="text1"/>
        </w:rPr>
        <w:tab/>
        <w:t xml:space="preserve">A written assurance that the defendant does not want legal representation at </w:t>
      </w:r>
      <w:hyperlink w:anchor="_2.1—Definitions" w:history="1">
        <w:r w:rsidR="00AB0539" w:rsidRPr="00B40A77">
          <w:rPr>
            <w:rStyle w:val="Hyperlink"/>
            <w:color w:val="000000" w:themeColor="text1"/>
            <w:lang w:val="en-US"/>
          </w:rPr>
          <w:t>trial</w:t>
        </w:r>
      </w:hyperlink>
      <w:r w:rsidR="004C599C" w:rsidRPr="00B40A77">
        <w:rPr>
          <w:color w:val="000000" w:themeColor="text1"/>
        </w:rPr>
        <w:t xml:space="preserve"> under section</w:t>
      </w:r>
      <w:r w:rsidR="003F313A" w:rsidRPr="00B40A77">
        <w:rPr>
          <w:color w:val="000000" w:themeColor="text1"/>
        </w:rPr>
        <w:t> </w:t>
      </w:r>
      <w:r w:rsidR="004C599C" w:rsidRPr="00B40A77">
        <w:rPr>
          <w:color w:val="000000" w:themeColor="text1"/>
        </w:rPr>
        <w:t xml:space="preserve">8(3)(c) of </w:t>
      </w:r>
      <w:r w:rsidR="004C599C" w:rsidRPr="00B40A77">
        <w:rPr>
          <w:color w:val="000000" w:themeColor="text1"/>
          <w:spacing w:val="-3"/>
          <w:lang w:val="en-US"/>
        </w:rPr>
        <w:t xml:space="preserve">the </w:t>
      </w:r>
      <w:r w:rsidR="004C599C" w:rsidRPr="00B40A77">
        <w:rPr>
          <w:i/>
          <w:color w:val="000000" w:themeColor="text1"/>
          <w:spacing w:val="-3"/>
          <w:lang w:val="en-US"/>
        </w:rPr>
        <w:t>Criminal Law (Legal Representation) Act 2001</w:t>
      </w:r>
      <w:r w:rsidR="0060304D" w:rsidRPr="00B40A77">
        <w:rPr>
          <w:color w:val="000000" w:themeColor="text1"/>
          <w:lang w:val="en-US"/>
        </w:rPr>
        <w:t xml:space="preserve"> </w:t>
      </w:r>
      <w:r w:rsidRPr="00B40A77">
        <w:rPr>
          <w:color w:val="000000" w:themeColor="text1"/>
        </w:rPr>
        <w:t>must be in the prescribed</w:t>
      </w:r>
      <w:r w:rsidR="0060304D" w:rsidRPr="00B40A77">
        <w:rPr>
          <w:color w:val="000000" w:themeColor="text1"/>
        </w:rPr>
        <w:t xml:space="preserve"> form.</w:t>
      </w:r>
    </w:p>
    <w:p w14:paraId="2704CEB1" w14:textId="77777777" w:rsidR="004C599C" w:rsidRPr="00B40A77" w:rsidRDefault="004C599C" w:rsidP="002B7732">
      <w:pPr>
        <w:pStyle w:val="NoteHeader"/>
        <w:keepNext/>
        <w:rPr>
          <w:color w:val="000000" w:themeColor="text1"/>
        </w:rPr>
      </w:pPr>
      <w:r w:rsidRPr="00B40A77">
        <w:rPr>
          <w:color w:val="000000" w:themeColor="text1"/>
        </w:rPr>
        <w:t>Prescribed form—</w:t>
      </w:r>
    </w:p>
    <w:p w14:paraId="7FBAE4C8" w14:textId="2B30AAE2" w:rsidR="004C599C" w:rsidRPr="00B40A77" w:rsidRDefault="007F0A8D" w:rsidP="004C599C">
      <w:pPr>
        <w:pStyle w:val="NoteText"/>
        <w:rPr>
          <w:color w:val="000000" w:themeColor="text1"/>
          <w:lang w:val="en-US"/>
        </w:rPr>
      </w:pPr>
      <w:r w:rsidRPr="00B40A77">
        <w:rPr>
          <w:color w:val="000000" w:themeColor="text1"/>
        </w:rPr>
        <w:t>Form 17</w:t>
      </w:r>
      <w:r w:rsidR="004C599C" w:rsidRPr="00B40A77">
        <w:rPr>
          <w:color w:val="000000" w:themeColor="text1"/>
        </w:rPr>
        <w:t xml:space="preserve"> </w:t>
      </w:r>
      <w:hyperlink r:id="rId198" w:history="1">
        <w:r w:rsidR="004C599C" w:rsidRPr="00B40A77">
          <w:rPr>
            <w:rStyle w:val="Hyperlink"/>
            <w:color w:val="000000" w:themeColor="text1"/>
            <w:lang w:val="en-US"/>
          </w:rPr>
          <w:t xml:space="preserve">Assurance that </w:t>
        </w:r>
        <w:r w:rsidR="006F6EA8" w:rsidRPr="00B40A77">
          <w:rPr>
            <w:rStyle w:val="Hyperlink"/>
            <w:color w:val="000000" w:themeColor="text1"/>
            <w:lang w:val="en-US"/>
          </w:rPr>
          <w:t>D</w:t>
        </w:r>
        <w:r w:rsidR="004C599C" w:rsidRPr="00B40A77">
          <w:rPr>
            <w:rStyle w:val="Hyperlink"/>
            <w:color w:val="000000" w:themeColor="text1"/>
            <w:lang w:val="en-US"/>
          </w:rPr>
          <w:t xml:space="preserve">efendant does not </w:t>
        </w:r>
        <w:r w:rsidR="006F6EA8" w:rsidRPr="00B40A77">
          <w:rPr>
            <w:rStyle w:val="Hyperlink"/>
            <w:color w:val="000000" w:themeColor="text1"/>
            <w:lang w:val="en-US"/>
          </w:rPr>
          <w:t>W</w:t>
        </w:r>
        <w:r w:rsidR="004C599C" w:rsidRPr="00B40A77">
          <w:rPr>
            <w:rStyle w:val="Hyperlink"/>
            <w:color w:val="000000" w:themeColor="text1"/>
            <w:lang w:val="en-US"/>
          </w:rPr>
          <w:t xml:space="preserve">ant </w:t>
        </w:r>
        <w:r w:rsidR="006F6EA8" w:rsidRPr="00B40A77">
          <w:rPr>
            <w:rStyle w:val="Hyperlink"/>
            <w:color w:val="000000" w:themeColor="text1"/>
            <w:lang w:val="en-US"/>
          </w:rPr>
          <w:t>L</w:t>
        </w:r>
        <w:r w:rsidR="004C599C" w:rsidRPr="00B40A77">
          <w:rPr>
            <w:rStyle w:val="Hyperlink"/>
            <w:color w:val="000000" w:themeColor="text1"/>
            <w:lang w:val="en-US"/>
          </w:rPr>
          <w:t xml:space="preserve">egal </w:t>
        </w:r>
        <w:r w:rsidR="006F6EA8" w:rsidRPr="00B40A77">
          <w:rPr>
            <w:rStyle w:val="Hyperlink"/>
            <w:color w:val="000000" w:themeColor="text1"/>
            <w:lang w:val="en-US"/>
          </w:rPr>
          <w:t>R</w:t>
        </w:r>
        <w:r w:rsidR="004C599C" w:rsidRPr="00B40A77">
          <w:rPr>
            <w:rStyle w:val="Hyperlink"/>
            <w:color w:val="000000" w:themeColor="text1"/>
            <w:lang w:val="en-US"/>
          </w:rPr>
          <w:t>epresentation</w:t>
        </w:r>
      </w:hyperlink>
    </w:p>
    <w:p w14:paraId="34A4F7BB" w14:textId="05187945" w:rsidR="00470DEC" w:rsidRPr="00B40A77" w:rsidRDefault="00470DEC" w:rsidP="00470DEC">
      <w:pPr>
        <w:pStyle w:val="Hangindent"/>
        <w:rPr>
          <w:color w:val="000000" w:themeColor="text1"/>
          <w:spacing w:val="-3"/>
          <w:lang w:val="en-US"/>
        </w:rPr>
      </w:pPr>
      <w:r w:rsidRPr="00B40A77">
        <w:rPr>
          <w:color w:val="000000" w:themeColor="text1"/>
          <w:spacing w:val="-3"/>
          <w:lang w:val="en-US"/>
        </w:rPr>
        <w:t>(</w:t>
      </w:r>
      <w:r w:rsidR="00C849DE" w:rsidRPr="00B40A77">
        <w:rPr>
          <w:color w:val="000000" w:themeColor="text1"/>
          <w:spacing w:val="-3"/>
          <w:lang w:val="en-US"/>
        </w:rPr>
        <w:t>3</w:t>
      </w:r>
      <w:r w:rsidRPr="00B40A77">
        <w:rPr>
          <w:color w:val="000000" w:themeColor="text1"/>
          <w:spacing w:val="-3"/>
          <w:lang w:val="en-US"/>
        </w:rPr>
        <w:t>)</w:t>
      </w:r>
      <w:r w:rsidRPr="00B40A77">
        <w:rPr>
          <w:color w:val="000000" w:themeColor="text1"/>
          <w:spacing w:val="-3"/>
          <w:lang w:val="en-US"/>
        </w:rPr>
        <w:tab/>
        <w:t xml:space="preserve">At the first </w:t>
      </w:r>
      <w:hyperlink w:anchor="_2.1—Definitions" w:history="1">
        <w:r w:rsidR="00BF56DC" w:rsidRPr="00B40A77">
          <w:rPr>
            <w:rStyle w:val="Hyperlink"/>
            <w:color w:val="000000" w:themeColor="text1"/>
          </w:rPr>
          <w:t>directions hearing</w:t>
        </w:r>
      </w:hyperlink>
      <w:r w:rsidRPr="00B40A77">
        <w:rPr>
          <w:color w:val="000000" w:themeColor="text1"/>
          <w:spacing w:val="-3"/>
          <w:lang w:val="en-US"/>
        </w:rPr>
        <w:t>, the Court will consider any legal representation certificate or written assurance that has been filed and will consider whether to make a direction under section</w:t>
      </w:r>
      <w:r w:rsidR="003F313A" w:rsidRPr="00B40A77">
        <w:rPr>
          <w:color w:val="000000" w:themeColor="text1"/>
          <w:spacing w:val="-3"/>
          <w:lang w:val="en-US"/>
        </w:rPr>
        <w:t> </w:t>
      </w:r>
      <w:r w:rsidRPr="00B40A77">
        <w:rPr>
          <w:color w:val="000000" w:themeColor="text1"/>
          <w:spacing w:val="-3"/>
          <w:lang w:val="en-US"/>
        </w:rPr>
        <w:t xml:space="preserve">8 of the </w:t>
      </w:r>
      <w:r w:rsidRPr="00B40A77">
        <w:rPr>
          <w:i/>
          <w:color w:val="000000" w:themeColor="text1"/>
          <w:spacing w:val="-3"/>
          <w:lang w:val="en-US"/>
        </w:rPr>
        <w:t xml:space="preserve">Criminal Law (Legal Representation) Act 2001 </w:t>
      </w:r>
      <w:r w:rsidRPr="00B40A77">
        <w:rPr>
          <w:color w:val="000000" w:themeColor="text1"/>
          <w:spacing w:val="-3"/>
          <w:lang w:val="en-US"/>
        </w:rPr>
        <w:t>that the defendant make an application to the Legal Services Commission for legal assistance.</w:t>
      </w:r>
    </w:p>
    <w:p w14:paraId="07110648" w14:textId="6FB064FA" w:rsidR="00970CE0" w:rsidRPr="00B40A77" w:rsidRDefault="00C52C82" w:rsidP="00BE23A0">
      <w:pPr>
        <w:pStyle w:val="Heading2"/>
        <w:keepNext/>
        <w:rPr>
          <w:color w:val="000000" w:themeColor="text1"/>
        </w:rPr>
      </w:pPr>
      <w:bookmarkStart w:id="697" w:name="_Toc175239094"/>
      <w:r w:rsidRPr="00B40A77">
        <w:rPr>
          <w:color w:val="000000" w:themeColor="text1"/>
        </w:rPr>
        <w:t>Part 8</w:t>
      </w:r>
      <w:r w:rsidR="00970CE0" w:rsidRPr="00B40A77">
        <w:rPr>
          <w:color w:val="000000" w:themeColor="text1"/>
        </w:rPr>
        <w:t>—</w:t>
      </w:r>
      <w:r w:rsidR="004B0B1A" w:rsidRPr="00B40A77">
        <w:rPr>
          <w:color w:val="000000" w:themeColor="text1"/>
        </w:rPr>
        <w:t>H</w:t>
      </w:r>
      <w:r w:rsidR="00970CE0" w:rsidRPr="00B40A77">
        <w:rPr>
          <w:color w:val="000000" w:themeColor="text1"/>
        </w:rPr>
        <w:t>earings</w:t>
      </w:r>
      <w:r w:rsidR="004B0B1A" w:rsidRPr="00B40A77">
        <w:rPr>
          <w:color w:val="000000" w:themeColor="text1"/>
        </w:rPr>
        <w:t xml:space="preserve"> and applications</w:t>
      </w:r>
      <w:bookmarkEnd w:id="697"/>
    </w:p>
    <w:p w14:paraId="6F4FA8DC" w14:textId="4F9A891A" w:rsidR="004B0B1A" w:rsidRPr="00B40A77" w:rsidRDefault="004B0B1A" w:rsidP="004B0B1A">
      <w:pPr>
        <w:pStyle w:val="Heading3"/>
        <w:rPr>
          <w:color w:val="000000" w:themeColor="text1"/>
        </w:rPr>
      </w:pPr>
      <w:bookmarkStart w:id="698" w:name="_Toc175239095"/>
      <w:bookmarkStart w:id="699" w:name="_Toc60133540"/>
      <w:r w:rsidRPr="00B40A77">
        <w:rPr>
          <w:color w:val="000000" w:themeColor="text1"/>
        </w:rPr>
        <w:t>Division 1—</w:t>
      </w:r>
      <w:r w:rsidR="00CD3213" w:rsidRPr="00B40A77">
        <w:rPr>
          <w:color w:val="000000" w:themeColor="text1"/>
        </w:rPr>
        <w:t>Directions h</w:t>
      </w:r>
      <w:r w:rsidRPr="00B40A77">
        <w:rPr>
          <w:color w:val="000000" w:themeColor="text1"/>
        </w:rPr>
        <w:t>earings</w:t>
      </w:r>
      <w:bookmarkEnd w:id="698"/>
    </w:p>
    <w:p w14:paraId="3CE6C0CA" w14:textId="1ABE8090" w:rsidR="00C52C82" w:rsidRPr="00B40A77" w:rsidRDefault="00AC0F08" w:rsidP="00B87028">
      <w:pPr>
        <w:pStyle w:val="Heading4"/>
        <w:rPr>
          <w:color w:val="000000" w:themeColor="text1"/>
        </w:rPr>
      </w:pPr>
      <w:bookmarkStart w:id="700" w:name="_Toc175239096"/>
      <w:r w:rsidRPr="00B40A77">
        <w:rPr>
          <w:color w:val="000000" w:themeColor="text1"/>
        </w:rPr>
        <w:t>99</w:t>
      </w:r>
      <w:r w:rsidR="00C52C82" w:rsidRPr="00B40A77">
        <w:rPr>
          <w:color w:val="000000" w:themeColor="text1"/>
        </w:rPr>
        <w:t>.1—Convening directions hearing</w:t>
      </w:r>
      <w:bookmarkEnd w:id="699"/>
      <w:bookmarkEnd w:id="700"/>
    </w:p>
    <w:p w14:paraId="7B7EE3B7" w14:textId="16F10564" w:rsidR="00C52C82" w:rsidRPr="00B40A77" w:rsidRDefault="00C52C82" w:rsidP="00F45516">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will be convened—</w:t>
      </w:r>
    </w:p>
    <w:p w14:paraId="4DF2D79E" w14:textId="35584122" w:rsidR="00C52C82" w:rsidRPr="00B40A77" w:rsidRDefault="00C52C82" w:rsidP="00C52C82">
      <w:pPr>
        <w:pStyle w:val="Doublehangindent"/>
        <w:rPr>
          <w:color w:val="000000" w:themeColor="text1"/>
        </w:rPr>
      </w:pPr>
      <w:r w:rsidRPr="00B40A77">
        <w:rPr>
          <w:color w:val="000000" w:themeColor="text1"/>
        </w:rPr>
        <w:t>(a)</w:t>
      </w:r>
      <w:r w:rsidRPr="00B40A77">
        <w:rPr>
          <w:color w:val="000000" w:themeColor="text1"/>
        </w:rPr>
        <w:tab/>
        <w:t xml:space="preserve">when the proceeding is referred upon arraignment to a </w:t>
      </w:r>
      <w:hyperlink w:anchor="_2.1—Definitions" w:history="1">
        <w:r w:rsidR="00BF56DC" w:rsidRPr="00B40A77">
          <w:rPr>
            <w:rStyle w:val="Hyperlink"/>
            <w:color w:val="000000" w:themeColor="text1"/>
          </w:rPr>
          <w:t>directions hearing</w:t>
        </w:r>
      </w:hyperlink>
      <w:r w:rsidR="00DB7744" w:rsidRPr="00B40A77">
        <w:rPr>
          <w:color w:val="000000" w:themeColor="text1"/>
        </w:rPr>
        <w:t xml:space="preserve"> under </w:t>
      </w:r>
      <w:hyperlink w:anchor="_96.3—Procedure_at_arraignment:" w:history="1">
        <w:r w:rsidR="00DB7744" w:rsidRPr="00B40A77">
          <w:rPr>
            <w:rStyle w:val="Hyperlink"/>
            <w:color w:val="000000" w:themeColor="text1"/>
          </w:rPr>
          <w:t>rule</w:t>
        </w:r>
        <w:r w:rsidR="002E3019" w:rsidRPr="00B40A77">
          <w:rPr>
            <w:rStyle w:val="Hyperlink"/>
            <w:color w:val="000000" w:themeColor="text1"/>
          </w:rPr>
          <w:t> </w:t>
        </w:r>
        <w:r w:rsidR="00DB7744" w:rsidRPr="00B40A77">
          <w:rPr>
            <w:rStyle w:val="Hyperlink"/>
            <w:color w:val="000000" w:themeColor="text1"/>
          </w:rPr>
          <w:t>96</w:t>
        </w:r>
        <w:r w:rsidR="00452324" w:rsidRPr="00B40A77">
          <w:rPr>
            <w:rStyle w:val="Hyperlink"/>
            <w:color w:val="000000" w:themeColor="text1"/>
          </w:rPr>
          <w:t>.3</w:t>
        </w:r>
      </w:hyperlink>
      <w:r w:rsidR="00452324" w:rsidRPr="00B40A77">
        <w:rPr>
          <w:color w:val="000000" w:themeColor="text1"/>
        </w:rPr>
        <w:t xml:space="preserve"> or </w:t>
      </w:r>
      <w:hyperlink w:anchor="_96.4—Procedure_at_arraignment:" w:history="1">
        <w:r w:rsidR="00452324" w:rsidRPr="00B40A77">
          <w:rPr>
            <w:rStyle w:val="Hyperlink"/>
            <w:color w:val="000000" w:themeColor="text1"/>
          </w:rPr>
          <w:t>rule 96.4</w:t>
        </w:r>
      </w:hyperlink>
      <w:r w:rsidRPr="00B40A77">
        <w:rPr>
          <w:color w:val="000000" w:themeColor="text1"/>
        </w:rPr>
        <w:t>;</w:t>
      </w:r>
    </w:p>
    <w:p w14:paraId="7846B737" w14:textId="20C4FF65" w:rsidR="00C52C82" w:rsidRPr="00B40A77" w:rsidRDefault="00C52C82" w:rsidP="00C52C82">
      <w:pPr>
        <w:pStyle w:val="Doublehangindent"/>
        <w:rPr>
          <w:color w:val="000000" w:themeColor="text1"/>
        </w:rPr>
      </w:pPr>
      <w:r w:rsidRPr="00B40A77">
        <w:rPr>
          <w:color w:val="000000" w:themeColor="text1"/>
        </w:rPr>
        <w:t>(b)</w:t>
      </w:r>
      <w:r w:rsidRPr="00B40A77">
        <w:rPr>
          <w:color w:val="000000" w:themeColor="text1"/>
        </w:rPr>
        <w:tab/>
        <w:t xml:space="preserve">when the proceeding is referred at a </w:t>
      </w:r>
      <w:hyperlink w:anchor="_2.1—Definitions" w:history="1">
        <w:r w:rsidR="00BF56DC" w:rsidRPr="00B40A77">
          <w:rPr>
            <w:rStyle w:val="Hyperlink"/>
            <w:color w:val="000000" w:themeColor="text1"/>
          </w:rPr>
          <w:t>directions hearing</w:t>
        </w:r>
      </w:hyperlink>
      <w:r w:rsidRPr="00B40A77">
        <w:rPr>
          <w:color w:val="000000" w:themeColor="text1"/>
        </w:rPr>
        <w:t xml:space="preserve"> to a further </w:t>
      </w:r>
      <w:hyperlink w:anchor="_2.1—Definitions" w:history="1">
        <w:r w:rsidR="00BF56DC" w:rsidRPr="00B40A77">
          <w:rPr>
            <w:rStyle w:val="Hyperlink"/>
            <w:color w:val="000000" w:themeColor="text1"/>
          </w:rPr>
          <w:t>directions hearing</w:t>
        </w:r>
      </w:hyperlink>
      <w:r w:rsidRPr="00B40A77">
        <w:rPr>
          <w:color w:val="000000" w:themeColor="text1"/>
        </w:rPr>
        <w:t>;</w:t>
      </w:r>
    </w:p>
    <w:p w14:paraId="4BEFAB9F" w14:textId="408678DE" w:rsidR="00C52C82" w:rsidRPr="00B40A77" w:rsidRDefault="00C52C82" w:rsidP="00C52C82">
      <w:pPr>
        <w:pStyle w:val="Doublehangindent"/>
        <w:rPr>
          <w:color w:val="000000" w:themeColor="text1"/>
        </w:rPr>
      </w:pPr>
      <w:r w:rsidRPr="00B40A77">
        <w:rPr>
          <w:color w:val="000000" w:themeColor="text1"/>
        </w:rPr>
        <w:t>(c)</w:t>
      </w:r>
      <w:r w:rsidRPr="00B40A77">
        <w:rPr>
          <w:color w:val="000000" w:themeColor="text1"/>
        </w:rPr>
        <w:tab/>
        <w:t xml:space="preserve">when convened by </w:t>
      </w:r>
      <w:r w:rsidR="00074ED9" w:rsidRPr="00B40A77">
        <w:rPr>
          <w:color w:val="000000" w:themeColor="text1"/>
        </w:rPr>
        <w:t>the</w:t>
      </w:r>
      <w:r w:rsidRPr="00B40A77">
        <w:rPr>
          <w:color w:val="000000" w:themeColor="text1"/>
        </w:rPr>
        <w:t xml:space="preserve"> </w:t>
      </w:r>
      <w:hyperlink w:anchor="_2.1—Definitions" w:history="1">
        <w:r w:rsidRPr="00B40A77">
          <w:rPr>
            <w:rStyle w:val="Hyperlink"/>
            <w:color w:val="000000" w:themeColor="text1"/>
          </w:rPr>
          <w:t>Registrar</w:t>
        </w:r>
      </w:hyperlink>
      <w:r w:rsidRPr="00B40A77">
        <w:rPr>
          <w:color w:val="000000" w:themeColor="text1"/>
        </w:rPr>
        <w:t xml:space="preserve">; or </w:t>
      </w:r>
    </w:p>
    <w:p w14:paraId="4497C94E" w14:textId="01D7B8D0" w:rsidR="00C52C82" w:rsidRPr="00B40A77" w:rsidRDefault="00C52C82" w:rsidP="00C52C82">
      <w:pPr>
        <w:pStyle w:val="Doublehangindent"/>
        <w:rPr>
          <w:color w:val="000000" w:themeColor="text1"/>
        </w:rPr>
      </w:pPr>
      <w:r w:rsidRPr="00B40A77">
        <w:rPr>
          <w:color w:val="000000" w:themeColor="text1"/>
        </w:rPr>
        <w:t>(d)</w:t>
      </w:r>
      <w:r w:rsidRPr="00B40A77">
        <w:rPr>
          <w:color w:val="000000" w:themeColor="text1"/>
        </w:rPr>
        <w:tab/>
        <w:t xml:space="preserve">when convened by the Court (including by </w:t>
      </w:r>
      <w:r w:rsidR="00C849DE" w:rsidRPr="00B40A77">
        <w:rPr>
          <w:color w:val="000000" w:themeColor="text1"/>
        </w:rPr>
        <w:t xml:space="preserve">a Judge before arraignment or by </w:t>
      </w:r>
      <w:r w:rsidRPr="00B40A77">
        <w:rPr>
          <w:color w:val="000000" w:themeColor="text1"/>
        </w:rPr>
        <w:t xml:space="preserve">the </w:t>
      </w:r>
      <w:r w:rsidR="002A0B8E" w:rsidRPr="00B40A77">
        <w:rPr>
          <w:color w:val="000000" w:themeColor="text1"/>
        </w:rPr>
        <w:t>trial</w:t>
      </w:r>
      <w:r w:rsidRPr="00B40A77">
        <w:rPr>
          <w:color w:val="000000" w:themeColor="text1"/>
        </w:rPr>
        <w:t xml:space="preserve"> Judge </w:t>
      </w:r>
      <w:r w:rsidR="00C849DE" w:rsidRPr="00B40A77">
        <w:rPr>
          <w:color w:val="000000" w:themeColor="text1"/>
        </w:rPr>
        <w:t xml:space="preserve">or another Judge </w:t>
      </w:r>
      <w:r w:rsidRPr="00B40A77">
        <w:rPr>
          <w:color w:val="000000" w:themeColor="text1"/>
        </w:rPr>
        <w:t xml:space="preserve">in preparation for the </w:t>
      </w:r>
      <w:hyperlink w:anchor="_2.1—Definitions" w:history="1">
        <w:r w:rsidR="00AB0539" w:rsidRPr="00B40A77">
          <w:rPr>
            <w:rStyle w:val="Hyperlink"/>
            <w:color w:val="000000" w:themeColor="text1"/>
            <w:lang w:val="en-US"/>
          </w:rPr>
          <w:t>trial</w:t>
        </w:r>
      </w:hyperlink>
      <w:r w:rsidRPr="00B40A77">
        <w:rPr>
          <w:color w:val="000000" w:themeColor="text1"/>
        </w:rPr>
        <w:t>) on the Court’s own initiative or on the application of a party.</w:t>
      </w:r>
    </w:p>
    <w:p w14:paraId="50BB6EDD" w14:textId="7CB6F0A1" w:rsidR="00C52C82" w:rsidRPr="00B40A77" w:rsidRDefault="00C52C82" w:rsidP="00970CE0">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Any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required in relation to a </w:t>
      </w:r>
      <w:hyperlink w:anchor="_2.1—Definitions" w:history="1">
        <w:r w:rsidR="00732D46" w:rsidRPr="00B40A77">
          <w:rPr>
            <w:rStyle w:val="Hyperlink"/>
            <w:color w:val="000000" w:themeColor="text1"/>
            <w:szCs w:val="24"/>
            <w:lang w:val="en-US"/>
          </w:rPr>
          <w:t>priority proceeding</w:t>
        </w:r>
      </w:hyperlink>
      <w:r w:rsidRPr="00B40A77">
        <w:rPr>
          <w:color w:val="000000" w:themeColor="text1"/>
          <w:lang w:val="en-US"/>
        </w:rPr>
        <w:t xml:space="preserve"> will be </w:t>
      </w:r>
      <w:r w:rsidR="00AF0B3F" w:rsidRPr="00B40A77">
        <w:rPr>
          <w:color w:val="000000" w:themeColor="text1"/>
          <w:lang w:val="en-US"/>
        </w:rPr>
        <w:t>listed with appropriate priority</w:t>
      </w:r>
      <w:r w:rsidR="008F6109" w:rsidRPr="00B40A77">
        <w:rPr>
          <w:color w:val="000000" w:themeColor="text1"/>
          <w:lang w:val="en-US"/>
        </w:rPr>
        <w:t xml:space="preserve"> </w:t>
      </w:r>
      <w:r w:rsidR="008F6109" w:rsidRPr="00B40A77">
        <w:rPr>
          <w:color w:val="000000" w:themeColor="text1"/>
        </w:rPr>
        <w:t>as determined by the Court</w:t>
      </w:r>
      <w:r w:rsidRPr="00B40A77">
        <w:rPr>
          <w:color w:val="000000" w:themeColor="text1"/>
          <w:lang w:val="en-US"/>
        </w:rPr>
        <w:t>.</w:t>
      </w:r>
    </w:p>
    <w:p w14:paraId="03826BEA" w14:textId="1780B182" w:rsidR="00970CE0" w:rsidRPr="00B40A77" w:rsidRDefault="00AC0F08" w:rsidP="00970CE0">
      <w:pPr>
        <w:pStyle w:val="Heading4"/>
        <w:rPr>
          <w:color w:val="000000" w:themeColor="text1"/>
        </w:rPr>
      </w:pPr>
      <w:bookmarkStart w:id="701" w:name="_Toc175239097"/>
      <w:r w:rsidRPr="00B40A77">
        <w:rPr>
          <w:color w:val="000000" w:themeColor="text1"/>
        </w:rPr>
        <w:lastRenderedPageBreak/>
        <w:t>99</w:t>
      </w:r>
      <w:r w:rsidR="002912E6" w:rsidRPr="00B40A77">
        <w:rPr>
          <w:color w:val="000000" w:themeColor="text1"/>
        </w:rPr>
        <w:t>.2</w:t>
      </w:r>
      <w:r w:rsidR="00970CE0" w:rsidRPr="00B40A77">
        <w:rPr>
          <w:color w:val="000000" w:themeColor="text1"/>
        </w:rPr>
        <w:t>—Attendance of parties</w:t>
      </w:r>
      <w:r w:rsidR="00CD3213" w:rsidRPr="00B40A77">
        <w:rPr>
          <w:color w:val="000000" w:themeColor="text1"/>
        </w:rPr>
        <w:t xml:space="preserve"> at directions hearing</w:t>
      </w:r>
      <w:bookmarkEnd w:id="701"/>
    </w:p>
    <w:p w14:paraId="669FBE30" w14:textId="113A4155" w:rsidR="0057619D" w:rsidRPr="00B40A77" w:rsidRDefault="00970CE0" w:rsidP="0057619D">
      <w:pPr>
        <w:pStyle w:val="Hangindent"/>
        <w:rPr>
          <w:color w:val="000000" w:themeColor="text1"/>
        </w:rPr>
      </w:pPr>
      <w:r w:rsidRPr="00B40A77">
        <w:rPr>
          <w:color w:val="000000" w:themeColor="text1"/>
          <w:lang w:val="en-US"/>
        </w:rPr>
        <w:t>(1)</w:t>
      </w:r>
      <w:r w:rsidRPr="00B40A77">
        <w:rPr>
          <w:color w:val="000000" w:themeColor="text1"/>
          <w:lang w:val="en-US"/>
        </w:rPr>
        <w:tab/>
        <w:t xml:space="preserve">Unless </w:t>
      </w:r>
      <w:r w:rsidR="002912E6" w:rsidRPr="00B40A77">
        <w:rPr>
          <w:color w:val="000000" w:themeColor="text1"/>
          <w:lang w:val="en-US"/>
        </w:rPr>
        <w:t xml:space="preserve">the Court otherwise orders, </w:t>
      </w:r>
      <w:r w:rsidR="0057619D" w:rsidRPr="00B40A77">
        <w:rPr>
          <w:color w:val="000000" w:themeColor="text1"/>
          <w:lang w:val="en-US"/>
        </w:rPr>
        <w:t xml:space="preserve">a </w:t>
      </w:r>
      <w:hyperlink w:anchor="_2.1—Definitions" w:history="1">
        <w:r w:rsidR="00BF56DC" w:rsidRPr="00B40A77">
          <w:rPr>
            <w:rStyle w:val="Hyperlink"/>
            <w:color w:val="000000" w:themeColor="text1"/>
          </w:rPr>
          <w:t>directions hearing</w:t>
        </w:r>
      </w:hyperlink>
      <w:r w:rsidR="0057619D" w:rsidRPr="00B40A77">
        <w:rPr>
          <w:color w:val="000000" w:themeColor="text1"/>
          <w:lang w:val="en-US"/>
        </w:rPr>
        <w:t xml:space="preserve"> must be attended on behalf of the prosecution</w:t>
      </w:r>
      <w:r w:rsidR="0057619D" w:rsidRPr="00B40A77">
        <w:rPr>
          <w:color w:val="000000" w:themeColor="text1"/>
        </w:rPr>
        <w:t>—</w:t>
      </w:r>
    </w:p>
    <w:p w14:paraId="19501DDE" w14:textId="6EBDF248" w:rsidR="0057619D" w:rsidRPr="00B40A77" w:rsidRDefault="0057619D" w:rsidP="0057619D">
      <w:pPr>
        <w:pStyle w:val="Doublehangindent"/>
        <w:rPr>
          <w:color w:val="000000" w:themeColor="text1"/>
        </w:rPr>
      </w:pPr>
      <w:r w:rsidRPr="00B40A77">
        <w:rPr>
          <w:color w:val="000000" w:themeColor="text1"/>
        </w:rPr>
        <w:t>(a)</w:t>
      </w:r>
      <w:r w:rsidRPr="00B40A77">
        <w:rPr>
          <w:color w:val="000000" w:themeColor="text1"/>
        </w:rPr>
        <w:tab/>
        <w:t xml:space="preserve">if counsel has been assigned or briefed by the Director—by </w:t>
      </w:r>
      <w:r w:rsidRPr="00B40A77">
        <w:rPr>
          <w:color w:val="000000" w:themeColor="text1"/>
          <w:lang w:val="en-US"/>
        </w:rPr>
        <w:t xml:space="preserve">counsel </w:t>
      </w:r>
      <w:r w:rsidRPr="00B40A77">
        <w:rPr>
          <w:color w:val="000000" w:themeColor="text1"/>
        </w:rPr>
        <w:t>or, by leave of the Court, if attendance of counsel is not practicable, by a solicitor; or</w:t>
      </w:r>
    </w:p>
    <w:p w14:paraId="31968CBD" w14:textId="009DD44B" w:rsidR="0057619D" w:rsidRPr="00B40A77" w:rsidRDefault="0057619D" w:rsidP="0057619D">
      <w:pPr>
        <w:pStyle w:val="Doublehangindent"/>
        <w:rPr>
          <w:color w:val="000000" w:themeColor="text1"/>
        </w:rPr>
      </w:pPr>
      <w:r w:rsidRPr="00B40A77">
        <w:rPr>
          <w:color w:val="000000" w:themeColor="text1"/>
        </w:rPr>
        <w:t>(b)</w:t>
      </w:r>
      <w:r w:rsidRPr="00B40A77">
        <w:rPr>
          <w:color w:val="000000" w:themeColor="text1"/>
        </w:rPr>
        <w:tab/>
        <w:t xml:space="preserve">otherwise—by </w:t>
      </w:r>
      <w:r w:rsidRPr="00B40A77">
        <w:rPr>
          <w:color w:val="000000" w:themeColor="text1"/>
          <w:lang w:val="en-US"/>
        </w:rPr>
        <w:t>a solicitor</w:t>
      </w:r>
      <w:r w:rsidRPr="00B40A77">
        <w:rPr>
          <w:color w:val="000000" w:themeColor="text1"/>
        </w:rPr>
        <w:t>.</w:t>
      </w:r>
    </w:p>
    <w:p w14:paraId="2C2C880C" w14:textId="02E922A3" w:rsidR="00A231D4" w:rsidRPr="00B40A77" w:rsidRDefault="009F7530" w:rsidP="00A231D4">
      <w:pPr>
        <w:pStyle w:val="Hangindent"/>
        <w:rPr>
          <w:color w:val="000000" w:themeColor="text1"/>
        </w:rPr>
      </w:pPr>
      <w:r w:rsidRPr="00B40A77">
        <w:rPr>
          <w:color w:val="000000" w:themeColor="text1"/>
          <w:lang w:val="en-US"/>
        </w:rPr>
        <w:t>(</w:t>
      </w:r>
      <w:r w:rsidR="00DB7744" w:rsidRPr="00B40A77">
        <w:rPr>
          <w:color w:val="000000" w:themeColor="text1"/>
          <w:lang w:val="en-US"/>
        </w:rPr>
        <w:t>2</w:t>
      </w:r>
      <w:r w:rsidRPr="00B40A77">
        <w:rPr>
          <w:color w:val="000000" w:themeColor="text1"/>
          <w:lang w:val="en-US"/>
        </w:rPr>
        <w:t>)</w:t>
      </w:r>
      <w:r w:rsidRPr="00B40A77">
        <w:rPr>
          <w:color w:val="000000" w:themeColor="text1"/>
          <w:lang w:val="en-US"/>
        </w:rPr>
        <w:tab/>
        <w:t xml:space="preserve">Unless the Court otherwise orders, </w:t>
      </w:r>
      <w:r w:rsidR="00A231D4" w:rsidRPr="00B40A77">
        <w:rPr>
          <w:color w:val="000000" w:themeColor="text1"/>
          <w:lang w:val="en-US"/>
        </w:rPr>
        <w:t xml:space="preserve">if </w:t>
      </w:r>
      <w:r w:rsidRPr="00B40A77">
        <w:rPr>
          <w:color w:val="000000" w:themeColor="text1"/>
          <w:lang w:val="en-US"/>
        </w:rPr>
        <w:t xml:space="preserve">a defendant </w:t>
      </w:r>
      <w:r w:rsidR="00A231D4" w:rsidRPr="00B40A77">
        <w:rPr>
          <w:color w:val="000000" w:themeColor="text1"/>
          <w:lang w:val="en-US"/>
        </w:rPr>
        <w:t>is represented by a law firm</w:t>
      </w:r>
      <w:r w:rsidR="006562A5" w:rsidRPr="00B40A77">
        <w:rPr>
          <w:color w:val="000000" w:themeColor="text1"/>
          <w:lang w:val="en-US"/>
        </w:rPr>
        <w:t xml:space="preserve">, a </w:t>
      </w:r>
      <w:hyperlink w:anchor="_2.1—Definitions" w:history="1">
        <w:r w:rsidR="00BF56DC" w:rsidRPr="00B40A77">
          <w:rPr>
            <w:rStyle w:val="Hyperlink"/>
            <w:color w:val="000000" w:themeColor="text1"/>
          </w:rPr>
          <w:t>directions hearing</w:t>
        </w:r>
      </w:hyperlink>
      <w:r w:rsidR="006562A5" w:rsidRPr="00B40A77">
        <w:rPr>
          <w:color w:val="000000" w:themeColor="text1"/>
          <w:lang w:val="en-US"/>
        </w:rPr>
        <w:t xml:space="preserve"> must be attended</w:t>
      </w:r>
      <w:r w:rsidR="0057619D" w:rsidRPr="00B40A77">
        <w:rPr>
          <w:color w:val="000000" w:themeColor="text1"/>
          <w:lang w:val="en-US"/>
        </w:rPr>
        <w:t xml:space="preserve"> on behalf of the defendant</w:t>
      </w:r>
      <w:r w:rsidR="00A231D4" w:rsidRPr="00B40A77">
        <w:rPr>
          <w:color w:val="000000" w:themeColor="text1"/>
        </w:rPr>
        <w:t>—</w:t>
      </w:r>
    </w:p>
    <w:p w14:paraId="00D51A1E" w14:textId="35024290" w:rsidR="00A231D4" w:rsidRPr="00B40A77" w:rsidRDefault="00A231D4" w:rsidP="00A231D4">
      <w:pPr>
        <w:pStyle w:val="Doublehangindent"/>
        <w:rPr>
          <w:color w:val="000000" w:themeColor="text1"/>
        </w:rPr>
      </w:pPr>
      <w:r w:rsidRPr="00B40A77">
        <w:rPr>
          <w:color w:val="000000" w:themeColor="text1"/>
        </w:rPr>
        <w:t>(a)</w:t>
      </w:r>
      <w:r w:rsidRPr="00B40A77">
        <w:rPr>
          <w:color w:val="000000" w:themeColor="text1"/>
        </w:rPr>
        <w:tab/>
        <w:t>if counsel has been briefed—</w:t>
      </w:r>
      <w:r w:rsidR="006562A5" w:rsidRPr="00B40A77">
        <w:rPr>
          <w:color w:val="000000" w:themeColor="text1"/>
        </w:rPr>
        <w:t xml:space="preserve">by </w:t>
      </w:r>
      <w:r w:rsidRPr="00B40A77">
        <w:rPr>
          <w:color w:val="000000" w:themeColor="text1"/>
          <w:lang w:val="en-US"/>
        </w:rPr>
        <w:t>counsel</w:t>
      </w:r>
      <w:r w:rsidR="006562A5" w:rsidRPr="00B40A77">
        <w:rPr>
          <w:color w:val="000000" w:themeColor="text1"/>
          <w:lang w:val="en-US"/>
        </w:rPr>
        <w:t xml:space="preserve"> </w:t>
      </w:r>
      <w:r w:rsidR="006562A5" w:rsidRPr="00B40A77">
        <w:rPr>
          <w:color w:val="000000" w:themeColor="text1"/>
        </w:rPr>
        <w:t xml:space="preserve">or, by leave of the Court, if attendance of counsel is not practicable, by </w:t>
      </w:r>
      <w:r w:rsidR="0057619D" w:rsidRPr="00B40A77">
        <w:rPr>
          <w:color w:val="000000" w:themeColor="text1"/>
        </w:rPr>
        <w:t>a</w:t>
      </w:r>
      <w:r w:rsidR="006562A5" w:rsidRPr="00B40A77">
        <w:rPr>
          <w:color w:val="000000" w:themeColor="text1"/>
        </w:rPr>
        <w:t xml:space="preserve"> solicitor</w:t>
      </w:r>
      <w:r w:rsidRPr="00B40A77">
        <w:rPr>
          <w:color w:val="000000" w:themeColor="text1"/>
        </w:rPr>
        <w:t>; or</w:t>
      </w:r>
    </w:p>
    <w:p w14:paraId="20BA1916" w14:textId="41E5E37D" w:rsidR="00430EDB" w:rsidRPr="00B40A77" w:rsidRDefault="00A231D4" w:rsidP="00A231D4">
      <w:pPr>
        <w:pStyle w:val="Doublehangindent"/>
        <w:rPr>
          <w:color w:val="000000" w:themeColor="text1"/>
        </w:rPr>
      </w:pPr>
      <w:r w:rsidRPr="00B40A77">
        <w:rPr>
          <w:color w:val="000000" w:themeColor="text1"/>
        </w:rPr>
        <w:t>(b)</w:t>
      </w:r>
      <w:r w:rsidRPr="00B40A77">
        <w:rPr>
          <w:color w:val="000000" w:themeColor="text1"/>
        </w:rPr>
        <w:tab/>
        <w:t>otherwise—</w:t>
      </w:r>
      <w:r w:rsidR="0057619D" w:rsidRPr="00B40A77">
        <w:rPr>
          <w:color w:val="000000" w:themeColor="text1"/>
        </w:rPr>
        <w:t xml:space="preserve">by </w:t>
      </w:r>
      <w:r w:rsidRPr="00B40A77">
        <w:rPr>
          <w:color w:val="000000" w:themeColor="text1"/>
          <w:lang w:val="en-US"/>
        </w:rPr>
        <w:t>a solicitor</w:t>
      </w:r>
      <w:r w:rsidRPr="00B40A77">
        <w:rPr>
          <w:color w:val="000000" w:themeColor="text1"/>
        </w:rPr>
        <w:t>.</w:t>
      </w:r>
    </w:p>
    <w:p w14:paraId="6FDF9C20" w14:textId="03B93816" w:rsidR="00DB7744" w:rsidRPr="00B40A77" w:rsidRDefault="00DB7744" w:rsidP="00DB7744">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Unless the Court otherwise orders, a defendant must attend at a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but, unless the Court otherwise orders, if the defendant is in custody, the attendance will be by </w:t>
      </w:r>
      <w:hyperlink w:anchor="_2.1—Definitions" w:history="1">
        <w:r w:rsidR="00583700" w:rsidRPr="00B40A77">
          <w:rPr>
            <w:rStyle w:val="Hyperlink"/>
            <w:color w:val="000000" w:themeColor="text1"/>
            <w:lang w:val="en-US"/>
          </w:rPr>
          <w:t>audio visual link</w:t>
        </w:r>
      </w:hyperlink>
      <w:r w:rsidR="00583700" w:rsidRPr="00B40A77">
        <w:rPr>
          <w:color w:val="000000" w:themeColor="text1"/>
          <w:lang w:val="en-US"/>
        </w:rPr>
        <w:t xml:space="preserve"> or </w:t>
      </w:r>
      <w:hyperlink w:anchor="_2.1—Definitions" w:history="1">
        <w:r w:rsidR="001D63F7" w:rsidRPr="00B40A77">
          <w:rPr>
            <w:rStyle w:val="Hyperlink"/>
            <w:color w:val="000000" w:themeColor="text1"/>
            <w:lang w:val="en-US"/>
          </w:rPr>
          <w:t>audio link</w:t>
        </w:r>
      </w:hyperlink>
      <w:r w:rsidR="001D63F7" w:rsidRPr="00B40A77">
        <w:rPr>
          <w:color w:val="000000" w:themeColor="text1"/>
          <w:lang w:val="en-US"/>
        </w:rPr>
        <w:t xml:space="preserve"> </w:t>
      </w:r>
      <w:r w:rsidRPr="00B40A77">
        <w:rPr>
          <w:color w:val="000000" w:themeColor="text1"/>
          <w:lang w:val="en-US"/>
        </w:rPr>
        <w:t xml:space="preserve">under </w:t>
      </w:r>
      <w:hyperlink w:anchor="_15.3—Hearings_ordinarily_in" w:history="1">
        <w:r w:rsidRPr="00B40A77">
          <w:rPr>
            <w:rStyle w:val="Hyperlink"/>
            <w:color w:val="000000" w:themeColor="text1"/>
            <w:lang w:val="en-US"/>
          </w:rPr>
          <w:t xml:space="preserve">rule </w:t>
        </w:r>
        <w:r w:rsidR="00FD1746" w:rsidRPr="00B40A77">
          <w:rPr>
            <w:rStyle w:val="Hyperlink"/>
            <w:color w:val="000000" w:themeColor="text1"/>
            <w:lang w:val="en-US"/>
          </w:rPr>
          <w:t>3</w:t>
        </w:r>
        <w:r w:rsidR="006F304B" w:rsidRPr="00B40A77">
          <w:rPr>
            <w:rStyle w:val="Hyperlink"/>
            <w:color w:val="000000" w:themeColor="text1"/>
            <w:lang w:val="en-US"/>
          </w:rPr>
          <w:t>8</w:t>
        </w:r>
        <w:r w:rsidR="00FD1746" w:rsidRPr="00B40A77">
          <w:rPr>
            <w:rStyle w:val="Hyperlink"/>
            <w:color w:val="000000" w:themeColor="text1"/>
            <w:lang w:val="en-US"/>
          </w:rPr>
          <w:t>.3</w:t>
        </w:r>
      </w:hyperlink>
      <w:r w:rsidR="006F304B" w:rsidRPr="00B40A77">
        <w:rPr>
          <w:color w:val="000000" w:themeColor="text1"/>
          <w:lang w:val="en-US"/>
        </w:rPr>
        <w:t>.</w:t>
      </w:r>
    </w:p>
    <w:p w14:paraId="168307FA" w14:textId="6DC24DCA" w:rsidR="00CA7D70" w:rsidRPr="00B40A77" w:rsidRDefault="00AC0F08" w:rsidP="00CA7D70">
      <w:pPr>
        <w:pStyle w:val="Heading4"/>
        <w:rPr>
          <w:color w:val="000000" w:themeColor="text1"/>
        </w:rPr>
      </w:pPr>
      <w:bookmarkStart w:id="702" w:name="_Toc175239098"/>
      <w:r w:rsidRPr="00B40A77">
        <w:rPr>
          <w:color w:val="000000" w:themeColor="text1"/>
        </w:rPr>
        <w:t>99</w:t>
      </w:r>
      <w:r w:rsidR="00CA7D70" w:rsidRPr="00B40A77">
        <w:rPr>
          <w:color w:val="000000" w:themeColor="text1"/>
        </w:rPr>
        <w:t>.3—Attendance of public</w:t>
      </w:r>
      <w:r w:rsidR="00CD3213" w:rsidRPr="00B40A77">
        <w:rPr>
          <w:color w:val="000000" w:themeColor="text1"/>
        </w:rPr>
        <w:t xml:space="preserve"> at directions hearing</w:t>
      </w:r>
      <w:bookmarkEnd w:id="702"/>
    </w:p>
    <w:p w14:paraId="4D4D7922" w14:textId="73A95C1C" w:rsidR="00CA7D70" w:rsidRPr="00B40A77" w:rsidRDefault="008A4B6B" w:rsidP="00173536">
      <w:pPr>
        <w:pStyle w:val="Hangindent"/>
        <w:keepNext/>
        <w:rPr>
          <w:color w:val="000000" w:themeColor="text1"/>
          <w:lang w:val="en-US"/>
        </w:rPr>
      </w:pPr>
      <w:r w:rsidRPr="00B40A77">
        <w:rPr>
          <w:color w:val="000000" w:themeColor="text1"/>
          <w:lang w:val="en-US"/>
        </w:rPr>
        <w:t>Attendance at</w:t>
      </w:r>
      <w:r w:rsidR="00F930FB" w:rsidRPr="00B40A77">
        <w:rPr>
          <w:color w:val="000000" w:themeColor="text1"/>
          <w:lang w:val="en-US"/>
        </w:rPr>
        <w:t xml:space="preserve"> </w:t>
      </w:r>
      <w:r w:rsidR="00CA7D70" w:rsidRPr="00B40A77">
        <w:rPr>
          <w:color w:val="000000" w:themeColor="text1"/>
          <w:lang w:val="en-US"/>
        </w:rPr>
        <w:t xml:space="preserve">a </w:t>
      </w:r>
      <w:hyperlink w:anchor="_2.1—Definitions" w:history="1">
        <w:r w:rsidR="00BF56DC" w:rsidRPr="00B40A77">
          <w:rPr>
            <w:rStyle w:val="Hyperlink"/>
            <w:color w:val="000000" w:themeColor="text1"/>
          </w:rPr>
          <w:t>directions hearing</w:t>
        </w:r>
      </w:hyperlink>
      <w:r w:rsidR="00CA7D70" w:rsidRPr="00B40A77">
        <w:rPr>
          <w:color w:val="000000" w:themeColor="text1"/>
          <w:lang w:val="en-US"/>
        </w:rPr>
        <w:t xml:space="preserve"> </w:t>
      </w:r>
      <w:r w:rsidRPr="00B40A77">
        <w:rPr>
          <w:color w:val="000000" w:themeColor="text1"/>
          <w:lang w:val="en-US"/>
        </w:rPr>
        <w:t xml:space="preserve">is governed by </w:t>
      </w:r>
      <w:r w:rsidRPr="00B40A77">
        <w:rPr>
          <w:color w:val="000000" w:themeColor="text1"/>
          <w:u w:val="single"/>
          <w:lang w:val="en-US"/>
        </w:rPr>
        <w:t>rule 38.6</w:t>
      </w:r>
      <w:r w:rsidR="00F930FB" w:rsidRPr="00B40A77">
        <w:rPr>
          <w:color w:val="000000" w:themeColor="text1"/>
          <w:lang w:val="en-US"/>
        </w:rPr>
        <w:t>.</w:t>
      </w:r>
    </w:p>
    <w:p w14:paraId="0527B1EB" w14:textId="62D25BBD" w:rsidR="00A26CAB" w:rsidRPr="00B40A77" w:rsidRDefault="00A26CAB" w:rsidP="00A26CAB">
      <w:pPr>
        <w:pStyle w:val="Heading3"/>
        <w:rPr>
          <w:color w:val="000000" w:themeColor="text1"/>
        </w:rPr>
      </w:pPr>
      <w:bookmarkStart w:id="703" w:name="_Toc175239099"/>
      <w:r w:rsidRPr="00B40A77">
        <w:rPr>
          <w:color w:val="000000" w:themeColor="text1"/>
        </w:rPr>
        <w:t>Division 2—Listing for trial: Supreme Court</w:t>
      </w:r>
      <w:bookmarkEnd w:id="703"/>
    </w:p>
    <w:p w14:paraId="7D06EDE6" w14:textId="2F8DA21D" w:rsidR="00A26CAB" w:rsidRPr="00B40A77" w:rsidRDefault="00A50F38" w:rsidP="00A26CAB">
      <w:pPr>
        <w:pStyle w:val="Heading4"/>
        <w:rPr>
          <w:color w:val="000000" w:themeColor="text1"/>
        </w:rPr>
      </w:pPr>
      <w:bookmarkStart w:id="704" w:name="_Toc175239100"/>
      <w:r w:rsidRPr="00B40A77">
        <w:rPr>
          <w:color w:val="000000" w:themeColor="text1"/>
        </w:rPr>
        <w:t>100.1</w:t>
      </w:r>
      <w:r w:rsidR="00A26CAB" w:rsidRPr="00B40A77">
        <w:rPr>
          <w:color w:val="000000" w:themeColor="text1"/>
        </w:rPr>
        <w:t>—Listing for trial</w:t>
      </w:r>
      <w:bookmarkEnd w:id="704"/>
    </w:p>
    <w:p w14:paraId="0DE182AD" w14:textId="7AF3774F" w:rsidR="00A26CAB" w:rsidRPr="00B40A77" w:rsidRDefault="00A26CAB" w:rsidP="00A26C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will usually list a proceeding for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at the first </w:t>
      </w:r>
      <w:hyperlink w:anchor="_2.1—Definitions" w:history="1">
        <w:r w:rsidR="00BF56DC" w:rsidRPr="00B40A77">
          <w:rPr>
            <w:rStyle w:val="Hyperlink"/>
            <w:color w:val="000000" w:themeColor="text1"/>
          </w:rPr>
          <w:t>directions hearing</w:t>
        </w:r>
      </w:hyperlink>
      <w:r w:rsidRPr="00B40A77">
        <w:rPr>
          <w:color w:val="000000" w:themeColor="text1"/>
          <w:lang w:val="en-US"/>
        </w:rPr>
        <w:t>.</w:t>
      </w:r>
    </w:p>
    <w:p w14:paraId="69861423" w14:textId="2A344BEE" w:rsidR="008A4B6B" w:rsidRPr="00B40A77" w:rsidRDefault="008A4B6B">
      <w:pPr>
        <w:spacing w:before="0" w:after="160" w:line="259" w:lineRule="auto"/>
        <w:rPr>
          <w:color w:val="000000" w:themeColor="text1"/>
          <w:szCs w:val="23"/>
          <w:lang w:val="en-US"/>
        </w:rPr>
      </w:pPr>
      <w:r w:rsidRPr="00B40A77">
        <w:rPr>
          <w:color w:val="000000" w:themeColor="text1"/>
          <w:lang w:val="en-US"/>
        </w:rPr>
        <w:br w:type="page"/>
      </w:r>
    </w:p>
    <w:p w14:paraId="1F5ECC8A" w14:textId="77777777" w:rsidR="00A26CAB" w:rsidRPr="00B40A77" w:rsidRDefault="00A26CAB" w:rsidP="00A26CAB">
      <w:pPr>
        <w:pStyle w:val="Hangindent"/>
        <w:rPr>
          <w:color w:val="000000" w:themeColor="text1"/>
        </w:rPr>
      </w:pPr>
      <w:r w:rsidRPr="00B40A77">
        <w:rPr>
          <w:color w:val="000000" w:themeColor="text1"/>
          <w:lang w:val="en-US"/>
        </w:rPr>
        <w:lastRenderedPageBreak/>
        <w:t>(2)</w:t>
      </w:r>
      <w:r w:rsidRPr="00B40A77">
        <w:rPr>
          <w:color w:val="000000" w:themeColor="text1"/>
          <w:lang w:val="en-US"/>
        </w:rPr>
        <w:tab/>
      </w:r>
      <w:r w:rsidRPr="00B40A77">
        <w:rPr>
          <w:color w:val="000000" w:themeColor="text1"/>
        </w:rPr>
        <w:t>The Court expects the parties (by their counsel when applicable or if counsel have not been briefed by their solicitors or other representatives when applicable) to make realistic and achievable estimates of the length of trials to be listed.</w:t>
      </w:r>
    </w:p>
    <w:p w14:paraId="12D98BA0" w14:textId="69351D83" w:rsidR="00A26CAB" w:rsidRPr="00B40A77" w:rsidRDefault="00A26CAB" w:rsidP="00A26CAB">
      <w:pPr>
        <w:pStyle w:val="Hangindent"/>
        <w:rPr>
          <w:color w:val="000000" w:themeColor="text1"/>
          <w:lang w:val="en-US"/>
        </w:rPr>
      </w:pPr>
      <w:r w:rsidRPr="00B40A77">
        <w:rPr>
          <w:color w:val="000000" w:themeColor="text1"/>
        </w:rPr>
        <w:t>(3)</w:t>
      </w:r>
      <w:r w:rsidRPr="00B40A77">
        <w:rPr>
          <w:color w:val="000000" w:themeColor="text1"/>
        </w:rPr>
        <w:tab/>
        <w:t xml:space="preserve">The Court expects counsel to be available for the whole of the period for which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has been listed.</w:t>
      </w:r>
    </w:p>
    <w:p w14:paraId="07E16A3C" w14:textId="011BF1E1" w:rsidR="00116A89" w:rsidRPr="00B40A77" w:rsidRDefault="00116A89" w:rsidP="00116A89">
      <w:pPr>
        <w:pStyle w:val="Heading3"/>
        <w:rPr>
          <w:color w:val="000000" w:themeColor="text1"/>
        </w:rPr>
      </w:pPr>
      <w:bookmarkStart w:id="705" w:name="_Toc175239101"/>
      <w:r w:rsidRPr="00B40A77">
        <w:rPr>
          <w:color w:val="000000" w:themeColor="text1"/>
        </w:rPr>
        <w:t xml:space="preserve">Division </w:t>
      </w:r>
      <w:r w:rsidR="00A26CAB" w:rsidRPr="00B40A77">
        <w:rPr>
          <w:color w:val="000000" w:themeColor="text1"/>
        </w:rPr>
        <w:t>3</w:t>
      </w:r>
      <w:r w:rsidRPr="00B40A77">
        <w:rPr>
          <w:color w:val="000000" w:themeColor="text1"/>
        </w:rPr>
        <w:t>—Pre-trial conferences</w:t>
      </w:r>
      <w:bookmarkEnd w:id="705"/>
    </w:p>
    <w:p w14:paraId="6DB52389" w14:textId="40C5C55E" w:rsidR="00116A89" w:rsidRPr="00B40A77" w:rsidRDefault="00116A89" w:rsidP="00116A89">
      <w:pPr>
        <w:pStyle w:val="Heading4"/>
        <w:rPr>
          <w:color w:val="000000" w:themeColor="text1"/>
        </w:rPr>
      </w:pPr>
      <w:bookmarkStart w:id="706" w:name="_101.1—Pre-trial_conference"/>
      <w:bookmarkStart w:id="707" w:name="_Toc175239102"/>
      <w:bookmarkStart w:id="708" w:name="_Hlk107844031"/>
      <w:bookmarkEnd w:id="706"/>
      <w:r w:rsidRPr="00B40A77">
        <w:rPr>
          <w:color w:val="000000" w:themeColor="text1"/>
        </w:rPr>
        <w:t>10</w:t>
      </w:r>
      <w:r w:rsidR="00A50F38" w:rsidRPr="00B40A77">
        <w:rPr>
          <w:color w:val="000000" w:themeColor="text1"/>
        </w:rPr>
        <w:t>1</w:t>
      </w:r>
      <w:r w:rsidRPr="00B40A77">
        <w:rPr>
          <w:color w:val="000000" w:themeColor="text1"/>
        </w:rPr>
        <w:t>.1—Pre-trial conference</w:t>
      </w:r>
      <w:bookmarkEnd w:id="707"/>
    </w:p>
    <w:p w14:paraId="59213142" w14:textId="35BA28B2" w:rsidR="00116A89" w:rsidRPr="00B40A77" w:rsidRDefault="00116A89" w:rsidP="00116A89">
      <w:pPr>
        <w:pStyle w:val="Hangindent"/>
        <w:rPr>
          <w:color w:val="000000" w:themeColor="text1"/>
          <w:lang w:val="en-US"/>
        </w:rPr>
      </w:pPr>
      <w:r w:rsidRPr="00B40A77">
        <w:rPr>
          <w:color w:val="000000" w:themeColor="text1"/>
          <w:lang w:val="en-US"/>
        </w:rPr>
        <w:t>(1)</w:t>
      </w:r>
      <w:r w:rsidRPr="00B40A77">
        <w:rPr>
          <w:color w:val="000000" w:themeColor="text1"/>
          <w:lang w:val="en-US"/>
        </w:rPr>
        <w:tab/>
        <w:t>The Court may order</w:t>
      </w:r>
      <w:r w:rsidR="00B122CC" w:rsidRPr="00B40A77">
        <w:rPr>
          <w:color w:val="000000" w:themeColor="text1"/>
          <w:lang w:val="en-US"/>
        </w:rPr>
        <w:t>, on the application of a party or on its own initiative,</w:t>
      </w:r>
      <w:r w:rsidRPr="00B40A77">
        <w:rPr>
          <w:color w:val="000000" w:themeColor="text1"/>
          <w:lang w:val="en-US"/>
        </w:rPr>
        <w:t xml:space="preserve"> that there be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governed by this rule.</w:t>
      </w:r>
    </w:p>
    <w:p w14:paraId="696B9FCB" w14:textId="4B597052" w:rsidR="00116A89" w:rsidRPr="00B40A77" w:rsidRDefault="00116A89" w:rsidP="00116A8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purpose of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is to explore the possibility of disposing of the proceeding or a charge other than by way of </w:t>
      </w:r>
      <w:hyperlink w:anchor="_2.1—Definitions" w:history="1">
        <w:r w:rsidR="00AB0539" w:rsidRPr="00B40A77">
          <w:rPr>
            <w:rStyle w:val="Hyperlink"/>
            <w:color w:val="000000" w:themeColor="text1"/>
            <w:lang w:val="en-US"/>
          </w:rPr>
          <w:t>trial</w:t>
        </w:r>
      </w:hyperlink>
      <w:r w:rsidRPr="00B40A77">
        <w:rPr>
          <w:color w:val="000000" w:themeColor="text1"/>
          <w:lang w:val="en-US"/>
        </w:rPr>
        <w:t xml:space="preserve"> or of narrowing the issues.</w:t>
      </w:r>
    </w:p>
    <w:bookmarkEnd w:id="708"/>
    <w:p w14:paraId="60DE2162" w14:textId="4136E3E3" w:rsidR="00116A89" w:rsidRPr="00B40A77" w:rsidRDefault="00116A89" w:rsidP="00116A89">
      <w:pPr>
        <w:pStyle w:val="Hangindent"/>
        <w:rPr>
          <w:color w:val="000000" w:themeColor="text1"/>
          <w:spacing w:val="-3"/>
          <w:lang w:val="en-US"/>
        </w:rPr>
      </w:pPr>
      <w:r w:rsidRPr="00B40A77">
        <w:rPr>
          <w:color w:val="000000" w:themeColor="text1"/>
          <w:spacing w:val="-3"/>
          <w:lang w:val="en-US"/>
        </w:rPr>
        <w:t>(3)</w:t>
      </w:r>
      <w:r w:rsidRPr="00B40A77">
        <w:rPr>
          <w:color w:val="000000" w:themeColor="text1"/>
          <w:spacing w:val="-3"/>
          <w:lang w:val="en-US"/>
        </w:rPr>
        <w:tab/>
      </w:r>
      <w:r w:rsidR="0057619D" w:rsidRPr="00B40A77">
        <w:rPr>
          <w:color w:val="000000" w:themeColor="text1"/>
          <w:lang w:val="en-US"/>
        </w:rPr>
        <w:t xml:space="preserve">Unless the Court otherwise orders, </w:t>
      </w:r>
      <w:r w:rsidR="0057619D" w:rsidRPr="00B40A77">
        <w:rPr>
          <w:color w:val="000000" w:themeColor="text1"/>
        </w:rPr>
        <w:t>a</w:t>
      </w:r>
      <w:r w:rsidRPr="00B40A77">
        <w:rPr>
          <w:color w:val="000000" w:themeColor="text1"/>
        </w:rPr>
        <w:t xml:space="preserve"> </w:t>
      </w:r>
      <w:hyperlink w:anchor="_2.1—Definitions" w:history="1">
        <w:r w:rsidR="00012B38" w:rsidRPr="00B40A77">
          <w:rPr>
            <w:rStyle w:val="Hyperlink"/>
            <w:color w:val="000000" w:themeColor="text1"/>
            <w:lang w:val="en-US"/>
          </w:rPr>
          <w:t>pre-trial conference</w:t>
        </w:r>
      </w:hyperlink>
      <w:r w:rsidRPr="00B40A77">
        <w:rPr>
          <w:color w:val="000000" w:themeColor="text1"/>
          <w:spacing w:val="-3"/>
          <w:lang w:val="en-US"/>
        </w:rPr>
        <w:t xml:space="preserve"> must be attended by</w:t>
      </w:r>
      <w:r w:rsidRPr="00B40A77">
        <w:rPr>
          <w:color w:val="000000" w:themeColor="text1"/>
          <w:lang w:val="en-US"/>
        </w:rPr>
        <w:t>—</w:t>
      </w:r>
    </w:p>
    <w:p w14:paraId="44B3A95B" w14:textId="36F821E5" w:rsidR="00116A89" w:rsidRPr="00B40A77" w:rsidRDefault="00116A89" w:rsidP="00116A89">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defendant</w:t>
      </w:r>
      <w:r w:rsidR="00E51AE6" w:rsidRPr="00B40A77">
        <w:rPr>
          <w:color w:val="000000" w:themeColor="text1"/>
          <w:lang w:val="en-US"/>
        </w:rPr>
        <w:t>,</w:t>
      </w:r>
      <w:r w:rsidRPr="00B40A77">
        <w:rPr>
          <w:color w:val="000000" w:themeColor="text1"/>
          <w:lang w:val="en-US"/>
        </w:rPr>
        <w:t xml:space="preserve"> but that attendance may be by </w:t>
      </w:r>
      <w:hyperlink w:anchor="_2.1—Definitions" w:history="1">
        <w:r w:rsidR="000A356B" w:rsidRPr="00B40A77">
          <w:rPr>
            <w:rStyle w:val="Hyperlink"/>
            <w:color w:val="000000" w:themeColor="text1"/>
            <w:lang w:val="en-US"/>
          </w:rPr>
          <w:t>audio visual link</w:t>
        </w:r>
      </w:hyperlink>
      <w:r w:rsidR="000A356B" w:rsidRPr="00B40A77">
        <w:rPr>
          <w:color w:val="000000" w:themeColor="text1"/>
          <w:lang w:val="en-US"/>
        </w:rPr>
        <w:t xml:space="preserve"> or </w:t>
      </w:r>
      <w:hyperlink w:anchor="_2.1—Definitions" w:history="1">
        <w:r w:rsidR="001D63F7" w:rsidRPr="00B40A77">
          <w:rPr>
            <w:rStyle w:val="Hyperlink"/>
            <w:color w:val="000000" w:themeColor="text1"/>
            <w:lang w:val="en-US"/>
          </w:rPr>
          <w:t>audio link</w:t>
        </w:r>
      </w:hyperlink>
      <w:r w:rsidR="001D63F7" w:rsidRPr="00B40A77">
        <w:rPr>
          <w:color w:val="000000" w:themeColor="text1"/>
          <w:lang w:val="en-US"/>
        </w:rPr>
        <w:t xml:space="preserve"> </w:t>
      </w:r>
      <w:r w:rsidR="00483DD0" w:rsidRPr="00B40A77">
        <w:rPr>
          <w:color w:val="000000" w:themeColor="text1"/>
          <w:lang w:val="en-US"/>
        </w:rPr>
        <w:t xml:space="preserve">under </w:t>
      </w:r>
      <w:hyperlink w:anchor="_15.3—Hearings_ordinarily_in" w:history="1">
        <w:r w:rsidR="00D21FBE" w:rsidRPr="00B40A77">
          <w:rPr>
            <w:rStyle w:val="Hyperlink"/>
            <w:color w:val="000000" w:themeColor="text1"/>
            <w:lang w:val="en-US"/>
          </w:rPr>
          <w:t>rule</w:t>
        </w:r>
        <w:r w:rsidR="002E3019" w:rsidRPr="00B40A77">
          <w:rPr>
            <w:rStyle w:val="Hyperlink"/>
            <w:color w:val="000000" w:themeColor="text1"/>
            <w:lang w:val="en-US"/>
          </w:rPr>
          <w:t> </w:t>
        </w:r>
        <w:r w:rsidR="00D21FBE" w:rsidRPr="00B40A77">
          <w:rPr>
            <w:rStyle w:val="Hyperlink"/>
            <w:color w:val="000000" w:themeColor="text1"/>
            <w:lang w:val="en-US"/>
          </w:rPr>
          <w:t>38.3</w:t>
        </w:r>
      </w:hyperlink>
      <w:r w:rsidRPr="00B40A77">
        <w:rPr>
          <w:color w:val="000000" w:themeColor="text1"/>
          <w:lang w:val="en-US"/>
        </w:rPr>
        <w:t>; and</w:t>
      </w:r>
    </w:p>
    <w:p w14:paraId="3B74F275" w14:textId="68392AF3" w:rsidR="00116A89" w:rsidRPr="00B40A77" w:rsidRDefault="00116A89" w:rsidP="00116A8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each party’s </w:t>
      </w:r>
      <w:r w:rsidRPr="00B40A77">
        <w:rPr>
          <w:color w:val="000000" w:themeColor="text1"/>
        </w:rPr>
        <w:t xml:space="preserve">counsel briefed to appear at the </w:t>
      </w:r>
      <w:hyperlink w:anchor="_2.1—Definitions" w:history="1">
        <w:r w:rsidR="00AB0539" w:rsidRPr="00B40A77">
          <w:rPr>
            <w:rStyle w:val="Hyperlink"/>
            <w:color w:val="000000" w:themeColor="text1"/>
            <w:lang w:val="en-US"/>
          </w:rPr>
          <w:t>trial</w:t>
        </w:r>
      </w:hyperlink>
      <w:r w:rsidRPr="00B40A77">
        <w:rPr>
          <w:color w:val="000000" w:themeColor="text1"/>
        </w:rPr>
        <w:t xml:space="preserve"> or, by leave of the Court, if attendance of a party's counsel is not practicable, by that party's solicitor.</w:t>
      </w:r>
    </w:p>
    <w:p w14:paraId="108649A6" w14:textId="7431A788" w:rsidR="00116A89" w:rsidRPr="00B40A77" w:rsidRDefault="00116A89" w:rsidP="00116A89">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Unless the Court otherwise orders, a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will not be open to the public</w:t>
      </w:r>
      <w:r w:rsidR="00331C18" w:rsidRPr="00B40A77">
        <w:rPr>
          <w:color w:val="000000" w:themeColor="text1"/>
          <w:lang w:val="en-US"/>
        </w:rPr>
        <w:t>.</w:t>
      </w:r>
    </w:p>
    <w:p w14:paraId="0AC4224D" w14:textId="7D9A049E" w:rsidR="00116A89" w:rsidRPr="00B40A77" w:rsidRDefault="00116A89" w:rsidP="00116A89">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Nothing said or not said at a </w:t>
      </w:r>
      <w:hyperlink w:anchor="_2.1—Definitions" w:history="1">
        <w:r w:rsidR="00012B38" w:rsidRPr="00B40A77">
          <w:rPr>
            <w:rStyle w:val="Hyperlink"/>
            <w:color w:val="000000" w:themeColor="text1"/>
            <w:lang w:val="en-US"/>
          </w:rPr>
          <w:t>pre-trial conference</w:t>
        </w:r>
      </w:hyperlink>
      <w:r w:rsidRPr="00B40A77">
        <w:rPr>
          <w:color w:val="000000" w:themeColor="text1"/>
          <w:spacing w:val="-3"/>
          <w:lang w:val="en-US"/>
        </w:rPr>
        <w:t xml:space="preserve"> </w:t>
      </w:r>
      <w:r w:rsidRPr="00B40A77">
        <w:rPr>
          <w:color w:val="000000" w:themeColor="text1"/>
          <w:lang w:val="en-US"/>
        </w:rPr>
        <w:t xml:space="preserve">can be used at a subsequent </w:t>
      </w:r>
      <w:r w:rsidRPr="00B40A77">
        <w:rPr>
          <w:color w:val="000000" w:themeColor="text1"/>
          <w:u w:val="single"/>
          <w:lang w:val="en-US"/>
        </w:rPr>
        <w:t>trial</w:t>
      </w:r>
      <w:r w:rsidRPr="00B40A77">
        <w:rPr>
          <w:color w:val="000000" w:themeColor="text1"/>
          <w:lang w:val="en-US"/>
        </w:rPr>
        <w:t xml:space="preserve">, </w:t>
      </w:r>
      <w:hyperlink w:anchor="_2.1—Definitions" w:history="1">
        <w:r w:rsidR="006D6EB8" w:rsidRPr="00B40A77">
          <w:rPr>
            <w:rStyle w:val="Hyperlink"/>
            <w:color w:val="000000" w:themeColor="text1"/>
          </w:rPr>
          <w:t>sentencing hearing</w:t>
        </w:r>
      </w:hyperlink>
      <w:r w:rsidRPr="00B40A77">
        <w:rPr>
          <w:color w:val="000000" w:themeColor="text1"/>
          <w:lang w:val="en-US"/>
        </w:rPr>
        <w:t xml:space="preserve"> or other substantive </w:t>
      </w:r>
      <w:hyperlink w:anchor="_2.1—Definitions" w:history="1">
        <w:r w:rsidR="00BF49F7" w:rsidRPr="00B40A77">
          <w:rPr>
            <w:rStyle w:val="Hyperlink"/>
            <w:color w:val="000000" w:themeColor="text1"/>
          </w:rPr>
          <w:t>hearing</w:t>
        </w:r>
      </w:hyperlink>
      <w:r w:rsidRPr="00B40A77">
        <w:rPr>
          <w:color w:val="000000" w:themeColor="text1"/>
          <w:lang w:val="en-US"/>
        </w:rPr>
        <w:t>.</w:t>
      </w:r>
    </w:p>
    <w:p w14:paraId="216491E8" w14:textId="18B015C4" w:rsidR="00116A89" w:rsidRPr="00B40A77" w:rsidRDefault="00116A89" w:rsidP="00116A89">
      <w:pPr>
        <w:pStyle w:val="Hangindent"/>
        <w:rPr>
          <w:color w:val="000000" w:themeColor="text1"/>
          <w:spacing w:val="-3"/>
          <w:lang w:val="en-US"/>
        </w:rPr>
      </w:pPr>
      <w:r w:rsidRPr="00B40A77">
        <w:rPr>
          <w:color w:val="000000" w:themeColor="text1"/>
          <w:spacing w:val="-3"/>
          <w:lang w:val="en-US"/>
        </w:rPr>
        <w:t>(6)</w:t>
      </w:r>
      <w:r w:rsidRPr="00B40A77">
        <w:rPr>
          <w:color w:val="000000" w:themeColor="text1"/>
          <w:spacing w:val="-3"/>
          <w:lang w:val="en-US"/>
        </w:rPr>
        <w:tab/>
        <w:t xml:space="preserve">If the matter resolves or partially resolves at the </w:t>
      </w:r>
      <w:hyperlink w:anchor="_2.1—Definitions" w:history="1">
        <w:r w:rsidR="00012B38" w:rsidRPr="00B40A77">
          <w:rPr>
            <w:rStyle w:val="Hyperlink"/>
            <w:color w:val="000000" w:themeColor="text1"/>
            <w:lang w:val="en-US"/>
          </w:rPr>
          <w:t>pre-trial conference</w:t>
        </w:r>
      </w:hyperlink>
      <w:r w:rsidRPr="00B40A77">
        <w:rPr>
          <w:color w:val="000000" w:themeColor="text1"/>
          <w:lang w:val="en-US"/>
        </w:rPr>
        <w:t xml:space="preserve"> on the basis of </w:t>
      </w:r>
      <w:r w:rsidR="00E51AE6" w:rsidRPr="00B40A77">
        <w:rPr>
          <w:color w:val="000000" w:themeColor="text1"/>
          <w:lang w:val="en-US"/>
        </w:rPr>
        <w:t xml:space="preserve">the </w:t>
      </w:r>
      <w:r w:rsidRPr="00B40A77">
        <w:rPr>
          <w:color w:val="000000" w:themeColor="text1"/>
          <w:lang w:val="en-US"/>
        </w:rPr>
        <w:t xml:space="preserve">entry of a guilty plea, </w:t>
      </w:r>
      <w:r w:rsidR="00B122CC" w:rsidRPr="00B40A77">
        <w:rPr>
          <w:color w:val="000000" w:themeColor="text1"/>
          <w:lang w:val="en-US"/>
        </w:rPr>
        <w:t xml:space="preserve">an arraignment </w:t>
      </w:r>
      <w:r w:rsidRPr="00B40A77">
        <w:rPr>
          <w:color w:val="000000" w:themeColor="text1"/>
          <w:spacing w:val="-3"/>
          <w:lang w:val="en-US"/>
        </w:rPr>
        <w:t xml:space="preserve">will </w:t>
      </w:r>
      <w:r w:rsidR="00E816DF" w:rsidRPr="00B40A77">
        <w:rPr>
          <w:color w:val="000000" w:themeColor="text1"/>
          <w:lang w:val="en-US"/>
        </w:rPr>
        <w:t>generally</w:t>
      </w:r>
      <w:r w:rsidR="00E816DF" w:rsidRPr="00B40A77">
        <w:rPr>
          <w:color w:val="000000" w:themeColor="text1"/>
          <w:spacing w:val="-3"/>
          <w:lang w:val="en-US"/>
        </w:rPr>
        <w:t xml:space="preserve"> </w:t>
      </w:r>
      <w:r w:rsidRPr="00B40A77">
        <w:rPr>
          <w:color w:val="000000" w:themeColor="text1"/>
          <w:spacing w:val="-3"/>
          <w:lang w:val="en-US"/>
        </w:rPr>
        <w:t xml:space="preserve">be </w:t>
      </w:r>
      <w:r w:rsidR="00B122CC" w:rsidRPr="00B40A77">
        <w:rPr>
          <w:color w:val="000000" w:themeColor="text1"/>
          <w:spacing w:val="-3"/>
          <w:lang w:val="en-US"/>
        </w:rPr>
        <w:t>convened immediately for the plea to be entered in open court</w:t>
      </w:r>
      <w:r w:rsidRPr="00B40A77">
        <w:rPr>
          <w:color w:val="000000" w:themeColor="text1"/>
          <w:spacing w:val="-3"/>
          <w:lang w:val="en-US"/>
        </w:rPr>
        <w:t>.</w:t>
      </w:r>
    </w:p>
    <w:p w14:paraId="2A3E3205" w14:textId="3AF91D76" w:rsidR="00116A89" w:rsidRPr="00B40A77" w:rsidRDefault="00116A89" w:rsidP="00116A89">
      <w:pPr>
        <w:pStyle w:val="Hangindent"/>
        <w:rPr>
          <w:color w:val="000000" w:themeColor="text1"/>
          <w:spacing w:val="-3"/>
          <w:lang w:val="en-US"/>
        </w:rPr>
      </w:pPr>
      <w:r w:rsidRPr="00B40A77">
        <w:rPr>
          <w:color w:val="000000" w:themeColor="text1"/>
          <w:szCs w:val="24"/>
        </w:rPr>
        <w:t>(7)</w:t>
      </w:r>
      <w:r w:rsidRPr="00B40A77">
        <w:rPr>
          <w:color w:val="000000" w:themeColor="text1"/>
          <w:szCs w:val="24"/>
        </w:rPr>
        <w:tab/>
        <w:t xml:space="preserve">If the matter does not fully resolve at the </w:t>
      </w:r>
      <w:hyperlink w:anchor="_2.1—Definitions" w:history="1">
        <w:r w:rsidR="00012B38" w:rsidRPr="00B40A77">
          <w:rPr>
            <w:rStyle w:val="Hyperlink"/>
            <w:color w:val="000000" w:themeColor="text1"/>
            <w:lang w:val="en-US"/>
          </w:rPr>
          <w:t>pre-trial conference</w:t>
        </w:r>
      </w:hyperlink>
      <w:r w:rsidRPr="00B40A77">
        <w:rPr>
          <w:color w:val="000000" w:themeColor="text1"/>
          <w:szCs w:val="24"/>
        </w:rPr>
        <w:t xml:space="preserve">, if it has already been listed for </w:t>
      </w:r>
      <w:hyperlink w:anchor="_2.1—Definitions" w:history="1">
        <w:r w:rsidR="00AB0539" w:rsidRPr="00B40A77">
          <w:rPr>
            <w:rStyle w:val="Hyperlink"/>
            <w:color w:val="000000" w:themeColor="text1"/>
            <w:lang w:val="en-US"/>
          </w:rPr>
          <w:t>trial</w:t>
        </w:r>
      </w:hyperlink>
      <w:r w:rsidRPr="00B40A77">
        <w:rPr>
          <w:color w:val="000000" w:themeColor="text1"/>
          <w:szCs w:val="24"/>
        </w:rPr>
        <w:t xml:space="preserve">, it will remain in the trial list with its allocated </w:t>
      </w:r>
      <w:hyperlink w:anchor="_2.1—Definitions" w:history="1">
        <w:r w:rsidR="004740A2" w:rsidRPr="00B40A77">
          <w:rPr>
            <w:rStyle w:val="Hyperlink"/>
            <w:color w:val="000000" w:themeColor="text1"/>
          </w:rPr>
          <w:t>trial date</w:t>
        </w:r>
      </w:hyperlink>
      <w:r w:rsidRPr="00B40A77">
        <w:rPr>
          <w:color w:val="000000" w:themeColor="text1"/>
          <w:szCs w:val="24"/>
        </w:rPr>
        <w:t>.</w:t>
      </w:r>
    </w:p>
    <w:p w14:paraId="5EFC3C54" w14:textId="2C9A5433" w:rsidR="00116A89" w:rsidRPr="00B40A77" w:rsidRDefault="00116A89" w:rsidP="00116A89">
      <w:pPr>
        <w:pStyle w:val="Heading3"/>
        <w:rPr>
          <w:color w:val="000000" w:themeColor="text1"/>
        </w:rPr>
      </w:pPr>
      <w:bookmarkStart w:id="709" w:name="_Toc175239103"/>
      <w:r w:rsidRPr="00B40A77">
        <w:rPr>
          <w:color w:val="000000" w:themeColor="text1"/>
        </w:rPr>
        <w:t xml:space="preserve">Division </w:t>
      </w:r>
      <w:r w:rsidR="00A26CAB" w:rsidRPr="00B40A77">
        <w:rPr>
          <w:color w:val="000000" w:themeColor="text1"/>
        </w:rPr>
        <w:t>4</w:t>
      </w:r>
      <w:r w:rsidRPr="00B40A77">
        <w:rPr>
          <w:color w:val="000000" w:themeColor="text1"/>
        </w:rPr>
        <w:t>—Applications</w:t>
      </w:r>
      <w:bookmarkEnd w:id="709"/>
    </w:p>
    <w:p w14:paraId="0DA35A41" w14:textId="4DCF08D4" w:rsidR="00116A89" w:rsidRPr="00B40A77" w:rsidRDefault="00116A89" w:rsidP="00116A89">
      <w:pPr>
        <w:pStyle w:val="Heading4"/>
        <w:rPr>
          <w:color w:val="000000" w:themeColor="text1"/>
        </w:rPr>
      </w:pPr>
      <w:bookmarkStart w:id="710" w:name="_102.1—Time_for_making"/>
      <w:bookmarkStart w:id="711" w:name="_Toc175239104"/>
      <w:bookmarkStart w:id="712" w:name="_Hlk107844063"/>
      <w:bookmarkEnd w:id="710"/>
      <w:r w:rsidRPr="00B40A77">
        <w:rPr>
          <w:color w:val="000000" w:themeColor="text1"/>
        </w:rPr>
        <w:t>10</w:t>
      </w:r>
      <w:r w:rsidR="00A50F38" w:rsidRPr="00B40A77">
        <w:rPr>
          <w:color w:val="000000" w:themeColor="text1"/>
        </w:rPr>
        <w:t>2</w:t>
      </w:r>
      <w:r w:rsidRPr="00B40A77">
        <w:rPr>
          <w:color w:val="000000" w:themeColor="text1"/>
        </w:rPr>
        <w:t>.1—Time for making certain applications</w:t>
      </w:r>
      <w:bookmarkEnd w:id="711"/>
    </w:p>
    <w:p w14:paraId="7874F31D" w14:textId="25EFD942" w:rsidR="00BF2649" w:rsidRPr="00B40A77" w:rsidRDefault="00BF2649" w:rsidP="00BF2649">
      <w:pPr>
        <w:pStyle w:val="Hangindent"/>
        <w:rPr>
          <w:color w:val="000000" w:themeColor="text1"/>
          <w:lang w:val="en-US"/>
        </w:rPr>
      </w:pPr>
      <w:r w:rsidRPr="00B40A77">
        <w:rPr>
          <w:color w:val="000000" w:themeColor="text1"/>
          <w:lang w:val="en-US"/>
        </w:rPr>
        <w:t>(1)</w:t>
      </w:r>
      <w:r w:rsidRPr="00B40A77">
        <w:rPr>
          <w:color w:val="000000" w:themeColor="text1"/>
          <w:lang w:val="en-US"/>
        </w:rPr>
        <w:tab/>
        <w:t>An application for</w:t>
      </w:r>
      <w:r w:rsidR="00213F0B" w:rsidRPr="00B40A77">
        <w:rPr>
          <w:color w:val="000000" w:themeColor="text1"/>
          <w:lang w:val="en-US"/>
        </w:rPr>
        <w:t>—</w:t>
      </w:r>
    </w:p>
    <w:p w14:paraId="019B889A" w14:textId="01EC1754" w:rsidR="00BF2649" w:rsidRPr="00B40A77" w:rsidRDefault="00BF2649" w:rsidP="00BF264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w:t>
      </w:r>
      <w:hyperlink w:anchor="_2.1—Definitions" w:history="1">
        <w:r w:rsidR="00732D46" w:rsidRPr="00B40A77">
          <w:rPr>
            <w:rStyle w:val="Hyperlink"/>
            <w:color w:val="000000" w:themeColor="text1"/>
            <w:lang w:val="en-US"/>
          </w:rPr>
          <w:t>pre-trial special hearing</w:t>
        </w:r>
      </w:hyperlink>
      <w:r w:rsidRPr="00B40A77">
        <w:rPr>
          <w:color w:val="000000" w:themeColor="text1"/>
          <w:lang w:val="en-US"/>
        </w:rPr>
        <w:t>; or</w:t>
      </w:r>
    </w:p>
    <w:p w14:paraId="6862B916" w14:textId="324889C1" w:rsidR="00BF2649" w:rsidRPr="00B40A77" w:rsidRDefault="00BF2649" w:rsidP="00BF2649">
      <w:pPr>
        <w:pStyle w:val="Doublehangindent"/>
        <w:rPr>
          <w:color w:val="000000" w:themeColor="text1"/>
          <w:lang w:val="en-US"/>
        </w:rPr>
      </w:pPr>
      <w:r w:rsidRPr="00B40A77">
        <w:rPr>
          <w:color w:val="000000" w:themeColor="text1"/>
          <w:lang w:val="en-US"/>
        </w:rPr>
        <w:t>(b)</w:t>
      </w:r>
      <w:r w:rsidRPr="00B40A77">
        <w:rPr>
          <w:color w:val="000000" w:themeColor="text1"/>
          <w:lang w:val="en-US"/>
        </w:rPr>
        <w:tab/>
        <w:t>admission of a record of evidence under section</w:t>
      </w:r>
      <w:r w:rsidR="003F313A" w:rsidRPr="00B40A77">
        <w:rPr>
          <w:color w:val="000000" w:themeColor="text1"/>
          <w:lang w:val="en-US"/>
        </w:rPr>
        <w:t> </w:t>
      </w:r>
      <w:r w:rsidRPr="00B40A77">
        <w:rPr>
          <w:color w:val="000000" w:themeColor="text1"/>
          <w:lang w:val="en-US"/>
        </w:rPr>
        <w:t>13BA, 13BB or</w:t>
      </w:r>
      <w:r w:rsidR="003F313A" w:rsidRPr="00B40A77">
        <w:rPr>
          <w:color w:val="000000" w:themeColor="text1"/>
          <w:lang w:val="en-US"/>
        </w:rPr>
        <w:t> </w:t>
      </w:r>
      <w:r w:rsidRPr="00B40A77">
        <w:rPr>
          <w:color w:val="000000" w:themeColor="text1"/>
          <w:lang w:val="en-US"/>
        </w:rPr>
        <w:t>13D of the Evidence Act,</w:t>
      </w:r>
    </w:p>
    <w:p w14:paraId="1A8209AF" w14:textId="1E7E26E2" w:rsidR="00BF2649" w:rsidRPr="00B40A77" w:rsidRDefault="00BF2649" w:rsidP="00B839FA">
      <w:pPr>
        <w:pStyle w:val="Doublehangindent"/>
        <w:ind w:left="1134" w:firstLine="0"/>
        <w:rPr>
          <w:color w:val="000000" w:themeColor="text1"/>
          <w:lang w:val="en-US"/>
        </w:rPr>
      </w:pPr>
      <w:r w:rsidRPr="00B40A77">
        <w:rPr>
          <w:color w:val="000000" w:themeColor="text1"/>
          <w:lang w:val="en-US"/>
        </w:rPr>
        <w:t>must be made by the date fixed for filing the relevant case statement.</w:t>
      </w:r>
    </w:p>
    <w:p w14:paraId="01CA8AC4" w14:textId="5947B4BA" w:rsidR="00536AC7" w:rsidRPr="00B40A77" w:rsidRDefault="00BF2649" w:rsidP="00BF2649">
      <w:pPr>
        <w:pStyle w:val="Hangindent"/>
        <w:rPr>
          <w:color w:val="000000" w:themeColor="text1"/>
          <w:lang w:val="en-US"/>
        </w:rPr>
      </w:pPr>
      <w:bookmarkStart w:id="713" w:name="_Hlk84946705"/>
      <w:r w:rsidRPr="00B40A77">
        <w:rPr>
          <w:color w:val="000000" w:themeColor="text1"/>
          <w:lang w:val="en-US"/>
        </w:rPr>
        <w:t>(2</w:t>
      </w:r>
      <w:r w:rsidR="00116A89" w:rsidRPr="00B40A77">
        <w:rPr>
          <w:color w:val="000000" w:themeColor="text1"/>
          <w:lang w:val="en-US"/>
        </w:rPr>
        <w:t>)</w:t>
      </w:r>
      <w:r w:rsidR="00116A89" w:rsidRPr="00B40A77">
        <w:rPr>
          <w:color w:val="000000" w:themeColor="text1"/>
          <w:lang w:val="en-US"/>
        </w:rPr>
        <w:tab/>
        <w:t>An application</w:t>
      </w:r>
      <w:r w:rsidRPr="00B40A77">
        <w:rPr>
          <w:color w:val="000000" w:themeColor="text1"/>
          <w:lang w:val="en-US"/>
        </w:rPr>
        <w:t xml:space="preserve"> by a defendant prior to </w:t>
      </w:r>
      <w:hyperlink w:anchor="_2.1—Definitions" w:history="1">
        <w:r w:rsidR="00AB0539" w:rsidRPr="00B40A77">
          <w:rPr>
            <w:rStyle w:val="Hyperlink"/>
            <w:color w:val="000000" w:themeColor="text1"/>
            <w:lang w:val="en-US"/>
          </w:rPr>
          <w:t>trial</w:t>
        </w:r>
      </w:hyperlink>
      <w:r w:rsidR="00536AC7" w:rsidRPr="00B40A77">
        <w:rPr>
          <w:color w:val="000000" w:themeColor="text1"/>
        </w:rPr>
        <w:t>—</w:t>
      </w:r>
    </w:p>
    <w:p w14:paraId="4BED83C4" w14:textId="77777777" w:rsidR="00536AC7" w:rsidRPr="00B40A77" w:rsidRDefault="00536AC7" w:rsidP="00536AC7">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941892" w:rsidRPr="00B40A77">
        <w:rPr>
          <w:color w:val="000000" w:themeColor="text1"/>
          <w:lang w:val="en-US"/>
        </w:rPr>
        <w:t>relating to joinder or severance</w:t>
      </w:r>
      <w:r w:rsidRPr="00B40A77">
        <w:rPr>
          <w:color w:val="000000" w:themeColor="text1"/>
          <w:lang w:val="en-US"/>
        </w:rPr>
        <w:t xml:space="preserve"> or</w:t>
      </w:r>
      <w:r w:rsidR="00941892" w:rsidRPr="00B40A77">
        <w:rPr>
          <w:color w:val="000000" w:themeColor="text1"/>
          <w:lang w:val="en-US"/>
        </w:rPr>
        <w:t xml:space="preserve"> </w:t>
      </w:r>
      <w:r w:rsidR="00116A89" w:rsidRPr="00B40A77">
        <w:rPr>
          <w:color w:val="000000" w:themeColor="text1"/>
          <w:lang w:val="en-US"/>
        </w:rPr>
        <w:t>for separate trials</w:t>
      </w:r>
      <w:r w:rsidRPr="00B40A77">
        <w:rPr>
          <w:color w:val="000000" w:themeColor="text1"/>
          <w:lang w:val="en-US"/>
        </w:rPr>
        <w:t>;</w:t>
      </w:r>
    </w:p>
    <w:p w14:paraId="2BD00C75" w14:textId="77777777" w:rsidR="00536AC7" w:rsidRPr="00B40A77" w:rsidRDefault="00536AC7" w:rsidP="00536AC7">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941892" w:rsidRPr="00B40A77">
        <w:rPr>
          <w:color w:val="000000" w:themeColor="text1"/>
          <w:lang w:val="en-US"/>
        </w:rPr>
        <w:t xml:space="preserve">to </w:t>
      </w:r>
      <w:r w:rsidR="00116A89" w:rsidRPr="00B40A77">
        <w:rPr>
          <w:color w:val="000000" w:themeColor="text1"/>
          <w:lang w:val="en-US"/>
        </w:rPr>
        <w:t>quash or stay a proceeding</w:t>
      </w:r>
      <w:r w:rsidRPr="00B40A77">
        <w:rPr>
          <w:color w:val="000000" w:themeColor="text1"/>
          <w:lang w:val="en-US"/>
        </w:rPr>
        <w:t>;</w:t>
      </w:r>
    </w:p>
    <w:p w14:paraId="46FEC099" w14:textId="77777777" w:rsidR="00536AC7" w:rsidRPr="00B40A77" w:rsidRDefault="00536AC7" w:rsidP="00536AC7">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941892" w:rsidRPr="00B40A77">
        <w:rPr>
          <w:color w:val="000000" w:themeColor="text1"/>
          <w:lang w:val="en-US"/>
        </w:rPr>
        <w:t>relating to cross-admissibility of evidence</w:t>
      </w:r>
      <w:r w:rsidRPr="00B40A77">
        <w:rPr>
          <w:color w:val="000000" w:themeColor="text1"/>
          <w:lang w:val="en-US"/>
        </w:rPr>
        <w:t>;</w:t>
      </w:r>
    </w:p>
    <w:p w14:paraId="468808CE" w14:textId="49D4478B" w:rsidR="00536AC7" w:rsidRPr="00B40A77" w:rsidRDefault="00536AC7" w:rsidP="00536AC7">
      <w:pPr>
        <w:pStyle w:val="Doublehangindent"/>
        <w:rPr>
          <w:color w:val="000000" w:themeColor="text1"/>
          <w:lang w:val="en-US"/>
        </w:rPr>
      </w:pPr>
      <w:r w:rsidRPr="00B40A77">
        <w:rPr>
          <w:color w:val="000000" w:themeColor="text1"/>
          <w:lang w:val="en-US"/>
        </w:rPr>
        <w:t>(</w:t>
      </w:r>
      <w:r w:rsidR="00BF2649" w:rsidRPr="00B40A77">
        <w:rPr>
          <w:color w:val="000000" w:themeColor="text1"/>
          <w:lang w:val="en-US"/>
        </w:rPr>
        <w:t>d</w:t>
      </w:r>
      <w:r w:rsidRPr="00B40A77">
        <w:rPr>
          <w:color w:val="000000" w:themeColor="text1"/>
          <w:lang w:val="en-US"/>
        </w:rPr>
        <w:t>)</w:t>
      </w:r>
      <w:r w:rsidRPr="00B40A77">
        <w:rPr>
          <w:color w:val="000000" w:themeColor="text1"/>
          <w:lang w:val="en-US"/>
        </w:rPr>
        <w:tab/>
        <w:t>relating to the</w:t>
      </w:r>
      <w:r w:rsidR="00941892" w:rsidRPr="00B40A77">
        <w:rPr>
          <w:color w:val="000000" w:themeColor="text1"/>
          <w:lang w:val="en-US"/>
        </w:rPr>
        <w:t xml:space="preserve"> legality of a search</w:t>
      </w:r>
      <w:r w:rsidRPr="00B40A77">
        <w:rPr>
          <w:color w:val="000000" w:themeColor="text1"/>
          <w:lang w:val="en-US"/>
        </w:rPr>
        <w:t>;</w:t>
      </w:r>
    </w:p>
    <w:p w14:paraId="09DDF5D7" w14:textId="15E7C514" w:rsidR="00536AC7" w:rsidRPr="00B40A77" w:rsidRDefault="00536AC7" w:rsidP="00536AC7">
      <w:pPr>
        <w:pStyle w:val="Doublehangindent"/>
        <w:rPr>
          <w:color w:val="000000" w:themeColor="text1"/>
          <w:lang w:val="en-US"/>
        </w:rPr>
      </w:pPr>
      <w:r w:rsidRPr="00B40A77">
        <w:rPr>
          <w:color w:val="000000" w:themeColor="text1"/>
          <w:lang w:val="en-US"/>
        </w:rPr>
        <w:t>(</w:t>
      </w:r>
      <w:r w:rsidR="00BF2649" w:rsidRPr="00B40A77">
        <w:rPr>
          <w:color w:val="000000" w:themeColor="text1"/>
          <w:lang w:val="en-US"/>
        </w:rPr>
        <w:t>e</w:t>
      </w:r>
      <w:r w:rsidRPr="00B40A77">
        <w:rPr>
          <w:color w:val="000000" w:themeColor="text1"/>
          <w:lang w:val="en-US"/>
        </w:rPr>
        <w:t>)</w:t>
      </w:r>
      <w:r w:rsidRPr="00B40A77">
        <w:rPr>
          <w:color w:val="000000" w:themeColor="text1"/>
          <w:lang w:val="en-US"/>
        </w:rPr>
        <w:tab/>
        <w:t xml:space="preserve">relating to </w:t>
      </w:r>
      <w:r w:rsidR="00941892" w:rsidRPr="00B40A77">
        <w:rPr>
          <w:color w:val="000000" w:themeColor="text1"/>
          <w:lang w:val="en-US"/>
        </w:rPr>
        <w:t>continuity of custody of exhibits</w:t>
      </w:r>
      <w:r w:rsidRPr="00B40A77">
        <w:rPr>
          <w:color w:val="000000" w:themeColor="text1"/>
          <w:lang w:val="en-US"/>
        </w:rPr>
        <w:t>;</w:t>
      </w:r>
    </w:p>
    <w:p w14:paraId="6B9B3DEE" w14:textId="7D3AB0B0" w:rsidR="00536AC7" w:rsidRPr="00B40A77" w:rsidRDefault="00536AC7" w:rsidP="00536AC7">
      <w:pPr>
        <w:pStyle w:val="Doublehangindent"/>
        <w:rPr>
          <w:color w:val="000000" w:themeColor="text1"/>
          <w:lang w:val="en-US"/>
        </w:rPr>
      </w:pPr>
      <w:r w:rsidRPr="00B40A77">
        <w:rPr>
          <w:color w:val="000000" w:themeColor="text1"/>
          <w:lang w:val="en-US"/>
        </w:rPr>
        <w:t>(</w:t>
      </w:r>
      <w:r w:rsidR="00BF2649" w:rsidRPr="00B40A77">
        <w:rPr>
          <w:color w:val="000000" w:themeColor="text1"/>
          <w:lang w:val="en-US"/>
        </w:rPr>
        <w:t>f</w:t>
      </w:r>
      <w:r w:rsidRPr="00B40A77">
        <w:rPr>
          <w:color w:val="000000" w:themeColor="text1"/>
          <w:lang w:val="en-US"/>
        </w:rPr>
        <w:t>)</w:t>
      </w:r>
      <w:r w:rsidRPr="00B40A77">
        <w:rPr>
          <w:color w:val="000000" w:themeColor="text1"/>
          <w:lang w:val="en-US"/>
        </w:rPr>
        <w:tab/>
        <w:t xml:space="preserve">relating to </w:t>
      </w:r>
      <w:r w:rsidR="00941892" w:rsidRPr="00B40A77">
        <w:rPr>
          <w:color w:val="000000" w:themeColor="text1"/>
          <w:lang w:val="en-US"/>
        </w:rPr>
        <w:t>the admissibility of other prosecution evidence</w:t>
      </w:r>
      <w:r w:rsidRPr="00B40A77">
        <w:rPr>
          <w:color w:val="000000" w:themeColor="text1"/>
          <w:lang w:val="en-US"/>
        </w:rPr>
        <w:t>;</w:t>
      </w:r>
      <w:r w:rsidR="00941892" w:rsidRPr="00B40A77">
        <w:rPr>
          <w:color w:val="000000" w:themeColor="text1"/>
          <w:lang w:val="en-US"/>
        </w:rPr>
        <w:t xml:space="preserve"> or</w:t>
      </w:r>
    </w:p>
    <w:p w14:paraId="666D6F2C" w14:textId="4D468CA1" w:rsidR="00BF2649" w:rsidRPr="00B40A77" w:rsidRDefault="00536AC7" w:rsidP="00536AC7">
      <w:pPr>
        <w:pStyle w:val="Doublehangindent"/>
        <w:rPr>
          <w:color w:val="000000" w:themeColor="text1"/>
          <w:lang w:val="en-US"/>
        </w:rPr>
      </w:pPr>
      <w:r w:rsidRPr="00B40A77">
        <w:rPr>
          <w:color w:val="000000" w:themeColor="text1"/>
          <w:lang w:val="en-US"/>
        </w:rPr>
        <w:t>(</w:t>
      </w:r>
      <w:r w:rsidR="00BF2649" w:rsidRPr="00B40A77">
        <w:rPr>
          <w:color w:val="000000" w:themeColor="text1"/>
          <w:lang w:val="en-US"/>
        </w:rPr>
        <w:t>g</w:t>
      </w:r>
      <w:r w:rsidRPr="00B40A77">
        <w:rPr>
          <w:color w:val="000000" w:themeColor="text1"/>
          <w:lang w:val="en-US"/>
        </w:rPr>
        <w:t>)</w:t>
      </w:r>
      <w:r w:rsidRPr="00B40A77">
        <w:rPr>
          <w:color w:val="000000" w:themeColor="text1"/>
          <w:lang w:val="en-US"/>
        </w:rPr>
        <w:tab/>
        <w:t>raising any other point</w:t>
      </w:r>
      <w:r w:rsidR="00941892" w:rsidRPr="00B40A77">
        <w:rPr>
          <w:color w:val="000000" w:themeColor="text1"/>
          <w:lang w:val="en-US"/>
        </w:rPr>
        <w:t xml:space="preserve"> of law</w:t>
      </w:r>
      <w:r w:rsidR="00BF2649" w:rsidRPr="00B40A77">
        <w:rPr>
          <w:color w:val="000000" w:themeColor="text1"/>
          <w:lang w:val="en-US"/>
        </w:rPr>
        <w:t>,</w:t>
      </w:r>
    </w:p>
    <w:p w14:paraId="4ECA2D21" w14:textId="012B538E" w:rsidR="00116A89" w:rsidRPr="00B40A77" w:rsidRDefault="00941892" w:rsidP="00B839FA">
      <w:pPr>
        <w:pStyle w:val="Doublehangindent"/>
        <w:ind w:left="1134" w:firstLine="0"/>
        <w:rPr>
          <w:color w:val="000000" w:themeColor="text1"/>
          <w:lang w:val="en-US"/>
        </w:rPr>
      </w:pPr>
      <w:r w:rsidRPr="00B40A77">
        <w:rPr>
          <w:color w:val="000000" w:themeColor="text1"/>
          <w:lang w:val="en-US"/>
        </w:rPr>
        <w:lastRenderedPageBreak/>
        <w:t>must be made by the date fixed for fili</w:t>
      </w:r>
      <w:r w:rsidR="00BF2649" w:rsidRPr="00B40A77">
        <w:rPr>
          <w:color w:val="000000" w:themeColor="text1"/>
          <w:lang w:val="en-US"/>
        </w:rPr>
        <w:t>ng the defendant’s</w:t>
      </w:r>
      <w:r w:rsidRPr="00B40A77">
        <w:rPr>
          <w:color w:val="000000" w:themeColor="text1"/>
          <w:lang w:val="en-US"/>
        </w:rPr>
        <w:t xml:space="preserve"> case statement.</w:t>
      </w:r>
    </w:p>
    <w:bookmarkEnd w:id="713"/>
    <w:p w14:paraId="4F0568BE" w14:textId="06709276" w:rsidR="00BF2649" w:rsidRPr="00B40A77" w:rsidRDefault="00BF2649" w:rsidP="00116A89">
      <w:pPr>
        <w:pStyle w:val="Hangindent"/>
        <w:rPr>
          <w:color w:val="000000" w:themeColor="text1"/>
          <w:lang w:val="en-US"/>
        </w:rPr>
      </w:pPr>
      <w:r w:rsidRPr="00B40A77">
        <w:rPr>
          <w:color w:val="000000" w:themeColor="text1"/>
          <w:lang w:val="en-US"/>
        </w:rPr>
        <w:t>(3</w:t>
      </w:r>
      <w:r w:rsidR="00116A89" w:rsidRPr="00B40A77">
        <w:rPr>
          <w:color w:val="000000" w:themeColor="text1"/>
          <w:lang w:val="en-US"/>
        </w:rPr>
        <w:t>)</w:t>
      </w:r>
      <w:r w:rsidR="00116A89" w:rsidRPr="00B40A77">
        <w:rPr>
          <w:color w:val="000000" w:themeColor="text1"/>
          <w:lang w:val="en-US"/>
        </w:rPr>
        <w:tab/>
        <w:t>An application</w:t>
      </w:r>
      <w:r w:rsidRPr="00B40A77">
        <w:rPr>
          <w:color w:val="000000" w:themeColor="text1"/>
        </w:rPr>
        <w:t>—</w:t>
      </w:r>
    </w:p>
    <w:p w14:paraId="5609F0EB" w14:textId="2EED1ACA" w:rsidR="00116A89" w:rsidRPr="00B40A77" w:rsidRDefault="00BF2649" w:rsidP="00BF264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37044C" w:rsidRPr="00B40A77">
        <w:rPr>
          <w:color w:val="000000" w:themeColor="text1"/>
          <w:lang w:val="en-US"/>
        </w:rPr>
        <w:t xml:space="preserve">for </w:t>
      </w:r>
      <w:r w:rsidR="00116A89" w:rsidRPr="00B40A77">
        <w:rPr>
          <w:color w:val="000000" w:themeColor="text1"/>
          <w:lang w:val="en-US"/>
        </w:rPr>
        <w:t xml:space="preserve">an order requiring notice of intention to adduce evidence of a type referred to in </w:t>
      </w:r>
      <w:hyperlink w:anchor="_105.2—Other_evidence" w:history="1">
        <w:r w:rsidR="00116A89" w:rsidRPr="00B40A77">
          <w:rPr>
            <w:rStyle w:val="Hyperlink"/>
            <w:color w:val="000000" w:themeColor="text1"/>
            <w:lang w:val="en-US"/>
          </w:rPr>
          <w:t>rule</w:t>
        </w:r>
        <w:r w:rsidR="00BA7A73" w:rsidRPr="00B40A77">
          <w:rPr>
            <w:rStyle w:val="Hyperlink"/>
            <w:color w:val="000000" w:themeColor="text1"/>
            <w:lang w:val="en-US"/>
          </w:rPr>
          <w:t> </w:t>
        </w:r>
        <w:r w:rsidR="00436BB6" w:rsidRPr="00B40A77">
          <w:rPr>
            <w:rStyle w:val="Hyperlink"/>
            <w:color w:val="000000" w:themeColor="text1"/>
            <w:lang w:val="en-US"/>
          </w:rPr>
          <w:t>105.</w:t>
        </w:r>
        <w:r w:rsidR="00B42A15" w:rsidRPr="00B40A77">
          <w:rPr>
            <w:rStyle w:val="Hyperlink"/>
            <w:color w:val="000000" w:themeColor="text1"/>
            <w:lang w:val="en-US"/>
          </w:rPr>
          <w:t>2</w:t>
        </w:r>
      </w:hyperlink>
      <w:r w:rsidR="00B42A15" w:rsidRPr="00B40A77">
        <w:rPr>
          <w:color w:val="000000" w:themeColor="text1"/>
          <w:lang w:val="en-US"/>
        </w:rPr>
        <w:t>;</w:t>
      </w:r>
    </w:p>
    <w:p w14:paraId="566C5AC2" w14:textId="59299258" w:rsidR="00116A89" w:rsidRPr="00B40A77" w:rsidRDefault="00BF2649" w:rsidP="00BF2649">
      <w:pPr>
        <w:pStyle w:val="Doublehangindent"/>
        <w:rPr>
          <w:color w:val="000000" w:themeColor="text1"/>
          <w:lang w:val="en-US"/>
        </w:rPr>
      </w:pPr>
      <w:r w:rsidRPr="00B40A77">
        <w:rPr>
          <w:color w:val="000000" w:themeColor="text1"/>
          <w:lang w:val="en-US"/>
        </w:rPr>
        <w:t>(b</w:t>
      </w:r>
      <w:r w:rsidR="00116A89" w:rsidRPr="00B40A77">
        <w:rPr>
          <w:color w:val="000000" w:themeColor="text1"/>
          <w:lang w:val="en-US"/>
        </w:rPr>
        <w:t>)</w:t>
      </w:r>
      <w:r w:rsidR="00116A89" w:rsidRPr="00B40A77">
        <w:rPr>
          <w:color w:val="000000" w:themeColor="text1"/>
          <w:lang w:val="en-US"/>
        </w:rPr>
        <w:tab/>
        <w:t xml:space="preserve">for taking evidence outside </w:t>
      </w:r>
      <w:hyperlink w:anchor="_2.1—Definitions" w:history="1">
        <w:r w:rsidR="00116A89" w:rsidRPr="00B40A77">
          <w:rPr>
            <w:rStyle w:val="Hyperlink"/>
            <w:color w:val="000000" w:themeColor="text1"/>
            <w:lang w:val="en-US"/>
          </w:rPr>
          <w:t>the State</w:t>
        </w:r>
      </w:hyperlink>
      <w:r w:rsidRPr="00B40A77">
        <w:rPr>
          <w:color w:val="000000" w:themeColor="text1"/>
          <w:lang w:val="en-US"/>
        </w:rPr>
        <w:t>;</w:t>
      </w:r>
    </w:p>
    <w:p w14:paraId="55BFB463" w14:textId="7455DBFC" w:rsidR="00B839FA" w:rsidRPr="00B40A77" w:rsidRDefault="00BF2649" w:rsidP="00BF2649">
      <w:pPr>
        <w:pStyle w:val="Doublehangindent"/>
        <w:rPr>
          <w:color w:val="000000" w:themeColor="text1"/>
          <w:lang w:val="en-US"/>
        </w:rPr>
      </w:pPr>
      <w:r w:rsidRPr="00B40A77">
        <w:rPr>
          <w:color w:val="000000" w:themeColor="text1"/>
          <w:lang w:val="en-US"/>
        </w:rPr>
        <w:t>(c</w:t>
      </w:r>
      <w:r w:rsidR="00116A89" w:rsidRPr="00B40A77">
        <w:rPr>
          <w:color w:val="000000" w:themeColor="text1"/>
          <w:lang w:val="en-US"/>
        </w:rPr>
        <w:t>)</w:t>
      </w:r>
      <w:r w:rsidR="00116A89" w:rsidRPr="00B40A77">
        <w:rPr>
          <w:color w:val="000000" w:themeColor="text1"/>
          <w:lang w:val="en-US"/>
        </w:rPr>
        <w:tab/>
        <w:t xml:space="preserve">to adduce evidence or make submissions by </w:t>
      </w:r>
      <w:hyperlink w:anchor="_2.1—Definitions" w:history="1">
        <w:r w:rsidR="001D63F7" w:rsidRPr="00B40A77">
          <w:rPr>
            <w:rStyle w:val="Hyperlink"/>
            <w:color w:val="000000" w:themeColor="text1"/>
            <w:lang w:val="en-US"/>
          </w:rPr>
          <w:t>audio visual link</w:t>
        </w:r>
      </w:hyperlink>
      <w:r w:rsidR="000A356B" w:rsidRPr="00B40A77">
        <w:rPr>
          <w:color w:val="000000" w:themeColor="text1"/>
          <w:lang w:val="en-US"/>
        </w:rPr>
        <w:t xml:space="preserve"> or </w:t>
      </w:r>
      <w:hyperlink w:anchor="_2.1—Definitions" w:history="1">
        <w:r w:rsidR="000A356B" w:rsidRPr="00B40A77">
          <w:rPr>
            <w:rStyle w:val="Hyperlink"/>
            <w:color w:val="000000" w:themeColor="text1"/>
            <w:lang w:val="en-US"/>
          </w:rPr>
          <w:t>audio link</w:t>
        </w:r>
      </w:hyperlink>
      <w:r w:rsidR="00B839FA" w:rsidRPr="00B40A77">
        <w:rPr>
          <w:color w:val="000000" w:themeColor="text1"/>
          <w:lang w:val="en-US"/>
        </w:rPr>
        <w:t>; or</w:t>
      </w:r>
    </w:p>
    <w:p w14:paraId="5EDBDBB2" w14:textId="77852060" w:rsidR="00BF2649" w:rsidRPr="00B40A77" w:rsidRDefault="00B839FA" w:rsidP="00BF2649">
      <w:pPr>
        <w:pStyle w:val="Doublehangindent"/>
        <w:rPr>
          <w:color w:val="000000" w:themeColor="text1"/>
          <w:lang w:val="en-US"/>
        </w:rPr>
      </w:pPr>
      <w:r w:rsidRPr="00B40A77">
        <w:rPr>
          <w:color w:val="000000" w:themeColor="text1"/>
          <w:lang w:val="en-US"/>
        </w:rPr>
        <w:t>(d)</w:t>
      </w:r>
      <w:r w:rsidRPr="00B40A77">
        <w:rPr>
          <w:color w:val="000000" w:themeColor="text1"/>
          <w:lang w:val="en-US"/>
        </w:rPr>
        <w:tab/>
        <w:t>for special arrangements for the protection of a witness under section 13 or 13A of the Evidence Act</w:t>
      </w:r>
      <w:r w:rsidR="00BF2649" w:rsidRPr="00B40A77">
        <w:rPr>
          <w:color w:val="000000" w:themeColor="text1"/>
          <w:lang w:val="en-US"/>
        </w:rPr>
        <w:t>,</w:t>
      </w:r>
    </w:p>
    <w:p w14:paraId="15E2BA31" w14:textId="1CE54CC2" w:rsidR="00116A89" w:rsidRPr="00B40A77" w:rsidRDefault="00116A89" w:rsidP="00BF2649">
      <w:pPr>
        <w:pStyle w:val="Doublehangindent"/>
        <w:rPr>
          <w:color w:val="000000" w:themeColor="text1"/>
          <w:lang w:val="en-US"/>
        </w:rPr>
      </w:pPr>
      <w:r w:rsidRPr="00B40A77">
        <w:rPr>
          <w:color w:val="000000" w:themeColor="text1"/>
          <w:lang w:val="en-US"/>
        </w:rPr>
        <w:t xml:space="preserve">must be made at least </w:t>
      </w:r>
      <w:r w:rsidR="00B839FA" w:rsidRPr="00B40A77">
        <w:rPr>
          <w:color w:val="000000" w:themeColor="text1"/>
          <w:lang w:val="en-US"/>
        </w:rPr>
        <w:t>6 weeks</w:t>
      </w:r>
      <w:r w:rsidRPr="00B40A77">
        <w:rPr>
          <w:color w:val="000000" w:themeColor="text1"/>
          <w:lang w:val="en-US"/>
        </w:rPr>
        <w:t xml:space="preserve"> before the </w:t>
      </w:r>
      <w:hyperlink w:anchor="_2.1—Definitions" w:history="1">
        <w:r w:rsidR="004740A2" w:rsidRPr="00B40A77">
          <w:rPr>
            <w:rStyle w:val="Hyperlink"/>
            <w:color w:val="000000" w:themeColor="text1"/>
          </w:rPr>
          <w:t>trial date</w:t>
        </w:r>
      </w:hyperlink>
      <w:r w:rsidRPr="00B40A77">
        <w:rPr>
          <w:color w:val="000000" w:themeColor="text1"/>
          <w:lang w:val="en-US"/>
        </w:rPr>
        <w:t>.</w:t>
      </w:r>
    </w:p>
    <w:p w14:paraId="456586CC" w14:textId="5B3C0E3D" w:rsidR="00116A89" w:rsidRPr="00B40A77" w:rsidRDefault="00BF2649" w:rsidP="00116A89">
      <w:pPr>
        <w:pStyle w:val="Hangindent"/>
        <w:rPr>
          <w:color w:val="000000" w:themeColor="text1"/>
          <w:lang w:val="en-US"/>
        </w:rPr>
      </w:pPr>
      <w:r w:rsidRPr="00B40A77">
        <w:rPr>
          <w:color w:val="000000" w:themeColor="text1"/>
          <w:lang w:val="en-US"/>
        </w:rPr>
        <w:t>(</w:t>
      </w:r>
      <w:r w:rsidR="00B839FA" w:rsidRPr="00B40A77">
        <w:rPr>
          <w:color w:val="000000" w:themeColor="text1"/>
          <w:lang w:val="en-US"/>
        </w:rPr>
        <w:t>4</w:t>
      </w:r>
      <w:r w:rsidR="00116A89" w:rsidRPr="00B40A77">
        <w:rPr>
          <w:color w:val="000000" w:themeColor="text1"/>
          <w:lang w:val="en-US"/>
        </w:rPr>
        <w:t>)</w:t>
      </w:r>
      <w:r w:rsidR="00116A89" w:rsidRPr="00B40A77">
        <w:rPr>
          <w:color w:val="000000" w:themeColor="text1"/>
          <w:lang w:val="en-US"/>
        </w:rPr>
        <w:tab/>
        <w:t xml:space="preserve">Any other application to determine an issue before the commencement of the </w:t>
      </w:r>
      <w:hyperlink w:anchor="_2.1—Definitions" w:history="1">
        <w:r w:rsidR="002A0B8E" w:rsidRPr="00B40A77">
          <w:rPr>
            <w:rStyle w:val="Hyperlink"/>
            <w:color w:val="000000" w:themeColor="text1"/>
            <w:lang w:val="en-US"/>
          </w:rPr>
          <w:t>trial</w:t>
        </w:r>
      </w:hyperlink>
      <w:r w:rsidR="00116A89" w:rsidRPr="00B40A77">
        <w:rPr>
          <w:color w:val="000000" w:themeColor="text1"/>
          <w:lang w:val="en-US"/>
        </w:rPr>
        <w:t xml:space="preserve"> must be </w:t>
      </w:r>
      <w:r w:rsidR="0037044C" w:rsidRPr="00B40A77">
        <w:rPr>
          <w:color w:val="000000" w:themeColor="text1"/>
          <w:lang w:val="en-US"/>
        </w:rPr>
        <w:t>made</w:t>
      </w:r>
      <w:r w:rsidR="00116A89" w:rsidRPr="00B40A77">
        <w:rPr>
          <w:color w:val="000000" w:themeColor="text1"/>
          <w:lang w:val="en-US"/>
        </w:rPr>
        <w:t xml:space="preserve"> at least </w:t>
      </w:r>
      <w:r w:rsidR="00B839FA" w:rsidRPr="00B40A77">
        <w:rPr>
          <w:color w:val="000000" w:themeColor="text1"/>
          <w:lang w:val="en-US"/>
        </w:rPr>
        <w:t>6 weeks</w:t>
      </w:r>
      <w:r w:rsidR="00116A89" w:rsidRPr="00B40A77">
        <w:rPr>
          <w:color w:val="000000" w:themeColor="text1"/>
          <w:lang w:val="en-US"/>
        </w:rPr>
        <w:t xml:space="preserve"> before the </w:t>
      </w:r>
      <w:hyperlink w:anchor="_2.1—Definitions" w:history="1">
        <w:r w:rsidR="004740A2" w:rsidRPr="00B40A77">
          <w:rPr>
            <w:rStyle w:val="Hyperlink"/>
            <w:color w:val="000000" w:themeColor="text1"/>
          </w:rPr>
          <w:t>trial date</w:t>
        </w:r>
      </w:hyperlink>
      <w:r w:rsidR="00116A89" w:rsidRPr="00B40A77">
        <w:rPr>
          <w:color w:val="000000" w:themeColor="text1"/>
          <w:lang w:val="en-US"/>
        </w:rPr>
        <w:t>.</w:t>
      </w:r>
    </w:p>
    <w:p w14:paraId="4730F3A0" w14:textId="77777777" w:rsidR="004612B9" w:rsidRPr="00B40A77" w:rsidRDefault="004612B9" w:rsidP="004612B9">
      <w:pPr>
        <w:pStyle w:val="NoteHeader"/>
        <w:keepNext/>
        <w:rPr>
          <w:color w:val="000000" w:themeColor="text1"/>
        </w:rPr>
      </w:pPr>
      <w:r w:rsidRPr="00B40A77">
        <w:rPr>
          <w:color w:val="000000" w:themeColor="text1"/>
        </w:rPr>
        <w:t>Note—</w:t>
      </w:r>
    </w:p>
    <w:p w14:paraId="3BFF2CB9" w14:textId="24E12022" w:rsidR="004612B9" w:rsidRPr="00B40A77" w:rsidRDefault="004612B9" w:rsidP="004612B9">
      <w:pPr>
        <w:pStyle w:val="NoteText"/>
        <w:ind w:left="1440"/>
        <w:rPr>
          <w:rStyle w:val="Hyperlink"/>
          <w:color w:val="000000" w:themeColor="text1"/>
        </w:rPr>
      </w:pPr>
      <w:hyperlink w:anchor="_66.1—Time_for_making" w:history="1">
        <w:r w:rsidRPr="00B40A77">
          <w:rPr>
            <w:rStyle w:val="Hyperlink"/>
            <w:color w:val="000000" w:themeColor="text1"/>
          </w:rPr>
          <w:t>Rule 39.1</w:t>
        </w:r>
      </w:hyperlink>
      <w:r w:rsidRPr="00B40A77">
        <w:rPr>
          <w:rStyle w:val="Hyperlink"/>
          <w:color w:val="000000" w:themeColor="text1"/>
        </w:rPr>
        <w:t>(7)</w:t>
      </w:r>
      <w:r w:rsidRPr="00B40A77">
        <w:rPr>
          <w:color w:val="000000" w:themeColor="text1"/>
        </w:rPr>
        <w:t xml:space="preserve"> also requires an interlocutory application to be filed and served at least 7 days before the </w:t>
      </w:r>
      <w:hyperlink w:anchor="_37.1—Application_of_Part" w:history="1">
        <w:r w:rsidRPr="00B40A77">
          <w:rPr>
            <w:rStyle w:val="Hyperlink"/>
            <w:color w:val="000000" w:themeColor="text1"/>
          </w:rPr>
          <w:t>hearing</w:t>
        </w:r>
      </w:hyperlink>
      <w:r w:rsidRPr="00B40A77">
        <w:rPr>
          <w:rStyle w:val="Hyperlink"/>
          <w:color w:val="000000" w:themeColor="text1"/>
        </w:rPr>
        <w:t xml:space="preserve"> at which the orders are to be sought.</w:t>
      </w:r>
    </w:p>
    <w:p w14:paraId="00ED5678" w14:textId="338FEB58" w:rsidR="00CD3213" w:rsidRPr="00B40A77" w:rsidRDefault="00116A89" w:rsidP="00116A89">
      <w:pPr>
        <w:pStyle w:val="Heading3"/>
        <w:rPr>
          <w:color w:val="000000" w:themeColor="text1"/>
        </w:rPr>
      </w:pPr>
      <w:bookmarkStart w:id="714" w:name="_Toc175239105"/>
      <w:bookmarkEnd w:id="712"/>
      <w:r w:rsidRPr="00B40A77">
        <w:rPr>
          <w:color w:val="000000" w:themeColor="text1"/>
        </w:rPr>
        <w:t xml:space="preserve">Division </w:t>
      </w:r>
      <w:r w:rsidR="00A26CAB" w:rsidRPr="00B40A77">
        <w:rPr>
          <w:color w:val="000000" w:themeColor="text1"/>
        </w:rPr>
        <w:t>5</w:t>
      </w:r>
      <w:r w:rsidR="00CD3213" w:rsidRPr="00B40A77">
        <w:rPr>
          <w:color w:val="000000" w:themeColor="text1"/>
        </w:rPr>
        <w:t>—Fitness to stand trial and mental competence</w:t>
      </w:r>
      <w:bookmarkEnd w:id="714"/>
    </w:p>
    <w:p w14:paraId="2C1AEE1F" w14:textId="04ADB5D1" w:rsidR="00CD3213" w:rsidRPr="00B40A77" w:rsidRDefault="00116A89" w:rsidP="00CD3213">
      <w:pPr>
        <w:pStyle w:val="Heading4"/>
        <w:rPr>
          <w:color w:val="000000" w:themeColor="text1"/>
        </w:rPr>
      </w:pPr>
      <w:bookmarkStart w:id="715" w:name="_Toc175239106"/>
      <w:r w:rsidRPr="00B40A77">
        <w:rPr>
          <w:color w:val="000000" w:themeColor="text1"/>
        </w:rPr>
        <w:t>10</w:t>
      </w:r>
      <w:r w:rsidR="00A50F38" w:rsidRPr="00B40A77">
        <w:rPr>
          <w:color w:val="000000" w:themeColor="text1"/>
        </w:rPr>
        <w:t>3</w:t>
      </w:r>
      <w:r w:rsidR="00CD3213" w:rsidRPr="00B40A77">
        <w:rPr>
          <w:color w:val="000000" w:themeColor="text1"/>
        </w:rPr>
        <w:t>.1—Unfitness to stand trial</w:t>
      </w:r>
      <w:bookmarkEnd w:id="715"/>
    </w:p>
    <w:p w14:paraId="202DDB67" w14:textId="6B9A7F9B" w:rsidR="00CD3213" w:rsidRPr="00B40A77" w:rsidRDefault="00CD3213" w:rsidP="00CD321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If a defendant is represented by a lawyer and the lawyer has reason to believe that the defendant may be </w:t>
      </w:r>
      <w:hyperlink w:anchor="_2.1—Definitions" w:history="1">
        <w:r w:rsidR="00E9233A" w:rsidRPr="00B40A77">
          <w:rPr>
            <w:rStyle w:val="Hyperlink"/>
            <w:color w:val="000000" w:themeColor="text1"/>
            <w:lang w:val="en-US"/>
          </w:rPr>
          <w:t>unfit to stand trial</w:t>
        </w:r>
      </w:hyperlink>
      <w:r w:rsidRPr="00B40A77">
        <w:rPr>
          <w:color w:val="000000" w:themeColor="text1"/>
          <w:lang w:val="en-US"/>
        </w:rPr>
        <w:t>, the lawyer must</w:t>
      </w:r>
      <w:r w:rsidRPr="00B40A77">
        <w:rPr>
          <w:color w:val="000000" w:themeColor="text1"/>
        </w:rPr>
        <w:t>—</w:t>
      </w:r>
    </w:p>
    <w:p w14:paraId="1A46CFFB" w14:textId="211E538C" w:rsidR="00CD3213" w:rsidRPr="00B40A77" w:rsidRDefault="00CD3213" w:rsidP="00CD321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w:t>
      </w:r>
      <w:r w:rsidR="00757E7C" w:rsidRPr="00B40A77">
        <w:rPr>
          <w:color w:val="000000" w:themeColor="text1"/>
          <w:lang w:val="en-US"/>
        </w:rPr>
        <w:t>whether</w:t>
      </w:r>
      <w:r w:rsidRPr="00B40A77">
        <w:rPr>
          <w:color w:val="000000" w:themeColor="text1"/>
          <w:lang w:val="en-US"/>
        </w:rPr>
        <w:t xml:space="preserve"> the defendant</w:t>
      </w:r>
      <w:r w:rsidR="00AF38A8" w:rsidRPr="00B40A77">
        <w:rPr>
          <w:color w:val="000000" w:themeColor="text1"/>
          <w:lang w:val="en-US"/>
        </w:rPr>
        <w:t xml:space="preserve"> </w:t>
      </w:r>
      <w:r w:rsidR="00757E7C" w:rsidRPr="00B40A77">
        <w:rPr>
          <w:color w:val="000000" w:themeColor="text1"/>
          <w:lang w:val="en-US"/>
        </w:rPr>
        <w:t>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Pr="00B40A77">
        <w:rPr>
          <w:color w:val="000000" w:themeColor="text1"/>
          <w:lang w:val="en-US"/>
        </w:rPr>
        <w:t>; and</w:t>
      </w:r>
    </w:p>
    <w:p w14:paraId="29A58BF1" w14:textId="2377ED9D" w:rsidR="00CD3213" w:rsidRPr="00B40A77" w:rsidRDefault="00CD3213" w:rsidP="00CD321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that there is or may be an issue about </w:t>
      </w:r>
      <w:r w:rsidR="00757E7C" w:rsidRPr="00B40A77">
        <w:rPr>
          <w:color w:val="000000" w:themeColor="text1"/>
          <w:lang w:val="en-US"/>
        </w:rPr>
        <w:t>whether</w:t>
      </w:r>
      <w:r w:rsidRPr="00B40A77">
        <w:rPr>
          <w:color w:val="000000" w:themeColor="text1"/>
          <w:lang w:val="en-US"/>
        </w:rPr>
        <w:t xml:space="preserve"> the defendant</w:t>
      </w:r>
      <w:r w:rsidR="00AF38A8" w:rsidRPr="00B40A77">
        <w:rPr>
          <w:color w:val="000000" w:themeColor="text1"/>
          <w:lang w:val="en-US"/>
        </w:rPr>
        <w:t xml:space="preserve"> </w:t>
      </w:r>
      <w:r w:rsidR="00757E7C" w:rsidRPr="00B40A77">
        <w:rPr>
          <w:color w:val="000000" w:themeColor="text1"/>
          <w:lang w:val="en-US"/>
        </w:rPr>
        <w:t>is</w:t>
      </w:r>
      <w:r w:rsidR="00E9233A" w:rsidRPr="00B40A77">
        <w:rPr>
          <w:color w:val="000000" w:themeColor="text1"/>
        </w:rPr>
        <w:t xml:space="preserve"> </w:t>
      </w:r>
      <w:hyperlink w:anchor="_2.1—Definitions" w:history="1">
        <w:r w:rsidR="00E9233A" w:rsidRPr="00B40A77">
          <w:rPr>
            <w:rStyle w:val="Hyperlink"/>
            <w:color w:val="000000" w:themeColor="text1"/>
          </w:rPr>
          <w:t>fit to stand trial</w:t>
        </w:r>
      </w:hyperlink>
      <w:r w:rsidR="00757E7C" w:rsidRPr="00B40A77">
        <w:rPr>
          <w:color w:val="000000" w:themeColor="text1"/>
          <w:lang w:val="en-US"/>
        </w:rPr>
        <w:t xml:space="preserve"> </w:t>
      </w:r>
      <w:r w:rsidRPr="00B40A77">
        <w:rPr>
          <w:color w:val="000000" w:themeColor="text1"/>
          <w:lang w:val="en-US"/>
        </w:rPr>
        <w:t>as soon as practicable.</w:t>
      </w:r>
    </w:p>
    <w:p w14:paraId="4EF65DC6" w14:textId="3EF3F1AE" w:rsidR="00CD3213" w:rsidRPr="00B40A77" w:rsidRDefault="00CD3213" w:rsidP="00CD3213">
      <w:pPr>
        <w:pStyle w:val="Hangindent"/>
        <w:rPr>
          <w:color w:val="000000" w:themeColor="text1"/>
          <w:lang w:val="en-US"/>
        </w:rPr>
      </w:pPr>
      <w:r w:rsidRPr="00B40A77">
        <w:rPr>
          <w:color w:val="000000" w:themeColor="text1"/>
          <w:lang w:val="en-US"/>
        </w:rPr>
        <w:t>(2)</w:t>
      </w:r>
      <w:r w:rsidRPr="00B40A77">
        <w:rPr>
          <w:color w:val="000000" w:themeColor="text1"/>
          <w:lang w:val="en-US"/>
        </w:rPr>
        <w:tab/>
        <w:t>If a</w:t>
      </w:r>
      <w:r w:rsidR="00264231" w:rsidRPr="00B40A77">
        <w:rPr>
          <w:color w:val="000000" w:themeColor="text1"/>
          <w:lang w:val="en-US"/>
        </w:rPr>
        <w:t>n unrepresented</w:t>
      </w:r>
      <w:r w:rsidRPr="00B40A77">
        <w:rPr>
          <w:color w:val="000000" w:themeColor="text1"/>
          <w:lang w:val="en-US"/>
        </w:rPr>
        <w:t xml:space="preserve"> defendant</w:t>
      </w:r>
      <w:r w:rsidR="00AF38A8" w:rsidRPr="00B40A77">
        <w:rPr>
          <w:color w:val="000000" w:themeColor="text1"/>
          <w:lang w:val="en-US"/>
        </w:rPr>
        <w:t xml:space="preserve"> </w:t>
      </w:r>
      <w:r w:rsidRPr="00B40A77">
        <w:rPr>
          <w:color w:val="000000" w:themeColor="text1"/>
          <w:lang w:val="en-US"/>
        </w:rPr>
        <w:t xml:space="preserve">has doubt about their </w:t>
      </w:r>
      <w:r w:rsidRPr="00B40A77">
        <w:rPr>
          <w:color w:val="000000" w:themeColor="text1"/>
          <w:u w:val="single"/>
          <w:lang w:val="en-US"/>
        </w:rPr>
        <w:t>fitness to stand trial</w:t>
      </w:r>
      <w:r w:rsidRPr="00B40A77">
        <w:rPr>
          <w:color w:val="000000" w:themeColor="text1"/>
          <w:lang w:val="en-US"/>
        </w:rPr>
        <w:t xml:space="preserve">, they must inform the Court that there is or may be an issue about their </w:t>
      </w:r>
      <w:r w:rsidRPr="00B40A77">
        <w:rPr>
          <w:color w:val="000000" w:themeColor="text1"/>
          <w:u w:val="single"/>
          <w:lang w:val="en-US"/>
        </w:rPr>
        <w:t>fitness to stand trial</w:t>
      </w:r>
      <w:r w:rsidRPr="00B40A77">
        <w:rPr>
          <w:color w:val="000000" w:themeColor="text1"/>
          <w:lang w:val="en-US"/>
        </w:rPr>
        <w:t xml:space="preserve"> as soon as practicable.</w:t>
      </w:r>
    </w:p>
    <w:p w14:paraId="5C78667B" w14:textId="7A1860DC" w:rsidR="00CD3213" w:rsidRPr="00B40A77" w:rsidRDefault="00116A89" w:rsidP="00CD3213">
      <w:pPr>
        <w:pStyle w:val="Heading4"/>
        <w:rPr>
          <w:color w:val="000000" w:themeColor="text1"/>
        </w:rPr>
      </w:pPr>
      <w:bookmarkStart w:id="716" w:name="_Toc175239107"/>
      <w:r w:rsidRPr="00B40A77">
        <w:rPr>
          <w:color w:val="000000" w:themeColor="text1"/>
        </w:rPr>
        <w:t>10</w:t>
      </w:r>
      <w:r w:rsidR="00A50F38" w:rsidRPr="00B40A77">
        <w:rPr>
          <w:color w:val="000000" w:themeColor="text1"/>
        </w:rPr>
        <w:t>3</w:t>
      </w:r>
      <w:r w:rsidR="00CD3213" w:rsidRPr="00B40A77">
        <w:rPr>
          <w:color w:val="000000" w:themeColor="text1"/>
        </w:rPr>
        <w:t>.2—Mental incompetence to commit offence</w:t>
      </w:r>
      <w:bookmarkEnd w:id="716"/>
    </w:p>
    <w:p w14:paraId="12007446" w14:textId="4AE36C03" w:rsidR="00CD3213" w:rsidRPr="00B40A77" w:rsidRDefault="00CD3213" w:rsidP="00CD3213">
      <w:pPr>
        <w:pStyle w:val="Hangindent"/>
        <w:rPr>
          <w:color w:val="000000" w:themeColor="text1"/>
          <w:lang w:val="en-US"/>
        </w:rPr>
      </w:pPr>
      <w:r w:rsidRPr="00B40A77">
        <w:rPr>
          <w:color w:val="000000" w:themeColor="text1"/>
          <w:lang w:val="en-US"/>
        </w:rPr>
        <w:t>(1)</w:t>
      </w:r>
      <w:r w:rsidRPr="00B40A77">
        <w:rPr>
          <w:color w:val="000000" w:themeColor="text1"/>
          <w:lang w:val="en-US"/>
        </w:rPr>
        <w:tab/>
        <w:t>If a defendant</w:t>
      </w:r>
      <w:r w:rsidR="00AF38A8" w:rsidRPr="00B40A77">
        <w:rPr>
          <w:color w:val="000000" w:themeColor="text1"/>
          <w:lang w:val="en-US"/>
        </w:rPr>
        <w:t xml:space="preserve"> </w:t>
      </w:r>
      <w:r w:rsidRPr="00B40A77">
        <w:rPr>
          <w:color w:val="000000" w:themeColor="text1"/>
          <w:lang w:val="en-US"/>
        </w:rPr>
        <w:t>is represented by a lawyer and the lawyer has reason to b</w:t>
      </w:r>
      <w:r w:rsidR="00FC02E1" w:rsidRPr="00B40A77">
        <w:rPr>
          <w:color w:val="000000" w:themeColor="text1"/>
          <w:lang w:val="en-US"/>
        </w:rPr>
        <w:t>elieve that the defendant</w:t>
      </w:r>
      <w:r w:rsidR="00AF38A8" w:rsidRPr="00B40A77">
        <w:rPr>
          <w:color w:val="000000" w:themeColor="text1"/>
          <w:lang w:val="en-US"/>
        </w:rPr>
        <w:t xml:space="preserve"> </w:t>
      </w:r>
      <w:r w:rsidR="00FC02E1" w:rsidRPr="00B40A77">
        <w:rPr>
          <w:color w:val="000000" w:themeColor="text1"/>
          <w:lang w:val="en-US"/>
        </w:rPr>
        <w:t>may</w:t>
      </w:r>
      <w:r w:rsidRPr="00B40A77">
        <w:rPr>
          <w:color w:val="000000" w:themeColor="text1"/>
          <w:lang w:val="en-US"/>
        </w:rPr>
        <w:t xml:space="preserve"> have been </w:t>
      </w:r>
      <w:hyperlink w:anchor="_2.1—Definitions" w:history="1">
        <w:r w:rsidR="005A680E" w:rsidRPr="00B40A77">
          <w:rPr>
            <w:rStyle w:val="Hyperlink"/>
            <w:color w:val="000000" w:themeColor="text1"/>
            <w:lang w:val="en-US"/>
          </w:rPr>
          <w:t>mentally incompetent</w:t>
        </w:r>
      </w:hyperlink>
      <w:r w:rsidRPr="00B40A77">
        <w:rPr>
          <w:color w:val="000000" w:themeColor="text1"/>
        </w:rPr>
        <w:t xml:space="preserve"> to commit an offence charged</w:t>
      </w:r>
      <w:r w:rsidRPr="00B40A77">
        <w:rPr>
          <w:color w:val="000000" w:themeColor="text1"/>
          <w:lang w:val="en-US"/>
        </w:rPr>
        <w:t>, the lawyer must</w:t>
      </w:r>
      <w:r w:rsidRPr="00B40A77">
        <w:rPr>
          <w:color w:val="000000" w:themeColor="text1"/>
        </w:rPr>
        <w:t>—</w:t>
      </w:r>
    </w:p>
    <w:p w14:paraId="36795103" w14:textId="11B38FFA" w:rsidR="00CD3213" w:rsidRPr="00B40A77" w:rsidRDefault="00CD3213" w:rsidP="00CD321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expeditiously inquire into the </w:t>
      </w:r>
      <w:hyperlink w:anchor="_2.1—Definitions" w:history="1">
        <w:r w:rsidR="005A680E" w:rsidRPr="00B40A77">
          <w:rPr>
            <w:rStyle w:val="Hyperlink"/>
            <w:color w:val="000000" w:themeColor="text1"/>
          </w:rPr>
          <w:t>mental competence</w:t>
        </w:r>
      </w:hyperlink>
      <w:r w:rsidRPr="00B40A77">
        <w:rPr>
          <w:color w:val="000000" w:themeColor="text1"/>
        </w:rPr>
        <w:t xml:space="preserve"> of </w:t>
      </w:r>
      <w:r w:rsidRPr="00B40A77">
        <w:rPr>
          <w:color w:val="000000" w:themeColor="text1"/>
          <w:lang w:val="en-US"/>
        </w:rPr>
        <w:t>the defendant</w:t>
      </w:r>
      <w:r w:rsidR="00AF38A8" w:rsidRPr="00B40A77">
        <w:rPr>
          <w:color w:val="000000" w:themeColor="text1"/>
          <w:lang w:val="en-US"/>
        </w:rPr>
        <w:t xml:space="preserve"> </w:t>
      </w:r>
      <w:r w:rsidRPr="00B40A77">
        <w:rPr>
          <w:color w:val="000000" w:themeColor="text1"/>
        </w:rPr>
        <w:t>to commit the offence</w:t>
      </w:r>
      <w:r w:rsidRPr="00B40A77">
        <w:rPr>
          <w:color w:val="000000" w:themeColor="text1"/>
          <w:lang w:val="en-US"/>
        </w:rPr>
        <w:t>; and</w:t>
      </w:r>
    </w:p>
    <w:p w14:paraId="6725A0AD" w14:textId="30A717FA" w:rsidR="00CD3213" w:rsidRPr="00B40A77" w:rsidRDefault="00CD3213" w:rsidP="00CD3213">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inform the Court that there is or may be an issue about the </w:t>
      </w:r>
      <w:hyperlink w:anchor="_2.1—Definitions" w:history="1">
        <w:r w:rsidR="00DF1278" w:rsidRPr="00B40A77">
          <w:rPr>
            <w:rStyle w:val="Hyperlink"/>
            <w:color w:val="000000" w:themeColor="text1"/>
            <w:lang w:val="en-US"/>
          </w:rPr>
          <w:t>mental</w:t>
        </w:r>
        <w:r w:rsidRPr="00B40A77">
          <w:rPr>
            <w:rStyle w:val="Hyperlink"/>
            <w:color w:val="000000" w:themeColor="text1"/>
            <w:lang w:val="en-US"/>
          </w:rPr>
          <w:t xml:space="preserve"> </w:t>
        </w:r>
        <w:r w:rsidR="00DF1278" w:rsidRPr="00B40A77">
          <w:rPr>
            <w:rStyle w:val="Hyperlink"/>
            <w:color w:val="000000" w:themeColor="text1"/>
          </w:rPr>
          <w:t>incompetence</w:t>
        </w:r>
      </w:hyperlink>
      <w:r w:rsidRPr="00B40A77">
        <w:rPr>
          <w:color w:val="000000" w:themeColor="text1"/>
        </w:rPr>
        <w:t xml:space="preserve"> of </w:t>
      </w:r>
      <w:r w:rsidRPr="00B40A77">
        <w:rPr>
          <w:color w:val="000000" w:themeColor="text1"/>
          <w:lang w:val="en-US"/>
        </w:rPr>
        <w:t xml:space="preserve">the defendant </w:t>
      </w:r>
      <w:r w:rsidRPr="00B40A77">
        <w:rPr>
          <w:color w:val="000000" w:themeColor="text1"/>
        </w:rPr>
        <w:t>to commit the offence</w:t>
      </w:r>
      <w:r w:rsidRPr="00B40A77">
        <w:rPr>
          <w:color w:val="000000" w:themeColor="text1"/>
          <w:lang w:val="en-US"/>
        </w:rPr>
        <w:t xml:space="preserve"> as soon as practicable.</w:t>
      </w:r>
    </w:p>
    <w:p w14:paraId="2991FCB8" w14:textId="2BD84B4F" w:rsidR="00CD3213" w:rsidRPr="00B40A77" w:rsidRDefault="00CD3213" w:rsidP="00CD3213">
      <w:pPr>
        <w:pStyle w:val="Hangindent"/>
        <w:rPr>
          <w:color w:val="000000" w:themeColor="text1"/>
          <w:lang w:val="en-US"/>
        </w:rPr>
      </w:pPr>
      <w:r w:rsidRPr="00B40A77">
        <w:rPr>
          <w:color w:val="000000" w:themeColor="text1"/>
          <w:lang w:val="en-US"/>
        </w:rPr>
        <w:t>(2)</w:t>
      </w:r>
      <w:r w:rsidRPr="00B40A77">
        <w:rPr>
          <w:color w:val="000000" w:themeColor="text1"/>
          <w:lang w:val="en-US"/>
        </w:rPr>
        <w:tab/>
        <w:t>If a defendant</w:t>
      </w:r>
      <w:r w:rsidR="00AF38A8" w:rsidRPr="00B40A77">
        <w:rPr>
          <w:color w:val="000000" w:themeColor="text1"/>
          <w:lang w:val="en-US"/>
        </w:rPr>
        <w:t xml:space="preserve"> </w:t>
      </w:r>
      <w:r w:rsidRPr="00B40A77">
        <w:rPr>
          <w:color w:val="000000" w:themeColor="text1"/>
          <w:lang w:val="en-US"/>
        </w:rPr>
        <w:t xml:space="preserve">not represented by a lawyer has doubt about their </w:t>
      </w:r>
      <w:hyperlink w:anchor="_2.1—Definitions" w:history="1">
        <w:r w:rsidR="005A680E" w:rsidRPr="00B40A77">
          <w:rPr>
            <w:rStyle w:val="Hyperlink"/>
            <w:color w:val="000000" w:themeColor="text1"/>
          </w:rPr>
          <w:t>mental competence</w:t>
        </w:r>
      </w:hyperlink>
      <w:r w:rsidRPr="00B40A77">
        <w:rPr>
          <w:color w:val="000000" w:themeColor="text1"/>
        </w:rPr>
        <w:t xml:space="preserve"> to commit an offence charged</w:t>
      </w:r>
      <w:r w:rsidRPr="00B40A77">
        <w:rPr>
          <w:color w:val="000000" w:themeColor="text1"/>
          <w:lang w:val="en-US"/>
        </w:rPr>
        <w:t xml:space="preserve">, they must inform the Court that there is or may be an issue about their </w:t>
      </w:r>
      <w:hyperlink w:anchor="_2.1—Definitions" w:history="1">
        <w:r w:rsidR="005A680E" w:rsidRPr="00B40A77">
          <w:rPr>
            <w:rStyle w:val="Hyperlink"/>
            <w:color w:val="000000" w:themeColor="text1"/>
            <w:lang w:val="en-US"/>
          </w:rPr>
          <w:t xml:space="preserve">mental </w:t>
        </w:r>
        <w:r w:rsidR="005A680E" w:rsidRPr="00B40A77">
          <w:rPr>
            <w:rStyle w:val="Hyperlink"/>
            <w:color w:val="000000" w:themeColor="text1"/>
          </w:rPr>
          <w:t>incompetence</w:t>
        </w:r>
      </w:hyperlink>
      <w:r w:rsidRPr="00B40A77">
        <w:rPr>
          <w:color w:val="000000" w:themeColor="text1"/>
        </w:rPr>
        <w:t xml:space="preserve"> </w:t>
      </w:r>
      <w:r w:rsidRPr="00B40A77">
        <w:rPr>
          <w:color w:val="000000" w:themeColor="text1"/>
          <w:lang w:val="en-US"/>
        </w:rPr>
        <w:t>as soon as practicable.</w:t>
      </w:r>
    </w:p>
    <w:p w14:paraId="181D6F7F" w14:textId="4482510F" w:rsidR="00CD3213" w:rsidRPr="00B40A77" w:rsidRDefault="00CD3213" w:rsidP="00CD3213">
      <w:pPr>
        <w:pStyle w:val="Heading3"/>
        <w:rPr>
          <w:color w:val="000000" w:themeColor="text1"/>
        </w:rPr>
      </w:pPr>
      <w:bookmarkStart w:id="717" w:name="_Toc175239108"/>
      <w:r w:rsidRPr="00B40A77">
        <w:rPr>
          <w:color w:val="000000" w:themeColor="text1"/>
        </w:rPr>
        <w:t xml:space="preserve">Division </w:t>
      </w:r>
      <w:r w:rsidR="00A26CAB" w:rsidRPr="00B40A77">
        <w:rPr>
          <w:color w:val="000000" w:themeColor="text1"/>
        </w:rPr>
        <w:t>6</w:t>
      </w:r>
      <w:r w:rsidRPr="00B40A77">
        <w:rPr>
          <w:color w:val="000000" w:themeColor="text1"/>
        </w:rPr>
        <w:t>—Non-appearance of defendant</w:t>
      </w:r>
      <w:bookmarkEnd w:id="717"/>
    </w:p>
    <w:p w14:paraId="3C4B1C2D" w14:textId="40430909" w:rsidR="00CD3213" w:rsidRPr="00B40A77" w:rsidRDefault="00116A89" w:rsidP="00CD3213">
      <w:pPr>
        <w:pStyle w:val="Heading4"/>
        <w:rPr>
          <w:color w:val="000000" w:themeColor="text1"/>
        </w:rPr>
      </w:pPr>
      <w:bookmarkStart w:id="718" w:name="_Toc175239109"/>
      <w:r w:rsidRPr="00B40A77">
        <w:rPr>
          <w:color w:val="000000" w:themeColor="text1"/>
        </w:rPr>
        <w:t>10</w:t>
      </w:r>
      <w:r w:rsidR="00A50F38" w:rsidRPr="00B40A77">
        <w:rPr>
          <w:color w:val="000000" w:themeColor="text1"/>
        </w:rPr>
        <w:t>4</w:t>
      </w:r>
      <w:r w:rsidR="00CD3213" w:rsidRPr="00B40A77">
        <w:rPr>
          <w:color w:val="000000" w:themeColor="text1"/>
        </w:rPr>
        <w:t>.1—Issue warrant of apprehension</w:t>
      </w:r>
      <w:bookmarkEnd w:id="718"/>
    </w:p>
    <w:p w14:paraId="5B1DC855" w14:textId="5E0E4155" w:rsidR="00E51AE6" w:rsidRPr="00B40A77" w:rsidRDefault="00CD3213" w:rsidP="00CD3213">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E51AE6" w:rsidRPr="00B40A77">
        <w:rPr>
          <w:color w:val="000000" w:themeColor="text1"/>
          <w:lang w:val="en-US"/>
        </w:rPr>
        <w:t xml:space="preserve">The Court may order the issue of a warrant of apprehension of </w:t>
      </w:r>
      <w:r w:rsidR="009F699B" w:rsidRPr="00B40A77">
        <w:rPr>
          <w:color w:val="000000" w:themeColor="text1"/>
          <w:lang w:val="en-US"/>
        </w:rPr>
        <w:t>a</w:t>
      </w:r>
      <w:r w:rsidR="00E51AE6" w:rsidRPr="00B40A77">
        <w:rPr>
          <w:color w:val="000000" w:themeColor="text1"/>
          <w:lang w:val="en-US"/>
        </w:rPr>
        <w:t xml:space="preserve"> defendant if</w:t>
      </w:r>
      <w:r w:rsidR="00E51AE6" w:rsidRPr="00B40A77">
        <w:rPr>
          <w:color w:val="000000" w:themeColor="text1"/>
        </w:rPr>
        <w:t>—</w:t>
      </w:r>
    </w:p>
    <w:p w14:paraId="4E4051B7" w14:textId="42E15602" w:rsidR="00E51AE6" w:rsidRPr="00B40A77" w:rsidRDefault="00E51AE6" w:rsidP="00E51AE6">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9F699B" w:rsidRPr="00B40A77">
        <w:rPr>
          <w:color w:val="000000" w:themeColor="text1"/>
          <w:lang w:val="en-US"/>
        </w:rPr>
        <w:t>the</w:t>
      </w:r>
      <w:r w:rsidR="00CD3213" w:rsidRPr="00B40A77">
        <w:rPr>
          <w:color w:val="000000" w:themeColor="text1"/>
          <w:lang w:val="en-US"/>
        </w:rPr>
        <w:t xml:space="preserve"> defendant does not attend at a </w:t>
      </w:r>
      <w:hyperlink w:anchor="_2.1—Definitions" w:history="1">
        <w:r w:rsidR="00BF49F7" w:rsidRPr="00B40A77">
          <w:rPr>
            <w:rStyle w:val="Hyperlink"/>
            <w:color w:val="000000" w:themeColor="text1"/>
          </w:rPr>
          <w:t>hearing</w:t>
        </w:r>
      </w:hyperlink>
      <w:r w:rsidR="00CD3213" w:rsidRPr="00B40A77">
        <w:rPr>
          <w:color w:val="000000" w:themeColor="text1"/>
          <w:lang w:val="en-US"/>
        </w:rPr>
        <w:t xml:space="preserve"> or </w:t>
      </w:r>
      <w:hyperlink w:anchor="_2.1—Definitions" w:history="1">
        <w:hyperlink w:anchor="_2.1—Definitions" w:history="1">
          <w:r w:rsidR="002A0B8E" w:rsidRPr="00B40A77">
            <w:rPr>
              <w:rStyle w:val="Hyperlink"/>
              <w:color w:val="000000" w:themeColor="text1"/>
              <w:lang w:val="en-US"/>
            </w:rPr>
            <w:t>trial</w:t>
          </w:r>
        </w:hyperlink>
      </w:hyperlink>
      <w:r w:rsidR="00CD3213" w:rsidRPr="00B40A77">
        <w:rPr>
          <w:color w:val="000000" w:themeColor="text1"/>
          <w:lang w:val="en-US"/>
        </w:rPr>
        <w:t xml:space="preserve"> of a proceeding</w:t>
      </w:r>
      <w:r w:rsidRPr="00B40A77">
        <w:rPr>
          <w:color w:val="000000" w:themeColor="text1"/>
          <w:lang w:val="en-US"/>
        </w:rPr>
        <w:t>;</w:t>
      </w:r>
      <w:r w:rsidR="00CD3213" w:rsidRPr="00B40A77">
        <w:rPr>
          <w:color w:val="000000" w:themeColor="text1"/>
          <w:lang w:val="en-US"/>
        </w:rPr>
        <w:t xml:space="preserve"> and</w:t>
      </w:r>
    </w:p>
    <w:p w14:paraId="2884B74D" w14:textId="05CE532B" w:rsidR="00CD3213" w:rsidRPr="00B40A77" w:rsidRDefault="00E51AE6" w:rsidP="00757E7C">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D3213" w:rsidRPr="00B40A77">
        <w:rPr>
          <w:color w:val="000000" w:themeColor="text1"/>
          <w:lang w:val="en-US"/>
        </w:rPr>
        <w:t>the defendant is not in custody.</w:t>
      </w:r>
    </w:p>
    <w:p w14:paraId="0678CD5B" w14:textId="714227B2" w:rsidR="00CD3213" w:rsidRPr="00B40A77" w:rsidRDefault="00CD3213" w:rsidP="00037437">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t>A warrant of apprehension ordered under this rule must be in the prescribed form.</w:t>
      </w:r>
    </w:p>
    <w:p w14:paraId="636AE15E" w14:textId="77777777" w:rsidR="00CD3213" w:rsidRPr="00B40A77" w:rsidRDefault="00CD3213" w:rsidP="002B7732">
      <w:pPr>
        <w:pStyle w:val="NoteHeader"/>
        <w:keepNext/>
        <w:rPr>
          <w:color w:val="000000" w:themeColor="text1"/>
        </w:rPr>
      </w:pPr>
      <w:r w:rsidRPr="00B40A77">
        <w:rPr>
          <w:color w:val="000000" w:themeColor="text1"/>
        </w:rPr>
        <w:t>Prescribed form—</w:t>
      </w:r>
    </w:p>
    <w:p w14:paraId="1654ADAA" w14:textId="59AD59B3" w:rsidR="00CD3213" w:rsidRPr="00B40A77" w:rsidRDefault="00CD3213" w:rsidP="006A5DD8">
      <w:pPr>
        <w:pStyle w:val="NoteText"/>
        <w:rPr>
          <w:iCs/>
          <w:color w:val="000000" w:themeColor="text1"/>
          <w:lang w:val="en-US"/>
        </w:rPr>
      </w:pPr>
      <w:r w:rsidRPr="00B40A77">
        <w:rPr>
          <w:color w:val="000000" w:themeColor="text1"/>
        </w:rPr>
        <w:t xml:space="preserve">Form 31 </w:t>
      </w:r>
      <w:hyperlink r:id="rId199" w:history="1">
        <w:r w:rsidRPr="00B40A77">
          <w:rPr>
            <w:rStyle w:val="Hyperlink"/>
            <w:color w:val="000000" w:themeColor="text1"/>
          </w:rPr>
          <w:t xml:space="preserve">Warrant of </w:t>
        </w:r>
        <w:r w:rsidR="006F6EA8" w:rsidRPr="00B40A77">
          <w:rPr>
            <w:rStyle w:val="Hyperlink"/>
            <w:color w:val="000000" w:themeColor="text1"/>
          </w:rPr>
          <w:t>A</w:t>
        </w:r>
        <w:r w:rsidRPr="00B40A77">
          <w:rPr>
            <w:rStyle w:val="Hyperlink"/>
            <w:color w:val="000000" w:themeColor="text1"/>
          </w:rPr>
          <w:t xml:space="preserve">pprehension of </w:t>
        </w:r>
        <w:r w:rsidR="006F6EA8" w:rsidRPr="00B40A77">
          <w:rPr>
            <w:rStyle w:val="Hyperlink"/>
            <w:color w:val="000000" w:themeColor="text1"/>
          </w:rPr>
          <w:t>D</w:t>
        </w:r>
        <w:r w:rsidRPr="00B40A77">
          <w:rPr>
            <w:rStyle w:val="Hyperlink"/>
            <w:color w:val="000000" w:themeColor="text1"/>
          </w:rPr>
          <w:t>efendant</w:t>
        </w:r>
      </w:hyperlink>
    </w:p>
    <w:p w14:paraId="29BBBD68" w14:textId="20FAA388" w:rsidR="00B45E08" w:rsidRPr="00B40A77" w:rsidRDefault="00116A89" w:rsidP="00BE23A0">
      <w:pPr>
        <w:pStyle w:val="Heading2"/>
        <w:keepNext/>
        <w:rPr>
          <w:color w:val="000000" w:themeColor="text1"/>
        </w:rPr>
      </w:pPr>
      <w:bookmarkStart w:id="719" w:name="_Toc175239110"/>
      <w:r w:rsidRPr="00B40A77">
        <w:rPr>
          <w:color w:val="000000" w:themeColor="text1"/>
        </w:rPr>
        <w:t>Part 9</w:t>
      </w:r>
      <w:r w:rsidR="00B45E08" w:rsidRPr="00B40A77">
        <w:rPr>
          <w:color w:val="000000" w:themeColor="text1"/>
        </w:rPr>
        <w:t>—Pre-trial disclosure</w:t>
      </w:r>
      <w:r w:rsidR="00B820BF" w:rsidRPr="00B40A77">
        <w:rPr>
          <w:color w:val="000000" w:themeColor="text1"/>
        </w:rPr>
        <w:t xml:space="preserve"> and applications</w:t>
      </w:r>
      <w:bookmarkEnd w:id="719"/>
    </w:p>
    <w:p w14:paraId="264D6D32" w14:textId="4CED76E8" w:rsidR="00D9026C" w:rsidRPr="00B40A77" w:rsidRDefault="00D9026C" w:rsidP="00D9026C">
      <w:pPr>
        <w:pStyle w:val="Heading3"/>
        <w:rPr>
          <w:color w:val="000000" w:themeColor="text1"/>
        </w:rPr>
      </w:pPr>
      <w:bookmarkStart w:id="720" w:name="_Toc175239111"/>
      <w:bookmarkStart w:id="721" w:name="_Toc60133560"/>
      <w:r w:rsidRPr="00B40A77">
        <w:rPr>
          <w:color w:val="000000" w:themeColor="text1"/>
        </w:rPr>
        <w:t>Divisi</w:t>
      </w:r>
      <w:r w:rsidR="00633F6C" w:rsidRPr="00B40A77">
        <w:rPr>
          <w:color w:val="000000" w:themeColor="text1"/>
        </w:rPr>
        <w:t>on 1</w:t>
      </w:r>
      <w:r w:rsidRPr="00B40A77">
        <w:rPr>
          <w:color w:val="000000" w:themeColor="text1"/>
        </w:rPr>
        <w:t>—Pre-trial disclosure of evidence</w:t>
      </w:r>
      <w:bookmarkEnd w:id="720"/>
    </w:p>
    <w:p w14:paraId="0FDBF604" w14:textId="57546FF5" w:rsidR="00D9026C" w:rsidRPr="00B40A77" w:rsidRDefault="007D17D2" w:rsidP="00D9026C">
      <w:pPr>
        <w:pStyle w:val="Heading4"/>
        <w:rPr>
          <w:color w:val="000000" w:themeColor="text1"/>
        </w:rPr>
      </w:pPr>
      <w:bookmarkStart w:id="722" w:name="_Toc175239112"/>
      <w:r w:rsidRPr="00B40A77">
        <w:rPr>
          <w:color w:val="000000" w:themeColor="text1"/>
        </w:rPr>
        <w:t>10</w:t>
      </w:r>
      <w:r w:rsidR="00A50F38" w:rsidRPr="00B40A77">
        <w:rPr>
          <w:color w:val="000000" w:themeColor="text1"/>
        </w:rPr>
        <w:t>5</w:t>
      </w:r>
      <w:r w:rsidR="00D9026C" w:rsidRPr="00B40A77">
        <w:rPr>
          <w:color w:val="000000" w:themeColor="text1"/>
        </w:rPr>
        <w:t>.1—Discreditable conduct evidence</w:t>
      </w:r>
      <w:bookmarkEnd w:id="722"/>
    </w:p>
    <w:p w14:paraId="0479BA38" w14:textId="019B4824" w:rsidR="00D9026C" w:rsidRPr="00B40A77" w:rsidRDefault="00D9026C" w:rsidP="00D9026C">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Notice of intention to adduce evidence of discreditable conduct under section 34P(4) of the </w:t>
      </w:r>
      <w:r w:rsidR="001148DA" w:rsidRPr="00B40A77">
        <w:rPr>
          <w:color w:val="000000" w:themeColor="text1"/>
          <w:lang w:val="en-US"/>
        </w:rPr>
        <w:t>Evidence Act</w:t>
      </w:r>
      <w:r w:rsidRPr="00B40A77">
        <w:rPr>
          <w:color w:val="000000" w:themeColor="text1"/>
          <w:lang w:val="en-US"/>
        </w:rPr>
        <w:t xml:space="preserve"> must be in </w:t>
      </w:r>
      <w:r w:rsidRPr="00B40A77">
        <w:rPr>
          <w:color w:val="000000" w:themeColor="text1"/>
        </w:rPr>
        <w:t>the prescribed form and</w:t>
      </w:r>
      <w:r w:rsidRPr="00B40A77">
        <w:rPr>
          <w:color w:val="000000" w:themeColor="text1"/>
          <w:lang w:val="en-US"/>
        </w:rPr>
        <w:t xml:space="preserve"> filed and served on all other parties—</w:t>
      </w:r>
    </w:p>
    <w:p w14:paraId="4CE9A3C0" w14:textId="77777777" w:rsidR="00D9026C" w:rsidRPr="00B40A77" w:rsidRDefault="00D9026C" w:rsidP="00D9026C">
      <w:pPr>
        <w:pStyle w:val="Doublehangindent"/>
        <w:rPr>
          <w:color w:val="000000" w:themeColor="text1"/>
          <w:lang w:val="en-US"/>
        </w:rPr>
      </w:pPr>
      <w:r w:rsidRPr="00B40A77">
        <w:rPr>
          <w:color w:val="000000" w:themeColor="text1"/>
          <w:lang w:val="en-US"/>
        </w:rPr>
        <w:t>(a)</w:t>
      </w:r>
      <w:r w:rsidRPr="00B40A77">
        <w:rPr>
          <w:color w:val="000000" w:themeColor="text1"/>
          <w:lang w:val="en-US"/>
        </w:rPr>
        <w:tab/>
        <w:t>in the case of a notice by the Director—by the time fixed for filing a prosecution case statement;</w:t>
      </w:r>
    </w:p>
    <w:p w14:paraId="3A3BD970" w14:textId="6A571319" w:rsidR="00D9026C" w:rsidRPr="00B40A77" w:rsidRDefault="00D9026C" w:rsidP="00037437">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in all other cases—at least 28 days before the </w:t>
      </w:r>
      <w:hyperlink w:anchor="_2.1—Definitions" w:history="1">
        <w:r w:rsidR="004740A2" w:rsidRPr="00B40A77">
          <w:rPr>
            <w:rStyle w:val="Hyperlink"/>
            <w:color w:val="000000" w:themeColor="text1"/>
          </w:rPr>
          <w:t>trial date</w:t>
        </w:r>
      </w:hyperlink>
      <w:r w:rsidRPr="00B40A77">
        <w:rPr>
          <w:color w:val="000000" w:themeColor="text1"/>
          <w:lang w:val="en-US"/>
        </w:rPr>
        <w:t>.</w:t>
      </w:r>
    </w:p>
    <w:p w14:paraId="25116B9D" w14:textId="77777777" w:rsidR="00D9026C" w:rsidRPr="00B40A77" w:rsidRDefault="00D9026C" w:rsidP="00037437">
      <w:pPr>
        <w:pStyle w:val="NoteHeader"/>
        <w:keepNext/>
        <w:ind w:left="1395" w:firstLine="306"/>
        <w:rPr>
          <w:color w:val="000000" w:themeColor="text1"/>
        </w:rPr>
      </w:pPr>
      <w:r w:rsidRPr="00B40A77">
        <w:rPr>
          <w:color w:val="000000" w:themeColor="text1"/>
        </w:rPr>
        <w:t>Prescribed form—</w:t>
      </w:r>
    </w:p>
    <w:p w14:paraId="285A3C48" w14:textId="29849594" w:rsidR="00D9026C" w:rsidRPr="00B40A77" w:rsidRDefault="00D9026C" w:rsidP="00D9026C">
      <w:pPr>
        <w:pStyle w:val="NoteText"/>
        <w:ind w:left="1679" w:firstLine="481"/>
        <w:rPr>
          <w:color w:val="000000" w:themeColor="text1"/>
        </w:rPr>
      </w:pPr>
      <w:r w:rsidRPr="00B40A77">
        <w:rPr>
          <w:color w:val="000000" w:themeColor="text1"/>
        </w:rPr>
        <w:t>F</w:t>
      </w:r>
      <w:r w:rsidR="00D750B7" w:rsidRPr="00B40A77">
        <w:rPr>
          <w:color w:val="000000" w:themeColor="text1"/>
        </w:rPr>
        <w:t>orm 79</w:t>
      </w:r>
      <w:r w:rsidRPr="00B40A77">
        <w:rPr>
          <w:color w:val="000000" w:themeColor="text1"/>
        </w:rPr>
        <w:t xml:space="preserve"> </w:t>
      </w:r>
      <w:hyperlink r:id="rId200" w:history="1">
        <w:r w:rsidRPr="00B40A77">
          <w:rPr>
            <w:rStyle w:val="Hyperlink"/>
            <w:color w:val="000000" w:themeColor="text1"/>
          </w:rPr>
          <w:t xml:space="preserve">Notice of </w:t>
        </w:r>
        <w:r w:rsidR="006F6EA8" w:rsidRPr="00B40A77">
          <w:rPr>
            <w:rStyle w:val="Hyperlink"/>
            <w:color w:val="000000" w:themeColor="text1"/>
          </w:rPr>
          <w:t>I</w:t>
        </w:r>
        <w:r w:rsidRPr="00B40A77">
          <w:rPr>
            <w:rStyle w:val="Hyperlink"/>
            <w:color w:val="000000" w:themeColor="text1"/>
          </w:rPr>
          <w:t xml:space="preserve">ntention to </w:t>
        </w:r>
        <w:r w:rsidR="006F6EA8" w:rsidRPr="00B40A77">
          <w:rPr>
            <w:rStyle w:val="Hyperlink"/>
            <w:color w:val="000000" w:themeColor="text1"/>
          </w:rPr>
          <w:t>A</w:t>
        </w:r>
        <w:r w:rsidRPr="00B40A77">
          <w:rPr>
            <w:rStyle w:val="Hyperlink"/>
            <w:color w:val="000000" w:themeColor="text1"/>
          </w:rPr>
          <w:t xml:space="preserve">dduce </w:t>
        </w:r>
        <w:r w:rsidR="006F6EA8" w:rsidRPr="00B40A77">
          <w:rPr>
            <w:rStyle w:val="Hyperlink"/>
            <w:color w:val="000000" w:themeColor="text1"/>
          </w:rPr>
          <w:t>D</w:t>
        </w:r>
        <w:r w:rsidRPr="00B40A77">
          <w:rPr>
            <w:rStyle w:val="Hyperlink"/>
            <w:color w:val="000000" w:themeColor="text1"/>
          </w:rPr>
          <w:t xml:space="preserve">iscreditable </w:t>
        </w:r>
        <w:r w:rsidR="006F6EA8" w:rsidRPr="00B40A77">
          <w:rPr>
            <w:rStyle w:val="Hyperlink"/>
            <w:color w:val="000000" w:themeColor="text1"/>
          </w:rPr>
          <w:t>C</w:t>
        </w:r>
        <w:r w:rsidRPr="00B40A77">
          <w:rPr>
            <w:rStyle w:val="Hyperlink"/>
            <w:color w:val="000000" w:themeColor="text1"/>
          </w:rPr>
          <w:t xml:space="preserve">onduct </w:t>
        </w:r>
        <w:r w:rsidR="006F6EA8" w:rsidRPr="00B40A77">
          <w:rPr>
            <w:rStyle w:val="Hyperlink"/>
            <w:color w:val="000000" w:themeColor="text1"/>
          </w:rPr>
          <w:t>E</w:t>
        </w:r>
        <w:r w:rsidRPr="00B40A77">
          <w:rPr>
            <w:rStyle w:val="Hyperlink"/>
            <w:color w:val="000000" w:themeColor="text1"/>
          </w:rPr>
          <w:t>vidence</w:t>
        </w:r>
      </w:hyperlink>
    </w:p>
    <w:p w14:paraId="2928713E" w14:textId="3398A95F" w:rsidR="00D9026C" w:rsidRPr="00B40A77" w:rsidRDefault="00D9026C" w:rsidP="00037437">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A party who intends to object to the admission of proposed evidence of discreditable conduct the subject of a notice of intention must file and serve on all other parties a notice of objection in </w:t>
      </w:r>
      <w:r w:rsidRPr="00B40A77">
        <w:rPr>
          <w:color w:val="000000" w:themeColor="text1"/>
        </w:rPr>
        <w:t xml:space="preserve">the prescribed </w:t>
      </w:r>
      <w:r w:rsidRPr="00B40A77">
        <w:rPr>
          <w:color w:val="000000" w:themeColor="text1"/>
          <w:lang w:val="en-US"/>
        </w:rPr>
        <w:t>form</w:t>
      </w:r>
      <w:r w:rsidR="00FC02E1" w:rsidRPr="00B40A77">
        <w:rPr>
          <w:color w:val="000000" w:themeColor="text1"/>
          <w:lang w:val="en-US"/>
        </w:rPr>
        <w:t xml:space="preserve"> w</w:t>
      </w:r>
      <w:r w:rsidR="008259CF" w:rsidRPr="00B40A77">
        <w:rPr>
          <w:color w:val="000000" w:themeColor="text1"/>
          <w:lang w:val="en-US"/>
        </w:rPr>
        <w:t>i</w:t>
      </w:r>
      <w:r w:rsidRPr="00B40A77">
        <w:rPr>
          <w:color w:val="000000" w:themeColor="text1"/>
          <w:lang w:val="en-US"/>
        </w:rPr>
        <w:t>thin 14 days after service of the notice of intention.</w:t>
      </w:r>
    </w:p>
    <w:p w14:paraId="0F8D32DE" w14:textId="77777777" w:rsidR="00D9026C" w:rsidRPr="00B40A77" w:rsidRDefault="00D9026C" w:rsidP="00037437">
      <w:pPr>
        <w:pStyle w:val="NoteHeader"/>
        <w:keepNext/>
        <w:rPr>
          <w:color w:val="000000" w:themeColor="text1"/>
        </w:rPr>
      </w:pPr>
      <w:r w:rsidRPr="00B40A77">
        <w:rPr>
          <w:color w:val="000000" w:themeColor="text1"/>
        </w:rPr>
        <w:t>Prescribed form—</w:t>
      </w:r>
    </w:p>
    <w:p w14:paraId="36E5175F" w14:textId="5E6B0D08" w:rsidR="00D9026C" w:rsidRPr="00B40A77" w:rsidRDefault="00D9026C" w:rsidP="006A5DD8">
      <w:pPr>
        <w:pStyle w:val="NoteText"/>
        <w:rPr>
          <w:color w:val="000000" w:themeColor="text1"/>
        </w:rPr>
      </w:pPr>
      <w:r w:rsidRPr="00B40A77">
        <w:rPr>
          <w:color w:val="000000" w:themeColor="text1"/>
        </w:rPr>
        <w:t xml:space="preserve">Form </w:t>
      </w:r>
      <w:r w:rsidR="00D750B7" w:rsidRPr="00B40A77">
        <w:rPr>
          <w:color w:val="000000" w:themeColor="text1"/>
        </w:rPr>
        <w:t>80</w:t>
      </w:r>
      <w:r w:rsidRPr="00B40A77">
        <w:rPr>
          <w:color w:val="000000" w:themeColor="text1"/>
        </w:rPr>
        <w:t xml:space="preserve"> </w:t>
      </w:r>
      <w:hyperlink r:id="rId201" w:history="1">
        <w:r w:rsidRPr="00B40A77">
          <w:rPr>
            <w:rStyle w:val="Hyperlink"/>
            <w:color w:val="000000" w:themeColor="text1"/>
          </w:rPr>
          <w:t xml:space="preserve">Notice of </w:t>
        </w:r>
        <w:r w:rsidR="006F6EA8" w:rsidRPr="00B40A77">
          <w:rPr>
            <w:rStyle w:val="Hyperlink"/>
            <w:color w:val="000000" w:themeColor="text1"/>
          </w:rPr>
          <w:t>O</w:t>
        </w:r>
        <w:r w:rsidRPr="00B40A77">
          <w:rPr>
            <w:rStyle w:val="Hyperlink"/>
            <w:color w:val="000000" w:themeColor="text1"/>
          </w:rPr>
          <w:t xml:space="preserve">bjection to </w:t>
        </w:r>
        <w:r w:rsidR="006F6EA8" w:rsidRPr="00B40A77">
          <w:rPr>
            <w:rStyle w:val="Hyperlink"/>
            <w:color w:val="000000" w:themeColor="text1"/>
          </w:rPr>
          <w:t>D</w:t>
        </w:r>
        <w:r w:rsidRPr="00B40A77">
          <w:rPr>
            <w:rStyle w:val="Hyperlink"/>
            <w:color w:val="000000" w:themeColor="text1"/>
          </w:rPr>
          <w:t xml:space="preserve">iscreditable </w:t>
        </w:r>
        <w:r w:rsidR="006F6EA8" w:rsidRPr="00B40A77">
          <w:rPr>
            <w:rStyle w:val="Hyperlink"/>
            <w:color w:val="000000" w:themeColor="text1"/>
          </w:rPr>
          <w:t>C</w:t>
        </w:r>
        <w:r w:rsidRPr="00B40A77">
          <w:rPr>
            <w:rStyle w:val="Hyperlink"/>
            <w:color w:val="000000" w:themeColor="text1"/>
          </w:rPr>
          <w:t xml:space="preserve">onduct </w:t>
        </w:r>
        <w:r w:rsidR="006F6EA8" w:rsidRPr="00B40A77">
          <w:rPr>
            <w:rStyle w:val="Hyperlink"/>
            <w:color w:val="000000" w:themeColor="text1"/>
          </w:rPr>
          <w:t>E</w:t>
        </w:r>
        <w:r w:rsidRPr="00B40A77">
          <w:rPr>
            <w:rStyle w:val="Hyperlink"/>
            <w:color w:val="000000" w:themeColor="text1"/>
          </w:rPr>
          <w:t>vidence</w:t>
        </w:r>
      </w:hyperlink>
    </w:p>
    <w:p w14:paraId="0FEF3BF1" w14:textId="2A345B32" w:rsidR="00D9026C" w:rsidRPr="00B40A77" w:rsidRDefault="007D17D2" w:rsidP="00D9026C">
      <w:pPr>
        <w:pStyle w:val="Heading4"/>
        <w:rPr>
          <w:color w:val="000000" w:themeColor="text1"/>
        </w:rPr>
      </w:pPr>
      <w:bookmarkStart w:id="723" w:name="_105.2—Other_evidence"/>
      <w:bookmarkStart w:id="724" w:name="_Toc175239113"/>
      <w:bookmarkEnd w:id="723"/>
      <w:r w:rsidRPr="00B40A77">
        <w:rPr>
          <w:color w:val="000000" w:themeColor="text1"/>
        </w:rPr>
        <w:t>10</w:t>
      </w:r>
      <w:r w:rsidR="00A50F38" w:rsidRPr="00B40A77">
        <w:rPr>
          <w:color w:val="000000" w:themeColor="text1"/>
        </w:rPr>
        <w:t>5</w:t>
      </w:r>
      <w:r w:rsidR="00D9026C" w:rsidRPr="00B40A77">
        <w:rPr>
          <w:color w:val="000000" w:themeColor="text1"/>
        </w:rPr>
        <w:t>.2—Other evidence</w:t>
      </w:r>
      <w:bookmarkEnd w:id="724"/>
    </w:p>
    <w:p w14:paraId="67DB4A84" w14:textId="640BD402" w:rsidR="00D9026C" w:rsidRPr="00B40A77" w:rsidRDefault="00D9026C"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The Court may order that, if a defendant intends to adduce evidence in relation to a </w:t>
      </w:r>
      <w:r w:rsidRPr="00B40A77">
        <w:rPr>
          <w:color w:val="000000" w:themeColor="text1"/>
          <w:u w:val="single"/>
          <w:lang w:val="en-US"/>
        </w:rPr>
        <w:t>prescribed matter</w:t>
      </w:r>
      <w:r w:rsidRPr="00B40A77">
        <w:rPr>
          <w:color w:val="000000" w:themeColor="text1"/>
          <w:lang w:val="en-US"/>
        </w:rPr>
        <w:t xml:space="preserve"> at </w:t>
      </w:r>
      <w:hyperlink w:anchor="_2.1—Definitions" w:history="1">
        <w:hyperlink w:anchor="_2.1—Definitions" w:history="1">
          <w:hyperlink w:anchor="_2.1—Definitions" w:history="1">
            <w:r w:rsidR="002A0B8E" w:rsidRPr="00B40A77">
              <w:rPr>
                <w:rStyle w:val="Hyperlink"/>
                <w:color w:val="000000" w:themeColor="text1"/>
                <w:lang w:val="en-US"/>
              </w:rPr>
              <w:t>trial</w:t>
            </w:r>
          </w:hyperlink>
        </w:hyperlink>
      </w:hyperlink>
      <w:r w:rsidRPr="00B40A77">
        <w:rPr>
          <w:color w:val="000000" w:themeColor="text1"/>
          <w:lang w:val="en-US"/>
        </w:rPr>
        <w:t xml:space="preserve">, they must file and serve on each other party </w:t>
      </w:r>
      <w:r w:rsidR="00903B92" w:rsidRPr="00B40A77">
        <w:rPr>
          <w:color w:val="000000" w:themeColor="text1"/>
          <w:lang w:val="en-US"/>
        </w:rPr>
        <w:t xml:space="preserve">by such date as the Court specifies </w:t>
      </w:r>
      <w:r w:rsidRPr="00B40A77">
        <w:rPr>
          <w:color w:val="000000" w:themeColor="text1"/>
          <w:lang w:val="en-US"/>
        </w:rPr>
        <w:t>a notice of intention to adduce evidence pursuant to order in the prescribed form.</w:t>
      </w:r>
    </w:p>
    <w:p w14:paraId="62C68C1B" w14:textId="77777777" w:rsidR="00D9026C" w:rsidRPr="00B40A77" w:rsidRDefault="00D9026C" w:rsidP="00037437">
      <w:pPr>
        <w:pStyle w:val="NoteHeader"/>
        <w:keepNext/>
        <w:rPr>
          <w:color w:val="000000" w:themeColor="text1"/>
        </w:rPr>
      </w:pPr>
      <w:r w:rsidRPr="00B40A77">
        <w:rPr>
          <w:color w:val="000000" w:themeColor="text1"/>
        </w:rPr>
        <w:t>Prescribed form—</w:t>
      </w:r>
    </w:p>
    <w:p w14:paraId="75F9E60F" w14:textId="34D13A74" w:rsidR="00D9026C" w:rsidRPr="00B40A77" w:rsidRDefault="00D9026C" w:rsidP="00763DD0">
      <w:pPr>
        <w:pStyle w:val="NoteText"/>
        <w:keepNext/>
        <w:rPr>
          <w:color w:val="000000" w:themeColor="text1"/>
        </w:rPr>
      </w:pPr>
      <w:r w:rsidRPr="00B40A77">
        <w:rPr>
          <w:color w:val="000000" w:themeColor="text1"/>
        </w:rPr>
        <w:t>F</w:t>
      </w:r>
      <w:r w:rsidR="00D750B7" w:rsidRPr="00B40A77">
        <w:rPr>
          <w:color w:val="000000" w:themeColor="text1"/>
        </w:rPr>
        <w:t>orm 81</w:t>
      </w:r>
      <w:r w:rsidRPr="00B40A77">
        <w:rPr>
          <w:color w:val="000000" w:themeColor="text1"/>
        </w:rPr>
        <w:t xml:space="preserve">A </w:t>
      </w:r>
      <w:hyperlink r:id="rId202" w:history="1">
        <w:r w:rsidRPr="00B40A77">
          <w:rPr>
            <w:rStyle w:val="Hyperlink"/>
            <w:color w:val="000000" w:themeColor="text1"/>
          </w:rPr>
          <w:t xml:space="preserve">Notice of </w:t>
        </w:r>
        <w:r w:rsidR="006F6EA8" w:rsidRPr="00B40A77">
          <w:rPr>
            <w:rStyle w:val="Hyperlink"/>
            <w:color w:val="000000" w:themeColor="text1"/>
          </w:rPr>
          <w:t>I</w:t>
        </w:r>
        <w:r w:rsidRPr="00B40A77">
          <w:rPr>
            <w:rStyle w:val="Hyperlink"/>
            <w:color w:val="000000" w:themeColor="text1"/>
          </w:rPr>
          <w:t xml:space="preserve">ntention to </w:t>
        </w:r>
        <w:r w:rsidR="006F6EA8" w:rsidRPr="00B40A77">
          <w:rPr>
            <w:rStyle w:val="Hyperlink"/>
            <w:color w:val="000000" w:themeColor="text1"/>
          </w:rPr>
          <w:t>A</w:t>
        </w:r>
        <w:r w:rsidRPr="00B40A77">
          <w:rPr>
            <w:rStyle w:val="Hyperlink"/>
            <w:color w:val="000000" w:themeColor="text1"/>
          </w:rPr>
          <w:t xml:space="preserve">dduce </w:t>
        </w:r>
        <w:r w:rsidR="006F6EA8" w:rsidRPr="00B40A77">
          <w:rPr>
            <w:rStyle w:val="Hyperlink"/>
            <w:color w:val="000000" w:themeColor="text1"/>
          </w:rPr>
          <w:t>E</w:t>
        </w:r>
        <w:r w:rsidRPr="00B40A77">
          <w:rPr>
            <w:rStyle w:val="Hyperlink"/>
            <w:color w:val="000000" w:themeColor="text1"/>
          </w:rPr>
          <w:t xml:space="preserve">vidence pursuant to </w:t>
        </w:r>
        <w:r w:rsidR="006F6EA8" w:rsidRPr="00B40A77">
          <w:rPr>
            <w:rStyle w:val="Hyperlink"/>
            <w:color w:val="000000" w:themeColor="text1"/>
          </w:rPr>
          <w:t>O</w:t>
        </w:r>
        <w:r w:rsidRPr="00B40A77">
          <w:rPr>
            <w:rStyle w:val="Hyperlink"/>
            <w:color w:val="000000" w:themeColor="text1"/>
          </w:rPr>
          <w:t>rder</w:t>
        </w:r>
        <w:r w:rsidR="006F6EA8" w:rsidRPr="00B40A77">
          <w:rPr>
            <w:rStyle w:val="Hyperlink"/>
            <w:color w:val="000000" w:themeColor="text1"/>
          </w:rPr>
          <w:t xml:space="preserve"> (Higher Courts)</w:t>
        </w:r>
      </w:hyperlink>
    </w:p>
    <w:p w14:paraId="62D39EA2" w14:textId="623AC079" w:rsidR="00565A85" w:rsidRPr="00B40A77" w:rsidRDefault="00565A85" w:rsidP="00763DD0">
      <w:pPr>
        <w:pStyle w:val="NoteHeader"/>
        <w:keepNext/>
        <w:rPr>
          <w:color w:val="000000" w:themeColor="text1"/>
        </w:rPr>
      </w:pPr>
      <w:r w:rsidRPr="00B40A77">
        <w:rPr>
          <w:color w:val="000000" w:themeColor="text1"/>
        </w:rPr>
        <w:t>Note</w:t>
      </w:r>
      <w:r w:rsidR="00903B92" w:rsidRPr="00B40A77">
        <w:rPr>
          <w:color w:val="000000" w:themeColor="text1"/>
        </w:rPr>
        <w:t>s</w:t>
      </w:r>
      <w:r w:rsidRPr="00B40A77">
        <w:rPr>
          <w:color w:val="000000" w:themeColor="text1"/>
        </w:rPr>
        <w:t>—</w:t>
      </w:r>
    </w:p>
    <w:p w14:paraId="29E85251" w14:textId="2CA53D24" w:rsidR="00565A85" w:rsidRPr="00B40A77" w:rsidRDefault="00565A85" w:rsidP="006A5DD8">
      <w:pPr>
        <w:pStyle w:val="NoteText"/>
        <w:rPr>
          <w:color w:val="000000" w:themeColor="text1"/>
        </w:rPr>
      </w:pPr>
      <w:r w:rsidRPr="00B40A77">
        <w:rPr>
          <w:color w:val="000000" w:themeColor="text1"/>
        </w:rPr>
        <w:t>The Court is empowered by section</w:t>
      </w:r>
      <w:r w:rsidR="003F313A" w:rsidRPr="00B40A77">
        <w:rPr>
          <w:color w:val="000000" w:themeColor="text1"/>
        </w:rPr>
        <w:t> </w:t>
      </w:r>
      <w:r w:rsidRPr="00B40A77">
        <w:rPr>
          <w:color w:val="000000" w:themeColor="text1"/>
        </w:rPr>
        <w:t>134(1) of the Procedure Act to make such an order provided that the prosecution has provided the defence with the prosecution case statement in accordance with section 123 and the prosecution has no existing, but unfulfilled, obligations of disclosure to the defence.</w:t>
      </w:r>
    </w:p>
    <w:p w14:paraId="439FBDA2" w14:textId="20D709A2" w:rsidR="00903B92" w:rsidRPr="00B40A77" w:rsidRDefault="00565A85" w:rsidP="006A5DD8">
      <w:pPr>
        <w:pStyle w:val="NoteText"/>
        <w:spacing w:after="240"/>
        <w:rPr>
          <w:color w:val="000000" w:themeColor="text1"/>
        </w:rPr>
      </w:pPr>
      <w:r w:rsidRPr="00B40A77">
        <w:rPr>
          <w:color w:val="000000" w:themeColor="text1"/>
        </w:rPr>
        <w:t>Section 134(3) provides that non-compliance with a requirement under subsection (1) does not render evidence inadmissible</w:t>
      </w:r>
      <w:r w:rsidR="00465036" w:rsidRPr="00B40A77">
        <w:rPr>
          <w:color w:val="000000" w:themeColor="text1"/>
        </w:rPr>
        <w:t>,</w:t>
      </w:r>
      <w:r w:rsidRPr="00B40A77">
        <w:rPr>
          <w:color w:val="000000" w:themeColor="text1"/>
        </w:rPr>
        <w:t xml:space="preserve"> but the prosecutor or the </w:t>
      </w:r>
      <w:r w:rsidR="004C0256" w:rsidRPr="00B40A77">
        <w:rPr>
          <w:color w:val="000000" w:themeColor="text1"/>
        </w:rPr>
        <w:t>J</w:t>
      </w:r>
      <w:r w:rsidRPr="00B40A77">
        <w:rPr>
          <w:color w:val="000000" w:themeColor="text1"/>
        </w:rPr>
        <w:t>udge (or both) may comment on the non-compliance to the jury.</w:t>
      </w:r>
    </w:p>
    <w:p w14:paraId="0D930D21" w14:textId="10D78EF2" w:rsidR="00F13EE1" w:rsidRPr="00B40A77" w:rsidRDefault="00D9026C" w:rsidP="00D9026C">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application </w:t>
      </w:r>
      <w:r w:rsidR="00F13EE1" w:rsidRPr="00B40A77">
        <w:rPr>
          <w:color w:val="000000" w:themeColor="text1"/>
          <w:lang w:val="en-US"/>
        </w:rPr>
        <w:t xml:space="preserve">for an order under this rule </w:t>
      </w:r>
      <w:r w:rsidRPr="00B40A77">
        <w:rPr>
          <w:color w:val="000000" w:themeColor="text1"/>
          <w:lang w:val="en-US"/>
        </w:rPr>
        <w:t>must</w:t>
      </w:r>
      <w:r w:rsidR="00F13EE1" w:rsidRPr="00B40A77">
        <w:rPr>
          <w:color w:val="000000" w:themeColor="text1"/>
          <w:lang w:val="en-US"/>
        </w:rPr>
        <w:t>—</w:t>
      </w:r>
    </w:p>
    <w:p w14:paraId="191FFB24" w14:textId="1147B41F" w:rsidR="00F13EE1" w:rsidRPr="00B40A77" w:rsidRDefault="00F13EE1" w:rsidP="00F13EE1">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D45B50" w:rsidRPr="00B40A77">
        <w:rPr>
          <w:color w:val="000000" w:themeColor="text1"/>
          <w:lang w:val="en-US"/>
        </w:rPr>
        <w:t>identify</w:t>
      </w:r>
      <w:r w:rsidRPr="00B40A77">
        <w:rPr>
          <w:color w:val="000000" w:themeColor="text1"/>
          <w:lang w:val="en-US"/>
        </w:rPr>
        <w:t xml:space="preserve"> the basis of the application and the fact that the prosecution has no existing, but unfulfilled, obligations of disclosure to the defence; and</w:t>
      </w:r>
    </w:p>
    <w:p w14:paraId="45203384" w14:textId="59BC32EE" w:rsidR="00F13EE1" w:rsidRPr="00B40A77" w:rsidRDefault="00F13EE1" w:rsidP="007D5008">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D45B50" w:rsidRPr="00B40A77">
        <w:rPr>
          <w:color w:val="000000" w:themeColor="text1"/>
          <w:lang w:val="en-US"/>
        </w:rPr>
        <w:t xml:space="preserve">be </w:t>
      </w:r>
      <w:r w:rsidRPr="00B40A77">
        <w:rPr>
          <w:color w:val="000000" w:themeColor="text1"/>
          <w:lang w:val="en-US"/>
        </w:rPr>
        <w:t xml:space="preserve">filed and served at least 28 days before the listed </w:t>
      </w:r>
      <w:hyperlink w:anchor="_2.1—Definitions" w:history="1">
        <w:r w:rsidR="004740A2" w:rsidRPr="00B40A77">
          <w:rPr>
            <w:rStyle w:val="Hyperlink"/>
            <w:color w:val="000000" w:themeColor="text1"/>
          </w:rPr>
          <w:t>trial date</w:t>
        </w:r>
      </w:hyperlink>
      <w:r w:rsidRPr="00B40A77">
        <w:rPr>
          <w:color w:val="000000" w:themeColor="text1"/>
          <w:lang w:val="en-US"/>
        </w:rPr>
        <w:t>.</w:t>
      </w:r>
    </w:p>
    <w:p w14:paraId="6D6C2D12" w14:textId="77777777" w:rsidR="00D9026C" w:rsidRPr="00B40A77" w:rsidRDefault="00D9026C" w:rsidP="00D9026C">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In this rule, </w:t>
      </w:r>
      <w:r w:rsidRPr="00B40A77">
        <w:rPr>
          <w:b/>
          <w:i/>
          <w:color w:val="000000" w:themeColor="text1"/>
          <w:lang w:val="en-US"/>
        </w:rPr>
        <w:t>prescribed matter</w:t>
      </w:r>
      <w:r w:rsidRPr="00B40A77">
        <w:rPr>
          <w:color w:val="000000" w:themeColor="text1"/>
          <w:lang w:val="en-US"/>
        </w:rPr>
        <w:t xml:space="preserve"> means one or more of the following—</w:t>
      </w:r>
    </w:p>
    <w:p w14:paraId="6A09F662" w14:textId="23FAB68B" w:rsidR="00D9026C" w:rsidRPr="00B40A77" w:rsidRDefault="00D9026C" w:rsidP="00D9026C">
      <w:pPr>
        <w:pStyle w:val="Doublehangindent"/>
        <w:rPr>
          <w:color w:val="000000" w:themeColor="text1"/>
          <w:lang w:val="en-US"/>
        </w:rPr>
      </w:pPr>
      <w:r w:rsidRPr="00B40A77">
        <w:rPr>
          <w:color w:val="000000" w:themeColor="text1"/>
          <w:lang w:val="en-US"/>
        </w:rPr>
        <w:lastRenderedPageBreak/>
        <w:t>(a)</w:t>
      </w:r>
      <w:r w:rsidRPr="00B40A77">
        <w:rPr>
          <w:color w:val="000000" w:themeColor="text1"/>
          <w:lang w:val="en-US"/>
        </w:rPr>
        <w:tab/>
        <w:t xml:space="preserve">whether the defendant was </w:t>
      </w:r>
      <w:hyperlink w:anchor="_2.1—Definitions" w:history="1">
        <w:r w:rsidRPr="00B40A77">
          <w:rPr>
            <w:rStyle w:val="Hyperlink"/>
            <w:color w:val="000000" w:themeColor="text1"/>
            <w:lang w:val="en-US"/>
          </w:rPr>
          <w:t>mentally incompetent</w:t>
        </w:r>
      </w:hyperlink>
      <w:r w:rsidRPr="00B40A77">
        <w:rPr>
          <w:color w:val="000000" w:themeColor="text1"/>
          <w:lang w:val="en-US"/>
        </w:rPr>
        <w:t xml:space="preserve"> to commit the alleged offence;</w:t>
      </w:r>
    </w:p>
    <w:p w14:paraId="1B3E0EB5" w14:textId="6439C36B" w:rsidR="00D9026C" w:rsidRPr="00B40A77" w:rsidRDefault="00D9026C" w:rsidP="00D9026C">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whether the defendant is </w:t>
      </w:r>
      <w:hyperlink w:anchor="_2.1—Definitions" w:history="1">
        <w:r w:rsidRPr="00B40A77">
          <w:rPr>
            <w:rStyle w:val="Hyperlink"/>
            <w:color w:val="000000" w:themeColor="text1"/>
            <w:lang w:val="en-US"/>
          </w:rPr>
          <w:t>unfit to stand trial</w:t>
        </w:r>
      </w:hyperlink>
      <w:r w:rsidRPr="00B40A77">
        <w:rPr>
          <w:color w:val="000000" w:themeColor="text1"/>
          <w:lang w:val="en-US"/>
        </w:rPr>
        <w:t>;</w:t>
      </w:r>
    </w:p>
    <w:p w14:paraId="36C6E7F5" w14:textId="77777777" w:rsidR="00D9026C" w:rsidRPr="00B40A77" w:rsidRDefault="00D9026C" w:rsidP="00D9026C">
      <w:pPr>
        <w:pStyle w:val="Doublehangindent"/>
        <w:rPr>
          <w:color w:val="000000" w:themeColor="text1"/>
          <w:lang w:val="en-US"/>
        </w:rPr>
      </w:pPr>
      <w:r w:rsidRPr="00B40A77">
        <w:rPr>
          <w:color w:val="000000" w:themeColor="text1"/>
          <w:lang w:val="en-US"/>
        </w:rPr>
        <w:t>(c)</w:t>
      </w:r>
      <w:r w:rsidRPr="00B40A77">
        <w:rPr>
          <w:color w:val="000000" w:themeColor="text1"/>
          <w:lang w:val="en-US"/>
        </w:rPr>
        <w:tab/>
        <w:t>whether the defendant acted for a defensive purpose;</w:t>
      </w:r>
    </w:p>
    <w:p w14:paraId="07BD704F" w14:textId="77777777" w:rsidR="00D9026C" w:rsidRPr="00B40A77" w:rsidRDefault="00D9026C" w:rsidP="00D9026C">
      <w:pPr>
        <w:pStyle w:val="Doublehangindent"/>
        <w:rPr>
          <w:color w:val="000000" w:themeColor="text1"/>
          <w:lang w:val="en-US"/>
        </w:rPr>
      </w:pPr>
      <w:r w:rsidRPr="00B40A77">
        <w:rPr>
          <w:color w:val="000000" w:themeColor="text1"/>
          <w:lang w:val="en-US"/>
        </w:rPr>
        <w:t>(d)</w:t>
      </w:r>
      <w:r w:rsidRPr="00B40A77">
        <w:rPr>
          <w:color w:val="000000" w:themeColor="text1"/>
          <w:lang w:val="en-US"/>
        </w:rPr>
        <w:tab/>
        <w:t>whether the defendant acted under provocation;</w:t>
      </w:r>
    </w:p>
    <w:p w14:paraId="098A330F" w14:textId="77777777" w:rsidR="00D9026C" w:rsidRPr="00B40A77" w:rsidRDefault="00D9026C" w:rsidP="00D9026C">
      <w:pPr>
        <w:pStyle w:val="Doublehangindent"/>
        <w:rPr>
          <w:color w:val="000000" w:themeColor="text1"/>
          <w:lang w:val="en-US"/>
        </w:rPr>
      </w:pPr>
      <w:r w:rsidRPr="00B40A77">
        <w:rPr>
          <w:color w:val="000000" w:themeColor="text1"/>
          <w:lang w:val="en-US"/>
        </w:rPr>
        <w:t>(e)</w:t>
      </w:r>
      <w:r w:rsidRPr="00B40A77">
        <w:rPr>
          <w:color w:val="000000" w:themeColor="text1"/>
          <w:lang w:val="en-US"/>
        </w:rPr>
        <w:tab/>
        <w:t>whether the defendant acted under automatism;</w:t>
      </w:r>
    </w:p>
    <w:p w14:paraId="15D58E4F" w14:textId="77777777" w:rsidR="00D9026C" w:rsidRPr="00B40A77" w:rsidRDefault="00D9026C" w:rsidP="00D9026C">
      <w:pPr>
        <w:pStyle w:val="Doublehangindent"/>
        <w:rPr>
          <w:color w:val="000000" w:themeColor="text1"/>
          <w:lang w:val="en-US"/>
        </w:rPr>
      </w:pPr>
      <w:r w:rsidRPr="00B40A77">
        <w:rPr>
          <w:color w:val="000000" w:themeColor="text1"/>
          <w:lang w:val="en-US"/>
        </w:rPr>
        <w:t>(f)</w:t>
      </w:r>
      <w:r w:rsidRPr="00B40A77">
        <w:rPr>
          <w:color w:val="000000" w:themeColor="text1"/>
          <w:lang w:val="en-US"/>
        </w:rPr>
        <w:tab/>
        <w:t>whether the alleged offence occurred by accident;</w:t>
      </w:r>
    </w:p>
    <w:p w14:paraId="3CC12798" w14:textId="57595DC7" w:rsidR="00D9026C" w:rsidRPr="00B40A77" w:rsidRDefault="00D9026C" w:rsidP="00D9026C">
      <w:pPr>
        <w:pStyle w:val="Doublehangindent"/>
        <w:rPr>
          <w:color w:val="000000" w:themeColor="text1"/>
          <w:lang w:val="en-US"/>
        </w:rPr>
      </w:pPr>
      <w:r w:rsidRPr="00B40A77">
        <w:rPr>
          <w:color w:val="000000" w:themeColor="text1"/>
          <w:lang w:val="en-US"/>
        </w:rPr>
        <w:t>(g)</w:t>
      </w:r>
      <w:r w:rsidRPr="00B40A77">
        <w:rPr>
          <w:color w:val="000000" w:themeColor="text1"/>
          <w:lang w:val="en-US"/>
        </w:rPr>
        <w:tab/>
        <w:t xml:space="preserve">whether the defendant acted </w:t>
      </w:r>
      <w:r w:rsidR="00465036" w:rsidRPr="00B40A77">
        <w:rPr>
          <w:color w:val="000000" w:themeColor="text1"/>
          <w:lang w:val="en-US"/>
        </w:rPr>
        <w:t xml:space="preserve">out of </w:t>
      </w:r>
      <w:r w:rsidRPr="00B40A77">
        <w:rPr>
          <w:color w:val="000000" w:themeColor="text1"/>
          <w:lang w:val="en-US"/>
        </w:rPr>
        <w:t>necessity;</w:t>
      </w:r>
    </w:p>
    <w:p w14:paraId="5918C337" w14:textId="77777777" w:rsidR="00D9026C" w:rsidRPr="00B40A77" w:rsidRDefault="00D9026C" w:rsidP="00D9026C">
      <w:pPr>
        <w:pStyle w:val="Doublehangindent"/>
        <w:rPr>
          <w:color w:val="000000" w:themeColor="text1"/>
          <w:lang w:val="en-US"/>
        </w:rPr>
      </w:pPr>
      <w:r w:rsidRPr="00B40A77">
        <w:rPr>
          <w:color w:val="000000" w:themeColor="text1"/>
          <w:lang w:val="en-US"/>
        </w:rPr>
        <w:t>(h)</w:t>
      </w:r>
      <w:r w:rsidRPr="00B40A77">
        <w:rPr>
          <w:color w:val="000000" w:themeColor="text1"/>
          <w:lang w:val="en-US"/>
        </w:rPr>
        <w:tab/>
        <w:t>whether the defendant acted under duress;</w:t>
      </w:r>
    </w:p>
    <w:p w14:paraId="2605FC62" w14:textId="77777777" w:rsidR="00D9026C" w:rsidRPr="00B40A77" w:rsidRDefault="00D9026C" w:rsidP="00D9026C">
      <w:pPr>
        <w:pStyle w:val="Doublehangindent"/>
        <w:rPr>
          <w:color w:val="000000" w:themeColor="text1"/>
          <w:lang w:val="en-US"/>
        </w:rPr>
      </w:pPr>
      <w:r w:rsidRPr="00B40A77">
        <w:rPr>
          <w:color w:val="000000" w:themeColor="text1"/>
          <w:lang w:val="en-US"/>
        </w:rPr>
        <w:t>(i)</w:t>
      </w:r>
      <w:r w:rsidRPr="00B40A77">
        <w:rPr>
          <w:color w:val="000000" w:themeColor="text1"/>
          <w:lang w:val="en-US"/>
        </w:rPr>
        <w:tab/>
        <w:t>whether the defendant acted under a claim of right;</w:t>
      </w:r>
    </w:p>
    <w:p w14:paraId="4EB0088D" w14:textId="77777777" w:rsidR="00D9026C" w:rsidRPr="00B40A77" w:rsidRDefault="00D9026C" w:rsidP="00D9026C">
      <w:pPr>
        <w:pStyle w:val="Doublehangindent"/>
        <w:rPr>
          <w:color w:val="000000" w:themeColor="text1"/>
          <w:lang w:val="en-US"/>
        </w:rPr>
      </w:pPr>
      <w:r w:rsidRPr="00B40A77">
        <w:rPr>
          <w:color w:val="000000" w:themeColor="text1"/>
          <w:lang w:val="en-US"/>
        </w:rPr>
        <w:t>(j)</w:t>
      </w:r>
      <w:r w:rsidRPr="00B40A77">
        <w:rPr>
          <w:color w:val="000000" w:themeColor="text1"/>
          <w:lang w:val="en-US"/>
        </w:rPr>
        <w:tab/>
        <w:t>whether the defendant acted under intoxication.</w:t>
      </w:r>
    </w:p>
    <w:p w14:paraId="5244F7F7" w14:textId="77777777" w:rsidR="00D9026C" w:rsidRPr="00B40A77" w:rsidRDefault="00D9026C" w:rsidP="00037437">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 xml:space="preserve">The written record of an order requiring a defendant to give notice of intention to adduce evidence in relation to a </w:t>
      </w:r>
      <w:r w:rsidRPr="00B40A77">
        <w:rPr>
          <w:color w:val="000000" w:themeColor="text1"/>
          <w:u w:val="single"/>
          <w:lang w:val="en-US"/>
        </w:rPr>
        <w:t>prescribed matter</w:t>
      </w:r>
      <w:r w:rsidRPr="00B40A77">
        <w:rPr>
          <w:color w:val="000000" w:themeColor="text1"/>
          <w:lang w:val="en-US"/>
        </w:rPr>
        <w:t xml:space="preserve"> must be in the prescribed form.</w:t>
      </w:r>
    </w:p>
    <w:p w14:paraId="3AE9AA67" w14:textId="6734874C" w:rsidR="00D9026C" w:rsidRPr="00B40A77" w:rsidRDefault="00D9026C" w:rsidP="00037437">
      <w:pPr>
        <w:pStyle w:val="NoteHeader"/>
        <w:keepNext/>
        <w:rPr>
          <w:color w:val="000000" w:themeColor="text1"/>
        </w:rPr>
      </w:pPr>
      <w:r w:rsidRPr="00B40A77">
        <w:rPr>
          <w:color w:val="000000" w:themeColor="text1"/>
        </w:rPr>
        <w:t>Prescribed form—</w:t>
      </w:r>
    </w:p>
    <w:p w14:paraId="4145937C" w14:textId="170AC04E" w:rsidR="00D9026C" w:rsidRPr="00B40A77" w:rsidRDefault="00D9026C" w:rsidP="001C6806">
      <w:pPr>
        <w:pStyle w:val="NoteText"/>
        <w:keepNext/>
        <w:rPr>
          <w:color w:val="000000" w:themeColor="text1"/>
        </w:rPr>
      </w:pPr>
      <w:r w:rsidRPr="00B40A77">
        <w:rPr>
          <w:color w:val="000000" w:themeColor="text1"/>
        </w:rPr>
        <w:t xml:space="preserve">Form 99 </w:t>
      </w:r>
      <w:hyperlink r:id="rId203" w:history="1">
        <w:r w:rsidRPr="00B40A77">
          <w:rPr>
            <w:rStyle w:val="Hyperlink"/>
            <w:color w:val="000000" w:themeColor="text1"/>
          </w:rPr>
          <w:t>Record of Outcome</w:t>
        </w:r>
        <w:r w:rsidR="006F6EA8" w:rsidRPr="00B40A77">
          <w:rPr>
            <w:rStyle w:val="Hyperlink"/>
            <w:color w:val="000000" w:themeColor="text1"/>
          </w:rPr>
          <w:t xml:space="preserve"> – Order</w:t>
        </w:r>
      </w:hyperlink>
    </w:p>
    <w:p w14:paraId="1AEFBFB2" w14:textId="19269E96" w:rsidR="004F0A6D" w:rsidRPr="00B40A77" w:rsidRDefault="004F0A6D" w:rsidP="004F0A6D">
      <w:pPr>
        <w:pStyle w:val="Heading3"/>
        <w:rPr>
          <w:color w:val="000000" w:themeColor="text1"/>
        </w:rPr>
      </w:pPr>
      <w:bookmarkStart w:id="725" w:name="_Toc175239114"/>
      <w:r w:rsidRPr="00B40A77">
        <w:rPr>
          <w:color w:val="000000" w:themeColor="text1"/>
        </w:rPr>
        <w:t>Divisi</w:t>
      </w:r>
      <w:r w:rsidR="00633F6C" w:rsidRPr="00B40A77">
        <w:rPr>
          <w:color w:val="000000" w:themeColor="text1"/>
        </w:rPr>
        <w:t>on 2</w:t>
      </w:r>
      <w:r w:rsidRPr="00B40A77">
        <w:rPr>
          <w:color w:val="000000" w:themeColor="text1"/>
        </w:rPr>
        <w:t>—Pre-trial dispensation with witnesses</w:t>
      </w:r>
      <w:bookmarkEnd w:id="725"/>
    </w:p>
    <w:p w14:paraId="18BCF612" w14:textId="706ADC04" w:rsidR="004F0A6D" w:rsidRPr="00B40A77" w:rsidRDefault="007D17D2" w:rsidP="004F0A6D">
      <w:pPr>
        <w:pStyle w:val="Heading4"/>
        <w:rPr>
          <w:color w:val="000000" w:themeColor="text1"/>
        </w:rPr>
      </w:pPr>
      <w:bookmarkStart w:id="726" w:name="_Toc60133572"/>
      <w:bookmarkStart w:id="727" w:name="_Toc175239115"/>
      <w:r w:rsidRPr="00B40A77">
        <w:rPr>
          <w:color w:val="000000" w:themeColor="text1"/>
        </w:rPr>
        <w:t>10</w:t>
      </w:r>
      <w:r w:rsidR="00A50F38" w:rsidRPr="00B40A77">
        <w:rPr>
          <w:color w:val="000000" w:themeColor="text1"/>
        </w:rPr>
        <w:t>6</w:t>
      </w:r>
      <w:r w:rsidR="004F0A6D" w:rsidRPr="00B40A77">
        <w:rPr>
          <w:color w:val="000000" w:themeColor="text1"/>
        </w:rPr>
        <w:t>.1—Dispensing with prosecution witnesses</w:t>
      </w:r>
      <w:bookmarkEnd w:id="726"/>
      <w:bookmarkEnd w:id="727"/>
    </w:p>
    <w:p w14:paraId="2438D9E5" w14:textId="360CA008" w:rsidR="004F0A6D" w:rsidRPr="00B40A77" w:rsidRDefault="004F0A6D" w:rsidP="004F0A6D">
      <w:pPr>
        <w:pStyle w:val="Hangindent"/>
        <w:keepNext/>
        <w:keepLines/>
        <w:rPr>
          <w:color w:val="000000" w:themeColor="text1"/>
          <w:lang w:val="en-US"/>
        </w:rPr>
      </w:pPr>
      <w:r w:rsidRPr="00B40A77">
        <w:rPr>
          <w:color w:val="000000" w:themeColor="text1"/>
          <w:lang w:val="en-US"/>
        </w:rPr>
        <w:t>(1)</w:t>
      </w:r>
      <w:r w:rsidRPr="00B40A77">
        <w:rPr>
          <w:color w:val="000000" w:themeColor="text1"/>
          <w:lang w:val="en-US"/>
        </w:rPr>
        <w:tab/>
        <w:t>An application to require a defendant to give to the Director notice whether they consent to dispensing with calling certain prosecution witnesses under section</w:t>
      </w:r>
      <w:r w:rsidR="003F313A" w:rsidRPr="00B40A77">
        <w:rPr>
          <w:color w:val="000000" w:themeColor="text1"/>
          <w:lang w:val="en-US"/>
        </w:rPr>
        <w:t> </w:t>
      </w:r>
      <w:r w:rsidRPr="00B40A77">
        <w:rPr>
          <w:color w:val="000000" w:themeColor="text1"/>
          <w:lang w:val="en-US"/>
        </w:rPr>
        <w:t>134 of the Procedure Act must—</w:t>
      </w:r>
    </w:p>
    <w:p w14:paraId="340BF95D" w14:textId="12804169" w:rsidR="004F0A6D" w:rsidRPr="00B40A77" w:rsidRDefault="004F0A6D" w:rsidP="004F0A6D">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be made by an </w:t>
      </w:r>
      <w:r w:rsidR="00FA4048" w:rsidRPr="00B40A77">
        <w:rPr>
          <w:color w:val="000000" w:themeColor="text1"/>
          <w:lang w:val="en-US"/>
        </w:rPr>
        <w:t xml:space="preserve">interlocutory application </w:t>
      </w:r>
      <w:r w:rsidR="002A2EA2" w:rsidRPr="00B40A77">
        <w:rPr>
          <w:color w:val="000000" w:themeColor="text1"/>
          <w:lang w:val="en-US"/>
        </w:rPr>
        <w:t xml:space="preserve">in accordance with </w:t>
      </w:r>
      <w:hyperlink w:anchor="_39.1—Written_application" w:history="1">
        <w:r w:rsidR="002A2EA2" w:rsidRPr="00B40A77">
          <w:rPr>
            <w:rStyle w:val="Hyperlink"/>
            <w:color w:val="000000" w:themeColor="text1"/>
            <w:lang w:val="en-US"/>
          </w:rPr>
          <w:t>rule 3</w:t>
        </w:r>
        <w:r w:rsidR="00F35BB3" w:rsidRPr="00B40A77">
          <w:rPr>
            <w:rStyle w:val="Hyperlink"/>
            <w:color w:val="000000" w:themeColor="text1"/>
            <w:lang w:val="en-US"/>
          </w:rPr>
          <w:t>9</w:t>
        </w:r>
        <w:r w:rsidR="002A2EA2" w:rsidRPr="00B40A77">
          <w:rPr>
            <w:rStyle w:val="Hyperlink"/>
            <w:color w:val="000000" w:themeColor="text1"/>
            <w:lang w:val="en-US"/>
          </w:rPr>
          <w:t>.1</w:t>
        </w:r>
      </w:hyperlink>
      <w:r w:rsidRPr="00B40A77">
        <w:rPr>
          <w:color w:val="000000" w:themeColor="text1"/>
          <w:lang w:val="en-US"/>
        </w:rPr>
        <w:t>;</w:t>
      </w:r>
      <w:r w:rsidR="004A749B" w:rsidRPr="00B40A77">
        <w:rPr>
          <w:color w:val="000000" w:themeColor="text1"/>
          <w:lang w:val="en-US"/>
        </w:rPr>
        <w:t xml:space="preserve"> and</w:t>
      </w:r>
    </w:p>
    <w:p w14:paraId="4A6A3016" w14:textId="6E4D05E3" w:rsidR="004F0A6D" w:rsidRPr="00B40A77" w:rsidRDefault="004F0A6D" w:rsidP="004F0A6D">
      <w:pPr>
        <w:pStyle w:val="Doublehangindent"/>
        <w:rPr>
          <w:color w:val="000000" w:themeColor="text1"/>
          <w:lang w:val="en-US"/>
        </w:rPr>
      </w:pPr>
      <w:r w:rsidRPr="00B40A77">
        <w:rPr>
          <w:color w:val="000000" w:themeColor="text1"/>
          <w:lang w:val="en-US"/>
        </w:rPr>
        <w:t>(b)</w:t>
      </w:r>
      <w:r w:rsidRPr="00B40A77">
        <w:rPr>
          <w:color w:val="000000" w:themeColor="text1"/>
          <w:lang w:val="en-US"/>
        </w:rPr>
        <w:tab/>
        <w:t>state the time within which it is proposed</w:t>
      </w:r>
      <w:r w:rsidR="002A2EA2" w:rsidRPr="00B40A77">
        <w:rPr>
          <w:color w:val="000000" w:themeColor="text1"/>
          <w:lang w:val="en-US"/>
        </w:rPr>
        <w:t xml:space="preserve"> that </w:t>
      </w:r>
      <w:r w:rsidRPr="00B40A77">
        <w:rPr>
          <w:color w:val="000000" w:themeColor="text1"/>
          <w:lang w:val="en-US"/>
        </w:rPr>
        <w:t>the defence is to respond.</w:t>
      </w:r>
    </w:p>
    <w:p w14:paraId="66C3AAE2" w14:textId="5D5A2126" w:rsidR="004F0A6D" w:rsidRPr="00B40A77" w:rsidRDefault="004F0A6D" w:rsidP="004F0A6D">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application must be filed and served at least 28 days before the listed </w:t>
      </w:r>
      <w:hyperlink w:anchor="_2.1—Definitions" w:history="1">
        <w:r w:rsidR="004740A2" w:rsidRPr="00B40A77">
          <w:rPr>
            <w:rStyle w:val="Hyperlink"/>
            <w:color w:val="000000" w:themeColor="text1"/>
          </w:rPr>
          <w:t>trial date</w:t>
        </w:r>
      </w:hyperlink>
      <w:r w:rsidRPr="00B40A77">
        <w:rPr>
          <w:color w:val="000000" w:themeColor="text1"/>
          <w:lang w:val="en-US"/>
        </w:rPr>
        <w:t>.</w:t>
      </w:r>
    </w:p>
    <w:p w14:paraId="3090046C" w14:textId="5A9647D4" w:rsidR="004A749B" w:rsidRPr="00B40A77" w:rsidRDefault="004A749B" w:rsidP="00037437">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The written record of an order requiring a defendant to give to the Director notice whether they consent to dispensing with calling certain prosecution witnesses must be in the prescribed form.</w:t>
      </w:r>
    </w:p>
    <w:p w14:paraId="2006828C" w14:textId="77777777" w:rsidR="004A749B" w:rsidRPr="00B40A77" w:rsidRDefault="004A749B" w:rsidP="00037437">
      <w:pPr>
        <w:pStyle w:val="NoteHeader"/>
        <w:keepNext/>
        <w:rPr>
          <w:color w:val="000000" w:themeColor="text1"/>
        </w:rPr>
      </w:pPr>
      <w:r w:rsidRPr="00B40A77">
        <w:rPr>
          <w:color w:val="000000" w:themeColor="text1"/>
        </w:rPr>
        <w:t>Prescribed form—</w:t>
      </w:r>
      <w:r w:rsidRPr="00B40A77">
        <w:rPr>
          <w:color w:val="000000" w:themeColor="text1"/>
        </w:rPr>
        <w:tab/>
      </w:r>
    </w:p>
    <w:p w14:paraId="34CAEA22" w14:textId="65B69DFF" w:rsidR="004A749B" w:rsidRPr="00B40A77" w:rsidRDefault="004A749B" w:rsidP="00037437">
      <w:pPr>
        <w:pStyle w:val="NoteText"/>
        <w:keepNext/>
        <w:rPr>
          <w:color w:val="000000" w:themeColor="text1"/>
        </w:rPr>
      </w:pPr>
      <w:r w:rsidRPr="00B40A77">
        <w:rPr>
          <w:color w:val="000000" w:themeColor="text1"/>
        </w:rPr>
        <w:t xml:space="preserve">Form 99 </w:t>
      </w:r>
      <w:hyperlink r:id="rId204" w:history="1">
        <w:r w:rsidRPr="00B40A77">
          <w:rPr>
            <w:rStyle w:val="Hyperlink"/>
            <w:color w:val="000000" w:themeColor="text1"/>
          </w:rPr>
          <w:t xml:space="preserve">Record of Outcome </w:t>
        </w:r>
        <w:r w:rsidR="006F6EA8" w:rsidRPr="00B40A77">
          <w:rPr>
            <w:rStyle w:val="Hyperlink"/>
            <w:color w:val="000000" w:themeColor="text1"/>
          </w:rPr>
          <w:t>– Order</w:t>
        </w:r>
      </w:hyperlink>
    </w:p>
    <w:p w14:paraId="7B7F99B5" w14:textId="17567448" w:rsidR="004F0A6D" w:rsidRPr="00B40A77" w:rsidRDefault="004F0A6D" w:rsidP="002200BB">
      <w:pPr>
        <w:pStyle w:val="Hangindent"/>
        <w:keepNext/>
        <w:rPr>
          <w:color w:val="000000" w:themeColor="text1"/>
          <w:lang w:val="en-US"/>
        </w:rPr>
      </w:pPr>
      <w:r w:rsidRPr="00B40A77">
        <w:rPr>
          <w:color w:val="000000" w:themeColor="text1"/>
          <w:lang w:val="en-US"/>
        </w:rPr>
        <w:t>(</w:t>
      </w:r>
      <w:r w:rsidR="004A749B" w:rsidRPr="00B40A77">
        <w:rPr>
          <w:color w:val="000000" w:themeColor="text1"/>
          <w:lang w:val="en-US"/>
        </w:rPr>
        <w:t>4</w:t>
      </w:r>
      <w:r w:rsidRPr="00B40A77">
        <w:rPr>
          <w:color w:val="000000" w:themeColor="text1"/>
          <w:lang w:val="en-US"/>
        </w:rPr>
        <w:t>)</w:t>
      </w:r>
      <w:r w:rsidRPr="00B40A77">
        <w:rPr>
          <w:color w:val="000000" w:themeColor="text1"/>
          <w:lang w:val="en-US"/>
        </w:rPr>
        <w:tab/>
        <w:t xml:space="preserve">The defence response to an order must be in </w:t>
      </w:r>
      <w:r w:rsidRPr="00B40A77">
        <w:rPr>
          <w:color w:val="000000" w:themeColor="text1"/>
        </w:rPr>
        <w:t xml:space="preserve">the prescribed </w:t>
      </w:r>
      <w:r w:rsidRPr="00B40A77">
        <w:rPr>
          <w:color w:val="000000" w:themeColor="text1"/>
          <w:lang w:val="en-US"/>
        </w:rPr>
        <w:t>form.</w:t>
      </w:r>
    </w:p>
    <w:p w14:paraId="6938AD63" w14:textId="77777777" w:rsidR="004F0A6D" w:rsidRPr="00B40A77" w:rsidRDefault="004F0A6D" w:rsidP="002200BB">
      <w:pPr>
        <w:pStyle w:val="NoteHeader"/>
        <w:keepNext/>
        <w:rPr>
          <w:color w:val="000000" w:themeColor="text1"/>
        </w:rPr>
      </w:pPr>
      <w:r w:rsidRPr="00B40A77">
        <w:rPr>
          <w:color w:val="000000" w:themeColor="text1"/>
        </w:rPr>
        <w:t>Prescribed form—</w:t>
      </w:r>
    </w:p>
    <w:p w14:paraId="3E6099E3" w14:textId="29D82EC2" w:rsidR="004F0A6D" w:rsidRPr="00B40A77" w:rsidRDefault="004F0A6D" w:rsidP="004A749B">
      <w:pPr>
        <w:pStyle w:val="NoteText"/>
        <w:rPr>
          <w:color w:val="000000" w:themeColor="text1"/>
        </w:rPr>
      </w:pPr>
      <w:r w:rsidRPr="00B40A77">
        <w:rPr>
          <w:color w:val="000000" w:themeColor="text1"/>
        </w:rPr>
        <w:t>F</w:t>
      </w:r>
      <w:r w:rsidR="00D750B7" w:rsidRPr="00B40A77">
        <w:rPr>
          <w:color w:val="000000" w:themeColor="text1"/>
        </w:rPr>
        <w:t>orm 82</w:t>
      </w:r>
      <w:r w:rsidRPr="00B40A77">
        <w:rPr>
          <w:color w:val="000000" w:themeColor="text1"/>
        </w:rPr>
        <w:t xml:space="preserve"> </w:t>
      </w:r>
      <w:hyperlink r:id="rId205" w:history="1">
        <w:r w:rsidRPr="00B40A77">
          <w:rPr>
            <w:rStyle w:val="Hyperlink"/>
            <w:color w:val="000000" w:themeColor="text1"/>
          </w:rPr>
          <w:t xml:space="preserve">Notice whether </w:t>
        </w:r>
        <w:r w:rsidR="006F6EA8" w:rsidRPr="00B40A77">
          <w:rPr>
            <w:rStyle w:val="Hyperlink"/>
            <w:color w:val="000000" w:themeColor="text1"/>
          </w:rPr>
          <w:t>D</w:t>
        </w:r>
        <w:r w:rsidRPr="00B40A77">
          <w:rPr>
            <w:rStyle w:val="Hyperlink"/>
            <w:color w:val="000000" w:themeColor="text1"/>
          </w:rPr>
          <w:t>efen</w:t>
        </w:r>
        <w:r w:rsidR="00FB6B8E" w:rsidRPr="00B40A77">
          <w:rPr>
            <w:rStyle w:val="Hyperlink"/>
            <w:color w:val="000000" w:themeColor="text1"/>
          </w:rPr>
          <w:t>dant</w:t>
        </w:r>
        <w:r w:rsidRPr="00B40A77">
          <w:rPr>
            <w:rStyle w:val="Hyperlink"/>
            <w:color w:val="000000" w:themeColor="text1"/>
          </w:rPr>
          <w:t xml:space="preserve"> </w:t>
        </w:r>
        <w:r w:rsidR="006F6EA8" w:rsidRPr="00B40A77">
          <w:rPr>
            <w:rStyle w:val="Hyperlink"/>
            <w:color w:val="000000" w:themeColor="text1"/>
            <w:lang w:val="en-US"/>
          </w:rPr>
          <w:t>C</w:t>
        </w:r>
        <w:r w:rsidRPr="00B40A77">
          <w:rPr>
            <w:rStyle w:val="Hyperlink"/>
            <w:color w:val="000000" w:themeColor="text1"/>
            <w:lang w:val="en-US"/>
          </w:rPr>
          <w:t xml:space="preserve">onsents to </w:t>
        </w:r>
        <w:r w:rsidR="00565D16" w:rsidRPr="00B40A77">
          <w:rPr>
            <w:rStyle w:val="Hyperlink"/>
            <w:color w:val="000000" w:themeColor="text1"/>
            <w:lang w:val="en-US"/>
          </w:rPr>
          <w:t>D</w:t>
        </w:r>
        <w:r w:rsidRPr="00B40A77">
          <w:rPr>
            <w:rStyle w:val="Hyperlink"/>
            <w:color w:val="000000" w:themeColor="text1"/>
            <w:lang w:val="en-US"/>
          </w:rPr>
          <w:t xml:space="preserve">ispensing with </w:t>
        </w:r>
        <w:r w:rsidR="00565D16" w:rsidRPr="00B40A77">
          <w:rPr>
            <w:rStyle w:val="Hyperlink"/>
            <w:color w:val="000000" w:themeColor="text1"/>
            <w:lang w:val="en-US"/>
          </w:rPr>
          <w:t>C</w:t>
        </w:r>
        <w:r w:rsidRPr="00B40A77">
          <w:rPr>
            <w:rStyle w:val="Hyperlink"/>
            <w:color w:val="000000" w:themeColor="text1"/>
            <w:lang w:val="en-US"/>
          </w:rPr>
          <w:t xml:space="preserve">alling </w:t>
        </w:r>
        <w:r w:rsidR="00565D16" w:rsidRPr="00B40A77">
          <w:rPr>
            <w:rStyle w:val="Hyperlink"/>
            <w:color w:val="000000" w:themeColor="text1"/>
            <w:lang w:val="en-US"/>
          </w:rPr>
          <w:t>P</w:t>
        </w:r>
        <w:r w:rsidRPr="00B40A77">
          <w:rPr>
            <w:rStyle w:val="Hyperlink"/>
            <w:color w:val="000000" w:themeColor="text1"/>
            <w:lang w:val="en-US"/>
          </w:rPr>
          <w:t xml:space="preserve">rosecution </w:t>
        </w:r>
        <w:r w:rsidR="00565D16" w:rsidRPr="00B40A77">
          <w:rPr>
            <w:rStyle w:val="Hyperlink"/>
            <w:color w:val="000000" w:themeColor="text1"/>
            <w:lang w:val="en-US"/>
          </w:rPr>
          <w:t>W</w:t>
        </w:r>
        <w:r w:rsidRPr="00B40A77">
          <w:rPr>
            <w:rStyle w:val="Hyperlink"/>
            <w:color w:val="000000" w:themeColor="text1"/>
            <w:lang w:val="en-US"/>
          </w:rPr>
          <w:t>itnesses</w:t>
        </w:r>
      </w:hyperlink>
    </w:p>
    <w:p w14:paraId="6FB3E83E" w14:textId="75191364" w:rsidR="00EB5FBE" w:rsidRPr="00B40A77" w:rsidRDefault="009A7D8E" w:rsidP="00BE23A0">
      <w:pPr>
        <w:pStyle w:val="Heading2"/>
        <w:keepNext/>
        <w:rPr>
          <w:color w:val="000000" w:themeColor="text1"/>
        </w:rPr>
      </w:pPr>
      <w:bookmarkStart w:id="728" w:name="_Toc60133561"/>
      <w:bookmarkStart w:id="729" w:name="_Toc175239116"/>
      <w:bookmarkEnd w:id="721"/>
      <w:r w:rsidRPr="00B40A77">
        <w:rPr>
          <w:color w:val="000000" w:themeColor="text1"/>
        </w:rPr>
        <w:t>Part 10</w:t>
      </w:r>
      <w:r w:rsidR="00EB5FBE" w:rsidRPr="00B40A77">
        <w:rPr>
          <w:color w:val="000000" w:themeColor="text1"/>
        </w:rPr>
        <w:t>—Pre-trial directions hearings</w:t>
      </w:r>
      <w:bookmarkEnd w:id="728"/>
      <w:bookmarkEnd w:id="729"/>
    </w:p>
    <w:p w14:paraId="63E17EA5" w14:textId="434E0BEF" w:rsidR="00EB5FBE" w:rsidRPr="00B40A77" w:rsidRDefault="007D17D2" w:rsidP="00B87028">
      <w:pPr>
        <w:pStyle w:val="Heading4"/>
        <w:rPr>
          <w:color w:val="000000" w:themeColor="text1"/>
        </w:rPr>
      </w:pPr>
      <w:bookmarkStart w:id="730" w:name="_Toc60133562"/>
      <w:bookmarkStart w:id="731" w:name="_Toc175239117"/>
      <w:r w:rsidRPr="00B40A77">
        <w:rPr>
          <w:color w:val="000000" w:themeColor="text1"/>
        </w:rPr>
        <w:t>10</w:t>
      </w:r>
      <w:r w:rsidR="00A50F38" w:rsidRPr="00B40A77">
        <w:rPr>
          <w:color w:val="000000" w:themeColor="text1"/>
        </w:rPr>
        <w:t>7</w:t>
      </w:r>
      <w:r w:rsidR="00A341EE" w:rsidRPr="00B40A77">
        <w:rPr>
          <w:color w:val="000000" w:themeColor="text1"/>
        </w:rPr>
        <w:t>.1</w:t>
      </w:r>
      <w:r w:rsidR="00EB5FBE" w:rsidRPr="00B40A77">
        <w:rPr>
          <w:color w:val="000000" w:themeColor="text1"/>
        </w:rPr>
        <w:t>—Convening pre-trial directions hearing</w:t>
      </w:r>
      <w:bookmarkEnd w:id="730"/>
      <w:bookmarkEnd w:id="731"/>
    </w:p>
    <w:p w14:paraId="5331DC46" w14:textId="63E13D5B" w:rsidR="00F5592F" w:rsidRPr="00B40A77" w:rsidRDefault="00F5592F" w:rsidP="00F5592F">
      <w:pPr>
        <w:pStyle w:val="Hangindent"/>
        <w:rPr>
          <w:i/>
          <w:iCs/>
          <w:color w:val="000000" w:themeColor="text1"/>
          <w:sz w:val="24"/>
          <w:szCs w:val="24"/>
          <w:lang w:val="en-US"/>
        </w:rPr>
      </w:pPr>
      <w:r w:rsidRPr="00B40A77">
        <w:rPr>
          <w:i/>
          <w:iCs/>
          <w:color w:val="000000" w:themeColor="text1"/>
          <w:sz w:val="24"/>
          <w:szCs w:val="24"/>
          <w:lang w:val="en-US"/>
        </w:rPr>
        <w:t>Supreme Court</w:t>
      </w:r>
    </w:p>
    <w:p w14:paraId="5CC45DFA" w14:textId="697F5C60" w:rsidR="00EB5FBE" w:rsidRPr="00B40A77" w:rsidRDefault="00EB5FBE" w:rsidP="00EB5FBE">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When a </w:t>
      </w:r>
      <w:hyperlink w:anchor="_2.1—Definitions" w:history="1">
        <w:hyperlink w:anchor="_2.1—Definitions" w:history="1">
          <w:r w:rsidR="002A0B8E" w:rsidRPr="00B40A77">
            <w:rPr>
              <w:rStyle w:val="Hyperlink"/>
              <w:color w:val="000000" w:themeColor="text1"/>
              <w:lang w:val="en-US"/>
            </w:rPr>
            <w:t>trial</w:t>
          </w:r>
        </w:hyperlink>
      </w:hyperlink>
      <w:r w:rsidRPr="00B40A77">
        <w:rPr>
          <w:color w:val="000000" w:themeColor="text1"/>
          <w:lang w:val="en-US"/>
        </w:rPr>
        <w:t xml:space="preserve"> is pending, a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before commencement of the </w:t>
      </w:r>
      <w:hyperlink w:anchor="_2.1—Definitions" w:history="1">
        <w:hyperlink w:anchor="_2.1—Definitions" w:history="1">
          <w:r w:rsidR="002A0B8E" w:rsidRPr="00B40A77">
            <w:rPr>
              <w:rStyle w:val="Hyperlink"/>
              <w:color w:val="000000" w:themeColor="text1"/>
              <w:lang w:val="en-US"/>
            </w:rPr>
            <w:t>trial</w:t>
          </w:r>
        </w:hyperlink>
      </w:hyperlink>
      <w:r w:rsidRPr="00B40A77">
        <w:rPr>
          <w:color w:val="000000" w:themeColor="text1"/>
          <w:lang w:val="en-US"/>
        </w:rPr>
        <w:t xml:space="preserve"> may be </w:t>
      </w:r>
      <w:r w:rsidR="009C39D0" w:rsidRPr="00B40A77">
        <w:rPr>
          <w:color w:val="000000" w:themeColor="text1"/>
          <w:lang w:val="en-US"/>
        </w:rPr>
        <w:t>convene</w:t>
      </w:r>
      <w:r w:rsidRPr="00B40A77">
        <w:rPr>
          <w:color w:val="000000" w:themeColor="text1"/>
          <w:lang w:val="en-US"/>
        </w:rPr>
        <w:t xml:space="preserve">d on the Court’s own initiative or on application by a party. </w:t>
      </w:r>
    </w:p>
    <w:p w14:paraId="74561815" w14:textId="5607D12D" w:rsidR="00EB5FBE" w:rsidRPr="00B40A77" w:rsidRDefault="00EB5FBE" w:rsidP="00EB5FBE">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pre-trial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will ordinarily be conducted by the trial Judge but may be convened or conducted by an</w:t>
      </w:r>
      <w:r w:rsidR="009C39D0" w:rsidRPr="00B40A77">
        <w:rPr>
          <w:color w:val="000000" w:themeColor="text1"/>
          <w:lang w:val="en-US"/>
        </w:rPr>
        <w:t>other</w:t>
      </w:r>
      <w:r w:rsidRPr="00B40A77">
        <w:rPr>
          <w:color w:val="000000" w:themeColor="text1"/>
          <w:lang w:val="en-US"/>
        </w:rPr>
        <w:t xml:space="preserve"> Judge if the trial Judge is unavailable.</w:t>
      </w:r>
    </w:p>
    <w:p w14:paraId="4047462E" w14:textId="41EAEA37" w:rsidR="00A341EE" w:rsidRPr="00B40A77" w:rsidRDefault="00A341EE" w:rsidP="00EB5FBE">
      <w:pPr>
        <w:pStyle w:val="Hangindent"/>
        <w:rPr>
          <w:i/>
          <w:iCs/>
          <w:color w:val="000000" w:themeColor="text1"/>
          <w:sz w:val="24"/>
          <w:szCs w:val="24"/>
          <w:lang w:val="en-US"/>
        </w:rPr>
      </w:pPr>
      <w:r w:rsidRPr="00B40A77">
        <w:rPr>
          <w:i/>
          <w:iCs/>
          <w:color w:val="000000" w:themeColor="text1"/>
          <w:sz w:val="24"/>
          <w:szCs w:val="24"/>
          <w:lang w:val="en-US"/>
        </w:rPr>
        <w:lastRenderedPageBreak/>
        <w:t>District Court</w:t>
      </w:r>
    </w:p>
    <w:p w14:paraId="495C23D4" w14:textId="17F0ACAC" w:rsidR="00A341EE" w:rsidRPr="00B40A77" w:rsidRDefault="00F8735D" w:rsidP="00EB5FBE">
      <w:pPr>
        <w:pStyle w:val="Hangindent"/>
        <w:rPr>
          <w:color w:val="000000" w:themeColor="text1"/>
          <w:lang w:val="en-US"/>
        </w:rPr>
      </w:pPr>
      <w:r w:rsidRPr="00B40A77">
        <w:rPr>
          <w:color w:val="000000" w:themeColor="text1"/>
          <w:lang w:val="en-US"/>
        </w:rPr>
        <w:t>(3)</w:t>
      </w:r>
      <w:r w:rsidR="00A341EE" w:rsidRPr="00B40A77">
        <w:rPr>
          <w:color w:val="000000" w:themeColor="text1"/>
          <w:lang w:val="en-US"/>
        </w:rPr>
        <w:tab/>
        <w:t xml:space="preserve">A pre-trial </w:t>
      </w:r>
      <w:hyperlink w:anchor="_2.1—Definitions" w:history="1">
        <w:r w:rsidR="00BF56DC" w:rsidRPr="00B40A77">
          <w:rPr>
            <w:rStyle w:val="Hyperlink"/>
            <w:color w:val="000000" w:themeColor="text1"/>
          </w:rPr>
          <w:t>directions hearing</w:t>
        </w:r>
      </w:hyperlink>
      <w:r w:rsidR="00A341EE" w:rsidRPr="00B40A77">
        <w:rPr>
          <w:color w:val="000000" w:themeColor="text1"/>
          <w:lang w:val="en-US"/>
        </w:rPr>
        <w:t>, known as a seco</w:t>
      </w:r>
      <w:r w:rsidR="00C53698" w:rsidRPr="00B40A77">
        <w:rPr>
          <w:color w:val="000000" w:themeColor="text1"/>
          <w:lang w:val="en-US"/>
        </w:rPr>
        <w:t xml:space="preserve">nd </w:t>
      </w:r>
      <w:hyperlink w:anchor="_2.1—Definitions" w:history="1">
        <w:r w:rsidR="00BF56DC" w:rsidRPr="00B40A77">
          <w:rPr>
            <w:rStyle w:val="Hyperlink"/>
            <w:color w:val="000000" w:themeColor="text1"/>
          </w:rPr>
          <w:t>directions hearing</w:t>
        </w:r>
      </w:hyperlink>
      <w:r w:rsidR="00C53698" w:rsidRPr="00B40A77">
        <w:rPr>
          <w:color w:val="000000" w:themeColor="text1"/>
          <w:lang w:val="en-US"/>
        </w:rPr>
        <w:t>, will generally</w:t>
      </w:r>
      <w:r w:rsidR="00A341EE" w:rsidRPr="00B40A77">
        <w:rPr>
          <w:color w:val="000000" w:themeColor="text1"/>
          <w:lang w:val="en-US"/>
        </w:rPr>
        <w:t xml:space="preserve"> be listed at the first </w:t>
      </w:r>
      <w:hyperlink w:anchor="_2.1—Definitions" w:history="1">
        <w:r w:rsidR="00BF56DC" w:rsidRPr="00B40A77">
          <w:rPr>
            <w:rStyle w:val="Hyperlink"/>
            <w:color w:val="000000" w:themeColor="text1"/>
          </w:rPr>
          <w:t>directions hearing</w:t>
        </w:r>
      </w:hyperlink>
      <w:r w:rsidR="00A341EE" w:rsidRPr="00B40A77">
        <w:rPr>
          <w:color w:val="000000" w:themeColor="text1"/>
          <w:lang w:val="en-US"/>
        </w:rPr>
        <w:t>.</w:t>
      </w:r>
    </w:p>
    <w:p w14:paraId="25E6DCC9" w14:textId="6227BCE6" w:rsidR="00EB5FBE" w:rsidRPr="00B40A77" w:rsidRDefault="007D17D2" w:rsidP="00B87028">
      <w:pPr>
        <w:pStyle w:val="Heading4"/>
        <w:rPr>
          <w:color w:val="000000" w:themeColor="text1"/>
        </w:rPr>
      </w:pPr>
      <w:bookmarkStart w:id="732" w:name="_Toc60133563"/>
      <w:bookmarkStart w:id="733" w:name="_Toc175239118"/>
      <w:r w:rsidRPr="00B40A77">
        <w:rPr>
          <w:color w:val="000000" w:themeColor="text1"/>
        </w:rPr>
        <w:t>10</w:t>
      </w:r>
      <w:r w:rsidR="00A50F38" w:rsidRPr="00B40A77">
        <w:rPr>
          <w:color w:val="000000" w:themeColor="text1"/>
        </w:rPr>
        <w:t>7</w:t>
      </w:r>
      <w:r w:rsidR="00A341EE" w:rsidRPr="00B40A77">
        <w:rPr>
          <w:color w:val="000000" w:themeColor="text1"/>
        </w:rPr>
        <w:t>.2</w:t>
      </w:r>
      <w:r w:rsidR="00EB5FBE" w:rsidRPr="00B40A77">
        <w:rPr>
          <w:color w:val="000000" w:themeColor="text1"/>
        </w:rPr>
        <w:t>—Proceedings at pre-trial directions hearing</w:t>
      </w:r>
      <w:bookmarkEnd w:id="732"/>
      <w:bookmarkEnd w:id="733"/>
    </w:p>
    <w:p w14:paraId="2CF30F84" w14:textId="45323FF8" w:rsidR="00EB5FBE" w:rsidRPr="00B40A77" w:rsidRDefault="00EE2A5B" w:rsidP="00EB5FBE">
      <w:pPr>
        <w:pStyle w:val="Hangindent"/>
        <w:rPr>
          <w:color w:val="000000" w:themeColor="text1"/>
          <w:szCs w:val="24"/>
          <w:lang w:val="en-US"/>
        </w:rPr>
      </w:pPr>
      <w:r w:rsidRPr="00B40A77">
        <w:rPr>
          <w:color w:val="000000" w:themeColor="text1"/>
          <w:lang w:val="en-US"/>
        </w:rPr>
        <w:t>(</w:t>
      </w:r>
      <w:r w:rsidR="00C202AA" w:rsidRPr="00B40A77">
        <w:rPr>
          <w:color w:val="000000" w:themeColor="text1"/>
          <w:lang w:val="en-US"/>
        </w:rPr>
        <w:t>1</w:t>
      </w:r>
      <w:r w:rsidRPr="00B40A77">
        <w:rPr>
          <w:color w:val="000000" w:themeColor="text1"/>
          <w:lang w:val="en-US"/>
        </w:rPr>
        <w:t>)</w:t>
      </w:r>
      <w:r w:rsidRPr="00B40A77">
        <w:rPr>
          <w:color w:val="000000" w:themeColor="text1"/>
          <w:lang w:val="en-US"/>
        </w:rPr>
        <w:tab/>
        <w:t xml:space="preserve">The purpose of a pre-trial </w:t>
      </w:r>
      <w:hyperlink w:anchor="_2.1—Definitions" w:history="1">
        <w:r w:rsidR="00BF56DC" w:rsidRPr="00B40A77">
          <w:rPr>
            <w:rStyle w:val="Hyperlink"/>
            <w:color w:val="000000" w:themeColor="text1"/>
          </w:rPr>
          <w:t>directions hearing</w:t>
        </w:r>
      </w:hyperlink>
      <w:r w:rsidRPr="00B40A77">
        <w:rPr>
          <w:color w:val="000000" w:themeColor="text1"/>
          <w:lang w:val="en-US"/>
        </w:rPr>
        <w:t xml:space="preserve"> is to</w:t>
      </w:r>
      <w:r w:rsidR="00EB5FBE" w:rsidRPr="00B40A77">
        <w:rPr>
          <w:color w:val="000000" w:themeColor="text1"/>
          <w:lang w:val="en-US"/>
        </w:rPr>
        <w:t xml:space="preserve"> give directions (including any</w:t>
      </w:r>
      <w:r w:rsidR="00EB5FBE" w:rsidRPr="00B40A77">
        <w:rPr>
          <w:color w:val="000000" w:themeColor="text1"/>
          <w:szCs w:val="24"/>
          <w:lang w:val="en-US"/>
        </w:rPr>
        <w:t xml:space="preserve"> arising by virtue of section</w:t>
      </w:r>
      <w:r w:rsidR="003F313A" w:rsidRPr="00B40A77">
        <w:rPr>
          <w:color w:val="000000" w:themeColor="text1"/>
          <w:szCs w:val="24"/>
          <w:lang w:val="en-US"/>
        </w:rPr>
        <w:t> </w:t>
      </w:r>
      <w:r w:rsidR="00EB5FBE" w:rsidRPr="00B40A77">
        <w:rPr>
          <w:color w:val="000000" w:themeColor="text1"/>
          <w:szCs w:val="24"/>
          <w:lang w:val="en-US"/>
        </w:rPr>
        <w:t xml:space="preserve">59J of the </w:t>
      </w:r>
      <w:r w:rsidR="00EB5FBE" w:rsidRPr="00B40A77">
        <w:rPr>
          <w:iCs/>
          <w:color w:val="000000" w:themeColor="text1"/>
          <w:szCs w:val="24"/>
          <w:lang w:val="en-US"/>
        </w:rPr>
        <w:t>Evidence Act</w:t>
      </w:r>
      <w:r w:rsidR="00EB5FBE" w:rsidRPr="00B40A77">
        <w:rPr>
          <w:color w:val="000000" w:themeColor="text1"/>
          <w:szCs w:val="24"/>
          <w:lang w:val="en-US"/>
        </w:rPr>
        <w:t xml:space="preserve">) with respect to the </w:t>
      </w:r>
      <w:hyperlink w:anchor="_2.1—Definitions" w:history="1">
        <w:r w:rsidR="002A0B8E" w:rsidRPr="00B40A77">
          <w:rPr>
            <w:rStyle w:val="Hyperlink"/>
            <w:color w:val="000000" w:themeColor="text1"/>
            <w:lang w:val="en-US"/>
          </w:rPr>
          <w:t>trial</w:t>
        </w:r>
      </w:hyperlink>
      <w:r w:rsidR="00EB5FBE" w:rsidRPr="00B40A77">
        <w:rPr>
          <w:color w:val="000000" w:themeColor="text1"/>
          <w:szCs w:val="24"/>
          <w:lang w:val="en-US"/>
        </w:rPr>
        <w:t xml:space="preserve"> to ensure that the </w:t>
      </w:r>
      <w:hyperlink w:anchor="_2.1—Definitions" w:history="1">
        <w:r w:rsidR="002A0B8E" w:rsidRPr="00B40A77">
          <w:rPr>
            <w:rStyle w:val="Hyperlink"/>
            <w:color w:val="000000" w:themeColor="text1"/>
            <w:lang w:val="en-US"/>
          </w:rPr>
          <w:t>trial</w:t>
        </w:r>
      </w:hyperlink>
      <w:r w:rsidR="00EB5FBE" w:rsidRPr="00B40A77">
        <w:rPr>
          <w:color w:val="000000" w:themeColor="text1"/>
          <w:szCs w:val="24"/>
          <w:lang w:val="en-US"/>
        </w:rPr>
        <w:t xml:space="preserve"> commences on the </w:t>
      </w:r>
      <w:hyperlink w:anchor="_2.1—Definitions" w:history="1">
        <w:r w:rsidR="004740A2" w:rsidRPr="00B40A77">
          <w:rPr>
            <w:rStyle w:val="Hyperlink"/>
            <w:color w:val="000000" w:themeColor="text1"/>
          </w:rPr>
          <w:t>trial date</w:t>
        </w:r>
      </w:hyperlink>
      <w:r w:rsidR="00EB5FBE" w:rsidRPr="00B40A77">
        <w:rPr>
          <w:color w:val="000000" w:themeColor="text1"/>
          <w:szCs w:val="24"/>
          <w:lang w:val="en-US"/>
        </w:rPr>
        <w:t xml:space="preserve"> and will be conducted in an expeditious and fair manner.</w:t>
      </w:r>
    </w:p>
    <w:p w14:paraId="3F69B963" w14:textId="33CCE237" w:rsidR="00C202AA" w:rsidRPr="00B40A77" w:rsidRDefault="00C202AA" w:rsidP="00C202AA">
      <w:pPr>
        <w:pStyle w:val="Hangindent"/>
        <w:rPr>
          <w:color w:val="000000" w:themeColor="text1"/>
          <w:spacing w:val="-3"/>
          <w:lang w:val="en-US"/>
        </w:rPr>
      </w:pPr>
      <w:r w:rsidRPr="00B40A77">
        <w:rPr>
          <w:color w:val="000000" w:themeColor="text1"/>
          <w:spacing w:val="-3"/>
          <w:lang w:val="en-US"/>
        </w:rPr>
        <w:t>(</w:t>
      </w:r>
      <w:r w:rsidR="008E6CB7" w:rsidRPr="00B40A77">
        <w:rPr>
          <w:color w:val="000000" w:themeColor="text1"/>
          <w:spacing w:val="-3"/>
          <w:lang w:val="en-US"/>
        </w:rPr>
        <w:t>2</w:t>
      </w:r>
      <w:r w:rsidRPr="00B40A77">
        <w:rPr>
          <w:color w:val="000000" w:themeColor="text1"/>
          <w:spacing w:val="-3"/>
          <w:lang w:val="en-US"/>
        </w:rPr>
        <w:t>)</w:t>
      </w:r>
      <w:r w:rsidRPr="00B40A77">
        <w:rPr>
          <w:color w:val="000000" w:themeColor="text1"/>
          <w:spacing w:val="-3"/>
          <w:lang w:val="en-US"/>
        </w:rPr>
        <w:tab/>
      </w:r>
      <w:r w:rsidRPr="00B40A77">
        <w:rPr>
          <w:color w:val="000000" w:themeColor="text1"/>
        </w:rPr>
        <w:t xml:space="preserve">A pre-trial </w:t>
      </w:r>
      <w:hyperlink w:anchor="_2.1—Definitions" w:history="1">
        <w:r w:rsidR="00BF56DC" w:rsidRPr="00B40A77">
          <w:rPr>
            <w:rStyle w:val="Hyperlink"/>
            <w:color w:val="000000" w:themeColor="text1"/>
          </w:rPr>
          <w:t>directions hearing</w:t>
        </w:r>
      </w:hyperlink>
      <w:r w:rsidRPr="00B40A77">
        <w:rPr>
          <w:color w:val="000000" w:themeColor="text1"/>
          <w:spacing w:val="-3"/>
          <w:lang w:val="en-US"/>
        </w:rPr>
        <w:t xml:space="preserve"> must be attended by</w:t>
      </w:r>
      <w:r w:rsidRPr="00B40A77">
        <w:rPr>
          <w:color w:val="000000" w:themeColor="text1"/>
          <w:lang w:val="en-US"/>
        </w:rPr>
        <w:t>—</w:t>
      </w:r>
    </w:p>
    <w:p w14:paraId="55F9EAB9" w14:textId="28CDB97F" w:rsidR="00C202AA" w:rsidRPr="00B40A77" w:rsidRDefault="00C202AA" w:rsidP="00C202A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defendant (but that attendance may be by </w:t>
      </w:r>
      <w:hyperlink w:anchor="_2.1—Definitions" w:history="1">
        <w:r w:rsidRPr="00B40A77">
          <w:rPr>
            <w:rStyle w:val="Hyperlink"/>
            <w:color w:val="000000" w:themeColor="text1"/>
            <w:lang w:val="en-US"/>
          </w:rPr>
          <w:t>audio visual link</w:t>
        </w:r>
      </w:hyperlink>
      <w:r w:rsidRPr="00B40A77">
        <w:rPr>
          <w:color w:val="000000" w:themeColor="text1"/>
          <w:lang w:val="en-US"/>
        </w:rPr>
        <w:t xml:space="preserve"> </w:t>
      </w:r>
      <w:r w:rsidR="000A356B" w:rsidRPr="00B40A77">
        <w:rPr>
          <w:color w:val="000000" w:themeColor="text1"/>
          <w:lang w:val="en-US"/>
        </w:rPr>
        <w:t xml:space="preserve">or </w:t>
      </w:r>
      <w:hyperlink w:anchor="_2.1—Definitions" w:history="1">
        <w:r w:rsidR="000A356B" w:rsidRPr="00B40A77">
          <w:rPr>
            <w:rStyle w:val="Hyperlink"/>
            <w:color w:val="000000" w:themeColor="text1"/>
            <w:lang w:val="en-US"/>
          </w:rPr>
          <w:t>audio link</w:t>
        </w:r>
      </w:hyperlink>
      <w:r w:rsidR="000A356B" w:rsidRPr="00B40A77">
        <w:rPr>
          <w:color w:val="000000" w:themeColor="text1"/>
          <w:lang w:val="en-US"/>
        </w:rPr>
        <w:t xml:space="preserve"> </w:t>
      </w:r>
      <w:r w:rsidRPr="00B40A77">
        <w:rPr>
          <w:color w:val="000000" w:themeColor="text1"/>
          <w:lang w:val="en-US"/>
        </w:rPr>
        <w:t xml:space="preserve">under </w:t>
      </w:r>
      <w:hyperlink w:anchor="_15.3—Hearings_ordinarily_in" w:history="1">
        <w:r w:rsidRPr="00B40A77">
          <w:rPr>
            <w:rStyle w:val="Hyperlink"/>
            <w:color w:val="000000" w:themeColor="text1"/>
            <w:lang w:val="en-US"/>
          </w:rPr>
          <w:t>rule 38.3</w:t>
        </w:r>
      </w:hyperlink>
      <w:r w:rsidRPr="00B40A77">
        <w:rPr>
          <w:rStyle w:val="Hyperlink"/>
          <w:color w:val="000000" w:themeColor="text1"/>
          <w:u w:val="none"/>
          <w:lang w:val="en-US"/>
        </w:rPr>
        <w:t>)</w:t>
      </w:r>
      <w:r w:rsidRPr="00B40A77">
        <w:rPr>
          <w:color w:val="000000" w:themeColor="text1"/>
          <w:lang w:val="en-US"/>
        </w:rPr>
        <w:t>;</w:t>
      </w:r>
    </w:p>
    <w:p w14:paraId="69449074" w14:textId="77520092" w:rsidR="008601C5" w:rsidRPr="00B40A77" w:rsidRDefault="00C202AA" w:rsidP="008601C5">
      <w:pPr>
        <w:pStyle w:val="Doublehangindent"/>
        <w:rPr>
          <w:color w:val="000000" w:themeColor="text1"/>
        </w:rPr>
      </w:pPr>
      <w:r w:rsidRPr="00B40A77">
        <w:rPr>
          <w:color w:val="000000" w:themeColor="text1"/>
          <w:lang w:val="en-US"/>
        </w:rPr>
        <w:t>(b)</w:t>
      </w:r>
      <w:r w:rsidRPr="00B40A77">
        <w:rPr>
          <w:color w:val="000000" w:themeColor="text1"/>
          <w:lang w:val="en-US"/>
        </w:rPr>
        <w:tab/>
        <w:t>if a</w:t>
      </w:r>
      <w:r w:rsidR="008601C5" w:rsidRPr="00B40A77">
        <w:rPr>
          <w:color w:val="000000" w:themeColor="text1"/>
          <w:lang w:val="en-US"/>
        </w:rPr>
        <w:t xml:space="preserve"> defendant</w:t>
      </w:r>
      <w:r w:rsidRPr="00B40A77">
        <w:rPr>
          <w:color w:val="000000" w:themeColor="text1"/>
          <w:lang w:val="en-US"/>
        </w:rPr>
        <w:t xml:space="preserve"> is represented by a law firm, </w:t>
      </w:r>
      <w:r w:rsidR="008601C5" w:rsidRPr="00B40A77">
        <w:rPr>
          <w:color w:val="000000" w:themeColor="text1"/>
          <w:lang w:val="en-US"/>
        </w:rPr>
        <w:t xml:space="preserve">their </w:t>
      </w:r>
      <w:r w:rsidR="008601C5" w:rsidRPr="00B40A77">
        <w:rPr>
          <w:color w:val="000000" w:themeColor="text1"/>
        </w:rPr>
        <w:t xml:space="preserve">counsel briefed to appear at the </w:t>
      </w:r>
      <w:hyperlink w:anchor="_2.1—Definitions" w:history="1">
        <w:r w:rsidR="002A0B8E" w:rsidRPr="00B40A77">
          <w:rPr>
            <w:rStyle w:val="Hyperlink"/>
            <w:color w:val="000000" w:themeColor="text1"/>
            <w:lang w:val="en-US"/>
          </w:rPr>
          <w:t>trial</w:t>
        </w:r>
      </w:hyperlink>
      <w:r w:rsidR="008601C5" w:rsidRPr="00B40A77">
        <w:rPr>
          <w:color w:val="000000" w:themeColor="text1"/>
        </w:rPr>
        <w:t xml:space="preserve"> or, by leave of the Court, if attendance of counsel is not practicable, by that defendant's solicitor; and</w:t>
      </w:r>
    </w:p>
    <w:p w14:paraId="1861F5FB" w14:textId="1FECCD2A" w:rsidR="00C202AA" w:rsidRPr="00B40A77" w:rsidRDefault="008601C5" w:rsidP="00201B5C">
      <w:pPr>
        <w:pStyle w:val="Doublehangindent"/>
        <w:rPr>
          <w:color w:val="000000" w:themeColor="text1"/>
        </w:rPr>
      </w:pPr>
      <w:r w:rsidRPr="00B40A77">
        <w:rPr>
          <w:color w:val="000000" w:themeColor="text1"/>
        </w:rPr>
        <w:t>(c)</w:t>
      </w:r>
      <w:r w:rsidRPr="00B40A77">
        <w:rPr>
          <w:color w:val="000000" w:themeColor="text1"/>
        </w:rPr>
        <w:tab/>
        <w:t xml:space="preserve">counsel briefed by the Director </w:t>
      </w:r>
      <w:r w:rsidR="008E6CB7" w:rsidRPr="00B40A77">
        <w:rPr>
          <w:color w:val="000000" w:themeColor="text1"/>
        </w:rPr>
        <w:t xml:space="preserve">to appear at the </w:t>
      </w:r>
      <w:hyperlink w:anchor="_2.1—Definitions" w:history="1">
        <w:r w:rsidR="002A0B8E" w:rsidRPr="00B40A77">
          <w:rPr>
            <w:rStyle w:val="Hyperlink"/>
            <w:color w:val="000000" w:themeColor="text1"/>
            <w:lang w:val="en-US"/>
          </w:rPr>
          <w:t>trial</w:t>
        </w:r>
      </w:hyperlink>
      <w:r w:rsidR="008E6CB7" w:rsidRPr="00B40A77">
        <w:rPr>
          <w:color w:val="000000" w:themeColor="text1"/>
        </w:rPr>
        <w:t xml:space="preserve"> </w:t>
      </w:r>
      <w:r w:rsidRPr="00B40A77">
        <w:rPr>
          <w:color w:val="000000" w:themeColor="text1"/>
        </w:rPr>
        <w:t xml:space="preserve">or, by leave of the Court, if attendance of </w:t>
      </w:r>
      <w:r w:rsidR="008E6CB7" w:rsidRPr="00B40A77">
        <w:rPr>
          <w:color w:val="000000" w:themeColor="text1"/>
        </w:rPr>
        <w:t xml:space="preserve">such </w:t>
      </w:r>
      <w:r w:rsidRPr="00B40A77">
        <w:rPr>
          <w:color w:val="000000" w:themeColor="text1"/>
        </w:rPr>
        <w:t>counsel is not practicable, by the solicitor having the principal conduct of the matter for the Director.</w:t>
      </w:r>
    </w:p>
    <w:p w14:paraId="51AC01A1" w14:textId="77777777" w:rsidR="004612B9" w:rsidRPr="00B40A77" w:rsidRDefault="004612B9" w:rsidP="008E5AB8">
      <w:pPr>
        <w:pStyle w:val="Heading2"/>
        <w:keepNext/>
        <w:rPr>
          <w:color w:val="000000" w:themeColor="text1"/>
        </w:rPr>
      </w:pPr>
      <w:bookmarkStart w:id="734" w:name="_Toc175239119"/>
      <w:r w:rsidRPr="00B40A77">
        <w:rPr>
          <w:color w:val="000000" w:themeColor="text1"/>
        </w:rPr>
        <w:t>Part 11—Hearings generally</w:t>
      </w:r>
      <w:bookmarkEnd w:id="734"/>
    </w:p>
    <w:p w14:paraId="4EC752AE" w14:textId="77777777" w:rsidR="004612B9" w:rsidRPr="00B40A77" w:rsidRDefault="004612B9" w:rsidP="008E5AB8">
      <w:pPr>
        <w:pStyle w:val="Heading4"/>
        <w:rPr>
          <w:color w:val="000000" w:themeColor="text1"/>
        </w:rPr>
      </w:pPr>
      <w:bookmarkStart w:id="735" w:name="_Toc175239120"/>
      <w:r w:rsidRPr="00B40A77">
        <w:rPr>
          <w:color w:val="000000" w:themeColor="text1"/>
        </w:rPr>
        <w:t>108.1—Documents for use at hearings</w:t>
      </w:r>
      <w:bookmarkEnd w:id="735"/>
    </w:p>
    <w:p w14:paraId="4FBBCB34" w14:textId="1AAA31BB" w:rsidR="004612B9" w:rsidRPr="00B40A77" w:rsidRDefault="004612B9" w:rsidP="008E5AB8">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Unless the Court otherwise orders, an affidavit, report, reference or other document to be relied on at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must be provided to the Court and served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listed hearing date.</w:t>
      </w:r>
    </w:p>
    <w:p w14:paraId="726F7C9A" w14:textId="2902FDA1" w:rsidR="004612B9" w:rsidRPr="00B40A77" w:rsidRDefault="004612B9" w:rsidP="008E5AB8">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Unless the Court otherwise orders, written submissions or a summary of argument to be relied on at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must be filed and served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listed hearing date.</w:t>
      </w:r>
    </w:p>
    <w:p w14:paraId="3A0C23AC" w14:textId="77777777" w:rsidR="004612B9" w:rsidRPr="00B40A77" w:rsidRDefault="004612B9" w:rsidP="008E5AB8">
      <w:pPr>
        <w:pStyle w:val="Heading4"/>
        <w:rPr>
          <w:color w:val="000000" w:themeColor="text1"/>
        </w:rPr>
      </w:pPr>
      <w:bookmarkStart w:id="736" w:name="_Toc175239121"/>
      <w:r w:rsidRPr="00B40A77">
        <w:rPr>
          <w:color w:val="000000" w:themeColor="text1"/>
        </w:rPr>
        <w:t>108.2—Consent orders</w:t>
      </w:r>
      <w:bookmarkEnd w:id="736"/>
    </w:p>
    <w:p w14:paraId="7EC13D8B" w14:textId="1CDA80D1" w:rsidR="004612B9" w:rsidRPr="00B40A77" w:rsidRDefault="004612B9" w:rsidP="008E5AB8">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Unless the Court otherwise orders, if the parties consent to an order to be made at or in lieu of a </w:t>
      </w:r>
      <w:hyperlink w:anchor="_2.1—Definitions" w:history="1">
        <w:r w:rsidRPr="00B40A77">
          <w:rPr>
            <w:rStyle w:val="Hyperlink"/>
            <w:rFonts w:cs="Times New Roman"/>
            <w:color w:val="000000" w:themeColor="text1"/>
            <w:lang w:val="en-US"/>
          </w:rPr>
          <w:t>hearing</w:t>
        </w:r>
      </w:hyperlink>
      <w:r w:rsidRPr="00B40A77">
        <w:rPr>
          <w:rFonts w:cs="Times New Roman"/>
          <w:color w:val="000000" w:themeColor="text1"/>
          <w:lang w:val="en-US"/>
        </w:rPr>
        <w:t xml:space="preserve"> (including, without limitation, an order adjourning the hearing or extending time to take a step in the proceeding), the terms of the consent order and fact of the consent to the order must be communicated to the Court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hearing date.</w:t>
      </w:r>
    </w:p>
    <w:p w14:paraId="56630950" w14:textId="058C8269" w:rsidR="004612B9" w:rsidRPr="00B40A77" w:rsidRDefault="004612B9" w:rsidP="008E5AB8">
      <w:pPr>
        <w:pStyle w:val="Hangindent"/>
        <w:rPr>
          <w:color w:val="000000" w:themeColor="text1"/>
          <w:szCs w:val="24"/>
          <w:lang w:val="en-US"/>
        </w:rPr>
      </w:pPr>
      <w:r w:rsidRPr="00B40A77">
        <w:rPr>
          <w:rFonts w:cs="Times New Roman"/>
          <w:color w:val="000000" w:themeColor="text1"/>
          <w:lang w:val="en-US"/>
        </w:rPr>
        <w:t>(2)</w:t>
      </w:r>
      <w:r w:rsidRPr="00B40A77">
        <w:rPr>
          <w:rFonts w:cs="Times New Roman"/>
          <w:color w:val="000000" w:themeColor="text1"/>
          <w:lang w:val="en-US"/>
        </w:rPr>
        <w:tab/>
        <w:t xml:space="preserve">Unless the Court otherwise orders, if the parties wish to request an order in chambers in the absence of the parties adjourning a hearing, the request together with the reason for the request and the purpose of the proposed adjournment must be communicated to the Court at least 2 </w:t>
      </w:r>
      <w:hyperlink w:anchor="_2.1—Definitions" w:history="1">
        <w:r w:rsidRPr="00B40A77">
          <w:rPr>
            <w:rStyle w:val="Hyperlink"/>
            <w:rFonts w:cs="Times New Roman"/>
            <w:color w:val="000000" w:themeColor="text1"/>
            <w:lang w:val="en-US"/>
          </w:rPr>
          <w:t>business days</w:t>
        </w:r>
      </w:hyperlink>
      <w:r w:rsidRPr="00B40A77">
        <w:rPr>
          <w:rFonts w:cs="Times New Roman"/>
          <w:color w:val="000000" w:themeColor="text1"/>
          <w:lang w:val="en-US"/>
        </w:rPr>
        <w:t xml:space="preserve"> before the hearing date.</w:t>
      </w:r>
    </w:p>
    <w:p w14:paraId="48F70058" w14:textId="33B09A7F" w:rsidR="000809A1" w:rsidRPr="00B40A77" w:rsidRDefault="000809A1">
      <w:pPr>
        <w:spacing w:before="0" w:after="160" w:line="259" w:lineRule="auto"/>
        <w:rPr>
          <w:color w:val="000000" w:themeColor="text1"/>
          <w:szCs w:val="24"/>
          <w:lang w:val="en-US"/>
        </w:rPr>
      </w:pPr>
      <w:r w:rsidRPr="00B40A77">
        <w:rPr>
          <w:color w:val="000000" w:themeColor="text1"/>
          <w:szCs w:val="24"/>
          <w:lang w:val="en-US"/>
        </w:rPr>
        <w:br w:type="page"/>
      </w:r>
    </w:p>
    <w:p w14:paraId="545647F5" w14:textId="51967078" w:rsidR="004457C7" w:rsidRPr="00B40A77" w:rsidRDefault="004457C7" w:rsidP="00BE23A0">
      <w:pPr>
        <w:pStyle w:val="Heading1"/>
        <w:rPr>
          <w:color w:val="000000" w:themeColor="text1"/>
        </w:rPr>
      </w:pPr>
      <w:bookmarkStart w:id="737" w:name="_Chapter_6—Trial"/>
      <w:bookmarkStart w:id="738" w:name="_Toc175239122"/>
      <w:bookmarkStart w:id="739" w:name="_Hlk107844116"/>
      <w:bookmarkEnd w:id="737"/>
      <w:r w:rsidRPr="00B40A77">
        <w:rPr>
          <w:color w:val="000000" w:themeColor="text1"/>
        </w:rPr>
        <w:lastRenderedPageBreak/>
        <w:t xml:space="preserve">Chapter </w:t>
      </w:r>
      <w:r w:rsidR="00C239BC" w:rsidRPr="00B40A77">
        <w:rPr>
          <w:color w:val="000000" w:themeColor="text1"/>
        </w:rPr>
        <w:t>6</w:t>
      </w:r>
      <w:r w:rsidRPr="00B40A77">
        <w:rPr>
          <w:color w:val="000000" w:themeColor="text1"/>
        </w:rPr>
        <w:t>—</w:t>
      </w:r>
      <w:r w:rsidR="00B972C5" w:rsidRPr="00B40A77">
        <w:rPr>
          <w:color w:val="000000" w:themeColor="text1"/>
        </w:rPr>
        <w:t>Trial</w:t>
      </w:r>
      <w:bookmarkEnd w:id="738"/>
    </w:p>
    <w:p w14:paraId="67CDD622" w14:textId="55288D81" w:rsidR="00676FEC" w:rsidRPr="00B40A77" w:rsidRDefault="00676FEC" w:rsidP="00BE23A0">
      <w:pPr>
        <w:pStyle w:val="Heading2"/>
        <w:keepNext/>
        <w:rPr>
          <w:color w:val="000000" w:themeColor="text1"/>
        </w:rPr>
      </w:pPr>
      <w:bookmarkStart w:id="740" w:name="_Toc175239123"/>
      <w:bookmarkEnd w:id="739"/>
      <w:r w:rsidRPr="00B40A77">
        <w:rPr>
          <w:color w:val="000000" w:themeColor="text1"/>
        </w:rPr>
        <w:t>Part 1—Scope of Chapter</w:t>
      </w:r>
      <w:bookmarkEnd w:id="740"/>
    </w:p>
    <w:p w14:paraId="5E9CC877" w14:textId="133F01F7" w:rsidR="00676FEC" w:rsidRPr="00B40A77" w:rsidRDefault="00EE0068" w:rsidP="00676FEC">
      <w:pPr>
        <w:pStyle w:val="Heading4"/>
        <w:rPr>
          <w:color w:val="000000" w:themeColor="text1"/>
        </w:rPr>
      </w:pPr>
      <w:bookmarkStart w:id="741" w:name="_Toc175239124"/>
      <w:r w:rsidRPr="00B40A77">
        <w:rPr>
          <w:color w:val="000000" w:themeColor="text1"/>
        </w:rPr>
        <w:t>121</w:t>
      </w:r>
      <w:r w:rsidR="00676FEC" w:rsidRPr="00B40A77">
        <w:rPr>
          <w:color w:val="000000" w:themeColor="text1"/>
        </w:rPr>
        <w:t>.1—Scope</w:t>
      </w:r>
      <w:bookmarkEnd w:id="741"/>
    </w:p>
    <w:p w14:paraId="479C14EC" w14:textId="7A739742" w:rsidR="00676FEC" w:rsidRPr="00B40A77" w:rsidRDefault="00676FEC" w:rsidP="00184C71">
      <w:pPr>
        <w:pStyle w:val="Hangindent"/>
        <w:ind w:left="567" w:firstLine="0"/>
        <w:rPr>
          <w:color w:val="000000" w:themeColor="text1"/>
          <w:lang w:val="en-US"/>
        </w:rPr>
      </w:pPr>
      <w:r w:rsidRPr="00B40A77">
        <w:rPr>
          <w:color w:val="000000" w:themeColor="text1"/>
          <w:lang w:val="en-US"/>
        </w:rPr>
        <w:t xml:space="preserve">This Chapter applies to certain matters in preparation for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w:t>
      </w:r>
      <w:r w:rsidR="00E414B8" w:rsidRPr="00B40A77">
        <w:rPr>
          <w:color w:val="000000" w:themeColor="text1"/>
          <w:lang w:val="en-US"/>
        </w:rPr>
        <w:t xml:space="preserve">to </w:t>
      </w:r>
      <w:r w:rsidRPr="00B40A77">
        <w:rPr>
          <w:color w:val="000000" w:themeColor="text1"/>
          <w:lang w:val="en-US"/>
        </w:rPr>
        <w:t xml:space="preserve">trial and </w:t>
      </w:r>
      <w:r w:rsidR="00E414B8" w:rsidRPr="00B40A77">
        <w:rPr>
          <w:color w:val="000000" w:themeColor="text1"/>
          <w:lang w:val="en-US"/>
        </w:rPr>
        <w:t xml:space="preserve">to </w:t>
      </w:r>
      <w:r w:rsidRPr="00B40A77">
        <w:rPr>
          <w:color w:val="000000" w:themeColor="text1"/>
          <w:lang w:val="en-US"/>
        </w:rPr>
        <w:t xml:space="preserve">verdicts in all Courts. </w:t>
      </w:r>
    </w:p>
    <w:p w14:paraId="1B8A8D0C" w14:textId="4793CB88" w:rsidR="00DF3C1A" w:rsidRPr="00B40A77" w:rsidRDefault="00DF3C1A" w:rsidP="00BE23A0">
      <w:pPr>
        <w:pStyle w:val="Heading2"/>
        <w:keepNext/>
        <w:rPr>
          <w:color w:val="000000" w:themeColor="text1"/>
        </w:rPr>
      </w:pPr>
      <w:bookmarkStart w:id="742" w:name="_Toc175239125"/>
      <w:bookmarkStart w:id="743" w:name="_Hlk107844302"/>
      <w:r w:rsidRPr="00B40A77">
        <w:rPr>
          <w:color w:val="000000" w:themeColor="text1"/>
        </w:rPr>
        <w:t>P</w:t>
      </w:r>
      <w:r w:rsidR="00676FEC" w:rsidRPr="00B40A77">
        <w:rPr>
          <w:color w:val="000000" w:themeColor="text1"/>
        </w:rPr>
        <w:t>art 2</w:t>
      </w:r>
      <w:r w:rsidRPr="00B40A77">
        <w:rPr>
          <w:color w:val="000000" w:themeColor="text1"/>
        </w:rPr>
        <w:t>—</w:t>
      </w:r>
      <w:r w:rsidR="00135EC7" w:rsidRPr="00B40A77">
        <w:rPr>
          <w:color w:val="000000" w:themeColor="text1"/>
        </w:rPr>
        <w:t>Subpoenas</w:t>
      </w:r>
      <w:bookmarkEnd w:id="742"/>
    </w:p>
    <w:bookmarkEnd w:id="743"/>
    <w:p w14:paraId="7A99EF21" w14:textId="77777777" w:rsidR="009A38AB" w:rsidRPr="00B40A77" w:rsidRDefault="009A38AB" w:rsidP="00E200BE">
      <w:pPr>
        <w:pStyle w:val="NoteHeader"/>
        <w:keepNext/>
        <w:ind w:left="567"/>
        <w:rPr>
          <w:color w:val="000000" w:themeColor="text1"/>
        </w:rPr>
      </w:pPr>
      <w:r w:rsidRPr="00B40A77">
        <w:rPr>
          <w:color w:val="000000" w:themeColor="text1"/>
        </w:rPr>
        <w:t>Note—</w:t>
      </w:r>
    </w:p>
    <w:p w14:paraId="7E77B72D" w14:textId="29AD60C1" w:rsidR="009A38AB" w:rsidRPr="00B40A77" w:rsidRDefault="00184C71" w:rsidP="00E200BE">
      <w:pPr>
        <w:pStyle w:val="NoteText"/>
        <w:ind w:left="851"/>
        <w:rPr>
          <w:color w:val="000000" w:themeColor="text1"/>
        </w:rPr>
      </w:pPr>
      <w:r w:rsidRPr="00B40A77">
        <w:rPr>
          <w:color w:val="000000" w:themeColor="text1"/>
        </w:rPr>
        <w:t>This Part</w:t>
      </w:r>
      <w:r w:rsidR="009A38AB" w:rsidRPr="00B40A77">
        <w:rPr>
          <w:color w:val="000000" w:themeColor="text1"/>
        </w:rPr>
        <w:t xml:space="preserve"> contains harmonised rules.</w:t>
      </w:r>
    </w:p>
    <w:p w14:paraId="51BB32A8" w14:textId="57D3B0AD" w:rsidR="009A38AB" w:rsidRPr="00B40A77" w:rsidRDefault="00184C71" w:rsidP="009A38AB">
      <w:pPr>
        <w:pStyle w:val="Heading3"/>
        <w:rPr>
          <w:color w:val="000000" w:themeColor="text1"/>
        </w:rPr>
      </w:pPr>
      <w:bookmarkStart w:id="744" w:name="_Division_1—Introduction"/>
      <w:bookmarkStart w:id="745" w:name="_Toc175239126"/>
      <w:bookmarkEnd w:id="744"/>
      <w:r w:rsidRPr="00B40A77">
        <w:rPr>
          <w:color w:val="000000" w:themeColor="text1"/>
        </w:rPr>
        <w:t>D</w:t>
      </w:r>
      <w:r w:rsidR="009A38AB" w:rsidRPr="00B40A77">
        <w:rPr>
          <w:color w:val="000000" w:themeColor="text1"/>
        </w:rPr>
        <w:t>ivision 1—Introduction</w:t>
      </w:r>
      <w:bookmarkEnd w:id="745"/>
    </w:p>
    <w:p w14:paraId="159333DF" w14:textId="4A014E02" w:rsidR="009A38AB" w:rsidRPr="00B40A77" w:rsidRDefault="00EE0068" w:rsidP="009A38AB">
      <w:pPr>
        <w:pStyle w:val="Heading4"/>
        <w:rPr>
          <w:color w:val="000000" w:themeColor="text1"/>
        </w:rPr>
      </w:pPr>
      <w:bookmarkStart w:id="746" w:name="_122.1—Interpretation"/>
      <w:bookmarkStart w:id="747" w:name="_Toc175239127"/>
      <w:bookmarkEnd w:id="746"/>
      <w:r w:rsidRPr="00B40A77">
        <w:rPr>
          <w:color w:val="000000" w:themeColor="text1"/>
        </w:rPr>
        <w:t>122</w:t>
      </w:r>
      <w:r w:rsidR="009A38AB" w:rsidRPr="00B40A77">
        <w:rPr>
          <w:color w:val="000000" w:themeColor="text1"/>
        </w:rPr>
        <w:t>.1—Interpretation</w:t>
      </w:r>
      <w:bookmarkEnd w:id="747"/>
    </w:p>
    <w:p w14:paraId="4B39A783" w14:textId="29DD115E"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In this </w:t>
      </w:r>
      <w:r w:rsidR="00B1323E" w:rsidRPr="00B40A77">
        <w:rPr>
          <w:color w:val="000000" w:themeColor="text1"/>
          <w:lang w:val="en-US"/>
        </w:rPr>
        <w:t>Part</w:t>
      </w:r>
      <w:r w:rsidRPr="00B40A77">
        <w:rPr>
          <w:color w:val="000000" w:themeColor="text1"/>
          <w:lang w:val="en-US"/>
        </w:rPr>
        <w:t>—</w:t>
      </w:r>
    </w:p>
    <w:p w14:paraId="7DDC1A96" w14:textId="0BF3EF89" w:rsidR="009A38AB" w:rsidRPr="00B40A77" w:rsidRDefault="009A38AB" w:rsidP="009A38AB">
      <w:pPr>
        <w:pStyle w:val="Doubleindentedpara"/>
        <w:rPr>
          <w:color w:val="000000" w:themeColor="text1"/>
        </w:rPr>
      </w:pPr>
      <w:r w:rsidRPr="00B40A77">
        <w:rPr>
          <w:b/>
          <w:bCs/>
          <w:i/>
          <w:iCs/>
          <w:color w:val="000000" w:themeColor="text1"/>
        </w:rPr>
        <w:t>addressee</w:t>
      </w:r>
      <w:r w:rsidRPr="00B40A77">
        <w:rPr>
          <w:color w:val="000000" w:themeColor="text1"/>
        </w:rPr>
        <w:t xml:space="preserve"> means a person who is the subject of the order expressed in a </w:t>
      </w:r>
      <w:r w:rsidR="00135EC7" w:rsidRPr="00B40A77">
        <w:rPr>
          <w:color w:val="000000" w:themeColor="text1"/>
          <w:u w:val="single"/>
        </w:rPr>
        <w:t>subpoena</w:t>
      </w:r>
      <w:r w:rsidRPr="00B40A77">
        <w:rPr>
          <w:color w:val="000000" w:themeColor="text1"/>
        </w:rPr>
        <w:t>;</w:t>
      </w:r>
    </w:p>
    <w:p w14:paraId="7FF4F010" w14:textId="2839070E" w:rsidR="009A38AB" w:rsidRPr="00B40A77" w:rsidRDefault="009A38AB" w:rsidP="009A38AB">
      <w:pPr>
        <w:pStyle w:val="Doubleindentedpara"/>
        <w:rPr>
          <w:color w:val="000000" w:themeColor="text1"/>
        </w:rPr>
      </w:pPr>
      <w:r w:rsidRPr="00B40A77">
        <w:rPr>
          <w:b/>
          <w:bCs/>
          <w:i/>
          <w:iCs/>
          <w:color w:val="000000" w:themeColor="text1"/>
        </w:rPr>
        <w:t>conduct money</w:t>
      </w:r>
      <w:r w:rsidRPr="00B40A77">
        <w:rPr>
          <w:color w:val="000000" w:themeColor="text1"/>
        </w:rPr>
        <w:t xml:space="preserve"> means a sum of money or its equivalent, such as prepaid travel, sufficient to meet the reasonable expenses of the addressee of attending court as required by </w:t>
      </w:r>
      <w:r w:rsidR="00380C78" w:rsidRPr="00B40A77">
        <w:rPr>
          <w:color w:val="000000" w:themeColor="text1"/>
        </w:rPr>
        <w:t xml:space="preserve">a </w:t>
      </w:r>
      <w:r w:rsidR="00135EC7" w:rsidRPr="00B40A77">
        <w:rPr>
          <w:color w:val="000000" w:themeColor="text1"/>
          <w:u w:val="single"/>
        </w:rPr>
        <w:t>subpoena</w:t>
      </w:r>
      <w:r w:rsidRPr="00B40A77">
        <w:rPr>
          <w:color w:val="000000" w:themeColor="text1"/>
        </w:rPr>
        <w:t xml:space="preserve"> and returning after so attending;</w:t>
      </w:r>
    </w:p>
    <w:p w14:paraId="69ED5D28" w14:textId="3F7ECA1E" w:rsidR="00CC099B" w:rsidRPr="00B40A77" w:rsidRDefault="00CC099B" w:rsidP="00CC099B">
      <w:pPr>
        <w:pStyle w:val="Doubleindentedpara"/>
        <w:rPr>
          <w:color w:val="000000" w:themeColor="text1"/>
        </w:rPr>
      </w:pPr>
      <w:r w:rsidRPr="00B40A77">
        <w:rPr>
          <w:b/>
          <w:bCs/>
          <w:i/>
          <w:iCs/>
          <w:color w:val="000000" w:themeColor="text1"/>
        </w:rPr>
        <w:t>issuing officer</w:t>
      </w:r>
      <w:r w:rsidRPr="00B40A77">
        <w:rPr>
          <w:color w:val="000000" w:themeColor="text1"/>
        </w:rPr>
        <w:t xml:space="preserve"> means a </w:t>
      </w:r>
      <w:hyperlink w:anchor="_2.1—Definitions" w:history="1">
        <w:r w:rsidR="00C737E1" w:rsidRPr="00B40A77">
          <w:rPr>
            <w:rStyle w:val="Hyperlink"/>
            <w:color w:val="000000" w:themeColor="text1"/>
          </w:rPr>
          <w:t>court officer</w:t>
        </w:r>
      </w:hyperlink>
      <w:r w:rsidRPr="00B40A77">
        <w:rPr>
          <w:color w:val="000000" w:themeColor="text1"/>
        </w:rPr>
        <w:t xml:space="preserve"> who is empowered to issue summonses to witnesses;</w:t>
      </w:r>
    </w:p>
    <w:p w14:paraId="72AA9483" w14:textId="2ED064FA" w:rsidR="009A38AB" w:rsidRPr="00B40A77" w:rsidRDefault="009A38AB" w:rsidP="009A38AB">
      <w:pPr>
        <w:pStyle w:val="Doubleindentedpara"/>
        <w:rPr>
          <w:color w:val="000000" w:themeColor="text1"/>
        </w:rPr>
      </w:pPr>
      <w:r w:rsidRPr="00B40A77">
        <w:rPr>
          <w:b/>
          <w:bCs/>
          <w:i/>
          <w:iCs/>
          <w:color w:val="000000" w:themeColor="text1"/>
        </w:rPr>
        <w:t>issuing party</w:t>
      </w:r>
      <w:r w:rsidRPr="00B40A77">
        <w:rPr>
          <w:color w:val="000000" w:themeColor="text1"/>
        </w:rPr>
        <w:t xml:space="preserve"> means the party at whose request a </w:t>
      </w:r>
      <w:r w:rsidR="00135EC7" w:rsidRPr="00B40A77">
        <w:rPr>
          <w:color w:val="000000" w:themeColor="text1"/>
          <w:u w:val="single"/>
        </w:rPr>
        <w:t>subpoena</w:t>
      </w:r>
      <w:r w:rsidRPr="00B40A77">
        <w:rPr>
          <w:color w:val="000000" w:themeColor="text1"/>
        </w:rPr>
        <w:t xml:space="preserve"> is issued;</w:t>
      </w:r>
    </w:p>
    <w:p w14:paraId="15106BCA" w14:textId="0BBE89D7" w:rsidR="009A38AB" w:rsidRPr="00B40A77" w:rsidRDefault="00135EC7" w:rsidP="009A38AB">
      <w:pPr>
        <w:pStyle w:val="Doubleindentedpara"/>
        <w:rPr>
          <w:color w:val="000000" w:themeColor="text1"/>
        </w:rPr>
      </w:pPr>
      <w:r w:rsidRPr="00B40A77">
        <w:rPr>
          <w:b/>
          <w:i/>
          <w:color w:val="000000" w:themeColor="text1"/>
        </w:rPr>
        <w:t>subpoena</w:t>
      </w:r>
      <w:r w:rsidR="009A38AB" w:rsidRPr="00B40A77">
        <w:rPr>
          <w:color w:val="000000" w:themeColor="text1"/>
        </w:rPr>
        <w:t xml:space="preserve"> means an order in writing requiring the </w:t>
      </w:r>
      <w:r w:rsidR="009A38AB" w:rsidRPr="00B40A77">
        <w:rPr>
          <w:bCs/>
          <w:iCs/>
          <w:color w:val="000000" w:themeColor="text1"/>
        </w:rPr>
        <w:t>addressee</w:t>
      </w:r>
      <w:r w:rsidR="009A38AB" w:rsidRPr="00B40A77">
        <w:rPr>
          <w:color w:val="000000" w:themeColor="text1"/>
        </w:rPr>
        <w:t>—</w:t>
      </w:r>
    </w:p>
    <w:p w14:paraId="3203E426" w14:textId="77777777" w:rsidR="009A38AB" w:rsidRPr="00B40A77" w:rsidRDefault="009A38AB" w:rsidP="009A38AB">
      <w:pPr>
        <w:pStyle w:val="Doublehangindent"/>
        <w:rPr>
          <w:color w:val="000000" w:themeColor="text1"/>
        </w:rPr>
      </w:pPr>
      <w:r w:rsidRPr="00B40A77">
        <w:rPr>
          <w:color w:val="000000" w:themeColor="text1"/>
        </w:rPr>
        <w:t>(a)</w:t>
      </w:r>
      <w:r w:rsidRPr="00B40A77">
        <w:rPr>
          <w:color w:val="000000" w:themeColor="text1"/>
        </w:rPr>
        <w:tab/>
        <w:t>to attend to give evidence; or</w:t>
      </w:r>
    </w:p>
    <w:p w14:paraId="5A544F62" w14:textId="27BAA75E" w:rsidR="009A38AB" w:rsidRPr="00B40A77" w:rsidRDefault="009A38AB" w:rsidP="009A38AB">
      <w:pPr>
        <w:pStyle w:val="Doublehangindent"/>
        <w:rPr>
          <w:color w:val="000000" w:themeColor="text1"/>
        </w:rPr>
      </w:pPr>
      <w:r w:rsidRPr="00B40A77">
        <w:rPr>
          <w:color w:val="000000" w:themeColor="text1"/>
        </w:rPr>
        <w:t>(b)</w:t>
      </w:r>
      <w:r w:rsidRPr="00B40A77">
        <w:rPr>
          <w:color w:val="000000" w:themeColor="text1"/>
        </w:rPr>
        <w:tab/>
        <w:t xml:space="preserve">to produce the </w:t>
      </w:r>
      <w:r w:rsidR="00135EC7" w:rsidRPr="00B40A77">
        <w:rPr>
          <w:color w:val="000000" w:themeColor="text1"/>
          <w:u w:val="single"/>
        </w:rPr>
        <w:t>subpoena</w:t>
      </w:r>
      <w:r w:rsidRPr="00B40A77">
        <w:rPr>
          <w:color w:val="000000" w:themeColor="text1"/>
        </w:rPr>
        <w:t xml:space="preserve"> or a copy of it and a document or thing; or</w:t>
      </w:r>
    </w:p>
    <w:p w14:paraId="6F764AAD" w14:textId="6F3C09E9" w:rsidR="009A38AB" w:rsidRPr="00B40A77" w:rsidRDefault="005D0D70" w:rsidP="009A38AB">
      <w:pPr>
        <w:pStyle w:val="Doublehangindent"/>
        <w:rPr>
          <w:color w:val="000000" w:themeColor="text1"/>
        </w:rPr>
      </w:pPr>
      <w:r w:rsidRPr="00B40A77">
        <w:rPr>
          <w:color w:val="000000" w:themeColor="text1"/>
        </w:rPr>
        <w:t>(c)</w:t>
      </w:r>
      <w:r w:rsidRPr="00B40A77">
        <w:rPr>
          <w:color w:val="000000" w:themeColor="text1"/>
        </w:rPr>
        <w:tab/>
        <w:t>to do both those things.</w:t>
      </w:r>
    </w:p>
    <w:p w14:paraId="281BB427" w14:textId="12F803CD"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To the extent that a </w:t>
      </w:r>
      <w:r w:rsidR="00135EC7" w:rsidRPr="00B40A77">
        <w:rPr>
          <w:color w:val="000000" w:themeColor="text1"/>
          <w:u w:val="single"/>
          <w:lang w:val="en-US"/>
        </w:rPr>
        <w:t>subpoena</w:t>
      </w:r>
      <w:r w:rsidRPr="00B40A77">
        <w:rPr>
          <w:color w:val="000000" w:themeColor="text1"/>
          <w:lang w:val="en-US"/>
        </w:rPr>
        <w:t xml:space="preserve"> requires an addressee to attend to give evidence, it is called a </w:t>
      </w:r>
      <w:r w:rsidR="00135EC7" w:rsidRPr="00B40A77">
        <w:rPr>
          <w:b/>
          <w:bCs/>
          <w:i/>
          <w:iCs/>
          <w:color w:val="000000" w:themeColor="text1"/>
          <w:lang w:val="en-US"/>
        </w:rPr>
        <w:t>subpoena</w:t>
      </w:r>
      <w:r w:rsidRPr="00B40A77">
        <w:rPr>
          <w:b/>
          <w:bCs/>
          <w:i/>
          <w:iCs/>
          <w:color w:val="000000" w:themeColor="text1"/>
          <w:lang w:val="en-US"/>
        </w:rPr>
        <w:t xml:space="preserve"> to attend to give evidence</w:t>
      </w:r>
      <w:r w:rsidRPr="00B40A77">
        <w:rPr>
          <w:color w:val="000000" w:themeColor="text1"/>
          <w:lang w:val="en-US"/>
        </w:rPr>
        <w:t>.</w:t>
      </w:r>
    </w:p>
    <w:p w14:paraId="49DB05D2" w14:textId="65AAC6F4"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To the extent that a </w:t>
      </w:r>
      <w:r w:rsidR="00135EC7" w:rsidRPr="00B40A77">
        <w:rPr>
          <w:color w:val="000000" w:themeColor="text1"/>
          <w:u w:val="single"/>
          <w:lang w:val="en-US"/>
        </w:rPr>
        <w:t>subpoena</w:t>
      </w:r>
      <w:r w:rsidRPr="00B40A77">
        <w:rPr>
          <w:color w:val="000000" w:themeColor="text1"/>
          <w:lang w:val="en-US"/>
        </w:rPr>
        <w:t xml:space="preserve"> requires an addressee to produce the </w:t>
      </w:r>
      <w:r w:rsidR="00135EC7" w:rsidRPr="00B40A77">
        <w:rPr>
          <w:color w:val="000000" w:themeColor="text1"/>
          <w:u w:val="single"/>
          <w:lang w:val="en-US"/>
        </w:rPr>
        <w:t>subpoena</w:t>
      </w:r>
      <w:r w:rsidRPr="00B40A77">
        <w:rPr>
          <w:color w:val="000000" w:themeColor="text1"/>
          <w:lang w:val="en-US"/>
        </w:rPr>
        <w:t xml:space="preserve"> or a copy of it and a document or thing, it is called a </w:t>
      </w:r>
      <w:r w:rsidR="00135EC7" w:rsidRPr="00B40A77">
        <w:rPr>
          <w:b/>
          <w:bCs/>
          <w:i/>
          <w:iCs/>
          <w:color w:val="000000" w:themeColor="text1"/>
          <w:lang w:val="en-US"/>
        </w:rPr>
        <w:t>subpoena</w:t>
      </w:r>
      <w:r w:rsidRPr="00B40A77">
        <w:rPr>
          <w:b/>
          <w:bCs/>
          <w:i/>
          <w:iCs/>
          <w:color w:val="000000" w:themeColor="text1"/>
          <w:lang w:val="en-US"/>
        </w:rPr>
        <w:t xml:space="preserve"> to produce</w:t>
      </w:r>
      <w:r w:rsidRPr="00B40A77">
        <w:rPr>
          <w:color w:val="000000" w:themeColor="text1"/>
          <w:lang w:val="en-US"/>
        </w:rPr>
        <w:t>.</w:t>
      </w:r>
    </w:p>
    <w:p w14:paraId="43800E6E" w14:textId="365DFAD0" w:rsidR="005E19EF" w:rsidRPr="00B40A77" w:rsidRDefault="005E19EF" w:rsidP="005E19EF">
      <w:pPr>
        <w:pStyle w:val="Hangindent"/>
        <w:rPr>
          <w:color w:val="000000" w:themeColor="text1"/>
          <w:lang w:val="en-US"/>
        </w:rPr>
      </w:pPr>
      <w:r w:rsidRPr="00B40A77">
        <w:rPr>
          <w:color w:val="000000" w:themeColor="text1"/>
          <w:lang w:val="en-US"/>
        </w:rPr>
        <w:t>(</w:t>
      </w:r>
      <w:r w:rsidR="0023600B" w:rsidRPr="00B40A77">
        <w:rPr>
          <w:color w:val="000000" w:themeColor="text1"/>
          <w:lang w:val="en-US"/>
        </w:rPr>
        <w:t>4</w:t>
      </w:r>
      <w:r w:rsidRPr="00B40A77">
        <w:rPr>
          <w:color w:val="000000" w:themeColor="text1"/>
          <w:lang w:val="en-US"/>
        </w:rPr>
        <w:t>)</w:t>
      </w:r>
      <w:r w:rsidRPr="00B40A77">
        <w:rPr>
          <w:color w:val="000000" w:themeColor="text1"/>
          <w:lang w:val="en-US"/>
        </w:rPr>
        <w:tab/>
        <w:t xml:space="preserve">A </w:t>
      </w:r>
      <w:r w:rsidR="00135EC7" w:rsidRPr="00B40A77">
        <w:rPr>
          <w:color w:val="000000" w:themeColor="text1"/>
          <w:u w:val="single"/>
          <w:lang w:val="en-US"/>
        </w:rPr>
        <w:t>subpoena</w:t>
      </w:r>
      <w:r w:rsidRPr="00B40A77">
        <w:rPr>
          <w:color w:val="000000" w:themeColor="text1"/>
          <w:lang w:val="en-US"/>
        </w:rPr>
        <w:t xml:space="preserve"> requiring an addressee </w:t>
      </w:r>
      <w:r w:rsidR="0023600B" w:rsidRPr="00B40A77">
        <w:rPr>
          <w:color w:val="000000" w:themeColor="text1"/>
          <w:lang w:val="en-US"/>
        </w:rPr>
        <w:t xml:space="preserve">to attend to give evidence and </w:t>
      </w:r>
      <w:r w:rsidRPr="00B40A77">
        <w:rPr>
          <w:color w:val="000000" w:themeColor="text1"/>
          <w:lang w:val="en-US"/>
        </w:rPr>
        <w:t xml:space="preserve">produce the </w:t>
      </w:r>
      <w:r w:rsidR="00135EC7" w:rsidRPr="00B40A77">
        <w:rPr>
          <w:color w:val="000000" w:themeColor="text1"/>
          <w:u w:val="single"/>
          <w:lang w:val="en-US"/>
        </w:rPr>
        <w:t>subpoena</w:t>
      </w:r>
      <w:r w:rsidRPr="00B40A77">
        <w:rPr>
          <w:color w:val="000000" w:themeColor="text1"/>
          <w:lang w:val="en-US"/>
        </w:rPr>
        <w:t xml:space="preserve"> or a copy of it and a document or thing, it is called a </w:t>
      </w:r>
      <w:r w:rsidR="00135EC7" w:rsidRPr="00B40A77">
        <w:rPr>
          <w:b/>
          <w:bCs/>
          <w:i/>
          <w:iCs/>
          <w:color w:val="000000" w:themeColor="text1"/>
          <w:lang w:val="en-US"/>
        </w:rPr>
        <w:t>subpoena</w:t>
      </w:r>
      <w:r w:rsidRPr="00B40A77">
        <w:rPr>
          <w:b/>
          <w:bCs/>
          <w:i/>
          <w:iCs/>
          <w:color w:val="000000" w:themeColor="text1"/>
          <w:lang w:val="en-US"/>
        </w:rPr>
        <w:t xml:space="preserve"> to </w:t>
      </w:r>
      <w:r w:rsidR="0023600B" w:rsidRPr="00B40A77">
        <w:rPr>
          <w:b/>
          <w:bCs/>
          <w:i/>
          <w:iCs/>
          <w:color w:val="000000" w:themeColor="text1"/>
          <w:lang w:val="en-US"/>
        </w:rPr>
        <w:t xml:space="preserve">attend to give evidence and </w:t>
      </w:r>
      <w:r w:rsidRPr="00B40A77">
        <w:rPr>
          <w:b/>
          <w:bCs/>
          <w:i/>
          <w:iCs/>
          <w:color w:val="000000" w:themeColor="text1"/>
          <w:lang w:val="en-US"/>
        </w:rPr>
        <w:t>produce</w:t>
      </w:r>
      <w:r w:rsidRPr="00B40A77">
        <w:rPr>
          <w:color w:val="000000" w:themeColor="text1"/>
          <w:lang w:val="en-US"/>
        </w:rPr>
        <w:t>.</w:t>
      </w:r>
    </w:p>
    <w:p w14:paraId="727B3854" w14:textId="35547E8F" w:rsidR="009A38AB" w:rsidRPr="00B40A77" w:rsidRDefault="00184C71" w:rsidP="009A38AB">
      <w:pPr>
        <w:pStyle w:val="Heading3"/>
        <w:rPr>
          <w:color w:val="000000" w:themeColor="text1"/>
        </w:rPr>
      </w:pPr>
      <w:bookmarkStart w:id="748" w:name="_Division_2—Issue_and"/>
      <w:bookmarkStart w:id="749" w:name="_Toc175239128"/>
      <w:bookmarkEnd w:id="748"/>
      <w:r w:rsidRPr="00B40A77">
        <w:rPr>
          <w:color w:val="000000" w:themeColor="text1"/>
        </w:rPr>
        <w:t>D</w:t>
      </w:r>
      <w:r w:rsidR="007143D4" w:rsidRPr="00B40A77">
        <w:rPr>
          <w:color w:val="000000" w:themeColor="text1"/>
        </w:rPr>
        <w:t>ivision</w:t>
      </w:r>
      <w:r w:rsidR="009A38AB" w:rsidRPr="00B40A77">
        <w:rPr>
          <w:color w:val="000000" w:themeColor="text1"/>
        </w:rPr>
        <w:t xml:space="preserve"> 2—Issue and service</w:t>
      </w:r>
      <w:bookmarkEnd w:id="749"/>
    </w:p>
    <w:p w14:paraId="7C2CF60F" w14:textId="4E6BDAFF" w:rsidR="009A38AB" w:rsidRPr="00B40A77" w:rsidRDefault="00EE0068" w:rsidP="009A38AB">
      <w:pPr>
        <w:pStyle w:val="Heading4"/>
        <w:rPr>
          <w:color w:val="000000" w:themeColor="text1"/>
        </w:rPr>
      </w:pPr>
      <w:bookmarkStart w:id="750" w:name="_Toc175239129"/>
      <w:r w:rsidRPr="00B40A77">
        <w:rPr>
          <w:color w:val="000000" w:themeColor="text1"/>
        </w:rPr>
        <w:t>12</w:t>
      </w:r>
      <w:r w:rsidR="00B1323E" w:rsidRPr="00B40A77">
        <w:rPr>
          <w:color w:val="000000" w:themeColor="text1"/>
        </w:rPr>
        <w:t>3.1</w:t>
      </w:r>
      <w:r w:rsidR="009A38AB" w:rsidRPr="00B40A77">
        <w:rPr>
          <w:color w:val="000000" w:themeColor="text1"/>
        </w:rPr>
        <w:t xml:space="preserve">—Issuing </w:t>
      </w:r>
      <w:r w:rsidR="00135EC7" w:rsidRPr="00B40A77">
        <w:rPr>
          <w:color w:val="000000" w:themeColor="text1"/>
        </w:rPr>
        <w:t>subpoena</w:t>
      </w:r>
      <w:r w:rsidR="0042083D" w:rsidRPr="00B40A77">
        <w:rPr>
          <w:color w:val="000000" w:themeColor="text1"/>
        </w:rPr>
        <w:t>s</w:t>
      </w:r>
      <w:bookmarkEnd w:id="750"/>
    </w:p>
    <w:p w14:paraId="63E88DEA" w14:textId="30FAE1E6"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in any proceeding, by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order the </w:t>
      </w:r>
      <w:hyperlink w:anchor="_122.1—Interpretation" w:history="1">
        <w:r w:rsidRPr="00B40A77">
          <w:rPr>
            <w:rStyle w:val="Hyperlink"/>
            <w:color w:val="000000" w:themeColor="text1"/>
            <w:lang w:val="en-US"/>
          </w:rPr>
          <w:t>addressee</w:t>
        </w:r>
      </w:hyperlink>
      <w:r w:rsidRPr="00B40A77">
        <w:rPr>
          <w:color w:val="000000" w:themeColor="text1"/>
          <w:lang w:val="en-US"/>
        </w:rPr>
        <w:t>—</w:t>
      </w:r>
    </w:p>
    <w:p w14:paraId="6B993C92" w14:textId="23B90EFF" w:rsidR="009A38AB" w:rsidRPr="00B40A77" w:rsidRDefault="009A38AB" w:rsidP="009A38AB">
      <w:pPr>
        <w:pStyle w:val="Doublehangindent"/>
        <w:rPr>
          <w:color w:val="000000" w:themeColor="text1"/>
        </w:rPr>
      </w:pPr>
      <w:r w:rsidRPr="00B40A77">
        <w:rPr>
          <w:color w:val="000000" w:themeColor="text1"/>
        </w:rPr>
        <w:t>(a)</w:t>
      </w:r>
      <w:r w:rsidRPr="00B40A77">
        <w:rPr>
          <w:color w:val="000000" w:themeColor="text1"/>
        </w:rPr>
        <w:tab/>
        <w:t xml:space="preserve">to attend to give evidence as directed by the </w:t>
      </w:r>
      <w:hyperlink w:anchor="_122.1—Interpretation" w:history="1">
        <w:r w:rsidR="001F0AB4" w:rsidRPr="00B40A77">
          <w:rPr>
            <w:rStyle w:val="Hyperlink"/>
            <w:color w:val="000000" w:themeColor="text1"/>
            <w:lang w:val="en-US"/>
          </w:rPr>
          <w:t>subpoena</w:t>
        </w:r>
      </w:hyperlink>
      <w:r w:rsidRPr="00B40A77">
        <w:rPr>
          <w:color w:val="000000" w:themeColor="text1"/>
        </w:rPr>
        <w:t xml:space="preserve">; </w:t>
      </w:r>
    </w:p>
    <w:p w14:paraId="70B5A2D3" w14:textId="2A4FBA4D" w:rsidR="009A38AB" w:rsidRPr="00B40A77" w:rsidRDefault="009A38AB" w:rsidP="009A38AB">
      <w:pPr>
        <w:pStyle w:val="Doublehangindent"/>
        <w:rPr>
          <w:color w:val="000000" w:themeColor="text1"/>
        </w:rPr>
      </w:pPr>
      <w:r w:rsidRPr="00B40A77">
        <w:rPr>
          <w:color w:val="000000" w:themeColor="text1"/>
        </w:rPr>
        <w:t>(b)</w:t>
      </w:r>
      <w:r w:rsidRPr="00B40A77">
        <w:rPr>
          <w:color w:val="000000" w:themeColor="text1"/>
        </w:rPr>
        <w:tab/>
        <w:t xml:space="preserve">to produce the </w:t>
      </w:r>
      <w:hyperlink w:anchor="_122.1—Interpretation" w:history="1">
        <w:r w:rsidR="00135EC7" w:rsidRPr="00B40A77">
          <w:rPr>
            <w:rStyle w:val="Hyperlink"/>
            <w:color w:val="000000" w:themeColor="text1"/>
            <w:lang w:val="en-US"/>
          </w:rPr>
          <w:t>subpoena</w:t>
        </w:r>
      </w:hyperlink>
      <w:r w:rsidRPr="00B40A77">
        <w:rPr>
          <w:color w:val="000000" w:themeColor="text1"/>
        </w:rPr>
        <w:t xml:space="preserve"> or a copy of it and any document or thing as directed by the </w:t>
      </w:r>
      <w:hyperlink w:anchor="_122.1—Interpretation" w:history="1">
        <w:r w:rsidR="00135EC7" w:rsidRPr="00B40A77">
          <w:rPr>
            <w:rStyle w:val="Hyperlink"/>
            <w:color w:val="000000" w:themeColor="text1"/>
            <w:lang w:val="en-US"/>
          </w:rPr>
          <w:t>subpoena</w:t>
        </w:r>
      </w:hyperlink>
      <w:r w:rsidRPr="00B40A77">
        <w:rPr>
          <w:color w:val="000000" w:themeColor="text1"/>
        </w:rPr>
        <w:t>; or</w:t>
      </w:r>
    </w:p>
    <w:p w14:paraId="0334672D" w14:textId="77777777" w:rsidR="009A38AB" w:rsidRPr="00B40A77" w:rsidRDefault="009A38AB" w:rsidP="009A38AB">
      <w:pPr>
        <w:pStyle w:val="Doublehangindent"/>
        <w:rPr>
          <w:color w:val="000000" w:themeColor="text1"/>
        </w:rPr>
      </w:pPr>
      <w:r w:rsidRPr="00B40A77">
        <w:rPr>
          <w:color w:val="000000" w:themeColor="text1"/>
        </w:rPr>
        <w:t>(c)</w:t>
      </w:r>
      <w:r w:rsidRPr="00B40A77">
        <w:rPr>
          <w:color w:val="000000" w:themeColor="text1"/>
        </w:rPr>
        <w:tab/>
        <w:t>to do both those things.</w:t>
      </w:r>
    </w:p>
    <w:p w14:paraId="0C66D9D4" w14:textId="4FAAED32"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An issuing officer must not issue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60BF617F" w14:textId="6B5A6D1B" w:rsidR="009A38AB" w:rsidRPr="00B40A77" w:rsidRDefault="009A38AB" w:rsidP="009A38AB">
      <w:pPr>
        <w:pStyle w:val="Doublehangindent"/>
        <w:rPr>
          <w:color w:val="000000" w:themeColor="text1"/>
        </w:rPr>
      </w:pPr>
      <w:r w:rsidRPr="00B40A77">
        <w:rPr>
          <w:color w:val="000000" w:themeColor="text1"/>
        </w:rPr>
        <w:lastRenderedPageBreak/>
        <w:t>(a)</w:t>
      </w:r>
      <w:r w:rsidRPr="00B40A77">
        <w:rPr>
          <w:color w:val="000000" w:themeColor="text1"/>
        </w:rPr>
        <w:tab/>
        <w:t xml:space="preserve">if the Court has made an order, or there is a rule of the Court, having the effect of requiring that the proposed </w:t>
      </w:r>
      <w:hyperlink w:anchor="_122.1—Interpretation" w:history="1">
        <w:r w:rsidR="00135EC7" w:rsidRPr="00B40A77">
          <w:rPr>
            <w:rStyle w:val="Hyperlink"/>
            <w:color w:val="000000" w:themeColor="text1"/>
            <w:lang w:val="en-US"/>
          </w:rPr>
          <w:t>subpoena</w:t>
        </w:r>
      </w:hyperlink>
      <w:r w:rsidRPr="00B40A77">
        <w:rPr>
          <w:color w:val="000000" w:themeColor="text1"/>
        </w:rPr>
        <w:t>—</w:t>
      </w:r>
    </w:p>
    <w:p w14:paraId="290C40E9" w14:textId="77777777" w:rsidR="009A38AB" w:rsidRPr="00B40A77" w:rsidRDefault="009A38AB" w:rsidP="009A38AB">
      <w:pPr>
        <w:pStyle w:val="Triplehangindent"/>
        <w:rPr>
          <w:color w:val="000000" w:themeColor="text1"/>
        </w:rPr>
      </w:pPr>
      <w:r w:rsidRPr="00B40A77">
        <w:rPr>
          <w:color w:val="000000" w:themeColor="text1"/>
        </w:rPr>
        <w:t>(i)</w:t>
      </w:r>
      <w:r w:rsidRPr="00B40A77">
        <w:rPr>
          <w:color w:val="000000" w:themeColor="text1"/>
        </w:rPr>
        <w:tab/>
        <w:t>not be issued; or</w:t>
      </w:r>
    </w:p>
    <w:p w14:paraId="5622F7E5" w14:textId="150E5383" w:rsidR="009A38AB" w:rsidRPr="00B40A77" w:rsidRDefault="009A38AB" w:rsidP="009A38AB">
      <w:pPr>
        <w:pStyle w:val="Triplehangindent"/>
        <w:rPr>
          <w:color w:val="000000" w:themeColor="text1"/>
        </w:rPr>
      </w:pPr>
      <w:r w:rsidRPr="00B40A77">
        <w:rPr>
          <w:color w:val="000000" w:themeColor="text1"/>
        </w:rPr>
        <w:t>(ii)</w:t>
      </w:r>
      <w:r w:rsidRPr="00B40A77">
        <w:rPr>
          <w:color w:val="000000" w:themeColor="text1"/>
        </w:rPr>
        <w:tab/>
        <w:t>not be issued without leave of the Court and that leave has not been given;</w:t>
      </w:r>
      <w:r w:rsidR="00BA7A73" w:rsidRPr="00B40A77">
        <w:rPr>
          <w:color w:val="000000" w:themeColor="text1"/>
        </w:rPr>
        <w:t> </w:t>
      </w:r>
      <w:r w:rsidRPr="00B40A77">
        <w:rPr>
          <w:color w:val="000000" w:themeColor="text1"/>
        </w:rPr>
        <w:t>or</w:t>
      </w:r>
    </w:p>
    <w:p w14:paraId="168CF073" w14:textId="77777777" w:rsidR="009A38AB" w:rsidRPr="00B40A77" w:rsidRDefault="009A38AB" w:rsidP="009A38AB">
      <w:pPr>
        <w:pStyle w:val="Doublehangindent"/>
        <w:rPr>
          <w:color w:val="000000" w:themeColor="text1"/>
        </w:rPr>
      </w:pPr>
      <w:r w:rsidRPr="00B40A77">
        <w:rPr>
          <w:color w:val="000000" w:themeColor="text1"/>
        </w:rPr>
        <w:t>(b)</w:t>
      </w:r>
      <w:r w:rsidRPr="00B40A77">
        <w:rPr>
          <w:color w:val="000000" w:themeColor="text1"/>
        </w:rPr>
        <w:tab/>
        <w:t>requiring the production of a document or thing in the custody of the Court or another court.</w:t>
      </w:r>
    </w:p>
    <w:p w14:paraId="37F1209A" w14:textId="07188BC4"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issuing officer must seal with the seal of the Court, or otherwise authenticate, a sufficient number of copies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for service and proof of service.</w:t>
      </w:r>
    </w:p>
    <w:p w14:paraId="387C8FF5" w14:textId="53B6817E" w:rsidR="009A38AB" w:rsidRPr="00B40A77" w:rsidRDefault="009A38AB" w:rsidP="009A38A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hyperlink>
      <w:r w:rsidR="007E31A7" w:rsidRPr="00B40A77">
        <w:rPr>
          <w:color w:val="000000" w:themeColor="text1"/>
          <w:lang w:val="en-US"/>
        </w:rPr>
        <w:t xml:space="preserve"> </w:t>
      </w:r>
      <w:r w:rsidRPr="00B40A77">
        <w:rPr>
          <w:color w:val="000000" w:themeColor="text1"/>
          <w:lang w:val="en-US"/>
        </w:rPr>
        <w:t>is taken to have been issued when it is sealed or otherwise authenticated in accordance with subrule</w:t>
      </w:r>
      <w:r w:rsidR="00BA7A73" w:rsidRPr="00B40A77">
        <w:rPr>
          <w:color w:val="000000" w:themeColor="text1"/>
          <w:lang w:val="en-US"/>
        </w:rPr>
        <w:t> </w:t>
      </w:r>
      <w:r w:rsidRPr="00B40A77">
        <w:rPr>
          <w:color w:val="000000" w:themeColor="text1"/>
          <w:lang w:val="en-US"/>
        </w:rPr>
        <w:t>(3).</w:t>
      </w:r>
    </w:p>
    <w:p w14:paraId="4B0EADAF" w14:textId="18301CDE" w:rsidR="000F65FC" w:rsidRPr="00B40A77" w:rsidRDefault="000F65FC" w:rsidP="00650D28">
      <w:pPr>
        <w:pStyle w:val="Hangindent"/>
        <w:keepNext/>
        <w:rPr>
          <w:i/>
          <w:iCs/>
          <w:color w:val="000000" w:themeColor="text1"/>
          <w:lang w:val="en-US"/>
        </w:rPr>
      </w:pPr>
      <w:r w:rsidRPr="00B40A77">
        <w:rPr>
          <w:i/>
          <w:iCs/>
          <w:color w:val="000000" w:themeColor="text1"/>
          <w:lang w:val="en-US"/>
        </w:rPr>
        <w:t>Higher Courts</w:t>
      </w:r>
    </w:p>
    <w:p w14:paraId="5FCD6F16" w14:textId="65230C1B" w:rsidR="006E00BA" w:rsidRPr="00B40A77" w:rsidRDefault="006E00BA" w:rsidP="00650D28">
      <w:pPr>
        <w:pStyle w:val="Hangindent"/>
        <w:keepNext/>
        <w:rPr>
          <w:color w:val="000000" w:themeColor="text1"/>
          <w:lang w:val="en-US"/>
        </w:rPr>
      </w:pPr>
      <w:r w:rsidRPr="00B40A77">
        <w:rPr>
          <w:color w:val="000000" w:themeColor="text1"/>
          <w:lang w:val="en-US"/>
        </w:rPr>
        <w:t>(5)</w:t>
      </w:r>
      <w:r w:rsidRPr="00B40A77">
        <w:rPr>
          <w:color w:val="000000" w:themeColor="text1"/>
          <w:lang w:val="en-US"/>
        </w:rPr>
        <w:tab/>
        <w:t>An application under section</w:t>
      </w:r>
      <w:r w:rsidR="005C336A" w:rsidRPr="00B40A77">
        <w:rPr>
          <w:color w:val="000000" w:themeColor="text1"/>
          <w:lang w:val="en-US"/>
        </w:rPr>
        <w:t> </w:t>
      </w:r>
      <w:r w:rsidRPr="00B40A77">
        <w:rPr>
          <w:color w:val="000000" w:themeColor="text1"/>
          <w:lang w:val="en-US"/>
        </w:rPr>
        <w:t xml:space="preserve">126(1)(b) of the Procedure Act for issue of a </w:t>
      </w:r>
      <w:hyperlink w:anchor="_122.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must be made by an interlocutory application in the approved form or by oral application at a </w:t>
      </w:r>
      <w:hyperlink w:anchor="_2.1—Definitions" w:history="1">
        <w:r w:rsidR="00BF49F7" w:rsidRPr="00B40A77">
          <w:rPr>
            <w:rStyle w:val="Hyperlink"/>
            <w:color w:val="000000" w:themeColor="text1"/>
          </w:rPr>
          <w:t>hearing</w:t>
        </w:r>
      </w:hyperlink>
      <w:r w:rsidRPr="00B40A77">
        <w:rPr>
          <w:color w:val="000000" w:themeColor="text1"/>
          <w:lang w:val="en-US"/>
        </w:rPr>
        <w:t>.</w:t>
      </w:r>
    </w:p>
    <w:p w14:paraId="3006CA57" w14:textId="41D10C5B" w:rsidR="00B77F1A" w:rsidRPr="00B40A77" w:rsidRDefault="00B77F1A" w:rsidP="009A6578">
      <w:pPr>
        <w:pStyle w:val="NoteHeader"/>
        <w:keepNext/>
        <w:rPr>
          <w:color w:val="000000" w:themeColor="text1"/>
        </w:rPr>
      </w:pPr>
      <w:r w:rsidRPr="00B40A77">
        <w:rPr>
          <w:color w:val="000000" w:themeColor="text1"/>
        </w:rPr>
        <w:t>Prescribed form—</w:t>
      </w:r>
    </w:p>
    <w:p w14:paraId="47C5E42B" w14:textId="0C945834" w:rsidR="00B77F1A" w:rsidRPr="00B40A77" w:rsidRDefault="00B77F1A" w:rsidP="009A6578">
      <w:pPr>
        <w:pStyle w:val="NoteText"/>
        <w:rPr>
          <w:color w:val="000000" w:themeColor="text1"/>
          <w:lang w:val="en-US"/>
        </w:rPr>
      </w:pPr>
      <w:r w:rsidRPr="00B40A77">
        <w:rPr>
          <w:color w:val="000000" w:themeColor="text1"/>
        </w:rPr>
        <w:t xml:space="preserve">Form 92 </w:t>
      </w:r>
      <w:hyperlink r:id="rId206" w:history="1">
        <w:r w:rsidRPr="00B40A77">
          <w:rPr>
            <w:rStyle w:val="Hyperlink"/>
            <w:color w:val="000000" w:themeColor="text1"/>
          </w:rPr>
          <w:t xml:space="preserve">Interlocutory </w:t>
        </w:r>
        <w:r w:rsidRPr="00B40A77">
          <w:rPr>
            <w:rStyle w:val="Hyperlink"/>
            <w:color w:val="000000" w:themeColor="text1"/>
            <w:lang w:val="en-US"/>
          </w:rPr>
          <w:t>Application</w:t>
        </w:r>
      </w:hyperlink>
    </w:p>
    <w:p w14:paraId="21CEF072" w14:textId="153C2B06" w:rsidR="009D0610" w:rsidRPr="00B40A77" w:rsidRDefault="009D0610" w:rsidP="006E00BA">
      <w:pPr>
        <w:pStyle w:val="NoteHeader"/>
        <w:keepNext/>
        <w:rPr>
          <w:color w:val="000000" w:themeColor="text1"/>
          <w:lang w:val="en-US"/>
        </w:rPr>
      </w:pPr>
      <w:r w:rsidRPr="00B40A77">
        <w:rPr>
          <w:color w:val="000000" w:themeColor="text1"/>
          <w:lang w:val="en-US"/>
        </w:rPr>
        <w:t>Note</w:t>
      </w:r>
      <w:r w:rsidR="00D71339" w:rsidRPr="00B40A77">
        <w:rPr>
          <w:color w:val="000000" w:themeColor="text1"/>
          <w:lang w:val="en-US"/>
        </w:rPr>
        <w:t xml:space="preserve"> 1—</w:t>
      </w:r>
    </w:p>
    <w:p w14:paraId="1AEB022F" w14:textId="15D9643D" w:rsidR="009D0610" w:rsidRPr="00B40A77" w:rsidRDefault="009D0610" w:rsidP="00650D28">
      <w:pPr>
        <w:pStyle w:val="NoteText"/>
        <w:keepNext/>
        <w:rPr>
          <w:color w:val="000000" w:themeColor="text1"/>
          <w:lang w:val="en-US"/>
        </w:rPr>
      </w:pPr>
      <w:r w:rsidRPr="00B40A77">
        <w:rPr>
          <w:color w:val="000000" w:themeColor="text1"/>
          <w:lang w:val="en-US"/>
        </w:rPr>
        <w:t xml:space="preserve">Section </w:t>
      </w:r>
      <w:r w:rsidR="000F65FC" w:rsidRPr="00B40A77">
        <w:rPr>
          <w:color w:val="000000" w:themeColor="text1"/>
          <w:lang w:val="en-US"/>
        </w:rPr>
        <w:t xml:space="preserve">126(1)(a) of the Procedure Act provides that a subpoena other than to attend to give evidence may only be issued by the </w:t>
      </w:r>
      <w:r w:rsidR="005E1AAF" w:rsidRPr="00B40A77">
        <w:rPr>
          <w:color w:val="000000" w:themeColor="text1"/>
          <w:lang w:val="en-US"/>
        </w:rPr>
        <w:t>R</w:t>
      </w:r>
      <w:r w:rsidR="000F65FC" w:rsidRPr="00B40A77">
        <w:rPr>
          <w:color w:val="000000" w:themeColor="text1"/>
          <w:lang w:val="en-US"/>
        </w:rPr>
        <w:t xml:space="preserve">egistrar of a superior court if all parties and each recipient consent. Section 126(1)(b) and (2) of the Procedure Act provides that a subpoena other than to attend to give evidence may only be issued by </w:t>
      </w:r>
      <w:r w:rsidR="003B0612" w:rsidRPr="00B40A77">
        <w:rPr>
          <w:color w:val="000000" w:themeColor="text1"/>
          <w:lang w:val="en-US"/>
        </w:rPr>
        <w:t>a Judge or Master</w:t>
      </w:r>
      <w:r w:rsidR="000F65FC" w:rsidRPr="00B40A77">
        <w:rPr>
          <w:color w:val="000000" w:themeColor="text1"/>
          <w:lang w:val="en-US"/>
        </w:rPr>
        <w:t xml:space="preserve"> of a superior court if</w:t>
      </w:r>
      <w:r w:rsidR="003B0612" w:rsidRPr="00B40A77">
        <w:rPr>
          <w:color w:val="000000" w:themeColor="text1"/>
          <w:lang w:val="en-US"/>
        </w:rPr>
        <w:t xml:space="preserve"> satisfied that it is in the interests of justice for the subpoena to be issued.</w:t>
      </w:r>
    </w:p>
    <w:p w14:paraId="4C18B983" w14:textId="1C702642" w:rsidR="003B0612" w:rsidRPr="00B40A77" w:rsidRDefault="003B0612" w:rsidP="003B0612">
      <w:pPr>
        <w:pStyle w:val="NoteHeader"/>
        <w:keepNext/>
        <w:rPr>
          <w:color w:val="000000" w:themeColor="text1"/>
          <w:lang w:val="en-US"/>
        </w:rPr>
      </w:pPr>
      <w:r w:rsidRPr="00B40A77">
        <w:rPr>
          <w:color w:val="000000" w:themeColor="text1"/>
          <w:lang w:val="en-US"/>
        </w:rPr>
        <w:t>Note 2—</w:t>
      </w:r>
    </w:p>
    <w:p w14:paraId="51C8DCE4" w14:textId="0C58274E" w:rsidR="009D0610" w:rsidRPr="00B40A77" w:rsidRDefault="003B0612" w:rsidP="003B0612">
      <w:pPr>
        <w:pStyle w:val="NoteText"/>
        <w:rPr>
          <w:color w:val="000000" w:themeColor="text1"/>
          <w:lang w:val="en-US"/>
        </w:rPr>
      </w:pPr>
      <w:r w:rsidRPr="00B40A77">
        <w:rPr>
          <w:color w:val="000000" w:themeColor="text1"/>
          <w:lang w:val="en-US"/>
        </w:rPr>
        <w:t xml:space="preserve">Rule 39.4 provides that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for the purpose of a </w:t>
      </w:r>
      <w:hyperlink w:anchor="_2.1—Definitions" w:history="1">
        <w:r w:rsidR="00BF49F7" w:rsidRPr="00B40A77">
          <w:rPr>
            <w:rStyle w:val="Hyperlink"/>
            <w:color w:val="000000" w:themeColor="text1"/>
          </w:rPr>
          <w:t>hearing</w:t>
        </w:r>
      </w:hyperlink>
      <w:r w:rsidRPr="00B40A77">
        <w:rPr>
          <w:color w:val="000000" w:themeColor="text1"/>
          <w:lang w:val="en-US"/>
        </w:rPr>
        <w:t xml:space="preserve"> other than a </w:t>
      </w:r>
      <w:r w:rsidRPr="00B40A77">
        <w:rPr>
          <w:color w:val="000000" w:themeColor="text1"/>
          <w:u w:val="single"/>
          <w:lang w:val="en-US"/>
        </w:rPr>
        <w:t>trial</w:t>
      </w:r>
      <w:r w:rsidRPr="00B40A77">
        <w:rPr>
          <w:color w:val="000000" w:themeColor="text1"/>
          <w:lang w:val="en-US"/>
        </w:rPr>
        <w:t xml:space="preserve"> may only be issued with leave of the Court.</w:t>
      </w:r>
    </w:p>
    <w:p w14:paraId="3B4E6E40" w14:textId="207D43C3" w:rsidR="00655AB7" w:rsidRPr="00B40A77" w:rsidRDefault="00655AB7" w:rsidP="00650D28">
      <w:pPr>
        <w:pStyle w:val="Hangindent"/>
        <w:keepNext/>
        <w:rPr>
          <w:i/>
          <w:iCs/>
          <w:color w:val="000000" w:themeColor="text1"/>
          <w:lang w:val="en-US"/>
        </w:rPr>
      </w:pPr>
      <w:r w:rsidRPr="00B40A77">
        <w:rPr>
          <w:i/>
          <w:iCs/>
          <w:color w:val="000000" w:themeColor="text1"/>
          <w:lang w:val="en-US"/>
        </w:rPr>
        <w:t>Lower Courts</w:t>
      </w:r>
    </w:p>
    <w:p w14:paraId="4AE850C3" w14:textId="6EA4EB49" w:rsidR="00655AB7" w:rsidRPr="00B40A77" w:rsidRDefault="00655AB7" w:rsidP="00650D28">
      <w:pPr>
        <w:pStyle w:val="Hangindent"/>
        <w:keepNext/>
        <w:rPr>
          <w:color w:val="000000" w:themeColor="text1"/>
          <w:lang w:val="en-US"/>
        </w:rPr>
      </w:pPr>
      <w:r w:rsidRPr="00B40A77">
        <w:rPr>
          <w:color w:val="000000" w:themeColor="text1"/>
          <w:lang w:val="en-US"/>
        </w:rPr>
        <w:t>(6)</w:t>
      </w:r>
      <w:r w:rsidRPr="00B40A77">
        <w:rPr>
          <w:color w:val="000000" w:themeColor="text1"/>
          <w:lang w:val="en-US"/>
        </w:rPr>
        <w:tab/>
        <w:t xml:space="preserve">An application under section 107(b) of the Procedure Act for issue of a </w:t>
      </w:r>
      <w:hyperlink w:anchor="_122.1—Interpretation" w:history="1">
        <w:r w:rsidR="00135EC7" w:rsidRPr="00B40A77">
          <w:rPr>
            <w:rStyle w:val="Hyperlink"/>
            <w:color w:val="000000" w:themeColor="text1"/>
            <w:lang w:val="en-US"/>
          </w:rPr>
          <w:t>subpoena</w:t>
        </w:r>
        <w:r w:rsidR="00822352" w:rsidRPr="00B40A77">
          <w:rPr>
            <w:rStyle w:val="Hyperlink"/>
            <w:color w:val="000000" w:themeColor="text1"/>
            <w:lang w:val="en-US"/>
          </w:rPr>
          <w:t xml:space="preserve"> to produce</w:t>
        </w:r>
      </w:hyperlink>
      <w:r w:rsidR="00822352" w:rsidRPr="00B40A77">
        <w:rPr>
          <w:color w:val="000000" w:themeColor="text1"/>
          <w:lang w:val="en-US"/>
        </w:rPr>
        <w:t xml:space="preserve"> </w:t>
      </w:r>
      <w:r w:rsidRPr="00B40A77">
        <w:rPr>
          <w:color w:val="000000" w:themeColor="text1"/>
          <w:lang w:val="en-US"/>
        </w:rPr>
        <w:t xml:space="preserve">must be made by an interlocutory application in the approved form or by oral application at a </w:t>
      </w:r>
      <w:hyperlink w:anchor="_2.1—Definitions" w:history="1">
        <w:r w:rsidR="00BF49F7" w:rsidRPr="00B40A77">
          <w:rPr>
            <w:rStyle w:val="Hyperlink"/>
            <w:color w:val="000000" w:themeColor="text1"/>
          </w:rPr>
          <w:t>hearing</w:t>
        </w:r>
      </w:hyperlink>
      <w:r w:rsidRPr="00B40A77">
        <w:rPr>
          <w:color w:val="000000" w:themeColor="text1"/>
          <w:lang w:val="en-US"/>
        </w:rPr>
        <w:t>.</w:t>
      </w:r>
    </w:p>
    <w:p w14:paraId="4D6F2108" w14:textId="77777777" w:rsidR="00655AB7" w:rsidRPr="00B40A77" w:rsidRDefault="00655AB7" w:rsidP="009A6578">
      <w:pPr>
        <w:pStyle w:val="NoteHeader"/>
        <w:keepNext/>
        <w:rPr>
          <w:color w:val="000000" w:themeColor="text1"/>
        </w:rPr>
      </w:pPr>
      <w:r w:rsidRPr="00B40A77">
        <w:rPr>
          <w:color w:val="000000" w:themeColor="text1"/>
        </w:rPr>
        <w:t>Prescribed form—</w:t>
      </w:r>
    </w:p>
    <w:p w14:paraId="3B5301BB" w14:textId="47E34E86" w:rsidR="00655AB7" w:rsidRPr="00B40A77" w:rsidRDefault="00655AB7" w:rsidP="009A6578">
      <w:pPr>
        <w:pStyle w:val="NoteText"/>
        <w:keepNext/>
        <w:rPr>
          <w:color w:val="000000" w:themeColor="text1"/>
          <w:lang w:val="en-US"/>
        </w:rPr>
      </w:pPr>
      <w:r w:rsidRPr="00B40A77">
        <w:rPr>
          <w:color w:val="000000" w:themeColor="text1"/>
        </w:rPr>
        <w:t xml:space="preserve">Form 92 </w:t>
      </w:r>
      <w:hyperlink r:id="rId207" w:history="1">
        <w:r w:rsidRPr="00B40A77">
          <w:rPr>
            <w:rStyle w:val="Hyperlink"/>
            <w:color w:val="000000" w:themeColor="text1"/>
          </w:rPr>
          <w:t xml:space="preserve">Interlocutory </w:t>
        </w:r>
        <w:r w:rsidRPr="00B40A77">
          <w:rPr>
            <w:rStyle w:val="Hyperlink"/>
            <w:color w:val="000000" w:themeColor="text1"/>
            <w:lang w:val="en-US"/>
          </w:rPr>
          <w:t>Application</w:t>
        </w:r>
      </w:hyperlink>
    </w:p>
    <w:p w14:paraId="7A7623E5" w14:textId="0DFD406B" w:rsidR="00655AB7" w:rsidRPr="00B40A77" w:rsidRDefault="00655AB7" w:rsidP="00650D28">
      <w:pPr>
        <w:pStyle w:val="NoteHeader"/>
        <w:keepNext/>
        <w:rPr>
          <w:color w:val="000000" w:themeColor="text1"/>
          <w:lang w:val="en-US"/>
        </w:rPr>
      </w:pPr>
      <w:r w:rsidRPr="00B40A77">
        <w:rPr>
          <w:color w:val="000000" w:themeColor="text1"/>
          <w:lang w:val="en-US"/>
        </w:rPr>
        <w:t>Note</w:t>
      </w:r>
      <w:r w:rsidR="00D71339" w:rsidRPr="00B40A77">
        <w:rPr>
          <w:color w:val="000000" w:themeColor="text1"/>
          <w:lang w:val="en-US"/>
        </w:rPr>
        <w:t xml:space="preserve"> 1</w:t>
      </w:r>
      <w:r w:rsidRPr="00B40A77">
        <w:rPr>
          <w:color w:val="000000" w:themeColor="text1"/>
          <w:lang w:val="en-US"/>
        </w:rPr>
        <w:t>—</w:t>
      </w:r>
    </w:p>
    <w:p w14:paraId="6ED4F802" w14:textId="2C3311BA" w:rsidR="00335AFA" w:rsidRPr="00B40A77" w:rsidRDefault="00655AB7" w:rsidP="00650D28">
      <w:pPr>
        <w:pStyle w:val="NoteText"/>
        <w:keepNext/>
        <w:rPr>
          <w:color w:val="000000" w:themeColor="text1"/>
          <w:lang w:val="en-US"/>
        </w:rPr>
      </w:pPr>
      <w:r w:rsidRPr="00B40A77">
        <w:rPr>
          <w:color w:val="000000" w:themeColor="text1"/>
          <w:lang w:val="en-US"/>
        </w:rPr>
        <w:t>Section 107(a) of the Procedure Act provides that a subpoena other than to attend to give evidence may only be issued by the registrar if the subpoena is sought in relation to a charge of a</w:t>
      </w:r>
      <w:r w:rsidR="006D4D7F" w:rsidRPr="00B40A77">
        <w:rPr>
          <w:color w:val="000000" w:themeColor="text1"/>
          <w:lang w:val="en-US"/>
        </w:rPr>
        <w:t xml:space="preserve"> </w:t>
      </w:r>
      <w:r w:rsidRPr="00B40A77">
        <w:rPr>
          <w:color w:val="000000" w:themeColor="text1"/>
          <w:lang w:val="en-US"/>
        </w:rPr>
        <w:t>minor indictable</w:t>
      </w:r>
      <w:r w:rsidR="006D4D7F" w:rsidRPr="00B40A77">
        <w:rPr>
          <w:color w:val="000000" w:themeColor="text1"/>
          <w:lang w:val="en-US"/>
        </w:rPr>
        <w:t xml:space="preserve"> </w:t>
      </w:r>
      <w:r w:rsidRPr="00B40A77">
        <w:rPr>
          <w:color w:val="000000" w:themeColor="text1"/>
          <w:lang w:val="en-US"/>
        </w:rPr>
        <w:t>offence</w:t>
      </w:r>
      <w:r w:rsidR="006D4D7F" w:rsidRPr="00B40A77">
        <w:rPr>
          <w:color w:val="000000" w:themeColor="text1"/>
          <w:lang w:val="en-US"/>
        </w:rPr>
        <w:t xml:space="preserve"> </w:t>
      </w:r>
      <w:r w:rsidRPr="00B40A77">
        <w:rPr>
          <w:color w:val="000000" w:themeColor="text1"/>
          <w:lang w:val="en-US"/>
        </w:rPr>
        <w:t>and the</w:t>
      </w:r>
      <w:r w:rsidR="006D4D7F" w:rsidRPr="00B40A77">
        <w:rPr>
          <w:color w:val="000000" w:themeColor="text1"/>
          <w:lang w:val="en-US"/>
        </w:rPr>
        <w:t xml:space="preserve"> </w:t>
      </w:r>
      <w:r w:rsidRPr="00B40A77">
        <w:rPr>
          <w:color w:val="000000" w:themeColor="text1"/>
          <w:lang w:val="en-US"/>
        </w:rPr>
        <w:t>registrar</w:t>
      </w:r>
      <w:r w:rsidR="006D4D7F" w:rsidRPr="00B40A77">
        <w:rPr>
          <w:color w:val="000000" w:themeColor="text1"/>
          <w:lang w:val="en-US"/>
        </w:rPr>
        <w:t xml:space="preserve"> </w:t>
      </w:r>
      <w:r w:rsidRPr="00B40A77">
        <w:rPr>
          <w:color w:val="000000" w:themeColor="text1"/>
          <w:lang w:val="en-US"/>
        </w:rPr>
        <w:t>is satisfied that the</w:t>
      </w:r>
      <w:r w:rsidR="006D4D7F" w:rsidRPr="00B40A77">
        <w:rPr>
          <w:color w:val="000000" w:themeColor="text1"/>
          <w:lang w:val="en-US"/>
        </w:rPr>
        <w:t xml:space="preserve"> </w:t>
      </w:r>
      <w:r w:rsidRPr="00B40A77">
        <w:rPr>
          <w:color w:val="000000" w:themeColor="text1"/>
          <w:lang w:val="en-US"/>
        </w:rPr>
        <w:t>defendant</w:t>
      </w:r>
      <w:r w:rsidR="006D4D7F" w:rsidRPr="00B40A77">
        <w:rPr>
          <w:color w:val="000000" w:themeColor="text1"/>
          <w:lang w:val="en-US"/>
        </w:rPr>
        <w:t xml:space="preserve"> </w:t>
      </w:r>
      <w:r w:rsidRPr="00B40A77">
        <w:rPr>
          <w:color w:val="000000" w:themeColor="text1"/>
          <w:lang w:val="en-US"/>
        </w:rPr>
        <w:t>(or youth) will not be electing, in accordance with the</w:t>
      </w:r>
      <w:r w:rsidR="006D4D7F" w:rsidRPr="00B40A77">
        <w:rPr>
          <w:color w:val="000000" w:themeColor="text1"/>
          <w:lang w:val="en-US"/>
        </w:rPr>
        <w:t xml:space="preserve"> </w:t>
      </w:r>
      <w:r w:rsidRPr="00B40A77">
        <w:rPr>
          <w:color w:val="000000" w:themeColor="text1"/>
          <w:lang w:val="en-US"/>
        </w:rPr>
        <w:t>rules, for trial in a superior court or all parties and each recipient consent</w:t>
      </w:r>
      <w:r w:rsidR="006D4D7F" w:rsidRPr="00B40A77">
        <w:rPr>
          <w:color w:val="000000" w:themeColor="text1"/>
          <w:lang w:val="en-US"/>
        </w:rPr>
        <w:t xml:space="preserve"> to the grant of the subpoena</w:t>
      </w:r>
      <w:r w:rsidRPr="00B40A77">
        <w:rPr>
          <w:color w:val="000000" w:themeColor="text1"/>
          <w:lang w:val="en-US"/>
        </w:rPr>
        <w:t>.</w:t>
      </w:r>
    </w:p>
    <w:p w14:paraId="214BF48A" w14:textId="798613D8" w:rsidR="00655AB7" w:rsidRPr="00B40A77" w:rsidRDefault="00655AB7" w:rsidP="00650D28">
      <w:pPr>
        <w:pStyle w:val="NoteText"/>
        <w:keepNext/>
        <w:rPr>
          <w:color w:val="000000" w:themeColor="text1"/>
          <w:lang w:val="en-US"/>
        </w:rPr>
      </w:pPr>
      <w:r w:rsidRPr="00B40A77">
        <w:rPr>
          <w:color w:val="000000" w:themeColor="text1"/>
          <w:lang w:val="en-US"/>
        </w:rPr>
        <w:t>Section 107(b) of the Procedure Act provides that a subpoena may be issued by a Magistrate if satisfied that it is in the interests of justice for the subpoena to be issued.</w:t>
      </w:r>
    </w:p>
    <w:p w14:paraId="79F11EC8" w14:textId="76484005" w:rsidR="00655AB7" w:rsidRPr="00B40A77" w:rsidRDefault="00650D28" w:rsidP="00655AB7">
      <w:pPr>
        <w:pStyle w:val="NoteHeader"/>
        <w:keepNext/>
        <w:rPr>
          <w:rStyle w:val="Hyperlink"/>
          <w:color w:val="000000" w:themeColor="text1"/>
          <w:u w:val="none"/>
          <w:lang w:val="en-US"/>
        </w:rPr>
      </w:pPr>
      <w:r w:rsidRPr="00B40A77">
        <w:rPr>
          <w:color w:val="000000" w:themeColor="text1"/>
          <w:lang w:val="en-US"/>
        </w:rPr>
        <w:fldChar w:fldCharType="begin"/>
      </w:r>
      <w:r w:rsidRPr="00B40A77">
        <w:rPr>
          <w:b w:val="0"/>
          <w:bCs w:val="0"/>
          <w:color w:val="000000" w:themeColor="text1"/>
          <w:lang w:val="en-US"/>
        </w:rPr>
        <w:instrText xml:space="preserve"> HYPERLINK  \l "_39.4—Summons_to_witness" </w:instrText>
      </w:r>
      <w:r w:rsidRPr="00B40A77">
        <w:rPr>
          <w:color w:val="000000" w:themeColor="text1"/>
          <w:lang w:val="en-US"/>
        </w:rPr>
      </w:r>
      <w:r w:rsidRPr="00B40A77">
        <w:rPr>
          <w:color w:val="000000" w:themeColor="text1"/>
          <w:lang w:val="en-US"/>
        </w:rPr>
        <w:fldChar w:fldCharType="separate"/>
      </w:r>
      <w:r w:rsidR="00655AB7" w:rsidRPr="00B40A77">
        <w:rPr>
          <w:rStyle w:val="Hyperlink"/>
          <w:color w:val="000000" w:themeColor="text1"/>
          <w:u w:val="none"/>
          <w:lang w:val="en-US"/>
        </w:rPr>
        <w:t>Note 2—</w:t>
      </w:r>
    </w:p>
    <w:p w14:paraId="34B526D6" w14:textId="6EE2B902" w:rsidR="00655AB7" w:rsidRPr="00B40A77" w:rsidRDefault="00655AB7" w:rsidP="00650D28">
      <w:pPr>
        <w:pStyle w:val="NoteText"/>
        <w:rPr>
          <w:color w:val="000000" w:themeColor="text1"/>
          <w:lang w:val="en-US"/>
        </w:rPr>
      </w:pPr>
      <w:r w:rsidRPr="00B40A77">
        <w:rPr>
          <w:rStyle w:val="Hyperlink"/>
          <w:color w:val="000000" w:themeColor="text1"/>
          <w:lang w:val="en-US"/>
        </w:rPr>
        <w:t>Rule 39.4</w:t>
      </w:r>
      <w:r w:rsidR="00650D28" w:rsidRPr="00B40A77">
        <w:rPr>
          <w:color w:val="000000" w:themeColor="text1"/>
          <w:lang w:val="en-US"/>
        </w:rPr>
        <w:fldChar w:fldCharType="end"/>
      </w:r>
      <w:r w:rsidRPr="00B40A77">
        <w:rPr>
          <w:color w:val="000000" w:themeColor="text1"/>
          <w:lang w:val="en-US"/>
        </w:rPr>
        <w:t xml:space="preserve"> provides that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for the purpose of a </w:t>
      </w:r>
      <w:hyperlink w:anchor="_2.1—Definitions" w:history="1">
        <w:r w:rsidR="00BF49F7" w:rsidRPr="00B40A77">
          <w:rPr>
            <w:rStyle w:val="Hyperlink"/>
            <w:color w:val="000000" w:themeColor="text1"/>
          </w:rPr>
          <w:t>hearing</w:t>
        </w:r>
      </w:hyperlink>
      <w:r w:rsidRPr="00B40A77">
        <w:rPr>
          <w:color w:val="000000" w:themeColor="text1"/>
          <w:lang w:val="en-US"/>
        </w:rPr>
        <w:t xml:space="preserve"> other than a </w:t>
      </w:r>
      <w:r w:rsidRPr="00B40A77">
        <w:rPr>
          <w:color w:val="000000" w:themeColor="text1"/>
          <w:u w:val="single"/>
          <w:lang w:val="en-US"/>
        </w:rPr>
        <w:t>trial</w:t>
      </w:r>
      <w:r w:rsidRPr="00B40A77">
        <w:rPr>
          <w:color w:val="000000" w:themeColor="text1"/>
          <w:lang w:val="en-US"/>
        </w:rPr>
        <w:t xml:space="preserve"> may only be issued with leave of the Court.</w:t>
      </w:r>
    </w:p>
    <w:p w14:paraId="1DAB85F1" w14:textId="4AA240A4" w:rsidR="009A38AB" w:rsidRPr="00B40A77" w:rsidRDefault="00B1323E" w:rsidP="009A38AB">
      <w:pPr>
        <w:pStyle w:val="Heading4"/>
        <w:rPr>
          <w:color w:val="000000" w:themeColor="text1"/>
          <w:sz w:val="18"/>
        </w:rPr>
      </w:pPr>
      <w:bookmarkStart w:id="751" w:name="_123.2—Form_of_summons"/>
      <w:bookmarkStart w:id="752" w:name="_Toc175239130"/>
      <w:bookmarkEnd w:id="751"/>
      <w:r w:rsidRPr="00B40A77">
        <w:rPr>
          <w:color w:val="000000" w:themeColor="text1"/>
        </w:rPr>
        <w:lastRenderedPageBreak/>
        <w:t>123.2</w:t>
      </w:r>
      <w:r w:rsidR="009A38AB" w:rsidRPr="00B40A77">
        <w:rPr>
          <w:color w:val="000000" w:themeColor="text1"/>
        </w:rPr>
        <w:t xml:space="preserve">—Form of </w:t>
      </w:r>
      <w:r w:rsidR="00135EC7" w:rsidRPr="00B40A77">
        <w:rPr>
          <w:color w:val="000000" w:themeColor="text1"/>
        </w:rPr>
        <w:t>subpoena</w:t>
      </w:r>
      <w:bookmarkEnd w:id="752"/>
    </w:p>
    <w:p w14:paraId="583E4385" w14:textId="0AE06DC7" w:rsidR="009A38AB" w:rsidRPr="00B40A77" w:rsidRDefault="009A38AB" w:rsidP="00037437">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hyperlink>
      <w:r w:rsidR="003A719C" w:rsidRPr="00B40A77">
        <w:rPr>
          <w:color w:val="000000" w:themeColor="text1"/>
          <w:lang w:val="en-US"/>
        </w:rPr>
        <w:t xml:space="preserve"> </w:t>
      </w:r>
      <w:r w:rsidRPr="00B40A77">
        <w:rPr>
          <w:color w:val="000000" w:themeColor="text1"/>
          <w:lang w:val="en-US"/>
        </w:rPr>
        <w:t>must be in the prescribed form</w:t>
      </w:r>
      <w:r w:rsidR="00606CF8" w:rsidRPr="00B40A77">
        <w:rPr>
          <w:color w:val="000000" w:themeColor="text1"/>
          <w:lang w:val="en-US"/>
        </w:rPr>
        <w:t>.</w:t>
      </w:r>
      <w:r w:rsidRPr="00B40A77">
        <w:rPr>
          <w:color w:val="000000" w:themeColor="text1"/>
          <w:lang w:val="en-US"/>
        </w:rPr>
        <w:t xml:space="preserve"> </w:t>
      </w:r>
    </w:p>
    <w:p w14:paraId="67B11E67" w14:textId="77777777" w:rsidR="009A38AB" w:rsidRPr="00B40A77" w:rsidRDefault="009A38AB" w:rsidP="00037437">
      <w:pPr>
        <w:pStyle w:val="NoteHeader"/>
        <w:keepNext/>
        <w:rPr>
          <w:color w:val="000000" w:themeColor="text1"/>
        </w:rPr>
      </w:pPr>
      <w:r w:rsidRPr="00B40A77">
        <w:rPr>
          <w:color w:val="000000" w:themeColor="text1"/>
        </w:rPr>
        <w:t>Prescribed forms—</w:t>
      </w:r>
    </w:p>
    <w:p w14:paraId="10E85480" w14:textId="549E47AF" w:rsidR="009A38AB" w:rsidRPr="00B40A77" w:rsidRDefault="00AA14CD" w:rsidP="00037437">
      <w:pPr>
        <w:pStyle w:val="NoteHeader"/>
        <w:keepNext/>
        <w:ind w:left="1418"/>
        <w:rPr>
          <w:bCs w:val="0"/>
          <w:color w:val="000000" w:themeColor="text1"/>
        </w:rPr>
      </w:pPr>
      <w:r w:rsidRPr="00B40A77">
        <w:rPr>
          <w:bCs w:val="0"/>
          <w:color w:val="000000" w:themeColor="text1"/>
        </w:rPr>
        <w:t>Higher</w:t>
      </w:r>
      <w:r w:rsidR="009A38AB" w:rsidRPr="00B40A77">
        <w:rPr>
          <w:bCs w:val="0"/>
          <w:color w:val="000000" w:themeColor="text1"/>
        </w:rPr>
        <w:t xml:space="preserve"> Court</w:t>
      </w:r>
      <w:r w:rsidRPr="00B40A77">
        <w:rPr>
          <w:bCs w:val="0"/>
          <w:color w:val="000000" w:themeColor="text1"/>
        </w:rPr>
        <w:t>s</w:t>
      </w:r>
    </w:p>
    <w:p w14:paraId="3BFE6860" w14:textId="5EE01C12" w:rsidR="009A38AB" w:rsidRPr="00B40A77" w:rsidRDefault="009079DE" w:rsidP="00140E21">
      <w:pPr>
        <w:pStyle w:val="NoteText"/>
        <w:ind w:left="1702"/>
        <w:rPr>
          <w:color w:val="000000" w:themeColor="text1"/>
          <w:u w:val="single"/>
        </w:rPr>
      </w:pPr>
      <w:r w:rsidRPr="00B40A77">
        <w:rPr>
          <w:color w:val="000000" w:themeColor="text1"/>
        </w:rPr>
        <w:t>Form 111</w:t>
      </w:r>
      <w:r w:rsidR="009A38AB" w:rsidRPr="00B40A77">
        <w:rPr>
          <w:color w:val="000000" w:themeColor="text1"/>
        </w:rPr>
        <w:t xml:space="preserve">A </w:t>
      </w:r>
      <w:hyperlink r:id="rId208" w:history="1">
        <w:r w:rsidR="005D0D70" w:rsidRPr="00B40A77">
          <w:rPr>
            <w:rStyle w:val="Hyperlink"/>
            <w:color w:val="000000" w:themeColor="text1"/>
          </w:rPr>
          <w:t>Su</w:t>
        </w:r>
        <w:r w:rsidR="0023389C" w:rsidRPr="00B40A77">
          <w:rPr>
            <w:rStyle w:val="Hyperlink"/>
            <w:color w:val="000000" w:themeColor="text1"/>
          </w:rPr>
          <w:t>bpoena</w:t>
        </w:r>
        <w:r w:rsidR="005D0D70" w:rsidRPr="00B40A77">
          <w:rPr>
            <w:rStyle w:val="Hyperlink"/>
            <w:color w:val="000000" w:themeColor="text1"/>
          </w:rPr>
          <w:t xml:space="preserve"> to </w:t>
        </w:r>
        <w:r w:rsidR="009A38AB" w:rsidRPr="00B40A77">
          <w:rPr>
            <w:rStyle w:val="Hyperlink"/>
            <w:color w:val="000000" w:themeColor="text1"/>
          </w:rPr>
          <w:t>Attend to Giv</w:t>
        </w:r>
        <w:r w:rsidR="00C35B51" w:rsidRPr="00B40A77">
          <w:rPr>
            <w:rStyle w:val="Hyperlink"/>
            <w:color w:val="000000" w:themeColor="text1"/>
          </w:rPr>
          <w:t>e Evidence</w:t>
        </w:r>
        <w:r w:rsidR="00C84B25" w:rsidRPr="00B40A77">
          <w:rPr>
            <w:rStyle w:val="Hyperlink"/>
            <w:color w:val="000000" w:themeColor="text1"/>
          </w:rPr>
          <w:t xml:space="preserve"> (Supreme and District Courts)</w:t>
        </w:r>
      </w:hyperlink>
    </w:p>
    <w:p w14:paraId="29F6F55B" w14:textId="56A1C1E5" w:rsidR="009A38AB" w:rsidRPr="00B40A77" w:rsidRDefault="00412C0D" w:rsidP="00140E21">
      <w:pPr>
        <w:pStyle w:val="NoteText"/>
        <w:ind w:left="1702"/>
        <w:rPr>
          <w:color w:val="000000" w:themeColor="text1"/>
        </w:rPr>
      </w:pPr>
      <w:r w:rsidRPr="00B40A77">
        <w:rPr>
          <w:color w:val="000000" w:themeColor="text1"/>
        </w:rPr>
        <w:t>Form 111</w:t>
      </w:r>
      <w:r w:rsidR="00C84B25" w:rsidRPr="00B40A77">
        <w:rPr>
          <w:color w:val="000000" w:themeColor="text1"/>
        </w:rPr>
        <w:t>B</w:t>
      </w:r>
      <w:r w:rsidR="009A38AB" w:rsidRPr="00B40A77">
        <w:rPr>
          <w:color w:val="000000" w:themeColor="text1"/>
        </w:rPr>
        <w:t xml:space="preserve"> </w:t>
      </w:r>
      <w:hyperlink r:id="rId209" w:history="1">
        <w:r w:rsidR="005D0D70" w:rsidRPr="00B40A77">
          <w:rPr>
            <w:rStyle w:val="Hyperlink"/>
            <w:color w:val="000000" w:themeColor="text1"/>
          </w:rPr>
          <w:t>Su</w:t>
        </w:r>
        <w:r w:rsidR="0023389C" w:rsidRPr="00B40A77">
          <w:rPr>
            <w:rStyle w:val="Hyperlink"/>
            <w:color w:val="000000" w:themeColor="text1"/>
          </w:rPr>
          <w:t>bpoena</w:t>
        </w:r>
        <w:r w:rsidR="005D0D70" w:rsidRPr="00B40A77">
          <w:rPr>
            <w:rStyle w:val="Hyperlink"/>
            <w:color w:val="000000" w:themeColor="text1"/>
          </w:rPr>
          <w:t xml:space="preserve"> to </w:t>
        </w:r>
        <w:r w:rsidR="009A38AB" w:rsidRPr="00B40A77">
          <w:rPr>
            <w:rStyle w:val="Hyperlink"/>
            <w:color w:val="000000" w:themeColor="text1"/>
          </w:rPr>
          <w:t>Produce</w:t>
        </w:r>
        <w:r w:rsidR="00C35B51" w:rsidRPr="00B40A77">
          <w:rPr>
            <w:rStyle w:val="Hyperlink"/>
            <w:color w:val="000000" w:themeColor="text1"/>
          </w:rPr>
          <w:t xml:space="preserve"> Documents</w:t>
        </w:r>
        <w:r w:rsidR="00C84B25" w:rsidRPr="00B40A77">
          <w:rPr>
            <w:rStyle w:val="Hyperlink"/>
            <w:color w:val="000000" w:themeColor="text1"/>
          </w:rPr>
          <w:t xml:space="preserve"> (Supreme and District Courts)</w:t>
        </w:r>
      </w:hyperlink>
    </w:p>
    <w:p w14:paraId="022F6CAB" w14:textId="1698427D" w:rsidR="009A38AB" w:rsidRPr="00B40A77" w:rsidRDefault="009079DE" w:rsidP="00140E21">
      <w:pPr>
        <w:pStyle w:val="NoteText"/>
        <w:ind w:left="1702"/>
        <w:rPr>
          <w:color w:val="000000" w:themeColor="text1"/>
        </w:rPr>
      </w:pPr>
      <w:r w:rsidRPr="00B40A77">
        <w:rPr>
          <w:color w:val="000000" w:themeColor="text1"/>
        </w:rPr>
        <w:t>Form 111</w:t>
      </w:r>
      <w:r w:rsidR="00C84B25" w:rsidRPr="00B40A77">
        <w:rPr>
          <w:color w:val="000000" w:themeColor="text1"/>
        </w:rPr>
        <w:t>C</w:t>
      </w:r>
      <w:hyperlink r:id="rId210" w:history="1">
        <w:r w:rsidR="009A38AB" w:rsidRPr="00B40A77">
          <w:rPr>
            <w:rStyle w:val="Hyperlink"/>
            <w:color w:val="000000" w:themeColor="text1"/>
          </w:rPr>
          <w:t xml:space="preserve"> </w:t>
        </w:r>
        <w:r w:rsidR="005D0D70" w:rsidRPr="00B40A77">
          <w:rPr>
            <w:rStyle w:val="Hyperlink"/>
            <w:color w:val="000000" w:themeColor="text1"/>
          </w:rPr>
          <w:t>Su</w:t>
        </w:r>
        <w:r w:rsidR="0023389C" w:rsidRPr="00B40A77">
          <w:rPr>
            <w:rStyle w:val="Hyperlink"/>
            <w:color w:val="000000" w:themeColor="text1"/>
          </w:rPr>
          <w:t>bpoena</w:t>
        </w:r>
        <w:r w:rsidR="005D0D70" w:rsidRPr="00B40A77">
          <w:rPr>
            <w:rStyle w:val="Hyperlink"/>
            <w:color w:val="000000" w:themeColor="text1"/>
          </w:rPr>
          <w:t xml:space="preserve"> to </w:t>
        </w:r>
        <w:r w:rsidR="009A38AB" w:rsidRPr="00B40A77">
          <w:rPr>
            <w:rStyle w:val="Hyperlink"/>
            <w:color w:val="000000" w:themeColor="text1"/>
          </w:rPr>
          <w:t>Attend a</w:t>
        </w:r>
        <w:r w:rsidR="00C35B51" w:rsidRPr="00B40A77">
          <w:rPr>
            <w:rStyle w:val="Hyperlink"/>
            <w:color w:val="000000" w:themeColor="text1"/>
          </w:rPr>
          <w:t xml:space="preserve">nd </w:t>
        </w:r>
        <w:r w:rsidR="00C84B25" w:rsidRPr="00B40A77">
          <w:rPr>
            <w:rStyle w:val="Hyperlink"/>
            <w:color w:val="000000" w:themeColor="text1"/>
          </w:rPr>
          <w:t xml:space="preserve">to </w:t>
        </w:r>
        <w:r w:rsidR="00C35B51" w:rsidRPr="00B40A77">
          <w:rPr>
            <w:rStyle w:val="Hyperlink"/>
            <w:color w:val="000000" w:themeColor="text1"/>
          </w:rPr>
          <w:t>Produce</w:t>
        </w:r>
        <w:r w:rsidR="00C84B25" w:rsidRPr="00B40A77">
          <w:rPr>
            <w:rStyle w:val="Hyperlink"/>
            <w:color w:val="000000" w:themeColor="text1"/>
          </w:rPr>
          <w:t xml:space="preserve"> Documents (Supreme and District Courts)</w:t>
        </w:r>
      </w:hyperlink>
    </w:p>
    <w:p w14:paraId="70688FF8" w14:textId="56FBF2A3" w:rsidR="009A38AB" w:rsidRPr="00B40A77" w:rsidRDefault="00AA14CD" w:rsidP="00037437">
      <w:pPr>
        <w:pStyle w:val="NoteHeader"/>
        <w:keepNext/>
        <w:ind w:left="1418"/>
        <w:rPr>
          <w:bCs w:val="0"/>
          <w:color w:val="000000" w:themeColor="text1"/>
        </w:rPr>
      </w:pPr>
      <w:r w:rsidRPr="00B40A77">
        <w:rPr>
          <w:bCs w:val="0"/>
          <w:color w:val="000000" w:themeColor="text1"/>
        </w:rPr>
        <w:t>Lower</w:t>
      </w:r>
      <w:r w:rsidR="009A38AB" w:rsidRPr="00B40A77">
        <w:rPr>
          <w:bCs w:val="0"/>
          <w:color w:val="000000" w:themeColor="text1"/>
        </w:rPr>
        <w:t xml:space="preserve"> Court</w:t>
      </w:r>
      <w:r w:rsidRPr="00B40A77">
        <w:rPr>
          <w:bCs w:val="0"/>
          <w:color w:val="000000" w:themeColor="text1"/>
        </w:rPr>
        <w:t>s</w:t>
      </w:r>
    </w:p>
    <w:p w14:paraId="7668119B" w14:textId="6A3B7625" w:rsidR="009A38AB" w:rsidRPr="00B40A77" w:rsidRDefault="00412C0D" w:rsidP="00140E21">
      <w:pPr>
        <w:pStyle w:val="NoteText"/>
        <w:ind w:left="1702"/>
        <w:rPr>
          <w:color w:val="000000" w:themeColor="text1"/>
        </w:rPr>
      </w:pPr>
      <w:r w:rsidRPr="00B40A77">
        <w:rPr>
          <w:color w:val="000000" w:themeColor="text1"/>
        </w:rPr>
        <w:t>Form 112</w:t>
      </w:r>
      <w:r w:rsidR="00C84B25" w:rsidRPr="00B40A77">
        <w:rPr>
          <w:color w:val="000000" w:themeColor="text1"/>
        </w:rPr>
        <w:t>A</w:t>
      </w:r>
      <w:r w:rsidR="009A38AB" w:rsidRPr="00B40A77">
        <w:rPr>
          <w:color w:val="000000" w:themeColor="text1"/>
        </w:rPr>
        <w:t xml:space="preserve"> </w:t>
      </w:r>
      <w:hyperlink r:id="rId211" w:history="1">
        <w:r w:rsidR="00AA14CD" w:rsidRPr="00B40A77">
          <w:rPr>
            <w:rStyle w:val="Hyperlink"/>
            <w:color w:val="000000" w:themeColor="text1"/>
          </w:rPr>
          <w:t>Su</w:t>
        </w:r>
        <w:r w:rsidR="0023389C" w:rsidRPr="00B40A77">
          <w:rPr>
            <w:rStyle w:val="Hyperlink"/>
            <w:color w:val="000000" w:themeColor="text1"/>
          </w:rPr>
          <w:t>bpoena</w:t>
        </w:r>
        <w:r w:rsidR="00AA14CD" w:rsidRPr="00B40A77">
          <w:rPr>
            <w:rStyle w:val="Hyperlink"/>
            <w:color w:val="000000" w:themeColor="text1"/>
          </w:rPr>
          <w:t xml:space="preserve"> to </w:t>
        </w:r>
        <w:r w:rsidR="009A38AB" w:rsidRPr="00B40A77">
          <w:rPr>
            <w:rStyle w:val="Hyperlink"/>
            <w:color w:val="000000" w:themeColor="text1"/>
          </w:rPr>
          <w:t>Attend to Give Evi</w:t>
        </w:r>
        <w:r w:rsidR="00C35B51" w:rsidRPr="00B40A77">
          <w:rPr>
            <w:rStyle w:val="Hyperlink"/>
            <w:color w:val="000000" w:themeColor="text1"/>
          </w:rPr>
          <w:t>dence</w:t>
        </w:r>
        <w:r w:rsidR="00C84B25" w:rsidRPr="00B40A77">
          <w:rPr>
            <w:rStyle w:val="Hyperlink"/>
            <w:color w:val="000000" w:themeColor="text1"/>
          </w:rPr>
          <w:t xml:space="preserve"> (Magistrates, Youth and ERD Courts)</w:t>
        </w:r>
      </w:hyperlink>
    </w:p>
    <w:p w14:paraId="11786976" w14:textId="06306740" w:rsidR="009A38AB" w:rsidRPr="00B40A77" w:rsidRDefault="00412C0D" w:rsidP="00140E21">
      <w:pPr>
        <w:pStyle w:val="NoteText"/>
        <w:ind w:left="1702"/>
        <w:rPr>
          <w:color w:val="000000" w:themeColor="text1"/>
        </w:rPr>
      </w:pPr>
      <w:r w:rsidRPr="00B40A77">
        <w:rPr>
          <w:color w:val="000000" w:themeColor="text1"/>
        </w:rPr>
        <w:t>Form 112</w:t>
      </w:r>
      <w:r w:rsidR="009A38AB" w:rsidRPr="00B40A77">
        <w:rPr>
          <w:color w:val="000000" w:themeColor="text1"/>
        </w:rPr>
        <w:t xml:space="preserve">B </w:t>
      </w:r>
      <w:hyperlink r:id="rId212" w:history="1">
        <w:r w:rsidR="00AA14CD" w:rsidRPr="00B40A77">
          <w:rPr>
            <w:rStyle w:val="Hyperlink"/>
            <w:color w:val="000000" w:themeColor="text1"/>
          </w:rPr>
          <w:t>Su</w:t>
        </w:r>
        <w:r w:rsidR="0023389C" w:rsidRPr="00B40A77">
          <w:rPr>
            <w:rStyle w:val="Hyperlink"/>
            <w:color w:val="000000" w:themeColor="text1"/>
          </w:rPr>
          <w:t>bpoena</w:t>
        </w:r>
        <w:r w:rsidR="00AA14CD" w:rsidRPr="00B40A77">
          <w:rPr>
            <w:rStyle w:val="Hyperlink"/>
            <w:color w:val="000000" w:themeColor="text1"/>
          </w:rPr>
          <w:t xml:space="preserve"> to </w:t>
        </w:r>
        <w:r w:rsidR="009A38AB" w:rsidRPr="00B40A77">
          <w:rPr>
            <w:rStyle w:val="Hyperlink"/>
            <w:color w:val="000000" w:themeColor="text1"/>
          </w:rPr>
          <w:t>Produce</w:t>
        </w:r>
        <w:r w:rsidR="00C35B51" w:rsidRPr="00B40A77">
          <w:rPr>
            <w:rStyle w:val="Hyperlink"/>
            <w:color w:val="000000" w:themeColor="text1"/>
          </w:rPr>
          <w:t xml:space="preserve"> Documents</w:t>
        </w:r>
        <w:r w:rsidR="00C84B25" w:rsidRPr="00B40A77">
          <w:rPr>
            <w:rStyle w:val="Hyperlink"/>
            <w:color w:val="000000" w:themeColor="text1"/>
          </w:rPr>
          <w:t xml:space="preserve"> (Magistrates, Youth and ERD Courts)</w:t>
        </w:r>
      </w:hyperlink>
    </w:p>
    <w:p w14:paraId="53729AF9" w14:textId="09F5B4C1" w:rsidR="009A38AB" w:rsidRPr="00B40A77" w:rsidRDefault="00412C0D" w:rsidP="00140E21">
      <w:pPr>
        <w:pStyle w:val="NoteText"/>
        <w:ind w:left="1702"/>
        <w:rPr>
          <w:color w:val="000000" w:themeColor="text1"/>
        </w:rPr>
      </w:pPr>
      <w:r w:rsidRPr="00B40A77">
        <w:rPr>
          <w:color w:val="000000" w:themeColor="text1"/>
        </w:rPr>
        <w:t>Form 112</w:t>
      </w:r>
      <w:r w:rsidR="00C84B25" w:rsidRPr="00B40A77">
        <w:rPr>
          <w:color w:val="000000" w:themeColor="text1"/>
        </w:rPr>
        <w:t>C</w:t>
      </w:r>
      <w:r w:rsidR="009A38AB" w:rsidRPr="00B40A77">
        <w:rPr>
          <w:color w:val="000000" w:themeColor="text1"/>
        </w:rPr>
        <w:t xml:space="preserve"> </w:t>
      </w:r>
      <w:hyperlink r:id="rId213" w:history="1">
        <w:r w:rsidR="00AA14CD" w:rsidRPr="00B40A77">
          <w:rPr>
            <w:rStyle w:val="Hyperlink"/>
            <w:color w:val="000000" w:themeColor="text1"/>
          </w:rPr>
          <w:t>Su</w:t>
        </w:r>
        <w:r w:rsidR="0023389C" w:rsidRPr="00B40A77">
          <w:rPr>
            <w:rStyle w:val="Hyperlink"/>
            <w:color w:val="000000" w:themeColor="text1"/>
          </w:rPr>
          <w:t>bpoena</w:t>
        </w:r>
        <w:r w:rsidR="00AA14CD" w:rsidRPr="00B40A77">
          <w:rPr>
            <w:rStyle w:val="Hyperlink"/>
            <w:color w:val="000000" w:themeColor="text1"/>
          </w:rPr>
          <w:t xml:space="preserve"> to </w:t>
        </w:r>
        <w:r w:rsidR="00C35B51" w:rsidRPr="00B40A77">
          <w:rPr>
            <w:rStyle w:val="Hyperlink"/>
            <w:color w:val="000000" w:themeColor="text1"/>
          </w:rPr>
          <w:t xml:space="preserve">Attend and </w:t>
        </w:r>
        <w:r w:rsidR="00C84B25" w:rsidRPr="00B40A77">
          <w:rPr>
            <w:rStyle w:val="Hyperlink"/>
            <w:color w:val="000000" w:themeColor="text1"/>
          </w:rPr>
          <w:t xml:space="preserve">to </w:t>
        </w:r>
        <w:r w:rsidR="00C35B51" w:rsidRPr="00B40A77">
          <w:rPr>
            <w:rStyle w:val="Hyperlink"/>
            <w:color w:val="000000" w:themeColor="text1"/>
          </w:rPr>
          <w:t>Produce</w:t>
        </w:r>
        <w:r w:rsidR="00C84B25" w:rsidRPr="00B40A77">
          <w:rPr>
            <w:rStyle w:val="Hyperlink"/>
            <w:color w:val="000000" w:themeColor="text1"/>
          </w:rPr>
          <w:t xml:space="preserve"> Documents (Magistrates, Youth and ERD Courts)</w:t>
        </w:r>
      </w:hyperlink>
    </w:p>
    <w:p w14:paraId="6EB02AC1" w14:textId="322413ED"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attend to give evidence</w:t>
        </w:r>
      </w:hyperlink>
      <w:r w:rsidRPr="00B40A77">
        <w:rPr>
          <w:color w:val="000000" w:themeColor="text1"/>
          <w:lang w:val="en-US"/>
        </w:rPr>
        <w:t xml:space="preserve"> must not be addressed to more than one person.</w:t>
      </w:r>
    </w:p>
    <w:p w14:paraId="77652851" w14:textId="53610599"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hyperlink>
      <w:r w:rsidR="003A719C" w:rsidRPr="00B40A77">
        <w:rPr>
          <w:color w:val="000000" w:themeColor="text1"/>
          <w:lang w:val="en-US"/>
        </w:rPr>
        <w:t xml:space="preserve"> </w:t>
      </w:r>
      <w:r w:rsidRPr="00B40A77">
        <w:rPr>
          <w:color w:val="000000" w:themeColor="text1"/>
          <w:lang w:val="en-US"/>
        </w:rPr>
        <w:t xml:space="preserve">must identify the </w:t>
      </w:r>
      <w:hyperlink w:anchor="_156.1—Interpretation" w:history="1">
        <w:r w:rsidRPr="00B40A77">
          <w:rPr>
            <w:rStyle w:val="Hyperlink"/>
            <w:color w:val="000000" w:themeColor="text1"/>
            <w:lang w:val="en-US"/>
          </w:rPr>
          <w:t>addressee</w:t>
        </w:r>
      </w:hyperlink>
      <w:r w:rsidRPr="00B40A77">
        <w:rPr>
          <w:color w:val="000000" w:themeColor="text1"/>
          <w:lang w:val="en-US"/>
        </w:rPr>
        <w:t xml:space="preserve"> by name or by description of office or position.</w:t>
      </w:r>
    </w:p>
    <w:p w14:paraId="7EC8B584" w14:textId="4C2091C1" w:rsidR="009A38AB" w:rsidRPr="00B40A77" w:rsidRDefault="009A38AB" w:rsidP="009A38A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must—</w:t>
      </w:r>
    </w:p>
    <w:p w14:paraId="74E88029" w14:textId="77777777"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identify the document or thing to be produced; and</w:t>
      </w:r>
    </w:p>
    <w:p w14:paraId="1689A4CD" w14:textId="77777777"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specify the date, time and place for production.</w:t>
      </w:r>
    </w:p>
    <w:p w14:paraId="39840259" w14:textId="1884646B" w:rsidR="009A38AB" w:rsidRPr="00B40A77" w:rsidRDefault="009A38AB" w:rsidP="009A38AB">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r w:rsidR="008072D9" w:rsidRPr="00B40A77">
          <w:rPr>
            <w:rStyle w:val="Hyperlink"/>
            <w:color w:val="000000" w:themeColor="text1"/>
            <w:lang w:val="en-US"/>
          </w:rPr>
          <w:t xml:space="preserve"> to attend to give evidence</w:t>
        </w:r>
      </w:hyperlink>
      <w:r w:rsidRPr="00B40A77">
        <w:rPr>
          <w:color w:val="000000" w:themeColor="text1"/>
          <w:lang w:val="en-US"/>
        </w:rPr>
        <w:t xml:space="preserve"> must specify the date, time and place for attendance.</w:t>
      </w:r>
    </w:p>
    <w:p w14:paraId="185ADAD0" w14:textId="5560B3AA" w:rsidR="009A38AB" w:rsidRPr="00B40A77" w:rsidRDefault="009A38AB" w:rsidP="009A38AB">
      <w:pPr>
        <w:pStyle w:val="Hangindent"/>
        <w:rPr>
          <w:color w:val="000000" w:themeColor="text1"/>
          <w:lang w:val="en-US"/>
        </w:rPr>
      </w:pPr>
      <w:r w:rsidRPr="00B40A77">
        <w:rPr>
          <w:color w:val="000000" w:themeColor="text1"/>
          <w:lang w:val="en-US"/>
        </w:rPr>
        <w:t>(6)</w:t>
      </w:r>
      <w:r w:rsidRPr="00B40A77">
        <w:rPr>
          <w:color w:val="000000" w:themeColor="text1"/>
          <w:lang w:val="en-US"/>
        </w:rPr>
        <w:tab/>
        <w:t xml:space="preserve">The date specified in a </w:t>
      </w:r>
      <w:hyperlink w:anchor="_122.1—Interpretation" w:history="1">
        <w:r w:rsidR="00135EC7" w:rsidRPr="00B40A77">
          <w:rPr>
            <w:rStyle w:val="Hyperlink"/>
            <w:color w:val="000000" w:themeColor="text1"/>
            <w:lang w:val="en-US"/>
          </w:rPr>
          <w:t>subpoena</w:t>
        </w:r>
      </w:hyperlink>
      <w:r w:rsidR="008072D9" w:rsidRPr="00B40A77">
        <w:rPr>
          <w:color w:val="000000" w:themeColor="text1"/>
          <w:lang w:val="en-US"/>
        </w:rPr>
        <w:t xml:space="preserve"> </w:t>
      </w:r>
      <w:r w:rsidRPr="00B40A77">
        <w:rPr>
          <w:color w:val="000000" w:themeColor="text1"/>
          <w:lang w:val="en-US"/>
        </w:rPr>
        <w:t xml:space="preserve">must be the date of </w:t>
      </w:r>
      <w:hyperlink w:anchor="_2.1—Definitions" w:history="1">
        <w:r w:rsidRPr="00B40A77">
          <w:rPr>
            <w:rStyle w:val="Hyperlink"/>
            <w:color w:val="000000" w:themeColor="text1"/>
            <w:lang w:val="en-US"/>
          </w:rPr>
          <w:t>trial</w:t>
        </w:r>
      </w:hyperlink>
      <w:r w:rsidRPr="00B40A77">
        <w:rPr>
          <w:color w:val="000000" w:themeColor="text1"/>
          <w:lang w:val="en-US"/>
        </w:rPr>
        <w:t xml:space="preserve"> or any other date as permitted by the Court.</w:t>
      </w:r>
    </w:p>
    <w:p w14:paraId="7089262A" w14:textId="77777777" w:rsidR="009A38AB" w:rsidRPr="00B40A77" w:rsidRDefault="009A38AB" w:rsidP="009A38AB">
      <w:pPr>
        <w:pStyle w:val="Hangindent"/>
        <w:rPr>
          <w:color w:val="000000" w:themeColor="text1"/>
          <w:lang w:val="en-US"/>
        </w:rPr>
      </w:pPr>
      <w:r w:rsidRPr="00B40A77">
        <w:rPr>
          <w:color w:val="000000" w:themeColor="text1"/>
          <w:lang w:val="en-US"/>
        </w:rPr>
        <w:t>(7)</w:t>
      </w:r>
      <w:r w:rsidRPr="00B40A77">
        <w:rPr>
          <w:color w:val="000000" w:themeColor="text1"/>
          <w:lang w:val="en-US"/>
        </w:rPr>
        <w:tab/>
        <w:t>The place specified for production may be the Court or the address of any person authorised to take evidence in the proceeding as permitted by the Court.</w:t>
      </w:r>
    </w:p>
    <w:p w14:paraId="588A19D5" w14:textId="79D95307" w:rsidR="009A38AB" w:rsidRPr="00B40A77" w:rsidRDefault="009A38AB" w:rsidP="009A38AB">
      <w:pPr>
        <w:pStyle w:val="Hangindent"/>
        <w:rPr>
          <w:color w:val="000000" w:themeColor="text1"/>
          <w:lang w:val="en-US"/>
        </w:rPr>
      </w:pPr>
      <w:r w:rsidRPr="00B40A77">
        <w:rPr>
          <w:color w:val="000000" w:themeColor="text1"/>
          <w:lang w:val="en-US"/>
        </w:rPr>
        <w:t>(8)</w:t>
      </w:r>
      <w:r w:rsidRPr="00B40A77">
        <w:rPr>
          <w:color w:val="000000" w:themeColor="text1"/>
          <w:lang w:val="en-US"/>
        </w:rPr>
        <w:tab/>
        <w:t xml:space="preserve">The last date for service of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450DF4E4" w14:textId="77777777" w:rsidR="009A38AB" w:rsidRPr="00B40A77" w:rsidRDefault="009A38AB" w:rsidP="009A38AB">
      <w:pPr>
        <w:pStyle w:val="Doublehangindent"/>
        <w:rPr>
          <w:color w:val="000000" w:themeColor="text1"/>
        </w:rPr>
      </w:pPr>
      <w:r w:rsidRPr="00B40A77">
        <w:rPr>
          <w:color w:val="000000" w:themeColor="text1"/>
        </w:rPr>
        <w:t>(a)</w:t>
      </w:r>
      <w:r w:rsidRPr="00B40A77">
        <w:rPr>
          <w:color w:val="000000" w:themeColor="text1"/>
        </w:rPr>
        <w:tab/>
        <w:t>is—</w:t>
      </w:r>
    </w:p>
    <w:p w14:paraId="4378B9FA" w14:textId="1135C3FC" w:rsidR="009A38AB" w:rsidRPr="00B40A77" w:rsidRDefault="009A38AB" w:rsidP="009A38AB">
      <w:pPr>
        <w:pStyle w:val="Triplehangindent"/>
        <w:rPr>
          <w:color w:val="000000" w:themeColor="text1"/>
        </w:rPr>
      </w:pPr>
      <w:r w:rsidRPr="00B40A77">
        <w:rPr>
          <w:color w:val="000000" w:themeColor="text1"/>
        </w:rPr>
        <w:t>(i)</w:t>
      </w:r>
      <w:r w:rsidRPr="00B40A77">
        <w:rPr>
          <w:color w:val="000000" w:themeColor="text1"/>
        </w:rPr>
        <w:tab/>
        <w:t xml:space="preserve">the date 5 </w:t>
      </w:r>
      <w:hyperlink w:anchor="_2.1—Definitions" w:history="1">
        <w:r w:rsidRPr="00B40A77">
          <w:rPr>
            <w:rStyle w:val="Hyperlink"/>
            <w:color w:val="000000" w:themeColor="text1"/>
          </w:rPr>
          <w:t>business days</w:t>
        </w:r>
      </w:hyperlink>
      <w:r w:rsidRPr="00B40A77">
        <w:rPr>
          <w:color w:val="000000" w:themeColor="text1"/>
        </w:rPr>
        <w:t xml:space="preserve"> before the earliest date the </w:t>
      </w:r>
      <w:hyperlink w:anchor="_122.1—Interpretation" w:history="1">
        <w:r w:rsidR="008072D9" w:rsidRPr="00B40A77">
          <w:rPr>
            <w:rStyle w:val="Hyperlink"/>
            <w:color w:val="000000" w:themeColor="text1"/>
          </w:rPr>
          <w:t>addressee</w:t>
        </w:r>
      </w:hyperlink>
      <w:r w:rsidRPr="00B40A77">
        <w:rPr>
          <w:color w:val="000000" w:themeColor="text1"/>
        </w:rPr>
        <w:t xml:space="preserve"> is required to comply with the </w:t>
      </w:r>
      <w:hyperlink w:anchor="_122.1—Interpretation" w:history="1">
        <w:r w:rsidR="001F0AB4" w:rsidRPr="00B40A77">
          <w:rPr>
            <w:rStyle w:val="Hyperlink"/>
            <w:color w:val="000000" w:themeColor="text1"/>
          </w:rPr>
          <w:t>subpoena</w:t>
        </w:r>
      </w:hyperlink>
      <w:r w:rsidRPr="00B40A77">
        <w:rPr>
          <w:color w:val="000000" w:themeColor="text1"/>
        </w:rPr>
        <w:t>; or</w:t>
      </w:r>
    </w:p>
    <w:p w14:paraId="09837BEC" w14:textId="77777777" w:rsidR="009A38AB" w:rsidRPr="00B40A77" w:rsidRDefault="009A38AB" w:rsidP="009A38AB">
      <w:pPr>
        <w:pStyle w:val="Triplehangindent"/>
        <w:rPr>
          <w:color w:val="000000" w:themeColor="text1"/>
        </w:rPr>
      </w:pPr>
      <w:r w:rsidRPr="00B40A77">
        <w:rPr>
          <w:color w:val="000000" w:themeColor="text1"/>
        </w:rPr>
        <w:t>(ii)</w:t>
      </w:r>
      <w:r w:rsidRPr="00B40A77">
        <w:rPr>
          <w:color w:val="000000" w:themeColor="text1"/>
        </w:rPr>
        <w:tab/>
        <w:t>an earlier or later date fixed by the Court; and</w:t>
      </w:r>
    </w:p>
    <w:p w14:paraId="1435C6E2" w14:textId="56AC463B" w:rsidR="009A38AB" w:rsidRPr="00B40A77" w:rsidRDefault="009A38AB" w:rsidP="00763DD0">
      <w:pPr>
        <w:pStyle w:val="Doublehangindent"/>
        <w:keepNext/>
        <w:rPr>
          <w:color w:val="000000" w:themeColor="text1"/>
        </w:rPr>
      </w:pPr>
      <w:r w:rsidRPr="00B40A77">
        <w:rPr>
          <w:color w:val="000000" w:themeColor="text1"/>
        </w:rPr>
        <w:t>(b)</w:t>
      </w:r>
      <w:r w:rsidRPr="00B40A77">
        <w:rPr>
          <w:color w:val="000000" w:themeColor="text1"/>
        </w:rPr>
        <w:tab/>
        <w:t xml:space="preserve">must be specified in the </w:t>
      </w:r>
      <w:hyperlink w:anchor="_122.1—Interpretation" w:history="1">
        <w:r w:rsidR="00135EC7" w:rsidRPr="00B40A77">
          <w:rPr>
            <w:rStyle w:val="Hyperlink"/>
            <w:color w:val="000000" w:themeColor="text1"/>
            <w:lang w:val="en-US"/>
          </w:rPr>
          <w:t>subpoena</w:t>
        </w:r>
      </w:hyperlink>
      <w:r w:rsidRPr="00B40A77">
        <w:rPr>
          <w:color w:val="000000" w:themeColor="text1"/>
        </w:rPr>
        <w:t>.</w:t>
      </w:r>
    </w:p>
    <w:p w14:paraId="6E1B7DC7" w14:textId="77777777" w:rsidR="009A38AB" w:rsidRPr="00B40A77" w:rsidRDefault="009A38AB" w:rsidP="004E3D0F">
      <w:pPr>
        <w:pStyle w:val="NoteHeader"/>
        <w:keepNext/>
        <w:ind w:left="1701"/>
        <w:rPr>
          <w:color w:val="000000" w:themeColor="text1"/>
          <w:lang w:val="en-US"/>
        </w:rPr>
      </w:pPr>
      <w:r w:rsidRPr="00B40A77">
        <w:rPr>
          <w:color w:val="000000" w:themeColor="text1"/>
          <w:lang w:val="en-US"/>
        </w:rPr>
        <w:t>Notes—</w:t>
      </w:r>
    </w:p>
    <w:p w14:paraId="2FB5258B" w14:textId="19C276B0" w:rsidR="009A38AB" w:rsidRPr="00B40A77" w:rsidRDefault="009A38AB" w:rsidP="00650D28">
      <w:pPr>
        <w:pStyle w:val="NoteText"/>
        <w:keepNext/>
        <w:ind w:left="2279"/>
        <w:rPr>
          <w:color w:val="000000" w:themeColor="text1"/>
          <w:lang w:val="en-US"/>
        </w:rPr>
      </w:pPr>
      <w:r w:rsidRPr="00B40A77">
        <w:rPr>
          <w:color w:val="000000" w:themeColor="text1"/>
          <w:lang w:val="en-US"/>
        </w:rPr>
        <w:t xml:space="preserve">Section 30(1) of the </w:t>
      </w:r>
      <w:r w:rsidRPr="00B40A77">
        <w:rPr>
          <w:iCs/>
          <w:color w:val="000000" w:themeColor="text1"/>
          <w:lang w:val="en-US"/>
        </w:rPr>
        <w:t>Service and Execution of Process Act</w:t>
      </w:r>
      <w:r w:rsidRPr="00B40A77">
        <w:rPr>
          <w:color w:val="000000" w:themeColor="text1"/>
          <w:lang w:val="en-US"/>
        </w:rPr>
        <w:t xml:space="preserve"> provides that service of a </w:t>
      </w:r>
      <w:r w:rsidR="00135EC7" w:rsidRPr="00B40A77">
        <w:rPr>
          <w:color w:val="000000" w:themeColor="text1"/>
          <w:lang w:val="en-US"/>
        </w:rPr>
        <w:t>subpoena</w:t>
      </w:r>
      <w:r w:rsidRPr="00B40A77">
        <w:rPr>
          <w:color w:val="000000" w:themeColor="text1"/>
          <w:lang w:val="en-US"/>
        </w:rPr>
        <w:t xml:space="preserve"> in another State is effective only if the period between service and the day on which the addressee is required to comply with the </w:t>
      </w:r>
      <w:r w:rsidR="00135EC7" w:rsidRPr="00B40A77">
        <w:rPr>
          <w:color w:val="000000" w:themeColor="text1"/>
          <w:lang w:val="en-US"/>
        </w:rPr>
        <w:t>subpoena</w:t>
      </w:r>
      <w:r w:rsidRPr="00B40A77">
        <w:rPr>
          <w:color w:val="000000" w:themeColor="text1"/>
          <w:lang w:val="en-US"/>
        </w:rPr>
        <w:t xml:space="preserve"> is not less than 14</w:t>
      </w:r>
      <w:r w:rsidR="001F0AB4" w:rsidRPr="00B40A77">
        <w:rPr>
          <w:color w:val="000000" w:themeColor="text1"/>
          <w:lang w:val="en-US"/>
        </w:rPr>
        <w:t> </w:t>
      </w:r>
      <w:r w:rsidRPr="00B40A77">
        <w:rPr>
          <w:color w:val="000000" w:themeColor="text1"/>
          <w:lang w:val="en-US"/>
        </w:rPr>
        <w:t xml:space="preserve">days or such shorter period as the </w:t>
      </w:r>
      <w:r w:rsidR="00BB2565" w:rsidRPr="00B40A77">
        <w:rPr>
          <w:color w:val="000000" w:themeColor="text1"/>
          <w:lang w:val="en-US"/>
        </w:rPr>
        <w:t>C</w:t>
      </w:r>
      <w:r w:rsidRPr="00B40A77">
        <w:rPr>
          <w:color w:val="000000" w:themeColor="text1"/>
          <w:lang w:val="en-US"/>
        </w:rPr>
        <w:t xml:space="preserve">ourt, on application, allows. </w:t>
      </w:r>
    </w:p>
    <w:p w14:paraId="536E0EDA" w14:textId="3640BC10" w:rsidR="009A38AB" w:rsidRPr="00B40A77" w:rsidRDefault="009A38AB" w:rsidP="00592C28">
      <w:pPr>
        <w:pStyle w:val="NoteText"/>
        <w:ind w:left="2277"/>
        <w:rPr>
          <w:color w:val="000000" w:themeColor="text1"/>
        </w:rPr>
      </w:pPr>
      <w:r w:rsidRPr="00B40A77">
        <w:rPr>
          <w:color w:val="000000" w:themeColor="text1"/>
          <w:lang w:val="en-US"/>
        </w:rPr>
        <w:t xml:space="preserve">Section 30(2) provides that the </w:t>
      </w:r>
      <w:r w:rsidR="00BB2565" w:rsidRPr="00B40A77">
        <w:rPr>
          <w:color w:val="000000" w:themeColor="text1"/>
          <w:lang w:val="en-US"/>
        </w:rPr>
        <w:t>C</w:t>
      </w:r>
      <w:r w:rsidRPr="00B40A77">
        <w:rPr>
          <w:color w:val="000000" w:themeColor="text1"/>
          <w:lang w:val="en-US"/>
        </w:rPr>
        <w:t xml:space="preserve">ourt may allow a shorter period only if it is satisfied that the giving of the evidence likely to be given by the addressee, or the production of a document or thing specified in the </w:t>
      </w:r>
      <w:r w:rsidR="00135EC7" w:rsidRPr="00B40A77">
        <w:rPr>
          <w:color w:val="000000" w:themeColor="text1"/>
          <w:lang w:val="en-US"/>
        </w:rPr>
        <w:t>subpoena</w:t>
      </w:r>
      <w:r w:rsidRPr="00B40A77">
        <w:rPr>
          <w:color w:val="000000" w:themeColor="text1"/>
          <w:lang w:val="en-US"/>
        </w:rPr>
        <w:t xml:space="preserve">, is necessary in the interests of justice; and there will be enough time for the addressee to comply with the </w:t>
      </w:r>
      <w:r w:rsidR="00135EC7" w:rsidRPr="00B40A77">
        <w:rPr>
          <w:color w:val="000000" w:themeColor="text1"/>
          <w:lang w:val="en-US"/>
        </w:rPr>
        <w:t>subpoena</w:t>
      </w:r>
      <w:r w:rsidRPr="00B40A77">
        <w:rPr>
          <w:color w:val="000000" w:themeColor="text1"/>
          <w:lang w:val="en-US"/>
        </w:rPr>
        <w:t xml:space="preserve"> without hardship or serious inconvenience and to make an application under section 33. </w:t>
      </w:r>
    </w:p>
    <w:p w14:paraId="403C945E" w14:textId="209738F5" w:rsidR="009A38AB" w:rsidRPr="00B40A77" w:rsidRDefault="009A38AB" w:rsidP="009A38AB">
      <w:pPr>
        <w:pStyle w:val="Hangindent"/>
        <w:rPr>
          <w:color w:val="000000" w:themeColor="text1"/>
          <w:lang w:val="en-US"/>
        </w:rPr>
      </w:pPr>
      <w:r w:rsidRPr="00B40A77">
        <w:rPr>
          <w:color w:val="000000" w:themeColor="text1"/>
          <w:lang w:val="en-US"/>
        </w:rPr>
        <w:t>(9)</w:t>
      </w:r>
      <w:r w:rsidRPr="00B40A77">
        <w:rPr>
          <w:color w:val="000000" w:themeColor="text1"/>
          <w:lang w:val="en-US"/>
        </w:rPr>
        <w:tab/>
        <w:t xml:space="preserve">If the </w:t>
      </w:r>
      <w:hyperlink w:anchor="_122.1—Interpretation" w:history="1">
        <w:r w:rsidR="008072D9" w:rsidRPr="00B40A77">
          <w:rPr>
            <w:rStyle w:val="Hyperlink"/>
            <w:color w:val="000000" w:themeColor="text1"/>
            <w:lang w:val="en-US"/>
          </w:rPr>
          <w:t>addressee</w:t>
        </w:r>
      </w:hyperlink>
      <w:r w:rsidRPr="00B40A77">
        <w:rPr>
          <w:color w:val="000000" w:themeColor="text1"/>
          <w:lang w:val="en-US"/>
        </w:rPr>
        <w:t xml:space="preserve"> is a corporation, the corporation must comply with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by its appropriate or proper officer.</w:t>
      </w:r>
    </w:p>
    <w:p w14:paraId="6F14A573" w14:textId="1D029A7F" w:rsidR="009A38AB" w:rsidRPr="00B40A77" w:rsidRDefault="00B1323E" w:rsidP="009A38AB">
      <w:pPr>
        <w:pStyle w:val="Heading4"/>
        <w:rPr>
          <w:color w:val="000000" w:themeColor="text1"/>
        </w:rPr>
      </w:pPr>
      <w:bookmarkStart w:id="753" w:name="_Toc175239131"/>
      <w:r w:rsidRPr="00B40A77">
        <w:rPr>
          <w:color w:val="000000" w:themeColor="text1"/>
        </w:rPr>
        <w:lastRenderedPageBreak/>
        <w:t>123.3</w:t>
      </w:r>
      <w:r w:rsidR="009A38AB" w:rsidRPr="00B40A77">
        <w:rPr>
          <w:color w:val="000000" w:themeColor="text1"/>
        </w:rPr>
        <w:t>—Change of date for attendance or production</w:t>
      </w:r>
      <w:bookmarkEnd w:id="753"/>
    </w:p>
    <w:p w14:paraId="061C1BAD" w14:textId="48B56A4A"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w:t>
      </w:r>
      <w:hyperlink w:anchor="_122.1—Interpretation" w:history="1">
        <w:r w:rsidRPr="00B40A77">
          <w:rPr>
            <w:rStyle w:val="Hyperlink"/>
            <w:color w:val="000000" w:themeColor="text1"/>
            <w:lang w:val="en-US"/>
          </w:rPr>
          <w:t>issuing party</w:t>
        </w:r>
      </w:hyperlink>
      <w:r w:rsidRPr="00B40A77">
        <w:rPr>
          <w:color w:val="000000" w:themeColor="text1"/>
          <w:lang w:val="en-US"/>
        </w:rPr>
        <w:t xml:space="preserve"> may give notice to the </w:t>
      </w:r>
      <w:hyperlink w:anchor="_122.1—Interpretation" w:history="1">
        <w:r w:rsidR="008072D9" w:rsidRPr="00B40A77">
          <w:rPr>
            <w:rStyle w:val="Hyperlink"/>
            <w:color w:val="000000" w:themeColor="text1"/>
            <w:lang w:val="en-US"/>
          </w:rPr>
          <w:t>addressee</w:t>
        </w:r>
      </w:hyperlink>
      <w:r w:rsidRPr="00B40A77">
        <w:rPr>
          <w:color w:val="000000" w:themeColor="text1"/>
          <w:lang w:val="en-US"/>
        </w:rPr>
        <w:t xml:space="preserve"> of a date or time later than the date or time specified in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as the date or time for attendance or for production or for both.</w:t>
      </w:r>
    </w:p>
    <w:p w14:paraId="7F5E68BA" w14:textId="46958B39"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When notice is given under subrule</w:t>
      </w:r>
      <w:r w:rsidR="00BA7A73" w:rsidRPr="00B40A77">
        <w:rPr>
          <w:color w:val="000000" w:themeColor="text1"/>
          <w:lang w:val="en-US"/>
        </w:rPr>
        <w:t> </w:t>
      </w:r>
      <w:r w:rsidRPr="00B40A77">
        <w:rPr>
          <w:color w:val="000000" w:themeColor="text1"/>
          <w:lang w:val="en-US"/>
        </w:rPr>
        <w:t xml:space="preserve">(1), the </w:t>
      </w:r>
      <w:hyperlink w:anchor="_122.1—Interpretation" w:history="1">
        <w:r w:rsidR="00135EC7" w:rsidRPr="00B40A77">
          <w:rPr>
            <w:rStyle w:val="Hyperlink"/>
            <w:color w:val="000000" w:themeColor="text1"/>
            <w:lang w:val="en-US"/>
          </w:rPr>
          <w:t>subpoena</w:t>
        </w:r>
      </w:hyperlink>
      <w:r w:rsidR="002605AE" w:rsidRPr="00B40A77">
        <w:rPr>
          <w:color w:val="000000" w:themeColor="text1"/>
          <w:lang w:val="en-US"/>
        </w:rPr>
        <w:t xml:space="preserve"> </w:t>
      </w:r>
      <w:r w:rsidRPr="00B40A77">
        <w:rPr>
          <w:color w:val="000000" w:themeColor="text1"/>
          <w:lang w:val="en-US"/>
        </w:rPr>
        <w:t xml:space="preserve">has effect as if the date or time notified appeared in the </w:t>
      </w:r>
      <w:hyperlink w:anchor="_122.1—Interpretation" w:history="1">
        <w:r w:rsidR="00135EC7" w:rsidRPr="00B40A77">
          <w:rPr>
            <w:rStyle w:val="Hyperlink"/>
            <w:color w:val="000000" w:themeColor="text1"/>
            <w:lang w:val="en-US"/>
          </w:rPr>
          <w:t>subpoena</w:t>
        </w:r>
      </w:hyperlink>
      <w:r w:rsidR="002605AE" w:rsidRPr="00B40A77">
        <w:rPr>
          <w:color w:val="000000" w:themeColor="text1"/>
          <w:lang w:val="en-US"/>
        </w:rPr>
        <w:t xml:space="preserve"> </w:t>
      </w:r>
      <w:r w:rsidRPr="00B40A77">
        <w:rPr>
          <w:color w:val="000000" w:themeColor="text1"/>
          <w:lang w:val="en-US"/>
        </w:rPr>
        <w:t xml:space="preserve">instead of the date or time which appeared in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63E4A034" w14:textId="73A2FB5B" w:rsidR="009A38AB" w:rsidRPr="00B40A77" w:rsidRDefault="00B1323E" w:rsidP="009A38AB">
      <w:pPr>
        <w:pStyle w:val="Heading4"/>
        <w:rPr>
          <w:color w:val="000000" w:themeColor="text1"/>
        </w:rPr>
      </w:pPr>
      <w:bookmarkStart w:id="754" w:name="_Toc175239132"/>
      <w:r w:rsidRPr="00B40A77">
        <w:rPr>
          <w:color w:val="000000" w:themeColor="text1"/>
        </w:rPr>
        <w:t>123.4</w:t>
      </w:r>
      <w:r w:rsidR="009A38AB" w:rsidRPr="00B40A77">
        <w:rPr>
          <w:color w:val="000000" w:themeColor="text1"/>
        </w:rPr>
        <w:t>—Setting aside or other relief</w:t>
      </w:r>
      <w:bookmarkEnd w:id="754"/>
    </w:p>
    <w:p w14:paraId="54E2D5D0" w14:textId="720AEC29"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on the application of a party or any person having a sufficient interest, set aside a </w:t>
      </w:r>
      <w:hyperlink w:anchor="_122.1—Interpretation" w:history="1">
        <w:r w:rsidR="00135EC7" w:rsidRPr="00B40A77">
          <w:rPr>
            <w:rStyle w:val="Hyperlink"/>
            <w:color w:val="000000" w:themeColor="text1"/>
            <w:lang w:val="en-US"/>
          </w:rPr>
          <w:t>subpoena</w:t>
        </w:r>
      </w:hyperlink>
      <w:r w:rsidR="002605AE" w:rsidRPr="00B40A77">
        <w:rPr>
          <w:color w:val="000000" w:themeColor="text1"/>
          <w:lang w:val="en-US"/>
        </w:rPr>
        <w:t xml:space="preserve"> </w:t>
      </w:r>
      <w:r w:rsidRPr="00B40A77">
        <w:rPr>
          <w:color w:val="000000" w:themeColor="text1"/>
          <w:lang w:val="en-US"/>
        </w:rPr>
        <w:t>in whole or part, or grant other relief in relation to it.</w:t>
      </w:r>
    </w:p>
    <w:p w14:paraId="1D316E1F" w14:textId="2812D4A9"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An application under subrule</w:t>
      </w:r>
      <w:r w:rsidR="00BA7A73" w:rsidRPr="00B40A77">
        <w:rPr>
          <w:color w:val="000000" w:themeColor="text1"/>
          <w:lang w:val="en-US"/>
        </w:rPr>
        <w:t> </w:t>
      </w:r>
      <w:r w:rsidRPr="00B40A77">
        <w:rPr>
          <w:color w:val="000000" w:themeColor="text1"/>
          <w:lang w:val="en-US"/>
        </w:rPr>
        <w:t xml:space="preserve">(1) must be made on notice to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w:t>
      </w:r>
    </w:p>
    <w:p w14:paraId="0C5A61C6" w14:textId="05E219EE" w:rsidR="009A38AB" w:rsidRPr="00B40A77" w:rsidRDefault="009A38AB" w:rsidP="00763DD0">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The Court may order that the applicant give notice of the application to each other party or to any other person having a sufficient interest.</w:t>
      </w:r>
    </w:p>
    <w:p w14:paraId="0265997D" w14:textId="77777777" w:rsidR="009A38AB" w:rsidRPr="00B40A77" w:rsidRDefault="009A38AB" w:rsidP="004E3D0F">
      <w:pPr>
        <w:pStyle w:val="NoteHeader"/>
        <w:keepNext/>
        <w:rPr>
          <w:color w:val="000000" w:themeColor="text1"/>
          <w:lang w:val="en-US"/>
        </w:rPr>
      </w:pPr>
      <w:r w:rsidRPr="00B40A77">
        <w:rPr>
          <w:color w:val="000000" w:themeColor="text1"/>
          <w:lang w:val="en-US"/>
        </w:rPr>
        <w:t>Note—</w:t>
      </w:r>
    </w:p>
    <w:p w14:paraId="0EBDF880" w14:textId="7988B590" w:rsidR="009A38AB" w:rsidRPr="00B40A77" w:rsidRDefault="009A38AB" w:rsidP="009A38AB">
      <w:pPr>
        <w:pStyle w:val="NoteText"/>
        <w:rPr>
          <w:color w:val="000000" w:themeColor="text1"/>
          <w:lang w:val="en-US"/>
        </w:rPr>
      </w:pPr>
      <w:r w:rsidRPr="00B40A77">
        <w:rPr>
          <w:color w:val="000000" w:themeColor="text1"/>
          <w:lang w:val="en-US"/>
        </w:rPr>
        <w:t xml:space="preserve">Sections 33, 43 and 44 of the </w:t>
      </w:r>
      <w:r w:rsidRPr="00B40A77">
        <w:rPr>
          <w:iCs/>
          <w:color w:val="000000" w:themeColor="text1"/>
          <w:lang w:val="en-US"/>
        </w:rPr>
        <w:t>Service and Execution of Process Act</w:t>
      </w:r>
      <w:r w:rsidRPr="00B40A77">
        <w:rPr>
          <w:color w:val="000000" w:themeColor="text1"/>
          <w:lang w:val="en-US"/>
        </w:rPr>
        <w:t xml:space="preserve"> contain provisions governing applications to set aside </w:t>
      </w:r>
      <w:r w:rsidR="005D0D70" w:rsidRPr="00B40A77">
        <w:rPr>
          <w:color w:val="000000" w:themeColor="text1"/>
          <w:lang w:val="en-US"/>
        </w:rPr>
        <w:t>summons</w:t>
      </w:r>
      <w:r w:rsidR="00201550" w:rsidRPr="00B40A77">
        <w:rPr>
          <w:color w:val="000000" w:themeColor="text1"/>
          <w:lang w:val="en-US"/>
        </w:rPr>
        <w:t>es</w:t>
      </w:r>
      <w:r w:rsidR="005D0D70" w:rsidRPr="00B40A77">
        <w:rPr>
          <w:color w:val="000000" w:themeColor="text1"/>
          <w:lang w:val="en-US"/>
        </w:rPr>
        <w:t xml:space="preserve"> to witness</w:t>
      </w:r>
      <w:r w:rsidR="00201550" w:rsidRPr="00B40A77">
        <w:rPr>
          <w:color w:val="000000" w:themeColor="text1"/>
          <w:lang w:val="en-US"/>
        </w:rPr>
        <w:t>e</w:t>
      </w:r>
      <w:r w:rsidRPr="00B40A77">
        <w:rPr>
          <w:color w:val="000000" w:themeColor="text1"/>
          <w:lang w:val="en-US"/>
        </w:rPr>
        <w:t>s served interstate.</w:t>
      </w:r>
    </w:p>
    <w:p w14:paraId="28F300CC" w14:textId="184BB31E" w:rsidR="009A38AB" w:rsidRPr="00B40A77" w:rsidRDefault="00B1323E" w:rsidP="009A38AB">
      <w:pPr>
        <w:pStyle w:val="Heading4"/>
        <w:rPr>
          <w:color w:val="000000" w:themeColor="text1"/>
        </w:rPr>
      </w:pPr>
      <w:bookmarkStart w:id="755" w:name="_123.5—Service"/>
      <w:bookmarkStart w:id="756" w:name="_Toc175239133"/>
      <w:bookmarkEnd w:id="755"/>
      <w:r w:rsidRPr="00B40A77">
        <w:rPr>
          <w:color w:val="000000" w:themeColor="text1"/>
        </w:rPr>
        <w:t>123.5</w:t>
      </w:r>
      <w:r w:rsidR="009A38AB" w:rsidRPr="00B40A77">
        <w:rPr>
          <w:color w:val="000000" w:themeColor="text1"/>
        </w:rPr>
        <w:t>—Service</w:t>
      </w:r>
      <w:bookmarkEnd w:id="756"/>
    </w:p>
    <w:p w14:paraId="0D7268BB" w14:textId="29D7F486"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w:t>
      </w:r>
      <w:hyperlink w:anchor="_122.1—Interpretation" w:history="1">
        <w:r w:rsidR="00135EC7" w:rsidRPr="00B40A77">
          <w:rPr>
            <w:rStyle w:val="Hyperlink"/>
            <w:color w:val="000000" w:themeColor="text1"/>
            <w:lang w:val="en-US"/>
          </w:rPr>
          <w:t>subpoena</w:t>
        </w:r>
      </w:hyperlink>
      <w:r w:rsidR="00A14FB0" w:rsidRPr="00B40A77">
        <w:rPr>
          <w:color w:val="000000" w:themeColor="text1"/>
          <w:lang w:val="en-US"/>
        </w:rPr>
        <w:t xml:space="preserve"> </w:t>
      </w:r>
      <w:r w:rsidRPr="00B40A77">
        <w:rPr>
          <w:color w:val="000000" w:themeColor="text1"/>
          <w:lang w:val="en-US"/>
        </w:rPr>
        <w:t xml:space="preserve">must be served personally on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w:t>
      </w:r>
    </w:p>
    <w:p w14:paraId="79288082" w14:textId="437DFCF4" w:rsidR="009A38AB" w:rsidRPr="00B40A77" w:rsidRDefault="009A38AB" w:rsidP="00763DD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xml:space="preserve"> must serve a copy of a </w:t>
      </w:r>
      <w:hyperlink w:anchor="_156.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on each other party as soon as practicable after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has been served on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w:t>
      </w:r>
    </w:p>
    <w:p w14:paraId="21D6EC5F" w14:textId="77777777" w:rsidR="009A38AB" w:rsidRPr="00B40A77" w:rsidRDefault="009A38AB" w:rsidP="004E3D0F">
      <w:pPr>
        <w:pStyle w:val="NoteHeader"/>
        <w:keepNext/>
        <w:rPr>
          <w:color w:val="000000" w:themeColor="text1"/>
          <w:lang w:val="en-US"/>
        </w:rPr>
      </w:pPr>
      <w:r w:rsidRPr="00B40A77">
        <w:rPr>
          <w:color w:val="000000" w:themeColor="text1"/>
          <w:lang w:val="en-US"/>
        </w:rPr>
        <w:t>Note—</w:t>
      </w:r>
    </w:p>
    <w:p w14:paraId="4D36B6C7" w14:textId="575B17A1" w:rsidR="009A38AB" w:rsidRPr="00B40A77" w:rsidRDefault="009A38AB" w:rsidP="009A38AB">
      <w:pPr>
        <w:pStyle w:val="NoteText"/>
        <w:rPr>
          <w:color w:val="000000" w:themeColor="text1"/>
          <w:lang w:val="en-US"/>
        </w:rPr>
      </w:pPr>
      <w:r w:rsidRPr="00B40A77">
        <w:rPr>
          <w:color w:val="000000" w:themeColor="text1"/>
          <w:lang w:val="en-US"/>
        </w:rPr>
        <w:t xml:space="preserve">This rule does not require service of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on each other party if the </w:t>
      </w:r>
      <w:hyperlink w:anchor="_122.1—Interpretation" w:history="1">
        <w:r w:rsidR="00E46B25" w:rsidRPr="00B40A77">
          <w:rPr>
            <w:rStyle w:val="Hyperlink"/>
            <w:color w:val="000000" w:themeColor="text1"/>
            <w:lang w:val="en-US"/>
          </w:rPr>
          <w:t>subpoena</w:t>
        </w:r>
      </w:hyperlink>
      <w:r w:rsidRPr="00B40A77">
        <w:rPr>
          <w:color w:val="000000" w:themeColor="text1"/>
          <w:lang w:val="en-US"/>
        </w:rPr>
        <w:t xml:space="preserve"> is only to give evidence and does not require production of any documents.</w:t>
      </w:r>
    </w:p>
    <w:p w14:paraId="470EC7F5" w14:textId="5B623CA8" w:rsidR="009A38AB" w:rsidRPr="00B40A77" w:rsidRDefault="00184C71" w:rsidP="009A38AB">
      <w:pPr>
        <w:pStyle w:val="Heading3"/>
        <w:rPr>
          <w:color w:val="000000" w:themeColor="text1"/>
        </w:rPr>
      </w:pPr>
      <w:bookmarkStart w:id="757" w:name="_Toc175239134"/>
      <w:r w:rsidRPr="00B40A77">
        <w:rPr>
          <w:color w:val="000000" w:themeColor="text1"/>
        </w:rPr>
        <w:t>Division</w:t>
      </w:r>
      <w:r w:rsidR="009A38AB" w:rsidRPr="00B40A77">
        <w:rPr>
          <w:color w:val="000000" w:themeColor="text1"/>
        </w:rPr>
        <w:t xml:space="preserve"> 3—Compliance</w:t>
      </w:r>
      <w:bookmarkEnd w:id="757"/>
    </w:p>
    <w:p w14:paraId="1D19EFC7" w14:textId="2EF535A0" w:rsidR="009A38AB" w:rsidRPr="00B40A77" w:rsidRDefault="00B1323E" w:rsidP="009A38AB">
      <w:pPr>
        <w:pStyle w:val="Heading4"/>
        <w:rPr>
          <w:color w:val="000000" w:themeColor="text1"/>
        </w:rPr>
      </w:pPr>
      <w:bookmarkStart w:id="758" w:name="_124.1—Compliance_with_summons"/>
      <w:bookmarkStart w:id="759" w:name="_Toc175239135"/>
      <w:bookmarkEnd w:id="758"/>
      <w:r w:rsidRPr="00B40A77">
        <w:rPr>
          <w:color w:val="000000" w:themeColor="text1"/>
        </w:rPr>
        <w:t>124.1</w:t>
      </w:r>
      <w:r w:rsidR="009A38AB" w:rsidRPr="00B40A77">
        <w:rPr>
          <w:color w:val="000000" w:themeColor="text1"/>
        </w:rPr>
        <w:t xml:space="preserve">—Compliance with </w:t>
      </w:r>
      <w:r w:rsidR="00135EC7" w:rsidRPr="00B40A77">
        <w:rPr>
          <w:color w:val="000000" w:themeColor="text1"/>
        </w:rPr>
        <w:t>subpoena</w:t>
      </w:r>
      <w:bookmarkEnd w:id="759"/>
    </w:p>
    <w:p w14:paraId="2868E35C" w14:textId="7C100EEC" w:rsidR="00201550" w:rsidRPr="00B40A77" w:rsidRDefault="00201550" w:rsidP="001B62D0">
      <w:pPr>
        <w:pStyle w:val="Hangindent"/>
        <w:keepNext/>
        <w:rPr>
          <w:color w:val="000000" w:themeColor="text1"/>
          <w:sz w:val="24"/>
          <w:szCs w:val="24"/>
        </w:rPr>
      </w:pPr>
      <w:r w:rsidRPr="00B40A77">
        <w:rPr>
          <w:i/>
          <w:iCs/>
          <w:color w:val="000000" w:themeColor="text1"/>
          <w:sz w:val="24"/>
          <w:szCs w:val="24"/>
        </w:rPr>
        <w:t>Higher Courts</w:t>
      </w:r>
    </w:p>
    <w:p w14:paraId="5BC29CC1" w14:textId="03BB1017" w:rsidR="009A38AB" w:rsidRPr="00B40A77" w:rsidRDefault="00187EC1" w:rsidP="00187EC1">
      <w:pPr>
        <w:pStyle w:val="Hangindent"/>
        <w:rPr>
          <w:i/>
          <w:color w:val="000000" w:themeColor="text1"/>
        </w:rPr>
      </w:pPr>
      <w:r w:rsidRPr="00B40A77">
        <w:rPr>
          <w:color w:val="000000" w:themeColor="text1"/>
        </w:rPr>
        <w:t>(1)</w:t>
      </w:r>
      <w:r w:rsidRPr="00B40A77">
        <w:rPr>
          <w:color w:val="000000" w:themeColor="text1"/>
        </w:rPr>
        <w:tab/>
      </w:r>
      <w:r w:rsidR="009A38AB" w:rsidRPr="00B40A77">
        <w:rPr>
          <w:color w:val="000000" w:themeColor="text1"/>
        </w:rPr>
        <w:t xml:space="preserve">An </w:t>
      </w:r>
      <w:hyperlink w:anchor="_122.1—Interpretation" w:history="1">
        <w:r w:rsidR="00F809B2" w:rsidRPr="00B40A77">
          <w:rPr>
            <w:rStyle w:val="Hyperlink"/>
            <w:color w:val="000000" w:themeColor="text1"/>
            <w:lang w:val="en-US"/>
          </w:rPr>
          <w:t>addressee</w:t>
        </w:r>
      </w:hyperlink>
      <w:r w:rsidR="009A38AB" w:rsidRPr="00B40A77">
        <w:rPr>
          <w:color w:val="000000" w:themeColor="text1"/>
        </w:rPr>
        <w:t xml:space="preserve"> need not comply with the requirements of a </w:t>
      </w:r>
      <w:hyperlink w:anchor="_122.1—Interpretation" w:history="1">
        <w:r w:rsidR="00135EC7" w:rsidRPr="00B40A77">
          <w:rPr>
            <w:rStyle w:val="Hyperlink"/>
            <w:color w:val="000000" w:themeColor="text1"/>
          </w:rPr>
          <w:t>subpoena</w:t>
        </w:r>
        <w:r w:rsidR="009A38AB" w:rsidRPr="00B40A77">
          <w:rPr>
            <w:rStyle w:val="Hyperlink"/>
            <w:color w:val="000000" w:themeColor="text1"/>
          </w:rPr>
          <w:t xml:space="preserve"> to attend to give evidence</w:t>
        </w:r>
      </w:hyperlink>
      <w:r w:rsidR="009A38AB" w:rsidRPr="00B40A77">
        <w:rPr>
          <w:color w:val="000000" w:themeColor="text1"/>
        </w:rPr>
        <w:t xml:space="preserve"> if </w:t>
      </w:r>
      <w:hyperlink w:anchor="_122.1—Interpretation" w:history="1">
        <w:r w:rsidR="009A38AB" w:rsidRPr="00B40A77">
          <w:rPr>
            <w:rStyle w:val="Hyperlink"/>
            <w:color w:val="000000" w:themeColor="text1"/>
          </w:rPr>
          <w:t>conduct money</w:t>
        </w:r>
      </w:hyperlink>
      <w:r w:rsidR="009A38AB" w:rsidRPr="00B40A77">
        <w:rPr>
          <w:color w:val="000000" w:themeColor="text1"/>
        </w:rPr>
        <w:t xml:space="preserve"> has not been handed or tendered to the </w:t>
      </w:r>
      <w:hyperlink w:anchor="_122.1—Interpretation" w:history="1">
        <w:r w:rsidR="00F809B2" w:rsidRPr="00B40A77">
          <w:rPr>
            <w:rStyle w:val="Hyperlink"/>
            <w:color w:val="000000" w:themeColor="text1"/>
            <w:lang w:val="en-US"/>
          </w:rPr>
          <w:t>addressee</w:t>
        </w:r>
      </w:hyperlink>
      <w:r w:rsidR="009A38AB" w:rsidRPr="00B40A77">
        <w:rPr>
          <w:color w:val="000000" w:themeColor="text1"/>
        </w:rPr>
        <w:t xml:space="preserve"> a reasonable time before the date on which attendance is required.</w:t>
      </w:r>
    </w:p>
    <w:p w14:paraId="2DE7AE40" w14:textId="0F197DE8" w:rsidR="00201550" w:rsidRPr="00B40A77" w:rsidRDefault="00201550" w:rsidP="004E3D0F">
      <w:pPr>
        <w:pStyle w:val="Hangindent"/>
        <w:keepNext/>
        <w:rPr>
          <w:color w:val="000000" w:themeColor="text1"/>
          <w:sz w:val="24"/>
          <w:szCs w:val="24"/>
        </w:rPr>
      </w:pPr>
      <w:r w:rsidRPr="00B40A77">
        <w:rPr>
          <w:i/>
          <w:color w:val="000000" w:themeColor="text1"/>
          <w:sz w:val="24"/>
          <w:szCs w:val="24"/>
        </w:rPr>
        <w:t>Lower Courts</w:t>
      </w:r>
    </w:p>
    <w:p w14:paraId="54047A32" w14:textId="4DADC442" w:rsidR="009A38AB" w:rsidRPr="00B40A77" w:rsidRDefault="00187EC1" w:rsidP="00187EC1">
      <w:pPr>
        <w:pStyle w:val="Hangindent"/>
        <w:rPr>
          <w:color w:val="000000" w:themeColor="text1"/>
        </w:rPr>
      </w:pPr>
      <w:r w:rsidRPr="00B40A77">
        <w:rPr>
          <w:color w:val="000000" w:themeColor="text1"/>
        </w:rPr>
        <w:t>(2)</w:t>
      </w:r>
      <w:r w:rsidRPr="00B40A77">
        <w:rPr>
          <w:color w:val="000000" w:themeColor="text1"/>
        </w:rPr>
        <w:tab/>
      </w:r>
      <w:r w:rsidR="009A38AB" w:rsidRPr="00B40A77">
        <w:rPr>
          <w:color w:val="000000" w:themeColor="text1"/>
        </w:rPr>
        <w:t xml:space="preserve">An </w:t>
      </w:r>
      <w:hyperlink w:anchor="_122.1—Interpretation" w:history="1">
        <w:r w:rsidR="00F809B2" w:rsidRPr="00B40A77">
          <w:rPr>
            <w:rStyle w:val="Hyperlink"/>
            <w:color w:val="000000" w:themeColor="text1"/>
            <w:lang w:val="en-US"/>
          </w:rPr>
          <w:t>addressee</w:t>
        </w:r>
      </w:hyperlink>
      <w:r w:rsidR="009A38AB" w:rsidRPr="00B40A77">
        <w:rPr>
          <w:color w:val="000000" w:themeColor="text1"/>
          <w:lang w:eastAsia="en-AU"/>
        </w:rPr>
        <w:t xml:space="preserve"> need not comply with the requirements of a </w:t>
      </w:r>
      <w:hyperlink w:anchor="_122.1—Interpretation" w:history="1">
        <w:r w:rsidR="00135EC7" w:rsidRPr="00B40A77">
          <w:rPr>
            <w:rStyle w:val="Hyperlink"/>
            <w:color w:val="000000" w:themeColor="text1"/>
          </w:rPr>
          <w:t>subpoena</w:t>
        </w:r>
        <w:r w:rsidR="00A14FB0" w:rsidRPr="00B40A77">
          <w:rPr>
            <w:rStyle w:val="Hyperlink"/>
            <w:color w:val="000000" w:themeColor="text1"/>
          </w:rPr>
          <w:t xml:space="preserve"> to attend to give evidence</w:t>
        </w:r>
      </w:hyperlink>
      <w:r w:rsidR="009A38AB" w:rsidRPr="00B40A77">
        <w:rPr>
          <w:color w:val="000000" w:themeColor="text1"/>
        </w:rPr>
        <w:t>—</w:t>
      </w:r>
    </w:p>
    <w:p w14:paraId="4AD0A116" w14:textId="4AA152E1" w:rsidR="009A38AB" w:rsidRPr="00B40A77" w:rsidRDefault="009A38AB" w:rsidP="009A38AB">
      <w:pPr>
        <w:pStyle w:val="Doublehangindent"/>
        <w:rPr>
          <w:color w:val="000000" w:themeColor="text1"/>
        </w:rPr>
      </w:pPr>
      <w:r w:rsidRPr="00B40A77">
        <w:rPr>
          <w:color w:val="000000" w:themeColor="text1"/>
        </w:rPr>
        <w:t>(a)</w:t>
      </w:r>
      <w:r w:rsidRPr="00B40A77">
        <w:rPr>
          <w:color w:val="000000" w:themeColor="text1"/>
        </w:rPr>
        <w:tab/>
        <w:t xml:space="preserve">if served out of </w:t>
      </w:r>
      <w:hyperlink w:anchor="_2.1—Definitions" w:history="1">
        <w:r w:rsidR="00AA6FCA" w:rsidRPr="00B40A77">
          <w:rPr>
            <w:rStyle w:val="Hyperlink"/>
            <w:color w:val="000000" w:themeColor="text1"/>
            <w:lang w:val="en-US"/>
          </w:rPr>
          <w:t>the State</w:t>
        </w:r>
      </w:hyperlink>
      <w:r w:rsidRPr="00B40A77">
        <w:rPr>
          <w:color w:val="000000" w:themeColor="text1"/>
        </w:rPr>
        <w:t xml:space="preserve">—if </w:t>
      </w:r>
      <w:hyperlink w:anchor="_122.1—Interpretation" w:history="1">
        <w:r w:rsidR="00A14FB0" w:rsidRPr="00B40A77">
          <w:rPr>
            <w:rStyle w:val="Hyperlink"/>
            <w:color w:val="000000" w:themeColor="text1"/>
          </w:rPr>
          <w:t>conduct money</w:t>
        </w:r>
      </w:hyperlink>
      <w:r w:rsidRPr="00B40A77">
        <w:rPr>
          <w:color w:val="000000" w:themeColor="text1"/>
        </w:rPr>
        <w:t xml:space="preserve"> has not been handed or tendered to the </w:t>
      </w:r>
      <w:hyperlink w:anchor="_122.1—Interpretation" w:history="1">
        <w:r w:rsidR="00F809B2" w:rsidRPr="00B40A77">
          <w:rPr>
            <w:rStyle w:val="Hyperlink"/>
            <w:color w:val="000000" w:themeColor="text1"/>
            <w:lang w:val="en-US"/>
          </w:rPr>
          <w:t>addressee</w:t>
        </w:r>
      </w:hyperlink>
      <w:r w:rsidRPr="00B40A77">
        <w:rPr>
          <w:color w:val="000000" w:themeColor="text1"/>
        </w:rPr>
        <w:t xml:space="preserve"> a reasonable time before the date on which attendance is required;</w:t>
      </w:r>
      <w:r w:rsidR="00187EC1" w:rsidRPr="00B40A77">
        <w:rPr>
          <w:color w:val="000000" w:themeColor="text1"/>
        </w:rPr>
        <w:t> </w:t>
      </w:r>
      <w:r w:rsidRPr="00B40A77">
        <w:rPr>
          <w:color w:val="000000" w:themeColor="text1"/>
        </w:rPr>
        <w:t>or</w:t>
      </w:r>
    </w:p>
    <w:p w14:paraId="40C0A96D" w14:textId="473112A2" w:rsidR="009A38AB" w:rsidRPr="00B40A77" w:rsidRDefault="009A38AB" w:rsidP="009A38AB">
      <w:pPr>
        <w:pStyle w:val="Doublehangindent"/>
        <w:rPr>
          <w:color w:val="000000" w:themeColor="text1"/>
        </w:rPr>
      </w:pPr>
      <w:r w:rsidRPr="00B40A77">
        <w:rPr>
          <w:color w:val="000000" w:themeColor="text1"/>
        </w:rPr>
        <w:t>(b)</w:t>
      </w:r>
      <w:r w:rsidRPr="00B40A77">
        <w:rPr>
          <w:color w:val="000000" w:themeColor="text1"/>
        </w:rPr>
        <w:tab/>
        <w:t xml:space="preserve">if served in </w:t>
      </w:r>
      <w:hyperlink w:anchor="_2.1—Definitions" w:history="1">
        <w:r w:rsidR="00AA6FCA" w:rsidRPr="00B40A77">
          <w:rPr>
            <w:rStyle w:val="Hyperlink"/>
            <w:color w:val="000000" w:themeColor="text1"/>
            <w:lang w:val="en-US"/>
          </w:rPr>
          <w:t>the State</w:t>
        </w:r>
      </w:hyperlink>
      <w:r w:rsidRPr="00B40A77">
        <w:rPr>
          <w:color w:val="000000" w:themeColor="text1"/>
        </w:rPr>
        <w:t>—</w:t>
      </w:r>
      <w:r w:rsidRPr="00B40A77">
        <w:rPr>
          <w:color w:val="000000" w:themeColor="text1"/>
          <w:lang w:eastAsia="en-AU"/>
        </w:rPr>
        <w:t xml:space="preserve">if the </w:t>
      </w:r>
      <w:hyperlink w:anchor="_122.1—Interpretation" w:history="1">
        <w:r w:rsidR="00F809B2" w:rsidRPr="00B40A77">
          <w:rPr>
            <w:rStyle w:val="Hyperlink"/>
            <w:color w:val="000000" w:themeColor="text1"/>
            <w:lang w:val="en-US"/>
          </w:rPr>
          <w:t>addressee</w:t>
        </w:r>
      </w:hyperlink>
      <w:r w:rsidRPr="00B40A77">
        <w:rPr>
          <w:color w:val="000000" w:themeColor="text1"/>
        </w:rPr>
        <w:t>—</w:t>
      </w:r>
      <w:r w:rsidRPr="00B40A77">
        <w:rPr>
          <w:color w:val="000000" w:themeColor="text1"/>
          <w:lang w:eastAsia="en-AU"/>
        </w:rPr>
        <w:t xml:space="preserve"> </w:t>
      </w:r>
    </w:p>
    <w:p w14:paraId="3A308BAC" w14:textId="07970117" w:rsidR="009A38AB" w:rsidRPr="00B40A77" w:rsidRDefault="009A38AB" w:rsidP="009A38AB">
      <w:pPr>
        <w:pStyle w:val="Triplehangindent"/>
        <w:rPr>
          <w:color w:val="000000" w:themeColor="text1"/>
          <w:lang w:eastAsia="en-AU"/>
        </w:rPr>
      </w:pPr>
      <w:r w:rsidRPr="00B40A77">
        <w:rPr>
          <w:color w:val="000000" w:themeColor="text1"/>
          <w:lang w:eastAsia="en-AU"/>
        </w:rPr>
        <w:t>(i)</w:t>
      </w:r>
      <w:r w:rsidRPr="00B40A77">
        <w:rPr>
          <w:color w:val="000000" w:themeColor="text1"/>
          <w:lang w:eastAsia="en-AU"/>
        </w:rPr>
        <w:tab/>
        <w:t xml:space="preserve">has, a reasonable time before the date for attendance, requested payment in advance of </w:t>
      </w:r>
      <w:hyperlink w:anchor="_122.1—Interpretation" w:history="1">
        <w:r w:rsidR="00A14FB0" w:rsidRPr="00B40A77">
          <w:rPr>
            <w:rStyle w:val="Hyperlink"/>
            <w:color w:val="000000" w:themeColor="text1"/>
          </w:rPr>
          <w:t>conduct money</w:t>
        </w:r>
      </w:hyperlink>
      <w:r w:rsidRPr="00B40A77">
        <w:rPr>
          <w:color w:val="000000" w:themeColor="text1"/>
          <w:lang w:eastAsia="en-AU"/>
        </w:rPr>
        <w:t xml:space="preserve"> from the </w:t>
      </w:r>
      <w:hyperlink w:anchor="_122.1—Interpretation" w:history="1">
        <w:r w:rsidR="008072D9" w:rsidRPr="00B40A77">
          <w:rPr>
            <w:rStyle w:val="Hyperlink"/>
            <w:color w:val="000000" w:themeColor="text1"/>
          </w:rPr>
          <w:t>issuing party</w:t>
        </w:r>
      </w:hyperlink>
      <w:r w:rsidRPr="00B40A77">
        <w:rPr>
          <w:color w:val="000000" w:themeColor="text1"/>
          <w:lang w:eastAsia="en-AU"/>
        </w:rPr>
        <w:t xml:space="preserve"> nominating a reasonable amount required or provision of tickets or vouchers or both for travel and any accommodation; and</w:t>
      </w:r>
    </w:p>
    <w:p w14:paraId="736B0D7D" w14:textId="49271F3B" w:rsidR="009A38AB" w:rsidRPr="00B40A77" w:rsidRDefault="009A38AB" w:rsidP="009A38AB">
      <w:pPr>
        <w:pStyle w:val="Triplehangindent"/>
        <w:rPr>
          <w:color w:val="000000" w:themeColor="text1"/>
        </w:rPr>
      </w:pPr>
      <w:r w:rsidRPr="00B40A77">
        <w:rPr>
          <w:color w:val="000000" w:themeColor="text1"/>
        </w:rPr>
        <w:lastRenderedPageBreak/>
        <w:t>(ii)</w:t>
      </w:r>
      <w:r w:rsidRPr="00B40A77">
        <w:rPr>
          <w:color w:val="000000" w:themeColor="text1"/>
        </w:rPr>
        <w:tab/>
        <w:t>has not received such payment or provision in sufficient time to enable compliance.</w:t>
      </w:r>
    </w:p>
    <w:p w14:paraId="6CF1639A" w14:textId="0A7D9704" w:rsidR="009A38AB" w:rsidRPr="00B40A77" w:rsidRDefault="009A38AB" w:rsidP="00A37E9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An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need not comply with the requirements of a </w:t>
      </w:r>
      <w:hyperlink w:anchor="_122.1—Interpretation" w:history="1">
        <w:r w:rsidR="00135EC7" w:rsidRPr="00B40A77">
          <w:rPr>
            <w:rStyle w:val="Hyperlink"/>
            <w:color w:val="000000" w:themeColor="text1"/>
            <w:lang w:val="en-US"/>
          </w:rPr>
          <w:t>subpoena</w:t>
        </w:r>
      </w:hyperlink>
      <w:r w:rsidR="002A0B33" w:rsidRPr="00B40A77">
        <w:rPr>
          <w:color w:val="000000" w:themeColor="text1"/>
          <w:lang w:val="en-US"/>
        </w:rPr>
        <w:t xml:space="preserve"> </w:t>
      </w:r>
      <w:r w:rsidRPr="00B40A77">
        <w:rPr>
          <w:color w:val="000000" w:themeColor="text1"/>
          <w:lang w:val="en-US"/>
        </w:rPr>
        <w:t xml:space="preserve">unless it is served on or before the date specified in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as the last date for service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0386FA11" w14:textId="77777777" w:rsidR="009A38AB" w:rsidRPr="00B40A77" w:rsidRDefault="009A38AB" w:rsidP="004E3D0F">
      <w:pPr>
        <w:pStyle w:val="NoteHeader"/>
        <w:keepNext/>
        <w:rPr>
          <w:color w:val="000000" w:themeColor="text1"/>
          <w:lang w:val="en-US"/>
        </w:rPr>
      </w:pPr>
      <w:r w:rsidRPr="00B40A77">
        <w:rPr>
          <w:color w:val="000000" w:themeColor="text1"/>
          <w:lang w:val="en-US"/>
        </w:rPr>
        <w:t>Notes—</w:t>
      </w:r>
    </w:p>
    <w:p w14:paraId="6C342009" w14:textId="0F173B0A" w:rsidR="009A38AB" w:rsidRPr="00B40A77" w:rsidRDefault="009A38AB" w:rsidP="009A38AB">
      <w:pPr>
        <w:pStyle w:val="NoteText"/>
        <w:rPr>
          <w:color w:val="000000" w:themeColor="text1"/>
          <w:lang w:val="en-US"/>
        </w:rPr>
      </w:pPr>
      <w:r w:rsidRPr="00B40A77">
        <w:rPr>
          <w:color w:val="000000" w:themeColor="text1"/>
          <w:lang w:val="en-US"/>
        </w:rPr>
        <w:t xml:space="preserve">Section </w:t>
      </w:r>
      <w:r w:rsidR="00A923CC" w:rsidRPr="00B40A77">
        <w:rPr>
          <w:color w:val="000000" w:themeColor="text1"/>
          <w:lang w:val="en-US"/>
        </w:rPr>
        <w:t>30</w:t>
      </w:r>
      <w:r w:rsidRPr="00B40A77">
        <w:rPr>
          <w:color w:val="000000" w:themeColor="text1"/>
          <w:lang w:val="en-US"/>
        </w:rPr>
        <w:t xml:space="preserve"> of the </w:t>
      </w:r>
      <w:r w:rsidRPr="00B40A77">
        <w:rPr>
          <w:iCs/>
          <w:color w:val="000000" w:themeColor="text1"/>
          <w:lang w:val="en-US"/>
        </w:rPr>
        <w:t>Service and Execution of Process Act</w:t>
      </w:r>
      <w:r w:rsidRPr="00B40A77">
        <w:rPr>
          <w:color w:val="000000" w:themeColor="text1"/>
          <w:lang w:val="en-US"/>
        </w:rPr>
        <w:t xml:space="preserve"> addresses this in the case of service in another State: see the notes to</w:t>
      </w:r>
      <w:r w:rsidR="00D21FBE" w:rsidRPr="00B40A77">
        <w:rPr>
          <w:color w:val="000000" w:themeColor="text1"/>
          <w:lang w:val="en-US"/>
        </w:rPr>
        <w:t xml:space="preserve"> </w:t>
      </w:r>
      <w:hyperlink w:anchor="_123.2—Form_of_summons" w:history="1">
        <w:r w:rsidR="00D21FBE" w:rsidRPr="00B40A77">
          <w:rPr>
            <w:rStyle w:val="Hyperlink"/>
            <w:color w:val="000000" w:themeColor="text1"/>
            <w:lang w:val="en-US"/>
          </w:rPr>
          <w:t>rule 123.2</w:t>
        </w:r>
      </w:hyperlink>
      <w:r w:rsidR="00D21FBE" w:rsidRPr="00B40A77">
        <w:rPr>
          <w:color w:val="000000" w:themeColor="text1"/>
          <w:lang w:val="en-US"/>
        </w:rPr>
        <w:t>(8)</w:t>
      </w:r>
      <w:r w:rsidRPr="00B40A77">
        <w:rPr>
          <w:color w:val="000000" w:themeColor="text1"/>
          <w:lang w:val="en-US"/>
        </w:rPr>
        <w:t>.</w:t>
      </w:r>
    </w:p>
    <w:p w14:paraId="26BDEC83" w14:textId="11EC5303" w:rsidR="009A38AB" w:rsidRPr="00B40A77" w:rsidRDefault="009A38AB" w:rsidP="009A38AB">
      <w:pPr>
        <w:pStyle w:val="NoteText"/>
        <w:rPr>
          <w:color w:val="000000" w:themeColor="text1"/>
          <w:lang w:val="en-US"/>
        </w:rPr>
      </w:pPr>
      <w:r w:rsidRPr="00B40A77">
        <w:rPr>
          <w:color w:val="000000" w:themeColor="text1"/>
          <w:lang w:val="en-US"/>
        </w:rPr>
        <w:t xml:space="preserve">Section 31 of the </w:t>
      </w:r>
      <w:r w:rsidRPr="00B40A77">
        <w:rPr>
          <w:iCs/>
          <w:color w:val="000000" w:themeColor="text1"/>
          <w:lang w:val="en-US"/>
        </w:rPr>
        <w:t>Service and Execution of Process Act</w:t>
      </w:r>
      <w:r w:rsidRPr="00B40A77">
        <w:rPr>
          <w:color w:val="000000" w:themeColor="text1"/>
          <w:lang w:val="en-US"/>
        </w:rPr>
        <w:t xml:space="preserve"> provides that, when a </w:t>
      </w:r>
      <w:hyperlink w:anchor="_122.1—Interpretation" w:history="1">
        <w:r w:rsidR="00135EC7" w:rsidRPr="00B40A77">
          <w:rPr>
            <w:rStyle w:val="Hyperlink"/>
            <w:color w:val="000000" w:themeColor="text1"/>
            <w:lang w:val="en-US"/>
          </w:rPr>
          <w:t>subpoena</w:t>
        </w:r>
      </w:hyperlink>
      <w:r w:rsidR="00B93F2A" w:rsidRPr="00B40A77">
        <w:rPr>
          <w:color w:val="000000" w:themeColor="text1"/>
          <w:lang w:val="en-US"/>
        </w:rPr>
        <w:t xml:space="preserve"> </w:t>
      </w:r>
      <w:r w:rsidRPr="00B40A77">
        <w:rPr>
          <w:color w:val="000000" w:themeColor="text1"/>
          <w:lang w:val="en-US"/>
        </w:rPr>
        <w:t>is served in another State, service is only effective if prescribed notices and a copy of any order under section</w:t>
      </w:r>
      <w:r w:rsidR="003F313A" w:rsidRPr="00B40A77">
        <w:rPr>
          <w:color w:val="000000" w:themeColor="text1"/>
          <w:lang w:val="en-US"/>
        </w:rPr>
        <w:t> </w:t>
      </w:r>
      <w:r w:rsidRPr="00B40A77">
        <w:rPr>
          <w:color w:val="000000" w:themeColor="text1"/>
          <w:lang w:val="en-US"/>
        </w:rPr>
        <w:t xml:space="preserve">30 are attached to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served.</w:t>
      </w:r>
    </w:p>
    <w:p w14:paraId="5F271F27" w14:textId="3239552C" w:rsidR="009A38AB" w:rsidRPr="00B40A77" w:rsidRDefault="009A38AB" w:rsidP="009A38AB">
      <w:pPr>
        <w:pStyle w:val="NoteText"/>
        <w:rPr>
          <w:color w:val="000000" w:themeColor="text1"/>
          <w:lang w:val="en-US"/>
        </w:rPr>
      </w:pPr>
      <w:r w:rsidRPr="00B40A77">
        <w:rPr>
          <w:color w:val="000000" w:themeColor="text1"/>
          <w:lang w:val="en-US"/>
        </w:rPr>
        <w:t xml:space="preserve">Section 32 of the </w:t>
      </w:r>
      <w:r w:rsidRPr="00B40A77">
        <w:rPr>
          <w:iCs/>
          <w:color w:val="000000" w:themeColor="text1"/>
          <w:lang w:val="en-US"/>
        </w:rPr>
        <w:t>Service and Execution of Process Act</w:t>
      </w:r>
      <w:r w:rsidRPr="00B40A77">
        <w:rPr>
          <w:color w:val="000000" w:themeColor="text1"/>
          <w:lang w:val="en-US"/>
        </w:rPr>
        <w:t xml:space="preserve"> provides that, when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is served in another State, service is only effective if, a reasonable time before compliance is required, sufficient allowances and travelling expenses are paid or tendered to the person.</w:t>
      </w:r>
    </w:p>
    <w:p w14:paraId="7AE2F288" w14:textId="63EA2FAF" w:rsidR="009A38AB" w:rsidRPr="00B40A77" w:rsidRDefault="00144633" w:rsidP="009A38A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Despite </w:t>
      </w:r>
      <w:hyperlink w:anchor="_123.5—Service" w:history="1">
        <w:r w:rsidRPr="00B40A77">
          <w:rPr>
            <w:rStyle w:val="Hyperlink"/>
            <w:color w:val="000000" w:themeColor="text1"/>
            <w:lang w:val="en-US"/>
          </w:rPr>
          <w:t>rule 123.5</w:t>
        </w:r>
      </w:hyperlink>
      <w:r w:rsidR="009A38AB" w:rsidRPr="00B40A77">
        <w:rPr>
          <w:color w:val="000000" w:themeColor="text1"/>
          <w:lang w:val="en-US"/>
        </w:rPr>
        <w:t xml:space="preserve">(1), an </w:t>
      </w:r>
      <w:hyperlink w:anchor="_122.1—Interpretation" w:history="1">
        <w:r w:rsidR="00F809B2" w:rsidRPr="00B40A77">
          <w:rPr>
            <w:rStyle w:val="Hyperlink"/>
            <w:color w:val="000000" w:themeColor="text1"/>
            <w:lang w:val="en-US"/>
          </w:rPr>
          <w:t>addressee</w:t>
        </w:r>
      </w:hyperlink>
      <w:r w:rsidR="009A38AB" w:rsidRPr="00B40A77">
        <w:rPr>
          <w:color w:val="000000" w:themeColor="text1"/>
          <w:lang w:val="en-US"/>
        </w:rPr>
        <w:t xml:space="preserve"> must comply with the requirements of a </w:t>
      </w:r>
      <w:hyperlink w:anchor="_122.1—Interpretation" w:history="1">
        <w:r w:rsidR="00E46B25" w:rsidRPr="00B40A77">
          <w:rPr>
            <w:rStyle w:val="Hyperlink"/>
            <w:color w:val="000000" w:themeColor="text1"/>
            <w:lang w:val="en-US"/>
          </w:rPr>
          <w:t>subpoena</w:t>
        </w:r>
      </w:hyperlink>
      <w:r w:rsidR="009A38AB" w:rsidRPr="00B40A77">
        <w:rPr>
          <w:color w:val="000000" w:themeColor="text1"/>
          <w:lang w:val="en-US"/>
        </w:rPr>
        <w:t xml:space="preserve"> even if it has not been served personally on the </w:t>
      </w:r>
      <w:hyperlink w:anchor="_122.1—Interpretation" w:history="1">
        <w:r w:rsidR="00F809B2" w:rsidRPr="00B40A77">
          <w:rPr>
            <w:rStyle w:val="Hyperlink"/>
            <w:color w:val="000000" w:themeColor="text1"/>
            <w:lang w:val="en-US"/>
          </w:rPr>
          <w:t>addressee</w:t>
        </w:r>
      </w:hyperlink>
      <w:r w:rsidR="0020645C" w:rsidRPr="00B40A77">
        <w:rPr>
          <w:rStyle w:val="Hyperlink"/>
          <w:color w:val="000000" w:themeColor="text1"/>
          <w:u w:val="none"/>
          <w:lang w:val="en-US"/>
        </w:rPr>
        <w:t xml:space="preserve"> </w:t>
      </w:r>
      <w:r w:rsidR="009A38AB" w:rsidRPr="00B40A77">
        <w:rPr>
          <w:color w:val="000000" w:themeColor="text1"/>
          <w:lang w:val="en-US"/>
        </w:rPr>
        <w:t xml:space="preserve">if the </w:t>
      </w:r>
      <w:hyperlink w:anchor="_122.1—Interpretation" w:history="1">
        <w:r w:rsidR="00F809B2" w:rsidRPr="00B40A77">
          <w:rPr>
            <w:rStyle w:val="Hyperlink"/>
            <w:color w:val="000000" w:themeColor="text1"/>
            <w:lang w:val="en-US"/>
          </w:rPr>
          <w:t>addressee</w:t>
        </w:r>
      </w:hyperlink>
      <w:r w:rsidR="009A38AB" w:rsidRPr="00B40A77">
        <w:rPr>
          <w:color w:val="000000" w:themeColor="text1"/>
          <w:lang w:val="en-US"/>
        </w:rPr>
        <w:t xml:space="preserve"> has, by the last date for service of the </w:t>
      </w:r>
      <w:hyperlink w:anchor="_122.1—Interpretation" w:history="1">
        <w:r w:rsidR="00135EC7" w:rsidRPr="00B40A77">
          <w:rPr>
            <w:rStyle w:val="Hyperlink"/>
            <w:color w:val="000000" w:themeColor="text1"/>
            <w:lang w:val="en-US"/>
          </w:rPr>
          <w:t>subpoena</w:t>
        </w:r>
      </w:hyperlink>
      <w:r w:rsidR="009A38AB" w:rsidRPr="00B40A77">
        <w:rPr>
          <w:color w:val="000000" w:themeColor="text1"/>
          <w:lang w:val="en-US"/>
        </w:rPr>
        <w:t xml:space="preserve">, actual knowledge of the </w:t>
      </w:r>
      <w:hyperlink w:anchor="_122.1—Interpretation" w:history="1">
        <w:r w:rsidR="00135EC7" w:rsidRPr="00B40A77">
          <w:rPr>
            <w:rStyle w:val="Hyperlink"/>
            <w:color w:val="000000" w:themeColor="text1"/>
            <w:lang w:val="en-US"/>
          </w:rPr>
          <w:t>subpoena</w:t>
        </w:r>
      </w:hyperlink>
      <w:r w:rsidR="009A38AB" w:rsidRPr="00B40A77">
        <w:rPr>
          <w:color w:val="000000" w:themeColor="text1"/>
          <w:lang w:val="en-US"/>
        </w:rPr>
        <w:t xml:space="preserve"> and of its requirements.</w:t>
      </w:r>
    </w:p>
    <w:p w14:paraId="6F7F43AA" w14:textId="32F3C5A8" w:rsidR="009A38AB" w:rsidRPr="00B40A77" w:rsidRDefault="009A38AB" w:rsidP="009A38AB">
      <w:pPr>
        <w:pStyle w:val="Hangindent"/>
        <w:rPr>
          <w:color w:val="000000" w:themeColor="text1"/>
          <w:lang w:val="en-US"/>
        </w:rPr>
      </w:pPr>
      <w:r w:rsidRPr="00B40A77">
        <w:rPr>
          <w:color w:val="000000" w:themeColor="text1"/>
          <w:lang w:val="en-US"/>
        </w:rPr>
        <w:t>(5)</w:t>
      </w:r>
      <w:r w:rsidRPr="00B40A77">
        <w:rPr>
          <w:color w:val="000000" w:themeColor="text1"/>
          <w:lang w:val="en-US"/>
        </w:rPr>
        <w:tab/>
      </w:r>
      <w:r w:rsidRPr="00B40A77">
        <w:rPr>
          <w:color w:val="000000" w:themeColor="text1"/>
        </w:rPr>
        <w:t>The</w:t>
      </w:r>
      <w:r w:rsidRPr="00B40A77">
        <w:rPr>
          <w:color w:val="000000" w:themeColor="text1"/>
          <w:lang w:val="en-US"/>
        </w:rPr>
        <w:t xml:space="preserv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must comply with a </w:t>
      </w:r>
      <w:hyperlink w:anchor="_156.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by—</w:t>
      </w:r>
    </w:p>
    <w:p w14:paraId="0053BF22" w14:textId="4CF28CEE"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attending at the date, time and place specified for production and producing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or a copy of it and the document or thing to the Court or to the person authorised to take evidence in the proceeding as permitted by the Court; or</w:t>
      </w:r>
    </w:p>
    <w:p w14:paraId="27D81DE5" w14:textId="33EE7679" w:rsidR="009A38AB" w:rsidRPr="00B40A77" w:rsidRDefault="009A38AB" w:rsidP="00A37E9E">
      <w:pPr>
        <w:pStyle w:val="Doublehangindent"/>
        <w:keepNext/>
        <w:keepLines/>
        <w:rPr>
          <w:color w:val="000000" w:themeColor="text1"/>
          <w:lang w:val="en-US"/>
        </w:rPr>
      </w:pPr>
      <w:r w:rsidRPr="00B40A77">
        <w:rPr>
          <w:color w:val="000000" w:themeColor="text1"/>
          <w:lang w:val="en-US"/>
        </w:rPr>
        <w:t>(b)</w:t>
      </w:r>
      <w:r w:rsidRPr="00B40A77">
        <w:rPr>
          <w:color w:val="000000" w:themeColor="text1"/>
          <w:lang w:val="en-US"/>
        </w:rPr>
        <w:tab/>
        <w:t xml:space="preserve">delivering or sending the </w:t>
      </w:r>
      <w:hyperlink w:anchor="_122.1—Interpretation" w:history="1">
        <w:r w:rsidR="00135EC7" w:rsidRPr="00B40A77">
          <w:rPr>
            <w:rStyle w:val="Hyperlink"/>
            <w:color w:val="000000" w:themeColor="text1"/>
            <w:lang w:val="en-US"/>
          </w:rPr>
          <w:t>subpoena</w:t>
        </w:r>
      </w:hyperlink>
      <w:r w:rsidR="00B93F2A" w:rsidRPr="00B40A77">
        <w:rPr>
          <w:color w:val="000000" w:themeColor="text1"/>
          <w:lang w:val="en-US"/>
        </w:rPr>
        <w:t xml:space="preserve"> </w:t>
      </w:r>
      <w:r w:rsidRPr="00B40A77">
        <w:rPr>
          <w:color w:val="000000" w:themeColor="text1"/>
          <w:lang w:val="en-US"/>
        </w:rPr>
        <w:t xml:space="preserve">or a copy of it and the document or thing to </w:t>
      </w:r>
      <w:hyperlink w:anchor="_2.1—Definitions" w:history="1">
        <w:r w:rsidR="003D3396"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at the address specified for that purpose in the </w:t>
      </w:r>
      <w:hyperlink w:anchor="_122.1—Interpretation" w:history="1">
        <w:r w:rsidR="00E46B25" w:rsidRPr="00B40A77">
          <w:rPr>
            <w:rStyle w:val="Hyperlink"/>
            <w:color w:val="000000" w:themeColor="text1"/>
            <w:lang w:val="en-US"/>
          </w:rPr>
          <w:t>subpoena</w:t>
        </w:r>
      </w:hyperlink>
      <w:r w:rsidRPr="00B40A77">
        <w:rPr>
          <w:color w:val="000000" w:themeColor="text1"/>
          <w:lang w:val="en-US"/>
        </w:rPr>
        <w:t xml:space="preserve">, or, if more than one address is specified, at any one of those addresses, so that they are received not less than 2 </w:t>
      </w:r>
      <w:hyperlink w:anchor="_2.1—Definitions" w:history="1">
        <w:r w:rsidRPr="00B40A77">
          <w:rPr>
            <w:rStyle w:val="Hyperlink"/>
            <w:color w:val="000000" w:themeColor="text1"/>
            <w:lang w:val="en-US"/>
          </w:rPr>
          <w:t>business days</w:t>
        </w:r>
      </w:hyperlink>
      <w:r w:rsidRPr="00B40A77">
        <w:rPr>
          <w:color w:val="000000" w:themeColor="text1"/>
          <w:lang w:val="en-US"/>
        </w:rPr>
        <w:t xml:space="preserve"> before the date specified in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28FFA9EB" w14:textId="77777777" w:rsidR="009A38AB" w:rsidRPr="00B40A77" w:rsidRDefault="009A38AB" w:rsidP="004E3D0F">
      <w:pPr>
        <w:pStyle w:val="NoteHeader"/>
        <w:keepNext/>
        <w:ind w:left="1701"/>
        <w:rPr>
          <w:color w:val="000000" w:themeColor="text1"/>
          <w:lang w:val="en-US"/>
        </w:rPr>
      </w:pPr>
      <w:r w:rsidRPr="00B40A77">
        <w:rPr>
          <w:color w:val="000000" w:themeColor="text1"/>
          <w:lang w:val="en-US"/>
        </w:rPr>
        <w:t>Note—</w:t>
      </w:r>
    </w:p>
    <w:p w14:paraId="7326686C" w14:textId="3CA48593" w:rsidR="009A38AB" w:rsidRPr="00B40A77" w:rsidRDefault="009A38AB" w:rsidP="00592C28">
      <w:pPr>
        <w:pStyle w:val="NoteText"/>
        <w:ind w:left="1985"/>
        <w:rPr>
          <w:color w:val="000000" w:themeColor="text1"/>
          <w:lang w:val="en-US"/>
        </w:rPr>
      </w:pPr>
      <w:r w:rsidRPr="00B40A77">
        <w:rPr>
          <w:color w:val="000000" w:themeColor="text1"/>
          <w:lang w:val="en-US"/>
        </w:rPr>
        <w:t xml:space="preserve">Section 34 of the </w:t>
      </w:r>
      <w:r w:rsidRPr="00B40A77">
        <w:rPr>
          <w:iCs/>
          <w:color w:val="000000" w:themeColor="text1"/>
          <w:lang w:val="en-US"/>
        </w:rPr>
        <w:t>Service and Execution of Process Act</w:t>
      </w:r>
      <w:r w:rsidRPr="00B40A77">
        <w:rPr>
          <w:color w:val="000000" w:themeColor="text1"/>
          <w:lang w:val="en-US"/>
        </w:rPr>
        <w:t xml:space="preserve"> provides that, when a </w:t>
      </w:r>
      <w:r w:rsidR="00135EC7" w:rsidRPr="00B40A77">
        <w:rPr>
          <w:color w:val="000000" w:themeColor="text1"/>
          <w:u w:val="single"/>
          <w:lang w:val="en-US"/>
        </w:rPr>
        <w:t>subpoena</w:t>
      </w:r>
      <w:r w:rsidRPr="00B40A77">
        <w:rPr>
          <w:color w:val="000000" w:themeColor="text1"/>
          <w:lang w:val="en-US"/>
        </w:rPr>
        <w:t xml:space="preserve"> is served in another State, a document or thing may be delivered to the Registrar not less than 24 hours before the date for compliance.</w:t>
      </w:r>
    </w:p>
    <w:p w14:paraId="2380DF16" w14:textId="73038355" w:rsidR="009A38AB" w:rsidRPr="00B40A77" w:rsidRDefault="009A38AB" w:rsidP="009A38AB">
      <w:pPr>
        <w:pStyle w:val="Hangindent"/>
        <w:rPr>
          <w:color w:val="000000" w:themeColor="text1"/>
          <w:lang w:val="en-US"/>
        </w:rPr>
      </w:pPr>
      <w:r w:rsidRPr="00B40A77">
        <w:rPr>
          <w:color w:val="000000" w:themeColor="text1"/>
          <w:lang w:val="en-US"/>
        </w:rPr>
        <w:t>(6)</w:t>
      </w:r>
      <w:r w:rsidRPr="00B40A77">
        <w:rPr>
          <w:color w:val="000000" w:themeColor="text1"/>
          <w:lang w:val="en-US"/>
        </w:rPr>
        <w:tab/>
        <w:t xml:space="preserve">For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that is both a </w:t>
      </w:r>
      <w:hyperlink w:anchor="_122.1—Interpretation" w:history="1">
        <w:r w:rsidR="00135EC7" w:rsidRPr="00B40A77">
          <w:rPr>
            <w:rStyle w:val="Hyperlink"/>
            <w:color w:val="000000" w:themeColor="text1"/>
          </w:rPr>
          <w:t>subpoena</w:t>
        </w:r>
        <w:r w:rsidR="00A14FB0" w:rsidRPr="00B40A77">
          <w:rPr>
            <w:rStyle w:val="Hyperlink"/>
            <w:color w:val="000000" w:themeColor="text1"/>
          </w:rPr>
          <w:t xml:space="preserve"> to attend to give evidence</w:t>
        </w:r>
      </w:hyperlink>
      <w:r w:rsidRPr="00B40A77">
        <w:rPr>
          <w:color w:val="000000" w:themeColor="text1"/>
          <w:lang w:val="en-US"/>
        </w:rPr>
        <w:t xml:space="preserve"> and a </w:t>
      </w:r>
      <w:hyperlink w:anchor="_156.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production of the </w:t>
      </w:r>
      <w:hyperlink w:anchor="_122.1—Interpretation" w:history="1">
        <w:r w:rsidR="00135EC7" w:rsidRPr="00B40A77">
          <w:rPr>
            <w:rStyle w:val="Hyperlink"/>
            <w:color w:val="000000" w:themeColor="text1"/>
            <w:lang w:val="en-US"/>
          </w:rPr>
          <w:t>subpoena</w:t>
        </w:r>
      </w:hyperlink>
      <w:r w:rsidR="002605AE" w:rsidRPr="00B40A77">
        <w:rPr>
          <w:color w:val="000000" w:themeColor="text1"/>
          <w:lang w:val="en-US"/>
        </w:rPr>
        <w:t xml:space="preserve"> </w:t>
      </w:r>
      <w:r w:rsidRPr="00B40A77">
        <w:rPr>
          <w:color w:val="000000" w:themeColor="text1"/>
          <w:lang w:val="en-US"/>
        </w:rPr>
        <w:t xml:space="preserve">or a copy of it and of the document or thing in any of the ways permitted by subrule (5) does not discharge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from the obligation to attend to give evidence.</w:t>
      </w:r>
    </w:p>
    <w:p w14:paraId="21FB1F8B" w14:textId="7A51B119" w:rsidR="009A38AB" w:rsidRPr="00B40A77" w:rsidRDefault="009A38AB" w:rsidP="009A38AB">
      <w:pPr>
        <w:pStyle w:val="Hangindent"/>
        <w:rPr>
          <w:color w:val="000000" w:themeColor="text1"/>
          <w:lang w:val="en-US"/>
        </w:rPr>
      </w:pPr>
      <w:r w:rsidRPr="00B40A77">
        <w:rPr>
          <w:color w:val="000000" w:themeColor="text1"/>
          <w:lang w:val="en-US"/>
        </w:rPr>
        <w:t>(7)</w:t>
      </w:r>
      <w:r w:rsidRPr="00B40A77">
        <w:rPr>
          <w:color w:val="000000" w:themeColor="text1"/>
          <w:lang w:val="en-US"/>
        </w:rPr>
        <w:tab/>
        <w:t xml:space="preserve">Unless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specifically requires the production of the original document,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may produce a copy of any document required to be produced by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39F5D516" w14:textId="77777777" w:rsidR="009A38AB" w:rsidRPr="00B40A77" w:rsidRDefault="009A38AB" w:rsidP="009A38AB">
      <w:pPr>
        <w:pStyle w:val="Hangindent"/>
        <w:rPr>
          <w:color w:val="000000" w:themeColor="text1"/>
          <w:lang w:val="en-US"/>
        </w:rPr>
      </w:pPr>
      <w:r w:rsidRPr="00B40A77">
        <w:rPr>
          <w:color w:val="000000" w:themeColor="text1"/>
          <w:lang w:val="en-US"/>
        </w:rPr>
        <w:t>(8)</w:t>
      </w:r>
      <w:r w:rsidRPr="00B40A77">
        <w:rPr>
          <w:color w:val="000000" w:themeColor="text1"/>
          <w:lang w:val="en-US"/>
        </w:rPr>
        <w:tab/>
        <w:t>The copy of a document may be—</w:t>
      </w:r>
    </w:p>
    <w:p w14:paraId="26FC92AC" w14:textId="77777777" w:rsidR="009A38AB" w:rsidRPr="00B40A77" w:rsidRDefault="009A38AB" w:rsidP="009A38AB">
      <w:pPr>
        <w:pStyle w:val="Doublehangindent"/>
        <w:rPr>
          <w:color w:val="000000" w:themeColor="text1"/>
        </w:rPr>
      </w:pPr>
      <w:r w:rsidRPr="00B40A77">
        <w:rPr>
          <w:color w:val="000000" w:themeColor="text1"/>
        </w:rPr>
        <w:t>(a)</w:t>
      </w:r>
      <w:r w:rsidRPr="00B40A77">
        <w:rPr>
          <w:color w:val="000000" w:themeColor="text1"/>
        </w:rPr>
        <w:tab/>
        <w:t>a photocopy; or—</w:t>
      </w:r>
    </w:p>
    <w:p w14:paraId="4293969E" w14:textId="77777777" w:rsidR="009A38AB" w:rsidRPr="00B40A77" w:rsidRDefault="009A38AB" w:rsidP="009A38AB">
      <w:pPr>
        <w:pStyle w:val="Doublehangindent"/>
        <w:rPr>
          <w:color w:val="000000" w:themeColor="text1"/>
        </w:rPr>
      </w:pPr>
      <w:r w:rsidRPr="00B40A77">
        <w:rPr>
          <w:color w:val="000000" w:themeColor="text1"/>
        </w:rPr>
        <w:t>(b)</w:t>
      </w:r>
      <w:r w:rsidRPr="00B40A77">
        <w:rPr>
          <w:color w:val="000000" w:themeColor="text1"/>
        </w:rPr>
        <w:tab/>
        <w:t>in an electronic form in any of the following electronic formats</w:t>
      </w:r>
      <w:r w:rsidRPr="00B40A77">
        <w:rPr>
          <w:rFonts w:cs="Times New Roman"/>
          <w:color w:val="000000" w:themeColor="text1"/>
        </w:rPr>
        <w:t>—</w:t>
      </w:r>
    </w:p>
    <w:p w14:paraId="330605D7" w14:textId="77777777" w:rsidR="009A38AB" w:rsidRPr="00B40A77" w:rsidRDefault="009A38AB" w:rsidP="009A38AB">
      <w:pPr>
        <w:pStyle w:val="Triplehangindent"/>
        <w:rPr>
          <w:color w:val="000000" w:themeColor="text1"/>
        </w:rPr>
      </w:pPr>
      <w:r w:rsidRPr="00B40A77">
        <w:rPr>
          <w:color w:val="000000" w:themeColor="text1"/>
        </w:rPr>
        <w:t>(i)</w:t>
      </w:r>
      <w:r w:rsidRPr="00B40A77">
        <w:rPr>
          <w:color w:val="000000" w:themeColor="text1"/>
        </w:rPr>
        <w:tab/>
        <w:t xml:space="preserve">.doc and .docx—Microsoft Word documents; </w:t>
      </w:r>
    </w:p>
    <w:p w14:paraId="091AC5CD" w14:textId="77777777" w:rsidR="009A38AB" w:rsidRPr="00B40A77" w:rsidRDefault="009A38AB" w:rsidP="009A38AB">
      <w:pPr>
        <w:pStyle w:val="Triplehangindent"/>
        <w:rPr>
          <w:color w:val="000000" w:themeColor="text1"/>
        </w:rPr>
      </w:pPr>
      <w:r w:rsidRPr="00B40A77">
        <w:rPr>
          <w:color w:val="000000" w:themeColor="text1"/>
        </w:rPr>
        <w:t>(ii)</w:t>
      </w:r>
      <w:r w:rsidRPr="00B40A77">
        <w:rPr>
          <w:color w:val="000000" w:themeColor="text1"/>
        </w:rPr>
        <w:tab/>
        <w:t xml:space="preserve">.pdf—Adobe Acrobat documents; </w:t>
      </w:r>
    </w:p>
    <w:p w14:paraId="632301E4" w14:textId="77777777" w:rsidR="009A38AB" w:rsidRPr="00B40A77" w:rsidRDefault="009A38AB" w:rsidP="009A38AB">
      <w:pPr>
        <w:pStyle w:val="Triplehangindent"/>
        <w:rPr>
          <w:color w:val="000000" w:themeColor="text1"/>
        </w:rPr>
      </w:pPr>
      <w:r w:rsidRPr="00B40A77">
        <w:rPr>
          <w:color w:val="000000" w:themeColor="text1"/>
        </w:rPr>
        <w:t>(iii)</w:t>
      </w:r>
      <w:r w:rsidRPr="00B40A77">
        <w:rPr>
          <w:color w:val="000000" w:themeColor="text1"/>
        </w:rPr>
        <w:tab/>
        <w:t xml:space="preserve">.xls and .xlsx—Microsoft Excel spreadsheets; </w:t>
      </w:r>
    </w:p>
    <w:p w14:paraId="510C7F6A" w14:textId="77777777" w:rsidR="009A38AB" w:rsidRPr="00B40A77" w:rsidRDefault="009A38AB" w:rsidP="009A38AB">
      <w:pPr>
        <w:pStyle w:val="Triplehangindent"/>
        <w:rPr>
          <w:color w:val="000000" w:themeColor="text1"/>
        </w:rPr>
      </w:pPr>
      <w:r w:rsidRPr="00B40A77">
        <w:rPr>
          <w:color w:val="000000" w:themeColor="text1"/>
        </w:rPr>
        <w:lastRenderedPageBreak/>
        <w:t>(iv)</w:t>
      </w:r>
      <w:r w:rsidRPr="00B40A77">
        <w:rPr>
          <w:color w:val="000000" w:themeColor="text1"/>
        </w:rPr>
        <w:tab/>
        <w:t xml:space="preserve">.jpg—image files; </w:t>
      </w:r>
    </w:p>
    <w:p w14:paraId="6780DB73" w14:textId="77777777" w:rsidR="009A38AB" w:rsidRPr="00B40A77" w:rsidRDefault="009A38AB" w:rsidP="009A38AB">
      <w:pPr>
        <w:pStyle w:val="Triplehangindent"/>
        <w:rPr>
          <w:color w:val="000000" w:themeColor="text1"/>
        </w:rPr>
      </w:pPr>
      <w:r w:rsidRPr="00B40A77">
        <w:rPr>
          <w:color w:val="000000" w:themeColor="text1"/>
        </w:rPr>
        <w:t>(v)</w:t>
      </w:r>
      <w:r w:rsidRPr="00B40A77">
        <w:rPr>
          <w:color w:val="000000" w:themeColor="text1"/>
        </w:rPr>
        <w:tab/>
        <w:t>.rtf—rich text format;</w:t>
      </w:r>
    </w:p>
    <w:p w14:paraId="556FB1BA" w14:textId="77777777" w:rsidR="009A38AB" w:rsidRPr="00B40A77" w:rsidRDefault="009A38AB" w:rsidP="009A38AB">
      <w:pPr>
        <w:pStyle w:val="Triplehangindent"/>
        <w:rPr>
          <w:color w:val="000000" w:themeColor="text1"/>
        </w:rPr>
      </w:pPr>
      <w:r w:rsidRPr="00B40A77">
        <w:rPr>
          <w:color w:val="000000" w:themeColor="text1"/>
        </w:rPr>
        <w:t>(vi)</w:t>
      </w:r>
      <w:r w:rsidRPr="00B40A77">
        <w:rPr>
          <w:color w:val="000000" w:themeColor="text1"/>
        </w:rPr>
        <w:tab/>
        <w:t xml:space="preserve">.gif—graphics interchange format; </w:t>
      </w:r>
    </w:p>
    <w:p w14:paraId="39021C70" w14:textId="77777777" w:rsidR="009A38AB" w:rsidRPr="00B40A77" w:rsidRDefault="009A38AB" w:rsidP="009A38AB">
      <w:pPr>
        <w:pStyle w:val="Triplehangindent"/>
        <w:rPr>
          <w:color w:val="000000" w:themeColor="text1"/>
        </w:rPr>
      </w:pPr>
      <w:r w:rsidRPr="00B40A77">
        <w:rPr>
          <w:color w:val="000000" w:themeColor="text1"/>
        </w:rPr>
        <w:t>(vii)</w:t>
      </w:r>
      <w:r w:rsidRPr="00B40A77">
        <w:rPr>
          <w:color w:val="000000" w:themeColor="text1"/>
        </w:rPr>
        <w:tab/>
        <w:t xml:space="preserve">.tif—tagged image format; or </w:t>
      </w:r>
    </w:p>
    <w:p w14:paraId="2109D5CC" w14:textId="2B041654" w:rsidR="009A38AB" w:rsidRPr="00B40A77" w:rsidRDefault="009A38AB" w:rsidP="009A38AB">
      <w:pPr>
        <w:pStyle w:val="Triplehangindent"/>
        <w:rPr>
          <w:color w:val="000000" w:themeColor="text1"/>
        </w:rPr>
      </w:pPr>
      <w:r w:rsidRPr="00B40A77">
        <w:rPr>
          <w:color w:val="000000" w:themeColor="text1"/>
        </w:rPr>
        <w:t>(viii)</w:t>
      </w:r>
      <w:r w:rsidRPr="00B40A77">
        <w:rPr>
          <w:color w:val="000000" w:themeColor="text1"/>
        </w:rPr>
        <w:tab/>
        <w:t xml:space="preserve">any other format agreed with the </w:t>
      </w:r>
      <w:hyperlink w:anchor="_122.1—Interpretation" w:history="1">
        <w:r w:rsidR="008072D9" w:rsidRPr="00B40A77">
          <w:rPr>
            <w:rStyle w:val="Hyperlink"/>
            <w:color w:val="000000" w:themeColor="text1"/>
          </w:rPr>
          <w:t>issuing party</w:t>
        </w:r>
      </w:hyperlink>
      <w:r w:rsidRPr="00B40A77">
        <w:rPr>
          <w:color w:val="000000" w:themeColor="text1"/>
        </w:rPr>
        <w:t>.</w:t>
      </w:r>
    </w:p>
    <w:p w14:paraId="115BB62C" w14:textId="285A7922" w:rsidR="009A38AB" w:rsidRPr="00B40A77" w:rsidRDefault="00144633" w:rsidP="009A38AB">
      <w:pPr>
        <w:pStyle w:val="Heading4"/>
        <w:rPr>
          <w:color w:val="000000" w:themeColor="text1"/>
        </w:rPr>
      </w:pPr>
      <w:bookmarkStart w:id="760" w:name="_Toc175239136"/>
      <w:r w:rsidRPr="00B40A77">
        <w:rPr>
          <w:color w:val="000000" w:themeColor="text1"/>
        </w:rPr>
        <w:t>124.2</w:t>
      </w:r>
      <w:r w:rsidR="009A38AB" w:rsidRPr="00B40A77">
        <w:rPr>
          <w:color w:val="000000" w:themeColor="text1"/>
        </w:rPr>
        <w:t>—Production otherwise than on attendance</w:t>
      </w:r>
      <w:bookmarkEnd w:id="760"/>
    </w:p>
    <w:p w14:paraId="06687F45" w14:textId="69696468"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This rule applies if an </w:t>
      </w:r>
      <w:hyperlink w:anchor="_156.1—Interpretation" w:history="1">
        <w:r w:rsidRPr="00B40A77">
          <w:rPr>
            <w:rStyle w:val="Hyperlink"/>
            <w:color w:val="000000" w:themeColor="text1"/>
            <w:lang w:val="en-US"/>
          </w:rPr>
          <w:t>addressee</w:t>
        </w:r>
      </w:hyperlink>
      <w:r w:rsidRPr="00B40A77">
        <w:rPr>
          <w:color w:val="000000" w:themeColor="text1"/>
          <w:lang w:val="en-US"/>
        </w:rPr>
        <w:t xml:space="preserve"> produces a document or thing in accordance with </w:t>
      </w:r>
      <w:hyperlink w:anchor="_124.1—Compliance_with_summons" w:history="1">
        <w:r w:rsidR="00144633" w:rsidRPr="00B40A77">
          <w:rPr>
            <w:rStyle w:val="Hyperlink"/>
            <w:color w:val="000000" w:themeColor="text1"/>
            <w:lang w:val="en-US"/>
          </w:rPr>
          <w:t>rule</w:t>
        </w:r>
        <w:r w:rsidR="00CC2F6B" w:rsidRPr="00B40A77">
          <w:rPr>
            <w:rStyle w:val="Hyperlink"/>
            <w:color w:val="000000" w:themeColor="text1"/>
            <w:lang w:val="en-US"/>
          </w:rPr>
          <w:t> </w:t>
        </w:r>
        <w:r w:rsidR="00144633" w:rsidRPr="00B40A77">
          <w:rPr>
            <w:rStyle w:val="Hyperlink"/>
            <w:color w:val="000000" w:themeColor="text1"/>
            <w:lang w:val="en-US"/>
          </w:rPr>
          <w:t>124</w:t>
        </w:r>
        <w:r w:rsidR="0055323C" w:rsidRPr="00B40A77">
          <w:rPr>
            <w:rStyle w:val="Hyperlink"/>
            <w:color w:val="000000" w:themeColor="text1"/>
            <w:lang w:val="en-US"/>
          </w:rPr>
          <w:t>.1</w:t>
        </w:r>
      </w:hyperlink>
      <w:r w:rsidRPr="00B40A77">
        <w:rPr>
          <w:color w:val="000000" w:themeColor="text1"/>
          <w:lang w:val="en-US"/>
        </w:rPr>
        <w:t>(5)(b).</w:t>
      </w:r>
    </w:p>
    <w:p w14:paraId="71E71FE7" w14:textId="6C6362FA"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r>
      <w:hyperlink w:anchor="_2.1—Definitions" w:history="1">
        <w:r w:rsidR="00074ED9"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6641BC" w:rsidRPr="00B40A77">
        <w:rPr>
          <w:color w:val="000000" w:themeColor="text1"/>
          <w:lang w:val="en-US"/>
        </w:rPr>
        <w:t xml:space="preserve">or </w:t>
      </w:r>
      <w:r w:rsidR="006641BC" w:rsidRPr="00B40A77">
        <w:rPr>
          <w:rFonts w:cs="Times New Roman"/>
          <w:color w:val="000000" w:themeColor="text1"/>
        </w:rPr>
        <w:t xml:space="preserve">a </w:t>
      </w:r>
      <w:r w:rsidR="006641BC" w:rsidRPr="00B40A77">
        <w:rPr>
          <w:color w:val="000000" w:themeColor="text1"/>
          <w:u w:val="single"/>
          <w:lang w:val="en-US"/>
        </w:rPr>
        <w:t>Registrar</w:t>
      </w:r>
      <w:r w:rsidR="006641BC" w:rsidRPr="00B40A77">
        <w:rPr>
          <w:rFonts w:cs="Times New Roman"/>
          <w:color w:val="000000" w:themeColor="text1"/>
        </w:rPr>
        <w:t xml:space="preserve"> </w:t>
      </w:r>
      <w:r w:rsidRPr="00B40A77">
        <w:rPr>
          <w:color w:val="000000" w:themeColor="text1"/>
          <w:lang w:val="en-US"/>
        </w:rPr>
        <w:t xml:space="preserve">must, if requested by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give a receipt for the document or thing to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w:t>
      </w:r>
    </w:p>
    <w:p w14:paraId="4ABFD6B4" w14:textId="6A506CF7"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If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produces more than one document or thing,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must, if requested by </w:t>
      </w:r>
      <w:hyperlink w:anchor="_2.1—Definitions" w:history="1">
        <w:r w:rsidR="00074ED9" w:rsidRPr="00B40A77">
          <w:rPr>
            <w:rStyle w:val="Hyperlink"/>
            <w:color w:val="000000" w:themeColor="text1"/>
            <w:u w:val="none"/>
            <w:lang w:val="en-US"/>
          </w:rPr>
          <w:t>t</w:t>
        </w:r>
      </w:hyperlink>
      <w:r w:rsidR="00C8601B" w:rsidRPr="00B40A77">
        <w:rPr>
          <w:rStyle w:val="Hyperlink"/>
          <w:color w:val="000000" w:themeColor="text1"/>
          <w:u w:val="none"/>
          <w:lang w:val="en-US"/>
        </w:rPr>
        <w:t xml:space="preserve">he </w:t>
      </w:r>
      <w:hyperlink w:anchor="_2.1—Definitions" w:history="1">
        <w:r w:rsidR="00D61876" w:rsidRPr="00B40A77">
          <w:rPr>
            <w:rStyle w:val="Hyperlink"/>
            <w:color w:val="000000" w:themeColor="text1"/>
            <w:lang w:val="en-US"/>
          </w:rPr>
          <w:t>Principal Registrar</w:t>
        </w:r>
      </w:hyperlink>
      <w:r w:rsidR="006641BC" w:rsidRPr="00B40A77">
        <w:rPr>
          <w:rStyle w:val="Hyperlink"/>
          <w:color w:val="000000" w:themeColor="text1"/>
          <w:u w:val="none"/>
          <w:lang w:val="en-US"/>
        </w:rPr>
        <w:t xml:space="preserve"> or </w:t>
      </w:r>
      <w:r w:rsidR="006641BC" w:rsidRPr="00B40A77">
        <w:rPr>
          <w:rFonts w:cs="Times New Roman"/>
          <w:color w:val="000000" w:themeColor="text1"/>
        </w:rPr>
        <w:t xml:space="preserve">a </w:t>
      </w:r>
      <w:r w:rsidR="006641BC" w:rsidRPr="00B40A77">
        <w:rPr>
          <w:color w:val="000000" w:themeColor="text1"/>
          <w:u w:val="single"/>
          <w:lang w:val="en-US"/>
        </w:rPr>
        <w:t>Registrar</w:t>
      </w:r>
      <w:r w:rsidRPr="00B40A77">
        <w:rPr>
          <w:color w:val="000000" w:themeColor="text1"/>
          <w:lang w:val="en-US"/>
        </w:rPr>
        <w:t>, provide a list of the documents or things produced.</w:t>
      </w:r>
    </w:p>
    <w:p w14:paraId="3C9CA5E9" w14:textId="5319633D" w:rsidR="009A38AB" w:rsidRPr="00B40A77" w:rsidRDefault="009A38AB" w:rsidP="009A38A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may, with the consent of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produce a copy, instead of the original, of any document required to be produced.</w:t>
      </w:r>
    </w:p>
    <w:p w14:paraId="6095B269" w14:textId="13C324A3" w:rsidR="009A38AB" w:rsidRPr="00B40A77" w:rsidRDefault="009A38AB" w:rsidP="009A38AB">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may at the time of production tell </w:t>
      </w:r>
      <w:r w:rsidR="00F809B2"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F809B2" w:rsidRPr="00B40A77">
        <w:rPr>
          <w:color w:val="000000" w:themeColor="text1"/>
          <w:lang w:val="en-US"/>
        </w:rPr>
        <w:t xml:space="preserve"> </w:t>
      </w:r>
      <w:r w:rsidR="006641BC" w:rsidRPr="00B40A77">
        <w:rPr>
          <w:color w:val="000000" w:themeColor="text1"/>
          <w:lang w:val="en-US"/>
        </w:rPr>
        <w:t xml:space="preserve">or </w:t>
      </w:r>
      <w:r w:rsidR="006641BC" w:rsidRPr="00B40A77">
        <w:rPr>
          <w:rFonts w:cs="Times New Roman"/>
          <w:color w:val="000000" w:themeColor="text1"/>
        </w:rPr>
        <w:t xml:space="preserve">a </w:t>
      </w:r>
      <w:r w:rsidR="006641BC" w:rsidRPr="00B40A77">
        <w:rPr>
          <w:color w:val="000000" w:themeColor="text1"/>
          <w:u w:val="single"/>
          <w:lang w:val="en-US"/>
        </w:rPr>
        <w:t>Registrar</w:t>
      </w:r>
      <w:r w:rsidR="006641BC" w:rsidRPr="00B40A77">
        <w:rPr>
          <w:rFonts w:cs="Times New Roman"/>
          <w:color w:val="000000" w:themeColor="text1"/>
        </w:rPr>
        <w:t xml:space="preserve"> </w:t>
      </w:r>
      <w:r w:rsidRPr="00B40A77">
        <w:rPr>
          <w:color w:val="000000" w:themeColor="text1"/>
          <w:lang w:val="en-US"/>
        </w:rPr>
        <w:t>in writing that any document or copy of a document produced need not be returned and may be destroyed.</w:t>
      </w:r>
    </w:p>
    <w:p w14:paraId="69EA4D05" w14:textId="2CE1BFED" w:rsidR="009A38AB" w:rsidRPr="00B40A77" w:rsidRDefault="00184C71" w:rsidP="009A38AB">
      <w:pPr>
        <w:pStyle w:val="Heading3"/>
        <w:rPr>
          <w:color w:val="000000" w:themeColor="text1"/>
        </w:rPr>
      </w:pPr>
      <w:bookmarkStart w:id="761" w:name="_Toc175239137"/>
      <w:r w:rsidRPr="00B40A77">
        <w:rPr>
          <w:color w:val="000000" w:themeColor="text1"/>
        </w:rPr>
        <w:t>Division</w:t>
      </w:r>
      <w:r w:rsidR="009A38AB" w:rsidRPr="00B40A77">
        <w:rPr>
          <w:color w:val="000000" w:themeColor="text1"/>
        </w:rPr>
        <w:t xml:space="preserve"> 4—Dealing with documents</w:t>
      </w:r>
      <w:bookmarkEnd w:id="761"/>
    </w:p>
    <w:p w14:paraId="5C99A1B7" w14:textId="3D98D54B" w:rsidR="009A38AB" w:rsidRPr="00B40A77" w:rsidRDefault="00144633" w:rsidP="009A38AB">
      <w:pPr>
        <w:pStyle w:val="Heading4"/>
        <w:rPr>
          <w:color w:val="000000" w:themeColor="text1"/>
        </w:rPr>
      </w:pPr>
      <w:bookmarkStart w:id="762" w:name="_Toc175239138"/>
      <w:r w:rsidRPr="00B40A77">
        <w:rPr>
          <w:color w:val="000000" w:themeColor="text1"/>
        </w:rPr>
        <w:t>125.1</w:t>
      </w:r>
      <w:r w:rsidR="009A38AB" w:rsidRPr="00B40A77">
        <w:rPr>
          <w:color w:val="000000" w:themeColor="text1"/>
        </w:rPr>
        <w:t>—Removal, return, inspection, copying and disposal of documents and things</w:t>
      </w:r>
      <w:bookmarkEnd w:id="762"/>
    </w:p>
    <w:p w14:paraId="0CDDCEB6" w14:textId="40612AF3" w:rsidR="009A38AB" w:rsidRPr="00B40A77" w:rsidRDefault="009A38AB" w:rsidP="009A38AB">
      <w:pPr>
        <w:pStyle w:val="IndentedPara"/>
        <w:rPr>
          <w:color w:val="000000" w:themeColor="text1"/>
        </w:rPr>
      </w:pPr>
      <w:r w:rsidRPr="00B40A77">
        <w:rPr>
          <w:color w:val="000000" w:themeColor="text1"/>
        </w:rPr>
        <w:t xml:space="preserve">The Court may give directions about the removal from and return to the Court, and the inspection, copying and disposal, of any document or thing that has been produced to the Court in response to a </w:t>
      </w:r>
      <w:hyperlink w:anchor="_122.1—Interpretation" w:history="1">
        <w:r w:rsidR="00135EC7" w:rsidRPr="00B40A77">
          <w:rPr>
            <w:rStyle w:val="Hyperlink"/>
            <w:color w:val="000000" w:themeColor="text1"/>
          </w:rPr>
          <w:t>subpoena</w:t>
        </w:r>
      </w:hyperlink>
      <w:r w:rsidRPr="00B40A77">
        <w:rPr>
          <w:color w:val="000000" w:themeColor="text1"/>
        </w:rPr>
        <w:t>.</w:t>
      </w:r>
    </w:p>
    <w:p w14:paraId="344FDECE" w14:textId="3B56116C" w:rsidR="009A38AB" w:rsidRPr="00B40A77" w:rsidRDefault="00144633" w:rsidP="009A38AB">
      <w:pPr>
        <w:pStyle w:val="Heading4"/>
        <w:rPr>
          <w:color w:val="000000" w:themeColor="text1"/>
        </w:rPr>
      </w:pPr>
      <w:bookmarkStart w:id="763" w:name="_Toc175239139"/>
      <w:r w:rsidRPr="00B40A77">
        <w:rPr>
          <w:color w:val="000000" w:themeColor="text1"/>
        </w:rPr>
        <w:t>125.2</w:t>
      </w:r>
      <w:r w:rsidR="009A38AB" w:rsidRPr="00B40A77">
        <w:rPr>
          <w:color w:val="000000" w:themeColor="text1"/>
        </w:rPr>
        <w:t>—Inspection of, and dealing with, documents and things produced otherwise than on attendance</w:t>
      </w:r>
      <w:bookmarkEnd w:id="763"/>
    </w:p>
    <w:p w14:paraId="772351A2" w14:textId="6B5AD30F" w:rsidR="009A38AB" w:rsidRPr="00B40A77" w:rsidRDefault="009A38AB" w:rsidP="009A38AB">
      <w:pPr>
        <w:pStyle w:val="Hangindent"/>
        <w:rPr>
          <w:color w:val="000000" w:themeColor="text1"/>
        </w:rPr>
      </w:pPr>
      <w:r w:rsidRPr="00B40A77">
        <w:rPr>
          <w:color w:val="000000" w:themeColor="text1"/>
        </w:rPr>
        <w:t>(1)</w:t>
      </w:r>
      <w:r w:rsidRPr="00B40A77">
        <w:rPr>
          <w:color w:val="000000" w:themeColor="text1"/>
        </w:rPr>
        <w:tab/>
        <w:t xml:space="preserve">This rule applies if an </w:t>
      </w:r>
      <w:hyperlink w:anchor="_122.1—Interpretation" w:history="1">
        <w:r w:rsidR="00F809B2" w:rsidRPr="00B40A77">
          <w:rPr>
            <w:rStyle w:val="Hyperlink"/>
            <w:color w:val="000000" w:themeColor="text1"/>
            <w:lang w:val="en-US"/>
          </w:rPr>
          <w:t>addressee</w:t>
        </w:r>
      </w:hyperlink>
      <w:r w:rsidRPr="00B40A77">
        <w:rPr>
          <w:color w:val="000000" w:themeColor="text1"/>
        </w:rPr>
        <w:t xml:space="preserve"> produces a document or thing in accordance with </w:t>
      </w:r>
      <w:hyperlink w:anchor="_124.1—Compliance_with_summons" w:history="1">
        <w:r w:rsidR="00CC2F6B" w:rsidRPr="00B40A77">
          <w:rPr>
            <w:rStyle w:val="Hyperlink"/>
            <w:color w:val="000000" w:themeColor="text1"/>
            <w:lang w:val="en-US"/>
          </w:rPr>
          <w:t>rule 124.1</w:t>
        </w:r>
      </w:hyperlink>
      <w:r w:rsidR="005E19EF" w:rsidRPr="00B40A77">
        <w:rPr>
          <w:color w:val="000000" w:themeColor="text1"/>
        </w:rPr>
        <w:t>(</w:t>
      </w:r>
      <w:r w:rsidRPr="00B40A77">
        <w:rPr>
          <w:color w:val="000000" w:themeColor="text1"/>
        </w:rPr>
        <w:t>5)(b).</w:t>
      </w:r>
    </w:p>
    <w:p w14:paraId="20FFBB06" w14:textId="57717EC5" w:rsidR="009A38AB" w:rsidRPr="00B40A77" w:rsidRDefault="009A38AB" w:rsidP="009A38AB">
      <w:pPr>
        <w:pStyle w:val="Hangindent"/>
        <w:rPr>
          <w:color w:val="000000" w:themeColor="text1"/>
        </w:rPr>
      </w:pPr>
      <w:r w:rsidRPr="00B40A77">
        <w:rPr>
          <w:color w:val="000000" w:themeColor="text1"/>
        </w:rPr>
        <w:t>(2)</w:t>
      </w:r>
      <w:r w:rsidRPr="00B40A77">
        <w:rPr>
          <w:color w:val="000000" w:themeColor="text1"/>
        </w:rPr>
        <w:tab/>
        <w:t xml:space="preserve">On request in writing of a party, </w:t>
      </w:r>
      <w:hyperlink w:anchor="_2.1—Definitions" w:history="1">
        <w:r w:rsidRPr="00B40A77">
          <w:rPr>
            <w:rStyle w:val="Hyperlink"/>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must tell the party whether production in response to a </w:t>
      </w:r>
      <w:hyperlink w:anchor="_122.1—Interpretation" w:history="1">
        <w:r w:rsidR="00135EC7" w:rsidRPr="00B40A77">
          <w:rPr>
            <w:rStyle w:val="Hyperlink"/>
            <w:color w:val="000000" w:themeColor="text1"/>
            <w:lang w:val="en-US"/>
          </w:rPr>
          <w:t>subpoena</w:t>
        </w:r>
      </w:hyperlink>
      <w:r w:rsidR="005562EA" w:rsidRPr="00B40A77">
        <w:rPr>
          <w:color w:val="000000" w:themeColor="text1"/>
          <w:lang w:val="en-US"/>
        </w:rPr>
        <w:t xml:space="preserve"> </w:t>
      </w:r>
      <w:r w:rsidRPr="00B40A77">
        <w:rPr>
          <w:color w:val="000000" w:themeColor="text1"/>
        </w:rPr>
        <w:t>has occurred and, if so, include a description, in general terms, of the documents and things produced.</w:t>
      </w:r>
    </w:p>
    <w:p w14:paraId="0DB6A2BC" w14:textId="77777777" w:rsidR="009A38AB" w:rsidRPr="00B40A77" w:rsidRDefault="009A38AB" w:rsidP="009A38AB">
      <w:pPr>
        <w:pStyle w:val="Hangindent"/>
        <w:rPr>
          <w:color w:val="000000" w:themeColor="text1"/>
        </w:rPr>
      </w:pPr>
      <w:r w:rsidRPr="00B40A77">
        <w:rPr>
          <w:color w:val="000000" w:themeColor="text1"/>
        </w:rPr>
        <w:t>(3)</w:t>
      </w:r>
      <w:r w:rsidRPr="00B40A77">
        <w:rPr>
          <w:color w:val="000000" w:themeColor="text1"/>
        </w:rPr>
        <w:tab/>
        <w:t>Subject to this rule, a person may inspect a document or thing produced only if the Court has granted leave and the inspection is in accordance with that leave.</w:t>
      </w:r>
    </w:p>
    <w:p w14:paraId="328DB9B3" w14:textId="3ACD108B" w:rsidR="009A38AB" w:rsidRPr="00B40A77" w:rsidRDefault="009A38AB" w:rsidP="009A38AB">
      <w:pPr>
        <w:pStyle w:val="Hangindent"/>
        <w:rPr>
          <w:color w:val="000000" w:themeColor="text1"/>
        </w:rPr>
      </w:pPr>
      <w:r w:rsidRPr="00B40A77">
        <w:rPr>
          <w:color w:val="000000" w:themeColor="text1"/>
        </w:rPr>
        <w:t>(4)</w:t>
      </w:r>
      <w:r w:rsidRPr="00B40A77">
        <w:rPr>
          <w:color w:val="000000" w:themeColor="text1"/>
        </w:rPr>
        <w:tab/>
      </w:r>
      <w:hyperlink w:anchor="_2.1—Definitions" w:history="1">
        <w:r w:rsidR="00DE0D98"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may permit the parties to inspect at the Registry any document or thing produced unless the </w:t>
      </w:r>
      <w:hyperlink w:anchor="_122.1—Interpretation" w:history="1">
        <w:r w:rsidR="00F809B2" w:rsidRPr="00B40A77">
          <w:rPr>
            <w:rStyle w:val="Hyperlink"/>
            <w:color w:val="000000" w:themeColor="text1"/>
            <w:lang w:val="en-US"/>
          </w:rPr>
          <w:t>addressee</w:t>
        </w:r>
      </w:hyperlink>
      <w:r w:rsidRPr="00B40A77">
        <w:rPr>
          <w:color w:val="000000" w:themeColor="text1"/>
        </w:rPr>
        <w:t>, a party or any person having a sufficient interest objects to the inspection under this rule.</w:t>
      </w:r>
    </w:p>
    <w:p w14:paraId="0219D2BC" w14:textId="3DA460FA" w:rsidR="009A38AB" w:rsidRPr="00B40A77" w:rsidRDefault="009A38AB" w:rsidP="009A38AB">
      <w:pPr>
        <w:pStyle w:val="Hangindent"/>
        <w:rPr>
          <w:color w:val="000000" w:themeColor="text1"/>
        </w:rPr>
      </w:pPr>
      <w:r w:rsidRPr="00B40A77">
        <w:rPr>
          <w:color w:val="000000" w:themeColor="text1"/>
        </w:rPr>
        <w:t>(5)</w:t>
      </w:r>
      <w:r w:rsidRPr="00B40A77">
        <w:rPr>
          <w:color w:val="000000" w:themeColor="text1"/>
        </w:rPr>
        <w:tab/>
        <w:t xml:space="preserve">If the </w:t>
      </w:r>
      <w:hyperlink w:anchor="_122.1—Interpretation" w:history="1">
        <w:r w:rsidR="00F809B2" w:rsidRPr="00B40A77">
          <w:rPr>
            <w:rStyle w:val="Hyperlink"/>
            <w:color w:val="000000" w:themeColor="text1"/>
            <w:lang w:val="en-US"/>
          </w:rPr>
          <w:t>addressee</w:t>
        </w:r>
      </w:hyperlink>
      <w:r w:rsidRPr="00B40A77">
        <w:rPr>
          <w:color w:val="000000" w:themeColor="text1"/>
        </w:rPr>
        <w:t xml:space="preserve"> objects to a document or thing being inspected by any party to the proceeding, the </w:t>
      </w:r>
      <w:hyperlink w:anchor="_122.1—Interpretation" w:history="1">
        <w:r w:rsidR="00F809B2" w:rsidRPr="00B40A77">
          <w:rPr>
            <w:rStyle w:val="Hyperlink"/>
            <w:color w:val="000000" w:themeColor="text1"/>
            <w:lang w:val="en-US"/>
          </w:rPr>
          <w:t>addressee</w:t>
        </w:r>
      </w:hyperlink>
      <w:r w:rsidRPr="00B40A77">
        <w:rPr>
          <w:color w:val="000000" w:themeColor="text1"/>
        </w:rPr>
        <w:t xml:space="preserve"> must, at the time of production, notify </w:t>
      </w:r>
      <w:hyperlink w:anchor="_2.1—Definitions" w:history="1">
        <w:r w:rsidRPr="00B40A77">
          <w:rPr>
            <w:rStyle w:val="Hyperlink"/>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in writing of the objection and of the grounds of the objection.</w:t>
      </w:r>
    </w:p>
    <w:p w14:paraId="33B62D72" w14:textId="573F1DEA" w:rsidR="009A38AB" w:rsidRPr="00B40A77" w:rsidRDefault="009A38AB" w:rsidP="009A38AB">
      <w:pPr>
        <w:pStyle w:val="Hangindent"/>
        <w:rPr>
          <w:color w:val="000000" w:themeColor="text1"/>
        </w:rPr>
      </w:pPr>
      <w:r w:rsidRPr="00B40A77">
        <w:rPr>
          <w:color w:val="000000" w:themeColor="text1"/>
        </w:rPr>
        <w:t>(6)</w:t>
      </w:r>
      <w:r w:rsidRPr="00B40A77">
        <w:rPr>
          <w:color w:val="000000" w:themeColor="text1"/>
        </w:rPr>
        <w:tab/>
        <w:t xml:space="preserve">If a party or person having a sufficient interest objects to a document or thing being inspected by a party to the proceeding, the objector may notify </w:t>
      </w:r>
      <w:hyperlink w:anchor="_2.1—Definitions" w:history="1">
        <w:r w:rsidRPr="00B40A77">
          <w:rPr>
            <w:rStyle w:val="Hyperlink"/>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in writing of the objection and of the grounds of the objection.</w:t>
      </w:r>
    </w:p>
    <w:p w14:paraId="6EFA3C44" w14:textId="58A64B32" w:rsidR="009A38AB" w:rsidRPr="00B40A77" w:rsidRDefault="009A38AB" w:rsidP="009A38AB">
      <w:pPr>
        <w:pStyle w:val="Hangindent"/>
        <w:rPr>
          <w:color w:val="000000" w:themeColor="text1"/>
        </w:rPr>
      </w:pPr>
      <w:r w:rsidRPr="00B40A77">
        <w:rPr>
          <w:color w:val="000000" w:themeColor="text1"/>
        </w:rPr>
        <w:lastRenderedPageBreak/>
        <w:t>(7)</w:t>
      </w:r>
      <w:r w:rsidRPr="00B40A77">
        <w:rPr>
          <w:color w:val="000000" w:themeColor="text1"/>
        </w:rPr>
        <w:tab/>
        <w:t xml:space="preserve">On receiving notice of an objection under this rule, </w:t>
      </w:r>
      <w:hyperlink w:anchor="_2.1—Definitions" w:history="1">
        <w:r w:rsidRPr="00B40A77">
          <w:rPr>
            <w:rStyle w:val="Hyperlink"/>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w:t>
      </w:r>
    </w:p>
    <w:p w14:paraId="10E6E2FC" w14:textId="77777777"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must not permit any, or any further, inspection of the document or thing the subject of the objection; and</w:t>
      </w:r>
    </w:p>
    <w:p w14:paraId="049E8EC7" w14:textId="77777777"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must refer the objection to the Court for hearing and determination.</w:t>
      </w:r>
    </w:p>
    <w:p w14:paraId="51D828BB" w14:textId="20B17479" w:rsidR="009A38AB" w:rsidRPr="00B40A77" w:rsidRDefault="009A38AB" w:rsidP="009A38AB">
      <w:pPr>
        <w:pStyle w:val="Hangindent"/>
        <w:rPr>
          <w:color w:val="000000" w:themeColor="text1"/>
          <w:lang w:val="en-US"/>
        </w:rPr>
      </w:pPr>
      <w:r w:rsidRPr="00B40A77">
        <w:rPr>
          <w:color w:val="000000" w:themeColor="text1"/>
          <w:lang w:val="en-US"/>
        </w:rPr>
        <w:t>(8)</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must notify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xml:space="preserve"> of the objection and of the date, time and place at which the objection will be heard.</w:t>
      </w:r>
    </w:p>
    <w:p w14:paraId="6C9F6FDD" w14:textId="7F98BE9E" w:rsidR="009A38AB" w:rsidRPr="00B40A77" w:rsidRDefault="009A38AB" w:rsidP="009A38AB">
      <w:pPr>
        <w:pStyle w:val="Hangindent"/>
        <w:rPr>
          <w:color w:val="000000" w:themeColor="text1"/>
          <w:lang w:val="en-US"/>
        </w:rPr>
      </w:pPr>
      <w:r w:rsidRPr="00B40A77">
        <w:rPr>
          <w:color w:val="000000" w:themeColor="text1"/>
          <w:lang w:val="en-US"/>
        </w:rPr>
        <w:t>(9)</w:t>
      </w:r>
      <w:r w:rsidRPr="00B40A77">
        <w:rPr>
          <w:color w:val="000000" w:themeColor="text1"/>
          <w:lang w:val="en-US"/>
        </w:rPr>
        <w:tab/>
        <w:t xml:space="preserve">After being notified by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under subrule (8),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xml:space="preserve"> must notify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the objector and each other party of the date, time and place at which the objection will be heard.</w:t>
      </w:r>
    </w:p>
    <w:p w14:paraId="3B935AA3" w14:textId="1E9FC963" w:rsidR="009A38AB" w:rsidRPr="00B40A77" w:rsidRDefault="009A38AB" w:rsidP="009A38AB">
      <w:pPr>
        <w:pStyle w:val="Hangindent"/>
        <w:rPr>
          <w:color w:val="000000" w:themeColor="text1"/>
          <w:lang w:val="en-US"/>
        </w:rPr>
      </w:pPr>
      <w:r w:rsidRPr="00B40A77">
        <w:rPr>
          <w:color w:val="000000" w:themeColor="text1"/>
          <w:lang w:val="en-US"/>
        </w:rPr>
        <w:t>(10)</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permit any document or thing produced to be removed from the Registry only on application in writing signed by a lawyer for a party.</w:t>
      </w:r>
    </w:p>
    <w:p w14:paraId="1F08E1AE" w14:textId="1078A2F9" w:rsidR="009A38AB" w:rsidRPr="00B40A77" w:rsidRDefault="009A38AB" w:rsidP="009A38AB">
      <w:pPr>
        <w:pStyle w:val="Hangindent"/>
        <w:rPr>
          <w:color w:val="000000" w:themeColor="text1"/>
          <w:lang w:val="en-US"/>
        </w:rPr>
      </w:pPr>
      <w:r w:rsidRPr="00B40A77">
        <w:rPr>
          <w:color w:val="000000" w:themeColor="text1"/>
          <w:lang w:val="en-US"/>
        </w:rPr>
        <w:t>(11)</w:t>
      </w:r>
      <w:r w:rsidRPr="00B40A77">
        <w:rPr>
          <w:color w:val="000000" w:themeColor="text1"/>
          <w:lang w:val="en-US"/>
        </w:rPr>
        <w:tab/>
        <w:t>A lawyer who signs an application under subrule (10), and removes a document or thing from the Registry is taken to undertake to the Court that—</w:t>
      </w:r>
    </w:p>
    <w:p w14:paraId="32C6881C" w14:textId="77777777"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document or thing will be kept in the personal custody of the lawyer or a barrister briefed by the lawyer in the proceeding; and</w:t>
      </w:r>
    </w:p>
    <w:p w14:paraId="056060FC" w14:textId="060BE2AE"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document or thing will be returned to the Registry in the same condition, order and packaging in which it was removed, as and when directed by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w:t>
      </w:r>
    </w:p>
    <w:p w14:paraId="5D75499C" w14:textId="5EC3BB1B" w:rsidR="009A38AB" w:rsidRPr="00B40A77" w:rsidRDefault="009A38AB" w:rsidP="009A38AB">
      <w:pPr>
        <w:pStyle w:val="Hangindent"/>
        <w:rPr>
          <w:color w:val="000000" w:themeColor="text1"/>
          <w:lang w:val="en-US"/>
        </w:rPr>
      </w:pPr>
      <w:r w:rsidRPr="00B40A77">
        <w:rPr>
          <w:color w:val="000000" w:themeColor="text1"/>
          <w:lang w:val="en-US"/>
        </w:rPr>
        <w:t>(12)</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may grant an application under subrule (10) subject to conditions or refuse to grant the application.</w:t>
      </w:r>
    </w:p>
    <w:p w14:paraId="7795C9FF" w14:textId="70B94352" w:rsidR="009A38AB" w:rsidRPr="00B40A77" w:rsidRDefault="00144633" w:rsidP="009A38AB">
      <w:pPr>
        <w:pStyle w:val="Heading4"/>
        <w:rPr>
          <w:color w:val="000000" w:themeColor="text1"/>
        </w:rPr>
      </w:pPr>
      <w:bookmarkStart w:id="764" w:name="_Toc175239140"/>
      <w:r w:rsidRPr="00B40A77">
        <w:rPr>
          <w:color w:val="000000" w:themeColor="text1"/>
        </w:rPr>
        <w:t>125.3</w:t>
      </w:r>
      <w:r w:rsidR="009A38AB" w:rsidRPr="00B40A77">
        <w:rPr>
          <w:color w:val="000000" w:themeColor="text1"/>
        </w:rPr>
        <w:t>—Return of documents and things produced</w:t>
      </w:r>
      <w:bookmarkEnd w:id="764"/>
    </w:p>
    <w:p w14:paraId="48734428" w14:textId="1415B1AA"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 xml:space="preserve">or </w:t>
      </w:r>
      <w:r w:rsidR="00D90DDB" w:rsidRPr="00B40A77">
        <w:rPr>
          <w:rFonts w:cs="Times New Roman"/>
          <w:color w:val="000000" w:themeColor="text1"/>
        </w:rPr>
        <w:t xml:space="preserve">a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 xml:space="preserve">may return to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any document or thing produced in response to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090A8A93" w14:textId="66D63C3B"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 xml:space="preserve">or </w:t>
      </w:r>
      <w:r w:rsidR="00D90DDB" w:rsidRPr="00B40A77">
        <w:rPr>
          <w:rFonts w:cs="Times New Roman"/>
          <w:color w:val="000000" w:themeColor="text1"/>
        </w:rPr>
        <w:t xml:space="preserve">a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may return any document or thing under subrule (1) only i</w:t>
      </w:r>
      <w:r w:rsidR="00D90DDB" w:rsidRPr="00B40A77">
        <w:rPr>
          <w:color w:val="000000" w:themeColor="text1"/>
          <w:lang w:val="en-US"/>
        </w:rPr>
        <w:t>f they have</w:t>
      </w:r>
      <w:r w:rsidRPr="00B40A77">
        <w:rPr>
          <w:color w:val="000000" w:themeColor="text1"/>
          <w:lang w:val="en-US"/>
        </w:rPr>
        <w:t xml:space="preserve"> given to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xml:space="preserve"> at least 14 days’ notice of the intention to do so and that period has expired.</w:t>
      </w:r>
    </w:p>
    <w:p w14:paraId="7472ED49" w14:textId="313538FD"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of a </w:t>
      </w:r>
      <w:hyperlink w:anchor="_156.1—Interpretation" w:history="1">
        <w:r w:rsidR="00135EC7" w:rsidRPr="00B40A77">
          <w:rPr>
            <w:rStyle w:val="Hyperlink"/>
            <w:color w:val="000000" w:themeColor="text1"/>
            <w:lang w:val="en-US"/>
          </w:rPr>
          <w:t>subpoena</w:t>
        </w:r>
        <w:r w:rsidRPr="00B40A77">
          <w:rPr>
            <w:rStyle w:val="Hyperlink"/>
            <w:color w:val="000000" w:themeColor="text1"/>
            <w:lang w:val="en-US"/>
          </w:rPr>
          <w:t xml:space="preserve"> to produce</w:t>
        </w:r>
      </w:hyperlink>
      <w:r w:rsidRPr="00B40A77">
        <w:rPr>
          <w:color w:val="000000" w:themeColor="text1"/>
          <w:lang w:val="en-US"/>
        </w:rPr>
        <w:t xml:space="preserve"> or </w:t>
      </w:r>
      <w:r w:rsidR="005E19EF" w:rsidRPr="00B40A77">
        <w:rPr>
          <w:color w:val="000000" w:themeColor="text1"/>
          <w:lang w:val="en-US"/>
        </w:rPr>
        <w:t xml:space="preserve">a </w:t>
      </w:r>
      <w:hyperlink w:anchor="_122.1—Interpretation" w:history="1">
        <w:r w:rsidR="00135EC7" w:rsidRPr="00B40A77">
          <w:rPr>
            <w:rStyle w:val="Hyperlink"/>
            <w:color w:val="000000" w:themeColor="text1"/>
          </w:rPr>
          <w:t>subpoena</w:t>
        </w:r>
        <w:r w:rsidR="005E19EF" w:rsidRPr="00B40A77">
          <w:rPr>
            <w:rStyle w:val="Hyperlink"/>
            <w:color w:val="000000" w:themeColor="text1"/>
          </w:rPr>
          <w:t xml:space="preserve"> to </w:t>
        </w:r>
        <w:r w:rsidR="0023600B" w:rsidRPr="00B40A77">
          <w:rPr>
            <w:rStyle w:val="Hyperlink"/>
            <w:color w:val="000000" w:themeColor="text1"/>
          </w:rPr>
          <w:t xml:space="preserve">attend to </w:t>
        </w:r>
        <w:r w:rsidRPr="00B40A77">
          <w:rPr>
            <w:rStyle w:val="Hyperlink"/>
            <w:color w:val="000000" w:themeColor="text1"/>
            <w:lang w:val="en-US"/>
          </w:rPr>
          <w:t>give evidence and to produce</w:t>
        </w:r>
      </w:hyperlink>
      <w:r w:rsidRPr="00B40A77">
        <w:rPr>
          <w:color w:val="000000" w:themeColor="text1"/>
          <w:lang w:val="en-US"/>
        </w:rPr>
        <w:t xml:space="preserve"> must complete the declaration by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contained at the end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7805F916" w14:textId="0074958A" w:rsidR="009A38AB" w:rsidRPr="00B40A77" w:rsidRDefault="009A38AB" w:rsidP="009A38A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completed declaration must be included in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or copy of the </w:t>
      </w:r>
      <w:hyperlink w:anchor="_122.1—Interpretation" w:history="1">
        <w:r w:rsidR="00135EC7" w:rsidRPr="00B40A77">
          <w:rPr>
            <w:rStyle w:val="Hyperlink"/>
            <w:color w:val="000000" w:themeColor="text1"/>
            <w:lang w:val="en-US"/>
          </w:rPr>
          <w:t>subpoena</w:t>
        </w:r>
      </w:hyperlink>
      <w:r w:rsidR="005562EA" w:rsidRPr="00B40A77">
        <w:rPr>
          <w:color w:val="000000" w:themeColor="text1"/>
          <w:lang w:val="en-US"/>
        </w:rPr>
        <w:t xml:space="preserve"> </w:t>
      </w:r>
      <w:r w:rsidRPr="00B40A77">
        <w:rPr>
          <w:color w:val="000000" w:themeColor="text1"/>
          <w:lang w:val="en-US"/>
        </w:rPr>
        <w:t xml:space="preserve">which accompanies the documents produced under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1831ACAB" w14:textId="2312066B" w:rsidR="009A38AB" w:rsidRPr="00B40A77" w:rsidRDefault="009A38AB" w:rsidP="009A38AB">
      <w:pPr>
        <w:pStyle w:val="Hangindent"/>
        <w:rPr>
          <w:color w:val="000000" w:themeColor="text1"/>
          <w:lang w:val="en-US"/>
        </w:rPr>
      </w:pPr>
      <w:r w:rsidRPr="00B40A77">
        <w:rPr>
          <w:color w:val="000000" w:themeColor="text1"/>
          <w:lang w:val="en-US"/>
        </w:rPr>
        <w:t>(5)</w:t>
      </w:r>
      <w:r w:rsidRPr="00B40A77">
        <w:rPr>
          <w:color w:val="000000" w:themeColor="text1"/>
          <w:lang w:val="en-US"/>
        </w:rPr>
        <w:tab/>
        <w:t>Subject to subrule</w:t>
      </w:r>
      <w:r w:rsidR="00BA7A73" w:rsidRPr="00B40A77">
        <w:rPr>
          <w:color w:val="000000" w:themeColor="text1"/>
          <w:lang w:val="en-US"/>
        </w:rPr>
        <w:t> </w:t>
      </w:r>
      <w:r w:rsidRPr="00B40A77">
        <w:rPr>
          <w:color w:val="000000" w:themeColor="text1"/>
          <w:lang w:val="en-US"/>
        </w:rPr>
        <w:t>(6),</w:t>
      </w:r>
      <w:r w:rsidR="005562EA" w:rsidRPr="00B40A77">
        <w:rPr>
          <w:color w:val="000000" w:themeColor="text1"/>
          <w:lang w:val="en-US"/>
        </w:rPr>
        <w:t xml:space="preserve"> the</w:t>
      </w:r>
      <w:r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005562EA" w:rsidRPr="00B40A77">
        <w:rPr>
          <w:color w:val="000000" w:themeColor="text1"/>
          <w:lang w:val="en-US"/>
        </w:rPr>
        <w:t xml:space="preserve"> </w:t>
      </w:r>
      <w:r w:rsidR="00D90DDB" w:rsidRPr="00B40A77">
        <w:rPr>
          <w:color w:val="000000" w:themeColor="text1"/>
          <w:lang w:val="en-US"/>
        </w:rPr>
        <w:t xml:space="preserve">or a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 xml:space="preserve">may, on the expiry of 4 months from the conclusion of the proceeding, cause to be destroyed all the documents produced in the proceeding in compliance with a </w:t>
      </w:r>
      <w:hyperlink w:anchor="_122.1—Interpretation" w:history="1">
        <w:r w:rsidR="00135EC7" w:rsidRPr="00B40A77">
          <w:rPr>
            <w:rStyle w:val="Hyperlink"/>
            <w:color w:val="000000" w:themeColor="text1"/>
            <w:lang w:val="en-US"/>
          </w:rPr>
          <w:t>subpoena</w:t>
        </w:r>
      </w:hyperlink>
      <w:r w:rsidR="005562EA" w:rsidRPr="00B40A77">
        <w:rPr>
          <w:color w:val="000000" w:themeColor="text1"/>
          <w:lang w:val="en-US"/>
        </w:rPr>
        <w:t xml:space="preserve"> </w:t>
      </w:r>
      <w:r w:rsidR="00BF3909" w:rsidRPr="00B40A77">
        <w:rPr>
          <w:color w:val="000000" w:themeColor="text1"/>
          <w:lang w:val="en-US"/>
        </w:rPr>
        <w:t xml:space="preserve">that </w:t>
      </w:r>
      <w:r w:rsidRPr="00B40A77">
        <w:rPr>
          <w:color w:val="000000" w:themeColor="text1"/>
          <w:lang w:val="en-US"/>
        </w:rPr>
        <w:t xml:space="preserve">were </w:t>
      </w:r>
      <w:r w:rsidR="005038CC" w:rsidRPr="00B40A77">
        <w:rPr>
          <w:color w:val="000000" w:themeColor="text1"/>
          <w:lang w:val="en-US"/>
        </w:rPr>
        <w:t xml:space="preserve">not </w:t>
      </w:r>
      <w:r w:rsidRPr="00B40A77">
        <w:rPr>
          <w:color w:val="000000" w:themeColor="text1"/>
          <w:lang w:val="en-US"/>
        </w:rPr>
        <w:t xml:space="preserve">declared by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to be </w:t>
      </w:r>
      <w:r w:rsidR="00BF3909" w:rsidRPr="00B40A77">
        <w:rPr>
          <w:color w:val="000000" w:themeColor="text1"/>
          <w:lang w:val="en-US"/>
        </w:rPr>
        <w:t>original documents whose return is sought</w:t>
      </w:r>
      <w:r w:rsidRPr="00B40A77">
        <w:rPr>
          <w:color w:val="000000" w:themeColor="text1"/>
          <w:lang w:val="en-US"/>
        </w:rPr>
        <w:t>.</w:t>
      </w:r>
    </w:p>
    <w:p w14:paraId="44B9D059" w14:textId="4C989673" w:rsidR="009A38AB" w:rsidRPr="00B40A77" w:rsidRDefault="009A38AB" w:rsidP="009A38AB">
      <w:pPr>
        <w:pStyle w:val="Hangindent"/>
        <w:rPr>
          <w:color w:val="000000" w:themeColor="text1"/>
          <w:lang w:val="en-US"/>
        </w:rPr>
      </w:pPr>
      <w:r w:rsidRPr="00B40A77">
        <w:rPr>
          <w:color w:val="000000" w:themeColor="text1"/>
          <w:lang w:val="en-US"/>
        </w:rPr>
        <w:t>(6)</w:t>
      </w:r>
      <w:r w:rsidRPr="00B40A77">
        <w:rPr>
          <w:color w:val="000000" w:themeColor="text1"/>
          <w:lang w:val="en-US"/>
        </w:rPr>
        <w:tab/>
      </w:r>
      <w:hyperlink w:anchor="_2.1—Definitions" w:history="1">
        <w:r w:rsidR="0076209F"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 xml:space="preserve">or </w:t>
      </w:r>
      <w:r w:rsidR="00D90DDB" w:rsidRPr="00B40A77">
        <w:rPr>
          <w:rFonts w:cs="Times New Roman"/>
          <w:color w:val="000000" w:themeColor="text1"/>
        </w:rPr>
        <w:t xml:space="preserve">a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 xml:space="preserve">may cause to be destroyed those documents </w:t>
      </w:r>
      <w:r w:rsidR="00BF3909" w:rsidRPr="00B40A77">
        <w:rPr>
          <w:color w:val="000000" w:themeColor="text1"/>
          <w:lang w:val="en-US"/>
        </w:rPr>
        <w:t xml:space="preserve">not </w:t>
      </w:r>
      <w:r w:rsidRPr="00B40A77">
        <w:rPr>
          <w:color w:val="000000" w:themeColor="text1"/>
          <w:lang w:val="en-US"/>
        </w:rPr>
        <w:t xml:space="preserve">declared by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to be </w:t>
      </w:r>
      <w:r w:rsidR="00BF3909" w:rsidRPr="00B40A77">
        <w:rPr>
          <w:color w:val="000000" w:themeColor="text1"/>
          <w:lang w:val="en-US"/>
        </w:rPr>
        <w:t xml:space="preserve">original documents whose return is sought </w:t>
      </w:r>
      <w:r w:rsidRPr="00B40A77">
        <w:rPr>
          <w:color w:val="000000" w:themeColor="text1"/>
          <w:lang w:val="en-US"/>
        </w:rPr>
        <w:t>which have become exhibits in the proceeding when they are no longer required in connection with the proceeding, including on any appeal.</w:t>
      </w:r>
    </w:p>
    <w:p w14:paraId="277AB0F6" w14:textId="439006AA" w:rsidR="009A38AB" w:rsidRPr="00B40A77" w:rsidRDefault="00184C71" w:rsidP="009A38AB">
      <w:pPr>
        <w:pStyle w:val="Heading3"/>
        <w:rPr>
          <w:color w:val="000000" w:themeColor="text1"/>
        </w:rPr>
      </w:pPr>
      <w:bookmarkStart w:id="765" w:name="_Toc175239141"/>
      <w:r w:rsidRPr="00B40A77">
        <w:rPr>
          <w:color w:val="000000" w:themeColor="text1"/>
        </w:rPr>
        <w:lastRenderedPageBreak/>
        <w:t>Division</w:t>
      </w:r>
      <w:r w:rsidR="009A38AB" w:rsidRPr="00B40A77">
        <w:rPr>
          <w:color w:val="000000" w:themeColor="text1"/>
        </w:rPr>
        <w:t xml:space="preserve"> 5—Costs of compliance</w:t>
      </w:r>
      <w:bookmarkEnd w:id="765"/>
    </w:p>
    <w:p w14:paraId="28E3A3E9" w14:textId="648E54C0" w:rsidR="009A38AB" w:rsidRPr="00B40A77" w:rsidRDefault="00144633" w:rsidP="009A38AB">
      <w:pPr>
        <w:pStyle w:val="Heading4"/>
        <w:rPr>
          <w:color w:val="000000" w:themeColor="text1"/>
        </w:rPr>
      </w:pPr>
      <w:bookmarkStart w:id="766" w:name="_Toc175239142"/>
      <w:r w:rsidRPr="00B40A77">
        <w:rPr>
          <w:color w:val="000000" w:themeColor="text1"/>
        </w:rPr>
        <w:t>126.1</w:t>
      </w:r>
      <w:r w:rsidR="009A38AB" w:rsidRPr="00B40A77">
        <w:rPr>
          <w:color w:val="000000" w:themeColor="text1"/>
        </w:rPr>
        <w:t>—Costs and expenses of compliance</w:t>
      </w:r>
      <w:bookmarkEnd w:id="766"/>
    </w:p>
    <w:p w14:paraId="4013F39E" w14:textId="21139217"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order the </w:t>
      </w:r>
      <w:hyperlink w:anchor="_122.1—Interpretation" w:history="1">
        <w:r w:rsidR="008072D9" w:rsidRPr="00B40A77">
          <w:rPr>
            <w:rStyle w:val="Hyperlink"/>
            <w:color w:val="000000" w:themeColor="text1"/>
            <w:lang w:val="en-US"/>
          </w:rPr>
          <w:t>issuing party</w:t>
        </w:r>
      </w:hyperlink>
      <w:r w:rsidRPr="00B40A77">
        <w:rPr>
          <w:color w:val="000000" w:themeColor="text1"/>
          <w:lang w:val="en-US"/>
        </w:rPr>
        <w:t xml:space="preserve"> to pay the amount of any reasonable loss or expense incurred in complying with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5875C34C" w14:textId="77777777"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If an order is made under subrule (1), the Court will fix the amount or direct that it be fixed in accordance with the Court’s usual procedure in relation to costs.</w:t>
      </w:r>
    </w:p>
    <w:p w14:paraId="38D21EB7" w14:textId="77777777"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An amount fixed under this rule is separate from and in addition to—</w:t>
      </w:r>
    </w:p>
    <w:p w14:paraId="6FF11FBB" w14:textId="3241E6ED"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any </w:t>
      </w:r>
      <w:hyperlink w:anchor="_122.1—Interpretation" w:history="1">
        <w:r w:rsidR="00A14FB0" w:rsidRPr="00B40A77">
          <w:rPr>
            <w:rStyle w:val="Hyperlink"/>
            <w:color w:val="000000" w:themeColor="text1"/>
          </w:rPr>
          <w:t>conduct money</w:t>
        </w:r>
      </w:hyperlink>
      <w:r w:rsidRPr="00B40A77">
        <w:rPr>
          <w:color w:val="000000" w:themeColor="text1"/>
          <w:lang w:val="en-US"/>
        </w:rPr>
        <w:t xml:space="preserve"> paid to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and</w:t>
      </w:r>
    </w:p>
    <w:p w14:paraId="105B2D31" w14:textId="5F1F333D" w:rsidR="009A38AB" w:rsidRPr="00B40A77" w:rsidRDefault="009A38AB" w:rsidP="00A37E9E">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any witness expenses payable to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w:t>
      </w:r>
    </w:p>
    <w:p w14:paraId="14E165C7" w14:textId="77777777" w:rsidR="009A38AB" w:rsidRPr="00B40A77" w:rsidRDefault="009A38AB" w:rsidP="004E3D0F">
      <w:pPr>
        <w:pStyle w:val="NoteHeader"/>
        <w:keepNext/>
        <w:ind w:left="1701"/>
        <w:rPr>
          <w:color w:val="000000" w:themeColor="text1"/>
          <w:lang w:val="en-US"/>
        </w:rPr>
      </w:pPr>
      <w:r w:rsidRPr="00B40A77">
        <w:rPr>
          <w:color w:val="000000" w:themeColor="text1"/>
          <w:lang w:val="en-US"/>
        </w:rPr>
        <w:t>Note—</w:t>
      </w:r>
    </w:p>
    <w:p w14:paraId="260A46E1" w14:textId="01057BEE" w:rsidR="009A38AB" w:rsidRPr="00B40A77" w:rsidRDefault="009A38AB" w:rsidP="00592C28">
      <w:pPr>
        <w:pStyle w:val="NoteText"/>
        <w:ind w:left="1985"/>
        <w:rPr>
          <w:color w:val="000000" w:themeColor="text1"/>
          <w:lang w:val="en-US"/>
        </w:rPr>
      </w:pPr>
      <w:r w:rsidRPr="00B40A77">
        <w:rPr>
          <w:color w:val="000000" w:themeColor="text1"/>
          <w:lang w:val="en-US"/>
        </w:rPr>
        <w:t xml:space="preserve">Sections 35 and 45 of the </w:t>
      </w:r>
      <w:r w:rsidRPr="00B40A77">
        <w:rPr>
          <w:iCs/>
          <w:color w:val="000000" w:themeColor="text1"/>
          <w:lang w:val="en-US"/>
        </w:rPr>
        <w:t>Service and Execution of Process Act</w:t>
      </w:r>
      <w:r w:rsidRPr="00B40A77">
        <w:rPr>
          <w:color w:val="000000" w:themeColor="text1"/>
          <w:lang w:val="en-US"/>
        </w:rPr>
        <w:t xml:space="preserve"> provide that, when a </w:t>
      </w:r>
      <w:r w:rsidR="00135EC7" w:rsidRPr="00B40A77">
        <w:rPr>
          <w:color w:val="000000" w:themeColor="text1"/>
          <w:lang w:val="en-US"/>
        </w:rPr>
        <w:t>subpoena</w:t>
      </w:r>
      <w:r w:rsidR="005562EA" w:rsidRPr="00B40A77">
        <w:rPr>
          <w:color w:val="000000" w:themeColor="text1"/>
          <w:lang w:val="en-US"/>
        </w:rPr>
        <w:t xml:space="preserve"> </w:t>
      </w:r>
      <w:r w:rsidRPr="00B40A77">
        <w:rPr>
          <w:color w:val="000000" w:themeColor="text1"/>
          <w:lang w:val="en-US"/>
        </w:rPr>
        <w:t>is served in another State, the person served is entitled to reasonable expenses incurred in compliance and empowers the Court to make orders for this purpose.</w:t>
      </w:r>
    </w:p>
    <w:p w14:paraId="734DF96E" w14:textId="436968C7" w:rsidR="009A38AB" w:rsidRPr="00B40A77" w:rsidRDefault="00184C71" w:rsidP="009A38AB">
      <w:pPr>
        <w:pStyle w:val="Heading3"/>
        <w:rPr>
          <w:color w:val="000000" w:themeColor="text1"/>
        </w:rPr>
      </w:pPr>
      <w:bookmarkStart w:id="767" w:name="_Toc175239143"/>
      <w:r w:rsidRPr="00B40A77">
        <w:rPr>
          <w:color w:val="000000" w:themeColor="text1"/>
        </w:rPr>
        <w:t>Division</w:t>
      </w:r>
      <w:r w:rsidR="009A38AB" w:rsidRPr="00B40A77">
        <w:rPr>
          <w:color w:val="000000" w:themeColor="text1"/>
        </w:rPr>
        <w:t xml:space="preserve"> 6—Failure to comply</w:t>
      </w:r>
      <w:bookmarkEnd w:id="767"/>
    </w:p>
    <w:p w14:paraId="1166ED0C" w14:textId="4A6FFBB4" w:rsidR="009A38AB" w:rsidRPr="00B40A77" w:rsidRDefault="00144633" w:rsidP="009A38AB">
      <w:pPr>
        <w:pStyle w:val="Heading4"/>
        <w:rPr>
          <w:color w:val="000000" w:themeColor="text1"/>
        </w:rPr>
      </w:pPr>
      <w:bookmarkStart w:id="768" w:name="_Toc175239144"/>
      <w:r w:rsidRPr="00B40A77">
        <w:rPr>
          <w:color w:val="000000" w:themeColor="text1"/>
        </w:rPr>
        <w:t>127.1</w:t>
      </w:r>
      <w:r w:rsidR="009A38AB" w:rsidRPr="00B40A77">
        <w:rPr>
          <w:color w:val="000000" w:themeColor="text1"/>
        </w:rPr>
        <w:t xml:space="preserve">—Failure to comply with </w:t>
      </w:r>
      <w:r w:rsidR="00135EC7" w:rsidRPr="00B40A77">
        <w:rPr>
          <w:color w:val="000000" w:themeColor="text1"/>
        </w:rPr>
        <w:t>subpoena</w:t>
      </w:r>
      <w:r w:rsidR="009A38AB" w:rsidRPr="00B40A77">
        <w:rPr>
          <w:color w:val="000000" w:themeColor="text1"/>
        </w:rPr>
        <w:t>—contempt of court</w:t>
      </w:r>
      <w:bookmarkEnd w:id="768"/>
    </w:p>
    <w:p w14:paraId="34A0910B" w14:textId="7D6DC571"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Failure to comply with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without lawful excuse is a contempt of court and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may be dealt with accordingly.</w:t>
      </w:r>
    </w:p>
    <w:p w14:paraId="0EE928DE" w14:textId="0DBD6203" w:rsidR="009A38AB" w:rsidRPr="00B40A77" w:rsidRDefault="009A38AB" w:rsidP="004E3D0F">
      <w:pPr>
        <w:pStyle w:val="Hangindent"/>
        <w:keepLines/>
        <w:rPr>
          <w:color w:val="000000" w:themeColor="text1"/>
          <w:lang w:val="en-US"/>
        </w:rPr>
      </w:pPr>
      <w:r w:rsidRPr="00B40A77">
        <w:rPr>
          <w:color w:val="000000" w:themeColor="text1"/>
          <w:lang w:val="en-US"/>
        </w:rPr>
        <w:t>(2)</w:t>
      </w:r>
      <w:r w:rsidRPr="00B40A77">
        <w:rPr>
          <w:color w:val="000000" w:themeColor="text1"/>
          <w:lang w:val="en-US"/>
        </w:rPr>
        <w:tab/>
        <w:t>Despite subrule</w:t>
      </w:r>
      <w:r w:rsidR="00BA7A73" w:rsidRPr="00B40A77">
        <w:rPr>
          <w:color w:val="000000" w:themeColor="text1"/>
          <w:lang w:val="en-US"/>
        </w:rPr>
        <w:t> </w:t>
      </w:r>
      <w:r w:rsidRPr="00B40A77">
        <w:rPr>
          <w:color w:val="000000" w:themeColor="text1"/>
          <w:lang w:val="en-US"/>
        </w:rPr>
        <w:t xml:space="preserve">(1), if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has not been served personally on an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may be dealt with for contempt of court as if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had been so served if it is proved that the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had, by the last date for service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actual knowledge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and its requirements.</w:t>
      </w:r>
    </w:p>
    <w:p w14:paraId="21D18645" w14:textId="27B4E8C7"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Subrules</w:t>
      </w:r>
      <w:r w:rsidR="00BA7A73" w:rsidRPr="00B40A77">
        <w:rPr>
          <w:color w:val="000000" w:themeColor="text1"/>
          <w:lang w:val="en-US"/>
        </w:rPr>
        <w:t> </w:t>
      </w:r>
      <w:r w:rsidRPr="00B40A77">
        <w:rPr>
          <w:color w:val="000000" w:themeColor="text1"/>
          <w:lang w:val="en-US"/>
        </w:rPr>
        <w:t>(1) and</w:t>
      </w:r>
      <w:r w:rsidR="00BA7A73" w:rsidRPr="00B40A77">
        <w:rPr>
          <w:color w:val="000000" w:themeColor="text1"/>
          <w:lang w:val="en-US"/>
        </w:rPr>
        <w:t> </w:t>
      </w:r>
      <w:r w:rsidRPr="00B40A77">
        <w:rPr>
          <w:color w:val="000000" w:themeColor="text1"/>
          <w:lang w:val="en-US"/>
        </w:rPr>
        <w:t xml:space="preserve">(2) are without prejudice to any power of the Court under any rules of the Court (including any rules of the Court providing for the arrest of an </w:t>
      </w:r>
      <w:hyperlink w:anchor="_122.1—Interpretation" w:history="1">
        <w:r w:rsidR="00F809B2" w:rsidRPr="00B40A77">
          <w:rPr>
            <w:rStyle w:val="Hyperlink"/>
            <w:color w:val="000000" w:themeColor="text1"/>
            <w:lang w:val="en-US"/>
          </w:rPr>
          <w:t>addressee</w:t>
        </w:r>
      </w:hyperlink>
      <w:r w:rsidRPr="00B40A77">
        <w:rPr>
          <w:color w:val="000000" w:themeColor="text1"/>
          <w:lang w:val="en-US"/>
        </w:rPr>
        <w:t xml:space="preserve"> who defaults in attendance in accordance with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or otherwise, to enforce compliance with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5FACE278" w14:textId="125BC87B" w:rsidR="003758F7" w:rsidRPr="00B40A77" w:rsidRDefault="003758F7" w:rsidP="003758F7">
      <w:pPr>
        <w:pStyle w:val="Heading4"/>
        <w:rPr>
          <w:color w:val="000000" w:themeColor="text1"/>
        </w:rPr>
      </w:pPr>
      <w:bookmarkStart w:id="769" w:name="_Toc175239145"/>
      <w:r w:rsidRPr="00B40A77">
        <w:rPr>
          <w:color w:val="000000" w:themeColor="text1"/>
        </w:rPr>
        <w:t>127.2—Issue of warrant of apprehension to addressee</w:t>
      </w:r>
      <w:bookmarkEnd w:id="769"/>
    </w:p>
    <w:p w14:paraId="06790E02" w14:textId="573DACF4" w:rsidR="003758F7" w:rsidRPr="00B40A77" w:rsidRDefault="003758F7" w:rsidP="003758F7">
      <w:pPr>
        <w:pStyle w:val="Hangindent"/>
        <w:rPr>
          <w:color w:val="000000" w:themeColor="text1"/>
        </w:rPr>
      </w:pPr>
      <w:r w:rsidRPr="00B40A77">
        <w:rPr>
          <w:color w:val="000000" w:themeColor="text1"/>
        </w:rPr>
        <w:t>(1)</w:t>
      </w:r>
      <w:r w:rsidRPr="00B40A77">
        <w:rPr>
          <w:color w:val="000000" w:themeColor="text1"/>
        </w:rPr>
        <w:tab/>
        <w:t>The Court may order the issue of a warrant of apprehension to—</w:t>
      </w:r>
    </w:p>
    <w:p w14:paraId="6D1B123B" w14:textId="1EE34246" w:rsidR="003758F7" w:rsidRPr="00B40A77" w:rsidRDefault="003758F7" w:rsidP="003758F7">
      <w:pPr>
        <w:pStyle w:val="Doublehangindent"/>
        <w:rPr>
          <w:color w:val="000000" w:themeColor="text1"/>
        </w:rPr>
      </w:pPr>
      <w:r w:rsidRPr="00B40A77">
        <w:rPr>
          <w:color w:val="000000" w:themeColor="text1"/>
        </w:rPr>
        <w:t>(a)</w:t>
      </w:r>
      <w:r w:rsidRPr="00B40A77">
        <w:rPr>
          <w:color w:val="000000" w:themeColor="text1"/>
        </w:rPr>
        <w:tab/>
        <w:t xml:space="preserve">an </w:t>
      </w:r>
      <w:hyperlink w:anchor="_122.1—Interpretation" w:history="1">
        <w:r w:rsidR="00F809B2" w:rsidRPr="00B40A77">
          <w:rPr>
            <w:rStyle w:val="Hyperlink"/>
            <w:color w:val="000000" w:themeColor="text1"/>
            <w:lang w:val="en-US"/>
          </w:rPr>
          <w:t>addressee</w:t>
        </w:r>
      </w:hyperlink>
      <w:r w:rsidRPr="00B40A77">
        <w:rPr>
          <w:color w:val="000000" w:themeColor="text1"/>
        </w:rPr>
        <w:t xml:space="preserve"> who fails to comply with a </w:t>
      </w:r>
      <w:hyperlink w:anchor="_122.1—Interpretation" w:history="1">
        <w:r w:rsidR="00E46B25" w:rsidRPr="00B40A77">
          <w:rPr>
            <w:rStyle w:val="Hyperlink"/>
            <w:color w:val="000000" w:themeColor="text1"/>
            <w:lang w:val="en-US"/>
          </w:rPr>
          <w:t>subpoena</w:t>
        </w:r>
      </w:hyperlink>
      <w:r w:rsidRPr="00B40A77">
        <w:rPr>
          <w:color w:val="000000" w:themeColor="text1"/>
        </w:rPr>
        <w:t>;</w:t>
      </w:r>
    </w:p>
    <w:p w14:paraId="4297416B" w14:textId="0F7239BF" w:rsidR="003758F7" w:rsidRPr="00B40A77" w:rsidRDefault="003758F7" w:rsidP="00A37E9E">
      <w:pPr>
        <w:pStyle w:val="Doublehangindent"/>
        <w:keepNext/>
        <w:rPr>
          <w:color w:val="000000" w:themeColor="text1"/>
        </w:rPr>
      </w:pPr>
      <w:r w:rsidRPr="00B40A77">
        <w:rPr>
          <w:color w:val="000000" w:themeColor="text1"/>
        </w:rPr>
        <w:t>(b)</w:t>
      </w:r>
      <w:r w:rsidRPr="00B40A77">
        <w:rPr>
          <w:color w:val="000000" w:themeColor="text1"/>
        </w:rPr>
        <w:tab/>
        <w:t xml:space="preserve">a person in respect of whom there are grounds for belief that, if such a </w:t>
      </w:r>
      <w:hyperlink w:anchor="_122.1—Interpretation" w:history="1">
        <w:r w:rsidR="00135EC7" w:rsidRPr="00B40A77">
          <w:rPr>
            <w:rStyle w:val="Hyperlink"/>
            <w:color w:val="000000" w:themeColor="text1"/>
            <w:lang w:val="en-US"/>
          </w:rPr>
          <w:t>subpoena</w:t>
        </w:r>
      </w:hyperlink>
      <w:r w:rsidRPr="00B40A77">
        <w:rPr>
          <w:color w:val="000000" w:themeColor="text1"/>
        </w:rPr>
        <w:t xml:space="preserve"> were issued, the person would not comply with it.</w:t>
      </w:r>
    </w:p>
    <w:p w14:paraId="3FB57392" w14:textId="5EF4A9D1" w:rsidR="003758F7" w:rsidRPr="00B40A77" w:rsidRDefault="003758F7" w:rsidP="004E3D0F">
      <w:pPr>
        <w:pStyle w:val="NoteHeader"/>
        <w:keepNext/>
        <w:ind w:left="1701"/>
        <w:rPr>
          <w:color w:val="000000" w:themeColor="text1"/>
        </w:rPr>
      </w:pPr>
      <w:r w:rsidRPr="00B40A77">
        <w:rPr>
          <w:color w:val="000000" w:themeColor="text1"/>
        </w:rPr>
        <w:t>Note—</w:t>
      </w:r>
    </w:p>
    <w:p w14:paraId="2F1F8FBE" w14:textId="3876625E" w:rsidR="003758F7" w:rsidRPr="00B40A77" w:rsidRDefault="003758F7" w:rsidP="00592C28">
      <w:pPr>
        <w:pStyle w:val="NoteText"/>
        <w:ind w:left="1985"/>
        <w:rPr>
          <w:color w:val="000000" w:themeColor="text1"/>
        </w:rPr>
      </w:pPr>
      <w:r w:rsidRPr="00B40A77">
        <w:rPr>
          <w:color w:val="000000" w:themeColor="text1"/>
        </w:rPr>
        <w:t xml:space="preserve">Section 35(3) the </w:t>
      </w:r>
      <w:r w:rsidRPr="00B40A77">
        <w:rPr>
          <w:i/>
          <w:color w:val="000000" w:themeColor="text1"/>
        </w:rPr>
        <w:t xml:space="preserve">Supreme Court Act 1935, </w:t>
      </w:r>
      <w:r w:rsidRPr="00B40A77">
        <w:rPr>
          <w:color w:val="000000" w:themeColor="text1"/>
        </w:rPr>
        <w:t>section</w:t>
      </w:r>
      <w:r w:rsidR="003F313A" w:rsidRPr="00B40A77">
        <w:rPr>
          <w:color w:val="000000" w:themeColor="text1"/>
        </w:rPr>
        <w:t> </w:t>
      </w:r>
      <w:r w:rsidRPr="00B40A77">
        <w:rPr>
          <w:color w:val="000000" w:themeColor="text1"/>
        </w:rPr>
        <w:t xml:space="preserve">25(3) of the </w:t>
      </w:r>
      <w:r w:rsidRPr="00B40A77">
        <w:rPr>
          <w:i/>
          <w:color w:val="000000" w:themeColor="text1"/>
        </w:rPr>
        <w:t>District Court Act 1991</w:t>
      </w:r>
      <w:r w:rsidRPr="00B40A77">
        <w:rPr>
          <w:color w:val="000000" w:themeColor="text1"/>
        </w:rPr>
        <w:t>, section</w:t>
      </w:r>
      <w:r w:rsidR="003F313A" w:rsidRPr="00B40A77">
        <w:rPr>
          <w:color w:val="000000" w:themeColor="text1"/>
        </w:rPr>
        <w:t> </w:t>
      </w:r>
      <w:r w:rsidRPr="00B40A77">
        <w:rPr>
          <w:color w:val="000000" w:themeColor="text1"/>
        </w:rPr>
        <w:t xml:space="preserve">18(3) of the </w:t>
      </w:r>
      <w:r w:rsidRPr="00B40A77">
        <w:rPr>
          <w:i/>
          <w:color w:val="000000" w:themeColor="text1"/>
        </w:rPr>
        <w:t>Youth Court Act 1993</w:t>
      </w:r>
      <w:r w:rsidRPr="00B40A77">
        <w:rPr>
          <w:color w:val="000000" w:themeColor="text1"/>
        </w:rPr>
        <w:t>, section</w:t>
      </w:r>
      <w:r w:rsidR="003F313A" w:rsidRPr="00B40A77">
        <w:rPr>
          <w:color w:val="000000" w:themeColor="text1"/>
        </w:rPr>
        <w:t> </w:t>
      </w:r>
      <w:r w:rsidRPr="00B40A77">
        <w:rPr>
          <w:color w:val="000000" w:themeColor="text1"/>
        </w:rPr>
        <w:t xml:space="preserve">22(3) of the </w:t>
      </w:r>
      <w:r w:rsidRPr="00B40A77">
        <w:rPr>
          <w:i/>
          <w:color w:val="000000" w:themeColor="text1"/>
        </w:rPr>
        <w:t>Environment Resources and Development</w:t>
      </w:r>
      <w:r w:rsidR="00990810" w:rsidRPr="00B40A77">
        <w:rPr>
          <w:i/>
          <w:color w:val="000000" w:themeColor="text1"/>
        </w:rPr>
        <w:t xml:space="preserve"> Court</w:t>
      </w:r>
      <w:r w:rsidRPr="00B40A77">
        <w:rPr>
          <w:i/>
          <w:color w:val="000000" w:themeColor="text1"/>
        </w:rPr>
        <w:t xml:space="preserve"> Act 1993</w:t>
      </w:r>
      <w:r w:rsidRPr="00B40A77">
        <w:rPr>
          <w:color w:val="000000" w:themeColor="text1"/>
        </w:rPr>
        <w:t xml:space="preserve"> and section</w:t>
      </w:r>
      <w:r w:rsidR="003F313A" w:rsidRPr="00B40A77">
        <w:rPr>
          <w:color w:val="000000" w:themeColor="text1"/>
        </w:rPr>
        <w:t> </w:t>
      </w:r>
      <w:r w:rsidRPr="00B40A77">
        <w:rPr>
          <w:color w:val="000000" w:themeColor="text1"/>
        </w:rPr>
        <w:t xml:space="preserve">20(3) of the </w:t>
      </w:r>
      <w:r w:rsidRPr="00B40A77">
        <w:rPr>
          <w:i/>
          <w:color w:val="000000" w:themeColor="text1"/>
        </w:rPr>
        <w:t>Magistrates Court Act 1991</w:t>
      </w:r>
      <w:r w:rsidRPr="00B40A77">
        <w:rPr>
          <w:color w:val="000000" w:themeColor="text1"/>
        </w:rPr>
        <w:t xml:space="preserve"> empower the Court to issue a warrant to have the person arrested and brought before the Court. </w:t>
      </w:r>
    </w:p>
    <w:p w14:paraId="68DA2E7C" w14:textId="15B36B62" w:rsidR="003758F7" w:rsidRPr="00B40A77" w:rsidRDefault="003758F7" w:rsidP="00037437">
      <w:pPr>
        <w:pStyle w:val="Hangindent"/>
        <w:keepNext/>
        <w:rPr>
          <w:color w:val="000000" w:themeColor="text1"/>
        </w:rPr>
      </w:pPr>
      <w:r w:rsidRPr="00B40A77">
        <w:rPr>
          <w:color w:val="000000" w:themeColor="text1"/>
        </w:rPr>
        <w:t>(2)</w:t>
      </w:r>
      <w:r w:rsidRPr="00B40A77">
        <w:rPr>
          <w:color w:val="000000" w:themeColor="text1"/>
        </w:rPr>
        <w:tab/>
        <w:t xml:space="preserve">If the </w:t>
      </w:r>
      <w:r w:rsidR="00ED68E7" w:rsidRPr="00B40A77">
        <w:rPr>
          <w:color w:val="000000" w:themeColor="text1"/>
        </w:rPr>
        <w:t>C</w:t>
      </w:r>
      <w:r w:rsidRPr="00B40A77">
        <w:rPr>
          <w:color w:val="000000" w:themeColor="text1"/>
        </w:rPr>
        <w:t>ourt makes an order under subrule</w:t>
      </w:r>
      <w:r w:rsidR="00BA7A73" w:rsidRPr="00B40A77">
        <w:rPr>
          <w:color w:val="000000" w:themeColor="text1"/>
        </w:rPr>
        <w:t> </w:t>
      </w:r>
      <w:r w:rsidRPr="00B40A77">
        <w:rPr>
          <w:color w:val="000000" w:themeColor="text1"/>
        </w:rPr>
        <w:t xml:space="preserve">(1), </w:t>
      </w:r>
      <w:hyperlink w:anchor="_2.1—Definitions" w:history="1">
        <w:r w:rsidRPr="00B40A77">
          <w:rPr>
            <w:rStyle w:val="Hyperlink"/>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rPr>
        <w:t xml:space="preserve"> must </w:t>
      </w:r>
      <w:r w:rsidR="00BD1E74" w:rsidRPr="00B40A77">
        <w:rPr>
          <w:color w:val="000000" w:themeColor="text1"/>
        </w:rPr>
        <w:t xml:space="preserve">cause </w:t>
      </w:r>
      <w:r w:rsidRPr="00B40A77">
        <w:rPr>
          <w:color w:val="000000" w:themeColor="text1"/>
        </w:rPr>
        <w:t>a warrant in the prescribed form</w:t>
      </w:r>
      <w:r w:rsidR="00BD1E74" w:rsidRPr="00B40A77">
        <w:rPr>
          <w:color w:val="000000" w:themeColor="text1"/>
        </w:rPr>
        <w:t xml:space="preserve"> to be issued</w:t>
      </w:r>
      <w:r w:rsidRPr="00B40A77">
        <w:rPr>
          <w:color w:val="000000" w:themeColor="text1"/>
        </w:rPr>
        <w:t xml:space="preserve">. </w:t>
      </w:r>
    </w:p>
    <w:p w14:paraId="1536294F" w14:textId="77777777" w:rsidR="003758F7" w:rsidRPr="00B40A77" w:rsidRDefault="003758F7" w:rsidP="00037437">
      <w:pPr>
        <w:pStyle w:val="NoteHeader"/>
        <w:keepNext/>
        <w:rPr>
          <w:color w:val="000000" w:themeColor="text1"/>
        </w:rPr>
      </w:pPr>
      <w:r w:rsidRPr="00B40A77">
        <w:rPr>
          <w:color w:val="000000" w:themeColor="text1"/>
        </w:rPr>
        <w:t>Prescribed form—</w:t>
      </w:r>
    </w:p>
    <w:p w14:paraId="59DB8281" w14:textId="1F2B5A48" w:rsidR="003758F7" w:rsidRPr="00B40A77" w:rsidRDefault="003758F7" w:rsidP="003758F7">
      <w:pPr>
        <w:pStyle w:val="NoteText"/>
        <w:rPr>
          <w:color w:val="000000" w:themeColor="text1"/>
        </w:rPr>
      </w:pPr>
      <w:r w:rsidRPr="00B40A77">
        <w:rPr>
          <w:color w:val="000000" w:themeColor="text1"/>
        </w:rPr>
        <w:t xml:space="preserve">Form 117 </w:t>
      </w:r>
      <w:hyperlink r:id="rId214" w:history="1">
        <w:r w:rsidRPr="00B40A77">
          <w:rPr>
            <w:rStyle w:val="Hyperlink"/>
            <w:color w:val="000000" w:themeColor="text1"/>
          </w:rPr>
          <w:t>Warrant of Apprehension of Witness</w:t>
        </w:r>
      </w:hyperlink>
    </w:p>
    <w:p w14:paraId="542F6CED" w14:textId="519690FD" w:rsidR="009A38AB" w:rsidRPr="00B40A77" w:rsidRDefault="00184C71" w:rsidP="009A38AB">
      <w:pPr>
        <w:pStyle w:val="Heading3"/>
        <w:rPr>
          <w:color w:val="000000" w:themeColor="text1"/>
        </w:rPr>
      </w:pPr>
      <w:bookmarkStart w:id="770" w:name="_Toc175239146"/>
      <w:r w:rsidRPr="00B40A77">
        <w:rPr>
          <w:color w:val="000000" w:themeColor="text1"/>
        </w:rPr>
        <w:lastRenderedPageBreak/>
        <w:t>Division</w:t>
      </w:r>
      <w:r w:rsidR="009A38AB" w:rsidRPr="00B40A77">
        <w:rPr>
          <w:color w:val="000000" w:themeColor="text1"/>
        </w:rPr>
        <w:t xml:space="preserve"> 7—Documents in court custody</w:t>
      </w:r>
      <w:bookmarkEnd w:id="770"/>
    </w:p>
    <w:p w14:paraId="3A72A4F4" w14:textId="12E8443F" w:rsidR="009A38AB" w:rsidRPr="00B40A77" w:rsidRDefault="00144633" w:rsidP="009A38AB">
      <w:pPr>
        <w:pStyle w:val="Heading4"/>
        <w:rPr>
          <w:color w:val="000000" w:themeColor="text1"/>
        </w:rPr>
      </w:pPr>
      <w:bookmarkStart w:id="771" w:name="_Toc175239147"/>
      <w:r w:rsidRPr="00B40A77">
        <w:rPr>
          <w:color w:val="000000" w:themeColor="text1"/>
        </w:rPr>
        <w:t>128.1</w:t>
      </w:r>
      <w:r w:rsidR="009A38AB" w:rsidRPr="00B40A77">
        <w:rPr>
          <w:color w:val="000000" w:themeColor="text1"/>
        </w:rPr>
        <w:t>—Documents and things in custody of Court</w:t>
      </w:r>
      <w:bookmarkEnd w:id="771"/>
    </w:p>
    <w:p w14:paraId="5B2EEAD9" w14:textId="1257CD44" w:rsidR="009A38AB" w:rsidRPr="00B40A77" w:rsidRDefault="009A38AB" w:rsidP="009A38A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party who seeks production of a document or thing in the custody of the Court or of another court may inform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 xml:space="preserve">or </w:t>
      </w:r>
      <w:r w:rsidR="00D90DDB" w:rsidRPr="00B40A77">
        <w:rPr>
          <w:rFonts w:cs="Times New Roman"/>
          <w:color w:val="000000" w:themeColor="text1"/>
        </w:rPr>
        <w:t xml:space="preserve">a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in writing identifying the document or thing</w:t>
      </w:r>
      <w:r w:rsidR="00250CDB" w:rsidRPr="00B40A77">
        <w:rPr>
          <w:color w:val="000000" w:themeColor="text1"/>
          <w:lang w:val="en-US"/>
        </w:rPr>
        <w:t xml:space="preserve"> </w:t>
      </w:r>
      <w:r w:rsidR="00667A26" w:rsidRPr="00B40A77">
        <w:rPr>
          <w:color w:val="000000" w:themeColor="text1"/>
          <w:lang w:val="en-US"/>
        </w:rPr>
        <w:t xml:space="preserve">that </w:t>
      </w:r>
      <w:r w:rsidR="00250CDB" w:rsidRPr="00B40A77">
        <w:rPr>
          <w:color w:val="000000" w:themeColor="text1"/>
          <w:lang w:val="en-US"/>
        </w:rPr>
        <w:t>they seek to be produced</w:t>
      </w:r>
      <w:r w:rsidRPr="00B40A77">
        <w:rPr>
          <w:color w:val="000000" w:themeColor="text1"/>
          <w:lang w:val="en-US"/>
        </w:rPr>
        <w:t>.</w:t>
      </w:r>
    </w:p>
    <w:p w14:paraId="31F4683D" w14:textId="03AB0937"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the document or thing is in the custody of the Court,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or</w:t>
      </w:r>
      <w:r w:rsidR="00D90DDB" w:rsidRPr="00B40A77">
        <w:rPr>
          <w:rFonts w:cs="Times New Roman"/>
          <w:color w:val="000000" w:themeColor="text1"/>
        </w:rPr>
        <w:t xml:space="preserve"> </w:t>
      </w:r>
      <w:r w:rsidR="00D90DDB" w:rsidRPr="00B40A77">
        <w:rPr>
          <w:color w:val="000000" w:themeColor="text1"/>
          <w:u w:val="single"/>
          <w:lang w:val="en-US"/>
        </w:rPr>
        <w:t>Registrar</w:t>
      </w:r>
      <w:r w:rsidR="00D90DDB" w:rsidRPr="00B40A77">
        <w:rPr>
          <w:rFonts w:cs="Times New Roman"/>
          <w:color w:val="000000" w:themeColor="text1"/>
        </w:rPr>
        <w:t xml:space="preserve"> </w:t>
      </w:r>
      <w:r w:rsidRPr="00B40A77">
        <w:rPr>
          <w:color w:val="000000" w:themeColor="text1"/>
          <w:lang w:val="en-US"/>
        </w:rPr>
        <w:t>must produce the document or thing—</w:t>
      </w:r>
    </w:p>
    <w:p w14:paraId="084FCB19" w14:textId="1CD1752B"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in court or to any person authorised to take evidence in the proceeding, as required by the party; or</w:t>
      </w:r>
    </w:p>
    <w:p w14:paraId="782F36E0" w14:textId="77777777"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as the Court directs.</w:t>
      </w:r>
    </w:p>
    <w:p w14:paraId="46592370" w14:textId="6C4F2E16" w:rsidR="009A38AB" w:rsidRPr="00B40A77" w:rsidRDefault="009A38AB" w:rsidP="009A38A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If the document or thing is in the custody of another court,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Pr="00B40A77">
        <w:rPr>
          <w:color w:val="000000" w:themeColor="text1"/>
          <w:lang w:val="en-US"/>
        </w:rPr>
        <w:t xml:space="preserve"> </w:t>
      </w:r>
      <w:r w:rsidR="00D90DDB" w:rsidRPr="00B40A77">
        <w:rPr>
          <w:color w:val="000000" w:themeColor="text1"/>
          <w:lang w:val="en-US"/>
        </w:rPr>
        <w:t>or</w:t>
      </w:r>
      <w:r w:rsidR="00D90DDB" w:rsidRPr="00B40A77">
        <w:rPr>
          <w:rFonts w:cs="Times New Roman"/>
          <w:color w:val="000000" w:themeColor="text1"/>
        </w:rPr>
        <w:t xml:space="preserve"> </w:t>
      </w:r>
      <w:r w:rsidR="00D90DDB" w:rsidRPr="00B40A77">
        <w:rPr>
          <w:color w:val="000000" w:themeColor="text1"/>
          <w:u w:val="single"/>
          <w:lang w:val="en-US"/>
        </w:rPr>
        <w:t>Registrar</w:t>
      </w:r>
      <w:r w:rsidR="00D90DDB" w:rsidRPr="00B40A77">
        <w:rPr>
          <w:color w:val="000000" w:themeColor="text1"/>
          <w:lang w:val="en-US"/>
        </w:rPr>
        <w:t xml:space="preserve"> </w:t>
      </w:r>
      <w:r w:rsidRPr="00B40A77">
        <w:rPr>
          <w:color w:val="000000" w:themeColor="text1"/>
          <w:lang w:val="en-US"/>
        </w:rPr>
        <w:t>must, unless the Court has otherwise ordered—</w:t>
      </w:r>
    </w:p>
    <w:p w14:paraId="64B16776" w14:textId="2A2A23C7"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ask the other court to send the document or thing to </w:t>
      </w:r>
      <w:hyperlink w:anchor="_2.1—Definitions" w:history="1">
        <w:r w:rsidRPr="00B40A77">
          <w:rPr>
            <w:rStyle w:val="Hyperlink"/>
            <w:color w:val="000000" w:themeColor="text1"/>
            <w:u w:val="none"/>
            <w:lang w:val="en-US"/>
          </w:rPr>
          <w:t xml:space="preserve">the </w:t>
        </w:r>
        <w:hyperlink w:anchor="_2.1—Definitions" w:history="1">
          <w:r w:rsidR="00D61876" w:rsidRPr="00B40A77">
            <w:rPr>
              <w:rStyle w:val="Hyperlink"/>
              <w:color w:val="000000" w:themeColor="text1"/>
              <w:lang w:val="en-US"/>
            </w:rPr>
            <w:t>Principal Registrar</w:t>
          </w:r>
        </w:hyperlink>
      </w:hyperlink>
      <w:r w:rsidR="00D90DDB" w:rsidRPr="00B40A77">
        <w:rPr>
          <w:rStyle w:val="Hyperlink"/>
          <w:color w:val="000000" w:themeColor="text1"/>
          <w:lang w:val="en-US"/>
        </w:rPr>
        <w:t xml:space="preserve"> </w:t>
      </w:r>
      <w:r w:rsidR="00D90DDB" w:rsidRPr="00B40A77">
        <w:rPr>
          <w:color w:val="000000" w:themeColor="text1"/>
          <w:lang w:val="en-US"/>
        </w:rPr>
        <w:t>or</w:t>
      </w:r>
      <w:r w:rsidR="00D90DDB" w:rsidRPr="00B40A77">
        <w:rPr>
          <w:rFonts w:cs="Times New Roman"/>
          <w:color w:val="000000" w:themeColor="text1"/>
        </w:rPr>
        <w:t xml:space="preserve"> </w:t>
      </w:r>
      <w:r w:rsidR="00D90DDB" w:rsidRPr="00B40A77">
        <w:rPr>
          <w:color w:val="000000" w:themeColor="text1"/>
          <w:u w:val="single"/>
          <w:lang w:val="en-US"/>
        </w:rPr>
        <w:t>Registrar</w:t>
      </w:r>
      <w:r w:rsidRPr="00B40A77">
        <w:rPr>
          <w:color w:val="000000" w:themeColor="text1"/>
          <w:lang w:val="en-US"/>
        </w:rPr>
        <w:t>; and</w:t>
      </w:r>
    </w:p>
    <w:p w14:paraId="04DB09AA" w14:textId="77777777"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after receiving it, produce the document or thing—</w:t>
      </w:r>
    </w:p>
    <w:p w14:paraId="620E7288" w14:textId="2DAB55DF" w:rsidR="009A38AB" w:rsidRPr="00B40A77" w:rsidRDefault="009A38AB" w:rsidP="009A38AB">
      <w:pPr>
        <w:pStyle w:val="Triplehangindent"/>
        <w:rPr>
          <w:color w:val="000000" w:themeColor="text1"/>
        </w:rPr>
      </w:pPr>
      <w:r w:rsidRPr="00B40A77">
        <w:rPr>
          <w:color w:val="000000" w:themeColor="text1"/>
        </w:rPr>
        <w:t>(i)</w:t>
      </w:r>
      <w:r w:rsidRPr="00B40A77">
        <w:rPr>
          <w:color w:val="000000" w:themeColor="text1"/>
        </w:rPr>
        <w:tab/>
      </w:r>
      <w:hyperlink w:anchor="_2.1—Definitions" w:history="1">
        <w:r w:rsidRPr="00B40A77">
          <w:rPr>
            <w:rStyle w:val="Hyperlink"/>
            <w:color w:val="000000" w:themeColor="text1"/>
            <w:u w:val="none"/>
          </w:rPr>
          <w:t>in court</w:t>
        </w:r>
      </w:hyperlink>
      <w:r w:rsidRPr="00B40A77">
        <w:rPr>
          <w:color w:val="000000" w:themeColor="text1"/>
        </w:rPr>
        <w:t xml:space="preserve"> or to any person authorised to take evidence in the proceeding as required by the party; or</w:t>
      </w:r>
    </w:p>
    <w:p w14:paraId="5F4CB8F3" w14:textId="77777777" w:rsidR="009A38AB" w:rsidRPr="00B40A77" w:rsidRDefault="009A38AB" w:rsidP="009A38AB">
      <w:pPr>
        <w:pStyle w:val="Triplehangindent"/>
        <w:rPr>
          <w:color w:val="000000" w:themeColor="text1"/>
        </w:rPr>
      </w:pPr>
      <w:r w:rsidRPr="00B40A77">
        <w:rPr>
          <w:color w:val="000000" w:themeColor="text1"/>
        </w:rPr>
        <w:t>(ii)</w:t>
      </w:r>
      <w:r w:rsidRPr="00B40A77">
        <w:rPr>
          <w:color w:val="000000" w:themeColor="text1"/>
        </w:rPr>
        <w:tab/>
        <w:t>as the Court directs.</w:t>
      </w:r>
    </w:p>
    <w:p w14:paraId="1D60318C" w14:textId="41250954" w:rsidR="009A38AB" w:rsidRPr="00B40A77" w:rsidRDefault="00184C71" w:rsidP="009A38AB">
      <w:pPr>
        <w:pStyle w:val="Heading3"/>
        <w:rPr>
          <w:color w:val="000000" w:themeColor="text1"/>
        </w:rPr>
      </w:pPr>
      <w:bookmarkStart w:id="772" w:name="_Toc175239148"/>
      <w:r w:rsidRPr="00B40A77">
        <w:rPr>
          <w:color w:val="000000" w:themeColor="text1"/>
        </w:rPr>
        <w:t>Division</w:t>
      </w:r>
      <w:r w:rsidR="009A38AB" w:rsidRPr="00B40A77">
        <w:rPr>
          <w:color w:val="000000" w:themeColor="text1"/>
        </w:rPr>
        <w:t xml:space="preserve"> 8—Service interstate</w:t>
      </w:r>
      <w:r w:rsidR="00144633" w:rsidRPr="00B40A77">
        <w:rPr>
          <w:color w:val="000000" w:themeColor="text1"/>
        </w:rPr>
        <w:t xml:space="preserve"> or in New Zealand</w:t>
      </w:r>
      <w:bookmarkEnd w:id="772"/>
    </w:p>
    <w:p w14:paraId="0E599796" w14:textId="1F6BD5E8" w:rsidR="009A38AB" w:rsidRPr="00B40A77" w:rsidRDefault="00144633" w:rsidP="009A38AB">
      <w:pPr>
        <w:pStyle w:val="Heading4"/>
        <w:rPr>
          <w:color w:val="000000" w:themeColor="text1"/>
        </w:rPr>
      </w:pPr>
      <w:bookmarkStart w:id="773" w:name="_Toc175239149"/>
      <w:r w:rsidRPr="00B40A77">
        <w:rPr>
          <w:color w:val="000000" w:themeColor="text1"/>
        </w:rPr>
        <w:t>129.1</w:t>
      </w:r>
      <w:r w:rsidR="009A38AB" w:rsidRPr="00B40A77">
        <w:rPr>
          <w:color w:val="000000" w:themeColor="text1"/>
        </w:rPr>
        <w:t xml:space="preserve">—Service of </w:t>
      </w:r>
      <w:r w:rsidR="00135EC7" w:rsidRPr="00B40A77">
        <w:rPr>
          <w:color w:val="000000" w:themeColor="text1"/>
        </w:rPr>
        <w:t>subpoena</w:t>
      </w:r>
      <w:r w:rsidR="009A38AB" w:rsidRPr="00B40A77">
        <w:rPr>
          <w:color w:val="000000" w:themeColor="text1"/>
        </w:rPr>
        <w:t xml:space="preserve"> interstate</w:t>
      </w:r>
      <w:bookmarkEnd w:id="773"/>
    </w:p>
    <w:p w14:paraId="1E191329" w14:textId="210A17EB" w:rsidR="009A38AB" w:rsidRPr="00B40A77" w:rsidRDefault="009A38AB" w:rsidP="00037437">
      <w:pPr>
        <w:pStyle w:val="Hangindent"/>
        <w:keepNext/>
        <w:rPr>
          <w:color w:val="000000" w:themeColor="text1"/>
        </w:rPr>
      </w:pPr>
      <w:r w:rsidRPr="00B40A77">
        <w:rPr>
          <w:color w:val="000000" w:themeColor="text1"/>
        </w:rPr>
        <w:t>(1)</w:t>
      </w:r>
      <w:r w:rsidRPr="00B40A77">
        <w:rPr>
          <w:color w:val="000000" w:themeColor="text1"/>
        </w:rPr>
        <w:tab/>
        <w:t xml:space="preserve">A </w:t>
      </w:r>
      <w:hyperlink w:anchor="_122.1—Interpretation" w:history="1">
        <w:r w:rsidR="00135EC7" w:rsidRPr="00B40A77">
          <w:rPr>
            <w:rStyle w:val="Hyperlink"/>
            <w:color w:val="000000" w:themeColor="text1"/>
            <w:lang w:val="en-US"/>
          </w:rPr>
          <w:t>subpoena</w:t>
        </w:r>
      </w:hyperlink>
      <w:r w:rsidRPr="00B40A77">
        <w:rPr>
          <w:color w:val="000000" w:themeColor="text1"/>
        </w:rPr>
        <w:t xml:space="preserve"> served </w:t>
      </w:r>
      <w:r w:rsidRPr="00B40A77">
        <w:rPr>
          <w:color w:val="000000" w:themeColor="text1"/>
          <w:lang w:val="en-US"/>
        </w:rPr>
        <w:t>in another State</w:t>
      </w:r>
      <w:r w:rsidRPr="00B40A77">
        <w:rPr>
          <w:color w:val="000000" w:themeColor="text1"/>
        </w:rPr>
        <w:t xml:space="preserve"> under sections</w:t>
      </w:r>
      <w:r w:rsidR="0068622B" w:rsidRPr="00B40A77">
        <w:rPr>
          <w:color w:val="000000" w:themeColor="text1"/>
        </w:rPr>
        <w:t> </w:t>
      </w:r>
      <w:r w:rsidRPr="00B40A77">
        <w:rPr>
          <w:color w:val="000000" w:themeColor="text1"/>
        </w:rPr>
        <w:t>29 and</w:t>
      </w:r>
      <w:r w:rsidR="0068622B" w:rsidRPr="00B40A77">
        <w:rPr>
          <w:color w:val="000000" w:themeColor="text1"/>
        </w:rPr>
        <w:t> </w:t>
      </w:r>
      <w:r w:rsidRPr="00B40A77">
        <w:rPr>
          <w:color w:val="000000" w:themeColor="text1"/>
        </w:rPr>
        <w:t xml:space="preserve">31 </w:t>
      </w:r>
      <w:r w:rsidRPr="00B40A77">
        <w:rPr>
          <w:color w:val="000000" w:themeColor="text1"/>
          <w:lang w:val="en-US"/>
        </w:rPr>
        <w:t>of the Service and Execution of Process Act must be accompanied by</w:t>
      </w:r>
      <w:r w:rsidRPr="00B40A77">
        <w:rPr>
          <w:color w:val="000000" w:themeColor="text1"/>
        </w:rPr>
        <w:t xml:space="preserve"> a notice in the prescribed form.</w:t>
      </w:r>
    </w:p>
    <w:p w14:paraId="4300D22D" w14:textId="77777777" w:rsidR="009A38AB" w:rsidRPr="00B40A77" w:rsidRDefault="009A38AB" w:rsidP="00037437">
      <w:pPr>
        <w:pStyle w:val="NoteHeader"/>
        <w:keepNext/>
        <w:rPr>
          <w:color w:val="000000" w:themeColor="text1"/>
        </w:rPr>
      </w:pPr>
      <w:r w:rsidRPr="00B40A77">
        <w:rPr>
          <w:color w:val="000000" w:themeColor="text1"/>
        </w:rPr>
        <w:t>Prescribed form—</w:t>
      </w:r>
    </w:p>
    <w:p w14:paraId="118BF0BA" w14:textId="27A21272" w:rsidR="009A38AB" w:rsidRPr="00B40A77" w:rsidRDefault="009A38AB" w:rsidP="009A38AB">
      <w:pPr>
        <w:pStyle w:val="NoteText"/>
        <w:rPr>
          <w:color w:val="000000" w:themeColor="text1"/>
        </w:rPr>
      </w:pPr>
      <w:r w:rsidRPr="00B40A77">
        <w:rPr>
          <w:color w:val="000000" w:themeColor="text1"/>
        </w:rPr>
        <w:t xml:space="preserve">Form </w:t>
      </w:r>
      <w:r w:rsidR="00C425DD" w:rsidRPr="00B40A77">
        <w:rPr>
          <w:color w:val="000000" w:themeColor="text1"/>
        </w:rPr>
        <w:t>113A</w:t>
      </w:r>
      <w:r w:rsidRPr="00B40A77">
        <w:rPr>
          <w:color w:val="000000" w:themeColor="text1"/>
        </w:rPr>
        <w:t xml:space="preserve"> </w:t>
      </w:r>
      <w:r w:rsidR="001D4A6C" w:rsidRPr="00B40A77">
        <w:rPr>
          <w:color w:val="000000" w:themeColor="text1"/>
        </w:rPr>
        <w:t>Notice to Accompany Subpoena Served Interstate</w:t>
      </w:r>
    </w:p>
    <w:p w14:paraId="409EC405" w14:textId="1B4445ED" w:rsidR="009A38AB" w:rsidRPr="00B40A77" w:rsidRDefault="009A38AB" w:rsidP="00037437">
      <w:pPr>
        <w:pStyle w:val="Hangindent"/>
        <w:keepNext/>
        <w:rPr>
          <w:color w:val="000000" w:themeColor="text1"/>
        </w:rPr>
      </w:pPr>
      <w:r w:rsidRPr="00B40A77">
        <w:rPr>
          <w:color w:val="000000" w:themeColor="text1"/>
        </w:rPr>
        <w:t>(2)</w:t>
      </w:r>
      <w:r w:rsidRPr="00B40A77">
        <w:rPr>
          <w:color w:val="000000" w:themeColor="text1"/>
        </w:rPr>
        <w:tab/>
        <w:t xml:space="preserve">A </w:t>
      </w:r>
      <w:hyperlink w:anchor="_122.1—Interpretation" w:history="1">
        <w:r w:rsidR="00135EC7" w:rsidRPr="00B40A77">
          <w:rPr>
            <w:rStyle w:val="Hyperlink"/>
            <w:color w:val="000000" w:themeColor="text1"/>
            <w:lang w:val="en-US"/>
          </w:rPr>
          <w:t>subpoena</w:t>
        </w:r>
      </w:hyperlink>
      <w:r w:rsidRPr="00B40A77">
        <w:rPr>
          <w:color w:val="000000" w:themeColor="text1"/>
        </w:rPr>
        <w:t xml:space="preserve"> served </w:t>
      </w:r>
      <w:r w:rsidRPr="00B40A77">
        <w:rPr>
          <w:color w:val="000000" w:themeColor="text1"/>
          <w:lang w:val="en-US"/>
        </w:rPr>
        <w:t>in another State</w:t>
      </w:r>
      <w:r w:rsidRPr="00B40A77">
        <w:rPr>
          <w:color w:val="000000" w:themeColor="text1"/>
        </w:rPr>
        <w:t xml:space="preserve"> </w:t>
      </w:r>
      <w:r w:rsidR="00BD3E12" w:rsidRPr="00B40A77">
        <w:rPr>
          <w:color w:val="000000" w:themeColor="text1"/>
        </w:rPr>
        <w:t xml:space="preserve">on a prisoner </w:t>
      </w:r>
      <w:r w:rsidRPr="00B40A77">
        <w:rPr>
          <w:color w:val="000000" w:themeColor="text1"/>
        </w:rPr>
        <w:t>under sections</w:t>
      </w:r>
      <w:r w:rsidR="0068622B" w:rsidRPr="00B40A77">
        <w:rPr>
          <w:color w:val="000000" w:themeColor="text1"/>
        </w:rPr>
        <w:t> </w:t>
      </w:r>
      <w:r w:rsidRPr="00B40A77">
        <w:rPr>
          <w:color w:val="000000" w:themeColor="text1"/>
        </w:rPr>
        <w:t>39 to</w:t>
      </w:r>
      <w:r w:rsidR="0068622B" w:rsidRPr="00B40A77">
        <w:rPr>
          <w:color w:val="000000" w:themeColor="text1"/>
        </w:rPr>
        <w:t> </w:t>
      </w:r>
      <w:r w:rsidRPr="00B40A77">
        <w:rPr>
          <w:color w:val="000000" w:themeColor="text1"/>
        </w:rPr>
        <w:t xml:space="preserve">41 </w:t>
      </w:r>
      <w:r w:rsidRPr="00B40A77">
        <w:rPr>
          <w:color w:val="000000" w:themeColor="text1"/>
          <w:lang w:val="en-US"/>
        </w:rPr>
        <w:t>of the Service and Execution of Process Act must be accompanied by</w:t>
      </w:r>
      <w:r w:rsidRPr="00B40A77">
        <w:rPr>
          <w:color w:val="000000" w:themeColor="text1"/>
        </w:rPr>
        <w:t xml:space="preserve"> a notice in the prescribed form.</w:t>
      </w:r>
    </w:p>
    <w:p w14:paraId="25D2D35A" w14:textId="77777777" w:rsidR="009A38AB" w:rsidRPr="00B40A77" w:rsidRDefault="009A38AB" w:rsidP="00037437">
      <w:pPr>
        <w:pStyle w:val="NoteHeader"/>
        <w:keepNext/>
        <w:rPr>
          <w:color w:val="000000" w:themeColor="text1"/>
        </w:rPr>
      </w:pPr>
      <w:r w:rsidRPr="00B40A77">
        <w:rPr>
          <w:color w:val="000000" w:themeColor="text1"/>
        </w:rPr>
        <w:t>Prescribed form—</w:t>
      </w:r>
    </w:p>
    <w:p w14:paraId="2402EDE0" w14:textId="253B4760" w:rsidR="009A38AB" w:rsidRPr="00B40A77" w:rsidRDefault="009A38AB" w:rsidP="009A38AB">
      <w:pPr>
        <w:pStyle w:val="NoteText"/>
        <w:rPr>
          <w:color w:val="000000" w:themeColor="text1"/>
        </w:rPr>
      </w:pPr>
      <w:r w:rsidRPr="00B40A77">
        <w:rPr>
          <w:color w:val="000000" w:themeColor="text1"/>
        </w:rPr>
        <w:t xml:space="preserve">Form </w:t>
      </w:r>
      <w:r w:rsidR="00C425DD" w:rsidRPr="00B40A77">
        <w:rPr>
          <w:color w:val="000000" w:themeColor="text1"/>
        </w:rPr>
        <w:t>113B</w:t>
      </w:r>
      <w:r w:rsidRPr="00B40A77">
        <w:rPr>
          <w:color w:val="000000" w:themeColor="text1"/>
        </w:rPr>
        <w:t xml:space="preserve"> </w:t>
      </w:r>
      <w:hyperlink r:id="rId215" w:history="1">
        <w:r w:rsidR="001D4A6C" w:rsidRPr="00B40A77">
          <w:rPr>
            <w:rStyle w:val="Hyperlink"/>
            <w:color w:val="000000" w:themeColor="text1"/>
          </w:rPr>
          <w:t>Notice to Accompany Subpoena Served on Interstate Prisoner</w:t>
        </w:r>
      </w:hyperlink>
    </w:p>
    <w:p w14:paraId="20164F4B" w14:textId="58AE7826" w:rsidR="009A38AB" w:rsidRPr="00B40A77" w:rsidRDefault="00144633" w:rsidP="009A38AB">
      <w:pPr>
        <w:pStyle w:val="Heading4"/>
        <w:rPr>
          <w:color w:val="000000" w:themeColor="text1"/>
        </w:rPr>
      </w:pPr>
      <w:bookmarkStart w:id="774" w:name="_Toc175239150"/>
      <w:r w:rsidRPr="00B40A77">
        <w:rPr>
          <w:color w:val="000000" w:themeColor="text1"/>
        </w:rPr>
        <w:t>129.2</w:t>
      </w:r>
      <w:r w:rsidR="009A38AB" w:rsidRPr="00B40A77">
        <w:rPr>
          <w:color w:val="000000" w:themeColor="text1"/>
        </w:rPr>
        <w:t xml:space="preserve">—Service of </w:t>
      </w:r>
      <w:r w:rsidR="00135EC7" w:rsidRPr="00B40A77">
        <w:rPr>
          <w:color w:val="000000" w:themeColor="text1"/>
        </w:rPr>
        <w:t>subpoena</w:t>
      </w:r>
      <w:r w:rsidR="009A38AB" w:rsidRPr="00B40A77">
        <w:rPr>
          <w:color w:val="000000" w:themeColor="text1"/>
        </w:rPr>
        <w:t xml:space="preserve"> in New Zealand</w:t>
      </w:r>
      <w:bookmarkEnd w:id="774"/>
    </w:p>
    <w:p w14:paraId="1F17966D" w14:textId="763B710A" w:rsidR="009A38AB" w:rsidRPr="00B40A77" w:rsidRDefault="009A38AB" w:rsidP="00144633">
      <w:pPr>
        <w:pStyle w:val="Hangindent"/>
        <w:rPr>
          <w:color w:val="000000" w:themeColor="text1"/>
          <w:lang w:val="en-US"/>
        </w:rPr>
      </w:pPr>
      <w:r w:rsidRPr="00B40A77">
        <w:rPr>
          <w:color w:val="000000" w:themeColor="text1"/>
        </w:rPr>
        <w:t>(</w:t>
      </w:r>
      <w:r w:rsidRPr="00B40A77">
        <w:rPr>
          <w:color w:val="000000" w:themeColor="text1"/>
          <w:lang w:val="en-US"/>
        </w:rPr>
        <w:t>1)</w:t>
      </w:r>
      <w:r w:rsidRPr="00B40A77">
        <w:rPr>
          <w:color w:val="000000" w:themeColor="text1"/>
          <w:lang w:val="en-US"/>
        </w:rPr>
        <w:tab/>
        <w:t>An application under section</w:t>
      </w:r>
      <w:r w:rsidR="003F313A" w:rsidRPr="00B40A77">
        <w:rPr>
          <w:color w:val="000000" w:themeColor="text1"/>
          <w:lang w:val="en-US"/>
        </w:rPr>
        <w:t> </w:t>
      </w:r>
      <w:r w:rsidRPr="00B40A77">
        <w:rPr>
          <w:color w:val="000000" w:themeColor="text1"/>
          <w:lang w:val="en-US"/>
        </w:rPr>
        <w:t xml:space="preserve">31 of the </w:t>
      </w:r>
      <w:r w:rsidRPr="00B40A77">
        <w:rPr>
          <w:i/>
          <w:color w:val="000000" w:themeColor="text1"/>
          <w:lang w:val="en-US"/>
        </w:rPr>
        <w:t>Trans-Tasman Proceedings Act 2010</w:t>
      </w:r>
      <w:r w:rsidRPr="00B40A77">
        <w:rPr>
          <w:color w:val="000000" w:themeColor="text1"/>
          <w:lang w:val="en-US"/>
        </w:rPr>
        <w:t xml:space="preserve"> (Cth) for leave to serve a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in New Zealand under that Act</w:t>
      </w:r>
      <w:r w:rsidR="00144633" w:rsidRPr="00B40A77">
        <w:rPr>
          <w:color w:val="000000" w:themeColor="text1"/>
          <w:lang w:val="en-US"/>
        </w:rPr>
        <w:t xml:space="preserve"> </w:t>
      </w:r>
      <w:r w:rsidRPr="00B40A77">
        <w:rPr>
          <w:color w:val="000000" w:themeColor="text1"/>
          <w:lang w:val="en-US"/>
        </w:rPr>
        <w:t xml:space="preserve">must be made by </w:t>
      </w:r>
      <w:r w:rsidRPr="00B40A77">
        <w:rPr>
          <w:rFonts w:cs="Times New Roman"/>
          <w:color w:val="000000" w:themeColor="text1"/>
        </w:rPr>
        <w:t xml:space="preserve">an </w:t>
      </w:r>
      <w:r w:rsidR="00FA4048" w:rsidRPr="00B40A77">
        <w:rPr>
          <w:color w:val="000000" w:themeColor="text1"/>
          <w:lang w:val="en-US"/>
        </w:rPr>
        <w:t xml:space="preserve">interlocutory application </w:t>
      </w:r>
      <w:r w:rsidR="00E81BC7" w:rsidRPr="00B40A77">
        <w:rPr>
          <w:color w:val="000000" w:themeColor="text1"/>
          <w:lang w:val="en-US"/>
        </w:rPr>
        <w:t xml:space="preserve">in accordance with </w:t>
      </w:r>
      <w:hyperlink w:anchor="_39.1—Written_application" w:history="1">
        <w:r w:rsidR="00E81BC7" w:rsidRPr="00B40A77">
          <w:rPr>
            <w:rStyle w:val="Hyperlink"/>
            <w:color w:val="000000" w:themeColor="text1"/>
            <w:lang w:val="en-US"/>
          </w:rPr>
          <w:t>rule 39.1</w:t>
        </w:r>
      </w:hyperlink>
      <w:r w:rsidR="00E81BC7" w:rsidRPr="00B40A77">
        <w:rPr>
          <w:color w:val="000000" w:themeColor="text1"/>
          <w:lang w:val="en-US"/>
        </w:rPr>
        <w:t xml:space="preserve"> </w:t>
      </w:r>
      <w:r w:rsidRPr="00B40A77">
        <w:rPr>
          <w:color w:val="000000" w:themeColor="text1"/>
        </w:rPr>
        <w:t>and supporting affidavit</w:t>
      </w:r>
      <w:r w:rsidR="003758F7" w:rsidRPr="00B40A77">
        <w:rPr>
          <w:color w:val="000000" w:themeColor="text1"/>
          <w:lang w:val="en-US"/>
        </w:rPr>
        <w:t>.</w:t>
      </w:r>
    </w:p>
    <w:p w14:paraId="06593A59" w14:textId="1261F060" w:rsidR="009A38AB" w:rsidRPr="00B40A77" w:rsidRDefault="009A38AB" w:rsidP="009A38AB">
      <w:pPr>
        <w:pStyle w:val="Hangindent"/>
        <w:rPr>
          <w:color w:val="000000" w:themeColor="text1"/>
          <w:lang w:val="en-US"/>
        </w:rPr>
      </w:pPr>
      <w:r w:rsidRPr="00B40A77">
        <w:rPr>
          <w:color w:val="000000" w:themeColor="text1"/>
          <w:lang w:val="en-US"/>
        </w:rPr>
        <w:t>(2)</w:t>
      </w:r>
      <w:r w:rsidRPr="00B40A77">
        <w:rPr>
          <w:color w:val="000000" w:themeColor="text1"/>
          <w:lang w:val="en-US"/>
        </w:rPr>
        <w:tab/>
        <w:t>The supporting affidavit must—</w:t>
      </w:r>
    </w:p>
    <w:p w14:paraId="282013B8" w14:textId="616C7B4D" w:rsidR="009A38AB" w:rsidRPr="00B40A77" w:rsidRDefault="009A38AB" w:rsidP="009A38A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exhibit a copy of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in respect of which leave to serve is sought;</w:t>
      </w:r>
    </w:p>
    <w:p w14:paraId="71A133D6" w14:textId="6D59345A" w:rsidR="009A38AB" w:rsidRPr="00B40A77" w:rsidRDefault="009A38AB" w:rsidP="009A38AB">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identify the name, occupation and address of the proposed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w:t>
      </w:r>
    </w:p>
    <w:p w14:paraId="504E8935" w14:textId="60A4D757" w:rsidR="009A38AB" w:rsidRPr="00B40A77" w:rsidRDefault="009A38AB" w:rsidP="009A38AB">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identify whether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 is over 18 years old;</w:t>
      </w:r>
    </w:p>
    <w:p w14:paraId="6FF2A8D1" w14:textId="4ABDB1CC" w:rsidR="009A38AB" w:rsidRPr="00B40A77" w:rsidRDefault="009A38AB" w:rsidP="009A38AB">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identify the nature and significance of the evidence to be given, or the document or thing to be produced, by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w:t>
      </w:r>
    </w:p>
    <w:p w14:paraId="4B434FB6" w14:textId="214A6AA1" w:rsidR="009A38AB" w:rsidRPr="00B40A77" w:rsidRDefault="009A38AB" w:rsidP="009A38AB">
      <w:pPr>
        <w:pStyle w:val="Doublehangindent"/>
        <w:rPr>
          <w:color w:val="000000" w:themeColor="text1"/>
          <w:lang w:val="en-US"/>
        </w:rPr>
      </w:pPr>
      <w:r w:rsidRPr="00B40A77">
        <w:rPr>
          <w:color w:val="000000" w:themeColor="text1"/>
          <w:lang w:val="en-US"/>
        </w:rPr>
        <w:lastRenderedPageBreak/>
        <w:t>(e)</w:t>
      </w:r>
      <w:r w:rsidRPr="00B40A77">
        <w:rPr>
          <w:color w:val="000000" w:themeColor="text1"/>
          <w:lang w:val="en-US"/>
        </w:rPr>
        <w:tab/>
        <w:t xml:space="preserve">identify the </w:t>
      </w:r>
      <w:hyperlink w:anchor="_2.1—Definitions" w:history="1">
        <w:r w:rsidR="0042083D" w:rsidRPr="00B40A77">
          <w:rPr>
            <w:rStyle w:val="Hyperlink"/>
            <w:color w:val="000000" w:themeColor="text1"/>
            <w:lang w:val="en-US"/>
          </w:rPr>
          <w:t>step</w:t>
        </w:r>
      </w:hyperlink>
      <w:r w:rsidRPr="00B40A77">
        <w:rPr>
          <w:color w:val="000000" w:themeColor="text1"/>
          <w:u w:val="single"/>
          <w:lang w:val="en-US"/>
        </w:rPr>
        <w:t>s</w:t>
      </w:r>
      <w:r w:rsidRPr="00B40A77">
        <w:rPr>
          <w:color w:val="000000" w:themeColor="text1"/>
          <w:lang w:val="en-US"/>
        </w:rPr>
        <w:t xml:space="preserve"> taken (if any) to ascertain whether the evidence, document or thing could be obtained by other means without significantly greater expense, and with less inconvenience, to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w:t>
      </w:r>
    </w:p>
    <w:p w14:paraId="7055E7A2" w14:textId="3EE961CE" w:rsidR="009A38AB" w:rsidRPr="00B40A77" w:rsidRDefault="009A38AB" w:rsidP="009A38AB">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identify the date by which it is intended to serve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in New Zealand;</w:t>
      </w:r>
    </w:p>
    <w:p w14:paraId="2AA42EFC" w14:textId="4A8139E4" w:rsidR="009A38AB" w:rsidRPr="00B40A77" w:rsidRDefault="009A38AB" w:rsidP="009A38AB">
      <w:pPr>
        <w:pStyle w:val="Doublehangindent"/>
        <w:rPr>
          <w:color w:val="000000" w:themeColor="text1"/>
          <w:lang w:val="en-US"/>
        </w:rPr>
      </w:pPr>
      <w:r w:rsidRPr="00B40A77">
        <w:rPr>
          <w:color w:val="000000" w:themeColor="text1"/>
          <w:lang w:val="en-US"/>
        </w:rPr>
        <w:t>(g)</w:t>
      </w:r>
      <w:r w:rsidRPr="00B40A77">
        <w:rPr>
          <w:color w:val="000000" w:themeColor="text1"/>
          <w:lang w:val="en-US"/>
        </w:rPr>
        <w:tab/>
        <w:t xml:space="preserve">identify the amount to be </w:t>
      </w:r>
      <w:r w:rsidR="00250CDB" w:rsidRPr="00B40A77">
        <w:rPr>
          <w:color w:val="000000" w:themeColor="text1"/>
          <w:lang w:val="en-US"/>
        </w:rPr>
        <w:t xml:space="preserve">provided </w:t>
      </w:r>
      <w:r w:rsidRPr="00B40A77">
        <w:rPr>
          <w:color w:val="000000" w:themeColor="text1"/>
          <w:lang w:val="en-US"/>
        </w:rPr>
        <w:t xml:space="preserve">to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 to meet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’s reasonable expenses of complying with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w:t>
      </w:r>
    </w:p>
    <w:p w14:paraId="77AB3A35" w14:textId="7449F11D" w:rsidR="009A38AB" w:rsidRPr="00B40A77" w:rsidRDefault="009A38AB" w:rsidP="009A38AB">
      <w:pPr>
        <w:pStyle w:val="Doublehangindent"/>
        <w:rPr>
          <w:color w:val="000000" w:themeColor="text1"/>
          <w:lang w:val="en-US"/>
        </w:rPr>
      </w:pPr>
      <w:r w:rsidRPr="00B40A77">
        <w:rPr>
          <w:color w:val="000000" w:themeColor="text1"/>
          <w:lang w:val="en-US"/>
        </w:rPr>
        <w:t>(h)</w:t>
      </w:r>
      <w:r w:rsidRPr="00B40A77">
        <w:rPr>
          <w:color w:val="000000" w:themeColor="text1"/>
          <w:lang w:val="en-US"/>
        </w:rPr>
        <w:tab/>
        <w:t xml:space="preserve">identify, if the </w:t>
      </w:r>
      <w:hyperlink w:anchor="_122.1—Interpretation" w:history="1">
        <w:r w:rsidR="00135EC7" w:rsidRPr="00B40A77">
          <w:rPr>
            <w:rStyle w:val="Hyperlink"/>
            <w:color w:val="000000" w:themeColor="text1"/>
            <w:lang w:val="en-US"/>
          </w:rPr>
          <w:t>subpoena</w:t>
        </w:r>
      </w:hyperlink>
      <w:r w:rsidRPr="00B40A77">
        <w:rPr>
          <w:color w:val="000000" w:themeColor="text1"/>
          <w:lang w:val="en-US"/>
        </w:rPr>
        <w:t xml:space="preserve"> requires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 to attend to give evidence, an estimate of the</w:t>
      </w:r>
      <w:r w:rsidR="00555CB2" w:rsidRPr="00B40A77">
        <w:rPr>
          <w:color w:val="000000" w:themeColor="text1"/>
          <w:lang w:val="en-US"/>
        </w:rPr>
        <w:t xml:space="preserve"> length of</w:t>
      </w:r>
      <w:r w:rsidRPr="00B40A77">
        <w:rPr>
          <w:color w:val="000000" w:themeColor="text1"/>
          <w:lang w:val="en-US"/>
        </w:rPr>
        <w:t xml:space="preserve"> time during which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 will be required to attend; and</w:t>
      </w:r>
    </w:p>
    <w:p w14:paraId="7EE4FA16" w14:textId="44EFCD2C" w:rsidR="009A38AB" w:rsidRPr="00B40A77" w:rsidRDefault="009A38AB" w:rsidP="009A38AB">
      <w:pPr>
        <w:pStyle w:val="Doublehangindent"/>
        <w:rPr>
          <w:color w:val="000000" w:themeColor="text1"/>
          <w:lang w:val="en-US"/>
        </w:rPr>
      </w:pPr>
      <w:r w:rsidRPr="00B40A77">
        <w:rPr>
          <w:color w:val="000000" w:themeColor="text1"/>
          <w:lang w:val="en-US"/>
        </w:rPr>
        <w:t>(i)</w:t>
      </w:r>
      <w:r w:rsidRPr="00B40A77">
        <w:rPr>
          <w:color w:val="000000" w:themeColor="text1"/>
          <w:lang w:val="en-US"/>
        </w:rPr>
        <w:tab/>
        <w:t xml:space="preserve">identify any facts or matters known to the applicant that may constitute grounds for an application by the </w:t>
      </w:r>
      <w:hyperlink w:anchor="_156.1—Interpretation" w:history="1">
        <w:hyperlink w:anchor="_122.1—Interpretation" w:history="1">
          <w:r w:rsidR="00F809B2" w:rsidRPr="00B40A77">
            <w:rPr>
              <w:rStyle w:val="Hyperlink"/>
              <w:color w:val="000000" w:themeColor="text1"/>
              <w:lang w:val="en-US"/>
            </w:rPr>
            <w:t>addressee</w:t>
          </w:r>
        </w:hyperlink>
      </w:hyperlink>
      <w:r w:rsidRPr="00B40A77">
        <w:rPr>
          <w:color w:val="000000" w:themeColor="text1"/>
          <w:lang w:val="en-US"/>
        </w:rPr>
        <w:t xml:space="preserve"> to have the </w:t>
      </w:r>
      <w:hyperlink w:anchor="_122.1—Interpretation" w:history="1">
        <w:r w:rsidR="00135EC7" w:rsidRPr="00B40A77">
          <w:rPr>
            <w:rStyle w:val="Hyperlink"/>
            <w:color w:val="000000" w:themeColor="text1"/>
            <w:lang w:val="en-US"/>
          </w:rPr>
          <w:t>subpoena</w:t>
        </w:r>
      </w:hyperlink>
      <w:r w:rsidR="005562EA" w:rsidRPr="00B40A77">
        <w:rPr>
          <w:color w:val="000000" w:themeColor="text1"/>
          <w:lang w:val="en-US"/>
        </w:rPr>
        <w:t xml:space="preserve"> </w:t>
      </w:r>
      <w:r w:rsidRPr="00B40A77">
        <w:rPr>
          <w:color w:val="000000" w:themeColor="text1"/>
          <w:lang w:val="en-US"/>
        </w:rPr>
        <w:t xml:space="preserve">set aside under section 36(2) or (3) of the </w:t>
      </w:r>
      <w:r w:rsidRPr="00B40A77">
        <w:rPr>
          <w:i/>
          <w:color w:val="000000" w:themeColor="text1"/>
          <w:lang w:val="en-US"/>
        </w:rPr>
        <w:t>Trans-Tasman Proceedings Act 2010</w:t>
      </w:r>
      <w:r w:rsidRPr="00B40A77">
        <w:rPr>
          <w:color w:val="000000" w:themeColor="text1"/>
          <w:lang w:val="en-US"/>
        </w:rPr>
        <w:t xml:space="preserve"> (Cth).</w:t>
      </w:r>
    </w:p>
    <w:p w14:paraId="315B217E" w14:textId="3E9EF743" w:rsidR="009A38AB" w:rsidRPr="00B40A77" w:rsidRDefault="009A38AB" w:rsidP="00037437">
      <w:pPr>
        <w:pStyle w:val="Hangindent"/>
        <w:keepNext/>
        <w:rPr>
          <w:color w:val="000000" w:themeColor="text1"/>
        </w:rPr>
      </w:pPr>
      <w:r w:rsidRPr="00B40A77">
        <w:rPr>
          <w:color w:val="000000" w:themeColor="text1"/>
        </w:rPr>
        <w:t>(3)</w:t>
      </w:r>
      <w:r w:rsidRPr="00B40A77">
        <w:rPr>
          <w:color w:val="000000" w:themeColor="text1"/>
        </w:rPr>
        <w:tab/>
        <w:t xml:space="preserve">A </w:t>
      </w:r>
      <w:hyperlink w:anchor="_122.1—Interpretation" w:history="1">
        <w:r w:rsidR="00135EC7" w:rsidRPr="00B40A77">
          <w:rPr>
            <w:rStyle w:val="Hyperlink"/>
            <w:color w:val="000000" w:themeColor="text1"/>
            <w:lang w:val="en-US"/>
          </w:rPr>
          <w:t>subpoena</w:t>
        </w:r>
      </w:hyperlink>
      <w:r w:rsidRPr="00B40A77">
        <w:rPr>
          <w:color w:val="000000" w:themeColor="text1"/>
        </w:rPr>
        <w:t xml:space="preserve"> served in New Zealand under sections</w:t>
      </w:r>
      <w:r w:rsidR="003F313A" w:rsidRPr="00B40A77">
        <w:rPr>
          <w:color w:val="000000" w:themeColor="text1"/>
        </w:rPr>
        <w:t> </w:t>
      </w:r>
      <w:r w:rsidRPr="00B40A77">
        <w:rPr>
          <w:color w:val="000000" w:themeColor="text1"/>
        </w:rPr>
        <w:t>30 and</w:t>
      </w:r>
      <w:r w:rsidR="003F313A" w:rsidRPr="00B40A77">
        <w:rPr>
          <w:color w:val="000000" w:themeColor="text1"/>
        </w:rPr>
        <w:t> </w:t>
      </w:r>
      <w:r w:rsidRPr="00B40A77">
        <w:rPr>
          <w:color w:val="000000" w:themeColor="text1"/>
        </w:rPr>
        <w:t xml:space="preserve">32 </w:t>
      </w:r>
      <w:r w:rsidRPr="00B40A77">
        <w:rPr>
          <w:color w:val="000000" w:themeColor="text1"/>
          <w:lang w:val="en-US"/>
        </w:rPr>
        <w:t xml:space="preserve">of the </w:t>
      </w:r>
      <w:r w:rsidRPr="00B40A77">
        <w:rPr>
          <w:i/>
          <w:color w:val="000000" w:themeColor="text1"/>
          <w:lang w:val="en-US"/>
        </w:rPr>
        <w:t>Trans-Tasman Proceedings Act 2010</w:t>
      </w:r>
      <w:r w:rsidRPr="00B40A77">
        <w:rPr>
          <w:color w:val="000000" w:themeColor="text1"/>
          <w:lang w:val="en-US"/>
        </w:rPr>
        <w:t xml:space="preserve"> (Cth) must be accompanied by</w:t>
      </w:r>
      <w:r w:rsidRPr="00B40A77">
        <w:rPr>
          <w:color w:val="000000" w:themeColor="text1"/>
        </w:rPr>
        <w:t xml:space="preserve"> a notice in the prescribed form.</w:t>
      </w:r>
    </w:p>
    <w:p w14:paraId="1020B039" w14:textId="77777777" w:rsidR="009A38AB" w:rsidRPr="00B40A77" w:rsidRDefault="009A38AB" w:rsidP="00037437">
      <w:pPr>
        <w:pStyle w:val="NoteHeader"/>
        <w:keepNext/>
        <w:rPr>
          <w:color w:val="000000" w:themeColor="text1"/>
        </w:rPr>
      </w:pPr>
      <w:r w:rsidRPr="00B40A77">
        <w:rPr>
          <w:color w:val="000000" w:themeColor="text1"/>
        </w:rPr>
        <w:t>Prescribed form—</w:t>
      </w:r>
    </w:p>
    <w:p w14:paraId="51153F31" w14:textId="73809CDA" w:rsidR="009A38AB" w:rsidRPr="00B40A77" w:rsidRDefault="009A38AB" w:rsidP="009A38AB">
      <w:pPr>
        <w:pStyle w:val="NoteText"/>
        <w:rPr>
          <w:color w:val="000000" w:themeColor="text1"/>
          <w:u w:val="single"/>
        </w:rPr>
      </w:pPr>
      <w:r w:rsidRPr="00B40A77">
        <w:rPr>
          <w:color w:val="000000" w:themeColor="text1"/>
        </w:rPr>
        <w:t xml:space="preserve">Form </w:t>
      </w:r>
      <w:r w:rsidR="00C425DD" w:rsidRPr="00B40A77">
        <w:rPr>
          <w:color w:val="000000" w:themeColor="text1"/>
        </w:rPr>
        <w:t>113C</w:t>
      </w:r>
      <w:r w:rsidRPr="00B40A77">
        <w:rPr>
          <w:color w:val="000000" w:themeColor="text1"/>
        </w:rPr>
        <w:t xml:space="preserve"> </w:t>
      </w:r>
      <w:hyperlink r:id="rId216" w:history="1">
        <w:r w:rsidR="001D4A6C" w:rsidRPr="00B40A77">
          <w:rPr>
            <w:rStyle w:val="Hyperlink"/>
            <w:color w:val="000000" w:themeColor="text1"/>
          </w:rPr>
          <w:t>Notice to Accompany Subpoena Served in New Zealand</w:t>
        </w:r>
      </w:hyperlink>
    </w:p>
    <w:p w14:paraId="37261564" w14:textId="287D3574" w:rsidR="009A38AB" w:rsidRPr="00B40A77" w:rsidRDefault="003758F7" w:rsidP="009A38AB">
      <w:pPr>
        <w:pStyle w:val="Heading4"/>
        <w:rPr>
          <w:color w:val="000000" w:themeColor="text1"/>
        </w:rPr>
      </w:pPr>
      <w:bookmarkStart w:id="775" w:name="_129.3—Application_to_set"/>
      <w:bookmarkStart w:id="776" w:name="_Toc175239151"/>
      <w:bookmarkEnd w:id="775"/>
      <w:r w:rsidRPr="00B40A77">
        <w:rPr>
          <w:color w:val="000000" w:themeColor="text1"/>
        </w:rPr>
        <w:t>129.3</w:t>
      </w:r>
      <w:r w:rsidR="009A38AB" w:rsidRPr="00B40A77">
        <w:rPr>
          <w:color w:val="000000" w:themeColor="text1"/>
        </w:rPr>
        <w:t>—Application to set aside service</w:t>
      </w:r>
      <w:bookmarkEnd w:id="776"/>
      <w:r w:rsidR="009A38AB" w:rsidRPr="00B40A77">
        <w:rPr>
          <w:color w:val="000000" w:themeColor="text1"/>
        </w:rPr>
        <w:t xml:space="preserve"> </w:t>
      </w:r>
    </w:p>
    <w:p w14:paraId="4B0F67F5" w14:textId="4A21AB75" w:rsidR="009A38AB" w:rsidRPr="00B40A77" w:rsidRDefault="009A38AB" w:rsidP="009A38AB">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An application under section</w:t>
      </w:r>
      <w:r w:rsidR="003F313A" w:rsidRPr="00B40A77">
        <w:rPr>
          <w:rFonts w:cs="Times New Roman"/>
          <w:color w:val="000000" w:themeColor="text1"/>
        </w:rPr>
        <w:t> </w:t>
      </w:r>
      <w:r w:rsidRPr="00B40A77">
        <w:rPr>
          <w:rFonts w:cs="Times New Roman"/>
          <w:color w:val="000000" w:themeColor="text1"/>
        </w:rPr>
        <w:t xml:space="preserve">35 of the </w:t>
      </w:r>
      <w:r w:rsidRPr="00B40A77">
        <w:rPr>
          <w:i/>
          <w:color w:val="000000" w:themeColor="text1"/>
          <w:lang w:val="en-US"/>
        </w:rPr>
        <w:t>Trans-Tasman Proceedings Act 2010</w:t>
      </w:r>
      <w:r w:rsidRPr="00B40A77">
        <w:rPr>
          <w:color w:val="000000" w:themeColor="text1"/>
          <w:lang w:val="en-US"/>
        </w:rPr>
        <w:t xml:space="preserve"> (Cth) </w:t>
      </w:r>
      <w:r w:rsidRPr="00B40A77">
        <w:rPr>
          <w:rFonts w:cs="Times New Roman"/>
          <w:color w:val="000000" w:themeColor="text1"/>
        </w:rPr>
        <w:t xml:space="preserve">to set aside a </w:t>
      </w:r>
      <w:hyperlink w:anchor="_122.1—Interpretation" w:history="1">
        <w:r w:rsidR="00135EC7" w:rsidRPr="00B40A77">
          <w:rPr>
            <w:rStyle w:val="Hyperlink"/>
            <w:color w:val="000000" w:themeColor="text1"/>
            <w:lang w:val="en-US"/>
          </w:rPr>
          <w:t>subpoena</w:t>
        </w:r>
      </w:hyperlink>
      <w:r w:rsidRPr="00B40A77">
        <w:rPr>
          <w:rFonts w:cs="Times New Roman"/>
          <w:color w:val="000000" w:themeColor="text1"/>
        </w:rPr>
        <w:t xml:space="preserve"> served in New Zealand must be made by </w:t>
      </w:r>
      <w:r w:rsidR="003758F7" w:rsidRPr="00B40A77">
        <w:rPr>
          <w:rFonts w:cs="Times New Roman"/>
          <w:color w:val="000000" w:themeColor="text1"/>
        </w:rPr>
        <w:t xml:space="preserve">an </w:t>
      </w:r>
      <w:r w:rsidR="00FA4048" w:rsidRPr="00B40A77">
        <w:rPr>
          <w:color w:val="000000" w:themeColor="text1"/>
          <w:lang w:val="en-US"/>
        </w:rPr>
        <w:t xml:space="preserve">interlocutory application </w:t>
      </w:r>
      <w:r w:rsidR="003758F7" w:rsidRPr="00B40A77">
        <w:rPr>
          <w:color w:val="000000" w:themeColor="text1"/>
          <w:lang w:val="en-US"/>
        </w:rPr>
        <w:t xml:space="preserve">in accordance with </w:t>
      </w:r>
      <w:hyperlink w:anchor="_39.1—Written_application" w:history="1">
        <w:r w:rsidR="00CC2F6B" w:rsidRPr="00B40A77">
          <w:rPr>
            <w:rStyle w:val="Hyperlink"/>
            <w:color w:val="000000" w:themeColor="text1"/>
            <w:lang w:val="en-US"/>
          </w:rPr>
          <w:t>rule 39.1</w:t>
        </w:r>
      </w:hyperlink>
      <w:r w:rsidR="00CC2F6B" w:rsidRPr="00B40A77">
        <w:rPr>
          <w:color w:val="000000" w:themeColor="text1"/>
          <w:lang w:val="en-US"/>
        </w:rPr>
        <w:t xml:space="preserve"> </w:t>
      </w:r>
      <w:r w:rsidR="003758F7" w:rsidRPr="00B40A77">
        <w:rPr>
          <w:color w:val="000000" w:themeColor="text1"/>
        </w:rPr>
        <w:t>and supporting affidavit</w:t>
      </w:r>
      <w:r w:rsidRPr="00B40A77">
        <w:rPr>
          <w:rFonts w:cs="Times New Roman"/>
          <w:color w:val="000000" w:themeColor="text1"/>
        </w:rPr>
        <w:t>.</w:t>
      </w:r>
    </w:p>
    <w:p w14:paraId="2913F88C" w14:textId="19EE1AB5" w:rsidR="009A38AB" w:rsidRPr="00B40A77" w:rsidRDefault="009A38AB" w:rsidP="00037437">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 request under section</w:t>
      </w:r>
      <w:r w:rsidR="003F313A" w:rsidRPr="00B40A77">
        <w:rPr>
          <w:rFonts w:cs="Times New Roman"/>
          <w:color w:val="000000" w:themeColor="text1"/>
        </w:rPr>
        <w:t> </w:t>
      </w:r>
      <w:r w:rsidRPr="00B40A77">
        <w:rPr>
          <w:rFonts w:cs="Times New Roman"/>
          <w:color w:val="000000" w:themeColor="text1"/>
        </w:rPr>
        <w:t xml:space="preserve">36(5) of the </w:t>
      </w:r>
      <w:r w:rsidRPr="00B40A77">
        <w:rPr>
          <w:i/>
          <w:color w:val="000000" w:themeColor="text1"/>
          <w:lang w:val="en-US"/>
        </w:rPr>
        <w:t>Trans-Tasman Proceedings Act 2010</w:t>
      </w:r>
      <w:r w:rsidRPr="00B40A77">
        <w:rPr>
          <w:color w:val="000000" w:themeColor="text1"/>
          <w:lang w:val="en-US"/>
        </w:rPr>
        <w:t xml:space="preserve"> (Cth) </w:t>
      </w:r>
      <w:r w:rsidRPr="00B40A77">
        <w:rPr>
          <w:rFonts w:cs="Times New Roman"/>
          <w:color w:val="000000" w:themeColor="text1"/>
        </w:rPr>
        <w:t xml:space="preserve">for a </w:t>
      </w:r>
      <w:hyperlink w:anchor="_2.1—Definitions" w:history="1">
        <w:r w:rsidR="00BF49F7" w:rsidRPr="00B40A77">
          <w:rPr>
            <w:rStyle w:val="Hyperlink"/>
            <w:color w:val="000000" w:themeColor="text1"/>
          </w:rPr>
          <w:t>hearing</w:t>
        </w:r>
      </w:hyperlink>
      <w:r w:rsidRPr="00B40A77">
        <w:rPr>
          <w:rFonts w:cs="Times New Roman"/>
          <w:color w:val="000000" w:themeColor="text1"/>
        </w:rPr>
        <w:t xml:space="preserve"> of an application to set aside a </w:t>
      </w:r>
      <w:hyperlink w:anchor="_122.1—Interpretation" w:history="1">
        <w:r w:rsidR="00135EC7" w:rsidRPr="00B40A77">
          <w:rPr>
            <w:rStyle w:val="Hyperlink"/>
            <w:color w:val="000000" w:themeColor="text1"/>
            <w:lang w:val="en-US"/>
          </w:rPr>
          <w:t>subpoena</w:t>
        </w:r>
      </w:hyperlink>
      <w:r w:rsidRPr="00B40A77">
        <w:rPr>
          <w:rFonts w:cs="Times New Roman"/>
          <w:color w:val="000000" w:themeColor="text1"/>
        </w:rPr>
        <w:t xml:space="preserve"> served in New Zealand must be made by</w:t>
      </w:r>
      <w:r w:rsidRPr="00B40A77">
        <w:rPr>
          <w:color w:val="000000" w:themeColor="text1"/>
          <w:lang w:val="en-US"/>
        </w:rPr>
        <w:t xml:space="preserve"> filing an application to </w:t>
      </w:r>
      <w:r w:rsidR="007376A9" w:rsidRPr="00B40A77">
        <w:rPr>
          <w:color w:val="000000" w:themeColor="text1"/>
        </w:rPr>
        <w:t>Registrar</w:t>
      </w:r>
      <w:r w:rsidRPr="00B40A77">
        <w:rPr>
          <w:rFonts w:cs="Times New Roman"/>
          <w:color w:val="000000" w:themeColor="text1"/>
        </w:rPr>
        <w:t xml:space="preserve"> </w:t>
      </w:r>
      <w:r w:rsidRPr="00B40A77">
        <w:rPr>
          <w:color w:val="000000" w:themeColor="text1"/>
          <w:lang w:val="en-US"/>
        </w:rPr>
        <w:t>in the prescribed form</w:t>
      </w:r>
      <w:r w:rsidRPr="00B40A77">
        <w:rPr>
          <w:rFonts w:cs="Times New Roman"/>
          <w:color w:val="000000" w:themeColor="text1"/>
        </w:rPr>
        <w:t>.</w:t>
      </w:r>
    </w:p>
    <w:p w14:paraId="7E32E4D4" w14:textId="77777777" w:rsidR="009A38AB" w:rsidRPr="00B40A77" w:rsidRDefault="009A38AB" w:rsidP="002200BB">
      <w:pPr>
        <w:pStyle w:val="NoteHeader"/>
        <w:keepNext/>
        <w:rPr>
          <w:color w:val="000000" w:themeColor="text1"/>
        </w:rPr>
      </w:pPr>
      <w:r w:rsidRPr="00B40A77">
        <w:rPr>
          <w:color w:val="000000" w:themeColor="text1"/>
        </w:rPr>
        <w:t>Prescribed form—</w:t>
      </w:r>
    </w:p>
    <w:p w14:paraId="01818E48" w14:textId="5AD4ADB8" w:rsidR="009A38AB" w:rsidRPr="00B40A77" w:rsidRDefault="009A38AB" w:rsidP="009A38AB">
      <w:pPr>
        <w:pStyle w:val="NoteText"/>
        <w:rPr>
          <w:color w:val="000000" w:themeColor="text1"/>
        </w:rPr>
      </w:pPr>
      <w:r w:rsidRPr="00B40A77">
        <w:rPr>
          <w:color w:val="000000" w:themeColor="text1"/>
        </w:rPr>
        <w:t xml:space="preserve">Form </w:t>
      </w:r>
      <w:r w:rsidR="000B55E3" w:rsidRPr="00B40A77">
        <w:rPr>
          <w:color w:val="000000" w:themeColor="text1"/>
        </w:rPr>
        <w:t>91B</w:t>
      </w:r>
      <w:r w:rsidRPr="00B40A77">
        <w:rPr>
          <w:color w:val="000000" w:themeColor="text1"/>
        </w:rPr>
        <w:t xml:space="preserve"> </w:t>
      </w:r>
      <w:r w:rsidR="001D4A6C" w:rsidRPr="00B40A77">
        <w:rPr>
          <w:color w:val="000000" w:themeColor="text1"/>
        </w:rPr>
        <w:t>Application to Registrar – Request Hearing</w:t>
      </w:r>
      <w:r w:rsidR="00565D16" w:rsidRPr="00B40A77">
        <w:rPr>
          <w:rStyle w:val="Hyperlink"/>
          <w:color w:val="000000" w:themeColor="text1"/>
        </w:rPr>
        <w:t xml:space="preserve"> of Subpoena Set Aside Application</w:t>
      </w:r>
    </w:p>
    <w:p w14:paraId="623C1DF8" w14:textId="5E8350B1" w:rsidR="009A38AB" w:rsidRPr="00B40A77" w:rsidRDefault="009A38AB" w:rsidP="00037437">
      <w:pPr>
        <w:pStyle w:val="Hangindent"/>
        <w:keepNext/>
        <w:rPr>
          <w:rFonts w:cs="Times New Roman"/>
          <w:color w:val="000000" w:themeColor="text1"/>
        </w:rPr>
      </w:pPr>
      <w:r w:rsidRPr="00B40A77">
        <w:rPr>
          <w:rFonts w:cs="Times New Roman"/>
          <w:color w:val="000000" w:themeColor="text1"/>
        </w:rPr>
        <w:t>(3)</w:t>
      </w:r>
      <w:r w:rsidRPr="00B40A77">
        <w:rPr>
          <w:rFonts w:cs="Times New Roman"/>
          <w:color w:val="000000" w:themeColor="text1"/>
        </w:rPr>
        <w:tab/>
        <w:t>A request under section</w:t>
      </w:r>
      <w:r w:rsidR="003F313A" w:rsidRPr="00B40A77">
        <w:rPr>
          <w:rFonts w:cs="Times New Roman"/>
          <w:color w:val="000000" w:themeColor="text1"/>
        </w:rPr>
        <w:t> </w:t>
      </w:r>
      <w:r w:rsidRPr="00B40A77">
        <w:rPr>
          <w:rFonts w:cs="Times New Roman"/>
          <w:color w:val="000000" w:themeColor="text1"/>
        </w:rPr>
        <w:t xml:space="preserve">36(6) of the </w:t>
      </w:r>
      <w:r w:rsidRPr="00B40A77">
        <w:rPr>
          <w:i/>
          <w:color w:val="000000" w:themeColor="text1"/>
          <w:lang w:val="en-US"/>
        </w:rPr>
        <w:t>Trans-Tasman Proceedings Act 2010</w:t>
      </w:r>
      <w:r w:rsidRPr="00B40A77">
        <w:rPr>
          <w:color w:val="000000" w:themeColor="text1"/>
          <w:lang w:val="en-US"/>
        </w:rPr>
        <w:t xml:space="preserve"> (Cth) </w:t>
      </w:r>
      <w:r w:rsidRPr="00B40A77">
        <w:rPr>
          <w:rFonts w:cs="Times New Roman"/>
          <w:color w:val="000000" w:themeColor="text1"/>
        </w:rPr>
        <w:t xml:space="preserve">to appear remotely on the hearing of an application to set aside a </w:t>
      </w:r>
      <w:hyperlink w:anchor="_122.1—Interpretation" w:history="1">
        <w:r w:rsidR="00135EC7" w:rsidRPr="00B40A77">
          <w:rPr>
            <w:rStyle w:val="Hyperlink"/>
            <w:color w:val="000000" w:themeColor="text1"/>
            <w:lang w:val="en-US"/>
          </w:rPr>
          <w:t>subpoena</w:t>
        </w:r>
      </w:hyperlink>
      <w:r w:rsidRPr="00B40A77">
        <w:rPr>
          <w:rFonts w:cs="Times New Roman"/>
          <w:color w:val="000000" w:themeColor="text1"/>
        </w:rPr>
        <w:t xml:space="preserve"> served in New Zealand must be made by filing an application to </w:t>
      </w:r>
      <w:r w:rsidR="007376A9" w:rsidRPr="00B40A77">
        <w:rPr>
          <w:color w:val="000000" w:themeColor="text1"/>
        </w:rPr>
        <w:t>Registrar</w:t>
      </w:r>
      <w:r w:rsidRPr="00B40A77">
        <w:rPr>
          <w:rFonts w:cs="Times New Roman"/>
          <w:color w:val="000000" w:themeColor="text1"/>
        </w:rPr>
        <w:t xml:space="preserve"> </w:t>
      </w:r>
      <w:r w:rsidRPr="00B40A77">
        <w:rPr>
          <w:color w:val="000000" w:themeColor="text1"/>
          <w:lang w:val="en-US"/>
        </w:rPr>
        <w:t>in the prescribed form</w:t>
      </w:r>
      <w:r w:rsidRPr="00B40A77">
        <w:rPr>
          <w:rFonts w:cs="Times New Roman"/>
          <w:color w:val="000000" w:themeColor="text1"/>
        </w:rPr>
        <w:t>.</w:t>
      </w:r>
    </w:p>
    <w:p w14:paraId="3756ADAE" w14:textId="77777777" w:rsidR="009A38AB" w:rsidRPr="00B40A77" w:rsidRDefault="009A38AB" w:rsidP="002200BB">
      <w:pPr>
        <w:pStyle w:val="NoteHeader"/>
        <w:keepNext/>
        <w:rPr>
          <w:color w:val="000000" w:themeColor="text1"/>
        </w:rPr>
      </w:pPr>
      <w:r w:rsidRPr="00B40A77">
        <w:rPr>
          <w:color w:val="000000" w:themeColor="text1"/>
        </w:rPr>
        <w:t>Prescribed form—</w:t>
      </w:r>
    </w:p>
    <w:p w14:paraId="1351B173" w14:textId="6EBB8651" w:rsidR="009A38AB" w:rsidRPr="00B40A77" w:rsidRDefault="009A38AB" w:rsidP="009A38AB">
      <w:pPr>
        <w:pStyle w:val="NoteText"/>
        <w:rPr>
          <w:color w:val="000000" w:themeColor="text1"/>
        </w:rPr>
      </w:pPr>
      <w:r w:rsidRPr="00B40A77">
        <w:rPr>
          <w:color w:val="000000" w:themeColor="text1"/>
        </w:rPr>
        <w:t xml:space="preserve">Form </w:t>
      </w:r>
      <w:r w:rsidR="000B55E3" w:rsidRPr="00B40A77">
        <w:rPr>
          <w:color w:val="000000" w:themeColor="text1"/>
        </w:rPr>
        <w:t>91C</w:t>
      </w:r>
      <w:r w:rsidRPr="00B40A77">
        <w:rPr>
          <w:color w:val="000000" w:themeColor="text1"/>
        </w:rPr>
        <w:t xml:space="preserve"> </w:t>
      </w:r>
      <w:hyperlink r:id="rId217" w:history="1">
        <w:r w:rsidRPr="00B40A77">
          <w:rPr>
            <w:rStyle w:val="Hyperlink"/>
            <w:color w:val="000000" w:themeColor="text1"/>
          </w:rPr>
          <w:t xml:space="preserve">Application to Registrar – Request </w:t>
        </w:r>
        <w:r w:rsidR="00A2176E" w:rsidRPr="00B40A77">
          <w:rPr>
            <w:rStyle w:val="Hyperlink"/>
            <w:color w:val="000000" w:themeColor="text1"/>
          </w:rPr>
          <w:t xml:space="preserve">for </w:t>
        </w:r>
        <w:r w:rsidRPr="00B40A77">
          <w:rPr>
            <w:rStyle w:val="Hyperlink"/>
            <w:color w:val="000000" w:themeColor="text1"/>
          </w:rPr>
          <w:t>Remote Appearance</w:t>
        </w:r>
      </w:hyperlink>
    </w:p>
    <w:p w14:paraId="43A32718" w14:textId="77777777" w:rsidR="00833018" w:rsidRPr="00B40A77" w:rsidRDefault="00833018" w:rsidP="00BE23A0">
      <w:pPr>
        <w:pStyle w:val="Heading2"/>
        <w:keepNext/>
        <w:rPr>
          <w:color w:val="000000" w:themeColor="text1"/>
        </w:rPr>
      </w:pPr>
      <w:bookmarkStart w:id="777" w:name="_Toc66966181"/>
      <w:bookmarkStart w:id="778" w:name="_Toc175239152"/>
      <w:r w:rsidRPr="00B40A77">
        <w:rPr>
          <w:color w:val="000000" w:themeColor="text1"/>
        </w:rPr>
        <w:t>Part 3—Arrangements for evidence to be given at trial</w:t>
      </w:r>
      <w:bookmarkEnd w:id="777"/>
      <w:bookmarkEnd w:id="778"/>
    </w:p>
    <w:p w14:paraId="651F8C19" w14:textId="77777777" w:rsidR="00833018" w:rsidRPr="00B40A77" w:rsidRDefault="00833018" w:rsidP="00833018">
      <w:pPr>
        <w:pStyle w:val="Heading3"/>
        <w:rPr>
          <w:color w:val="000000" w:themeColor="text1"/>
        </w:rPr>
      </w:pPr>
      <w:bookmarkStart w:id="779" w:name="_Toc66966182"/>
      <w:bookmarkStart w:id="780" w:name="_Toc175239153"/>
      <w:r w:rsidRPr="00B40A77">
        <w:rPr>
          <w:color w:val="000000" w:themeColor="text1"/>
        </w:rPr>
        <w:t>Division 1—Pre-trial evidence</w:t>
      </w:r>
      <w:bookmarkEnd w:id="779"/>
      <w:bookmarkEnd w:id="780"/>
    </w:p>
    <w:p w14:paraId="3C4F16FB" w14:textId="77777777" w:rsidR="00135D19" w:rsidRPr="00B40A77" w:rsidRDefault="00135D19" w:rsidP="00135D19">
      <w:pPr>
        <w:pStyle w:val="Heading4"/>
        <w:rPr>
          <w:color w:val="000000" w:themeColor="text1"/>
        </w:rPr>
      </w:pPr>
      <w:bookmarkStart w:id="781" w:name="_Toc175239154"/>
      <w:bookmarkStart w:id="782" w:name="_Toc66966183"/>
      <w:r w:rsidRPr="00B40A77">
        <w:rPr>
          <w:color w:val="000000" w:themeColor="text1"/>
        </w:rPr>
        <w:t>130.1—Pre-trial special hearing</w:t>
      </w:r>
      <w:bookmarkEnd w:id="781"/>
    </w:p>
    <w:p w14:paraId="41317134" w14:textId="2B1CC079" w:rsidR="00135D19" w:rsidRPr="00B40A77" w:rsidRDefault="00135D19" w:rsidP="00135D19">
      <w:pPr>
        <w:pStyle w:val="Hangindent"/>
        <w:keepNext/>
        <w:keepLines/>
        <w:rPr>
          <w:color w:val="000000" w:themeColor="text1"/>
          <w:szCs w:val="24"/>
          <w:lang w:val="en-US"/>
        </w:rPr>
      </w:pPr>
      <w:r w:rsidRPr="00B40A77">
        <w:rPr>
          <w:color w:val="000000" w:themeColor="text1"/>
          <w:szCs w:val="24"/>
          <w:lang w:val="en-US"/>
        </w:rPr>
        <w:t>(1)</w:t>
      </w:r>
      <w:r w:rsidRPr="00B40A77">
        <w:rPr>
          <w:color w:val="000000" w:themeColor="text1"/>
          <w:szCs w:val="24"/>
          <w:lang w:val="en-US"/>
        </w:rPr>
        <w:tab/>
        <w:t xml:space="preserve">An application for a </w:t>
      </w:r>
      <w:hyperlink w:anchor="_2.1—Definitions" w:history="1">
        <w:r w:rsidR="00732D46" w:rsidRPr="00B40A77">
          <w:rPr>
            <w:rStyle w:val="Hyperlink"/>
            <w:color w:val="000000" w:themeColor="text1"/>
            <w:lang w:val="en-US"/>
          </w:rPr>
          <w:t>pre-trial special hearing</w:t>
        </w:r>
      </w:hyperlink>
      <w:r w:rsidRPr="00B40A77">
        <w:rPr>
          <w:color w:val="000000" w:themeColor="text1"/>
          <w:szCs w:val="24"/>
          <w:lang w:val="en-US"/>
        </w:rPr>
        <w:t xml:space="preserve"> under section</w:t>
      </w:r>
      <w:r w:rsidR="00203143" w:rsidRPr="00B40A77">
        <w:rPr>
          <w:color w:val="000000" w:themeColor="text1"/>
          <w:szCs w:val="24"/>
          <w:lang w:val="en-US"/>
        </w:rPr>
        <w:t> </w:t>
      </w:r>
      <w:r w:rsidRPr="00B40A77">
        <w:rPr>
          <w:color w:val="000000" w:themeColor="text1"/>
          <w:szCs w:val="24"/>
          <w:lang w:val="en-US"/>
        </w:rPr>
        <w:t>12AB(1) of the Evidence</w:t>
      </w:r>
      <w:r w:rsidR="00732D46" w:rsidRPr="00B40A77">
        <w:rPr>
          <w:color w:val="000000" w:themeColor="text1"/>
          <w:szCs w:val="24"/>
          <w:lang w:val="en-US"/>
        </w:rPr>
        <w:t xml:space="preserve"> </w:t>
      </w:r>
      <w:r w:rsidRPr="00B40A77">
        <w:rPr>
          <w:color w:val="000000" w:themeColor="text1"/>
          <w:szCs w:val="24"/>
          <w:lang w:val="en-US"/>
        </w:rPr>
        <w:t>Act</w:t>
      </w:r>
      <w:r w:rsidRPr="00B40A77">
        <w:rPr>
          <w:iCs/>
          <w:color w:val="000000" w:themeColor="text1"/>
          <w:szCs w:val="24"/>
          <w:lang w:val="en-US"/>
        </w:rPr>
        <w:t xml:space="preserve"> </w:t>
      </w:r>
      <w:r w:rsidRPr="00B40A77">
        <w:rPr>
          <w:color w:val="000000" w:themeColor="text1"/>
          <w:szCs w:val="24"/>
          <w:lang w:val="en-US"/>
        </w:rPr>
        <w:t>must—</w:t>
      </w:r>
    </w:p>
    <w:p w14:paraId="20D09F73" w14:textId="77777777" w:rsidR="00135D19" w:rsidRPr="00B40A77" w:rsidRDefault="00135D19" w:rsidP="002200BB">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be in the prescribed form;</w:t>
      </w:r>
    </w:p>
    <w:p w14:paraId="7E81C428" w14:textId="77777777" w:rsidR="00135D19" w:rsidRPr="00B40A77" w:rsidRDefault="00135D19" w:rsidP="002200BB">
      <w:pPr>
        <w:pStyle w:val="NoteHeader"/>
        <w:keepNext/>
        <w:ind w:left="1395" w:firstLine="306"/>
        <w:rPr>
          <w:color w:val="000000" w:themeColor="text1"/>
        </w:rPr>
      </w:pPr>
      <w:r w:rsidRPr="00B40A77">
        <w:rPr>
          <w:color w:val="000000" w:themeColor="text1"/>
        </w:rPr>
        <w:t>Prescribed form—</w:t>
      </w:r>
    </w:p>
    <w:p w14:paraId="534F3A60" w14:textId="09109CEE" w:rsidR="00135D19" w:rsidRPr="00B40A77" w:rsidRDefault="00135D19" w:rsidP="00135D19">
      <w:pPr>
        <w:pStyle w:val="NoteText"/>
        <w:ind w:left="1679" w:firstLine="481"/>
        <w:rPr>
          <w:color w:val="000000" w:themeColor="text1"/>
        </w:rPr>
      </w:pPr>
      <w:r w:rsidRPr="00B40A77">
        <w:rPr>
          <w:color w:val="000000" w:themeColor="text1"/>
        </w:rPr>
        <w:t xml:space="preserve">Form 92B </w:t>
      </w:r>
      <w:hyperlink r:id="rId218" w:history="1">
        <w:r w:rsidRPr="00B40A77">
          <w:rPr>
            <w:rStyle w:val="Hyperlink"/>
            <w:color w:val="000000" w:themeColor="text1"/>
          </w:rPr>
          <w:t xml:space="preserve">Interlocutory Application for </w:t>
        </w:r>
        <w:r w:rsidR="00565D16" w:rsidRPr="00B40A77">
          <w:rPr>
            <w:rStyle w:val="Hyperlink"/>
            <w:color w:val="000000" w:themeColor="text1"/>
          </w:rPr>
          <w:t>P</w:t>
        </w:r>
        <w:r w:rsidRPr="00B40A77">
          <w:rPr>
            <w:rStyle w:val="Hyperlink"/>
            <w:color w:val="000000" w:themeColor="text1"/>
          </w:rPr>
          <w:t xml:space="preserve">re-trial </w:t>
        </w:r>
        <w:r w:rsidR="009B34B3" w:rsidRPr="00B40A77">
          <w:rPr>
            <w:rStyle w:val="Hyperlink"/>
            <w:color w:val="000000" w:themeColor="text1"/>
          </w:rPr>
          <w:t>S</w:t>
        </w:r>
        <w:r w:rsidRPr="00B40A77">
          <w:rPr>
            <w:rStyle w:val="Hyperlink"/>
            <w:color w:val="000000" w:themeColor="text1"/>
          </w:rPr>
          <w:t xml:space="preserve">pecial </w:t>
        </w:r>
        <w:r w:rsidR="009B34B3" w:rsidRPr="00B40A77">
          <w:rPr>
            <w:rStyle w:val="Hyperlink"/>
            <w:color w:val="000000" w:themeColor="text1"/>
          </w:rPr>
          <w:t>H</w:t>
        </w:r>
        <w:r w:rsidRPr="00B40A77">
          <w:rPr>
            <w:rStyle w:val="Hyperlink"/>
            <w:color w:val="000000" w:themeColor="text1"/>
          </w:rPr>
          <w:t>earing</w:t>
        </w:r>
      </w:hyperlink>
    </w:p>
    <w:p w14:paraId="2DCD3F34" w14:textId="77777777" w:rsidR="00135D19" w:rsidRPr="00B40A77" w:rsidRDefault="00135D19" w:rsidP="00135D19">
      <w:pPr>
        <w:pStyle w:val="Doublehangindent"/>
        <w:rPr>
          <w:color w:val="000000" w:themeColor="text1"/>
          <w:lang w:val="en-US"/>
        </w:rPr>
      </w:pPr>
      <w:r w:rsidRPr="00B40A77">
        <w:rPr>
          <w:color w:val="000000" w:themeColor="text1"/>
          <w:lang w:val="en-US"/>
        </w:rPr>
        <w:t>(b)</w:t>
      </w:r>
      <w:r w:rsidRPr="00B40A77">
        <w:rPr>
          <w:color w:val="000000" w:themeColor="text1"/>
          <w:lang w:val="en-US"/>
        </w:rPr>
        <w:tab/>
        <w:t>identify the age of the witness;</w:t>
      </w:r>
    </w:p>
    <w:p w14:paraId="35FE77D9" w14:textId="54C9E563" w:rsidR="00135D19" w:rsidRPr="00B40A77" w:rsidRDefault="00135D19" w:rsidP="00135D19">
      <w:pPr>
        <w:pStyle w:val="Doublehangindent"/>
        <w:rPr>
          <w:color w:val="000000" w:themeColor="text1"/>
          <w:lang w:val="en-US"/>
        </w:rPr>
      </w:pPr>
      <w:r w:rsidRPr="00B40A77">
        <w:rPr>
          <w:color w:val="000000" w:themeColor="text1"/>
          <w:lang w:val="en-US"/>
        </w:rPr>
        <w:t>(c)</w:t>
      </w:r>
      <w:r w:rsidRPr="00B40A77">
        <w:rPr>
          <w:color w:val="000000" w:themeColor="text1"/>
          <w:lang w:val="en-US"/>
        </w:rPr>
        <w:tab/>
        <w:t>identify why the witness is a witness to whom section</w:t>
      </w:r>
      <w:r w:rsidR="003F313A" w:rsidRPr="00B40A77">
        <w:rPr>
          <w:color w:val="000000" w:themeColor="text1"/>
          <w:lang w:val="en-US"/>
        </w:rPr>
        <w:t> </w:t>
      </w:r>
      <w:r w:rsidRPr="00B40A77">
        <w:rPr>
          <w:color w:val="000000" w:themeColor="text1"/>
          <w:lang w:val="en-US"/>
        </w:rPr>
        <w:t>12AB applies;</w:t>
      </w:r>
    </w:p>
    <w:p w14:paraId="3E177CE1" w14:textId="24F32654" w:rsidR="00135D19" w:rsidRPr="00B40A77" w:rsidRDefault="00135D19" w:rsidP="0018125F">
      <w:pPr>
        <w:pStyle w:val="Doublehangindent"/>
        <w:rPr>
          <w:color w:val="000000" w:themeColor="text1"/>
          <w:lang w:val="en-US"/>
        </w:rPr>
      </w:pPr>
      <w:r w:rsidRPr="00B40A77">
        <w:rPr>
          <w:color w:val="000000" w:themeColor="text1"/>
          <w:lang w:val="en-US"/>
        </w:rPr>
        <w:lastRenderedPageBreak/>
        <w:t>(d)</w:t>
      </w:r>
      <w:r w:rsidRPr="00B40A77">
        <w:rPr>
          <w:color w:val="000000" w:themeColor="text1"/>
          <w:lang w:val="en-US"/>
        </w:rPr>
        <w:tab/>
        <w:t>if the application is made on the ground that the witness has a disability that adversely affects the witness’ capacity to give a coherent account of their experiences or to respond rationally to questions—identify that disability and why it has that adverse effect;</w:t>
      </w:r>
    </w:p>
    <w:p w14:paraId="7D6DE102" w14:textId="7D6ECD2B" w:rsidR="00135D19" w:rsidRPr="00B40A77" w:rsidRDefault="00135D19" w:rsidP="00135D19">
      <w:pPr>
        <w:pStyle w:val="Doublehangindent"/>
        <w:rPr>
          <w:color w:val="000000" w:themeColor="text1"/>
          <w:lang w:val="en-US"/>
        </w:rPr>
      </w:pPr>
      <w:r w:rsidRPr="00B40A77">
        <w:rPr>
          <w:color w:val="000000" w:themeColor="text1"/>
          <w:lang w:val="en-US"/>
        </w:rPr>
        <w:t>(</w:t>
      </w:r>
      <w:r w:rsidR="00CA65A2" w:rsidRPr="00B40A77">
        <w:rPr>
          <w:color w:val="000000" w:themeColor="text1"/>
          <w:lang w:val="en-US"/>
        </w:rPr>
        <w:t>e</w:t>
      </w:r>
      <w:r w:rsidRPr="00B40A77">
        <w:rPr>
          <w:color w:val="000000" w:themeColor="text1"/>
          <w:lang w:val="en-US"/>
        </w:rPr>
        <w:t>)</w:t>
      </w:r>
      <w:r w:rsidRPr="00B40A77">
        <w:rPr>
          <w:color w:val="000000" w:themeColor="text1"/>
          <w:lang w:val="en-US"/>
        </w:rPr>
        <w:tab/>
        <w:t>identify any physical disability or cognitive impairment of the witness that might make it desirable that the evidence be taken in a particular way under section</w:t>
      </w:r>
      <w:r w:rsidR="00203143" w:rsidRPr="00B40A77">
        <w:rPr>
          <w:color w:val="000000" w:themeColor="text1"/>
          <w:lang w:val="en-US"/>
        </w:rPr>
        <w:t> </w:t>
      </w:r>
      <w:r w:rsidRPr="00B40A77">
        <w:rPr>
          <w:color w:val="000000" w:themeColor="text1"/>
          <w:lang w:val="en-US"/>
        </w:rPr>
        <w:t>12AB(2)(a)(ii) of the Evidence Act;</w:t>
      </w:r>
    </w:p>
    <w:p w14:paraId="7B5DF2D9" w14:textId="5D610810" w:rsidR="00135D19" w:rsidRPr="00B40A77" w:rsidRDefault="00135D19" w:rsidP="00135D19">
      <w:pPr>
        <w:pStyle w:val="Doublehangindent"/>
        <w:rPr>
          <w:color w:val="000000" w:themeColor="text1"/>
          <w:lang w:val="en-US"/>
        </w:rPr>
      </w:pPr>
      <w:r w:rsidRPr="00B40A77">
        <w:rPr>
          <w:color w:val="000000" w:themeColor="text1"/>
          <w:lang w:val="en-US"/>
        </w:rPr>
        <w:t>(</w:t>
      </w:r>
      <w:r w:rsidR="00CA65A2" w:rsidRPr="00B40A77">
        <w:rPr>
          <w:color w:val="000000" w:themeColor="text1"/>
          <w:lang w:val="en-US"/>
        </w:rPr>
        <w:t>f</w:t>
      </w:r>
      <w:r w:rsidRPr="00B40A77">
        <w:rPr>
          <w:color w:val="000000" w:themeColor="text1"/>
          <w:lang w:val="en-US"/>
        </w:rPr>
        <w:t>)</w:t>
      </w:r>
      <w:r w:rsidRPr="00B40A77">
        <w:rPr>
          <w:color w:val="000000" w:themeColor="text1"/>
          <w:lang w:val="en-US"/>
        </w:rPr>
        <w:tab/>
        <w:t xml:space="preserve">identify any measures sought to prevent the witness and the defendant from directly seeing or hearing each other before, during or after the </w:t>
      </w:r>
      <w:hyperlink w:anchor="_2.1—Definitions" w:history="1">
        <w:r w:rsidR="001953DB" w:rsidRPr="00B40A77">
          <w:rPr>
            <w:rStyle w:val="Hyperlink"/>
            <w:color w:val="000000" w:themeColor="text1"/>
          </w:rPr>
          <w:t>hearing</w:t>
        </w:r>
      </w:hyperlink>
      <w:r w:rsidRPr="00B40A77">
        <w:rPr>
          <w:color w:val="000000" w:themeColor="text1"/>
          <w:lang w:val="en-US"/>
        </w:rPr>
        <w:t>;</w:t>
      </w:r>
    </w:p>
    <w:p w14:paraId="5E3A690A" w14:textId="15F288A5" w:rsidR="00135D19" w:rsidRPr="00B40A77" w:rsidRDefault="00135D19" w:rsidP="00135D19">
      <w:pPr>
        <w:pStyle w:val="Doublehangindent"/>
        <w:rPr>
          <w:color w:val="000000" w:themeColor="text1"/>
          <w:lang w:val="en-US"/>
        </w:rPr>
      </w:pPr>
      <w:r w:rsidRPr="00B40A77">
        <w:rPr>
          <w:color w:val="000000" w:themeColor="text1"/>
          <w:lang w:val="en-US"/>
        </w:rPr>
        <w:t>(</w:t>
      </w:r>
      <w:r w:rsidR="00CA65A2" w:rsidRPr="00B40A77">
        <w:rPr>
          <w:color w:val="000000" w:themeColor="text1"/>
          <w:lang w:val="en-US"/>
        </w:rPr>
        <w:t>g</w:t>
      </w:r>
      <w:r w:rsidRPr="00B40A77">
        <w:rPr>
          <w:color w:val="000000" w:themeColor="text1"/>
          <w:lang w:val="en-US"/>
        </w:rPr>
        <w:t>)</w:t>
      </w:r>
      <w:r w:rsidRPr="00B40A77">
        <w:rPr>
          <w:color w:val="000000" w:themeColor="text1"/>
          <w:lang w:val="en-US"/>
        </w:rPr>
        <w:tab/>
        <w:t xml:space="preserve">identify whether any communication assistance or accompaniment </w:t>
      </w:r>
      <w:r w:rsidR="00203143" w:rsidRPr="00B40A77">
        <w:rPr>
          <w:color w:val="000000" w:themeColor="text1"/>
          <w:lang w:val="en-US"/>
        </w:rPr>
        <w:t>by a person for the purpose of providing emotional support is sought by</w:t>
      </w:r>
      <w:r w:rsidRPr="00B40A77">
        <w:rPr>
          <w:color w:val="000000" w:themeColor="text1"/>
          <w:lang w:val="en-US"/>
        </w:rPr>
        <w:t xml:space="preserve"> the witness;</w:t>
      </w:r>
    </w:p>
    <w:p w14:paraId="01DC885E" w14:textId="0A223354" w:rsidR="00135D19" w:rsidRPr="00B40A77" w:rsidRDefault="00135D19" w:rsidP="00135D19">
      <w:pPr>
        <w:pStyle w:val="Doublehangindent"/>
        <w:rPr>
          <w:color w:val="000000" w:themeColor="text1"/>
          <w:lang w:val="en-US"/>
        </w:rPr>
      </w:pPr>
      <w:r w:rsidRPr="00B40A77">
        <w:rPr>
          <w:color w:val="000000" w:themeColor="text1"/>
          <w:lang w:val="en-US"/>
        </w:rPr>
        <w:t>(</w:t>
      </w:r>
      <w:r w:rsidR="00CA65A2" w:rsidRPr="00B40A77">
        <w:rPr>
          <w:color w:val="000000" w:themeColor="text1"/>
          <w:lang w:val="en-US"/>
        </w:rPr>
        <w:t>h</w:t>
      </w:r>
      <w:r w:rsidRPr="00B40A77">
        <w:rPr>
          <w:color w:val="000000" w:themeColor="text1"/>
          <w:lang w:val="en-US"/>
        </w:rPr>
        <w:t>)</w:t>
      </w:r>
      <w:r w:rsidRPr="00B40A77">
        <w:rPr>
          <w:color w:val="000000" w:themeColor="text1"/>
          <w:lang w:val="en-US"/>
        </w:rPr>
        <w:tab/>
        <w:t xml:space="preserve">be accompanied by a draft order addressing the matters referred to in </w:t>
      </w:r>
      <w:r w:rsidR="00203143" w:rsidRPr="00B40A77">
        <w:rPr>
          <w:color w:val="000000" w:themeColor="text1"/>
          <w:lang w:val="en-US"/>
        </w:rPr>
        <w:t>section </w:t>
      </w:r>
      <w:r w:rsidRPr="00B40A77">
        <w:rPr>
          <w:color w:val="000000" w:themeColor="text1"/>
          <w:lang w:val="en-US"/>
        </w:rPr>
        <w:t xml:space="preserve">12AB(2) of the Evidence Act; </w:t>
      </w:r>
      <w:r w:rsidR="005D7FAE" w:rsidRPr="00B40A77">
        <w:rPr>
          <w:color w:val="000000" w:themeColor="text1"/>
          <w:lang w:val="en-US"/>
        </w:rPr>
        <w:t>and</w:t>
      </w:r>
    </w:p>
    <w:p w14:paraId="2AE8C873" w14:textId="45A0BCE9" w:rsidR="00135D19" w:rsidRPr="00B40A77" w:rsidRDefault="00135D19" w:rsidP="002200BB">
      <w:pPr>
        <w:pStyle w:val="Doublehangindent"/>
        <w:keepNext/>
        <w:rPr>
          <w:color w:val="000000" w:themeColor="text1"/>
          <w:lang w:val="en-US"/>
        </w:rPr>
      </w:pPr>
      <w:r w:rsidRPr="00B40A77">
        <w:rPr>
          <w:color w:val="000000" w:themeColor="text1"/>
          <w:lang w:val="en-US"/>
        </w:rPr>
        <w:t>(</w:t>
      </w:r>
      <w:r w:rsidR="00CA65A2" w:rsidRPr="00B40A77">
        <w:rPr>
          <w:color w:val="000000" w:themeColor="text1"/>
          <w:lang w:val="en-US"/>
        </w:rPr>
        <w:t>j</w:t>
      </w:r>
      <w:r w:rsidRPr="00B40A77">
        <w:rPr>
          <w:color w:val="000000" w:themeColor="text1"/>
          <w:lang w:val="en-US"/>
        </w:rPr>
        <w:t>)</w:t>
      </w:r>
      <w:r w:rsidRPr="00B40A77">
        <w:rPr>
          <w:color w:val="000000" w:themeColor="text1"/>
          <w:lang w:val="en-US"/>
        </w:rPr>
        <w:tab/>
        <w:t>be served on the other parties as soon as reasonably practicable after being filed.</w:t>
      </w:r>
    </w:p>
    <w:p w14:paraId="3F5EADB9" w14:textId="77777777" w:rsidR="00135D19" w:rsidRPr="00B40A77" w:rsidRDefault="00135D19" w:rsidP="002200BB">
      <w:pPr>
        <w:pStyle w:val="NoteHeader"/>
        <w:keepNext/>
        <w:ind w:left="1701"/>
        <w:rPr>
          <w:color w:val="000000" w:themeColor="text1"/>
          <w:lang w:val="en-US"/>
        </w:rPr>
      </w:pPr>
      <w:r w:rsidRPr="00B40A77">
        <w:rPr>
          <w:color w:val="000000" w:themeColor="text1"/>
          <w:lang w:val="en-US"/>
        </w:rPr>
        <w:t>Note—</w:t>
      </w:r>
    </w:p>
    <w:p w14:paraId="2E3B6784" w14:textId="77777777" w:rsidR="00135D19" w:rsidRPr="00B40A77" w:rsidRDefault="00135D19" w:rsidP="00135D19">
      <w:pPr>
        <w:pStyle w:val="NoteText"/>
        <w:ind w:left="1985"/>
        <w:rPr>
          <w:b/>
          <w:bCs/>
          <w:color w:val="000000" w:themeColor="text1"/>
          <w:lang w:val="en-US"/>
        </w:rPr>
      </w:pPr>
      <w:r w:rsidRPr="00B40A77">
        <w:rPr>
          <w:color w:val="000000" w:themeColor="text1"/>
          <w:lang w:val="en-US"/>
        </w:rPr>
        <w:t>Section 12AB(7)(c) requires an application to be served on the other party to the proceeding within 14 days of being filed in the Court.</w:t>
      </w:r>
    </w:p>
    <w:p w14:paraId="37FEF1E5" w14:textId="77777777" w:rsidR="00135D19" w:rsidRPr="00B40A77" w:rsidRDefault="00135D19" w:rsidP="00135D19">
      <w:pPr>
        <w:pStyle w:val="Hangindent"/>
        <w:keepNext/>
        <w:keepLines/>
        <w:rPr>
          <w:color w:val="000000" w:themeColor="text1"/>
          <w:szCs w:val="24"/>
          <w:u w:val="single"/>
          <w:lang w:val="en-US"/>
        </w:rPr>
      </w:pPr>
      <w:r w:rsidRPr="00B40A77">
        <w:rPr>
          <w:i/>
          <w:iCs/>
          <w:color w:val="000000" w:themeColor="text1"/>
          <w:sz w:val="24"/>
          <w:szCs w:val="28"/>
          <w:lang w:val="en-US"/>
        </w:rPr>
        <w:t>Higher Courts</w:t>
      </w:r>
    </w:p>
    <w:p w14:paraId="4A92A7D8" w14:textId="6E7F3117" w:rsidR="00135D19" w:rsidRPr="00B40A77" w:rsidRDefault="00135D19" w:rsidP="004E3D0F">
      <w:pPr>
        <w:pStyle w:val="Hangindent"/>
        <w:keepLines/>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t xml:space="preserve">An application for a </w:t>
      </w:r>
      <w:hyperlink w:anchor="_2.1—Definitions" w:history="1">
        <w:r w:rsidR="00732D46" w:rsidRPr="00B40A77">
          <w:rPr>
            <w:rStyle w:val="Hyperlink"/>
            <w:color w:val="000000" w:themeColor="text1"/>
            <w:lang w:val="en-US"/>
          </w:rPr>
          <w:t>pre-trial special hearing</w:t>
        </w:r>
      </w:hyperlink>
      <w:r w:rsidRPr="00B40A77">
        <w:rPr>
          <w:color w:val="000000" w:themeColor="text1"/>
          <w:szCs w:val="24"/>
          <w:lang w:val="en-US"/>
        </w:rPr>
        <w:t xml:space="preserve"> must be filed</w:t>
      </w:r>
      <w:r w:rsidRPr="00B40A77">
        <w:rPr>
          <w:color w:val="000000" w:themeColor="text1"/>
          <w:lang w:val="en-US"/>
        </w:rPr>
        <w:t>—</w:t>
      </w:r>
    </w:p>
    <w:p w14:paraId="773DF882" w14:textId="77777777" w:rsidR="00135D19" w:rsidRPr="00B40A77" w:rsidRDefault="00135D19" w:rsidP="00135D19">
      <w:pPr>
        <w:pStyle w:val="Doublehangindent"/>
        <w:rPr>
          <w:color w:val="000000" w:themeColor="text1"/>
          <w:lang w:val="en-US"/>
        </w:rPr>
      </w:pPr>
      <w:r w:rsidRPr="00B40A77">
        <w:rPr>
          <w:color w:val="000000" w:themeColor="text1"/>
          <w:lang w:val="en-US"/>
        </w:rPr>
        <w:t>(a)</w:t>
      </w:r>
      <w:r w:rsidRPr="00B40A77">
        <w:rPr>
          <w:color w:val="000000" w:themeColor="text1"/>
          <w:lang w:val="en-US"/>
        </w:rPr>
        <w:tab/>
        <w:t>in the case of an application by the Director—by the time fixed for filing a prosecution case statement;</w:t>
      </w:r>
    </w:p>
    <w:p w14:paraId="1F739AC6" w14:textId="208B330C" w:rsidR="00135D19" w:rsidRPr="00B40A77" w:rsidRDefault="00135D19" w:rsidP="00135D1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 all other cases—at least 7 days before the first </w:t>
      </w:r>
      <w:hyperlink w:anchor="_2.1—Definitions" w:history="1">
        <w:r w:rsidR="00BF56DC" w:rsidRPr="00B40A77">
          <w:rPr>
            <w:rStyle w:val="Hyperlink"/>
            <w:color w:val="000000" w:themeColor="text1"/>
          </w:rPr>
          <w:t>directions hearing</w:t>
        </w:r>
      </w:hyperlink>
      <w:r w:rsidRPr="00B40A77">
        <w:rPr>
          <w:color w:val="000000" w:themeColor="text1"/>
          <w:lang w:val="en-US"/>
        </w:rPr>
        <w:t>.</w:t>
      </w:r>
    </w:p>
    <w:p w14:paraId="31056809" w14:textId="77777777" w:rsidR="00135D19" w:rsidRPr="00B40A77" w:rsidRDefault="00135D19" w:rsidP="00135D19">
      <w:pPr>
        <w:pStyle w:val="Hangindent"/>
        <w:keepNext/>
        <w:keepLines/>
        <w:rPr>
          <w:i/>
          <w:iCs/>
          <w:color w:val="000000" w:themeColor="text1"/>
          <w:sz w:val="24"/>
          <w:szCs w:val="28"/>
          <w:lang w:val="en-US"/>
        </w:rPr>
      </w:pPr>
      <w:r w:rsidRPr="00B40A77">
        <w:rPr>
          <w:i/>
          <w:iCs/>
          <w:color w:val="000000" w:themeColor="text1"/>
          <w:sz w:val="24"/>
          <w:szCs w:val="28"/>
          <w:lang w:val="en-US"/>
        </w:rPr>
        <w:t>Lower Courts</w:t>
      </w:r>
    </w:p>
    <w:p w14:paraId="3774ED66" w14:textId="77D7F368" w:rsidR="00135D19" w:rsidRPr="00B40A77" w:rsidRDefault="00135D19" w:rsidP="00037437">
      <w:pPr>
        <w:pStyle w:val="Hangindent"/>
        <w:keepLines/>
        <w:rPr>
          <w:color w:val="000000" w:themeColor="text1"/>
          <w:lang w:val="en-US"/>
        </w:rPr>
      </w:pPr>
      <w:r w:rsidRPr="00B40A77">
        <w:rPr>
          <w:color w:val="000000" w:themeColor="text1"/>
          <w:szCs w:val="24"/>
          <w:lang w:val="en-US"/>
        </w:rPr>
        <w:t>(3)</w:t>
      </w:r>
      <w:r w:rsidRPr="00B40A77">
        <w:rPr>
          <w:color w:val="000000" w:themeColor="text1"/>
          <w:szCs w:val="24"/>
          <w:lang w:val="en-US"/>
        </w:rPr>
        <w:tab/>
        <w:t xml:space="preserve">An application for a </w:t>
      </w:r>
      <w:hyperlink w:anchor="_2.1—Definitions" w:history="1">
        <w:r w:rsidR="00732D46" w:rsidRPr="00B40A77">
          <w:rPr>
            <w:rStyle w:val="Hyperlink"/>
            <w:color w:val="000000" w:themeColor="text1"/>
            <w:lang w:val="en-US"/>
          </w:rPr>
          <w:t>pre-trial special hearing</w:t>
        </w:r>
      </w:hyperlink>
      <w:r w:rsidRPr="00B40A77">
        <w:rPr>
          <w:color w:val="000000" w:themeColor="text1"/>
          <w:szCs w:val="24"/>
          <w:lang w:val="en-US"/>
        </w:rPr>
        <w:t xml:space="preserve"> must be filed</w:t>
      </w:r>
      <w:r w:rsidRPr="00B40A77">
        <w:rPr>
          <w:color w:val="000000" w:themeColor="text1"/>
          <w:lang w:val="en-US"/>
        </w:rPr>
        <w:t xml:space="preserve"> and served by the </w:t>
      </w:r>
      <w:hyperlink w:anchor="_2.1—Definitions" w:history="1">
        <w:r w:rsidR="00012B38" w:rsidRPr="00B40A77">
          <w:rPr>
            <w:rStyle w:val="Hyperlink"/>
            <w:color w:val="000000" w:themeColor="text1"/>
            <w:lang w:val="en-US"/>
          </w:rPr>
          <w:t>pre-trial conference date</w:t>
        </w:r>
      </w:hyperlink>
      <w:r w:rsidRPr="00B40A77">
        <w:rPr>
          <w:color w:val="000000" w:themeColor="text1"/>
          <w:szCs w:val="24"/>
          <w:lang w:val="en-US"/>
        </w:rPr>
        <w:t>.</w:t>
      </w:r>
    </w:p>
    <w:p w14:paraId="1BC42A83" w14:textId="77777777" w:rsidR="00135D19" w:rsidRPr="00B40A77" w:rsidRDefault="00135D19" w:rsidP="00135D19">
      <w:pPr>
        <w:pStyle w:val="Hangindent"/>
        <w:keepNext/>
        <w:keepLines/>
        <w:rPr>
          <w:i/>
          <w:iCs/>
          <w:color w:val="000000" w:themeColor="text1"/>
          <w:sz w:val="24"/>
          <w:szCs w:val="28"/>
          <w:lang w:val="en-US"/>
        </w:rPr>
      </w:pPr>
      <w:r w:rsidRPr="00B40A77">
        <w:rPr>
          <w:i/>
          <w:iCs/>
          <w:color w:val="000000" w:themeColor="text1"/>
          <w:sz w:val="24"/>
          <w:szCs w:val="28"/>
          <w:lang w:val="en-US"/>
        </w:rPr>
        <w:t>All Courts</w:t>
      </w:r>
    </w:p>
    <w:p w14:paraId="4F9FAFDE" w14:textId="32A1DF88" w:rsidR="00135D19" w:rsidRPr="00B40A77" w:rsidRDefault="00135D19" w:rsidP="004E3D0F">
      <w:pPr>
        <w:pStyle w:val="Hangindent"/>
        <w:keepLines/>
        <w:rPr>
          <w:color w:val="000000" w:themeColor="text1"/>
          <w:szCs w:val="24"/>
          <w:lang w:val="en-US"/>
        </w:rPr>
      </w:pPr>
      <w:r w:rsidRPr="00B40A77">
        <w:rPr>
          <w:color w:val="000000" w:themeColor="text1"/>
          <w:szCs w:val="24"/>
          <w:lang w:val="en-US"/>
        </w:rPr>
        <w:t>(4)</w:t>
      </w:r>
      <w:r w:rsidRPr="00B40A77">
        <w:rPr>
          <w:color w:val="000000" w:themeColor="text1"/>
          <w:szCs w:val="24"/>
          <w:lang w:val="en-US"/>
        </w:rPr>
        <w:tab/>
        <w:t xml:space="preserve">An objection to an application for a </w:t>
      </w:r>
      <w:hyperlink w:anchor="_2.1—Definitions" w:history="1">
        <w:r w:rsidR="00732D46" w:rsidRPr="00B40A77">
          <w:rPr>
            <w:rStyle w:val="Hyperlink"/>
            <w:color w:val="000000" w:themeColor="text1"/>
            <w:lang w:val="en-US"/>
          </w:rPr>
          <w:t>pre-trial special hearing</w:t>
        </w:r>
      </w:hyperlink>
      <w:r w:rsidRPr="00B40A77">
        <w:rPr>
          <w:color w:val="000000" w:themeColor="text1"/>
          <w:szCs w:val="24"/>
          <w:lang w:val="en-US"/>
        </w:rPr>
        <w:t xml:space="preserve"> under section</w:t>
      </w:r>
      <w:r w:rsidR="003F313A" w:rsidRPr="00B40A77">
        <w:rPr>
          <w:color w:val="000000" w:themeColor="text1"/>
          <w:szCs w:val="24"/>
          <w:lang w:val="en-US"/>
        </w:rPr>
        <w:t> </w:t>
      </w:r>
      <w:r w:rsidRPr="00B40A77">
        <w:rPr>
          <w:color w:val="000000" w:themeColor="text1"/>
          <w:szCs w:val="24"/>
          <w:lang w:val="en-US"/>
        </w:rPr>
        <w:t>12AB(8) of the Evidence Act</w:t>
      </w:r>
      <w:r w:rsidRPr="00B40A77">
        <w:rPr>
          <w:iCs/>
          <w:color w:val="000000" w:themeColor="text1"/>
          <w:szCs w:val="24"/>
          <w:lang w:val="en-US"/>
        </w:rPr>
        <w:t xml:space="preserve"> </w:t>
      </w:r>
      <w:r w:rsidRPr="00B40A77">
        <w:rPr>
          <w:color w:val="000000" w:themeColor="text1"/>
          <w:szCs w:val="24"/>
          <w:lang w:val="en-US"/>
        </w:rPr>
        <w:t>must be—</w:t>
      </w:r>
    </w:p>
    <w:p w14:paraId="3C2AAE0B" w14:textId="77777777" w:rsidR="00135D19" w:rsidRPr="00B40A77" w:rsidRDefault="00135D19" w:rsidP="00135D19">
      <w:pPr>
        <w:pStyle w:val="Doublehangindent"/>
        <w:rPr>
          <w:color w:val="000000" w:themeColor="text1"/>
          <w:lang w:val="en-US"/>
        </w:rPr>
      </w:pPr>
      <w:r w:rsidRPr="00B40A77">
        <w:rPr>
          <w:color w:val="000000" w:themeColor="text1"/>
          <w:lang w:val="en-US"/>
        </w:rPr>
        <w:t>(a)</w:t>
      </w:r>
      <w:r w:rsidRPr="00B40A77">
        <w:rPr>
          <w:color w:val="000000" w:themeColor="text1"/>
          <w:lang w:val="en-US"/>
        </w:rPr>
        <w:tab/>
        <w:t>in the prescribed form;</w:t>
      </w:r>
    </w:p>
    <w:p w14:paraId="4C63A008" w14:textId="77777777" w:rsidR="00135D19" w:rsidRPr="00B40A77" w:rsidRDefault="00135D19" w:rsidP="00763DD0">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served on the applicant and any other parties as soon as reasonably practicable after being filed.</w:t>
      </w:r>
    </w:p>
    <w:p w14:paraId="24FF2A0D" w14:textId="77777777" w:rsidR="00135D19" w:rsidRPr="00B40A77" w:rsidRDefault="00135D19" w:rsidP="00763DD0">
      <w:pPr>
        <w:pStyle w:val="NoteHeader"/>
        <w:keepNext/>
        <w:ind w:left="1701"/>
        <w:rPr>
          <w:color w:val="000000" w:themeColor="text1"/>
        </w:rPr>
      </w:pPr>
      <w:r w:rsidRPr="00B40A77">
        <w:rPr>
          <w:color w:val="000000" w:themeColor="text1"/>
        </w:rPr>
        <w:t>Prescribed form—</w:t>
      </w:r>
    </w:p>
    <w:p w14:paraId="6BFCF1B6" w14:textId="07093CE6" w:rsidR="00135D19" w:rsidRPr="00B40A77" w:rsidRDefault="00135D19" w:rsidP="00763DD0">
      <w:pPr>
        <w:pStyle w:val="NoteText"/>
        <w:keepNext/>
        <w:ind w:left="1985"/>
        <w:rPr>
          <w:color w:val="000000" w:themeColor="text1"/>
          <w:lang w:val="en-US"/>
        </w:rPr>
      </w:pPr>
      <w:r w:rsidRPr="00B40A77">
        <w:rPr>
          <w:color w:val="000000" w:themeColor="text1"/>
        </w:rPr>
        <w:t xml:space="preserve">Form 95 </w:t>
      </w:r>
      <w:hyperlink r:id="rId219" w:history="1">
        <w:r w:rsidRPr="00B40A77">
          <w:rPr>
            <w:rStyle w:val="Hyperlink"/>
            <w:color w:val="000000" w:themeColor="text1"/>
            <w:lang w:val="en-US"/>
          </w:rPr>
          <w:t>Notice of Objection</w:t>
        </w:r>
      </w:hyperlink>
    </w:p>
    <w:p w14:paraId="61D1CDC6" w14:textId="77777777" w:rsidR="00135D19" w:rsidRPr="00B40A77" w:rsidRDefault="00135D19" w:rsidP="00763DD0">
      <w:pPr>
        <w:pStyle w:val="NoteHeader"/>
        <w:keepNext/>
        <w:ind w:left="1701"/>
        <w:rPr>
          <w:color w:val="000000" w:themeColor="text1"/>
          <w:lang w:val="en-US"/>
        </w:rPr>
      </w:pPr>
      <w:r w:rsidRPr="00B40A77">
        <w:rPr>
          <w:color w:val="000000" w:themeColor="text1"/>
          <w:lang w:val="en-US"/>
        </w:rPr>
        <w:t>Notes—</w:t>
      </w:r>
    </w:p>
    <w:p w14:paraId="48D00C1B" w14:textId="77777777" w:rsidR="00135D19" w:rsidRPr="00B40A77" w:rsidRDefault="00135D19" w:rsidP="00135D19">
      <w:pPr>
        <w:pStyle w:val="NoteText"/>
        <w:ind w:left="1985"/>
        <w:rPr>
          <w:color w:val="000000" w:themeColor="text1"/>
          <w:lang w:val="en-US"/>
        </w:rPr>
      </w:pPr>
      <w:r w:rsidRPr="00B40A77">
        <w:rPr>
          <w:color w:val="000000" w:themeColor="text1"/>
          <w:lang w:val="en-US"/>
        </w:rPr>
        <w:t xml:space="preserve">Section 12AB(8) requires an objection to be filed by a respondent within 14 days of service of the application on the respondent. </w:t>
      </w:r>
    </w:p>
    <w:p w14:paraId="706D4637" w14:textId="77777777" w:rsidR="00135D19" w:rsidRPr="00B40A77" w:rsidRDefault="00135D19" w:rsidP="00135D19">
      <w:pPr>
        <w:pStyle w:val="NoteText"/>
        <w:ind w:left="1985"/>
        <w:rPr>
          <w:color w:val="000000" w:themeColor="text1"/>
          <w:lang w:val="en-US"/>
        </w:rPr>
      </w:pPr>
      <w:r w:rsidRPr="00B40A77">
        <w:rPr>
          <w:color w:val="000000" w:themeColor="text1"/>
          <w:lang w:val="en-US"/>
        </w:rPr>
        <w:t xml:space="preserve">Section 12AB(10) </w:t>
      </w:r>
      <w:r w:rsidRPr="00B40A77">
        <w:rPr>
          <w:color w:val="000000" w:themeColor="text1"/>
        </w:rPr>
        <w:t>prescribes</w:t>
      </w:r>
      <w:r w:rsidRPr="00B40A77">
        <w:rPr>
          <w:color w:val="000000" w:themeColor="text1"/>
          <w:lang w:val="en-US"/>
        </w:rPr>
        <w:t xml:space="preserve"> the consequences of no objection being filed within that period.</w:t>
      </w:r>
    </w:p>
    <w:p w14:paraId="2B2BA717" w14:textId="77777777" w:rsidR="00135D19" w:rsidRPr="00B40A77" w:rsidRDefault="00135D19" w:rsidP="00135D19">
      <w:pPr>
        <w:pStyle w:val="Heading4"/>
        <w:rPr>
          <w:color w:val="000000" w:themeColor="text1"/>
        </w:rPr>
      </w:pPr>
      <w:bookmarkStart w:id="783" w:name="_Toc175239155"/>
      <w:r w:rsidRPr="00B40A77">
        <w:rPr>
          <w:color w:val="000000" w:themeColor="text1"/>
        </w:rPr>
        <w:lastRenderedPageBreak/>
        <w:t>130.2—Admission of audio visual record of evidence</w:t>
      </w:r>
      <w:bookmarkEnd w:id="783"/>
    </w:p>
    <w:p w14:paraId="44B5E19D" w14:textId="10B19158" w:rsidR="00135D19" w:rsidRPr="00B40A77" w:rsidRDefault="00135D19" w:rsidP="00135D19">
      <w:pPr>
        <w:pStyle w:val="Hangindent"/>
        <w:keepNext/>
        <w:keepLines/>
        <w:rPr>
          <w:color w:val="000000" w:themeColor="text1"/>
          <w:szCs w:val="24"/>
          <w:lang w:val="en-US"/>
        </w:rPr>
      </w:pPr>
      <w:r w:rsidRPr="00B40A77">
        <w:rPr>
          <w:color w:val="000000" w:themeColor="text1"/>
          <w:szCs w:val="24"/>
          <w:lang w:val="en-US"/>
        </w:rPr>
        <w:t>(1)</w:t>
      </w:r>
      <w:r w:rsidRPr="00B40A77">
        <w:rPr>
          <w:color w:val="000000" w:themeColor="text1"/>
          <w:szCs w:val="24"/>
          <w:lang w:val="en-US"/>
        </w:rPr>
        <w:tab/>
        <w:t>An application for admission of evidence of a witness in the form of an audio visual record under section</w:t>
      </w:r>
      <w:r w:rsidR="003F313A" w:rsidRPr="00B40A77">
        <w:rPr>
          <w:color w:val="000000" w:themeColor="text1"/>
          <w:szCs w:val="24"/>
          <w:lang w:val="en-US"/>
        </w:rPr>
        <w:t> </w:t>
      </w:r>
      <w:r w:rsidRPr="00B40A77">
        <w:rPr>
          <w:color w:val="000000" w:themeColor="text1"/>
          <w:szCs w:val="24"/>
          <w:lang w:val="en-US"/>
        </w:rPr>
        <w:t>13BA(1) of the Evidence Act must—</w:t>
      </w:r>
    </w:p>
    <w:p w14:paraId="109D3016" w14:textId="77777777" w:rsidR="00135D19" w:rsidRPr="00B40A77" w:rsidRDefault="00135D19" w:rsidP="00B90C7E">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be in the prescribed form;</w:t>
      </w:r>
    </w:p>
    <w:p w14:paraId="794A6C9E" w14:textId="77777777" w:rsidR="00135D19" w:rsidRPr="00B40A77" w:rsidRDefault="00135D19" w:rsidP="00B90C7E">
      <w:pPr>
        <w:pStyle w:val="NoteHeader"/>
        <w:keepNext/>
        <w:ind w:left="1395" w:firstLine="306"/>
        <w:rPr>
          <w:color w:val="000000" w:themeColor="text1"/>
        </w:rPr>
      </w:pPr>
      <w:r w:rsidRPr="00B40A77">
        <w:rPr>
          <w:color w:val="000000" w:themeColor="text1"/>
        </w:rPr>
        <w:t>Prescribed form—</w:t>
      </w:r>
    </w:p>
    <w:p w14:paraId="3735E52E" w14:textId="08720AE4" w:rsidR="00135D19" w:rsidRPr="00B40A77" w:rsidRDefault="00135D19" w:rsidP="00203143">
      <w:pPr>
        <w:pStyle w:val="NoteText"/>
        <w:keepNext/>
        <w:ind w:left="1417" w:firstLine="481"/>
        <w:rPr>
          <w:color w:val="000000" w:themeColor="text1"/>
        </w:rPr>
      </w:pPr>
      <w:r w:rsidRPr="00B40A77">
        <w:rPr>
          <w:color w:val="000000" w:themeColor="text1"/>
        </w:rPr>
        <w:t xml:space="preserve">Form 92A </w:t>
      </w:r>
      <w:hyperlink r:id="rId220" w:history="1">
        <w:r w:rsidRPr="00B40A77">
          <w:rPr>
            <w:rStyle w:val="Hyperlink"/>
            <w:color w:val="000000" w:themeColor="text1"/>
          </w:rPr>
          <w:t xml:space="preserve">Interlocutory Application for </w:t>
        </w:r>
        <w:r w:rsidR="00040D0A" w:rsidRPr="00B40A77">
          <w:rPr>
            <w:rStyle w:val="Hyperlink"/>
            <w:color w:val="000000" w:themeColor="text1"/>
          </w:rPr>
          <w:t>A</w:t>
        </w:r>
        <w:r w:rsidRPr="00B40A77">
          <w:rPr>
            <w:rStyle w:val="Hyperlink"/>
            <w:color w:val="000000" w:themeColor="text1"/>
          </w:rPr>
          <w:t xml:space="preserve">dmission of </w:t>
        </w:r>
        <w:r w:rsidR="00040D0A" w:rsidRPr="00B40A77">
          <w:rPr>
            <w:rStyle w:val="Hyperlink"/>
            <w:color w:val="000000" w:themeColor="text1"/>
          </w:rPr>
          <w:t>A</w:t>
        </w:r>
        <w:r w:rsidRPr="00B40A77">
          <w:rPr>
            <w:rStyle w:val="Hyperlink"/>
            <w:color w:val="000000" w:themeColor="text1"/>
          </w:rPr>
          <w:t xml:space="preserve">udiovisual </w:t>
        </w:r>
        <w:r w:rsidR="00040D0A" w:rsidRPr="00B40A77">
          <w:rPr>
            <w:rStyle w:val="Hyperlink"/>
            <w:color w:val="000000" w:themeColor="text1"/>
          </w:rPr>
          <w:t>R</w:t>
        </w:r>
        <w:r w:rsidRPr="00B40A77">
          <w:rPr>
            <w:rStyle w:val="Hyperlink"/>
            <w:color w:val="000000" w:themeColor="text1"/>
          </w:rPr>
          <w:t>ecord</w:t>
        </w:r>
      </w:hyperlink>
    </w:p>
    <w:p w14:paraId="5E4B413D" w14:textId="77777777" w:rsidR="00135D19" w:rsidRPr="00B40A77" w:rsidRDefault="00135D19" w:rsidP="00763DD0">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be served on the other parties as soon as reasonably practicable after being filed.</w:t>
      </w:r>
    </w:p>
    <w:p w14:paraId="08129FA6" w14:textId="77777777" w:rsidR="00135D19" w:rsidRPr="00B40A77" w:rsidRDefault="00135D19" w:rsidP="00203143">
      <w:pPr>
        <w:pStyle w:val="NoteHeader"/>
        <w:keepNext/>
        <w:ind w:left="1701"/>
        <w:rPr>
          <w:color w:val="000000" w:themeColor="text1"/>
          <w:lang w:val="en-US"/>
        </w:rPr>
      </w:pPr>
      <w:r w:rsidRPr="00B40A77">
        <w:rPr>
          <w:color w:val="000000" w:themeColor="text1"/>
          <w:lang w:val="en-US"/>
        </w:rPr>
        <w:t>Note—</w:t>
      </w:r>
    </w:p>
    <w:p w14:paraId="4D8358A7" w14:textId="77777777" w:rsidR="00135D19" w:rsidRPr="00B40A77" w:rsidRDefault="00135D19" w:rsidP="00135D19">
      <w:pPr>
        <w:pStyle w:val="NoteText"/>
        <w:ind w:left="1984"/>
        <w:rPr>
          <w:color w:val="000000" w:themeColor="text1"/>
          <w:lang w:val="en-US"/>
        </w:rPr>
      </w:pPr>
      <w:r w:rsidRPr="00B40A77">
        <w:rPr>
          <w:color w:val="000000" w:themeColor="text1"/>
          <w:lang w:val="en-US"/>
        </w:rPr>
        <w:t>Section 13BA(2)(c) of the Evidence Act requires an application to be served on the other party to the proceeding within 14 days of being filed in the Court.</w:t>
      </w:r>
    </w:p>
    <w:p w14:paraId="42ECE518" w14:textId="306C9788" w:rsidR="00135D19" w:rsidRPr="00B40A77" w:rsidRDefault="00135D19" w:rsidP="00135D19">
      <w:pPr>
        <w:pStyle w:val="Doublehangindent"/>
        <w:rPr>
          <w:color w:val="000000" w:themeColor="text1"/>
          <w:lang w:val="en-US"/>
        </w:rPr>
      </w:pPr>
      <w:r w:rsidRPr="00B40A77">
        <w:rPr>
          <w:color w:val="000000" w:themeColor="text1"/>
          <w:lang w:val="en-US"/>
        </w:rPr>
        <w:t>(c)</w:t>
      </w:r>
      <w:r w:rsidRPr="00B40A77">
        <w:rPr>
          <w:color w:val="000000" w:themeColor="text1"/>
          <w:lang w:val="en-US"/>
        </w:rPr>
        <w:tab/>
        <w:t>if the admission is sought of an audio visual recording taken under section</w:t>
      </w:r>
      <w:r w:rsidR="003F313A" w:rsidRPr="00B40A77">
        <w:rPr>
          <w:color w:val="000000" w:themeColor="text1"/>
          <w:lang w:val="en-US"/>
        </w:rPr>
        <w:t> </w:t>
      </w:r>
      <w:r w:rsidRPr="00B40A77">
        <w:rPr>
          <w:color w:val="000000" w:themeColor="text1"/>
          <w:lang w:val="en-US"/>
        </w:rPr>
        <w:t>12AB of the Evidence Act—identify that fact and provide details of the evidence given under that section;</w:t>
      </w:r>
    </w:p>
    <w:p w14:paraId="151DAF2D" w14:textId="3603DC2E" w:rsidR="00135D19" w:rsidRPr="00B40A77" w:rsidRDefault="00135D19" w:rsidP="00135D19">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if the admission is sought of an audio visual recording taken under </w:t>
      </w:r>
      <w:r w:rsidR="007376A9" w:rsidRPr="00B40A77">
        <w:rPr>
          <w:color w:val="000000" w:themeColor="text1"/>
          <w:lang w:val="en-US"/>
        </w:rPr>
        <w:t xml:space="preserve">or </w:t>
      </w:r>
      <w:r w:rsidR="00086E23" w:rsidRPr="00B40A77">
        <w:rPr>
          <w:color w:val="000000" w:themeColor="text1"/>
          <w:lang w:val="en-US"/>
        </w:rPr>
        <w:t xml:space="preserve">governed by </w:t>
      </w:r>
      <w:r w:rsidRPr="00B40A77">
        <w:rPr>
          <w:color w:val="000000" w:themeColor="text1"/>
          <w:lang w:val="en-US"/>
        </w:rPr>
        <w:t>section</w:t>
      </w:r>
      <w:r w:rsidR="003F313A" w:rsidRPr="00B40A77">
        <w:rPr>
          <w:color w:val="000000" w:themeColor="text1"/>
          <w:lang w:val="en-US"/>
        </w:rPr>
        <w:t> </w:t>
      </w:r>
      <w:r w:rsidRPr="00B40A77">
        <w:rPr>
          <w:color w:val="000000" w:themeColor="text1"/>
          <w:lang w:val="en-US"/>
        </w:rPr>
        <w:t xml:space="preserve">74EB </w:t>
      </w:r>
      <w:r w:rsidR="00086E23" w:rsidRPr="00B40A77">
        <w:rPr>
          <w:color w:val="000000" w:themeColor="text1"/>
          <w:lang w:val="en-US"/>
        </w:rPr>
        <w:t xml:space="preserve">and subsection 74EC(1) or by subsection 74EC(1a) </w:t>
      </w:r>
      <w:r w:rsidRPr="00B40A77">
        <w:rPr>
          <w:color w:val="000000" w:themeColor="text1"/>
          <w:lang w:val="en-US"/>
        </w:rPr>
        <w:t xml:space="preserve">of the </w:t>
      </w:r>
      <w:r w:rsidRPr="00B40A77">
        <w:rPr>
          <w:i/>
          <w:color w:val="000000" w:themeColor="text1"/>
          <w:lang w:val="en-US"/>
        </w:rPr>
        <w:t>Summary Offences Act 1953</w:t>
      </w:r>
      <w:r w:rsidRPr="00B40A77">
        <w:rPr>
          <w:color w:val="000000" w:themeColor="text1"/>
          <w:lang w:val="en-US"/>
        </w:rPr>
        <w:t>—</w:t>
      </w:r>
    </w:p>
    <w:p w14:paraId="2ED60294" w14:textId="77777777" w:rsidR="00135D19" w:rsidRPr="00B40A77" w:rsidRDefault="00135D19" w:rsidP="00135D19">
      <w:pPr>
        <w:pStyle w:val="Doublehangindent"/>
        <w:ind w:firstLine="0"/>
        <w:rPr>
          <w:color w:val="000000" w:themeColor="text1"/>
          <w:lang w:val="en-US"/>
        </w:rPr>
      </w:pPr>
      <w:r w:rsidRPr="00B40A77">
        <w:rPr>
          <w:color w:val="000000" w:themeColor="text1"/>
          <w:lang w:val="en-US"/>
        </w:rPr>
        <w:t>(i)</w:t>
      </w:r>
      <w:r w:rsidRPr="00B40A77">
        <w:rPr>
          <w:color w:val="000000" w:themeColor="text1"/>
          <w:lang w:val="en-US"/>
        </w:rPr>
        <w:tab/>
        <w:t>identify that fact;</w:t>
      </w:r>
    </w:p>
    <w:p w14:paraId="632DA834" w14:textId="070A8B39" w:rsidR="00135D19" w:rsidRPr="00B40A77" w:rsidRDefault="00135D19" w:rsidP="00135D19">
      <w:pPr>
        <w:pStyle w:val="Doublehangindent"/>
        <w:ind w:left="2160" w:hanging="459"/>
        <w:rPr>
          <w:color w:val="000000" w:themeColor="text1"/>
          <w:lang w:val="en-US"/>
        </w:rPr>
      </w:pPr>
      <w:r w:rsidRPr="00B40A77">
        <w:rPr>
          <w:color w:val="000000" w:themeColor="text1"/>
          <w:lang w:val="en-US"/>
        </w:rPr>
        <w:t>(ii)</w:t>
      </w:r>
      <w:r w:rsidRPr="00B40A77">
        <w:rPr>
          <w:color w:val="000000" w:themeColor="text1"/>
          <w:lang w:val="en-US"/>
        </w:rPr>
        <w:tab/>
        <w:t>identify whether there was compliance or non-compliance with the requirements under section</w:t>
      </w:r>
      <w:r w:rsidR="003F313A" w:rsidRPr="00B40A77">
        <w:rPr>
          <w:color w:val="000000" w:themeColor="text1"/>
          <w:lang w:val="en-US"/>
        </w:rPr>
        <w:t> </w:t>
      </w:r>
      <w:r w:rsidRPr="00B40A77">
        <w:rPr>
          <w:color w:val="000000" w:themeColor="text1"/>
          <w:lang w:val="en-US"/>
        </w:rPr>
        <w:t xml:space="preserve">74EB </w:t>
      </w:r>
      <w:r w:rsidR="00086E23" w:rsidRPr="00B40A77">
        <w:rPr>
          <w:color w:val="000000" w:themeColor="text1"/>
          <w:lang w:val="en-US"/>
        </w:rPr>
        <w:t xml:space="preserve">or subsection 74EC(1a) (as applicable) </w:t>
      </w:r>
      <w:r w:rsidRPr="00B40A77">
        <w:rPr>
          <w:color w:val="000000" w:themeColor="text1"/>
          <w:lang w:val="en-US"/>
        </w:rPr>
        <w:t xml:space="preserve">and to the extent of any identified non-compliance the facts by reason of which the interests of justice require the admission of the evidence despite the non-compliance; and </w:t>
      </w:r>
    </w:p>
    <w:p w14:paraId="699AB4D2" w14:textId="3A8BCA39" w:rsidR="00135D19" w:rsidRPr="00B40A77" w:rsidRDefault="00135D19" w:rsidP="00135D19">
      <w:pPr>
        <w:pStyle w:val="Doublehangindent"/>
        <w:ind w:left="2160" w:hanging="459"/>
        <w:rPr>
          <w:color w:val="000000" w:themeColor="text1"/>
          <w:lang w:val="en-US"/>
        </w:rPr>
      </w:pPr>
      <w:r w:rsidRPr="00B40A77">
        <w:rPr>
          <w:color w:val="000000" w:themeColor="text1"/>
          <w:lang w:val="en-US"/>
        </w:rPr>
        <w:t>(iii)</w:t>
      </w:r>
      <w:r w:rsidRPr="00B40A77">
        <w:rPr>
          <w:color w:val="000000" w:themeColor="text1"/>
          <w:lang w:val="en-US"/>
        </w:rPr>
        <w:tab/>
        <w:t xml:space="preserve">be accompanied by an electronic copy of the audio visual record on a portable electronic storage device such as a </w:t>
      </w:r>
      <w:r w:rsidR="001F6521" w:rsidRPr="00B40A77">
        <w:rPr>
          <w:color w:val="000000" w:themeColor="text1"/>
          <w:lang w:val="en-US"/>
        </w:rPr>
        <w:t>USB</w:t>
      </w:r>
      <w:r w:rsidRPr="00B40A77">
        <w:rPr>
          <w:color w:val="000000" w:themeColor="text1"/>
          <w:lang w:val="en-US"/>
        </w:rPr>
        <w:t xml:space="preserve"> storage device.</w:t>
      </w:r>
    </w:p>
    <w:p w14:paraId="6F17C5A3" w14:textId="77777777" w:rsidR="00135D19" w:rsidRPr="00B40A77" w:rsidRDefault="00135D19" w:rsidP="00135D19">
      <w:pPr>
        <w:pStyle w:val="Hangindent"/>
        <w:keepNext/>
        <w:keepLines/>
        <w:rPr>
          <w:color w:val="000000" w:themeColor="text1"/>
          <w:szCs w:val="24"/>
          <w:u w:val="single"/>
          <w:lang w:val="en-US"/>
        </w:rPr>
      </w:pPr>
      <w:r w:rsidRPr="00B40A77">
        <w:rPr>
          <w:i/>
          <w:iCs/>
          <w:color w:val="000000" w:themeColor="text1"/>
          <w:sz w:val="24"/>
          <w:szCs w:val="28"/>
          <w:lang w:val="en-US"/>
        </w:rPr>
        <w:t>Higher Courts</w:t>
      </w:r>
    </w:p>
    <w:p w14:paraId="7E05E6E3" w14:textId="77777777" w:rsidR="00135D19" w:rsidRPr="00B40A77" w:rsidRDefault="00135D19" w:rsidP="00CA65A2">
      <w:pPr>
        <w:pStyle w:val="Hangindent"/>
        <w:keepLines/>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t>An application for admission of evidence of a witness in the form of an audio visual record must be filed</w:t>
      </w:r>
      <w:r w:rsidRPr="00B40A77">
        <w:rPr>
          <w:color w:val="000000" w:themeColor="text1"/>
          <w:lang w:val="en-US"/>
        </w:rPr>
        <w:t>—</w:t>
      </w:r>
    </w:p>
    <w:p w14:paraId="4377893A" w14:textId="77777777" w:rsidR="00135D19" w:rsidRPr="00B40A77" w:rsidRDefault="00135D19" w:rsidP="00135D19">
      <w:pPr>
        <w:pStyle w:val="Doublehangindent"/>
        <w:rPr>
          <w:color w:val="000000" w:themeColor="text1"/>
          <w:lang w:val="en-US"/>
        </w:rPr>
      </w:pPr>
      <w:r w:rsidRPr="00B40A77">
        <w:rPr>
          <w:color w:val="000000" w:themeColor="text1"/>
          <w:lang w:val="en-US"/>
        </w:rPr>
        <w:t>(a)</w:t>
      </w:r>
      <w:r w:rsidRPr="00B40A77">
        <w:rPr>
          <w:color w:val="000000" w:themeColor="text1"/>
          <w:lang w:val="en-US"/>
        </w:rPr>
        <w:tab/>
        <w:t>in the case of an application by the Director—by the time fixed for filing a prosecution case statement;</w:t>
      </w:r>
    </w:p>
    <w:p w14:paraId="5BD84C29" w14:textId="1A187D4F" w:rsidR="00135D19" w:rsidRPr="00B40A77" w:rsidRDefault="00135D19" w:rsidP="00135D1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 all other cases—at least 7 days before the first </w:t>
      </w:r>
      <w:hyperlink w:anchor="_2.1—Definitions" w:history="1">
        <w:r w:rsidR="00BF56DC" w:rsidRPr="00B40A77">
          <w:rPr>
            <w:rStyle w:val="Hyperlink"/>
            <w:color w:val="000000" w:themeColor="text1"/>
          </w:rPr>
          <w:t>directions hearing</w:t>
        </w:r>
      </w:hyperlink>
      <w:r w:rsidRPr="00B40A77">
        <w:rPr>
          <w:color w:val="000000" w:themeColor="text1"/>
          <w:lang w:val="en-US"/>
        </w:rPr>
        <w:t>.</w:t>
      </w:r>
    </w:p>
    <w:p w14:paraId="13EEB5C9" w14:textId="77777777" w:rsidR="00135D19" w:rsidRPr="00B40A77" w:rsidRDefault="00135D19" w:rsidP="00135D19">
      <w:pPr>
        <w:pStyle w:val="Hangindent"/>
        <w:keepNext/>
        <w:keepLines/>
        <w:rPr>
          <w:color w:val="000000" w:themeColor="text1"/>
          <w:sz w:val="24"/>
          <w:szCs w:val="28"/>
          <w:u w:val="single"/>
          <w:lang w:val="en-US"/>
        </w:rPr>
      </w:pPr>
      <w:r w:rsidRPr="00B40A77">
        <w:rPr>
          <w:i/>
          <w:iCs/>
          <w:color w:val="000000" w:themeColor="text1"/>
          <w:sz w:val="24"/>
          <w:szCs w:val="28"/>
          <w:lang w:val="en-US"/>
        </w:rPr>
        <w:t>Lower Courts</w:t>
      </w:r>
    </w:p>
    <w:p w14:paraId="47C0A148" w14:textId="388C072E" w:rsidR="00135D19" w:rsidRPr="00B40A77" w:rsidRDefault="00135D19" w:rsidP="00CA65A2">
      <w:pPr>
        <w:pStyle w:val="Hangindent"/>
        <w:keepLines/>
        <w:rPr>
          <w:color w:val="000000" w:themeColor="text1"/>
          <w:lang w:val="en-US"/>
        </w:rPr>
      </w:pPr>
      <w:r w:rsidRPr="00B40A77">
        <w:rPr>
          <w:color w:val="000000" w:themeColor="text1"/>
          <w:szCs w:val="24"/>
          <w:lang w:val="en-US"/>
        </w:rPr>
        <w:t>(3)</w:t>
      </w:r>
      <w:r w:rsidRPr="00B40A77">
        <w:rPr>
          <w:color w:val="000000" w:themeColor="text1"/>
          <w:szCs w:val="24"/>
          <w:lang w:val="en-US"/>
        </w:rPr>
        <w:tab/>
        <w:t>An application for admission of evidence of a witness in the form of an audio visual record must be filed</w:t>
      </w:r>
      <w:r w:rsidRPr="00B40A77">
        <w:rPr>
          <w:color w:val="000000" w:themeColor="text1"/>
          <w:lang w:val="en-US"/>
        </w:rPr>
        <w:t xml:space="preserve"> and served by the </w:t>
      </w:r>
      <w:hyperlink w:anchor="_2.1—Definitions" w:history="1">
        <w:r w:rsidR="00012B38" w:rsidRPr="00B40A77">
          <w:rPr>
            <w:rStyle w:val="Hyperlink"/>
            <w:color w:val="000000" w:themeColor="text1"/>
            <w:lang w:val="en-US"/>
          </w:rPr>
          <w:t>pre-trial conference date</w:t>
        </w:r>
      </w:hyperlink>
      <w:r w:rsidRPr="00B40A77">
        <w:rPr>
          <w:color w:val="000000" w:themeColor="text1"/>
          <w:szCs w:val="24"/>
          <w:lang w:val="en-US"/>
        </w:rPr>
        <w:t>.</w:t>
      </w:r>
    </w:p>
    <w:p w14:paraId="43F82903" w14:textId="77777777" w:rsidR="00135D19" w:rsidRPr="00B40A77" w:rsidRDefault="00135D19" w:rsidP="00135D19">
      <w:pPr>
        <w:pStyle w:val="Hangindent"/>
        <w:keepNext/>
        <w:keepLines/>
        <w:rPr>
          <w:color w:val="000000" w:themeColor="text1"/>
          <w:sz w:val="24"/>
          <w:szCs w:val="28"/>
          <w:u w:val="single"/>
          <w:lang w:val="en-US"/>
        </w:rPr>
      </w:pPr>
      <w:bookmarkStart w:id="784" w:name="_Hlk110519674"/>
      <w:r w:rsidRPr="00B40A77">
        <w:rPr>
          <w:i/>
          <w:iCs/>
          <w:color w:val="000000" w:themeColor="text1"/>
          <w:sz w:val="24"/>
          <w:szCs w:val="28"/>
          <w:lang w:val="en-US"/>
        </w:rPr>
        <w:t>All Courts</w:t>
      </w:r>
    </w:p>
    <w:p w14:paraId="224A3A79" w14:textId="6510EEA6" w:rsidR="00135D19" w:rsidRPr="00B40A77" w:rsidRDefault="00135D19" w:rsidP="00135D19">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an </w:t>
      </w:r>
      <w:r w:rsidR="003115A6" w:rsidRPr="00B40A77">
        <w:rPr>
          <w:color w:val="000000" w:themeColor="text1"/>
          <w:lang w:val="en-US"/>
        </w:rPr>
        <w:t>application</w:t>
      </w:r>
      <w:r w:rsidRPr="00B40A77">
        <w:rPr>
          <w:color w:val="000000" w:themeColor="text1"/>
          <w:lang w:val="en-US"/>
        </w:rPr>
        <w:t xml:space="preserve"> is made for admission of an </w:t>
      </w:r>
      <w:r w:rsidRPr="00B40A77">
        <w:rPr>
          <w:color w:val="000000" w:themeColor="text1"/>
        </w:rPr>
        <w:t>audio visual record</w:t>
      </w:r>
      <w:r w:rsidR="003115A6" w:rsidRPr="00B40A77">
        <w:rPr>
          <w:color w:val="000000" w:themeColor="text1"/>
        </w:rPr>
        <w:t xml:space="preserve"> under section</w:t>
      </w:r>
      <w:r w:rsidR="00650D28" w:rsidRPr="00B40A77">
        <w:rPr>
          <w:color w:val="000000" w:themeColor="text1"/>
        </w:rPr>
        <w:t> </w:t>
      </w:r>
      <w:r w:rsidR="003115A6" w:rsidRPr="00B40A77">
        <w:rPr>
          <w:color w:val="000000" w:themeColor="text1"/>
        </w:rPr>
        <w:t>1</w:t>
      </w:r>
      <w:r w:rsidR="00804442" w:rsidRPr="00B40A77">
        <w:rPr>
          <w:color w:val="000000" w:themeColor="text1"/>
        </w:rPr>
        <w:t>3</w:t>
      </w:r>
      <w:r w:rsidR="003115A6" w:rsidRPr="00B40A77">
        <w:rPr>
          <w:color w:val="000000" w:themeColor="text1"/>
        </w:rPr>
        <w:t>BA(3)(b) of the Evidence Act</w:t>
      </w:r>
      <w:r w:rsidRPr="00B40A77">
        <w:rPr>
          <w:color w:val="000000" w:themeColor="text1"/>
        </w:rPr>
        <w:t>, the applicant</w:t>
      </w:r>
      <w:r w:rsidRPr="00B40A77">
        <w:rPr>
          <w:color w:val="000000" w:themeColor="text1"/>
          <w:lang w:val="en-US"/>
        </w:rPr>
        <w:t xml:space="preserve"> must file and serve an electronic copy of a transcript of the </w:t>
      </w:r>
      <w:r w:rsidRPr="00B40A77">
        <w:rPr>
          <w:color w:val="000000" w:themeColor="text1"/>
        </w:rPr>
        <w:t>audio visual record</w:t>
      </w:r>
      <w:r w:rsidRPr="00B40A77">
        <w:rPr>
          <w:color w:val="000000" w:themeColor="text1"/>
          <w:lang w:val="en-US"/>
        </w:rPr>
        <w:t xml:space="preserve"> at least </w:t>
      </w:r>
      <w:r w:rsidR="003115A6" w:rsidRPr="00B40A77">
        <w:rPr>
          <w:color w:val="000000" w:themeColor="text1"/>
          <w:lang w:val="en-US"/>
        </w:rPr>
        <w:t>7</w:t>
      </w:r>
      <w:r w:rsidRPr="00B40A77">
        <w:rPr>
          <w:color w:val="000000" w:themeColor="text1"/>
          <w:lang w:val="en-US"/>
        </w:rPr>
        <w:t xml:space="preserve"> days before the </w:t>
      </w:r>
      <w:r w:rsidR="003115A6" w:rsidRPr="00B40A77">
        <w:rPr>
          <w:color w:val="000000" w:themeColor="text1"/>
          <w:lang w:val="en-US"/>
        </w:rPr>
        <w:t>date on which the application is to be heard</w:t>
      </w:r>
      <w:r w:rsidRPr="00B40A77">
        <w:rPr>
          <w:color w:val="000000" w:themeColor="text1"/>
          <w:lang w:val="en-US"/>
        </w:rPr>
        <w:t>.</w:t>
      </w:r>
    </w:p>
    <w:bookmarkEnd w:id="784"/>
    <w:p w14:paraId="5D9733B2" w14:textId="77777777" w:rsidR="00C90BD3" w:rsidRPr="00B40A77" w:rsidRDefault="00C90BD3" w:rsidP="00C90BD3">
      <w:pPr>
        <w:pStyle w:val="NoteHeader"/>
        <w:keepNext/>
        <w:rPr>
          <w:color w:val="000000" w:themeColor="text1"/>
          <w:lang w:val="en-US"/>
        </w:rPr>
      </w:pPr>
      <w:r w:rsidRPr="00B40A77">
        <w:rPr>
          <w:color w:val="000000" w:themeColor="text1"/>
          <w:lang w:val="en-US"/>
        </w:rPr>
        <w:t>Note—</w:t>
      </w:r>
    </w:p>
    <w:p w14:paraId="6BFEE769" w14:textId="2076A1D5" w:rsidR="00C90BD3" w:rsidRPr="00B40A77" w:rsidRDefault="00C90BD3" w:rsidP="00C90BD3">
      <w:pPr>
        <w:pStyle w:val="NoteText"/>
        <w:rPr>
          <w:color w:val="000000" w:themeColor="text1"/>
          <w:lang w:val="en-US"/>
        </w:rPr>
      </w:pPr>
      <w:r w:rsidRPr="00B40A77">
        <w:rPr>
          <w:color w:val="000000" w:themeColor="text1"/>
          <w:lang w:val="en-US"/>
        </w:rPr>
        <w:t xml:space="preserve">If an audio visual record governed by this rule is a record of an interview of a </w:t>
      </w:r>
      <w:r w:rsidRPr="00B40A77">
        <w:rPr>
          <w:rFonts w:cs="Arial"/>
          <w:color w:val="000000" w:themeColor="text1"/>
        </w:rPr>
        <w:t>child of or under the age of 14 years or a person with a disability that adversely affects the witness’ capacity to give a coherent account of the witness’ experiences or to respond rationally to questions</w:t>
      </w:r>
      <w:r w:rsidR="000E7DA2" w:rsidRPr="00B40A77">
        <w:rPr>
          <w:rFonts w:cs="Arial"/>
          <w:color w:val="000000" w:themeColor="text1"/>
        </w:rPr>
        <w:t>,</w:t>
      </w:r>
      <w:r w:rsidRPr="00B40A77">
        <w:rPr>
          <w:rFonts w:cs="Arial"/>
          <w:color w:val="000000" w:themeColor="text1"/>
        </w:rPr>
        <w:t xml:space="preserve"> </w:t>
      </w:r>
      <w:r w:rsidR="00CB2970" w:rsidRPr="00B40A77">
        <w:rPr>
          <w:rFonts w:cs="Arial"/>
          <w:color w:val="000000" w:themeColor="text1"/>
        </w:rPr>
        <w:t xml:space="preserve">who </w:t>
      </w:r>
      <w:r w:rsidR="00CB2970" w:rsidRPr="00B40A77">
        <w:rPr>
          <w:rFonts w:cs="Arial"/>
          <w:color w:val="000000" w:themeColor="text1"/>
        </w:rPr>
        <w:lastRenderedPageBreak/>
        <w:t>is the alleged victim of a sexual offence as defined by section 4 of the Evidence Act, it comprises “sensitive material” and is governed by sections 67HA, 67I and 67J of the Evidence Act</w:t>
      </w:r>
      <w:r w:rsidRPr="00B40A77">
        <w:rPr>
          <w:color w:val="000000" w:themeColor="text1"/>
          <w:lang w:val="en-US"/>
        </w:rPr>
        <w:t>.</w:t>
      </w:r>
    </w:p>
    <w:p w14:paraId="235CFDC7" w14:textId="76488B1D" w:rsidR="00833018" w:rsidRPr="00B40A77" w:rsidRDefault="00AB2DEC" w:rsidP="00833018">
      <w:pPr>
        <w:pStyle w:val="Heading4"/>
        <w:rPr>
          <w:color w:val="000000" w:themeColor="text1"/>
        </w:rPr>
      </w:pPr>
      <w:bookmarkStart w:id="785" w:name="_130.2—Admission_of_audio"/>
      <w:bookmarkStart w:id="786" w:name="_Toc66966184"/>
      <w:bookmarkStart w:id="787" w:name="_Toc175239156"/>
      <w:bookmarkEnd w:id="782"/>
      <w:bookmarkEnd w:id="785"/>
      <w:r w:rsidRPr="00B40A77">
        <w:rPr>
          <w:color w:val="000000" w:themeColor="text1"/>
        </w:rPr>
        <w:t>130.3</w:t>
      </w:r>
      <w:r w:rsidR="00833018" w:rsidRPr="00B40A77">
        <w:rPr>
          <w:color w:val="000000" w:themeColor="text1"/>
        </w:rPr>
        <w:t>—Admission of recorded evidence</w:t>
      </w:r>
      <w:bookmarkEnd w:id="786"/>
      <w:bookmarkEnd w:id="787"/>
    </w:p>
    <w:p w14:paraId="418074C3" w14:textId="513505FE" w:rsidR="00833018" w:rsidRPr="00B40A77" w:rsidRDefault="00833018" w:rsidP="00833018">
      <w:pPr>
        <w:pStyle w:val="Hangindent"/>
        <w:keepNext/>
        <w:keepLines/>
        <w:rPr>
          <w:color w:val="000000" w:themeColor="text1"/>
          <w:lang w:val="en-US"/>
        </w:rPr>
      </w:pPr>
      <w:r w:rsidRPr="00B40A77">
        <w:rPr>
          <w:color w:val="000000" w:themeColor="text1"/>
          <w:lang w:val="en-US"/>
        </w:rPr>
        <w:t>(1)</w:t>
      </w:r>
      <w:r w:rsidRPr="00B40A77">
        <w:rPr>
          <w:color w:val="000000" w:themeColor="text1"/>
          <w:lang w:val="en-US"/>
        </w:rPr>
        <w:tab/>
        <w:t xml:space="preserve">An application for admission of an </w:t>
      </w:r>
      <w:r w:rsidRPr="00B40A77">
        <w:rPr>
          <w:color w:val="000000" w:themeColor="text1"/>
        </w:rPr>
        <w:t>official record of evidence given in an earlier proceeding under section</w:t>
      </w:r>
      <w:r w:rsidR="003F313A" w:rsidRPr="00B40A77">
        <w:rPr>
          <w:color w:val="000000" w:themeColor="text1"/>
        </w:rPr>
        <w:t> </w:t>
      </w:r>
      <w:r w:rsidRPr="00B40A77">
        <w:rPr>
          <w:color w:val="000000" w:themeColor="text1"/>
        </w:rPr>
        <w:t>13D of the Evidence Act must</w:t>
      </w:r>
      <w:r w:rsidR="00095801" w:rsidRPr="00B40A77">
        <w:rPr>
          <w:color w:val="000000" w:themeColor="text1"/>
        </w:rPr>
        <w:t xml:space="preserve"> be</w:t>
      </w:r>
      <w:r w:rsidRPr="00B40A77">
        <w:rPr>
          <w:color w:val="000000" w:themeColor="text1"/>
          <w:lang w:val="en-US"/>
        </w:rPr>
        <w:t>—</w:t>
      </w:r>
    </w:p>
    <w:p w14:paraId="780C42E4" w14:textId="6EFC547D" w:rsidR="00833018" w:rsidRPr="00B40A77" w:rsidRDefault="00833018" w:rsidP="00833018">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095801" w:rsidRPr="00B40A77">
        <w:rPr>
          <w:color w:val="000000" w:themeColor="text1"/>
          <w:lang w:val="en-US"/>
        </w:rPr>
        <w:t xml:space="preserve">by an </w:t>
      </w:r>
      <w:r w:rsidR="00FA4048" w:rsidRPr="00B40A77">
        <w:rPr>
          <w:color w:val="000000" w:themeColor="text1"/>
          <w:lang w:val="en-US"/>
        </w:rPr>
        <w:t xml:space="preserve">interlocutory application </w:t>
      </w:r>
      <w:r w:rsidR="00095801" w:rsidRPr="00B40A77">
        <w:rPr>
          <w:color w:val="000000" w:themeColor="text1"/>
          <w:lang w:val="en-US"/>
        </w:rPr>
        <w:t xml:space="preserve">in accordance with </w:t>
      </w:r>
      <w:hyperlink w:anchor="_39.1—Written_application" w:history="1">
        <w:r w:rsidR="00C1210B" w:rsidRPr="00B40A77">
          <w:rPr>
            <w:rStyle w:val="Hyperlink"/>
            <w:color w:val="000000" w:themeColor="text1"/>
            <w:lang w:val="en-US"/>
          </w:rPr>
          <w:t>rule 39.1</w:t>
        </w:r>
      </w:hyperlink>
      <w:r w:rsidRPr="00B40A77">
        <w:rPr>
          <w:color w:val="000000" w:themeColor="text1"/>
          <w:lang w:val="en-US"/>
        </w:rPr>
        <w:t>; and</w:t>
      </w:r>
    </w:p>
    <w:p w14:paraId="0C262DEC" w14:textId="06265A48" w:rsidR="00833018" w:rsidRPr="00B40A77" w:rsidRDefault="00833018" w:rsidP="00833018">
      <w:pPr>
        <w:pStyle w:val="Doublehangindent"/>
        <w:rPr>
          <w:color w:val="000000" w:themeColor="text1"/>
          <w:lang w:val="en-US"/>
        </w:rPr>
      </w:pPr>
      <w:r w:rsidRPr="00B40A77">
        <w:rPr>
          <w:color w:val="000000" w:themeColor="text1"/>
          <w:lang w:val="en-US"/>
        </w:rPr>
        <w:t>(b)</w:t>
      </w:r>
      <w:r w:rsidRPr="00B40A77">
        <w:rPr>
          <w:color w:val="000000" w:themeColor="text1"/>
          <w:lang w:val="en-US"/>
        </w:rPr>
        <w:tab/>
        <w:t>accompanied by an electronic copy of the official record.</w:t>
      </w:r>
    </w:p>
    <w:p w14:paraId="2FBC7FCA" w14:textId="0CB8C98D" w:rsidR="00833018" w:rsidRPr="00B40A77" w:rsidRDefault="00833018" w:rsidP="00833018">
      <w:pPr>
        <w:pStyle w:val="Hangindent"/>
        <w:keepNext/>
        <w:keepLines/>
        <w:rPr>
          <w:color w:val="000000" w:themeColor="text1"/>
          <w:szCs w:val="24"/>
          <w:u w:val="single"/>
          <w:lang w:val="en-US"/>
        </w:rPr>
      </w:pPr>
      <w:r w:rsidRPr="00B40A77">
        <w:rPr>
          <w:i/>
          <w:iCs/>
          <w:color w:val="000000" w:themeColor="text1"/>
          <w:sz w:val="24"/>
          <w:szCs w:val="28"/>
          <w:lang w:val="en-US"/>
        </w:rPr>
        <w:t>Higher Courts</w:t>
      </w:r>
    </w:p>
    <w:p w14:paraId="6D7F460A" w14:textId="661E4EB4" w:rsidR="00833018" w:rsidRPr="00B40A77" w:rsidRDefault="00B8489F" w:rsidP="00CE24CE">
      <w:pPr>
        <w:pStyle w:val="Hangindent"/>
        <w:keepNext/>
        <w:keepLines/>
        <w:rPr>
          <w:color w:val="000000" w:themeColor="text1"/>
          <w:szCs w:val="24"/>
          <w:lang w:val="en-US"/>
        </w:rPr>
      </w:pPr>
      <w:r w:rsidRPr="00B40A77">
        <w:rPr>
          <w:color w:val="000000" w:themeColor="text1"/>
          <w:szCs w:val="24"/>
          <w:lang w:val="en-US"/>
        </w:rPr>
        <w:t>(2)</w:t>
      </w:r>
      <w:r w:rsidRPr="00B40A77">
        <w:rPr>
          <w:color w:val="000000" w:themeColor="text1"/>
          <w:szCs w:val="24"/>
          <w:lang w:val="en-US"/>
        </w:rPr>
        <w:tab/>
      </w:r>
      <w:r w:rsidR="00833018" w:rsidRPr="00B40A77">
        <w:rPr>
          <w:color w:val="000000" w:themeColor="text1"/>
          <w:szCs w:val="24"/>
          <w:lang w:val="en-US"/>
        </w:rPr>
        <w:t xml:space="preserve">An application for admission of </w:t>
      </w:r>
      <w:r w:rsidR="00912B25" w:rsidRPr="00B40A77">
        <w:rPr>
          <w:color w:val="000000" w:themeColor="text1"/>
          <w:lang w:val="en-US"/>
        </w:rPr>
        <w:t xml:space="preserve">an </w:t>
      </w:r>
      <w:r w:rsidR="00912B25" w:rsidRPr="00B40A77">
        <w:rPr>
          <w:color w:val="000000" w:themeColor="text1"/>
        </w:rPr>
        <w:t>official record of evidence given in an earlier proceeding</w:t>
      </w:r>
      <w:r w:rsidR="00833018" w:rsidRPr="00B40A77">
        <w:rPr>
          <w:color w:val="000000" w:themeColor="text1"/>
          <w:szCs w:val="24"/>
          <w:lang w:val="en-US"/>
        </w:rPr>
        <w:t xml:space="preserve"> must be filed</w:t>
      </w:r>
      <w:r w:rsidR="00833018" w:rsidRPr="00B40A77">
        <w:rPr>
          <w:color w:val="000000" w:themeColor="text1"/>
          <w:lang w:val="en-US"/>
        </w:rPr>
        <w:t>—</w:t>
      </w:r>
    </w:p>
    <w:p w14:paraId="46AEEFC8" w14:textId="77777777" w:rsidR="00833018" w:rsidRPr="00B40A77" w:rsidRDefault="00833018" w:rsidP="00833018">
      <w:pPr>
        <w:pStyle w:val="Doublehangindent"/>
        <w:rPr>
          <w:color w:val="000000" w:themeColor="text1"/>
          <w:lang w:val="en-US"/>
        </w:rPr>
      </w:pPr>
      <w:r w:rsidRPr="00B40A77">
        <w:rPr>
          <w:color w:val="000000" w:themeColor="text1"/>
          <w:lang w:val="en-US"/>
        </w:rPr>
        <w:t>(a)</w:t>
      </w:r>
      <w:r w:rsidRPr="00B40A77">
        <w:rPr>
          <w:color w:val="000000" w:themeColor="text1"/>
          <w:lang w:val="en-US"/>
        </w:rPr>
        <w:tab/>
        <w:t>in the case of an application by the Director—by the time fixed for filing a prosecution case statement;</w:t>
      </w:r>
    </w:p>
    <w:p w14:paraId="4031B920" w14:textId="61422503" w:rsidR="00833018" w:rsidRPr="00B40A77" w:rsidRDefault="00833018" w:rsidP="00833018">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all other cases—</w:t>
      </w:r>
      <w:r w:rsidR="00013454" w:rsidRPr="00B40A77">
        <w:rPr>
          <w:color w:val="000000" w:themeColor="text1"/>
          <w:lang w:val="en-US"/>
        </w:rPr>
        <w:t xml:space="preserve">at least 7 days before the first </w:t>
      </w:r>
      <w:hyperlink w:anchor="_2.1—Definitions" w:history="1">
        <w:r w:rsidR="00BF56DC" w:rsidRPr="00B40A77">
          <w:rPr>
            <w:rStyle w:val="Hyperlink"/>
            <w:color w:val="000000" w:themeColor="text1"/>
          </w:rPr>
          <w:t>directions hearing</w:t>
        </w:r>
      </w:hyperlink>
      <w:r w:rsidRPr="00B40A77">
        <w:rPr>
          <w:color w:val="000000" w:themeColor="text1"/>
          <w:lang w:val="en-US"/>
        </w:rPr>
        <w:t>.</w:t>
      </w:r>
    </w:p>
    <w:p w14:paraId="4E97E8ED" w14:textId="5DEB681C" w:rsidR="00833018" w:rsidRPr="00B40A77" w:rsidRDefault="00833018" w:rsidP="00833018">
      <w:pPr>
        <w:pStyle w:val="Hangindent"/>
        <w:keepNext/>
        <w:keepLines/>
        <w:rPr>
          <w:color w:val="000000" w:themeColor="text1"/>
          <w:sz w:val="24"/>
          <w:szCs w:val="28"/>
          <w:u w:val="single"/>
          <w:lang w:val="en-US"/>
        </w:rPr>
      </w:pPr>
      <w:r w:rsidRPr="00B40A77">
        <w:rPr>
          <w:i/>
          <w:iCs/>
          <w:color w:val="000000" w:themeColor="text1"/>
          <w:sz w:val="24"/>
          <w:szCs w:val="28"/>
          <w:lang w:val="en-US"/>
        </w:rPr>
        <w:t>Lower Courts</w:t>
      </w:r>
    </w:p>
    <w:p w14:paraId="34CF9FF2" w14:textId="4192C99E" w:rsidR="00833018" w:rsidRPr="00B40A77" w:rsidRDefault="00B8489F" w:rsidP="00203143">
      <w:pPr>
        <w:pStyle w:val="Hangindent"/>
        <w:rPr>
          <w:color w:val="000000" w:themeColor="text1"/>
          <w:lang w:val="en-US"/>
        </w:rPr>
      </w:pPr>
      <w:r w:rsidRPr="00B40A77">
        <w:rPr>
          <w:color w:val="000000" w:themeColor="text1"/>
          <w:szCs w:val="24"/>
          <w:lang w:val="en-US"/>
        </w:rPr>
        <w:t>(3)</w:t>
      </w:r>
      <w:r w:rsidRPr="00B40A77">
        <w:rPr>
          <w:color w:val="000000" w:themeColor="text1"/>
          <w:szCs w:val="24"/>
          <w:lang w:val="en-US"/>
        </w:rPr>
        <w:tab/>
      </w:r>
      <w:r w:rsidR="00833018" w:rsidRPr="00B40A77">
        <w:rPr>
          <w:color w:val="000000" w:themeColor="text1"/>
          <w:szCs w:val="24"/>
          <w:lang w:val="en-US"/>
        </w:rPr>
        <w:t xml:space="preserve">An application for admission of </w:t>
      </w:r>
      <w:r w:rsidR="00912B25" w:rsidRPr="00B40A77">
        <w:rPr>
          <w:color w:val="000000" w:themeColor="text1"/>
          <w:lang w:val="en-US"/>
        </w:rPr>
        <w:t xml:space="preserve">an </w:t>
      </w:r>
      <w:r w:rsidR="00912B25" w:rsidRPr="00B40A77">
        <w:rPr>
          <w:color w:val="000000" w:themeColor="text1"/>
        </w:rPr>
        <w:t>official record of evidence given in an earlier proceeding</w:t>
      </w:r>
      <w:r w:rsidR="00912B25" w:rsidRPr="00B40A77">
        <w:rPr>
          <w:color w:val="000000" w:themeColor="text1"/>
          <w:szCs w:val="24"/>
          <w:lang w:val="en-US"/>
        </w:rPr>
        <w:t xml:space="preserve"> </w:t>
      </w:r>
      <w:r w:rsidR="00833018" w:rsidRPr="00B40A77">
        <w:rPr>
          <w:color w:val="000000" w:themeColor="text1"/>
          <w:szCs w:val="24"/>
          <w:lang w:val="en-US"/>
        </w:rPr>
        <w:t>must be filed</w:t>
      </w:r>
      <w:r w:rsidR="00833018" w:rsidRPr="00B40A77">
        <w:rPr>
          <w:color w:val="000000" w:themeColor="text1"/>
          <w:lang w:val="en-US"/>
        </w:rPr>
        <w:t xml:space="preserve"> and served </w:t>
      </w:r>
      <w:r w:rsidR="00160D92" w:rsidRPr="00B40A77">
        <w:rPr>
          <w:color w:val="000000" w:themeColor="text1"/>
          <w:lang w:val="en-US"/>
        </w:rPr>
        <w:t>by</w:t>
      </w:r>
      <w:r w:rsidR="00833018" w:rsidRPr="00B40A77">
        <w:rPr>
          <w:color w:val="000000" w:themeColor="text1"/>
          <w:lang w:val="en-US"/>
        </w:rPr>
        <w:t xml:space="preserve"> the </w:t>
      </w:r>
      <w:hyperlink w:anchor="_2.1—Definitions" w:history="1">
        <w:r w:rsidR="00012B38" w:rsidRPr="00B40A77">
          <w:rPr>
            <w:rStyle w:val="Hyperlink"/>
            <w:color w:val="000000" w:themeColor="text1"/>
            <w:lang w:val="en-US"/>
          </w:rPr>
          <w:t>pre-trial conference date</w:t>
        </w:r>
      </w:hyperlink>
      <w:r w:rsidR="00833018" w:rsidRPr="00B40A77">
        <w:rPr>
          <w:color w:val="000000" w:themeColor="text1"/>
          <w:szCs w:val="24"/>
          <w:lang w:val="en-US"/>
        </w:rPr>
        <w:t>.</w:t>
      </w:r>
    </w:p>
    <w:p w14:paraId="1C37C435" w14:textId="1BD0EFAD" w:rsidR="00833018" w:rsidRPr="00B40A77" w:rsidRDefault="00833018" w:rsidP="00833018">
      <w:pPr>
        <w:pStyle w:val="Hangindent"/>
        <w:keepNext/>
        <w:keepLines/>
        <w:rPr>
          <w:color w:val="000000" w:themeColor="text1"/>
          <w:sz w:val="24"/>
          <w:szCs w:val="28"/>
          <w:u w:val="single"/>
          <w:lang w:val="en-US"/>
        </w:rPr>
      </w:pPr>
      <w:bookmarkStart w:id="788" w:name="_Toc66966185"/>
      <w:r w:rsidRPr="00B40A77">
        <w:rPr>
          <w:i/>
          <w:iCs/>
          <w:color w:val="000000" w:themeColor="text1"/>
          <w:sz w:val="24"/>
          <w:szCs w:val="28"/>
          <w:lang w:val="en-US"/>
        </w:rPr>
        <w:t>All Courts</w:t>
      </w:r>
    </w:p>
    <w:p w14:paraId="226EEF0F" w14:textId="374D90F5" w:rsidR="00833018" w:rsidRPr="00B40A77" w:rsidRDefault="00B8489F" w:rsidP="00CE24CE">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00833018" w:rsidRPr="00B40A77">
        <w:rPr>
          <w:color w:val="000000" w:themeColor="text1"/>
          <w:lang w:val="en-US"/>
        </w:rPr>
        <w:t xml:space="preserve">If an order is made for admission of an </w:t>
      </w:r>
      <w:r w:rsidR="00833018" w:rsidRPr="00B40A77">
        <w:rPr>
          <w:color w:val="000000" w:themeColor="text1"/>
        </w:rPr>
        <w:t>official record and</w:t>
      </w:r>
      <w:r w:rsidR="00833018" w:rsidRPr="00B40A77">
        <w:rPr>
          <w:color w:val="000000" w:themeColor="text1"/>
          <w:lang w:val="en-US"/>
        </w:rPr>
        <w:t xml:space="preserve"> the official record is not already in the form of a transcript, </w:t>
      </w:r>
      <w:r w:rsidR="00833018" w:rsidRPr="00B40A77">
        <w:rPr>
          <w:color w:val="000000" w:themeColor="text1"/>
        </w:rPr>
        <w:t>the applicant</w:t>
      </w:r>
      <w:r w:rsidR="00833018" w:rsidRPr="00B40A77">
        <w:rPr>
          <w:color w:val="000000" w:themeColor="text1"/>
          <w:lang w:val="en-US"/>
        </w:rPr>
        <w:t xml:space="preserve"> must file and serve an electronic copy of a transcript of the </w:t>
      </w:r>
      <w:r w:rsidR="00833018" w:rsidRPr="00B40A77">
        <w:rPr>
          <w:color w:val="000000" w:themeColor="text1"/>
        </w:rPr>
        <w:t xml:space="preserve">official record </w:t>
      </w:r>
      <w:r w:rsidR="00833018" w:rsidRPr="00B40A77">
        <w:rPr>
          <w:color w:val="000000" w:themeColor="text1"/>
          <w:lang w:val="en-US"/>
        </w:rPr>
        <w:t xml:space="preserve">at least 14 days before the </w:t>
      </w:r>
      <w:hyperlink w:anchor="_2.1—Definitions" w:history="1">
        <w:r w:rsidR="004740A2" w:rsidRPr="00B40A77">
          <w:rPr>
            <w:rStyle w:val="Hyperlink"/>
            <w:color w:val="000000" w:themeColor="text1"/>
          </w:rPr>
          <w:t>trial date</w:t>
        </w:r>
      </w:hyperlink>
      <w:r w:rsidR="00833018" w:rsidRPr="00B40A77">
        <w:rPr>
          <w:color w:val="000000" w:themeColor="text1"/>
          <w:lang w:val="en-US"/>
        </w:rPr>
        <w:t>.</w:t>
      </w:r>
    </w:p>
    <w:p w14:paraId="14D5E912" w14:textId="59799518" w:rsidR="00833018" w:rsidRPr="00B40A77" w:rsidRDefault="00AB2DEC" w:rsidP="00833018">
      <w:pPr>
        <w:pStyle w:val="Heading4"/>
        <w:rPr>
          <w:color w:val="000000" w:themeColor="text1"/>
        </w:rPr>
      </w:pPr>
      <w:bookmarkStart w:id="789" w:name="_Toc175239157"/>
      <w:r w:rsidRPr="00B40A77">
        <w:rPr>
          <w:color w:val="000000" w:themeColor="text1"/>
        </w:rPr>
        <w:t>130.4</w:t>
      </w:r>
      <w:r w:rsidR="00833018" w:rsidRPr="00B40A77">
        <w:rPr>
          <w:color w:val="000000" w:themeColor="text1"/>
        </w:rPr>
        <w:t>—Evidence to be taken interstate or overseas</w:t>
      </w:r>
      <w:bookmarkEnd w:id="788"/>
      <w:bookmarkEnd w:id="789"/>
    </w:p>
    <w:p w14:paraId="6D5B0A1D" w14:textId="312A7057" w:rsidR="00833018" w:rsidRPr="00B40A77" w:rsidRDefault="00833018"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 request under section</w:t>
      </w:r>
      <w:r w:rsidR="003F313A" w:rsidRPr="00B40A77">
        <w:rPr>
          <w:color w:val="000000" w:themeColor="text1"/>
          <w:lang w:val="en-US"/>
        </w:rPr>
        <w:t> </w:t>
      </w:r>
      <w:r w:rsidRPr="00B40A77">
        <w:rPr>
          <w:color w:val="000000" w:themeColor="text1"/>
          <w:lang w:val="en-US"/>
        </w:rPr>
        <w:t>59E(1)(c) of the Evidence Act</w:t>
      </w:r>
      <w:r w:rsidRPr="00B40A77">
        <w:rPr>
          <w:iCs/>
          <w:color w:val="000000" w:themeColor="text1"/>
          <w:lang w:val="en-US"/>
        </w:rPr>
        <w:t xml:space="preserve"> </w:t>
      </w:r>
      <w:r w:rsidRPr="00B40A77">
        <w:rPr>
          <w:color w:val="000000" w:themeColor="text1"/>
          <w:lang w:val="en-US"/>
        </w:rPr>
        <w:t xml:space="preserve">to a foreign court to take evidence must be in </w:t>
      </w:r>
      <w:r w:rsidRPr="00B40A77">
        <w:rPr>
          <w:color w:val="000000" w:themeColor="text1"/>
        </w:rPr>
        <w:t xml:space="preserve">the prescribed </w:t>
      </w:r>
      <w:r w:rsidRPr="00B40A77">
        <w:rPr>
          <w:color w:val="000000" w:themeColor="text1"/>
          <w:lang w:val="en-US"/>
        </w:rPr>
        <w:t>form.</w:t>
      </w:r>
    </w:p>
    <w:p w14:paraId="589FEBAD" w14:textId="77777777" w:rsidR="00833018" w:rsidRPr="00B40A77" w:rsidRDefault="00833018" w:rsidP="004E3D0F">
      <w:pPr>
        <w:pStyle w:val="NoteHeader"/>
        <w:keepNext/>
        <w:rPr>
          <w:color w:val="000000" w:themeColor="text1"/>
        </w:rPr>
      </w:pPr>
      <w:r w:rsidRPr="00B40A77">
        <w:rPr>
          <w:color w:val="000000" w:themeColor="text1"/>
        </w:rPr>
        <w:t>Prescribed form—</w:t>
      </w:r>
    </w:p>
    <w:p w14:paraId="0A21307B" w14:textId="35BEE9AF" w:rsidR="00833018" w:rsidRPr="00B40A77" w:rsidRDefault="00833018" w:rsidP="006A5DD8">
      <w:pPr>
        <w:pStyle w:val="NoteText"/>
        <w:rPr>
          <w:color w:val="000000" w:themeColor="text1"/>
        </w:rPr>
      </w:pPr>
      <w:r w:rsidRPr="00B40A77">
        <w:rPr>
          <w:color w:val="000000" w:themeColor="text1"/>
        </w:rPr>
        <w:t xml:space="preserve">Form 114 </w:t>
      </w:r>
      <w:hyperlink r:id="rId221" w:history="1">
        <w:r w:rsidRPr="00B40A77">
          <w:rPr>
            <w:rStyle w:val="Hyperlink"/>
            <w:color w:val="000000" w:themeColor="text1"/>
          </w:rPr>
          <w:t xml:space="preserve">Letter of </w:t>
        </w:r>
        <w:r w:rsidR="00B228DD" w:rsidRPr="00B40A77">
          <w:rPr>
            <w:rStyle w:val="Hyperlink"/>
            <w:color w:val="000000" w:themeColor="text1"/>
          </w:rPr>
          <w:t>R</w:t>
        </w:r>
        <w:r w:rsidRPr="00B40A77">
          <w:rPr>
            <w:rStyle w:val="Hyperlink"/>
            <w:color w:val="000000" w:themeColor="text1"/>
          </w:rPr>
          <w:t>equest</w:t>
        </w:r>
      </w:hyperlink>
    </w:p>
    <w:p w14:paraId="364D8FFD" w14:textId="77777777" w:rsidR="00833018" w:rsidRPr="00B40A77" w:rsidRDefault="00833018" w:rsidP="00833018">
      <w:pPr>
        <w:pStyle w:val="Hangindent"/>
        <w:rPr>
          <w:color w:val="000000" w:themeColor="text1"/>
        </w:rPr>
      </w:pPr>
      <w:r w:rsidRPr="00B40A77">
        <w:rPr>
          <w:color w:val="000000" w:themeColor="text1"/>
          <w:lang w:val="en-US"/>
        </w:rPr>
        <w:t>(2)</w:t>
      </w:r>
      <w:r w:rsidRPr="00B40A77">
        <w:rPr>
          <w:color w:val="000000" w:themeColor="text1"/>
          <w:lang w:val="en-US"/>
        </w:rPr>
        <w:tab/>
        <w:t>T</w:t>
      </w:r>
      <w:r w:rsidRPr="00B40A77">
        <w:rPr>
          <w:color w:val="000000" w:themeColor="text1"/>
        </w:rPr>
        <w:t xml:space="preserve">he applicant for the order is </w:t>
      </w:r>
      <w:r w:rsidRPr="00B40A77">
        <w:rPr>
          <w:color w:val="000000" w:themeColor="text1"/>
          <w:lang w:val="en-GB"/>
        </w:rPr>
        <w:t xml:space="preserve">responsible for all expenses incurred by the Court, or by any person at the request of the Court, in respect of the letter of request to the foreign court. </w:t>
      </w:r>
    </w:p>
    <w:p w14:paraId="5899A451" w14:textId="7B696AED" w:rsidR="00833018" w:rsidRPr="00B40A77" w:rsidRDefault="00AB2DEC" w:rsidP="00833018">
      <w:pPr>
        <w:pStyle w:val="Heading4"/>
        <w:rPr>
          <w:color w:val="000000" w:themeColor="text1"/>
        </w:rPr>
      </w:pPr>
      <w:bookmarkStart w:id="790" w:name="_Toc66966186"/>
      <w:bookmarkStart w:id="791" w:name="_Toc175239158"/>
      <w:r w:rsidRPr="00B40A77">
        <w:rPr>
          <w:color w:val="000000" w:themeColor="text1"/>
        </w:rPr>
        <w:t>130.5</w:t>
      </w:r>
      <w:r w:rsidR="00833018" w:rsidRPr="00B40A77">
        <w:rPr>
          <w:color w:val="000000" w:themeColor="text1"/>
        </w:rPr>
        <w:t>—</w:t>
      </w:r>
      <w:r w:rsidR="001D63F7" w:rsidRPr="00B40A77">
        <w:rPr>
          <w:color w:val="000000" w:themeColor="text1"/>
        </w:rPr>
        <w:t>Audio link or audio visual link</w:t>
      </w:r>
      <w:r w:rsidR="00833018" w:rsidRPr="00B40A77">
        <w:rPr>
          <w:color w:val="000000" w:themeColor="text1"/>
        </w:rPr>
        <w:t xml:space="preserve"> evidence or submissions</w:t>
      </w:r>
      <w:bookmarkEnd w:id="790"/>
      <w:bookmarkEnd w:id="791"/>
    </w:p>
    <w:p w14:paraId="1941953D" w14:textId="424F5D91" w:rsidR="00833018" w:rsidRPr="00B40A77" w:rsidRDefault="00833018" w:rsidP="00833018">
      <w:pPr>
        <w:pStyle w:val="Hangindent"/>
        <w:rPr>
          <w:color w:val="000000" w:themeColor="text1"/>
          <w:spacing w:val="-3"/>
          <w:lang w:val="en-US"/>
        </w:rPr>
      </w:pPr>
      <w:r w:rsidRPr="00B40A77">
        <w:rPr>
          <w:color w:val="000000" w:themeColor="text1"/>
        </w:rPr>
        <w:t>(1)</w:t>
      </w:r>
      <w:r w:rsidRPr="00B40A77">
        <w:rPr>
          <w:color w:val="000000" w:themeColor="text1"/>
        </w:rPr>
        <w:tab/>
        <w:t xml:space="preserve">This rule applies when the Court makes an order for taking evidence or submissions by </w:t>
      </w:r>
      <w:hyperlink w:anchor="_2.1—Definitions" w:history="1">
        <w:r w:rsidR="000A356B" w:rsidRPr="00B40A77">
          <w:rPr>
            <w:rStyle w:val="Hyperlink"/>
            <w:color w:val="000000" w:themeColor="text1"/>
          </w:rPr>
          <w:t>audio visual link</w:t>
        </w:r>
      </w:hyperlink>
      <w:r w:rsidR="000A356B" w:rsidRPr="00B40A77">
        <w:rPr>
          <w:color w:val="000000" w:themeColor="text1"/>
        </w:rPr>
        <w:t xml:space="preserve"> or </w:t>
      </w:r>
      <w:hyperlink w:anchor="_2.1—Definitions" w:history="1">
        <w:r w:rsidR="001D63F7" w:rsidRPr="00B40A77">
          <w:rPr>
            <w:rStyle w:val="Hyperlink"/>
            <w:color w:val="000000" w:themeColor="text1"/>
          </w:rPr>
          <w:t>audio link</w:t>
        </w:r>
      </w:hyperlink>
      <w:r w:rsidR="001D63F7" w:rsidRPr="00B40A77">
        <w:rPr>
          <w:color w:val="000000" w:themeColor="text1"/>
        </w:rPr>
        <w:t xml:space="preserve"> </w:t>
      </w:r>
      <w:r w:rsidRPr="00B40A77">
        <w:rPr>
          <w:color w:val="000000" w:themeColor="text1"/>
        </w:rPr>
        <w:t>under section</w:t>
      </w:r>
      <w:r w:rsidR="003F313A" w:rsidRPr="00B40A77">
        <w:rPr>
          <w:color w:val="000000" w:themeColor="text1"/>
        </w:rPr>
        <w:t> </w:t>
      </w:r>
      <w:r w:rsidRPr="00B40A77">
        <w:rPr>
          <w:color w:val="000000" w:themeColor="text1"/>
        </w:rPr>
        <w:t xml:space="preserve">59IE of the </w:t>
      </w:r>
      <w:r w:rsidRPr="00B40A77">
        <w:rPr>
          <w:color w:val="000000" w:themeColor="text1"/>
          <w:spacing w:val="-3"/>
          <w:lang w:val="en-US"/>
        </w:rPr>
        <w:t>Evidence Act.</w:t>
      </w:r>
    </w:p>
    <w:p w14:paraId="04070886" w14:textId="4469FDF9" w:rsidR="00833018" w:rsidRPr="00B40A77" w:rsidRDefault="00833018" w:rsidP="00833018">
      <w:pPr>
        <w:pStyle w:val="Hangindent"/>
        <w:rPr>
          <w:color w:val="000000" w:themeColor="text1"/>
        </w:rPr>
      </w:pPr>
      <w:r w:rsidRPr="00B40A77">
        <w:rPr>
          <w:color w:val="000000" w:themeColor="text1"/>
          <w:spacing w:val="-3"/>
          <w:lang w:val="en-US"/>
        </w:rPr>
        <w:t>(2)</w:t>
      </w:r>
      <w:r w:rsidRPr="00B40A77">
        <w:rPr>
          <w:color w:val="000000" w:themeColor="text1"/>
          <w:spacing w:val="-3"/>
          <w:lang w:val="en-US"/>
        </w:rPr>
        <w:tab/>
        <w:t>I</w:t>
      </w:r>
      <w:r w:rsidRPr="00B40A77">
        <w:rPr>
          <w:color w:val="000000" w:themeColor="text1"/>
        </w:rPr>
        <w:t xml:space="preserve">f the applicant for the order no longer requires the evidence or submissions to be taken by </w:t>
      </w:r>
      <w:hyperlink w:anchor="_2.1—Definitions" w:history="1">
        <w:r w:rsidR="000A356B" w:rsidRPr="00B40A77">
          <w:rPr>
            <w:rStyle w:val="Hyperlink"/>
            <w:color w:val="000000" w:themeColor="text1"/>
          </w:rPr>
          <w:t>audio visual link</w:t>
        </w:r>
      </w:hyperlink>
      <w:r w:rsidR="000A356B" w:rsidRPr="00B40A77">
        <w:rPr>
          <w:color w:val="000000" w:themeColor="text1"/>
        </w:rPr>
        <w:t xml:space="preserve"> or </w:t>
      </w:r>
      <w:hyperlink w:anchor="_2.1—Definitions" w:history="1">
        <w:r w:rsidR="001D63F7" w:rsidRPr="00B40A77">
          <w:rPr>
            <w:rStyle w:val="Hyperlink"/>
            <w:color w:val="000000" w:themeColor="text1"/>
          </w:rPr>
          <w:t>audio link</w:t>
        </w:r>
      </w:hyperlink>
      <w:r w:rsidRPr="00B40A77">
        <w:rPr>
          <w:color w:val="000000" w:themeColor="text1"/>
        </w:rPr>
        <w:t xml:space="preserve">, the applicant must notify the </w:t>
      </w:r>
      <w:hyperlink w:anchor="_2.1—Definitions" w:history="1">
        <w:r w:rsidR="00D61876" w:rsidRPr="00B40A77">
          <w:rPr>
            <w:rStyle w:val="Hyperlink"/>
            <w:color w:val="000000" w:themeColor="text1"/>
            <w:lang w:val="en-US"/>
          </w:rPr>
          <w:t>Principal Registrar</w:t>
        </w:r>
      </w:hyperlink>
      <w:r w:rsidRPr="00B40A77">
        <w:rPr>
          <w:color w:val="000000" w:themeColor="text1"/>
        </w:rPr>
        <w:t xml:space="preserve"> immediately.</w:t>
      </w:r>
    </w:p>
    <w:p w14:paraId="1CDEBB79" w14:textId="6C32B1B1" w:rsidR="00833018" w:rsidRPr="00B40A77" w:rsidRDefault="00833018" w:rsidP="00833018">
      <w:pPr>
        <w:pStyle w:val="Hangindent"/>
        <w:rPr>
          <w:color w:val="000000" w:themeColor="text1"/>
        </w:rPr>
      </w:pPr>
      <w:r w:rsidRPr="00B40A77">
        <w:rPr>
          <w:color w:val="000000" w:themeColor="text1"/>
        </w:rPr>
        <w:t>(3)</w:t>
      </w:r>
      <w:r w:rsidRPr="00B40A77">
        <w:rPr>
          <w:color w:val="000000" w:themeColor="text1"/>
        </w:rPr>
        <w:tab/>
        <w:t>Unless the Court otherwise orders, the amount fixed by the Court under section</w:t>
      </w:r>
      <w:r w:rsidR="003F313A" w:rsidRPr="00B40A77">
        <w:rPr>
          <w:color w:val="000000" w:themeColor="text1"/>
        </w:rPr>
        <w:t> </w:t>
      </w:r>
      <w:r w:rsidRPr="00B40A77">
        <w:rPr>
          <w:color w:val="000000" w:themeColor="text1"/>
        </w:rPr>
        <w:t>59IF of the Evidence Act must be paid by the applicant for the order.</w:t>
      </w:r>
    </w:p>
    <w:p w14:paraId="27CACCAD" w14:textId="2BF5CA6F" w:rsidR="00833018" w:rsidRPr="00B40A77" w:rsidRDefault="00AB2DEC" w:rsidP="00833018">
      <w:pPr>
        <w:pStyle w:val="Heading4"/>
        <w:rPr>
          <w:color w:val="000000" w:themeColor="text1"/>
        </w:rPr>
      </w:pPr>
      <w:bookmarkStart w:id="792" w:name="_Toc394312686"/>
      <w:bookmarkStart w:id="793" w:name="_Toc60133966"/>
      <w:bookmarkStart w:id="794" w:name="_Toc66966187"/>
      <w:bookmarkStart w:id="795" w:name="_Toc175239159"/>
      <w:r w:rsidRPr="00B40A77">
        <w:rPr>
          <w:color w:val="000000" w:themeColor="text1"/>
        </w:rPr>
        <w:t>130.6</w:t>
      </w:r>
      <w:r w:rsidR="00833018" w:rsidRPr="00B40A77">
        <w:rPr>
          <w:color w:val="000000" w:themeColor="text1"/>
        </w:rPr>
        <w:t xml:space="preserve">—Evidence by </w:t>
      </w:r>
      <w:bookmarkEnd w:id="792"/>
      <w:bookmarkEnd w:id="793"/>
      <w:r w:rsidR="001D63F7" w:rsidRPr="00B40A77">
        <w:rPr>
          <w:color w:val="000000" w:themeColor="text1"/>
        </w:rPr>
        <w:t>audio link or audio visual link</w:t>
      </w:r>
      <w:r w:rsidR="00833018" w:rsidRPr="00B40A77">
        <w:rPr>
          <w:color w:val="000000" w:themeColor="text1"/>
        </w:rPr>
        <w:t xml:space="preserve"> from remote location</w:t>
      </w:r>
      <w:bookmarkEnd w:id="794"/>
      <w:bookmarkEnd w:id="795"/>
    </w:p>
    <w:p w14:paraId="2A1AD9C6" w14:textId="2A62A734"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 xml:space="preserve">This rule applies when a witness is to give evidence by </w:t>
      </w:r>
      <w:hyperlink w:anchor="_2.1—Definitions" w:history="1">
        <w:r w:rsidR="000A356B" w:rsidRPr="00B40A77">
          <w:rPr>
            <w:rStyle w:val="Hyperlink"/>
            <w:color w:val="000000" w:themeColor="text1"/>
          </w:rPr>
          <w:t>audio visual link</w:t>
        </w:r>
      </w:hyperlink>
      <w:r w:rsidR="000A356B" w:rsidRPr="00B40A77">
        <w:rPr>
          <w:color w:val="000000" w:themeColor="text1"/>
        </w:rPr>
        <w:t xml:space="preserve"> or </w:t>
      </w:r>
      <w:hyperlink w:anchor="_2.1—Definitions" w:history="1">
        <w:r w:rsidR="001D63F7" w:rsidRPr="00B40A77">
          <w:rPr>
            <w:rStyle w:val="Hyperlink"/>
            <w:color w:val="000000" w:themeColor="text1"/>
          </w:rPr>
          <w:t>audio link</w:t>
        </w:r>
      </w:hyperlink>
      <w:r w:rsidR="000A356B" w:rsidRPr="00B40A77">
        <w:rPr>
          <w:color w:val="000000" w:themeColor="text1"/>
        </w:rPr>
        <w:t xml:space="preserve"> </w:t>
      </w:r>
      <w:r w:rsidRPr="00B40A77">
        <w:rPr>
          <w:color w:val="000000" w:themeColor="text1"/>
        </w:rPr>
        <w:t>from a location remote from the courtroom.</w:t>
      </w:r>
    </w:p>
    <w:p w14:paraId="63213AFF" w14:textId="421800DE" w:rsidR="00833018" w:rsidRPr="00B40A77" w:rsidRDefault="00833018" w:rsidP="00833018">
      <w:pPr>
        <w:pStyle w:val="Hangindent"/>
        <w:rPr>
          <w:color w:val="000000" w:themeColor="text1"/>
        </w:rPr>
      </w:pPr>
      <w:r w:rsidRPr="00B40A77">
        <w:rPr>
          <w:color w:val="000000" w:themeColor="text1"/>
        </w:rPr>
        <w:lastRenderedPageBreak/>
        <w:t>(2)</w:t>
      </w:r>
      <w:r w:rsidRPr="00B40A77">
        <w:rPr>
          <w:color w:val="000000" w:themeColor="text1"/>
        </w:rPr>
        <w:tab/>
        <w:t xml:space="preserve">A party who calls a witness to which this rule applies </w:t>
      </w:r>
      <w:r w:rsidR="006828E1" w:rsidRPr="00B40A77">
        <w:rPr>
          <w:color w:val="000000" w:themeColor="text1"/>
        </w:rPr>
        <w:t>when the remote location is i</w:t>
      </w:r>
      <w:r w:rsidR="00722921" w:rsidRPr="00B40A77">
        <w:rPr>
          <w:color w:val="000000" w:themeColor="text1"/>
        </w:rPr>
        <w:t xml:space="preserve">n a court building </w:t>
      </w:r>
      <w:r w:rsidRPr="00B40A77">
        <w:rPr>
          <w:color w:val="000000" w:themeColor="text1"/>
        </w:rPr>
        <w:t>must make arrangements with the Sheriff's office for the witness to be brought into the building and to the witness room.</w:t>
      </w:r>
    </w:p>
    <w:p w14:paraId="0CE14013" w14:textId="77777777" w:rsidR="00833018" w:rsidRPr="00B40A77" w:rsidRDefault="00833018" w:rsidP="00833018">
      <w:pPr>
        <w:pStyle w:val="Hangindent"/>
        <w:rPr>
          <w:color w:val="000000" w:themeColor="text1"/>
          <w:lang w:val="en-US"/>
        </w:rPr>
      </w:pPr>
      <w:r w:rsidRPr="00B40A77">
        <w:rPr>
          <w:color w:val="000000" w:themeColor="text1"/>
        </w:rPr>
        <w:t>(3)</w:t>
      </w:r>
      <w:r w:rsidRPr="00B40A77">
        <w:rPr>
          <w:color w:val="000000" w:themeColor="text1"/>
        </w:rPr>
        <w:tab/>
        <w:t>When counsel wishes to ask questions of a witness to which this rule applies relating to a document or thing, counsel must give sufficient notice to court staff to allow appropriate arrangements to be made for the document or thing to be displayed electronically to the witness or taken to the remote location by court staff.</w:t>
      </w:r>
    </w:p>
    <w:p w14:paraId="3863E0E9" w14:textId="1EF7FEA4" w:rsidR="00833018" w:rsidRPr="00B40A77" w:rsidRDefault="00AB2DEC" w:rsidP="00833018">
      <w:pPr>
        <w:pStyle w:val="Heading4"/>
        <w:rPr>
          <w:color w:val="000000" w:themeColor="text1"/>
        </w:rPr>
      </w:pPr>
      <w:bookmarkStart w:id="796" w:name="_Toc66966188"/>
      <w:bookmarkStart w:id="797" w:name="_Toc175239160"/>
      <w:r w:rsidRPr="00B40A77">
        <w:rPr>
          <w:color w:val="000000" w:themeColor="text1"/>
        </w:rPr>
        <w:t>130.7</w:t>
      </w:r>
      <w:r w:rsidR="00833018" w:rsidRPr="00B40A77">
        <w:rPr>
          <w:color w:val="000000" w:themeColor="text1"/>
        </w:rPr>
        <w:t>—Special arrangements for giving evidence</w:t>
      </w:r>
      <w:bookmarkEnd w:id="796"/>
      <w:bookmarkEnd w:id="797"/>
    </w:p>
    <w:p w14:paraId="6AB81379" w14:textId="2580AA55" w:rsidR="00833018" w:rsidRPr="00B40A77" w:rsidRDefault="00833018" w:rsidP="00833018">
      <w:pPr>
        <w:pStyle w:val="Hangindent"/>
        <w:rPr>
          <w:color w:val="000000" w:themeColor="text1"/>
          <w:lang w:val="en-US"/>
        </w:rPr>
      </w:pPr>
      <w:r w:rsidRPr="00B40A77">
        <w:rPr>
          <w:color w:val="000000" w:themeColor="text1"/>
        </w:rPr>
        <w:t>(1)</w:t>
      </w:r>
      <w:r w:rsidRPr="00B40A77">
        <w:rPr>
          <w:color w:val="000000" w:themeColor="text1"/>
        </w:rPr>
        <w:tab/>
        <w:t>An application for special arrangements for a witness to give evidence under section</w:t>
      </w:r>
      <w:r w:rsidR="00355316" w:rsidRPr="00B40A77">
        <w:rPr>
          <w:color w:val="000000" w:themeColor="text1"/>
        </w:rPr>
        <w:t> </w:t>
      </w:r>
      <w:r w:rsidRPr="00B40A77">
        <w:rPr>
          <w:color w:val="000000" w:themeColor="text1"/>
        </w:rPr>
        <w:t xml:space="preserve">13 or </w:t>
      </w:r>
      <w:r w:rsidR="00355316" w:rsidRPr="00B40A77">
        <w:rPr>
          <w:color w:val="000000" w:themeColor="text1"/>
        </w:rPr>
        <w:t>section </w:t>
      </w:r>
      <w:r w:rsidRPr="00B40A77">
        <w:rPr>
          <w:color w:val="000000" w:themeColor="text1"/>
        </w:rPr>
        <w:t xml:space="preserve">13A of the Evidence Act </w:t>
      </w:r>
      <w:r w:rsidRPr="00B40A77">
        <w:rPr>
          <w:color w:val="000000" w:themeColor="text1"/>
          <w:lang w:val="en-US"/>
        </w:rPr>
        <w:t>must be made—</w:t>
      </w:r>
    </w:p>
    <w:p w14:paraId="12EF4EA3" w14:textId="069C6AF9" w:rsidR="0081129B" w:rsidRPr="00B40A77" w:rsidRDefault="00833018" w:rsidP="00833018">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81129B" w:rsidRPr="00B40A77">
        <w:rPr>
          <w:color w:val="000000" w:themeColor="text1"/>
          <w:lang w:val="en-US"/>
        </w:rPr>
        <w:t>in the prosecution case statement</w:t>
      </w:r>
      <w:r w:rsidR="007376A9" w:rsidRPr="00B40A77">
        <w:rPr>
          <w:color w:val="000000" w:themeColor="text1"/>
          <w:lang w:val="en-US"/>
        </w:rPr>
        <w:t xml:space="preserve"> or defence case statement</w:t>
      </w:r>
      <w:r w:rsidR="0081129B" w:rsidRPr="00B40A77">
        <w:rPr>
          <w:color w:val="000000" w:themeColor="text1"/>
          <w:lang w:val="en-US"/>
        </w:rPr>
        <w:t>;</w:t>
      </w:r>
    </w:p>
    <w:p w14:paraId="32CFF814" w14:textId="42AFD5CD" w:rsidR="00833018" w:rsidRPr="00B40A77" w:rsidRDefault="0081129B" w:rsidP="00B90C7E">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r>
      <w:r w:rsidR="00833018" w:rsidRPr="00B40A77">
        <w:rPr>
          <w:color w:val="000000" w:themeColor="text1"/>
          <w:lang w:val="en-US"/>
        </w:rPr>
        <w:t>by an application for special arrangements in the prescribed form; or</w:t>
      </w:r>
    </w:p>
    <w:p w14:paraId="6F6CD90D" w14:textId="77777777" w:rsidR="00833018" w:rsidRPr="00B40A77" w:rsidRDefault="00833018" w:rsidP="00CA65A2">
      <w:pPr>
        <w:pStyle w:val="NoteHeader"/>
        <w:keepNext/>
        <w:ind w:left="1701"/>
        <w:rPr>
          <w:color w:val="000000" w:themeColor="text1"/>
        </w:rPr>
      </w:pPr>
      <w:r w:rsidRPr="00B40A77">
        <w:rPr>
          <w:color w:val="000000" w:themeColor="text1"/>
        </w:rPr>
        <w:t>Prescribed form—</w:t>
      </w:r>
    </w:p>
    <w:p w14:paraId="3DCFB3FF" w14:textId="25B53BBA" w:rsidR="00833018" w:rsidRPr="00B40A77" w:rsidRDefault="00833018" w:rsidP="006A5DD8">
      <w:pPr>
        <w:pStyle w:val="NoteText"/>
        <w:ind w:left="1984"/>
        <w:rPr>
          <w:color w:val="000000" w:themeColor="text1"/>
          <w:lang w:val="en-US"/>
        </w:rPr>
      </w:pPr>
      <w:r w:rsidRPr="00B40A77">
        <w:rPr>
          <w:color w:val="000000" w:themeColor="text1"/>
        </w:rPr>
        <w:t xml:space="preserve">Form 92C </w:t>
      </w:r>
      <w:hyperlink r:id="rId222" w:history="1">
        <w:r w:rsidR="00595C27" w:rsidRPr="00B40A77">
          <w:rPr>
            <w:rStyle w:val="Hyperlink"/>
            <w:color w:val="000000" w:themeColor="text1"/>
          </w:rPr>
          <w:t>Interlocutory</w:t>
        </w:r>
        <w:r w:rsidR="00595C27" w:rsidRPr="00B40A77">
          <w:rPr>
            <w:rStyle w:val="Hyperlink"/>
            <w:color w:val="000000" w:themeColor="text1"/>
            <w:lang w:val="en-US"/>
          </w:rPr>
          <w:t xml:space="preserve"> </w:t>
        </w:r>
        <w:r w:rsidRPr="00B40A77">
          <w:rPr>
            <w:rStyle w:val="Hyperlink"/>
            <w:color w:val="000000" w:themeColor="text1"/>
            <w:lang w:val="en-US"/>
          </w:rPr>
          <w:t xml:space="preserve">Application for </w:t>
        </w:r>
        <w:r w:rsidR="001F6521" w:rsidRPr="00B40A77">
          <w:rPr>
            <w:rStyle w:val="Hyperlink"/>
            <w:color w:val="000000" w:themeColor="text1"/>
            <w:lang w:val="en-US"/>
          </w:rPr>
          <w:t>S</w:t>
        </w:r>
        <w:r w:rsidRPr="00B40A77">
          <w:rPr>
            <w:rStyle w:val="Hyperlink"/>
            <w:color w:val="000000" w:themeColor="text1"/>
            <w:lang w:val="en-US"/>
          </w:rPr>
          <w:t xml:space="preserve">pecial </w:t>
        </w:r>
        <w:r w:rsidR="001F6521" w:rsidRPr="00B40A77">
          <w:rPr>
            <w:rStyle w:val="Hyperlink"/>
            <w:color w:val="000000" w:themeColor="text1"/>
            <w:lang w:val="en-US"/>
          </w:rPr>
          <w:t>A</w:t>
        </w:r>
        <w:r w:rsidRPr="00B40A77">
          <w:rPr>
            <w:rStyle w:val="Hyperlink"/>
            <w:color w:val="000000" w:themeColor="text1"/>
            <w:lang w:val="en-US"/>
          </w:rPr>
          <w:t>rrangements</w:t>
        </w:r>
      </w:hyperlink>
    </w:p>
    <w:p w14:paraId="6439033E" w14:textId="34C10D23" w:rsidR="00833018" w:rsidRPr="00B40A77" w:rsidRDefault="00833018" w:rsidP="00833018">
      <w:pPr>
        <w:pStyle w:val="Doublehangindent"/>
        <w:rPr>
          <w:color w:val="000000" w:themeColor="text1"/>
          <w:lang w:val="en-US"/>
        </w:rPr>
      </w:pPr>
      <w:r w:rsidRPr="00B40A77">
        <w:rPr>
          <w:color w:val="000000" w:themeColor="text1"/>
          <w:lang w:val="en-US"/>
        </w:rPr>
        <w:t>(</w:t>
      </w:r>
      <w:r w:rsidR="0081129B" w:rsidRPr="00B40A77">
        <w:rPr>
          <w:color w:val="000000" w:themeColor="text1"/>
          <w:lang w:val="en-US"/>
        </w:rPr>
        <w:t>c</w:t>
      </w:r>
      <w:r w:rsidRPr="00B40A77">
        <w:rPr>
          <w:color w:val="000000" w:themeColor="text1"/>
          <w:lang w:val="en-US"/>
        </w:rPr>
        <w:t>)</w:t>
      </w:r>
      <w:r w:rsidRPr="00B40A77">
        <w:rPr>
          <w:color w:val="000000" w:themeColor="text1"/>
          <w:lang w:val="en-US"/>
        </w:rPr>
        <w:tab/>
      </w:r>
      <w:r w:rsidR="007376A9" w:rsidRPr="00B40A77">
        <w:rPr>
          <w:color w:val="000000" w:themeColor="text1"/>
          <w:lang w:val="en-US"/>
        </w:rPr>
        <w:t xml:space="preserve">with the leave of the Court, </w:t>
      </w:r>
      <w:r w:rsidRPr="00B40A77">
        <w:rPr>
          <w:color w:val="000000" w:themeColor="text1"/>
          <w:lang w:val="en-US"/>
        </w:rPr>
        <w:t xml:space="preserve">by an application made orally at a </w:t>
      </w:r>
      <w:hyperlink w:anchor="_2.1—Definitions" w:history="1">
        <w:r w:rsidR="001953DB" w:rsidRPr="00B40A77">
          <w:rPr>
            <w:rStyle w:val="Hyperlink"/>
            <w:color w:val="000000" w:themeColor="text1"/>
          </w:rPr>
          <w:t>hearing</w:t>
        </w:r>
      </w:hyperlink>
      <w:r w:rsidRPr="00B40A77">
        <w:rPr>
          <w:color w:val="000000" w:themeColor="text1"/>
          <w:lang w:val="en-US"/>
        </w:rPr>
        <w:t>.</w:t>
      </w:r>
    </w:p>
    <w:p w14:paraId="7A3E57E8" w14:textId="42927360" w:rsidR="00833018" w:rsidRPr="00B40A77" w:rsidRDefault="00833018" w:rsidP="00B90C7E">
      <w:pPr>
        <w:pStyle w:val="Hangindent"/>
        <w:keepNext/>
        <w:rPr>
          <w:color w:val="000000" w:themeColor="text1"/>
        </w:rPr>
      </w:pPr>
      <w:r w:rsidRPr="00B40A77">
        <w:rPr>
          <w:color w:val="000000" w:themeColor="text1"/>
        </w:rPr>
        <w:t>(2)</w:t>
      </w:r>
      <w:r w:rsidRPr="00B40A77">
        <w:rPr>
          <w:color w:val="000000" w:themeColor="text1"/>
        </w:rPr>
        <w:tab/>
        <w:t xml:space="preserve">A notice of objection to an </w:t>
      </w:r>
      <w:r w:rsidRPr="00B40A77">
        <w:rPr>
          <w:color w:val="000000" w:themeColor="text1"/>
          <w:lang w:val="en-US"/>
        </w:rPr>
        <w:t>application for special arrangements under section</w:t>
      </w:r>
      <w:r w:rsidR="003F313A" w:rsidRPr="00B40A77">
        <w:rPr>
          <w:color w:val="000000" w:themeColor="text1"/>
          <w:lang w:val="en-US"/>
        </w:rPr>
        <w:t> </w:t>
      </w:r>
      <w:r w:rsidRPr="00B40A77">
        <w:rPr>
          <w:color w:val="000000" w:themeColor="text1"/>
          <w:lang w:val="en-US"/>
        </w:rPr>
        <w:t>13A(6)</w:t>
      </w:r>
      <w:r w:rsidRPr="00B40A77">
        <w:rPr>
          <w:color w:val="000000" w:themeColor="text1"/>
        </w:rPr>
        <w:t xml:space="preserve"> of the Evidence Act must be in the prescribed form.</w:t>
      </w:r>
    </w:p>
    <w:p w14:paraId="44BF5F2F" w14:textId="77777777" w:rsidR="00833018" w:rsidRPr="00B40A77" w:rsidRDefault="00833018" w:rsidP="00CA65A2">
      <w:pPr>
        <w:pStyle w:val="NoteHeader"/>
        <w:keepNext/>
        <w:rPr>
          <w:color w:val="000000" w:themeColor="text1"/>
        </w:rPr>
      </w:pPr>
      <w:r w:rsidRPr="00B40A77">
        <w:rPr>
          <w:color w:val="000000" w:themeColor="text1"/>
        </w:rPr>
        <w:t>Prescribed form—</w:t>
      </w:r>
    </w:p>
    <w:p w14:paraId="7CB36A4F" w14:textId="6D21C4E3" w:rsidR="00833018" w:rsidRPr="00B40A77" w:rsidRDefault="000415F5" w:rsidP="006A5DD8">
      <w:pPr>
        <w:pStyle w:val="NoteText"/>
        <w:rPr>
          <w:color w:val="000000" w:themeColor="text1"/>
          <w:lang w:val="en-US"/>
        </w:rPr>
      </w:pPr>
      <w:r w:rsidRPr="00B40A77">
        <w:rPr>
          <w:color w:val="000000" w:themeColor="text1"/>
        </w:rPr>
        <w:t>Form 95</w:t>
      </w:r>
      <w:r w:rsidR="00833018" w:rsidRPr="00B40A77">
        <w:rPr>
          <w:color w:val="000000" w:themeColor="text1"/>
        </w:rPr>
        <w:t xml:space="preserve"> </w:t>
      </w:r>
      <w:hyperlink r:id="rId223" w:history="1">
        <w:r w:rsidR="00833018" w:rsidRPr="00B40A77">
          <w:rPr>
            <w:rStyle w:val="Hyperlink"/>
            <w:color w:val="000000" w:themeColor="text1"/>
            <w:lang w:val="en-US"/>
          </w:rPr>
          <w:t>Notice of O</w:t>
        </w:r>
        <w:r w:rsidRPr="00B40A77">
          <w:rPr>
            <w:rStyle w:val="Hyperlink"/>
            <w:color w:val="000000" w:themeColor="text1"/>
            <w:lang w:val="en-US"/>
          </w:rPr>
          <w:t>bjection</w:t>
        </w:r>
      </w:hyperlink>
    </w:p>
    <w:p w14:paraId="0A02498B" w14:textId="23957434" w:rsidR="00833018" w:rsidRPr="00B40A77" w:rsidRDefault="00AB2DEC" w:rsidP="00833018">
      <w:pPr>
        <w:pStyle w:val="Heading4"/>
        <w:rPr>
          <w:color w:val="000000" w:themeColor="text1"/>
        </w:rPr>
      </w:pPr>
      <w:bookmarkStart w:id="798" w:name="_Toc66966189"/>
      <w:bookmarkStart w:id="799" w:name="_Toc175239161"/>
      <w:r w:rsidRPr="00B40A77">
        <w:rPr>
          <w:color w:val="000000" w:themeColor="text1"/>
        </w:rPr>
        <w:t>130.8</w:t>
      </w:r>
      <w:r w:rsidR="00833018" w:rsidRPr="00B40A77">
        <w:rPr>
          <w:color w:val="000000" w:themeColor="text1"/>
        </w:rPr>
        <w:t>—Medical reports under Part 8A</w:t>
      </w:r>
      <w:bookmarkEnd w:id="798"/>
      <w:bookmarkEnd w:id="799"/>
    </w:p>
    <w:p w14:paraId="14CC2241" w14:textId="438B3C1D" w:rsidR="00833018" w:rsidRPr="00B40A77" w:rsidRDefault="00833018" w:rsidP="00B90C7E">
      <w:pPr>
        <w:pStyle w:val="IndentedPara"/>
        <w:keepNext/>
        <w:rPr>
          <w:color w:val="000000" w:themeColor="text1"/>
        </w:rPr>
      </w:pPr>
      <w:r w:rsidRPr="00B40A77">
        <w:rPr>
          <w:color w:val="000000" w:themeColor="text1"/>
        </w:rPr>
        <w:t xml:space="preserve">The written record of an order for the </w:t>
      </w:r>
      <w:r w:rsidRPr="00B40A77">
        <w:rPr>
          <w:rFonts w:cs="Arial"/>
          <w:color w:val="000000" w:themeColor="text1"/>
        </w:rPr>
        <w:t xml:space="preserve">examination by a medical </w:t>
      </w:r>
      <w:hyperlink w:anchor="_2.1—Definitions" w:history="1">
        <w:r w:rsidR="00FA555B" w:rsidRPr="00B40A77">
          <w:rPr>
            <w:rStyle w:val="Hyperlink"/>
            <w:color w:val="000000" w:themeColor="text1"/>
          </w:rPr>
          <w:t>expert</w:t>
        </w:r>
      </w:hyperlink>
      <w:r w:rsidRPr="00B40A77">
        <w:rPr>
          <w:rFonts w:cs="Arial"/>
          <w:color w:val="000000" w:themeColor="text1"/>
        </w:rPr>
        <w:t xml:space="preserve"> </w:t>
      </w:r>
      <w:r w:rsidRPr="00B40A77">
        <w:rPr>
          <w:color w:val="000000" w:themeColor="text1"/>
        </w:rPr>
        <w:t xml:space="preserve">of a defendant or youth and provision of a medical report under Part 8A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rPr>
        <w:t>must be in the prescribed form.</w:t>
      </w:r>
    </w:p>
    <w:p w14:paraId="764AD966" w14:textId="70E1774F" w:rsidR="00833018" w:rsidRPr="00B40A77" w:rsidRDefault="00833018" w:rsidP="00CA65A2">
      <w:pPr>
        <w:pStyle w:val="NoteHeader"/>
        <w:keepNext/>
        <w:ind w:left="567"/>
        <w:rPr>
          <w:color w:val="000000" w:themeColor="text1"/>
        </w:rPr>
      </w:pPr>
      <w:r w:rsidRPr="00B40A77">
        <w:rPr>
          <w:color w:val="000000" w:themeColor="text1"/>
        </w:rPr>
        <w:t>Prescribed form—</w:t>
      </w:r>
    </w:p>
    <w:p w14:paraId="30830A54" w14:textId="4F8E03EB" w:rsidR="00833018" w:rsidRPr="00B40A77" w:rsidRDefault="00833018" w:rsidP="006A5DD8">
      <w:pPr>
        <w:pStyle w:val="NoteText"/>
        <w:ind w:left="850"/>
        <w:rPr>
          <w:color w:val="000000" w:themeColor="text1"/>
          <w:u w:val="single"/>
        </w:rPr>
      </w:pPr>
      <w:r w:rsidRPr="00B40A77">
        <w:rPr>
          <w:color w:val="000000" w:themeColor="text1"/>
        </w:rPr>
        <w:t xml:space="preserve">Form 99 </w:t>
      </w:r>
      <w:hyperlink r:id="rId224" w:history="1">
        <w:r w:rsidRPr="00B40A77">
          <w:rPr>
            <w:rStyle w:val="Hyperlink"/>
            <w:color w:val="000000" w:themeColor="text1"/>
          </w:rPr>
          <w:t xml:space="preserve">Record of Outcome </w:t>
        </w:r>
        <w:r w:rsidR="00A2176E" w:rsidRPr="00B40A77">
          <w:rPr>
            <w:rStyle w:val="Hyperlink"/>
            <w:color w:val="000000" w:themeColor="text1"/>
          </w:rPr>
          <w:t>– Order</w:t>
        </w:r>
      </w:hyperlink>
    </w:p>
    <w:p w14:paraId="0234E1A7" w14:textId="77777777" w:rsidR="00833018" w:rsidRPr="00B40A77" w:rsidRDefault="00833018" w:rsidP="00833018">
      <w:pPr>
        <w:pStyle w:val="Heading3"/>
        <w:rPr>
          <w:color w:val="000000" w:themeColor="text1"/>
        </w:rPr>
      </w:pPr>
      <w:bookmarkStart w:id="800" w:name="_Toc66966190"/>
      <w:bookmarkStart w:id="801" w:name="_Toc175239162"/>
      <w:r w:rsidRPr="00B40A77">
        <w:rPr>
          <w:color w:val="000000" w:themeColor="text1"/>
        </w:rPr>
        <w:t>Division 2—Documentary evidence</w:t>
      </w:r>
      <w:bookmarkEnd w:id="800"/>
      <w:bookmarkEnd w:id="801"/>
    </w:p>
    <w:p w14:paraId="41C176D8" w14:textId="77777777" w:rsidR="00833018" w:rsidRPr="00B40A77" w:rsidRDefault="00833018" w:rsidP="00833018">
      <w:pPr>
        <w:pStyle w:val="Heading4"/>
        <w:rPr>
          <w:color w:val="000000" w:themeColor="text1"/>
        </w:rPr>
      </w:pPr>
      <w:bookmarkStart w:id="802" w:name="_Toc66966191"/>
      <w:bookmarkStart w:id="803" w:name="_Toc175239163"/>
      <w:r w:rsidRPr="00B40A77">
        <w:rPr>
          <w:color w:val="000000" w:themeColor="text1"/>
        </w:rPr>
        <w:t>131.1—Tender documents and aids</w:t>
      </w:r>
      <w:bookmarkEnd w:id="802"/>
      <w:bookmarkEnd w:id="803"/>
    </w:p>
    <w:p w14:paraId="35F918A2" w14:textId="163930FB" w:rsidR="00833018" w:rsidRPr="00B40A77" w:rsidRDefault="00833018" w:rsidP="00833018">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on its own initiative or on application of a party, order that, by a specified date, a party proposing to tender documentary exhibits at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file and serve on all other parties a list of such documents.</w:t>
      </w:r>
    </w:p>
    <w:p w14:paraId="3032D95E" w14:textId="2B18C229" w:rsidR="00833018" w:rsidRPr="00B40A77" w:rsidRDefault="00833018" w:rsidP="00833018">
      <w:pPr>
        <w:pStyle w:val="Hangindent"/>
        <w:keepNext/>
        <w:keepLines/>
        <w:rPr>
          <w:color w:val="000000" w:themeColor="text1"/>
          <w:lang w:val="en-US"/>
        </w:rPr>
      </w:pPr>
      <w:r w:rsidRPr="00B40A77">
        <w:rPr>
          <w:color w:val="000000" w:themeColor="text1"/>
          <w:lang w:val="en-US"/>
        </w:rPr>
        <w:t>(2)</w:t>
      </w:r>
      <w:r w:rsidRPr="00B40A77">
        <w:rPr>
          <w:color w:val="000000" w:themeColor="text1"/>
          <w:lang w:val="en-US"/>
        </w:rPr>
        <w:tab/>
        <w:t xml:space="preserve">The Court may order that a list of documents be numbered or marked to correspond with the marking of the documents to be tendered at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and include such other details as the Court thinks fit.</w:t>
      </w:r>
    </w:p>
    <w:p w14:paraId="29C9AECF" w14:textId="7008C73D" w:rsidR="00833018" w:rsidRPr="00B40A77" w:rsidRDefault="00833018" w:rsidP="00833018">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Court may order that a list of documents and copies of the documents referred to </w:t>
      </w:r>
      <w:r w:rsidR="00355316" w:rsidRPr="00B40A77">
        <w:rPr>
          <w:color w:val="000000" w:themeColor="text1"/>
          <w:lang w:val="en-US"/>
        </w:rPr>
        <w:t xml:space="preserve">in the list </w:t>
      </w:r>
      <w:r w:rsidRPr="00B40A77">
        <w:rPr>
          <w:color w:val="000000" w:themeColor="text1"/>
          <w:lang w:val="en-US"/>
        </w:rPr>
        <w:t>be filed and served in hard copy form, electronic form or both.</w:t>
      </w:r>
    </w:p>
    <w:p w14:paraId="394415DD" w14:textId="6FDD627A" w:rsidR="00833018" w:rsidRPr="00B40A77" w:rsidRDefault="00833018" w:rsidP="00833018">
      <w:pPr>
        <w:pStyle w:val="Hangindent"/>
        <w:rPr>
          <w:color w:val="000000" w:themeColor="text1"/>
          <w:spacing w:val="-3"/>
          <w:lang w:val="en-US"/>
        </w:rPr>
      </w:pPr>
      <w:r w:rsidRPr="00B40A77">
        <w:rPr>
          <w:color w:val="000000" w:themeColor="text1"/>
          <w:spacing w:val="-3"/>
          <w:lang w:val="en-US"/>
        </w:rPr>
        <w:t>(4)</w:t>
      </w:r>
      <w:r w:rsidRPr="00B40A77">
        <w:rPr>
          <w:color w:val="000000" w:themeColor="text1"/>
          <w:spacing w:val="-3"/>
          <w:lang w:val="en-US"/>
        </w:rPr>
        <w:tab/>
        <w:t xml:space="preserve">The Court may make </w:t>
      </w:r>
      <w:r w:rsidRPr="00B40A77">
        <w:rPr>
          <w:color w:val="000000" w:themeColor="text1"/>
          <w:lang w:val="en-US"/>
        </w:rPr>
        <w:t>orders</w:t>
      </w:r>
      <w:r w:rsidRPr="00B40A77">
        <w:rPr>
          <w:color w:val="000000" w:themeColor="text1"/>
          <w:spacing w:val="-3"/>
          <w:lang w:val="en-US"/>
        </w:rPr>
        <w:t xml:space="preserve"> for the production and use at </w:t>
      </w:r>
      <w:hyperlink w:anchor="_2.1—Definitions" w:history="1">
        <w:r w:rsidR="002A0B8E" w:rsidRPr="00B40A77">
          <w:rPr>
            <w:rStyle w:val="Hyperlink"/>
            <w:color w:val="000000" w:themeColor="text1"/>
            <w:lang w:val="en-US"/>
          </w:rPr>
          <w:t>trial</w:t>
        </w:r>
      </w:hyperlink>
      <w:r w:rsidRPr="00B40A77">
        <w:rPr>
          <w:color w:val="000000" w:themeColor="text1"/>
          <w:spacing w:val="-3"/>
          <w:lang w:val="en-US"/>
        </w:rPr>
        <w:t xml:space="preserve"> of summaries, diagrams, charts, illustrations, graphs, photographs, films, documents, models or other audio, video, or visual media as an aid to illustrating or assisting to explain the evidence.</w:t>
      </w:r>
    </w:p>
    <w:p w14:paraId="040790E3" w14:textId="77777777" w:rsidR="00833018" w:rsidRPr="00B40A77" w:rsidRDefault="00833018" w:rsidP="00BE23A0">
      <w:pPr>
        <w:pStyle w:val="Heading2"/>
        <w:keepNext/>
        <w:rPr>
          <w:color w:val="000000" w:themeColor="text1"/>
        </w:rPr>
      </w:pPr>
      <w:bookmarkStart w:id="804" w:name="_Toc66966192"/>
      <w:bookmarkStart w:id="805" w:name="_Toc175239164"/>
      <w:r w:rsidRPr="00B40A77">
        <w:rPr>
          <w:color w:val="000000" w:themeColor="text1"/>
        </w:rPr>
        <w:lastRenderedPageBreak/>
        <w:t>Part 4—Juries: Higher Courts</w:t>
      </w:r>
      <w:bookmarkEnd w:id="804"/>
      <w:bookmarkEnd w:id="805"/>
    </w:p>
    <w:p w14:paraId="314E0086" w14:textId="77777777" w:rsidR="00833018" w:rsidRPr="00B40A77" w:rsidRDefault="00833018" w:rsidP="00833018">
      <w:pPr>
        <w:pStyle w:val="Heading4"/>
        <w:rPr>
          <w:color w:val="000000" w:themeColor="text1"/>
        </w:rPr>
      </w:pPr>
      <w:bookmarkStart w:id="806" w:name="_Toc66966193"/>
      <w:bookmarkStart w:id="807" w:name="_Toc175239165"/>
      <w:r w:rsidRPr="00B40A77">
        <w:rPr>
          <w:color w:val="000000" w:themeColor="text1"/>
        </w:rPr>
        <w:t>132.1—Interpretation</w:t>
      </w:r>
      <w:bookmarkEnd w:id="806"/>
      <w:bookmarkEnd w:id="807"/>
    </w:p>
    <w:p w14:paraId="1876E707" w14:textId="6AB7BAA8" w:rsidR="00833018" w:rsidRPr="00B40A77" w:rsidRDefault="00833018" w:rsidP="00833018">
      <w:pPr>
        <w:pStyle w:val="IndentedPara"/>
        <w:rPr>
          <w:b/>
          <w:iCs/>
          <w:color w:val="000000" w:themeColor="text1"/>
          <w:spacing w:val="-3"/>
        </w:rPr>
      </w:pPr>
      <w:r w:rsidRPr="00B40A77">
        <w:rPr>
          <w:color w:val="000000" w:themeColor="text1"/>
        </w:rPr>
        <w:t>In this Part—</w:t>
      </w:r>
    </w:p>
    <w:p w14:paraId="2489C2EC" w14:textId="2FCDD67F" w:rsidR="00833018" w:rsidRPr="00B40A77" w:rsidRDefault="00833018" w:rsidP="00833018">
      <w:pPr>
        <w:pStyle w:val="IndentedPara"/>
        <w:rPr>
          <w:b/>
          <w:color w:val="000000" w:themeColor="text1"/>
          <w:spacing w:val="-3"/>
        </w:rPr>
      </w:pPr>
      <w:r w:rsidRPr="00B40A77">
        <w:rPr>
          <w:b/>
          <w:i/>
          <w:color w:val="000000" w:themeColor="text1"/>
          <w:spacing w:val="-3"/>
        </w:rPr>
        <w:t xml:space="preserve">jury card </w:t>
      </w:r>
      <w:r w:rsidRPr="00B40A77">
        <w:rPr>
          <w:color w:val="000000" w:themeColor="text1"/>
          <w:spacing w:val="-3"/>
        </w:rPr>
        <w:t>means the jury card referred to in section 42</w:t>
      </w:r>
      <w:r w:rsidR="004D2A3D" w:rsidRPr="00B40A77">
        <w:rPr>
          <w:color w:val="000000" w:themeColor="text1"/>
          <w:spacing w:val="-3"/>
        </w:rPr>
        <w:t>(b)</w:t>
      </w:r>
      <w:r w:rsidRPr="00B40A77">
        <w:rPr>
          <w:color w:val="000000" w:themeColor="text1"/>
          <w:spacing w:val="-3"/>
        </w:rPr>
        <w:t xml:space="preserve"> of the Juries Act;</w:t>
      </w:r>
    </w:p>
    <w:p w14:paraId="5407A73B" w14:textId="1B17DC62" w:rsidR="00833018" w:rsidRPr="00B40A77" w:rsidRDefault="00833018" w:rsidP="00833018">
      <w:pPr>
        <w:pStyle w:val="IndentedPara"/>
        <w:rPr>
          <w:color w:val="000000" w:themeColor="text1"/>
          <w:spacing w:val="-3"/>
        </w:rPr>
      </w:pPr>
      <w:r w:rsidRPr="00B40A77">
        <w:rPr>
          <w:b/>
          <w:i/>
          <w:color w:val="000000" w:themeColor="text1"/>
          <w:spacing w:val="-3"/>
        </w:rPr>
        <w:t>jury pool room</w:t>
      </w:r>
      <w:r w:rsidRPr="00B40A77">
        <w:rPr>
          <w:color w:val="000000" w:themeColor="text1"/>
          <w:spacing w:val="-3"/>
        </w:rPr>
        <w:t xml:space="preserve"> means the place appointed from time to time by the </w:t>
      </w:r>
      <w:hyperlink w:anchor="_2.1—Definitions" w:history="1">
        <w:r w:rsidR="00896161" w:rsidRPr="00B40A77">
          <w:rPr>
            <w:rStyle w:val="Hyperlink"/>
            <w:rFonts w:cs="Arial"/>
            <w:color w:val="000000" w:themeColor="text1"/>
          </w:rPr>
          <w:t>Sheriff</w:t>
        </w:r>
      </w:hyperlink>
      <w:r w:rsidRPr="00B40A77">
        <w:rPr>
          <w:color w:val="000000" w:themeColor="text1"/>
          <w:spacing w:val="-3"/>
        </w:rPr>
        <w:t xml:space="preserve"> for the attendance</w:t>
      </w:r>
      <w:r w:rsidR="00187EC1" w:rsidRPr="00B40A77">
        <w:rPr>
          <w:color w:val="000000" w:themeColor="text1"/>
          <w:spacing w:val="-3"/>
        </w:rPr>
        <w:t xml:space="preserve"> </w:t>
      </w:r>
      <w:r w:rsidRPr="00B40A77">
        <w:rPr>
          <w:color w:val="000000" w:themeColor="text1"/>
          <w:spacing w:val="-3"/>
        </w:rPr>
        <w:t>of the jury pool for a jury district</w:t>
      </w:r>
      <w:r w:rsidR="009549B2" w:rsidRPr="00B40A77">
        <w:rPr>
          <w:color w:val="000000" w:themeColor="text1"/>
          <w:spacing w:val="-3"/>
        </w:rPr>
        <w:t>.</w:t>
      </w:r>
    </w:p>
    <w:p w14:paraId="44A777EC" w14:textId="77777777" w:rsidR="00833018" w:rsidRPr="00B40A77" w:rsidRDefault="00833018" w:rsidP="00833018">
      <w:pPr>
        <w:pStyle w:val="Heading4"/>
        <w:rPr>
          <w:color w:val="000000" w:themeColor="text1"/>
        </w:rPr>
      </w:pPr>
      <w:bookmarkStart w:id="808" w:name="_Toc66966194"/>
      <w:bookmarkStart w:id="809" w:name="_Toc175239166"/>
      <w:r w:rsidRPr="00B40A77">
        <w:rPr>
          <w:color w:val="000000" w:themeColor="text1"/>
        </w:rPr>
        <w:t>132.2—Juror’s oath or affirmation</w:t>
      </w:r>
      <w:bookmarkEnd w:id="808"/>
      <w:bookmarkEnd w:id="809"/>
    </w:p>
    <w:p w14:paraId="67B06B61" w14:textId="0B414AED"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 xml:space="preserve">Before first directing a juror to attend for a criminal </w:t>
      </w:r>
      <w:hyperlink w:anchor="_2.1—Definitions" w:history="1">
        <w:r w:rsidR="002A0B8E" w:rsidRPr="00B40A77">
          <w:rPr>
            <w:rStyle w:val="Hyperlink"/>
            <w:color w:val="000000" w:themeColor="text1"/>
            <w:lang w:val="en-US"/>
          </w:rPr>
          <w:t>trial</w:t>
        </w:r>
      </w:hyperlink>
      <w:r w:rsidRPr="00B40A77">
        <w:rPr>
          <w:color w:val="000000" w:themeColor="text1"/>
        </w:rPr>
        <w:t xml:space="preserve">,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cause the juror to take an oath or affirmation in the form of Schedule</w:t>
      </w:r>
      <w:r w:rsidR="008B6C02" w:rsidRPr="00B40A77">
        <w:rPr>
          <w:color w:val="000000" w:themeColor="text1"/>
        </w:rPr>
        <w:t> </w:t>
      </w:r>
      <w:r w:rsidRPr="00B40A77">
        <w:rPr>
          <w:color w:val="000000" w:themeColor="text1"/>
        </w:rPr>
        <w:t xml:space="preserve">6 to the </w:t>
      </w:r>
      <w:r w:rsidRPr="00B40A77">
        <w:rPr>
          <w:color w:val="000000" w:themeColor="text1"/>
          <w:spacing w:val="-3"/>
        </w:rPr>
        <w:t>Juries Act</w:t>
      </w:r>
      <w:r w:rsidRPr="00B40A77">
        <w:rPr>
          <w:color w:val="000000" w:themeColor="text1"/>
        </w:rPr>
        <w:t>.</w:t>
      </w:r>
    </w:p>
    <w:p w14:paraId="76144F7D" w14:textId="62E4117B" w:rsidR="00833018" w:rsidRPr="00B40A77" w:rsidRDefault="00833018" w:rsidP="00833018">
      <w:pPr>
        <w:pStyle w:val="Hangindent"/>
        <w:rPr>
          <w:color w:val="000000" w:themeColor="text1"/>
        </w:rPr>
      </w:pPr>
      <w:r w:rsidRPr="00B40A77">
        <w:rPr>
          <w:color w:val="000000" w:themeColor="text1"/>
        </w:rPr>
        <w:t>(2)</w:t>
      </w:r>
      <w:r w:rsidRPr="00B40A77">
        <w:rPr>
          <w:color w:val="000000" w:themeColor="text1"/>
        </w:rPr>
        <w:tab/>
        <w:t xml:space="preserve">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cause a record to be made of the taking by each juror of the oath or affirmation.</w:t>
      </w:r>
    </w:p>
    <w:p w14:paraId="043A53CB" w14:textId="77777777" w:rsidR="00833018" w:rsidRPr="00B40A77" w:rsidRDefault="00833018" w:rsidP="00833018">
      <w:pPr>
        <w:pStyle w:val="Hangindent"/>
        <w:rPr>
          <w:color w:val="000000" w:themeColor="text1"/>
        </w:rPr>
      </w:pPr>
      <w:r w:rsidRPr="00B40A77">
        <w:rPr>
          <w:color w:val="000000" w:themeColor="text1"/>
        </w:rPr>
        <w:t>(3)</w:t>
      </w:r>
      <w:r w:rsidRPr="00B40A77">
        <w:rPr>
          <w:color w:val="000000" w:themeColor="text1"/>
        </w:rPr>
        <w:tab/>
        <w:t>The record must not be shown or communicated to any person other than a Judge except by leave of a Judge.</w:t>
      </w:r>
    </w:p>
    <w:p w14:paraId="4CAD3D15" w14:textId="77777777" w:rsidR="00833018" w:rsidRPr="00B40A77" w:rsidRDefault="00833018" w:rsidP="00833018">
      <w:pPr>
        <w:pStyle w:val="Heading4"/>
        <w:rPr>
          <w:color w:val="000000" w:themeColor="text1"/>
        </w:rPr>
      </w:pPr>
      <w:bookmarkStart w:id="810" w:name="_Toc66966195"/>
      <w:bookmarkStart w:id="811" w:name="_Toc175239167"/>
      <w:r w:rsidRPr="00B40A77">
        <w:rPr>
          <w:color w:val="000000" w:themeColor="text1"/>
        </w:rPr>
        <w:t>132.3—Jury panel</w:t>
      </w:r>
      <w:bookmarkEnd w:id="810"/>
      <w:bookmarkEnd w:id="811"/>
    </w:p>
    <w:p w14:paraId="2D0D1A28" w14:textId="0C93BD93"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 xml:space="preserve">When a </w:t>
      </w:r>
      <w:hyperlink w:anchor="_2.1—Definitions" w:history="1">
        <w:r w:rsidR="002A0B8E" w:rsidRPr="00B40A77">
          <w:rPr>
            <w:rStyle w:val="Hyperlink"/>
            <w:color w:val="000000" w:themeColor="text1"/>
            <w:lang w:val="en-US"/>
          </w:rPr>
          <w:t>trial</w:t>
        </w:r>
      </w:hyperlink>
      <w:r w:rsidRPr="00B40A77">
        <w:rPr>
          <w:color w:val="000000" w:themeColor="text1"/>
        </w:rPr>
        <w:t xml:space="preserve"> of a defendant is to commence,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ensure that a jury panel of </w:t>
      </w:r>
      <w:r w:rsidR="00202953" w:rsidRPr="00B40A77">
        <w:rPr>
          <w:color w:val="000000" w:themeColor="text1"/>
        </w:rPr>
        <w:t>at least</w:t>
      </w:r>
      <w:r w:rsidRPr="00B40A77">
        <w:rPr>
          <w:color w:val="000000" w:themeColor="text1"/>
        </w:rPr>
        <w:t xml:space="preserve"> 20 jurors attend for the </w:t>
      </w:r>
      <w:hyperlink w:anchor="_2.1—Definitions" w:history="1">
        <w:r w:rsidR="002A0B8E" w:rsidRPr="00B40A77">
          <w:rPr>
            <w:rStyle w:val="Hyperlink"/>
            <w:color w:val="000000" w:themeColor="text1"/>
            <w:lang w:val="en-US"/>
          </w:rPr>
          <w:t>trial</w:t>
        </w:r>
      </w:hyperlink>
      <w:r w:rsidRPr="00B40A77">
        <w:rPr>
          <w:color w:val="000000" w:themeColor="text1"/>
        </w:rPr>
        <w:t>.</w:t>
      </w:r>
    </w:p>
    <w:p w14:paraId="6AB14DF7" w14:textId="297EE6EC" w:rsidR="00833018" w:rsidRPr="00B40A77" w:rsidRDefault="00833018" w:rsidP="00833018">
      <w:pPr>
        <w:pStyle w:val="Hangindent"/>
        <w:rPr>
          <w:color w:val="000000" w:themeColor="text1"/>
        </w:rPr>
      </w:pPr>
      <w:r w:rsidRPr="00B40A77">
        <w:rPr>
          <w:color w:val="000000" w:themeColor="text1"/>
        </w:rPr>
        <w:t>(2)</w:t>
      </w:r>
      <w:r w:rsidRPr="00B40A77">
        <w:rPr>
          <w:color w:val="000000" w:themeColor="text1"/>
        </w:rPr>
        <w:tab/>
        <w:t xml:space="preserve">When a </w:t>
      </w:r>
      <w:hyperlink w:anchor="_2.1—Definitions" w:history="1">
        <w:r w:rsidR="002A0B8E" w:rsidRPr="00B40A77">
          <w:rPr>
            <w:rStyle w:val="Hyperlink"/>
            <w:color w:val="000000" w:themeColor="text1"/>
            <w:lang w:val="en-US"/>
          </w:rPr>
          <w:t>trial</w:t>
        </w:r>
      </w:hyperlink>
      <w:r w:rsidRPr="00B40A77">
        <w:rPr>
          <w:color w:val="000000" w:themeColor="text1"/>
        </w:rPr>
        <w:t xml:space="preserve"> of more than one defendant is to commence,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ensure that a jury panel of </w:t>
      </w:r>
      <w:r w:rsidR="00202953" w:rsidRPr="00B40A77">
        <w:rPr>
          <w:color w:val="000000" w:themeColor="text1"/>
        </w:rPr>
        <w:t>at least</w:t>
      </w:r>
      <w:r w:rsidRPr="00B40A77">
        <w:rPr>
          <w:color w:val="000000" w:themeColor="text1"/>
        </w:rPr>
        <w:t xml:space="preserve"> 20 jurors plus </w:t>
      </w:r>
      <w:r w:rsidR="00202953" w:rsidRPr="00B40A77">
        <w:rPr>
          <w:color w:val="000000" w:themeColor="text1"/>
        </w:rPr>
        <w:t>at least</w:t>
      </w:r>
      <w:r w:rsidRPr="00B40A77">
        <w:rPr>
          <w:color w:val="000000" w:themeColor="text1"/>
        </w:rPr>
        <w:t xml:space="preserve"> 3 extra jurors in respect of each additional defendant attend for the </w:t>
      </w:r>
      <w:hyperlink w:anchor="_2.1—Definitions" w:history="1">
        <w:r w:rsidR="002A0B8E" w:rsidRPr="00B40A77">
          <w:rPr>
            <w:rStyle w:val="Hyperlink"/>
            <w:color w:val="000000" w:themeColor="text1"/>
            <w:lang w:val="en-US"/>
          </w:rPr>
          <w:t>trial</w:t>
        </w:r>
      </w:hyperlink>
      <w:r w:rsidRPr="00B40A77">
        <w:rPr>
          <w:color w:val="000000" w:themeColor="text1"/>
        </w:rPr>
        <w:t>.</w:t>
      </w:r>
    </w:p>
    <w:p w14:paraId="2F08E9FA" w14:textId="046DAFC6" w:rsidR="00833018" w:rsidRPr="00B40A77" w:rsidRDefault="00833018" w:rsidP="00833018">
      <w:pPr>
        <w:pStyle w:val="Hangindent"/>
        <w:rPr>
          <w:rFonts w:cs="Arial"/>
          <w:color w:val="000000" w:themeColor="text1"/>
        </w:rPr>
      </w:pPr>
      <w:r w:rsidRPr="00B40A77">
        <w:rPr>
          <w:rFonts w:cs="Arial"/>
          <w:bCs/>
          <w:color w:val="000000" w:themeColor="text1"/>
        </w:rPr>
        <w:t>(3)</w:t>
      </w:r>
      <w:r w:rsidRPr="00B40A77">
        <w:rPr>
          <w:rFonts w:cs="Arial"/>
          <w:color w:val="000000" w:themeColor="text1"/>
        </w:rPr>
        <w:tab/>
        <w:t>Subject to subrule</w:t>
      </w:r>
      <w:r w:rsidR="00C42A0C" w:rsidRPr="00B40A77">
        <w:rPr>
          <w:rFonts w:cs="Arial"/>
          <w:color w:val="000000" w:themeColor="text1"/>
        </w:rPr>
        <w:t> </w:t>
      </w:r>
      <w:r w:rsidRPr="00B40A77">
        <w:rPr>
          <w:rFonts w:cs="Arial"/>
          <w:color w:val="000000" w:themeColor="text1"/>
        </w:rPr>
        <w:t xml:space="preserve">(4), a copy of the jury panel list giving the number, name, suburb and occupation of the jurors selected by the </w:t>
      </w:r>
      <w:hyperlink w:anchor="_2.1—Definitions" w:history="1">
        <w:r w:rsidR="00896161" w:rsidRPr="00B40A77">
          <w:rPr>
            <w:rStyle w:val="Hyperlink"/>
            <w:rFonts w:cs="Arial"/>
            <w:color w:val="000000" w:themeColor="text1"/>
          </w:rPr>
          <w:t>Sheriff</w:t>
        </w:r>
      </w:hyperlink>
      <w:r w:rsidRPr="00B40A77">
        <w:rPr>
          <w:rFonts w:cs="Arial"/>
          <w:color w:val="000000" w:themeColor="text1"/>
        </w:rPr>
        <w:t xml:space="preserve"> under subrule</w:t>
      </w:r>
      <w:r w:rsidR="00C42A0C" w:rsidRPr="00B40A77">
        <w:rPr>
          <w:rFonts w:cs="Arial"/>
          <w:color w:val="000000" w:themeColor="text1"/>
        </w:rPr>
        <w:t> </w:t>
      </w:r>
      <w:r w:rsidRPr="00B40A77">
        <w:rPr>
          <w:rFonts w:cs="Arial"/>
          <w:color w:val="000000" w:themeColor="text1"/>
        </w:rPr>
        <w:t>(1) or</w:t>
      </w:r>
      <w:r w:rsidR="00C42A0C" w:rsidRPr="00B40A77">
        <w:rPr>
          <w:rFonts w:cs="Arial"/>
          <w:color w:val="000000" w:themeColor="text1"/>
        </w:rPr>
        <w:t> </w:t>
      </w:r>
      <w:r w:rsidRPr="00B40A77">
        <w:rPr>
          <w:rFonts w:cs="Arial"/>
          <w:color w:val="000000" w:themeColor="text1"/>
        </w:rPr>
        <w:t xml:space="preserve">(2) will be made available to counsel for the parties or an unrepresented </w:t>
      </w:r>
      <w:r w:rsidRPr="00B40A77">
        <w:rPr>
          <w:color w:val="000000" w:themeColor="text1"/>
        </w:rPr>
        <w:t>defendant</w:t>
      </w:r>
      <w:r w:rsidRPr="00B40A77">
        <w:rPr>
          <w:rFonts w:cs="Arial"/>
          <w:color w:val="000000" w:themeColor="text1"/>
        </w:rPr>
        <w:t xml:space="preserve"> by the </w:t>
      </w:r>
      <w:r w:rsidR="00896161" w:rsidRPr="00B40A77">
        <w:rPr>
          <w:rFonts w:cs="Arial"/>
          <w:color w:val="000000" w:themeColor="text1"/>
        </w:rPr>
        <w:t>s</w:t>
      </w:r>
      <w:r w:rsidRPr="00B40A77">
        <w:rPr>
          <w:rFonts w:cs="Arial"/>
          <w:color w:val="000000" w:themeColor="text1"/>
        </w:rPr>
        <w:t xml:space="preserve">heriff’s </w:t>
      </w:r>
      <w:r w:rsidR="00896161" w:rsidRPr="00B40A77">
        <w:rPr>
          <w:rFonts w:cs="Arial"/>
          <w:color w:val="000000" w:themeColor="text1"/>
        </w:rPr>
        <w:t>o</w:t>
      </w:r>
      <w:r w:rsidRPr="00B40A77">
        <w:rPr>
          <w:rFonts w:cs="Arial"/>
          <w:color w:val="000000" w:themeColor="text1"/>
        </w:rPr>
        <w:t>fficer in court sufficiently early before the jury is empanelled to enable decisions to be made on challenge.</w:t>
      </w:r>
    </w:p>
    <w:p w14:paraId="0404EF38" w14:textId="4884D61C" w:rsidR="00833018" w:rsidRPr="00B40A77" w:rsidRDefault="00833018" w:rsidP="00833018">
      <w:pPr>
        <w:pStyle w:val="Hangindent"/>
        <w:rPr>
          <w:rFonts w:cs="Arial"/>
          <w:color w:val="000000" w:themeColor="text1"/>
        </w:rPr>
      </w:pPr>
      <w:r w:rsidRPr="00B40A77">
        <w:rPr>
          <w:rFonts w:cs="Arial"/>
          <w:color w:val="000000" w:themeColor="text1"/>
        </w:rPr>
        <w:t>(4)</w:t>
      </w:r>
      <w:r w:rsidRPr="00B40A77">
        <w:rPr>
          <w:rFonts w:cs="Arial"/>
          <w:color w:val="000000" w:themeColor="text1"/>
        </w:rPr>
        <w:tab/>
        <w:t xml:space="preserve">The Judge may direct the </w:t>
      </w:r>
      <w:hyperlink w:anchor="_2.1—Definitions" w:history="1">
        <w:r w:rsidR="00896161" w:rsidRPr="00B40A77">
          <w:rPr>
            <w:rStyle w:val="Hyperlink"/>
            <w:rFonts w:cs="Arial"/>
            <w:color w:val="000000" w:themeColor="text1"/>
          </w:rPr>
          <w:t>Sheriff</w:t>
        </w:r>
      </w:hyperlink>
      <w:r w:rsidRPr="00B40A77">
        <w:rPr>
          <w:rFonts w:cs="Arial"/>
          <w:color w:val="000000" w:themeColor="text1"/>
        </w:rPr>
        <w:t xml:space="preserve"> to have information included or removed from the jury panel list for a particular </w:t>
      </w:r>
      <w:hyperlink w:anchor="_2.1—Definitions" w:history="1">
        <w:r w:rsidR="002A0B8E" w:rsidRPr="00B40A77">
          <w:rPr>
            <w:rStyle w:val="Hyperlink"/>
            <w:color w:val="000000" w:themeColor="text1"/>
            <w:lang w:val="en-US"/>
          </w:rPr>
          <w:t>trial</w:t>
        </w:r>
      </w:hyperlink>
      <w:r w:rsidRPr="00B40A77">
        <w:rPr>
          <w:rFonts w:cs="Arial"/>
          <w:color w:val="000000" w:themeColor="text1"/>
        </w:rPr>
        <w:t>.</w:t>
      </w:r>
    </w:p>
    <w:p w14:paraId="4C59F130" w14:textId="77777777" w:rsidR="00833018" w:rsidRPr="00B40A77" w:rsidRDefault="00833018" w:rsidP="00833018">
      <w:pPr>
        <w:pStyle w:val="Heading4"/>
        <w:rPr>
          <w:color w:val="000000" w:themeColor="text1"/>
        </w:rPr>
      </w:pPr>
      <w:bookmarkStart w:id="812" w:name="_Toc66966196"/>
      <w:bookmarkStart w:id="813" w:name="_Toc175239168"/>
      <w:r w:rsidRPr="00B40A77">
        <w:rPr>
          <w:color w:val="000000" w:themeColor="text1"/>
        </w:rPr>
        <w:t>132.4—Selection of jurors by ballot</w:t>
      </w:r>
      <w:bookmarkEnd w:id="812"/>
      <w:bookmarkEnd w:id="813"/>
    </w:p>
    <w:p w14:paraId="3186A0F8" w14:textId="717491A6"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 xml:space="preserve">The Associate will conduct the juror ballot by drawing a </w:t>
      </w:r>
      <w:r w:rsidRPr="00B40A77">
        <w:rPr>
          <w:color w:val="000000" w:themeColor="text1"/>
          <w:u w:val="single"/>
        </w:rPr>
        <w:t>jury card</w:t>
      </w:r>
      <w:r w:rsidRPr="00B40A77">
        <w:rPr>
          <w:color w:val="000000" w:themeColor="text1"/>
        </w:rPr>
        <w:t xml:space="preserve"> from the ballot box and reading aloud to the Court the jury number only of the juror selected as shown on the jury card.</w:t>
      </w:r>
    </w:p>
    <w:p w14:paraId="14DA1E77" w14:textId="77777777" w:rsidR="00833018" w:rsidRPr="00B40A77" w:rsidRDefault="00833018" w:rsidP="00833018">
      <w:pPr>
        <w:pStyle w:val="Hangindent"/>
        <w:rPr>
          <w:color w:val="000000" w:themeColor="text1"/>
        </w:rPr>
      </w:pPr>
      <w:r w:rsidRPr="00B40A77">
        <w:rPr>
          <w:color w:val="000000" w:themeColor="text1"/>
        </w:rPr>
        <w:t>(2)</w:t>
      </w:r>
      <w:r w:rsidRPr="00B40A77">
        <w:rPr>
          <w:color w:val="000000" w:themeColor="text1"/>
        </w:rPr>
        <w:tab/>
        <w:t>This procedure will continue, allowing for challenges, until 12 jurors, or 12 jurors and any additional jurors, are seated in the jury box.</w:t>
      </w:r>
    </w:p>
    <w:p w14:paraId="0ECF82F1" w14:textId="5B42BF5E" w:rsidR="00833018" w:rsidRPr="00B40A77" w:rsidRDefault="00833018" w:rsidP="00833018">
      <w:pPr>
        <w:pStyle w:val="Hangindent"/>
        <w:rPr>
          <w:color w:val="000000" w:themeColor="text1"/>
        </w:rPr>
      </w:pPr>
      <w:r w:rsidRPr="00B40A77">
        <w:rPr>
          <w:color w:val="000000" w:themeColor="text1"/>
        </w:rPr>
        <w:t>(3)</w:t>
      </w:r>
      <w:r w:rsidRPr="00B40A77">
        <w:rPr>
          <w:color w:val="000000" w:themeColor="text1"/>
        </w:rPr>
        <w:tab/>
        <w:t xml:space="preserve">After selection of the jury, the </w:t>
      </w:r>
      <w:r w:rsidR="00896161" w:rsidRPr="00B40A77">
        <w:rPr>
          <w:color w:val="000000" w:themeColor="text1"/>
        </w:rPr>
        <w:t>s</w:t>
      </w:r>
      <w:r w:rsidRPr="00B40A77">
        <w:rPr>
          <w:color w:val="000000" w:themeColor="text1"/>
        </w:rPr>
        <w:t xml:space="preserve">heriff’s </w:t>
      </w:r>
      <w:r w:rsidR="00896161" w:rsidRPr="00B40A77">
        <w:rPr>
          <w:color w:val="000000" w:themeColor="text1"/>
        </w:rPr>
        <w:t>o</w:t>
      </w:r>
      <w:r w:rsidRPr="00B40A77">
        <w:rPr>
          <w:color w:val="000000" w:themeColor="text1"/>
        </w:rPr>
        <w:t>fficer will collect the jury panel list from counsel and from any unrepresented defendant.</w:t>
      </w:r>
    </w:p>
    <w:p w14:paraId="49DF0482" w14:textId="6A9E5B6C" w:rsidR="00833018" w:rsidRPr="00B40A77" w:rsidRDefault="00833018" w:rsidP="00833018">
      <w:pPr>
        <w:pStyle w:val="Hangindent"/>
        <w:keepNext/>
        <w:keepLines/>
        <w:rPr>
          <w:color w:val="000000" w:themeColor="text1"/>
        </w:rPr>
      </w:pPr>
      <w:r w:rsidRPr="00B40A77">
        <w:rPr>
          <w:color w:val="000000" w:themeColor="text1"/>
        </w:rPr>
        <w:t>(4)</w:t>
      </w:r>
      <w:r w:rsidRPr="00B40A77">
        <w:rPr>
          <w:color w:val="000000" w:themeColor="text1"/>
        </w:rPr>
        <w:tab/>
        <w:t>The jury panel list is not a public document and is supplied to the parties for the purpose of jury selection only.</w:t>
      </w:r>
    </w:p>
    <w:p w14:paraId="0BBCC878" w14:textId="4FE441D0" w:rsidR="00833018" w:rsidRPr="00B40A77" w:rsidRDefault="00833018" w:rsidP="00833018">
      <w:pPr>
        <w:pStyle w:val="Hangindent"/>
        <w:keepNext/>
        <w:keepLines/>
        <w:rPr>
          <w:color w:val="000000" w:themeColor="text1"/>
        </w:rPr>
      </w:pPr>
      <w:r w:rsidRPr="00B40A77">
        <w:rPr>
          <w:color w:val="000000" w:themeColor="text1"/>
        </w:rPr>
        <w:t>(5)</w:t>
      </w:r>
      <w:r w:rsidRPr="00B40A77">
        <w:rPr>
          <w:color w:val="000000" w:themeColor="text1"/>
        </w:rPr>
        <w:tab/>
        <w:t>Unless the Judge orders otherwise, the jury panel list ceases to be available to counsel or the defendant after the jury has been selected.</w:t>
      </w:r>
    </w:p>
    <w:p w14:paraId="646363E1" w14:textId="2B16C49E" w:rsidR="00833018" w:rsidRPr="00B40A77" w:rsidRDefault="00833018" w:rsidP="00833018">
      <w:pPr>
        <w:pStyle w:val="Hangindent"/>
        <w:rPr>
          <w:color w:val="000000" w:themeColor="text1"/>
          <w:spacing w:val="-3"/>
        </w:rPr>
      </w:pPr>
      <w:r w:rsidRPr="00B40A77">
        <w:rPr>
          <w:color w:val="000000" w:themeColor="text1"/>
          <w:spacing w:val="-3"/>
        </w:rPr>
        <w:t>(6)</w:t>
      </w:r>
      <w:r w:rsidRPr="00B40A77">
        <w:rPr>
          <w:color w:val="000000" w:themeColor="text1"/>
          <w:spacing w:val="-3"/>
        </w:rPr>
        <w:tab/>
        <w:t xml:space="preserve">The cards of the jurors empanelled for a criminal </w:t>
      </w:r>
      <w:hyperlink w:anchor="_2.1—Definitions" w:history="1">
        <w:r w:rsidR="002A0B8E" w:rsidRPr="00B40A77">
          <w:rPr>
            <w:rStyle w:val="Hyperlink"/>
            <w:color w:val="000000" w:themeColor="text1"/>
            <w:lang w:val="en-US"/>
          </w:rPr>
          <w:t>trial</w:t>
        </w:r>
      </w:hyperlink>
      <w:r w:rsidRPr="00B40A77">
        <w:rPr>
          <w:color w:val="000000" w:themeColor="text1"/>
          <w:spacing w:val="-3"/>
        </w:rPr>
        <w:t xml:space="preserve"> must be kept apart from the cards of all other jurors until </w:t>
      </w:r>
      <w:r w:rsidR="00094EAD" w:rsidRPr="00B40A77">
        <w:rPr>
          <w:color w:val="000000" w:themeColor="text1"/>
          <w:spacing w:val="-3"/>
        </w:rPr>
        <w:t xml:space="preserve">24 hours after </w:t>
      </w:r>
      <w:r w:rsidRPr="00B40A77">
        <w:rPr>
          <w:color w:val="000000" w:themeColor="text1"/>
          <w:spacing w:val="-3"/>
        </w:rPr>
        <w:t>a verdict has been given or the jurors have been discharged</w:t>
      </w:r>
      <w:r w:rsidR="00094EAD" w:rsidRPr="00B40A77">
        <w:rPr>
          <w:color w:val="000000" w:themeColor="text1"/>
          <w:spacing w:val="-3"/>
        </w:rPr>
        <w:t xml:space="preserve"> (whichever is later)</w:t>
      </w:r>
      <w:r w:rsidRPr="00B40A77">
        <w:rPr>
          <w:color w:val="000000" w:themeColor="text1"/>
          <w:spacing w:val="-3"/>
        </w:rPr>
        <w:t>.</w:t>
      </w:r>
    </w:p>
    <w:p w14:paraId="53FBA918" w14:textId="07EBAD53" w:rsidR="00833018" w:rsidRPr="00B40A77" w:rsidRDefault="00833018" w:rsidP="00833018">
      <w:pPr>
        <w:pStyle w:val="Hangindent"/>
        <w:rPr>
          <w:color w:val="000000" w:themeColor="text1"/>
          <w:spacing w:val="-3"/>
        </w:rPr>
      </w:pPr>
      <w:r w:rsidRPr="00B40A77">
        <w:rPr>
          <w:color w:val="000000" w:themeColor="text1"/>
          <w:spacing w:val="-3"/>
        </w:rPr>
        <w:lastRenderedPageBreak/>
        <w:t>(7)</w:t>
      </w:r>
      <w:r w:rsidRPr="00B40A77">
        <w:rPr>
          <w:color w:val="000000" w:themeColor="text1"/>
          <w:spacing w:val="-3"/>
        </w:rPr>
        <w:tab/>
        <w:t>A ballot required to be held in accordance with section</w:t>
      </w:r>
      <w:r w:rsidR="003F313A" w:rsidRPr="00B40A77">
        <w:rPr>
          <w:color w:val="000000" w:themeColor="text1"/>
          <w:spacing w:val="-3"/>
        </w:rPr>
        <w:t> </w:t>
      </w:r>
      <w:r w:rsidRPr="00B40A77">
        <w:rPr>
          <w:color w:val="000000" w:themeColor="text1"/>
          <w:spacing w:val="-3"/>
        </w:rPr>
        <w:t>6A(2) of the Juries Act will be conducted by drawing at random the number of cards necessary to reduce the number of jurors to</w:t>
      </w:r>
      <w:r w:rsidR="00350BCC" w:rsidRPr="00B40A77">
        <w:rPr>
          <w:color w:val="000000" w:themeColor="text1"/>
          <w:spacing w:val="-3"/>
        </w:rPr>
        <w:t> </w:t>
      </w:r>
      <w:r w:rsidRPr="00B40A77">
        <w:rPr>
          <w:color w:val="000000" w:themeColor="text1"/>
          <w:spacing w:val="-3"/>
        </w:rPr>
        <w:t>12 from those cards kept apart in accordance with subrule</w:t>
      </w:r>
      <w:r w:rsidR="00350BCC" w:rsidRPr="00B40A77">
        <w:rPr>
          <w:color w:val="000000" w:themeColor="text1"/>
          <w:spacing w:val="-3"/>
        </w:rPr>
        <w:t> </w:t>
      </w:r>
      <w:r w:rsidRPr="00B40A77">
        <w:rPr>
          <w:color w:val="000000" w:themeColor="text1"/>
          <w:spacing w:val="-3"/>
        </w:rPr>
        <w:t>(</w:t>
      </w:r>
      <w:r w:rsidR="009549B2" w:rsidRPr="00B40A77">
        <w:rPr>
          <w:color w:val="000000" w:themeColor="text1"/>
          <w:spacing w:val="-3"/>
        </w:rPr>
        <w:t>6</w:t>
      </w:r>
      <w:r w:rsidRPr="00B40A77">
        <w:rPr>
          <w:color w:val="000000" w:themeColor="text1"/>
          <w:spacing w:val="-3"/>
        </w:rPr>
        <w:t>).</w:t>
      </w:r>
    </w:p>
    <w:p w14:paraId="7892EF4F" w14:textId="77777777" w:rsidR="00833018" w:rsidRPr="00B40A77" w:rsidRDefault="00833018" w:rsidP="00833018">
      <w:pPr>
        <w:pStyle w:val="Heading4"/>
        <w:rPr>
          <w:color w:val="000000" w:themeColor="text1"/>
        </w:rPr>
      </w:pPr>
      <w:bookmarkStart w:id="814" w:name="_Toc66966197"/>
      <w:bookmarkStart w:id="815" w:name="_Toc175239169"/>
      <w:r w:rsidRPr="00B40A77">
        <w:rPr>
          <w:color w:val="000000" w:themeColor="text1"/>
        </w:rPr>
        <w:t>132.5—Jurors in charge of Sheriff or sheriff’s officer</w:t>
      </w:r>
      <w:bookmarkEnd w:id="814"/>
      <w:bookmarkEnd w:id="815"/>
    </w:p>
    <w:p w14:paraId="37F391A0" w14:textId="414C981A" w:rsidR="00833018" w:rsidRPr="00B40A77" w:rsidRDefault="00833018" w:rsidP="00833018">
      <w:pPr>
        <w:pStyle w:val="IndentedPara"/>
        <w:rPr>
          <w:color w:val="000000" w:themeColor="text1"/>
        </w:rPr>
      </w:pPr>
      <w:r w:rsidRPr="00B40A77">
        <w:rPr>
          <w:color w:val="000000" w:themeColor="text1"/>
        </w:rPr>
        <w:t xml:space="preserve">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ensure that jurors while in a </w:t>
      </w:r>
      <w:r w:rsidRPr="00B40A77">
        <w:rPr>
          <w:color w:val="000000" w:themeColor="text1"/>
          <w:u w:val="single"/>
        </w:rPr>
        <w:t>jury pool room</w:t>
      </w:r>
      <w:r w:rsidRPr="00B40A77">
        <w:rPr>
          <w:color w:val="000000" w:themeColor="text1"/>
        </w:rPr>
        <w:t xml:space="preserve">, jury retiring room, courtroom, building in which a courtroom is situated, at a view or </w:t>
      </w:r>
      <w:r w:rsidR="009549B2" w:rsidRPr="00B40A77">
        <w:rPr>
          <w:color w:val="000000" w:themeColor="text1"/>
        </w:rPr>
        <w:t>mov</w:t>
      </w:r>
      <w:r w:rsidRPr="00B40A77">
        <w:rPr>
          <w:color w:val="000000" w:themeColor="text1"/>
        </w:rPr>
        <w:t xml:space="preserve">ing between any of those places are in the charge of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or a sheriff’s officer.</w:t>
      </w:r>
    </w:p>
    <w:p w14:paraId="16267E92" w14:textId="77777777" w:rsidR="00833018" w:rsidRPr="00B40A77" w:rsidRDefault="00833018" w:rsidP="00833018">
      <w:pPr>
        <w:pStyle w:val="Heading4"/>
        <w:rPr>
          <w:color w:val="000000" w:themeColor="text1"/>
        </w:rPr>
      </w:pPr>
      <w:bookmarkStart w:id="816" w:name="_Toc66966198"/>
      <w:bookmarkStart w:id="817" w:name="_Toc175239170"/>
      <w:r w:rsidRPr="00B40A77">
        <w:rPr>
          <w:color w:val="000000" w:themeColor="text1"/>
        </w:rPr>
        <w:t>132.6—Non attendance</w:t>
      </w:r>
      <w:bookmarkEnd w:id="816"/>
      <w:bookmarkEnd w:id="817"/>
    </w:p>
    <w:p w14:paraId="5DD2598A" w14:textId="25D9DD95" w:rsidR="00833018" w:rsidRPr="00B40A77" w:rsidRDefault="00833018" w:rsidP="00350BCC">
      <w:pPr>
        <w:pStyle w:val="IndentedPara"/>
        <w:rPr>
          <w:color w:val="000000" w:themeColor="text1"/>
        </w:rPr>
      </w:pPr>
      <w:r w:rsidRPr="00B40A77">
        <w:rPr>
          <w:color w:val="000000" w:themeColor="text1"/>
        </w:rPr>
        <w:t xml:space="preserve">If a juror does not attend in obedience to a summons or in compliance with a direction by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the </w:t>
      </w:r>
      <w:hyperlink w:anchor="_2.1—Definitions" w:history="1">
        <w:r w:rsidR="00896161" w:rsidRPr="00B40A77">
          <w:rPr>
            <w:rStyle w:val="Hyperlink"/>
            <w:rFonts w:cs="Arial"/>
            <w:color w:val="000000" w:themeColor="text1"/>
          </w:rPr>
          <w:t>Sheriff</w:t>
        </w:r>
      </w:hyperlink>
      <w:r w:rsidRPr="00B40A77">
        <w:rPr>
          <w:color w:val="000000" w:themeColor="text1"/>
        </w:rPr>
        <w:t xml:space="preserve"> must report the fact to a Judge.</w:t>
      </w:r>
    </w:p>
    <w:p w14:paraId="69C1ED4E" w14:textId="77777777" w:rsidR="00833018" w:rsidRPr="00B40A77" w:rsidRDefault="00833018" w:rsidP="00BE23A0">
      <w:pPr>
        <w:pStyle w:val="Heading2"/>
        <w:keepNext/>
        <w:rPr>
          <w:color w:val="000000" w:themeColor="text1"/>
        </w:rPr>
      </w:pPr>
      <w:bookmarkStart w:id="818" w:name="_Toc66966199"/>
      <w:bookmarkStart w:id="819" w:name="_Toc175239171"/>
      <w:r w:rsidRPr="00B40A77">
        <w:rPr>
          <w:color w:val="000000" w:themeColor="text1"/>
        </w:rPr>
        <w:t>Part 5—Conduct of trial</w:t>
      </w:r>
      <w:bookmarkEnd w:id="818"/>
      <w:bookmarkEnd w:id="819"/>
    </w:p>
    <w:p w14:paraId="4B500BE4" w14:textId="0B3ED049" w:rsidR="00603D15" w:rsidRPr="00B40A77" w:rsidRDefault="00603D15" w:rsidP="00603D15">
      <w:pPr>
        <w:pStyle w:val="Heading4"/>
        <w:rPr>
          <w:color w:val="000000" w:themeColor="text1"/>
          <w:lang w:val="en-GB"/>
        </w:rPr>
      </w:pPr>
      <w:bookmarkStart w:id="820" w:name="_Toc175239172"/>
      <w:bookmarkStart w:id="821" w:name="_Toc394312690"/>
      <w:bookmarkStart w:id="822" w:name="_Toc60133969"/>
      <w:bookmarkStart w:id="823" w:name="_Toc66966200"/>
      <w:r w:rsidRPr="00B40A77">
        <w:rPr>
          <w:color w:val="000000" w:themeColor="text1"/>
          <w:lang w:val="en-GB"/>
        </w:rPr>
        <w:t>133.1—List of witnesses</w:t>
      </w:r>
      <w:bookmarkEnd w:id="820"/>
    </w:p>
    <w:p w14:paraId="58E4F8E0" w14:textId="1EE8276C" w:rsidR="00603D15" w:rsidRPr="00B40A77" w:rsidRDefault="00603D15" w:rsidP="00603D15">
      <w:pPr>
        <w:pStyle w:val="Hangindent"/>
        <w:ind w:left="567" w:firstLine="0"/>
        <w:rPr>
          <w:color w:val="000000" w:themeColor="text1"/>
        </w:rPr>
      </w:pPr>
      <w:r w:rsidRPr="00B40A77">
        <w:rPr>
          <w:color w:val="000000" w:themeColor="text1"/>
        </w:rPr>
        <w:t xml:space="preserve">Unless the Court otherwise orders, the prosecution must file and serve a list of the witnesses intended to be called at </w:t>
      </w:r>
      <w:hyperlink w:anchor="_2.1—Definitions" w:history="1">
        <w:r w:rsidR="002A0B8E" w:rsidRPr="00B40A77">
          <w:rPr>
            <w:rStyle w:val="Hyperlink"/>
            <w:color w:val="000000" w:themeColor="text1"/>
            <w:lang w:val="en-US"/>
          </w:rPr>
          <w:t>trial</w:t>
        </w:r>
      </w:hyperlink>
      <w:r w:rsidRPr="00B40A77">
        <w:rPr>
          <w:color w:val="000000" w:themeColor="text1"/>
        </w:rPr>
        <w:t xml:space="preserve"> by</w:t>
      </w:r>
      <w:r w:rsidR="002A0B8E" w:rsidRPr="00B40A77">
        <w:rPr>
          <w:color w:val="000000" w:themeColor="text1"/>
        </w:rPr>
        <w:t xml:space="preserve"> </w:t>
      </w:r>
      <w:r w:rsidRPr="00B40A77">
        <w:rPr>
          <w:color w:val="000000" w:themeColor="text1"/>
        </w:rPr>
        <w:t>8.30</w:t>
      </w:r>
      <w:r w:rsidR="00350BCC" w:rsidRPr="00B40A77">
        <w:rPr>
          <w:color w:val="000000" w:themeColor="text1"/>
        </w:rPr>
        <w:t> </w:t>
      </w:r>
      <w:r w:rsidRPr="00B40A77">
        <w:rPr>
          <w:color w:val="000000" w:themeColor="text1"/>
        </w:rPr>
        <w:t xml:space="preserve">am on the morning of commencement of the </w:t>
      </w:r>
      <w:hyperlink w:anchor="_2.1—Definitions" w:history="1">
        <w:r w:rsidR="002A0B8E" w:rsidRPr="00B40A77">
          <w:rPr>
            <w:rStyle w:val="Hyperlink"/>
            <w:color w:val="000000" w:themeColor="text1"/>
            <w:lang w:val="en-US"/>
          </w:rPr>
          <w:t>trial</w:t>
        </w:r>
      </w:hyperlink>
      <w:r w:rsidRPr="00B40A77">
        <w:rPr>
          <w:color w:val="000000" w:themeColor="text1"/>
        </w:rPr>
        <w:t>.</w:t>
      </w:r>
    </w:p>
    <w:p w14:paraId="4FB9B1EF" w14:textId="20E95872" w:rsidR="00833018" w:rsidRPr="00B40A77" w:rsidRDefault="00833018" w:rsidP="00833018">
      <w:pPr>
        <w:pStyle w:val="Heading4"/>
        <w:rPr>
          <w:color w:val="000000" w:themeColor="text1"/>
          <w:lang w:val="en-GB"/>
        </w:rPr>
      </w:pPr>
      <w:bookmarkStart w:id="824" w:name="_Toc175239173"/>
      <w:r w:rsidRPr="00B40A77">
        <w:rPr>
          <w:color w:val="000000" w:themeColor="text1"/>
          <w:lang w:val="en-GB"/>
        </w:rPr>
        <w:t>133.</w:t>
      </w:r>
      <w:r w:rsidR="00603D15" w:rsidRPr="00B40A77">
        <w:rPr>
          <w:color w:val="000000" w:themeColor="text1"/>
          <w:lang w:val="en-GB"/>
        </w:rPr>
        <w:t>2</w:t>
      </w:r>
      <w:r w:rsidRPr="00B40A77">
        <w:rPr>
          <w:color w:val="000000" w:themeColor="text1"/>
          <w:lang w:val="en-GB"/>
        </w:rPr>
        <w:t>—Witness identification</w:t>
      </w:r>
      <w:bookmarkEnd w:id="821"/>
      <w:bookmarkEnd w:id="822"/>
      <w:bookmarkEnd w:id="823"/>
      <w:bookmarkEnd w:id="824"/>
    </w:p>
    <w:p w14:paraId="21EC0D8B" w14:textId="084BD643"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A witness is required to submit their address in writing for inclusion in court records.</w:t>
      </w:r>
    </w:p>
    <w:p w14:paraId="10194B6D" w14:textId="7C9B7761" w:rsidR="00833018" w:rsidRPr="00B40A77" w:rsidRDefault="00833018" w:rsidP="00833018">
      <w:pPr>
        <w:pStyle w:val="Hangindent"/>
        <w:rPr>
          <w:color w:val="000000" w:themeColor="text1"/>
        </w:rPr>
      </w:pPr>
      <w:r w:rsidRPr="00B40A77">
        <w:rPr>
          <w:color w:val="000000" w:themeColor="text1"/>
        </w:rPr>
        <w:t>(</w:t>
      </w:r>
      <w:r w:rsidR="00013454" w:rsidRPr="00B40A77">
        <w:rPr>
          <w:color w:val="000000" w:themeColor="text1"/>
        </w:rPr>
        <w:t>2</w:t>
      </w:r>
      <w:r w:rsidRPr="00B40A77">
        <w:rPr>
          <w:color w:val="000000" w:themeColor="text1"/>
        </w:rPr>
        <w:t>)</w:t>
      </w:r>
      <w:r w:rsidRPr="00B40A77">
        <w:rPr>
          <w:color w:val="000000" w:themeColor="text1"/>
        </w:rPr>
        <w:tab/>
        <w:t>A witness will not be asked when taking the oath or affirmation to state their address or occupation.</w:t>
      </w:r>
    </w:p>
    <w:p w14:paraId="356F5D34" w14:textId="1D3B631F" w:rsidR="00833018" w:rsidRPr="00B40A77" w:rsidRDefault="00833018" w:rsidP="00833018">
      <w:pPr>
        <w:pStyle w:val="Hangindent"/>
        <w:rPr>
          <w:color w:val="000000" w:themeColor="text1"/>
        </w:rPr>
      </w:pPr>
      <w:r w:rsidRPr="00B40A77">
        <w:rPr>
          <w:color w:val="000000" w:themeColor="text1"/>
        </w:rPr>
        <w:t>(</w:t>
      </w:r>
      <w:r w:rsidR="00013454" w:rsidRPr="00B40A77">
        <w:rPr>
          <w:color w:val="000000" w:themeColor="text1"/>
        </w:rPr>
        <w:t>3</w:t>
      </w:r>
      <w:r w:rsidRPr="00B40A77">
        <w:rPr>
          <w:color w:val="000000" w:themeColor="text1"/>
        </w:rPr>
        <w:t>)</w:t>
      </w:r>
      <w:r w:rsidRPr="00B40A77">
        <w:rPr>
          <w:color w:val="000000" w:themeColor="text1"/>
        </w:rPr>
        <w:tab/>
        <w:t>This rule does not restrict the right of counsel for a party to ask a witness their address or occupation if it is relevant to an issue or to credit.</w:t>
      </w:r>
    </w:p>
    <w:p w14:paraId="0C576E1C" w14:textId="32F2C28A" w:rsidR="00833018" w:rsidRPr="00B40A77" w:rsidRDefault="00833018" w:rsidP="00833018">
      <w:pPr>
        <w:pStyle w:val="Heading4"/>
        <w:rPr>
          <w:color w:val="000000" w:themeColor="text1"/>
        </w:rPr>
      </w:pPr>
      <w:bookmarkStart w:id="825" w:name="_Toc66966201"/>
      <w:bookmarkStart w:id="826" w:name="_Toc175239174"/>
      <w:r w:rsidRPr="00B40A77">
        <w:rPr>
          <w:color w:val="000000" w:themeColor="text1"/>
        </w:rPr>
        <w:t>133.</w:t>
      </w:r>
      <w:r w:rsidR="00603D15" w:rsidRPr="00B40A77">
        <w:rPr>
          <w:color w:val="000000" w:themeColor="text1"/>
        </w:rPr>
        <w:t>3</w:t>
      </w:r>
      <w:r w:rsidRPr="00B40A77">
        <w:rPr>
          <w:color w:val="000000" w:themeColor="text1"/>
        </w:rPr>
        <w:t>—Audio visual record of evidence</w:t>
      </w:r>
      <w:bookmarkEnd w:id="825"/>
      <w:bookmarkEnd w:id="826"/>
    </w:p>
    <w:p w14:paraId="1127CFF6" w14:textId="512C256B"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This rule applies to an audio visual record of the evidence of a vulnerable witness given in a proceeding before the Court.</w:t>
      </w:r>
    </w:p>
    <w:p w14:paraId="3F61D527" w14:textId="5F745652" w:rsidR="00833018" w:rsidRPr="00B40A77" w:rsidRDefault="00833018" w:rsidP="00833018">
      <w:pPr>
        <w:pStyle w:val="Hangindent"/>
        <w:rPr>
          <w:color w:val="000000" w:themeColor="text1"/>
          <w:lang w:val="en-US"/>
        </w:rPr>
      </w:pPr>
      <w:r w:rsidRPr="00B40A77">
        <w:rPr>
          <w:color w:val="000000" w:themeColor="text1"/>
        </w:rPr>
        <w:t>(2)</w:t>
      </w:r>
      <w:r w:rsidRPr="00B40A77">
        <w:rPr>
          <w:color w:val="000000" w:themeColor="text1"/>
        </w:rPr>
        <w:tab/>
        <w:t>An application to take custody of an audio visual record of the evidence of a vulnerable witness given in a proceeding before the Court for the purpose of a related proceeding</w:t>
      </w:r>
      <w:r w:rsidRPr="00B40A77">
        <w:rPr>
          <w:color w:val="000000" w:themeColor="text1"/>
          <w:lang w:val="en-US"/>
        </w:rPr>
        <w:t xml:space="preserve"> </w:t>
      </w:r>
      <w:r w:rsidRPr="00B40A77">
        <w:rPr>
          <w:color w:val="000000" w:themeColor="text1"/>
        </w:rPr>
        <w:t>under section</w:t>
      </w:r>
      <w:r w:rsidR="003F313A" w:rsidRPr="00B40A77">
        <w:rPr>
          <w:color w:val="000000" w:themeColor="text1"/>
        </w:rPr>
        <w:t> </w:t>
      </w:r>
      <w:r w:rsidRPr="00B40A77">
        <w:rPr>
          <w:color w:val="000000" w:themeColor="text1"/>
        </w:rPr>
        <w:t xml:space="preserve">13C(3) of the Evidence Act </w:t>
      </w:r>
      <w:r w:rsidRPr="00B40A77">
        <w:rPr>
          <w:color w:val="000000" w:themeColor="text1"/>
          <w:lang w:val="en-US"/>
        </w:rPr>
        <w:t>must be made—</w:t>
      </w:r>
    </w:p>
    <w:p w14:paraId="273B0945" w14:textId="4B3D0A30" w:rsidR="00833018" w:rsidRPr="00B40A77" w:rsidRDefault="00833018" w:rsidP="00833018">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by an </w:t>
      </w:r>
      <w:r w:rsidR="00FA4048" w:rsidRPr="00B40A77">
        <w:rPr>
          <w:color w:val="000000" w:themeColor="text1"/>
          <w:lang w:val="en-US"/>
        </w:rPr>
        <w:t xml:space="preserve">interlocutory application </w:t>
      </w:r>
      <w:r w:rsidR="00095801" w:rsidRPr="00B40A77">
        <w:rPr>
          <w:color w:val="000000" w:themeColor="text1"/>
          <w:lang w:val="en-US"/>
        </w:rPr>
        <w:t xml:space="preserve">in accordance with </w:t>
      </w:r>
      <w:hyperlink w:anchor="_39.1—Written_application" w:history="1">
        <w:r w:rsidR="00C1210B" w:rsidRPr="00B40A77">
          <w:rPr>
            <w:rStyle w:val="Hyperlink"/>
            <w:color w:val="000000" w:themeColor="text1"/>
            <w:lang w:val="en-US"/>
          </w:rPr>
          <w:t>rule 39.1</w:t>
        </w:r>
      </w:hyperlink>
      <w:r w:rsidRPr="00B40A77">
        <w:rPr>
          <w:color w:val="000000" w:themeColor="text1"/>
          <w:lang w:val="en-US"/>
        </w:rPr>
        <w:t>; or</w:t>
      </w:r>
    </w:p>
    <w:p w14:paraId="1EDF5637" w14:textId="05C03DEA" w:rsidR="00833018" w:rsidRPr="00B40A77" w:rsidRDefault="00833018" w:rsidP="0083301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by an application made orally at a </w:t>
      </w:r>
      <w:hyperlink w:anchor="_2.1—Definitions" w:history="1">
        <w:r w:rsidR="001953DB" w:rsidRPr="00B40A77">
          <w:rPr>
            <w:rStyle w:val="Hyperlink"/>
            <w:color w:val="000000" w:themeColor="text1"/>
          </w:rPr>
          <w:t>hearing</w:t>
        </w:r>
      </w:hyperlink>
      <w:r w:rsidRPr="00B40A77">
        <w:rPr>
          <w:color w:val="000000" w:themeColor="text1"/>
          <w:lang w:val="en-US"/>
        </w:rPr>
        <w:t xml:space="preserve"> or </w:t>
      </w:r>
      <w:hyperlink w:anchor="_2.1—Definitions" w:history="1">
        <w:r w:rsidR="002A0B8E" w:rsidRPr="00B40A77">
          <w:rPr>
            <w:rStyle w:val="Hyperlink"/>
            <w:color w:val="000000" w:themeColor="text1"/>
            <w:lang w:val="en-US"/>
          </w:rPr>
          <w:t>trial</w:t>
        </w:r>
      </w:hyperlink>
      <w:r w:rsidRPr="00B40A77">
        <w:rPr>
          <w:color w:val="000000" w:themeColor="text1"/>
          <w:lang w:val="en-US"/>
        </w:rPr>
        <w:t>.</w:t>
      </w:r>
    </w:p>
    <w:p w14:paraId="78FB2DA8" w14:textId="2BDB49DA" w:rsidR="00833018" w:rsidRPr="00B40A77" w:rsidRDefault="00833018" w:rsidP="00833018">
      <w:pPr>
        <w:pStyle w:val="Hangindent"/>
        <w:rPr>
          <w:color w:val="000000" w:themeColor="text1"/>
        </w:rPr>
      </w:pPr>
      <w:r w:rsidRPr="00B40A77">
        <w:rPr>
          <w:color w:val="000000" w:themeColor="text1"/>
        </w:rPr>
        <w:t>(3)</w:t>
      </w:r>
      <w:r w:rsidRPr="00B40A77">
        <w:rPr>
          <w:color w:val="000000" w:themeColor="text1"/>
        </w:rPr>
        <w:tab/>
        <w:t>Unless the Court otherwise orders, a party who is authorised by the Court under section</w:t>
      </w:r>
      <w:r w:rsidR="00FA1B2C" w:rsidRPr="00B40A77">
        <w:rPr>
          <w:color w:val="000000" w:themeColor="text1"/>
        </w:rPr>
        <w:t> </w:t>
      </w:r>
      <w:r w:rsidRPr="00B40A77">
        <w:rPr>
          <w:color w:val="000000" w:themeColor="text1"/>
        </w:rPr>
        <w:t>13C(3) of the Evidence Act</w:t>
      </w:r>
      <w:r w:rsidRPr="00B40A77">
        <w:rPr>
          <w:iCs/>
          <w:color w:val="000000" w:themeColor="text1"/>
        </w:rPr>
        <w:t xml:space="preserve"> </w:t>
      </w:r>
      <w:r w:rsidRPr="00B40A77">
        <w:rPr>
          <w:color w:val="000000" w:themeColor="text1"/>
        </w:rPr>
        <w:t>to take custody of an audio visual record of evidence</w:t>
      </w:r>
      <w:r w:rsidRPr="00B40A77">
        <w:rPr>
          <w:color w:val="000000" w:themeColor="text1"/>
          <w:lang w:val="en-US"/>
        </w:rPr>
        <w:t>—</w:t>
      </w:r>
    </w:p>
    <w:p w14:paraId="57137047" w14:textId="77777777" w:rsidR="00833018" w:rsidRPr="00B40A77" w:rsidRDefault="00833018" w:rsidP="00833018">
      <w:pPr>
        <w:pStyle w:val="Doublehangindent"/>
        <w:rPr>
          <w:color w:val="000000" w:themeColor="text1"/>
          <w:lang w:val="en-US"/>
        </w:rPr>
      </w:pPr>
      <w:r w:rsidRPr="00B40A77">
        <w:rPr>
          <w:color w:val="000000" w:themeColor="text1"/>
          <w:lang w:val="en-US"/>
        </w:rPr>
        <w:t>(a)</w:t>
      </w:r>
      <w:r w:rsidRPr="00B40A77">
        <w:rPr>
          <w:color w:val="000000" w:themeColor="text1"/>
          <w:lang w:val="en-US"/>
        </w:rPr>
        <w:tab/>
        <w:t>will be provided with a duplicate copy of the record;</w:t>
      </w:r>
    </w:p>
    <w:p w14:paraId="1FC74383" w14:textId="77777777" w:rsidR="00833018" w:rsidRPr="00B40A77" w:rsidRDefault="00833018" w:rsidP="00833018">
      <w:pPr>
        <w:pStyle w:val="Doublehangindent"/>
        <w:rPr>
          <w:color w:val="000000" w:themeColor="text1"/>
          <w:lang w:val="en-US"/>
        </w:rPr>
      </w:pPr>
      <w:r w:rsidRPr="00B40A77">
        <w:rPr>
          <w:color w:val="000000" w:themeColor="text1"/>
          <w:lang w:val="en-US"/>
        </w:rPr>
        <w:t>(b)</w:t>
      </w:r>
      <w:r w:rsidRPr="00B40A77">
        <w:rPr>
          <w:color w:val="000000" w:themeColor="text1"/>
          <w:lang w:val="en-US"/>
        </w:rPr>
        <w:tab/>
        <w:t>must only use the duplicate record for the sole purpose of the related proceeding;</w:t>
      </w:r>
    </w:p>
    <w:p w14:paraId="3A75CBC3" w14:textId="77777777" w:rsidR="00833018" w:rsidRPr="00B40A77" w:rsidRDefault="00833018" w:rsidP="00833018">
      <w:pPr>
        <w:pStyle w:val="Doublehangindent"/>
        <w:rPr>
          <w:color w:val="000000" w:themeColor="text1"/>
          <w:lang w:val="en-US"/>
        </w:rPr>
      </w:pPr>
      <w:r w:rsidRPr="00B40A77">
        <w:rPr>
          <w:color w:val="000000" w:themeColor="text1"/>
          <w:lang w:val="en-US"/>
        </w:rPr>
        <w:t>(c)</w:t>
      </w:r>
      <w:r w:rsidRPr="00B40A77">
        <w:rPr>
          <w:color w:val="000000" w:themeColor="text1"/>
          <w:lang w:val="en-US"/>
        </w:rPr>
        <w:tab/>
        <w:t>must not copy or disseminate the duplicate record to any third party; and</w:t>
      </w:r>
    </w:p>
    <w:p w14:paraId="5416C324" w14:textId="77777777" w:rsidR="00833018" w:rsidRPr="00B40A77" w:rsidRDefault="00833018" w:rsidP="00833018">
      <w:pPr>
        <w:pStyle w:val="Doublehangindent"/>
        <w:rPr>
          <w:color w:val="000000" w:themeColor="text1"/>
          <w:lang w:val="en-US"/>
        </w:rPr>
      </w:pPr>
      <w:r w:rsidRPr="00B40A77">
        <w:rPr>
          <w:color w:val="000000" w:themeColor="text1"/>
          <w:lang w:val="en-US"/>
        </w:rPr>
        <w:t>(d)</w:t>
      </w:r>
      <w:r w:rsidRPr="00B40A77">
        <w:rPr>
          <w:color w:val="000000" w:themeColor="text1"/>
          <w:lang w:val="en-US"/>
        </w:rPr>
        <w:tab/>
        <w:t>must ensure the safekeeping of the duplicate record and return it to the Court at the conclusion of the related proceeding.</w:t>
      </w:r>
    </w:p>
    <w:p w14:paraId="08492AFA" w14:textId="77777777" w:rsidR="00833018" w:rsidRPr="00B40A77" w:rsidRDefault="00833018" w:rsidP="00833018">
      <w:pPr>
        <w:pStyle w:val="Hangindent"/>
        <w:keepNext/>
        <w:keepLines/>
        <w:rPr>
          <w:color w:val="000000" w:themeColor="text1"/>
        </w:rPr>
      </w:pPr>
      <w:r w:rsidRPr="00B40A77">
        <w:rPr>
          <w:color w:val="000000" w:themeColor="text1"/>
        </w:rPr>
        <w:t>(4)</w:t>
      </w:r>
      <w:r w:rsidRPr="00B40A77">
        <w:rPr>
          <w:color w:val="000000" w:themeColor="text1"/>
        </w:rPr>
        <w:tab/>
        <w:t>If editing of an official record of evidence is required under section 13D(3) of the Evidence Act, the party tendering the evidence</w:t>
      </w:r>
      <w:r w:rsidRPr="00B40A77">
        <w:rPr>
          <w:color w:val="000000" w:themeColor="text1"/>
          <w:lang w:val="en-US"/>
        </w:rPr>
        <w:t>—</w:t>
      </w:r>
    </w:p>
    <w:p w14:paraId="7A0265B3" w14:textId="77777777" w:rsidR="00833018" w:rsidRPr="00B40A77" w:rsidRDefault="00833018" w:rsidP="00833018">
      <w:pPr>
        <w:pStyle w:val="Doublehangindent"/>
        <w:rPr>
          <w:color w:val="000000" w:themeColor="text1"/>
          <w:lang w:val="en-US"/>
        </w:rPr>
      </w:pPr>
      <w:r w:rsidRPr="00B40A77">
        <w:rPr>
          <w:color w:val="000000" w:themeColor="text1"/>
        </w:rPr>
        <w:t>(</w:t>
      </w:r>
      <w:r w:rsidRPr="00B40A77">
        <w:rPr>
          <w:color w:val="000000" w:themeColor="text1"/>
          <w:lang w:val="en-US"/>
        </w:rPr>
        <w:t>a)</w:t>
      </w:r>
      <w:r w:rsidRPr="00B40A77">
        <w:rPr>
          <w:color w:val="000000" w:themeColor="text1"/>
          <w:lang w:val="en-US"/>
        </w:rPr>
        <w:tab/>
        <w:t>will be provided with a duplicate copy of the official record and the editing must be carried out on the duplicate record;</w:t>
      </w:r>
    </w:p>
    <w:p w14:paraId="49047CA9" w14:textId="77777777" w:rsidR="00833018" w:rsidRPr="00B40A77" w:rsidRDefault="00833018" w:rsidP="00833018">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 xml:space="preserve">must ensure that the edited version is prepared in a form that, if tendered, can be displayed on the Court’s audio or audio visual equipment; </w:t>
      </w:r>
    </w:p>
    <w:p w14:paraId="4C2F4A51" w14:textId="77777777" w:rsidR="00833018" w:rsidRPr="00B40A77" w:rsidRDefault="00833018" w:rsidP="00833018">
      <w:pPr>
        <w:pStyle w:val="Doublehangindent"/>
        <w:rPr>
          <w:color w:val="000000" w:themeColor="text1"/>
          <w:lang w:val="en-US"/>
        </w:rPr>
      </w:pPr>
      <w:r w:rsidRPr="00B40A77">
        <w:rPr>
          <w:color w:val="000000" w:themeColor="text1"/>
          <w:lang w:val="en-US"/>
        </w:rPr>
        <w:t>(c)</w:t>
      </w:r>
      <w:r w:rsidRPr="00B40A77">
        <w:rPr>
          <w:color w:val="000000" w:themeColor="text1"/>
          <w:lang w:val="en-US"/>
        </w:rPr>
        <w:tab/>
        <w:t>must keep all edited versions of the official record in safekeeping; and</w:t>
      </w:r>
    </w:p>
    <w:p w14:paraId="4D42E6FB" w14:textId="77777777" w:rsidR="00833018" w:rsidRPr="00B40A77" w:rsidRDefault="00833018" w:rsidP="00833018">
      <w:pPr>
        <w:pStyle w:val="Doublehangindent"/>
        <w:rPr>
          <w:color w:val="000000" w:themeColor="text1"/>
          <w:lang w:val="en-US"/>
        </w:rPr>
      </w:pPr>
      <w:r w:rsidRPr="00B40A77">
        <w:rPr>
          <w:color w:val="000000" w:themeColor="text1"/>
          <w:lang w:val="en-US"/>
        </w:rPr>
        <w:t>(d)</w:t>
      </w:r>
      <w:r w:rsidRPr="00B40A77">
        <w:rPr>
          <w:color w:val="000000" w:themeColor="text1"/>
          <w:lang w:val="en-US"/>
        </w:rPr>
        <w:tab/>
        <w:t>must return to the Court all edited versions not already in the custody of the Court immediately upon the conclusion of the proceeding.</w:t>
      </w:r>
    </w:p>
    <w:p w14:paraId="1AA4180F" w14:textId="261DF9A8" w:rsidR="00833018" w:rsidRPr="00B40A77" w:rsidRDefault="00833018" w:rsidP="00833018">
      <w:pPr>
        <w:pStyle w:val="Heading4"/>
        <w:rPr>
          <w:color w:val="000000" w:themeColor="text1"/>
        </w:rPr>
      </w:pPr>
      <w:bookmarkStart w:id="827" w:name="_Toc66966202"/>
      <w:bookmarkStart w:id="828" w:name="_Toc175239175"/>
      <w:r w:rsidRPr="00B40A77">
        <w:rPr>
          <w:color w:val="000000" w:themeColor="text1"/>
        </w:rPr>
        <w:t>133.</w:t>
      </w:r>
      <w:r w:rsidR="00603D15" w:rsidRPr="00B40A77">
        <w:rPr>
          <w:color w:val="000000" w:themeColor="text1"/>
        </w:rPr>
        <w:t>4</w:t>
      </w:r>
      <w:r w:rsidRPr="00B40A77">
        <w:rPr>
          <w:color w:val="000000" w:themeColor="text1"/>
        </w:rPr>
        <w:t>—Exhibits</w:t>
      </w:r>
      <w:bookmarkEnd w:id="827"/>
      <w:bookmarkEnd w:id="828"/>
    </w:p>
    <w:p w14:paraId="243BA801" w14:textId="3B13F6C6" w:rsidR="00833018" w:rsidRPr="00B40A77" w:rsidRDefault="00833018" w:rsidP="00833018">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make such order as it thinks fit for the custody, disposal or production at the conclusion of the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of any exhibit.</w:t>
      </w:r>
    </w:p>
    <w:p w14:paraId="1FA8FCD1" w14:textId="3544982B" w:rsidR="00833018" w:rsidRPr="00B40A77" w:rsidRDefault="00833018" w:rsidP="00833018">
      <w:pPr>
        <w:pStyle w:val="Hangindent"/>
        <w:rPr>
          <w:color w:val="000000" w:themeColor="text1"/>
          <w:lang w:val="en-US"/>
        </w:rPr>
      </w:pPr>
      <w:r w:rsidRPr="00B40A77">
        <w:rPr>
          <w:color w:val="000000" w:themeColor="text1"/>
          <w:lang w:val="en-US"/>
        </w:rPr>
        <w:t>(2)</w:t>
      </w:r>
      <w:r w:rsidRPr="00B40A77">
        <w:rPr>
          <w:color w:val="000000" w:themeColor="text1"/>
          <w:lang w:val="en-US"/>
        </w:rPr>
        <w:tab/>
        <w:t>Subject to any order under subrule</w:t>
      </w:r>
      <w:r w:rsidR="00C42A0C" w:rsidRPr="00B40A77">
        <w:rPr>
          <w:color w:val="000000" w:themeColor="text1"/>
          <w:lang w:val="en-US"/>
        </w:rPr>
        <w:t> </w:t>
      </w:r>
      <w:r w:rsidRPr="00B40A77">
        <w:rPr>
          <w:color w:val="000000" w:themeColor="text1"/>
          <w:lang w:val="en-US"/>
        </w:rPr>
        <w:t>(1) and subject to a notice of appeal</w:t>
      </w:r>
      <w:r w:rsidR="00BD1E74" w:rsidRPr="00B40A77">
        <w:rPr>
          <w:color w:val="000000" w:themeColor="text1"/>
          <w:lang w:val="en-US"/>
        </w:rPr>
        <w:t xml:space="preserve"> not having </w:t>
      </w:r>
      <w:r w:rsidR="009549B2" w:rsidRPr="00B40A77">
        <w:rPr>
          <w:color w:val="000000" w:themeColor="text1"/>
          <w:lang w:val="en-US"/>
        </w:rPr>
        <w:t xml:space="preserve">been </w:t>
      </w:r>
      <w:r w:rsidR="00BD1E74" w:rsidRPr="00B40A77">
        <w:rPr>
          <w:color w:val="000000" w:themeColor="text1"/>
          <w:lang w:val="en-US"/>
        </w:rPr>
        <w:t>received</w:t>
      </w:r>
      <w:r w:rsidRPr="00B40A77">
        <w:rPr>
          <w:color w:val="000000" w:themeColor="text1"/>
          <w:lang w:val="en-US"/>
        </w:rPr>
        <w:t xml:space="preserve">, </w:t>
      </w:r>
      <w:r w:rsidR="002936AD" w:rsidRPr="00B40A77">
        <w:rPr>
          <w:color w:val="000000" w:themeColor="text1"/>
          <w:lang w:val="en-US"/>
        </w:rPr>
        <w:t>the</w:t>
      </w:r>
      <w:r w:rsidRPr="00B40A77">
        <w:rPr>
          <w:color w:val="000000" w:themeColor="text1"/>
          <w:lang w:val="en-US"/>
        </w:rPr>
        <w:t xml:space="preserv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may, after the expiration of 28 days after the verdict or other conclusion of the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w:t>
      </w:r>
      <w:r w:rsidR="00BD1E74" w:rsidRPr="00B40A77">
        <w:rPr>
          <w:color w:val="000000" w:themeColor="text1"/>
          <w:lang w:val="en-US"/>
        </w:rPr>
        <w:t xml:space="preserve">cause </w:t>
      </w:r>
      <w:r w:rsidRPr="00B40A77">
        <w:rPr>
          <w:color w:val="000000" w:themeColor="text1"/>
          <w:lang w:val="en-US"/>
        </w:rPr>
        <w:t xml:space="preserve">any exhibit </w:t>
      </w:r>
      <w:r w:rsidR="00BD1E74" w:rsidRPr="00B40A77">
        <w:rPr>
          <w:color w:val="000000" w:themeColor="text1"/>
          <w:lang w:val="en-US"/>
        </w:rPr>
        <w:t xml:space="preserve">to be returned </w:t>
      </w:r>
      <w:r w:rsidRPr="00B40A77">
        <w:rPr>
          <w:color w:val="000000" w:themeColor="text1"/>
          <w:lang w:val="en-US"/>
        </w:rPr>
        <w:t xml:space="preserve">to the custody of the person who produced it or to the </w:t>
      </w:r>
      <w:hyperlink w:anchor="_2.1—Definitions" w:history="1">
        <w:r w:rsidR="005A6381" w:rsidRPr="00B40A77">
          <w:rPr>
            <w:rStyle w:val="Hyperlink"/>
            <w:rFonts w:cs="Times New Roman"/>
            <w:color w:val="000000" w:themeColor="text1"/>
            <w:lang w:val="en-US"/>
          </w:rPr>
          <w:t>law firm or office</w:t>
        </w:r>
      </w:hyperlink>
      <w:r w:rsidRPr="00B40A77">
        <w:rPr>
          <w:color w:val="000000" w:themeColor="text1"/>
          <w:lang w:val="en-US"/>
        </w:rPr>
        <w:t xml:space="preserve"> for the party who tendered it, as appropriate, and the person to whom any exhibit is returned is liable for any costs incurred in returning the exhibit.</w:t>
      </w:r>
    </w:p>
    <w:p w14:paraId="30F79839" w14:textId="238E66B1" w:rsidR="00833018" w:rsidRPr="00B40A77" w:rsidRDefault="00833018" w:rsidP="00833018">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Unless the Court otherwise orders, if a notice of appeal is received before returning the exhibits,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w:t>
      </w:r>
      <w:r w:rsidR="00BD1E74" w:rsidRPr="00B40A77">
        <w:rPr>
          <w:color w:val="000000" w:themeColor="text1"/>
          <w:lang w:val="en-US"/>
        </w:rPr>
        <w:t xml:space="preserve">cause </w:t>
      </w:r>
      <w:r w:rsidRPr="00B40A77">
        <w:rPr>
          <w:color w:val="000000" w:themeColor="text1"/>
          <w:lang w:val="en-US"/>
        </w:rPr>
        <w:t xml:space="preserve">the exhibits </w:t>
      </w:r>
      <w:r w:rsidR="00BD1E74" w:rsidRPr="00B40A77">
        <w:rPr>
          <w:color w:val="000000" w:themeColor="text1"/>
          <w:lang w:val="en-US"/>
        </w:rPr>
        <w:t xml:space="preserve">to be retained </w:t>
      </w:r>
      <w:r w:rsidRPr="00B40A77">
        <w:rPr>
          <w:color w:val="000000" w:themeColor="text1"/>
          <w:lang w:val="en-US"/>
        </w:rPr>
        <w:t>in custody until required to transmit them to the appellate court.</w:t>
      </w:r>
    </w:p>
    <w:p w14:paraId="25978253" w14:textId="71330C81" w:rsidR="00833018" w:rsidRPr="00B40A77" w:rsidRDefault="00833018" w:rsidP="00833018">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Upon request by the appellate court,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w:t>
      </w:r>
      <w:r w:rsidR="00BD1E74" w:rsidRPr="00B40A77">
        <w:rPr>
          <w:color w:val="000000" w:themeColor="text1"/>
          <w:lang w:val="en-US"/>
        </w:rPr>
        <w:t xml:space="preserve">cause </w:t>
      </w:r>
      <w:r w:rsidRPr="00B40A77">
        <w:rPr>
          <w:color w:val="000000" w:themeColor="text1"/>
          <w:lang w:val="en-US"/>
        </w:rPr>
        <w:t xml:space="preserve">the exhibits together with a list of exhibits </w:t>
      </w:r>
      <w:r w:rsidR="00BD1E74" w:rsidRPr="00B40A77">
        <w:rPr>
          <w:color w:val="000000" w:themeColor="text1"/>
          <w:lang w:val="en-US"/>
        </w:rPr>
        <w:t xml:space="preserve">to be transmitted </w:t>
      </w:r>
      <w:r w:rsidRPr="00B40A77">
        <w:rPr>
          <w:color w:val="000000" w:themeColor="text1"/>
          <w:lang w:val="en-US"/>
        </w:rPr>
        <w:t xml:space="preserve">to the </w:t>
      </w:r>
      <w:hyperlink w:anchor="_2.1—Definitions" w:history="1">
        <w:r w:rsidR="00550ED9" w:rsidRPr="00B40A77">
          <w:rPr>
            <w:rStyle w:val="Hyperlink"/>
            <w:color w:val="000000" w:themeColor="text1"/>
            <w:lang w:val="en-US"/>
          </w:rPr>
          <w:t>R</w:t>
        </w:r>
        <w:r w:rsidRPr="00B40A77">
          <w:rPr>
            <w:rStyle w:val="Hyperlink"/>
            <w:color w:val="000000" w:themeColor="text1"/>
            <w:lang w:val="en-US"/>
          </w:rPr>
          <w:t>egistrar</w:t>
        </w:r>
      </w:hyperlink>
      <w:r w:rsidRPr="00B40A77">
        <w:rPr>
          <w:color w:val="000000" w:themeColor="text1"/>
          <w:lang w:val="en-US"/>
        </w:rPr>
        <w:t xml:space="preserve"> of the appellate court.</w:t>
      </w:r>
    </w:p>
    <w:p w14:paraId="406F65CC" w14:textId="05DC6DBC" w:rsidR="00833018" w:rsidRPr="00B40A77" w:rsidRDefault="00833018" w:rsidP="00833018">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Upon the exhibits being returned by the appellate court or the appeal being finally determined, the exhibits </w:t>
      </w:r>
      <w:r w:rsidR="00BD1E74" w:rsidRPr="00B40A77">
        <w:rPr>
          <w:color w:val="000000" w:themeColor="text1"/>
          <w:lang w:val="en-US"/>
        </w:rPr>
        <w:t xml:space="preserve">may be dealt with </w:t>
      </w:r>
      <w:r w:rsidRPr="00B40A77">
        <w:rPr>
          <w:color w:val="000000" w:themeColor="text1"/>
          <w:lang w:val="en-US"/>
        </w:rPr>
        <w:t>in accordance with subrule</w:t>
      </w:r>
      <w:r w:rsidR="00350BCC" w:rsidRPr="00B40A77">
        <w:rPr>
          <w:color w:val="000000" w:themeColor="text1"/>
          <w:lang w:val="en-US"/>
        </w:rPr>
        <w:t> </w:t>
      </w:r>
      <w:r w:rsidRPr="00B40A77">
        <w:rPr>
          <w:color w:val="000000" w:themeColor="text1"/>
          <w:lang w:val="en-US"/>
        </w:rPr>
        <w:t>(2).</w:t>
      </w:r>
    </w:p>
    <w:p w14:paraId="0CA10D11" w14:textId="77777777" w:rsidR="00833018" w:rsidRPr="00B40A77" w:rsidRDefault="00833018" w:rsidP="00833018">
      <w:pPr>
        <w:pStyle w:val="Hangindent"/>
        <w:rPr>
          <w:color w:val="000000" w:themeColor="text1"/>
          <w:lang w:val="en-US"/>
        </w:rPr>
      </w:pPr>
      <w:r w:rsidRPr="00B40A77">
        <w:rPr>
          <w:color w:val="000000" w:themeColor="text1"/>
          <w:lang w:val="en-US"/>
        </w:rPr>
        <w:t>(6)</w:t>
      </w:r>
      <w:r w:rsidRPr="00B40A77">
        <w:rPr>
          <w:color w:val="000000" w:themeColor="text1"/>
          <w:lang w:val="en-US"/>
        </w:rPr>
        <w:tab/>
        <w:t>If an exhibit is returned while an appeal is pending, the person to whom it is returned must, so far as is practicable having regard to the nature of the exhibit, keep it marked and labelled as before so that the person will be able to produce it so marked and labelled at the hearing of the appeal if required to do so.</w:t>
      </w:r>
    </w:p>
    <w:p w14:paraId="197F035E" w14:textId="66FF6D7B" w:rsidR="00833018" w:rsidRPr="00B40A77" w:rsidRDefault="00833018" w:rsidP="00833018">
      <w:pPr>
        <w:pStyle w:val="Heading4"/>
        <w:rPr>
          <w:color w:val="000000" w:themeColor="text1"/>
          <w:lang w:val="en-GB"/>
        </w:rPr>
      </w:pPr>
      <w:bookmarkStart w:id="829" w:name="_Toc168477054"/>
      <w:bookmarkStart w:id="830" w:name="_Toc179619645"/>
      <w:bookmarkStart w:id="831" w:name="_Toc373151258"/>
      <w:bookmarkStart w:id="832" w:name="_Toc394312689"/>
      <w:bookmarkStart w:id="833" w:name="_Toc60133968"/>
      <w:bookmarkStart w:id="834" w:name="_Toc66966203"/>
      <w:bookmarkStart w:id="835" w:name="_Toc175239176"/>
      <w:bookmarkStart w:id="836" w:name="_Hlk70161207"/>
      <w:r w:rsidRPr="00B40A77">
        <w:rPr>
          <w:color w:val="000000" w:themeColor="text1"/>
          <w:lang w:val="en-GB"/>
        </w:rPr>
        <w:t>133.</w:t>
      </w:r>
      <w:r w:rsidR="00603D15" w:rsidRPr="00B40A77">
        <w:rPr>
          <w:color w:val="000000" w:themeColor="text1"/>
          <w:lang w:val="en-GB"/>
        </w:rPr>
        <w:t>5</w:t>
      </w:r>
      <w:r w:rsidRPr="00B40A77">
        <w:rPr>
          <w:color w:val="000000" w:themeColor="text1"/>
          <w:lang w:val="en-GB"/>
        </w:rPr>
        <w:t>—Views</w:t>
      </w:r>
      <w:bookmarkEnd w:id="829"/>
      <w:bookmarkEnd w:id="830"/>
      <w:bookmarkEnd w:id="831"/>
      <w:bookmarkEnd w:id="832"/>
      <w:bookmarkEnd w:id="833"/>
      <w:bookmarkEnd w:id="834"/>
      <w:bookmarkEnd w:id="835"/>
    </w:p>
    <w:p w14:paraId="38B0FDD9" w14:textId="77777777" w:rsidR="00833018" w:rsidRPr="00B40A77" w:rsidRDefault="00833018" w:rsidP="00833018">
      <w:pPr>
        <w:pStyle w:val="Hangindent"/>
        <w:rPr>
          <w:color w:val="000000" w:themeColor="text1"/>
        </w:rPr>
      </w:pPr>
      <w:r w:rsidRPr="00B40A77">
        <w:rPr>
          <w:color w:val="000000" w:themeColor="text1"/>
        </w:rPr>
        <w:t>(1)</w:t>
      </w:r>
      <w:r w:rsidRPr="00B40A77">
        <w:rPr>
          <w:color w:val="000000" w:themeColor="text1"/>
        </w:rPr>
        <w:tab/>
        <w:t>This rule applies subject to any contrary order by the trial Judge or Magistrate.</w:t>
      </w:r>
    </w:p>
    <w:p w14:paraId="7907395B" w14:textId="4E73AF0B" w:rsidR="00833018" w:rsidRPr="00B40A77" w:rsidRDefault="00833018" w:rsidP="00833018">
      <w:pPr>
        <w:pStyle w:val="Hangindent"/>
        <w:rPr>
          <w:color w:val="000000" w:themeColor="text1"/>
        </w:rPr>
      </w:pPr>
      <w:r w:rsidRPr="00B40A77">
        <w:rPr>
          <w:color w:val="000000" w:themeColor="text1"/>
        </w:rPr>
        <w:t>(2)</w:t>
      </w:r>
      <w:r w:rsidRPr="00B40A77">
        <w:rPr>
          <w:color w:val="000000" w:themeColor="text1"/>
        </w:rPr>
        <w:tab/>
        <w:t xml:space="preserve">A view is part of the </w:t>
      </w:r>
      <w:hyperlink w:anchor="_2.1—Definitions" w:history="1">
        <w:r w:rsidR="002A0B8E" w:rsidRPr="00B40A77">
          <w:rPr>
            <w:rStyle w:val="Hyperlink"/>
            <w:color w:val="000000" w:themeColor="text1"/>
            <w:lang w:val="en-US"/>
          </w:rPr>
          <w:t>trial</w:t>
        </w:r>
      </w:hyperlink>
      <w:r w:rsidRPr="00B40A77">
        <w:rPr>
          <w:color w:val="000000" w:themeColor="text1"/>
        </w:rPr>
        <w:t xml:space="preserve"> and is under the control of the trial Judge or Magistrate.</w:t>
      </w:r>
    </w:p>
    <w:p w14:paraId="25305BDC" w14:textId="77777777" w:rsidR="00833018" w:rsidRPr="00B40A77" w:rsidRDefault="00833018" w:rsidP="00833018">
      <w:pPr>
        <w:pStyle w:val="Hangindent"/>
        <w:rPr>
          <w:color w:val="000000" w:themeColor="text1"/>
        </w:rPr>
      </w:pPr>
      <w:r w:rsidRPr="00B40A77">
        <w:rPr>
          <w:color w:val="000000" w:themeColor="text1"/>
        </w:rPr>
        <w:t>(3)</w:t>
      </w:r>
      <w:r w:rsidRPr="00B40A77">
        <w:rPr>
          <w:color w:val="000000" w:themeColor="text1"/>
        </w:rPr>
        <w:tab/>
        <w:t>When a view takes place in a confined space, the trial Judge or Magistrate may limit the persons to enter that space.</w:t>
      </w:r>
    </w:p>
    <w:p w14:paraId="10270B1B" w14:textId="746A873B" w:rsidR="00833018" w:rsidRPr="00B40A77" w:rsidRDefault="00833018" w:rsidP="00833018">
      <w:pPr>
        <w:pStyle w:val="Hangindent"/>
        <w:rPr>
          <w:color w:val="000000" w:themeColor="text1"/>
          <w:u w:val="single"/>
        </w:rPr>
      </w:pPr>
      <w:r w:rsidRPr="00B40A77">
        <w:rPr>
          <w:color w:val="000000" w:themeColor="text1"/>
        </w:rPr>
        <w:t>(4)</w:t>
      </w:r>
      <w:r w:rsidRPr="00B40A77">
        <w:rPr>
          <w:color w:val="000000" w:themeColor="text1"/>
        </w:rPr>
        <w:tab/>
        <w:t>No sound recording may be made at a view other than by the court reporter</w:t>
      </w:r>
      <w:r w:rsidR="00FF0061" w:rsidRPr="00B40A77">
        <w:rPr>
          <w:color w:val="000000" w:themeColor="text1"/>
        </w:rPr>
        <w:t xml:space="preserve"> or the judicial officer’s staff</w:t>
      </w:r>
      <w:r w:rsidRPr="00B40A77">
        <w:rPr>
          <w:color w:val="000000" w:themeColor="text1"/>
        </w:rPr>
        <w:t>.</w:t>
      </w:r>
    </w:p>
    <w:p w14:paraId="07261E09" w14:textId="6E30895E" w:rsidR="002B28AE" w:rsidRPr="00B40A77" w:rsidRDefault="002B28AE" w:rsidP="002B28AE">
      <w:pPr>
        <w:pStyle w:val="Hangindent"/>
        <w:rPr>
          <w:color w:val="000000" w:themeColor="text1"/>
        </w:rPr>
      </w:pPr>
      <w:r w:rsidRPr="00B40A77">
        <w:rPr>
          <w:color w:val="000000" w:themeColor="text1"/>
        </w:rPr>
        <w:t>(5)</w:t>
      </w:r>
      <w:r w:rsidRPr="00B40A77">
        <w:rPr>
          <w:color w:val="000000" w:themeColor="text1"/>
        </w:rPr>
        <w:tab/>
        <w:t>A witness must not be filmed or photographed.</w:t>
      </w:r>
    </w:p>
    <w:p w14:paraId="305B611C" w14:textId="59F76176" w:rsidR="00833018" w:rsidRPr="00B40A77" w:rsidRDefault="00833018" w:rsidP="00833018">
      <w:pPr>
        <w:pStyle w:val="Hangindent"/>
        <w:rPr>
          <w:color w:val="000000" w:themeColor="text1"/>
        </w:rPr>
      </w:pPr>
      <w:r w:rsidRPr="00B40A77">
        <w:rPr>
          <w:color w:val="000000" w:themeColor="text1"/>
        </w:rPr>
        <w:t>(</w:t>
      </w:r>
      <w:r w:rsidR="002B28AE" w:rsidRPr="00B40A77">
        <w:rPr>
          <w:color w:val="000000" w:themeColor="text1"/>
        </w:rPr>
        <w:t>6</w:t>
      </w:r>
      <w:r w:rsidRPr="00B40A77">
        <w:rPr>
          <w:color w:val="000000" w:themeColor="text1"/>
        </w:rPr>
        <w:t>)</w:t>
      </w:r>
      <w:r w:rsidRPr="00B40A77">
        <w:rPr>
          <w:color w:val="000000" w:themeColor="text1"/>
        </w:rPr>
        <w:tab/>
        <w:t>A member of the media or the public must not be in such proximity to the trial Judge or Magistrate or counsel as to be able to overhear private conversations.</w:t>
      </w:r>
    </w:p>
    <w:p w14:paraId="2C3D0E28" w14:textId="77777777" w:rsidR="002B28AE" w:rsidRPr="00B40A77" w:rsidRDefault="002B28AE" w:rsidP="00841B41">
      <w:pPr>
        <w:pStyle w:val="Hangindent"/>
        <w:rPr>
          <w:i/>
          <w:iCs/>
          <w:color w:val="000000" w:themeColor="text1"/>
          <w:sz w:val="24"/>
          <w:szCs w:val="24"/>
        </w:rPr>
      </w:pPr>
      <w:r w:rsidRPr="00B40A77">
        <w:rPr>
          <w:i/>
          <w:iCs/>
          <w:color w:val="000000" w:themeColor="text1"/>
          <w:sz w:val="24"/>
          <w:szCs w:val="24"/>
        </w:rPr>
        <w:t>All Courts except Youth Court</w:t>
      </w:r>
    </w:p>
    <w:p w14:paraId="4A33CC3F" w14:textId="26D92A62" w:rsidR="002B28AE" w:rsidRPr="00B40A77" w:rsidRDefault="002B28AE" w:rsidP="002B28AE">
      <w:pPr>
        <w:pStyle w:val="Hangindent"/>
        <w:rPr>
          <w:color w:val="000000" w:themeColor="text1"/>
        </w:rPr>
      </w:pPr>
      <w:r w:rsidRPr="00B40A77">
        <w:rPr>
          <w:color w:val="000000" w:themeColor="text1"/>
        </w:rPr>
        <w:t>(7)</w:t>
      </w:r>
      <w:r w:rsidRPr="00B40A77">
        <w:rPr>
          <w:color w:val="000000" w:themeColor="text1"/>
        </w:rPr>
        <w:tab/>
        <w:t>Any person may attend on a view, but this rule does not authorise any such person to trespass on private property.</w:t>
      </w:r>
    </w:p>
    <w:p w14:paraId="402F5664" w14:textId="7272D3E2" w:rsidR="002B28AE" w:rsidRPr="00B40A77" w:rsidRDefault="002B28AE" w:rsidP="002B28AE">
      <w:pPr>
        <w:pStyle w:val="Hangindent"/>
        <w:rPr>
          <w:color w:val="000000" w:themeColor="text1"/>
        </w:rPr>
      </w:pPr>
      <w:r w:rsidRPr="00B40A77">
        <w:rPr>
          <w:color w:val="000000" w:themeColor="text1"/>
        </w:rPr>
        <w:t>(8)</w:t>
      </w:r>
      <w:r w:rsidRPr="00B40A77">
        <w:rPr>
          <w:color w:val="000000" w:themeColor="text1"/>
        </w:rPr>
        <w:tab/>
        <w:t>If there is no suppression order relating to the identity of a defendant, they may be filmed, photographed or sketched from a distance, but not so as to show that they are in custody or under restraint or in any way that might suggest guilt.</w:t>
      </w:r>
    </w:p>
    <w:p w14:paraId="3CA9445E" w14:textId="432C5C37" w:rsidR="00833018" w:rsidRPr="00B40A77" w:rsidRDefault="00833018" w:rsidP="00841B41">
      <w:pPr>
        <w:pStyle w:val="Hangindent"/>
        <w:ind w:left="567" w:firstLine="0"/>
        <w:rPr>
          <w:i/>
          <w:iCs/>
          <w:color w:val="000000" w:themeColor="text1"/>
          <w:sz w:val="24"/>
          <w:szCs w:val="24"/>
        </w:rPr>
      </w:pPr>
      <w:r w:rsidRPr="00B40A77">
        <w:rPr>
          <w:i/>
          <w:iCs/>
          <w:color w:val="000000" w:themeColor="text1"/>
          <w:sz w:val="24"/>
          <w:szCs w:val="24"/>
        </w:rPr>
        <w:t>Higher Courts</w:t>
      </w:r>
    </w:p>
    <w:p w14:paraId="44B091C8" w14:textId="77777777" w:rsidR="00833018" w:rsidRPr="00B40A77" w:rsidRDefault="00833018" w:rsidP="00833018">
      <w:pPr>
        <w:pStyle w:val="Hangindent"/>
        <w:rPr>
          <w:color w:val="000000" w:themeColor="text1"/>
        </w:rPr>
      </w:pPr>
      <w:r w:rsidRPr="00B40A77">
        <w:rPr>
          <w:color w:val="000000" w:themeColor="text1"/>
        </w:rPr>
        <w:lastRenderedPageBreak/>
        <w:t>(9)</w:t>
      </w:r>
      <w:r w:rsidRPr="00B40A77">
        <w:rPr>
          <w:color w:val="000000" w:themeColor="text1"/>
        </w:rPr>
        <w:tab/>
        <w:t>A member of the media or the public must not be in such proximity to jurors as to be able to overhear what is said between them.</w:t>
      </w:r>
    </w:p>
    <w:p w14:paraId="51354300" w14:textId="5C30DDA4" w:rsidR="003709F1" w:rsidRPr="00B40A77" w:rsidRDefault="00833018" w:rsidP="00833018">
      <w:pPr>
        <w:pStyle w:val="Hangindent"/>
        <w:rPr>
          <w:color w:val="000000" w:themeColor="text1"/>
        </w:rPr>
      </w:pPr>
      <w:r w:rsidRPr="00B40A77">
        <w:rPr>
          <w:color w:val="000000" w:themeColor="text1"/>
        </w:rPr>
        <w:t>(10)</w:t>
      </w:r>
      <w:r w:rsidRPr="00B40A77">
        <w:rPr>
          <w:color w:val="000000" w:themeColor="text1"/>
        </w:rPr>
        <w:tab/>
        <w:t>Jurors must not be filmed, photographed or sketched.</w:t>
      </w:r>
    </w:p>
    <w:p w14:paraId="4B839416" w14:textId="77777777" w:rsidR="00833018" w:rsidRPr="00B40A77" w:rsidRDefault="00833018" w:rsidP="00BE23A0">
      <w:pPr>
        <w:pStyle w:val="Heading2"/>
        <w:keepNext/>
        <w:rPr>
          <w:color w:val="000000" w:themeColor="text1"/>
        </w:rPr>
      </w:pPr>
      <w:bookmarkStart w:id="837" w:name="_Toc66966204"/>
      <w:bookmarkStart w:id="838" w:name="_Toc175239177"/>
      <w:bookmarkEnd w:id="836"/>
      <w:r w:rsidRPr="00B40A77">
        <w:rPr>
          <w:color w:val="000000" w:themeColor="text1"/>
        </w:rPr>
        <w:t>Part 6—Verdicts</w:t>
      </w:r>
      <w:bookmarkEnd w:id="837"/>
      <w:bookmarkEnd w:id="838"/>
    </w:p>
    <w:p w14:paraId="11D4F646" w14:textId="29AED4F7" w:rsidR="00833018" w:rsidRPr="00B40A77" w:rsidRDefault="00833018" w:rsidP="00833018">
      <w:pPr>
        <w:pStyle w:val="Heading4"/>
        <w:rPr>
          <w:color w:val="000000" w:themeColor="text1"/>
        </w:rPr>
      </w:pPr>
      <w:bookmarkStart w:id="839" w:name="_Toc66966205"/>
      <w:bookmarkStart w:id="840" w:name="_Toc175239178"/>
      <w:r w:rsidRPr="00B40A77">
        <w:rPr>
          <w:color w:val="000000" w:themeColor="text1"/>
        </w:rPr>
        <w:t xml:space="preserve">134.1—Alternative verdicts: </w:t>
      </w:r>
      <w:r w:rsidR="0023654B" w:rsidRPr="00B40A77">
        <w:rPr>
          <w:color w:val="000000" w:themeColor="text1"/>
        </w:rPr>
        <w:t>Lower</w:t>
      </w:r>
      <w:r w:rsidRPr="00B40A77">
        <w:rPr>
          <w:color w:val="000000" w:themeColor="text1"/>
        </w:rPr>
        <w:t xml:space="preserve"> Court</w:t>
      </w:r>
      <w:bookmarkEnd w:id="839"/>
      <w:r w:rsidR="0023654B" w:rsidRPr="00B40A77">
        <w:rPr>
          <w:color w:val="000000" w:themeColor="text1"/>
        </w:rPr>
        <w:t>s</w:t>
      </w:r>
      <w:bookmarkEnd w:id="840"/>
    </w:p>
    <w:p w14:paraId="31F88C95" w14:textId="27A5F52D" w:rsidR="00833018" w:rsidRPr="00B40A77" w:rsidRDefault="00833018" w:rsidP="00763DD0">
      <w:pPr>
        <w:pStyle w:val="Hangindent"/>
        <w:keepNext/>
        <w:rPr>
          <w:color w:val="000000" w:themeColor="text1"/>
          <w:lang w:val="en-GB"/>
        </w:rPr>
      </w:pPr>
      <w:r w:rsidRPr="00B40A77">
        <w:rPr>
          <w:color w:val="000000" w:themeColor="text1"/>
          <w:lang w:val="en-GB"/>
        </w:rPr>
        <w:t>(1)</w:t>
      </w:r>
      <w:r w:rsidRPr="00B40A77">
        <w:rPr>
          <w:color w:val="000000" w:themeColor="text1"/>
          <w:lang w:val="en-GB"/>
        </w:rPr>
        <w:tab/>
        <w:t>Sections</w:t>
      </w:r>
      <w:r w:rsidR="00350BCC" w:rsidRPr="00B40A77">
        <w:rPr>
          <w:color w:val="000000" w:themeColor="text1"/>
          <w:lang w:val="en-GB"/>
        </w:rPr>
        <w:t> </w:t>
      </w:r>
      <w:r w:rsidRPr="00B40A77">
        <w:rPr>
          <w:color w:val="000000" w:themeColor="text1"/>
          <w:lang w:val="en-GB"/>
        </w:rPr>
        <w:t>19B(3), 19B(4A), 19B(5)</w:t>
      </w:r>
      <w:r w:rsidR="00AF6779" w:rsidRPr="00B40A77">
        <w:rPr>
          <w:color w:val="000000" w:themeColor="text1"/>
          <w:lang w:val="en-GB"/>
        </w:rPr>
        <w:t xml:space="preserve">, </w:t>
      </w:r>
      <w:r w:rsidR="00001DDF" w:rsidRPr="00B40A77">
        <w:rPr>
          <w:color w:val="000000" w:themeColor="text1"/>
          <w:lang w:val="en-GB"/>
        </w:rPr>
        <w:t xml:space="preserve">20AC, </w:t>
      </w:r>
      <w:r w:rsidRPr="00B40A77">
        <w:rPr>
          <w:color w:val="000000" w:themeColor="text1"/>
          <w:lang w:val="en-GB"/>
        </w:rPr>
        <w:t xml:space="preserve">25 </w:t>
      </w:r>
      <w:r w:rsidR="00AF6779" w:rsidRPr="00B40A77">
        <w:rPr>
          <w:color w:val="000000" w:themeColor="text1"/>
          <w:lang w:val="en-GB"/>
        </w:rPr>
        <w:t xml:space="preserve">and 180 </w:t>
      </w:r>
      <w:r w:rsidRPr="00B40A77">
        <w:rPr>
          <w:color w:val="000000" w:themeColor="text1"/>
          <w:lang w:val="en-GB"/>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GB"/>
        </w:rPr>
        <w:t>and sections</w:t>
      </w:r>
      <w:r w:rsidR="00425D16" w:rsidRPr="00B40A77">
        <w:rPr>
          <w:color w:val="000000" w:themeColor="text1"/>
          <w:lang w:val="en-GB"/>
        </w:rPr>
        <w:t> </w:t>
      </w:r>
      <w:r w:rsidRPr="00B40A77">
        <w:rPr>
          <w:color w:val="000000" w:themeColor="text1"/>
          <w:lang w:val="en-GB"/>
        </w:rPr>
        <w:t>133 and</w:t>
      </w:r>
      <w:r w:rsidR="00425D16" w:rsidRPr="00B40A77">
        <w:rPr>
          <w:color w:val="000000" w:themeColor="text1"/>
          <w:lang w:val="en-GB"/>
        </w:rPr>
        <w:t> </w:t>
      </w:r>
      <w:r w:rsidRPr="00B40A77">
        <w:rPr>
          <w:color w:val="000000" w:themeColor="text1"/>
          <w:lang w:val="en-GB"/>
        </w:rPr>
        <w:t xml:space="preserve">140 of the Procedure Act apply, with any necessary modifications, </w:t>
      </w:r>
      <w:r w:rsidRPr="00B40A77">
        <w:rPr>
          <w:color w:val="000000" w:themeColor="text1"/>
        </w:rPr>
        <w:t xml:space="preserve">to the </w:t>
      </w:r>
      <w:hyperlink w:anchor="_2.1—Definitions" w:history="1">
        <w:r w:rsidR="002A0B8E" w:rsidRPr="00B40A77">
          <w:rPr>
            <w:rStyle w:val="Hyperlink"/>
            <w:color w:val="000000" w:themeColor="text1"/>
            <w:lang w:val="en-US"/>
          </w:rPr>
          <w:t>trial</w:t>
        </w:r>
      </w:hyperlink>
      <w:r w:rsidRPr="00B40A77">
        <w:rPr>
          <w:color w:val="000000" w:themeColor="text1"/>
        </w:rPr>
        <w:t xml:space="preserve"> by the Court of a defendant charged with a </w:t>
      </w:r>
      <w:hyperlink w:anchor="_2.1—Definitions" w:history="1">
        <w:r w:rsidRPr="00B40A77">
          <w:rPr>
            <w:rStyle w:val="Hyperlink"/>
            <w:color w:val="000000" w:themeColor="text1"/>
          </w:rPr>
          <w:t>minor indictable offence</w:t>
        </w:r>
      </w:hyperlink>
      <w:r w:rsidRPr="00B40A77">
        <w:rPr>
          <w:color w:val="000000" w:themeColor="text1"/>
        </w:rPr>
        <w:t>.</w:t>
      </w:r>
    </w:p>
    <w:p w14:paraId="27360FF7" w14:textId="77777777" w:rsidR="00833018" w:rsidRPr="00B40A77" w:rsidRDefault="00833018" w:rsidP="004E3D0F">
      <w:pPr>
        <w:pStyle w:val="NoteHeader"/>
        <w:keepNext/>
        <w:rPr>
          <w:color w:val="000000" w:themeColor="text1"/>
          <w:lang w:val="en-US"/>
        </w:rPr>
      </w:pPr>
      <w:r w:rsidRPr="00B40A77">
        <w:rPr>
          <w:color w:val="000000" w:themeColor="text1"/>
          <w:lang w:val="en-US"/>
        </w:rPr>
        <w:t>Notes—</w:t>
      </w:r>
    </w:p>
    <w:p w14:paraId="600F366B" w14:textId="538C8151" w:rsidR="00833018" w:rsidRPr="00B40A77" w:rsidRDefault="00833018" w:rsidP="00833018">
      <w:pPr>
        <w:pStyle w:val="NoteText"/>
        <w:rPr>
          <w:color w:val="000000" w:themeColor="text1"/>
          <w:lang w:val="en-US"/>
        </w:rPr>
      </w:pPr>
      <w:r w:rsidRPr="00B40A77">
        <w:rPr>
          <w:color w:val="000000" w:themeColor="text1"/>
          <w:lang w:val="en-US"/>
        </w:rPr>
        <w:t xml:space="preserve">Section 117(2) of the Procedure Act provides that </w:t>
      </w:r>
      <w:r w:rsidR="00921B94" w:rsidRPr="00B40A77">
        <w:rPr>
          <w:color w:val="000000" w:themeColor="text1"/>
          <w:lang w:val="en-US"/>
        </w:rPr>
        <w:t>t</w:t>
      </w:r>
      <w:r w:rsidRPr="00B40A77">
        <w:rPr>
          <w:color w:val="000000" w:themeColor="text1"/>
        </w:rPr>
        <w:t xml:space="preserve">he rules may provide that specified provisions of the </w:t>
      </w:r>
      <w:r w:rsidRPr="00B40A77">
        <w:rPr>
          <w:color w:val="000000" w:themeColor="text1"/>
          <w:lang w:val="en-US"/>
        </w:rPr>
        <w:t>Procedure</w:t>
      </w:r>
      <w:r w:rsidRPr="00B40A77">
        <w:rPr>
          <w:color w:val="000000" w:themeColor="text1"/>
        </w:rPr>
        <w:t xml:space="preserve"> Act or any other Act or law apply with necessary adaptations and modifications to the trial by the Magistrates Court of a person charged with an indictable offence</w:t>
      </w:r>
      <w:r w:rsidRPr="00B40A77">
        <w:rPr>
          <w:color w:val="000000" w:themeColor="text1"/>
          <w:lang w:val="en-US"/>
        </w:rPr>
        <w:t>.</w:t>
      </w:r>
    </w:p>
    <w:p w14:paraId="0E3900B2" w14:textId="3FF9079C" w:rsidR="00A27FE0" w:rsidRPr="00B40A77" w:rsidRDefault="00833018" w:rsidP="00833018">
      <w:pPr>
        <w:pStyle w:val="NoteText"/>
        <w:rPr>
          <w:color w:val="000000" w:themeColor="text1"/>
        </w:rPr>
      </w:pPr>
      <w:r w:rsidRPr="00B40A77">
        <w:rPr>
          <w:color w:val="000000" w:themeColor="text1"/>
        </w:rPr>
        <w:t xml:space="preserve">Section 7(3a) of the </w:t>
      </w:r>
      <w:r w:rsidRPr="00B40A77">
        <w:rPr>
          <w:i/>
          <w:color w:val="000000" w:themeColor="text1"/>
        </w:rPr>
        <w:t xml:space="preserve">Environment Resources and Development </w:t>
      </w:r>
      <w:r w:rsidR="00841B41" w:rsidRPr="00B40A77">
        <w:rPr>
          <w:i/>
          <w:color w:val="000000" w:themeColor="text1"/>
        </w:rPr>
        <w:t xml:space="preserve">Court </w:t>
      </w:r>
      <w:r w:rsidRPr="00B40A77">
        <w:rPr>
          <w:i/>
          <w:color w:val="000000" w:themeColor="text1"/>
        </w:rPr>
        <w:t>Act 1993</w:t>
      </w:r>
      <w:r w:rsidRPr="00B40A77">
        <w:rPr>
          <w:color w:val="000000" w:themeColor="text1"/>
        </w:rPr>
        <w:t xml:space="preserve"> provides that the Court will deal with a charge of a minor indictable offence in the same way as the Magistrates Court deals with such a charge (and in accordance with the procedures that would apply if the Magistrates Court were dealing with such a charge) and the </w:t>
      </w:r>
      <w:r w:rsidR="00990810" w:rsidRPr="00B40A77">
        <w:rPr>
          <w:i/>
          <w:iCs/>
          <w:color w:val="000000" w:themeColor="text1"/>
        </w:rPr>
        <w:t xml:space="preserve">Summary </w:t>
      </w:r>
      <w:r w:rsidRPr="00B40A77">
        <w:rPr>
          <w:i/>
          <w:iCs/>
          <w:color w:val="000000" w:themeColor="text1"/>
        </w:rPr>
        <w:t>Procedure Act</w:t>
      </w:r>
      <w:r w:rsidR="00990810" w:rsidRPr="00B40A77">
        <w:rPr>
          <w:i/>
          <w:iCs/>
          <w:color w:val="000000" w:themeColor="text1"/>
        </w:rPr>
        <w:t xml:space="preserve"> 1921</w:t>
      </w:r>
      <w:r w:rsidRPr="00B40A77">
        <w:rPr>
          <w:i/>
          <w:iCs/>
          <w:color w:val="000000" w:themeColor="text1"/>
        </w:rPr>
        <w:t xml:space="preserve"> </w:t>
      </w:r>
      <w:r w:rsidRPr="00B40A77">
        <w:rPr>
          <w:color w:val="000000" w:themeColor="text1"/>
        </w:rPr>
        <w:t>applies to the Court subject to any additions, exclusions or modifications prescribed by the regulations as if references to the Magistrates Court extended to the Court.</w:t>
      </w:r>
    </w:p>
    <w:p w14:paraId="42A78FD9" w14:textId="39AC6C83" w:rsidR="00833018" w:rsidRPr="00B40A77" w:rsidRDefault="00FD79C3" w:rsidP="00833018">
      <w:pPr>
        <w:pStyle w:val="NoteText"/>
        <w:rPr>
          <w:color w:val="000000" w:themeColor="text1"/>
          <w:lang w:val="en-US"/>
        </w:rPr>
      </w:pPr>
      <w:r w:rsidRPr="00B40A77">
        <w:rPr>
          <w:color w:val="000000" w:themeColor="text1"/>
        </w:rPr>
        <w:t>Sections 17(1) and 18 of the Young Offenders Act</w:t>
      </w:r>
      <w:r w:rsidRPr="00B40A77">
        <w:rPr>
          <w:i/>
          <w:color w:val="000000" w:themeColor="text1"/>
        </w:rPr>
        <w:t xml:space="preserve"> </w:t>
      </w:r>
      <w:r w:rsidRPr="00B40A77">
        <w:rPr>
          <w:color w:val="000000" w:themeColor="text1"/>
        </w:rPr>
        <w:t>provide that the Court will deal with a charge laid before the Court in the same way as the Magistrates Court deals with a charge of a summary offence and, in doing so, has the powers of the Magistrates Court</w:t>
      </w:r>
      <w:r w:rsidRPr="00B40A77">
        <w:rPr>
          <w:color w:val="000000" w:themeColor="text1"/>
          <w:lang w:val="en-US"/>
        </w:rPr>
        <w:t xml:space="preserve"> and </w:t>
      </w:r>
      <w:r w:rsidRPr="00B40A77">
        <w:rPr>
          <w:color w:val="000000" w:themeColor="text1"/>
        </w:rPr>
        <w:t>the procedure to be followed by and the powers of the Court on the trial of an offence are, subject to this Act, to be the same as for the trial of a summary offence in the Magistrates Court.</w:t>
      </w:r>
    </w:p>
    <w:p w14:paraId="31463DAB" w14:textId="541F2812" w:rsidR="00833018" w:rsidRPr="00B40A77" w:rsidRDefault="00833018" w:rsidP="00833018">
      <w:pPr>
        <w:pStyle w:val="NoteText"/>
        <w:rPr>
          <w:color w:val="000000" w:themeColor="text1"/>
          <w:lang w:val="en-GB"/>
        </w:rPr>
      </w:pPr>
      <w:r w:rsidRPr="00B40A77">
        <w:rPr>
          <w:color w:val="000000" w:themeColor="text1"/>
          <w:lang w:val="en-US"/>
        </w:rPr>
        <w:t xml:space="preserve">In the Supreme and District Courts, the provisions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GB"/>
        </w:rPr>
        <w:t>and Procedure Act relating to alternative verdicts apply of their own force.</w:t>
      </w:r>
    </w:p>
    <w:p w14:paraId="6EB887AF" w14:textId="77777777" w:rsidR="00833018" w:rsidRPr="00B40A77" w:rsidRDefault="00833018" w:rsidP="00833018">
      <w:pPr>
        <w:pStyle w:val="NoteText"/>
        <w:rPr>
          <w:color w:val="000000" w:themeColor="text1"/>
          <w:lang w:val="en-US"/>
        </w:rPr>
      </w:pPr>
      <w:r w:rsidRPr="00B40A77">
        <w:rPr>
          <w:color w:val="000000" w:themeColor="text1"/>
          <w:lang w:val="en-GB"/>
        </w:rPr>
        <w:t>The common law also provides for alternative verdicts in certain circumstances.</w:t>
      </w:r>
    </w:p>
    <w:p w14:paraId="383A381D" w14:textId="77777777" w:rsidR="00833018" w:rsidRPr="00B40A77" w:rsidRDefault="00833018" w:rsidP="00833018">
      <w:pPr>
        <w:pStyle w:val="Heading4"/>
        <w:rPr>
          <w:color w:val="000000" w:themeColor="text1"/>
        </w:rPr>
      </w:pPr>
      <w:bookmarkStart w:id="841" w:name="_Toc65162870"/>
      <w:bookmarkStart w:id="842" w:name="_Toc66966206"/>
      <w:bookmarkStart w:id="843" w:name="_Toc175239179"/>
      <w:r w:rsidRPr="00B40A77">
        <w:rPr>
          <w:color w:val="000000" w:themeColor="text1"/>
        </w:rPr>
        <w:t>134.2—Inquiry to Chief Judicial Officer</w:t>
      </w:r>
      <w:bookmarkEnd w:id="841"/>
      <w:bookmarkEnd w:id="842"/>
      <w:bookmarkEnd w:id="843"/>
    </w:p>
    <w:p w14:paraId="2C878DF9" w14:textId="48AEFD9D" w:rsidR="00833018" w:rsidRPr="00B40A77" w:rsidRDefault="00833018" w:rsidP="00833018">
      <w:pPr>
        <w:pStyle w:val="Hangindent"/>
        <w:rPr>
          <w:color w:val="000000" w:themeColor="text1"/>
          <w:lang w:val="en-GB"/>
        </w:rPr>
      </w:pPr>
      <w:r w:rsidRPr="00B40A77">
        <w:rPr>
          <w:color w:val="000000" w:themeColor="text1"/>
          <w:lang w:val="en-GB"/>
        </w:rPr>
        <w:t>(1)</w:t>
      </w:r>
      <w:r w:rsidRPr="00B40A77">
        <w:rPr>
          <w:color w:val="000000" w:themeColor="text1"/>
          <w:lang w:val="en-GB"/>
        </w:rPr>
        <w:tab/>
        <w:t xml:space="preserve">A party may, by letter addressed to the </w:t>
      </w:r>
      <w:hyperlink w:anchor="_2.1—Definitions" w:history="1">
        <w:r w:rsidRPr="00B40A77">
          <w:rPr>
            <w:rStyle w:val="Hyperlink"/>
            <w:color w:val="000000" w:themeColor="text1"/>
            <w:lang w:val="en-GB"/>
          </w:rPr>
          <w:t>Chief Judicial Officer</w:t>
        </w:r>
      </w:hyperlink>
      <w:r w:rsidRPr="00B40A77">
        <w:rPr>
          <w:color w:val="000000" w:themeColor="text1"/>
          <w:lang w:val="en-GB"/>
        </w:rPr>
        <w:t xml:space="preserve"> (or the most senior puisne judicial officer who does not comprise and is not part of the Coram if the </w:t>
      </w:r>
      <w:hyperlink w:anchor="_2.1—Definitions" w:history="1">
        <w:r w:rsidRPr="00B40A77">
          <w:rPr>
            <w:rStyle w:val="Hyperlink"/>
            <w:color w:val="000000" w:themeColor="text1"/>
            <w:lang w:val="en-GB"/>
          </w:rPr>
          <w:t>Chief Judicial Officer</w:t>
        </w:r>
      </w:hyperlink>
      <w:r w:rsidRPr="00B40A77">
        <w:rPr>
          <w:color w:val="000000" w:themeColor="text1"/>
          <w:lang w:val="en-GB"/>
        </w:rPr>
        <w:t xml:space="preserve"> comprises or is part of the Coram), inquire about progress of delivery of reasons for judgment.</w:t>
      </w:r>
    </w:p>
    <w:p w14:paraId="675E5056" w14:textId="77777777" w:rsidR="00833018" w:rsidRPr="00B40A77" w:rsidRDefault="00833018" w:rsidP="00833018">
      <w:pPr>
        <w:pStyle w:val="Hangindent"/>
        <w:rPr>
          <w:color w:val="000000" w:themeColor="text1"/>
          <w:lang w:val="en-GB"/>
        </w:rPr>
      </w:pPr>
      <w:r w:rsidRPr="00B40A77">
        <w:rPr>
          <w:color w:val="000000" w:themeColor="text1"/>
          <w:lang w:val="en-GB"/>
        </w:rPr>
        <w:t>(2)</w:t>
      </w:r>
      <w:r w:rsidRPr="00B40A77">
        <w:rPr>
          <w:color w:val="000000" w:themeColor="text1"/>
          <w:lang w:val="en-GB"/>
        </w:rPr>
        <w:tab/>
        <w:t>The party making the inquiry must at the same time send a copy of the letter to each other party to the proceeding.</w:t>
      </w:r>
    </w:p>
    <w:p w14:paraId="283CED01" w14:textId="77777777" w:rsidR="00833018" w:rsidRPr="00B40A77" w:rsidRDefault="00833018" w:rsidP="00833018">
      <w:pPr>
        <w:pStyle w:val="Hangindent"/>
        <w:rPr>
          <w:color w:val="000000" w:themeColor="text1"/>
          <w:lang w:val="en-GB"/>
        </w:rPr>
      </w:pPr>
      <w:r w:rsidRPr="00B40A77">
        <w:rPr>
          <w:color w:val="000000" w:themeColor="text1"/>
          <w:lang w:val="en-GB"/>
        </w:rPr>
        <w:t>(3)</w:t>
      </w:r>
      <w:r w:rsidRPr="00B40A77">
        <w:rPr>
          <w:color w:val="000000" w:themeColor="text1"/>
          <w:lang w:val="en-GB"/>
        </w:rPr>
        <w:tab/>
        <w:t>The identity of a party making such an inquiry will not be disclosed to—</w:t>
      </w:r>
    </w:p>
    <w:p w14:paraId="445CF935" w14:textId="77777777" w:rsidR="00833018" w:rsidRPr="00B40A77" w:rsidRDefault="00833018" w:rsidP="00833018">
      <w:pPr>
        <w:pStyle w:val="Doublehangindent"/>
        <w:rPr>
          <w:color w:val="000000" w:themeColor="text1"/>
        </w:rPr>
      </w:pPr>
      <w:r w:rsidRPr="00B40A77">
        <w:rPr>
          <w:color w:val="000000" w:themeColor="text1"/>
        </w:rPr>
        <w:t>(a)</w:t>
      </w:r>
      <w:r w:rsidRPr="00B40A77">
        <w:rPr>
          <w:color w:val="000000" w:themeColor="text1"/>
        </w:rPr>
        <w:tab/>
        <w:t>any other judicial officer; or</w:t>
      </w:r>
    </w:p>
    <w:p w14:paraId="3DD148C9" w14:textId="77777777" w:rsidR="00833018" w:rsidRPr="00B40A77" w:rsidRDefault="00833018" w:rsidP="00833018">
      <w:pPr>
        <w:pStyle w:val="Doublehangindent"/>
        <w:rPr>
          <w:color w:val="000000" w:themeColor="text1"/>
        </w:rPr>
      </w:pPr>
      <w:r w:rsidRPr="00B40A77">
        <w:rPr>
          <w:color w:val="000000" w:themeColor="text1"/>
        </w:rPr>
        <w:t>(b)</w:t>
      </w:r>
      <w:r w:rsidRPr="00B40A77">
        <w:rPr>
          <w:color w:val="000000" w:themeColor="text1"/>
        </w:rPr>
        <w:tab/>
        <w:t>any other person except each other party to, or a person having an interest in, the outcome of the proceeding.</w:t>
      </w:r>
    </w:p>
    <w:p w14:paraId="20E21B64" w14:textId="04643300" w:rsidR="00833018" w:rsidRPr="00B40A77" w:rsidRDefault="00833018" w:rsidP="00BE23A0">
      <w:pPr>
        <w:pStyle w:val="Heading2"/>
        <w:keepNext/>
        <w:rPr>
          <w:color w:val="000000" w:themeColor="text1"/>
        </w:rPr>
      </w:pPr>
      <w:bookmarkStart w:id="844" w:name="_Toc66966207"/>
      <w:bookmarkStart w:id="845" w:name="_Toc175239180"/>
      <w:r w:rsidRPr="00B40A77">
        <w:rPr>
          <w:color w:val="000000" w:themeColor="text1"/>
        </w:rPr>
        <w:lastRenderedPageBreak/>
        <w:t>Part 7—Orders</w:t>
      </w:r>
      <w:bookmarkEnd w:id="844"/>
      <w:r w:rsidR="008F6576" w:rsidRPr="00B40A77">
        <w:rPr>
          <w:color w:val="000000" w:themeColor="text1"/>
        </w:rPr>
        <w:t xml:space="preserve"> and certificates</w:t>
      </w:r>
      <w:bookmarkEnd w:id="845"/>
    </w:p>
    <w:p w14:paraId="1D419309" w14:textId="77777777" w:rsidR="00833018" w:rsidRPr="00B40A77" w:rsidRDefault="00833018" w:rsidP="00833018">
      <w:pPr>
        <w:pStyle w:val="Heading4"/>
        <w:rPr>
          <w:color w:val="000000" w:themeColor="text1"/>
        </w:rPr>
      </w:pPr>
      <w:bookmarkStart w:id="846" w:name="_Toc66966208"/>
      <w:bookmarkStart w:id="847" w:name="_Toc175239181"/>
      <w:r w:rsidRPr="00B40A77">
        <w:rPr>
          <w:color w:val="000000" w:themeColor="text1"/>
        </w:rPr>
        <w:t>135.1—Record of outcome</w:t>
      </w:r>
      <w:bookmarkEnd w:id="846"/>
      <w:bookmarkEnd w:id="847"/>
    </w:p>
    <w:p w14:paraId="77B29396" w14:textId="7C444F44" w:rsidR="00833018" w:rsidRPr="00B40A77" w:rsidRDefault="00833018" w:rsidP="00763DD0">
      <w:pPr>
        <w:pStyle w:val="Hangindent"/>
        <w:keepNext/>
        <w:ind w:left="567" w:firstLine="0"/>
        <w:rPr>
          <w:color w:val="000000" w:themeColor="text1"/>
        </w:rPr>
      </w:pPr>
      <w:r w:rsidRPr="00B40A77">
        <w:rPr>
          <w:color w:val="000000" w:themeColor="text1"/>
          <w:lang w:val="en-GB"/>
        </w:rPr>
        <w:t xml:space="preserve">If the Court makes orders in respect of the outcome of </w:t>
      </w:r>
      <w:hyperlink w:anchor="_2.1—Definitions" w:history="1">
        <w:r w:rsidR="002A0B8E" w:rsidRPr="00B40A77">
          <w:rPr>
            <w:rStyle w:val="Hyperlink"/>
            <w:color w:val="000000" w:themeColor="text1"/>
            <w:lang w:val="en-US"/>
          </w:rPr>
          <w:t>trial</w:t>
        </w:r>
      </w:hyperlink>
      <w:r w:rsidRPr="00B40A77">
        <w:rPr>
          <w:color w:val="000000" w:themeColor="text1"/>
          <w:lang w:val="en-GB"/>
        </w:rPr>
        <w:t xml:space="preserve"> independently of sentencing, the</w:t>
      </w:r>
      <w:r w:rsidR="00C43463" w:rsidRPr="00B40A77">
        <w:rPr>
          <w:color w:val="000000" w:themeColor="text1"/>
          <w:lang w:val="en-GB"/>
        </w:rPr>
        <w:t xml:space="preserve"> </w:t>
      </w:r>
      <w:r w:rsidRPr="00B40A77">
        <w:rPr>
          <w:color w:val="000000" w:themeColor="text1"/>
          <w:lang w:val="en-GB"/>
        </w:rPr>
        <w:t>written record of the orders must be in the prescribed form</w:t>
      </w:r>
      <w:r w:rsidRPr="00B40A77">
        <w:rPr>
          <w:color w:val="000000" w:themeColor="text1"/>
        </w:rPr>
        <w:t>.</w:t>
      </w:r>
    </w:p>
    <w:p w14:paraId="18D4E119" w14:textId="4230A389" w:rsidR="00833018" w:rsidRPr="00B40A77" w:rsidRDefault="00833018" w:rsidP="00763DD0">
      <w:pPr>
        <w:pStyle w:val="NoteHeader"/>
        <w:keepNext/>
        <w:ind w:left="567"/>
        <w:rPr>
          <w:color w:val="000000" w:themeColor="text1"/>
        </w:rPr>
      </w:pPr>
      <w:r w:rsidRPr="00B40A77">
        <w:rPr>
          <w:color w:val="000000" w:themeColor="text1"/>
        </w:rPr>
        <w:t>Prescribed form—</w:t>
      </w:r>
    </w:p>
    <w:p w14:paraId="39CC3C72" w14:textId="63A1DEBC" w:rsidR="00833018" w:rsidRPr="00B40A77" w:rsidRDefault="00833018" w:rsidP="00763DD0">
      <w:pPr>
        <w:pStyle w:val="NoteText"/>
        <w:keepNext/>
        <w:ind w:left="851"/>
        <w:rPr>
          <w:color w:val="000000" w:themeColor="text1"/>
        </w:rPr>
      </w:pPr>
      <w:r w:rsidRPr="00B40A77">
        <w:rPr>
          <w:color w:val="000000" w:themeColor="text1"/>
        </w:rPr>
        <w:t xml:space="preserve">Form 141 </w:t>
      </w:r>
      <w:hyperlink r:id="rId225" w:history="1">
        <w:r w:rsidRPr="00B40A77">
          <w:rPr>
            <w:rStyle w:val="Hyperlink"/>
            <w:color w:val="000000" w:themeColor="text1"/>
          </w:rPr>
          <w:t>Record of Outcome</w:t>
        </w:r>
      </w:hyperlink>
    </w:p>
    <w:p w14:paraId="255D4A26" w14:textId="183DBFFA" w:rsidR="00FE0A94" w:rsidRPr="00B40A77" w:rsidRDefault="00FE0A94" w:rsidP="004E3D0F">
      <w:pPr>
        <w:pStyle w:val="NoteHeader"/>
        <w:keepNext/>
        <w:ind w:left="567"/>
        <w:rPr>
          <w:color w:val="000000" w:themeColor="text1"/>
          <w:lang w:val="en-US"/>
        </w:rPr>
      </w:pPr>
      <w:r w:rsidRPr="00B40A77">
        <w:rPr>
          <w:color w:val="000000" w:themeColor="text1"/>
          <w:lang w:val="en-US"/>
        </w:rPr>
        <w:t>Note—</w:t>
      </w:r>
    </w:p>
    <w:p w14:paraId="67160671" w14:textId="6E55FB50" w:rsidR="00FE0A94" w:rsidRPr="00B40A77" w:rsidRDefault="00FE0A94" w:rsidP="006A5DD8">
      <w:pPr>
        <w:pStyle w:val="NoteText"/>
        <w:ind w:left="851"/>
        <w:rPr>
          <w:color w:val="000000" w:themeColor="text1"/>
        </w:rPr>
      </w:pPr>
      <w:r w:rsidRPr="00B40A77">
        <w:rPr>
          <w:color w:val="000000" w:themeColor="text1"/>
          <w:lang w:val="en-US"/>
        </w:rPr>
        <w:t xml:space="preserve">If the Court makes orders </w:t>
      </w:r>
      <w:r w:rsidRPr="00B40A77">
        <w:rPr>
          <w:color w:val="000000" w:themeColor="text1"/>
          <w:lang w:val="en-GB"/>
        </w:rPr>
        <w:t xml:space="preserve">in respect of the outcome of </w:t>
      </w:r>
      <w:hyperlink w:anchor="_2.1—Definitions" w:history="1">
        <w:r w:rsidR="002A0B8E" w:rsidRPr="00B40A77">
          <w:rPr>
            <w:rStyle w:val="Hyperlink"/>
            <w:color w:val="000000" w:themeColor="text1"/>
            <w:lang w:val="en-US"/>
          </w:rPr>
          <w:t>trial</w:t>
        </w:r>
      </w:hyperlink>
      <w:r w:rsidRPr="00B40A77">
        <w:rPr>
          <w:color w:val="000000" w:themeColor="text1"/>
          <w:lang w:val="en-GB"/>
        </w:rPr>
        <w:t xml:space="preserve"> at the same time as sentencing</w:t>
      </w:r>
      <w:r w:rsidRPr="00B40A77">
        <w:rPr>
          <w:color w:val="000000" w:themeColor="text1"/>
          <w:lang w:val="en-US"/>
        </w:rPr>
        <w:t xml:space="preserve">, see </w:t>
      </w:r>
      <w:hyperlink w:anchor="_Part_4—Sentencing_orders" w:history="1">
        <w:r w:rsidRPr="00B40A77">
          <w:rPr>
            <w:rStyle w:val="Hyperlink"/>
            <w:color w:val="000000" w:themeColor="text1"/>
            <w:lang w:val="en-US"/>
          </w:rPr>
          <w:t>Chapter</w:t>
        </w:r>
        <w:r w:rsidR="00BA2D1F" w:rsidRPr="00B40A77">
          <w:rPr>
            <w:rStyle w:val="Hyperlink"/>
            <w:color w:val="000000" w:themeColor="text1"/>
            <w:lang w:val="en-US"/>
          </w:rPr>
          <w:t> </w:t>
        </w:r>
        <w:r w:rsidRPr="00B40A77">
          <w:rPr>
            <w:rStyle w:val="Hyperlink"/>
            <w:color w:val="000000" w:themeColor="text1"/>
            <w:lang w:val="en-US"/>
          </w:rPr>
          <w:t>7 Part</w:t>
        </w:r>
        <w:r w:rsidR="00BA2D1F" w:rsidRPr="00B40A77">
          <w:rPr>
            <w:rStyle w:val="Hyperlink"/>
            <w:color w:val="000000" w:themeColor="text1"/>
            <w:lang w:val="en-US"/>
          </w:rPr>
          <w:t> </w:t>
        </w:r>
        <w:r w:rsidRPr="00B40A77">
          <w:rPr>
            <w:rStyle w:val="Hyperlink"/>
            <w:color w:val="000000" w:themeColor="text1"/>
            <w:lang w:val="en-US"/>
          </w:rPr>
          <w:t>4</w:t>
        </w:r>
      </w:hyperlink>
      <w:r w:rsidRPr="00B40A77">
        <w:rPr>
          <w:color w:val="000000" w:themeColor="text1"/>
          <w:lang w:val="en-US"/>
        </w:rPr>
        <w:t>.</w:t>
      </w:r>
    </w:p>
    <w:p w14:paraId="54429C58" w14:textId="77777777" w:rsidR="00833018" w:rsidRPr="00B40A77" w:rsidRDefault="00833018" w:rsidP="00833018">
      <w:pPr>
        <w:pStyle w:val="Heading4"/>
        <w:rPr>
          <w:color w:val="000000" w:themeColor="text1"/>
        </w:rPr>
      </w:pPr>
      <w:bookmarkStart w:id="848" w:name="_Toc66966209"/>
      <w:bookmarkStart w:id="849" w:name="_Toc175239182"/>
      <w:r w:rsidRPr="00B40A77">
        <w:rPr>
          <w:color w:val="000000" w:themeColor="text1"/>
        </w:rPr>
        <w:t>135.2—Case stated</w:t>
      </w:r>
      <w:bookmarkEnd w:id="848"/>
      <w:bookmarkEnd w:id="849"/>
    </w:p>
    <w:p w14:paraId="24ADD43A" w14:textId="739724EB" w:rsidR="009533E7" w:rsidRPr="00B40A77" w:rsidRDefault="00D66D4C" w:rsidP="00B90C7E">
      <w:pPr>
        <w:pStyle w:val="Hangindent"/>
        <w:keepNext/>
        <w:rPr>
          <w:color w:val="000000" w:themeColor="text1"/>
        </w:rPr>
      </w:pPr>
      <w:r w:rsidRPr="00B40A77">
        <w:rPr>
          <w:color w:val="000000" w:themeColor="text1"/>
          <w:lang w:val="en-US"/>
        </w:rPr>
        <w:t>(1)</w:t>
      </w:r>
      <w:r w:rsidRPr="00B40A77">
        <w:rPr>
          <w:color w:val="000000" w:themeColor="text1"/>
          <w:lang w:val="en-US"/>
        </w:rPr>
        <w:tab/>
        <w:t xml:space="preserve">Unless the Court otherwise orders, an application to </w:t>
      </w:r>
      <w:r w:rsidR="006F203A" w:rsidRPr="00B40A77">
        <w:rPr>
          <w:color w:val="000000" w:themeColor="text1"/>
          <w:lang w:val="en-US"/>
        </w:rPr>
        <w:t xml:space="preserve">state a case or </w:t>
      </w:r>
      <w:r w:rsidRPr="00B40A77">
        <w:rPr>
          <w:color w:val="000000" w:themeColor="text1"/>
          <w:lang w:val="en-US"/>
        </w:rPr>
        <w:t xml:space="preserve">reserve a question of law to the Supreme Court or </w:t>
      </w:r>
      <w:hyperlink w:anchor="_2.1—Definitions" w:history="1">
        <w:r w:rsidRPr="00B40A77">
          <w:rPr>
            <w:rStyle w:val="Hyperlink"/>
            <w:color w:val="000000" w:themeColor="text1"/>
            <w:lang w:val="en-US"/>
          </w:rPr>
          <w:t>Court of Appeal</w:t>
        </w:r>
      </w:hyperlink>
      <w:r w:rsidRPr="00B40A77">
        <w:rPr>
          <w:color w:val="000000" w:themeColor="text1"/>
          <w:lang w:val="en-US"/>
        </w:rPr>
        <w:t xml:space="preserve"> </w:t>
      </w:r>
      <w:r w:rsidR="006F203A" w:rsidRPr="00B40A77">
        <w:rPr>
          <w:color w:val="000000" w:themeColor="text1"/>
          <w:lang w:val="en-US"/>
        </w:rPr>
        <w:t xml:space="preserve">(a </w:t>
      </w:r>
      <w:r w:rsidR="006F203A" w:rsidRPr="00B40A77">
        <w:rPr>
          <w:b/>
          <w:bCs/>
          <w:i/>
          <w:iCs/>
          <w:color w:val="000000" w:themeColor="text1"/>
          <w:lang w:val="en-US"/>
        </w:rPr>
        <w:t>stated case</w:t>
      </w:r>
      <w:r w:rsidR="006F203A" w:rsidRPr="00B40A77">
        <w:rPr>
          <w:color w:val="000000" w:themeColor="text1"/>
          <w:lang w:val="en-US"/>
        </w:rPr>
        <w:t xml:space="preserve">) </w:t>
      </w:r>
      <w:r w:rsidRPr="00B40A77">
        <w:rPr>
          <w:color w:val="000000" w:themeColor="text1"/>
          <w:lang w:val="en-US"/>
        </w:rPr>
        <w:t>must be made by an interlocutory application in the prescribed form</w:t>
      </w:r>
      <w:r w:rsidR="009533E7" w:rsidRPr="00B40A77">
        <w:rPr>
          <w:color w:val="000000" w:themeColor="text1"/>
          <w:lang w:val="en-US"/>
        </w:rPr>
        <w:t xml:space="preserve"> attaching a draft </w:t>
      </w:r>
      <w:r w:rsidR="00E630D0" w:rsidRPr="00B40A77">
        <w:rPr>
          <w:color w:val="000000" w:themeColor="text1"/>
          <w:lang w:val="en-US"/>
        </w:rPr>
        <w:t>c</w:t>
      </w:r>
      <w:r w:rsidR="009533E7" w:rsidRPr="00B40A77">
        <w:rPr>
          <w:color w:val="000000" w:themeColor="text1"/>
          <w:lang w:val="en-US"/>
        </w:rPr>
        <w:t xml:space="preserve">ase </w:t>
      </w:r>
      <w:r w:rsidR="00E630D0" w:rsidRPr="00B40A77">
        <w:rPr>
          <w:color w:val="000000" w:themeColor="text1"/>
          <w:lang w:val="en-US"/>
        </w:rPr>
        <w:t>s</w:t>
      </w:r>
      <w:r w:rsidR="009533E7" w:rsidRPr="00B40A77">
        <w:rPr>
          <w:color w:val="000000" w:themeColor="text1"/>
          <w:lang w:val="en-US"/>
        </w:rPr>
        <w:t xml:space="preserve">tated </w:t>
      </w:r>
      <w:r w:rsidR="009533E7" w:rsidRPr="00B40A77">
        <w:rPr>
          <w:color w:val="000000" w:themeColor="text1"/>
          <w:lang w:val="en-GB"/>
        </w:rPr>
        <w:t>in the prescribed form</w:t>
      </w:r>
      <w:r w:rsidR="009533E7" w:rsidRPr="00B40A77">
        <w:rPr>
          <w:color w:val="000000" w:themeColor="text1"/>
        </w:rPr>
        <w:t>.</w:t>
      </w:r>
    </w:p>
    <w:p w14:paraId="3BB36A7F" w14:textId="44C1811F" w:rsidR="009533E7" w:rsidRPr="00B40A77" w:rsidRDefault="009533E7" w:rsidP="00B90C7E">
      <w:pPr>
        <w:pStyle w:val="NoteHeader"/>
        <w:keepNext/>
        <w:rPr>
          <w:color w:val="000000" w:themeColor="text1"/>
        </w:rPr>
      </w:pPr>
      <w:r w:rsidRPr="00B40A77">
        <w:rPr>
          <w:color w:val="000000" w:themeColor="text1"/>
        </w:rPr>
        <w:t>Prescribed form—</w:t>
      </w:r>
    </w:p>
    <w:p w14:paraId="77EE8325" w14:textId="08704B21" w:rsidR="009533E7" w:rsidRPr="00B40A77" w:rsidRDefault="009533E7" w:rsidP="00763DD0">
      <w:pPr>
        <w:pStyle w:val="NoteText"/>
        <w:keepNext/>
        <w:rPr>
          <w:color w:val="000000" w:themeColor="text1"/>
          <w:lang w:val="en-US"/>
        </w:rPr>
      </w:pPr>
      <w:r w:rsidRPr="00B40A77">
        <w:rPr>
          <w:color w:val="000000" w:themeColor="text1"/>
          <w:lang w:val="en-US"/>
        </w:rPr>
        <w:t xml:space="preserve">Form 156 </w:t>
      </w:r>
      <w:hyperlink r:id="rId226" w:history="1">
        <w:r w:rsidRPr="00B40A77">
          <w:rPr>
            <w:rStyle w:val="Hyperlink"/>
            <w:color w:val="000000" w:themeColor="text1"/>
            <w:lang w:val="en-US"/>
          </w:rPr>
          <w:t xml:space="preserve">Interlocutory Application </w:t>
        </w:r>
        <w:r w:rsidR="001F6521" w:rsidRPr="00B40A77">
          <w:rPr>
            <w:rStyle w:val="Hyperlink"/>
            <w:color w:val="000000" w:themeColor="text1"/>
            <w:lang w:val="en-US"/>
          </w:rPr>
          <w:t>for</w:t>
        </w:r>
        <w:r w:rsidRPr="00B40A77">
          <w:rPr>
            <w:rStyle w:val="Hyperlink"/>
            <w:color w:val="000000" w:themeColor="text1"/>
            <w:lang w:val="en-US"/>
          </w:rPr>
          <w:t xml:space="preserve"> Stating a Case</w:t>
        </w:r>
      </w:hyperlink>
    </w:p>
    <w:p w14:paraId="6D09512B" w14:textId="56FED8ED" w:rsidR="009533E7" w:rsidRPr="00B40A77" w:rsidRDefault="009533E7" w:rsidP="009533E7">
      <w:pPr>
        <w:pStyle w:val="NoteText"/>
        <w:rPr>
          <w:color w:val="000000" w:themeColor="text1"/>
        </w:rPr>
      </w:pPr>
      <w:r w:rsidRPr="00B40A77">
        <w:rPr>
          <w:color w:val="000000" w:themeColor="text1"/>
        </w:rPr>
        <w:t>Form 15</w:t>
      </w:r>
      <w:r w:rsidR="001F6521" w:rsidRPr="00B40A77">
        <w:rPr>
          <w:color w:val="000000" w:themeColor="text1"/>
        </w:rPr>
        <w:t>9</w:t>
      </w:r>
      <w:r w:rsidRPr="00B40A77">
        <w:rPr>
          <w:color w:val="000000" w:themeColor="text1"/>
        </w:rPr>
        <w:t xml:space="preserve"> </w:t>
      </w:r>
      <w:hyperlink r:id="rId227" w:history="1">
        <w:r w:rsidRPr="00B40A77">
          <w:rPr>
            <w:rStyle w:val="Hyperlink"/>
            <w:color w:val="000000" w:themeColor="text1"/>
          </w:rPr>
          <w:t>Case Stated</w:t>
        </w:r>
      </w:hyperlink>
    </w:p>
    <w:p w14:paraId="11ED00A4" w14:textId="77777777" w:rsidR="006912E6" w:rsidRPr="00B40A77" w:rsidRDefault="00583729"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makes an order for a stated case, </w:t>
      </w:r>
      <w:r w:rsidR="006912E6" w:rsidRPr="00B40A77">
        <w:rPr>
          <w:color w:val="000000" w:themeColor="text1"/>
          <w:lang w:val="en-US"/>
        </w:rPr>
        <w:t>the written record of the orders must be in the prescribed form.</w:t>
      </w:r>
    </w:p>
    <w:p w14:paraId="4C3E5211" w14:textId="549C0C38" w:rsidR="006912E6" w:rsidRPr="00B40A77" w:rsidRDefault="006912E6" w:rsidP="00B90C7E">
      <w:pPr>
        <w:pStyle w:val="NoteHeader"/>
        <w:keepNext/>
        <w:rPr>
          <w:color w:val="000000" w:themeColor="text1"/>
        </w:rPr>
      </w:pPr>
      <w:r w:rsidRPr="00B40A77">
        <w:rPr>
          <w:color w:val="000000" w:themeColor="text1"/>
        </w:rPr>
        <w:t>Prescribed form—</w:t>
      </w:r>
    </w:p>
    <w:p w14:paraId="0DDF42C0" w14:textId="09D4CED2" w:rsidR="006912E6" w:rsidRPr="00B40A77" w:rsidRDefault="006912E6" w:rsidP="00211EE4">
      <w:pPr>
        <w:pStyle w:val="NoteText"/>
        <w:keepNext/>
        <w:rPr>
          <w:color w:val="000000" w:themeColor="text1"/>
        </w:rPr>
      </w:pPr>
      <w:r w:rsidRPr="00B40A77">
        <w:rPr>
          <w:color w:val="000000" w:themeColor="text1"/>
        </w:rPr>
        <w:t xml:space="preserve">Form 141 </w:t>
      </w:r>
      <w:hyperlink r:id="rId228" w:history="1">
        <w:r w:rsidRPr="00B40A77">
          <w:rPr>
            <w:rStyle w:val="Hyperlink"/>
            <w:color w:val="000000" w:themeColor="text1"/>
          </w:rPr>
          <w:t>Record of Outcome</w:t>
        </w:r>
      </w:hyperlink>
    </w:p>
    <w:p w14:paraId="1A74C459" w14:textId="18439CAF" w:rsidR="00833018" w:rsidRPr="00B40A77" w:rsidRDefault="00833018" w:rsidP="00381ABA">
      <w:pPr>
        <w:pStyle w:val="Hangindent"/>
        <w:keepNext/>
        <w:rPr>
          <w:color w:val="000000" w:themeColor="text1"/>
        </w:rPr>
      </w:pPr>
      <w:r w:rsidRPr="00B40A77">
        <w:rPr>
          <w:color w:val="000000" w:themeColor="text1"/>
          <w:lang w:val="en-GB"/>
        </w:rPr>
        <w:t>(</w:t>
      </w:r>
      <w:r w:rsidR="00583729" w:rsidRPr="00B40A77">
        <w:rPr>
          <w:color w:val="000000" w:themeColor="text1"/>
          <w:lang w:val="en-GB"/>
        </w:rPr>
        <w:t>3</w:t>
      </w:r>
      <w:r w:rsidRPr="00B40A77">
        <w:rPr>
          <w:color w:val="000000" w:themeColor="text1"/>
          <w:lang w:val="en-GB"/>
        </w:rPr>
        <w:t>)</w:t>
      </w:r>
      <w:r w:rsidRPr="00B40A77">
        <w:rPr>
          <w:color w:val="000000" w:themeColor="text1"/>
          <w:lang w:val="en-GB"/>
        </w:rPr>
        <w:tab/>
        <w:t xml:space="preserve">If the Court makes an order </w:t>
      </w:r>
      <w:r w:rsidR="00E8015A" w:rsidRPr="00B40A77">
        <w:rPr>
          <w:color w:val="000000" w:themeColor="text1"/>
          <w:lang w:val="en-GB"/>
        </w:rPr>
        <w:t xml:space="preserve">for </w:t>
      </w:r>
      <w:r w:rsidR="006F203A" w:rsidRPr="00B40A77">
        <w:rPr>
          <w:color w:val="000000" w:themeColor="text1"/>
          <w:lang w:val="en-GB"/>
        </w:rPr>
        <w:t xml:space="preserve">a </w:t>
      </w:r>
      <w:r w:rsidRPr="00B40A77">
        <w:rPr>
          <w:color w:val="000000" w:themeColor="text1"/>
          <w:lang w:val="en-GB"/>
        </w:rPr>
        <w:t>stat</w:t>
      </w:r>
      <w:r w:rsidR="006F203A" w:rsidRPr="00B40A77">
        <w:rPr>
          <w:color w:val="000000" w:themeColor="text1"/>
          <w:lang w:val="en-GB"/>
        </w:rPr>
        <w:t>ed</w:t>
      </w:r>
      <w:r w:rsidRPr="00B40A77">
        <w:rPr>
          <w:color w:val="000000" w:themeColor="text1"/>
          <w:lang w:val="en-GB"/>
        </w:rPr>
        <w:t xml:space="preserve"> case, a formal order must be issued in the prescribed form</w:t>
      </w:r>
      <w:r w:rsidRPr="00B40A77">
        <w:rPr>
          <w:color w:val="000000" w:themeColor="text1"/>
        </w:rPr>
        <w:t>.</w:t>
      </w:r>
    </w:p>
    <w:p w14:paraId="0C9D3EC9" w14:textId="03FCD841" w:rsidR="00833018" w:rsidRPr="00B40A77" w:rsidRDefault="00833018" w:rsidP="00381ABA">
      <w:pPr>
        <w:pStyle w:val="NoteHeader"/>
        <w:keepNext/>
        <w:rPr>
          <w:color w:val="000000" w:themeColor="text1"/>
        </w:rPr>
      </w:pPr>
      <w:r w:rsidRPr="00B40A77">
        <w:rPr>
          <w:color w:val="000000" w:themeColor="text1"/>
        </w:rPr>
        <w:t>Prescribed form—</w:t>
      </w:r>
    </w:p>
    <w:p w14:paraId="077E5E32" w14:textId="440F1625" w:rsidR="00833018" w:rsidRPr="00B40A77" w:rsidRDefault="00833018" w:rsidP="00833018">
      <w:pPr>
        <w:pStyle w:val="NoteText"/>
        <w:rPr>
          <w:color w:val="000000" w:themeColor="text1"/>
        </w:rPr>
      </w:pPr>
      <w:r w:rsidRPr="00B40A77">
        <w:rPr>
          <w:color w:val="000000" w:themeColor="text1"/>
        </w:rPr>
        <w:t>Form 15</w:t>
      </w:r>
      <w:r w:rsidR="00D61AFC" w:rsidRPr="00B40A77">
        <w:rPr>
          <w:color w:val="000000" w:themeColor="text1"/>
        </w:rPr>
        <w:t>8</w:t>
      </w:r>
      <w:r w:rsidRPr="00B40A77">
        <w:rPr>
          <w:color w:val="000000" w:themeColor="text1"/>
        </w:rPr>
        <w:t xml:space="preserve"> </w:t>
      </w:r>
      <w:hyperlink r:id="rId229" w:history="1">
        <w:r w:rsidRPr="00B40A77">
          <w:rPr>
            <w:rStyle w:val="Hyperlink"/>
            <w:color w:val="000000" w:themeColor="text1"/>
          </w:rPr>
          <w:t>Order</w:t>
        </w:r>
        <w:r w:rsidR="00D61AFC" w:rsidRPr="00B40A77">
          <w:rPr>
            <w:rStyle w:val="Hyperlink"/>
            <w:color w:val="000000" w:themeColor="text1"/>
          </w:rPr>
          <w:t xml:space="preserve"> –</w:t>
        </w:r>
        <w:r w:rsidRPr="00B40A77">
          <w:rPr>
            <w:rStyle w:val="Hyperlink"/>
            <w:color w:val="000000" w:themeColor="text1"/>
          </w:rPr>
          <w:t xml:space="preserve"> Stating a Case</w:t>
        </w:r>
      </w:hyperlink>
    </w:p>
    <w:p w14:paraId="6C19F3BE" w14:textId="460255EC" w:rsidR="006F203A" w:rsidRPr="00B40A77" w:rsidRDefault="006F203A" w:rsidP="00381ABA">
      <w:pPr>
        <w:pStyle w:val="Hangindent"/>
        <w:keepNext/>
        <w:rPr>
          <w:color w:val="000000" w:themeColor="text1"/>
        </w:rPr>
      </w:pPr>
      <w:r w:rsidRPr="00B40A77">
        <w:rPr>
          <w:color w:val="000000" w:themeColor="text1"/>
          <w:lang w:val="en-GB"/>
        </w:rPr>
        <w:t>(</w:t>
      </w:r>
      <w:r w:rsidR="00583729" w:rsidRPr="00B40A77">
        <w:rPr>
          <w:color w:val="000000" w:themeColor="text1"/>
          <w:lang w:val="en-GB"/>
        </w:rPr>
        <w:t>4</w:t>
      </w:r>
      <w:r w:rsidRPr="00B40A77">
        <w:rPr>
          <w:color w:val="000000" w:themeColor="text1"/>
          <w:lang w:val="en-GB"/>
        </w:rPr>
        <w:t>)</w:t>
      </w:r>
      <w:r w:rsidRPr="00B40A77">
        <w:rPr>
          <w:color w:val="000000" w:themeColor="text1"/>
          <w:lang w:val="en-GB"/>
        </w:rPr>
        <w:tab/>
        <w:t>A stated case is to be in the prescribed form</w:t>
      </w:r>
      <w:r w:rsidRPr="00B40A77">
        <w:rPr>
          <w:color w:val="000000" w:themeColor="text1"/>
        </w:rPr>
        <w:t>.</w:t>
      </w:r>
    </w:p>
    <w:p w14:paraId="3AA8BA15" w14:textId="77777777" w:rsidR="006F203A" w:rsidRPr="00B40A77" w:rsidRDefault="006F203A" w:rsidP="00381ABA">
      <w:pPr>
        <w:pStyle w:val="NoteHeader"/>
        <w:keepNext/>
        <w:rPr>
          <w:color w:val="000000" w:themeColor="text1"/>
        </w:rPr>
      </w:pPr>
      <w:r w:rsidRPr="00B40A77">
        <w:rPr>
          <w:color w:val="000000" w:themeColor="text1"/>
        </w:rPr>
        <w:t>Prescribed form—</w:t>
      </w:r>
      <w:r w:rsidRPr="00B40A77">
        <w:rPr>
          <w:color w:val="000000" w:themeColor="text1"/>
        </w:rPr>
        <w:tab/>
      </w:r>
    </w:p>
    <w:p w14:paraId="133B7C3D" w14:textId="11D16AB4" w:rsidR="006F203A" w:rsidRPr="00B40A77" w:rsidRDefault="006F203A" w:rsidP="00833018">
      <w:pPr>
        <w:pStyle w:val="NoteText"/>
        <w:rPr>
          <w:color w:val="000000" w:themeColor="text1"/>
        </w:rPr>
      </w:pPr>
      <w:r w:rsidRPr="00B40A77">
        <w:rPr>
          <w:color w:val="000000" w:themeColor="text1"/>
        </w:rPr>
        <w:t>Form 15</w:t>
      </w:r>
      <w:r w:rsidR="00D61AFC" w:rsidRPr="00B40A77">
        <w:rPr>
          <w:color w:val="000000" w:themeColor="text1"/>
        </w:rPr>
        <w:t>9</w:t>
      </w:r>
      <w:r w:rsidRPr="00B40A77">
        <w:rPr>
          <w:color w:val="000000" w:themeColor="text1"/>
        </w:rPr>
        <w:t xml:space="preserve"> </w:t>
      </w:r>
      <w:hyperlink r:id="rId230" w:history="1">
        <w:r w:rsidRPr="00B40A77">
          <w:rPr>
            <w:rStyle w:val="Hyperlink"/>
            <w:color w:val="000000" w:themeColor="text1"/>
          </w:rPr>
          <w:t>Case Stated</w:t>
        </w:r>
      </w:hyperlink>
    </w:p>
    <w:p w14:paraId="1334498A" w14:textId="48B9CDE5" w:rsidR="008F6576" w:rsidRPr="00B40A77" w:rsidRDefault="008F6576" w:rsidP="008F6576">
      <w:pPr>
        <w:pStyle w:val="Heading4"/>
        <w:rPr>
          <w:color w:val="000000" w:themeColor="text1"/>
        </w:rPr>
      </w:pPr>
      <w:bookmarkStart w:id="850" w:name="_Toc175239183"/>
      <w:r w:rsidRPr="00B40A77">
        <w:rPr>
          <w:color w:val="000000" w:themeColor="text1"/>
        </w:rPr>
        <w:t>135.3—Certificate of trial judge: Supreme Court and District Court</w:t>
      </w:r>
      <w:bookmarkEnd w:id="850"/>
    </w:p>
    <w:p w14:paraId="57F5F944" w14:textId="25A455E3" w:rsidR="008F6576" w:rsidRPr="00B40A77" w:rsidRDefault="008F6576"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 certificate of the trial </w:t>
      </w:r>
      <w:r w:rsidR="004C0256" w:rsidRPr="00B40A77">
        <w:rPr>
          <w:color w:val="000000" w:themeColor="text1"/>
          <w:lang w:val="en-US"/>
        </w:rPr>
        <w:t>J</w:t>
      </w:r>
      <w:r w:rsidRPr="00B40A77">
        <w:rPr>
          <w:color w:val="000000" w:themeColor="text1"/>
          <w:lang w:val="en-US"/>
        </w:rPr>
        <w:t>udge under section</w:t>
      </w:r>
      <w:r w:rsidR="00425D16" w:rsidRPr="00B40A77">
        <w:rPr>
          <w:color w:val="000000" w:themeColor="text1"/>
          <w:lang w:val="en-US"/>
        </w:rPr>
        <w:t> </w:t>
      </w:r>
      <w:r w:rsidRPr="00B40A77">
        <w:rPr>
          <w:color w:val="000000" w:themeColor="text1"/>
          <w:lang w:val="en-US"/>
        </w:rPr>
        <w:t>157(1)(a)(ii) of the Procedure Act must be in the prescribed form.</w:t>
      </w:r>
    </w:p>
    <w:p w14:paraId="12688025" w14:textId="77777777" w:rsidR="008F6576" w:rsidRPr="00B40A77" w:rsidRDefault="008F6576" w:rsidP="00B90C7E">
      <w:pPr>
        <w:pStyle w:val="NoteHeader"/>
        <w:keepNext/>
        <w:rPr>
          <w:color w:val="000000" w:themeColor="text1"/>
        </w:rPr>
      </w:pPr>
      <w:r w:rsidRPr="00B40A77">
        <w:rPr>
          <w:color w:val="000000" w:themeColor="text1"/>
        </w:rPr>
        <w:t>Prescribed form—</w:t>
      </w:r>
    </w:p>
    <w:p w14:paraId="4E08C822" w14:textId="29F72607" w:rsidR="008F6576" w:rsidRPr="00B40A77" w:rsidRDefault="008F6576" w:rsidP="00BC23E5">
      <w:pPr>
        <w:pStyle w:val="NoteText"/>
        <w:rPr>
          <w:color w:val="000000" w:themeColor="text1"/>
          <w:lang w:val="en-US"/>
        </w:rPr>
      </w:pPr>
      <w:r w:rsidRPr="00B40A77">
        <w:rPr>
          <w:color w:val="000000" w:themeColor="text1"/>
        </w:rPr>
        <w:t>Form 15</w:t>
      </w:r>
      <w:r w:rsidR="00D61AFC" w:rsidRPr="00B40A77">
        <w:rPr>
          <w:color w:val="000000" w:themeColor="text1"/>
        </w:rPr>
        <w:t>5</w:t>
      </w:r>
      <w:r w:rsidRPr="00B40A77">
        <w:rPr>
          <w:color w:val="000000" w:themeColor="text1"/>
        </w:rPr>
        <w:t xml:space="preserve"> </w:t>
      </w:r>
      <w:hyperlink r:id="rId231" w:history="1">
        <w:r w:rsidRPr="00B40A77">
          <w:rPr>
            <w:rStyle w:val="Hyperlink"/>
            <w:color w:val="000000" w:themeColor="text1"/>
          </w:rPr>
          <w:t xml:space="preserve">Certificate of </w:t>
        </w:r>
        <w:r w:rsidR="00D61AFC" w:rsidRPr="00B40A77">
          <w:rPr>
            <w:rStyle w:val="Hyperlink"/>
            <w:color w:val="000000" w:themeColor="text1"/>
          </w:rPr>
          <w:t>T</w:t>
        </w:r>
        <w:r w:rsidRPr="00B40A77">
          <w:rPr>
            <w:rStyle w:val="Hyperlink"/>
            <w:color w:val="000000" w:themeColor="text1"/>
          </w:rPr>
          <w:t xml:space="preserve">rial </w:t>
        </w:r>
        <w:r w:rsidR="00D61AFC" w:rsidRPr="00B40A77">
          <w:rPr>
            <w:rStyle w:val="Hyperlink"/>
            <w:color w:val="000000" w:themeColor="text1"/>
          </w:rPr>
          <w:t>J</w:t>
        </w:r>
        <w:r w:rsidRPr="00B40A77">
          <w:rPr>
            <w:rStyle w:val="Hyperlink"/>
            <w:color w:val="000000" w:themeColor="text1"/>
          </w:rPr>
          <w:t>udge</w:t>
        </w:r>
      </w:hyperlink>
    </w:p>
    <w:p w14:paraId="41F29F23" w14:textId="77777777" w:rsidR="008F6576" w:rsidRPr="00B40A77" w:rsidRDefault="008F6576" w:rsidP="008F6576">
      <w:pPr>
        <w:pStyle w:val="Hangindent"/>
        <w:rPr>
          <w:color w:val="000000" w:themeColor="text1"/>
          <w:lang w:val="en-US"/>
        </w:rPr>
      </w:pPr>
      <w:r w:rsidRPr="00B40A77">
        <w:rPr>
          <w:color w:val="000000" w:themeColor="text1"/>
          <w:lang w:val="en-US"/>
        </w:rPr>
        <w:t>(2)</w:t>
      </w:r>
      <w:r w:rsidRPr="00B40A77">
        <w:rPr>
          <w:color w:val="000000" w:themeColor="text1"/>
          <w:lang w:val="en-US"/>
        </w:rPr>
        <w:tab/>
        <w:t>A certificate may be given—</w:t>
      </w:r>
    </w:p>
    <w:p w14:paraId="13CFD2F1" w14:textId="15472363" w:rsidR="008F6576" w:rsidRPr="00B40A77" w:rsidRDefault="008F6576" w:rsidP="008F6576">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without any application being made by the </w:t>
      </w:r>
      <w:r w:rsidRPr="00B40A77">
        <w:rPr>
          <w:color w:val="000000" w:themeColor="text1"/>
          <w:szCs w:val="24"/>
          <w:lang w:val="en-GB"/>
        </w:rPr>
        <w:t>defendant</w:t>
      </w:r>
      <w:r w:rsidRPr="00B40A77">
        <w:rPr>
          <w:color w:val="000000" w:themeColor="text1"/>
          <w:lang w:val="en-US"/>
        </w:rPr>
        <w:t xml:space="preserve">; or </w:t>
      </w:r>
    </w:p>
    <w:p w14:paraId="33DCA2D5" w14:textId="097A9B96" w:rsidR="00211EE4" w:rsidRPr="00B40A77" w:rsidRDefault="008F6576" w:rsidP="00C119F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on an </w:t>
      </w:r>
      <w:r w:rsidR="00FA4048" w:rsidRPr="00B40A77">
        <w:rPr>
          <w:color w:val="000000" w:themeColor="text1"/>
          <w:lang w:val="en-US"/>
        </w:rPr>
        <w:t xml:space="preserve">interlocutory application </w:t>
      </w:r>
      <w:r w:rsidRPr="00B40A77">
        <w:rPr>
          <w:color w:val="000000" w:themeColor="text1"/>
          <w:lang w:val="en-US"/>
        </w:rPr>
        <w:t xml:space="preserve">in accordance with </w:t>
      </w:r>
      <w:hyperlink w:anchor="_39.1—Written_application" w:history="1">
        <w:r w:rsidR="00C1210B" w:rsidRPr="00B40A77">
          <w:rPr>
            <w:rStyle w:val="Hyperlink"/>
            <w:color w:val="000000" w:themeColor="text1"/>
            <w:lang w:val="en-US"/>
          </w:rPr>
          <w:t>rule 39.1</w:t>
        </w:r>
      </w:hyperlink>
      <w:r w:rsidR="00C1210B" w:rsidRPr="00B40A77">
        <w:rPr>
          <w:color w:val="000000" w:themeColor="text1"/>
          <w:lang w:val="en-US"/>
        </w:rPr>
        <w:t xml:space="preserve"> </w:t>
      </w:r>
      <w:r w:rsidRPr="00B40A77">
        <w:rPr>
          <w:color w:val="000000" w:themeColor="text1"/>
          <w:lang w:val="en-US"/>
        </w:rPr>
        <w:t xml:space="preserve">by the </w:t>
      </w:r>
      <w:r w:rsidRPr="00B40A77">
        <w:rPr>
          <w:color w:val="000000" w:themeColor="text1"/>
          <w:szCs w:val="24"/>
          <w:lang w:val="en-GB"/>
        </w:rPr>
        <w:t xml:space="preserve">defendant </w:t>
      </w:r>
      <w:r w:rsidRPr="00B40A77">
        <w:rPr>
          <w:color w:val="000000" w:themeColor="text1"/>
          <w:lang w:val="en-US"/>
        </w:rPr>
        <w:t>within 14 days after the date of conviction.</w:t>
      </w:r>
    </w:p>
    <w:p w14:paraId="509B70DE" w14:textId="3E5A9395" w:rsidR="008F6576" w:rsidRPr="00B40A77" w:rsidRDefault="008F6576" w:rsidP="00C119F8">
      <w:pPr>
        <w:pStyle w:val="Doublehangindent"/>
        <w:rPr>
          <w:color w:val="000000" w:themeColor="text1"/>
          <w:lang w:val="en-US"/>
        </w:rPr>
      </w:pPr>
      <w:r w:rsidRPr="00B40A77">
        <w:rPr>
          <w:color w:val="000000" w:themeColor="text1"/>
        </w:rPr>
        <w:br w:type="page"/>
      </w:r>
    </w:p>
    <w:p w14:paraId="68DB6A6C" w14:textId="4CA4CDA5" w:rsidR="009729D7" w:rsidRPr="00B40A77" w:rsidRDefault="009729D7" w:rsidP="00E6045F">
      <w:pPr>
        <w:pStyle w:val="Heading1"/>
        <w:rPr>
          <w:color w:val="000000" w:themeColor="text1"/>
        </w:rPr>
      </w:pPr>
      <w:bookmarkStart w:id="851" w:name="_Chapter_7—Sentencing_and"/>
      <w:bookmarkStart w:id="852" w:name="_Toc175239184"/>
      <w:bookmarkStart w:id="853" w:name="_Toc60133603"/>
      <w:bookmarkEnd w:id="851"/>
      <w:r w:rsidRPr="00B40A77">
        <w:rPr>
          <w:color w:val="000000" w:themeColor="text1"/>
        </w:rPr>
        <w:lastRenderedPageBreak/>
        <w:t xml:space="preserve">Chapter </w:t>
      </w:r>
      <w:r w:rsidR="00C239BC" w:rsidRPr="00B40A77">
        <w:rPr>
          <w:color w:val="000000" w:themeColor="text1"/>
        </w:rPr>
        <w:t>7</w:t>
      </w:r>
      <w:r w:rsidRPr="00B40A77">
        <w:rPr>
          <w:color w:val="000000" w:themeColor="text1"/>
        </w:rPr>
        <w:t>—Sentencing</w:t>
      </w:r>
      <w:bookmarkEnd w:id="852"/>
    </w:p>
    <w:p w14:paraId="448EA2E7" w14:textId="2C7F9B0A" w:rsidR="009729D7" w:rsidRPr="00B40A77" w:rsidRDefault="009729D7" w:rsidP="00BE23A0">
      <w:pPr>
        <w:pStyle w:val="Heading2"/>
        <w:keepNext/>
        <w:rPr>
          <w:color w:val="000000" w:themeColor="text1"/>
        </w:rPr>
      </w:pPr>
      <w:bookmarkStart w:id="854" w:name="_Toc175239185"/>
      <w:r w:rsidRPr="00B40A77">
        <w:rPr>
          <w:color w:val="000000" w:themeColor="text1"/>
        </w:rPr>
        <w:t>Part 1—Scope of Chapter</w:t>
      </w:r>
      <w:bookmarkEnd w:id="854"/>
    </w:p>
    <w:p w14:paraId="2F0C4073" w14:textId="7B6E0B23" w:rsidR="009729D7" w:rsidRPr="00B40A77" w:rsidRDefault="00D02129" w:rsidP="009729D7">
      <w:pPr>
        <w:pStyle w:val="Heading4"/>
        <w:rPr>
          <w:color w:val="000000" w:themeColor="text1"/>
        </w:rPr>
      </w:pPr>
      <w:bookmarkStart w:id="855" w:name="_Toc175239186"/>
      <w:r w:rsidRPr="00B40A77">
        <w:rPr>
          <w:color w:val="000000" w:themeColor="text1"/>
        </w:rPr>
        <w:t>14</w:t>
      </w:r>
      <w:r w:rsidR="00D62779" w:rsidRPr="00B40A77">
        <w:rPr>
          <w:color w:val="000000" w:themeColor="text1"/>
        </w:rPr>
        <w:t>1</w:t>
      </w:r>
      <w:r w:rsidR="009729D7" w:rsidRPr="00B40A77">
        <w:rPr>
          <w:color w:val="000000" w:themeColor="text1"/>
        </w:rPr>
        <w:t>.1—Scope</w:t>
      </w:r>
      <w:bookmarkEnd w:id="855"/>
    </w:p>
    <w:p w14:paraId="179E7CFA" w14:textId="3FAF7015" w:rsidR="00D02129" w:rsidRPr="00B40A77" w:rsidRDefault="009729D7" w:rsidP="00D02129">
      <w:pPr>
        <w:pStyle w:val="Hangindent"/>
        <w:ind w:left="567" w:firstLine="0"/>
        <w:rPr>
          <w:color w:val="000000" w:themeColor="text1"/>
          <w:lang w:val="en-US"/>
        </w:rPr>
      </w:pPr>
      <w:r w:rsidRPr="00B40A77">
        <w:rPr>
          <w:color w:val="000000" w:themeColor="text1"/>
          <w:lang w:val="en-US"/>
        </w:rPr>
        <w:t xml:space="preserve">This Chapter applies to the process leading up </w:t>
      </w:r>
      <w:r w:rsidR="00CE539E" w:rsidRPr="00B40A77">
        <w:rPr>
          <w:color w:val="000000" w:themeColor="text1"/>
          <w:lang w:val="en-US"/>
        </w:rPr>
        <w:t xml:space="preserve">to </w:t>
      </w:r>
      <w:r w:rsidRPr="00B40A77">
        <w:rPr>
          <w:color w:val="000000" w:themeColor="text1"/>
          <w:lang w:val="en-US"/>
        </w:rPr>
        <w:t xml:space="preserve">and the imposition of </w:t>
      </w:r>
      <w:hyperlink w:anchor="_2.1—Definitions" w:history="1">
        <w:r w:rsidR="00596ADA" w:rsidRPr="00B40A77">
          <w:rPr>
            <w:rStyle w:val="Hyperlink"/>
            <w:color w:val="000000" w:themeColor="text1"/>
          </w:rPr>
          <w:t>sentence</w:t>
        </w:r>
      </w:hyperlink>
      <w:r w:rsidRPr="00B40A77">
        <w:rPr>
          <w:color w:val="000000" w:themeColor="text1"/>
          <w:lang w:val="en-US"/>
        </w:rPr>
        <w:t xml:space="preserve"> and </w:t>
      </w:r>
      <w:r w:rsidR="000D074E" w:rsidRPr="00B40A77">
        <w:rPr>
          <w:color w:val="000000" w:themeColor="text1"/>
          <w:lang w:val="en-US"/>
        </w:rPr>
        <w:t xml:space="preserve">making of </w:t>
      </w:r>
      <w:r w:rsidRPr="00B40A77">
        <w:rPr>
          <w:color w:val="000000" w:themeColor="text1"/>
          <w:lang w:val="en-US"/>
        </w:rPr>
        <w:t>other orders after</w:t>
      </w:r>
      <w:r w:rsidR="00D02129" w:rsidRPr="00B40A77">
        <w:rPr>
          <w:color w:val="000000" w:themeColor="text1"/>
          <w:lang w:val="en-US"/>
        </w:rPr>
        <w:t>—</w:t>
      </w:r>
    </w:p>
    <w:p w14:paraId="1E802256" w14:textId="1C1ED1C7" w:rsidR="00D02129" w:rsidRPr="00B40A77" w:rsidRDefault="00D02129" w:rsidP="009729D7">
      <w:pPr>
        <w:pStyle w:val="Hangindent"/>
        <w:rPr>
          <w:color w:val="000000" w:themeColor="text1"/>
          <w:lang w:val="en-US"/>
        </w:rPr>
      </w:pPr>
      <w:r w:rsidRPr="00B40A77">
        <w:rPr>
          <w:color w:val="000000" w:themeColor="text1"/>
          <w:lang w:val="en-US"/>
        </w:rPr>
        <w:t>(a)</w:t>
      </w:r>
      <w:r w:rsidRPr="00B40A77">
        <w:rPr>
          <w:color w:val="000000" w:themeColor="text1"/>
          <w:lang w:val="en-US"/>
        </w:rPr>
        <w:tab/>
      </w:r>
      <w:r w:rsidR="009729D7" w:rsidRPr="00B40A77">
        <w:rPr>
          <w:color w:val="000000" w:themeColor="text1"/>
          <w:lang w:val="en-US"/>
        </w:rPr>
        <w:t>a conviction or finding of guilt</w:t>
      </w:r>
      <w:r w:rsidRPr="00B40A77">
        <w:rPr>
          <w:color w:val="000000" w:themeColor="text1"/>
          <w:lang w:val="en-US"/>
        </w:rPr>
        <w:t>;</w:t>
      </w:r>
    </w:p>
    <w:p w14:paraId="6A78C2C8" w14:textId="63999E66" w:rsidR="00D02129" w:rsidRPr="00B40A77" w:rsidRDefault="00D02129" w:rsidP="009729D7">
      <w:pPr>
        <w:pStyle w:val="Hangindent"/>
        <w:rPr>
          <w:color w:val="000000" w:themeColor="text1"/>
        </w:rPr>
      </w:pPr>
      <w:r w:rsidRPr="00B40A77">
        <w:rPr>
          <w:color w:val="000000" w:themeColor="text1"/>
          <w:lang w:val="en-US"/>
        </w:rPr>
        <w:t>(b)</w:t>
      </w:r>
      <w:r w:rsidRPr="00B40A77">
        <w:rPr>
          <w:color w:val="000000" w:themeColor="text1"/>
          <w:lang w:val="en-US"/>
        </w:rPr>
        <w:tab/>
        <w:t>a</w:t>
      </w:r>
      <w:r w:rsidR="009729D7" w:rsidRPr="00B40A77">
        <w:rPr>
          <w:color w:val="000000" w:themeColor="text1"/>
          <w:lang w:val="en-US"/>
        </w:rPr>
        <w:t xml:space="preserve"> determination that the </w:t>
      </w:r>
      <w:r w:rsidR="009729D7" w:rsidRPr="00B40A77">
        <w:rPr>
          <w:color w:val="000000" w:themeColor="text1"/>
        </w:rPr>
        <w:t xml:space="preserve">objective elements of the offence charged are established and the defendant or youth is </w:t>
      </w:r>
      <w:hyperlink w:anchor="_2.1—Definitions" w:history="1">
        <w:r w:rsidR="00E9233A" w:rsidRPr="00B40A77">
          <w:rPr>
            <w:rStyle w:val="Hyperlink"/>
            <w:color w:val="000000" w:themeColor="text1"/>
            <w:lang w:val="en-US"/>
          </w:rPr>
          <w:t>unfit to stand trial</w:t>
        </w:r>
      </w:hyperlink>
      <w:r w:rsidR="009729D7" w:rsidRPr="00B40A77">
        <w:rPr>
          <w:color w:val="000000" w:themeColor="text1"/>
        </w:rPr>
        <w:t xml:space="preserve"> or was </w:t>
      </w:r>
      <w:hyperlink w:anchor="_2.1—Definitions" w:history="1">
        <w:r w:rsidR="005A680E" w:rsidRPr="00B40A77">
          <w:rPr>
            <w:rStyle w:val="Hyperlink"/>
            <w:color w:val="000000" w:themeColor="text1"/>
            <w:lang w:val="en-US"/>
          </w:rPr>
          <w:t>mentally incompetent</w:t>
        </w:r>
      </w:hyperlink>
      <w:r w:rsidR="009729D7" w:rsidRPr="00B40A77">
        <w:rPr>
          <w:color w:val="000000" w:themeColor="text1"/>
        </w:rPr>
        <w:t xml:space="preserve"> to commit an offence charged</w:t>
      </w:r>
      <w:r w:rsidRPr="00B40A77">
        <w:rPr>
          <w:color w:val="000000" w:themeColor="text1"/>
        </w:rPr>
        <w:t>; or</w:t>
      </w:r>
    </w:p>
    <w:p w14:paraId="04114F07" w14:textId="575D9CA9" w:rsidR="009729D7" w:rsidRPr="00B40A77" w:rsidRDefault="00D02129" w:rsidP="009729D7">
      <w:pPr>
        <w:pStyle w:val="Hangindent"/>
        <w:rPr>
          <w:color w:val="000000" w:themeColor="text1"/>
          <w:lang w:val="en-US"/>
        </w:rPr>
      </w:pPr>
      <w:r w:rsidRPr="00B40A77">
        <w:rPr>
          <w:color w:val="000000" w:themeColor="text1"/>
        </w:rPr>
        <w:t>(c)</w:t>
      </w:r>
      <w:r w:rsidRPr="00B40A77">
        <w:rPr>
          <w:color w:val="000000" w:themeColor="text1"/>
        </w:rPr>
        <w:tab/>
        <w:t>an acquittal, finding of not guilty or other final determination in favour of a defendant or youth</w:t>
      </w:r>
      <w:r w:rsidR="009729D7" w:rsidRPr="00B40A77">
        <w:rPr>
          <w:color w:val="000000" w:themeColor="text1"/>
          <w:lang w:val="en-US"/>
        </w:rPr>
        <w:t xml:space="preserve">. </w:t>
      </w:r>
    </w:p>
    <w:p w14:paraId="79683918" w14:textId="28FA6DED" w:rsidR="00BA252F" w:rsidRPr="00B40A77" w:rsidRDefault="00BA252F" w:rsidP="00BE23A0">
      <w:pPr>
        <w:pStyle w:val="Heading2"/>
        <w:keepNext/>
        <w:rPr>
          <w:color w:val="000000" w:themeColor="text1"/>
        </w:rPr>
      </w:pPr>
      <w:bookmarkStart w:id="856" w:name="_Toc175239187"/>
      <w:r w:rsidRPr="00B40A77">
        <w:rPr>
          <w:color w:val="000000" w:themeColor="text1"/>
        </w:rPr>
        <w:t>P</w:t>
      </w:r>
      <w:r w:rsidR="001F59E2" w:rsidRPr="00B40A77">
        <w:rPr>
          <w:color w:val="000000" w:themeColor="text1"/>
        </w:rPr>
        <w:t>art 2</w:t>
      </w:r>
      <w:r w:rsidRPr="00B40A77">
        <w:rPr>
          <w:color w:val="000000" w:themeColor="text1"/>
        </w:rPr>
        <w:t>—</w:t>
      </w:r>
      <w:bookmarkEnd w:id="853"/>
      <w:r w:rsidR="001F59E2" w:rsidRPr="00B40A77">
        <w:rPr>
          <w:color w:val="000000" w:themeColor="text1"/>
        </w:rPr>
        <w:t>Sentencing process</w:t>
      </w:r>
      <w:bookmarkEnd w:id="856"/>
    </w:p>
    <w:p w14:paraId="1AE36A8F" w14:textId="40CD444F" w:rsidR="00986F7E" w:rsidRPr="00B40A77" w:rsidRDefault="00986F7E" w:rsidP="00986F7E">
      <w:pPr>
        <w:pStyle w:val="Heading3"/>
        <w:rPr>
          <w:color w:val="000000" w:themeColor="text1"/>
        </w:rPr>
      </w:pPr>
      <w:bookmarkStart w:id="857" w:name="_Toc175239188"/>
      <w:bookmarkStart w:id="858" w:name="_Toc60133604"/>
      <w:r w:rsidRPr="00B40A77">
        <w:rPr>
          <w:color w:val="000000" w:themeColor="text1"/>
        </w:rPr>
        <w:t>Division 1—Offences committed during currency of bonds etc:</w:t>
      </w:r>
      <w:bookmarkEnd w:id="857"/>
      <w:r w:rsidRPr="00B40A77">
        <w:rPr>
          <w:color w:val="000000" w:themeColor="text1"/>
        </w:rPr>
        <w:t xml:space="preserve"> </w:t>
      </w:r>
    </w:p>
    <w:p w14:paraId="217BBF27" w14:textId="32FCA3A5" w:rsidR="00986F7E" w:rsidRPr="00B40A77" w:rsidRDefault="00986F7E" w:rsidP="00986F7E">
      <w:pPr>
        <w:pStyle w:val="Heading4"/>
        <w:rPr>
          <w:color w:val="000000" w:themeColor="text1"/>
        </w:rPr>
      </w:pPr>
      <w:bookmarkStart w:id="859" w:name="_142.1—Definitions"/>
      <w:bookmarkStart w:id="860" w:name="_Toc175239189"/>
      <w:bookmarkEnd w:id="859"/>
      <w:r w:rsidRPr="00B40A77">
        <w:rPr>
          <w:color w:val="000000" w:themeColor="text1"/>
        </w:rPr>
        <w:t>142.1—</w:t>
      </w:r>
      <w:r w:rsidR="00910F2A" w:rsidRPr="00B40A77">
        <w:rPr>
          <w:color w:val="000000" w:themeColor="text1"/>
        </w:rPr>
        <w:t>Definitions</w:t>
      </w:r>
      <w:bookmarkEnd w:id="860"/>
    </w:p>
    <w:p w14:paraId="3756D26C" w14:textId="083A6EA6" w:rsidR="00351180" w:rsidRPr="00B40A77" w:rsidRDefault="00351180" w:rsidP="00351180">
      <w:pPr>
        <w:pStyle w:val="Hangindent"/>
        <w:rPr>
          <w:color w:val="000000" w:themeColor="text1"/>
          <w:lang w:val="en-US"/>
        </w:rPr>
      </w:pPr>
      <w:r w:rsidRPr="00B40A77">
        <w:rPr>
          <w:color w:val="000000" w:themeColor="text1"/>
        </w:rPr>
        <w:t>In this Division</w:t>
      </w:r>
      <w:r w:rsidRPr="00B40A77">
        <w:rPr>
          <w:color w:val="000000" w:themeColor="text1"/>
          <w:lang w:val="en-US"/>
        </w:rPr>
        <w:t>—</w:t>
      </w:r>
    </w:p>
    <w:p w14:paraId="36B29141" w14:textId="3CB7211D" w:rsidR="00540FCC" w:rsidRPr="00B40A77" w:rsidRDefault="00540FCC" w:rsidP="001C422B">
      <w:pPr>
        <w:pStyle w:val="Hangindent"/>
        <w:ind w:left="1701"/>
        <w:rPr>
          <w:color w:val="000000" w:themeColor="text1"/>
          <w:lang w:val="en-US"/>
        </w:rPr>
      </w:pPr>
      <w:r w:rsidRPr="00B40A77">
        <w:rPr>
          <w:b/>
          <w:bCs/>
          <w:i/>
          <w:iCs/>
          <w:color w:val="000000" w:themeColor="text1"/>
          <w:lang w:val="en-US"/>
        </w:rPr>
        <w:t>Director</w:t>
      </w:r>
      <w:r w:rsidRPr="00B40A77">
        <w:rPr>
          <w:color w:val="000000" w:themeColor="text1"/>
          <w:lang w:val="en-US"/>
        </w:rPr>
        <w:t xml:space="preserve"> means—</w:t>
      </w:r>
    </w:p>
    <w:p w14:paraId="07BA0202" w14:textId="175E8992" w:rsidR="00BE74EB" w:rsidRPr="00B40A77" w:rsidRDefault="00BE74EB" w:rsidP="00BE74E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in respect of a </w:t>
      </w:r>
      <w:r w:rsidRPr="00B40A77">
        <w:rPr>
          <w:color w:val="000000" w:themeColor="text1"/>
          <w:u w:val="single"/>
          <w:lang w:val="en-US"/>
        </w:rPr>
        <w:t>relevant obligation</w:t>
      </w:r>
      <w:r w:rsidRPr="00B40A77">
        <w:rPr>
          <w:color w:val="000000" w:themeColor="text1"/>
          <w:lang w:val="en-US"/>
        </w:rPr>
        <w:t xml:space="preserve"> imposed under State law—the Director of </w:t>
      </w:r>
      <w:r w:rsidRPr="00B40A77">
        <w:rPr>
          <w:color w:val="000000" w:themeColor="text1"/>
        </w:rPr>
        <w:t xml:space="preserve">Public Prosecutions for </w:t>
      </w:r>
      <w:hyperlink w:anchor="_2.1—Definitions" w:history="1">
        <w:r w:rsidR="00AA6FCA" w:rsidRPr="00B40A77">
          <w:rPr>
            <w:rStyle w:val="Hyperlink"/>
            <w:color w:val="000000" w:themeColor="text1"/>
            <w:lang w:val="en-US"/>
          </w:rPr>
          <w:t>the State</w:t>
        </w:r>
      </w:hyperlink>
      <w:r w:rsidRPr="00B40A77">
        <w:rPr>
          <w:color w:val="000000" w:themeColor="text1"/>
          <w:lang w:val="en-US"/>
        </w:rPr>
        <w:t>;</w:t>
      </w:r>
    </w:p>
    <w:p w14:paraId="1482B010" w14:textId="1B3D87C8" w:rsidR="00BE74EB" w:rsidRPr="00B40A77" w:rsidRDefault="00BE74EB" w:rsidP="00BE74EB">
      <w:pPr>
        <w:pStyle w:val="Doublehangindent"/>
        <w:rPr>
          <w:color w:val="000000" w:themeColor="text1"/>
        </w:rPr>
      </w:pPr>
      <w:r w:rsidRPr="00B40A77">
        <w:rPr>
          <w:color w:val="000000" w:themeColor="text1"/>
          <w:lang w:val="en-US"/>
        </w:rPr>
        <w:t>(b)</w:t>
      </w:r>
      <w:r w:rsidRPr="00B40A77">
        <w:rPr>
          <w:color w:val="000000" w:themeColor="text1"/>
          <w:lang w:val="en-US"/>
        </w:rPr>
        <w:tab/>
        <w:t xml:space="preserve">in respect of a </w:t>
      </w:r>
      <w:r w:rsidRPr="00B40A77">
        <w:rPr>
          <w:color w:val="000000" w:themeColor="text1"/>
          <w:u w:val="single"/>
          <w:lang w:val="en-US"/>
        </w:rPr>
        <w:t>relevant obligation</w:t>
      </w:r>
      <w:r w:rsidRPr="00B40A77">
        <w:rPr>
          <w:color w:val="000000" w:themeColor="text1"/>
          <w:lang w:val="en-US"/>
        </w:rPr>
        <w:t xml:space="preserve"> imposed under </w:t>
      </w:r>
      <w:r w:rsidRPr="00B40A77">
        <w:rPr>
          <w:color w:val="000000" w:themeColor="text1"/>
        </w:rPr>
        <w:t>Commonwealth</w:t>
      </w:r>
      <w:r w:rsidRPr="00B40A77">
        <w:rPr>
          <w:color w:val="000000" w:themeColor="text1"/>
          <w:lang w:val="en-US"/>
        </w:rPr>
        <w:t xml:space="preserve"> law—the Director of </w:t>
      </w:r>
      <w:r w:rsidRPr="00B40A77">
        <w:rPr>
          <w:color w:val="000000" w:themeColor="text1"/>
        </w:rPr>
        <w:t>Public Prosecutions for the Commonwealth;</w:t>
      </w:r>
    </w:p>
    <w:p w14:paraId="0FEBC389" w14:textId="7B7B4E1D" w:rsidR="00C27238" w:rsidRPr="00B40A77" w:rsidRDefault="00C27238" w:rsidP="00540FCC">
      <w:pPr>
        <w:pStyle w:val="Hangindent"/>
        <w:ind w:firstLine="0"/>
        <w:rPr>
          <w:color w:val="000000" w:themeColor="text1"/>
          <w:lang w:val="en-US"/>
        </w:rPr>
      </w:pPr>
      <w:r w:rsidRPr="00B40A77">
        <w:rPr>
          <w:b/>
          <w:bCs/>
          <w:i/>
          <w:iCs/>
          <w:color w:val="000000" w:themeColor="text1"/>
          <w:lang w:val="en-US"/>
        </w:rPr>
        <w:t>r</w:t>
      </w:r>
      <w:r w:rsidR="00351180" w:rsidRPr="00B40A77">
        <w:rPr>
          <w:b/>
          <w:bCs/>
          <w:i/>
          <w:iCs/>
          <w:color w:val="000000" w:themeColor="text1"/>
          <w:lang w:val="en-US"/>
        </w:rPr>
        <w:t>elevant obligation</w:t>
      </w:r>
      <w:r w:rsidR="00351180" w:rsidRPr="00B40A77">
        <w:rPr>
          <w:color w:val="000000" w:themeColor="text1"/>
          <w:lang w:val="en-US"/>
        </w:rPr>
        <w:t xml:space="preserve"> means</w:t>
      </w:r>
      <w:r w:rsidR="00674E0D" w:rsidRPr="00B40A77">
        <w:rPr>
          <w:color w:val="000000" w:themeColor="text1"/>
          <w:lang w:val="en-US"/>
        </w:rPr>
        <w:t xml:space="preserve"> an obligation to be of good behaviour under</w:t>
      </w:r>
      <w:r w:rsidRPr="00B40A77">
        <w:rPr>
          <w:color w:val="000000" w:themeColor="text1"/>
          <w:lang w:val="en-US"/>
        </w:rPr>
        <w:t>—</w:t>
      </w:r>
    </w:p>
    <w:p w14:paraId="4E5882C4" w14:textId="62350C23" w:rsidR="00674E0D" w:rsidRPr="00B40A77" w:rsidRDefault="00674E0D" w:rsidP="00674E0D">
      <w:pPr>
        <w:pStyle w:val="Doublehangindent"/>
        <w:rPr>
          <w:color w:val="000000" w:themeColor="text1"/>
          <w:lang w:val="en-US"/>
        </w:rPr>
      </w:pPr>
      <w:r w:rsidRPr="00B40A77">
        <w:rPr>
          <w:color w:val="000000" w:themeColor="text1"/>
          <w:lang w:val="en-US"/>
        </w:rPr>
        <w:t>(a)</w:t>
      </w:r>
      <w:r w:rsidRPr="00B40A77">
        <w:rPr>
          <w:color w:val="000000" w:themeColor="text1"/>
          <w:lang w:val="en-US"/>
        </w:rPr>
        <w:tab/>
        <w:t>a home detention order made by a South Australian Court;</w:t>
      </w:r>
    </w:p>
    <w:p w14:paraId="349D7B6F" w14:textId="456DFCB9" w:rsidR="00674E0D" w:rsidRPr="00B40A77" w:rsidRDefault="00674E0D" w:rsidP="00674E0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an intensive correction </w:t>
      </w:r>
      <w:r w:rsidR="001C422B" w:rsidRPr="00B40A77">
        <w:rPr>
          <w:color w:val="000000" w:themeColor="text1"/>
          <w:lang w:val="en-US"/>
        </w:rPr>
        <w:t xml:space="preserve">order </w:t>
      </w:r>
      <w:r w:rsidRPr="00B40A77">
        <w:rPr>
          <w:color w:val="000000" w:themeColor="text1"/>
          <w:lang w:val="en-US"/>
        </w:rPr>
        <w:t>made by a South Australian Court;</w:t>
      </w:r>
    </w:p>
    <w:p w14:paraId="3769DC09" w14:textId="37873A47" w:rsidR="00674E0D" w:rsidRPr="00B40A77" w:rsidRDefault="00674E0D" w:rsidP="00674E0D">
      <w:pPr>
        <w:pStyle w:val="Doublehangindent"/>
        <w:rPr>
          <w:color w:val="000000" w:themeColor="text1"/>
          <w:lang w:val="en-US"/>
        </w:rPr>
      </w:pPr>
      <w:r w:rsidRPr="00B40A77">
        <w:rPr>
          <w:color w:val="000000" w:themeColor="text1"/>
          <w:lang w:val="en-US"/>
        </w:rPr>
        <w:t>(c)</w:t>
      </w:r>
      <w:r w:rsidRPr="00B40A77">
        <w:rPr>
          <w:color w:val="000000" w:themeColor="text1"/>
          <w:lang w:val="en-US"/>
        </w:rPr>
        <w:tab/>
        <w:t>a suspended sentence bond entered into with a South Australian Court</w:t>
      </w:r>
      <w:r w:rsidR="00FA565F" w:rsidRPr="00B40A77">
        <w:rPr>
          <w:color w:val="000000" w:themeColor="text1"/>
          <w:lang w:val="en-US"/>
        </w:rPr>
        <w:t xml:space="preserve"> (other than the Youth Court)</w:t>
      </w:r>
      <w:r w:rsidRPr="00B40A77">
        <w:rPr>
          <w:color w:val="000000" w:themeColor="text1"/>
          <w:lang w:val="en-US"/>
        </w:rPr>
        <w:t>;</w:t>
      </w:r>
    </w:p>
    <w:p w14:paraId="501E2C1A" w14:textId="41E03131" w:rsidR="00C27238" w:rsidRPr="00B40A77" w:rsidRDefault="00C27238" w:rsidP="00C27238">
      <w:pPr>
        <w:pStyle w:val="Doublehangindent"/>
        <w:rPr>
          <w:color w:val="000000" w:themeColor="text1"/>
          <w:lang w:val="en-US"/>
        </w:rPr>
      </w:pPr>
      <w:r w:rsidRPr="00B40A77">
        <w:rPr>
          <w:color w:val="000000" w:themeColor="text1"/>
          <w:lang w:val="en-US"/>
        </w:rPr>
        <w:t>(</w:t>
      </w:r>
      <w:r w:rsidR="00674E0D" w:rsidRPr="00B40A77">
        <w:rPr>
          <w:color w:val="000000" w:themeColor="text1"/>
          <w:lang w:val="en-US"/>
        </w:rPr>
        <w:t>d</w:t>
      </w:r>
      <w:r w:rsidRPr="00B40A77">
        <w:rPr>
          <w:color w:val="000000" w:themeColor="text1"/>
          <w:lang w:val="en-US"/>
        </w:rPr>
        <w:t>)</w:t>
      </w:r>
      <w:r w:rsidRPr="00B40A77">
        <w:rPr>
          <w:color w:val="000000" w:themeColor="text1"/>
          <w:lang w:val="en-US"/>
        </w:rPr>
        <w:tab/>
        <w:t xml:space="preserve">a good behaviour bond </w:t>
      </w:r>
      <w:r w:rsidR="00674E0D" w:rsidRPr="00B40A77">
        <w:rPr>
          <w:color w:val="000000" w:themeColor="text1"/>
          <w:lang w:val="en-US"/>
        </w:rPr>
        <w:t xml:space="preserve">entered into with </w:t>
      </w:r>
      <w:r w:rsidRPr="00B40A77">
        <w:rPr>
          <w:color w:val="000000" w:themeColor="text1"/>
          <w:lang w:val="en-US"/>
        </w:rPr>
        <w:t>a South Australian Court</w:t>
      </w:r>
      <w:r w:rsidR="00FA565F" w:rsidRPr="00B40A77">
        <w:rPr>
          <w:color w:val="000000" w:themeColor="text1"/>
          <w:lang w:val="en-US"/>
        </w:rPr>
        <w:t xml:space="preserve"> (other than the Youth Court)</w:t>
      </w:r>
      <w:r w:rsidRPr="00B40A77">
        <w:rPr>
          <w:color w:val="000000" w:themeColor="text1"/>
          <w:lang w:val="en-US"/>
        </w:rPr>
        <w:t>;</w:t>
      </w:r>
    </w:p>
    <w:p w14:paraId="45634D6F" w14:textId="3E5BFB16" w:rsidR="00674E0D" w:rsidRPr="00B40A77" w:rsidRDefault="00674E0D" w:rsidP="00C27238">
      <w:pPr>
        <w:pStyle w:val="Doublehangindent"/>
        <w:rPr>
          <w:color w:val="000000" w:themeColor="text1"/>
          <w:lang w:val="en-US"/>
        </w:rPr>
      </w:pPr>
      <w:r w:rsidRPr="00B40A77">
        <w:rPr>
          <w:color w:val="000000" w:themeColor="text1"/>
          <w:lang w:val="en-US"/>
        </w:rPr>
        <w:t>(e)</w:t>
      </w:r>
      <w:r w:rsidRPr="00B40A77">
        <w:rPr>
          <w:color w:val="000000" w:themeColor="text1"/>
          <w:lang w:val="en-US"/>
        </w:rPr>
        <w:tab/>
        <w:t>a recognizance release order made by a South Australian Court</w:t>
      </w:r>
      <w:r w:rsidR="00FA565F" w:rsidRPr="00B40A77">
        <w:rPr>
          <w:color w:val="000000" w:themeColor="text1"/>
          <w:lang w:val="en-US"/>
        </w:rPr>
        <w:t xml:space="preserve"> (other than the Youth Court)</w:t>
      </w:r>
      <w:r w:rsidRPr="00B40A77">
        <w:rPr>
          <w:color w:val="000000" w:themeColor="text1"/>
          <w:lang w:val="en-US"/>
        </w:rPr>
        <w:t>;</w:t>
      </w:r>
    </w:p>
    <w:p w14:paraId="270F70B8" w14:textId="5C9C41E1" w:rsidR="00674E0D" w:rsidRPr="00B40A77" w:rsidRDefault="00674E0D" w:rsidP="00C27238">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an order and recognizance </w:t>
      </w:r>
      <w:r w:rsidR="00093665" w:rsidRPr="00B40A77">
        <w:rPr>
          <w:color w:val="000000" w:themeColor="text1"/>
          <w:lang w:val="en-US"/>
        </w:rPr>
        <w:t xml:space="preserve">or recognizance release order </w:t>
      </w:r>
      <w:r w:rsidRPr="00B40A77">
        <w:rPr>
          <w:color w:val="000000" w:themeColor="text1"/>
          <w:lang w:val="en-US"/>
        </w:rPr>
        <w:t>made by a South Australian Court</w:t>
      </w:r>
      <w:r w:rsidR="00093665" w:rsidRPr="00B40A77">
        <w:rPr>
          <w:color w:val="000000" w:themeColor="text1"/>
          <w:lang w:val="en-US"/>
        </w:rPr>
        <w:t xml:space="preserve"> (other than the Youth Court)</w:t>
      </w:r>
      <w:r w:rsidR="007358B1" w:rsidRPr="00B40A77">
        <w:rPr>
          <w:color w:val="000000" w:themeColor="text1"/>
          <w:lang w:val="en-US"/>
        </w:rPr>
        <w:t>;</w:t>
      </w:r>
    </w:p>
    <w:p w14:paraId="1C3F8FC3" w14:textId="0170AE97" w:rsidR="00DA6D7A" w:rsidRPr="00B40A77" w:rsidRDefault="00DA6D7A" w:rsidP="00DA6D7A">
      <w:pPr>
        <w:pStyle w:val="Doublehangindent"/>
        <w:rPr>
          <w:color w:val="000000" w:themeColor="text1"/>
          <w:lang w:val="en-US"/>
        </w:rPr>
      </w:pPr>
      <w:r w:rsidRPr="00B40A77">
        <w:rPr>
          <w:color w:val="000000" w:themeColor="text1"/>
          <w:lang w:val="en-US"/>
        </w:rPr>
        <w:t>(g)</w:t>
      </w:r>
      <w:r w:rsidRPr="00B40A77">
        <w:rPr>
          <w:color w:val="000000" w:themeColor="text1"/>
          <w:lang w:val="en-US"/>
        </w:rPr>
        <w:tab/>
        <w:t>a suspended sentence obligation imposed by the Youth Court;</w:t>
      </w:r>
    </w:p>
    <w:p w14:paraId="401A6C38" w14:textId="462D1653" w:rsidR="00C27238" w:rsidRPr="00B40A77" w:rsidRDefault="00C27238" w:rsidP="00C27238">
      <w:pPr>
        <w:pStyle w:val="Doublehangindent"/>
        <w:rPr>
          <w:color w:val="000000" w:themeColor="text1"/>
          <w:lang w:val="en-US"/>
        </w:rPr>
      </w:pPr>
      <w:r w:rsidRPr="00B40A77">
        <w:rPr>
          <w:color w:val="000000" w:themeColor="text1"/>
          <w:lang w:val="en-US"/>
        </w:rPr>
        <w:t>(</w:t>
      </w:r>
      <w:r w:rsidR="00DA6D7A" w:rsidRPr="00B40A77">
        <w:rPr>
          <w:color w:val="000000" w:themeColor="text1"/>
          <w:lang w:val="en-US"/>
        </w:rPr>
        <w:t>h</w:t>
      </w:r>
      <w:r w:rsidRPr="00B40A77">
        <w:rPr>
          <w:color w:val="000000" w:themeColor="text1"/>
          <w:lang w:val="en-US"/>
        </w:rPr>
        <w:t>)</w:t>
      </w:r>
      <w:r w:rsidRPr="00B40A77">
        <w:rPr>
          <w:color w:val="000000" w:themeColor="text1"/>
          <w:lang w:val="en-US"/>
        </w:rPr>
        <w:tab/>
        <w:t>an obligation imposed by the Youth Court;</w:t>
      </w:r>
    </w:p>
    <w:p w14:paraId="30631E25" w14:textId="2CF9D59C" w:rsidR="00F16245" w:rsidRPr="00B40A77" w:rsidRDefault="00F16245" w:rsidP="00F16245">
      <w:pPr>
        <w:pStyle w:val="Doublehangindent"/>
        <w:rPr>
          <w:color w:val="000000" w:themeColor="text1"/>
          <w:lang w:val="en-US"/>
        </w:rPr>
      </w:pPr>
      <w:r w:rsidRPr="00B40A77">
        <w:rPr>
          <w:color w:val="000000" w:themeColor="text1"/>
          <w:lang w:val="en-US"/>
        </w:rPr>
        <w:t>(i)</w:t>
      </w:r>
      <w:r w:rsidRPr="00B40A77">
        <w:rPr>
          <w:color w:val="000000" w:themeColor="text1"/>
          <w:lang w:val="en-US"/>
        </w:rPr>
        <w:tab/>
        <w:t xml:space="preserve">an undertaking by </w:t>
      </w:r>
      <w:r w:rsidR="00326A2E" w:rsidRPr="00B40A77">
        <w:rPr>
          <w:color w:val="000000" w:themeColor="text1"/>
          <w:lang w:val="en-US"/>
        </w:rPr>
        <w:t xml:space="preserve">a </w:t>
      </w:r>
      <w:r w:rsidRPr="00B40A77">
        <w:rPr>
          <w:color w:val="000000" w:themeColor="text1"/>
          <w:lang w:val="en-US"/>
        </w:rPr>
        <w:t xml:space="preserve">youth and </w:t>
      </w:r>
      <w:r w:rsidR="00326A2E" w:rsidRPr="00B40A77">
        <w:rPr>
          <w:color w:val="000000" w:themeColor="text1"/>
          <w:lang w:val="en-US"/>
        </w:rPr>
        <w:t xml:space="preserve">their </w:t>
      </w:r>
      <w:r w:rsidRPr="00B40A77">
        <w:rPr>
          <w:color w:val="000000" w:themeColor="text1"/>
          <w:lang w:val="en-US"/>
        </w:rPr>
        <w:t>guardian given to the Youth Court</w:t>
      </w:r>
      <w:r w:rsidR="00882F32" w:rsidRPr="00B40A77">
        <w:rPr>
          <w:color w:val="000000" w:themeColor="text1"/>
          <w:lang w:val="en-US"/>
        </w:rPr>
        <w:t>;</w:t>
      </w:r>
    </w:p>
    <w:p w14:paraId="4ABE4212" w14:textId="26421F7C" w:rsidR="007358B1" w:rsidRPr="00B40A77" w:rsidRDefault="007358B1" w:rsidP="00C27238">
      <w:pPr>
        <w:pStyle w:val="Doublehangindent"/>
        <w:rPr>
          <w:color w:val="000000" w:themeColor="text1"/>
          <w:lang w:val="en-US"/>
        </w:rPr>
      </w:pPr>
      <w:r w:rsidRPr="00B40A77">
        <w:rPr>
          <w:color w:val="000000" w:themeColor="text1"/>
          <w:lang w:val="en-US"/>
        </w:rPr>
        <w:t>(</w:t>
      </w:r>
      <w:r w:rsidR="00F16245" w:rsidRPr="00B40A77">
        <w:rPr>
          <w:color w:val="000000" w:themeColor="text1"/>
          <w:lang w:val="en-US"/>
        </w:rPr>
        <w:t>j</w:t>
      </w:r>
      <w:r w:rsidRPr="00B40A77">
        <w:rPr>
          <w:color w:val="000000" w:themeColor="text1"/>
          <w:lang w:val="en-US"/>
        </w:rPr>
        <w:t>)</w:t>
      </w:r>
      <w:r w:rsidRPr="00B40A77">
        <w:rPr>
          <w:color w:val="000000" w:themeColor="text1"/>
          <w:lang w:val="en-US"/>
        </w:rPr>
        <w:tab/>
        <w:t xml:space="preserve">a licence release order </w:t>
      </w:r>
      <w:r w:rsidR="00F16245" w:rsidRPr="00B40A77">
        <w:rPr>
          <w:color w:val="000000" w:themeColor="text1"/>
          <w:lang w:val="en-US"/>
        </w:rPr>
        <w:t>under Part</w:t>
      </w:r>
      <w:r w:rsidR="00BA2D1F" w:rsidRPr="00B40A77">
        <w:rPr>
          <w:color w:val="000000" w:themeColor="text1"/>
          <w:lang w:val="en-US"/>
        </w:rPr>
        <w:t> </w:t>
      </w:r>
      <w:r w:rsidR="00F16245" w:rsidRPr="00B40A77">
        <w:rPr>
          <w:color w:val="000000" w:themeColor="text1"/>
          <w:lang w:val="en-US"/>
        </w:rPr>
        <w:t xml:space="preserve">8A of the </w:t>
      </w:r>
      <w:r w:rsidR="003A2F8B" w:rsidRPr="00B40A77">
        <w:rPr>
          <w:color w:val="000000" w:themeColor="text1"/>
          <w:szCs w:val="24"/>
        </w:rPr>
        <w:t>Consolidation Act</w:t>
      </w:r>
      <w:r w:rsidR="003A2F8B" w:rsidRPr="00B40A77">
        <w:rPr>
          <w:i/>
          <w:iCs/>
          <w:color w:val="000000" w:themeColor="text1"/>
          <w:szCs w:val="24"/>
        </w:rPr>
        <w:t xml:space="preserve"> </w:t>
      </w:r>
      <w:r w:rsidR="00F16245" w:rsidRPr="00B40A77">
        <w:rPr>
          <w:color w:val="000000" w:themeColor="text1"/>
          <w:lang w:val="en-US"/>
        </w:rPr>
        <w:t>made by a South Australian Court;</w:t>
      </w:r>
      <w:r w:rsidR="00882F32" w:rsidRPr="00B40A77">
        <w:rPr>
          <w:color w:val="000000" w:themeColor="text1"/>
          <w:lang w:val="en-US"/>
        </w:rPr>
        <w:t xml:space="preserve"> or</w:t>
      </w:r>
    </w:p>
    <w:p w14:paraId="7C42F209" w14:textId="777189D3" w:rsidR="00F16245" w:rsidRPr="00B40A77" w:rsidRDefault="00F16245" w:rsidP="00F16245">
      <w:pPr>
        <w:pStyle w:val="Doublehangindent"/>
        <w:rPr>
          <w:color w:val="000000" w:themeColor="text1"/>
          <w:lang w:val="en-US"/>
        </w:rPr>
      </w:pPr>
      <w:r w:rsidRPr="00B40A77">
        <w:rPr>
          <w:color w:val="000000" w:themeColor="text1"/>
          <w:lang w:val="en-US"/>
        </w:rPr>
        <w:t>(k)</w:t>
      </w:r>
      <w:r w:rsidRPr="00B40A77">
        <w:rPr>
          <w:color w:val="000000" w:themeColor="text1"/>
          <w:lang w:val="en-US"/>
        </w:rPr>
        <w:tab/>
        <w:t>a</w:t>
      </w:r>
      <w:r w:rsidR="005D2784" w:rsidRPr="00B40A77">
        <w:rPr>
          <w:color w:val="000000" w:themeColor="text1"/>
          <w:lang w:val="en-US"/>
        </w:rPr>
        <w:t>n</w:t>
      </w:r>
      <w:r w:rsidRPr="00B40A77">
        <w:rPr>
          <w:color w:val="000000" w:themeColor="text1"/>
          <w:lang w:val="en-US"/>
        </w:rPr>
        <w:t xml:space="preserve"> order under Part</w:t>
      </w:r>
      <w:r w:rsidR="00D84324" w:rsidRPr="00B40A77">
        <w:rPr>
          <w:color w:val="000000" w:themeColor="text1"/>
          <w:lang w:val="en-US"/>
        </w:rPr>
        <w:t> </w:t>
      </w:r>
      <w:r w:rsidRPr="00B40A77">
        <w:rPr>
          <w:color w:val="000000" w:themeColor="text1"/>
          <w:lang w:val="en-US"/>
        </w:rPr>
        <w:t>1</w:t>
      </w:r>
      <w:r w:rsidR="00D3418A" w:rsidRPr="00B40A77">
        <w:rPr>
          <w:color w:val="000000" w:themeColor="text1"/>
          <w:lang w:val="en-US"/>
        </w:rPr>
        <w:t>B</w:t>
      </w:r>
      <w:r w:rsidRPr="00B40A77">
        <w:rPr>
          <w:color w:val="000000" w:themeColor="text1"/>
          <w:lang w:val="en-US"/>
        </w:rPr>
        <w:t xml:space="preserve"> Division</w:t>
      </w:r>
      <w:r w:rsidR="00D84324" w:rsidRPr="00B40A77">
        <w:rPr>
          <w:color w:val="000000" w:themeColor="text1"/>
          <w:lang w:val="en-US"/>
        </w:rPr>
        <w:t> </w:t>
      </w:r>
      <w:r w:rsidRPr="00B40A77">
        <w:rPr>
          <w:color w:val="000000" w:themeColor="text1"/>
          <w:lang w:val="en-US"/>
        </w:rPr>
        <w:t>6</w:t>
      </w:r>
      <w:r w:rsidR="005D2784" w:rsidRPr="00B40A77">
        <w:rPr>
          <w:color w:val="000000" w:themeColor="text1"/>
          <w:lang w:val="en-US"/>
        </w:rPr>
        <w:t xml:space="preserve">, 7, 8 </w:t>
      </w:r>
      <w:r w:rsidRPr="00B40A77">
        <w:rPr>
          <w:color w:val="000000" w:themeColor="text1"/>
          <w:lang w:val="en-US"/>
        </w:rPr>
        <w:t>or</w:t>
      </w:r>
      <w:r w:rsidR="00D84324" w:rsidRPr="00B40A77">
        <w:rPr>
          <w:color w:val="000000" w:themeColor="text1"/>
          <w:lang w:val="en-US"/>
        </w:rPr>
        <w:t> </w:t>
      </w:r>
      <w:r w:rsidR="005D2784" w:rsidRPr="00B40A77">
        <w:rPr>
          <w:color w:val="000000" w:themeColor="text1"/>
          <w:lang w:val="en-US"/>
        </w:rPr>
        <w:t>9</w:t>
      </w:r>
      <w:r w:rsidRPr="00B40A77">
        <w:rPr>
          <w:color w:val="000000" w:themeColor="text1"/>
          <w:lang w:val="en-US"/>
        </w:rPr>
        <w:t xml:space="preserve"> of the Crimes Act made by a South Australian Court</w:t>
      </w:r>
      <w:r w:rsidR="00882F32" w:rsidRPr="00B40A77">
        <w:rPr>
          <w:color w:val="000000" w:themeColor="text1"/>
          <w:lang w:val="en-US"/>
        </w:rPr>
        <w:t>.</w:t>
      </w:r>
      <w:r w:rsidRPr="00B40A77">
        <w:rPr>
          <w:color w:val="000000" w:themeColor="text1"/>
          <w:lang w:val="en-US"/>
        </w:rPr>
        <w:t xml:space="preserve"> </w:t>
      </w:r>
    </w:p>
    <w:p w14:paraId="65A8C0FB" w14:textId="2B6AAA16" w:rsidR="00882F32" w:rsidRPr="00B40A77" w:rsidRDefault="00882F32" w:rsidP="00882F32">
      <w:pPr>
        <w:pStyle w:val="Heading4"/>
        <w:rPr>
          <w:color w:val="000000" w:themeColor="text1"/>
        </w:rPr>
      </w:pPr>
      <w:bookmarkStart w:id="861" w:name="_Toc175239190"/>
      <w:r w:rsidRPr="00B40A77">
        <w:rPr>
          <w:color w:val="000000" w:themeColor="text1"/>
        </w:rPr>
        <w:lastRenderedPageBreak/>
        <w:t>142.2—Prosecution to inform the Court</w:t>
      </w:r>
      <w:bookmarkEnd w:id="861"/>
    </w:p>
    <w:p w14:paraId="1600377A" w14:textId="28AA170A" w:rsidR="00882F32" w:rsidRPr="00B40A77" w:rsidRDefault="00882F32" w:rsidP="00350BCC">
      <w:pPr>
        <w:pStyle w:val="Hangindent"/>
        <w:keepLines/>
        <w:ind w:left="567" w:firstLine="0"/>
        <w:rPr>
          <w:color w:val="000000" w:themeColor="text1"/>
        </w:rPr>
      </w:pPr>
      <w:r w:rsidRPr="00B40A77">
        <w:rPr>
          <w:color w:val="000000" w:themeColor="text1"/>
        </w:rPr>
        <w:t xml:space="preserve">At a </w:t>
      </w:r>
      <w:hyperlink w:anchor="_2.1—Definitions" w:history="1">
        <w:r w:rsidR="001953DB" w:rsidRPr="00B40A77">
          <w:rPr>
            <w:rStyle w:val="Hyperlink"/>
            <w:color w:val="000000" w:themeColor="text1"/>
          </w:rPr>
          <w:t>hearing</w:t>
        </w:r>
      </w:hyperlink>
      <w:r w:rsidRPr="00B40A77">
        <w:rPr>
          <w:color w:val="000000" w:themeColor="text1"/>
        </w:rPr>
        <w:t xml:space="preserve"> at which a defendant or youth plead</w:t>
      </w:r>
      <w:r w:rsidR="00910F2A" w:rsidRPr="00B40A77">
        <w:rPr>
          <w:color w:val="000000" w:themeColor="text1"/>
        </w:rPr>
        <w:t>s</w:t>
      </w:r>
      <w:r w:rsidRPr="00B40A77">
        <w:rPr>
          <w:color w:val="000000" w:themeColor="text1"/>
        </w:rPr>
        <w:t xml:space="preserve"> or </w:t>
      </w:r>
      <w:r w:rsidR="00910F2A" w:rsidRPr="00B40A77">
        <w:rPr>
          <w:color w:val="000000" w:themeColor="text1"/>
        </w:rPr>
        <w:t>is</w:t>
      </w:r>
      <w:r w:rsidRPr="00B40A77">
        <w:rPr>
          <w:color w:val="000000" w:themeColor="text1"/>
        </w:rPr>
        <w:t xml:space="preserve"> found guilty </w:t>
      </w:r>
      <w:r w:rsidR="00540FCC" w:rsidRPr="00B40A77">
        <w:rPr>
          <w:color w:val="000000" w:themeColor="text1"/>
        </w:rPr>
        <w:t>of an offence</w:t>
      </w:r>
      <w:r w:rsidR="00326A2E" w:rsidRPr="00B40A77">
        <w:rPr>
          <w:color w:val="000000" w:themeColor="text1"/>
        </w:rPr>
        <w:t>,</w:t>
      </w:r>
      <w:r w:rsidR="00540FCC" w:rsidRPr="00B40A77">
        <w:rPr>
          <w:color w:val="000000" w:themeColor="text1"/>
        </w:rPr>
        <w:t xml:space="preserve"> </w:t>
      </w:r>
      <w:r w:rsidRPr="00B40A77">
        <w:rPr>
          <w:color w:val="000000" w:themeColor="text1"/>
        </w:rPr>
        <w:t xml:space="preserve">or </w:t>
      </w:r>
      <w:r w:rsidR="00910F2A" w:rsidRPr="00B40A77">
        <w:rPr>
          <w:color w:val="000000" w:themeColor="text1"/>
        </w:rPr>
        <w:t xml:space="preserve">at the next </w:t>
      </w:r>
      <w:hyperlink w:anchor="_2.1—Definitions" w:history="1">
        <w:r w:rsidR="001953DB" w:rsidRPr="00B40A77">
          <w:rPr>
            <w:rStyle w:val="Hyperlink"/>
            <w:color w:val="000000" w:themeColor="text1"/>
          </w:rPr>
          <w:t>hearing</w:t>
        </w:r>
      </w:hyperlink>
      <w:r w:rsidR="00910F2A" w:rsidRPr="00B40A77">
        <w:rPr>
          <w:color w:val="000000" w:themeColor="text1"/>
        </w:rPr>
        <w:t xml:space="preserve"> after a defendant or youth files a</w:t>
      </w:r>
      <w:r w:rsidRPr="00B40A77">
        <w:rPr>
          <w:color w:val="000000" w:themeColor="text1"/>
        </w:rPr>
        <w:t xml:space="preserve"> written guilty plea </w:t>
      </w:r>
      <w:r w:rsidR="00540FCC" w:rsidRPr="00B40A77">
        <w:rPr>
          <w:color w:val="000000" w:themeColor="text1"/>
        </w:rPr>
        <w:t xml:space="preserve">to an offence </w:t>
      </w:r>
      <w:r w:rsidR="00910F2A" w:rsidRPr="00B40A77">
        <w:rPr>
          <w:color w:val="000000" w:themeColor="text1"/>
        </w:rPr>
        <w:t xml:space="preserve">under </w:t>
      </w:r>
      <w:hyperlink w:anchor="_70.2—Entry_of_written" w:history="1">
        <w:r w:rsidR="00910F2A" w:rsidRPr="00B40A77">
          <w:rPr>
            <w:rStyle w:val="Hyperlink"/>
            <w:color w:val="000000" w:themeColor="text1"/>
          </w:rPr>
          <w:t>rule</w:t>
        </w:r>
        <w:r w:rsidR="00C1210B" w:rsidRPr="00B40A77">
          <w:rPr>
            <w:rStyle w:val="Hyperlink"/>
            <w:color w:val="000000" w:themeColor="text1"/>
          </w:rPr>
          <w:t> </w:t>
        </w:r>
        <w:r w:rsidR="00910F2A" w:rsidRPr="00B40A77">
          <w:rPr>
            <w:rStyle w:val="Hyperlink"/>
            <w:color w:val="000000" w:themeColor="text1"/>
          </w:rPr>
          <w:t>70.2</w:t>
        </w:r>
      </w:hyperlink>
      <w:r w:rsidR="00910F2A" w:rsidRPr="00B40A77">
        <w:rPr>
          <w:color w:val="000000" w:themeColor="text1"/>
        </w:rPr>
        <w:t xml:space="preserve">, </w:t>
      </w:r>
      <w:r w:rsidRPr="00B40A77">
        <w:rPr>
          <w:color w:val="000000" w:themeColor="text1"/>
        </w:rPr>
        <w:t>the prosec</w:t>
      </w:r>
      <w:r w:rsidR="00910F2A" w:rsidRPr="00B40A77">
        <w:rPr>
          <w:color w:val="000000" w:themeColor="text1"/>
        </w:rPr>
        <w:t xml:space="preserve">ution must inform the Court whether the offence was committed during the currency of a </w:t>
      </w:r>
      <w:hyperlink w:anchor="_142.1—Definitions" w:history="1">
        <w:r w:rsidR="00910F2A" w:rsidRPr="00B40A77">
          <w:rPr>
            <w:rStyle w:val="Hyperlink"/>
            <w:color w:val="000000" w:themeColor="text1"/>
          </w:rPr>
          <w:t>relevant obligation</w:t>
        </w:r>
      </w:hyperlink>
      <w:r w:rsidR="00540FCC" w:rsidRPr="00B40A77">
        <w:rPr>
          <w:color w:val="000000" w:themeColor="text1"/>
        </w:rPr>
        <w:t xml:space="preserve"> and if so identify the </w:t>
      </w:r>
      <w:hyperlink w:anchor="_142.1—Definitions" w:history="1">
        <w:r w:rsidR="006B5F5C" w:rsidRPr="00B40A77">
          <w:rPr>
            <w:rStyle w:val="Hyperlink"/>
            <w:color w:val="000000" w:themeColor="text1"/>
          </w:rPr>
          <w:t>relevant obligation</w:t>
        </w:r>
      </w:hyperlink>
      <w:r w:rsidR="00910F2A" w:rsidRPr="00B40A77">
        <w:rPr>
          <w:color w:val="000000" w:themeColor="text1"/>
        </w:rPr>
        <w:t>.</w:t>
      </w:r>
    </w:p>
    <w:p w14:paraId="31637427" w14:textId="7B52F9B3" w:rsidR="00910F2A" w:rsidRPr="00B40A77" w:rsidRDefault="00910F2A" w:rsidP="00910F2A">
      <w:pPr>
        <w:pStyle w:val="Heading4"/>
        <w:rPr>
          <w:color w:val="000000" w:themeColor="text1"/>
        </w:rPr>
      </w:pPr>
      <w:bookmarkStart w:id="862" w:name="_Toc175239191"/>
      <w:r w:rsidRPr="00B40A77">
        <w:rPr>
          <w:color w:val="000000" w:themeColor="text1"/>
        </w:rPr>
        <w:t>142.3—Informant to inform Director</w:t>
      </w:r>
      <w:bookmarkEnd w:id="862"/>
    </w:p>
    <w:p w14:paraId="17548327" w14:textId="77777777" w:rsidR="00270FF3" w:rsidRPr="00B40A77" w:rsidRDefault="00910F2A" w:rsidP="00270FF3">
      <w:pPr>
        <w:pStyle w:val="Hangindent"/>
        <w:rPr>
          <w:color w:val="000000" w:themeColor="text1"/>
          <w:u w:val="single"/>
          <w:lang w:val="en-US"/>
        </w:rPr>
      </w:pPr>
      <w:r w:rsidRPr="00B40A77">
        <w:rPr>
          <w:color w:val="000000" w:themeColor="text1"/>
        </w:rPr>
        <w:t>(1)</w:t>
      </w:r>
      <w:r w:rsidRPr="00B40A77">
        <w:rPr>
          <w:color w:val="000000" w:themeColor="text1"/>
        </w:rPr>
        <w:tab/>
      </w:r>
      <w:r w:rsidR="00270FF3" w:rsidRPr="00B40A77">
        <w:rPr>
          <w:color w:val="000000" w:themeColor="text1"/>
        </w:rPr>
        <w:t>This rule applies if</w:t>
      </w:r>
      <w:r w:rsidR="00270FF3" w:rsidRPr="00B40A77">
        <w:rPr>
          <w:color w:val="000000" w:themeColor="text1"/>
          <w:lang w:val="en-US"/>
        </w:rPr>
        <w:t>—</w:t>
      </w:r>
    </w:p>
    <w:p w14:paraId="26703047" w14:textId="37498617" w:rsidR="00270FF3" w:rsidRPr="00B40A77" w:rsidRDefault="00270FF3" w:rsidP="00270FF3">
      <w:pPr>
        <w:pStyle w:val="Doublehangindent"/>
        <w:rPr>
          <w:color w:val="000000" w:themeColor="text1"/>
        </w:rPr>
      </w:pPr>
      <w:r w:rsidRPr="00B40A77">
        <w:rPr>
          <w:color w:val="000000" w:themeColor="text1"/>
        </w:rPr>
        <w:t>(a)</w:t>
      </w:r>
      <w:r w:rsidRPr="00B40A77">
        <w:rPr>
          <w:color w:val="000000" w:themeColor="text1"/>
        </w:rPr>
        <w:tab/>
        <w:t xml:space="preserve">a defendant or youth pleads or </w:t>
      </w:r>
      <w:r w:rsidR="001C422B" w:rsidRPr="00B40A77">
        <w:rPr>
          <w:color w:val="000000" w:themeColor="text1"/>
        </w:rPr>
        <w:t xml:space="preserve">is </w:t>
      </w:r>
      <w:r w:rsidRPr="00B40A77">
        <w:rPr>
          <w:color w:val="000000" w:themeColor="text1"/>
        </w:rPr>
        <w:t xml:space="preserve">found guilty of an offence in a </w:t>
      </w:r>
      <w:hyperlink w:anchor="_2.1—Definitions" w:history="1">
        <w:r w:rsidR="00981911" w:rsidRPr="00B40A77">
          <w:rPr>
            <w:rStyle w:val="Hyperlink"/>
            <w:color w:val="000000" w:themeColor="text1"/>
          </w:rPr>
          <w:t>Lower Court</w:t>
        </w:r>
      </w:hyperlink>
      <w:r w:rsidRPr="00B40A77">
        <w:rPr>
          <w:color w:val="000000" w:themeColor="text1"/>
        </w:rPr>
        <w:t xml:space="preserve"> or the informant receiv</w:t>
      </w:r>
      <w:r w:rsidR="001C422B" w:rsidRPr="00B40A77">
        <w:rPr>
          <w:color w:val="000000" w:themeColor="text1"/>
        </w:rPr>
        <w:t>es</w:t>
      </w:r>
      <w:r w:rsidRPr="00B40A77">
        <w:rPr>
          <w:color w:val="000000" w:themeColor="text1"/>
        </w:rPr>
        <w:t xml:space="preserve"> a written guilty plea to an offence under </w:t>
      </w:r>
      <w:hyperlink w:anchor="_70.2—Entry_of_written" w:history="1">
        <w:r w:rsidRPr="00B40A77">
          <w:rPr>
            <w:rStyle w:val="Hyperlink"/>
            <w:color w:val="000000" w:themeColor="text1"/>
          </w:rPr>
          <w:t>rule 70.2</w:t>
        </w:r>
      </w:hyperlink>
      <w:r w:rsidRPr="00B40A77">
        <w:rPr>
          <w:color w:val="000000" w:themeColor="text1"/>
        </w:rPr>
        <w:t>; and</w:t>
      </w:r>
    </w:p>
    <w:p w14:paraId="00FC9204" w14:textId="031602B0" w:rsidR="00270FF3" w:rsidRPr="00B40A77" w:rsidRDefault="00270FF3" w:rsidP="00270FF3">
      <w:pPr>
        <w:pStyle w:val="Doublehangindent"/>
        <w:rPr>
          <w:color w:val="000000" w:themeColor="text1"/>
        </w:rPr>
      </w:pPr>
      <w:r w:rsidRPr="00B40A77">
        <w:rPr>
          <w:color w:val="000000" w:themeColor="text1"/>
        </w:rPr>
        <w:t>(b)</w:t>
      </w:r>
      <w:r w:rsidRPr="00B40A77">
        <w:rPr>
          <w:color w:val="000000" w:themeColor="text1"/>
        </w:rPr>
        <w:tab/>
      </w:r>
      <w:r w:rsidR="00910F2A" w:rsidRPr="00B40A77">
        <w:rPr>
          <w:color w:val="000000" w:themeColor="text1"/>
        </w:rPr>
        <w:t xml:space="preserve">the offence was committed during the currency of a </w:t>
      </w:r>
      <w:hyperlink w:anchor="_142.1—Definitions" w:history="1">
        <w:r w:rsidR="006B5F5C" w:rsidRPr="00B40A77">
          <w:rPr>
            <w:rStyle w:val="Hyperlink"/>
            <w:color w:val="000000" w:themeColor="text1"/>
          </w:rPr>
          <w:t>relevant obligation</w:t>
        </w:r>
      </w:hyperlink>
      <w:r w:rsidR="00661B2D" w:rsidRPr="00B40A77">
        <w:rPr>
          <w:color w:val="000000" w:themeColor="text1"/>
        </w:rPr>
        <w:t xml:space="preserve"> imposed by a </w:t>
      </w:r>
      <w:hyperlink w:anchor="_2.1—Definitions" w:history="1">
        <w:r w:rsidR="00E83325" w:rsidRPr="00B40A77">
          <w:rPr>
            <w:rStyle w:val="Hyperlink"/>
            <w:color w:val="000000" w:themeColor="text1"/>
            <w:lang w:val="en-US"/>
          </w:rPr>
          <w:t>Higher Court</w:t>
        </w:r>
      </w:hyperlink>
      <w:r w:rsidRPr="00B40A77">
        <w:rPr>
          <w:color w:val="000000" w:themeColor="text1"/>
        </w:rPr>
        <w:t>.</w:t>
      </w:r>
    </w:p>
    <w:p w14:paraId="26F4E9A0" w14:textId="4E70434D" w:rsidR="007D2C32" w:rsidRPr="00B40A77" w:rsidRDefault="00326A2E" w:rsidP="00270FF3">
      <w:pPr>
        <w:pStyle w:val="Hangindent"/>
        <w:rPr>
          <w:color w:val="000000" w:themeColor="text1"/>
        </w:rPr>
      </w:pPr>
      <w:r w:rsidRPr="00B40A77">
        <w:rPr>
          <w:color w:val="000000" w:themeColor="text1"/>
        </w:rPr>
        <w:t>(</w:t>
      </w:r>
      <w:r w:rsidR="00270FF3" w:rsidRPr="00B40A77">
        <w:rPr>
          <w:color w:val="000000" w:themeColor="text1"/>
        </w:rPr>
        <w:t>2</w:t>
      </w:r>
      <w:r w:rsidRPr="00B40A77">
        <w:rPr>
          <w:color w:val="000000" w:themeColor="text1"/>
        </w:rPr>
        <w:t>)</w:t>
      </w:r>
      <w:r w:rsidRPr="00B40A77">
        <w:rPr>
          <w:color w:val="000000" w:themeColor="text1"/>
        </w:rPr>
        <w:tab/>
      </w:r>
      <w:r w:rsidR="002B14B2" w:rsidRPr="00B40A77">
        <w:rPr>
          <w:color w:val="000000" w:themeColor="text1"/>
        </w:rPr>
        <w:t>If th</w:t>
      </w:r>
      <w:r w:rsidR="00270FF3" w:rsidRPr="00B40A77">
        <w:rPr>
          <w:color w:val="000000" w:themeColor="text1"/>
        </w:rPr>
        <w:t>is rule applies</w:t>
      </w:r>
      <w:r w:rsidR="002B14B2" w:rsidRPr="00B40A77">
        <w:rPr>
          <w:color w:val="000000" w:themeColor="text1"/>
        </w:rPr>
        <w:t>, t</w:t>
      </w:r>
      <w:r w:rsidRPr="00B40A77">
        <w:rPr>
          <w:color w:val="000000" w:themeColor="text1"/>
        </w:rPr>
        <w:t xml:space="preserve">he prosecution </w:t>
      </w:r>
      <w:r w:rsidR="001D4842" w:rsidRPr="00B40A77">
        <w:rPr>
          <w:color w:val="000000" w:themeColor="text1"/>
        </w:rPr>
        <w:t xml:space="preserve">in the </w:t>
      </w:r>
      <w:hyperlink w:anchor="_2.1—Definitions" w:history="1">
        <w:r w:rsidR="00981911" w:rsidRPr="00B40A77">
          <w:rPr>
            <w:rStyle w:val="Hyperlink"/>
            <w:color w:val="000000" w:themeColor="text1"/>
          </w:rPr>
          <w:t>Lower Court</w:t>
        </w:r>
      </w:hyperlink>
      <w:r w:rsidR="001D4842" w:rsidRPr="00B40A77">
        <w:rPr>
          <w:color w:val="000000" w:themeColor="text1"/>
        </w:rPr>
        <w:t xml:space="preserve"> </w:t>
      </w:r>
      <w:r w:rsidRPr="00B40A77">
        <w:rPr>
          <w:color w:val="000000" w:themeColor="text1"/>
        </w:rPr>
        <w:t xml:space="preserve">must inform the </w:t>
      </w:r>
      <w:hyperlink w:anchor="_142.1—Definitions" w:history="1">
        <w:r w:rsidRPr="00B40A77">
          <w:rPr>
            <w:rStyle w:val="Hyperlink"/>
            <w:color w:val="000000" w:themeColor="text1"/>
          </w:rPr>
          <w:t>Director</w:t>
        </w:r>
      </w:hyperlink>
      <w:r w:rsidR="002B14B2" w:rsidRPr="00B40A77">
        <w:rPr>
          <w:color w:val="000000" w:themeColor="text1"/>
        </w:rPr>
        <w:t xml:space="preserve"> </w:t>
      </w:r>
      <w:r w:rsidR="00270FF3" w:rsidRPr="00B40A77">
        <w:rPr>
          <w:color w:val="000000" w:themeColor="text1"/>
        </w:rPr>
        <w:t xml:space="preserve">of the matters referred to in subrule (1), </w:t>
      </w:r>
      <w:r w:rsidR="007D2C32" w:rsidRPr="00B40A77">
        <w:rPr>
          <w:color w:val="000000" w:themeColor="text1"/>
        </w:rPr>
        <w:t xml:space="preserve">identifying the case number of the case in the </w:t>
      </w:r>
      <w:hyperlink w:anchor="_2.1—Definitions" w:history="1">
        <w:r w:rsidR="00981911" w:rsidRPr="00B40A77">
          <w:rPr>
            <w:rStyle w:val="Hyperlink"/>
            <w:color w:val="000000" w:themeColor="text1"/>
          </w:rPr>
          <w:t>Lower Court</w:t>
        </w:r>
      </w:hyperlink>
      <w:r w:rsidR="007D2C32" w:rsidRPr="00B40A77">
        <w:rPr>
          <w:color w:val="000000" w:themeColor="text1"/>
        </w:rPr>
        <w:t xml:space="preserve"> in which the defendant has pleaded or been found guilty and identifying the </w:t>
      </w:r>
      <w:hyperlink w:anchor="_142.1—Definitions" w:history="1">
        <w:r w:rsidR="006B5F5C" w:rsidRPr="00B40A77">
          <w:rPr>
            <w:rStyle w:val="Hyperlink"/>
            <w:color w:val="000000" w:themeColor="text1"/>
          </w:rPr>
          <w:t>relevant obligation</w:t>
        </w:r>
      </w:hyperlink>
      <w:r w:rsidR="007D2C32" w:rsidRPr="00B40A77">
        <w:rPr>
          <w:color w:val="000000" w:themeColor="text1"/>
          <w:u w:val="single"/>
        </w:rPr>
        <w:t>.</w:t>
      </w:r>
    </w:p>
    <w:p w14:paraId="09CC4FE7" w14:textId="34E5A4E4" w:rsidR="00882F32" w:rsidRPr="00B40A77" w:rsidRDefault="00661B2D" w:rsidP="00351180">
      <w:pPr>
        <w:pStyle w:val="Hangindent"/>
        <w:rPr>
          <w:color w:val="000000" w:themeColor="text1"/>
        </w:rPr>
      </w:pPr>
      <w:r w:rsidRPr="00B40A77">
        <w:rPr>
          <w:color w:val="000000" w:themeColor="text1"/>
        </w:rPr>
        <w:t>(</w:t>
      </w:r>
      <w:r w:rsidR="00270FF3" w:rsidRPr="00B40A77">
        <w:rPr>
          <w:color w:val="000000" w:themeColor="text1"/>
        </w:rPr>
        <w:t>3</w:t>
      </w:r>
      <w:r w:rsidRPr="00B40A77">
        <w:rPr>
          <w:color w:val="000000" w:themeColor="text1"/>
        </w:rPr>
        <w:t>)</w:t>
      </w:r>
      <w:r w:rsidRPr="00B40A77">
        <w:rPr>
          <w:color w:val="000000" w:themeColor="text1"/>
        </w:rPr>
        <w:tab/>
        <w:t>Upon receipt of notification under subrule</w:t>
      </w:r>
      <w:r w:rsidR="00350BCC" w:rsidRPr="00B40A77">
        <w:rPr>
          <w:color w:val="000000" w:themeColor="text1"/>
        </w:rPr>
        <w:t> </w:t>
      </w:r>
      <w:r w:rsidRPr="00B40A77">
        <w:rPr>
          <w:color w:val="000000" w:themeColor="text1"/>
        </w:rPr>
        <w:t>(</w:t>
      </w:r>
      <w:r w:rsidR="00270FF3" w:rsidRPr="00B40A77">
        <w:rPr>
          <w:color w:val="000000" w:themeColor="text1"/>
        </w:rPr>
        <w:t>2</w:t>
      </w:r>
      <w:r w:rsidRPr="00B40A77">
        <w:rPr>
          <w:color w:val="000000" w:themeColor="text1"/>
        </w:rPr>
        <w:t xml:space="preserve">), the </w:t>
      </w:r>
      <w:hyperlink w:anchor="_142.1—Definitions" w:history="1">
        <w:r w:rsidR="00F5292A" w:rsidRPr="00B40A77">
          <w:rPr>
            <w:rStyle w:val="Hyperlink"/>
            <w:color w:val="000000" w:themeColor="text1"/>
          </w:rPr>
          <w:t>Director</w:t>
        </w:r>
      </w:hyperlink>
      <w:r w:rsidRPr="00B40A77">
        <w:rPr>
          <w:color w:val="000000" w:themeColor="text1"/>
        </w:rPr>
        <w:t xml:space="preserve"> must determine </w:t>
      </w:r>
      <w:r w:rsidR="00210EA5" w:rsidRPr="00B40A77">
        <w:rPr>
          <w:color w:val="000000" w:themeColor="text1"/>
        </w:rPr>
        <w:t xml:space="preserve">as soon as practicable </w:t>
      </w:r>
      <w:r w:rsidRPr="00B40A77">
        <w:rPr>
          <w:color w:val="000000" w:themeColor="text1"/>
        </w:rPr>
        <w:t xml:space="preserve">whether to institute a proceeding in the </w:t>
      </w:r>
      <w:hyperlink w:anchor="_2.1—Definitions" w:history="1">
        <w:r w:rsidR="00E83325" w:rsidRPr="00B40A77">
          <w:rPr>
            <w:rStyle w:val="Hyperlink"/>
            <w:color w:val="000000" w:themeColor="text1"/>
            <w:lang w:val="en-US"/>
          </w:rPr>
          <w:t>Higher Court</w:t>
        </w:r>
      </w:hyperlink>
      <w:r w:rsidRPr="00B40A77">
        <w:rPr>
          <w:color w:val="000000" w:themeColor="text1"/>
        </w:rPr>
        <w:t xml:space="preserve"> for breach of the </w:t>
      </w:r>
      <w:hyperlink w:anchor="_142.1—Definitions" w:history="1">
        <w:r w:rsidR="006B5F5C" w:rsidRPr="00B40A77">
          <w:rPr>
            <w:rStyle w:val="Hyperlink"/>
            <w:color w:val="000000" w:themeColor="text1"/>
          </w:rPr>
          <w:t>relevant obligation</w:t>
        </w:r>
      </w:hyperlink>
      <w:r w:rsidRPr="00B40A77">
        <w:rPr>
          <w:color w:val="000000" w:themeColor="text1"/>
        </w:rPr>
        <w:t xml:space="preserve"> and inform the </w:t>
      </w:r>
      <w:r w:rsidR="00675678" w:rsidRPr="00B40A77">
        <w:rPr>
          <w:color w:val="000000" w:themeColor="text1"/>
        </w:rPr>
        <w:t>prosecution</w:t>
      </w:r>
      <w:r w:rsidRPr="00B40A77">
        <w:rPr>
          <w:color w:val="000000" w:themeColor="text1"/>
        </w:rPr>
        <w:t xml:space="preserve"> </w:t>
      </w:r>
      <w:r w:rsidR="001D4842" w:rsidRPr="00B40A77">
        <w:rPr>
          <w:color w:val="000000" w:themeColor="text1"/>
        </w:rPr>
        <w:t xml:space="preserve">in the </w:t>
      </w:r>
      <w:hyperlink w:anchor="_2.1—Definitions" w:history="1">
        <w:r w:rsidR="00981911" w:rsidRPr="00B40A77">
          <w:rPr>
            <w:rStyle w:val="Hyperlink"/>
            <w:color w:val="000000" w:themeColor="text1"/>
          </w:rPr>
          <w:t>Lower Court</w:t>
        </w:r>
      </w:hyperlink>
      <w:r w:rsidR="001D4842" w:rsidRPr="00B40A77">
        <w:rPr>
          <w:color w:val="000000" w:themeColor="text1"/>
        </w:rPr>
        <w:t xml:space="preserve"> </w:t>
      </w:r>
      <w:r w:rsidRPr="00B40A77">
        <w:rPr>
          <w:color w:val="000000" w:themeColor="text1"/>
        </w:rPr>
        <w:t>who provided the notification under subrule</w:t>
      </w:r>
      <w:r w:rsidR="00350BCC" w:rsidRPr="00B40A77">
        <w:rPr>
          <w:color w:val="000000" w:themeColor="text1"/>
        </w:rPr>
        <w:t> </w:t>
      </w:r>
      <w:r w:rsidRPr="00B40A77">
        <w:rPr>
          <w:color w:val="000000" w:themeColor="text1"/>
        </w:rPr>
        <w:t>(</w:t>
      </w:r>
      <w:r w:rsidR="00270FF3" w:rsidRPr="00B40A77">
        <w:rPr>
          <w:color w:val="000000" w:themeColor="text1"/>
        </w:rPr>
        <w:t>2</w:t>
      </w:r>
      <w:r w:rsidRPr="00B40A77">
        <w:rPr>
          <w:color w:val="000000" w:themeColor="text1"/>
        </w:rPr>
        <w:t>)</w:t>
      </w:r>
      <w:r w:rsidR="00326A2E" w:rsidRPr="00B40A77">
        <w:rPr>
          <w:color w:val="000000" w:themeColor="text1"/>
        </w:rPr>
        <w:t>.</w:t>
      </w:r>
    </w:p>
    <w:p w14:paraId="582C0E90" w14:textId="0D4D470B" w:rsidR="00036B6A" w:rsidRPr="00B40A77" w:rsidRDefault="00036B6A" w:rsidP="00036B6A">
      <w:pPr>
        <w:pStyle w:val="Heading3"/>
        <w:rPr>
          <w:color w:val="000000" w:themeColor="text1"/>
        </w:rPr>
      </w:pPr>
      <w:bookmarkStart w:id="863" w:name="_Toc175239192"/>
      <w:r w:rsidRPr="00B40A77">
        <w:rPr>
          <w:color w:val="000000" w:themeColor="text1"/>
        </w:rPr>
        <w:t xml:space="preserve">Division </w:t>
      </w:r>
      <w:r w:rsidR="00986F7E" w:rsidRPr="00B40A77">
        <w:rPr>
          <w:color w:val="000000" w:themeColor="text1"/>
        </w:rPr>
        <w:t>2</w:t>
      </w:r>
      <w:r w:rsidRPr="00B40A77">
        <w:rPr>
          <w:color w:val="000000" w:themeColor="text1"/>
        </w:rPr>
        <w:t>—Summonses and notices</w:t>
      </w:r>
      <w:bookmarkEnd w:id="863"/>
    </w:p>
    <w:p w14:paraId="61A946B4" w14:textId="20A2EB31" w:rsidR="00036B6A" w:rsidRPr="00B40A77" w:rsidRDefault="00D02129" w:rsidP="00313315">
      <w:pPr>
        <w:pStyle w:val="Heading4"/>
        <w:rPr>
          <w:color w:val="000000" w:themeColor="text1"/>
        </w:rPr>
      </w:pPr>
      <w:bookmarkStart w:id="864" w:name="_Toc175239193"/>
      <w:r w:rsidRPr="00B40A77">
        <w:rPr>
          <w:color w:val="000000" w:themeColor="text1"/>
        </w:rPr>
        <w:t>14</w:t>
      </w:r>
      <w:r w:rsidR="00D3418A" w:rsidRPr="00B40A77">
        <w:rPr>
          <w:color w:val="000000" w:themeColor="text1"/>
        </w:rPr>
        <w:t>3</w:t>
      </w:r>
      <w:r w:rsidR="00036B6A" w:rsidRPr="00B40A77">
        <w:rPr>
          <w:color w:val="000000" w:themeColor="text1"/>
        </w:rPr>
        <w:t xml:space="preserve">.1—Summons to person potentially affected by </w:t>
      </w:r>
      <w:r w:rsidR="00D9347C" w:rsidRPr="00B40A77">
        <w:rPr>
          <w:color w:val="000000" w:themeColor="text1"/>
        </w:rPr>
        <w:t>disqualification</w:t>
      </w:r>
      <w:bookmarkEnd w:id="864"/>
    </w:p>
    <w:p w14:paraId="360A4A12" w14:textId="75A253AC" w:rsidR="00036B6A" w:rsidRPr="00B40A77" w:rsidRDefault="00036B6A" w:rsidP="00454228">
      <w:pPr>
        <w:pStyle w:val="Hangindent"/>
        <w:keepNext/>
        <w:rPr>
          <w:color w:val="000000" w:themeColor="text1"/>
        </w:rPr>
      </w:pPr>
      <w:r w:rsidRPr="00B40A77">
        <w:rPr>
          <w:color w:val="000000" w:themeColor="text1"/>
        </w:rPr>
        <w:t>(1)</w:t>
      </w:r>
      <w:r w:rsidRPr="00B40A77">
        <w:rPr>
          <w:color w:val="000000" w:themeColor="text1"/>
        </w:rPr>
        <w:tab/>
        <w:t>A summons to a person who may be affected by a disqualification order under section</w:t>
      </w:r>
      <w:r w:rsidR="00FA1B2C" w:rsidRPr="00B40A77">
        <w:rPr>
          <w:color w:val="000000" w:themeColor="text1"/>
        </w:rPr>
        <w:t> </w:t>
      </w:r>
      <w:r w:rsidRPr="00B40A77">
        <w:rPr>
          <w:color w:val="000000" w:themeColor="text1"/>
        </w:rPr>
        <w:t xml:space="preserve">168(1) of the </w:t>
      </w:r>
      <w:r w:rsidRPr="00B40A77">
        <w:rPr>
          <w:i/>
          <w:color w:val="000000" w:themeColor="text1"/>
        </w:rPr>
        <w:t>Road Traffic Act 1961</w:t>
      </w:r>
      <w:r w:rsidRPr="00B40A77">
        <w:rPr>
          <w:color w:val="000000" w:themeColor="text1"/>
        </w:rPr>
        <w:t xml:space="preserve"> issued by </w:t>
      </w:r>
      <w:r w:rsidR="00D02129" w:rsidRPr="00B40A77">
        <w:rPr>
          <w:color w:val="000000" w:themeColor="text1"/>
        </w:rPr>
        <w:t>the Court under section</w:t>
      </w:r>
      <w:r w:rsidR="00FA1B2C" w:rsidRPr="00B40A77">
        <w:rPr>
          <w:color w:val="000000" w:themeColor="text1"/>
        </w:rPr>
        <w:t> </w:t>
      </w:r>
      <w:r w:rsidR="00D02129" w:rsidRPr="00B40A77">
        <w:rPr>
          <w:color w:val="000000" w:themeColor="text1"/>
        </w:rPr>
        <w:t xml:space="preserve">168(2) </w:t>
      </w:r>
      <w:r w:rsidRPr="00B40A77">
        <w:rPr>
          <w:color w:val="000000" w:themeColor="text1"/>
        </w:rPr>
        <w:t>must be in the prescribed form.</w:t>
      </w:r>
    </w:p>
    <w:p w14:paraId="43C876D8" w14:textId="77777777" w:rsidR="00036B6A" w:rsidRPr="00B40A77" w:rsidRDefault="00036B6A" w:rsidP="00454228">
      <w:pPr>
        <w:pStyle w:val="NoteHeader"/>
        <w:keepNext/>
        <w:rPr>
          <w:color w:val="000000" w:themeColor="text1"/>
        </w:rPr>
      </w:pPr>
      <w:r w:rsidRPr="00B40A77">
        <w:rPr>
          <w:color w:val="000000" w:themeColor="text1"/>
        </w:rPr>
        <w:t>Prescribed form—</w:t>
      </w:r>
    </w:p>
    <w:p w14:paraId="7C84224B" w14:textId="68F38256" w:rsidR="00036B6A" w:rsidRPr="00B40A77" w:rsidRDefault="00036B6A" w:rsidP="00BC23E5">
      <w:pPr>
        <w:pStyle w:val="NoteText"/>
        <w:rPr>
          <w:color w:val="000000" w:themeColor="text1"/>
        </w:rPr>
      </w:pPr>
      <w:r w:rsidRPr="00B40A77">
        <w:rPr>
          <w:color w:val="000000" w:themeColor="text1"/>
        </w:rPr>
        <w:t>Fo</w:t>
      </w:r>
      <w:r w:rsidR="007A7F75" w:rsidRPr="00B40A77">
        <w:rPr>
          <w:color w:val="000000" w:themeColor="text1"/>
        </w:rPr>
        <w:t>rm 1</w:t>
      </w:r>
      <w:r w:rsidR="00611AD4" w:rsidRPr="00B40A77">
        <w:rPr>
          <w:color w:val="000000" w:themeColor="text1"/>
        </w:rPr>
        <w:t xml:space="preserve">32 </w:t>
      </w:r>
      <w:hyperlink r:id="rId232" w:history="1">
        <w:r w:rsidR="00611AD4" w:rsidRPr="00B40A77">
          <w:rPr>
            <w:rStyle w:val="Hyperlink"/>
            <w:color w:val="000000" w:themeColor="text1"/>
          </w:rPr>
          <w:t xml:space="preserve">Summons to </w:t>
        </w:r>
        <w:r w:rsidR="00D61AFC" w:rsidRPr="00B40A77">
          <w:rPr>
            <w:rStyle w:val="Hyperlink"/>
            <w:color w:val="000000" w:themeColor="text1"/>
          </w:rPr>
          <w:t>T</w:t>
        </w:r>
        <w:r w:rsidR="00EE45A4" w:rsidRPr="00B40A77">
          <w:rPr>
            <w:rStyle w:val="Hyperlink"/>
            <w:color w:val="000000" w:themeColor="text1"/>
          </w:rPr>
          <w:t xml:space="preserve">hird </w:t>
        </w:r>
        <w:r w:rsidR="00D61AFC" w:rsidRPr="00B40A77">
          <w:rPr>
            <w:rStyle w:val="Hyperlink"/>
            <w:color w:val="000000" w:themeColor="text1"/>
          </w:rPr>
          <w:t>P</w:t>
        </w:r>
        <w:r w:rsidR="00EE45A4" w:rsidRPr="00B40A77">
          <w:rPr>
            <w:rStyle w:val="Hyperlink"/>
            <w:color w:val="000000" w:themeColor="text1"/>
          </w:rPr>
          <w:t xml:space="preserve">arty to </w:t>
        </w:r>
        <w:r w:rsidR="00D61AFC" w:rsidRPr="00B40A77">
          <w:rPr>
            <w:rStyle w:val="Hyperlink"/>
            <w:color w:val="000000" w:themeColor="text1"/>
          </w:rPr>
          <w:t>A</w:t>
        </w:r>
        <w:r w:rsidR="00611AD4" w:rsidRPr="00B40A77">
          <w:rPr>
            <w:rStyle w:val="Hyperlink"/>
            <w:color w:val="000000" w:themeColor="text1"/>
          </w:rPr>
          <w:t xml:space="preserve">ttend </w:t>
        </w:r>
        <w:r w:rsidR="00D61AFC" w:rsidRPr="00B40A77">
          <w:rPr>
            <w:rStyle w:val="Hyperlink"/>
            <w:color w:val="000000" w:themeColor="text1"/>
          </w:rPr>
          <w:t>P</w:t>
        </w:r>
        <w:r w:rsidR="00611AD4" w:rsidRPr="00B40A77">
          <w:rPr>
            <w:rStyle w:val="Hyperlink"/>
            <w:color w:val="000000" w:themeColor="text1"/>
          </w:rPr>
          <w:t xml:space="preserve">enalty </w:t>
        </w:r>
        <w:r w:rsidR="00D61AFC" w:rsidRPr="00B40A77">
          <w:rPr>
            <w:rStyle w:val="Hyperlink"/>
            <w:color w:val="000000" w:themeColor="text1"/>
          </w:rPr>
          <w:t>H</w:t>
        </w:r>
        <w:r w:rsidR="00611AD4" w:rsidRPr="00B40A77">
          <w:rPr>
            <w:rStyle w:val="Hyperlink"/>
            <w:color w:val="000000" w:themeColor="text1"/>
          </w:rPr>
          <w:t>e</w:t>
        </w:r>
        <w:r w:rsidR="007A7F75" w:rsidRPr="00B40A77">
          <w:rPr>
            <w:rStyle w:val="Hyperlink"/>
            <w:color w:val="000000" w:themeColor="text1"/>
          </w:rPr>
          <w:t>aring</w:t>
        </w:r>
      </w:hyperlink>
      <w:r w:rsidRPr="00B40A77">
        <w:rPr>
          <w:color w:val="000000" w:themeColor="text1"/>
        </w:rPr>
        <w:t xml:space="preserve"> </w:t>
      </w:r>
    </w:p>
    <w:p w14:paraId="2E03CCD5" w14:textId="159733A5" w:rsidR="007A7F75" w:rsidRPr="00B40A77" w:rsidRDefault="007A7F75" w:rsidP="007A7F75">
      <w:pPr>
        <w:pStyle w:val="Hangindent"/>
        <w:rPr>
          <w:color w:val="000000" w:themeColor="text1"/>
        </w:rPr>
      </w:pPr>
      <w:r w:rsidRPr="00B40A77">
        <w:rPr>
          <w:color w:val="000000" w:themeColor="text1"/>
        </w:rPr>
        <w:t>(2)</w:t>
      </w:r>
      <w:r w:rsidRPr="00B40A77">
        <w:rPr>
          <w:color w:val="000000" w:themeColor="text1"/>
        </w:rPr>
        <w:tab/>
      </w:r>
      <w:r w:rsidR="000D074E" w:rsidRPr="00B40A77">
        <w:rPr>
          <w:color w:val="000000" w:themeColor="text1"/>
          <w:lang w:val="en-US"/>
        </w:rPr>
        <w:t xml:space="preserve">It is the responsibility of the prosecution to serve </w:t>
      </w:r>
      <w:r w:rsidRPr="00B40A77">
        <w:rPr>
          <w:color w:val="000000" w:themeColor="text1"/>
        </w:rPr>
        <w:t>the summons.</w:t>
      </w:r>
    </w:p>
    <w:p w14:paraId="395346BE" w14:textId="407B0D63" w:rsidR="00E06B3C" w:rsidRPr="00B40A77" w:rsidRDefault="00191397" w:rsidP="00E06B3C">
      <w:pPr>
        <w:pStyle w:val="Heading4"/>
        <w:rPr>
          <w:color w:val="000000" w:themeColor="text1"/>
        </w:rPr>
      </w:pPr>
      <w:bookmarkStart w:id="865" w:name="_Toc175239194"/>
      <w:r w:rsidRPr="00B40A77">
        <w:rPr>
          <w:color w:val="000000" w:themeColor="text1"/>
        </w:rPr>
        <w:t>14</w:t>
      </w:r>
      <w:r w:rsidR="00D3418A" w:rsidRPr="00B40A77">
        <w:rPr>
          <w:color w:val="000000" w:themeColor="text1"/>
        </w:rPr>
        <w:t>3</w:t>
      </w:r>
      <w:r w:rsidR="00E06B3C" w:rsidRPr="00B40A77">
        <w:rPr>
          <w:color w:val="000000" w:themeColor="text1"/>
        </w:rPr>
        <w:t>.2—Notices to defendant or youth: Lower Court</w:t>
      </w:r>
      <w:bookmarkEnd w:id="865"/>
    </w:p>
    <w:p w14:paraId="5E79D23E" w14:textId="54396AF8" w:rsidR="00E06B3C" w:rsidRPr="00B40A77" w:rsidRDefault="00E06B3C" w:rsidP="00211EE4">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 notice to a defendant or youth issued under</w:t>
      </w:r>
      <w:r w:rsidR="00D02129" w:rsidRPr="00B40A77">
        <w:rPr>
          <w:color w:val="000000" w:themeColor="text1"/>
          <w:lang w:val="en-US"/>
        </w:rPr>
        <w:t xml:space="preserve"> section</w:t>
      </w:r>
      <w:r w:rsidR="00EF1FED" w:rsidRPr="00B40A77">
        <w:rPr>
          <w:color w:val="000000" w:themeColor="text1"/>
          <w:lang w:val="en-US"/>
        </w:rPr>
        <w:t> </w:t>
      </w:r>
      <w:r w:rsidR="00D02129" w:rsidRPr="00B40A77">
        <w:rPr>
          <w:color w:val="000000" w:themeColor="text1"/>
          <w:lang w:val="en-US"/>
        </w:rPr>
        <w:t>27C(3)(a), (b)</w:t>
      </w:r>
      <w:r w:rsidR="0065771D" w:rsidRPr="00B40A77">
        <w:rPr>
          <w:color w:val="000000" w:themeColor="text1"/>
          <w:lang w:val="en-US"/>
        </w:rPr>
        <w:t>,</w:t>
      </w:r>
      <w:r w:rsidR="00D02129" w:rsidRPr="00B40A77">
        <w:rPr>
          <w:color w:val="000000" w:themeColor="text1"/>
          <w:lang w:val="en-US"/>
        </w:rPr>
        <w:t xml:space="preserve"> </w:t>
      </w:r>
      <w:r w:rsidR="0065771D" w:rsidRPr="00B40A77">
        <w:rPr>
          <w:color w:val="000000" w:themeColor="text1"/>
          <w:lang w:val="en-US"/>
        </w:rPr>
        <w:t xml:space="preserve">(c) </w:t>
      </w:r>
      <w:r w:rsidR="00D02129" w:rsidRPr="00B40A77">
        <w:rPr>
          <w:color w:val="000000" w:themeColor="text1"/>
          <w:lang w:val="en-US"/>
        </w:rPr>
        <w:t>or</w:t>
      </w:r>
      <w:r w:rsidR="00EF1FED" w:rsidRPr="00B40A77">
        <w:rPr>
          <w:color w:val="000000" w:themeColor="text1"/>
          <w:lang w:val="en-US"/>
        </w:rPr>
        <w:t> </w:t>
      </w:r>
      <w:r w:rsidR="00D02129" w:rsidRPr="00B40A77">
        <w:rPr>
          <w:color w:val="000000" w:themeColor="text1"/>
          <w:lang w:val="en-US"/>
        </w:rPr>
        <w:t>(d) and</w:t>
      </w:r>
      <w:r w:rsidRPr="00B40A77">
        <w:rPr>
          <w:color w:val="000000" w:themeColor="text1"/>
          <w:lang w:val="en-US"/>
        </w:rPr>
        <w:t xml:space="preserve"> </w:t>
      </w:r>
      <w:r w:rsidR="0065771D" w:rsidRPr="00B40A77">
        <w:rPr>
          <w:color w:val="000000" w:themeColor="text1"/>
          <w:lang w:val="en-US"/>
        </w:rPr>
        <w:t>section</w:t>
      </w:r>
      <w:r w:rsidR="00EF1FED" w:rsidRPr="00B40A77">
        <w:rPr>
          <w:color w:val="000000" w:themeColor="text1"/>
          <w:lang w:val="en-US"/>
        </w:rPr>
        <w:t> </w:t>
      </w:r>
      <w:r w:rsidR="0065771D" w:rsidRPr="00B40A77">
        <w:rPr>
          <w:color w:val="000000" w:themeColor="text1"/>
          <w:lang w:val="en-US"/>
        </w:rPr>
        <w:t>27C(3)</w:t>
      </w:r>
      <w:r w:rsidRPr="00B40A77">
        <w:rPr>
          <w:color w:val="000000" w:themeColor="text1"/>
          <w:lang w:val="en-US"/>
        </w:rPr>
        <w:t>(f) of the Procedure Act must be in the prescribed form.</w:t>
      </w:r>
    </w:p>
    <w:p w14:paraId="02838452" w14:textId="61236898" w:rsidR="00E06B3C" w:rsidRPr="00B40A77" w:rsidRDefault="00E06B3C" w:rsidP="00211EE4">
      <w:pPr>
        <w:pStyle w:val="NoteHeader"/>
        <w:keepNext/>
        <w:rPr>
          <w:color w:val="000000" w:themeColor="text1"/>
        </w:rPr>
      </w:pPr>
      <w:r w:rsidRPr="00B40A77">
        <w:rPr>
          <w:color w:val="000000" w:themeColor="text1"/>
        </w:rPr>
        <w:t>Prescribed form—</w:t>
      </w:r>
    </w:p>
    <w:p w14:paraId="0A77F191" w14:textId="60DC1055" w:rsidR="00E06B3C" w:rsidRPr="00B40A77" w:rsidRDefault="00E06B3C" w:rsidP="00211EE4">
      <w:pPr>
        <w:pStyle w:val="NoteText"/>
        <w:keepNext/>
        <w:rPr>
          <w:color w:val="000000" w:themeColor="text1"/>
        </w:rPr>
      </w:pPr>
      <w:r w:rsidRPr="00B40A77">
        <w:rPr>
          <w:color w:val="000000" w:themeColor="text1"/>
        </w:rPr>
        <w:t xml:space="preserve">Form 131 </w:t>
      </w:r>
      <w:hyperlink r:id="rId233" w:history="1">
        <w:r w:rsidRPr="00B40A77">
          <w:rPr>
            <w:rStyle w:val="Hyperlink"/>
            <w:color w:val="000000" w:themeColor="text1"/>
          </w:rPr>
          <w:t xml:space="preserve">Notice </w:t>
        </w:r>
        <w:r w:rsidR="00D61AFC" w:rsidRPr="00B40A77">
          <w:rPr>
            <w:rStyle w:val="Hyperlink"/>
            <w:color w:val="000000" w:themeColor="text1"/>
          </w:rPr>
          <w:t xml:space="preserve">to Defendant </w:t>
        </w:r>
        <w:r w:rsidRPr="00B40A77">
          <w:rPr>
            <w:rStyle w:val="Hyperlink"/>
            <w:color w:val="000000" w:themeColor="text1"/>
          </w:rPr>
          <w:t xml:space="preserve">of </w:t>
        </w:r>
        <w:r w:rsidR="00D61AFC" w:rsidRPr="00B40A77">
          <w:rPr>
            <w:rStyle w:val="Hyperlink"/>
            <w:color w:val="000000" w:themeColor="text1"/>
          </w:rPr>
          <w:t>P</w:t>
        </w:r>
        <w:r w:rsidRPr="00B40A77">
          <w:rPr>
            <w:rStyle w:val="Hyperlink"/>
            <w:color w:val="000000" w:themeColor="text1"/>
          </w:rPr>
          <w:t xml:space="preserve">enalty </w:t>
        </w:r>
        <w:r w:rsidR="00D61AFC" w:rsidRPr="00B40A77">
          <w:rPr>
            <w:rStyle w:val="Hyperlink"/>
            <w:color w:val="000000" w:themeColor="text1"/>
          </w:rPr>
          <w:t>H</w:t>
        </w:r>
        <w:r w:rsidRPr="00B40A77">
          <w:rPr>
            <w:rStyle w:val="Hyperlink"/>
            <w:color w:val="000000" w:themeColor="text1"/>
          </w:rPr>
          <w:t>earing</w:t>
        </w:r>
      </w:hyperlink>
    </w:p>
    <w:p w14:paraId="1CD3BA39" w14:textId="64081A98" w:rsidR="0065771D" w:rsidRPr="00B40A77" w:rsidRDefault="0065771D" w:rsidP="004E3D0F">
      <w:pPr>
        <w:pStyle w:val="NoteHeader"/>
        <w:keepNext/>
        <w:rPr>
          <w:color w:val="000000" w:themeColor="text1"/>
        </w:rPr>
      </w:pPr>
      <w:r w:rsidRPr="00B40A77">
        <w:rPr>
          <w:color w:val="000000" w:themeColor="text1"/>
        </w:rPr>
        <w:t>Note—</w:t>
      </w:r>
    </w:p>
    <w:p w14:paraId="1FFBE02C" w14:textId="78A93E7F" w:rsidR="0065771D" w:rsidRPr="00B40A77" w:rsidRDefault="0065771D" w:rsidP="00BC23E5">
      <w:pPr>
        <w:pStyle w:val="NoteText"/>
        <w:rPr>
          <w:iCs/>
          <w:color w:val="000000" w:themeColor="text1"/>
          <w:lang w:val="en-US"/>
        </w:rPr>
      </w:pPr>
      <w:r w:rsidRPr="00B40A77">
        <w:rPr>
          <w:iCs/>
          <w:color w:val="000000" w:themeColor="text1"/>
          <w:lang w:val="en-US"/>
        </w:rPr>
        <w:t xml:space="preserve">The content of the form will depend on whether paragraph (a), (b), (c) or (d) </w:t>
      </w:r>
      <w:r w:rsidR="002B14B2" w:rsidRPr="00B40A77">
        <w:rPr>
          <w:iCs/>
          <w:color w:val="000000" w:themeColor="text1"/>
          <w:lang w:val="en-US"/>
        </w:rPr>
        <w:t>(</w:t>
      </w:r>
      <w:r w:rsidRPr="00B40A77">
        <w:rPr>
          <w:iCs/>
          <w:color w:val="000000" w:themeColor="text1"/>
          <w:lang w:val="en-US"/>
        </w:rPr>
        <w:t>or more than one</w:t>
      </w:r>
      <w:r w:rsidR="002B14B2" w:rsidRPr="00B40A77">
        <w:rPr>
          <w:iCs/>
          <w:color w:val="000000" w:themeColor="text1"/>
          <w:lang w:val="en-US"/>
        </w:rPr>
        <w:t>)</w:t>
      </w:r>
      <w:r w:rsidRPr="00B40A77">
        <w:rPr>
          <w:iCs/>
          <w:color w:val="000000" w:themeColor="text1"/>
          <w:lang w:val="en-US"/>
        </w:rPr>
        <w:t xml:space="preserve"> is applicable.</w:t>
      </w:r>
    </w:p>
    <w:p w14:paraId="367B0EDC" w14:textId="4D16886F" w:rsidR="00E06B3C" w:rsidRPr="00B40A77" w:rsidRDefault="00E06B3C" w:rsidP="00454228">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A notice to a defendant or youth is</w:t>
      </w:r>
      <w:r w:rsidR="00D02129" w:rsidRPr="00B40A77">
        <w:rPr>
          <w:color w:val="000000" w:themeColor="text1"/>
          <w:lang w:val="en-US"/>
        </w:rPr>
        <w:t xml:space="preserve">sued under </w:t>
      </w:r>
      <w:r w:rsidRPr="00B40A77">
        <w:rPr>
          <w:color w:val="000000" w:themeColor="text1"/>
          <w:lang w:val="en-US"/>
        </w:rPr>
        <w:t>section</w:t>
      </w:r>
      <w:r w:rsidR="00EF1FED" w:rsidRPr="00B40A77">
        <w:rPr>
          <w:color w:val="000000" w:themeColor="text1"/>
          <w:lang w:val="en-US"/>
        </w:rPr>
        <w:t> </w:t>
      </w:r>
      <w:r w:rsidRPr="00B40A77">
        <w:rPr>
          <w:color w:val="000000" w:themeColor="text1"/>
          <w:lang w:val="en-US"/>
        </w:rPr>
        <w:t xml:space="preserve">62D </w:t>
      </w:r>
      <w:r w:rsidR="004C1B91" w:rsidRPr="00B40A77">
        <w:rPr>
          <w:color w:val="000000" w:themeColor="text1"/>
          <w:lang w:val="en-US"/>
        </w:rPr>
        <w:t xml:space="preserve">of the Procedure Act </w:t>
      </w:r>
      <w:r w:rsidRPr="00B40A77">
        <w:rPr>
          <w:color w:val="000000" w:themeColor="text1"/>
          <w:lang w:val="en-US"/>
        </w:rPr>
        <w:t>must be in the prescribed form.</w:t>
      </w:r>
    </w:p>
    <w:p w14:paraId="29F5EDD3" w14:textId="26708B74" w:rsidR="00E06B3C" w:rsidRPr="00B40A77" w:rsidRDefault="00E06B3C" w:rsidP="00454228">
      <w:pPr>
        <w:pStyle w:val="NoteHeader"/>
        <w:keepNext/>
        <w:rPr>
          <w:color w:val="000000" w:themeColor="text1"/>
        </w:rPr>
      </w:pPr>
      <w:r w:rsidRPr="00B40A77">
        <w:rPr>
          <w:color w:val="000000" w:themeColor="text1"/>
        </w:rPr>
        <w:t>Prescribed form—</w:t>
      </w:r>
    </w:p>
    <w:p w14:paraId="5AB16F06" w14:textId="756B66B7" w:rsidR="00E06B3C" w:rsidRPr="00B40A77" w:rsidRDefault="00E06B3C" w:rsidP="00BC23E5">
      <w:pPr>
        <w:pStyle w:val="NoteText"/>
        <w:rPr>
          <w:color w:val="000000" w:themeColor="text1"/>
        </w:rPr>
      </w:pPr>
      <w:r w:rsidRPr="00B40A77">
        <w:rPr>
          <w:color w:val="000000" w:themeColor="text1"/>
        </w:rPr>
        <w:t xml:space="preserve">Form 133 </w:t>
      </w:r>
      <w:hyperlink r:id="rId234" w:history="1">
        <w:r w:rsidRPr="00B40A77">
          <w:rPr>
            <w:rStyle w:val="Hyperlink"/>
            <w:color w:val="000000" w:themeColor="text1"/>
          </w:rPr>
          <w:t xml:space="preserve">Notice of </w:t>
        </w:r>
        <w:r w:rsidR="00D61AFC" w:rsidRPr="00B40A77">
          <w:rPr>
            <w:rStyle w:val="Hyperlink"/>
            <w:color w:val="000000" w:themeColor="text1"/>
          </w:rPr>
          <w:t>I</w:t>
        </w:r>
        <w:r w:rsidRPr="00B40A77">
          <w:rPr>
            <w:rStyle w:val="Hyperlink"/>
            <w:color w:val="000000" w:themeColor="text1"/>
          </w:rPr>
          <w:t xml:space="preserve">ntention to </w:t>
        </w:r>
        <w:r w:rsidR="00D61AFC" w:rsidRPr="00B40A77">
          <w:rPr>
            <w:rStyle w:val="Hyperlink"/>
            <w:color w:val="000000" w:themeColor="text1"/>
          </w:rPr>
          <w:t>A</w:t>
        </w:r>
        <w:r w:rsidRPr="00B40A77">
          <w:rPr>
            <w:rStyle w:val="Hyperlink"/>
            <w:color w:val="000000" w:themeColor="text1"/>
          </w:rPr>
          <w:t xml:space="preserve">llege </w:t>
        </w:r>
        <w:r w:rsidR="00D61AFC" w:rsidRPr="00B40A77">
          <w:rPr>
            <w:rStyle w:val="Hyperlink"/>
            <w:color w:val="000000" w:themeColor="text1"/>
          </w:rPr>
          <w:t>P</w:t>
        </w:r>
        <w:r w:rsidRPr="00B40A77">
          <w:rPr>
            <w:rStyle w:val="Hyperlink"/>
            <w:color w:val="000000" w:themeColor="text1"/>
          </w:rPr>
          <w:t xml:space="preserve">revious </w:t>
        </w:r>
        <w:r w:rsidR="00D61AFC" w:rsidRPr="00B40A77">
          <w:rPr>
            <w:rStyle w:val="Hyperlink"/>
            <w:color w:val="000000" w:themeColor="text1"/>
          </w:rPr>
          <w:t>C</w:t>
        </w:r>
        <w:r w:rsidRPr="00B40A77">
          <w:rPr>
            <w:rStyle w:val="Hyperlink"/>
            <w:color w:val="000000" w:themeColor="text1"/>
          </w:rPr>
          <w:t>onvictions</w:t>
        </w:r>
      </w:hyperlink>
    </w:p>
    <w:p w14:paraId="7DBA710A" w14:textId="3B7684F7" w:rsidR="00D72608" w:rsidRPr="00B40A77" w:rsidRDefault="000D6A2C" w:rsidP="00454228">
      <w:pPr>
        <w:pStyle w:val="Hangindent"/>
        <w:keepNext/>
        <w:rPr>
          <w:color w:val="000000" w:themeColor="text1"/>
          <w:lang w:val="en-US"/>
        </w:rPr>
      </w:pPr>
      <w:r w:rsidRPr="00B40A77">
        <w:rPr>
          <w:color w:val="000000" w:themeColor="text1"/>
          <w:lang w:val="en-US"/>
        </w:rPr>
        <w:lastRenderedPageBreak/>
        <w:t>(3</w:t>
      </w:r>
      <w:r w:rsidR="00D72608" w:rsidRPr="00B40A77">
        <w:rPr>
          <w:color w:val="000000" w:themeColor="text1"/>
          <w:lang w:val="en-US"/>
        </w:rPr>
        <w:t>)</w:t>
      </w:r>
      <w:r w:rsidR="00D72608" w:rsidRPr="00B40A77">
        <w:rPr>
          <w:color w:val="000000" w:themeColor="text1"/>
          <w:lang w:val="en-US"/>
        </w:rPr>
        <w:tab/>
      </w:r>
      <w:r w:rsidRPr="00B40A77">
        <w:rPr>
          <w:color w:val="000000" w:themeColor="text1"/>
          <w:lang w:val="en-US"/>
        </w:rPr>
        <w:t xml:space="preserve">It is the responsibility of the prosecution to serve a notice referred to in this rule on the defendant or youth in accordance with the relevant statutory provision. </w:t>
      </w:r>
    </w:p>
    <w:p w14:paraId="0EBD9DA5" w14:textId="55489119" w:rsidR="003737DD" w:rsidRPr="00B40A77" w:rsidRDefault="003737DD" w:rsidP="00454228">
      <w:pPr>
        <w:pStyle w:val="NoteHeader"/>
        <w:keepNext/>
        <w:rPr>
          <w:color w:val="000000" w:themeColor="text1"/>
        </w:rPr>
      </w:pPr>
      <w:r w:rsidRPr="00B40A77">
        <w:rPr>
          <w:color w:val="000000" w:themeColor="text1"/>
        </w:rPr>
        <w:t>Notes—</w:t>
      </w:r>
    </w:p>
    <w:p w14:paraId="26307D65" w14:textId="30D18BFF" w:rsidR="003737DD" w:rsidRPr="00B40A77" w:rsidRDefault="003737DD" w:rsidP="00454228">
      <w:pPr>
        <w:pStyle w:val="NoteText"/>
        <w:keepNext/>
        <w:rPr>
          <w:color w:val="000000" w:themeColor="text1"/>
          <w:lang w:val="en-US"/>
        </w:rPr>
      </w:pPr>
      <w:r w:rsidRPr="00B40A77">
        <w:rPr>
          <w:color w:val="000000" w:themeColor="text1"/>
          <w:lang w:val="en-US"/>
        </w:rPr>
        <w:t>Section 27C of the Procedure Act</w:t>
      </w:r>
      <w:r w:rsidRPr="00B40A77">
        <w:rPr>
          <w:i/>
          <w:iCs/>
          <w:color w:val="000000" w:themeColor="text1"/>
          <w:lang w:val="en-US"/>
        </w:rPr>
        <w:t xml:space="preserve"> </w:t>
      </w:r>
      <w:r w:rsidRPr="00B40A77">
        <w:rPr>
          <w:color w:val="000000" w:themeColor="text1"/>
          <w:lang w:val="en-US"/>
        </w:rPr>
        <w:t xml:space="preserve">requires personal service </w:t>
      </w:r>
      <w:r w:rsidR="00FC4320" w:rsidRPr="00B40A77">
        <w:rPr>
          <w:color w:val="000000" w:themeColor="text1"/>
          <w:lang w:val="en-US"/>
        </w:rPr>
        <w:t xml:space="preserve">of the notice </w:t>
      </w:r>
      <w:r w:rsidRPr="00B40A77">
        <w:rPr>
          <w:color w:val="000000" w:themeColor="text1"/>
          <w:lang w:val="en-US"/>
        </w:rPr>
        <w:t xml:space="preserve">at least 14 days before the hearing. </w:t>
      </w:r>
    </w:p>
    <w:p w14:paraId="4B9DC005" w14:textId="4D7ED503" w:rsidR="003737DD" w:rsidRPr="00B40A77" w:rsidRDefault="003737DD" w:rsidP="00BC23E5">
      <w:pPr>
        <w:pStyle w:val="NoteText"/>
        <w:rPr>
          <w:color w:val="000000" w:themeColor="text1"/>
        </w:rPr>
      </w:pPr>
      <w:r w:rsidRPr="00B40A77">
        <w:rPr>
          <w:color w:val="000000" w:themeColor="text1"/>
          <w:lang w:val="en-US"/>
        </w:rPr>
        <w:t xml:space="preserve">Section </w:t>
      </w:r>
      <w:r w:rsidR="00FC4320" w:rsidRPr="00B40A77">
        <w:rPr>
          <w:color w:val="000000" w:themeColor="text1"/>
          <w:lang w:val="en-US"/>
        </w:rPr>
        <w:t>62D</w:t>
      </w:r>
      <w:r w:rsidRPr="00B40A77">
        <w:rPr>
          <w:color w:val="000000" w:themeColor="text1"/>
          <w:lang w:val="en-US"/>
        </w:rPr>
        <w:t xml:space="preserve"> of the Procedure Act requires </w:t>
      </w:r>
      <w:r w:rsidR="00BE13C6" w:rsidRPr="00B40A77">
        <w:rPr>
          <w:color w:val="000000" w:themeColor="text1"/>
          <w:lang w:val="en-US"/>
        </w:rPr>
        <w:t xml:space="preserve">personal or post </w:t>
      </w:r>
      <w:r w:rsidRPr="00B40A77">
        <w:rPr>
          <w:color w:val="000000" w:themeColor="text1"/>
          <w:lang w:val="en-US"/>
        </w:rPr>
        <w:t xml:space="preserve">service </w:t>
      </w:r>
      <w:r w:rsidR="00DE1DB1" w:rsidRPr="00B40A77">
        <w:rPr>
          <w:color w:val="000000" w:themeColor="text1"/>
          <w:lang w:val="en-US"/>
        </w:rPr>
        <w:t xml:space="preserve">of the notice </w:t>
      </w:r>
      <w:r w:rsidRPr="00B40A77">
        <w:rPr>
          <w:color w:val="000000" w:themeColor="text1"/>
          <w:lang w:val="en-US"/>
        </w:rPr>
        <w:t xml:space="preserve">at least </w:t>
      </w:r>
      <w:r w:rsidR="00FC4320" w:rsidRPr="00B40A77">
        <w:rPr>
          <w:color w:val="000000" w:themeColor="text1"/>
          <w:lang w:val="en-US"/>
        </w:rPr>
        <w:t>3</w:t>
      </w:r>
      <w:r w:rsidRPr="00B40A77">
        <w:rPr>
          <w:color w:val="000000" w:themeColor="text1"/>
          <w:lang w:val="en-US"/>
        </w:rPr>
        <w:t xml:space="preserve"> days before the hearing. </w:t>
      </w:r>
    </w:p>
    <w:p w14:paraId="79AB313A" w14:textId="3340B0C9" w:rsidR="00E06B3C" w:rsidRPr="00B40A77" w:rsidRDefault="00E06B3C" w:rsidP="00E06B3C">
      <w:pPr>
        <w:pStyle w:val="Heading3"/>
        <w:rPr>
          <w:color w:val="000000" w:themeColor="text1"/>
        </w:rPr>
      </w:pPr>
      <w:bookmarkStart w:id="866" w:name="_Toc175239195"/>
      <w:r w:rsidRPr="00B40A77">
        <w:rPr>
          <w:color w:val="000000" w:themeColor="text1"/>
        </w:rPr>
        <w:t xml:space="preserve">Division </w:t>
      </w:r>
      <w:r w:rsidR="002F307A" w:rsidRPr="00B40A77">
        <w:rPr>
          <w:color w:val="000000" w:themeColor="text1"/>
        </w:rPr>
        <w:t>3</w:t>
      </w:r>
      <w:r w:rsidRPr="00B40A77">
        <w:rPr>
          <w:color w:val="000000" w:themeColor="text1"/>
        </w:rPr>
        <w:t>—Applications for specific orders</w:t>
      </w:r>
      <w:bookmarkEnd w:id="866"/>
    </w:p>
    <w:p w14:paraId="378C7030" w14:textId="15BEA072" w:rsidR="00E06B3C" w:rsidRPr="00B40A77" w:rsidRDefault="002A26BD" w:rsidP="00313315">
      <w:pPr>
        <w:pStyle w:val="Heading4"/>
        <w:rPr>
          <w:color w:val="000000" w:themeColor="text1"/>
        </w:rPr>
      </w:pPr>
      <w:bookmarkStart w:id="867" w:name="_Toc175239196"/>
      <w:r w:rsidRPr="00B40A77">
        <w:rPr>
          <w:color w:val="000000" w:themeColor="text1"/>
        </w:rPr>
        <w:t>14</w:t>
      </w:r>
      <w:r w:rsidR="00D3418A" w:rsidRPr="00B40A77">
        <w:rPr>
          <w:color w:val="000000" w:themeColor="text1"/>
        </w:rPr>
        <w:t>4</w:t>
      </w:r>
      <w:r w:rsidR="00E06B3C" w:rsidRPr="00B40A77">
        <w:rPr>
          <w:color w:val="000000" w:themeColor="text1"/>
        </w:rPr>
        <w:t>.1—</w:t>
      </w:r>
      <w:r w:rsidR="009C20D0" w:rsidRPr="00B40A77">
        <w:rPr>
          <w:color w:val="000000" w:themeColor="text1"/>
        </w:rPr>
        <w:t>Application for vehicle forfeiture or impounding</w:t>
      </w:r>
      <w:bookmarkEnd w:id="867"/>
    </w:p>
    <w:p w14:paraId="21B8AD7E" w14:textId="53CAD97F" w:rsidR="00E06B3C" w:rsidRPr="00B40A77" w:rsidRDefault="00E06B3C" w:rsidP="00145BB8">
      <w:pPr>
        <w:pStyle w:val="Hangindent"/>
        <w:keepNext/>
        <w:ind w:left="567" w:firstLine="0"/>
        <w:rPr>
          <w:color w:val="000000" w:themeColor="text1"/>
        </w:rPr>
      </w:pPr>
      <w:r w:rsidRPr="00B40A77">
        <w:rPr>
          <w:color w:val="000000" w:themeColor="text1"/>
        </w:rPr>
        <w:t>A</w:t>
      </w:r>
      <w:r w:rsidR="009C20D0" w:rsidRPr="00B40A77">
        <w:rPr>
          <w:color w:val="000000" w:themeColor="text1"/>
        </w:rPr>
        <w:t>n application for an order that a motor vehicle be forfeited to the Crown or impounded under section</w:t>
      </w:r>
      <w:r w:rsidR="00EF1FED" w:rsidRPr="00B40A77">
        <w:rPr>
          <w:color w:val="000000" w:themeColor="text1"/>
        </w:rPr>
        <w:t> </w:t>
      </w:r>
      <w:r w:rsidR="009C20D0" w:rsidRPr="00B40A77">
        <w:rPr>
          <w:color w:val="000000" w:themeColor="text1"/>
        </w:rPr>
        <w:t xml:space="preserve">12 of the </w:t>
      </w:r>
      <w:r w:rsidR="009C20D0" w:rsidRPr="00B40A77">
        <w:rPr>
          <w:i/>
          <w:color w:val="000000" w:themeColor="text1"/>
        </w:rPr>
        <w:t>Criminal Law (Clamping, Impounding and Forfeiture of Vehicles) Act 2007</w:t>
      </w:r>
      <w:r w:rsidR="009C20D0" w:rsidRPr="00B40A77">
        <w:rPr>
          <w:color w:val="000000" w:themeColor="text1"/>
        </w:rPr>
        <w:t xml:space="preserve"> </w:t>
      </w:r>
      <w:r w:rsidRPr="00B40A77">
        <w:rPr>
          <w:color w:val="000000" w:themeColor="text1"/>
        </w:rPr>
        <w:t>must be in the prescribed form.</w:t>
      </w:r>
    </w:p>
    <w:p w14:paraId="44E47C43" w14:textId="77777777" w:rsidR="00E06B3C" w:rsidRPr="00B40A77" w:rsidRDefault="00E06B3C" w:rsidP="00145BB8">
      <w:pPr>
        <w:pStyle w:val="NoteHeader"/>
        <w:keepNext/>
        <w:ind w:left="567"/>
        <w:rPr>
          <w:color w:val="000000" w:themeColor="text1"/>
        </w:rPr>
      </w:pPr>
      <w:r w:rsidRPr="00B40A77">
        <w:rPr>
          <w:color w:val="000000" w:themeColor="text1"/>
        </w:rPr>
        <w:t>Prescribed form—</w:t>
      </w:r>
    </w:p>
    <w:p w14:paraId="09AF2937" w14:textId="34507284" w:rsidR="002F307A" w:rsidRPr="00B40A77" w:rsidRDefault="00E06B3C" w:rsidP="00145BB8">
      <w:pPr>
        <w:pStyle w:val="NoteText"/>
        <w:ind w:left="851"/>
        <w:rPr>
          <w:color w:val="000000" w:themeColor="text1"/>
          <w:u w:val="single"/>
        </w:rPr>
      </w:pPr>
      <w:r w:rsidRPr="00B40A77">
        <w:rPr>
          <w:color w:val="000000" w:themeColor="text1"/>
        </w:rPr>
        <w:t>Form 13</w:t>
      </w:r>
      <w:r w:rsidR="009C20D0" w:rsidRPr="00B40A77">
        <w:rPr>
          <w:color w:val="000000" w:themeColor="text1"/>
        </w:rPr>
        <w:t>4</w:t>
      </w:r>
      <w:r w:rsidRPr="00B40A77">
        <w:rPr>
          <w:color w:val="000000" w:themeColor="text1"/>
        </w:rPr>
        <w:t xml:space="preserve"> </w:t>
      </w:r>
      <w:hyperlink r:id="rId235" w:history="1">
        <w:r w:rsidR="000D074E" w:rsidRPr="00B40A77">
          <w:rPr>
            <w:rStyle w:val="Hyperlink"/>
            <w:color w:val="000000" w:themeColor="text1"/>
          </w:rPr>
          <w:t xml:space="preserve">Interlocutory </w:t>
        </w:r>
        <w:r w:rsidR="009C20D0" w:rsidRPr="00B40A77">
          <w:rPr>
            <w:rStyle w:val="Hyperlink"/>
            <w:color w:val="000000" w:themeColor="text1"/>
          </w:rPr>
          <w:t xml:space="preserve">Application for </w:t>
        </w:r>
        <w:r w:rsidR="00D61AFC" w:rsidRPr="00B40A77">
          <w:rPr>
            <w:rStyle w:val="Hyperlink"/>
            <w:color w:val="000000" w:themeColor="text1"/>
          </w:rPr>
          <w:t>V</w:t>
        </w:r>
        <w:r w:rsidR="009C20D0" w:rsidRPr="00B40A77">
          <w:rPr>
            <w:rStyle w:val="Hyperlink"/>
            <w:color w:val="000000" w:themeColor="text1"/>
          </w:rPr>
          <w:t xml:space="preserve">ehicle </w:t>
        </w:r>
        <w:r w:rsidR="00D61AFC" w:rsidRPr="00B40A77">
          <w:rPr>
            <w:rStyle w:val="Hyperlink"/>
            <w:color w:val="000000" w:themeColor="text1"/>
          </w:rPr>
          <w:t>F</w:t>
        </w:r>
        <w:r w:rsidR="009C20D0" w:rsidRPr="00B40A77">
          <w:rPr>
            <w:rStyle w:val="Hyperlink"/>
            <w:color w:val="000000" w:themeColor="text1"/>
          </w:rPr>
          <w:t xml:space="preserve">orfeiture or </w:t>
        </w:r>
        <w:r w:rsidR="00D61AFC" w:rsidRPr="00B40A77">
          <w:rPr>
            <w:rStyle w:val="Hyperlink"/>
            <w:color w:val="000000" w:themeColor="text1"/>
          </w:rPr>
          <w:t>I</w:t>
        </w:r>
        <w:r w:rsidR="009C20D0" w:rsidRPr="00B40A77">
          <w:rPr>
            <w:rStyle w:val="Hyperlink"/>
            <w:color w:val="000000" w:themeColor="text1"/>
          </w:rPr>
          <w:t>mpounding</w:t>
        </w:r>
      </w:hyperlink>
    </w:p>
    <w:p w14:paraId="2E8CB82E" w14:textId="01B4718F" w:rsidR="002F307A" w:rsidRPr="00B40A77" w:rsidRDefault="002F307A" w:rsidP="002F307A">
      <w:pPr>
        <w:pStyle w:val="Heading4"/>
        <w:rPr>
          <w:color w:val="000000" w:themeColor="text1"/>
        </w:rPr>
      </w:pPr>
      <w:bookmarkStart w:id="868" w:name="_Toc175239197"/>
      <w:r w:rsidRPr="00B40A77">
        <w:rPr>
          <w:color w:val="000000" w:themeColor="text1"/>
        </w:rPr>
        <w:t>144.2—Application for intervention order</w:t>
      </w:r>
      <w:bookmarkEnd w:id="868"/>
    </w:p>
    <w:p w14:paraId="73D531D3" w14:textId="0D460B7F" w:rsidR="002F307A" w:rsidRPr="00B40A77" w:rsidRDefault="002F307A" w:rsidP="002F307A">
      <w:pPr>
        <w:pStyle w:val="Hangindent"/>
        <w:keepNext/>
        <w:rPr>
          <w:iCs/>
          <w:color w:val="000000" w:themeColor="text1"/>
          <w:lang w:val="en-US"/>
        </w:rPr>
      </w:pPr>
      <w:r w:rsidRPr="00B40A77">
        <w:rPr>
          <w:iCs/>
          <w:color w:val="000000" w:themeColor="text1"/>
          <w:lang w:val="en-US"/>
        </w:rPr>
        <w:t>(1)</w:t>
      </w:r>
      <w:r w:rsidRPr="00B40A77">
        <w:rPr>
          <w:iCs/>
          <w:color w:val="000000" w:themeColor="text1"/>
          <w:lang w:val="en-US"/>
        </w:rPr>
        <w:tab/>
        <w:t xml:space="preserve">If the prosecution seeks, or the Court is considering whether to make an intervention order under section 28 of the </w:t>
      </w:r>
      <w:hyperlink w:anchor="_2.1—Definitions" w:history="1">
        <w:r w:rsidRPr="00B40A77">
          <w:rPr>
            <w:rStyle w:val="Hyperlink"/>
            <w:iCs/>
            <w:color w:val="000000" w:themeColor="text1"/>
            <w:lang w:val="en-US"/>
          </w:rPr>
          <w:t>Intervention Orders Act</w:t>
        </w:r>
      </w:hyperlink>
      <w:r w:rsidRPr="00B40A77">
        <w:rPr>
          <w:iCs/>
          <w:color w:val="000000" w:themeColor="text1"/>
          <w:lang w:val="en-US"/>
        </w:rPr>
        <w:t>, the prosecution must file on a court access basis a Protected Person Details for Intervention Order in the prescribed form.</w:t>
      </w:r>
    </w:p>
    <w:p w14:paraId="54E5541A" w14:textId="77777777" w:rsidR="002F307A" w:rsidRPr="00B40A77" w:rsidRDefault="002F307A" w:rsidP="002F307A">
      <w:pPr>
        <w:pStyle w:val="NoteHeader"/>
        <w:keepNext/>
        <w:rPr>
          <w:color w:val="000000" w:themeColor="text1"/>
        </w:rPr>
      </w:pPr>
      <w:r w:rsidRPr="00B40A77">
        <w:rPr>
          <w:color w:val="000000" w:themeColor="text1"/>
        </w:rPr>
        <w:t>Prescribed form—</w:t>
      </w:r>
    </w:p>
    <w:p w14:paraId="7CD84B60" w14:textId="5333BCEF" w:rsidR="002F307A" w:rsidRPr="00B40A77" w:rsidRDefault="002F307A" w:rsidP="002F307A">
      <w:pPr>
        <w:pStyle w:val="NoteText"/>
        <w:rPr>
          <w:iCs/>
          <w:color w:val="000000" w:themeColor="text1"/>
          <w:lang w:val="en-US"/>
        </w:rPr>
      </w:pPr>
      <w:r w:rsidRPr="00B40A77">
        <w:rPr>
          <w:color w:val="000000" w:themeColor="text1"/>
        </w:rPr>
        <w:t xml:space="preserve">Form104e </w:t>
      </w:r>
      <w:hyperlink r:id="rId236" w:history="1">
        <w:r w:rsidRPr="00B40A77">
          <w:rPr>
            <w:rStyle w:val="Hyperlink"/>
            <w:iCs/>
            <w:color w:val="000000" w:themeColor="text1"/>
            <w:lang w:val="en-US"/>
          </w:rPr>
          <w:t>Protected Person Details for Intervention Order</w:t>
        </w:r>
      </w:hyperlink>
      <w:r w:rsidRPr="00B40A77">
        <w:rPr>
          <w:iCs/>
          <w:color w:val="000000" w:themeColor="text1"/>
          <w:u w:val="single"/>
          <w:lang w:val="en-US"/>
        </w:rPr>
        <w:t xml:space="preserve"> </w:t>
      </w:r>
    </w:p>
    <w:p w14:paraId="0EF8E771" w14:textId="02E406B4" w:rsidR="002F307A" w:rsidRPr="00B40A77" w:rsidRDefault="002F307A" w:rsidP="00BC23E5">
      <w:pPr>
        <w:pStyle w:val="NoteText"/>
        <w:rPr>
          <w:color w:val="000000" w:themeColor="text1"/>
          <w:u w:val="single"/>
        </w:rPr>
      </w:pPr>
      <w:r w:rsidRPr="00B40A77">
        <w:rPr>
          <w:iCs/>
          <w:color w:val="000000" w:themeColor="text1"/>
          <w:lang w:val="en-US"/>
        </w:rPr>
        <w:t>Form 104h</w:t>
      </w:r>
      <w:hyperlink r:id="rId237" w:history="1">
        <w:r w:rsidRPr="00B40A77">
          <w:rPr>
            <w:rStyle w:val="Hyperlink"/>
            <w:iCs/>
            <w:color w:val="000000" w:themeColor="text1"/>
            <w:lang w:val="en-US"/>
          </w:rPr>
          <w:t xml:space="preserve"> Protected Person Details for Intervention Order</w:t>
        </w:r>
      </w:hyperlink>
    </w:p>
    <w:p w14:paraId="004C61B8" w14:textId="1ADB84DC" w:rsidR="007F04DB" w:rsidRPr="00B40A77" w:rsidRDefault="009C20D0" w:rsidP="007F04DB">
      <w:pPr>
        <w:pStyle w:val="Heading3"/>
        <w:rPr>
          <w:color w:val="000000" w:themeColor="text1"/>
        </w:rPr>
      </w:pPr>
      <w:bookmarkStart w:id="869" w:name="_Toc175239198"/>
      <w:r w:rsidRPr="00B40A77">
        <w:rPr>
          <w:color w:val="000000" w:themeColor="text1"/>
        </w:rPr>
        <w:t xml:space="preserve">Division </w:t>
      </w:r>
      <w:r w:rsidR="002F307A" w:rsidRPr="00B40A77">
        <w:rPr>
          <w:color w:val="000000" w:themeColor="text1"/>
        </w:rPr>
        <w:t>4</w:t>
      </w:r>
      <w:r w:rsidR="00EE6101" w:rsidRPr="00B40A77">
        <w:rPr>
          <w:color w:val="000000" w:themeColor="text1"/>
        </w:rPr>
        <w:t>—Taking into account other federal offences</w:t>
      </w:r>
      <w:bookmarkEnd w:id="869"/>
    </w:p>
    <w:p w14:paraId="64A1C5ED" w14:textId="458D8889" w:rsidR="00352AF7" w:rsidRPr="00B40A77" w:rsidRDefault="00ED4E9F" w:rsidP="002F3901">
      <w:pPr>
        <w:pStyle w:val="Heading4"/>
        <w:rPr>
          <w:color w:val="000000" w:themeColor="text1"/>
        </w:rPr>
      </w:pPr>
      <w:bookmarkStart w:id="870" w:name="_144.1—Request_to_take"/>
      <w:bookmarkStart w:id="871" w:name="_Toc175239199"/>
      <w:bookmarkEnd w:id="870"/>
      <w:r w:rsidRPr="00B40A77">
        <w:rPr>
          <w:color w:val="000000" w:themeColor="text1"/>
        </w:rPr>
        <w:t>14</w:t>
      </w:r>
      <w:r w:rsidR="00D3418A" w:rsidRPr="00B40A77">
        <w:rPr>
          <w:color w:val="000000" w:themeColor="text1"/>
        </w:rPr>
        <w:t>5</w:t>
      </w:r>
      <w:r w:rsidR="007F04DB" w:rsidRPr="00B40A77">
        <w:rPr>
          <w:color w:val="000000" w:themeColor="text1"/>
        </w:rPr>
        <w:t>.1—</w:t>
      </w:r>
      <w:r w:rsidR="00EE6101" w:rsidRPr="00B40A77">
        <w:rPr>
          <w:color w:val="000000" w:themeColor="text1"/>
        </w:rPr>
        <w:t>Request to take</w:t>
      </w:r>
      <w:r w:rsidR="007F04DB" w:rsidRPr="00B40A77">
        <w:rPr>
          <w:color w:val="000000" w:themeColor="text1"/>
        </w:rPr>
        <w:t xml:space="preserve"> i</w:t>
      </w:r>
      <w:r w:rsidR="008879A3" w:rsidRPr="00B40A77">
        <w:rPr>
          <w:color w:val="000000" w:themeColor="text1"/>
        </w:rPr>
        <w:t>nto</w:t>
      </w:r>
      <w:r w:rsidR="007F04DB" w:rsidRPr="00B40A77">
        <w:rPr>
          <w:color w:val="000000" w:themeColor="text1"/>
        </w:rPr>
        <w:t xml:space="preserve"> account other </w:t>
      </w:r>
      <w:r w:rsidR="00454228" w:rsidRPr="00B40A77">
        <w:rPr>
          <w:color w:val="000000" w:themeColor="text1"/>
        </w:rPr>
        <w:t xml:space="preserve">federal </w:t>
      </w:r>
      <w:r w:rsidR="007F04DB" w:rsidRPr="00B40A77">
        <w:rPr>
          <w:color w:val="000000" w:themeColor="text1"/>
        </w:rPr>
        <w:t>offences</w:t>
      </w:r>
      <w:bookmarkEnd w:id="871"/>
    </w:p>
    <w:p w14:paraId="29B26DD5" w14:textId="00E1CDC2" w:rsidR="008C320C" w:rsidRPr="00B40A77" w:rsidRDefault="008C320C" w:rsidP="00211EE4">
      <w:pPr>
        <w:pStyle w:val="Hangindent"/>
        <w:keepNext/>
        <w:rPr>
          <w:color w:val="000000" w:themeColor="text1"/>
        </w:rPr>
      </w:pPr>
      <w:r w:rsidRPr="00B40A77">
        <w:rPr>
          <w:color w:val="000000" w:themeColor="text1"/>
        </w:rPr>
        <w:t>(1)</w:t>
      </w:r>
      <w:r w:rsidRPr="00B40A77">
        <w:rPr>
          <w:color w:val="000000" w:themeColor="text1"/>
        </w:rPr>
        <w:tab/>
      </w:r>
      <w:r w:rsidR="008D5394" w:rsidRPr="00B40A77">
        <w:rPr>
          <w:color w:val="000000" w:themeColor="text1"/>
        </w:rPr>
        <w:t xml:space="preserve">If a defendant </w:t>
      </w:r>
      <w:r w:rsidR="00CC3724" w:rsidRPr="00B40A77">
        <w:rPr>
          <w:color w:val="000000" w:themeColor="text1"/>
        </w:rPr>
        <w:t xml:space="preserve">or youth </w:t>
      </w:r>
      <w:r w:rsidR="00F74EAE" w:rsidRPr="00B40A77">
        <w:rPr>
          <w:color w:val="000000" w:themeColor="text1"/>
        </w:rPr>
        <w:t xml:space="preserve">has been convicted of a federal offence and wishes </w:t>
      </w:r>
      <w:r w:rsidR="00C866BF" w:rsidRPr="00B40A77">
        <w:rPr>
          <w:color w:val="000000" w:themeColor="text1"/>
        </w:rPr>
        <w:t>to admit guilt to other federal offences and have them</w:t>
      </w:r>
      <w:r w:rsidR="00F74EAE" w:rsidRPr="00B40A77">
        <w:rPr>
          <w:color w:val="000000" w:themeColor="text1"/>
        </w:rPr>
        <w:t xml:space="preserve"> taken into account by the Court in passing </w:t>
      </w:r>
      <w:hyperlink w:anchor="_2.1—Definitions" w:history="1">
        <w:r w:rsidR="00596ADA" w:rsidRPr="00B40A77">
          <w:rPr>
            <w:rStyle w:val="Hyperlink"/>
            <w:color w:val="000000" w:themeColor="text1"/>
          </w:rPr>
          <w:t>sentence</w:t>
        </w:r>
      </w:hyperlink>
      <w:r w:rsidR="00F74EAE" w:rsidRPr="00B40A77">
        <w:rPr>
          <w:color w:val="000000" w:themeColor="text1"/>
        </w:rPr>
        <w:t xml:space="preserve"> under section</w:t>
      </w:r>
      <w:r w:rsidR="00EF1FED" w:rsidRPr="00B40A77">
        <w:rPr>
          <w:color w:val="000000" w:themeColor="text1"/>
        </w:rPr>
        <w:t> </w:t>
      </w:r>
      <w:r w:rsidR="00F74EAE" w:rsidRPr="00B40A77">
        <w:rPr>
          <w:color w:val="000000" w:themeColor="text1"/>
        </w:rPr>
        <w:t>16BA of the Crimes Act, a list of additional charges in the prescribed form in compliance with this rule must be filed.</w:t>
      </w:r>
    </w:p>
    <w:p w14:paraId="3D2C4E42" w14:textId="77777777" w:rsidR="008C320C" w:rsidRPr="00B40A77" w:rsidRDefault="008C320C" w:rsidP="00350BCC">
      <w:pPr>
        <w:pStyle w:val="NoteHeader"/>
        <w:keepNext/>
        <w:rPr>
          <w:color w:val="000000" w:themeColor="text1"/>
        </w:rPr>
      </w:pPr>
      <w:r w:rsidRPr="00B40A77">
        <w:rPr>
          <w:color w:val="000000" w:themeColor="text1"/>
        </w:rPr>
        <w:t>Prescribed form—</w:t>
      </w:r>
    </w:p>
    <w:p w14:paraId="67C3178F" w14:textId="719F3EF4" w:rsidR="008C320C" w:rsidRPr="00B40A77" w:rsidRDefault="008C320C" w:rsidP="00BC23E5">
      <w:pPr>
        <w:pStyle w:val="NoteText"/>
        <w:rPr>
          <w:color w:val="000000" w:themeColor="text1"/>
        </w:rPr>
      </w:pPr>
      <w:r w:rsidRPr="00B40A77">
        <w:rPr>
          <w:color w:val="000000" w:themeColor="text1"/>
        </w:rPr>
        <w:t>F</w:t>
      </w:r>
      <w:r w:rsidR="00F74EAE" w:rsidRPr="00B40A77">
        <w:rPr>
          <w:color w:val="000000" w:themeColor="text1"/>
        </w:rPr>
        <w:t xml:space="preserve">orm 55 </w:t>
      </w:r>
      <w:hyperlink r:id="rId238" w:history="1">
        <w:r w:rsidR="00F74EAE" w:rsidRPr="00B40A77">
          <w:rPr>
            <w:rStyle w:val="Hyperlink"/>
            <w:color w:val="000000" w:themeColor="text1"/>
          </w:rPr>
          <w:t>List of Additional Charges</w:t>
        </w:r>
        <w:r w:rsidR="00D61AFC" w:rsidRPr="00B40A77">
          <w:rPr>
            <w:rStyle w:val="Hyperlink"/>
            <w:color w:val="000000" w:themeColor="text1"/>
          </w:rPr>
          <w:t xml:space="preserve"> (Commonwealth)</w:t>
        </w:r>
      </w:hyperlink>
    </w:p>
    <w:p w14:paraId="063AF96E" w14:textId="3DE4C634" w:rsidR="00EE6101" w:rsidRPr="00B40A77" w:rsidRDefault="00EE6101" w:rsidP="00EE6101">
      <w:pPr>
        <w:pStyle w:val="Hangindent"/>
        <w:rPr>
          <w:color w:val="000000" w:themeColor="text1"/>
        </w:rPr>
      </w:pPr>
      <w:r w:rsidRPr="00B40A77">
        <w:rPr>
          <w:color w:val="000000" w:themeColor="text1"/>
        </w:rPr>
        <w:t>(2)</w:t>
      </w:r>
      <w:r w:rsidRPr="00B40A77">
        <w:rPr>
          <w:color w:val="000000" w:themeColor="text1"/>
        </w:rPr>
        <w:tab/>
        <w:t>A list of additional charges must</w:t>
      </w:r>
      <w:r w:rsidR="00CC3724" w:rsidRPr="00B40A77">
        <w:rPr>
          <w:color w:val="000000" w:themeColor="text1"/>
        </w:rPr>
        <w:t xml:space="preserve"> be signed by</w:t>
      </w:r>
      <w:r w:rsidR="00CC3724" w:rsidRPr="00B40A77">
        <w:rPr>
          <w:color w:val="000000" w:themeColor="text1"/>
          <w:lang w:val="en-US"/>
        </w:rPr>
        <w:t>—</w:t>
      </w:r>
    </w:p>
    <w:p w14:paraId="76E84769" w14:textId="21127837" w:rsidR="00CC3724" w:rsidRPr="00B40A77" w:rsidRDefault="00CC3724" w:rsidP="00EE6101">
      <w:pPr>
        <w:pStyle w:val="Doublehangindent"/>
        <w:rPr>
          <w:color w:val="000000" w:themeColor="text1"/>
        </w:rPr>
      </w:pPr>
      <w:r w:rsidRPr="00B40A77">
        <w:rPr>
          <w:color w:val="000000" w:themeColor="text1"/>
          <w:lang w:val="en-US"/>
        </w:rPr>
        <w:t>(a)</w:t>
      </w:r>
      <w:r w:rsidRPr="00B40A77">
        <w:rPr>
          <w:color w:val="000000" w:themeColor="text1"/>
          <w:lang w:val="en-US"/>
        </w:rPr>
        <w:tab/>
        <w:t xml:space="preserve">the Commonwealth </w:t>
      </w:r>
      <w:r w:rsidRPr="00B40A77">
        <w:rPr>
          <w:color w:val="000000" w:themeColor="text1"/>
        </w:rPr>
        <w:t xml:space="preserve">Director of Public Prosecutions, a person authorised in writing by the Director to sign documents </w:t>
      </w:r>
      <w:r w:rsidR="00CA1FF8" w:rsidRPr="00B40A77">
        <w:rPr>
          <w:color w:val="000000" w:themeColor="text1"/>
        </w:rPr>
        <w:t xml:space="preserve">under </w:t>
      </w:r>
      <w:r w:rsidRPr="00B40A77">
        <w:rPr>
          <w:color w:val="000000" w:themeColor="text1"/>
        </w:rPr>
        <w:t>section</w:t>
      </w:r>
      <w:r w:rsidR="00EF1FED" w:rsidRPr="00B40A77">
        <w:rPr>
          <w:color w:val="000000" w:themeColor="text1"/>
        </w:rPr>
        <w:t> </w:t>
      </w:r>
      <w:r w:rsidRPr="00B40A77">
        <w:rPr>
          <w:color w:val="000000" w:themeColor="text1"/>
        </w:rPr>
        <w:t>16BA(1)</w:t>
      </w:r>
      <w:r w:rsidR="00BD77F3" w:rsidRPr="00B40A77">
        <w:rPr>
          <w:color w:val="000000" w:themeColor="text1"/>
        </w:rPr>
        <w:t>(c)</w:t>
      </w:r>
      <w:r w:rsidRPr="00B40A77">
        <w:rPr>
          <w:color w:val="000000" w:themeColor="text1"/>
        </w:rPr>
        <w:t xml:space="preserve"> of the </w:t>
      </w:r>
      <w:bookmarkStart w:id="872" w:name="_Hlk97116626"/>
      <w:r w:rsidR="00CA1FF8" w:rsidRPr="00B40A77">
        <w:rPr>
          <w:color w:val="000000" w:themeColor="text1"/>
        </w:rPr>
        <w:t>Crimes Act</w:t>
      </w:r>
      <w:bookmarkEnd w:id="872"/>
      <w:r w:rsidR="00CA1FF8" w:rsidRPr="00B40A77">
        <w:rPr>
          <w:color w:val="000000" w:themeColor="text1"/>
        </w:rPr>
        <w:t xml:space="preserve"> or a</w:t>
      </w:r>
      <w:r w:rsidRPr="00B40A77">
        <w:rPr>
          <w:color w:val="000000" w:themeColor="text1"/>
        </w:rPr>
        <w:t xml:space="preserve"> person appointed under section</w:t>
      </w:r>
      <w:r w:rsidR="00EF1FED" w:rsidRPr="00B40A77">
        <w:rPr>
          <w:color w:val="000000" w:themeColor="text1"/>
        </w:rPr>
        <w:t> </w:t>
      </w:r>
      <w:r w:rsidRPr="00B40A77">
        <w:rPr>
          <w:color w:val="000000" w:themeColor="text1"/>
        </w:rPr>
        <w:t xml:space="preserve">69 of the </w:t>
      </w:r>
      <w:r w:rsidRPr="00B40A77">
        <w:rPr>
          <w:i/>
          <w:color w:val="000000" w:themeColor="text1"/>
        </w:rPr>
        <w:t>Judiciary Act 1903</w:t>
      </w:r>
      <w:r w:rsidRPr="00B40A77">
        <w:rPr>
          <w:color w:val="000000" w:themeColor="text1"/>
        </w:rPr>
        <w:t xml:space="preserve"> (Cth)</w:t>
      </w:r>
      <w:r w:rsidR="00CA1FF8" w:rsidRPr="00B40A77">
        <w:rPr>
          <w:color w:val="000000" w:themeColor="text1"/>
        </w:rPr>
        <w:t>; and</w:t>
      </w:r>
    </w:p>
    <w:p w14:paraId="72C9E772" w14:textId="4D4B13C7" w:rsidR="00EE6101" w:rsidRPr="00B40A77" w:rsidRDefault="00CA1FF8" w:rsidP="00EE610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C3724" w:rsidRPr="00B40A77">
        <w:rPr>
          <w:color w:val="000000" w:themeColor="text1"/>
          <w:lang w:val="en-US"/>
        </w:rPr>
        <w:t>the defendant or youth</w:t>
      </w:r>
      <w:r w:rsidRPr="00B40A77">
        <w:rPr>
          <w:color w:val="000000" w:themeColor="text1"/>
          <w:lang w:val="en-US"/>
        </w:rPr>
        <w:t>.</w:t>
      </w:r>
    </w:p>
    <w:p w14:paraId="5442A963" w14:textId="77DD1983" w:rsidR="00CA1FF8" w:rsidRPr="00B40A77" w:rsidRDefault="00CA1FF8" w:rsidP="00FD5B44">
      <w:pPr>
        <w:pStyle w:val="Doublehangindent"/>
        <w:tabs>
          <w:tab w:val="left" w:pos="1134"/>
        </w:tabs>
        <w:ind w:left="0" w:firstLine="567"/>
        <w:rPr>
          <w:color w:val="000000" w:themeColor="text1"/>
          <w:lang w:val="en-US"/>
        </w:rPr>
      </w:pPr>
      <w:r w:rsidRPr="00B40A77">
        <w:rPr>
          <w:color w:val="000000" w:themeColor="text1"/>
        </w:rPr>
        <w:t>(3)</w:t>
      </w:r>
      <w:r w:rsidRPr="00B40A77">
        <w:rPr>
          <w:color w:val="000000" w:themeColor="text1"/>
        </w:rPr>
        <w:tab/>
        <w:t>The signed list of additional charges must be given to the defendant or youth.</w:t>
      </w:r>
    </w:p>
    <w:p w14:paraId="6ED6E8A8" w14:textId="6161B271" w:rsidR="00CA1FF8" w:rsidRPr="00B40A77" w:rsidRDefault="00091C86" w:rsidP="00ED2C21">
      <w:pPr>
        <w:pStyle w:val="Heading4"/>
        <w:rPr>
          <w:color w:val="000000" w:themeColor="text1"/>
        </w:rPr>
      </w:pPr>
      <w:bookmarkStart w:id="873" w:name="_Toc175239200"/>
      <w:r w:rsidRPr="00B40A77">
        <w:rPr>
          <w:color w:val="000000" w:themeColor="text1"/>
        </w:rPr>
        <w:t>14</w:t>
      </w:r>
      <w:r w:rsidR="00D3418A" w:rsidRPr="00B40A77">
        <w:rPr>
          <w:color w:val="000000" w:themeColor="text1"/>
        </w:rPr>
        <w:t>5</w:t>
      </w:r>
      <w:r w:rsidR="00CA1FF8" w:rsidRPr="00B40A77">
        <w:rPr>
          <w:color w:val="000000" w:themeColor="text1"/>
        </w:rPr>
        <w:t xml:space="preserve">.2—Taking into account other </w:t>
      </w:r>
      <w:r w:rsidR="00454228" w:rsidRPr="00B40A77">
        <w:rPr>
          <w:color w:val="000000" w:themeColor="text1"/>
        </w:rPr>
        <w:t xml:space="preserve">federal </w:t>
      </w:r>
      <w:r w:rsidR="00CA1FF8" w:rsidRPr="00B40A77">
        <w:rPr>
          <w:color w:val="000000" w:themeColor="text1"/>
        </w:rPr>
        <w:t>offences</w:t>
      </w:r>
      <w:bookmarkEnd w:id="873"/>
    </w:p>
    <w:p w14:paraId="45A874A2" w14:textId="5CD55D47" w:rsidR="00CA1FF8" w:rsidRPr="00B40A77" w:rsidRDefault="00CA1FF8" w:rsidP="00CD1B1D">
      <w:pPr>
        <w:pStyle w:val="Hangindent"/>
        <w:keepNext/>
        <w:ind w:left="567" w:firstLine="0"/>
        <w:rPr>
          <w:color w:val="000000" w:themeColor="text1"/>
        </w:rPr>
      </w:pPr>
      <w:r w:rsidRPr="00B40A77">
        <w:rPr>
          <w:color w:val="000000" w:themeColor="text1"/>
        </w:rPr>
        <w:t xml:space="preserve">If a list of additional charges has been filed and given to the defendant or youth </w:t>
      </w:r>
      <w:r w:rsidR="00091C86" w:rsidRPr="00B40A77">
        <w:rPr>
          <w:color w:val="000000" w:themeColor="text1"/>
        </w:rPr>
        <w:t xml:space="preserve">in compliance with </w:t>
      </w:r>
      <w:hyperlink w:anchor="_144.1—Request_to_take" w:history="1">
        <w:r w:rsidR="00091C86" w:rsidRPr="00B40A77">
          <w:rPr>
            <w:rStyle w:val="Hyperlink"/>
            <w:color w:val="000000" w:themeColor="text1"/>
          </w:rPr>
          <w:t>rule 14</w:t>
        </w:r>
        <w:r w:rsidR="00F6005C" w:rsidRPr="00B40A77">
          <w:rPr>
            <w:rStyle w:val="Hyperlink"/>
            <w:color w:val="000000" w:themeColor="text1"/>
          </w:rPr>
          <w:t>5</w:t>
        </w:r>
        <w:r w:rsidRPr="00B40A77">
          <w:rPr>
            <w:rStyle w:val="Hyperlink"/>
            <w:color w:val="000000" w:themeColor="text1"/>
          </w:rPr>
          <w:t>.1</w:t>
        </w:r>
      </w:hyperlink>
      <w:r w:rsidR="00091C86" w:rsidRPr="00B40A77">
        <w:rPr>
          <w:color w:val="000000" w:themeColor="text1"/>
        </w:rPr>
        <w:t xml:space="preserve"> and </w:t>
      </w:r>
      <w:r w:rsidR="00BD6C75" w:rsidRPr="00B40A77">
        <w:rPr>
          <w:color w:val="000000" w:themeColor="text1"/>
        </w:rPr>
        <w:t xml:space="preserve">the Court </w:t>
      </w:r>
      <w:r w:rsidR="00C866BF" w:rsidRPr="00B40A77">
        <w:rPr>
          <w:color w:val="000000" w:themeColor="text1"/>
        </w:rPr>
        <w:t xml:space="preserve">takes into account the additional offences in </w:t>
      </w:r>
      <w:r w:rsidR="00870F9B" w:rsidRPr="00B40A77">
        <w:rPr>
          <w:color w:val="000000" w:themeColor="text1"/>
        </w:rPr>
        <w:t xml:space="preserve">passing </w:t>
      </w:r>
      <w:hyperlink w:anchor="_2.1—Definitions" w:history="1">
        <w:r w:rsidR="00596ADA" w:rsidRPr="00B40A77">
          <w:rPr>
            <w:rStyle w:val="Hyperlink"/>
            <w:color w:val="000000" w:themeColor="text1"/>
          </w:rPr>
          <w:t>sentence</w:t>
        </w:r>
      </w:hyperlink>
      <w:r w:rsidR="00870F9B" w:rsidRPr="00B40A77">
        <w:rPr>
          <w:color w:val="000000" w:themeColor="text1"/>
        </w:rPr>
        <w:t xml:space="preserve"> for the offence of which defendant or youth has been convicted, </w:t>
      </w:r>
      <w:r w:rsidR="00BD6C75" w:rsidRPr="00B40A77">
        <w:rPr>
          <w:color w:val="000000" w:themeColor="text1"/>
        </w:rPr>
        <w:t xml:space="preserve">the </w:t>
      </w:r>
      <w:r w:rsidR="00870F9B" w:rsidRPr="00B40A77">
        <w:rPr>
          <w:color w:val="000000" w:themeColor="text1"/>
        </w:rPr>
        <w:t>C</w:t>
      </w:r>
      <w:r w:rsidR="00BD6C75" w:rsidRPr="00B40A77">
        <w:rPr>
          <w:color w:val="000000" w:themeColor="text1"/>
        </w:rPr>
        <w:t>ourt</w:t>
      </w:r>
      <w:r w:rsidR="00870F9B" w:rsidRPr="00B40A77">
        <w:rPr>
          <w:color w:val="000000" w:themeColor="text1"/>
        </w:rPr>
        <w:t xml:space="preserve"> wi</w:t>
      </w:r>
      <w:r w:rsidR="00BD6C75" w:rsidRPr="00B40A77">
        <w:rPr>
          <w:color w:val="000000" w:themeColor="text1"/>
        </w:rPr>
        <w:t xml:space="preserve">ll certify, upon </w:t>
      </w:r>
      <w:r w:rsidR="00BD6C75" w:rsidRPr="00B40A77">
        <w:rPr>
          <w:color w:val="000000" w:themeColor="text1"/>
        </w:rPr>
        <w:lastRenderedPageBreak/>
        <w:t xml:space="preserve">the document filed in the </w:t>
      </w:r>
      <w:r w:rsidR="00091C86" w:rsidRPr="00B40A77">
        <w:rPr>
          <w:color w:val="000000" w:themeColor="text1"/>
        </w:rPr>
        <w:t>C</w:t>
      </w:r>
      <w:r w:rsidR="00BD6C75" w:rsidRPr="00B40A77">
        <w:rPr>
          <w:color w:val="000000" w:themeColor="text1"/>
        </w:rPr>
        <w:t>ourt, the offence</w:t>
      </w:r>
      <w:r w:rsidR="00870F9B" w:rsidRPr="00B40A77">
        <w:rPr>
          <w:color w:val="000000" w:themeColor="text1"/>
        </w:rPr>
        <w:t>s</w:t>
      </w:r>
      <w:r w:rsidR="00BD6C75" w:rsidRPr="00B40A77">
        <w:rPr>
          <w:color w:val="000000" w:themeColor="text1"/>
        </w:rPr>
        <w:t xml:space="preserve"> taken into account and the conviction in respect of which the offenc</w:t>
      </w:r>
      <w:r w:rsidR="00644D57" w:rsidRPr="00B40A77">
        <w:rPr>
          <w:color w:val="000000" w:themeColor="text1"/>
        </w:rPr>
        <w:t>es</w:t>
      </w:r>
      <w:r w:rsidR="00BD6C75" w:rsidRPr="00B40A77">
        <w:rPr>
          <w:color w:val="000000" w:themeColor="text1"/>
        </w:rPr>
        <w:t xml:space="preserve"> w</w:t>
      </w:r>
      <w:r w:rsidR="00644D57" w:rsidRPr="00B40A77">
        <w:rPr>
          <w:color w:val="000000" w:themeColor="text1"/>
        </w:rPr>
        <w:t>ere</w:t>
      </w:r>
      <w:r w:rsidR="00BD6C75" w:rsidRPr="00B40A77">
        <w:rPr>
          <w:color w:val="000000" w:themeColor="text1"/>
        </w:rPr>
        <w:t xml:space="preserve"> taken into account</w:t>
      </w:r>
      <w:r w:rsidRPr="00B40A77">
        <w:rPr>
          <w:color w:val="000000" w:themeColor="text1"/>
        </w:rPr>
        <w:t>.</w:t>
      </w:r>
    </w:p>
    <w:p w14:paraId="6A8F5193" w14:textId="77777777" w:rsidR="00CA1FF8" w:rsidRPr="00B40A77" w:rsidRDefault="00CA1FF8" w:rsidP="00CD1B1D">
      <w:pPr>
        <w:pStyle w:val="NoteHeader"/>
        <w:keepNext/>
        <w:ind w:left="567"/>
        <w:rPr>
          <w:color w:val="000000" w:themeColor="text1"/>
        </w:rPr>
      </w:pPr>
      <w:r w:rsidRPr="00B40A77">
        <w:rPr>
          <w:color w:val="000000" w:themeColor="text1"/>
        </w:rPr>
        <w:t>Prescribed form—</w:t>
      </w:r>
    </w:p>
    <w:p w14:paraId="173975BB" w14:textId="006855FF" w:rsidR="00CA1FF8" w:rsidRPr="00B40A77" w:rsidRDefault="00CA1FF8" w:rsidP="00BC23E5">
      <w:pPr>
        <w:pStyle w:val="NoteText"/>
        <w:ind w:left="850"/>
        <w:rPr>
          <w:color w:val="000000" w:themeColor="text1"/>
        </w:rPr>
      </w:pPr>
      <w:r w:rsidRPr="00B40A77">
        <w:rPr>
          <w:color w:val="000000" w:themeColor="text1"/>
        </w:rPr>
        <w:t>Form 55</w:t>
      </w:r>
      <w:hyperlink r:id="rId239" w:history="1">
        <w:r w:rsidRPr="00B40A77">
          <w:rPr>
            <w:rStyle w:val="Hyperlink"/>
            <w:color w:val="000000" w:themeColor="text1"/>
          </w:rPr>
          <w:t xml:space="preserve"> List of Additional Charges</w:t>
        </w:r>
        <w:r w:rsidR="00DE0FC4" w:rsidRPr="00B40A77">
          <w:rPr>
            <w:rStyle w:val="Hyperlink"/>
            <w:color w:val="000000" w:themeColor="text1"/>
          </w:rPr>
          <w:t xml:space="preserve"> (Commonwealth</w:t>
        </w:r>
      </w:hyperlink>
      <w:r w:rsidR="00DE0FC4" w:rsidRPr="00B40A77">
        <w:rPr>
          <w:color w:val="000000" w:themeColor="text1"/>
          <w:u w:val="single"/>
        </w:rPr>
        <w:t>)</w:t>
      </w:r>
    </w:p>
    <w:p w14:paraId="70E6A94E" w14:textId="7284A610" w:rsidR="009C20D0" w:rsidRPr="00B40A77" w:rsidRDefault="009C20D0" w:rsidP="009C20D0">
      <w:pPr>
        <w:pStyle w:val="Heading3"/>
        <w:rPr>
          <w:color w:val="000000" w:themeColor="text1"/>
        </w:rPr>
      </w:pPr>
      <w:bookmarkStart w:id="874" w:name="_Toc175239201"/>
      <w:r w:rsidRPr="00B40A77">
        <w:rPr>
          <w:color w:val="000000" w:themeColor="text1"/>
        </w:rPr>
        <w:t xml:space="preserve">Division </w:t>
      </w:r>
      <w:r w:rsidR="002F307A" w:rsidRPr="00B40A77">
        <w:rPr>
          <w:color w:val="000000" w:themeColor="text1"/>
        </w:rPr>
        <w:t>5</w:t>
      </w:r>
      <w:r w:rsidRPr="00B40A77">
        <w:rPr>
          <w:color w:val="000000" w:themeColor="text1"/>
        </w:rPr>
        <w:t>—Reports requested by the Court</w:t>
      </w:r>
      <w:bookmarkEnd w:id="874"/>
    </w:p>
    <w:p w14:paraId="5BFA1670" w14:textId="36849788" w:rsidR="009C20D0" w:rsidRPr="00B40A77" w:rsidRDefault="00091C86" w:rsidP="00027F6D">
      <w:pPr>
        <w:pStyle w:val="Heading4"/>
        <w:rPr>
          <w:color w:val="000000" w:themeColor="text1"/>
        </w:rPr>
      </w:pPr>
      <w:bookmarkStart w:id="875" w:name="_Toc175239202"/>
      <w:r w:rsidRPr="00B40A77">
        <w:rPr>
          <w:color w:val="000000" w:themeColor="text1"/>
        </w:rPr>
        <w:t>14</w:t>
      </w:r>
      <w:r w:rsidR="00D3418A" w:rsidRPr="00B40A77">
        <w:rPr>
          <w:color w:val="000000" w:themeColor="text1"/>
        </w:rPr>
        <w:t>6</w:t>
      </w:r>
      <w:r w:rsidR="009C20D0" w:rsidRPr="00B40A77">
        <w:rPr>
          <w:color w:val="000000" w:themeColor="text1"/>
        </w:rPr>
        <w:t>.1—Requests for reports</w:t>
      </w:r>
      <w:bookmarkEnd w:id="875"/>
    </w:p>
    <w:p w14:paraId="1B9997DB" w14:textId="0251F006" w:rsidR="00760302" w:rsidRPr="00B40A77" w:rsidRDefault="00645EB5" w:rsidP="00CD1B1D">
      <w:pPr>
        <w:pStyle w:val="IndentedPara"/>
        <w:keepNext/>
        <w:rPr>
          <w:color w:val="000000" w:themeColor="text1"/>
        </w:rPr>
      </w:pPr>
      <w:r w:rsidRPr="00B40A77">
        <w:rPr>
          <w:color w:val="000000" w:themeColor="text1"/>
        </w:rPr>
        <w:t>A request by the Court for a</w:t>
      </w:r>
      <w:r w:rsidR="00760302" w:rsidRPr="00B40A77">
        <w:rPr>
          <w:color w:val="000000" w:themeColor="text1"/>
        </w:rPr>
        <w:t xml:space="preserve"> report </w:t>
      </w:r>
      <w:r w:rsidRPr="00B40A77">
        <w:rPr>
          <w:color w:val="000000" w:themeColor="text1"/>
        </w:rPr>
        <w:t>for the purpose of sentencing</w:t>
      </w:r>
      <w:r w:rsidR="00760302" w:rsidRPr="00B40A77">
        <w:rPr>
          <w:color w:val="000000" w:themeColor="text1"/>
        </w:rPr>
        <w:t xml:space="preserve"> must be in the prescribed form.</w:t>
      </w:r>
    </w:p>
    <w:p w14:paraId="549B8CA7" w14:textId="46C48B19" w:rsidR="00471EB8" w:rsidRPr="00B40A77" w:rsidRDefault="00471EB8" w:rsidP="00CD1B1D">
      <w:pPr>
        <w:pStyle w:val="NoteHeader"/>
        <w:keepNext/>
        <w:ind w:left="567"/>
        <w:rPr>
          <w:color w:val="000000" w:themeColor="text1"/>
        </w:rPr>
      </w:pPr>
      <w:r w:rsidRPr="00B40A77">
        <w:rPr>
          <w:color w:val="000000" w:themeColor="text1"/>
        </w:rPr>
        <w:t>Prescribed form—</w:t>
      </w:r>
    </w:p>
    <w:p w14:paraId="7DB4183A" w14:textId="3DB7CC03" w:rsidR="005A1B66" w:rsidRPr="00B40A77" w:rsidRDefault="005A1B66" w:rsidP="00BC23E5">
      <w:pPr>
        <w:pStyle w:val="NoteText"/>
        <w:ind w:left="851"/>
        <w:rPr>
          <w:color w:val="000000" w:themeColor="text1"/>
        </w:rPr>
      </w:pPr>
      <w:r w:rsidRPr="00B40A77">
        <w:rPr>
          <w:color w:val="000000" w:themeColor="text1"/>
        </w:rPr>
        <w:t xml:space="preserve">Form 23 </w:t>
      </w:r>
      <w:hyperlink r:id="rId240" w:history="1">
        <w:r w:rsidRPr="00B40A77">
          <w:rPr>
            <w:rStyle w:val="Hyperlink"/>
            <w:color w:val="000000" w:themeColor="text1"/>
          </w:rPr>
          <w:t xml:space="preserve">Report </w:t>
        </w:r>
        <w:r w:rsidR="00DE0FC4" w:rsidRPr="00B40A77">
          <w:rPr>
            <w:rStyle w:val="Hyperlink"/>
            <w:color w:val="000000" w:themeColor="text1"/>
          </w:rPr>
          <w:t>R</w:t>
        </w:r>
        <w:r w:rsidRPr="00B40A77">
          <w:rPr>
            <w:rStyle w:val="Hyperlink"/>
            <w:color w:val="000000" w:themeColor="text1"/>
          </w:rPr>
          <w:t xml:space="preserve">equest </w:t>
        </w:r>
        <w:r w:rsidR="00DE0FC4" w:rsidRPr="00B40A77">
          <w:rPr>
            <w:rStyle w:val="Hyperlink"/>
            <w:color w:val="000000" w:themeColor="text1"/>
          </w:rPr>
          <w:t>F</w:t>
        </w:r>
        <w:r w:rsidRPr="00B40A77">
          <w:rPr>
            <w:rStyle w:val="Hyperlink"/>
            <w:color w:val="000000" w:themeColor="text1"/>
          </w:rPr>
          <w:t>orm – Generic Report</w:t>
        </w:r>
      </w:hyperlink>
    </w:p>
    <w:p w14:paraId="2CB2D9D8" w14:textId="430774B8" w:rsidR="000958B5" w:rsidRPr="00B40A77" w:rsidRDefault="002F307A" w:rsidP="00BC23E5">
      <w:pPr>
        <w:pStyle w:val="NoteText"/>
        <w:ind w:left="851"/>
        <w:rPr>
          <w:color w:val="000000" w:themeColor="text1"/>
          <w:lang w:val="en-US"/>
        </w:rPr>
      </w:pPr>
      <w:r w:rsidRPr="00B40A77">
        <w:rPr>
          <w:color w:val="000000" w:themeColor="text1"/>
          <w:lang w:val="en-US"/>
        </w:rPr>
        <w:t>[</w:t>
      </w:r>
      <w:r w:rsidR="005A1B66" w:rsidRPr="00B40A77">
        <w:rPr>
          <w:color w:val="000000" w:themeColor="text1"/>
          <w:lang w:val="en-US"/>
        </w:rPr>
        <w:t>Form 23A</w:t>
      </w:r>
      <w:r w:rsidR="000958B5" w:rsidRPr="00B40A77">
        <w:rPr>
          <w:color w:val="000000" w:themeColor="text1"/>
          <w:lang w:val="en-US"/>
        </w:rPr>
        <w:t xml:space="preserve"> </w:t>
      </w:r>
      <w:hyperlink r:id="rId241" w:history="1">
        <w:r w:rsidR="000958B5" w:rsidRPr="00B40A77">
          <w:rPr>
            <w:rStyle w:val="Hyperlink"/>
            <w:color w:val="000000" w:themeColor="text1"/>
            <w:lang w:val="en-US"/>
          </w:rPr>
          <w:t>Report Request Form - Bai</w:t>
        </w:r>
        <w:r w:rsidR="00DE0FC4" w:rsidRPr="00B40A77">
          <w:rPr>
            <w:rStyle w:val="Hyperlink"/>
            <w:color w:val="000000" w:themeColor="text1"/>
            <w:lang w:val="en-US"/>
          </w:rPr>
          <w:t>l</w:t>
        </w:r>
        <w:r w:rsidR="000958B5" w:rsidRPr="00B40A77">
          <w:rPr>
            <w:rStyle w:val="Hyperlink"/>
            <w:color w:val="000000" w:themeColor="text1"/>
            <w:lang w:val="en-US"/>
          </w:rPr>
          <w:t xml:space="preserve"> Enquiry</w:t>
        </w:r>
      </w:hyperlink>
      <w:hyperlink r:id="rId242" w:history="1">
        <w:r w:rsidR="000958B5" w:rsidRPr="00B40A77">
          <w:rPr>
            <w:rStyle w:val="Hyperlink"/>
            <w:color w:val="000000" w:themeColor="text1"/>
            <w:lang w:val="en-US"/>
          </w:rPr>
          <w:t xml:space="preserve"> Report</w:t>
        </w:r>
      </w:hyperlink>
      <w:r w:rsidR="001C422B" w:rsidRPr="00B40A77">
        <w:rPr>
          <w:color w:val="000000" w:themeColor="text1"/>
          <w:lang w:val="en-US"/>
        </w:rPr>
        <w:t>]</w:t>
      </w:r>
    </w:p>
    <w:p w14:paraId="645C030A" w14:textId="101584C6" w:rsidR="000958B5" w:rsidRPr="00B40A77" w:rsidRDefault="001C422B" w:rsidP="00BC23E5">
      <w:pPr>
        <w:pStyle w:val="NoteText"/>
        <w:ind w:left="851"/>
        <w:rPr>
          <w:color w:val="000000" w:themeColor="text1"/>
          <w:lang w:val="en-US"/>
        </w:rPr>
      </w:pPr>
      <w:r w:rsidRPr="00B40A77">
        <w:rPr>
          <w:color w:val="000000" w:themeColor="text1"/>
          <w:lang w:val="en-US"/>
        </w:rPr>
        <w:t>[</w:t>
      </w:r>
      <w:r w:rsidR="005A1B66" w:rsidRPr="00B40A77">
        <w:rPr>
          <w:color w:val="000000" w:themeColor="text1"/>
          <w:lang w:val="en-US"/>
        </w:rPr>
        <w:t>Form 23B</w:t>
      </w:r>
      <w:r w:rsidR="000958B5" w:rsidRPr="00B40A77">
        <w:rPr>
          <w:color w:val="000000" w:themeColor="text1"/>
          <w:lang w:val="en-US"/>
        </w:rPr>
        <w:t xml:space="preserve"> </w:t>
      </w:r>
      <w:hyperlink r:id="rId243" w:history="1">
        <w:r w:rsidR="000958B5" w:rsidRPr="00B40A77">
          <w:rPr>
            <w:rStyle w:val="Hyperlink"/>
            <w:color w:val="000000" w:themeColor="text1"/>
            <w:lang w:val="en-US"/>
          </w:rPr>
          <w:t>Report Request Form - Bail Enquiry (Home Detention) Report</w:t>
        </w:r>
      </w:hyperlink>
      <w:r w:rsidRPr="00B40A77">
        <w:rPr>
          <w:color w:val="000000" w:themeColor="text1"/>
          <w:lang w:val="en-US"/>
        </w:rPr>
        <w:t>]</w:t>
      </w:r>
    </w:p>
    <w:p w14:paraId="38ED9317" w14:textId="24934FD0" w:rsidR="000958B5" w:rsidRPr="00B40A77" w:rsidRDefault="001C422B" w:rsidP="00BC23E5">
      <w:pPr>
        <w:pStyle w:val="NoteText"/>
        <w:ind w:left="851"/>
        <w:rPr>
          <w:color w:val="000000" w:themeColor="text1"/>
          <w:lang w:val="en-US"/>
        </w:rPr>
      </w:pPr>
      <w:r w:rsidRPr="00B40A77">
        <w:rPr>
          <w:color w:val="000000" w:themeColor="text1"/>
          <w:lang w:val="en-US"/>
        </w:rPr>
        <w:t>[</w:t>
      </w:r>
      <w:r w:rsidR="005A1B66" w:rsidRPr="00B40A77">
        <w:rPr>
          <w:color w:val="000000" w:themeColor="text1"/>
          <w:lang w:val="en-US"/>
        </w:rPr>
        <w:t>Form 23C</w:t>
      </w:r>
      <w:r w:rsidR="000958B5" w:rsidRPr="00B40A77">
        <w:rPr>
          <w:color w:val="000000" w:themeColor="text1"/>
          <w:lang w:val="en-US"/>
        </w:rPr>
        <w:t xml:space="preserve"> </w:t>
      </w:r>
      <w:hyperlink r:id="rId244" w:history="1">
        <w:r w:rsidR="000958B5" w:rsidRPr="00B40A77">
          <w:rPr>
            <w:rStyle w:val="Hyperlink"/>
            <w:color w:val="000000" w:themeColor="text1"/>
            <w:lang w:val="en-US"/>
          </w:rPr>
          <w:t>Report Request Form - Bail Remand Information Report (Youth)</w:t>
        </w:r>
      </w:hyperlink>
      <w:r w:rsidRPr="00B40A77">
        <w:rPr>
          <w:color w:val="000000" w:themeColor="text1"/>
          <w:lang w:val="en-US"/>
        </w:rPr>
        <w:t>]</w:t>
      </w:r>
    </w:p>
    <w:p w14:paraId="0D30A7E2" w14:textId="426994A9" w:rsidR="000958B5" w:rsidRPr="00B40A77" w:rsidRDefault="001C422B" w:rsidP="00BC23E5">
      <w:pPr>
        <w:pStyle w:val="NoteText"/>
        <w:ind w:left="851"/>
        <w:rPr>
          <w:color w:val="000000" w:themeColor="text1"/>
          <w:lang w:val="en-US"/>
        </w:rPr>
      </w:pPr>
      <w:r w:rsidRPr="00B40A77">
        <w:rPr>
          <w:color w:val="000000" w:themeColor="text1"/>
          <w:lang w:val="en-US"/>
        </w:rPr>
        <w:t>[</w:t>
      </w:r>
      <w:r w:rsidR="005A1B66" w:rsidRPr="00B40A77">
        <w:rPr>
          <w:color w:val="000000" w:themeColor="text1"/>
          <w:lang w:val="en-US"/>
        </w:rPr>
        <w:t>Form 23D</w:t>
      </w:r>
      <w:r w:rsidR="000958B5" w:rsidRPr="00B40A77">
        <w:rPr>
          <w:color w:val="000000" w:themeColor="text1"/>
          <w:lang w:val="en-US"/>
        </w:rPr>
        <w:t xml:space="preserve"> </w:t>
      </w:r>
      <w:hyperlink r:id="rId245" w:history="1">
        <w:r w:rsidR="000958B5" w:rsidRPr="00B40A77">
          <w:rPr>
            <w:rStyle w:val="Hyperlink"/>
            <w:color w:val="000000" w:themeColor="text1"/>
            <w:lang w:val="en-US"/>
          </w:rPr>
          <w:t>Report Request Form - Bail Enquiry (Home Detention Youth) Report (Youth)</w:t>
        </w:r>
      </w:hyperlink>
      <w:r w:rsidRPr="00B40A77">
        <w:rPr>
          <w:color w:val="000000" w:themeColor="text1"/>
          <w:lang w:val="en-US"/>
        </w:rPr>
        <w:t>]</w:t>
      </w:r>
    </w:p>
    <w:p w14:paraId="6E6FBBE8" w14:textId="6778F6C7" w:rsidR="00471EB8" w:rsidRPr="00B40A77" w:rsidRDefault="001C422B" w:rsidP="00BC23E5">
      <w:pPr>
        <w:pStyle w:val="NoteText"/>
        <w:ind w:left="851"/>
        <w:rPr>
          <w:color w:val="000000" w:themeColor="text1"/>
        </w:rPr>
      </w:pPr>
      <w:r w:rsidRPr="00B40A77">
        <w:rPr>
          <w:color w:val="000000" w:themeColor="text1"/>
        </w:rPr>
        <w:t>[</w:t>
      </w:r>
      <w:r w:rsidR="00471EB8" w:rsidRPr="00B40A77">
        <w:rPr>
          <w:color w:val="000000" w:themeColor="text1"/>
        </w:rPr>
        <w:t xml:space="preserve">Form 135 </w:t>
      </w:r>
      <w:hyperlink r:id="rId246" w:history="1">
        <w:r w:rsidR="00471EB8" w:rsidRPr="00B40A77">
          <w:rPr>
            <w:rStyle w:val="Hyperlink"/>
            <w:color w:val="000000" w:themeColor="text1"/>
          </w:rPr>
          <w:t xml:space="preserve">Report </w:t>
        </w:r>
        <w:r w:rsidR="00023790" w:rsidRPr="00B40A77">
          <w:rPr>
            <w:rStyle w:val="Hyperlink"/>
            <w:color w:val="000000" w:themeColor="text1"/>
          </w:rPr>
          <w:t>R</w:t>
        </w:r>
        <w:r w:rsidR="00471EB8" w:rsidRPr="00B40A77">
          <w:rPr>
            <w:rStyle w:val="Hyperlink"/>
            <w:color w:val="000000" w:themeColor="text1"/>
          </w:rPr>
          <w:t xml:space="preserve">equest </w:t>
        </w:r>
        <w:r w:rsidR="00DE0FC4" w:rsidRPr="00B40A77">
          <w:rPr>
            <w:rStyle w:val="Hyperlink"/>
            <w:color w:val="000000" w:themeColor="text1"/>
          </w:rPr>
          <w:t>F</w:t>
        </w:r>
        <w:r w:rsidR="00471EB8" w:rsidRPr="00B40A77">
          <w:rPr>
            <w:rStyle w:val="Hyperlink"/>
            <w:color w:val="000000" w:themeColor="text1"/>
          </w:rPr>
          <w:t>orm – Generic Report</w:t>
        </w:r>
      </w:hyperlink>
      <w:r w:rsidRPr="00B40A77">
        <w:rPr>
          <w:color w:val="000000" w:themeColor="text1"/>
        </w:rPr>
        <w:t>]</w:t>
      </w:r>
    </w:p>
    <w:p w14:paraId="4F8899EF" w14:textId="26A012E7" w:rsidR="00471EB8" w:rsidRPr="00B40A77" w:rsidRDefault="001C422B" w:rsidP="00BC23E5">
      <w:pPr>
        <w:pStyle w:val="NoteText"/>
        <w:ind w:left="851"/>
        <w:rPr>
          <w:color w:val="000000" w:themeColor="text1"/>
          <w:lang w:val="en-US"/>
        </w:rPr>
      </w:pPr>
      <w:r w:rsidRPr="00B40A77">
        <w:rPr>
          <w:color w:val="000000" w:themeColor="text1"/>
          <w:lang w:val="en-US"/>
        </w:rPr>
        <w:t>[</w:t>
      </w:r>
      <w:r w:rsidR="00471EB8" w:rsidRPr="00B40A77">
        <w:rPr>
          <w:color w:val="000000" w:themeColor="text1"/>
          <w:lang w:val="en-US"/>
        </w:rPr>
        <w:t xml:space="preserve">Form 135A </w:t>
      </w:r>
      <w:hyperlink r:id="rId247"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Anthropologist Report (Youth)</w:t>
        </w:r>
      </w:hyperlink>
      <w:r w:rsidRPr="00B40A77">
        <w:rPr>
          <w:color w:val="000000" w:themeColor="text1"/>
          <w:lang w:val="en-US"/>
        </w:rPr>
        <w:t>]</w:t>
      </w:r>
    </w:p>
    <w:p w14:paraId="3997EC74" w14:textId="6601DCE4" w:rsidR="00FF1E89"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 xml:space="preserve">Form 135AA </w:t>
      </w:r>
      <w:hyperlink r:id="rId248" w:history="1">
        <w:r w:rsidR="00FF1E89"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FF1E89" w:rsidRPr="00B40A77">
          <w:rPr>
            <w:rStyle w:val="Hyperlink"/>
            <w:color w:val="000000" w:themeColor="text1"/>
            <w:lang w:val="en-US"/>
          </w:rPr>
          <w:t xml:space="preserve"> Supervision Suitability Report (Youth)</w:t>
        </w:r>
      </w:hyperlink>
      <w:r w:rsidRPr="00B40A77">
        <w:rPr>
          <w:color w:val="000000" w:themeColor="text1"/>
          <w:lang w:val="en-US"/>
        </w:rPr>
        <w:t>]</w:t>
      </w:r>
    </w:p>
    <w:p w14:paraId="1456E46D" w14:textId="708400C6" w:rsidR="00FF1E89"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 xml:space="preserve">Form 135AB </w:t>
      </w:r>
      <w:hyperlink r:id="rId249" w:history="1">
        <w:r w:rsidR="00FF1E89"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FF1E89" w:rsidRPr="00B40A77">
          <w:rPr>
            <w:rStyle w:val="Hyperlink"/>
            <w:color w:val="000000" w:themeColor="text1"/>
            <w:lang w:val="en-US"/>
          </w:rPr>
          <w:t xml:space="preserve"> Supervision Suitability Report (Adult Defendant)</w:t>
        </w:r>
      </w:hyperlink>
      <w:r w:rsidRPr="00B40A77">
        <w:rPr>
          <w:color w:val="000000" w:themeColor="text1"/>
          <w:lang w:val="en-US"/>
        </w:rPr>
        <w:t>]</w:t>
      </w:r>
    </w:p>
    <w:p w14:paraId="468639F8" w14:textId="131EA5FE" w:rsidR="00471EB8" w:rsidRPr="00B40A77" w:rsidRDefault="001C422B" w:rsidP="00BC23E5">
      <w:pPr>
        <w:pStyle w:val="NoteText"/>
        <w:ind w:left="851"/>
        <w:rPr>
          <w:color w:val="000000" w:themeColor="text1"/>
          <w:lang w:val="en-US"/>
        </w:rPr>
      </w:pPr>
      <w:r w:rsidRPr="00B40A77">
        <w:rPr>
          <w:color w:val="000000" w:themeColor="text1"/>
          <w:lang w:val="en-US"/>
        </w:rPr>
        <w:t>[</w:t>
      </w:r>
      <w:r w:rsidR="00471EB8" w:rsidRPr="00B40A77">
        <w:rPr>
          <w:color w:val="000000" w:themeColor="text1"/>
          <w:lang w:val="en-US"/>
        </w:rPr>
        <w:t xml:space="preserve">Form 135B </w:t>
      </w:r>
      <w:hyperlink r:id="rId250"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Adolescent Sexual Offender Report</w:t>
        </w:r>
      </w:hyperlink>
      <w:r w:rsidRPr="00B40A77">
        <w:rPr>
          <w:color w:val="000000" w:themeColor="text1"/>
          <w:lang w:val="en-US"/>
        </w:rPr>
        <w:t>]</w:t>
      </w:r>
    </w:p>
    <w:p w14:paraId="2F95E080" w14:textId="19D2B0B5"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135C</w:t>
      </w:r>
      <w:r w:rsidR="00471EB8" w:rsidRPr="00B40A77">
        <w:rPr>
          <w:color w:val="000000" w:themeColor="text1"/>
          <w:lang w:val="en-US"/>
        </w:rPr>
        <w:t xml:space="preserve"> </w:t>
      </w:r>
      <w:hyperlink r:id="rId251"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Community Service Assessment Report (Youth)</w:t>
        </w:r>
      </w:hyperlink>
      <w:r w:rsidRPr="00B40A77">
        <w:rPr>
          <w:color w:val="000000" w:themeColor="text1"/>
          <w:lang w:val="en-US"/>
        </w:rPr>
        <w:t>]</w:t>
      </w:r>
    </w:p>
    <w:p w14:paraId="23D25443" w14:textId="42D1C268"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135D</w:t>
      </w:r>
      <w:r w:rsidR="00471EB8" w:rsidRPr="00B40A77">
        <w:rPr>
          <w:color w:val="000000" w:themeColor="text1"/>
          <w:lang w:val="en-US"/>
        </w:rPr>
        <w:t xml:space="preserve"> </w:t>
      </w:r>
      <w:hyperlink r:id="rId252"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Community Service Assessment Report (Adult Defendant)</w:t>
        </w:r>
      </w:hyperlink>
      <w:r w:rsidRPr="00B40A77">
        <w:rPr>
          <w:color w:val="000000" w:themeColor="text1"/>
          <w:lang w:val="en-US"/>
        </w:rPr>
        <w:t>]</w:t>
      </w:r>
    </w:p>
    <w:p w14:paraId="56F745F0" w14:textId="041BE188"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 xml:space="preserve">Form 135E </w:t>
      </w:r>
      <w:hyperlink r:id="rId253"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Drug and Alcohol Assessment Report (Youth)</w:t>
        </w:r>
      </w:hyperlink>
      <w:r w:rsidRPr="00B40A77">
        <w:rPr>
          <w:color w:val="000000" w:themeColor="text1"/>
          <w:lang w:val="en-US"/>
        </w:rPr>
        <w:t>]</w:t>
      </w:r>
    </w:p>
    <w:p w14:paraId="6742D97C" w14:textId="3CA7D867" w:rsidR="00471EB8" w:rsidRPr="00B40A77" w:rsidRDefault="001C422B" w:rsidP="00BC23E5">
      <w:pPr>
        <w:pStyle w:val="NoteText"/>
        <w:ind w:left="851"/>
        <w:rPr>
          <w:color w:val="000000" w:themeColor="text1"/>
          <w:lang w:val="en-US"/>
        </w:rPr>
      </w:pPr>
      <w:r w:rsidRPr="00B40A77">
        <w:rPr>
          <w:color w:val="000000" w:themeColor="text1"/>
          <w:lang w:val="en-US"/>
        </w:rPr>
        <w:t>[</w:t>
      </w:r>
      <w:r w:rsidR="00471EB8" w:rsidRPr="00B40A77">
        <w:rPr>
          <w:color w:val="000000" w:themeColor="text1"/>
          <w:lang w:val="en-US"/>
        </w:rPr>
        <w:t>Form 135</w:t>
      </w:r>
      <w:r w:rsidR="00FF1E89" w:rsidRPr="00B40A77">
        <w:rPr>
          <w:color w:val="000000" w:themeColor="text1"/>
          <w:lang w:val="en-US"/>
        </w:rPr>
        <w:t>F</w:t>
      </w:r>
      <w:r w:rsidR="00471EB8" w:rsidRPr="00B40A77">
        <w:rPr>
          <w:color w:val="000000" w:themeColor="text1"/>
          <w:lang w:val="en-US"/>
        </w:rPr>
        <w:t xml:space="preserve"> </w:t>
      </w:r>
      <w:hyperlink r:id="rId254"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Drug and Alcohol Assessment Report (Adult Defendant)</w:t>
        </w:r>
      </w:hyperlink>
      <w:r w:rsidRPr="00B40A77">
        <w:rPr>
          <w:color w:val="000000" w:themeColor="text1"/>
          <w:lang w:val="en-US"/>
        </w:rPr>
        <w:t>]</w:t>
      </w:r>
    </w:p>
    <w:p w14:paraId="0A9E46F6" w14:textId="0E25B187"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135G</w:t>
      </w:r>
      <w:r w:rsidR="00471EB8" w:rsidRPr="00B40A77">
        <w:rPr>
          <w:color w:val="000000" w:themeColor="text1"/>
          <w:lang w:val="en-US"/>
        </w:rPr>
        <w:t xml:space="preserve"> </w:t>
      </w:r>
      <w:hyperlink r:id="rId255"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Education Department Report</w:t>
        </w:r>
      </w:hyperlink>
      <w:r w:rsidRPr="00B40A77">
        <w:rPr>
          <w:color w:val="000000" w:themeColor="text1"/>
          <w:lang w:val="en-US"/>
        </w:rPr>
        <w:t>]</w:t>
      </w:r>
    </w:p>
    <w:p w14:paraId="751507D5" w14:textId="57182DCE"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135H</w:t>
      </w:r>
      <w:r w:rsidR="00471EB8" w:rsidRPr="00B40A77">
        <w:rPr>
          <w:color w:val="000000" w:themeColor="text1"/>
          <w:lang w:val="en-US"/>
        </w:rPr>
        <w:t xml:space="preserve"> </w:t>
      </w:r>
      <w:hyperlink r:id="rId256"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Home Detention Order Report (Youth)</w:t>
        </w:r>
      </w:hyperlink>
      <w:r w:rsidRPr="00B40A77">
        <w:rPr>
          <w:color w:val="000000" w:themeColor="text1"/>
          <w:lang w:val="en-US"/>
        </w:rPr>
        <w:t>]</w:t>
      </w:r>
    </w:p>
    <w:p w14:paraId="42DA669F" w14:textId="55A226A7"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135I</w:t>
      </w:r>
      <w:r w:rsidR="00471EB8" w:rsidRPr="00B40A77">
        <w:rPr>
          <w:color w:val="000000" w:themeColor="text1"/>
          <w:lang w:val="en-US"/>
        </w:rPr>
        <w:t xml:space="preserve"> </w:t>
      </w:r>
      <w:hyperlink r:id="rId257"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Home Detention Order Report (Adult Defendant)</w:t>
        </w:r>
      </w:hyperlink>
      <w:r w:rsidRPr="00B40A77">
        <w:rPr>
          <w:color w:val="000000" w:themeColor="text1"/>
          <w:lang w:val="en-US"/>
        </w:rPr>
        <w:t>]</w:t>
      </w:r>
    </w:p>
    <w:p w14:paraId="4F9FBF7F" w14:textId="48B1C74F" w:rsidR="00471EB8" w:rsidRPr="00B40A77" w:rsidRDefault="001C422B" w:rsidP="00BC23E5">
      <w:pPr>
        <w:pStyle w:val="NoteText"/>
        <w:ind w:left="851"/>
        <w:rPr>
          <w:color w:val="000000" w:themeColor="text1"/>
          <w:lang w:val="en-US"/>
        </w:rPr>
      </w:pPr>
      <w:r w:rsidRPr="00B40A77">
        <w:rPr>
          <w:color w:val="000000" w:themeColor="text1"/>
          <w:lang w:val="en-US"/>
        </w:rPr>
        <w:t>[</w:t>
      </w:r>
      <w:r w:rsidR="00471EB8" w:rsidRPr="00B40A77">
        <w:rPr>
          <w:color w:val="000000" w:themeColor="text1"/>
          <w:lang w:val="en-US"/>
        </w:rPr>
        <w:t>Form 135</w:t>
      </w:r>
      <w:r w:rsidR="00FF1E89" w:rsidRPr="00B40A77">
        <w:rPr>
          <w:color w:val="000000" w:themeColor="text1"/>
          <w:lang w:val="en-US"/>
        </w:rPr>
        <w:t>J</w:t>
      </w:r>
      <w:r w:rsidR="00471EB8" w:rsidRPr="00B40A77">
        <w:rPr>
          <w:color w:val="000000" w:themeColor="text1"/>
          <w:lang w:val="en-US"/>
        </w:rPr>
        <w:t xml:space="preserve"> </w:t>
      </w:r>
      <w:hyperlink r:id="rId258"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Intensive Correction Order Report (Youth)</w:t>
        </w:r>
      </w:hyperlink>
      <w:r w:rsidRPr="00B40A77">
        <w:rPr>
          <w:color w:val="000000" w:themeColor="text1"/>
          <w:lang w:val="en-US"/>
        </w:rPr>
        <w:t>]</w:t>
      </w:r>
    </w:p>
    <w:p w14:paraId="3E824DE5" w14:textId="6737F817"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135K</w:t>
      </w:r>
      <w:r w:rsidR="00471EB8" w:rsidRPr="00B40A77">
        <w:rPr>
          <w:color w:val="000000" w:themeColor="text1"/>
          <w:lang w:val="en-US"/>
        </w:rPr>
        <w:t xml:space="preserve"> </w:t>
      </w:r>
      <w:hyperlink r:id="rId259"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Intensive Correction Order Report (Adult Defendant)</w:t>
        </w:r>
      </w:hyperlink>
      <w:r w:rsidRPr="00B40A77">
        <w:rPr>
          <w:color w:val="000000" w:themeColor="text1"/>
          <w:lang w:val="en-US"/>
        </w:rPr>
        <w:t>]</w:t>
      </w:r>
    </w:p>
    <w:p w14:paraId="27F30D1B" w14:textId="693574C0"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135L</w:t>
      </w:r>
      <w:r w:rsidR="00471EB8" w:rsidRPr="00B40A77">
        <w:rPr>
          <w:color w:val="000000" w:themeColor="text1"/>
          <w:lang w:val="en-US"/>
        </w:rPr>
        <w:t xml:space="preserve"> </w:t>
      </w:r>
      <w:hyperlink r:id="rId260"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Management Assessment Panel Report</w:t>
        </w:r>
      </w:hyperlink>
      <w:r w:rsidRPr="00B40A77">
        <w:rPr>
          <w:color w:val="000000" w:themeColor="text1"/>
          <w:lang w:val="en-US"/>
        </w:rPr>
        <w:t>]</w:t>
      </w:r>
    </w:p>
    <w:p w14:paraId="324A8027" w14:textId="42CCE741"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135M</w:t>
      </w:r>
      <w:r w:rsidR="00471EB8" w:rsidRPr="00B40A77">
        <w:rPr>
          <w:color w:val="000000" w:themeColor="text1"/>
          <w:lang w:val="en-US"/>
        </w:rPr>
        <w:t xml:space="preserve"> </w:t>
      </w:r>
      <w:hyperlink r:id="rId261"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Medical Report</w:t>
        </w:r>
      </w:hyperlink>
      <w:r w:rsidRPr="00B40A77">
        <w:rPr>
          <w:color w:val="000000" w:themeColor="text1"/>
          <w:lang w:val="en-US"/>
        </w:rPr>
        <w:t>]</w:t>
      </w:r>
    </w:p>
    <w:p w14:paraId="6F232C9C" w14:textId="49D08BF8"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135N</w:t>
      </w:r>
      <w:r w:rsidR="00471EB8" w:rsidRPr="00B40A77">
        <w:rPr>
          <w:color w:val="000000" w:themeColor="text1"/>
          <w:lang w:val="en-US"/>
        </w:rPr>
        <w:t xml:space="preserve"> </w:t>
      </w:r>
      <w:hyperlink r:id="rId262"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Parole Board Report</w:t>
        </w:r>
      </w:hyperlink>
      <w:r w:rsidRPr="00B40A77">
        <w:rPr>
          <w:color w:val="000000" w:themeColor="text1"/>
          <w:lang w:val="en-US"/>
        </w:rPr>
        <w:t>]</w:t>
      </w:r>
    </w:p>
    <w:p w14:paraId="337351B6" w14:textId="60967D63"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135O</w:t>
      </w:r>
      <w:r w:rsidR="00471EB8" w:rsidRPr="00B40A77">
        <w:rPr>
          <w:color w:val="000000" w:themeColor="text1"/>
          <w:lang w:val="en-US"/>
        </w:rPr>
        <w:t xml:space="preserve"> </w:t>
      </w:r>
      <w:hyperlink r:id="rId263"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Progress Report (Youth)</w:t>
        </w:r>
      </w:hyperlink>
      <w:r w:rsidRPr="00B40A77">
        <w:rPr>
          <w:color w:val="000000" w:themeColor="text1"/>
          <w:lang w:val="en-US"/>
        </w:rPr>
        <w:t>]</w:t>
      </w:r>
    </w:p>
    <w:p w14:paraId="6A128277" w14:textId="08552612"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135P</w:t>
      </w:r>
      <w:r w:rsidR="00471EB8" w:rsidRPr="00B40A77">
        <w:rPr>
          <w:color w:val="000000" w:themeColor="text1"/>
          <w:lang w:val="en-US"/>
        </w:rPr>
        <w:t xml:space="preserve"> </w:t>
      </w:r>
      <w:hyperlink r:id="rId264"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Pre-Sentence Report (Youth)</w:t>
        </w:r>
      </w:hyperlink>
      <w:r w:rsidRPr="00B40A77">
        <w:rPr>
          <w:color w:val="000000" w:themeColor="text1"/>
          <w:lang w:val="en-US"/>
        </w:rPr>
        <w:t>]</w:t>
      </w:r>
    </w:p>
    <w:p w14:paraId="6323F6C8" w14:textId="45A2319E"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135Q</w:t>
      </w:r>
      <w:r w:rsidR="00471EB8" w:rsidRPr="00B40A77">
        <w:rPr>
          <w:color w:val="000000" w:themeColor="text1"/>
          <w:lang w:val="en-US"/>
        </w:rPr>
        <w:t xml:space="preserve"> </w:t>
      </w:r>
      <w:hyperlink r:id="rId265"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Pre-Sentence Report (Adult Defendant)</w:t>
        </w:r>
      </w:hyperlink>
      <w:r w:rsidRPr="00B40A77">
        <w:rPr>
          <w:color w:val="000000" w:themeColor="text1"/>
          <w:lang w:val="en-US"/>
        </w:rPr>
        <w:t>]</w:t>
      </w:r>
    </w:p>
    <w:p w14:paraId="75BF318B" w14:textId="7A565343"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135R</w:t>
      </w:r>
      <w:r w:rsidR="00471EB8" w:rsidRPr="00B40A77">
        <w:rPr>
          <w:color w:val="000000" w:themeColor="text1"/>
          <w:lang w:val="en-US"/>
        </w:rPr>
        <w:t xml:space="preserve"> </w:t>
      </w:r>
      <w:hyperlink r:id="rId266"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Prison Health Report</w:t>
        </w:r>
      </w:hyperlink>
      <w:r w:rsidRPr="00B40A77">
        <w:rPr>
          <w:color w:val="000000" w:themeColor="text1"/>
          <w:lang w:val="en-US"/>
        </w:rPr>
        <w:t>]</w:t>
      </w:r>
    </w:p>
    <w:p w14:paraId="42DC8800" w14:textId="5CC51B83"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135S</w:t>
      </w:r>
      <w:r w:rsidR="00471EB8" w:rsidRPr="00B40A77">
        <w:rPr>
          <w:color w:val="000000" w:themeColor="text1"/>
          <w:lang w:val="en-US"/>
        </w:rPr>
        <w:t xml:space="preserve"> </w:t>
      </w:r>
      <w:hyperlink r:id="rId267"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Psychiatric Report (Youth)</w:t>
        </w:r>
        <w:r w:rsidRPr="00B40A77">
          <w:rPr>
            <w:rStyle w:val="Hyperlink"/>
            <w:color w:val="000000" w:themeColor="text1"/>
            <w:lang w:val="en-US"/>
          </w:rPr>
          <w:t>]</w:t>
        </w:r>
      </w:hyperlink>
    </w:p>
    <w:p w14:paraId="215A2E0F" w14:textId="10BD5945"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135T</w:t>
      </w:r>
      <w:r w:rsidR="00471EB8" w:rsidRPr="00B40A77">
        <w:rPr>
          <w:color w:val="000000" w:themeColor="text1"/>
          <w:lang w:val="en-US"/>
        </w:rPr>
        <w:t xml:space="preserve"> </w:t>
      </w:r>
      <w:hyperlink r:id="rId268"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Psychiatric Report (Adult Defendant)</w:t>
        </w:r>
      </w:hyperlink>
      <w:r w:rsidRPr="00B40A77">
        <w:rPr>
          <w:color w:val="000000" w:themeColor="text1"/>
          <w:lang w:val="en-US"/>
        </w:rPr>
        <w:t>]</w:t>
      </w:r>
    </w:p>
    <w:p w14:paraId="1BA5C8EC" w14:textId="4B165607"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135U</w:t>
      </w:r>
      <w:r w:rsidR="00471EB8" w:rsidRPr="00B40A77">
        <w:rPr>
          <w:color w:val="000000" w:themeColor="text1"/>
          <w:lang w:val="en-US"/>
        </w:rPr>
        <w:t xml:space="preserve"> </w:t>
      </w:r>
      <w:hyperlink r:id="rId269"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Psychological Report (Youth)</w:t>
        </w:r>
      </w:hyperlink>
      <w:r w:rsidRPr="00B40A77">
        <w:rPr>
          <w:color w:val="000000" w:themeColor="text1"/>
          <w:lang w:val="en-US"/>
        </w:rPr>
        <w:t>]</w:t>
      </w:r>
    </w:p>
    <w:p w14:paraId="4219C68C" w14:textId="32EF1998" w:rsidR="00471EB8" w:rsidRPr="00B40A77" w:rsidRDefault="001C422B"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135V</w:t>
      </w:r>
      <w:r w:rsidR="00471EB8" w:rsidRPr="00B40A77">
        <w:rPr>
          <w:color w:val="000000" w:themeColor="text1"/>
          <w:lang w:val="en-US"/>
        </w:rPr>
        <w:t xml:space="preserve"> </w:t>
      </w:r>
      <w:hyperlink r:id="rId270"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Psychological Report</w:t>
        </w:r>
      </w:hyperlink>
      <w:r w:rsidRPr="00B40A77">
        <w:rPr>
          <w:color w:val="000000" w:themeColor="text1"/>
          <w:lang w:val="en-US"/>
        </w:rPr>
        <w:t>]</w:t>
      </w:r>
    </w:p>
    <w:p w14:paraId="71E2C744" w14:textId="19B5A7E6" w:rsidR="00471EB8" w:rsidRPr="00B40A77" w:rsidRDefault="00D213C0" w:rsidP="00BC23E5">
      <w:pPr>
        <w:pStyle w:val="NoteText"/>
        <w:ind w:left="851"/>
        <w:rPr>
          <w:color w:val="000000" w:themeColor="text1"/>
          <w:lang w:val="en-US"/>
        </w:rPr>
      </w:pPr>
      <w:r w:rsidRPr="00B40A77">
        <w:rPr>
          <w:color w:val="000000" w:themeColor="text1"/>
          <w:lang w:val="en-US"/>
        </w:rPr>
        <w:lastRenderedPageBreak/>
        <w:t>[</w:t>
      </w:r>
      <w:r w:rsidR="00FF1E89" w:rsidRPr="00B40A77">
        <w:rPr>
          <w:color w:val="000000" w:themeColor="text1"/>
          <w:lang w:val="en-US"/>
        </w:rPr>
        <w:t>Form 135W</w:t>
      </w:r>
      <w:r w:rsidR="00471EB8" w:rsidRPr="00B40A77">
        <w:rPr>
          <w:color w:val="000000" w:themeColor="text1"/>
          <w:lang w:val="en-US"/>
        </w:rPr>
        <w:t xml:space="preserve"> </w:t>
      </w:r>
      <w:hyperlink r:id="rId271"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Review Board Report (Youth)</w:t>
        </w:r>
      </w:hyperlink>
      <w:r w:rsidR="001C422B" w:rsidRPr="00B40A77">
        <w:rPr>
          <w:color w:val="000000" w:themeColor="text1"/>
          <w:lang w:val="en-US"/>
        </w:rPr>
        <w:t>]</w:t>
      </w:r>
    </w:p>
    <w:p w14:paraId="240376D0" w14:textId="68F6E790" w:rsidR="00471EB8" w:rsidRPr="00B40A77" w:rsidRDefault="00D213C0"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135X</w:t>
      </w:r>
      <w:r w:rsidR="00471EB8" w:rsidRPr="00B40A77">
        <w:rPr>
          <w:color w:val="000000" w:themeColor="text1"/>
          <w:lang w:val="en-US"/>
        </w:rPr>
        <w:t xml:space="preserve"> </w:t>
      </w:r>
      <w:hyperlink r:id="rId272"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Section 32 (Young Offenders Act) Report (Youth)</w:t>
        </w:r>
      </w:hyperlink>
      <w:r w:rsidR="001C422B" w:rsidRPr="00B40A77">
        <w:rPr>
          <w:color w:val="000000" w:themeColor="text1"/>
          <w:lang w:val="en-US"/>
        </w:rPr>
        <w:t>]</w:t>
      </w:r>
    </w:p>
    <w:p w14:paraId="33F1CDD3" w14:textId="631E6450" w:rsidR="00471EB8" w:rsidRPr="00B40A77" w:rsidRDefault="00D213C0"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135Y</w:t>
      </w:r>
      <w:r w:rsidR="00471EB8" w:rsidRPr="00B40A77">
        <w:rPr>
          <w:color w:val="000000" w:themeColor="text1"/>
          <w:lang w:val="en-US"/>
        </w:rPr>
        <w:t xml:space="preserve"> </w:t>
      </w:r>
      <w:hyperlink r:id="rId273"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Report on Sexual Offenders</w:t>
        </w:r>
      </w:hyperlink>
      <w:r w:rsidRPr="00B40A77">
        <w:rPr>
          <w:color w:val="000000" w:themeColor="text1"/>
          <w:lang w:val="en-US"/>
        </w:rPr>
        <w:t>]</w:t>
      </w:r>
    </w:p>
    <w:p w14:paraId="5E71DD56" w14:textId="1FFB4B93" w:rsidR="00471EB8" w:rsidRPr="00B40A77" w:rsidRDefault="00D213C0" w:rsidP="00BC23E5">
      <w:pPr>
        <w:pStyle w:val="NoteText"/>
        <w:ind w:left="851"/>
        <w:rPr>
          <w:color w:val="000000" w:themeColor="text1"/>
          <w:lang w:val="en-US"/>
        </w:rPr>
      </w:pPr>
      <w:r w:rsidRPr="00B40A77">
        <w:rPr>
          <w:color w:val="000000" w:themeColor="text1"/>
          <w:lang w:val="en-US"/>
        </w:rPr>
        <w:t>[</w:t>
      </w:r>
      <w:r w:rsidR="00FF1E89" w:rsidRPr="00B40A77">
        <w:rPr>
          <w:color w:val="000000" w:themeColor="text1"/>
          <w:lang w:val="en-US"/>
        </w:rPr>
        <w:t>Form 135Z</w:t>
      </w:r>
      <w:r w:rsidR="00471EB8" w:rsidRPr="00B40A77">
        <w:rPr>
          <w:color w:val="000000" w:themeColor="text1"/>
          <w:lang w:val="en-US"/>
        </w:rPr>
        <w:t xml:space="preserve"> </w:t>
      </w:r>
      <w:hyperlink r:id="rId274" w:history="1">
        <w:r w:rsidR="00471EB8" w:rsidRPr="00B40A77">
          <w:rPr>
            <w:rStyle w:val="Hyperlink"/>
            <w:color w:val="000000" w:themeColor="text1"/>
            <w:lang w:val="en-US"/>
          </w:rPr>
          <w:t xml:space="preserve">Report Request Form </w:t>
        </w:r>
        <w:r w:rsidR="00023790" w:rsidRPr="00B40A77">
          <w:rPr>
            <w:rStyle w:val="Hyperlink"/>
            <w:color w:val="000000" w:themeColor="text1"/>
            <w:lang w:val="en-US"/>
          </w:rPr>
          <w:t>–</w:t>
        </w:r>
        <w:r w:rsidR="00471EB8" w:rsidRPr="00B40A77">
          <w:rPr>
            <w:rStyle w:val="Hyperlink"/>
            <w:color w:val="000000" w:themeColor="text1"/>
            <w:lang w:val="en-US"/>
          </w:rPr>
          <w:t xml:space="preserve"> Special Needs Report (Youth)</w:t>
        </w:r>
      </w:hyperlink>
      <w:r w:rsidR="002F307A" w:rsidRPr="00B40A77">
        <w:rPr>
          <w:color w:val="000000" w:themeColor="text1"/>
          <w:lang w:val="en-US"/>
        </w:rPr>
        <w:t>]</w:t>
      </w:r>
    </w:p>
    <w:p w14:paraId="033DF990" w14:textId="3365C121" w:rsidR="008C320C" w:rsidRPr="00B40A77" w:rsidRDefault="00966030" w:rsidP="00966030">
      <w:pPr>
        <w:pStyle w:val="Heading3"/>
        <w:rPr>
          <w:color w:val="000000" w:themeColor="text1"/>
        </w:rPr>
      </w:pPr>
      <w:bookmarkStart w:id="876" w:name="_Toc175239203"/>
      <w:r w:rsidRPr="00B40A77">
        <w:rPr>
          <w:color w:val="000000" w:themeColor="text1"/>
        </w:rPr>
        <w:t xml:space="preserve">Division </w:t>
      </w:r>
      <w:r w:rsidR="002F307A" w:rsidRPr="00B40A77">
        <w:rPr>
          <w:color w:val="000000" w:themeColor="text1"/>
        </w:rPr>
        <w:t>6</w:t>
      </w:r>
      <w:r w:rsidRPr="00B40A77">
        <w:rPr>
          <w:color w:val="000000" w:themeColor="text1"/>
        </w:rPr>
        <w:t>—Victim and community impact statements</w:t>
      </w:r>
      <w:bookmarkEnd w:id="876"/>
    </w:p>
    <w:p w14:paraId="2E635770" w14:textId="451DC058" w:rsidR="00BA252F" w:rsidRPr="00B40A77" w:rsidRDefault="00EF4E24" w:rsidP="00027F6D">
      <w:pPr>
        <w:pStyle w:val="Heading4"/>
        <w:rPr>
          <w:color w:val="000000" w:themeColor="text1"/>
        </w:rPr>
      </w:pPr>
      <w:bookmarkStart w:id="877" w:name="_Toc175239204"/>
      <w:r w:rsidRPr="00B40A77">
        <w:rPr>
          <w:color w:val="000000" w:themeColor="text1"/>
        </w:rPr>
        <w:t>14</w:t>
      </w:r>
      <w:r w:rsidR="00D3418A" w:rsidRPr="00B40A77">
        <w:rPr>
          <w:color w:val="000000" w:themeColor="text1"/>
        </w:rPr>
        <w:t>7</w:t>
      </w:r>
      <w:r w:rsidR="00AE5902" w:rsidRPr="00B40A77">
        <w:rPr>
          <w:color w:val="000000" w:themeColor="text1"/>
        </w:rPr>
        <w:t>.1</w:t>
      </w:r>
      <w:r w:rsidR="00BA252F" w:rsidRPr="00B40A77">
        <w:rPr>
          <w:color w:val="000000" w:themeColor="text1"/>
        </w:rPr>
        <w:t>—Victim impact statements</w:t>
      </w:r>
      <w:bookmarkEnd w:id="858"/>
      <w:bookmarkEnd w:id="877"/>
    </w:p>
    <w:p w14:paraId="341E3822" w14:textId="1B118AC5" w:rsidR="00BA252F" w:rsidRPr="00B40A77" w:rsidRDefault="00BA252F" w:rsidP="00BA252F">
      <w:pPr>
        <w:pStyle w:val="Hangindent"/>
        <w:rPr>
          <w:color w:val="000000" w:themeColor="text1"/>
          <w:lang w:val="en-US"/>
        </w:rPr>
      </w:pPr>
      <w:r w:rsidRPr="00B40A77">
        <w:rPr>
          <w:color w:val="000000" w:themeColor="text1"/>
          <w:lang w:val="en-US"/>
        </w:rPr>
        <w:t>(1)</w:t>
      </w:r>
      <w:r w:rsidRPr="00B40A77">
        <w:rPr>
          <w:color w:val="000000" w:themeColor="text1"/>
          <w:lang w:val="en-US"/>
        </w:rPr>
        <w:tab/>
        <w:t>A person wishing to furnish to the Court a victim impact statement under section</w:t>
      </w:r>
      <w:r w:rsidR="00D53E56" w:rsidRPr="00B40A77">
        <w:rPr>
          <w:color w:val="000000" w:themeColor="text1"/>
          <w:lang w:val="en-US"/>
        </w:rPr>
        <w:t> </w:t>
      </w:r>
      <w:r w:rsidRPr="00B40A77">
        <w:rPr>
          <w:color w:val="000000" w:themeColor="text1"/>
          <w:lang w:val="en-US"/>
        </w:rPr>
        <w:t>14 of the Sentencing Act or section</w:t>
      </w:r>
      <w:r w:rsidR="00D53E56" w:rsidRPr="00B40A77">
        <w:rPr>
          <w:color w:val="000000" w:themeColor="text1"/>
          <w:lang w:val="en-US"/>
        </w:rPr>
        <w:t> </w:t>
      </w:r>
      <w:r w:rsidRPr="00B40A77">
        <w:rPr>
          <w:color w:val="000000" w:themeColor="text1"/>
          <w:lang w:val="en-US"/>
        </w:rPr>
        <w:t xml:space="preserve">269R(3) of the </w:t>
      </w:r>
      <w:r w:rsidR="003A2F8B" w:rsidRPr="00B40A77">
        <w:rPr>
          <w:color w:val="000000" w:themeColor="text1"/>
          <w:szCs w:val="24"/>
        </w:rPr>
        <w:t>Consolidation Act</w:t>
      </w:r>
      <w:r w:rsidR="003A2F8B" w:rsidRPr="00B40A77">
        <w:rPr>
          <w:i/>
          <w:iCs/>
          <w:color w:val="000000" w:themeColor="text1"/>
          <w:szCs w:val="24"/>
        </w:rPr>
        <w:t xml:space="preserve"> </w:t>
      </w:r>
      <w:r w:rsidR="009A1BE4" w:rsidRPr="00B40A77">
        <w:rPr>
          <w:color w:val="000000" w:themeColor="text1"/>
          <w:lang w:val="en-US"/>
        </w:rPr>
        <w:t>must</w:t>
      </w:r>
      <w:r w:rsidRPr="00B40A77">
        <w:rPr>
          <w:color w:val="000000" w:themeColor="text1"/>
          <w:lang w:val="en-US"/>
        </w:rPr>
        <w:t xml:space="preserve"> provide the statement in writing to the </w:t>
      </w:r>
      <w:r w:rsidR="009A1BE4" w:rsidRPr="00B40A77">
        <w:rPr>
          <w:color w:val="000000" w:themeColor="text1"/>
          <w:lang w:val="en-US"/>
        </w:rPr>
        <w:t>prosecution</w:t>
      </w:r>
      <w:r w:rsidRPr="00B40A77">
        <w:rPr>
          <w:color w:val="000000" w:themeColor="text1"/>
          <w:lang w:val="en-US"/>
        </w:rPr>
        <w:t>.</w:t>
      </w:r>
    </w:p>
    <w:p w14:paraId="1212CA62" w14:textId="10AF2188" w:rsidR="00883257" w:rsidRPr="00B40A77" w:rsidRDefault="00BA252F" w:rsidP="00883257">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D3258A" w:rsidRPr="00B40A77">
        <w:rPr>
          <w:color w:val="000000" w:themeColor="text1"/>
          <w:lang w:val="en-US"/>
        </w:rPr>
        <w:t>The prosecution must provide a</w:t>
      </w:r>
      <w:r w:rsidRPr="00B40A77">
        <w:rPr>
          <w:color w:val="000000" w:themeColor="text1"/>
          <w:lang w:val="en-US"/>
        </w:rPr>
        <w:t xml:space="preserve"> copy of the statement to the Court and </w:t>
      </w:r>
      <w:r w:rsidR="00D3258A" w:rsidRPr="00B40A77">
        <w:rPr>
          <w:color w:val="000000" w:themeColor="text1"/>
          <w:lang w:val="en-US"/>
        </w:rPr>
        <w:t xml:space="preserve">to </w:t>
      </w:r>
      <w:r w:rsidRPr="00B40A77">
        <w:rPr>
          <w:color w:val="000000" w:themeColor="text1"/>
          <w:lang w:val="en-US"/>
        </w:rPr>
        <w:t xml:space="preserve">the </w:t>
      </w:r>
      <w:r w:rsidR="00676BE3" w:rsidRPr="00B40A77">
        <w:rPr>
          <w:color w:val="000000" w:themeColor="text1"/>
          <w:lang w:val="en-US"/>
        </w:rPr>
        <w:t>defendant or youth</w:t>
      </w:r>
      <w:r w:rsidRPr="00B40A77">
        <w:rPr>
          <w:color w:val="000000" w:themeColor="text1"/>
          <w:lang w:val="en-US"/>
        </w:rPr>
        <w:t xml:space="preserve"> as soon as practicable after</w:t>
      </w:r>
      <w:r w:rsidR="00883257" w:rsidRPr="00B40A77">
        <w:rPr>
          <w:color w:val="000000" w:themeColor="text1"/>
          <w:lang w:val="en-US"/>
        </w:rPr>
        <w:t>—</w:t>
      </w:r>
    </w:p>
    <w:p w14:paraId="50AB26FB" w14:textId="77777777" w:rsidR="00883257" w:rsidRPr="00B40A77" w:rsidRDefault="00883257" w:rsidP="00883257">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BA252F" w:rsidRPr="00B40A77">
        <w:rPr>
          <w:color w:val="000000" w:themeColor="text1"/>
          <w:lang w:val="en-US"/>
        </w:rPr>
        <w:t xml:space="preserve">the defendant </w:t>
      </w:r>
      <w:r w:rsidR="00676BE3" w:rsidRPr="00B40A77">
        <w:rPr>
          <w:color w:val="000000" w:themeColor="text1"/>
          <w:lang w:val="en-US"/>
        </w:rPr>
        <w:t xml:space="preserve">or youth </w:t>
      </w:r>
      <w:r w:rsidR="00BA252F" w:rsidRPr="00B40A77">
        <w:rPr>
          <w:color w:val="000000" w:themeColor="text1"/>
          <w:lang w:val="en-US"/>
        </w:rPr>
        <w:t>pleads or is found guilty</w:t>
      </w:r>
      <w:r w:rsidRPr="00B40A77">
        <w:rPr>
          <w:color w:val="000000" w:themeColor="text1"/>
          <w:lang w:val="en-US"/>
        </w:rPr>
        <w:t>;</w:t>
      </w:r>
    </w:p>
    <w:p w14:paraId="68235173" w14:textId="359758FE" w:rsidR="00883257" w:rsidRPr="00B40A77" w:rsidRDefault="00883257" w:rsidP="00883257">
      <w:pPr>
        <w:pStyle w:val="Doublehangindent"/>
        <w:rPr>
          <w:color w:val="000000" w:themeColor="text1"/>
          <w:lang w:val="en-US"/>
        </w:rPr>
      </w:pPr>
      <w:r w:rsidRPr="00B40A77">
        <w:rPr>
          <w:color w:val="000000" w:themeColor="text1"/>
          <w:lang w:val="en-US"/>
        </w:rPr>
        <w:t>(b)</w:t>
      </w:r>
      <w:r w:rsidRPr="00B40A77">
        <w:rPr>
          <w:color w:val="000000" w:themeColor="text1"/>
          <w:lang w:val="en-US"/>
        </w:rPr>
        <w:tab/>
        <w:t>t</w:t>
      </w:r>
      <w:r w:rsidR="00BA252F" w:rsidRPr="00B40A77">
        <w:rPr>
          <w:color w:val="000000" w:themeColor="text1"/>
          <w:lang w:val="en-US"/>
        </w:rPr>
        <w:t xml:space="preserve">he Court declares that the </w:t>
      </w:r>
      <w:r w:rsidR="006E4F46" w:rsidRPr="00B40A77">
        <w:rPr>
          <w:color w:val="000000" w:themeColor="text1"/>
          <w:lang w:val="en-US"/>
        </w:rPr>
        <w:t xml:space="preserve">defendant or youth </w:t>
      </w:r>
      <w:r w:rsidR="00BA252F" w:rsidRPr="00B40A77">
        <w:rPr>
          <w:color w:val="000000" w:themeColor="text1"/>
          <w:lang w:val="en-US"/>
        </w:rPr>
        <w:t>is liable to supervision under Part</w:t>
      </w:r>
      <w:r w:rsidR="001651C9" w:rsidRPr="00B40A77">
        <w:rPr>
          <w:color w:val="000000" w:themeColor="text1"/>
          <w:lang w:val="en-US"/>
        </w:rPr>
        <w:t> </w:t>
      </w:r>
      <w:r w:rsidR="00BA252F" w:rsidRPr="00B40A77">
        <w:rPr>
          <w:color w:val="000000" w:themeColor="text1"/>
          <w:lang w:val="en-US"/>
        </w:rPr>
        <w:t xml:space="preserve">8A of the </w:t>
      </w:r>
      <w:r w:rsidR="00A211DF" w:rsidRPr="00B40A77">
        <w:rPr>
          <w:color w:val="000000" w:themeColor="text1"/>
          <w:lang w:val="en-US"/>
        </w:rPr>
        <w:t>Consolidation Act</w:t>
      </w:r>
      <w:r w:rsidRPr="00B40A77">
        <w:rPr>
          <w:color w:val="000000" w:themeColor="text1"/>
          <w:lang w:val="en-US"/>
        </w:rPr>
        <w:t xml:space="preserve">; or </w:t>
      </w:r>
    </w:p>
    <w:p w14:paraId="29D5D825" w14:textId="2468C8FB" w:rsidR="00D3258A" w:rsidRPr="00B40A77" w:rsidRDefault="00883257" w:rsidP="00883257">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defendant</w:t>
      </w:r>
      <w:r w:rsidR="00270FF3" w:rsidRPr="00B40A77">
        <w:rPr>
          <w:color w:val="000000" w:themeColor="text1"/>
          <w:lang w:val="en-US"/>
        </w:rPr>
        <w:t xml:space="preserve"> </w:t>
      </w:r>
      <w:r w:rsidR="00D3258A" w:rsidRPr="00B40A77">
        <w:rPr>
          <w:color w:val="000000" w:themeColor="text1"/>
          <w:lang w:val="en-US"/>
        </w:rPr>
        <w:t>—</w:t>
      </w:r>
    </w:p>
    <w:p w14:paraId="0EEC83C0" w14:textId="03D490DB" w:rsidR="006F2C6A" w:rsidRPr="00B40A77" w:rsidRDefault="00D3258A" w:rsidP="00D3258A">
      <w:pPr>
        <w:pStyle w:val="Doublehangindent"/>
        <w:ind w:left="2268"/>
        <w:rPr>
          <w:color w:val="000000" w:themeColor="text1"/>
          <w:lang w:val="en-US"/>
        </w:rPr>
      </w:pPr>
      <w:r w:rsidRPr="00B40A77">
        <w:rPr>
          <w:color w:val="000000" w:themeColor="text1"/>
          <w:lang w:val="en-US"/>
        </w:rPr>
        <w:t>(i)</w:t>
      </w:r>
      <w:r w:rsidR="006F2C6A" w:rsidRPr="00B40A77">
        <w:rPr>
          <w:color w:val="000000" w:themeColor="text1"/>
          <w:lang w:val="en-US"/>
        </w:rPr>
        <w:tab/>
      </w:r>
      <w:r w:rsidR="00270FF3" w:rsidRPr="00B40A77">
        <w:rPr>
          <w:color w:val="000000" w:themeColor="text1"/>
          <w:lang w:val="en-US"/>
        </w:rPr>
        <w:t xml:space="preserve">is </w:t>
      </w:r>
      <w:r w:rsidR="00883257" w:rsidRPr="00B40A77">
        <w:rPr>
          <w:color w:val="000000" w:themeColor="text1"/>
          <w:lang w:val="en-US"/>
        </w:rPr>
        <w:t>found to be unfit to be tried under section</w:t>
      </w:r>
      <w:r w:rsidR="00D53E56" w:rsidRPr="00B40A77">
        <w:rPr>
          <w:color w:val="000000" w:themeColor="text1"/>
          <w:lang w:val="en-US"/>
        </w:rPr>
        <w:t> </w:t>
      </w:r>
      <w:r w:rsidR="00883257" w:rsidRPr="00B40A77">
        <w:rPr>
          <w:color w:val="000000" w:themeColor="text1"/>
          <w:lang w:val="en-US"/>
        </w:rPr>
        <w:t>20BC</w:t>
      </w:r>
      <w:r w:rsidR="00270FF3" w:rsidRPr="00B40A77">
        <w:rPr>
          <w:color w:val="000000" w:themeColor="text1"/>
          <w:lang w:val="en-US"/>
        </w:rPr>
        <w:t xml:space="preserve"> of the Crimes Act</w:t>
      </w:r>
      <w:r w:rsidR="006F2C6A" w:rsidRPr="00B40A77">
        <w:rPr>
          <w:color w:val="000000" w:themeColor="text1"/>
          <w:lang w:val="en-US"/>
        </w:rPr>
        <w:t>;</w:t>
      </w:r>
    </w:p>
    <w:p w14:paraId="14F80346" w14:textId="1E259973" w:rsidR="006F2C6A" w:rsidRPr="00B40A77" w:rsidRDefault="006F2C6A" w:rsidP="00D3258A">
      <w:pPr>
        <w:pStyle w:val="Doublehangindent"/>
        <w:ind w:left="2268"/>
        <w:rPr>
          <w:color w:val="000000" w:themeColor="text1"/>
          <w:lang w:val="en-US"/>
        </w:rPr>
      </w:pPr>
      <w:r w:rsidRPr="00B40A77">
        <w:rPr>
          <w:color w:val="000000" w:themeColor="text1"/>
          <w:lang w:val="en-US"/>
        </w:rPr>
        <w:t>(ii)</w:t>
      </w:r>
      <w:r w:rsidRPr="00B40A77">
        <w:rPr>
          <w:color w:val="000000" w:themeColor="text1"/>
          <w:lang w:val="en-US"/>
        </w:rPr>
        <w:tab/>
      </w:r>
      <w:r w:rsidR="00270FF3" w:rsidRPr="00B40A77">
        <w:rPr>
          <w:color w:val="000000" w:themeColor="text1"/>
          <w:lang w:val="en-US"/>
        </w:rPr>
        <w:t xml:space="preserve">is </w:t>
      </w:r>
      <w:r w:rsidR="00883257" w:rsidRPr="00B40A77">
        <w:rPr>
          <w:color w:val="000000" w:themeColor="text1"/>
          <w:lang w:val="en-US"/>
        </w:rPr>
        <w:t>acquitted because of mental illness under section</w:t>
      </w:r>
      <w:r w:rsidR="00D53E56" w:rsidRPr="00B40A77">
        <w:rPr>
          <w:color w:val="000000" w:themeColor="text1"/>
          <w:lang w:val="en-US"/>
        </w:rPr>
        <w:t> </w:t>
      </w:r>
      <w:r w:rsidR="00883257" w:rsidRPr="00B40A77">
        <w:rPr>
          <w:color w:val="000000" w:themeColor="text1"/>
          <w:lang w:val="en-US"/>
        </w:rPr>
        <w:t>20BJ</w:t>
      </w:r>
      <w:r w:rsidR="00270FF3" w:rsidRPr="00B40A77">
        <w:rPr>
          <w:color w:val="000000" w:themeColor="text1"/>
          <w:lang w:val="en-US"/>
        </w:rPr>
        <w:t xml:space="preserve"> of the Crimes Act</w:t>
      </w:r>
      <w:r w:rsidRPr="00B40A77">
        <w:rPr>
          <w:color w:val="000000" w:themeColor="text1"/>
          <w:lang w:val="en-US"/>
        </w:rPr>
        <w:t>;</w:t>
      </w:r>
      <w:r w:rsidR="00883257" w:rsidRPr="00B40A77">
        <w:rPr>
          <w:color w:val="000000" w:themeColor="text1"/>
          <w:lang w:val="en-US"/>
        </w:rPr>
        <w:t xml:space="preserve"> or</w:t>
      </w:r>
    </w:p>
    <w:p w14:paraId="065C3F08" w14:textId="61AED1F9" w:rsidR="00BA252F" w:rsidRPr="00B40A77" w:rsidRDefault="006F2C6A" w:rsidP="006F2C6A">
      <w:pPr>
        <w:pStyle w:val="Doublehangindent"/>
        <w:ind w:left="2268"/>
        <w:rPr>
          <w:color w:val="000000" w:themeColor="text1"/>
          <w:lang w:val="en-US"/>
        </w:rPr>
      </w:pPr>
      <w:r w:rsidRPr="00B40A77">
        <w:rPr>
          <w:color w:val="000000" w:themeColor="text1"/>
          <w:lang w:val="en-US"/>
        </w:rPr>
        <w:t>(iii)</w:t>
      </w:r>
      <w:r w:rsidRPr="00B40A77">
        <w:rPr>
          <w:color w:val="000000" w:themeColor="text1"/>
          <w:lang w:val="en-US"/>
        </w:rPr>
        <w:tab/>
      </w:r>
      <w:r w:rsidR="00D213C0" w:rsidRPr="00B40A77">
        <w:rPr>
          <w:color w:val="000000" w:themeColor="text1"/>
          <w:lang w:val="en-US"/>
        </w:rPr>
        <w:t xml:space="preserve">is to </w:t>
      </w:r>
      <w:r w:rsidR="00883257" w:rsidRPr="00B40A77">
        <w:rPr>
          <w:color w:val="000000" w:themeColor="text1"/>
          <w:lang w:val="en-US"/>
        </w:rPr>
        <w:t>be dealt with under section</w:t>
      </w:r>
      <w:r w:rsidR="00D53E56" w:rsidRPr="00B40A77">
        <w:rPr>
          <w:color w:val="000000" w:themeColor="text1"/>
          <w:lang w:val="en-US"/>
        </w:rPr>
        <w:t> </w:t>
      </w:r>
      <w:r w:rsidR="00883257" w:rsidRPr="00B40A77">
        <w:rPr>
          <w:color w:val="000000" w:themeColor="text1"/>
          <w:lang w:val="en-US"/>
        </w:rPr>
        <w:t xml:space="preserve">20BQ </w:t>
      </w:r>
      <w:r w:rsidR="00461703" w:rsidRPr="00B40A77">
        <w:rPr>
          <w:color w:val="000000" w:themeColor="text1"/>
          <w:lang w:val="en-US"/>
        </w:rPr>
        <w:t xml:space="preserve">or </w:t>
      </w:r>
      <w:r w:rsidR="00D53E56" w:rsidRPr="00B40A77">
        <w:rPr>
          <w:color w:val="000000" w:themeColor="text1"/>
          <w:lang w:val="en-US"/>
        </w:rPr>
        <w:t>section 20</w:t>
      </w:r>
      <w:r w:rsidR="00461703" w:rsidRPr="00B40A77">
        <w:rPr>
          <w:color w:val="000000" w:themeColor="text1"/>
          <w:lang w:val="en-US"/>
        </w:rPr>
        <w:t>BS of the Crimes</w:t>
      </w:r>
      <w:r w:rsidRPr="00B40A77">
        <w:rPr>
          <w:color w:val="000000" w:themeColor="text1"/>
          <w:lang w:val="en-US"/>
        </w:rPr>
        <w:t> </w:t>
      </w:r>
      <w:r w:rsidR="00461703" w:rsidRPr="00B40A77">
        <w:rPr>
          <w:color w:val="000000" w:themeColor="text1"/>
          <w:lang w:val="en-US"/>
        </w:rPr>
        <w:t>Act.</w:t>
      </w:r>
    </w:p>
    <w:p w14:paraId="1BEABEBF" w14:textId="3D762646" w:rsidR="00BA252F" w:rsidRPr="00B40A77" w:rsidRDefault="00AE5902" w:rsidP="00BA252F">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w:t>
      </w:r>
      <w:r w:rsidR="00BA252F" w:rsidRPr="00B40A77">
        <w:rPr>
          <w:color w:val="000000" w:themeColor="text1"/>
          <w:lang w:val="en-US"/>
        </w:rPr>
        <w:t xml:space="preserve">Court </w:t>
      </w:r>
      <w:r w:rsidR="00644D57" w:rsidRPr="00B40A77">
        <w:rPr>
          <w:color w:val="000000" w:themeColor="text1"/>
          <w:lang w:val="en-US"/>
        </w:rPr>
        <w:t>may, on the application of the prosecution</w:t>
      </w:r>
      <w:r w:rsidR="00BA252F" w:rsidRPr="00B40A77">
        <w:rPr>
          <w:color w:val="000000" w:themeColor="text1"/>
          <w:lang w:val="en-US"/>
        </w:rPr>
        <w:t>—</w:t>
      </w:r>
    </w:p>
    <w:p w14:paraId="17A458A4" w14:textId="22F2D40F" w:rsidR="00BA252F" w:rsidRPr="00B40A77" w:rsidRDefault="00BA252F" w:rsidP="00AE5902">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allow an audio or </w:t>
      </w:r>
      <w:r w:rsidR="00DF68A6" w:rsidRPr="00B40A77">
        <w:rPr>
          <w:color w:val="000000" w:themeColor="text1"/>
          <w:lang w:val="en-US"/>
        </w:rPr>
        <w:t>audio visual</w:t>
      </w:r>
      <w:r w:rsidR="00685946" w:rsidRPr="00B40A77">
        <w:rPr>
          <w:color w:val="000000" w:themeColor="text1"/>
          <w:lang w:val="en-US"/>
        </w:rPr>
        <w:t xml:space="preserve"> </w:t>
      </w:r>
      <w:r w:rsidRPr="00B40A77">
        <w:rPr>
          <w:color w:val="000000" w:themeColor="text1"/>
          <w:lang w:val="en-US"/>
        </w:rPr>
        <w:t>record of the person reading the statement to be played to the Court;</w:t>
      </w:r>
    </w:p>
    <w:p w14:paraId="16E94859" w14:textId="643DDFF7" w:rsidR="00BA252F" w:rsidRPr="00B40A77" w:rsidRDefault="00BA252F" w:rsidP="00AE5902">
      <w:pPr>
        <w:pStyle w:val="Doublehangindent"/>
        <w:rPr>
          <w:color w:val="000000" w:themeColor="text1"/>
          <w:lang w:val="en-US"/>
        </w:rPr>
      </w:pPr>
      <w:r w:rsidRPr="00B40A77">
        <w:rPr>
          <w:color w:val="000000" w:themeColor="text1"/>
          <w:lang w:val="en-US"/>
        </w:rPr>
        <w:t>(b)</w:t>
      </w:r>
      <w:r w:rsidRPr="00B40A77">
        <w:rPr>
          <w:color w:val="000000" w:themeColor="text1"/>
          <w:lang w:val="en-US"/>
        </w:rPr>
        <w:tab/>
        <w:t>exercise, in relation to the person making the statement, any power that the Court has with regard to a vulnerable witness;</w:t>
      </w:r>
      <w:r w:rsidR="00AE5902" w:rsidRPr="00B40A77">
        <w:rPr>
          <w:color w:val="000000" w:themeColor="text1"/>
          <w:lang w:val="en-US"/>
        </w:rPr>
        <w:t xml:space="preserve"> or</w:t>
      </w:r>
    </w:p>
    <w:p w14:paraId="0E893DBA" w14:textId="5B80C7CB" w:rsidR="00BA252F" w:rsidRPr="00B40A77" w:rsidRDefault="00BA252F" w:rsidP="00AE5902">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AE5902" w:rsidRPr="00B40A77">
        <w:rPr>
          <w:color w:val="000000" w:themeColor="text1"/>
          <w:lang w:val="en-US"/>
        </w:rPr>
        <w:t>order</w:t>
      </w:r>
      <w:r w:rsidRPr="00B40A77">
        <w:rPr>
          <w:color w:val="000000" w:themeColor="text1"/>
          <w:lang w:val="en-US"/>
        </w:rPr>
        <w:t xml:space="preserve"> that the defendant</w:t>
      </w:r>
      <w:r w:rsidR="00AE5902" w:rsidRPr="00B40A77">
        <w:rPr>
          <w:color w:val="000000" w:themeColor="text1"/>
          <w:lang w:val="en-US"/>
        </w:rPr>
        <w:t xml:space="preserve"> or youth</w:t>
      </w:r>
      <w:r w:rsidRPr="00B40A77">
        <w:rPr>
          <w:color w:val="000000" w:themeColor="text1"/>
          <w:lang w:val="en-US"/>
        </w:rPr>
        <w:t>, or if the defendant is a body corporate</w:t>
      </w:r>
      <w:r w:rsidR="006F2C6A" w:rsidRPr="00B40A77">
        <w:rPr>
          <w:color w:val="000000" w:themeColor="text1"/>
          <w:lang w:val="en-US"/>
        </w:rPr>
        <w:t>,</w:t>
      </w:r>
      <w:r w:rsidRPr="00B40A77">
        <w:rPr>
          <w:color w:val="000000" w:themeColor="text1"/>
          <w:lang w:val="en-US"/>
        </w:rPr>
        <w:t xml:space="preserve"> </w:t>
      </w:r>
      <w:r w:rsidR="00D213C0" w:rsidRPr="00B40A77">
        <w:rPr>
          <w:color w:val="000000" w:themeColor="text1"/>
          <w:lang w:val="en-US"/>
        </w:rPr>
        <w:t xml:space="preserve">a </w:t>
      </w:r>
      <w:r w:rsidRPr="00B40A77">
        <w:rPr>
          <w:color w:val="000000" w:themeColor="text1"/>
          <w:lang w:val="en-US"/>
        </w:rPr>
        <w:t>director or other representative of the body corporate satisfactory to the Court, be present when the statement is read or played to the Court.</w:t>
      </w:r>
    </w:p>
    <w:p w14:paraId="4211AF4F" w14:textId="7BA1416E" w:rsidR="00BA252F" w:rsidRPr="00B40A77" w:rsidRDefault="00013C4E" w:rsidP="00BA252F">
      <w:pPr>
        <w:pStyle w:val="Hangindent"/>
        <w:rPr>
          <w:color w:val="000000" w:themeColor="text1"/>
          <w:lang w:val="en-US"/>
        </w:rPr>
      </w:pPr>
      <w:r w:rsidRPr="00B40A77">
        <w:rPr>
          <w:color w:val="000000" w:themeColor="text1"/>
          <w:lang w:val="en-US"/>
        </w:rPr>
        <w:t>(4)</w:t>
      </w:r>
      <w:r w:rsidRPr="00B40A77">
        <w:rPr>
          <w:color w:val="000000" w:themeColor="text1"/>
          <w:lang w:val="en-US"/>
        </w:rPr>
        <w:tab/>
        <w:t>The Court may appoint a</w:t>
      </w:r>
      <w:r w:rsidR="00BA252F" w:rsidRPr="00B40A77">
        <w:rPr>
          <w:color w:val="000000" w:themeColor="text1"/>
          <w:lang w:val="en-US"/>
        </w:rPr>
        <w:t xml:space="preserve"> time when the victim impact statement </w:t>
      </w:r>
      <w:r w:rsidR="00644D57" w:rsidRPr="00B40A77">
        <w:rPr>
          <w:color w:val="000000" w:themeColor="text1"/>
          <w:lang w:val="en-US"/>
        </w:rPr>
        <w:t>is to</w:t>
      </w:r>
      <w:r w:rsidR="00BA252F" w:rsidRPr="00B40A77">
        <w:rPr>
          <w:color w:val="000000" w:themeColor="text1"/>
          <w:lang w:val="en-US"/>
        </w:rPr>
        <w:t xml:space="preserve"> be read or played to the Court and may refuse to postpone reading or playing it if the resulting delay would be unreasonable in the circumstances.</w:t>
      </w:r>
    </w:p>
    <w:p w14:paraId="3B7F4004" w14:textId="618F7128" w:rsidR="00BA252F" w:rsidRPr="00B40A77" w:rsidRDefault="00BA252F" w:rsidP="00BA252F">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the person providing the statement is not in court when the Court </w:t>
      </w:r>
      <w:r w:rsidR="00013C4E" w:rsidRPr="00B40A77">
        <w:rPr>
          <w:color w:val="000000" w:themeColor="text1"/>
          <w:lang w:val="en-US"/>
        </w:rPr>
        <w:t>makes an</w:t>
      </w:r>
      <w:r w:rsidR="00AE5902" w:rsidRPr="00B40A77">
        <w:rPr>
          <w:color w:val="000000" w:themeColor="text1"/>
          <w:lang w:val="en-US"/>
        </w:rPr>
        <w:t xml:space="preserve"> order</w:t>
      </w:r>
      <w:r w:rsidRPr="00B40A77">
        <w:rPr>
          <w:color w:val="000000" w:themeColor="text1"/>
          <w:lang w:val="en-US"/>
        </w:rPr>
        <w:t xml:space="preserve"> under subrule</w:t>
      </w:r>
      <w:r w:rsidR="00C42A0C" w:rsidRPr="00B40A77">
        <w:rPr>
          <w:color w:val="000000" w:themeColor="text1"/>
          <w:lang w:val="en-US"/>
        </w:rPr>
        <w:t> </w:t>
      </w:r>
      <w:r w:rsidRPr="00B40A77">
        <w:rPr>
          <w:color w:val="000000" w:themeColor="text1"/>
          <w:lang w:val="en-US"/>
        </w:rPr>
        <w:t xml:space="preserve">(4), the </w:t>
      </w:r>
      <w:r w:rsidR="00AE5902" w:rsidRPr="00B40A77">
        <w:rPr>
          <w:color w:val="000000" w:themeColor="text1"/>
          <w:lang w:val="en-US"/>
        </w:rPr>
        <w:t>prosecution</w:t>
      </w:r>
      <w:r w:rsidRPr="00B40A77">
        <w:rPr>
          <w:color w:val="000000" w:themeColor="text1"/>
          <w:lang w:val="en-US"/>
        </w:rPr>
        <w:t xml:space="preserve"> </w:t>
      </w:r>
      <w:r w:rsidR="00AE5902" w:rsidRPr="00B40A77">
        <w:rPr>
          <w:color w:val="000000" w:themeColor="text1"/>
          <w:lang w:val="en-US"/>
        </w:rPr>
        <w:t>must</w:t>
      </w:r>
      <w:r w:rsidRPr="00B40A77">
        <w:rPr>
          <w:color w:val="000000" w:themeColor="text1"/>
          <w:lang w:val="en-US"/>
        </w:rPr>
        <w:t xml:space="preserve"> </w:t>
      </w:r>
      <w:r w:rsidR="00644D57" w:rsidRPr="00B40A77">
        <w:rPr>
          <w:color w:val="000000" w:themeColor="text1"/>
          <w:lang w:val="en-US"/>
        </w:rPr>
        <w:t>inform</w:t>
      </w:r>
      <w:r w:rsidRPr="00B40A77">
        <w:rPr>
          <w:color w:val="000000" w:themeColor="text1"/>
          <w:lang w:val="en-US"/>
        </w:rPr>
        <w:t xml:space="preserve"> the person of the time fixe</w:t>
      </w:r>
      <w:r w:rsidR="00013C4E" w:rsidRPr="00B40A77">
        <w:rPr>
          <w:color w:val="000000" w:themeColor="text1"/>
          <w:lang w:val="en-US"/>
        </w:rPr>
        <w:t>d for reading or playing the statement</w:t>
      </w:r>
      <w:r w:rsidRPr="00B40A77">
        <w:rPr>
          <w:color w:val="000000" w:themeColor="text1"/>
          <w:lang w:val="en-US"/>
        </w:rPr>
        <w:t>.</w:t>
      </w:r>
    </w:p>
    <w:p w14:paraId="1BC7BCE3" w14:textId="77777777" w:rsidR="00BA252F" w:rsidRPr="00B40A77" w:rsidRDefault="00BA252F" w:rsidP="00BA252F">
      <w:pPr>
        <w:pStyle w:val="Hangindent"/>
        <w:rPr>
          <w:color w:val="000000" w:themeColor="text1"/>
          <w:lang w:val="en-US"/>
        </w:rPr>
      </w:pPr>
      <w:r w:rsidRPr="00B40A77">
        <w:rPr>
          <w:color w:val="000000" w:themeColor="text1"/>
          <w:lang w:val="en-US"/>
        </w:rPr>
        <w:t>(6)</w:t>
      </w:r>
      <w:r w:rsidRPr="00B40A77">
        <w:rPr>
          <w:color w:val="000000" w:themeColor="text1"/>
          <w:lang w:val="en-US"/>
        </w:rPr>
        <w:tab/>
        <w:t>The person making the statement may amend it at any time before it is read or played to the Court.</w:t>
      </w:r>
    </w:p>
    <w:p w14:paraId="58A6055D" w14:textId="5484F8A3" w:rsidR="00BA252F" w:rsidRPr="00B40A77" w:rsidRDefault="00BA252F" w:rsidP="00BA252F">
      <w:pPr>
        <w:pStyle w:val="Hangindent"/>
        <w:rPr>
          <w:color w:val="000000" w:themeColor="text1"/>
          <w:lang w:val="en-US"/>
        </w:rPr>
      </w:pPr>
      <w:r w:rsidRPr="00B40A77">
        <w:rPr>
          <w:color w:val="000000" w:themeColor="text1"/>
          <w:lang w:val="en-US"/>
        </w:rPr>
        <w:t>(7)</w:t>
      </w:r>
      <w:r w:rsidRPr="00B40A77">
        <w:rPr>
          <w:color w:val="000000" w:themeColor="text1"/>
          <w:lang w:val="en-US"/>
        </w:rPr>
        <w:tab/>
        <w:t xml:space="preserve">The Court may </w:t>
      </w:r>
      <w:r w:rsidR="00013C4E" w:rsidRPr="00B40A77">
        <w:rPr>
          <w:color w:val="000000" w:themeColor="text1"/>
          <w:lang w:val="en-US"/>
        </w:rPr>
        <w:t>order</w:t>
      </w:r>
      <w:r w:rsidRPr="00B40A77">
        <w:rPr>
          <w:color w:val="000000" w:themeColor="text1"/>
          <w:lang w:val="en-US"/>
        </w:rPr>
        <w:t xml:space="preserve"> that irrelevant material in the statement not be read or played to or taken into account by the Court.</w:t>
      </w:r>
    </w:p>
    <w:p w14:paraId="7428A3C3" w14:textId="28144530" w:rsidR="00BA252F" w:rsidRPr="00B40A77" w:rsidRDefault="00BA252F" w:rsidP="00BA252F">
      <w:pPr>
        <w:pStyle w:val="Hangindent"/>
        <w:rPr>
          <w:color w:val="000000" w:themeColor="text1"/>
          <w:lang w:val="en-US"/>
        </w:rPr>
      </w:pPr>
      <w:r w:rsidRPr="00B40A77">
        <w:rPr>
          <w:color w:val="000000" w:themeColor="text1"/>
          <w:lang w:val="en-US"/>
        </w:rPr>
        <w:t>(8)</w:t>
      </w:r>
      <w:r w:rsidRPr="00B40A77">
        <w:rPr>
          <w:color w:val="000000" w:themeColor="text1"/>
          <w:lang w:val="en-US"/>
        </w:rPr>
        <w:tab/>
        <w:t>A person may at any time withdra</w:t>
      </w:r>
      <w:r w:rsidR="00AE5902" w:rsidRPr="00B40A77">
        <w:rPr>
          <w:color w:val="000000" w:themeColor="text1"/>
          <w:lang w:val="en-US"/>
        </w:rPr>
        <w:t>w a</w:t>
      </w:r>
      <w:r w:rsidRPr="00B40A77">
        <w:rPr>
          <w:color w:val="000000" w:themeColor="text1"/>
          <w:lang w:val="en-US"/>
        </w:rPr>
        <w:t xml:space="preserve"> statement, in which event it will not be read or played to or taken into account by the Court.</w:t>
      </w:r>
    </w:p>
    <w:p w14:paraId="561F6E05" w14:textId="5E422DE6" w:rsidR="00BA252F" w:rsidRPr="00B40A77" w:rsidRDefault="004C23FE" w:rsidP="00027F6D">
      <w:pPr>
        <w:pStyle w:val="Heading4"/>
        <w:rPr>
          <w:color w:val="000000" w:themeColor="text1"/>
        </w:rPr>
      </w:pPr>
      <w:bookmarkStart w:id="878" w:name="_Toc60133605"/>
      <w:bookmarkStart w:id="879" w:name="_Toc175239205"/>
      <w:r w:rsidRPr="00B40A77">
        <w:rPr>
          <w:color w:val="000000" w:themeColor="text1"/>
        </w:rPr>
        <w:lastRenderedPageBreak/>
        <w:t>14</w:t>
      </w:r>
      <w:r w:rsidR="00D3418A" w:rsidRPr="00B40A77">
        <w:rPr>
          <w:color w:val="000000" w:themeColor="text1"/>
        </w:rPr>
        <w:t>7</w:t>
      </w:r>
      <w:r w:rsidR="00AE5902" w:rsidRPr="00B40A77">
        <w:rPr>
          <w:color w:val="000000" w:themeColor="text1"/>
        </w:rPr>
        <w:t>.2</w:t>
      </w:r>
      <w:r w:rsidR="00BA252F" w:rsidRPr="00B40A77">
        <w:rPr>
          <w:color w:val="000000" w:themeColor="text1"/>
        </w:rPr>
        <w:t>—Community impact statements</w:t>
      </w:r>
      <w:bookmarkEnd w:id="878"/>
      <w:bookmarkEnd w:id="879"/>
    </w:p>
    <w:p w14:paraId="0A8C5F1D" w14:textId="69629111" w:rsidR="00461703" w:rsidRPr="00B40A77" w:rsidRDefault="00BD42DA" w:rsidP="00461703">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person wishing to </w:t>
      </w:r>
      <w:r w:rsidR="002300A7" w:rsidRPr="00B40A77">
        <w:rPr>
          <w:color w:val="000000" w:themeColor="text1"/>
          <w:lang w:val="en-US"/>
        </w:rPr>
        <w:t>contribute to</w:t>
      </w:r>
      <w:r w:rsidRPr="00B40A77">
        <w:rPr>
          <w:color w:val="000000" w:themeColor="text1"/>
          <w:lang w:val="en-US"/>
        </w:rPr>
        <w:t xml:space="preserve"> </w:t>
      </w:r>
      <w:r w:rsidR="002300A7" w:rsidRPr="00B40A77">
        <w:rPr>
          <w:color w:val="000000" w:themeColor="text1"/>
          <w:lang w:val="en-US"/>
        </w:rPr>
        <w:t xml:space="preserve">a </w:t>
      </w:r>
      <w:r w:rsidR="002300A7" w:rsidRPr="00B40A77">
        <w:rPr>
          <w:color w:val="000000" w:themeColor="text1"/>
          <w:spacing w:val="-3"/>
        </w:rPr>
        <w:t xml:space="preserve">neighbourhood impact statement or social impact statement </w:t>
      </w:r>
      <w:r w:rsidRPr="00B40A77">
        <w:rPr>
          <w:color w:val="000000" w:themeColor="text1"/>
          <w:lang w:val="en-US"/>
        </w:rPr>
        <w:t>under section</w:t>
      </w:r>
      <w:r w:rsidR="00EF1FED" w:rsidRPr="00B40A77">
        <w:rPr>
          <w:color w:val="000000" w:themeColor="text1"/>
          <w:lang w:val="en-US"/>
        </w:rPr>
        <w:t> </w:t>
      </w:r>
      <w:r w:rsidRPr="00B40A77">
        <w:rPr>
          <w:color w:val="000000" w:themeColor="text1"/>
          <w:lang w:val="en-US"/>
        </w:rPr>
        <w:t>15 of the Sentencing Act or section</w:t>
      </w:r>
      <w:r w:rsidR="00EF1FED" w:rsidRPr="00B40A77">
        <w:rPr>
          <w:color w:val="000000" w:themeColor="text1"/>
          <w:lang w:val="en-US"/>
        </w:rPr>
        <w:t> </w:t>
      </w:r>
      <w:r w:rsidRPr="00B40A77">
        <w:rPr>
          <w:color w:val="000000" w:themeColor="text1"/>
          <w:lang w:val="en-US"/>
        </w:rPr>
        <w:t xml:space="preserve">269R(5)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must </w:t>
      </w:r>
      <w:r w:rsidR="002300A7" w:rsidRPr="00B40A77">
        <w:rPr>
          <w:color w:val="000000" w:themeColor="text1"/>
          <w:lang w:val="en-US"/>
        </w:rPr>
        <w:t>make a submission to the Commissioner for Victims’ Rights as soon as practicable after</w:t>
      </w:r>
      <w:r w:rsidR="00461703" w:rsidRPr="00B40A77">
        <w:rPr>
          <w:color w:val="000000" w:themeColor="text1"/>
          <w:lang w:val="en-US"/>
        </w:rPr>
        <w:t>—</w:t>
      </w:r>
    </w:p>
    <w:p w14:paraId="462999A7" w14:textId="77777777" w:rsidR="00461703" w:rsidRPr="00B40A77" w:rsidRDefault="00461703" w:rsidP="00461703">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defendant or youth pleads or is found guilty;</w:t>
      </w:r>
    </w:p>
    <w:p w14:paraId="44F86566" w14:textId="77723E53" w:rsidR="00461703" w:rsidRPr="00B40A77" w:rsidRDefault="00461703" w:rsidP="00461703">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Court declares that the defendant or youth is liable to supervision under Part</w:t>
      </w:r>
      <w:r w:rsidR="00BA2D1F" w:rsidRPr="00B40A77">
        <w:rPr>
          <w:color w:val="000000" w:themeColor="text1"/>
          <w:lang w:val="en-US"/>
        </w:rPr>
        <w:t> </w:t>
      </w:r>
      <w:r w:rsidRPr="00B40A77">
        <w:rPr>
          <w:color w:val="000000" w:themeColor="text1"/>
          <w:lang w:val="en-US"/>
        </w:rPr>
        <w:t xml:space="preserve">8A of the Consolidation Act; or </w:t>
      </w:r>
    </w:p>
    <w:p w14:paraId="0856C9B5" w14:textId="2255B6AD" w:rsidR="00461703" w:rsidRPr="00B40A77" w:rsidRDefault="00461703" w:rsidP="00461703">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defendant is found to be unfit to be tried under section</w:t>
      </w:r>
      <w:r w:rsidR="00EF1FED" w:rsidRPr="00B40A77">
        <w:rPr>
          <w:color w:val="000000" w:themeColor="text1"/>
          <w:lang w:val="en-US"/>
        </w:rPr>
        <w:t> </w:t>
      </w:r>
      <w:r w:rsidRPr="00B40A77">
        <w:rPr>
          <w:color w:val="000000" w:themeColor="text1"/>
          <w:lang w:val="en-US"/>
        </w:rPr>
        <w:t>20BC or acquitted because of mental illness under section</w:t>
      </w:r>
      <w:r w:rsidR="00EF1FED" w:rsidRPr="00B40A77">
        <w:rPr>
          <w:color w:val="000000" w:themeColor="text1"/>
          <w:lang w:val="en-US"/>
        </w:rPr>
        <w:t> </w:t>
      </w:r>
      <w:r w:rsidRPr="00B40A77">
        <w:rPr>
          <w:color w:val="000000" w:themeColor="text1"/>
          <w:lang w:val="en-US"/>
        </w:rPr>
        <w:t xml:space="preserve">20BJ or </w:t>
      </w:r>
      <w:r w:rsidR="00D213C0" w:rsidRPr="00B40A77">
        <w:rPr>
          <w:color w:val="000000" w:themeColor="text1"/>
          <w:lang w:val="en-US"/>
        </w:rPr>
        <w:t>is to</w:t>
      </w:r>
      <w:r w:rsidRPr="00B40A77">
        <w:rPr>
          <w:color w:val="000000" w:themeColor="text1"/>
          <w:lang w:val="en-US"/>
        </w:rPr>
        <w:t xml:space="preserve"> be dealt with under section</w:t>
      </w:r>
      <w:r w:rsidR="00EF1FED" w:rsidRPr="00B40A77">
        <w:rPr>
          <w:color w:val="000000" w:themeColor="text1"/>
          <w:lang w:val="en-US"/>
        </w:rPr>
        <w:t> </w:t>
      </w:r>
      <w:r w:rsidRPr="00B40A77">
        <w:rPr>
          <w:color w:val="000000" w:themeColor="text1"/>
          <w:lang w:val="en-US"/>
        </w:rPr>
        <w:t xml:space="preserve">20BQ or </w:t>
      </w:r>
      <w:r w:rsidR="00EF1FED" w:rsidRPr="00B40A77">
        <w:rPr>
          <w:color w:val="000000" w:themeColor="text1"/>
          <w:lang w:val="en-US"/>
        </w:rPr>
        <w:t>20</w:t>
      </w:r>
      <w:r w:rsidRPr="00B40A77">
        <w:rPr>
          <w:color w:val="000000" w:themeColor="text1"/>
          <w:lang w:val="en-US"/>
        </w:rPr>
        <w:t>BS of the Crimes Act.</w:t>
      </w:r>
    </w:p>
    <w:p w14:paraId="32F4D6E1" w14:textId="068EF935" w:rsidR="00461703" w:rsidRPr="00B40A77" w:rsidRDefault="002300A7" w:rsidP="00461703">
      <w:pPr>
        <w:pStyle w:val="Hangindent"/>
        <w:rPr>
          <w:color w:val="000000" w:themeColor="text1"/>
          <w:lang w:val="en-US"/>
        </w:rPr>
      </w:pPr>
      <w:r w:rsidRPr="00B40A77">
        <w:rPr>
          <w:color w:val="000000" w:themeColor="text1"/>
          <w:lang w:val="en-US"/>
        </w:rPr>
        <w:t>(2</w:t>
      </w:r>
      <w:r w:rsidR="00BA252F" w:rsidRPr="00B40A77">
        <w:rPr>
          <w:color w:val="000000" w:themeColor="text1"/>
          <w:lang w:val="en-US"/>
        </w:rPr>
        <w:t>)</w:t>
      </w:r>
      <w:r w:rsidR="00BA252F" w:rsidRPr="00B40A77">
        <w:rPr>
          <w:color w:val="000000" w:themeColor="text1"/>
          <w:lang w:val="en-US"/>
        </w:rPr>
        <w:tab/>
        <w:t xml:space="preserve">If the </w:t>
      </w:r>
      <w:r w:rsidR="00AE5902" w:rsidRPr="00B40A77">
        <w:rPr>
          <w:color w:val="000000" w:themeColor="text1"/>
          <w:lang w:val="en-US"/>
        </w:rPr>
        <w:t>prosecution</w:t>
      </w:r>
      <w:r w:rsidR="00BA252F" w:rsidRPr="00B40A77">
        <w:rPr>
          <w:color w:val="000000" w:themeColor="text1"/>
          <w:lang w:val="en-US"/>
        </w:rPr>
        <w:t xml:space="preserve"> or the Commissioner for Victims’ Rights wishes to furnish to the Court a </w:t>
      </w:r>
      <w:r w:rsidR="00315596" w:rsidRPr="00B40A77">
        <w:rPr>
          <w:color w:val="000000" w:themeColor="text1"/>
          <w:spacing w:val="-3"/>
        </w:rPr>
        <w:t>nei</w:t>
      </w:r>
      <w:r w:rsidR="00013C4E" w:rsidRPr="00B40A77">
        <w:rPr>
          <w:color w:val="000000" w:themeColor="text1"/>
          <w:spacing w:val="-3"/>
        </w:rPr>
        <w:t>ghbourhood impact statement or</w:t>
      </w:r>
      <w:r w:rsidR="00315596" w:rsidRPr="00B40A77">
        <w:rPr>
          <w:color w:val="000000" w:themeColor="text1"/>
          <w:spacing w:val="-3"/>
        </w:rPr>
        <w:t xml:space="preserve"> social impact statement </w:t>
      </w:r>
      <w:r w:rsidR="00BA252F" w:rsidRPr="00B40A77">
        <w:rPr>
          <w:color w:val="000000" w:themeColor="text1"/>
          <w:lang w:val="en-US"/>
        </w:rPr>
        <w:t xml:space="preserve">in a proceeding to determine </w:t>
      </w:r>
      <w:hyperlink w:anchor="_2.1—Definitions" w:history="1">
        <w:r w:rsidR="00596ADA" w:rsidRPr="00B40A77">
          <w:rPr>
            <w:rStyle w:val="Hyperlink"/>
            <w:color w:val="000000" w:themeColor="text1"/>
          </w:rPr>
          <w:t>sentence</w:t>
        </w:r>
      </w:hyperlink>
      <w:r w:rsidR="0064165A" w:rsidRPr="00B40A77">
        <w:rPr>
          <w:color w:val="000000" w:themeColor="text1"/>
          <w:lang w:val="en-US"/>
        </w:rPr>
        <w:t>, they must</w:t>
      </w:r>
      <w:r w:rsidRPr="00B40A77">
        <w:rPr>
          <w:color w:val="000000" w:themeColor="text1"/>
          <w:lang w:val="en-US"/>
        </w:rPr>
        <w:t xml:space="preserve"> provide the statement</w:t>
      </w:r>
      <w:r w:rsidR="00BA252F" w:rsidRPr="00B40A77">
        <w:rPr>
          <w:color w:val="000000" w:themeColor="text1"/>
          <w:lang w:val="en-US"/>
        </w:rPr>
        <w:t xml:space="preserve"> to the Court and to the </w:t>
      </w:r>
      <w:r w:rsidR="006E4F46" w:rsidRPr="00B40A77">
        <w:rPr>
          <w:color w:val="000000" w:themeColor="text1"/>
          <w:lang w:val="en-US"/>
        </w:rPr>
        <w:t>defendant or youth</w:t>
      </w:r>
      <w:r w:rsidR="00BA252F" w:rsidRPr="00B40A77">
        <w:rPr>
          <w:color w:val="000000" w:themeColor="text1"/>
          <w:lang w:val="en-US"/>
        </w:rPr>
        <w:t xml:space="preserve"> </w:t>
      </w:r>
      <w:r w:rsidR="00461703" w:rsidRPr="00B40A77">
        <w:rPr>
          <w:color w:val="000000" w:themeColor="text1"/>
          <w:lang w:val="en-US"/>
        </w:rPr>
        <w:t>as soon as practicable after—</w:t>
      </w:r>
    </w:p>
    <w:p w14:paraId="75E43F64" w14:textId="77777777" w:rsidR="00461703" w:rsidRPr="00B40A77" w:rsidRDefault="00461703" w:rsidP="00461703">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defendant or youth pleads or is found guilty;</w:t>
      </w:r>
    </w:p>
    <w:p w14:paraId="5060CE5F" w14:textId="1C20566E" w:rsidR="00461703" w:rsidRPr="00B40A77" w:rsidRDefault="00461703" w:rsidP="00461703">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Court declares that the defendant or youth is liable to supervision under Part</w:t>
      </w:r>
      <w:r w:rsidR="00BA2D1F" w:rsidRPr="00B40A77">
        <w:rPr>
          <w:color w:val="000000" w:themeColor="text1"/>
          <w:lang w:val="en-US"/>
        </w:rPr>
        <w:t> </w:t>
      </w:r>
      <w:r w:rsidRPr="00B40A77">
        <w:rPr>
          <w:color w:val="000000" w:themeColor="text1"/>
          <w:lang w:val="en-US"/>
        </w:rPr>
        <w:t xml:space="preserve">8A of the Consolidation Act; or </w:t>
      </w:r>
    </w:p>
    <w:p w14:paraId="2CD9F3D8" w14:textId="4D4DD9E6" w:rsidR="00461703" w:rsidRPr="00B40A77" w:rsidRDefault="00461703" w:rsidP="00461703">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defendant is found to be unfit to be tried under section</w:t>
      </w:r>
      <w:r w:rsidR="00EF1FED" w:rsidRPr="00B40A77">
        <w:rPr>
          <w:color w:val="000000" w:themeColor="text1"/>
          <w:lang w:val="en-US"/>
        </w:rPr>
        <w:t> </w:t>
      </w:r>
      <w:r w:rsidRPr="00B40A77">
        <w:rPr>
          <w:color w:val="000000" w:themeColor="text1"/>
          <w:lang w:val="en-US"/>
        </w:rPr>
        <w:t>20BC or acquitted because of mental illness under section</w:t>
      </w:r>
      <w:r w:rsidR="00EF1FED" w:rsidRPr="00B40A77">
        <w:rPr>
          <w:color w:val="000000" w:themeColor="text1"/>
          <w:lang w:val="en-US"/>
        </w:rPr>
        <w:t> </w:t>
      </w:r>
      <w:r w:rsidRPr="00B40A77">
        <w:rPr>
          <w:color w:val="000000" w:themeColor="text1"/>
          <w:lang w:val="en-US"/>
        </w:rPr>
        <w:t xml:space="preserve">20BJ or </w:t>
      </w:r>
      <w:r w:rsidR="00D213C0" w:rsidRPr="00B40A77">
        <w:rPr>
          <w:color w:val="000000" w:themeColor="text1"/>
          <w:lang w:val="en-US"/>
        </w:rPr>
        <w:t xml:space="preserve">is to </w:t>
      </w:r>
      <w:r w:rsidRPr="00B40A77">
        <w:rPr>
          <w:color w:val="000000" w:themeColor="text1"/>
          <w:lang w:val="en-US"/>
        </w:rPr>
        <w:t>be dealt with under section</w:t>
      </w:r>
      <w:r w:rsidR="00EF1FED" w:rsidRPr="00B40A77">
        <w:rPr>
          <w:color w:val="000000" w:themeColor="text1"/>
          <w:lang w:val="en-US"/>
        </w:rPr>
        <w:t> </w:t>
      </w:r>
      <w:r w:rsidRPr="00B40A77">
        <w:rPr>
          <w:color w:val="000000" w:themeColor="text1"/>
          <w:lang w:val="en-US"/>
        </w:rPr>
        <w:t>20BQ or</w:t>
      </w:r>
      <w:r w:rsidR="00425D16" w:rsidRPr="00B40A77">
        <w:rPr>
          <w:color w:val="000000" w:themeColor="text1"/>
          <w:lang w:val="en-US"/>
        </w:rPr>
        <w:t> </w:t>
      </w:r>
      <w:r w:rsidR="00EF1FED" w:rsidRPr="00B40A77">
        <w:rPr>
          <w:color w:val="000000" w:themeColor="text1"/>
          <w:lang w:val="en-US"/>
        </w:rPr>
        <w:t>20</w:t>
      </w:r>
      <w:r w:rsidRPr="00B40A77">
        <w:rPr>
          <w:color w:val="000000" w:themeColor="text1"/>
          <w:lang w:val="en-US"/>
        </w:rPr>
        <w:t xml:space="preserve">BS of the Crimes Act. </w:t>
      </w:r>
    </w:p>
    <w:p w14:paraId="58037976" w14:textId="406C7D6F" w:rsidR="00BA252F" w:rsidRPr="00B40A77" w:rsidRDefault="002300A7" w:rsidP="00461703">
      <w:pPr>
        <w:pStyle w:val="Hangindent"/>
        <w:rPr>
          <w:color w:val="000000" w:themeColor="text1"/>
          <w:lang w:val="en-US"/>
        </w:rPr>
      </w:pPr>
      <w:r w:rsidRPr="00B40A77">
        <w:rPr>
          <w:color w:val="000000" w:themeColor="text1"/>
          <w:lang w:val="en-US"/>
        </w:rPr>
        <w:t>(3</w:t>
      </w:r>
      <w:r w:rsidR="00013C4E" w:rsidRPr="00B40A77">
        <w:rPr>
          <w:color w:val="000000" w:themeColor="text1"/>
          <w:lang w:val="en-US"/>
        </w:rPr>
        <w:t>)</w:t>
      </w:r>
      <w:r w:rsidR="00013C4E" w:rsidRPr="00B40A77">
        <w:rPr>
          <w:color w:val="000000" w:themeColor="text1"/>
          <w:lang w:val="en-US"/>
        </w:rPr>
        <w:tab/>
        <w:t>The Court may appoint a time when</w:t>
      </w:r>
      <w:r w:rsidR="00BA252F" w:rsidRPr="00B40A77">
        <w:rPr>
          <w:color w:val="000000" w:themeColor="text1"/>
          <w:lang w:val="en-US"/>
        </w:rPr>
        <w:t xml:space="preserve"> the statement will be read to the Court and may refuse to postpone its reading if the resulting delay would be unreasonable in the circumstances.</w:t>
      </w:r>
    </w:p>
    <w:p w14:paraId="18578E58" w14:textId="761A156B" w:rsidR="00BA252F" w:rsidRPr="00B40A77" w:rsidRDefault="002300A7" w:rsidP="00BA252F">
      <w:pPr>
        <w:pStyle w:val="Hangindent"/>
        <w:rPr>
          <w:color w:val="000000" w:themeColor="text1"/>
          <w:lang w:val="en-US"/>
        </w:rPr>
      </w:pPr>
      <w:r w:rsidRPr="00B40A77">
        <w:rPr>
          <w:color w:val="000000" w:themeColor="text1"/>
          <w:lang w:val="en-US"/>
        </w:rPr>
        <w:t>(4</w:t>
      </w:r>
      <w:r w:rsidR="00BA252F" w:rsidRPr="00B40A77">
        <w:rPr>
          <w:color w:val="000000" w:themeColor="text1"/>
          <w:lang w:val="en-US"/>
        </w:rPr>
        <w:t>)</w:t>
      </w:r>
      <w:r w:rsidR="00BA252F" w:rsidRPr="00B40A77">
        <w:rPr>
          <w:color w:val="000000" w:themeColor="text1"/>
          <w:lang w:val="en-US"/>
        </w:rPr>
        <w:tab/>
        <w:t>The statement will not be read out in court if the Court determines that it is inappropriate or if it would be unduly time consuming to do so.</w:t>
      </w:r>
    </w:p>
    <w:p w14:paraId="71FC7DB6" w14:textId="11409FD0" w:rsidR="00BA252F" w:rsidRPr="00B40A77" w:rsidRDefault="002300A7" w:rsidP="00CA2AB7">
      <w:pPr>
        <w:pStyle w:val="Hangindent"/>
        <w:keepLines/>
        <w:rPr>
          <w:color w:val="000000" w:themeColor="text1"/>
          <w:lang w:val="en-US"/>
        </w:rPr>
      </w:pPr>
      <w:r w:rsidRPr="00B40A77">
        <w:rPr>
          <w:color w:val="000000" w:themeColor="text1"/>
          <w:lang w:val="en-US"/>
        </w:rPr>
        <w:t>(5</w:t>
      </w:r>
      <w:r w:rsidR="00BA252F" w:rsidRPr="00B40A77">
        <w:rPr>
          <w:color w:val="000000" w:themeColor="text1"/>
          <w:lang w:val="en-US"/>
        </w:rPr>
        <w:t>)</w:t>
      </w:r>
      <w:r w:rsidR="00BA252F" w:rsidRPr="00B40A77">
        <w:rPr>
          <w:color w:val="000000" w:themeColor="text1"/>
          <w:lang w:val="en-US"/>
        </w:rPr>
        <w:tab/>
        <w:t xml:space="preserve">The Court may </w:t>
      </w:r>
      <w:r w:rsidR="006E4F46" w:rsidRPr="00B40A77">
        <w:rPr>
          <w:color w:val="000000" w:themeColor="text1"/>
          <w:lang w:val="en-US"/>
        </w:rPr>
        <w:t>order</w:t>
      </w:r>
      <w:r w:rsidR="00BA252F" w:rsidRPr="00B40A77">
        <w:rPr>
          <w:color w:val="000000" w:themeColor="text1"/>
          <w:lang w:val="en-US"/>
        </w:rPr>
        <w:t xml:space="preserve"> that irrelevant material in the statement not be read or taken into account by the Court.</w:t>
      </w:r>
    </w:p>
    <w:p w14:paraId="2A8DE586" w14:textId="3EAD183C" w:rsidR="00D52737" w:rsidRPr="00B40A77" w:rsidRDefault="00D52737" w:rsidP="00D52737">
      <w:pPr>
        <w:pStyle w:val="Heading3"/>
        <w:rPr>
          <w:color w:val="000000" w:themeColor="text1"/>
        </w:rPr>
      </w:pPr>
      <w:bookmarkStart w:id="880" w:name="_Toc175239206"/>
      <w:r w:rsidRPr="00B40A77">
        <w:rPr>
          <w:color w:val="000000" w:themeColor="text1"/>
        </w:rPr>
        <w:t xml:space="preserve">Division </w:t>
      </w:r>
      <w:r w:rsidR="002F307A" w:rsidRPr="00B40A77">
        <w:rPr>
          <w:color w:val="000000" w:themeColor="text1"/>
        </w:rPr>
        <w:t>7</w:t>
      </w:r>
      <w:r w:rsidRPr="00B40A77">
        <w:rPr>
          <w:color w:val="000000" w:themeColor="text1"/>
        </w:rPr>
        <w:t>—Sentencing conferences</w:t>
      </w:r>
      <w:bookmarkEnd w:id="880"/>
    </w:p>
    <w:p w14:paraId="2B6B1A10" w14:textId="77777777" w:rsidR="00C30506" w:rsidRPr="00B40A77" w:rsidRDefault="00C30506" w:rsidP="00E200BE">
      <w:pPr>
        <w:pStyle w:val="NoteHeader"/>
        <w:keepNext/>
        <w:ind w:left="567"/>
        <w:rPr>
          <w:color w:val="000000" w:themeColor="text1"/>
        </w:rPr>
      </w:pPr>
      <w:r w:rsidRPr="00B40A77">
        <w:rPr>
          <w:color w:val="000000" w:themeColor="text1"/>
        </w:rPr>
        <w:t>Note—</w:t>
      </w:r>
    </w:p>
    <w:p w14:paraId="680D5EF1" w14:textId="35FB1F93" w:rsidR="00C30506" w:rsidRPr="00B40A77" w:rsidRDefault="00C30506" w:rsidP="00E200BE">
      <w:pPr>
        <w:pStyle w:val="NoteText"/>
        <w:ind w:left="851"/>
        <w:rPr>
          <w:color w:val="000000" w:themeColor="text1"/>
        </w:rPr>
      </w:pPr>
      <w:r w:rsidRPr="00B40A77">
        <w:rPr>
          <w:color w:val="000000" w:themeColor="text1"/>
        </w:rPr>
        <w:t xml:space="preserve">Conferences convened as part of a diversion process are addressed by </w:t>
      </w:r>
      <w:hyperlink w:anchor="_Part_3—Diversion:_Magistrates" w:history="1">
        <w:r w:rsidRPr="00B40A77">
          <w:rPr>
            <w:rStyle w:val="Hyperlink"/>
            <w:color w:val="000000" w:themeColor="text1"/>
          </w:rPr>
          <w:t>Part 3</w:t>
        </w:r>
      </w:hyperlink>
      <w:r w:rsidRPr="00B40A77">
        <w:rPr>
          <w:color w:val="000000" w:themeColor="text1"/>
        </w:rPr>
        <w:t>.</w:t>
      </w:r>
    </w:p>
    <w:p w14:paraId="7CD27EAF" w14:textId="2BE7C751" w:rsidR="00D52737" w:rsidRPr="00B40A77" w:rsidRDefault="00D52737" w:rsidP="00D52737">
      <w:pPr>
        <w:pStyle w:val="Heading4"/>
        <w:rPr>
          <w:color w:val="000000" w:themeColor="text1"/>
        </w:rPr>
      </w:pPr>
      <w:bookmarkStart w:id="881" w:name="_Toc175239207"/>
      <w:r w:rsidRPr="00B40A77">
        <w:rPr>
          <w:color w:val="000000" w:themeColor="text1"/>
        </w:rPr>
        <w:t>14</w:t>
      </w:r>
      <w:r w:rsidR="00D3418A" w:rsidRPr="00B40A77">
        <w:rPr>
          <w:color w:val="000000" w:themeColor="text1"/>
        </w:rPr>
        <w:t>8</w:t>
      </w:r>
      <w:r w:rsidRPr="00B40A77">
        <w:rPr>
          <w:color w:val="000000" w:themeColor="text1"/>
        </w:rPr>
        <w:t>.1—</w:t>
      </w:r>
      <w:r w:rsidR="00C30506" w:rsidRPr="00B40A77">
        <w:rPr>
          <w:color w:val="000000" w:themeColor="text1"/>
        </w:rPr>
        <w:t xml:space="preserve">Sentencing </w:t>
      </w:r>
      <w:r w:rsidR="000F2FD0" w:rsidRPr="00B40A77">
        <w:rPr>
          <w:color w:val="000000" w:themeColor="text1"/>
        </w:rPr>
        <w:t>conference</w:t>
      </w:r>
      <w:bookmarkEnd w:id="881"/>
    </w:p>
    <w:p w14:paraId="7AED1A25" w14:textId="77777777" w:rsidR="00314285" w:rsidRPr="00B40A77" w:rsidRDefault="00D52737" w:rsidP="00314285">
      <w:pPr>
        <w:pStyle w:val="Hangindent"/>
        <w:rPr>
          <w:color w:val="000000" w:themeColor="text1"/>
        </w:rPr>
      </w:pPr>
      <w:r w:rsidRPr="00B40A77">
        <w:rPr>
          <w:color w:val="000000" w:themeColor="text1"/>
        </w:rPr>
        <w:t>(1)</w:t>
      </w:r>
      <w:r w:rsidRPr="00B40A77">
        <w:rPr>
          <w:color w:val="000000" w:themeColor="text1"/>
        </w:rPr>
        <w:tab/>
      </w:r>
      <w:r w:rsidR="00314285" w:rsidRPr="00B40A77">
        <w:rPr>
          <w:color w:val="000000" w:themeColor="text1"/>
        </w:rPr>
        <w:t>This rule applies if—</w:t>
      </w:r>
    </w:p>
    <w:p w14:paraId="7510FD57" w14:textId="0475883A" w:rsidR="00314285" w:rsidRPr="00B40A77" w:rsidRDefault="00314285" w:rsidP="00314285">
      <w:pPr>
        <w:pStyle w:val="Doublehangindent"/>
        <w:rPr>
          <w:color w:val="000000" w:themeColor="text1"/>
          <w:lang w:val="en-GB"/>
        </w:rPr>
      </w:pPr>
      <w:r w:rsidRPr="00B40A77">
        <w:rPr>
          <w:color w:val="000000" w:themeColor="text1"/>
        </w:rPr>
        <w:t>(a)</w:t>
      </w:r>
      <w:r w:rsidRPr="00B40A77">
        <w:rPr>
          <w:color w:val="000000" w:themeColor="text1"/>
        </w:rPr>
        <w:tab/>
        <w:t>the</w:t>
      </w:r>
      <w:r w:rsidRPr="00B40A77">
        <w:rPr>
          <w:color w:val="000000" w:themeColor="text1"/>
          <w:lang w:val="en-GB"/>
        </w:rPr>
        <w:t xml:space="preserve"> defendant or youth is an Aboriginal or Torres Strait Islander person within the meaning of section 22(6) of the Sentencing Act;</w:t>
      </w:r>
    </w:p>
    <w:p w14:paraId="27D3F535" w14:textId="1A8228A2" w:rsidR="00314285" w:rsidRPr="00B40A77" w:rsidRDefault="00314285" w:rsidP="00314285">
      <w:pPr>
        <w:pStyle w:val="Doublehangindent"/>
        <w:rPr>
          <w:color w:val="000000" w:themeColor="text1"/>
          <w:lang w:val="en-GB"/>
        </w:rPr>
      </w:pPr>
      <w:r w:rsidRPr="00B40A77">
        <w:rPr>
          <w:color w:val="000000" w:themeColor="text1"/>
          <w:lang w:val="en-GB"/>
        </w:rPr>
        <w:t>(b)</w:t>
      </w:r>
      <w:r w:rsidRPr="00B40A77">
        <w:rPr>
          <w:color w:val="000000" w:themeColor="text1"/>
          <w:lang w:val="en-GB"/>
        </w:rPr>
        <w:tab/>
        <w:t>the defendant or youth consents to the convening of a sentencing conference; and</w:t>
      </w:r>
    </w:p>
    <w:p w14:paraId="0972BCD0" w14:textId="61BF6D4E" w:rsidR="00314285" w:rsidRPr="00B40A77" w:rsidRDefault="00314285" w:rsidP="00314285">
      <w:pPr>
        <w:pStyle w:val="Doublehangindent"/>
        <w:rPr>
          <w:color w:val="000000" w:themeColor="text1"/>
        </w:rPr>
      </w:pPr>
      <w:r w:rsidRPr="00B40A77">
        <w:rPr>
          <w:color w:val="000000" w:themeColor="text1"/>
        </w:rPr>
        <w:t>(c)</w:t>
      </w:r>
      <w:r w:rsidRPr="00B40A77">
        <w:rPr>
          <w:color w:val="000000" w:themeColor="text1"/>
        </w:rPr>
        <w:tab/>
        <w:t>an Aboriginal and Torres Strait Islander Justice Officer is available to provide assistance.</w:t>
      </w:r>
    </w:p>
    <w:p w14:paraId="3252FAD5" w14:textId="26B7B66D" w:rsidR="00D52737" w:rsidRPr="00B40A77" w:rsidRDefault="00314285" w:rsidP="00314285">
      <w:pPr>
        <w:pStyle w:val="Hangindent"/>
        <w:rPr>
          <w:color w:val="000000" w:themeColor="text1"/>
        </w:rPr>
      </w:pPr>
      <w:r w:rsidRPr="00B40A77">
        <w:rPr>
          <w:color w:val="000000" w:themeColor="text1"/>
        </w:rPr>
        <w:t>(2)</w:t>
      </w:r>
      <w:r w:rsidRPr="00B40A77">
        <w:rPr>
          <w:color w:val="000000" w:themeColor="text1"/>
        </w:rPr>
        <w:tab/>
        <w:t xml:space="preserve">If this rule applies, </w:t>
      </w:r>
      <w:r w:rsidR="003876D0" w:rsidRPr="00B40A77">
        <w:rPr>
          <w:color w:val="000000" w:themeColor="text1"/>
          <w:lang w:val="en-GB"/>
        </w:rPr>
        <w:t>the Court may</w:t>
      </w:r>
      <w:r w:rsidR="00C30506" w:rsidRPr="00B40A77">
        <w:rPr>
          <w:color w:val="000000" w:themeColor="text1"/>
          <w:lang w:val="en-GB"/>
        </w:rPr>
        <w:t xml:space="preserve"> on application by a party or on its own initiative convene a sentencing conference pursuant to section</w:t>
      </w:r>
      <w:r w:rsidR="001462AC" w:rsidRPr="00B40A77">
        <w:rPr>
          <w:color w:val="000000" w:themeColor="text1"/>
          <w:lang w:val="en-GB"/>
        </w:rPr>
        <w:t> </w:t>
      </w:r>
      <w:r w:rsidR="00C30506" w:rsidRPr="00B40A77">
        <w:rPr>
          <w:color w:val="000000" w:themeColor="text1"/>
          <w:lang w:val="en-GB"/>
        </w:rPr>
        <w:t>22 of the Sentencing Act</w:t>
      </w:r>
      <w:r w:rsidR="00D52737" w:rsidRPr="00B40A77">
        <w:rPr>
          <w:color w:val="000000" w:themeColor="text1"/>
        </w:rPr>
        <w:t>.</w:t>
      </w:r>
    </w:p>
    <w:p w14:paraId="773F990B" w14:textId="1E99F82C" w:rsidR="00D52737" w:rsidRDefault="00C30506" w:rsidP="00461703">
      <w:pPr>
        <w:pStyle w:val="Hangindent"/>
        <w:rPr>
          <w:color w:val="000000" w:themeColor="text1"/>
        </w:rPr>
      </w:pPr>
      <w:r w:rsidRPr="00B40A77">
        <w:rPr>
          <w:color w:val="000000" w:themeColor="text1"/>
        </w:rPr>
        <w:lastRenderedPageBreak/>
        <w:t>(</w:t>
      </w:r>
      <w:r w:rsidR="00314285" w:rsidRPr="00B40A77">
        <w:rPr>
          <w:color w:val="000000" w:themeColor="text1"/>
        </w:rPr>
        <w:t>3</w:t>
      </w:r>
      <w:r w:rsidRPr="00B40A77">
        <w:rPr>
          <w:color w:val="000000" w:themeColor="text1"/>
        </w:rPr>
        <w:t>)</w:t>
      </w:r>
      <w:r w:rsidRPr="00B40A77">
        <w:rPr>
          <w:color w:val="000000" w:themeColor="text1"/>
        </w:rPr>
        <w:tab/>
        <w:t xml:space="preserve">A sentencing conference will be conducted in accordance with directions given by the presiding judicial officer. </w:t>
      </w:r>
    </w:p>
    <w:p w14:paraId="7092F967" w14:textId="77777777" w:rsidR="00570C56" w:rsidRPr="00570C56" w:rsidRDefault="00570C56" w:rsidP="00570C56">
      <w:pPr>
        <w:pStyle w:val="Heading3"/>
        <w:rPr>
          <w:color w:val="000000" w:themeColor="text1"/>
        </w:rPr>
      </w:pPr>
      <w:bookmarkStart w:id="882" w:name="_Toc175239208"/>
      <w:r w:rsidRPr="00570C56">
        <w:rPr>
          <w:color w:val="000000" w:themeColor="text1"/>
        </w:rPr>
        <w:t>Division 8—Sentencing material</w:t>
      </w:r>
      <w:bookmarkEnd w:id="882"/>
    </w:p>
    <w:p w14:paraId="5176E4B2" w14:textId="4E8B147F" w:rsidR="00570C56" w:rsidRPr="00570C56" w:rsidRDefault="00570C56" w:rsidP="00570C56">
      <w:pPr>
        <w:pStyle w:val="Heading4"/>
        <w:rPr>
          <w:color w:val="000000" w:themeColor="text1"/>
        </w:rPr>
      </w:pPr>
      <w:bookmarkStart w:id="883" w:name="_Toc175239209"/>
      <w:r w:rsidRPr="00570C56">
        <w:rPr>
          <w:color w:val="000000" w:themeColor="text1"/>
        </w:rPr>
        <w:t>148.1A</w:t>
      </w:r>
      <w:r w:rsidRPr="00570C56">
        <w:rPr>
          <w:color w:val="000000" w:themeColor="text1"/>
          <w:sz w:val="28"/>
          <w:szCs w:val="24"/>
        </w:rPr>
        <w:t>—</w:t>
      </w:r>
      <w:r w:rsidRPr="00570C56">
        <w:rPr>
          <w:color w:val="000000" w:themeColor="text1"/>
        </w:rPr>
        <w:t>Sentencing material filed</w:t>
      </w:r>
      <w:bookmarkEnd w:id="883"/>
    </w:p>
    <w:p w14:paraId="59306717" w14:textId="6B0323CD" w:rsidR="00570C56" w:rsidRPr="00DA1670" w:rsidRDefault="00570C56" w:rsidP="00570C56">
      <w:pPr>
        <w:pStyle w:val="ListParagraph"/>
        <w:ind w:left="567"/>
        <w:jc w:val="both"/>
        <w:rPr>
          <w:b/>
          <w:bCs/>
          <w:sz w:val="26"/>
          <w:szCs w:val="26"/>
        </w:rPr>
      </w:pPr>
      <w:r>
        <w:rPr>
          <w:color w:val="000000"/>
          <w:szCs w:val="23"/>
          <w:lang w:val="en-US"/>
        </w:rPr>
        <w:t>When material is filed</w:t>
      </w:r>
      <w:r w:rsidRPr="001A4791">
        <w:rPr>
          <w:color w:val="000000"/>
          <w:szCs w:val="23"/>
          <w:lang w:val="en-US"/>
        </w:rPr>
        <w:t xml:space="preserve"> for the purposes of sentencing (including without limitation reports, victim or community impact statements or references)</w:t>
      </w:r>
      <w:r>
        <w:rPr>
          <w:color w:val="000000"/>
          <w:szCs w:val="23"/>
          <w:lang w:val="en-US"/>
        </w:rPr>
        <w:t>, it</w:t>
      </w:r>
      <w:r w:rsidRPr="001A4791">
        <w:rPr>
          <w:color w:val="000000"/>
          <w:szCs w:val="23"/>
          <w:lang w:val="en-US"/>
        </w:rPr>
        <w:t xml:space="preserve"> must be filed by accompanying a sentencing material form in the prescribed form</w:t>
      </w:r>
      <w:r w:rsidR="00DD330E">
        <w:rPr>
          <w:color w:val="000000"/>
          <w:szCs w:val="23"/>
          <w:lang w:val="en-US"/>
        </w:rPr>
        <w:t>.</w:t>
      </w:r>
    </w:p>
    <w:p w14:paraId="30EFC2CF" w14:textId="77777777" w:rsidR="00570C56" w:rsidRPr="00201D0C" w:rsidRDefault="00570C56" w:rsidP="00570C56">
      <w:pPr>
        <w:pStyle w:val="NoteHeader"/>
        <w:keepNext/>
        <w:rPr>
          <w:color w:val="000000" w:themeColor="text1"/>
        </w:rPr>
      </w:pPr>
      <w:r w:rsidRPr="00201D0C">
        <w:rPr>
          <w:color w:val="000000" w:themeColor="text1"/>
        </w:rPr>
        <w:t>Prescribed form—</w:t>
      </w:r>
    </w:p>
    <w:p w14:paraId="791156CA" w14:textId="77777777" w:rsidR="00570C56" w:rsidRDefault="00570C56" w:rsidP="00570C56">
      <w:pPr>
        <w:pStyle w:val="NoteText"/>
        <w:ind w:left="1440"/>
        <w:rPr>
          <w:szCs w:val="23"/>
        </w:rPr>
      </w:pPr>
      <w:r w:rsidRPr="00B40A77">
        <w:rPr>
          <w:color w:val="000000" w:themeColor="text1"/>
        </w:rPr>
        <w:t xml:space="preserve">Form </w:t>
      </w:r>
      <w:r>
        <w:rPr>
          <w:color w:val="000000" w:themeColor="text1"/>
        </w:rPr>
        <w:t xml:space="preserve">136 </w:t>
      </w:r>
      <w:r w:rsidRPr="001A4791">
        <w:rPr>
          <w:color w:val="000000" w:themeColor="text1"/>
          <w:u w:val="single"/>
        </w:rPr>
        <w:t>Sentencing material</w:t>
      </w:r>
      <w:r>
        <w:rPr>
          <w:szCs w:val="23"/>
        </w:rPr>
        <w:t>.”</w:t>
      </w:r>
    </w:p>
    <w:p w14:paraId="10C7EAC4" w14:textId="77F9D0DC" w:rsidR="00C239BC" w:rsidRPr="00B40A77" w:rsidRDefault="00C239BC" w:rsidP="00D45D85">
      <w:pPr>
        <w:pStyle w:val="Heading2"/>
        <w:keepNext/>
        <w:rPr>
          <w:color w:val="000000" w:themeColor="text1"/>
        </w:rPr>
      </w:pPr>
      <w:bookmarkStart w:id="884" w:name="_Part_3—Diversion:_Magistrates"/>
      <w:bookmarkStart w:id="885" w:name="_Toc175239210"/>
      <w:bookmarkStart w:id="886" w:name="_Toc60133607"/>
      <w:bookmarkEnd w:id="884"/>
      <w:r w:rsidRPr="00B40A77">
        <w:rPr>
          <w:color w:val="000000" w:themeColor="text1"/>
        </w:rPr>
        <w:t>Part 3—Diversion</w:t>
      </w:r>
      <w:r w:rsidR="00015B2C" w:rsidRPr="00B40A77">
        <w:rPr>
          <w:color w:val="000000" w:themeColor="text1"/>
        </w:rPr>
        <w:t>: Magistrates and Youth Courts</w:t>
      </w:r>
      <w:bookmarkEnd w:id="885"/>
    </w:p>
    <w:p w14:paraId="2327D5FB" w14:textId="26218E17" w:rsidR="000827CA" w:rsidRPr="00B40A77" w:rsidRDefault="000827CA" w:rsidP="000827CA">
      <w:pPr>
        <w:pStyle w:val="Heading3"/>
        <w:rPr>
          <w:color w:val="000000" w:themeColor="text1"/>
        </w:rPr>
      </w:pPr>
      <w:bookmarkStart w:id="887" w:name="_Toc175239211"/>
      <w:r w:rsidRPr="00B40A77">
        <w:rPr>
          <w:color w:val="000000" w:themeColor="text1"/>
        </w:rPr>
        <w:t>Division 1—</w:t>
      </w:r>
      <w:r w:rsidR="00CA75BC" w:rsidRPr="00B40A77">
        <w:rPr>
          <w:color w:val="000000" w:themeColor="text1"/>
        </w:rPr>
        <w:t>Finalising diversion</w:t>
      </w:r>
      <w:bookmarkEnd w:id="887"/>
      <w:r w:rsidRPr="00B40A77">
        <w:rPr>
          <w:color w:val="000000" w:themeColor="text1"/>
        </w:rPr>
        <w:t xml:space="preserve"> </w:t>
      </w:r>
    </w:p>
    <w:p w14:paraId="06D32C59" w14:textId="75D64471" w:rsidR="000827CA" w:rsidRPr="00B40A77" w:rsidRDefault="000827CA" w:rsidP="000827CA">
      <w:pPr>
        <w:pStyle w:val="Heading4"/>
        <w:rPr>
          <w:color w:val="000000" w:themeColor="text1"/>
        </w:rPr>
      </w:pPr>
      <w:bookmarkStart w:id="888" w:name="_Toc175239212"/>
      <w:r w:rsidRPr="00B40A77">
        <w:rPr>
          <w:color w:val="000000" w:themeColor="text1"/>
        </w:rPr>
        <w:t>14</w:t>
      </w:r>
      <w:r w:rsidR="00D3418A" w:rsidRPr="00B40A77">
        <w:rPr>
          <w:color w:val="000000" w:themeColor="text1"/>
        </w:rPr>
        <w:t>9</w:t>
      </w:r>
      <w:r w:rsidRPr="00B40A77">
        <w:rPr>
          <w:color w:val="000000" w:themeColor="text1"/>
        </w:rPr>
        <w:t>.1—Diversion to family conference</w:t>
      </w:r>
      <w:r w:rsidR="00CA75BC" w:rsidRPr="00B40A77">
        <w:rPr>
          <w:color w:val="000000" w:themeColor="text1"/>
        </w:rPr>
        <w:t xml:space="preserve"> or police officer: Youth Court</w:t>
      </w:r>
      <w:bookmarkEnd w:id="888"/>
    </w:p>
    <w:p w14:paraId="72C6F13F" w14:textId="5A844704" w:rsidR="00963485" w:rsidRPr="00B40A77" w:rsidRDefault="000827CA" w:rsidP="00211EE4">
      <w:pPr>
        <w:pStyle w:val="Hangindent"/>
        <w:keepNext/>
        <w:rPr>
          <w:color w:val="000000" w:themeColor="text1"/>
        </w:rPr>
      </w:pPr>
      <w:r w:rsidRPr="00B40A77">
        <w:rPr>
          <w:color w:val="000000" w:themeColor="text1"/>
        </w:rPr>
        <w:t>(1)</w:t>
      </w:r>
      <w:r w:rsidRPr="00B40A77">
        <w:rPr>
          <w:color w:val="000000" w:themeColor="text1"/>
        </w:rPr>
        <w:tab/>
      </w:r>
      <w:r w:rsidR="00963485" w:rsidRPr="00B40A77">
        <w:rPr>
          <w:color w:val="000000" w:themeColor="text1"/>
          <w:lang w:val="en-GB"/>
        </w:rPr>
        <w:t>If a youth has pleaded or been found guilty</w:t>
      </w:r>
      <w:r w:rsidR="003C0DA9" w:rsidRPr="00B40A77">
        <w:rPr>
          <w:color w:val="000000" w:themeColor="text1"/>
          <w:lang w:val="en-GB"/>
        </w:rPr>
        <w:t xml:space="preserve"> and</w:t>
      </w:r>
      <w:r w:rsidR="00963485" w:rsidRPr="00B40A77">
        <w:rPr>
          <w:color w:val="000000" w:themeColor="text1"/>
          <w:lang w:val="en-GB"/>
        </w:rPr>
        <w:t xml:space="preserve"> the Court considers that </w:t>
      </w:r>
      <w:r w:rsidR="003C0DA9" w:rsidRPr="00B40A77">
        <w:rPr>
          <w:color w:val="000000" w:themeColor="text1"/>
        </w:rPr>
        <w:t>the subject matter of the charge should be dealt with instead by a family conference convened under Part</w:t>
      </w:r>
      <w:r w:rsidR="00D84324" w:rsidRPr="00B40A77">
        <w:rPr>
          <w:color w:val="000000" w:themeColor="text1"/>
        </w:rPr>
        <w:t> </w:t>
      </w:r>
      <w:r w:rsidR="003C0DA9" w:rsidRPr="00B40A77">
        <w:rPr>
          <w:color w:val="000000" w:themeColor="text1"/>
        </w:rPr>
        <w:t>2 Division</w:t>
      </w:r>
      <w:r w:rsidR="00D84324" w:rsidRPr="00B40A77">
        <w:rPr>
          <w:color w:val="000000" w:themeColor="text1"/>
        </w:rPr>
        <w:t> </w:t>
      </w:r>
      <w:r w:rsidR="003C0DA9" w:rsidRPr="00B40A77">
        <w:rPr>
          <w:color w:val="000000" w:themeColor="text1"/>
        </w:rPr>
        <w:t xml:space="preserve">3 of the Young Offenders Act, the </w:t>
      </w:r>
      <w:r w:rsidR="00963485" w:rsidRPr="00B40A77">
        <w:rPr>
          <w:color w:val="000000" w:themeColor="text1"/>
        </w:rPr>
        <w:t>Court may order that the</w:t>
      </w:r>
      <w:r w:rsidR="003C0DA9" w:rsidRPr="00B40A77">
        <w:rPr>
          <w:color w:val="000000" w:themeColor="text1"/>
        </w:rPr>
        <w:t xml:space="preserve"> matter be finalised by referral to a family conference</w:t>
      </w:r>
      <w:r w:rsidR="00963485" w:rsidRPr="00B40A77">
        <w:rPr>
          <w:color w:val="000000" w:themeColor="text1"/>
        </w:rPr>
        <w:t>.</w:t>
      </w:r>
    </w:p>
    <w:p w14:paraId="3F83DFFA" w14:textId="78B5836D" w:rsidR="003C0DA9" w:rsidRPr="00B40A77" w:rsidRDefault="003C0DA9" w:rsidP="004E3D0F">
      <w:pPr>
        <w:pStyle w:val="NoteHeader"/>
        <w:keepNext/>
        <w:rPr>
          <w:color w:val="000000" w:themeColor="text1"/>
        </w:rPr>
      </w:pPr>
      <w:r w:rsidRPr="00B40A77">
        <w:rPr>
          <w:color w:val="000000" w:themeColor="text1"/>
        </w:rPr>
        <w:t>Note—</w:t>
      </w:r>
    </w:p>
    <w:p w14:paraId="5FFF1818" w14:textId="763BB0B1" w:rsidR="003C0DA9" w:rsidRPr="00B40A77" w:rsidRDefault="003C0DA9" w:rsidP="00C352AB">
      <w:pPr>
        <w:pStyle w:val="NoteText"/>
        <w:rPr>
          <w:color w:val="000000" w:themeColor="text1"/>
        </w:rPr>
      </w:pPr>
      <w:r w:rsidRPr="00B40A77">
        <w:rPr>
          <w:color w:val="000000" w:themeColor="text1"/>
        </w:rPr>
        <w:t>Section</w:t>
      </w:r>
      <w:r w:rsidR="001462AC" w:rsidRPr="00B40A77">
        <w:rPr>
          <w:color w:val="000000" w:themeColor="text1"/>
        </w:rPr>
        <w:t> </w:t>
      </w:r>
      <w:r w:rsidRPr="00B40A77">
        <w:rPr>
          <w:color w:val="000000" w:themeColor="text1"/>
        </w:rPr>
        <w:t xml:space="preserve">17(2) of the Young Offenders Act provides that </w:t>
      </w:r>
      <w:r w:rsidR="00CA75BC" w:rsidRPr="00B40A77">
        <w:rPr>
          <w:color w:val="000000" w:themeColor="text1"/>
        </w:rPr>
        <w:t>t</w:t>
      </w:r>
      <w:r w:rsidRPr="00B40A77">
        <w:rPr>
          <w:color w:val="000000" w:themeColor="text1"/>
        </w:rPr>
        <w:t xml:space="preserve">he </w:t>
      </w:r>
      <w:r w:rsidR="00CA75BC" w:rsidRPr="00B40A77">
        <w:rPr>
          <w:color w:val="000000" w:themeColor="text1"/>
        </w:rPr>
        <w:t xml:space="preserve">Court </w:t>
      </w:r>
      <w:r w:rsidRPr="00B40A77">
        <w:rPr>
          <w:color w:val="000000" w:themeColor="text1"/>
        </w:rPr>
        <w:t>may, even though a charge has been laid, refer the subject matter of the charge (after the youth</w:t>
      </w:r>
      <w:r w:rsidR="00CA75BC" w:rsidRPr="00B40A77">
        <w:rPr>
          <w:color w:val="000000" w:themeColor="text1"/>
        </w:rPr>
        <w:t>’s</w:t>
      </w:r>
      <w:r w:rsidRPr="00B40A77">
        <w:rPr>
          <w:color w:val="000000" w:themeColor="text1"/>
        </w:rPr>
        <w:t xml:space="preserve"> guilt has been established either by admission or by the </w:t>
      </w:r>
      <w:r w:rsidR="00CA75BC" w:rsidRPr="00B40A77">
        <w:rPr>
          <w:color w:val="000000" w:themeColor="text1"/>
        </w:rPr>
        <w:t>Cour</w:t>
      </w:r>
      <w:r w:rsidRPr="00B40A77">
        <w:rPr>
          <w:color w:val="000000" w:themeColor="text1"/>
        </w:rPr>
        <w:t xml:space="preserve">t's findings) to be dealt with by a police officer or by a </w:t>
      </w:r>
      <w:r w:rsidR="00CA75BC" w:rsidRPr="00B40A77">
        <w:rPr>
          <w:color w:val="000000" w:themeColor="text1"/>
        </w:rPr>
        <w:t>family conference.</w:t>
      </w:r>
    </w:p>
    <w:p w14:paraId="4A48D4CD" w14:textId="25D720EE" w:rsidR="000827CA" w:rsidRPr="00B40A77" w:rsidRDefault="00CA75BC" w:rsidP="000827CA">
      <w:pPr>
        <w:pStyle w:val="Hangindent"/>
        <w:rPr>
          <w:color w:val="000000" w:themeColor="text1"/>
        </w:rPr>
      </w:pPr>
      <w:r w:rsidRPr="00B40A77">
        <w:rPr>
          <w:color w:val="000000" w:themeColor="text1"/>
        </w:rPr>
        <w:t>(</w:t>
      </w:r>
      <w:r w:rsidR="00461703" w:rsidRPr="00B40A77">
        <w:rPr>
          <w:color w:val="000000" w:themeColor="text1"/>
        </w:rPr>
        <w:t>2</w:t>
      </w:r>
      <w:r w:rsidRPr="00B40A77">
        <w:rPr>
          <w:color w:val="000000" w:themeColor="text1"/>
        </w:rPr>
        <w:t>)</w:t>
      </w:r>
      <w:r w:rsidRPr="00B40A77">
        <w:rPr>
          <w:color w:val="000000" w:themeColor="text1"/>
        </w:rPr>
        <w:tab/>
      </w:r>
      <w:r w:rsidRPr="00B40A77">
        <w:rPr>
          <w:color w:val="000000" w:themeColor="text1"/>
          <w:lang w:val="en-GB"/>
        </w:rPr>
        <w:t xml:space="preserve">If a youth has pleaded or been found guilty and the Court considers that </w:t>
      </w:r>
      <w:r w:rsidRPr="00B40A77">
        <w:rPr>
          <w:color w:val="000000" w:themeColor="text1"/>
        </w:rPr>
        <w:t>the subject matter of the charge should be dealt with instead by a police officer under Part</w:t>
      </w:r>
      <w:r w:rsidR="00D84324" w:rsidRPr="00B40A77">
        <w:rPr>
          <w:color w:val="000000" w:themeColor="text1"/>
        </w:rPr>
        <w:t> </w:t>
      </w:r>
      <w:r w:rsidRPr="00B40A77">
        <w:rPr>
          <w:color w:val="000000" w:themeColor="text1"/>
        </w:rPr>
        <w:t>2 Division</w:t>
      </w:r>
      <w:r w:rsidR="00D84324" w:rsidRPr="00B40A77">
        <w:rPr>
          <w:color w:val="000000" w:themeColor="text1"/>
        </w:rPr>
        <w:t> </w:t>
      </w:r>
      <w:r w:rsidRPr="00B40A77">
        <w:rPr>
          <w:color w:val="000000" w:themeColor="text1"/>
        </w:rPr>
        <w:t>2 of the Young Offenders Act, the Court may order that the matter be finalised by referral to a police officer.</w:t>
      </w:r>
    </w:p>
    <w:p w14:paraId="60862A08" w14:textId="5C722742" w:rsidR="00C239BC" w:rsidRPr="00B40A77" w:rsidRDefault="00015B2C" w:rsidP="00C239BC">
      <w:pPr>
        <w:pStyle w:val="Heading3"/>
        <w:rPr>
          <w:color w:val="000000" w:themeColor="text1"/>
        </w:rPr>
      </w:pPr>
      <w:bookmarkStart w:id="889" w:name="_Toc175239213"/>
      <w:r w:rsidRPr="00B40A77">
        <w:rPr>
          <w:color w:val="000000" w:themeColor="text1"/>
        </w:rPr>
        <w:t>Division 2</w:t>
      </w:r>
      <w:r w:rsidR="00C239BC" w:rsidRPr="00B40A77">
        <w:rPr>
          <w:color w:val="000000" w:themeColor="text1"/>
        </w:rPr>
        <w:t>—</w:t>
      </w:r>
      <w:r w:rsidR="00A72CF9" w:rsidRPr="00B40A77">
        <w:rPr>
          <w:color w:val="000000" w:themeColor="text1"/>
        </w:rPr>
        <w:t>Sentencing diversion</w:t>
      </w:r>
      <w:bookmarkEnd w:id="889"/>
    </w:p>
    <w:p w14:paraId="34D31F7B" w14:textId="0549E662" w:rsidR="00A72CF9" w:rsidRPr="00B40A77" w:rsidRDefault="00015B2C" w:rsidP="00A72CF9">
      <w:pPr>
        <w:pStyle w:val="Heading4"/>
        <w:rPr>
          <w:color w:val="000000" w:themeColor="text1"/>
        </w:rPr>
      </w:pPr>
      <w:bookmarkStart w:id="890" w:name="_Toc175239214"/>
      <w:r w:rsidRPr="00B40A77">
        <w:rPr>
          <w:color w:val="000000" w:themeColor="text1"/>
        </w:rPr>
        <w:t>1</w:t>
      </w:r>
      <w:r w:rsidR="00F14A85" w:rsidRPr="00B40A77">
        <w:rPr>
          <w:color w:val="000000" w:themeColor="text1"/>
        </w:rPr>
        <w:t>50</w:t>
      </w:r>
      <w:r w:rsidR="00A72CF9" w:rsidRPr="00B40A77">
        <w:rPr>
          <w:color w:val="000000" w:themeColor="text1"/>
        </w:rPr>
        <w:t>.1—General</w:t>
      </w:r>
      <w:bookmarkEnd w:id="890"/>
    </w:p>
    <w:p w14:paraId="6E2DB865" w14:textId="663243A7" w:rsidR="00A72CF9" w:rsidRPr="00B40A77" w:rsidRDefault="00A72CF9" w:rsidP="00A72CF9">
      <w:pPr>
        <w:pStyle w:val="Hangindent"/>
        <w:rPr>
          <w:color w:val="000000" w:themeColor="text1"/>
        </w:rPr>
      </w:pPr>
      <w:r w:rsidRPr="00B40A77">
        <w:rPr>
          <w:color w:val="000000" w:themeColor="text1"/>
        </w:rPr>
        <w:t>(1)</w:t>
      </w:r>
      <w:r w:rsidRPr="00B40A77">
        <w:rPr>
          <w:color w:val="000000" w:themeColor="text1"/>
        </w:rPr>
        <w:tab/>
        <w:t xml:space="preserve">If an order referred to in </w:t>
      </w:r>
      <w:r w:rsidR="00C1210B" w:rsidRPr="00B40A77">
        <w:rPr>
          <w:color w:val="000000" w:themeColor="text1"/>
        </w:rPr>
        <w:t>this Division</w:t>
      </w:r>
      <w:r w:rsidRPr="00B40A77">
        <w:rPr>
          <w:color w:val="000000" w:themeColor="text1"/>
        </w:rPr>
        <w:t xml:space="preserve"> is made, the defendant or youth will be released on bail subject to conditions appropriate to their participation in the intervention program and will appear in </w:t>
      </w:r>
      <w:r w:rsidR="00307014" w:rsidRPr="00B40A77">
        <w:rPr>
          <w:color w:val="000000" w:themeColor="text1"/>
        </w:rPr>
        <w:t>c</w:t>
      </w:r>
      <w:r w:rsidRPr="00B40A77">
        <w:rPr>
          <w:color w:val="000000" w:themeColor="text1"/>
        </w:rPr>
        <w:t xml:space="preserve">ourt from time to time to review </w:t>
      </w:r>
      <w:r w:rsidR="00720A85" w:rsidRPr="00B40A77">
        <w:rPr>
          <w:color w:val="000000" w:themeColor="text1"/>
        </w:rPr>
        <w:t xml:space="preserve">their </w:t>
      </w:r>
      <w:r w:rsidRPr="00B40A77">
        <w:rPr>
          <w:color w:val="000000" w:themeColor="text1"/>
        </w:rPr>
        <w:t>progress.</w:t>
      </w:r>
    </w:p>
    <w:p w14:paraId="6B07FAF8" w14:textId="7DF72284" w:rsidR="00A72CF9" w:rsidRPr="00B40A77" w:rsidRDefault="00A72CF9" w:rsidP="00A72CF9">
      <w:pPr>
        <w:pStyle w:val="Hangindent"/>
        <w:rPr>
          <w:color w:val="000000" w:themeColor="text1"/>
        </w:rPr>
      </w:pPr>
      <w:r w:rsidRPr="00B40A77">
        <w:rPr>
          <w:color w:val="000000" w:themeColor="text1"/>
        </w:rPr>
        <w:t>(2)</w:t>
      </w:r>
      <w:r w:rsidRPr="00B40A77">
        <w:rPr>
          <w:color w:val="000000" w:themeColor="text1"/>
        </w:rPr>
        <w:tab/>
        <w:t xml:space="preserve">The Court may take into account the defendant’s or youth’s rehabilitation as a result of the program when determining </w:t>
      </w:r>
      <w:hyperlink w:anchor="_2.1—Definitions" w:history="1">
        <w:r w:rsidR="00596ADA" w:rsidRPr="00B40A77">
          <w:rPr>
            <w:rStyle w:val="Hyperlink"/>
            <w:color w:val="000000" w:themeColor="text1"/>
          </w:rPr>
          <w:t>sentence</w:t>
        </w:r>
      </w:hyperlink>
      <w:r w:rsidRPr="00B40A77">
        <w:rPr>
          <w:color w:val="000000" w:themeColor="text1"/>
        </w:rPr>
        <w:t xml:space="preserve"> at the end of the program.</w:t>
      </w:r>
    </w:p>
    <w:p w14:paraId="2A5EB754" w14:textId="0CF4132C" w:rsidR="00A72CF9" w:rsidRPr="00B40A77" w:rsidRDefault="00A72CF9" w:rsidP="00963485">
      <w:pPr>
        <w:pStyle w:val="Hangindent"/>
        <w:rPr>
          <w:color w:val="000000" w:themeColor="text1"/>
        </w:rPr>
      </w:pPr>
      <w:r w:rsidRPr="00B40A77">
        <w:rPr>
          <w:color w:val="000000" w:themeColor="text1"/>
        </w:rPr>
        <w:t>(3)</w:t>
      </w:r>
      <w:r w:rsidRPr="00B40A77">
        <w:rPr>
          <w:color w:val="000000" w:themeColor="text1"/>
        </w:rPr>
        <w:tab/>
        <w:t xml:space="preserve">If the defendant or youth does not satisfactorily participate in the program, the Court may order that their participation cease and proceed to </w:t>
      </w:r>
      <w:hyperlink w:anchor="_2.1—Definitions" w:history="1">
        <w:r w:rsidR="00596ADA" w:rsidRPr="00B40A77">
          <w:rPr>
            <w:rStyle w:val="Hyperlink"/>
            <w:color w:val="000000" w:themeColor="text1"/>
          </w:rPr>
          <w:t>sentence</w:t>
        </w:r>
      </w:hyperlink>
      <w:r w:rsidRPr="00B40A77">
        <w:rPr>
          <w:color w:val="000000" w:themeColor="text1"/>
        </w:rPr>
        <w:t xml:space="preserve"> them. </w:t>
      </w:r>
    </w:p>
    <w:p w14:paraId="16076407" w14:textId="6FDF236D" w:rsidR="00C239BC" w:rsidRPr="00B40A77" w:rsidRDefault="00015B2C" w:rsidP="00C239BC">
      <w:pPr>
        <w:pStyle w:val="Heading4"/>
        <w:rPr>
          <w:color w:val="000000" w:themeColor="text1"/>
        </w:rPr>
      </w:pPr>
      <w:bookmarkStart w:id="891" w:name="_Toc175239215"/>
      <w:r w:rsidRPr="00B40A77">
        <w:rPr>
          <w:color w:val="000000" w:themeColor="text1"/>
        </w:rPr>
        <w:t>1</w:t>
      </w:r>
      <w:r w:rsidR="00F14A85" w:rsidRPr="00B40A77">
        <w:rPr>
          <w:color w:val="000000" w:themeColor="text1"/>
        </w:rPr>
        <w:t>50</w:t>
      </w:r>
      <w:r w:rsidR="00A72CF9" w:rsidRPr="00B40A77">
        <w:rPr>
          <w:color w:val="000000" w:themeColor="text1"/>
        </w:rPr>
        <w:t>.2</w:t>
      </w:r>
      <w:r w:rsidR="00C239BC" w:rsidRPr="00B40A77">
        <w:rPr>
          <w:color w:val="000000" w:themeColor="text1"/>
        </w:rPr>
        <w:t>—</w:t>
      </w:r>
      <w:r w:rsidR="009802FD" w:rsidRPr="00B40A77">
        <w:rPr>
          <w:color w:val="000000" w:themeColor="text1"/>
        </w:rPr>
        <w:t>Treatment Intervention Court</w:t>
      </w:r>
      <w:bookmarkEnd w:id="891"/>
    </w:p>
    <w:p w14:paraId="670778A9" w14:textId="77777777" w:rsidR="002A359B" w:rsidRPr="00B40A77" w:rsidRDefault="00C239BC" w:rsidP="002A359B">
      <w:pPr>
        <w:pStyle w:val="Hangindent"/>
        <w:rPr>
          <w:color w:val="000000" w:themeColor="text1"/>
          <w:lang w:val="en-US"/>
        </w:rPr>
      </w:pPr>
      <w:r w:rsidRPr="00B40A77">
        <w:rPr>
          <w:color w:val="000000" w:themeColor="text1"/>
          <w:lang w:val="en-GB"/>
        </w:rPr>
        <w:t>(1)</w:t>
      </w:r>
      <w:r w:rsidRPr="00B40A77">
        <w:rPr>
          <w:color w:val="000000" w:themeColor="text1"/>
          <w:lang w:val="en-GB"/>
        </w:rPr>
        <w:tab/>
      </w:r>
      <w:r w:rsidR="002A359B" w:rsidRPr="00B40A77">
        <w:rPr>
          <w:color w:val="000000" w:themeColor="text1"/>
          <w:lang w:val="en-GB"/>
        </w:rPr>
        <w:t>This rule applies i</w:t>
      </w:r>
      <w:r w:rsidR="009802FD" w:rsidRPr="00B40A77">
        <w:rPr>
          <w:color w:val="000000" w:themeColor="text1"/>
          <w:lang w:val="en-GB"/>
        </w:rPr>
        <w:t>f</w:t>
      </w:r>
      <w:r w:rsidR="002A359B" w:rsidRPr="00B40A77">
        <w:rPr>
          <w:color w:val="000000" w:themeColor="text1"/>
          <w:lang w:val="en-US"/>
        </w:rPr>
        <w:t>—</w:t>
      </w:r>
    </w:p>
    <w:p w14:paraId="143283AE" w14:textId="3345955D" w:rsidR="002A359B" w:rsidRPr="00B40A77" w:rsidRDefault="002A359B" w:rsidP="002A359B">
      <w:pPr>
        <w:pStyle w:val="Doublehangindent"/>
        <w:rPr>
          <w:color w:val="000000" w:themeColor="text1"/>
          <w:lang w:val="en-GB"/>
        </w:rPr>
      </w:pPr>
      <w:r w:rsidRPr="00B40A77">
        <w:rPr>
          <w:color w:val="000000" w:themeColor="text1"/>
          <w:lang w:val="en-US"/>
        </w:rPr>
        <w:t>(a)</w:t>
      </w:r>
      <w:r w:rsidRPr="00B40A77">
        <w:rPr>
          <w:color w:val="000000" w:themeColor="text1"/>
          <w:lang w:val="en-US"/>
        </w:rPr>
        <w:tab/>
        <w:t xml:space="preserve">a defendant or youth </w:t>
      </w:r>
      <w:r w:rsidR="009802FD" w:rsidRPr="00B40A77">
        <w:rPr>
          <w:color w:val="000000" w:themeColor="text1"/>
          <w:lang w:val="en-GB"/>
        </w:rPr>
        <w:t>has pleaded guilty</w:t>
      </w:r>
      <w:r w:rsidRPr="00B40A77">
        <w:rPr>
          <w:color w:val="000000" w:themeColor="text1"/>
          <w:lang w:val="en-GB"/>
        </w:rPr>
        <w:t>;</w:t>
      </w:r>
    </w:p>
    <w:p w14:paraId="4CD9C339" w14:textId="4D0ED1F2" w:rsidR="002A359B" w:rsidRPr="00B40A77" w:rsidRDefault="002A359B" w:rsidP="002A359B">
      <w:pPr>
        <w:pStyle w:val="Doublehangindent"/>
        <w:rPr>
          <w:color w:val="000000" w:themeColor="text1"/>
        </w:rPr>
      </w:pPr>
      <w:r w:rsidRPr="00B40A77">
        <w:rPr>
          <w:color w:val="000000" w:themeColor="text1"/>
          <w:lang w:val="en-GB"/>
        </w:rPr>
        <w:t>(b)</w:t>
      </w:r>
      <w:r w:rsidRPr="00B40A77">
        <w:rPr>
          <w:color w:val="000000" w:themeColor="text1"/>
          <w:lang w:val="en-GB"/>
        </w:rPr>
        <w:tab/>
      </w:r>
      <w:r w:rsidR="009802FD" w:rsidRPr="00B40A77">
        <w:rPr>
          <w:color w:val="000000" w:themeColor="text1"/>
        </w:rPr>
        <w:t>drug addiction or mental impairment is a criminogenic factor</w:t>
      </w:r>
      <w:r w:rsidR="004B5C96" w:rsidRPr="00B40A77">
        <w:rPr>
          <w:color w:val="000000" w:themeColor="text1"/>
        </w:rPr>
        <w:t xml:space="preserve"> in the offending</w:t>
      </w:r>
      <w:r w:rsidRPr="00B40A77">
        <w:rPr>
          <w:color w:val="000000" w:themeColor="text1"/>
        </w:rPr>
        <w:t>;</w:t>
      </w:r>
    </w:p>
    <w:p w14:paraId="20082D15" w14:textId="179DAB91" w:rsidR="002A359B" w:rsidRPr="00B40A77" w:rsidRDefault="002A359B" w:rsidP="002A359B">
      <w:pPr>
        <w:pStyle w:val="Doublehangindent"/>
        <w:rPr>
          <w:color w:val="000000" w:themeColor="text1"/>
        </w:rPr>
      </w:pPr>
      <w:r w:rsidRPr="00B40A77">
        <w:rPr>
          <w:color w:val="000000" w:themeColor="text1"/>
        </w:rPr>
        <w:t>(c)</w:t>
      </w:r>
      <w:r w:rsidRPr="00B40A77">
        <w:rPr>
          <w:color w:val="000000" w:themeColor="text1"/>
        </w:rPr>
        <w:tab/>
      </w:r>
      <w:r w:rsidR="004B5C96" w:rsidRPr="00B40A77">
        <w:rPr>
          <w:color w:val="000000" w:themeColor="text1"/>
        </w:rPr>
        <w:t>the defendant</w:t>
      </w:r>
      <w:r w:rsidRPr="00B40A77">
        <w:rPr>
          <w:color w:val="000000" w:themeColor="text1"/>
        </w:rPr>
        <w:t xml:space="preserve"> </w:t>
      </w:r>
      <w:r w:rsidRPr="00B40A77">
        <w:rPr>
          <w:color w:val="000000" w:themeColor="text1"/>
          <w:lang w:val="en-US"/>
        </w:rPr>
        <w:t>or youth</w:t>
      </w:r>
      <w:r w:rsidR="004B5C96" w:rsidRPr="00B40A77">
        <w:rPr>
          <w:color w:val="000000" w:themeColor="text1"/>
        </w:rPr>
        <w:t xml:space="preserve"> has a suitable bail address in a </w:t>
      </w:r>
      <w:r w:rsidR="009802FD" w:rsidRPr="00B40A77">
        <w:rPr>
          <w:color w:val="000000" w:themeColor="text1"/>
        </w:rPr>
        <w:t xml:space="preserve">suitable </w:t>
      </w:r>
      <w:r w:rsidR="004B5C96" w:rsidRPr="00B40A77">
        <w:rPr>
          <w:color w:val="000000" w:themeColor="text1"/>
        </w:rPr>
        <w:t>location</w:t>
      </w:r>
      <w:r w:rsidRPr="00B40A77">
        <w:rPr>
          <w:color w:val="000000" w:themeColor="text1"/>
        </w:rPr>
        <w:t>;</w:t>
      </w:r>
      <w:r w:rsidR="004B5C96" w:rsidRPr="00B40A77">
        <w:rPr>
          <w:color w:val="000000" w:themeColor="text1"/>
        </w:rPr>
        <w:t xml:space="preserve"> and </w:t>
      </w:r>
    </w:p>
    <w:p w14:paraId="77EFE0A7" w14:textId="0A904426" w:rsidR="002A359B" w:rsidRPr="00B40A77" w:rsidRDefault="002A359B" w:rsidP="002A359B">
      <w:pPr>
        <w:pStyle w:val="Doublehangindent"/>
        <w:rPr>
          <w:color w:val="000000" w:themeColor="text1"/>
        </w:rPr>
      </w:pPr>
      <w:r w:rsidRPr="00B40A77">
        <w:rPr>
          <w:color w:val="000000" w:themeColor="text1"/>
        </w:rPr>
        <w:lastRenderedPageBreak/>
        <w:t>(d)</w:t>
      </w:r>
      <w:r w:rsidRPr="00B40A77">
        <w:rPr>
          <w:color w:val="000000" w:themeColor="text1"/>
        </w:rPr>
        <w:tab/>
      </w:r>
      <w:r w:rsidR="004B5C96" w:rsidRPr="00B40A77">
        <w:rPr>
          <w:color w:val="000000" w:themeColor="text1"/>
        </w:rPr>
        <w:t xml:space="preserve">the defendant </w:t>
      </w:r>
      <w:r w:rsidRPr="00B40A77">
        <w:rPr>
          <w:color w:val="000000" w:themeColor="text1"/>
          <w:lang w:val="en-US"/>
        </w:rPr>
        <w:t xml:space="preserve">or youth </w:t>
      </w:r>
      <w:r w:rsidR="004B5C96" w:rsidRPr="00B40A77">
        <w:rPr>
          <w:color w:val="000000" w:themeColor="text1"/>
        </w:rPr>
        <w:t xml:space="preserve">is willing to engage in an intervention program with a </w:t>
      </w:r>
      <w:r w:rsidR="009802FD" w:rsidRPr="00B40A77">
        <w:rPr>
          <w:color w:val="000000" w:themeColor="text1"/>
        </w:rPr>
        <w:t>view to the</w:t>
      </w:r>
      <w:r w:rsidRPr="00B40A77">
        <w:rPr>
          <w:color w:val="000000" w:themeColor="text1"/>
        </w:rPr>
        <w:t>ir</w:t>
      </w:r>
      <w:r w:rsidR="009802FD" w:rsidRPr="00B40A77">
        <w:rPr>
          <w:color w:val="000000" w:themeColor="text1"/>
        </w:rPr>
        <w:t xml:space="preserve"> rehabilitation before determination of </w:t>
      </w:r>
      <w:hyperlink w:anchor="_2.1—Definitions" w:history="1">
        <w:r w:rsidR="00596ADA" w:rsidRPr="00B40A77">
          <w:rPr>
            <w:rStyle w:val="Hyperlink"/>
            <w:color w:val="000000" w:themeColor="text1"/>
          </w:rPr>
          <w:t>sentence</w:t>
        </w:r>
      </w:hyperlink>
      <w:r w:rsidR="004B5C96" w:rsidRPr="00B40A77">
        <w:rPr>
          <w:color w:val="000000" w:themeColor="text1"/>
        </w:rPr>
        <w:t xml:space="preserve"> and follow the program’s requirements</w:t>
      </w:r>
      <w:r w:rsidR="00D53E56" w:rsidRPr="00B40A77">
        <w:rPr>
          <w:color w:val="000000" w:themeColor="text1"/>
        </w:rPr>
        <w:t>.</w:t>
      </w:r>
    </w:p>
    <w:p w14:paraId="34952255" w14:textId="54928098" w:rsidR="00C239BC" w:rsidRPr="00B40A77" w:rsidRDefault="002A359B" w:rsidP="002A359B">
      <w:pPr>
        <w:pStyle w:val="Hangindent"/>
        <w:rPr>
          <w:color w:val="000000" w:themeColor="text1"/>
          <w:lang w:val="en-GB"/>
        </w:rPr>
      </w:pPr>
      <w:r w:rsidRPr="00B40A77">
        <w:rPr>
          <w:color w:val="000000" w:themeColor="text1"/>
        </w:rPr>
        <w:t>(2)</w:t>
      </w:r>
      <w:r w:rsidRPr="00B40A77">
        <w:rPr>
          <w:color w:val="000000" w:themeColor="text1"/>
        </w:rPr>
        <w:tab/>
        <w:t>If this rule applies,</w:t>
      </w:r>
      <w:r w:rsidR="009802FD" w:rsidRPr="00B40A77">
        <w:rPr>
          <w:color w:val="000000" w:themeColor="text1"/>
        </w:rPr>
        <w:t xml:space="preserve"> </w:t>
      </w:r>
      <w:r w:rsidR="009802FD" w:rsidRPr="00B40A77">
        <w:rPr>
          <w:color w:val="000000" w:themeColor="text1"/>
          <w:lang w:val="en-GB"/>
        </w:rPr>
        <w:t xml:space="preserve">the Court may order that the defendant </w:t>
      </w:r>
      <w:r w:rsidRPr="00B40A77">
        <w:rPr>
          <w:color w:val="000000" w:themeColor="text1"/>
          <w:lang w:val="en-US"/>
        </w:rPr>
        <w:t xml:space="preserve">or youth </w:t>
      </w:r>
      <w:r w:rsidR="009802FD" w:rsidRPr="00B40A77">
        <w:rPr>
          <w:color w:val="000000" w:themeColor="text1"/>
          <w:lang w:val="en-GB"/>
        </w:rPr>
        <w:t xml:space="preserve">participate in a </w:t>
      </w:r>
      <w:r w:rsidR="00234D99" w:rsidRPr="00B40A77">
        <w:rPr>
          <w:color w:val="000000" w:themeColor="text1"/>
          <w:lang w:val="en-GB"/>
        </w:rPr>
        <w:t>6</w:t>
      </w:r>
      <w:r w:rsidR="000217C5" w:rsidRPr="00B40A77">
        <w:rPr>
          <w:color w:val="000000" w:themeColor="text1"/>
          <w:lang w:val="en-GB"/>
        </w:rPr>
        <w:t> </w:t>
      </w:r>
      <w:r w:rsidR="009802FD" w:rsidRPr="00B40A77">
        <w:rPr>
          <w:color w:val="000000" w:themeColor="text1"/>
          <w:lang w:val="en-GB"/>
        </w:rPr>
        <w:t xml:space="preserve">month or </w:t>
      </w:r>
      <w:r w:rsidR="00234D99" w:rsidRPr="00B40A77">
        <w:rPr>
          <w:color w:val="000000" w:themeColor="text1"/>
          <w:lang w:val="en-GB"/>
        </w:rPr>
        <w:t>12 </w:t>
      </w:r>
      <w:r w:rsidR="009802FD" w:rsidRPr="00B40A77">
        <w:rPr>
          <w:color w:val="000000" w:themeColor="text1"/>
          <w:lang w:val="en-GB"/>
        </w:rPr>
        <w:t xml:space="preserve">month </w:t>
      </w:r>
      <w:r w:rsidR="004B5C96" w:rsidRPr="00B40A77">
        <w:rPr>
          <w:color w:val="000000" w:themeColor="text1"/>
          <w:lang w:val="en-GB"/>
        </w:rPr>
        <w:t xml:space="preserve">intervention </w:t>
      </w:r>
      <w:r w:rsidR="009802FD" w:rsidRPr="00B40A77">
        <w:rPr>
          <w:color w:val="000000" w:themeColor="text1"/>
          <w:lang w:val="en-GB"/>
        </w:rPr>
        <w:t>program of supervised treatment and rehabilitation</w:t>
      </w:r>
      <w:r w:rsidR="00C239BC" w:rsidRPr="00B40A77">
        <w:rPr>
          <w:color w:val="000000" w:themeColor="text1"/>
          <w:lang w:val="en-GB"/>
        </w:rPr>
        <w:t>.</w:t>
      </w:r>
    </w:p>
    <w:p w14:paraId="685CCBFF" w14:textId="72402754" w:rsidR="009925D4" w:rsidRPr="00B40A77" w:rsidRDefault="00015B2C" w:rsidP="009925D4">
      <w:pPr>
        <w:pStyle w:val="Heading4"/>
        <w:rPr>
          <w:color w:val="000000" w:themeColor="text1"/>
        </w:rPr>
      </w:pPr>
      <w:bookmarkStart w:id="892" w:name="_Toc175239216"/>
      <w:r w:rsidRPr="00B40A77">
        <w:rPr>
          <w:color w:val="000000" w:themeColor="text1"/>
        </w:rPr>
        <w:t>1</w:t>
      </w:r>
      <w:r w:rsidR="00F14A85" w:rsidRPr="00B40A77">
        <w:rPr>
          <w:color w:val="000000" w:themeColor="text1"/>
        </w:rPr>
        <w:t>50</w:t>
      </w:r>
      <w:r w:rsidRPr="00B40A77">
        <w:rPr>
          <w:color w:val="000000" w:themeColor="text1"/>
        </w:rPr>
        <w:t>.</w:t>
      </w:r>
      <w:r w:rsidR="005A7E1E" w:rsidRPr="00B40A77">
        <w:rPr>
          <w:color w:val="000000" w:themeColor="text1"/>
        </w:rPr>
        <w:t>3</w:t>
      </w:r>
      <w:r w:rsidR="009925D4" w:rsidRPr="00B40A77">
        <w:rPr>
          <w:color w:val="000000" w:themeColor="text1"/>
        </w:rPr>
        <w:t>—Family Violence Court</w:t>
      </w:r>
      <w:r w:rsidRPr="00B40A77">
        <w:rPr>
          <w:color w:val="000000" w:themeColor="text1"/>
        </w:rPr>
        <w:t>: Magistrates Court</w:t>
      </w:r>
      <w:bookmarkEnd w:id="892"/>
    </w:p>
    <w:p w14:paraId="7637B529" w14:textId="77777777" w:rsidR="002A359B" w:rsidRPr="00B40A77" w:rsidRDefault="002A359B" w:rsidP="002A359B">
      <w:pPr>
        <w:pStyle w:val="Hangindent"/>
        <w:rPr>
          <w:color w:val="000000" w:themeColor="text1"/>
          <w:lang w:val="en-US"/>
        </w:rPr>
      </w:pPr>
      <w:r w:rsidRPr="00B40A77">
        <w:rPr>
          <w:color w:val="000000" w:themeColor="text1"/>
          <w:lang w:val="en-GB"/>
        </w:rPr>
        <w:t>(1)</w:t>
      </w:r>
      <w:r w:rsidRPr="00B40A77">
        <w:rPr>
          <w:color w:val="000000" w:themeColor="text1"/>
          <w:lang w:val="en-GB"/>
        </w:rPr>
        <w:tab/>
        <w:t>This rule applies if</w:t>
      </w:r>
      <w:r w:rsidRPr="00B40A77">
        <w:rPr>
          <w:color w:val="000000" w:themeColor="text1"/>
          <w:lang w:val="en-US"/>
        </w:rPr>
        <w:t>—</w:t>
      </w:r>
    </w:p>
    <w:p w14:paraId="2E5702EC" w14:textId="77777777" w:rsidR="000F2B0E" w:rsidRPr="00B40A77" w:rsidRDefault="000F2B0E" w:rsidP="000F2B0E">
      <w:pPr>
        <w:pStyle w:val="Doublehangindent"/>
        <w:rPr>
          <w:color w:val="000000" w:themeColor="text1"/>
          <w:lang w:val="en-GB"/>
        </w:rPr>
      </w:pPr>
      <w:r w:rsidRPr="00B40A77">
        <w:rPr>
          <w:color w:val="000000" w:themeColor="text1"/>
          <w:lang w:val="en-US"/>
        </w:rPr>
        <w:t>(a)</w:t>
      </w:r>
      <w:r w:rsidRPr="00B40A77">
        <w:rPr>
          <w:color w:val="000000" w:themeColor="text1"/>
          <w:lang w:val="en-US"/>
        </w:rPr>
        <w:tab/>
      </w:r>
      <w:r w:rsidRPr="00B40A77">
        <w:rPr>
          <w:color w:val="000000" w:themeColor="text1"/>
          <w:lang w:val="en-GB"/>
        </w:rPr>
        <w:t xml:space="preserve">a </w:t>
      </w:r>
      <w:r w:rsidR="009925D4" w:rsidRPr="00B40A77">
        <w:rPr>
          <w:color w:val="000000" w:themeColor="text1"/>
          <w:lang w:val="en-GB"/>
        </w:rPr>
        <w:t xml:space="preserve">defendant </w:t>
      </w:r>
      <w:r w:rsidR="0045367D" w:rsidRPr="00B40A77">
        <w:rPr>
          <w:color w:val="000000" w:themeColor="text1"/>
          <w:lang w:val="en-GB"/>
        </w:rPr>
        <w:t>is charged with</w:t>
      </w:r>
      <w:r w:rsidR="009925D4" w:rsidRPr="00B40A77">
        <w:rPr>
          <w:color w:val="000000" w:themeColor="text1"/>
          <w:lang w:val="en-GB"/>
        </w:rPr>
        <w:t xml:space="preserve"> an offe</w:t>
      </w:r>
      <w:r w:rsidRPr="00B40A77">
        <w:rPr>
          <w:color w:val="000000" w:themeColor="text1"/>
          <w:lang w:val="en-GB"/>
        </w:rPr>
        <w:t>nce involving domestic violence;</w:t>
      </w:r>
    </w:p>
    <w:p w14:paraId="593FBDF3" w14:textId="0C48CA90" w:rsidR="000F2B0E" w:rsidRPr="00B40A77" w:rsidRDefault="000F2B0E" w:rsidP="000F2B0E">
      <w:pPr>
        <w:pStyle w:val="Doublehangindent"/>
        <w:rPr>
          <w:color w:val="000000" w:themeColor="text1"/>
        </w:rPr>
      </w:pPr>
      <w:r w:rsidRPr="00B40A77">
        <w:rPr>
          <w:color w:val="000000" w:themeColor="text1"/>
          <w:lang w:val="en-GB"/>
        </w:rPr>
        <w:t>(b)</w:t>
      </w:r>
      <w:r w:rsidRPr="00B40A77">
        <w:rPr>
          <w:color w:val="000000" w:themeColor="text1"/>
          <w:lang w:val="en-GB"/>
        </w:rPr>
        <w:tab/>
      </w:r>
      <w:r w:rsidR="00015B2C" w:rsidRPr="00B40A77">
        <w:rPr>
          <w:color w:val="000000" w:themeColor="text1"/>
        </w:rPr>
        <w:t>there</w:t>
      </w:r>
      <w:r w:rsidR="009925D4" w:rsidRPr="00B40A77">
        <w:rPr>
          <w:color w:val="000000" w:themeColor="text1"/>
        </w:rPr>
        <w:t xml:space="preserve"> are</w:t>
      </w:r>
      <w:r w:rsidR="00015B2C" w:rsidRPr="00B40A77">
        <w:rPr>
          <w:color w:val="000000" w:themeColor="text1"/>
        </w:rPr>
        <w:t xml:space="preserve"> </w:t>
      </w:r>
      <w:r w:rsidR="009925D4" w:rsidRPr="00B40A77">
        <w:rPr>
          <w:color w:val="000000" w:themeColor="text1"/>
        </w:rPr>
        <w:t>criminogenic factor</w:t>
      </w:r>
      <w:r w:rsidR="00015B2C" w:rsidRPr="00B40A77">
        <w:rPr>
          <w:color w:val="000000" w:themeColor="text1"/>
        </w:rPr>
        <w:t>s</w:t>
      </w:r>
      <w:r w:rsidR="009925D4" w:rsidRPr="00B40A77">
        <w:rPr>
          <w:color w:val="000000" w:themeColor="text1"/>
        </w:rPr>
        <w:t xml:space="preserve"> in the offending</w:t>
      </w:r>
      <w:r w:rsidR="00015B2C" w:rsidRPr="00B40A77">
        <w:rPr>
          <w:color w:val="000000" w:themeColor="text1"/>
        </w:rPr>
        <w:t xml:space="preserve"> suitable to be addressed by the program</w:t>
      </w:r>
      <w:r w:rsidRPr="00B40A77">
        <w:rPr>
          <w:color w:val="000000" w:themeColor="text1"/>
        </w:rPr>
        <w:t>;</w:t>
      </w:r>
    </w:p>
    <w:p w14:paraId="6F4BD6ED" w14:textId="77777777" w:rsidR="000F2B0E" w:rsidRPr="00B40A77" w:rsidRDefault="000F2B0E" w:rsidP="000F2B0E">
      <w:pPr>
        <w:pStyle w:val="Doublehangindent"/>
        <w:rPr>
          <w:color w:val="000000" w:themeColor="text1"/>
        </w:rPr>
      </w:pPr>
      <w:r w:rsidRPr="00B40A77">
        <w:rPr>
          <w:color w:val="000000" w:themeColor="text1"/>
        </w:rPr>
        <w:t>(c)</w:t>
      </w:r>
      <w:r w:rsidRPr="00B40A77">
        <w:rPr>
          <w:color w:val="000000" w:themeColor="text1"/>
        </w:rPr>
        <w:tab/>
      </w:r>
      <w:r w:rsidR="009925D4" w:rsidRPr="00B40A77">
        <w:rPr>
          <w:color w:val="000000" w:themeColor="text1"/>
        </w:rPr>
        <w:t>the defendant has a suitable bail address in a suitable location</w:t>
      </w:r>
      <w:r w:rsidRPr="00B40A77">
        <w:rPr>
          <w:color w:val="000000" w:themeColor="text1"/>
        </w:rPr>
        <w:t>;</w:t>
      </w:r>
      <w:r w:rsidR="009925D4" w:rsidRPr="00B40A77">
        <w:rPr>
          <w:color w:val="000000" w:themeColor="text1"/>
        </w:rPr>
        <w:t xml:space="preserve"> and </w:t>
      </w:r>
    </w:p>
    <w:p w14:paraId="450610D0" w14:textId="5B930C04" w:rsidR="000F2B0E" w:rsidRPr="00B40A77" w:rsidRDefault="000F2B0E" w:rsidP="000F2B0E">
      <w:pPr>
        <w:pStyle w:val="Doublehangindent"/>
        <w:rPr>
          <w:color w:val="000000" w:themeColor="text1"/>
        </w:rPr>
      </w:pPr>
      <w:r w:rsidRPr="00B40A77">
        <w:rPr>
          <w:color w:val="000000" w:themeColor="text1"/>
        </w:rPr>
        <w:t>(d)</w:t>
      </w:r>
      <w:r w:rsidRPr="00B40A77">
        <w:rPr>
          <w:color w:val="000000" w:themeColor="text1"/>
        </w:rPr>
        <w:tab/>
      </w:r>
      <w:r w:rsidR="009925D4" w:rsidRPr="00B40A77">
        <w:rPr>
          <w:color w:val="000000" w:themeColor="text1"/>
        </w:rPr>
        <w:t xml:space="preserve">the defendant is willing to engage in an intervention program with a view to the defendant’s rehabilitation before determination of </w:t>
      </w:r>
      <w:hyperlink w:anchor="_2.1—Definitions" w:history="1">
        <w:r w:rsidR="00596ADA" w:rsidRPr="00B40A77">
          <w:rPr>
            <w:rStyle w:val="Hyperlink"/>
            <w:color w:val="000000" w:themeColor="text1"/>
          </w:rPr>
          <w:t>sentence</w:t>
        </w:r>
      </w:hyperlink>
      <w:r w:rsidR="009925D4" w:rsidRPr="00B40A77">
        <w:rPr>
          <w:color w:val="000000" w:themeColor="text1"/>
        </w:rPr>
        <w:t xml:space="preserve"> and follow the program’s requirements</w:t>
      </w:r>
      <w:r w:rsidR="00D53E56" w:rsidRPr="00B40A77">
        <w:rPr>
          <w:color w:val="000000" w:themeColor="text1"/>
        </w:rPr>
        <w:t>.</w:t>
      </w:r>
    </w:p>
    <w:p w14:paraId="4B0AF085" w14:textId="09B882CA" w:rsidR="009925D4" w:rsidRPr="00B40A77" w:rsidRDefault="005A7E1E" w:rsidP="005A7E1E">
      <w:pPr>
        <w:pStyle w:val="Hangindent"/>
        <w:rPr>
          <w:color w:val="000000" w:themeColor="text1"/>
        </w:rPr>
      </w:pPr>
      <w:r w:rsidRPr="00B40A77">
        <w:rPr>
          <w:color w:val="000000" w:themeColor="text1"/>
        </w:rPr>
        <w:t>(2)</w:t>
      </w:r>
      <w:r w:rsidRPr="00B40A77">
        <w:rPr>
          <w:color w:val="000000" w:themeColor="text1"/>
        </w:rPr>
        <w:tab/>
        <w:t xml:space="preserve">If this rule applies, </w:t>
      </w:r>
      <w:r w:rsidRPr="00B40A77">
        <w:rPr>
          <w:color w:val="000000" w:themeColor="text1"/>
          <w:lang w:val="en-GB"/>
        </w:rPr>
        <w:t xml:space="preserve">the Court may order that the defendant </w:t>
      </w:r>
      <w:r w:rsidR="009925D4" w:rsidRPr="00B40A77">
        <w:rPr>
          <w:color w:val="000000" w:themeColor="text1"/>
        </w:rPr>
        <w:t>participate in a family violence intervention program of supervised treatment and rehabilitation.</w:t>
      </w:r>
    </w:p>
    <w:p w14:paraId="7DAB0F5E" w14:textId="3C58FE12" w:rsidR="00905A2D" w:rsidRPr="00B40A77" w:rsidRDefault="00015B2C" w:rsidP="00905A2D">
      <w:pPr>
        <w:pStyle w:val="Heading4"/>
        <w:rPr>
          <w:color w:val="000000" w:themeColor="text1"/>
        </w:rPr>
      </w:pPr>
      <w:bookmarkStart w:id="893" w:name="_Toc175239217"/>
      <w:r w:rsidRPr="00B40A77">
        <w:rPr>
          <w:color w:val="000000" w:themeColor="text1"/>
        </w:rPr>
        <w:t>1</w:t>
      </w:r>
      <w:r w:rsidR="00F14A85" w:rsidRPr="00B40A77">
        <w:rPr>
          <w:color w:val="000000" w:themeColor="text1"/>
        </w:rPr>
        <w:t>50</w:t>
      </w:r>
      <w:r w:rsidRPr="00B40A77">
        <w:rPr>
          <w:color w:val="000000" w:themeColor="text1"/>
        </w:rPr>
        <w:t>.</w:t>
      </w:r>
      <w:r w:rsidR="005A7E1E" w:rsidRPr="00B40A77">
        <w:rPr>
          <w:color w:val="000000" w:themeColor="text1"/>
        </w:rPr>
        <w:t>4</w:t>
      </w:r>
      <w:r w:rsidR="00905A2D" w:rsidRPr="00B40A77">
        <w:rPr>
          <w:color w:val="000000" w:themeColor="text1"/>
        </w:rPr>
        <w:t>—Aboriginal Community Court</w:t>
      </w:r>
      <w:r w:rsidRPr="00B40A77">
        <w:rPr>
          <w:color w:val="000000" w:themeColor="text1"/>
        </w:rPr>
        <w:t>: Magistrates Court</w:t>
      </w:r>
      <w:bookmarkEnd w:id="893"/>
    </w:p>
    <w:p w14:paraId="3394984C" w14:textId="77777777" w:rsidR="005A7E1E" w:rsidRPr="00B40A77" w:rsidRDefault="005A7E1E" w:rsidP="005A7E1E">
      <w:pPr>
        <w:pStyle w:val="Hangindent"/>
        <w:rPr>
          <w:color w:val="000000" w:themeColor="text1"/>
          <w:lang w:val="en-US"/>
        </w:rPr>
      </w:pPr>
      <w:r w:rsidRPr="00B40A77">
        <w:rPr>
          <w:color w:val="000000" w:themeColor="text1"/>
          <w:lang w:val="en-GB"/>
        </w:rPr>
        <w:t>(1)</w:t>
      </w:r>
      <w:r w:rsidRPr="00B40A77">
        <w:rPr>
          <w:color w:val="000000" w:themeColor="text1"/>
          <w:lang w:val="en-GB"/>
        </w:rPr>
        <w:tab/>
        <w:t>This rule applies if</w:t>
      </w:r>
      <w:r w:rsidRPr="00B40A77">
        <w:rPr>
          <w:color w:val="000000" w:themeColor="text1"/>
          <w:lang w:val="en-US"/>
        </w:rPr>
        <w:t>—</w:t>
      </w:r>
    </w:p>
    <w:p w14:paraId="2D03BECA" w14:textId="77777777" w:rsidR="000F2B0E" w:rsidRPr="00B40A77" w:rsidRDefault="000F2B0E" w:rsidP="000F2B0E">
      <w:pPr>
        <w:pStyle w:val="Doublehangindent"/>
        <w:rPr>
          <w:color w:val="000000" w:themeColor="text1"/>
          <w:lang w:val="en-GB"/>
        </w:rPr>
      </w:pPr>
      <w:r w:rsidRPr="00B40A77">
        <w:rPr>
          <w:color w:val="000000" w:themeColor="text1"/>
          <w:lang w:val="en-US"/>
        </w:rPr>
        <w:t>(a)</w:t>
      </w:r>
      <w:r w:rsidRPr="00B40A77">
        <w:rPr>
          <w:color w:val="000000" w:themeColor="text1"/>
          <w:lang w:val="en-US"/>
        </w:rPr>
        <w:tab/>
      </w:r>
      <w:r w:rsidR="00905A2D" w:rsidRPr="00B40A77">
        <w:rPr>
          <w:color w:val="000000" w:themeColor="text1"/>
          <w:lang w:val="en-GB"/>
        </w:rPr>
        <w:t>a</w:t>
      </w:r>
      <w:r w:rsidRPr="00B40A77">
        <w:rPr>
          <w:color w:val="000000" w:themeColor="text1"/>
          <w:lang w:val="en-GB"/>
        </w:rPr>
        <w:t>n</w:t>
      </w:r>
      <w:r w:rsidR="00905A2D" w:rsidRPr="00B40A77">
        <w:rPr>
          <w:color w:val="000000" w:themeColor="text1"/>
          <w:lang w:val="en-GB"/>
        </w:rPr>
        <w:t xml:space="preserve"> Aboriginal defendant has pleaded guilty</w:t>
      </w:r>
      <w:r w:rsidRPr="00B40A77">
        <w:rPr>
          <w:color w:val="000000" w:themeColor="text1"/>
          <w:lang w:val="en-GB"/>
        </w:rPr>
        <w:t>;</w:t>
      </w:r>
    </w:p>
    <w:p w14:paraId="70D4D174" w14:textId="66A36111" w:rsidR="000F2B0E" w:rsidRPr="00B40A77" w:rsidRDefault="000F2B0E" w:rsidP="000F2B0E">
      <w:pPr>
        <w:pStyle w:val="Doublehangindent"/>
        <w:rPr>
          <w:color w:val="000000" w:themeColor="text1"/>
        </w:rPr>
      </w:pPr>
      <w:r w:rsidRPr="00B40A77">
        <w:rPr>
          <w:color w:val="000000" w:themeColor="text1"/>
          <w:lang w:val="en-GB"/>
        </w:rPr>
        <w:t>(b)</w:t>
      </w:r>
      <w:r w:rsidRPr="00B40A77">
        <w:rPr>
          <w:color w:val="000000" w:themeColor="text1"/>
          <w:lang w:val="en-GB"/>
        </w:rPr>
        <w:tab/>
      </w:r>
      <w:r w:rsidR="000827CA" w:rsidRPr="00B40A77">
        <w:rPr>
          <w:color w:val="000000" w:themeColor="text1"/>
        </w:rPr>
        <w:t>there are criminogenic factors in the offending suitable to be addressed by the program</w:t>
      </w:r>
      <w:r w:rsidRPr="00B40A77">
        <w:rPr>
          <w:color w:val="000000" w:themeColor="text1"/>
        </w:rPr>
        <w:t>;</w:t>
      </w:r>
    </w:p>
    <w:p w14:paraId="54EC62BF" w14:textId="77777777" w:rsidR="00557D9F" w:rsidRPr="00B40A77" w:rsidRDefault="00557D9F" w:rsidP="000F2B0E">
      <w:pPr>
        <w:pStyle w:val="Doublehangindent"/>
        <w:rPr>
          <w:color w:val="000000" w:themeColor="text1"/>
        </w:rPr>
      </w:pPr>
      <w:r w:rsidRPr="00B40A77">
        <w:rPr>
          <w:color w:val="000000" w:themeColor="text1"/>
        </w:rPr>
        <w:t>(c)</w:t>
      </w:r>
      <w:r w:rsidRPr="00B40A77">
        <w:rPr>
          <w:color w:val="000000" w:themeColor="text1"/>
        </w:rPr>
        <w:tab/>
      </w:r>
      <w:r w:rsidR="00905A2D" w:rsidRPr="00B40A77">
        <w:rPr>
          <w:color w:val="000000" w:themeColor="text1"/>
        </w:rPr>
        <w:t>the defendant has a suitable bail address in a suitable location</w:t>
      </w:r>
      <w:r w:rsidRPr="00B40A77">
        <w:rPr>
          <w:color w:val="000000" w:themeColor="text1"/>
        </w:rPr>
        <w:t>;</w:t>
      </w:r>
      <w:r w:rsidR="00905A2D" w:rsidRPr="00B40A77">
        <w:rPr>
          <w:color w:val="000000" w:themeColor="text1"/>
        </w:rPr>
        <w:t xml:space="preserve"> and </w:t>
      </w:r>
    </w:p>
    <w:p w14:paraId="0BCC2CA2" w14:textId="3340E7B8" w:rsidR="00557D9F" w:rsidRPr="00B40A77" w:rsidRDefault="00557D9F" w:rsidP="000F2B0E">
      <w:pPr>
        <w:pStyle w:val="Doublehangindent"/>
        <w:rPr>
          <w:color w:val="000000" w:themeColor="text1"/>
        </w:rPr>
      </w:pPr>
      <w:r w:rsidRPr="00B40A77">
        <w:rPr>
          <w:color w:val="000000" w:themeColor="text1"/>
        </w:rPr>
        <w:t>(d)</w:t>
      </w:r>
      <w:r w:rsidRPr="00B40A77">
        <w:rPr>
          <w:color w:val="000000" w:themeColor="text1"/>
        </w:rPr>
        <w:tab/>
      </w:r>
      <w:r w:rsidR="00905A2D" w:rsidRPr="00B40A77">
        <w:rPr>
          <w:color w:val="000000" w:themeColor="text1"/>
        </w:rPr>
        <w:t xml:space="preserve">the defendant is willing to engage in an intervention program with a view to the defendant’s rehabilitation before determination of </w:t>
      </w:r>
      <w:hyperlink w:anchor="_2.1—Definitions" w:history="1">
        <w:r w:rsidR="00596ADA" w:rsidRPr="00B40A77">
          <w:rPr>
            <w:rStyle w:val="Hyperlink"/>
            <w:color w:val="000000" w:themeColor="text1"/>
          </w:rPr>
          <w:t>sentence</w:t>
        </w:r>
      </w:hyperlink>
      <w:r w:rsidR="00905A2D" w:rsidRPr="00B40A77">
        <w:rPr>
          <w:color w:val="000000" w:themeColor="text1"/>
        </w:rPr>
        <w:t xml:space="preserve"> and follow the program’s requirements</w:t>
      </w:r>
      <w:r w:rsidR="006D029D" w:rsidRPr="00B40A77">
        <w:rPr>
          <w:color w:val="000000" w:themeColor="text1"/>
        </w:rPr>
        <w:t>.</w:t>
      </w:r>
    </w:p>
    <w:p w14:paraId="26798D53" w14:textId="135C1BF7" w:rsidR="00905A2D" w:rsidRPr="00B40A77" w:rsidRDefault="005A7E1E" w:rsidP="005A7E1E">
      <w:pPr>
        <w:pStyle w:val="Hangindent"/>
        <w:rPr>
          <w:color w:val="000000" w:themeColor="text1"/>
        </w:rPr>
      </w:pPr>
      <w:r w:rsidRPr="00B40A77">
        <w:rPr>
          <w:color w:val="000000" w:themeColor="text1"/>
        </w:rPr>
        <w:t>(2)</w:t>
      </w:r>
      <w:r w:rsidRPr="00B40A77">
        <w:rPr>
          <w:color w:val="000000" w:themeColor="text1"/>
        </w:rPr>
        <w:tab/>
        <w:t xml:space="preserve">If this rule applies, </w:t>
      </w:r>
      <w:r w:rsidRPr="00B40A77">
        <w:rPr>
          <w:color w:val="000000" w:themeColor="text1"/>
          <w:lang w:val="en-GB"/>
        </w:rPr>
        <w:t xml:space="preserve">the Court may order that </w:t>
      </w:r>
      <w:r w:rsidR="00905A2D" w:rsidRPr="00B40A77">
        <w:rPr>
          <w:color w:val="000000" w:themeColor="text1"/>
        </w:rPr>
        <w:t xml:space="preserve">the defendant participate in a </w:t>
      </w:r>
      <w:r w:rsidR="00234D99" w:rsidRPr="00B40A77">
        <w:rPr>
          <w:color w:val="000000" w:themeColor="text1"/>
        </w:rPr>
        <w:t>6 </w:t>
      </w:r>
      <w:r w:rsidR="00905A2D" w:rsidRPr="00B40A77">
        <w:rPr>
          <w:color w:val="000000" w:themeColor="text1"/>
        </w:rPr>
        <w:t>month intervention program of supervised treatment and rehabilitation.</w:t>
      </w:r>
    </w:p>
    <w:p w14:paraId="415631AE" w14:textId="16707B5B" w:rsidR="00905A2D" w:rsidRPr="00B40A77" w:rsidRDefault="00905A2D" w:rsidP="00905A2D">
      <w:pPr>
        <w:pStyle w:val="Heading4"/>
        <w:rPr>
          <w:color w:val="000000" w:themeColor="text1"/>
        </w:rPr>
      </w:pPr>
      <w:bookmarkStart w:id="894" w:name="_Toc175239218"/>
      <w:r w:rsidRPr="00B40A77">
        <w:rPr>
          <w:color w:val="000000" w:themeColor="text1"/>
        </w:rPr>
        <w:t>1</w:t>
      </w:r>
      <w:r w:rsidR="00F14A85" w:rsidRPr="00B40A77">
        <w:rPr>
          <w:color w:val="000000" w:themeColor="text1"/>
        </w:rPr>
        <w:t>50</w:t>
      </w:r>
      <w:r w:rsidR="00015B2C" w:rsidRPr="00B40A77">
        <w:rPr>
          <w:color w:val="000000" w:themeColor="text1"/>
        </w:rPr>
        <w:t>.</w:t>
      </w:r>
      <w:r w:rsidR="005A7E1E" w:rsidRPr="00B40A77">
        <w:rPr>
          <w:color w:val="000000" w:themeColor="text1"/>
        </w:rPr>
        <w:t>5</w:t>
      </w:r>
      <w:r w:rsidRPr="00B40A77">
        <w:rPr>
          <w:color w:val="000000" w:themeColor="text1"/>
        </w:rPr>
        <w:t>—</w:t>
      </w:r>
      <w:r w:rsidR="00A72CF9" w:rsidRPr="00B40A77">
        <w:rPr>
          <w:color w:val="000000" w:themeColor="text1"/>
        </w:rPr>
        <w:t>Aboriginal Youth Sentencing</w:t>
      </w:r>
      <w:r w:rsidRPr="00B40A77">
        <w:rPr>
          <w:color w:val="000000" w:themeColor="text1"/>
        </w:rPr>
        <w:t xml:space="preserve"> Court</w:t>
      </w:r>
      <w:r w:rsidR="00D213C0" w:rsidRPr="00B40A77">
        <w:rPr>
          <w:color w:val="000000" w:themeColor="text1"/>
        </w:rPr>
        <w:t>: Youth Court</w:t>
      </w:r>
      <w:bookmarkEnd w:id="894"/>
    </w:p>
    <w:p w14:paraId="68E40E55" w14:textId="77777777" w:rsidR="005A7E1E" w:rsidRPr="00B40A77" w:rsidRDefault="005A7E1E" w:rsidP="005A7E1E">
      <w:pPr>
        <w:pStyle w:val="Hangindent"/>
        <w:rPr>
          <w:color w:val="000000" w:themeColor="text1"/>
          <w:lang w:val="en-US"/>
        </w:rPr>
      </w:pPr>
      <w:r w:rsidRPr="00B40A77">
        <w:rPr>
          <w:color w:val="000000" w:themeColor="text1"/>
          <w:lang w:val="en-GB"/>
        </w:rPr>
        <w:t>(1)</w:t>
      </w:r>
      <w:r w:rsidRPr="00B40A77">
        <w:rPr>
          <w:color w:val="000000" w:themeColor="text1"/>
          <w:lang w:val="en-GB"/>
        </w:rPr>
        <w:tab/>
        <w:t>This rule applies if</w:t>
      </w:r>
      <w:r w:rsidRPr="00B40A77">
        <w:rPr>
          <w:color w:val="000000" w:themeColor="text1"/>
          <w:lang w:val="en-US"/>
        </w:rPr>
        <w:t>—</w:t>
      </w:r>
    </w:p>
    <w:p w14:paraId="07241A23" w14:textId="77777777" w:rsidR="000F2B0E" w:rsidRPr="00B40A77" w:rsidRDefault="000F2B0E" w:rsidP="000F2B0E">
      <w:pPr>
        <w:pStyle w:val="Doublehangindent"/>
        <w:rPr>
          <w:color w:val="000000" w:themeColor="text1"/>
          <w:lang w:val="en-GB"/>
        </w:rPr>
      </w:pPr>
      <w:r w:rsidRPr="00B40A77">
        <w:rPr>
          <w:color w:val="000000" w:themeColor="text1"/>
          <w:lang w:val="en-US"/>
        </w:rPr>
        <w:t>(a)</w:t>
      </w:r>
      <w:r w:rsidRPr="00B40A77">
        <w:rPr>
          <w:color w:val="000000" w:themeColor="text1"/>
          <w:lang w:val="en-US"/>
        </w:rPr>
        <w:tab/>
      </w:r>
      <w:r w:rsidR="00905A2D" w:rsidRPr="00B40A77">
        <w:rPr>
          <w:color w:val="000000" w:themeColor="text1"/>
          <w:lang w:val="en-GB"/>
        </w:rPr>
        <w:t>a</w:t>
      </w:r>
      <w:r w:rsidR="00015B2C" w:rsidRPr="00B40A77">
        <w:rPr>
          <w:color w:val="000000" w:themeColor="text1"/>
          <w:lang w:val="en-GB"/>
        </w:rPr>
        <w:t>n</w:t>
      </w:r>
      <w:r w:rsidR="00905A2D" w:rsidRPr="00B40A77">
        <w:rPr>
          <w:color w:val="000000" w:themeColor="text1"/>
          <w:lang w:val="en-GB"/>
        </w:rPr>
        <w:t xml:space="preserve"> Aboriginal </w:t>
      </w:r>
      <w:r w:rsidR="00A72CF9" w:rsidRPr="00B40A77">
        <w:rPr>
          <w:color w:val="000000" w:themeColor="text1"/>
          <w:lang w:val="en-GB"/>
        </w:rPr>
        <w:t>or Torres Strait Islander youth</w:t>
      </w:r>
      <w:r w:rsidR="00905A2D" w:rsidRPr="00B40A77">
        <w:rPr>
          <w:color w:val="000000" w:themeColor="text1"/>
          <w:lang w:val="en-GB"/>
        </w:rPr>
        <w:t xml:space="preserve"> has pleaded guilty</w:t>
      </w:r>
      <w:r w:rsidRPr="00B40A77">
        <w:rPr>
          <w:color w:val="000000" w:themeColor="text1"/>
          <w:lang w:val="en-GB"/>
        </w:rPr>
        <w:t>;</w:t>
      </w:r>
    </w:p>
    <w:p w14:paraId="7378D11D" w14:textId="5C0657C2" w:rsidR="000F2B0E" w:rsidRPr="00B40A77" w:rsidRDefault="000F2B0E" w:rsidP="000F2B0E">
      <w:pPr>
        <w:pStyle w:val="Doublehangindent"/>
        <w:rPr>
          <w:color w:val="000000" w:themeColor="text1"/>
          <w:lang w:val="en-GB"/>
        </w:rPr>
      </w:pPr>
      <w:r w:rsidRPr="00B40A77">
        <w:rPr>
          <w:color w:val="000000" w:themeColor="text1"/>
          <w:lang w:val="en-GB"/>
        </w:rPr>
        <w:t>(b)</w:t>
      </w:r>
      <w:r w:rsidRPr="00B40A77">
        <w:rPr>
          <w:color w:val="000000" w:themeColor="text1"/>
          <w:lang w:val="en-GB"/>
        </w:rPr>
        <w:tab/>
      </w:r>
      <w:r w:rsidR="000827CA" w:rsidRPr="00B40A77">
        <w:rPr>
          <w:color w:val="000000" w:themeColor="text1"/>
          <w:lang w:val="en-GB"/>
        </w:rPr>
        <w:t>the offending</w:t>
      </w:r>
      <w:r w:rsidR="00A72CF9" w:rsidRPr="00B40A77">
        <w:rPr>
          <w:color w:val="000000" w:themeColor="text1"/>
          <w:lang w:val="en-GB"/>
        </w:rPr>
        <w:t xml:space="preserve"> may attract a custodial </w:t>
      </w:r>
      <w:hyperlink w:anchor="_2.1—Definitions" w:history="1">
        <w:r w:rsidR="00596ADA" w:rsidRPr="00B40A77">
          <w:rPr>
            <w:rStyle w:val="Hyperlink"/>
            <w:color w:val="000000" w:themeColor="text1"/>
          </w:rPr>
          <w:t>sentence</w:t>
        </w:r>
      </w:hyperlink>
      <w:r w:rsidRPr="00B40A77">
        <w:rPr>
          <w:color w:val="000000" w:themeColor="text1"/>
          <w:lang w:val="en-GB"/>
        </w:rPr>
        <w:t>;</w:t>
      </w:r>
    </w:p>
    <w:p w14:paraId="544222F3" w14:textId="1006BFC1" w:rsidR="000F2B0E" w:rsidRPr="00B40A77" w:rsidRDefault="000F2B0E" w:rsidP="000F2B0E">
      <w:pPr>
        <w:pStyle w:val="Doublehangindent"/>
        <w:rPr>
          <w:color w:val="000000" w:themeColor="text1"/>
        </w:rPr>
      </w:pPr>
      <w:r w:rsidRPr="00B40A77">
        <w:rPr>
          <w:color w:val="000000" w:themeColor="text1"/>
          <w:lang w:val="en-GB"/>
        </w:rPr>
        <w:t>(c)</w:t>
      </w:r>
      <w:r w:rsidRPr="00B40A77">
        <w:rPr>
          <w:color w:val="000000" w:themeColor="text1"/>
          <w:lang w:val="en-GB"/>
        </w:rPr>
        <w:tab/>
      </w:r>
      <w:r w:rsidR="000827CA" w:rsidRPr="00B40A77">
        <w:rPr>
          <w:color w:val="000000" w:themeColor="text1"/>
        </w:rPr>
        <w:t>there are criminogenic factors in the offending suitable to be addressed by the program</w:t>
      </w:r>
      <w:r w:rsidRPr="00B40A77">
        <w:rPr>
          <w:color w:val="000000" w:themeColor="text1"/>
        </w:rPr>
        <w:t>;</w:t>
      </w:r>
    </w:p>
    <w:p w14:paraId="0E27DE7A" w14:textId="77777777" w:rsidR="000F2B0E" w:rsidRPr="00B40A77" w:rsidRDefault="000F2B0E" w:rsidP="000F2B0E">
      <w:pPr>
        <w:pStyle w:val="Doublehangindent"/>
        <w:rPr>
          <w:color w:val="000000" w:themeColor="text1"/>
        </w:rPr>
      </w:pPr>
      <w:r w:rsidRPr="00B40A77">
        <w:rPr>
          <w:color w:val="000000" w:themeColor="text1"/>
        </w:rPr>
        <w:t>(d)</w:t>
      </w:r>
      <w:r w:rsidRPr="00B40A77">
        <w:rPr>
          <w:color w:val="000000" w:themeColor="text1"/>
        </w:rPr>
        <w:tab/>
      </w:r>
      <w:r w:rsidR="00905A2D" w:rsidRPr="00B40A77">
        <w:rPr>
          <w:color w:val="000000" w:themeColor="text1"/>
        </w:rPr>
        <w:t xml:space="preserve">the </w:t>
      </w:r>
      <w:r w:rsidR="000827CA" w:rsidRPr="00B40A77">
        <w:rPr>
          <w:color w:val="000000" w:themeColor="text1"/>
          <w:lang w:val="en-GB"/>
        </w:rPr>
        <w:t>youth</w:t>
      </w:r>
      <w:r w:rsidR="00905A2D" w:rsidRPr="00B40A77">
        <w:rPr>
          <w:color w:val="000000" w:themeColor="text1"/>
        </w:rPr>
        <w:t xml:space="preserve"> has a suitable bail address in a suitable location</w:t>
      </w:r>
      <w:r w:rsidRPr="00B40A77">
        <w:rPr>
          <w:color w:val="000000" w:themeColor="text1"/>
        </w:rPr>
        <w:t>;</w:t>
      </w:r>
      <w:r w:rsidR="00905A2D" w:rsidRPr="00B40A77">
        <w:rPr>
          <w:color w:val="000000" w:themeColor="text1"/>
        </w:rPr>
        <w:t xml:space="preserve"> and </w:t>
      </w:r>
    </w:p>
    <w:p w14:paraId="5B34C3CD" w14:textId="7A61861D" w:rsidR="000F2B0E" w:rsidRPr="00B40A77" w:rsidRDefault="000F2B0E" w:rsidP="000F2B0E">
      <w:pPr>
        <w:pStyle w:val="Doublehangindent"/>
        <w:rPr>
          <w:color w:val="000000" w:themeColor="text1"/>
        </w:rPr>
      </w:pPr>
      <w:r w:rsidRPr="00B40A77">
        <w:rPr>
          <w:color w:val="000000" w:themeColor="text1"/>
        </w:rPr>
        <w:t>(e)</w:t>
      </w:r>
      <w:r w:rsidRPr="00B40A77">
        <w:rPr>
          <w:color w:val="000000" w:themeColor="text1"/>
        </w:rPr>
        <w:tab/>
      </w:r>
      <w:r w:rsidR="00905A2D" w:rsidRPr="00B40A77">
        <w:rPr>
          <w:color w:val="000000" w:themeColor="text1"/>
        </w:rPr>
        <w:t xml:space="preserve">the </w:t>
      </w:r>
      <w:r w:rsidR="000827CA" w:rsidRPr="00B40A77">
        <w:rPr>
          <w:color w:val="000000" w:themeColor="text1"/>
          <w:lang w:val="en-GB"/>
        </w:rPr>
        <w:t>youth</w:t>
      </w:r>
      <w:r w:rsidR="00905A2D" w:rsidRPr="00B40A77">
        <w:rPr>
          <w:color w:val="000000" w:themeColor="text1"/>
        </w:rPr>
        <w:t xml:space="preserve"> is willing to engage in an intervention program with a </w:t>
      </w:r>
      <w:r w:rsidR="000827CA" w:rsidRPr="00B40A77">
        <w:rPr>
          <w:color w:val="000000" w:themeColor="text1"/>
        </w:rPr>
        <w:t>view to their</w:t>
      </w:r>
      <w:r w:rsidR="00905A2D" w:rsidRPr="00B40A77">
        <w:rPr>
          <w:color w:val="000000" w:themeColor="text1"/>
        </w:rPr>
        <w:t xml:space="preserve"> rehabilitation before determination of </w:t>
      </w:r>
      <w:hyperlink w:anchor="_2.1—Definitions" w:history="1">
        <w:r w:rsidR="00596ADA" w:rsidRPr="00B40A77">
          <w:rPr>
            <w:rStyle w:val="Hyperlink"/>
            <w:color w:val="000000" w:themeColor="text1"/>
          </w:rPr>
          <w:t>sentence</w:t>
        </w:r>
      </w:hyperlink>
      <w:r w:rsidR="00905A2D" w:rsidRPr="00B40A77">
        <w:rPr>
          <w:color w:val="000000" w:themeColor="text1"/>
        </w:rPr>
        <w:t xml:space="preserve"> and follow the program’s requirements</w:t>
      </w:r>
      <w:r w:rsidR="006D029D" w:rsidRPr="00B40A77">
        <w:rPr>
          <w:color w:val="000000" w:themeColor="text1"/>
        </w:rPr>
        <w:t>.</w:t>
      </w:r>
    </w:p>
    <w:p w14:paraId="22BCBFE5" w14:textId="0F69B744" w:rsidR="00905A2D" w:rsidRPr="00B40A77" w:rsidRDefault="005A7E1E" w:rsidP="005A7E1E">
      <w:pPr>
        <w:pStyle w:val="Hangindent"/>
        <w:rPr>
          <w:color w:val="000000" w:themeColor="text1"/>
        </w:rPr>
      </w:pPr>
      <w:r w:rsidRPr="00B40A77">
        <w:rPr>
          <w:color w:val="000000" w:themeColor="text1"/>
        </w:rPr>
        <w:t>(2)</w:t>
      </w:r>
      <w:r w:rsidRPr="00B40A77">
        <w:rPr>
          <w:color w:val="000000" w:themeColor="text1"/>
        </w:rPr>
        <w:tab/>
        <w:t xml:space="preserve">If this rule applies, </w:t>
      </w:r>
      <w:r w:rsidRPr="00B40A77">
        <w:rPr>
          <w:color w:val="000000" w:themeColor="text1"/>
          <w:lang w:val="en-GB"/>
        </w:rPr>
        <w:t xml:space="preserve">the Court may order that </w:t>
      </w:r>
      <w:r w:rsidR="00905A2D" w:rsidRPr="00B40A77">
        <w:rPr>
          <w:color w:val="000000" w:themeColor="text1"/>
        </w:rPr>
        <w:t xml:space="preserve">the </w:t>
      </w:r>
      <w:r w:rsidR="000827CA" w:rsidRPr="00B40A77">
        <w:rPr>
          <w:color w:val="000000" w:themeColor="text1"/>
          <w:lang w:val="en-GB"/>
        </w:rPr>
        <w:t>youth</w:t>
      </w:r>
      <w:r w:rsidR="00905A2D" w:rsidRPr="00B40A77">
        <w:rPr>
          <w:color w:val="000000" w:themeColor="text1"/>
        </w:rPr>
        <w:t xml:space="preserve"> participate</w:t>
      </w:r>
      <w:r w:rsidR="008C1F0D" w:rsidRPr="00B40A77">
        <w:rPr>
          <w:color w:val="000000" w:themeColor="text1"/>
        </w:rPr>
        <w:t xml:space="preserve"> in </w:t>
      </w:r>
      <w:r w:rsidR="000827CA" w:rsidRPr="00B40A77">
        <w:rPr>
          <w:color w:val="000000" w:themeColor="text1"/>
        </w:rPr>
        <w:t>an</w:t>
      </w:r>
      <w:r w:rsidR="00905A2D" w:rsidRPr="00B40A77">
        <w:rPr>
          <w:color w:val="000000" w:themeColor="text1"/>
        </w:rPr>
        <w:t xml:space="preserve"> intervention program of supervised treatment and rehabilitation.</w:t>
      </w:r>
    </w:p>
    <w:p w14:paraId="449555C6" w14:textId="750FA099" w:rsidR="008E5AB8" w:rsidRPr="00B40A77" w:rsidRDefault="008E5AB8" w:rsidP="008E5AB8">
      <w:pPr>
        <w:pStyle w:val="Heading4"/>
        <w:rPr>
          <w:color w:val="000000" w:themeColor="text1"/>
        </w:rPr>
      </w:pPr>
      <w:bookmarkStart w:id="895" w:name="_Toc175239219"/>
      <w:r w:rsidRPr="00B40A77">
        <w:rPr>
          <w:color w:val="000000" w:themeColor="text1"/>
        </w:rPr>
        <w:lastRenderedPageBreak/>
        <w:t>150.6—Nunga Court</w:t>
      </w:r>
      <w:bookmarkEnd w:id="895"/>
      <w:r w:rsidRPr="00B40A77">
        <w:rPr>
          <w:color w:val="000000" w:themeColor="text1"/>
        </w:rPr>
        <w:t xml:space="preserve"> </w:t>
      </w:r>
    </w:p>
    <w:p w14:paraId="30086905" w14:textId="5528F59D" w:rsidR="008E5AB8" w:rsidRPr="00B40A77" w:rsidRDefault="0099623D" w:rsidP="0099623D">
      <w:pPr>
        <w:pStyle w:val="Hangindent"/>
        <w:rPr>
          <w:color w:val="000000" w:themeColor="text1"/>
          <w:lang w:val="en-GB"/>
        </w:rPr>
      </w:pPr>
      <w:r w:rsidRPr="00B40A77">
        <w:rPr>
          <w:color w:val="000000" w:themeColor="text1"/>
          <w:lang w:val="en-GB"/>
        </w:rPr>
        <w:t>(1)</w:t>
      </w:r>
      <w:r w:rsidRPr="00B40A77">
        <w:rPr>
          <w:color w:val="000000" w:themeColor="text1"/>
          <w:lang w:val="en-GB"/>
        </w:rPr>
        <w:tab/>
      </w:r>
      <w:r w:rsidR="008E5AB8" w:rsidRPr="00B40A77">
        <w:rPr>
          <w:color w:val="000000" w:themeColor="text1"/>
          <w:lang w:val="en-GB"/>
        </w:rPr>
        <w:t>This rule applies if</w:t>
      </w:r>
      <w:r w:rsidR="00E31175" w:rsidRPr="00B40A77">
        <w:rPr>
          <w:color w:val="000000" w:themeColor="text1"/>
          <w:lang w:val="en-US"/>
        </w:rPr>
        <w:t>—</w:t>
      </w:r>
    </w:p>
    <w:p w14:paraId="4DB1A15C" w14:textId="77777777" w:rsidR="008E5AB8" w:rsidRPr="00B40A77" w:rsidRDefault="008E5AB8" w:rsidP="0099623D">
      <w:pPr>
        <w:pStyle w:val="ListParagraph"/>
        <w:numPr>
          <w:ilvl w:val="0"/>
          <w:numId w:val="16"/>
        </w:numPr>
        <w:ind w:left="1707" w:hanging="573"/>
        <w:contextualSpacing w:val="0"/>
        <w:jc w:val="both"/>
        <w:rPr>
          <w:color w:val="000000" w:themeColor="text1"/>
          <w:szCs w:val="23"/>
        </w:rPr>
      </w:pPr>
      <w:r w:rsidRPr="00B40A77">
        <w:rPr>
          <w:color w:val="000000" w:themeColor="text1"/>
          <w:szCs w:val="23"/>
        </w:rPr>
        <w:t xml:space="preserve">the defendant is an Aboriginal or Torres Strait Islander person within the meaning of section 9AA(a)(c) of the </w:t>
      </w:r>
      <w:r w:rsidRPr="00B40A77">
        <w:rPr>
          <w:i/>
          <w:iCs/>
          <w:color w:val="000000" w:themeColor="text1"/>
          <w:szCs w:val="23"/>
        </w:rPr>
        <w:t>Magistrates Court Act 1991</w:t>
      </w:r>
      <w:r w:rsidRPr="00B40A77">
        <w:rPr>
          <w:color w:val="000000" w:themeColor="text1"/>
          <w:szCs w:val="23"/>
        </w:rPr>
        <w:t>;</w:t>
      </w:r>
    </w:p>
    <w:p w14:paraId="32881745" w14:textId="77777777" w:rsidR="008E5AB8" w:rsidRPr="00B40A77" w:rsidRDefault="008E5AB8" w:rsidP="0099623D">
      <w:pPr>
        <w:pStyle w:val="ListParagraph"/>
        <w:numPr>
          <w:ilvl w:val="0"/>
          <w:numId w:val="16"/>
        </w:numPr>
        <w:spacing w:before="0" w:after="0" w:line="360" w:lineRule="auto"/>
        <w:ind w:hanging="572"/>
        <w:jc w:val="both"/>
        <w:rPr>
          <w:color w:val="000000" w:themeColor="text1"/>
          <w:szCs w:val="23"/>
        </w:rPr>
      </w:pPr>
      <w:r w:rsidRPr="00B40A77">
        <w:rPr>
          <w:color w:val="000000" w:themeColor="text1"/>
          <w:szCs w:val="23"/>
        </w:rPr>
        <w:t xml:space="preserve">the defendant has pleaded guilty to an offence; and </w:t>
      </w:r>
    </w:p>
    <w:p w14:paraId="29F18B88" w14:textId="77777777" w:rsidR="008E5AB8" w:rsidRPr="00B40A77" w:rsidRDefault="008E5AB8" w:rsidP="0099623D">
      <w:pPr>
        <w:pStyle w:val="ListParagraph"/>
        <w:numPr>
          <w:ilvl w:val="0"/>
          <w:numId w:val="16"/>
        </w:numPr>
        <w:spacing w:before="0" w:after="0" w:line="360" w:lineRule="auto"/>
        <w:ind w:hanging="572"/>
        <w:jc w:val="both"/>
        <w:rPr>
          <w:color w:val="000000" w:themeColor="text1"/>
          <w:szCs w:val="23"/>
        </w:rPr>
      </w:pPr>
      <w:r w:rsidRPr="00B40A77">
        <w:rPr>
          <w:color w:val="000000" w:themeColor="text1"/>
          <w:szCs w:val="23"/>
        </w:rPr>
        <w:t>the defendant has applied to be sentenced for the offending in the Nunga Court.</w:t>
      </w:r>
    </w:p>
    <w:p w14:paraId="3282B59A" w14:textId="48A9358E" w:rsidR="008E5AB8" w:rsidRPr="00B40A77" w:rsidRDefault="008E5AB8" w:rsidP="0099623D">
      <w:pPr>
        <w:pStyle w:val="ListParagraph"/>
        <w:numPr>
          <w:ilvl w:val="0"/>
          <w:numId w:val="17"/>
        </w:numPr>
        <w:spacing w:before="0" w:after="0"/>
        <w:ind w:left="1134" w:hanging="567"/>
        <w:contextualSpacing w:val="0"/>
        <w:jc w:val="both"/>
        <w:rPr>
          <w:color w:val="000000" w:themeColor="text1"/>
          <w:szCs w:val="23"/>
        </w:rPr>
      </w:pPr>
      <w:r w:rsidRPr="00B40A77">
        <w:rPr>
          <w:color w:val="000000" w:themeColor="text1"/>
          <w:szCs w:val="23"/>
        </w:rPr>
        <w:t>If this rule applies, the Court may grant an application that the defendant be sentenced in the Nunga Court Division of the Court.</w:t>
      </w:r>
    </w:p>
    <w:p w14:paraId="65A87282" w14:textId="0A3DD805" w:rsidR="008E5AB8" w:rsidRPr="00B40A77" w:rsidRDefault="008E5AB8" w:rsidP="008E5AB8">
      <w:pPr>
        <w:pStyle w:val="Hangindent"/>
        <w:ind w:left="567"/>
        <w:rPr>
          <w:color w:val="000000" w:themeColor="text1"/>
        </w:rPr>
      </w:pPr>
    </w:p>
    <w:p w14:paraId="34C456B0" w14:textId="0F70A6C9" w:rsidR="00966030" w:rsidRPr="00B40A77" w:rsidRDefault="00C239BC" w:rsidP="00D45D85">
      <w:pPr>
        <w:pStyle w:val="Heading2"/>
        <w:keepNext/>
        <w:rPr>
          <w:color w:val="000000" w:themeColor="text1"/>
        </w:rPr>
      </w:pPr>
      <w:bookmarkStart w:id="896" w:name="_Part_4—Sentencing_orders"/>
      <w:bookmarkStart w:id="897" w:name="_Toc175239220"/>
      <w:bookmarkEnd w:id="896"/>
      <w:r w:rsidRPr="00B40A77">
        <w:rPr>
          <w:color w:val="000000" w:themeColor="text1"/>
        </w:rPr>
        <w:t>Part 4</w:t>
      </w:r>
      <w:r w:rsidR="00966030" w:rsidRPr="00B40A77">
        <w:rPr>
          <w:color w:val="000000" w:themeColor="text1"/>
        </w:rPr>
        <w:t>—Sentencing orders</w:t>
      </w:r>
      <w:bookmarkEnd w:id="897"/>
    </w:p>
    <w:p w14:paraId="71F5A653" w14:textId="2642989E" w:rsidR="00857ADD" w:rsidRPr="00B40A77" w:rsidRDefault="00857ADD" w:rsidP="00D45D85">
      <w:pPr>
        <w:pStyle w:val="Heading3"/>
        <w:rPr>
          <w:color w:val="000000" w:themeColor="text1"/>
        </w:rPr>
      </w:pPr>
      <w:bookmarkStart w:id="898" w:name="_Toc175239221"/>
      <w:r w:rsidRPr="00B40A77">
        <w:rPr>
          <w:color w:val="000000" w:themeColor="text1"/>
        </w:rPr>
        <w:t>Division 1—Orders</w:t>
      </w:r>
      <w:bookmarkEnd w:id="898"/>
    </w:p>
    <w:p w14:paraId="282B0D33" w14:textId="10D65A20" w:rsidR="00966030" w:rsidRPr="00B40A77" w:rsidRDefault="004C23FE" w:rsidP="003722D6">
      <w:pPr>
        <w:pStyle w:val="Heading4"/>
        <w:rPr>
          <w:color w:val="000000" w:themeColor="text1"/>
        </w:rPr>
      </w:pPr>
      <w:bookmarkStart w:id="899" w:name="_Toc175239222"/>
      <w:r w:rsidRPr="00B40A77">
        <w:rPr>
          <w:color w:val="000000" w:themeColor="text1"/>
        </w:rPr>
        <w:t>1</w:t>
      </w:r>
      <w:r w:rsidR="00A50F38" w:rsidRPr="00B40A77">
        <w:rPr>
          <w:color w:val="000000" w:themeColor="text1"/>
        </w:rPr>
        <w:t>5</w:t>
      </w:r>
      <w:r w:rsidR="00F14A85" w:rsidRPr="00B40A77">
        <w:rPr>
          <w:color w:val="000000" w:themeColor="text1"/>
        </w:rPr>
        <w:t>1</w:t>
      </w:r>
      <w:r w:rsidR="00966030" w:rsidRPr="00B40A77">
        <w:rPr>
          <w:color w:val="000000" w:themeColor="text1"/>
        </w:rPr>
        <w:t xml:space="preserve">.1—Record of </w:t>
      </w:r>
      <w:r w:rsidR="0080567E" w:rsidRPr="00B40A77">
        <w:rPr>
          <w:color w:val="000000" w:themeColor="text1"/>
        </w:rPr>
        <w:t>O</w:t>
      </w:r>
      <w:r w:rsidR="00966030" w:rsidRPr="00B40A77">
        <w:rPr>
          <w:color w:val="000000" w:themeColor="text1"/>
        </w:rPr>
        <w:t>utcome</w:t>
      </w:r>
      <w:bookmarkEnd w:id="899"/>
    </w:p>
    <w:p w14:paraId="16A637E5" w14:textId="5DD591DE" w:rsidR="00966030" w:rsidRPr="00B40A77" w:rsidRDefault="00966030" w:rsidP="00B90C7E">
      <w:pPr>
        <w:pStyle w:val="Hangindent"/>
        <w:keepNext/>
        <w:rPr>
          <w:color w:val="000000" w:themeColor="text1"/>
        </w:rPr>
      </w:pPr>
      <w:r w:rsidRPr="00B40A77">
        <w:rPr>
          <w:color w:val="000000" w:themeColor="text1"/>
          <w:lang w:val="en-GB"/>
        </w:rPr>
        <w:t>The written record of sentencing orders must be in the prescribed form</w:t>
      </w:r>
      <w:r w:rsidRPr="00B40A77">
        <w:rPr>
          <w:color w:val="000000" w:themeColor="text1"/>
        </w:rPr>
        <w:t>.</w:t>
      </w:r>
    </w:p>
    <w:p w14:paraId="01BB01EB" w14:textId="6B526BB3" w:rsidR="00966030" w:rsidRPr="00B40A77" w:rsidRDefault="00966030" w:rsidP="00CA2AB7">
      <w:pPr>
        <w:pStyle w:val="NoteHeader"/>
        <w:keepNext/>
        <w:ind w:left="567"/>
        <w:rPr>
          <w:color w:val="000000" w:themeColor="text1"/>
        </w:rPr>
      </w:pPr>
      <w:r w:rsidRPr="00B40A77">
        <w:rPr>
          <w:color w:val="000000" w:themeColor="text1"/>
        </w:rPr>
        <w:t>Prescribed form</w:t>
      </w:r>
      <w:r w:rsidR="00CA2AB7" w:rsidRPr="00B40A77">
        <w:rPr>
          <w:color w:val="000000" w:themeColor="text1"/>
        </w:rPr>
        <w:t>s</w:t>
      </w:r>
      <w:r w:rsidRPr="00B40A77">
        <w:rPr>
          <w:color w:val="000000" w:themeColor="text1"/>
        </w:rPr>
        <w:t>—</w:t>
      </w:r>
    </w:p>
    <w:p w14:paraId="7E4550E9" w14:textId="0A63022C" w:rsidR="00966030" w:rsidRPr="00B40A77" w:rsidRDefault="00966030" w:rsidP="00CD1B1D">
      <w:pPr>
        <w:pStyle w:val="NoteText"/>
        <w:ind w:left="851"/>
        <w:rPr>
          <w:color w:val="000000" w:themeColor="text1"/>
        </w:rPr>
      </w:pPr>
      <w:r w:rsidRPr="00B40A77">
        <w:rPr>
          <w:color w:val="000000" w:themeColor="text1"/>
        </w:rPr>
        <w:t xml:space="preserve">Form 141 </w:t>
      </w:r>
      <w:hyperlink r:id="rId275" w:history="1">
        <w:r w:rsidRPr="00B40A77">
          <w:rPr>
            <w:rStyle w:val="Hyperlink"/>
            <w:color w:val="000000" w:themeColor="text1"/>
          </w:rPr>
          <w:t>Record of Outcome</w:t>
        </w:r>
      </w:hyperlink>
    </w:p>
    <w:p w14:paraId="56BA390C" w14:textId="11877ACF" w:rsidR="004D0216" w:rsidRPr="00B40A77" w:rsidRDefault="004D0216" w:rsidP="00D45D85">
      <w:pPr>
        <w:pStyle w:val="Heading3"/>
        <w:rPr>
          <w:color w:val="000000" w:themeColor="text1"/>
        </w:rPr>
      </w:pPr>
      <w:bookmarkStart w:id="900" w:name="_Toc175239223"/>
      <w:r w:rsidRPr="00B40A77">
        <w:rPr>
          <w:color w:val="000000" w:themeColor="text1"/>
        </w:rPr>
        <w:t>Division 2—</w:t>
      </w:r>
      <w:r w:rsidR="00637823" w:rsidRPr="00B40A77">
        <w:rPr>
          <w:color w:val="000000" w:themeColor="text1"/>
        </w:rPr>
        <w:t>Community based custodial</w:t>
      </w:r>
      <w:r w:rsidR="000D25A0" w:rsidRPr="00B40A77">
        <w:rPr>
          <w:color w:val="000000" w:themeColor="text1"/>
        </w:rPr>
        <w:t xml:space="preserve"> sentences, obligations, </w:t>
      </w:r>
      <w:r w:rsidR="00962E7D" w:rsidRPr="00B40A77">
        <w:rPr>
          <w:color w:val="000000" w:themeColor="text1"/>
        </w:rPr>
        <w:t>recognizances</w:t>
      </w:r>
      <w:r w:rsidR="00523532" w:rsidRPr="00B40A77">
        <w:rPr>
          <w:color w:val="000000" w:themeColor="text1"/>
        </w:rPr>
        <w:t xml:space="preserve"> </w:t>
      </w:r>
      <w:r w:rsidR="000D25A0" w:rsidRPr="00B40A77">
        <w:rPr>
          <w:color w:val="000000" w:themeColor="text1"/>
        </w:rPr>
        <w:t>and licences</w:t>
      </w:r>
      <w:bookmarkEnd w:id="900"/>
    </w:p>
    <w:p w14:paraId="41706A0E" w14:textId="463F8D28" w:rsidR="0064118E" w:rsidRPr="00B40A77" w:rsidRDefault="004C23FE" w:rsidP="003722D6">
      <w:pPr>
        <w:pStyle w:val="Heading4"/>
        <w:rPr>
          <w:color w:val="000000" w:themeColor="text1"/>
        </w:rPr>
      </w:pPr>
      <w:bookmarkStart w:id="901" w:name="_Toc175239224"/>
      <w:bookmarkEnd w:id="886"/>
      <w:r w:rsidRPr="00B40A77">
        <w:rPr>
          <w:color w:val="000000" w:themeColor="text1"/>
        </w:rPr>
        <w:t>1</w:t>
      </w:r>
      <w:r w:rsidR="00A50F38" w:rsidRPr="00B40A77">
        <w:rPr>
          <w:color w:val="000000" w:themeColor="text1"/>
        </w:rPr>
        <w:t>5</w:t>
      </w:r>
      <w:r w:rsidR="00F14A85" w:rsidRPr="00B40A77">
        <w:rPr>
          <w:color w:val="000000" w:themeColor="text1"/>
        </w:rPr>
        <w:t>2</w:t>
      </w:r>
      <w:r w:rsidR="003B2A25" w:rsidRPr="00B40A77">
        <w:rPr>
          <w:color w:val="000000" w:themeColor="text1"/>
        </w:rPr>
        <w:t>.1</w:t>
      </w:r>
      <w:r w:rsidR="00962E7D" w:rsidRPr="00B40A77">
        <w:rPr>
          <w:color w:val="000000" w:themeColor="text1"/>
        </w:rPr>
        <w:t>—</w:t>
      </w:r>
      <w:r w:rsidR="00637823" w:rsidRPr="00B40A77">
        <w:rPr>
          <w:color w:val="000000" w:themeColor="text1"/>
        </w:rPr>
        <w:t>Community based custodial</w:t>
      </w:r>
      <w:r w:rsidR="00962E7D" w:rsidRPr="00B40A77">
        <w:rPr>
          <w:color w:val="000000" w:themeColor="text1"/>
        </w:rPr>
        <w:t xml:space="preserve"> sentences</w:t>
      </w:r>
      <w:bookmarkEnd w:id="901"/>
    </w:p>
    <w:p w14:paraId="10A16066" w14:textId="39CDB78C" w:rsidR="0064118E" w:rsidRPr="00B40A77" w:rsidRDefault="0064118E"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DB6FB6" w:rsidRPr="00B40A77">
        <w:rPr>
          <w:color w:val="000000" w:themeColor="text1"/>
          <w:lang w:val="en-US"/>
        </w:rPr>
        <w:t>If the Court makes a home detention order under section</w:t>
      </w:r>
      <w:r w:rsidR="001462AC" w:rsidRPr="00B40A77">
        <w:rPr>
          <w:color w:val="000000" w:themeColor="text1"/>
          <w:lang w:val="en-US"/>
        </w:rPr>
        <w:t> </w:t>
      </w:r>
      <w:r w:rsidR="00DB6FB6" w:rsidRPr="00B40A77">
        <w:rPr>
          <w:color w:val="000000" w:themeColor="text1"/>
          <w:lang w:val="en-US"/>
        </w:rPr>
        <w:t>71 of the Sentencing Act, a formal home detention order and acknowledgement in the prescribed form must be issued and given to the defendant or youth</w:t>
      </w:r>
      <w:r w:rsidRPr="00B40A77">
        <w:rPr>
          <w:color w:val="000000" w:themeColor="text1"/>
          <w:lang w:val="en-US"/>
        </w:rPr>
        <w:t>.</w:t>
      </w:r>
    </w:p>
    <w:p w14:paraId="19FBDD35" w14:textId="53FAA258" w:rsidR="0064118E" w:rsidRPr="00B40A77" w:rsidRDefault="0064118E" w:rsidP="00B90C7E">
      <w:pPr>
        <w:pStyle w:val="NoteHeader"/>
        <w:keepNext/>
        <w:rPr>
          <w:color w:val="000000" w:themeColor="text1"/>
        </w:rPr>
      </w:pPr>
      <w:r w:rsidRPr="00B40A77">
        <w:rPr>
          <w:color w:val="000000" w:themeColor="text1"/>
        </w:rPr>
        <w:t>Prescribed form—</w:t>
      </w:r>
    </w:p>
    <w:p w14:paraId="15BA9F25" w14:textId="1356FA60" w:rsidR="00791A46" w:rsidRPr="00B40A77" w:rsidRDefault="00791A46" w:rsidP="00791A46">
      <w:pPr>
        <w:pStyle w:val="NoteText"/>
        <w:rPr>
          <w:color w:val="000000" w:themeColor="text1"/>
        </w:rPr>
      </w:pPr>
      <w:r w:rsidRPr="00B40A77">
        <w:rPr>
          <w:color w:val="000000" w:themeColor="text1"/>
        </w:rPr>
        <w:t xml:space="preserve">Form 142A </w:t>
      </w:r>
      <w:hyperlink r:id="rId276" w:history="1">
        <w:r w:rsidRPr="00B40A77">
          <w:rPr>
            <w:rStyle w:val="Hyperlink"/>
            <w:color w:val="000000" w:themeColor="text1"/>
          </w:rPr>
          <w:t xml:space="preserve">Home </w:t>
        </w:r>
        <w:r w:rsidR="0081679B" w:rsidRPr="00B40A77">
          <w:rPr>
            <w:rStyle w:val="Hyperlink"/>
            <w:color w:val="000000" w:themeColor="text1"/>
          </w:rPr>
          <w:t>D</w:t>
        </w:r>
        <w:r w:rsidRPr="00B40A77">
          <w:rPr>
            <w:rStyle w:val="Hyperlink"/>
            <w:color w:val="000000" w:themeColor="text1"/>
          </w:rPr>
          <w:t xml:space="preserve">etention </w:t>
        </w:r>
        <w:r w:rsidR="0081679B" w:rsidRPr="00B40A77">
          <w:rPr>
            <w:rStyle w:val="Hyperlink"/>
            <w:color w:val="000000" w:themeColor="text1"/>
            <w:lang w:val="en-US"/>
          </w:rPr>
          <w:t>O</w:t>
        </w:r>
        <w:r w:rsidR="00A32FA1" w:rsidRPr="00B40A77">
          <w:rPr>
            <w:rStyle w:val="Hyperlink"/>
            <w:color w:val="000000" w:themeColor="text1"/>
            <w:lang w:val="en-US"/>
          </w:rPr>
          <w:t xml:space="preserve">rder and </w:t>
        </w:r>
        <w:r w:rsidR="0081679B" w:rsidRPr="00B40A77">
          <w:rPr>
            <w:rStyle w:val="Hyperlink"/>
            <w:color w:val="000000" w:themeColor="text1"/>
            <w:lang w:val="en-US"/>
          </w:rPr>
          <w:t>A</w:t>
        </w:r>
        <w:r w:rsidR="00A32FA1" w:rsidRPr="00B40A77">
          <w:rPr>
            <w:rStyle w:val="Hyperlink"/>
            <w:color w:val="000000" w:themeColor="text1"/>
            <w:lang w:val="en-US"/>
          </w:rPr>
          <w:t>cknowledgement</w:t>
        </w:r>
      </w:hyperlink>
    </w:p>
    <w:p w14:paraId="36B9294C" w14:textId="157F15D8" w:rsidR="00A32FA1" w:rsidRPr="00B40A77" w:rsidRDefault="00A32FA1"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r>
      <w:r w:rsidR="003B2A25" w:rsidRPr="00B40A77">
        <w:rPr>
          <w:color w:val="000000" w:themeColor="text1"/>
          <w:lang w:val="en-US"/>
        </w:rPr>
        <w:t>If the Court makes an</w:t>
      </w:r>
      <w:r w:rsidR="00DB6FB6" w:rsidRPr="00B40A77">
        <w:rPr>
          <w:color w:val="000000" w:themeColor="text1"/>
          <w:lang w:val="en-US"/>
        </w:rPr>
        <w:t xml:space="preserve"> intensive correction order under section</w:t>
      </w:r>
      <w:r w:rsidR="001462AC" w:rsidRPr="00B40A77">
        <w:rPr>
          <w:color w:val="000000" w:themeColor="text1"/>
          <w:lang w:val="en-US"/>
        </w:rPr>
        <w:t> </w:t>
      </w:r>
      <w:r w:rsidR="00DB6FB6" w:rsidRPr="00B40A77">
        <w:rPr>
          <w:color w:val="000000" w:themeColor="text1"/>
          <w:lang w:val="en-US"/>
        </w:rPr>
        <w:t>81 of the Sentencing</w:t>
      </w:r>
      <w:r w:rsidR="00382E1C" w:rsidRPr="00B40A77">
        <w:rPr>
          <w:color w:val="000000" w:themeColor="text1"/>
          <w:lang w:val="en-US"/>
        </w:rPr>
        <w:t> </w:t>
      </w:r>
      <w:r w:rsidR="00DB6FB6" w:rsidRPr="00B40A77">
        <w:rPr>
          <w:color w:val="000000" w:themeColor="text1"/>
          <w:lang w:val="en-US"/>
        </w:rPr>
        <w:t>Act, a formal intensive correction order and acknowledgement in the prescribed form must be issued and given to the defendant or youth</w:t>
      </w:r>
      <w:r w:rsidRPr="00B40A77">
        <w:rPr>
          <w:color w:val="000000" w:themeColor="text1"/>
          <w:lang w:val="en-US"/>
        </w:rPr>
        <w:t>.</w:t>
      </w:r>
    </w:p>
    <w:p w14:paraId="78720D8A" w14:textId="31D3DDF6" w:rsidR="00A32FA1" w:rsidRPr="00B40A77" w:rsidRDefault="00A32FA1" w:rsidP="00B90C7E">
      <w:pPr>
        <w:pStyle w:val="NoteHeader"/>
        <w:keepNext/>
        <w:rPr>
          <w:color w:val="000000" w:themeColor="text1"/>
        </w:rPr>
      </w:pPr>
      <w:r w:rsidRPr="00B40A77">
        <w:rPr>
          <w:color w:val="000000" w:themeColor="text1"/>
        </w:rPr>
        <w:t>Prescribed form—</w:t>
      </w:r>
    </w:p>
    <w:p w14:paraId="4A7E6B88" w14:textId="0ACFE4AF" w:rsidR="00A32FA1" w:rsidRPr="00B40A77" w:rsidRDefault="00A32FA1" w:rsidP="00A32FA1">
      <w:pPr>
        <w:pStyle w:val="NoteText"/>
        <w:rPr>
          <w:color w:val="000000" w:themeColor="text1"/>
          <w:lang w:val="en-US"/>
        </w:rPr>
      </w:pPr>
      <w:r w:rsidRPr="00B40A77">
        <w:rPr>
          <w:color w:val="000000" w:themeColor="text1"/>
        </w:rPr>
        <w:t xml:space="preserve">Form 142B </w:t>
      </w:r>
      <w:hyperlink r:id="rId277" w:history="1">
        <w:r w:rsidRPr="00B40A77">
          <w:rPr>
            <w:rStyle w:val="Hyperlink"/>
            <w:color w:val="000000" w:themeColor="text1"/>
            <w:lang w:val="en-US"/>
          </w:rPr>
          <w:t xml:space="preserve">Intensive </w:t>
        </w:r>
        <w:r w:rsidR="0081679B" w:rsidRPr="00B40A77">
          <w:rPr>
            <w:rStyle w:val="Hyperlink"/>
            <w:color w:val="000000" w:themeColor="text1"/>
            <w:lang w:val="en-US"/>
          </w:rPr>
          <w:t>C</w:t>
        </w:r>
        <w:r w:rsidRPr="00B40A77">
          <w:rPr>
            <w:rStyle w:val="Hyperlink"/>
            <w:color w:val="000000" w:themeColor="text1"/>
            <w:lang w:val="en-US"/>
          </w:rPr>
          <w:t xml:space="preserve">orrection </w:t>
        </w:r>
        <w:r w:rsidR="0081679B" w:rsidRPr="00B40A77">
          <w:rPr>
            <w:rStyle w:val="Hyperlink"/>
            <w:color w:val="000000" w:themeColor="text1"/>
            <w:lang w:val="en-US"/>
          </w:rPr>
          <w:t>O</w:t>
        </w:r>
        <w:r w:rsidRPr="00B40A77">
          <w:rPr>
            <w:rStyle w:val="Hyperlink"/>
            <w:color w:val="000000" w:themeColor="text1"/>
            <w:lang w:val="en-US"/>
          </w:rPr>
          <w:t xml:space="preserve">rder and </w:t>
        </w:r>
        <w:r w:rsidR="0081679B" w:rsidRPr="00B40A77">
          <w:rPr>
            <w:rStyle w:val="Hyperlink"/>
            <w:color w:val="000000" w:themeColor="text1"/>
            <w:lang w:val="en-US"/>
          </w:rPr>
          <w:t>A</w:t>
        </w:r>
        <w:r w:rsidRPr="00B40A77">
          <w:rPr>
            <w:rStyle w:val="Hyperlink"/>
            <w:color w:val="000000" w:themeColor="text1"/>
            <w:lang w:val="en-US"/>
          </w:rPr>
          <w:t>cknowledgement</w:t>
        </w:r>
      </w:hyperlink>
    </w:p>
    <w:p w14:paraId="0DB9360A" w14:textId="56014731" w:rsidR="00A32FA1" w:rsidRPr="00B40A77" w:rsidRDefault="00A32FA1" w:rsidP="00A32FA1">
      <w:pPr>
        <w:pStyle w:val="Hangindent"/>
        <w:rPr>
          <w:color w:val="000000" w:themeColor="text1"/>
          <w:lang w:val="en-US"/>
        </w:rPr>
      </w:pPr>
      <w:r w:rsidRPr="00B40A77">
        <w:rPr>
          <w:color w:val="000000" w:themeColor="text1"/>
          <w:lang w:val="en-US"/>
        </w:rPr>
        <w:t>(3)</w:t>
      </w:r>
      <w:r w:rsidRPr="00B40A77">
        <w:rPr>
          <w:color w:val="000000" w:themeColor="text1"/>
          <w:lang w:val="en-US"/>
        </w:rPr>
        <w:tab/>
        <w:t>A formal home detention order and acknowledgement or intensive correction order and acknowledgement m</w:t>
      </w:r>
      <w:r w:rsidR="008C2C27" w:rsidRPr="00B40A77">
        <w:rPr>
          <w:color w:val="000000" w:themeColor="text1"/>
          <w:lang w:val="en-US"/>
        </w:rPr>
        <w:t>ay</w:t>
      </w:r>
      <w:r w:rsidRPr="00B40A77">
        <w:rPr>
          <w:color w:val="000000" w:themeColor="text1"/>
          <w:lang w:val="en-US"/>
        </w:rPr>
        <w:t xml:space="preserve"> be acknowledged by the defendant or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a</w:t>
      </w:r>
      <w:r w:rsidRPr="00B40A77">
        <w:rPr>
          <w:color w:val="000000" w:themeColor="text1"/>
          <w:lang w:val="en-US"/>
        </w:rPr>
        <w:t xml:space="preserve"> </w:t>
      </w:r>
      <w:r w:rsidRPr="00B40A77">
        <w:rPr>
          <w:color w:val="000000" w:themeColor="text1"/>
          <w:u w:val="single"/>
          <w:lang w:val="en-US"/>
        </w:rPr>
        <w:t>Registrar</w:t>
      </w:r>
      <w:r w:rsidRPr="00B40A77">
        <w:rPr>
          <w:color w:val="000000" w:themeColor="text1"/>
          <w:lang w:val="en-US"/>
        </w:rPr>
        <w:t xml:space="preserve"> of the Court, or a Justice of the Peace.</w:t>
      </w:r>
    </w:p>
    <w:p w14:paraId="3F654466" w14:textId="1041B8B7" w:rsidR="00A32FA1" w:rsidRPr="00B40A77" w:rsidRDefault="00A50F38" w:rsidP="008C3D14">
      <w:pPr>
        <w:pStyle w:val="Heading4"/>
        <w:rPr>
          <w:color w:val="000000" w:themeColor="text1"/>
        </w:rPr>
      </w:pPr>
      <w:bookmarkStart w:id="902" w:name="_Toc175239225"/>
      <w:r w:rsidRPr="00B40A77">
        <w:rPr>
          <w:color w:val="000000" w:themeColor="text1"/>
        </w:rPr>
        <w:t>15</w:t>
      </w:r>
      <w:r w:rsidR="00F14A85" w:rsidRPr="00B40A77">
        <w:rPr>
          <w:color w:val="000000" w:themeColor="text1"/>
        </w:rPr>
        <w:t>2</w:t>
      </w:r>
      <w:r w:rsidR="00AE4535" w:rsidRPr="00B40A77">
        <w:rPr>
          <w:color w:val="000000" w:themeColor="text1"/>
        </w:rPr>
        <w:t>.2</w:t>
      </w:r>
      <w:r w:rsidR="00A32FA1" w:rsidRPr="00B40A77">
        <w:rPr>
          <w:color w:val="000000" w:themeColor="text1"/>
        </w:rPr>
        <w:t>—Obligations: Youth Court</w:t>
      </w:r>
      <w:bookmarkEnd w:id="902"/>
    </w:p>
    <w:p w14:paraId="2AFDC12B" w14:textId="53FA3901" w:rsidR="00A32FA1" w:rsidRPr="00B40A77" w:rsidRDefault="00A32FA1"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DB6FB6" w:rsidRPr="00B40A77">
        <w:rPr>
          <w:color w:val="000000" w:themeColor="text1"/>
          <w:lang w:val="en-US"/>
        </w:rPr>
        <w:t xml:space="preserve">If the Court imposes a suspended sentence obligation </w:t>
      </w:r>
      <w:r w:rsidR="009B790F" w:rsidRPr="00B40A77">
        <w:rPr>
          <w:color w:val="000000" w:themeColor="text1"/>
          <w:lang w:val="en-US"/>
        </w:rPr>
        <w:t xml:space="preserve">under </w:t>
      </w:r>
      <w:r w:rsidR="00DB6FB6" w:rsidRPr="00B40A77">
        <w:rPr>
          <w:color w:val="000000" w:themeColor="text1"/>
          <w:lang w:val="en-US"/>
        </w:rPr>
        <w:t>section</w:t>
      </w:r>
      <w:r w:rsidR="001462AC" w:rsidRPr="00B40A77">
        <w:rPr>
          <w:color w:val="000000" w:themeColor="text1"/>
          <w:lang w:val="en-US"/>
        </w:rPr>
        <w:t> </w:t>
      </w:r>
      <w:r w:rsidR="00DB6FB6" w:rsidRPr="00B40A77">
        <w:rPr>
          <w:color w:val="000000" w:themeColor="text1"/>
          <w:lang w:val="en-US"/>
        </w:rPr>
        <w:t>26 of the Young</w:t>
      </w:r>
      <w:r w:rsidR="001462AC" w:rsidRPr="00B40A77">
        <w:rPr>
          <w:color w:val="000000" w:themeColor="text1"/>
          <w:lang w:val="en-US"/>
        </w:rPr>
        <w:t> </w:t>
      </w:r>
      <w:r w:rsidR="00DB6FB6" w:rsidRPr="00B40A77">
        <w:rPr>
          <w:color w:val="000000" w:themeColor="text1"/>
          <w:lang w:val="en-US"/>
        </w:rPr>
        <w:t>Offenders Act and section</w:t>
      </w:r>
      <w:r w:rsidR="001462AC" w:rsidRPr="00B40A77">
        <w:rPr>
          <w:color w:val="000000" w:themeColor="text1"/>
          <w:lang w:val="en-US"/>
        </w:rPr>
        <w:t> </w:t>
      </w:r>
      <w:r w:rsidR="00DB6FB6" w:rsidRPr="00B40A77">
        <w:rPr>
          <w:color w:val="000000" w:themeColor="text1"/>
          <w:lang w:val="en-US"/>
        </w:rPr>
        <w:t>96 of the Sentencing Act, a formal suspended sentence obligation in the prescribed form must be issued and given to the youth</w:t>
      </w:r>
      <w:r w:rsidRPr="00B40A77">
        <w:rPr>
          <w:color w:val="000000" w:themeColor="text1"/>
          <w:lang w:val="en-US"/>
        </w:rPr>
        <w:t>.</w:t>
      </w:r>
    </w:p>
    <w:p w14:paraId="63E8465E" w14:textId="77777777" w:rsidR="00A32FA1" w:rsidRPr="00B40A77" w:rsidRDefault="00A32FA1"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60E06361" w14:textId="6484BCB4" w:rsidR="00A32FA1" w:rsidRPr="00B40A77" w:rsidRDefault="00CD30AF" w:rsidP="00A32FA1">
      <w:pPr>
        <w:pStyle w:val="NoteText"/>
        <w:rPr>
          <w:color w:val="000000" w:themeColor="text1"/>
        </w:rPr>
      </w:pPr>
      <w:r w:rsidRPr="00B40A77">
        <w:rPr>
          <w:color w:val="000000" w:themeColor="text1"/>
        </w:rPr>
        <w:t xml:space="preserve">Form 142C </w:t>
      </w:r>
      <w:hyperlink r:id="rId278" w:history="1">
        <w:r w:rsidRPr="00B40A77">
          <w:rPr>
            <w:rStyle w:val="Hyperlink"/>
            <w:color w:val="000000" w:themeColor="text1"/>
          </w:rPr>
          <w:t>Suspended Sentence Obligation Order and Acknowledgement</w:t>
        </w:r>
      </w:hyperlink>
    </w:p>
    <w:p w14:paraId="1B517B46" w14:textId="116A45C5" w:rsidR="00A32FA1" w:rsidRPr="00B40A77" w:rsidRDefault="00A32FA1" w:rsidP="00B90C7E">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r>
      <w:r w:rsidR="00DB6FB6" w:rsidRPr="00B40A77">
        <w:rPr>
          <w:color w:val="000000" w:themeColor="text1"/>
          <w:lang w:val="en-US"/>
        </w:rPr>
        <w:t xml:space="preserve">If the Court imposes an obligation </w:t>
      </w:r>
      <w:r w:rsidR="009B790F" w:rsidRPr="00B40A77">
        <w:rPr>
          <w:color w:val="000000" w:themeColor="text1"/>
          <w:lang w:val="en-US"/>
        </w:rPr>
        <w:t xml:space="preserve">under </w:t>
      </w:r>
      <w:r w:rsidR="00DB6FB6" w:rsidRPr="00B40A77">
        <w:rPr>
          <w:color w:val="000000" w:themeColor="text1"/>
          <w:lang w:val="en-US"/>
        </w:rPr>
        <w:t>section</w:t>
      </w:r>
      <w:r w:rsidR="001462AC" w:rsidRPr="00B40A77">
        <w:rPr>
          <w:color w:val="000000" w:themeColor="text1"/>
          <w:lang w:val="en-US"/>
        </w:rPr>
        <w:t> </w:t>
      </w:r>
      <w:r w:rsidR="00DB6FB6" w:rsidRPr="00B40A77">
        <w:rPr>
          <w:color w:val="000000" w:themeColor="text1"/>
          <w:lang w:val="en-US"/>
        </w:rPr>
        <w:t>26 of the Young Offenders Act, a formal obligation in the prescribed form must be issued and given to the youth</w:t>
      </w:r>
      <w:r w:rsidRPr="00B40A77">
        <w:rPr>
          <w:color w:val="000000" w:themeColor="text1"/>
          <w:lang w:val="en-US"/>
        </w:rPr>
        <w:t>.</w:t>
      </w:r>
    </w:p>
    <w:p w14:paraId="1FF2E9A6" w14:textId="77777777" w:rsidR="00A32FA1" w:rsidRPr="00B40A77" w:rsidRDefault="00A32FA1"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44FA4824" w14:textId="534828E5" w:rsidR="00A32FA1" w:rsidRPr="00B40A77" w:rsidRDefault="002F0DD6" w:rsidP="00A32FA1">
      <w:pPr>
        <w:pStyle w:val="NoteText"/>
        <w:rPr>
          <w:color w:val="000000" w:themeColor="text1"/>
          <w:lang w:val="en-US"/>
        </w:rPr>
      </w:pPr>
      <w:r w:rsidRPr="00B40A77">
        <w:rPr>
          <w:color w:val="000000" w:themeColor="text1"/>
        </w:rPr>
        <w:t>Form 142D</w:t>
      </w:r>
      <w:r w:rsidR="00A32FA1" w:rsidRPr="00B40A77">
        <w:rPr>
          <w:color w:val="000000" w:themeColor="text1"/>
        </w:rPr>
        <w:t xml:space="preserve"> </w:t>
      </w:r>
      <w:hyperlink r:id="rId279" w:history="1">
        <w:r w:rsidRPr="00B40A77">
          <w:rPr>
            <w:rStyle w:val="Hyperlink"/>
            <w:color w:val="000000" w:themeColor="text1"/>
            <w:lang w:val="en-US"/>
          </w:rPr>
          <w:t>Obligation</w:t>
        </w:r>
        <w:r w:rsidR="00BB1FEA" w:rsidRPr="00B40A77">
          <w:rPr>
            <w:rStyle w:val="Hyperlink"/>
            <w:color w:val="000000" w:themeColor="text1"/>
            <w:lang w:val="en-US"/>
          </w:rPr>
          <w:t xml:space="preserve"> </w:t>
        </w:r>
        <w:r w:rsidR="00CD30AF" w:rsidRPr="00B40A77">
          <w:rPr>
            <w:rStyle w:val="Hyperlink"/>
            <w:color w:val="000000" w:themeColor="text1"/>
            <w:lang w:val="en-US"/>
          </w:rPr>
          <w:t>O</w:t>
        </w:r>
        <w:r w:rsidR="000D25A0" w:rsidRPr="00B40A77">
          <w:rPr>
            <w:rStyle w:val="Hyperlink"/>
            <w:color w:val="000000" w:themeColor="text1"/>
            <w:lang w:val="en-US"/>
          </w:rPr>
          <w:t xml:space="preserve">rder </w:t>
        </w:r>
        <w:r w:rsidR="00CD30AF" w:rsidRPr="00B40A77">
          <w:rPr>
            <w:rStyle w:val="Hyperlink"/>
            <w:color w:val="000000" w:themeColor="text1"/>
            <w:lang w:val="en-US"/>
          </w:rPr>
          <w:t>and A</w:t>
        </w:r>
        <w:r w:rsidR="00BB1FEA" w:rsidRPr="00B40A77">
          <w:rPr>
            <w:rStyle w:val="Hyperlink"/>
            <w:color w:val="000000" w:themeColor="text1"/>
            <w:lang w:val="en-US"/>
          </w:rPr>
          <w:t>cknowledgement</w:t>
        </w:r>
      </w:hyperlink>
    </w:p>
    <w:p w14:paraId="7FAB1A6E" w14:textId="0D471625" w:rsidR="00A32FA1" w:rsidRPr="00B40A77" w:rsidRDefault="00A32FA1" w:rsidP="002F0DD6">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w:t>
      </w:r>
      <w:r w:rsidR="002F0DD6" w:rsidRPr="00B40A77">
        <w:rPr>
          <w:color w:val="000000" w:themeColor="text1"/>
          <w:lang w:val="en-US"/>
        </w:rPr>
        <w:t xml:space="preserve">suspended sentence obligation </w:t>
      </w:r>
      <w:r w:rsidRPr="00B40A77">
        <w:rPr>
          <w:color w:val="000000" w:themeColor="text1"/>
          <w:lang w:val="en-US"/>
        </w:rPr>
        <w:t xml:space="preserve">or </w:t>
      </w:r>
      <w:r w:rsidR="002F0DD6" w:rsidRPr="00B40A77">
        <w:rPr>
          <w:color w:val="000000" w:themeColor="text1"/>
          <w:lang w:val="en-US"/>
        </w:rPr>
        <w:t xml:space="preserve">obligation </w:t>
      </w:r>
      <w:r w:rsidRPr="00B40A77">
        <w:rPr>
          <w:color w:val="000000" w:themeColor="text1"/>
          <w:lang w:val="en-US"/>
        </w:rPr>
        <w:t>m</w:t>
      </w:r>
      <w:r w:rsidR="008C2C27" w:rsidRPr="00B40A77">
        <w:rPr>
          <w:color w:val="000000" w:themeColor="text1"/>
          <w:lang w:val="en-US"/>
        </w:rPr>
        <w:t>ay</w:t>
      </w:r>
      <w:r w:rsidRPr="00B40A77">
        <w:rPr>
          <w:color w:val="000000" w:themeColor="text1"/>
          <w:lang w:val="en-US"/>
        </w:rPr>
        <w:t xml:space="preserve"> be acknowledged by the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Pr="00B40A77">
        <w:rPr>
          <w:color w:val="000000" w:themeColor="text1"/>
          <w:u w:val="single"/>
          <w:lang w:val="en-US"/>
        </w:rPr>
        <w:t>Registrar</w:t>
      </w:r>
      <w:r w:rsidRPr="00B40A77">
        <w:rPr>
          <w:color w:val="000000" w:themeColor="text1"/>
          <w:lang w:val="en-US"/>
        </w:rPr>
        <w:t xml:space="preserve"> of the Court, or a Justice of the Peace.</w:t>
      </w:r>
    </w:p>
    <w:p w14:paraId="66023EDB" w14:textId="44580106" w:rsidR="002F0DD6" w:rsidRPr="00B40A77" w:rsidRDefault="00F76788" w:rsidP="003E1776">
      <w:pPr>
        <w:pStyle w:val="Heading4"/>
        <w:rPr>
          <w:rFonts w:eastAsiaTheme="minorHAnsi" w:cstheme="minorBidi"/>
          <w:bCs/>
          <w:color w:val="000000" w:themeColor="text1"/>
          <w:sz w:val="23"/>
          <w:szCs w:val="23"/>
          <w:lang w:val="en-US"/>
        </w:rPr>
      </w:pPr>
      <w:bookmarkStart w:id="903" w:name="_Toc175239226"/>
      <w:r w:rsidRPr="00B40A77">
        <w:rPr>
          <w:color w:val="000000" w:themeColor="text1"/>
        </w:rPr>
        <w:t>15</w:t>
      </w:r>
      <w:r w:rsidR="00F14A85" w:rsidRPr="00B40A77">
        <w:rPr>
          <w:color w:val="000000" w:themeColor="text1"/>
        </w:rPr>
        <w:t>2</w:t>
      </w:r>
      <w:r w:rsidR="00AE4535" w:rsidRPr="00B40A77">
        <w:rPr>
          <w:color w:val="000000" w:themeColor="text1"/>
        </w:rPr>
        <w:t>.3</w:t>
      </w:r>
      <w:r w:rsidR="002F0DD6" w:rsidRPr="00B40A77">
        <w:rPr>
          <w:color w:val="000000" w:themeColor="text1"/>
        </w:rPr>
        <w:t>—Recognizances</w:t>
      </w:r>
      <w:r w:rsidR="00BB1FEA" w:rsidRPr="00B40A77">
        <w:rPr>
          <w:color w:val="000000" w:themeColor="text1"/>
        </w:rPr>
        <w:t>:</w:t>
      </w:r>
      <w:r w:rsidR="00AB6FBF" w:rsidRPr="00B40A77">
        <w:rPr>
          <w:color w:val="000000" w:themeColor="text1"/>
        </w:rPr>
        <w:t xml:space="preserve"> All Courts except Youth Court</w:t>
      </w:r>
      <w:bookmarkEnd w:id="903"/>
    </w:p>
    <w:p w14:paraId="7F3243E7" w14:textId="7B293319" w:rsidR="002F0DD6" w:rsidRPr="00B40A77" w:rsidRDefault="002F0DD6"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14250B" w:rsidRPr="00B40A77">
        <w:rPr>
          <w:color w:val="000000" w:themeColor="text1"/>
          <w:lang w:val="en-US"/>
        </w:rPr>
        <w:t>If the Court makes a recognizance release order under section</w:t>
      </w:r>
      <w:r w:rsidR="001462AC" w:rsidRPr="00B40A77">
        <w:rPr>
          <w:color w:val="000000" w:themeColor="text1"/>
          <w:lang w:val="en-US"/>
        </w:rPr>
        <w:t> </w:t>
      </w:r>
      <w:r w:rsidR="0014250B" w:rsidRPr="00B40A77">
        <w:rPr>
          <w:color w:val="000000" w:themeColor="text1"/>
          <w:lang w:val="en-US"/>
        </w:rPr>
        <w:t>20(1)(b) of the Crimes</w:t>
      </w:r>
      <w:r w:rsidR="001358C9" w:rsidRPr="00B40A77">
        <w:rPr>
          <w:color w:val="000000" w:themeColor="text1"/>
          <w:lang w:val="en-US"/>
        </w:rPr>
        <w:t> </w:t>
      </w:r>
      <w:r w:rsidR="0014250B" w:rsidRPr="00B40A77">
        <w:rPr>
          <w:color w:val="000000" w:themeColor="text1"/>
          <w:lang w:val="en-US"/>
        </w:rPr>
        <w:t>Act, a formal recognizance release order in the prescribed form must be issued and given to the defendant.</w:t>
      </w:r>
    </w:p>
    <w:p w14:paraId="4663E7C8" w14:textId="77777777" w:rsidR="002F0DD6" w:rsidRPr="00B40A77" w:rsidRDefault="002F0DD6" w:rsidP="002200BB">
      <w:pPr>
        <w:pStyle w:val="NoteHeader"/>
        <w:keepNext/>
        <w:rPr>
          <w:color w:val="000000" w:themeColor="text1"/>
        </w:rPr>
      </w:pPr>
      <w:r w:rsidRPr="00B40A77">
        <w:rPr>
          <w:color w:val="000000" w:themeColor="text1"/>
        </w:rPr>
        <w:t>Prescribed form—</w:t>
      </w:r>
      <w:r w:rsidRPr="00B40A77">
        <w:rPr>
          <w:color w:val="000000" w:themeColor="text1"/>
        </w:rPr>
        <w:tab/>
      </w:r>
    </w:p>
    <w:p w14:paraId="01BFCF08" w14:textId="1255BB6D" w:rsidR="002F0DD6" w:rsidRPr="00B40A77" w:rsidRDefault="00E33718" w:rsidP="002F0DD6">
      <w:pPr>
        <w:pStyle w:val="NoteText"/>
        <w:rPr>
          <w:color w:val="000000" w:themeColor="text1"/>
        </w:rPr>
      </w:pPr>
      <w:r w:rsidRPr="00B40A77">
        <w:rPr>
          <w:color w:val="000000" w:themeColor="text1"/>
        </w:rPr>
        <w:t>Form 142E</w:t>
      </w:r>
      <w:r w:rsidR="002F0DD6" w:rsidRPr="00B40A77">
        <w:rPr>
          <w:color w:val="000000" w:themeColor="text1"/>
        </w:rPr>
        <w:t xml:space="preserve"> </w:t>
      </w:r>
      <w:hyperlink r:id="rId280" w:history="1">
        <w:r w:rsidR="00A02DFC" w:rsidRPr="00B40A77">
          <w:rPr>
            <w:rStyle w:val="Hyperlink"/>
            <w:color w:val="000000" w:themeColor="text1"/>
            <w:lang w:val="en-US"/>
          </w:rPr>
          <w:t>R</w:t>
        </w:r>
        <w:r w:rsidR="00CD30AF" w:rsidRPr="00B40A77">
          <w:rPr>
            <w:rStyle w:val="Hyperlink"/>
            <w:color w:val="000000" w:themeColor="text1"/>
            <w:lang w:val="en-US"/>
          </w:rPr>
          <w:t>elease O</w:t>
        </w:r>
        <w:r w:rsidRPr="00B40A77">
          <w:rPr>
            <w:rStyle w:val="Hyperlink"/>
            <w:color w:val="000000" w:themeColor="text1"/>
            <w:lang w:val="en-US"/>
          </w:rPr>
          <w:t>rder</w:t>
        </w:r>
        <w:r w:rsidR="00CD30AF" w:rsidRPr="00B40A77">
          <w:rPr>
            <w:rStyle w:val="Hyperlink"/>
            <w:color w:val="000000" w:themeColor="text1"/>
            <w:lang w:val="en-US"/>
          </w:rPr>
          <w:t xml:space="preserve"> and R</w:t>
        </w:r>
        <w:r w:rsidR="00A02DFC" w:rsidRPr="00B40A77">
          <w:rPr>
            <w:rStyle w:val="Hyperlink"/>
            <w:color w:val="000000" w:themeColor="text1"/>
            <w:lang w:val="en-US"/>
          </w:rPr>
          <w:t>ecognizance</w:t>
        </w:r>
      </w:hyperlink>
    </w:p>
    <w:p w14:paraId="44EFCD2B" w14:textId="37D12057" w:rsidR="0014250B" w:rsidRPr="00B40A77" w:rsidRDefault="00AB6FBF" w:rsidP="00B90C7E">
      <w:pPr>
        <w:pStyle w:val="Hangindent"/>
        <w:keepNext/>
        <w:rPr>
          <w:color w:val="000000" w:themeColor="text1"/>
          <w:lang w:val="en-US"/>
        </w:rPr>
      </w:pPr>
      <w:r w:rsidRPr="00B40A77">
        <w:rPr>
          <w:color w:val="000000" w:themeColor="text1"/>
          <w:lang w:val="en-US"/>
        </w:rPr>
        <w:t>(</w:t>
      </w:r>
      <w:r w:rsidR="006D029D" w:rsidRPr="00B40A77">
        <w:rPr>
          <w:color w:val="000000" w:themeColor="text1"/>
          <w:lang w:val="en-US"/>
        </w:rPr>
        <w:t>2</w:t>
      </w:r>
      <w:r w:rsidRPr="00B40A77">
        <w:rPr>
          <w:color w:val="000000" w:themeColor="text1"/>
          <w:lang w:val="en-US"/>
        </w:rPr>
        <w:t>)</w:t>
      </w:r>
      <w:r w:rsidRPr="00B40A77">
        <w:rPr>
          <w:color w:val="000000" w:themeColor="text1"/>
          <w:lang w:val="en-US"/>
        </w:rPr>
        <w:tab/>
      </w:r>
      <w:r w:rsidR="0014250B" w:rsidRPr="00B40A77">
        <w:rPr>
          <w:color w:val="000000" w:themeColor="text1"/>
          <w:lang w:val="en-US"/>
        </w:rPr>
        <w:t>If the Court makes an order and recognizance under section</w:t>
      </w:r>
      <w:r w:rsidR="001462AC" w:rsidRPr="00B40A77">
        <w:rPr>
          <w:color w:val="000000" w:themeColor="text1"/>
          <w:lang w:val="en-US"/>
        </w:rPr>
        <w:t> </w:t>
      </w:r>
      <w:r w:rsidR="0014250B" w:rsidRPr="00B40A77">
        <w:rPr>
          <w:color w:val="000000" w:themeColor="text1"/>
          <w:lang w:val="en-US"/>
        </w:rPr>
        <w:t>19B or</w:t>
      </w:r>
      <w:r w:rsidR="001462AC" w:rsidRPr="00B40A77">
        <w:rPr>
          <w:color w:val="000000" w:themeColor="text1"/>
          <w:lang w:val="en-US"/>
        </w:rPr>
        <w:t> </w:t>
      </w:r>
      <w:r w:rsidR="0014250B" w:rsidRPr="00B40A77">
        <w:rPr>
          <w:color w:val="000000" w:themeColor="text1"/>
          <w:lang w:val="en-US"/>
        </w:rPr>
        <w:t>20(1)(a</w:t>
      </w:r>
      <w:r w:rsidR="00BB1FEA" w:rsidRPr="00B40A77">
        <w:rPr>
          <w:color w:val="000000" w:themeColor="text1"/>
          <w:lang w:val="en-US"/>
        </w:rPr>
        <w:t xml:space="preserve">) </w:t>
      </w:r>
      <w:r w:rsidR="0014250B" w:rsidRPr="00B40A77">
        <w:rPr>
          <w:color w:val="000000" w:themeColor="text1"/>
          <w:lang w:val="en-US"/>
        </w:rPr>
        <w:t>of the Crimes Act, a formal order and recognizance in the prescribed form must be issued and given to the defendant.</w:t>
      </w:r>
    </w:p>
    <w:p w14:paraId="6B69AB98" w14:textId="3D953145" w:rsidR="00AB6FBF" w:rsidRPr="00B40A77" w:rsidRDefault="00AB6FBF" w:rsidP="00B90C7E">
      <w:pPr>
        <w:pStyle w:val="NoteHeader"/>
        <w:keepNext/>
        <w:rPr>
          <w:color w:val="000000" w:themeColor="text1"/>
        </w:rPr>
      </w:pPr>
      <w:r w:rsidRPr="00B40A77">
        <w:rPr>
          <w:color w:val="000000" w:themeColor="text1"/>
        </w:rPr>
        <w:t>Prescribed form—</w:t>
      </w:r>
    </w:p>
    <w:p w14:paraId="4FE8E30C" w14:textId="7E03FD17" w:rsidR="00AB6FBF" w:rsidRPr="00B40A77" w:rsidRDefault="00AB6FBF" w:rsidP="00AB6FBF">
      <w:pPr>
        <w:pStyle w:val="NoteText"/>
        <w:rPr>
          <w:color w:val="000000" w:themeColor="text1"/>
        </w:rPr>
      </w:pPr>
      <w:r w:rsidRPr="00B40A77">
        <w:rPr>
          <w:color w:val="000000" w:themeColor="text1"/>
        </w:rPr>
        <w:t xml:space="preserve">Form 142F </w:t>
      </w:r>
      <w:hyperlink r:id="rId281" w:history="1">
        <w:r w:rsidR="00CD30AF" w:rsidRPr="00B40A77">
          <w:rPr>
            <w:rStyle w:val="Hyperlink"/>
            <w:color w:val="000000" w:themeColor="text1"/>
            <w:lang w:val="en-US"/>
          </w:rPr>
          <w:t>Order and R</w:t>
        </w:r>
        <w:r w:rsidRPr="00B40A77">
          <w:rPr>
            <w:rStyle w:val="Hyperlink"/>
            <w:color w:val="000000" w:themeColor="text1"/>
            <w:lang w:val="en-US"/>
          </w:rPr>
          <w:t>ecognizance</w:t>
        </w:r>
      </w:hyperlink>
      <w:r w:rsidRPr="00B40A77">
        <w:rPr>
          <w:color w:val="000000" w:themeColor="text1"/>
          <w:lang w:val="en-US"/>
        </w:rPr>
        <w:t xml:space="preserve"> </w:t>
      </w:r>
    </w:p>
    <w:p w14:paraId="1CF3711A" w14:textId="695CABF9" w:rsidR="002F0DD6" w:rsidRPr="00B40A77" w:rsidRDefault="002F0DD6" w:rsidP="00AB6FBF">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w:t>
      </w:r>
      <w:r w:rsidR="00AB6FBF" w:rsidRPr="00B40A77">
        <w:rPr>
          <w:color w:val="000000" w:themeColor="text1"/>
          <w:lang w:val="en-US"/>
        </w:rPr>
        <w:t xml:space="preserve">recognizance release order </w:t>
      </w:r>
      <w:r w:rsidRPr="00B40A77">
        <w:rPr>
          <w:color w:val="000000" w:themeColor="text1"/>
          <w:lang w:val="en-US"/>
        </w:rPr>
        <w:t xml:space="preserve">or </w:t>
      </w:r>
      <w:r w:rsidR="00AB6FBF" w:rsidRPr="00B40A77">
        <w:rPr>
          <w:color w:val="000000" w:themeColor="text1"/>
          <w:lang w:val="en-US"/>
        </w:rPr>
        <w:t xml:space="preserve">order and recognizance </w:t>
      </w:r>
      <w:r w:rsidRPr="00B40A77">
        <w:rPr>
          <w:color w:val="000000" w:themeColor="text1"/>
          <w:lang w:val="en-US"/>
        </w:rPr>
        <w:t>m</w:t>
      </w:r>
      <w:r w:rsidR="008C2C27" w:rsidRPr="00B40A77">
        <w:rPr>
          <w:color w:val="000000" w:themeColor="text1"/>
          <w:lang w:val="en-US"/>
        </w:rPr>
        <w:t>ay</w:t>
      </w:r>
      <w:r w:rsidRPr="00B40A77">
        <w:rPr>
          <w:color w:val="000000" w:themeColor="text1"/>
          <w:lang w:val="en-US"/>
        </w:rPr>
        <w:t xml:space="preserve"> be acknow</w:t>
      </w:r>
      <w:r w:rsidR="00AB6FBF" w:rsidRPr="00B40A77">
        <w:rPr>
          <w:color w:val="000000" w:themeColor="text1"/>
          <w:lang w:val="en-US"/>
        </w:rPr>
        <w:t>ledged by the defendant</w:t>
      </w:r>
      <w:r w:rsidRPr="00B40A77">
        <w:rPr>
          <w:color w:val="000000" w:themeColor="text1"/>
          <w:lang w:val="en-US"/>
        </w:rPr>
        <w:t xml:space="preserve">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002F7FE6" w:rsidRPr="00B40A77">
        <w:rPr>
          <w:color w:val="000000" w:themeColor="text1"/>
          <w:u w:val="single"/>
          <w:lang w:val="en-US"/>
        </w:rPr>
        <w:t>Registrar</w:t>
      </w:r>
      <w:r w:rsidR="002F7FE6" w:rsidRPr="00B40A77">
        <w:rPr>
          <w:color w:val="000000" w:themeColor="text1"/>
          <w:lang w:val="en-US"/>
        </w:rPr>
        <w:t xml:space="preserve"> </w:t>
      </w:r>
      <w:r w:rsidRPr="00B40A77">
        <w:rPr>
          <w:color w:val="000000" w:themeColor="text1"/>
          <w:lang w:val="en-US"/>
        </w:rPr>
        <w:t>of the Court, or a Justice of the Peace.</w:t>
      </w:r>
    </w:p>
    <w:p w14:paraId="253922C5" w14:textId="4F9D6412" w:rsidR="000D25A0" w:rsidRPr="00B40A77" w:rsidRDefault="00F76788" w:rsidP="000D25A0">
      <w:pPr>
        <w:pStyle w:val="Heading4"/>
        <w:rPr>
          <w:color w:val="000000" w:themeColor="text1"/>
        </w:rPr>
      </w:pPr>
      <w:bookmarkStart w:id="904" w:name="_Toc175239227"/>
      <w:r w:rsidRPr="00B40A77">
        <w:rPr>
          <w:color w:val="000000" w:themeColor="text1"/>
        </w:rPr>
        <w:t>15</w:t>
      </w:r>
      <w:r w:rsidR="00F14A85" w:rsidRPr="00B40A77">
        <w:rPr>
          <w:color w:val="000000" w:themeColor="text1"/>
        </w:rPr>
        <w:t>2</w:t>
      </w:r>
      <w:r w:rsidR="000D25A0" w:rsidRPr="00B40A77">
        <w:rPr>
          <w:color w:val="000000" w:themeColor="text1"/>
        </w:rPr>
        <w:t>.4—Licences</w:t>
      </w:r>
      <w:bookmarkEnd w:id="904"/>
    </w:p>
    <w:p w14:paraId="1BF7B3B7" w14:textId="7141ECAD" w:rsidR="000D25A0" w:rsidRPr="00B40A77" w:rsidRDefault="000D25A0"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If the Court makes an order under Part</w:t>
      </w:r>
      <w:r w:rsidR="00BA2D1F" w:rsidRPr="00B40A77">
        <w:rPr>
          <w:color w:val="000000" w:themeColor="text1"/>
          <w:lang w:val="en-US"/>
        </w:rPr>
        <w:t> </w:t>
      </w:r>
      <w:r w:rsidRPr="00B40A77">
        <w:rPr>
          <w:color w:val="000000" w:themeColor="text1"/>
          <w:lang w:val="en-US"/>
        </w:rPr>
        <w:t xml:space="preserve">8A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that includes a release of a defendant or youth on licence, a formal order in the prescribed form must be issued and given to the defendant or youth.</w:t>
      </w:r>
    </w:p>
    <w:p w14:paraId="08B62649" w14:textId="7B38655A" w:rsidR="000D25A0" w:rsidRPr="00B40A77" w:rsidRDefault="000D25A0" w:rsidP="00B90C7E">
      <w:pPr>
        <w:pStyle w:val="NoteHeader"/>
        <w:keepNext/>
        <w:rPr>
          <w:color w:val="000000" w:themeColor="text1"/>
        </w:rPr>
      </w:pPr>
      <w:r w:rsidRPr="00B40A77">
        <w:rPr>
          <w:color w:val="000000" w:themeColor="text1"/>
        </w:rPr>
        <w:t>Prescribed form—</w:t>
      </w:r>
    </w:p>
    <w:p w14:paraId="4EE777D7" w14:textId="7A1159E8" w:rsidR="000D25A0" w:rsidRPr="00B40A77" w:rsidRDefault="00C25A5D" w:rsidP="000D25A0">
      <w:pPr>
        <w:pStyle w:val="NoteText"/>
        <w:rPr>
          <w:color w:val="000000" w:themeColor="text1"/>
        </w:rPr>
      </w:pPr>
      <w:bookmarkStart w:id="905" w:name="_Hlk67583058"/>
      <w:r w:rsidRPr="00B40A77">
        <w:rPr>
          <w:color w:val="000000" w:themeColor="text1"/>
        </w:rPr>
        <w:t>Form 142M</w:t>
      </w:r>
      <w:r w:rsidR="000D25A0" w:rsidRPr="00B40A77">
        <w:rPr>
          <w:color w:val="000000" w:themeColor="text1"/>
        </w:rPr>
        <w:t xml:space="preserve"> </w:t>
      </w:r>
      <w:hyperlink r:id="rId282" w:history="1">
        <w:r w:rsidR="000D25A0" w:rsidRPr="00B40A77">
          <w:rPr>
            <w:rStyle w:val="Hyperlink"/>
            <w:color w:val="000000" w:themeColor="text1"/>
          </w:rPr>
          <w:t xml:space="preserve">Order </w:t>
        </w:r>
        <w:r w:rsidR="00AF50B4" w:rsidRPr="00B40A77">
          <w:rPr>
            <w:rStyle w:val="Hyperlink"/>
            <w:color w:val="000000" w:themeColor="text1"/>
          </w:rPr>
          <w:t>– Part 8A Criminal Law Consolidation Act</w:t>
        </w:r>
        <w:bookmarkEnd w:id="905"/>
      </w:hyperlink>
    </w:p>
    <w:p w14:paraId="20ED4B39" w14:textId="27669F14" w:rsidR="000D25A0" w:rsidRPr="00B40A77" w:rsidRDefault="000D25A0"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If the Court makes an order under Part</w:t>
      </w:r>
      <w:r w:rsidR="00BA2D1F" w:rsidRPr="00B40A77">
        <w:rPr>
          <w:color w:val="000000" w:themeColor="text1"/>
          <w:lang w:val="en-US"/>
        </w:rPr>
        <w:t> </w:t>
      </w:r>
      <w:r w:rsidRPr="00B40A77">
        <w:rPr>
          <w:color w:val="000000" w:themeColor="text1"/>
          <w:lang w:val="en-US"/>
        </w:rPr>
        <w:t>1B Division</w:t>
      </w:r>
      <w:r w:rsidR="00BA2D1F" w:rsidRPr="00B40A77">
        <w:rPr>
          <w:color w:val="000000" w:themeColor="text1"/>
          <w:lang w:val="en-US"/>
        </w:rPr>
        <w:t> </w:t>
      </w:r>
      <w:r w:rsidRPr="00B40A77">
        <w:rPr>
          <w:color w:val="000000" w:themeColor="text1"/>
          <w:lang w:val="en-US"/>
        </w:rPr>
        <w:t>6, 7, 8 or</w:t>
      </w:r>
      <w:r w:rsidR="00BA2D1F" w:rsidRPr="00B40A77">
        <w:rPr>
          <w:color w:val="000000" w:themeColor="text1"/>
          <w:lang w:val="en-US"/>
        </w:rPr>
        <w:t> </w:t>
      </w:r>
      <w:r w:rsidRPr="00B40A77">
        <w:rPr>
          <w:color w:val="000000" w:themeColor="text1"/>
          <w:lang w:val="en-US"/>
        </w:rPr>
        <w:t>9 of the Crimes Act that includes a release of a defendant on licence, a formal order in the prescribed form must be issued and given to the defendant.</w:t>
      </w:r>
    </w:p>
    <w:p w14:paraId="4A6B948F" w14:textId="1F8FFC69" w:rsidR="000D25A0" w:rsidRPr="00B40A77" w:rsidRDefault="000D25A0" w:rsidP="00B90C7E">
      <w:pPr>
        <w:pStyle w:val="NoteHeader"/>
        <w:keepNext/>
        <w:rPr>
          <w:color w:val="000000" w:themeColor="text1"/>
        </w:rPr>
      </w:pPr>
      <w:r w:rsidRPr="00B40A77">
        <w:rPr>
          <w:color w:val="000000" w:themeColor="text1"/>
        </w:rPr>
        <w:t>Prescribed form—</w:t>
      </w:r>
    </w:p>
    <w:p w14:paraId="1C2F1D66" w14:textId="06B3118C" w:rsidR="000D25A0" w:rsidRPr="00B40A77" w:rsidRDefault="00C25A5D" w:rsidP="000D25A0">
      <w:pPr>
        <w:pStyle w:val="NoteText"/>
        <w:rPr>
          <w:color w:val="000000" w:themeColor="text1"/>
          <w:u w:val="single"/>
        </w:rPr>
      </w:pPr>
      <w:bookmarkStart w:id="906" w:name="_Hlk67583150"/>
      <w:r w:rsidRPr="00B40A77">
        <w:rPr>
          <w:color w:val="000000" w:themeColor="text1"/>
        </w:rPr>
        <w:t>Form 142N</w:t>
      </w:r>
      <w:r w:rsidR="000D25A0" w:rsidRPr="00B40A77">
        <w:rPr>
          <w:color w:val="000000" w:themeColor="text1"/>
        </w:rPr>
        <w:t xml:space="preserve"> </w:t>
      </w:r>
      <w:hyperlink r:id="rId283" w:history="1">
        <w:r w:rsidR="000D25A0" w:rsidRPr="00B40A77">
          <w:rPr>
            <w:rStyle w:val="Hyperlink"/>
            <w:color w:val="000000" w:themeColor="text1"/>
          </w:rPr>
          <w:t xml:space="preserve">Order </w:t>
        </w:r>
        <w:r w:rsidR="00AF50B4" w:rsidRPr="00B40A77">
          <w:rPr>
            <w:rStyle w:val="Hyperlink"/>
            <w:color w:val="000000" w:themeColor="text1"/>
          </w:rPr>
          <w:t>– Part 1B Div 6 to 9 Crimes Act (Cth)</w:t>
        </w:r>
      </w:hyperlink>
    </w:p>
    <w:bookmarkEnd w:id="906"/>
    <w:p w14:paraId="14976257" w14:textId="092D22D1" w:rsidR="000D25A0" w:rsidRPr="00B40A77" w:rsidRDefault="000D25A0" w:rsidP="00AB6FBF">
      <w:pPr>
        <w:pStyle w:val="Hangindent"/>
        <w:rPr>
          <w:color w:val="000000" w:themeColor="text1"/>
          <w:lang w:val="en-US"/>
        </w:rPr>
      </w:pPr>
      <w:r w:rsidRPr="00B40A77">
        <w:rPr>
          <w:color w:val="000000" w:themeColor="text1"/>
          <w:lang w:val="en-US"/>
        </w:rPr>
        <w:t>(3)</w:t>
      </w:r>
      <w:r w:rsidRPr="00B40A77">
        <w:rPr>
          <w:color w:val="000000" w:themeColor="text1"/>
          <w:lang w:val="en-US"/>
        </w:rPr>
        <w:tab/>
        <w:t>An order governed by this rule m</w:t>
      </w:r>
      <w:r w:rsidR="008C2C27" w:rsidRPr="00B40A77">
        <w:rPr>
          <w:color w:val="000000" w:themeColor="text1"/>
          <w:lang w:val="en-US"/>
        </w:rPr>
        <w:t>ay</w:t>
      </w:r>
      <w:r w:rsidRPr="00B40A77">
        <w:rPr>
          <w:color w:val="000000" w:themeColor="text1"/>
          <w:lang w:val="en-US"/>
        </w:rPr>
        <w:t xml:space="preserve"> be acknowledged by the defendant or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002F7FE6" w:rsidRPr="00B40A77">
        <w:rPr>
          <w:color w:val="000000" w:themeColor="text1"/>
          <w:u w:val="single"/>
          <w:lang w:val="en-US"/>
        </w:rPr>
        <w:t>Registrar</w:t>
      </w:r>
      <w:r w:rsidR="002F7FE6" w:rsidRPr="00B40A77">
        <w:rPr>
          <w:color w:val="000000" w:themeColor="text1"/>
          <w:lang w:val="en-US"/>
        </w:rPr>
        <w:t xml:space="preserve"> </w:t>
      </w:r>
      <w:r w:rsidRPr="00B40A77">
        <w:rPr>
          <w:color w:val="000000" w:themeColor="text1"/>
          <w:lang w:val="en-US"/>
        </w:rPr>
        <w:t>of the Court, or a Justice of the Peace.</w:t>
      </w:r>
    </w:p>
    <w:p w14:paraId="47647C17" w14:textId="5A1AD058" w:rsidR="00C01227" w:rsidRPr="00B40A77" w:rsidRDefault="00C01227" w:rsidP="00C01227">
      <w:pPr>
        <w:pStyle w:val="Heading4"/>
        <w:rPr>
          <w:color w:val="000000" w:themeColor="text1"/>
        </w:rPr>
      </w:pPr>
      <w:bookmarkStart w:id="907" w:name="_Toc175239228"/>
      <w:r w:rsidRPr="00B40A77">
        <w:rPr>
          <w:color w:val="000000" w:themeColor="text1"/>
        </w:rPr>
        <w:t>152.5—Probation orders</w:t>
      </w:r>
      <w:r w:rsidR="00D213C0" w:rsidRPr="00B40A77">
        <w:rPr>
          <w:color w:val="000000" w:themeColor="text1"/>
        </w:rPr>
        <w:t>: All Courts except Youth Court</w:t>
      </w:r>
      <w:bookmarkEnd w:id="907"/>
    </w:p>
    <w:p w14:paraId="6526328C" w14:textId="0671287B" w:rsidR="00C01227" w:rsidRPr="00B40A77" w:rsidRDefault="00C01227"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If the Court makes a</w:t>
      </w:r>
      <w:r w:rsidR="008C2C27" w:rsidRPr="00B40A77">
        <w:rPr>
          <w:color w:val="000000" w:themeColor="text1"/>
          <w:lang w:val="en-US"/>
        </w:rPr>
        <w:t xml:space="preserve"> psychiatric probation order or program probation </w:t>
      </w:r>
      <w:r w:rsidRPr="00B40A77">
        <w:rPr>
          <w:color w:val="000000" w:themeColor="text1"/>
          <w:lang w:val="en-US"/>
        </w:rPr>
        <w:t xml:space="preserve">order </w:t>
      </w:r>
      <w:r w:rsidR="008C2C27" w:rsidRPr="00B40A77">
        <w:rPr>
          <w:color w:val="000000" w:themeColor="text1"/>
          <w:lang w:val="en-US"/>
        </w:rPr>
        <w:t xml:space="preserve">under </w:t>
      </w:r>
      <w:r w:rsidRPr="00B40A77">
        <w:rPr>
          <w:color w:val="000000" w:themeColor="text1"/>
          <w:lang w:val="en-US"/>
        </w:rPr>
        <w:t>section</w:t>
      </w:r>
      <w:r w:rsidR="00425D16" w:rsidRPr="00B40A77">
        <w:rPr>
          <w:color w:val="000000" w:themeColor="text1"/>
          <w:lang w:val="en-US"/>
        </w:rPr>
        <w:t> </w:t>
      </w:r>
      <w:r w:rsidRPr="00B40A77">
        <w:rPr>
          <w:color w:val="000000" w:themeColor="text1"/>
          <w:lang w:val="en-US"/>
        </w:rPr>
        <w:t>20BV or</w:t>
      </w:r>
      <w:r w:rsidR="00425D16" w:rsidRPr="00B40A77">
        <w:rPr>
          <w:color w:val="000000" w:themeColor="text1"/>
          <w:lang w:val="en-US"/>
        </w:rPr>
        <w:t> </w:t>
      </w:r>
      <w:r w:rsidRPr="00B40A77">
        <w:rPr>
          <w:color w:val="000000" w:themeColor="text1"/>
          <w:lang w:val="en-US"/>
        </w:rPr>
        <w:t>20BY of the Crimes Act, a formal order in the prescribed form must be issued and given to the defendant.</w:t>
      </w:r>
    </w:p>
    <w:p w14:paraId="056E116F" w14:textId="77777777" w:rsidR="00C01227" w:rsidRPr="00B40A77" w:rsidRDefault="00C01227"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6A9F8A5E" w14:textId="1EB4C981" w:rsidR="00C01227" w:rsidRPr="00B40A77" w:rsidRDefault="00C01227" w:rsidP="00C01227">
      <w:pPr>
        <w:pStyle w:val="NoteText"/>
        <w:rPr>
          <w:color w:val="000000" w:themeColor="text1"/>
          <w:u w:val="single"/>
        </w:rPr>
      </w:pPr>
      <w:r w:rsidRPr="00B40A77">
        <w:rPr>
          <w:color w:val="000000" w:themeColor="text1"/>
        </w:rPr>
        <w:t>Form 142</w:t>
      </w:r>
      <w:r w:rsidR="008C2C27" w:rsidRPr="00B40A77">
        <w:rPr>
          <w:color w:val="000000" w:themeColor="text1"/>
        </w:rPr>
        <w:t>P</w:t>
      </w:r>
      <w:r w:rsidRPr="00B40A77">
        <w:rPr>
          <w:color w:val="000000" w:themeColor="text1"/>
        </w:rPr>
        <w:t xml:space="preserve"> </w:t>
      </w:r>
      <w:hyperlink r:id="rId284" w:history="1">
        <w:r w:rsidR="008C2C27" w:rsidRPr="00B40A77">
          <w:rPr>
            <w:rStyle w:val="Hyperlink"/>
            <w:color w:val="000000" w:themeColor="text1"/>
          </w:rPr>
          <w:t xml:space="preserve">Psychiatric Probation </w:t>
        </w:r>
        <w:r w:rsidRPr="00B40A77">
          <w:rPr>
            <w:rStyle w:val="Hyperlink"/>
            <w:color w:val="000000" w:themeColor="text1"/>
          </w:rPr>
          <w:t>Order</w:t>
        </w:r>
        <w:r w:rsidR="00425755" w:rsidRPr="00B40A77">
          <w:rPr>
            <w:rStyle w:val="Hyperlink"/>
            <w:color w:val="000000" w:themeColor="text1"/>
          </w:rPr>
          <w:t xml:space="preserve"> and Acknowledgement (Cth)</w:t>
        </w:r>
      </w:hyperlink>
    </w:p>
    <w:p w14:paraId="50EC2113" w14:textId="18A322B2" w:rsidR="008C2C27" w:rsidRPr="00B40A77" w:rsidRDefault="008C2C27" w:rsidP="008C2C27">
      <w:pPr>
        <w:pStyle w:val="NoteText"/>
        <w:rPr>
          <w:color w:val="000000" w:themeColor="text1"/>
          <w:u w:val="single"/>
        </w:rPr>
      </w:pPr>
      <w:r w:rsidRPr="00B40A77">
        <w:rPr>
          <w:color w:val="000000" w:themeColor="text1"/>
        </w:rPr>
        <w:t xml:space="preserve">Form 142Q </w:t>
      </w:r>
      <w:hyperlink r:id="rId285" w:history="1">
        <w:r w:rsidRPr="00B40A77">
          <w:rPr>
            <w:rStyle w:val="Hyperlink"/>
            <w:color w:val="000000" w:themeColor="text1"/>
          </w:rPr>
          <w:t>Program Probation Order</w:t>
        </w:r>
        <w:r w:rsidR="00425755" w:rsidRPr="00B40A77">
          <w:rPr>
            <w:rStyle w:val="Hyperlink"/>
            <w:color w:val="000000" w:themeColor="text1"/>
          </w:rPr>
          <w:t xml:space="preserve"> and Acknowledgement (Cth)</w:t>
        </w:r>
      </w:hyperlink>
    </w:p>
    <w:p w14:paraId="058C1716" w14:textId="728E3855" w:rsidR="00C01227" w:rsidRPr="00B40A77" w:rsidRDefault="00C01227" w:rsidP="00C01227">
      <w:pPr>
        <w:pStyle w:val="Hangindent"/>
        <w:rPr>
          <w:color w:val="000000" w:themeColor="text1"/>
          <w:lang w:val="en-US"/>
        </w:rPr>
      </w:pPr>
      <w:r w:rsidRPr="00B40A77">
        <w:rPr>
          <w:color w:val="000000" w:themeColor="text1"/>
          <w:lang w:val="en-US"/>
        </w:rPr>
        <w:lastRenderedPageBreak/>
        <w:t>(</w:t>
      </w:r>
      <w:r w:rsidR="00CA2AB7" w:rsidRPr="00B40A77">
        <w:rPr>
          <w:color w:val="000000" w:themeColor="text1"/>
          <w:lang w:val="en-US"/>
        </w:rPr>
        <w:t>2</w:t>
      </w:r>
      <w:r w:rsidRPr="00B40A77">
        <w:rPr>
          <w:color w:val="000000" w:themeColor="text1"/>
          <w:lang w:val="en-US"/>
        </w:rPr>
        <w:t>)</w:t>
      </w:r>
      <w:r w:rsidRPr="00B40A77">
        <w:rPr>
          <w:color w:val="000000" w:themeColor="text1"/>
          <w:lang w:val="en-US"/>
        </w:rPr>
        <w:tab/>
        <w:t>An order governed by this rule m</w:t>
      </w:r>
      <w:r w:rsidR="008C2C27" w:rsidRPr="00B40A77">
        <w:rPr>
          <w:color w:val="000000" w:themeColor="text1"/>
          <w:lang w:val="en-US"/>
        </w:rPr>
        <w:t>ay</w:t>
      </w:r>
      <w:r w:rsidRPr="00B40A77">
        <w:rPr>
          <w:color w:val="000000" w:themeColor="text1"/>
          <w:lang w:val="en-US"/>
        </w:rPr>
        <w:t xml:space="preserve"> be acknowledged by the defendant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Pr="00B40A77">
        <w:rPr>
          <w:color w:val="000000" w:themeColor="text1"/>
          <w:u w:val="single"/>
          <w:lang w:val="en-US"/>
        </w:rPr>
        <w:t>Registrar</w:t>
      </w:r>
      <w:r w:rsidRPr="00B40A77">
        <w:rPr>
          <w:color w:val="000000" w:themeColor="text1"/>
          <w:lang w:val="en-US"/>
        </w:rPr>
        <w:t xml:space="preserve"> of the Court, or a Justice of the Peace.</w:t>
      </w:r>
    </w:p>
    <w:p w14:paraId="2F85CCF2" w14:textId="277B0D47" w:rsidR="00523532" w:rsidRPr="00B40A77" w:rsidRDefault="00962E7D" w:rsidP="00D45D85">
      <w:pPr>
        <w:pStyle w:val="Heading3"/>
        <w:rPr>
          <w:color w:val="000000" w:themeColor="text1"/>
        </w:rPr>
      </w:pPr>
      <w:bookmarkStart w:id="908" w:name="_Toc175239229"/>
      <w:r w:rsidRPr="00B40A77">
        <w:rPr>
          <w:color w:val="000000" w:themeColor="text1"/>
        </w:rPr>
        <w:t>Division 3</w:t>
      </w:r>
      <w:r w:rsidR="00523532" w:rsidRPr="00B40A77">
        <w:rPr>
          <w:color w:val="000000" w:themeColor="text1"/>
        </w:rPr>
        <w:t>—Bonds, undertakings and guarantees</w:t>
      </w:r>
      <w:bookmarkEnd w:id="908"/>
    </w:p>
    <w:p w14:paraId="3B142D04" w14:textId="7360BECD" w:rsidR="00523532" w:rsidRPr="00B40A77" w:rsidRDefault="003B4121" w:rsidP="002D4B09">
      <w:pPr>
        <w:pStyle w:val="Heading4"/>
        <w:rPr>
          <w:color w:val="000000" w:themeColor="text1"/>
        </w:rPr>
      </w:pPr>
      <w:bookmarkStart w:id="909" w:name="_Toc175239230"/>
      <w:r w:rsidRPr="00B40A77">
        <w:rPr>
          <w:color w:val="000000" w:themeColor="text1"/>
        </w:rPr>
        <w:t>1</w:t>
      </w:r>
      <w:r w:rsidR="00F76788" w:rsidRPr="00B40A77">
        <w:rPr>
          <w:color w:val="000000" w:themeColor="text1"/>
        </w:rPr>
        <w:t>5</w:t>
      </w:r>
      <w:r w:rsidR="00F14A85" w:rsidRPr="00B40A77">
        <w:rPr>
          <w:color w:val="000000" w:themeColor="text1"/>
        </w:rPr>
        <w:t>3</w:t>
      </w:r>
      <w:r w:rsidR="00AE4535" w:rsidRPr="00B40A77">
        <w:rPr>
          <w:color w:val="000000" w:themeColor="text1"/>
        </w:rPr>
        <w:t>.1</w:t>
      </w:r>
      <w:r w:rsidR="00523532" w:rsidRPr="00B40A77">
        <w:rPr>
          <w:color w:val="000000" w:themeColor="text1"/>
        </w:rPr>
        <w:t>—Bonds</w:t>
      </w:r>
      <w:r w:rsidR="00854DF3" w:rsidRPr="00B40A77">
        <w:rPr>
          <w:color w:val="000000" w:themeColor="text1"/>
        </w:rPr>
        <w:t xml:space="preserve"> and guarantees</w:t>
      </w:r>
      <w:r w:rsidR="004B6C0F" w:rsidRPr="00B40A77">
        <w:rPr>
          <w:color w:val="000000" w:themeColor="text1"/>
        </w:rPr>
        <w:t>: All Courts except Youth Court</w:t>
      </w:r>
      <w:bookmarkEnd w:id="909"/>
    </w:p>
    <w:p w14:paraId="100FC8C6" w14:textId="4576CF6B" w:rsidR="00523532" w:rsidRPr="00B40A77" w:rsidRDefault="00523532"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AA3859" w:rsidRPr="00B40A77">
        <w:rPr>
          <w:color w:val="000000" w:themeColor="text1"/>
          <w:lang w:val="en-US"/>
        </w:rPr>
        <w:t xml:space="preserve">If the Court suspends a </w:t>
      </w:r>
      <w:hyperlink w:anchor="_2.1—Definitions" w:history="1">
        <w:r w:rsidR="00596ADA" w:rsidRPr="00B40A77">
          <w:rPr>
            <w:rStyle w:val="Hyperlink"/>
            <w:color w:val="000000" w:themeColor="text1"/>
          </w:rPr>
          <w:t>sentence</w:t>
        </w:r>
      </w:hyperlink>
      <w:r w:rsidR="00AA3859" w:rsidRPr="00B40A77">
        <w:rPr>
          <w:color w:val="000000" w:themeColor="text1"/>
          <w:lang w:val="en-US"/>
        </w:rPr>
        <w:t xml:space="preserve"> under section</w:t>
      </w:r>
      <w:r w:rsidR="001462AC" w:rsidRPr="00B40A77">
        <w:rPr>
          <w:color w:val="000000" w:themeColor="text1"/>
          <w:lang w:val="en-US"/>
        </w:rPr>
        <w:t> </w:t>
      </w:r>
      <w:r w:rsidR="00AA3859" w:rsidRPr="00B40A77">
        <w:rPr>
          <w:color w:val="000000" w:themeColor="text1"/>
          <w:lang w:val="en-US"/>
        </w:rPr>
        <w:t xml:space="preserve">96 of the Sentencing Act, a </w:t>
      </w:r>
      <w:r w:rsidRPr="00B40A77">
        <w:rPr>
          <w:color w:val="000000" w:themeColor="text1"/>
          <w:lang w:val="en-US"/>
        </w:rPr>
        <w:t>suspended sentence bond</w:t>
      </w:r>
      <w:r w:rsidR="00EE4609" w:rsidRPr="00B40A77">
        <w:rPr>
          <w:color w:val="000000" w:themeColor="text1"/>
          <w:lang w:val="en-US"/>
        </w:rPr>
        <w:t xml:space="preserve"> </w:t>
      </w:r>
      <w:r w:rsidRPr="00B40A77">
        <w:rPr>
          <w:color w:val="000000" w:themeColor="text1"/>
          <w:lang w:val="en-US"/>
        </w:rPr>
        <w:t>must be in the prescribed form.</w:t>
      </w:r>
    </w:p>
    <w:p w14:paraId="489610FF" w14:textId="29F83B40" w:rsidR="00523532" w:rsidRPr="00B40A77" w:rsidRDefault="00523532" w:rsidP="00B90C7E">
      <w:pPr>
        <w:pStyle w:val="NoteHeader"/>
        <w:keepNext/>
        <w:rPr>
          <w:color w:val="000000" w:themeColor="text1"/>
        </w:rPr>
      </w:pPr>
      <w:r w:rsidRPr="00B40A77">
        <w:rPr>
          <w:color w:val="000000" w:themeColor="text1"/>
        </w:rPr>
        <w:t>Prescribed form—</w:t>
      </w:r>
    </w:p>
    <w:p w14:paraId="4016E1E6" w14:textId="7A002405" w:rsidR="00523532" w:rsidRPr="00B40A77" w:rsidRDefault="00523532" w:rsidP="00523532">
      <w:pPr>
        <w:pStyle w:val="NoteText"/>
        <w:rPr>
          <w:color w:val="000000" w:themeColor="text1"/>
        </w:rPr>
      </w:pPr>
      <w:r w:rsidRPr="00B40A77">
        <w:rPr>
          <w:color w:val="000000" w:themeColor="text1"/>
        </w:rPr>
        <w:t xml:space="preserve">Form </w:t>
      </w:r>
      <w:r w:rsidR="006929AA" w:rsidRPr="00B40A77">
        <w:rPr>
          <w:color w:val="000000" w:themeColor="text1"/>
        </w:rPr>
        <w:t>143A</w:t>
      </w:r>
      <w:r w:rsidRPr="00B40A77">
        <w:rPr>
          <w:color w:val="000000" w:themeColor="text1"/>
        </w:rPr>
        <w:t xml:space="preserve"> </w:t>
      </w:r>
      <w:hyperlink r:id="rId286" w:history="1">
        <w:r w:rsidR="006929AA" w:rsidRPr="00B40A77">
          <w:rPr>
            <w:rStyle w:val="Hyperlink"/>
            <w:color w:val="000000" w:themeColor="text1"/>
          </w:rPr>
          <w:t xml:space="preserve">Suspended </w:t>
        </w:r>
        <w:r w:rsidR="00FE727D" w:rsidRPr="00B40A77">
          <w:rPr>
            <w:rStyle w:val="Hyperlink"/>
            <w:color w:val="000000" w:themeColor="text1"/>
          </w:rPr>
          <w:t>S</w:t>
        </w:r>
        <w:r w:rsidR="006929AA" w:rsidRPr="00B40A77">
          <w:rPr>
            <w:rStyle w:val="Hyperlink"/>
            <w:color w:val="000000" w:themeColor="text1"/>
          </w:rPr>
          <w:t xml:space="preserve">entence </w:t>
        </w:r>
        <w:r w:rsidR="00FE727D" w:rsidRPr="00B40A77">
          <w:rPr>
            <w:rStyle w:val="Hyperlink"/>
            <w:color w:val="000000" w:themeColor="text1"/>
          </w:rPr>
          <w:t>B</w:t>
        </w:r>
        <w:r w:rsidR="006929AA" w:rsidRPr="00B40A77">
          <w:rPr>
            <w:rStyle w:val="Hyperlink"/>
            <w:color w:val="000000" w:themeColor="text1"/>
          </w:rPr>
          <w:t>ond</w:t>
        </w:r>
      </w:hyperlink>
    </w:p>
    <w:p w14:paraId="5F21AEBD" w14:textId="41097F5F" w:rsidR="006929AA" w:rsidRPr="00B40A77" w:rsidRDefault="00523532"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r>
      <w:r w:rsidR="00AA3859" w:rsidRPr="00B40A77">
        <w:rPr>
          <w:color w:val="000000" w:themeColor="text1"/>
          <w:lang w:val="en-US"/>
        </w:rPr>
        <w:t xml:space="preserve">If the Court </w:t>
      </w:r>
      <w:r w:rsidR="00AA3859" w:rsidRPr="00B40A77">
        <w:rPr>
          <w:color w:val="000000" w:themeColor="text1"/>
        </w:rPr>
        <w:t>discharge</w:t>
      </w:r>
      <w:r w:rsidR="002F677D" w:rsidRPr="00B40A77">
        <w:rPr>
          <w:color w:val="000000" w:themeColor="text1"/>
        </w:rPr>
        <w:t>s a</w:t>
      </w:r>
      <w:r w:rsidR="00AA3859" w:rsidRPr="00B40A77">
        <w:rPr>
          <w:color w:val="000000" w:themeColor="text1"/>
        </w:rPr>
        <w:t xml:space="preserve"> </w:t>
      </w:r>
      <w:r w:rsidR="00DA59FF" w:rsidRPr="00B40A77">
        <w:rPr>
          <w:color w:val="000000" w:themeColor="text1"/>
        </w:rPr>
        <w:t xml:space="preserve">defendant </w:t>
      </w:r>
      <w:r w:rsidR="00AA3859" w:rsidRPr="00B40A77">
        <w:rPr>
          <w:color w:val="000000" w:themeColor="text1"/>
        </w:rPr>
        <w:t xml:space="preserve">on condition that the defendant enter into a </w:t>
      </w:r>
      <w:r w:rsidR="002F677D" w:rsidRPr="00B40A77">
        <w:rPr>
          <w:color w:val="000000" w:themeColor="text1"/>
          <w:lang w:val="en-US"/>
        </w:rPr>
        <w:t>good behavio</w:t>
      </w:r>
      <w:r w:rsidR="00720A85" w:rsidRPr="00B40A77">
        <w:rPr>
          <w:color w:val="000000" w:themeColor="text1"/>
          <w:lang w:val="en-US"/>
        </w:rPr>
        <w:t>u</w:t>
      </w:r>
      <w:r w:rsidR="002F677D" w:rsidRPr="00B40A77">
        <w:rPr>
          <w:color w:val="000000" w:themeColor="text1"/>
          <w:lang w:val="en-US"/>
        </w:rPr>
        <w:t>r bond under section</w:t>
      </w:r>
      <w:r w:rsidR="001462AC" w:rsidRPr="00B40A77">
        <w:rPr>
          <w:color w:val="000000" w:themeColor="text1"/>
          <w:lang w:val="en-US"/>
        </w:rPr>
        <w:t> </w:t>
      </w:r>
      <w:r w:rsidR="002F677D" w:rsidRPr="00B40A77">
        <w:rPr>
          <w:color w:val="000000" w:themeColor="text1"/>
          <w:lang w:val="en-US"/>
        </w:rPr>
        <w:t>97 of the Sentencing Act</w:t>
      </w:r>
      <w:r w:rsidR="00AA3859" w:rsidRPr="00B40A77">
        <w:rPr>
          <w:color w:val="000000" w:themeColor="text1"/>
          <w:lang w:val="en-US"/>
        </w:rPr>
        <w:t xml:space="preserve">, a </w:t>
      </w:r>
      <w:r w:rsidR="002F677D" w:rsidRPr="00B40A77">
        <w:rPr>
          <w:color w:val="000000" w:themeColor="text1"/>
          <w:lang w:val="en-US"/>
        </w:rPr>
        <w:t>good behavio</w:t>
      </w:r>
      <w:r w:rsidR="00720A85" w:rsidRPr="00B40A77">
        <w:rPr>
          <w:color w:val="000000" w:themeColor="text1"/>
          <w:lang w:val="en-US"/>
        </w:rPr>
        <w:t>u</w:t>
      </w:r>
      <w:r w:rsidR="002F677D" w:rsidRPr="00B40A77">
        <w:rPr>
          <w:color w:val="000000" w:themeColor="text1"/>
          <w:lang w:val="en-US"/>
        </w:rPr>
        <w:t xml:space="preserve">r bond </w:t>
      </w:r>
      <w:r w:rsidR="00AA3859" w:rsidRPr="00B40A77">
        <w:rPr>
          <w:color w:val="000000" w:themeColor="text1"/>
          <w:lang w:val="en-US"/>
        </w:rPr>
        <w:t xml:space="preserve">must be in the prescribed form. </w:t>
      </w:r>
    </w:p>
    <w:p w14:paraId="2A3978FB" w14:textId="5EC73847" w:rsidR="006929AA" w:rsidRPr="00B40A77" w:rsidRDefault="006929AA" w:rsidP="00B90C7E">
      <w:pPr>
        <w:pStyle w:val="NoteHeader"/>
        <w:keepNext/>
        <w:rPr>
          <w:color w:val="000000" w:themeColor="text1"/>
        </w:rPr>
      </w:pPr>
      <w:r w:rsidRPr="00B40A77">
        <w:rPr>
          <w:color w:val="000000" w:themeColor="text1"/>
        </w:rPr>
        <w:t>Prescribed form—</w:t>
      </w:r>
    </w:p>
    <w:p w14:paraId="79E30A60" w14:textId="7272C016" w:rsidR="006929AA" w:rsidRPr="00B40A77" w:rsidRDefault="006929AA" w:rsidP="006929AA">
      <w:pPr>
        <w:pStyle w:val="NoteText"/>
        <w:rPr>
          <w:color w:val="000000" w:themeColor="text1"/>
        </w:rPr>
      </w:pPr>
      <w:r w:rsidRPr="00B40A77">
        <w:rPr>
          <w:color w:val="000000" w:themeColor="text1"/>
        </w:rPr>
        <w:t>Form 143</w:t>
      </w:r>
      <w:r w:rsidR="004B6C0F" w:rsidRPr="00B40A77">
        <w:rPr>
          <w:color w:val="000000" w:themeColor="text1"/>
        </w:rPr>
        <w:t>B</w:t>
      </w:r>
      <w:r w:rsidR="004103EA" w:rsidRPr="00B40A77">
        <w:rPr>
          <w:color w:val="000000" w:themeColor="text1"/>
        </w:rPr>
        <w:t xml:space="preserve"> </w:t>
      </w:r>
      <w:hyperlink r:id="rId287" w:history="1">
        <w:r w:rsidR="00A02DFC" w:rsidRPr="00B40A77">
          <w:rPr>
            <w:rStyle w:val="Hyperlink"/>
            <w:color w:val="000000" w:themeColor="text1"/>
            <w:lang w:val="en-US"/>
          </w:rPr>
          <w:t>G</w:t>
        </w:r>
        <w:r w:rsidR="004103EA" w:rsidRPr="00B40A77">
          <w:rPr>
            <w:rStyle w:val="Hyperlink"/>
            <w:color w:val="000000" w:themeColor="text1"/>
            <w:lang w:val="en-US"/>
          </w:rPr>
          <w:t xml:space="preserve">ood </w:t>
        </w:r>
        <w:r w:rsidR="00FE727D" w:rsidRPr="00B40A77">
          <w:rPr>
            <w:rStyle w:val="Hyperlink"/>
            <w:color w:val="000000" w:themeColor="text1"/>
            <w:lang w:val="en-US"/>
          </w:rPr>
          <w:t>B</w:t>
        </w:r>
        <w:r w:rsidR="004103EA" w:rsidRPr="00B40A77">
          <w:rPr>
            <w:rStyle w:val="Hyperlink"/>
            <w:color w:val="000000" w:themeColor="text1"/>
            <w:lang w:val="en-US"/>
          </w:rPr>
          <w:t>ehavio</w:t>
        </w:r>
        <w:r w:rsidR="00720A85" w:rsidRPr="00B40A77">
          <w:rPr>
            <w:rStyle w:val="Hyperlink"/>
            <w:color w:val="000000" w:themeColor="text1"/>
            <w:lang w:val="en-US"/>
          </w:rPr>
          <w:t>u</w:t>
        </w:r>
        <w:r w:rsidR="004103EA" w:rsidRPr="00B40A77">
          <w:rPr>
            <w:rStyle w:val="Hyperlink"/>
            <w:color w:val="000000" w:themeColor="text1"/>
            <w:lang w:val="en-US"/>
          </w:rPr>
          <w:t>r</w:t>
        </w:r>
        <w:r w:rsidRPr="00B40A77">
          <w:rPr>
            <w:rStyle w:val="Hyperlink"/>
            <w:color w:val="000000" w:themeColor="text1"/>
          </w:rPr>
          <w:t xml:space="preserve"> </w:t>
        </w:r>
        <w:r w:rsidR="00FE727D" w:rsidRPr="00B40A77">
          <w:rPr>
            <w:rStyle w:val="Hyperlink"/>
            <w:color w:val="000000" w:themeColor="text1"/>
          </w:rPr>
          <w:t>B</w:t>
        </w:r>
        <w:r w:rsidRPr="00B40A77">
          <w:rPr>
            <w:rStyle w:val="Hyperlink"/>
            <w:color w:val="000000" w:themeColor="text1"/>
          </w:rPr>
          <w:t>ond</w:t>
        </w:r>
      </w:hyperlink>
    </w:p>
    <w:p w14:paraId="2641AF6B" w14:textId="4B5C1B2A" w:rsidR="00854DF3" w:rsidRPr="00B40A77" w:rsidRDefault="00854DF3" w:rsidP="00B90C7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A </w:t>
      </w:r>
      <w:r w:rsidR="00EE4609" w:rsidRPr="00B40A77">
        <w:rPr>
          <w:color w:val="000000" w:themeColor="text1"/>
          <w:lang w:val="en-US"/>
        </w:rPr>
        <w:t xml:space="preserve">guarantee of a </w:t>
      </w:r>
      <w:r w:rsidRPr="00B40A77">
        <w:rPr>
          <w:color w:val="000000" w:themeColor="text1"/>
          <w:lang w:val="en-US"/>
        </w:rPr>
        <w:t xml:space="preserve">bond </w:t>
      </w:r>
      <w:r w:rsidR="00EE4609" w:rsidRPr="00B40A77">
        <w:rPr>
          <w:color w:val="000000" w:themeColor="text1"/>
          <w:lang w:val="en-US"/>
        </w:rPr>
        <w:t>under section</w:t>
      </w:r>
      <w:r w:rsidR="001462AC" w:rsidRPr="00B40A77">
        <w:rPr>
          <w:color w:val="000000" w:themeColor="text1"/>
          <w:lang w:val="en-US"/>
        </w:rPr>
        <w:t> </w:t>
      </w:r>
      <w:r w:rsidR="00EE4609" w:rsidRPr="00B40A77">
        <w:rPr>
          <w:color w:val="000000" w:themeColor="text1"/>
          <w:lang w:val="en-US"/>
        </w:rPr>
        <w:t xml:space="preserve">100 of the Sentencing Act </w:t>
      </w:r>
      <w:r w:rsidRPr="00B40A77">
        <w:rPr>
          <w:color w:val="000000" w:themeColor="text1"/>
          <w:lang w:val="en-US"/>
        </w:rPr>
        <w:t>must be in the prescribed form.</w:t>
      </w:r>
    </w:p>
    <w:p w14:paraId="40F36D9E" w14:textId="7D1A992A" w:rsidR="00854DF3" w:rsidRPr="00B40A77" w:rsidRDefault="00854DF3" w:rsidP="002200BB">
      <w:pPr>
        <w:pStyle w:val="NoteHeader"/>
        <w:keepNext/>
        <w:rPr>
          <w:color w:val="000000" w:themeColor="text1"/>
        </w:rPr>
      </w:pPr>
      <w:r w:rsidRPr="00B40A77">
        <w:rPr>
          <w:color w:val="000000" w:themeColor="text1"/>
        </w:rPr>
        <w:t>Prescribed form—</w:t>
      </w:r>
    </w:p>
    <w:p w14:paraId="55C126C1" w14:textId="373FF7F7" w:rsidR="00854DF3" w:rsidRPr="00B40A77" w:rsidRDefault="00EE4609" w:rsidP="00854DF3">
      <w:pPr>
        <w:pStyle w:val="NoteText"/>
        <w:rPr>
          <w:color w:val="000000" w:themeColor="text1"/>
          <w:u w:val="single"/>
        </w:rPr>
      </w:pPr>
      <w:r w:rsidRPr="00B40A77">
        <w:rPr>
          <w:color w:val="000000" w:themeColor="text1"/>
        </w:rPr>
        <w:t>Form 144</w:t>
      </w:r>
      <w:r w:rsidR="00854DF3" w:rsidRPr="00B40A77">
        <w:rPr>
          <w:color w:val="000000" w:themeColor="text1"/>
        </w:rPr>
        <w:t xml:space="preserve"> </w:t>
      </w:r>
      <w:hyperlink r:id="rId288" w:history="1">
        <w:r w:rsidRPr="00B40A77">
          <w:rPr>
            <w:rStyle w:val="Hyperlink"/>
            <w:color w:val="000000" w:themeColor="text1"/>
            <w:lang w:val="en-US"/>
          </w:rPr>
          <w:t>Guarantee of</w:t>
        </w:r>
        <w:r w:rsidR="00854DF3" w:rsidRPr="00B40A77">
          <w:rPr>
            <w:rStyle w:val="Hyperlink"/>
            <w:color w:val="000000" w:themeColor="text1"/>
          </w:rPr>
          <w:t xml:space="preserve"> </w:t>
        </w:r>
        <w:r w:rsidR="00FE727D" w:rsidRPr="00B40A77">
          <w:rPr>
            <w:rStyle w:val="Hyperlink"/>
            <w:color w:val="000000" w:themeColor="text1"/>
          </w:rPr>
          <w:t>B</w:t>
        </w:r>
        <w:r w:rsidR="00854DF3" w:rsidRPr="00B40A77">
          <w:rPr>
            <w:rStyle w:val="Hyperlink"/>
            <w:color w:val="000000" w:themeColor="text1"/>
          </w:rPr>
          <w:t>ond</w:t>
        </w:r>
      </w:hyperlink>
    </w:p>
    <w:p w14:paraId="35460B53" w14:textId="27114AD0" w:rsidR="00011AD9" w:rsidRPr="00B40A77" w:rsidRDefault="00011AD9" w:rsidP="00011AD9">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A bond or guarantee governed by this rule may be acknowledged by the defendant before a witness who is a judicial officer, a Registrar of the Court, or a Justice of the Peace.</w:t>
      </w:r>
    </w:p>
    <w:p w14:paraId="5132F8EF" w14:textId="7B455F4E" w:rsidR="004B6C0F" w:rsidRPr="00B40A77" w:rsidRDefault="00F76788" w:rsidP="00095C15">
      <w:pPr>
        <w:pStyle w:val="Heading4"/>
        <w:rPr>
          <w:color w:val="000000" w:themeColor="text1"/>
        </w:rPr>
      </w:pPr>
      <w:bookmarkStart w:id="910" w:name="_Toc175239231"/>
      <w:r w:rsidRPr="00B40A77">
        <w:rPr>
          <w:color w:val="000000" w:themeColor="text1"/>
        </w:rPr>
        <w:t>15</w:t>
      </w:r>
      <w:r w:rsidR="00F14A85" w:rsidRPr="00B40A77">
        <w:rPr>
          <w:color w:val="000000" w:themeColor="text1"/>
        </w:rPr>
        <w:t>3</w:t>
      </w:r>
      <w:r w:rsidR="008A59C0" w:rsidRPr="00B40A77">
        <w:rPr>
          <w:color w:val="000000" w:themeColor="text1"/>
        </w:rPr>
        <w:t>.2</w:t>
      </w:r>
      <w:r w:rsidR="004B6C0F" w:rsidRPr="00B40A77">
        <w:rPr>
          <w:color w:val="000000" w:themeColor="text1"/>
        </w:rPr>
        <w:t>—Undertakings</w:t>
      </w:r>
      <w:bookmarkEnd w:id="910"/>
    </w:p>
    <w:p w14:paraId="2B84B806" w14:textId="1759050D" w:rsidR="004B6C0F" w:rsidRPr="00B40A77" w:rsidRDefault="004B6C0F"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DA59FF" w:rsidRPr="00B40A77">
        <w:rPr>
          <w:color w:val="000000" w:themeColor="text1"/>
          <w:lang w:val="en-US"/>
        </w:rPr>
        <w:t xml:space="preserve">If the Court releases </w:t>
      </w:r>
      <w:r w:rsidR="00B6622D" w:rsidRPr="00B40A77">
        <w:rPr>
          <w:color w:val="000000" w:themeColor="text1"/>
          <w:lang w:val="en-US"/>
        </w:rPr>
        <w:t xml:space="preserve">a </w:t>
      </w:r>
      <w:r w:rsidR="00DA59FF" w:rsidRPr="00B40A77">
        <w:rPr>
          <w:color w:val="000000" w:themeColor="text1"/>
          <w:lang w:val="en-US"/>
        </w:rPr>
        <w:t>defendant or youth on a</w:t>
      </w:r>
      <w:r w:rsidRPr="00B40A77">
        <w:rPr>
          <w:color w:val="000000" w:themeColor="text1"/>
          <w:lang w:val="en-US"/>
        </w:rPr>
        <w:t>n undertaking to complete an intervention program under section</w:t>
      </w:r>
      <w:r w:rsidR="001462AC" w:rsidRPr="00B40A77">
        <w:rPr>
          <w:color w:val="000000" w:themeColor="text1"/>
          <w:lang w:val="en-US"/>
        </w:rPr>
        <w:t> </w:t>
      </w:r>
      <w:r w:rsidRPr="00B40A77">
        <w:rPr>
          <w:color w:val="000000" w:themeColor="text1"/>
          <w:lang w:val="en-US"/>
        </w:rPr>
        <w:t>30(3) of the Sentencing Act</w:t>
      </w:r>
      <w:r w:rsidR="00DA59FF" w:rsidRPr="00B40A77">
        <w:rPr>
          <w:color w:val="000000" w:themeColor="text1"/>
          <w:lang w:val="en-US"/>
        </w:rPr>
        <w:t>, an undertaking</w:t>
      </w:r>
      <w:r w:rsidRPr="00B40A77">
        <w:rPr>
          <w:color w:val="000000" w:themeColor="text1"/>
          <w:lang w:val="en-US"/>
        </w:rPr>
        <w:t xml:space="preserve"> must be in the prescribed form.</w:t>
      </w:r>
    </w:p>
    <w:p w14:paraId="1D9497CC" w14:textId="0072CF88" w:rsidR="004B6C0F" w:rsidRPr="00B40A77" w:rsidRDefault="004B6C0F" w:rsidP="00CA2AB7">
      <w:pPr>
        <w:pStyle w:val="NoteHeader"/>
        <w:keepNext/>
        <w:rPr>
          <w:color w:val="000000" w:themeColor="text1"/>
        </w:rPr>
      </w:pPr>
      <w:r w:rsidRPr="00B40A77">
        <w:rPr>
          <w:color w:val="000000" w:themeColor="text1"/>
        </w:rPr>
        <w:t>Prescribed form—</w:t>
      </w:r>
    </w:p>
    <w:p w14:paraId="689029E0" w14:textId="2C188ED5" w:rsidR="004B6C0F" w:rsidRPr="00B40A77" w:rsidRDefault="004B6C0F" w:rsidP="004B6C0F">
      <w:pPr>
        <w:pStyle w:val="NoteText"/>
        <w:rPr>
          <w:color w:val="000000" w:themeColor="text1"/>
        </w:rPr>
      </w:pPr>
      <w:r w:rsidRPr="00B40A77">
        <w:rPr>
          <w:color w:val="000000" w:themeColor="text1"/>
        </w:rPr>
        <w:t xml:space="preserve">Form 143C </w:t>
      </w:r>
      <w:hyperlink r:id="rId289" w:history="1">
        <w:r w:rsidRPr="00B40A77">
          <w:rPr>
            <w:rStyle w:val="Hyperlink"/>
            <w:color w:val="000000" w:themeColor="text1"/>
            <w:lang w:val="en-US"/>
          </w:rPr>
          <w:t xml:space="preserve">Undertaking to </w:t>
        </w:r>
        <w:r w:rsidR="00FE727D" w:rsidRPr="00B40A77">
          <w:rPr>
            <w:rStyle w:val="Hyperlink"/>
            <w:color w:val="000000" w:themeColor="text1"/>
            <w:lang w:val="en-US"/>
          </w:rPr>
          <w:t>C</w:t>
        </w:r>
        <w:r w:rsidRPr="00B40A77">
          <w:rPr>
            <w:rStyle w:val="Hyperlink"/>
            <w:color w:val="000000" w:themeColor="text1"/>
            <w:lang w:val="en-US"/>
          </w:rPr>
          <w:t xml:space="preserve">omplete an </w:t>
        </w:r>
        <w:r w:rsidR="00FE727D" w:rsidRPr="00B40A77">
          <w:rPr>
            <w:rStyle w:val="Hyperlink"/>
            <w:color w:val="000000" w:themeColor="text1"/>
            <w:lang w:val="en-US"/>
          </w:rPr>
          <w:t>I</w:t>
        </w:r>
        <w:r w:rsidRPr="00B40A77">
          <w:rPr>
            <w:rStyle w:val="Hyperlink"/>
            <w:color w:val="000000" w:themeColor="text1"/>
            <w:lang w:val="en-US"/>
          </w:rPr>
          <w:t xml:space="preserve">ntervention </w:t>
        </w:r>
        <w:r w:rsidR="00FE727D" w:rsidRPr="00B40A77">
          <w:rPr>
            <w:rStyle w:val="Hyperlink"/>
            <w:color w:val="000000" w:themeColor="text1"/>
            <w:lang w:val="en-US"/>
          </w:rPr>
          <w:t>P</w:t>
        </w:r>
        <w:r w:rsidRPr="00B40A77">
          <w:rPr>
            <w:rStyle w:val="Hyperlink"/>
            <w:color w:val="000000" w:themeColor="text1"/>
            <w:lang w:val="en-US"/>
          </w:rPr>
          <w:t>rogram</w:t>
        </w:r>
      </w:hyperlink>
    </w:p>
    <w:p w14:paraId="109CB315" w14:textId="04A8639C" w:rsidR="001A1E84" w:rsidRPr="00B40A77" w:rsidRDefault="001A1E84" w:rsidP="00B90C7E">
      <w:pPr>
        <w:pStyle w:val="Hangindent"/>
        <w:keepNext/>
        <w:rPr>
          <w:i/>
          <w:iCs/>
          <w:color w:val="000000" w:themeColor="text1"/>
          <w:sz w:val="24"/>
          <w:szCs w:val="24"/>
          <w:lang w:val="en-US"/>
        </w:rPr>
      </w:pPr>
      <w:r w:rsidRPr="00B40A77">
        <w:rPr>
          <w:i/>
          <w:iCs/>
          <w:color w:val="000000" w:themeColor="text1"/>
          <w:sz w:val="24"/>
          <w:szCs w:val="24"/>
          <w:lang w:val="en-US"/>
        </w:rPr>
        <w:t>Youth Court</w:t>
      </w:r>
    </w:p>
    <w:p w14:paraId="09BF1872" w14:textId="551410F6" w:rsidR="001A1E84" w:rsidRPr="00B40A77" w:rsidRDefault="006D029D"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r>
      <w:r w:rsidR="00DA59FF" w:rsidRPr="00B40A77">
        <w:rPr>
          <w:color w:val="000000" w:themeColor="text1"/>
          <w:lang w:val="en-US"/>
        </w:rPr>
        <w:t xml:space="preserve">If the Court </w:t>
      </w:r>
      <w:r w:rsidR="00DA59FF" w:rsidRPr="00B40A77">
        <w:rPr>
          <w:color w:val="000000" w:themeColor="text1"/>
        </w:rPr>
        <w:t>releases a youth on an undertaking on condition that the guardians of the youth enter into a supplementary undertaking</w:t>
      </w:r>
      <w:r w:rsidR="008C5D92" w:rsidRPr="00B40A77">
        <w:rPr>
          <w:color w:val="000000" w:themeColor="text1"/>
        </w:rPr>
        <w:t xml:space="preserve"> </w:t>
      </w:r>
      <w:r w:rsidR="008C5D92" w:rsidRPr="00B40A77">
        <w:rPr>
          <w:color w:val="000000" w:themeColor="text1"/>
          <w:lang w:val="en-US"/>
        </w:rPr>
        <w:t>under section</w:t>
      </w:r>
      <w:r w:rsidR="001462AC" w:rsidRPr="00B40A77">
        <w:rPr>
          <w:color w:val="000000" w:themeColor="text1"/>
          <w:lang w:val="en-US"/>
        </w:rPr>
        <w:t> </w:t>
      </w:r>
      <w:r w:rsidR="008C5D92" w:rsidRPr="00B40A77">
        <w:rPr>
          <w:color w:val="000000" w:themeColor="text1"/>
          <w:lang w:val="en-US"/>
        </w:rPr>
        <w:t>27 of the Young Offenders Act</w:t>
      </w:r>
      <w:r w:rsidR="00DA59FF" w:rsidRPr="00B40A77">
        <w:rPr>
          <w:color w:val="000000" w:themeColor="text1"/>
        </w:rPr>
        <w:t xml:space="preserve">, </w:t>
      </w:r>
      <w:r w:rsidR="00095C15" w:rsidRPr="00B40A77">
        <w:rPr>
          <w:color w:val="000000" w:themeColor="text1"/>
        </w:rPr>
        <w:t xml:space="preserve">the </w:t>
      </w:r>
      <w:r w:rsidR="00095C15" w:rsidRPr="00B40A77">
        <w:rPr>
          <w:color w:val="000000" w:themeColor="text1"/>
          <w:lang w:val="en-US"/>
        </w:rPr>
        <w:t>und</w:t>
      </w:r>
      <w:r w:rsidR="001A1E84" w:rsidRPr="00B40A77">
        <w:rPr>
          <w:color w:val="000000" w:themeColor="text1"/>
          <w:lang w:val="en-US"/>
        </w:rPr>
        <w:t xml:space="preserve">ertaking </w:t>
      </w:r>
      <w:r w:rsidR="008C5D92" w:rsidRPr="00B40A77">
        <w:rPr>
          <w:color w:val="000000" w:themeColor="text1"/>
          <w:lang w:val="en-US"/>
        </w:rPr>
        <w:t>by the</w:t>
      </w:r>
      <w:r w:rsidR="00616713" w:rsidRPr="00B40A77">
        <w:rPr>
          <w:color w:val="000000" w:themeColor="text1"/>
          <w:lang w:val="en-US"/>
        </w:rPr>
        <w:t xml:space="preserve"> youth and guardians</w:t>
      </w:r>
      <w:r w:rsidR="001A1E84" w:rsidRPr="00B40A77">
        <w:rPr>
          <w:color w:val="000000" w:themeColor="text1"/>
          <w:lang w:val="en-US"/>
        </w:rPr>
        <w:t xml:space="preserve"> must be in the prescribed form.</w:t>
      </w:r>
    </w:p>
    <w:p w14:paraId="0319865D" w14:textId="4F903DD7" w:rsidR="001A1E84" w:rsidRPr="00B40A77" w:rsidRDefault="001A1E84" w:rsidP="00CA2AB7">
      <w:pPr>
        <w:pStyle w:val="NoteHeader"/>
        <w:keepNext/>
        <w:rPr>
          <w:color w:val="000000" w:themeColor="text1"/>
        </w:rPr>
      </w:pPr>
      <w:r w:rsidRPr="00B40A77">
        <w:rPr>
          <w:color w:val="000000" w:themeColor="text1"/>
        </w:rPr>
        <w:t>Prescribed form—</w:t>
      </w:r>
    </w:p>
    <w:p w14:paraId="05445310" w14:textId="452C3B86" w:rsidR="001A1E84" w:rsidRPr="00B40A77" w:rsidRDefault="00616713" w:rsidP="001A1E84">
      <w:pPr>
        <w:pStyle w:val="NoteText"/>
        <w:rPr>
          <w:color w:val="000000" w:themeColor="text1"/>
        </w:rPr>
      </w:pPr>
      <w:r w:rsidRPr="00B40A77">
        <w:rPr>
          <w:color w:val="000000" w:themeColor="text1"/>
        </w:rPr>
        <w:t>Form 143D</w:t>
      </w:r>
      <w:r w:rsidR="001A1E84" w:rsidRPr="00B40A77">
        <w:rPr>
          <w:color w:val="000000" w:themeColor="text1"/>
        </w:rPr>
        <w:t xml:space="preserve"> </w:t>
      </w:r>
      <w:hyperlink r:id="rId290" w:history="1">
        <w:r w:rsidR="001A1E84" w:rsidRPr="00B40A77">
          <w:rPr>
            <w:rStyle w:val="Hyperlink"/>
            <w:color w:val="000000" w:themeColor="text1"/>
            <w:lang w:val="en-US"/>
          </w:rPr>
          <w:t>Undertaking</w:t>
        </w:r>
        <w:r w:rsidR="008C5D92" w:rsidRPr="00B40A77">
          <w:rPr>
            <w:rStyle w:val="Hyperlink"/>
            <w:color w:val="000000" w:themeColor="text1"/>
            <w:lang w:val="en-US"/>
          </w:rPr>
          <w:t>s</w:t>
        </w:r>
        <w:r w:rsidR="001A1E84" w:rsidRPr="00B40A77">
          <w:rPr>
            <w:rStyle w:val="Hyperlink"/>
            <w:color w:val="000000" w:themeColor="text1"/>
            <w:lang w:val="en-US"/>
          </w:rPr>
          <w:t xml:space="preserve"> </w:t>
        </w:r>
        <w:r w:rsidRPr="00B40A77">
          <w:rPr>
            <w:rStyle w:val="Hyperlink"/>
            <w:color w:val="000000" w:themeColor="text1"/>
            <w:lang w:val="en-US"/>
          </w:rPr>
          <w:t xml:space="preserve">by </w:t>
        </w:r>
        <w:r w:rsidR="00FE727D" w:rsidRPr="00B40A77">
          <w:rPr>
            <w:rStyle w:val="Hyperlink"/>
            <w:color w:val="000000" w:themeColor="text1"/>
            <w:lang w:val="en-US"/>
          </w:rPr>
          <w:t>Y</w:t>
        </w:r>
        <w:r w:rsidRPr="00B40A77">
          <w:rPr>
            <w:rStyle w:val="Hyperlink"/>
            <w:color w:val="000000" w:themeColor="text1"/>
            <w:lang w:val="en-US"/>
          </w:rPr>
          <w:t xml:space="preserve">outh and </w:t>
        </w:r>
        <w:r w:rsidR="00FE727D" w:rsidRPr="00B40A77">
          <w:rPr>
            <w:rStyle w:val="Hyperlink"/>
            <w:color w:val="000000" w:themeColor="text1"/>
            <w:lang w:val="en-US"/>
          </w:rPr>
          <w:t>G</w:t>
        </w:r>
        <w:r w:rsidRPr="00B40A77">
          <w:rPr>
            <w:rStyle w:val="Hyperlink"/>
            <w:color w:val="000000" w:themeColor="text1"/>
            <w:lang w:val="en-US"/>
          </w:rPr>
          <w:t>uardian</w:t>
        </w:r>
      </w:hyperlink>
    </w:p>
    <w:p w14:paraId="43C5E0E3" w14:textId="72A049A8" w:rsidR="00C577D0" w:rsidRPr="00B40A77" w:rsidRDefault="0064719D" w:rsidP="00D45D85">
      <w:pPr>
        <w:pStyle w:val="Heading3"/>
        <w:rPr>
          <w:color w:val="000000" w:themeColor="text1"/>
        </w:rPr>
      </w:pPr>
      <w:bookmarkStart w:id="911" w:name="_Toc175239232"/>
      <w:r w:rsidRPr="00B40A77">
        <w:rPr>
          <w:color w:val="000000" w:themeColor="text1"/>
        </w:rPr>
        <w:t xml:space="preserve">Division </w:t>
      </w:r>
      <w:r w:rsidR="00824659" w:rsidRPr="00B40A77">
        <w:rPr>
          <w:color w:val="000000" w:themeColor="text1"/>
        </w:rPr>
        <w:t>4</w:t>
      </w:r>
      <w:r w:rsidR="00C577D0" w:rsidRPr="00B40A77">
        <w:rPr>
          <w:color w:val="000000" w:themeColor="text1"/>
        </w:rPr>
        <w:t>—S</w:t>
      </w:r>
      <w:r w:rsidR="00CF24C4" w:rsidRPr="00B40A77">
        <w:rPr>
          <w:color w:val="000000" w:themeColor="text1"/>
        </w:rPr>
        <w:t>pecific s</w:t>
      </w:r>
      <w:r w:rsidR="00C577D0" w:rsidRPr="00B40A77">
        <w:rPr>
          <w:color w:val="000000" w:themeColor="text1"/>
        </w:rPr>
        <w:t>entencing orders</w:t>
      </w:r>
      <w:bookmarkEnd w:id="911"/>
    </w:p>
    <w:p w14:paraId="44711EFD" w14:textId="570D856F" w:rsidR="00844B32" w:rsidRPr="00B40A77" w:rsidRDefault="00B15B83" w:rsidP="00C70726">
      <w:pPr>
        <w:pStyle w:val="Heading4"/>
        <w:rPr>
          <w:color w:val="000000" w:themeColor="text1"/>
        </w:rPr>
      </w:pPr>
      <w:bookmarkStart w:id="912" w:name="_Toc175239233"/>
      <w:r w:rsidRPr="00B40A77">
        <w:rPr>
          <w:color w:val="000000" w:themeColor="text1"/>
        </w:rPr>
        <w:t>15</w:t>
      </w:r>
      <w:r w:rsidR="00F14A85" w:rsidRPr="00B40A77">
        <w:rPr>
          <w:color w:val="000000" w:themeColor="text1"/>
        </w:rPr>
        <w:t>4</w:t>
      </w:r>
      <w:r w:rsidR="00844B32" w:rsidRPr="00B40A77">
        <w:rPr>
          <w:color w:val="000000" w:themeColor="text1"/>
        </w:rPr>
        <w:t>.1—Community service order</w:t>
      </w:r>
      <w:bookmarkEnd w:id="912"/>
    </w:p>
    <w:p w14:paraId="42BEA687" w14:textId="4CF45BB8" w:rsidR="00844B32" w:rsidRPr="00B40A77" w:rsidRDefault="00844B32"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8C5D92" w:rsidRPr="00B40A77">
        <w:rPr>
          <w:color w:val="000000" w:themeColor="text1"/>
          <w:lang w:val="en-US"/>
        </w:rPr>
        <w:t xml:space="preserve">If the Court imposes </w:t>
      </w:r>
      <w:r w:rsidRPr="00B40A77">
        <w:rPr>
          <w:color w:val="000000" w:themeColor="text1"/>
          <w:lang w:val="en-US"/>
        </w:rPr>
        <w:t xml:space="preserve">a </w:t>
      </w:r>
      <w:hyperlink w:anchor="_2.1—Definitions" w:history="1">
        <w:r w:rsidR="00596ADA" w:rsidRPr="00B40A77">
          <w:rPr>
            <w:rStyle w:val="Hyperlink"/>
            <w:color w:val="000000" w:themeColor="text1"/>
          </w:rPr>
          <w:t>sentence</w:t>
        </w:r>
      </w:hyperlink>
      <w:r w:rsidR="008C5D92" w:rsidRPr="00B40A77">
        <w:rPr>
          <w:color w:val="000000" w:themeColor="text1"/>
          <w:lang w:val="en-US"/>
        </w:rPr>
        <w:t xml:space="preserve"> of </w:t>
      </w:r>
      <w:r w:rsidRPr="00B40A77">
        <w:rPr>
          <w:color w:val="000000" w:themeColor="text1"/>
          <w:lang w:val="en-US"/>
        </w:rPr>
        <w:t>community service under section</w:t>
      </w:r>
      <w:r w:rsidR="001462AC" w:rsidRPr="00B40A77">
        <w:rPr>
          <w:color w:val="000000" w:themeColor="text1"/>
          <w:lang w:val="en-US"/>
        </w:rPr>
        <w:t> </w:t>
      </w:r>
      <w:r w:rsidRPr="00B40A77">
        <w:rPr>
          <w:color w:val="000000" w:themeColor="text1"/>
          <w:lang w:val="en-US"/>
        </w:rPr>
        <w:t xml:space="preserve">25 of the Sentencing Act, a formal </w:t>
      </w:r>
      <w:r w:rsidR="00B15B83" w:rsidRPr="00B40A77">
        <w:rPr>
          <w:color w:val="000000" w:themeColor="text1"/>
          <w:lang w:val="en-US"/>
        </w:rPr>
        <w:t xml:space="preserve">community service </w:t>
      </w:r>
      <w:r w:rsidRPr="00B40A77">
        <w:rPr>
          <w:color w:val="000000" w:themeColor="text1"/>
          <w:lang w:val="en-US"/>
        </w:rPr>
        <w:t xml:space="preserve">order </w:t>
      </w:r>
      <w:r w:rsidR="00B15B83" w:rsidRPr="00B40A77">
        <w:rPr>
          <w:color w:val="000000" w:themeColor="text1"/>
          <w:lang w:val="en-US"/>
        </w:rPr>
        <w:t xml:space="preserve">and acknowledgement </w:t>
      </w:r>
      <w:r w:rsidRPr="00B40A77">
        <w:rPr>
          <w:color w:val="000000" w:themeColor="text1"/>
          <w:lang w:val="en-US"/>
        </w:rPr>
        <w:t xml:space="preserve">in the prescribed form must be issued and </w:t>
      </w:r>
      <w:r w:rsidR="008C5D92" w:rsidRPr="00B40A77">
        <w:rPr>
          <w:color w:val="000000" w:themeColor="text1"/>
          <w:lang w:val="en-US"/>
        </w:rPr>
        <w:t>given to</w:t>
      </w:r>
      <w:r w:rsidRPr="00B40A77">
        <w:rPr>
          <w:color w:val="000000" w:themeColor="text1"/>
          <w:lang w:val="en-US"/>
        </w:rPr>
        <w:t xml:space="preserve"> the defendant or youth.</w:t>
      </w:r>
    </w:p>
    <w:p w14:paraId="270761FC" w14:textId="04DE49F0" w:rsidR="00844B32" w:rsidRPr="00B40A77" w:rsidRDefault="00844B32" w:rsidP="00CA2AB7">
      <w:pPr>
        <w:pStyle w:val="NoteHeader"/>
        <w:keepNext/>
        <w:rPr>
          <w:color w:val="000000" w:themeColor="text1"/>
        </w:rPr>
      </w:pPr>
      <w:r w:rsidRPr="00B40A77">
        <w:rPr>
          <w:color w:val="000000" w:themeColor="text1"/>
        </w:rPr>
        <w:t>Prescribed form—</w:t>
      </w:r>
    </w:p>
    <w:p w14:paraId="6146CB53" w14:textId="556F8C17" w:rsidR="00844B32" w:rsidRPr="00B40A77" w:rsidRDefault="008C5D92" w:rsidP="00844B32">
      <w:pPr>
        <w:pStyle w:val="NoteText"/>
        <w:rPr>
          <w:color w:val="000000" w:themeColor="text1"/>
        </w:rPr>
      </w:pPr>
      <w:r w:rsidRPr="00B40A77">
        <w:rPr>
          <w:color w:val="000000" w:themeColor="text1"/>
        </w:rPr>
        <w:t>Form 142G</w:t>
      </w:r>
      <w:r w:rsidR="00844B32" w:rsidRPr="00B40A77">
        <w:rPr>
          <w:color w:val="000000" w:themeColor="text1"/>
        </w:rPr>
        <w:t xml:space="preserve"> </w:t>
      </w:r>
      <w:hyperlink r:id="rId291" w:history="1">
        <w:r w:rsidRPr="00B40A77">
          <w:rPr>
            <w:rStyle w:val="Hyperlink"/>
            <w:color w:val="000000" w:themeColor="text1"/>
            <w:lang w:val="en-US"/>
          </w:rPr>
          <w:t xml:space="preserve">Community Service </w:t>
        </w:r>
        <w:r w:rsidR="00844B32" w:rsidRPr="00B40A77">
          <w:rPr>
            <w:rStyle w:val="Hyperlink"/>
            <w:color w:val="000000" w:themeColor="text1"/>
          </w:rPr>
          <w:t>Order</w:t>
        </w:r>
        <w:r w:rsidR="006145C9" w:rsidRPr="00B40A77">
          <w:rPr>
            <w:rStyle w:val="Hyperlink"/>
            <w:color w:val="000000" w:themeColor="text1"/>
          </w:rPr>
          <w:t xml:space="preserve"> </w:t>
        </w:r>
        <w:r w:rsidR="006145C9" w:rsidRPr="00B40A77">
          <w:rPr>
            <w:rStyle w:val="Hyperlink"/>
            <w:color w:val="000000" w:themeColor="text1"/>
            <w:lang w:val="en-US"/>
          </w:rPr>
          <w:t>and Acknowledgement</w:t>
        </w:r>
      </w:hyperlink>
    </w:p>
    <w:p w14:paraId="23DADEC8" w14:textId="62CC724A" w:rsidR="00844B32" w:rsidRPr="00B40A77" w:rsidRDefault="00844B32" w:rsidP="00844B32">
      <w:pPr>
        <w:pStyle w:val="Hangindent"/>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A </w:t>
      </w:r>
      <w:r w:rsidR="008C5D92" w:rsidRPr="00B40A77">
        <w:rPr>
          <w:color w:val="000000" w:themeColor="text1"/>
          <w:lang w:val="en-US"/>
        </w:rPr>
        <w:t xml:space="preserve">community service order and acknowledgement </w:t>
      </w:r>
      <w:r w:rsidRPr="00B40A77">
        <w:rPr>
          <w:color w:val="000000" w:themeColor="text1"/>
          <w:lang w:val="en-US"/>
        </w:rPr>
        <w:t>m</w:t>
      </w:r>
      <w:r w:rsidR="008C2C27" w:rsidRPr="00B40A77">
        <w:rPr>
          <w:color w:val="000000" w:themeColor="text1"/>
          <w:lang w:val="en-US"/>
        </w:rPr>
        <w:t>ay</w:t>
      </w:r>
      <w:r w:rsidRPr="00B40A77">
        <w:rPr>
          <w:color w:val="000000" w:themeColor="text1"/>
          <w:lang w:val="en-US"/>
        </w:rPr>
        <w:t xml:space="preserve"> be acknowledged by the defendant or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002F7FE6" w:rsidRPr="00B40A77">
        <w:rPr>
          <w:color w:val="000000" w:themeColor="text1"/>
          <w:u w:val="single"/>
          <w:lang w:val="en-US"/>
        </w:rPr>
        <w:t>Registrar</w:t>
      </w:r>
      <w:r w:rsidR="002F7FE6" w:rsidRPr="00B40A77">
        <w:rPr>
          <w:color w:val="000000" w:themeColor="text1"/>
          <w:lang w:val="en-US"/>
        </w:rPr>
        <w:t xml:space="preserve"> </w:t>
      </w:r>
      <w:r w:rsidRPr="00B40A77">
        <w:rPr>
          <w:color w:val="000000" w:themeColor="text1"/>
          <w:lang w:val="en-US"/>
        </w:rPr>
        <w:t>of the Court, or a Justice of the Peace.</w:t>
      </w:r>
    </w:p>
    <w:p w14:paraId="208CA5E1" w14:textId="68668EBE" w:rsidR="001625FD" w:rsidRPr="00B40A77" w:rsidRDefault="00F76788" w:rsidP="001625FD">
      <w:pPr>
        <w:pStyle w:val="Heading4"/>
        <w:rPr>
          <w:color w:val="000000" w:themeColor="text1"/>
        </w:rPr>
      </w:pPr>
      <w:bookmarkStart w:id="913" w:name="_Toc175239234"/>
      <w:r w:rsidRPr="00B40A77">
        <w:rPr>
          <w:color w:val="000000" w:themeColor="text1"/>
        </w:rPr>
        <w:t>15</w:t>
      </w:r>
      <w:r w:rsidR="00F14A85" w:rsidRPr="00B40A77">
        <w:rPr>
          <w:color w:val="000000" w:themeColor="text1"/>
        </w:rPr>
        <w:t>4</w:t>
      </w:r>
      <w:r w:rsidR="001625FD" w:rsidRPr="00B40A77">
        <w:rPr>
          <w:color w:val="000000" w:themeColor="text1"/>
        </w:rPr>
        <w:t>.2—Firearms prohibition order</w:t>
      </w:r>
      <w:bookmarkEnd w:id="913"/>
    </w:p>
    <w:p w14:paraId="4EC46BCC" w14:textId="580EE023" w:rsidR="001625FD" w:rsidRPr="00B40A77" w:rsidRDefault="001625FD" w:rsidP="001625FD">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 if</w:t>
      </w:r>
      <w:r w:rsidRPr="00B40A77">
        <w:rPr>
          <w:color w:val="000000" w:themeColor="text1"/>
        </w:rPr>
        <w:t xml:space="preserve"> </w:t>
      </w:r>
      <w:r w:rsidRPr="00B40A77">
        <w:rPr>
          <w:color w:val="000000" w:themeColor="text1"/>
          <w:lang w:val="en-US"/>
        </w:rPr>
        <w:t xml:space="preserve">the Court makes an order </w:t>
      </w:r>
      <w:r w:rsidR="009A0FD8" w:rsidRPr="00B40A77">
        <w:rPr>
          <w:color w:val="000000" w:themeColor="text1"/>
          <w:lang w:val="en-US"/>
        </w:rPr>
        <w:t xml:space="preserve">after a finding of guilt </w:t>
      </w:r>
      <w:r w:rsidRPr="00B40A77">
        <w:rPr>
          <w:color w:val="000000" w:themeColor="text1"/>
          <w:lang w:val="en-US"/>
        </w:rPr>
        <w:t xml:space="preserve">that a </w:t>
      </w:r>
      <w:r w:rsidRPr="00B40A77">
        <w:rPr>
          <w:color w:val="000000" w:themeColor="text1"/>
        </w:rPr>
        <w:t xml:space="preserve">defendant or youth be subject to a </w:t>
      </w:r>
      <w:r w:rsidRPr="00B40A77">
        <w:rPr>
          <w:color w:val="000000" w:themeColor="text1"/>
          <w:lang w:val="en-US"/>
        </w:rPr>
        <w:t xml:space="preserve">firearms prohibition order </w:t>
      </w:r>
      <w:r w:rsidRPr="00B40A77">
        <w:rPr>
          <w:color w:val="000000" w:themeColor="text1"/>
        </w:rPr>
        <w:t>until further order</w:t>
      </w:r>
      <w:r w:rsidRPr="00B40A77">
        <w:rPr>
          <w:color w:val="000000" w:themeColor="text1"/>
          <w:lang w:val="en-US"/>
        </w:rPr>
        <w:t xml:space="preserve"> under section</w:t>
      </w:r>
      <w:r w:rsidR="001462AC" w:rsidRPr="00B40A77">
        <w:rPr>
          <w:color w:val="000000" w:themeColor="text1"/>
          <w:lang w:val="en-US"/>
        </w:rPr>
        <w:t> </w:t>
      </w:r>
      <w:r w:rsidRPr="00B40A77">
        <w:rPr>
          <w:color w:val="000000" w:themeColor="text1"/>
          <w:lang w:val="en-US"/>
        </w:rPr>
        <w:t xml:space="preserve">66(1) of the </w:t>
      </w:r>
      <w:r w:rsidRPr="00B40A77">
        <w:rPr>
          <w:i/>
          <w:color w:val="000000" w:themeColor="text1"/>
          <w:lang w:val="en-US"/>
        </w:rPr>
        <w:t>Firearms Act 2015</w:t>
      </w:r>
      <w:r w:rsidRPr="00B40A77">
        <w:rPr>
          <w:color w:val="000000" w:themeColor="text1"/>
          <w:lang w:val="en-US"/>
        </w:rPr>
        <w:t>.</w:t>
      </w:r>
    </w:p>
    <w:p w14:paraId="606860C0" w14:textId="5EFEA3B2" w:rsidR="001625FD" w:rsidRPr="00B40A77" w:rsidRDefault="001625FD"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written record of an order that a </w:t>
      </w:r>
      <w:r w:rsidRPr="00B40A77">
        <w:rPr>
          <w:color w:val="000000" w:themeColor="text1"/>
        </w:rPr>
        <w:t xml:space="preserve">defendant or youth be subject to a </w:t>
      </w:r>
      <w:r w:rsidRPr="00B40A77">
        <w:rPr>
          <w:color w:val="000000" w:themeColor="text1"/>
          <w:lang w:val="en-US"/>
        </w:rPr>
        <w:t>firearms prohibition order must be in the prescribed form.</w:t>
      </w:r>
    </w:p>
    <w:p w14:paraId="1F549851" w14:textId="24FFD014" w:rsidR="001625FD" w:rsidRPr="00B40A77" w:rsidRDefault="001625FD" w:rsidP="00CA2AB7">
      <w:pPr>
        <w:pStyle w:val="NoteHeader"/>
        <w:keepNext/>
        <w:rPr>
          <w:color w:val="000000" w:themeColor="text1"/>
        </w:rPr>
      </w:pPr>
      <w:r w:rsidRPr="00B40A77">
        <w:rPr>
          <w:color w:val="000000" w:themeColor="text1"/>
        </w:rPr>
        <w:t>Prescribed form—</w:t>
      </w:r>
    </w:p>
    <w:p w14:paraId="0B642ADA" w14:textId="335E3DED" w:rsidR="001625FD" w:rsidRPr="00B40A77" w:rsidRDefault="001625FD" w:rsidP="001625FD">
      <w:pPr>
        <w:pStyle w:val="NoteText"/>
        <w:rPr>
          <w:color w:val="000000" w:themeColor="text1"/>
        </w:rPr>
      </w:pPr>
      <w:r w:rsidRPr="00B40A77">
        <w:rPr>
          <w:color w:val="000000" w:themeColor="text1"/>
        </w:rPr>
        <w:t xml:space="preserve">Form </w:t>
      </w:r>
      <w:r w:rsidR="00DA1D78" w:rsidRPr="00B40A77">
        <w:rPr>
          <w:color w:val="000000" w:themeColor="text1"/>
        </w:rPr>
        <w:t>141</w:t>
      </w:r>
      <w:r w:rsidRPr="00B40A77">
        <w:rPr>
          <w:color w:val="000000" w:themeColor="text1"/>
        </w:rPr>
        <w:t xml:space="preserve"> </w:t>
      </w:r>
      <w:hyperlink r:id="rId292" w:history="1">
        <w:r w:rsidRPr="00B40A77">
          <w:rPr>
            <w:rStyle w:val="Hyperlink"/>
            <w:color w:val="000000" w:themeColor="text1"/>
          </w:rPr>
          <w:t>Record of Outcome</w:t>
        </w:r>
      </w:hyperlink>
      <w:r w:rsidRPr="00B40A77">
        <w:rPr>
          <w:color w:val="000000" w:themeColor="text1"/>
        </w:rPr>
        <w:t xml:space="preserve"> </w:t>
      </w:r>
    </w:p>
    <w:p w14:paraId="74561476" w14:textId="417A7255" w:rsidR="001625FD" w:rsidRPr="00B40A77" w:rsidRDefault="001625FD" w:rsidP="00B90C7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r>
      <w:r w:rsidR="00D441A0"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D441A0" w:rsidRPr="00B40A77">
        <w:rPr>
          <w:color w:val="000000" w:themeColor="text1"/>
          <w:lang w:val="en-US"/>
        </w:rPr>
        <w:t xml:space="preserve"> must cause a</w:t>
      </w:r>
      <w:r w:rsidRPr="00B40A77">
        <w:rPr>
          <w:color w:val="000000" w:themeColor="text1"/>
          <w:lang w:val="en-US"/>
        </w:rPr>
        <w:t xml:space="preserve"> formal order in the prescribed form </w:t>
      </w:r>
      <w:r w:rsidR="00D441A0" w:rsidRPr="00B40A77">
        <w:rPr>
          <w:color w:val="000000" w:themeColor="text1"/>
          <w:lang w:val="en-US"/>
        </w:rPr>
        <w:t xml:space="preserve">to </w:t>
      </w:r>
      <w:r w:rsidRPr="00B40A77">
        <w:rPr>
          <w:color w:val="000000" w:themeColor="text1"/>
          <w:lang w:val="en-US"/>
        </w:rPr>
        <w:t>be issued and served on the defendant or youth.</w:t>
      </w:r>
    </w:p>
    <w:p w14:paraId="255BD9BF" w14:textId="4B6962CB" w:rsidR="001625FD" w:rsidRPr="00B40A77" w:rsidRDefault="001625FD" w:rsidP="00CA2AB7">
      <w:pPr>
        <w:pStyle w:val="NoteHeader"/>
        <w:keepNext/>
        <w:rPr>
          <w:color w:val="000000" w:themeColor="text1"/>
        </w:rPr>
      </w:pPr>
      <w:r w:rsidRPr="00B40A77">
        <w:rPr>
          <w:color w:val="000000" w:themeColor="text1"/>
        </w:rPr>
        <w:t>Prescribed form—</w:t>
      </w:r>
    </w:p>
    <w:p w14:paraId="4FBD36FF" w14:textId="3E1EA039" w:rsidR="001625FD" w:rsidRPr="00B40A77" w:rsidRDefault="001625FD" w:rsidP="001625FD">
      <w:pPr>
        <w:pStyle w:val="NoteText"/>
        <w:rPr>
          <w:color w:val="000000" w:themeColor="text1"/>
        </w:rPr>
      </w:pPr>
      <w:r w:rsidRPr="00B40A77">
        <w:rPr>
          <w:color w:val="000000" w:themeColor="text1"/>
        </w:rPr>
        <w:t>Form 1</w:t>
      </w:r>
      <w:r w:rsidR="00DA1D78" w:rsidRPr="00B40A77">
        <w:rPr>
          <w:color w:val="000000" w:themeColor="text1"/>
        </w:rPr>
        <w:t>42H</w:t>
      </w:r>
      <w:r w:rsidRPr="00B40A77">
        <w:rPr>
          <w:color w:val="000000" w:themeColor="text1"/>
        </w:rPr>
        <w:t xml:space="preserve"> </w:t>
      </w:r>
      <w:r w:rsidRPr="00B40A77">
        <w:rPr>
          <w:color w:val="000000" w:themeColor="text1"/>
          <w:u w:val="single"/>
        </w:rPr>
        <w:t>Firearms Order</w:t>
      </w:r>
      <w:r w:rsidR="00FE727D" w:rsidRPr="00B40A77">
        <w:rPr>
          <w:color w:val="000000" w:themeColor="text1"/>
          <w:u w:val="single"/>
        </w:rPr>
        <w:t xml:space="preserve"> and Acknowledgement</w:t>
      </w:r>
    </w:p>
    <w:p w14:paraId="7D61F3DF" w14:textId="1599E591" w:rsidR="001625FD" w:rsidRPr="00B40A77" w:rsidRDefault="001625FD" w:rsidP="001625FD">
      <w:pPr>
        <w:pStyle w:val="Hangindent"/>
        <w:rPr>
          <w:color w:val="000000" w:themeColor="text1"/>
          <w:lang w:val="en-US"/>
        </w:rPr>
      </w:pPr>
      <w:r w:rsidRPr="00B40A77">
        <w:rPr>
          <w:color w:val="000000" w:themeColor="text1"/>
          <w:lang w:val="en-US"/>
        </w:rPr>
        <w:t>(4)</w:t>
      </w:r>
      <w:r w:rsidRPr="00B40A77">
        <w:rPr>
          <w:color w:val="000000" w:themeColor="text1"/>
          <w:lang w:val="en-US"/>
        </w:rPr>
        <w:tab/>
        <w:t>A firearms prohibition order m</w:t>
      </w:r>
      <w:r w:rsidR="008C2C27" w:rsidRPr="00B40A77">
        <w:rPr>
          <w:color w:val="000000" w:themeColor="text1"/>
          <w:lang w:val="en-US"/>
        </w:rPr>
        <w:t>ay</w:t>
      </w:r>
      <w:r w:rsidRPr="00B40A77">
        <w:rPr>
          <w:color w:val="000000" w:themeColor="text1"/>
          <w:lang w:val="en-US"/>
        </w:rPr>
        <w:t xml:space="preserve"> be acknowledged by the defendant or youth before a witness who is a </w:t>
      </w:r>
      <w:r w:rsidR="004C0256" w:rsidRPr="00B40A77">
        <w:rPr>
          <w:color w:val="000000" w:themeColor="text1"/>
          <w:lang w:val="en-US"/>
        </w:rPr>
        <w:t>j</w:t>
      </w:r>
      <w:r w:rsidRPr="00B40A77">
        <w:rPr>
          <w:color w:val="000000" w:themeColor="text1"/>
          <w:lang w:val="en-US"/>
        </w:rPr>
        <w:t xml:space="preserve">udicial </w:t>
      </w:r>
      <w:r w:rsidR="004C0256" w:rsidRPr="00B40A77">
        <w:rPr>
          <w:color w:val="000000" w:themeColor="text1"/>
          <w:lang w:val="en-US"/>
        </w:rPr>
        <w:t>o</w:t>
      </w:r>
      <w:r w:rsidRPr="00B40A77">
        <w:rPr>
          <w:color w:val="000000" w:themeColor="text1"/>
          <w:lang w:val="en-US"/>
        </w:rPr>
        <w:t xml:space="preserve">fficer, </w:t>
      </w:r>
      <w:r w:rsidR="00D213C0" w:rsidRPr="00B40A77">
        <w:rPr>
          <w:color w:val="000000" w:themeColor="text1"/>
          <w:lang w:val="en-US"/>
        </w:rPr>
        <w:t xml:space="preserve">a </w:t>
      </w:r>
      <w:r w:rsidRPr="00B40A77">
        <w:rPr>
          <w:color w:val="000000" w:themeColor="text1"/>
          <w:u w:val="single"/>
          <w:lang w:val="en-US"/>
        </w:rPr>
        <w:t>Registrar</w:t>
      </w:r>
      <w:r w:rsidRPr="00B40A77">
        <w:rPr>
          <w:color w:val="000000" w:themeColor="text1"/>
          <w:lang w:val="en-US"/>
        </w:rPr>
        <w:t xml:space="preserve"> of the Court, or a Justice of the Peace.</w:t>
      </w:r>
    </w:p>
    <w:p w14:paraId="31D5B5A9" w14:textId="1180FA6D" w:rsidR="001625FD" w:rsidRPr="00B40A77" w:rsidRDefault="001625FD" w:rsidP="00B90C7E">
      <w:pPr>
        <w:pStyle w:val="Hangindent"/>
        <w:keepNext/>
        <w:rPr>
          <w:color w:val="000000" w:themeColor="text1"/>
          <w:lang w:val="en-US"/>
        </w:rPr>
      </w:pPr>
      <w:r w:rsidRPr="00B40A77">
        <w:rPr>
          <w:color w:val="000000" w:themeColor="text1"/>
          <w:lang w:val="en-US"/>
        </w:rPr>
        <w:t>(5)</w:t>
      </w:r>
      <w:r w:rsidRPr="00B40A77">
        <w:rPr>
          <w:color w:val="000000" w:themeColor="text1"/>
          <w:lang w:val="en-US"/>
        </w:rPr>
        <w:tab/>
      </w:r>
      <w:r w:rsidR="002F7FE6"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2F7FE6" w:rsidRPr="00B40A77">
        <w:rPr>
          <w:color w:val="000000" w:themeColor="text1"/>
          <w:lang w:val="en-US"/>
        </w:rPr>
        <w:t xml:space="preserve"> </w:t>
      </w:r>
      <w:r w:rsidRPr="00B40A77">
        <w:rPr>
          <w:color w:val="000000" w:themeColor="text1"/>
          <w:lang w:val="en-US"/>
        </w:rPr>
        <w:t xml:space="preserve">must </w:t>
      </w:r>
      <w:r w:rsidR="00D441A0" w:rsidRPr="00B40A77">
        <w:rPr>
          <w:color w:val="000000" w:themeColor="text1"/>
          <w:lang w:val="en-US"/>
        </w:rPr>
        <w:t xml:space="preserve">cause </w:t>
      </w:r>
      <w:r w:rsidRPr="00B40A77">
        <w:rPr>
          <w:color w:val="000000" w:themeColor="text1"/>
          <w:lang w:val="en-US"/>
        </w:rPr>
        <w:t xml:space="preserve">the Registrar of Firearms </w:t>
      </w:r>
      <w:r w:rsidR="00D441A0" w:rsidRPr="00B40A77">
        <w:rPr>
          <w:color w:val="000000" w:themeColor="text1"/>
          <w:lang w:val="en-US"/>
        </w:rPr>
        <w:t xml:space="preserve">to be notified </w:t>
      </w:r>
      <w:r w:rsidRPr="00B40A77">
        <w:rPr>
          <w:color w:val="000000" w:themeColor="text1"/>
          <w:lang w:val="en-US"/>
        </w:rPr>
        <w:t>of the order by servi</w:t>
      </w:r>
      <w:r w:rsidR="00D441A0" w:rsidRPr="00B40A77">
        <w:rPr>
          <w:color w:val="000000" w:themeColor="text1"/>
          <w:lang w:val="en-US"/>
        </w:rPr>
        <w:t>ce of</w:t>
      </w:r>
      <w:r w:rsidRPr="00B40A77">
        <w:rPr>
          <w:color w:val="000000" w:themeColor="text1"/>
          <w:lang w:val="en-US"/>
        </w:rPr>
        <w:t xml:space="preserve"> the order electronically on the Registrar of Firearms as soon as practicable.</w:t>
      </w:r>
    </w:p>
    <w:p w14:paraId="62429518" w14:textId="6F51CDC0" w:rsidR="00576B39" w:rsidRPr="00B40A77" w:rsidRDefault="00576B39" w:rsidP="004E3D0F">
      <w:pPr>
        <w:pStyle w:val="NoteHeader"/>
        <w:keepNext/>
        <w:rPr>
          <w:color w:val="000000" w:themeColor="text1"/>
        </w:rPr>
      </w:pPr>
      <w:r w:rsidRPr="00B40A77">
        <w:rPr>
          <w:color w:val="000000" w:themeColor="text1"/>
        </w:rPr>
        <w:t>Note—</w:t>
      </w:r>
    </w:p>
    <w:p w14:paraId="2F5EB32E" w14:textId="77777777" w:rsidR="00576B39" w:rsidRPr="00B40A77" w:rsidRDefault="00576B39" w:rsidP="00576B39">
      <w:pPr>
        <w:pStyle w:val="NoteText"/>
        <w:rPr>
          <w:color w:val="000000" w:themeColor="text1"/>
        </w:rPr>
      </w:pPr>
      <w:r w:rsidRPr="00B40A77">
        <w:rPr>
          <w:color w:val="000000" w:themeColor="text1"/>
        </w:rPr>
        <w:t xml:space="preserve">Section 66(4) </w:t>
      </w:r>
      <w:r w:rsidRPr="00B40A77">
        <w:rPr>
          <w:color w:val="000000" w:themeColor="text1"/>
          <w:lang w:val="en-US"/>
        </w:rPr>
        <w:t xml:space="preserve">of the </w:t>
      </w:r>
      <w:r w:rsidRPr="00B40A77">
        <w:rPr>
          <w:i/>
          <w:color w:val="000000" w:themeColor="text1"/>
          <w:lang w:val="en-US"/>
        </w:rPr>
        <w:t xml:space="preserve">Firearms Act 2015 </w:t>
      </w:r>
      <w:r w:rsidRPr="00B40A77">
        <w:rPr>
          <w:color w:val="000000" w:themeColor="text1"/>
        </w:rPr>
        <w:t>requires the Registrar to notify the Registrar of Firearms of the details of the order.</w:t>
      </w:r>
    </w:p>
    <w:p w14:paraId="547FF6B5" w14:textId="37F5837F" w:rsidR="00CF24C4" w:rsidRPr="00B40A77" w:rsidRDefault="00F76788" w:rsidP="00D513E9">
      <w:pPr>
        <w:pStyle w:val="Heading4"/>
        <w:rPr>
          <w:color w:val="000000" w:themeColor="text1"/>
        </w:rPr>
      </w:pPr>
      <w:bookmarkStart w:id="914" w:name="_Toc175239235"/>
      <w:r w:rsidRPr="00B40A77">
        <w:rPr>
          <w:color w:val="000000" w:themeColor="text1"/>
        </w:rPr>
        <w:t>15</w:t>
      </w:r>
      <w:r w:rsidR="00F14A85" w:rsidRPr="00B40A77">
        <w:rPr>
          <w:color w:val="000000" w:themeColor="text1"/>
        </w:rPr>
        <w:t>4</w:t>
      </w:r>
      <w:r w:rsidR="00CF24C4" w:rsidRPr="00B40A77">
        <w:rPr>
          <w:color w:val="000000" w:themeColor="text1"/>
        </w:rPr>
        <w:t>.3—</w:t>
      </w:r>
      <w:r w:rsidR="008B35C6" w:rsidRPr="00B40A77">
        <w:rPr>
          <w:color w:val="000000" w:themeColor="text1"/>
        </w:rPr>
        <w:t>Protection</w:t>
      </w:r>
      <w:r w:rsidR="00CF24C4" w:rsidRPr="00B40A77">
        <w:rPr>
          <w:color w:val="000000" w:themeColor="text1"/>
        </w:rPr>
        <w:t xml:space="preserve"> order</w:t>
      </w:r>
      <w:r w:rsidR="00AA3617" w:rsidRPr="00B40A77">
        <w:rPr>
          <w:color w:val="000000" w:themeColor="text1"/>
        </w:rPr>
        <w:t>s</w:t>
      </w:r>
      <w:bookmarkEnd w:id="914"/>
    </w:p>
    <w:p w14:paraId="4C285AE4" w14:textId="51C0E010" w:rsidR="00CF24C4" w:rsidRPr="00B40A77" w:rsidRDefault="00CF24C4"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the Court makes </w:t>
      </w:r>
      <w:r w:rsidR="008B35C6" w:rsidRPr="00B40A77">
        <w:rPr>
          <w:color w:val="000000" w:themeColor="text1"/>
          <w:lang w:val="en-US"/>
        </w:rPr>
        <w:t xml:space="preserve">an intervention </w:t>
      </w:r>
      <w:r w:rsidRPr="00B40A77">
        <w:rPr>
          <w:color w:val="000000" w:themeColor="text1"/>
          <w:lang w:val="en-US"/>
        </w:rPr>
        <w:t>order under section</w:t>
      </w:r>
      <w:r w:rsidR="001462AC" w:rsidRPr="00B40A77">
        <w:rPr>
          <w:color w:val="000000" w:themeColor="text1"/>
          <w:lang w:val="en-US"/>
        </w:rPr>
        <w:t> </w:t>
      </w:r>
      <w:r w:rsidRPr="00B40A77">
        <w:rPr>
          <w:color w:val="000000" w:themeColor="text1"/>
          <w:lang w:val="en-US"/>
        </w:rPr>
        <w:t xml:space="preserve">28 of the Sentencing Act, a formal </w:t>
      </w:r>
      <w:r w:rsidR="00B15B83" w:rsidRPr="00B40A77">
        <w:rPr>
          <w:color w:val="000000" w:themeColor="text1"/>
          <w:lang w:val="en-US"/>
        </w:rPr>
        <w:t xml:space="preserve">intervention </w:t>
      </w:r>
      <w:r w:rsidRPr="00B40A77">
        <w:rPr>
          <w:color w:val="000000" w:themeColor="text1"/>
          <w:lang w:val="en-US"/>
        </w:rPr>
        <w:t>order in the prescribed form must be issued and given to the defendant or youth.</w:t>
      </w:r>
    </w:p>
    <w:p w14:paraId="4333AE33" w14:textId="072031F4" w:rsidR="00CF24C4" w:rsidRPr="00B40A77" w:rsidRDefault="00CF24C4" w:rsidP="00CA2AB7">
      <w:pPr>
        <w:pStyle w:val="NoteHeader"/>
        <w:keepNext/>
        <w:rPr>
          <w:color w:val="000000" w:themeColor="text1"/>
        </w:rPr>
      </w:pPr>
      <w:r w:rsidRPr="00B40A77">
        <w:rPr>
          <w:color w:val="000000" w:themeColor="text1"/>
        </w:rPr>
        <w:t>Prescribed form—</w:t>
      </w:r>
    </w:p>
    <w:p w14:paraId="30AEBE68" w14:textId="1C13EF62" w:rsidR="00CF24C4" w:rsidRPr="00B40A77" w:rsidRDefault="00CF24C4" w:rsidP="00CF24C4">
      <w:pPr>
        <w:pStyle w:val="NoteText"/>
        <w:rPr>
          <w:color w:val="000000" w:themeColor="text1"/>
        </w:rPr>
      </w:pPr>
      <w:r w:rsidRPr="00B40A77">
        <w:rPr>
          <w:color w:val="000000" w:themeColor="text1"/>
        </w:rPr>
        <w:t xml:space="preserve">Form 142I </w:t>
      </w:r>
      <w:hyperlink r:id="rId293" w:history="1">
        <w:r w:rsidRPr="00B40A77">
          <w:rPr>
            <w:rStyle w:val="Hyperlink"/>
            <w:color w:val="000000" w:themeColor="text1"/>
            <w:lang w:val="en-US"/>
          </w:rPr>
          <w:t xml:space="preserve">Intervention </w:t>
        </w:r>
        <w:r w:rsidRPr="00B40A77">
          <w:rPr>
            <w:rStyle w:val="Hyperlink"/>
            <w:color w:val="000000" w:themeColor="text1"/>
          </w:rPr>
          <w:t>Order</w:t>
        </w:r>
      </w:hyperlink>
    </w:p>
    <w:p w14:paraId="3532957F" w14:textId="77777777" w:rsidR="00FA565F" w:rsidRPr="00B40A77" w:rsidRDefault="00FA565F" w:rsidP="00FA565F">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makes </w:t>
      </w:r>
      <w:r w:rsidRPr="00B40A77">
        <w:rPr>
          <w:color w:val="000000" w:themeColor="text1"/>
        </w:rPr>
        <w:t>a place restriction order</w:t>
      </w:r>
      <w:r w:rsidRPr="00B40A77">
        <w:rPr>
          <w:color w:val="000000" w:themeColor="text1"/>
          <w:lang w:val="en-US"/>
        </w:rPr>
        <w:t xml:space="preserve"> or </w:t>
      </w:r>
      <w:r w:rsidRPr="00B40A77">
        <w:rPr>
          <w:color w:val="000000" w:themeColor="text1"/>
        </w:rPr>
        <w:t xml:space="preserve">non-association order </w:t>
      </w:r>
      <w:r w:rsidRPr="00B40A77">
        <w:rPr>
          <w:color w:val="000000" w:themeColor="text1"/>
          <w:lang w:val="en-US"/>
        </w:rPr>
        <w:t xml:space="preserve">under section 27 of the Sentencing Act, a formal </w:t>
      </w:r>
      <w:r w:rsidRPr="00B40A77">
        <w:rPr>
          <w:color w:val="000000" w:themeColor="text1"/>
        </w:rPr>
        <w:t>place restriction order</w:t>
      </w:r>
      <w:r w:rsidRPr="00B40A77">
        <w:rPr>
          <w:color w:val="000000" w:themeColor="text1"/>
          <w:lang w:val="en-US"/>
        </w:rPr>
        <w:t xml:space="preserve"> or </w:t>
      </w:r>
      <w:r w:rsidRPr="00B40A77">
        <w:rPr>
          <w:color w:val="000000" w:themeColor="text1"/>
        </w:rPr>
        <w:t>non-association order</w:t>
      </w:r>
      <w:r w:rsidRPr="00B40A77">
        <w:rPr>
          <w:color w:val="000000" w:themeColor="text1"/>
          <w:lang w:val="en-US"/>
        </w:rPr>
        <w:t xml:space="preserve"> in the prescribed form must be issued and given to the defendant or youth.</w:t>
      </w:r>
    </w:p>
    <w:p w14:paraId="709DFF00" w14:textId="77777777" w:rsidR="00FA565F" w:rsidRPr="00B40A77" w:rsidRDefault="00FA565F" w:rsidP="00FA565F">
      <w:pPr>
        <w:pStyle w:val="NoteHeader"/>
        <w:keepNext/>
        <w:rPr>
          <w:color w:val="000000" w:themeColor="text1"/>
        </w:rPr>
      </w:pPr>
      <w:r w:rsidRPr="00B40A77">
        <w:rPr>
          <w:color w:val="000000" w:themeColor="text1"/>
        </w:rPr>
        <w:t>Prescribed form—</w:t>
      </w:r>
    </w:p>
    <w:p w14:paraId="784CA958" w14:textId="43D33687" w:rsidR="00FA565F" w:rsidRPr="00B40A77" w:rsidRDefault="00FA565F" w:rsidP="00FA565F">
      <w:pPr>
        <w:pStyle w:val="NoteText"/>
        <w:rPr>
          <w:color w:val="000000" w:themeColor="text1"/>
          <w:lang w:val="en-US"/>
        </w:rPr>
      </w:pPr>
      <w:r w:rsidRPr="00B40A77">
        <w:rPr>
          <w:color w:val="000000" w:themeColor="text1"/>
        </w:rPr>
        <w:t xml:space="preserve">Form 142L </w:t>
      </w:r>
      <w:hyperlink r:id="rId294" w:history="1">
        <w:r w:rsidRPr="00B40A77">
          <w:rPr>
            <w:rStyle w:val="Hyperlink"/>
            <w:color w:val="000000" w:themeColor="text1"/>
          </w:rPr>
          <w:t>Order – Place Restriction and/or Non-Association and Acknowledgment</w:t>
        </w:r>
      </w:hyperlink>
    </w:p>
    <w:p w14:paraId="1BEF8E37" w14:textId="4C08AA17" w:rsidR="007E4173" w:rsidRPr="00B40A77" w:rsidRDefault="007E4173" w:rsidP="007E4173">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If the Court makes a paedophile restraining order under section 28 of the Sentencing</w:t>
      </w:r>
      <w:r w:rsidR="00382E1C" w:rsidRPr="00B40A77">
        <w:rPr>
          <w:color w:val="000000" w:themeColor="text1"/>
          <w:lang w:val="en-US"/>
        </w:rPr>
        <w:t> </w:t>
      </w:r>
      <w:r w:rsidRPr="00B40A77">
        <w:rPr>
          <w:color w:val="000000" w:themeColor="text1"/>
          <w:lang w:val="en-US"/>
        </w:rPr>
        <w:t>Act, a formal paedophile restraining order in the prescribed form must be issued and given to the defendant or youth.</w:t>
      </w:r>
    </w:p>
    <w:p w14:paraId="502F9791" w14:textId="77777777" w:rsidR="007E4173" w:rsidRPr="00B40A77" w:rsidRDefault="007E4173" w:rsidP="007E4173">
      <w:pPr>
        <w:pStyle w:val="NoteHeader"/>
        <w:keepNext/>
        <w:rPr>
          <w:color w:val="000000" w:themeColor="text1"/>
        </w:rPr>
      </w:pPr>
      <w:r w:rsidRPr="00B40A77">
        <w:rPr>
          <w:color w:val="000000" w:themeColor="text1"/>
        </w:rPr>
        <w:t>Prescribed form—</w:t>
      </w:r>
    </w:p>
    <w:p w14:paraId="4CD6695F" w14:textId="18DFAE2A" w:rsidR="007E4173" w:rsidRPr="00B40A77" w:rsidRDefault="007E4173" w:rsidP="007E4173">
      <w:pPr>
        <w:pStyle w:val="NoteText"/>
        <w:rPr>
          <w:color w:val="000000" w:themeColor="text1"/>
        </w:rPr>
      </w:pPr>
      <w:r w:rsidRPr="00B40A77">
        <w:rPr>
          <w:color w:val="000000" w:themeColor="text1"/>
        </w:rPr>
        <w:t xml:space="preserve">Form 142K </w:t>
      </w:r>
      <w:hyperlink r:id="rId295" w:history="1">
        <w:r w:rsidRPr="00B40A77">
          <w:rPr>
            <w:rStyle w:val="Hyperlink"/>
            <w:color w:val="000000" w:themeColor="text1"/>
          </w:rPr>
          <w:t xml:space="preserve">Paedophile </w:t>
        </w:r>
        <w:r w:rsidRPr="00B40A77">
          <w:rPr>
            <w:rStyle w:val="Hyperlink"/>
            <w:color w:val="000000" w:themeColor="text1"/>
            <w:lang w:val="en-US"/>
          </w:rPr>
          <w:t xml:space="preserve">Restraining </w:t>
        </w:r>
        <w:r w:rsidRPr="00B40A77">
          <w:rPr>
            <w:rStyle w:val="Hyperlink"/>
            <w:color w:val="000000" w:themeColor="text1"/>
          </w:rPr>
          <w:t>Order and Acknowledgement</w:t>
        </w:r>
      </w:hyperlink>
    </w:p>
    <w:p w14:paraId="64055DD8" w14:textId="77777777" w:rsidR="007E4173" w:rsidRPr="00B40A77" w:rsidRDefault="007E4173" w:rsidP="007E4173">
      <w:pPr>
        <w:pStyle w:val="Hangindent"/>
        <w:keepNext/>
        <w:rPr>
          <w:i/>
          <w:iCs/>
          <w:color w:val="000000" w:themeColor="text1"/>
          <w:lang w:val="en-US"/>
        </w:rPr>
      </w:pPr>
      <w:r w:rsidRPr="00B40A77">
        <w:rPr>
          <w:i/>
          <w:iCs/>
          <w:color w:val="000000" w:themeColor="text1"/>
          <w:lang w:val="en-US"/>
        </w:rPr>
        <w:lastRenderedPageBreak/>
        <w:t>All Courts except Youth Court</w:t>
      </w:r>
    </w:p>
    <w:p w14:paraId="5C606DB3" w14:textId="1646F0BD" w:rsidR="008B35C6" w:rsidRPr="00B40A77" w:rsidRDefault="008B35C6" w:rsidP="00B90C7E">
      <w:pPr>
        <w:pStyle w:val="Hangindent"/>
        <w:keepNext/>
        <w:rPr>
          <w:color w:val="000000" w:themeColor="text1"/>
          <w:lang w:val="en-US"/>
        </w:rPr>
      </w:pPr>
      <w:r w:rsidRPr="00B40A77">
        <w:rPr>
          <w:color w:val="000000" w:themeColor="text1"/>
          <w:lang w:val="en-US"/>
        </w:rPr>
        <w:t>(</w:t>
      </w:r>
      <w:r w:rsidR="007E4173" w:rsidRPr="00B40A77">
        <w:rPr>
          <w:color w:val="000000" w:themeColor="text1"/>
          <w:lang w:val="en-US"/>
        </w:rPr>
        <w:t>4</w:t>
      </w:r>
      <w:r w:rsidRPr="00B40A77">
        <w:rPr>
          <w:color w:val="000000" w:themeColor="text1"/>
          <w:lang w:val="en-US"/>
        </w:rPr>
        <w:t>)</w:t>
      </w:r>
      <w:r w:rsidRPr="00B40A77">
        <w:rPr>
          <w:color w:val="000000" w:themeColor="text1"/>
          <w:lang w:val="en-US"/>
        </w:rPr>
        <w:tab/>
        <w:t>If the Court makes a child protection restraining order under section</w:t>
      </w:r>
      <w:r w:rsidR="001462AC" w:rsidRPr="00B40A77">
        <w:rPr>
          <w:color w:val="000000" w:themeColor="text1"/>
          <w:lang w:val="en-US"/>
        </w:rPr>
        <w:t> </w:t>
      </w:r>
      <w:r w:rsidRPr="00B40A77">
        <w:rPr>
          <w:color w:val="000000" w:themeColor="text1"/>
          <w:lang w:val="en-US"/>
        </w:rPr>
        <w:t xml:space="preserve">28 of the Sentencing Act, a formal </w:t>
      </w:r>
      <w:r w:rsidR="00F37C9E" w:rsidRPr="00B40A77">
        <w:rPr>
          <w:color w:val="000000" w:themeColor="text1"/>
          <w:lang w:val="en-US"/>
        </w:rPr>
        <w:t>child protection restraining order</w:t>
      </w:r>
      <w:r w:rsidRPr="00B40A77">
        <w:rPr>
          <w:color w:val="000000" w:themeColor="text1"/>
          <w:lang w:val="en-US"/>
        </w:rPr>
        <w:t xml:space="preserve"> in the prescribed form must be issued and given to the defendant or youth.</w:t>
      </w:r>
    </w:p>
    <w:p w14:paraId="7A5D5094" w14:textId="30214350" w:rsidR="008B35C6" w:rsidRPr="00B40A77" w:rsidRDefault="008B35C6" w:rsidP="00CA2AB7">
      <w:pPr>
        <w:pStyle w:val="NoteHeader"/>
        <w:keepNext/>
        <w:rPr>
          <w:color w:val="000000" w:themeColor="text1"/>
        </w:rPr>
      </w:pPr>
      <w:r w:rsidRPr="00B40A77">
        <w:rPr>
          <w:color w:val="000000" w:themeColor="text1"/>
        </w:rPr>
        <w:t>Prescribed form—</w:t>
      </w:r>
    </w:p>
    <w:p w14:paraId="68E934D3" w14:textId="582941EB" w:rsidR="008B35C6" w:rsidRPr="00B40A77" w:rsidRDefault="008B35C6" w:rsidP="008B35C6">
      <w:pPr>
        <w:pStyle w:val="NoteText"/>
        <w:rPr>
          <w:color w:val="000000" w:themeColor="text1"/>
        </w:rPr>
      </w:pPr>
      <w:r w:rsidRPr="00B40A77">
        <w:rPr>
          <w:color w:val="000000" w:themeColor="text1"/>
        </w:rPr>
        <w:t>Form 142</w:t>
      </w:r>
      <w:r w:rsidR="007E042B" w:rsidRPr="00B40A77">
        <w:rPr>
          <w:color w:val="000000" w:themeColor="text1"/>
        </w:rPr>
        <w:t>J</w:t>
      </w:r>
      <w:r w:rsidRPr="00B40A77">
        <w:rPr>
          <w:color w:val="000000" w:themeColor="text1"/>
        </w:rPr>
        <w:t xml:space="preserve"> </w:t>
      </w:r>
      <w:hyperlink r:id="rId296" w:history="1">
        <w:r w:rsidRPr="00B40A77">
          <w:rPr>
            <w:rStyle w:val="Hyperlink"/>
            <w:color w:val="000000" w:themeColor="text1"/>
          </w:rPr>
          <w:t>C</w:t>
        </w:r>
        <w:r w:rsidRPr="00B40A77">
          <w:rPr>
            <w:rStyle w:val="Hyperlink"/>
            <w:color w:val="000000" w:themeColor="text1"/>
            <w:lang w:val="en-US"/>
          </w:rPr>
          <w:t xml:space="preserve">hild </w:t>
        </w:r>
        <w:r w:rsidR="00A53D09" w:rsidRPr="00B40A77">
          <w:rPr>
            <w:rStyle w:val="Hyperlink"/>
            <w:color w:val="000000" w:themeColor="text1"/>
            <w:lang w:val="en-US"/>
          </w:rPr>
          <w:t>P</w:t>
        </w:r>
        <w:r w:rsidRPr="00B40A77">
          <w:rPr>
            <w:rStyle w:val="Hyperlink"/>
            <w:color w:val="000000" w:themeColor="text1"/>
            <w:lang w:val="en-US"/>
          </w:rPr>
          <w:t xml:space="preserve">rotection </w:t>
        </w:r>
        <w:r w:rsidR="00A53D09" w:rsidRPr="00B40A77">
          <w:rPr>
            <w:rStyle w:val="Hyperlink"/>
            <w:color w:val="000000" w:themeColor="text1"/>
            <w:lang w:val="en-US"/>
          </w:rPr>
          <w:t xml:space="preserve">Restraining </w:t>
        </w:r>
        <w:r w:rsidRPr="00B40A77">
          <w:rPr>
            <w:rStyle w:val="Hyperlink"/>
            <w:color w:val="000000" w:themeColor="text1"/>
          </w:rPr>
          <w:t>Order</w:t>
        </w:r>
        <w:r w:rsidR="00FE42F4" w:rsidRPr="00B40A77">
          <w:rPr>
            <w:rStyle w:val="Hyperlink"/>
            <w:color w:val="000000" w:themeColor="text1"/>
          </w:rPr>
          <w:t xml:space="preserve"> and Acknowledgement</w:t>
        </w:r>
      </w:hyperlink>
    </w:p>
    <w:p w14:paraId="33AFB479" w14:textId="4C1FCBF7" w:rsidR="00C77C9D" w:rsidRPr="00B40A77" w:rsidRDefault="00F76788" w:rsidP="00C77C9D">
      <w:pPr>
        <w:pStyle w:val="Heading4"/>
        <w:rPr>
          <w:color w:val="000000" w:themeColor="text1"/>
        </w:rPr>
      </w:pPr>
      <w:bookmarkStart w:id="915" w:name="_Toc175239236"/>
      <w:r w:rsidRPr="00B40A77">
        <w:rPr>
          <w:color w:val="000000" w:themeColor="text1"/>
        </w:rPr>
        <w:t>15</w:t>
      </w:r>
      <w:r w:rsidR="00F14A85" w:rsidRPr="00B40A77">
        <w:rPr>
          <w:color w:val="000000" w:themeColor="text1"/>
        </w:rPr>
        <w:t>4</w:t>
      </w:r>
      <w:r w:rsidR="00C77C9D" w:rsidRPr="00B40A77">
        <w:rPr>
          <w:color w:val="000000" w:themeColor="text1"/>
        </w:rPr>
        <w:t>.4—Vehicle forfeiture and impounding</w:t>
      </w:r>
      <w:bookmarkEnd w:id="915"/>
    </w:p>
    <w:p w14:paraId="76AB4C29" w14:textId="3A15AB13" w:rsidR="00C77C9D" w:rsidRPr="00B40A77" w:rsidRDefault="00C77C9D" w:rsidP="00B90C7E">
      <w:pPr>
        <w:pStyle w:val="Hangindent"/>
        <w:keepNext/>
        <w:ind w:left="567" w:firstLine="0"/>
        <w:rPr>
          <w:color w:val="000000" w:themeColor="text1"/>
          <w:lang w:val="en-US"/>
        </w:rPr>
      </w:pPr>
      <w:r w:rsidRPr="00B40A77">
        <w:rPr>
          <w:color w:val="000000" w:themeColor="text1"/>
          <w:lang w:val="en-US"/>
        </w:rPr>
        <w:t xml:space="preserve">If the Court makes an order </w:t>
      </w:r>
      <w:r w:rsidRPr="00B40A77">
        <w:rPr>
          <w:color w:val="000000" w:themeColor="text1"/>
        </w:rPr>
        <w:t>relating to the forfeiture or impounding of a vehicle</w:t>
      </w:r>
      <w:r w:rsidRPr="00B40A77">
        <w:rPr>
          <w:color w:val="000000" w:themeColor="text1"/>
          <w:lang w:val="en-US"/>
        </w:rPr>
        <w:t xml:space="preserve"> under section</w:t>
      </w:r>
      <w:r w:rsidR="001462AC" w:rsidRPr="00B40A77">
        <w:rPr>
          <w:color w:val="000000" w:themeColor="text1"/>
          <w:lang w:val="en-US"/>
        </w:rPr>
        <w:t> </w:t>
      </w:r>
      <w:r w:rsidRPr="00B40A77">
        <w:rPr>
          <w:color w:val="000000" w:themeColor="text1"/>
          <w:lang w:val="en-US"/>
        </w:rPr>
        <w:t xml:space="preserve">12 of the </w:t>
      </w:r>
      <w:r w:rsidRPr="00B40A77">
        <w:rPr>
          <w:i/>
          <w:color w:val="000000" w:themeColor="text1"/>
        </w:rPr>
        <w:t>Criminal Law (Clamping, Impounding and Forfeiture of Vehicles) Act 2007</w:t>
      </w:r>
      <w:r w:rsidRPr="00B40A77">
        <w:rPr>
          <w:color w:val="000000" w:themeColor="text1"/>
          <w:lang w:val="en-US"/>
        </w:rPr>
        <w:t>, a formal order in the prescribed form must be issued.</w:t>
      </w:r>
    </w:p>
    <w:p w14:paraId="2495C8AB" w14:textId="46A29AC3" w:rsidR="00C77C9D" w:rsidRPr="00B40A77" w:rsidRDefault="00C77C9D" w:rsidP="00CA2AB7">
      <w:pPr>
        <w:pStyle w:val="NoteHeader"/>
        <w:keepNext/>
        <w:ind w:left="567"/>
        <w:rPr>
          <w:color w:val="000000" w:themeColor="text1"/>
        </w:rPr>
      </w:pPr>
      <w:r w:rsidRPr="00B40A77">
        <w:rPr>
          <w:color w:val="000000" w:themeColor="text1"/>
        </w:rPr>
        <w:t>Prescribed form—</w:t>
      </w:r>
    </w:p>
    <w:p w14:paraId="214000B2" w14:textId="41D2CB35" w:rsidR="00C77C9D" w:rsidRPr="00B40A77" w:rsidRDefault="00C77C9D" w:rsidP="00BC23E5">
      <w:pPr>
        <w:pStyle w:val="NoteText"/>
        <w:ind w:left="851"/>
        <w:rPr>
          <w:color w:val="000000" w:themeColor="text1"/>
        </w:rPr>
      </w:pPr>
      <w:r w:rsidRPr="00B40A77">
        <w:rPr>
          <w:color w:val="000000" w:themeColor="text1"/>
        </w:rPr>
        <w:t xml:space="preserve">Form 142R </w:t>
      </w:r>
      <w:hyperlink r:id="rId297" w:history="1">
        <w:r w:rsidRPr="00B40A77">
          <w:rPr>
            <w:rStyle w:val="Hyperlink"/>
            <w:color w:val="000000" w:themeColor="text1"/>
          </w:rPr>
          <w:t xml:space="preserve">Order </w:t>
        </w:r>
        <w:r w:rsidR="00EB519E" w:rsidRPr="00B40A77">
          <w:rPr>
            <w:rStyle w:val="Hyperlink"/>
            <w:color w:val="000000" w:themeColor="text1"/>
          </w:rPr>
          <w:t>–</w:t>
        </w:r>
        <w:r w:rsidRPr="00B40A77">
          <w:rPr>
            <w:rStyle w:val="Hyperlink"/>
            <w:color w:val="000000" w:themeColor="text1"/>
          </w:rPr>
          <w:t xml:space="preserve"> </w:t>
        </w:r>
        <w:r w:rsidR="00EB519E" w:rsidRPr="00B40A77">
          <w:rPr>
            <w:rStyle w:val="Hyperlink"/>
            <w:color w:val="000000" w:themeColor="text1"/>
          </w:rPr>
          <w:t>Forfeiture or Impounding of Motor Vehicle</w:t>
        </w:r>
      </w:hyperlink>
    </w:p>
    <w:p w14:paraId="04A0C73B" w14:textId="7AE0AF4C" w:rsidR="004D70F5" w:rsidRPr="00B40A77" w:rsidRDefault="00F76788" w:rsidP="009C4976">
      <w:pPr>
        <w:pStyle w:val="Heading4"/>
        <w:rPr>
          <w:color w:val="000000" w:themeColor="text1"/>
        </w:rPr>
      </w:pPr>
      <w:bookmarkStart w:id="916" w:name="_Toc175239237"/>
      <w:r w:rsidRPr="00B40A77">
        <w:rPr>
          <w:color w:val="000000" w:themeColor="text1"/>
        </w:rPr>
        <w:t>15</w:t>
      </w:r>
      <w:r w:rsidR="00F14A85" w:rsidRPr="00B40A77">
        <w:rPr>
          <w:color w:val="000000" w:themeColor="text1"/>
        </w:rPr>
        <w:t>4</w:t>
      </w:r>
      <w:r w:rsidR="000466EC" w:rsidRPr="00B40A77">
        <w:rPr>
          <w:color w:val="000000" w:themeColor="text1"/>
        </w:rPr>
        <w:t>.</w:t>
      </w:r>
      <w:r w:rsidR="00C77C9D" w:rsidRPr="00B40A77">
        <w:rPr>
          <w:color w:val="000000" w:themeColor="text1"/>
        </w:rPr>
        <w:t>5</w:t>
      </w:r>
      <w:r w:rsidR="004D70F5" w:rsidRPr="00B40A77">
        <w:rPr>
          <w:color w:val="000000" w:themeColor="text1"/>
        </w:rPr>
        <w:t>—Recidivist young offender orders</w:t>
      </w:r>
      <w:r w:rsidR="00444F01" w:rsidRPr="00B40A77">
        <w:rPr>
          <w:color w:val="000000" w:themeColor="text1"/>
        </w:rPr>
        <w:t>: Youth Court</w:t>
      </w:r>
      <w:bookmarkEnd w:id="916"/>
    </w:p>
    <w:p w14:paraId="2707D610" w14:textId="2AA8EB63" w:rsidR="004D70F5" w:rsidRPr="00B40A77" w:rsidRDefault="00FF122D" w:rsidP="00B90C7E">
      <w:pPr>
        <w:pStyle w:val="Hangindent"/>
        <w:keepNext/>
        <w:ind w:left="567" w:firstLine="0"/>
        <w:rPr>
          <w:color w:val="000000" w:themeColor="text1"/>
          <w:lang w:val="en-US"/>
        </w:rPr>
      </w:pPr>
      <w:r w:rsidRPr="00B40A77">
        <w:rPr>
          <w:color w:val="000000" w:themeColor="text1"/>
          <w:lang w:val="en-US"/>
        </w:rPr>
        <w:t>I</w:t>
      </w:r>
      <w:r w:rsidR="004D70F5" w:rsidRPr="00B40A77">
        <w:rPr>
          <w:color w:val="000000" w:themeColor="text1"/>
          <w:lang w:val="en-US"/>
        </w:rPr>
        <w:t>f the Court makes an order</w:t>
      </w:r>
      <w:r w:rsidR="00444F01" w:rsidRPr="00B40A77">
        <w:rPr>
          <w:color w:val="000000" w:themeColor="text1"/>
          <w:lang w:val="en-US"/>
        </w:rPr>
        <w:t xml:space="preserve"> </w:t>
      </w:r>
      <w:r w:rsidR="00444F01" w:rsidRPr="00B40A77">
        <w:rPr>
          <w:color w:val="000000" w:themeColor="text1"/>
        </w:rPr>
        <w:t>declaring a youth to be a recidivist young offender</w:t>
      </w:r>
      <w:r w:rsidR="004D70F5" w:rsidRPr="00B40A77">
        <w:rPr>
          <w:color w:val="000000" w:themeColor="text1"/>
          <w:lang w:val="en-US"/>
        </w:rPr>
        <w:t xml:space="preserve"> under </w:t>
      </w:r>
      <w:r w:rsidR="00444F01" w:rsidRPr="00B40A77">
        <w:rPr>
          <w:color w:val="000000" w:themeColor="text1"/>
          <w:lang w:val="en-US"/>
        </w:rPr>
        <w:t>section</w:t>
      </w:r>
      <w:r w:rsidR="006D029D" w:rsidRPr="00B40A77">
        <w:rPr>
          <w:color w:val="000000" w:themeColor="text1"/>
          <w:lang w:val="en-US"/>
        </w:rPr>
        <w:t> </w:t>
      </w:r>
      <w:r w:rsidR="00444F01" w:rsidRPr="00B40A77">
        <w:rPr>
          <w:color w:val="000000" w:themeColor="text1"/>
          <w:lang w:val="en-US"/>
        </w:rPr>
        <w:t>55</w:t>
      </w:r>
      <w:r w:rsidR="004D70F5" w:rsidRPr="00B40A77">
        <w:rPr>
          <w:color w:val="000000" w:themeColor="text1"/>
          <w:lang w:val="en-US"/>
        </w:rPr>
        <w:t xml:space="preserve"> of the </w:t>
      </w:r>
      <w:r w:rsidR="00444F01" w:rsidRPr="00B40A77">
        <w:rPr>
          <w:color w:val="000000" w:themeColor="text1"/>
          <w:lang w:val="en-US"/>
        </w:rPr>
        <w:t>Sentencing</w:t>
      </w:r>
      <w:r w:rsidR="004D70F5" w:rsidRPr="00B40A77">
        <w:rPr>
          <w:color w:val="000000" w:themeColor="text1"/>
          <w:lang w:val="en-US"/>
        </w:rPr>
        <w:t xml:space="preserve"> Act, a formal order in the prescribed form must be </w:t>
      </w:r>
      <w:r w:rsidR="00444F01" w:rsidRPr="00B40A77">
        <w:rPr>
          <w:color w:val="000000" w:themeColor="text1"/>
          <w:lang w:val="en-US"/>
        </w:rPr>
        <w:t>issued.</w:t>
      </w:r>
    </w:p>
    <w:p w14:paraId="72ABDD0E" w14:textId="7929019A" w:rsidR="004D70F5" w:rsidRPr="00B40A77" w:rsidRDefault="004D70F5" w:rsidP="00CA2AB7">
      <w:pPr>
        <w:pStyle w:val="NoteHeader"/>
        <w:keepNext/>
        <w:ind w:left="567"/>
        <w:rPr>
          <w:color w:val="000000" w:themeColor="text1"/>
        </w:rPr>
      </w:pPr>
      <w:r w:rsidRPr="00B40A77">
        <w:rPr>
          <w:color w:val="000000" w:themeColor="text1"/>
        </w:rPr>
        <w:t>Prescribed form—</w:t>
      </w:r>
    </w:p>
    <w:p w14:paraId="464C5999" w14:textId="4ECA8D3D" w:rsidR="004D70F5" w:rsidRPr="00B40A77" w:rsidRDefault="00C25A5D" w:rsidP="00BC23E5">
      <w:pPr>
        <w:pStyle w:val="NoteText"/>
        <w:ind w:left="851"/>
        <w:rPr>
          <w:color w:val="000000" w:themeColor="text1"/>
        </w:rPr>
      </w:pPr>
      <w:r w:rsidRPr="00B40A77">
        <w:rPr>
          <w:color w:val="000000" w:themeColor="text1"/>
        </w:rPr>
        <w:t>Form 142O</w:t>
      </w:r>
      <w:r w:rsidR="004D70F5" w:rsidRPr="00B40A77">
        <w:rPr>
          <w:color w:val="000000" w:themeColor="text1"/>
        </w:rPr>
        <w:t xml:space="preserve"> </w:t>
      </w:r>
      <w:hyperlink r:id="rId298" w:history="1">
        <w:r w:rsidR="004D70F5" w:rsidRPr="00B40A77">
          <w:rPr>
            <w:rStyle w:val="Hyperlink"/>
            <w:color w:val="000000" w:themeColor="text1"/>
          </w:rPr>
          <w:t xml:space="preserve">Order </w:t>
        </w:r>
        <w:r w:rsidR="00FE727D" w:rsidRPr="00B40A77">
          <w:rPr>
            <w:rStyle w:val="Hyperlink"/>
            <w:color w:val="000000" w:themeColor="text1"/>
          </w:rPr>
          <w:t>–</w:t>
        </w:r>
        <w:r w:rsidR="004D70F5" w:rsidRPr="00B40A77">
          <w:rPr>
            <w:rStyle w:val="Hyperlink"/>
            <w:color w:val="000000" w:themeColor="text1"/>
          </w:rPr>
          <w:t xml:space="preserve"> </w:t>
        </w:r>
        <w:r w:rsidR="00444F01" w:rsidRPr="00B40A77">
          <w:rPr>
            <w:rStyle w:val="Hyperlink"/>
            <w:color w:val="000000" w:themeColor="text1"/>
          </w:rPr>
          <w:t>Declaring a Youth to be a Recidivist Young Offender</w:t>
        </w:r>
      </w:hyperlink>
    </w:p>
    <w:p w14:paraId="44B3128A" w14:textId="024671D5" w:rsidR="0064719D" w:rsidRPr="00B40A77" w:rsidRDefault="000D454B" w:rsidP="00D45D85">
      <w:pPr>
        <w:pStyle w:val="Heading2"/>
        <w:keepNext/>
        <w:rPr>
          <w:color w:val="000000" w:themeColor="text1"/>
        </w:rPr>
      </w:pPr>
      <w:bookmarkStart w:id="917" w:name="_Toc175239238"/>
      <w:r w:rsidRPr="00B40A77">
        <w:rPr>
          <w:color w:val="000000" w:themeColor="text1"/>
        </w:rPr>
        <w:t xml:space="preserve">Part </w:t>
      </w:r>
      <w:r w:rsidR="00C239BC" w:rsidRPr="00B40A77">
        <w:rPr>
          <w:color w:val="000000" w:themeColor="text1"/>
        </w:rPr>
        <w:t>5</w:t>
      </w:r>
      <w:r w:rsidRPr="00B40A77">
        <w:rPr>
          <w:color w:val="000000" w:themeColor="text1"/>
        </w:rPr>
        <w:t>—</w:t>
      </w:r>
      <w:r w:rsidR="0064719D" w:rsidRPr="00B40A77">
        <w:rPr>
          <w:color w:val="000000" w:themeColor="text1"/>
        </w:rPr>
        <w:t>Warrants</w:t>
      </w:r>
      <w:bookmarkEnd w:id="917"/>
    </w:p>
    <w:p w14:paraId="4C7DEBF6" w14:textId="18B1FE62" w:rsidR="00E66E4C" w:rsidRPr="00B40A77" w:rsidRDefault="00E104F4" w:rsidP="00BD3F65">
      <w:pPr>
        <w:pStyle w:val="Heading4"/>
        <w:rPr>
          <w:color w:val="000000" w:themeColor="text1"/>
        </w:rPr>
      </w:pPr>
      <w:bookmarkStart w:id="918" w:name="_Toc175239239"/>
      <w:r w:rsidRPr="00B40A77">
        <w:rPr>
          <w:color w:val="000000" w:themeColor="text1"/>
        </w:rPr>
        <w:t>15</w:t>
      </w:r>
      <w:r w:rsidR="00F14A85" w:rsidRPr="00B40A77">
        <w:rPr>
          <w:color w:val="000000" w:themeColor="text1"/>
        </w:rPr>
        <w:t>5</w:t>
      </w:r>
      <w:r w:rsidR="002D3910" w:rsidRPr="00B40A77">
        <w:rPr>
          <w:color w:val="000000" w:themeColor="text1"/>
        </w:rPr>
        <w:t>.1</w:t>
      </w:r>
      <w:r w:rsidR="00E66E4C" w:rsidRPr="00B40A77">
        <w:rPr>
          <w:color w:val="000000" w:themeColor="text1"/>
        </w:rPr>
        <w:t>—Warrant of commitment</w:t>
      </w:r>
      <w:r w:rsidR="00FF122D" w:rsidRPr="00B40A77">
        <w:rPr>
          <w:color w:val="000000" w:themeColor="text1"/>
        </w:rPr>
        <w:t xml:space="preserve"> or </w:t>
      </w:r>
      <w:r w:rsidR="00E66E4C" w:rsidRPr="00B40A77">
        <w:rPr>
          <w:color w:val="000000" w:themeColor="text1"/>
        </w:rPr>
        <w:t>detention</w:t>
      </w:r>
      <w:bookmarkEnd w:id="918"/>
    </w:p>
    <w:p w14:paraId="3F0AB3C7" w14:textId="4B9946F5" w:rsidR="00E66E4C" w:rsidRPr="00B40A77" w:rsidRDefault="00E66E4C" w:rsidP="00B90C7E">
      <w:pPr>
        <w:pStyle w:val="Hangindent"/>
        <w:keepNext/>
        <w:ind w:left="567" w:firstLine="0"/>
        <w:rPr>
          <w:rFonts w:cs="Times New Roman"/>
          <w:color w:val="000000" w:themeColor="text1"/>
        </w:rPr>
      </w:pPr>
      <w:r w:rsidRPr="00B40A77">
        <w:rPr>
          <w:rFonts w:cs="Times New Roman"/>
          <w:color w:val="000000" w:themeColor="text1"/>
        </w:rPr>
        <w:t xml:space="preserve">If the Court imposes a custodial </w:t>
      </w:r>
      <w:hyperlink w:anchor="_2.1—Definitions" w:history="1">
        <w:r w:rsidR="00596ADA" w:rsidRPr="00B40A77">
          <w:rPr>
            <w:rStyle w:val="Hyperlink"/>
            <w:color w:val="000000" w:themeColor="text1"/>
          </w:rPr>
          <w:t>sentence</w:t>
        </w:r>
      </w:hyperlink>
      <w:r w:rsidRPr="00B40A77">
        <w:rPr>
          <w:rFonts w:cs="Times New Roman"/>
          <w:color w:val="000000" w:themeColor="text1"/>
        </w:rPr>
        <w:t xml:space="preserve"> of imprisonment or detention, the warrant of commitment or mandate </w:t>
      </w:r>
      <w:r w:rsidRPr="00B40A77">
        <w:rPr>
          <w:color w:val="000000" w:themeColor="text1"/>
        </w:rPr>
        <w:t>to be issued by the Court must be</w:t>
      </w:r>
      <w:r w:rsidRPr="00B40A77">
        <w:rPr>
          <w:rFonts w:cs="Times New Roman"/>
          <w:color w:val="000000" w:themeColor="text1"/>
        </w:rPr>
        <w:t xml:space="preserve"> in the prescribed form.</w:t>
      </w:r>
    </w:p>
    <w:p w14:paraId="189F9F94" w14:textId="77777777" w:rsidR="00E66E4C" w:rsidRPr="00B40A77" w:rsidRDefault="00E66E4C" w:rsidP="00CA2AB7">
      <w:pPr>
        <w:pStyle w:val="NoteHeader"/>
        <w:keepNext/>
        <w:ind w:left="567"/>
        <w:rPr>
          <w:color w:val="000000" w:themeColor="text1"/>
        </w:rPr>
      </w:pPr>
      <w:r w:rsidRPr="00B40A77">
        <w:rPr>
          <w:color w:val="000000" w:themeColor="text1"/>
        </w:rPr>
        <w:t>Prescribed form—</w:t>
      </w:r>
    </w:p>
    <w:p w14:paraId="3EB9B2C7" w14:textId="52441120" w:rsidR="00E66E4C" w:rsidRPr="00B40A77" w:rsidRDefault="00E66E4C" w:rsidP="00BC23E5">
      <w:pPr>
        <w:pStyle w:val="NoteText"/>
        <w:ind w:left="851"/>
        <w:rPr>
          <w:color w:val="000000" w:themeColor="text1"/>
        </w:rPr>
      </w:pPr>
      <w:r w:rsidRPr="00B40A77">
        <w:rPr>
          <w:color w:val="000000" w:themeColor="text1"/>
        </w:rPr>
        <w:t xml:space="preserve">Form 145 </w:t>
      </w:r>
      <w:hyperlink r:id="rId299" w:history="1">
        <w:r w:rsidRPr="00B40A77">
          <w:rPr>
            <w:rStyle w:val="Hyperlink"/>
            <w:color w:val="000000" w:themeColor="text1"/>
          </w:rPr>
          <w:t>Warrant of Commitment</w:t>
        </w:r>
        <w:r w:rsidR="00FF122D" w:rsidRPr="00B40A77">
          <w:rPr>
            <w:rStyle w:val="Hyperlink"/>
            <w:color w:val="000000" w:themeColor="text1"/>
          </w:rPr>
          <w:t xml:space="preserve"> or </w:t>
        </w:r>
        <w:r w:rsidRPr="00B40A77">
          <w:rPr>
            <w:rStyle w:val="Hyperlink"/>
            <w:color w:val="000000" w:themeColor="text1"/>
          </w:rPr>
          <w:t>Mandate</w:t>
        </w:r>
        <w:r w:rsidR="00FE727D" w:rsidRPr="00B40A77">
          <w:rPr>
            <w:rStyle w:val="Hyperlink"/>
            <w:color w:val="000000" w:themeColor="text1"/>
          </w:rPr>
          <w:t xml:space="preserve"> for Detention</w:t>
        </w:r>
      </w:hyperlink>
    </w:p>
    <w:p w14:paraId="24DB0EE7" w14:textId="69A36CE6" w:rsidR="0064719D" w:rsidRPr="00B40A77" w:rsidRDefault="00F76788" w:rsidP="00AB2F2C">
      <w:pPr>
        <w:pStyle w:val="Heading4"/>
        <w:rPr>
          <w:color w:val="000000" w:themeColor="text1"/>
        </w:rPr>
      </w:pPr>
      <w:bookmarkStart w:id="919" w:name="_Toc175239240"/>
      <w:r w:rsidRPr="00B40A77">
        <w:rPr>
          <w:color w:val="000000" w:themeColor="text1"/>
        </w:rPr>
        <w:t>15</w:t>
      </w:r>
      <w:r w:rsidR="00F14A85" w:rsidRPr="00B40A77">
        <w:rPr>
          <w:color w:val="000000" w:themeColor="text1"/>
        </w:rPr>
        <w:t>5</w:t>
      </w:r>
      <w:r w:rsidR="002D3910" w:rsidRPr="00B40A77">
        <w:rPr>
          <w:color w:val="000000" w:themeColor="text1"/>
        </w:rPr>
        <w:t>.2</w:t>
      </w:r>
      <w:r w:rsidR="0064719D" w:rsidRPr="00B40A77">
        <w:rPr>
          <w:color w:val="000000" w:themeColor="text1"/>
        </w:rPr>
        <w:t>—Mental impairment detention</w:t>
      </w:r>
      <w:bookmarkEnd w:id="919"/>
    </w:p>
    <w:p w14:paraId="65558D2A" w14:textId="1A38B4F0" w:rsidR="0064680F" w:rsidRPr="00B40A77" w:rsidRDefault="0064680F" w:rsidP="00B90C7E">
      <w:pPr>
        <w:pStyle w:val="Hangindent"/>
        <w:keepNext/>
        <w:rPr>
          <w:rFonts w:cs="Times New Roman"/>
          <w:color w:val="000000" w:themeColor="text1"/>
        </w:rPr>
      </w:pPr>
      <w:r w:rsidRPr="00B40A77">
        <w:rPr>
          <w:rFonts w:cs="Times New Roman"/>
          <w:color w:val="000000" w:themeColor="text1"/>
        </w:rPr>
        <w:t>(1)</w:t>
      </w:r>
      <w:r w:rsidRPr="00B40A77">
        <w:rPr>
          <w:rFonts w:cs="Times New Roman"/>
          <w:color w:val="000000" w:themeColor="text1"/>
        </w:rPr>
        <w:tab/>
        <w:t>If the Court commits a defendant or youth to detention under Part</w:t>
      </w:r>
      <w:r w:rsidR="00BA2D1F" w:rsidRPr="00B40A77">
        <w:rPr>
          <w:rFonts w:cs="Times New Roman"/>
          <w:color w:val="000000" w:themeColor="text1"/>
        </w:rPr>
        <w:t> </w:t>
      </w:r>
      <w:r w:rsidRPr="00B40A77">
        <w:rPr>
          <w:rFonts w:cs="Times New Roman"/>
          <w:color w:val="000000" w:themeColor="text1"/>
        </w:rPr>
        <w:t xml:space="preserve">8A of the </w:t>
      </w:r>
      <w:r w:rsidR="00A211DF" w:rsidRPr="00B40A77">
        <w:rPr>
          <w:rFonts w:cs="Times New Roman"/>
          <w:color w:val="000000" w:themeColor="text1"/>
        </w:rPr>
        <w:t>Consolidation Act</w:t>
      </w:r>
      <w:r w:rsidRPr="00B40A77">
        <w:rPr>
          <w:rFonts w:cs="Times New Roman"/>
          <w:color w:val="000000" w:themeColor="text1"/>
        </w:rPr>
        <w:t xml:space="preserve">, the warrant of detention </w:t>
      </w:r>
      <w:r w:rsidRPr="00B40A77">
        <w:rPr>
          <w:color w:val="000000" w:themeColor="text1"/>
        </w:rPr>
        <w:t>to be issued by the Court must be</w:t>
      </w:r>
      <w:r w:rsidRPr="00B40A77">
        <w:rPr>
          <w:rFonts w:cs="Times New Roman"/>
          <w:color w:val="000000" w:themeColor="text1"/>
        </w:rPr>
        <w:t xml:space="preserve"> in the prescribed form.</w:t>
      </w:r>
    </w:p>
    <w:p w14:paraId="1E156165" w14:textId="77777777" w:rsidR="0064680F" w:rsidRPr="00B40A77" w:rsidRDefault="0064680F" w:rsidP="00CA2AB7">
      <w:pPr>
        <w:pStyle w:val="NoteHeader"/>
        <w:keepNext/>
        <w:rPr>
          <w:color w:val="000000" w:themeColor="text1"/>
        </w:rPr>
      </w:pPr>
      <w:r w:rsidRPr="00B40A77">
        <w:rPr>
          <w:color w:val="000000" w:themeColor="text1"/>
        </w:rPr>
        <w:t>Prescribed form—</w:t>
      </w:r>
    </w:p>
    <w:p w14:paraId="322F67C2" w14:textId="1851D696" w:rsidR="0064680F" w:rsidRPr="00B40A77" w:rsidRDefault="0064680F" w:rsidP="0064680F">
      <w:pPr>
        <w:pStyle w:val="NoteText"/>
        <w:rPr>
          <w:color w:val="000000" w:themeColor="text1"/>
        </w:rPr>
      </w:pPr>
      <w:r w:rsidRPr="00B40A77">
        <w:rPr>
          <w:color w:val="000000" w:themeColor="text1"/>
        </w:rPr>
        <w:t xml:space="preserve">Form 146 </w:t>
      </w:r>
      <w:hyperlink r:id="rId300" w:history="1">
        <w:r w:rsidRPr="00B40A77">
          <w:rPr>
            <w:rStyle w:val="Hyperlink"/>
            <w:color w:val="000000" w:themeColor="text1"/>
          </w:rPr>
          <w:t>Warrant of Detention</w:t>
        </w:r>
      </w:hyperlink>
    </w:p>
    <w:p w14:paraId="7BABACBC" w14:textId="74F21BFF" w:rsidR="00E104F4" w:rsidRPr="00B40A77" w:rsidRDefault="00E104F4" w:rsidP="00B90C7E">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If the Court commits a defendant to detention under Part</w:t>
      </w:r>
      <w:r w:rsidR="00BA2D1F" w:rsidRPr="00B40A77">
        <w:rPr>
          <w:rFonts w:cs="Times New Roman"/>
          <w:color w:val="000000" w:themeColor="text1"/>
        </w:rPr>
        <w:t> </w:t>
      </w:r>
      <w:r w:rsidRPr="00B40A77">
        <w:rPr>
          <w:rFonts w:cs="Times New Roman"/>
          <w:color w:val="000000" w:themeColor="text1"/>
        </w:rPr>
        <w:t>1</w:t>
      </w:r>
      <w:r w:rsidR="00421753" w:rsidRPr="00B40A77">
        <w:rPr>
          <w:rFonts w:cs="Times New Roman"/>
          <w:color w:val="000000" w:themeColor="text1"/>
        </w:rPr>
        <w:t>B</w:t>
      </w:r>
      <w:r w:rsidRPr="00B40A77">
        <w:rPr>
          <w:rFonts w:cs="Times New Roman"/>
          <w:color w:val="000000" w:themeColor="text1"/>
        </w:rPr>
        <w:t xml:space="preserve"> Divisions</w:t>
      </w:r>
      <w:r w:rsidR="00D84324" w:rsidRPr="00B40A77">
        <w:rPr>
          <w:rFonts w:cs="Times New Roman"/>
          <w:color w:val="000000" w:themeColor="text1"/>
        </w:rPr>
        <w:t> </w:t>
      </w:r>
      <w:r w:rsidRPr="00B40A77">
        <w:rPr>
          <w:rFonts w:cs="Times New Roman"/>
          <w:color w:val="000000" w:themeColor="text1"/>
        </w:rPr>
        <w:t>6 to</w:t>
      </w:r>
      <w:r w:rsidR="00D84324" w:rsidRPr="00B40A77">
        <w:rPr>
          <w:rFonts w:cs="Times New Roman"/>
          <w:color w:val="000000" w:themeColor="text1"/>
        </w:rPr>
        <w:t> </w:t>
      </w:r>
      <w:r w:rsidRPr="00B40A77">
        <w:rPr>
          <w:rFonts w:cs="Times New Roman"/>
          <w:color w:val="000000" w:themeColor="text1"/>
        </w:rPr>
        <w:t xml:space="preserve">9 of the Crimes Act, the warrant of detention </w:t>
      </w:r>
      <w:r w:rsidRPr="00B40A77">
        <w:rPr>
          <w:color w:val="000000" w:themeColor="text1"/>
        </w:rPr>
        <w:t>to be issued by the Court must be</w:t>
      </w:r>
      <w:r w:rsidRPr="00B40A77">
        <w:rPr>
          <w:rFonts w:cs="Times New Roman"/>
          <w:color w:val="000000" w:themeColor="text1"/>
        </w:rPr>
        <w:t xml:space="preserve"> in the prescribed form.</w:t>
      </w:r>
    </w:p>
    <w:p w14:paraId="040E93E6" w14:textId="3DDEF79C" w:rsidR="00E104F4" w:rsidRPr="00B40A77" w:rsidRDefault="00E104F4" w:rsidP="00CA2AB7">
      <w:pPr>
        <w:pStyle w:val="NoteHeader"/>
        <w:keepNext/>
        <w:rPr>
          <w:color w:val="000000" w:themeColor="text1"/>
        </w:rPr>
      </w:pPr>
      <w:r w:rsidRPr="00B40A77">
        <w:rPr>
          <w:color w:val="000000" w:themeColor="text1"/>
        </w:rPr>
        <w:t>Prescribed form</w:t>
      </w:r>
      <w:r w:rsidR="00FE727D" w:rsidRPr="00B40A77">
        <w:rPr>
          <w:color w:val="000000" w:themeColor="text1"/>
        </w:rPr>
        <w:t>s</w:t>
      </w:r>
      <w:r w:rsidRPr="00B40A77">
        <w:rPr>
          <w:color w:val="000000" w:themeColor="text1"/>
        </w:rPr>
        <w:t>—</w:t>
      </w:r>
    </w:p>
    <w:p w14:paraId="353EEF61" w14:textId="16A209CB" w:rsidR="000466EC" w:rsidRPr="00B40A77" w:rsidRDefault="00E104F4" w:rsidP="0064680F">
      <w:pPr>
        <w:pStyle w:val="NoteText"/>
        <w:rPr>
          <w:color w:val="000000" w:themeColor="text1"/>
          <w:u w:val="single"/>
        </w:rPr>
      </w:pPr>
      <w:r w:rsidRPr="00B40A77">
        <w:rPr>
          <w:color w:val="000000" w:themeColor="text1"/>
        </w:rPr>
        <w:t>Form 146</w:t>
      </w:r>
      <w:r w:rsidR="00FE727D" w:rsidRPr="00B40A77">
        <w:rPr>
          <w:color w:val="000000" w:themeColor="text1"/>
        </w:rPr>
        <w:t>A</w:t>
      </w:r>
      <w:r w:rsidRPr="00B40A77">
        <w:rPr>
          <w:color w:val="000000" w:themeColor="text1"/>
        </w:rPr>
        <w:t xml:space="preserve"> </w:t>
      </w:r>
      <w:hyperlink r:id="rId301" w:history="1">
        <w:r w:rsidRPr="00B40A77">
          <w:rPr>
            <w:rStyle w:val="Hyperlink"/>
            <w:color w:val="000000" w:themeColor="text1"/>
          </w:rPr>
          <w:t>Warrant of Detention</w:t>
        </w:r>
        <w:r w:rsidR="00FE727D" w:rsidRPr="00B40A77">
          <w:rPr>
            <w:rStyle w:val="Hyperlink"/>
            <w:color w:val="000000" w:themeColor="text1"/>
          </w:rPr>
          <w:t xml:space="preserve"> – (Cth - Mental Illness)</w:t>
        </w:r>
      </w:hyperlink>
    </w:p>
    <w:p w14:paraId="47192942" w14:textId="615E674B" w:rsidR="00FE727D" w:rsidRPr="00B40A77" w:rsidRDefault="00FE727D" w:rsidP="00FE727D">
      <w:pPr>
        <w:pStyle w:val="NoteText"/>
        <w:rPr>
          <w:color w:val="000000" w:themeColor="text1"/>
          <w:u w:val="single"/>
        </w:rPr>
      </w:pPr>
      <w:r w:rsidRPr="00B40A77">
        <w:rPr>
          <w:color w:val="000000" w:themeColor="text1"/>
        </w:rPr>
        <w:t xml:space="preserve">Form 146B </w:t>
      </w:r>
      <w:hyperlink r:id="rId302" w:history="1">
        <w:r w:rsidRPr="00B40A77">
          <w:rPr>
            <w:rStyle w:val="Hyperlink"/>
            <w:color w:val="000000" w:themeColor="text1"/>
          </w:rPr>
          <w:t>Warrant of Detention – (Cth - Unfit to be Tried)</w:t>
        </w:r>
      </w:hyperlink>
    </w:p>
    <w:p w14:paraId="3764C362" w14:textId="7DAD8B13" w:rsidR="00FE727D" w:rsidRPr="00B40A77" w:rsidRDefault="00FE727D" w:rsidP="00FE727D">
      <w:pPr>
        <w:pStyle w:val="NoteText"/>
        <w:rPr>
          <w:color w:val="000000" w:themeColor="text1"/>
        </w:rPr>
      </w:pPr>
      <w:r w:rsidRPr="00B40A77">
        <w:rPr>
          <w:color w:val="000000" w:themeColor="text1"/>
        </w:rPr>
        <w:t xml:space="preserve">Form 146C </w:t>
      </w:r>
      <w:hyperlink r:id="rId303" w:history="1">
        <w:r w:rsidRPr="00B40A77">
          <w:rPr>
            <w:rStyle w:val="Hyperlink"/>
            <w:color w:val="000000" w:themeColor="text1"/>
          </w:rPr>
          <w:t>Warrant of Detention – (Cth - Hospital Order</w:t>
        </w:r>
      </w:hyperlink>
      <w:r w:rsidRPr="00B40A77">
        <w:rPr>
          <w:color w:val="000000" w:themeColor="text1"/>
          <w:u w:val="single"/>
        </w:rPr>
        <w:t>)</w:t>
      </w:r>
    </w:p>
    <w:p w14:paraId="248F7688" w14:textId="6EFF835A" w:rsidR="000D454B" w:rsidRPr="00B40A77" w:rsidRDefault="00C239BC" w:rsidP="00D45D85">
      <w:pPr>
        <w:pStyle w:val="Heading2"/>
        <w:keepNext/>
        <w:rPr>
          <w:color w:val="000000" w:themeColor="text1"/>
        </w:rPr>
      </w:pPr>
      <w:bookmarkStart w:id="920" w:name="_Toc175239241"/>
      <w:r w:rsidRPr="00B40A77">
        <w:rPr>
          <w:color w:val="000000" w:themeColor="text1"/>
        </w:rPr>
        <w:lastRenderedPageBreak/>
        <w:t>Part 6</w:t>
      </w:r>
      <w:r w:rsidR="000D454B" w:rsidRPr="00B40A77">
        <w:rPr>
          <w:color w:val="000000" w:themeColor="text1"/>
        </w:rPr>
        <w:t>—</w:t>
      </w:r>
      <w:r w:rsidR="000B03BB" w:rsidRPr="00B40A77">
        <w:rPr>
          <w:color w:val="000000" w:themeColor="text1"/>
        </w:rPr>
        <w:t>Notice</w:t>
      </w:r>
      <w:r w:rsidR="000D454B" w:rsidRPr="00B40A77">
        <w:rPr>
          <w:color w:val="000000" w:themeColor="text1"/>
        </w:rPr>
        <w:t xml:space="preserve"> of orders</w:t>
      </w:r>
      <w:r w:rsidR="000B03BB" w:rsidRPr="00B40A77">
        <w:rPr>
          <w:color w:val="000000" w:themeColor="text1"/>
        </w:rPr>
        <w:t xml:space="preserve"> and certificates</w:t>
      </w:r>
      <w:bookmarkEnd w:id="920"/>
    </w:p>
    <w:p w14:paraId="1AE6F6E5" w14:textId="4B1A4F46" w:rsidR="00A47344" w:rsidRPr="00B40A77" w:rsidRDefault="00A47344" w:rsidP="00A47344">
      <w:pPr>
        <w:pStyle w:val="Heading3"/>
        <w:rPr>
          <w:color w:val="000000" w:themeColor="text1"/>
        </w:rPr>
      </w:pPr>
      <w:bookmarkStart w:id="921" w:name="_Toc175239242"/>
      <w:r w:rsidRPr="00B40A77">
        <w:rPr>
          <w:color w:val="000000" w:themeColor="text1"/>
        </w:rPr>
        <w:t>Division 1—Notices to defendants and youths</w:t>
      </w:r>
      <w:bookmarkEnd w:id="921"/>
    </w:p>
    <w:p w14:paraId="7DBB674F" w14:textId="49F44B94" w:rsidR="00A84AB5" w:rsidRPr="00B40A77" w:rsidRDefault="00F76788" w:rsidP="00A84AB5">
      <w:pPr>
        <w:pStyle w:val="Heading4"/>
        <w:rPr>
          <w:color w:val="000000" w:themeColor="text1"/>
        </w:rPr>
      </w:pPr>
      <w:bookmarkStart w:id="922" w:name="_Toc175239243"/>
      <w:r w:rsidRPr="00B40A77">
        <w:rPr>
          <w:color w:val="000000" w:themeColor="text1"/>
        </w:rPr>
        <w:t>15</w:t>
      </w:r>
      <w:r w:rsidR="00F14A85" w:rsidRPr="00B40A77">
        <w:rPr>
          <w:color w:val="000000" w:themeColor="text1"/>
        </w:rPr>
        <w:t>6</w:t>
      </w:r>
      <w:r w:rsidR="00A02DBB" w:rsidRPr="00B40A77">
        <w:rPr>
          <w:color w:val="000000" w:themeColor="text1"/>
        </w:rPr>
        <w:t>.1</w:t>
      </w:r>
      <w:r w:rsidR="0064719D" w:rsidRPr="00B40A77">
        <w:rPr>
          <w:color w:val="000000" w:themeColor="text1"/>
        </w:rPr>
        <w:t>—Notice of penalty</w:t>
      </w:r>
      <w:r w:rsidR="007502FD" w:rsidRPr="00B40A77">
        <w:rPr>
          <w:color w:val="000000" w:themeColor="text1"/>
        </w:rPr>
        <w:t>: Lower Courts</w:t>
      </w:r>
      <w:bookmarkEnd w:id="922"/>
    </w:p>
    <w:p w14:paraId="193D7805" w14:textId="2D6D0C7A" w:rsidR="00A84AB5" w:rsidRPr="00B40A77" w:rsidRDefault="00A84AB5" w:rsidP="00B90C7E">
      <w:pPr>
        <w:pStyle w:val="Hangindent"/>
        <w:keepNext/>
        <w:ind w:left="567" w:firstLine="0"/>
        <w:rPr>
          <w:color w:val="000000" w:themeColor="text1"/>
          <w:lang w:val="en-US"/>
        </w:rPr>
      </w:pPr>
      <w:r w:rsidRPr="00B40A77">
        <w:rPr>
          <w:color w:val="000000" w:themeColor="text1"/>
          <w:lang w:val="en-US"/>
        </w:rPr>
        <w:t>A notice of penalty to a defendant or youth issued under section</w:t>
      </w:r>
      <w:r w:rsidR="00F7724B" w:rsidRPr="00B40A77">
        <w:rPr>
          <w:color w:val="000000" w:themeColor="text1"/>
          <w:lang w:val="en-US"/>
        </w:rPr>
        <w:t> </w:t>
      </w:r>
      <w:r w:rsidRPr="00B40A77">
        <w:rPr>
          <w:color w:val="000000" w:themeColor="text1"/>
          <w:lang w:val="en-US"/>
        </w:rPr>
        <w:t>27C(4)</w:t>
      </w:r>
      <w:r w:rsidR="00F7724B" w:rsidRPr="00B40A77">
        <w:rPr>
          <w:color w:val="000000" w:themeColor="text1"/>
          <w:lang w:val="en-US"/>
        </w:rPr>
        <w:t>, 27C</w:t>
      </w:r>
      <w:r w:rsidRPr="00B40A77">
        <w:rPr>
          <w:color w:val="000000" w:themeColor="text1"/>
          <w:lang w:val="en-US"/>
        </w:rPr>
        <w:t>(5) or</w:t>
      </w:r>
      <w:r w:rsidR="00F7724B" w:rsidRPr="00B40A77">
        <w:rPr>
          <w:color w:val="000000" w:themeColor="text1"/>
          <w:lang w:val="en-US"/>
        </w:rPr>
        <w:t> </w:t>
      </w:r>
      <w:r w:rsidRPr="00B40A77">
        <w:rPr>
          <w:color w:val="000000" w:themeColor="text1"/>
          <w:lang w:val="en-US"/>
        </w:rPr>
        <w:t>62C(2) of the Procedure Act must be in the prescribed form.</w:t>
      </w:r>
    </w:p>
    <w:p w14:paraId="663218C7" w14:textId="779506DA" w:rsidR="00A84AB5" w:rsidRPr="00B40A77" w:rsidRDefault="00A84AB5" w:rsidP="00CA2AB7">
      <w:pPr>
        <w:pStyle w:val="NoteHeader"/>
        <w:keepNext/>
        <w:ind w:left="284" w:firstLine="306"/>
        <w:rPr>
          <w:color w:val="000000" w:themeColor="text1"/>
        </w:rPr>
      </w:pPr>
      <w:r w:rsidRPr="00B40A77">
        <w:rPr>
          <w:color w:val="000000" w:themeColor="text1"/>
        </w:rPr>
        <w:t>Prescribed form—</w:t>
      </w:r>
    </w:p>
    <w:p w14:paraId="2AED76A4" w14:textId="05BD4826" w:rsidR="00A84AB5" w:rsidRPr="00B40A77" w:rsidRDefault="00A84AB5" w:rsidP="00BC23E5">
      <w:pPr>
        <w:pStyle w:val="NoteText"/>
        <w:ind w:left="568" w:firstLine="481"/>
        <w:rPr>
          <w:color w:val="000000" w:themeColor="text1"/>
        </w:rPr>
      </w:pPr>
      <w:r w:rsidRPr="00B40A77">
        <w:rPr>
          <w:color w:val="000000" w:themeColor="text1"/>
        </w:rPr>
        <w:t>Fo</w:t>
      </w:r>
      <w:r w:rsidR="004C75BE" w:rsidRPr="00B40A77">
        <w:rPr>
          <w:color w:val="000000" w:themeColor="text1"/>
        </w:rPr>
        <w:t>rm 14</w:t>
      </w:r>
      <w:r w:rsidR="00FE727D" w:rsidRPr="00B40A77">
        <w:rPr>
          <w:color w:val="000000" w:themeColor="text1"/>
        </w:rPr>
        <w:t>8</w:t>
      </w:r>
      <w:r w:rsidR="004C75BE" w:rsidRPr="00B40A77">
        <w:rPr>
          <w:color w:val="000000" w:themeColor="text1"/>
        </w:rPr>
        <w:t xml:space="preserve"> </w:t>
      </w:r>
      <w:hyperlink r:id="rId304" w:history="1">
        <w:r w:rsidR="004C75BE" w:rsidRPr="00B40A77">
          <w:rPr>
            <w:rStyle w:val="Hyperlink"/>
            <w:color w:val="000000" w:themeColor="text1"/>
          </w:rPr>
          <w:t>Notice of Penalty</w:t>
        </w:r>
        <w:r w:rsidR="00FE727D" w:rsidRPr="00B40A77">
          <w:rPr>
            <w:rStyle w:val="Hyperlink"/>
            <w:color w:val="000000" w:themeColor="text1"/>
          </w:rPr>
          <w:t xml:space="preserve"> Imposed</w:t>
        </w:r>
      </w:hyperlink>
    </w:p>
    <w:p w14:paraId="6E65B1FF" w14:textId="0AAB1EC5" w:rsidR="004C75BE" w:rsidRPr="00B40A77" w:rsidRDefault="00F76788" w:rsidP="004C75BE">
      <w:pPr>
        <w:pStyle w:val="Heading4"/>
        <w:rPr>
          <w:color w:val="000000" w:themeColor="text1"/>
        </w:rPr>
      </w:pPr>
      <w:bookmarkStart w:id="923" w:name="_Toc175239244"/>
      <w:r w:rsidRPr="00B40A77">
        <w:rPr>
          <w:color w:val="000000" w:themeColor="text1"/>
        </w:rPr>
        <w:t>15</w:t>
      </w:r>
      <w:r w:rsidR="00F14A85" w:rsidRPr="00B40A77">
        <w:rPr>
          <w:color w:val="000000" w:themeColor="text1"/>
        </w:rPr>
        <w:t>6</w:t>
      </w:r>
      <w:r w:rsidR="004C75BE" w:rsidRPr="00B40A77">
        <w:rPr>
          <w:color w:val="000000" w:themeColor="text1"/>
        </w:rPr>
        <w:t xml:space="preserve">.2—Notice </w:t>
      </w:r>
      <w:r w:rsidR="004C75BE" w:rsidRPr="00B40A77">
        <w:rPr>
          <w:color w:val="000000" w:themeColor="text1"/>
          <w:lang w:val="en-US"/>
        </w:rPr>
        <w:t>for the payment of money: Youth Court</w:t>
      </w:r>
      <w:bookmarkEnd w:id="923"/>
    </w:p>
    <w:p w14:paraId="07F10259" w14:textId="04AF03A3" w:rsidR="004C75BE" w:rsidRPr="00B40A77" w:rsidRDefault="004C75BE" w:rsidP="00B90C7E">
      <w:pPr>
        <w:pStyle w:val="Hangindent"/>
        <w:keepNext/>
        <w:ind w:left="567" w:firstLine="0"/>
        <w:rPr>
          <w:color w:val="000000" w:themeColor="text1"/>
          <w:lang w:val="en-US"/>
        </w:rPr>
      </w:pPr>
      <w:r w:rsidRPr="00B40A77">
        <w:rPr>
          <w:color w:val="000000" w:themeColor="text1"/>
          <w:lang w:val="en-US"/>
        </w:rPr>
        <w:t>A notice for the payment of money to a youth issued under section</w:t>
      </w:r>
      <w:r w:rsidR="00F7724B" w:rsidRPr="00B40A77">
        <w:rPr>
          <w:color w:val="000000" w:themeColor="text1"/>
          <w:lang w:val="en-US"/>
        </w:rPr>
        <w:t> </w:t>
      </w:r>
      <w:r w:rsidRPr="00B40A77">
        <w:rPr>
          <w:color w:val="000000" w:themeColor="text1"/>
          <w:lang w:val="en-US"/>
        </w:rPr>
        <w:t>30(3) of the Young Offenders Act must be in the prescribed form.</w:t>
      </w:r>
    </w:p>
    <w:p w14:paraId="43F3B50D" w14:textId="2B34C219" w:rsidR="004C75BE" w:rsidRPr="00B40A77" w:rsidRDefault="004C75BE" w:rsidP="00CA2AB7">
      <w:pPr>
        <w:pStyle w:val="NoteHeader"/>
        <w:keepNext/>
        <w:ind w:left="284" w:firstLine="306"/>
        <w:rPr>
          <w:color w:val="000000" w:themeColor="text1"/>
        </w:rPr>
      </w:pPr>
      <w:r w:rsidRPr="00B40A77">
        <w:rPr>
          <w:color w:val="000000" w:themeColor="text1"/>
        </w:rPr>
        <w:t>Prescribed form—</w:t>
      </w:r>
    </w:p>
    <w:p w14:paraId="0DC4614F" w14:textId="4985912D" w:rsidR="000D454B" w:rsidRPr="00B40A77" w:rsidRDefault="004C75BE" w:rsidP="00BC23E5">
      <w:pPr>
        <w:pStyle w:val="NoteText"/>
        <w:ind w:left="568" w:firstLine="481"/>
        <w:rPr>
          <w:color w:val="000000" w:themeColor="text1"/>
          <w:u w:val="single"/>
          <w:lang w:val="en-US"/>
        </w:rPr>
      </w:pPr>
      <w:r w:rsidRPr="00B40A77">
        <w:rPr>
          <w:color w:val="000000" w:themeColor="text1"/>
        </w:rPr>
        <w:t>Form 14</w:t>
      </w:r>
      <w:r w:rsidR="00FE727D" w:rsidRPr="00B40A77">
        <w:rPr>
          <w:color w:val="000000" w:themeColor="text1"/>
        </w:rPr>
        <w:t>9</w:t>
      </w:r>
      <w:r w:rsidRPr="00B40A77">
        <w:rPr>
          <w:color w:val="000000" w:themeColor="text1"/>
        </w:rPr>
        <w:t xml:space="preserve"> </w:t>
      </w:r>
      <w:hyperlink r:id="rId305" w:history="1">
        <w:r w:rsidRPr="00B40A77">
          <w:rPr>
            <w:rStyle w:val="Hyperlink"/>
            <w:color w:val="000000" w:themeColor="text1"/>
          </w:rPr>
          <w:t xml:space="preserve">Notice </w:t>
        </w:r>
        <w:r w:rsidRPr="00B40A77">
          <w:rPr>
            <w:rStyle w:val="Hyperlink"/>
            <w:color w:val="000000" w:themeColor="text1"/>
            <w:lang w:val="en-US"/>
          </w:rPr>
          <w:t>for the Payment of Money (Youth</w:t>
        </w:r>
        <w:r w:rsidR="00FE727D" w:rsidRPr="00B40A77">
          <w:rPr>
            <w:rStyle w:val="Hyperlink"/>
            <w:color w:val="000000" w:themeColor="text1"/>
            <w:lang w:val="en-US"/>
          </w:rPr>
          <w:t xml:space="preserve"> Court</w:t>
        </w:r>
        <w:r w:rsidRPr="00B40A77">
          <w:rPr>
            <w:rStyle w:val="Hyperlink"/>
            <w:color w:val="000000" w:themeColor="text1"/>
            <w:lang w:val="en-US"/>
          </w:rPr>
          <w:t>)</w:t>
        </w:r>
      </w:hyperlink>
    </w:p>
    <w:p w14:paraId="75B5AEA8" w14:textId="4FADC23C" w:rsidR="00A47344" w:rsidRPr="00B40A77" w:rsidRDefault="00A47344" w:rsidP="00A47344">
      <w:pPr>
        <w:pStyle w:val="Heading3"/>
        <w:rPr>
          <w:color w:val="000000" w:themeColor="text1"/>
        </w:rPr>
      </w:pPr>
      <w:bookmarkStart w:id="924" w:name="_Toc175239245"/>
      <w:r w:rsidRPr="00B40A77">
        <w:rPr>
          <w:color w:val="000000" w:themeColor="text1"/>
        </w:rPr>
        <w:t>Division 2—Notices to public sector agencies</w:t>
      </w:r>
      <w:bookmarkEnd w:id="924"/>
    </w:p>
    <w:p w14:paraId="5F690649" w14:textId="55251D20" w:rsidR="007502FD" w:rsidRPr="00B40A77" w:rsidRDefault="000B03BB" w:rsidP="007502FD">
      <w:pPr>
        <w:pStyle w:val="Heading4"/>
        <w:rPr>
          <w:color w:val="000000" w:themeColor="text1"/>
        </w:rPr>
      </w:pPr>
      <w:bookmarkStart w:id="925" w:name="_Toc175239246"/>
      <w:r w:rsidRPr="00B40A77">
        <w:rPr>
          <w:color w:val="000000" w:themeColor="text1"/>
        </w:rPr>
        <w:t>15</w:t>
      </w:r>
      <w:r w:rsidR="00F14A85" w:rsidRPr="00B40A77">
        <w:rPr>
          <w:color w:val="000000" w:themeColor="text1"/>
        </w:rPr>
        <w:t>7</w:t>
      </w:r>
      <w:r w:rsidR="007502FD" w:rsidRPr="00B40A77">
        <w:rPr>
          <w:color w:val="000000" w:themeColor="text1"/>
        </w:rPr>
        <w:t xml:space="preserve">.3—Notice of </w:t>
      </w:r>
      <w:r w:rsidR="00E438FC" w:rsidRPr="00B40A77">
        <w:rPr>
          <w:color w:val="000000" w:themeColor="text1"/>
        </w:rPr>
        <w:t>notifiable</w:t>
      </w:r>
      <w:r w:rsidR="007502FD" w:rsidRPr="00B40A77">
        <w:rPr>
          <w:color w:val="000000" w:themeColor="text1"/>
        </w:rPr>
        <w:t xml:space="preserve"> offence</w:t>
      </w:r>
      <w:r w:rsidR="00E438FC" w:rsidRPr="00B40A77">
        <w:rPr>
          <w:color w:val="000000" w:themeColor="text1"/>
        </w:rPr>
        <w:t>s</w:t>
      </w:r>
      <w:bookmarkEnd w:id="925"/>
    </w:p>
    <w:p w14:paraId="5B22F609" w14:textId="600424B8" w:rsidR="007502FD" w:rsidRPr="00B40A77" w:rsidRDefault="007502FD" w:rsidP="00B90C7E">
      <w:pPr>
        <w:pStyle w:val="Hangindent"/>
        <w:keepNext/>
        <w:keepLines/>
        <w:rPr>
          <w:color w:val="000000" w:themeColor="text1"/>
          <w:lang w:val="en-US"/>
        </w:rPr>
      </w:pPr>
      <w:r w:rsidRPr="00B40A77">
        <w:rPr>
          <w:color w:val="000000" w:themeColor="text1"/>
          <w:lang w:val="en-US"/>
        </w:rPr>
        <w:t>(1)</w:t>
      </w:r>
      <w:r w:rsidRPr="00B40A77">
        <w:rPr>
          <w:color w:val="000000" w:themeColor="text1"/>
          <w:lang w:val="en-US"/>
        </w:rPr>
        <w:tab/>
      </w:r>
      <w:r w:rsidR="003646C5" w:rsidRPr="00B40A77">
        <w:rPr>
          <w:color w:val="000000" w:themeColor="text1"/>
          <w:lang w:val="en-US"/>
        </w:rPr>
        <w:t xml:space="preserve">If the Court </w:t>
      </w:r>
      <w:r w:rsidR="003646C5" w:rsidRPr="00B40A77">
        <w:rPr>
          <w:color w:val="000000" w:themeColor="text1"/>
        </w:rPr>
        <w:t xml:space="preserve">finds a defendant or youth guilty of a qualifying offence within the meaning of </w:t>
      </w:r>
      <w:r w:rsidR="007F2180" w:rsidRPr="00B40A77">
        <w:rPr>
          <w:color w:val="000000" w:themeColor="text1"/>
          <w:lang w:val="en-US"/>
        </w:rPr>
        <w:t>sections</w:t>
      </w:r>
      <w:r w:rsidR="00BF12D8" w:rsidRPr="00B40A77">
        <w:rPr>
          <w:color w:val="000000" w:themeColor="text1"/>
          <w:lang w:val="en-US"/>
        </w:rPr>
        <w:t> </w:t>
      </w:r>
      <w:r w:rsidR="007F2180" w:rsidRPr="00B40A77">
        <w:rPr>
          <w:color w:val="000000" w:themeColor="text1"/>
          <w:lang w:val="en-US"/>
        </w:rPr>
        <w:t>44 and</w:t>
      </w:r>
      <w:r w:rsidR="00BF12D8" w:rsidRPr="00B40A77">
        <w:rPr>
          <w:color w:val="000000" w:themeColor="text1"/>
          <w:lang w:val="en-US"/>
        </w:rPr>
        <w:t> </w:t>
      </w:r>
      <w:r w:rsidR="007F2180" w:rsidRPr="00B40A77">
        <w:rPr>
          <w:color w:val="000000" w:themeColor="text1"/>
          <w:lang w:val="en-US"/>
        </w:rPr>
        <w:t xml:space="preserve">48 </w:t>
      </w:r>
      <w:r w:rsidR="003646C5" w:rsidRPr="00B40A77">
        <w:rPr>
          <w:rFonts w:cs="Arial"/>
          <w:color w:val="000000" w:themeColor="text1"/>
        </w:rPr>
        <w:t xml:space="preserve">of the </w:t>
      </w:r>
      <w:r w:rsidR="003646C5" w:rsidRPr="00B40A77">
        <w:rPr>
          <w:rFonts w:cs="Arial"/>
          <w:i/>
          <w:color w:val="000000" w:themeColor="text1"/>
        </w:rPr>
        <w:t>Children and Young People Safety Act 2017</w:t>
      </w:r>
      <w:r w:rsidR="003646C5" w:rsidRPr="00B40A77">
        <w:rPr>
          <w:rFonts w:cs="Arial"/>
          <w:color w:val="000000" w:themeColor="text1"/>
        </w:rPr>
        <w:t xml:space="preserve">, the </w:t>
      </w:r>
      <w:hyperlink w:anchor="_2.1—Definitions" w:history="1">
        <w:r w:rsidR="00D61876" w:rsidRPr="00B40A77">
          <w:rPr>
            <w:rStyle w:val="Hyperlink"/>
            <w:color w:val="000000" w:themeColor="text1"/>
            <w:lang w:val="en-US"/>
          </w:rPr>
          <w:t>Principal Registrar</w:t>
        </w:r>
      </w:hyperlink>
      <w:r w:rsidR="003646C5" w:rsidRPr="00B40A77">
        <w:rPr>
          <w:rFonts w:cs="Arial"/>
          <w:color w:val="000000" w:themeColor="text1"/>
        </w:rPr>
        <w:t xml:space="preserve"> </w:t>
      </w:r>
      <w:r w:rsidR="003646C5" w:rsidRPr="00B40A77">
        <w:rPr>
          <w:color w:val="000000" w:themeColor="text1"/>
        </w:rPr>
        <w:t xml:space="preserve">must </w:t>
      </w:r>
      <w:r w:rsidR="00FF122D" w:rsidRPr="00B40A77">
        <w:rPr>
          <w:color w:val="000000" w:themeColor="text1"/>
        </w:rPr>
        <w:t>cause</w:t>
      </w:r>
      <w:r w:rsidR="00D14AC6" w:rsidRPr="00B40A77">
        <w:rPr>
          <w:color w:val="000000" w:themeColor="text1"/>
        </w:rPr>
        <w:t xml:space="preserve"> the </w:t>
      </w:r>
      <w:r w:rsidR="003646C5" w:rsidRPr="00B40A77">
        <w:rPr>
          <w:color w:val="000000" w:themeColor="text1"/>
        </w:rPr>
        <w:t xml:space="preserve">information </w:t>
      </w:r>
      <w:r w:rsidR="00D14AC6" w:rsidRPr="00B40A77">
        <w:rPr>
          <w:color w:val="000000" w:themeColor="text1"/>
        </w:rPr>
        <w:t xml:space="preserve">contained </w:t>
      </w:r>
      <w:r w:rsidR="003646C5" w:rsidRPr="00B40A77">
        <w:rPr>
          <w:color w:val="000000" w:themeColor="text1"/>
        </w:rPr>
        <w:t xml:space="preserve">in the prescribed form relating to the finding of guilt </w:t>
      </w:r>
      <w:r w:rsidR="00FF122D" w:rsidRPr="00B40A77">
        <w:rPr>
          <w:color w:val="000000" w:themeColor="text1"/>
        </w:rPr>
        <w:t>to be</w:t>
      </w:r>
      <w:r w:rsidR="003646C5" w:rsidRPr="00B40A77">
        <w:rPr>
          <w:color w:val="000000" w:themeColor="text1"/>
        </w:rPr>
        <w:t xml:space="preserve"> provided to the </w:t>
      </w:r>
      <w:hyperlink w:anchor="_2.1—Definitions" w:history="1">
        <w:r w:rsidR="00B9204D" w:rsidRPr="00B40A77">
          <w:rPr>
            <w:rStyle w:val="Hyperlink"/>
            <w:rFonts w:cs="Arial"/>
            <w:color w:val="000000" w:themeColor="text1"/>
          </w:rPr>
          <w:t>Chief Executive</w:t>
        </w:r>
      </w:hyperlink>
      <w:r w:rsidR="003646C5" w:rsidRPr="00B40A77">
        <w:rPr>
          <w:color w:val="000000" w:themeColor="text1"/>
        </w:rPr>
        <w:t xml:space="preserve"> </w:t>
      </w:r>
      <w:r w:rsidR="000923E1" w:rsidRPr="00B40A77">
        <w:rPr>
          <w:rFonts w:cs="Arial"/>
          <w:iCs/>
          <w:color w:val="000000" w:themeColor="text1"/>
        </w:rPr>
        <w:t xml:space="preserve">for the Department </w:t>
      </w:r>
      <w:r w:rsidR="00E31175" w:rsidRPr="00B40A77">
        <w:rPr>
          <w:rFonts w:cs="Arial"/>
          <w:iCs/>
          <w:color w:val="000000" w:themeColor="text1"/>
        </w:rPr>
        <w:t>for Child Protection</w:t>
      </w:r>
      <w:r w:rsidR="000923E1" w:rsidRPr="00B40A77">
        <w:rPr>
          <w:color w:val="000000" w:themeColor="text1"/>
        </w:rPr>
        <w:t xml:space="preserve"> </w:t>
      </w:r>
      <w:r w:rsidR="003646C5" w:rsidRPr="00B40A77">
        <w:rPr>
          <w:color w:val="000000" w:themeColor="text1"/>
        </w:rPr>
        <w:t xml:space="preserve">as soon as practicable after the defendant or youth is found guilty as required by </w:t>
      </w:r>
      <w:r w:rsidR="00A8583C" w:rsidRPr="00B40A77">
        <w:rPr>
          <w:rFonts w:cs="Arial"/>
          <w:color w:val="000000" w:themeColor="text1"/>
        </w:rPr>
        <w:t>section</w:t>
      </w:r>
      <w:r w:rsidR="00BF12D8" w:rsidRPr="00B40A77">
        <w:rPr>
          <w:rFonts w:cs="Arial"/>
          <w:color w:val="000000" w:themeColor="text1"/>
        </w:rPr>
        <w:t> </w:t>
      </w:r>
      <w:r w:rsidR="003646C5" w:rsidRPr="00B40A77">
        <w:rPr>
          <w:rFonts w:cs="Arial"/>
          <w:color w:val="000000" w:themeColor="text1"/>
        </w:rPr>
        <w:t xml:space="preserve">48 of the </w:t>
      </w:r>
      <w:r w:rsidR="003646C5" w:rsidRPr="00B40A77">
        <w:rPr>
          <w:rFonts w:cs="Arial"/>
          <w:i/>
          <w:color w:val="000000" w:themeColor="text1"/>
        </w:rPr>
        <w:t>Children and Young People Safety Act 2017</w:t>
      </w:r>
      <w:r w:rsidR="003646C5" w:rsidRPr="00B40A77">
        <w:rPr>
          <w:color w:val="000000" w:themeColor="text1"/>
        </w:rPr>
        <w:t xml:space="preserve">. </w:t>
      </w:r>
    </w:p>
    <w:p w14:paraId="6745971A" w14:textId="2206F7F3" w:rsidR="007502FD" w:rsidRPr="00B40A77" w:rsidRDefault="007502FD" w:rsidP="00CA2AB7">
      <w:pPr>
        <w:pStyle w:val="NoteHeader"/>
        <w:keepNext/>
        <w:rPr>
          <w:color w:val="000000" w:themeColor="text1"/>
        </w:rPr>
      </w:pPr>
      <w:r w:rsidRPr="00B40A77">
        <w:rPr>
          <w:color w:val="000000" w:themeColor="text1"/>
        </w:rPr>
        <w:t>Prescribed form—</w:t>
      </w:r>
    </w:p>
    <w:p w14:paraId="73C2A67F" w14:textId="1A01888E" w:rsidR="007502FD" w:rsidRPr="00B40A77" w:rsidRDefault="007502FD" w:rsidP="00BC23E5">
      <w:pPr>
        <w:pStyle w:val="NoteText"/>
        <w:rPr>
          <w:color w:val="000000" w:themeColor="text1"/>
        </w:rPr>
      </w:pPr>
      <w:r w:rsidRPr="00B40A77">
        <w:rPr>
          <w:color w:val="000000" w:themeColor="text1"/>
        </w:rPr>
        <w:t>F</w:t>
      </w:r>
      <w:r w:rsidR="003646C5" w:rsidRPr="00B40A77">
        <w:rPr>
          <w:color w:val="000000" w:themeColor="text1"/>
        </w:rPr>
        <w:t>orm 15</w:t>
      </w:r>
      <w:r w:rsidR="00FE727D" w:rsidRPr="00B40A77">
        <w:rPr>
          <w:color w:val="000000" w:themeColor="text1"/>
        </w:rPr>
        <w:t>1</w:t>
      </w:r>
      <w:r w:rsidR="003646C5" w:rsidRPr="00B40A77">
        <w:rPr>
          <w:color w:val="000000" w:themeColor="text1"/>
        </w:rPr>
        <w:t xml:space="preserve"> </w:t>
      </w:r>
      <w:hyperlink r:id="rId306" w:history="1">
        <w:r w:rsidR="003646C5" w:rsidRPr="00B40A77">
          <w:rPr>
            <w:rStyle w:val="Hyperlink"/>
            <w:color w:val="000000" w:themeColor="text1"/>
          </w:rPr>
          <w:t>Notice of Qualifying Offence</w:t>
        </w:r>
      </w:hyperlink>
    </w:p>
    <w:p w14:paraId="72681AD5" w14:textId="057637CD" w:rsidR="00A8583C" w:rsidRPr="00B40A77" w:rsidRDefault="00E438FC"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finds a defendant or youth guilty of </w:t>
      </w:r>
      <w:r w:rsidR="00A8583C" w:rsidRPr="00B40A77">
        <w:rPr>
          <w:color w:val="000000" w:themeColor="text1"/>
          <w:lang w:val="en-US"/>
        </w:rPr>
        <w:t xml:space="preserve">a </w:t>
      </w:r>
      <w:hyperlink w:anchor="_2.1—Definitions" w:history="1">
        <w:r w:rsidR="003A1982" w:rsidRPr="00B40A77">
          <w:rPr>
            <w:rStyle w:val="Hyperlink"/>
            <w:color w:val="000000" w:themeColor="text1"/>
          </w:rPr>
          <w:t>notifiable offence</w:t>
        </w:r>
      </w:hyperlink>
      <w:r w:rsidR="00A8583C" w:rsidRPr="00B40A77">
        <w:rPr>
          <w:color w:val="000000" w:themeColor="text1"/>
          <w:lang w:val="en-US"/>
        </w:rPr>
        <w:t xml:space="preserve"> other than</w:t>
      </w:r>
      <w:r w:rsidRPr="00B40A77">
        <w:rPr>
          <w:color w:val="000000" w:themeColor="text1"/>
          <w:lang w:val="en-US"/>
        </w:rPr>
        <w:t xml:space="preserve"> a qualifying offence within the meaning of sections</w:t>
      </w:r>
      <w:r w:rsidR="00BF12D8" w:rsidRPr="00B40A77">
        <w:rPr>
          <w:color w:val="000000" w:themeColor="text1"/>
          <w:lang w:val="en-US"/>
        </w:rPr>
        <w:t> </w:t>
      </w:r>
      <w:r w:rsidRPr="00B40A77">
        <w:rPr>
          <w:color w:val="000000" w:themeColor="text1"/>
          <w:lang w:val="en-US"/>
        </w:rPr>
        <w:t>44 and</w:t>
      </w:r>
      <w:r w:rsidR="00BF12D8" w:rsidRPr="00B40A77">
        <w:rPr>
          <w:color w:val="000000" w:themeColor="text1"/>
          <w:lang w:val="en-US"/>
        </w:rPr>
        <w:t> </w:t>
      </w:r>
      <w:r w:rsidRPr="00B40A77">
        <w:rPr>
          <w:color w:val="000000" w:themeColor="text1"/>
          <w:lang w:val="en-US"/>
        </w:rPr>
        <w:t xml:space="preserve">48 of the </w:t>
      </w:r>
      <w:r w:rsidRPr="00B40A77">
        <w:rPr>
          <w:i/>
          <w:color w:val="000000" w:themeColor="text1"/>
          <w:lang w:val="en-US"/>
        </w:rPr>
        <w:t>Children and Young People Safety Act 2017</w:t>
      </w:r>
      <w:r w:rsidRPr="00B40A77">
        <w:rPr>
          <w:color w:val="000000" w:themeColor="text1"/>
          <w:lang w:val="en-US"/>
        </w:rPr>
        <w:t xml:space="preserve">,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w:t>
      </w:r>
      <w:r w:rsidR="00FF122D" w:rsidRPr="00B40A77">
        <w:rPr>
          <w:color w:val="000000" w:themeColor="text1"/>
          <w:lang w:val="en-US"/>
        </w:rPr>
        <w:t>cause</w:t>
      </w:r>
      <w:r w:rsidRPr="00B40A77">
        <w:rPr>
          <w:color w:val="000000" w:themeColor="text1"/>
          <w:lang w:val="en-US"/>
        </w:rPr>
        <w:t xml:space="preserve"> the </w:t>
      </w:r>
      <w:r w:rsidR="00D14AC6" w:rsidRPr="00B40A77">
        <w:rPr>
          <w:color w:val="000000" w:themeColor="text1"/>
        </w:rPr>
        <w:t>information contained in the</w:t>
      </w:r>
      <w:r w:rsidRPr="00B40A77">
        <w:rPr>
          <w:color w:val="000000" w:themeColor="text1"/>
          <w:lang w:val="en-US"/>
        </w:rPr>
        <w:t xml:space="preserve"> prescribed form relating to the finding of guilt </w:t>
      </w:r>
      <w:r w:rsidR="00FF122D" w:rsidRPr="00B40A77">
        <w:rPr>
          <w:color w:val="000000" w:themeColor="text1"/>
          <w:lang w:val="en-US"/>
        </w:rPr>
        <w:t>to be</w:t>
      </w:r>
      <w:r w:rsidRPr="00B40A77">
        <w:rPr>
          <w:color w:val="000000" w:themeColor="text1"/>
          <w:lang w:val="en-US"/>
        </w:rPr>
        <w:t xml:space="preserve"> provided to the </w:t>
      </w:r>
      <w:r w:rsidR="000923E1" w:rsidRPr="00B40A77">
        <w:rPr>
          <w:color w:val="000000" w:themeColor="text1"/>
          <w:lang w:val="en-US"/>
        </w:rPr>
        <w:t>Central Assessment Unit</w:t>
      </w:r>
      <w:r w:rsidRPr="00B40A77">
        <w:rPr>
          <w:color w:val="000000" w:themeColor="text1"/>
          <w:lang w:val="en-US"/>
        </w:rPr>
        <w:t xml:space="preserve"> as soon as practicable after the defendant or youth is found guilty as required by </w:t>
      </w:r>
      <w:r w:rsidR="003B2975" w:rsidRPr="00B40A77">
        <w:rPr>
          <w:color w:val="000000" w:themeColor="text1"/>
          <w:lang w:val="en-US"/>
        </w:rPr>
        <w:t>section</w:t>
      </w:r>
      <w:r w:rsidR="00BF12D8" w:rsidRPr="00B40A77">
        <w:rPr>
          <w:color w:val="000000" w:themeColor="text1"/>
          <w:lang w:val="en-US"/>
        </w:rPr>
        <w:t> </w:t>
      </w:r>
      <w:r w:rsidR="003B2975" w:rsidRPr="00B40A77">
        <w:rPr>
          <w:color w:val="000000" w:themeColor="text1"/>
          <w:lang w:val="en-US"/>
        </w:rPr>
        <w:t xml:space="preserve">38 of </w:t>
      </w:r>
      <w:r w:rsidR="00A8583C" w:rsidRPr="00B40A77">
        <w:rPr>
          <w:color w:val="000000" w:themeColor="text1"/>
          <w:lang w:val="en-US"/>
        </w:rPr>
        <w:t xml:space="preserve">the </w:t>
      </w:r>
      <w:r w:rsidR="00A8583C" w:rsidRPr="00B40A77">
        <w:rPr>
          <w:i/>
          <w:color w:val="000000" w:themeColor="text1"/>
          <w:lang w:val="en-US"/>
        </w:rPr>
        <w:t>Child Safety (Prohibited Persons) Act 2016</w:t>
      </w:r>
      <w:r w:rsidR="00A8583C" w:rsidRPr="00B40A77">
        <w:rPr>
          <w:color w:val="000000" w:themeColor="text1"/>
          <w:lang w:val="en-US"/>
        </w:rPr>
        <w:t xml:space="preserve"> or section</w:t>
      </w:r>
      <w:r w:rsidR="00A375BC" w:rsidRPr="00B40A77">
        <w:rPr>
          <w:color w:val="000000" w:themeColor="text1"/>
          <w:lang w:val="en-US"/>
        </w:rPr>
        <w:t> </w:t>
      </w:r>
      <w:r w:rsidR="00EE1085" w:rsidRPr="00B40A77">
        <w:rPr>
          <w:color w:val="000000" w:themeColor="text1"/>
          <w:lang w:val="en-US"/>
        </w:rPr>
        <w:t xml:space="preserve">18U </w:t>
      </w:r>
      <w:r w:rsidR="00A8583C" w:rsidRPr="00B40A77">
        <w:rPr>
          <w:color w:val="000000" w:themeColor="text1"/>
          <w:lang w:val="en-US"/>
        </w:rPr>
        <w:t xml:space="preserve">of the </w:t>
      </w:r>
      <w:r w:rsidR="00A8583C" w:rsidRPr="00B40A77">
        <w:rPr>
          <w:i/>
          <w:iCs/>
          <w:color w:val="000000" w:themeColor="text1"/>
          <w:lang w:val="en-US"/>
        </w:rPr>
        <w:t>Disability Inclusion Act 2018</w:t>
      </w:r>
      <w:r w:rsidR="00FF122D" w:rsidRPr="00B40A77">
        <w:rPr>
          <w:color w:val="000000" w:themeColor="text1"/>
          <w:lang w:val="en-US"/>
        </w:rPr>
        <w:t>.</w:t>
      </w:r>
    </w:p>
    <w:p w14:paraId="3A01F731" w14:textId="0062E7F8" w:rsidR="00E438FC" w:rsidRPr="00B40A77" w:rsidRDefault="00E438FC" w:rsidP="00B90C7E">
      <w:pPr>
        <w:pStyle w:val="NoteHeader"/>
        <w:keepNext/>
        <w:rPr>
          <w:color w:val="000000" w:themeColor="text1"/>
        </w:rPr>
      </w:pPr>
      <w:r w:rsidRPr="00B40A77">
        <w:rPr>
          <w:color w:val="000000" w:themeColor="text1"/>
        </w:rPr>
        <w:t>Prescribed form—</w:t>
      </w:r>
    </w:p>
    <w:p w14:paraId="4C3E60DA" w14:textId="23475C50" w:rsidR="00D14AC6" w:rsidRPr="00B40A77" w:rsidRDefault="00E438FC" w:rsidP="00BC23E5">
      <w:pPr>
        <w:pStyle w:val="NoteText"/>
        <w:rPr>
          <w:color w:val="000000" w:themeColor="text1"/>
        </w:rPr>
      </w:pPr>
      <w:r w:rsidRPr="00B40A77">
        <w:rPr>
          <w:color w:val="000000" w:themeColor="text1"/>
        </w:rPr>
        <w:t>Form 15</w:t>
      </w:r>
      <w:r w:rsidR="00FE727D" w:rsidRPr="00B40A77">
        <w:rPr>
          <w:color w:val="000000" w:themeColor="text1"/>
        </w:rPr>
        <w:t>2</w:t>
      </w:r>
      <w:r w:rsidRPr="00B40A77">
        <w:rPr>
          <w:color w:val="000000" w:themeColor="text1"/>
        </w:rPr>
        <w:t xml:space="preserve"> </w:t>
      </w:r>
      <w:hyperlink r:id="rId307" w:history="1">
        <w:r w:rsidRPr="00B40A77">
          <w:rPr>
            <w:rStyle w:val="Hyperlink"/>
            <w:color w:val="000000" w:themeColor="text1"/>
          </w:rPr>
          <w:t xml:space="preserve">Notice of </w:t>
        </w:r>
        <w:r w:rsidR="00B5540E" w:rsidRPr="00B40A77">
          <w:rPr>
            <w:rStyle w:val="Hyperlink"/>
            <w:color w:val="000000" w:themeColor="text1"/>
          </w:rPr>
          <w:t>Prescribed</w:t>
        </w:r>
        <w:r w:rsidR="00FE727D" w:rsidRPr="00B40A77">
          <w:rPr>
            <w:rStyle w:val="Hyperlink"/>
            <w:color w:val="000000" w:themeColor="text1"/>
          </w:rPr>
          <w:t xml:space="preserve">, Disqualification and/or Presumptive Disqualification </w:t>
        </w:r>
        <w:r w:rsidRPr="00B40A77">
          <w:rPr>
            <w:rStyle w:val="Hyperlink"/>
            <w:color w:val="000000" w:themeColor="text1"/>
          </w:rPr>
          <w:t>Offence</w:t>
        </w:r>
      </w:hyperlink>
    </w:p>
    <w:p w14:paraId="47376B75" w14:textId="6A2317AA" w:rsidR="006D7879" w:rsidRPr="00B40A77" w:rsidRDefault="00F76788" w:rsidP="006D7879">
      <w:pPr>
        <w:pStyle w:val="Heading4"/>
        <w:rPr>
          <w:color w:val="000000" w:themeColor="text1"/>
        </w:rPr>
      </w:pPr>
      <w:bookmarkStart w:id="926" w:name="_Toc175239247"/>
      <w:r w:rsidRPr="00B40A77">
        <w:rPr>
          <w:color w:val="000000" w:themeColor="text1"/>
        </w:rPr>
        <w:t>15</w:t>
      </w:r>
      <w:r w:rsidR="00F14A85" w:rsidRPr="00B40A77">
        <w:rPr>
          <w:color w:val="000000" w:themeColor="text1"/>
        </w:rPr>
        <w:t>7</w:t>
      </w:r>
      <w:r w:rsidR="000D4996" w:rsidRPr="00B40A77">
        <w:rPr>
          <w:color w:val="000000" w:themeColor="text1"/>
        </w:rPr>
        <w:t>.4</w:t>
      </w:r>
      <w:r w:rsidR="006D7879" w:rsidRPr="00B40A77">
        <w:rPr>
          <w:color w:val="000000" w:themeColor="text1"/>
        </w:rPr>
        <w:t>—Notice of intervention order</w:t>
      </w:r>
      <w:bookmarkEnd w:id="926"/>
    </w:p>
    <w:p w14:paraId="34223B93" w14:textId="38F4998E" w:rsidR="006D7879" w:rsidRPr="00B40A77" w:rsidRDefault="006D7879" w:rsidP="00B90C7E">
      <w:pPr>
        <w:pStyle w:val="Hangindent"/>
        <w:keepNext/>
        <w:ind w:left="567" w:firstLine="0"/>
        <w:rPr>
          <w:color w:val="000000" w:themeColor="text1"/>
          <w:lang w:val="en-US"/>
        </w:rPr>
      </w:pPr>
      <w:r w:rsidRPr="00B40A77">
        <w:rPr>
          <w:color w:val="000000" w:themeColor="text1"/>
          <w:lang w:val="en-US"/>
        </w:rPr>
        <w:t xml:space="preserve">If the Court </w:t>
      </w:r>
      <w:r w:rsidRPr="00B40A77">
        <w:rPr>
          <w:color w:val="000000" w:themeColor="text1"/>
        </w:rPr>
        <w:t>makes a</w:t>
      </w:r>
      <w:r w:rsidR="00F433A2" w:rsidRPr="00B40A77">
        <w:rPr>
          <w:color w:val="000000" w:themeColor="text1"/>
        </w:rPr>
        <w:t xml:space="preserve"> final</w:t>
      </w:r>
      <w:r w:rsidRPr="00B40A77">
        <w:rPr>
          <w:color w:val="000000" w:themeColor="text1"/>
        </w:rPr>
        <w:t xml:space="preserve"> intervention order </w:t>
      </w:r>
      <w:r w:rsidR="000B03BB" w:rsidRPr="00B40A77">
        <w:rPr>
          <w:color w:val="000000" w:themeColor="text1"/>
        </w:rPr>
        <w:t>or revokes an</w:t>
      </w:r>
      <w:r w:rsidR="00F433A2" w:rsidRPr="00B40A77">
        <w:rPr>
          <w:color w:val="000000" w:themeColor="text1"/>
        </w:rPr>
        <w:t xml:space="preserve"> interim intervention order </w:t>
      </w:r>
      <w:r w:rsidRPr="00B40A77">
        <w:rPr>
          <w:color w:val="000000" w:themeColor="text1"/>
        </w:rPr>
        <w:t xml:space="preserve">within the meaning of </w:t>
      </w:r>
      <w:r w:rsidRPr="00B40A77">
        <w:rPr>
          <w:rFonts w:cs="Arial"/>
          <w:color w:val="000000" w:themeColor="text1"/>
        </w:rPr>
        <w:t xml:space="preserve">the </w:t>
      </w:r>
      <w:hyperlink w:anchor="_2.1—Definitions" w:history="1">
        <w:r w:rsidRPr="00B40A77">
          <w:rPr>
            <w:rStyle w:val="Hyperlink"/>
            <w:iCs/>
            <w:color w:val="000000" w:themeColor="text1"/>
          </w:rPr>
          <w:t>Intervention Orders Act</w:t>
        </w:r>
      </w:hyperlink>
      <w:r w:rsidRPr="00B40A77">
        <w:rPr>
          <w:rFonts w:cs="Arial"/>
          <w:color w:val="000000" w:themeColor="text1"/>
        </w:rPr>
        <w:t xml:space="preserve">, the </w:t>
      </w:r>
      <w:hyperlink w:anchor="_2.1—Definitions" w:history="1">
        <w:r w:rsidR="00D61876" w:rsidRPr="00B40A77">
          <w:rPr>
            <w:rStyle w:val="Hyperlink"/>
            <w:color w:val="000000" w:themeColor="text1"/>
            <w:lang w:val="en-US"/>
          </w:rPr>
          <w:t>Principal Registrar</w:t>
        </w:r>
      </w:hyperlink>
      <w:r w:rsidRPr="00B40A77">
        <w:rPr>
          <w:rFonts w:cs="Arial"/>
          <w:color w:val="000000" w:themeColor="text1"/>
        </w:rPr>
        <w:t xml:space="preserve"> </w:t>
      </w:r>
      <w:r w:rsidRPr="00B40A77">
        <w:rPr>
          <w:color w:val="000000" w:themeColor="text1"/>
        </w:rPr>
        <w:t xml:space="preserve">must </w:t>
      </w:r>
      <w:r w:rsidR="00506BD4" w:rsidRPr="00B40A77">
        <w:rPr>
          <w:rFonts w:cs="Times New Roman"/>
          <w:color w:val="000000" w:themeColor="text1"/>
          <w:lang w:val="en-US"/>
        </w:rPr>
        <w:t xml:space="preserve">cause a notice in the prescribed form, or by alternative means cause the information required by the applicable statutory provisions, to be sent </w:t>
      </w:r>
      <w:r w:rsidRPr="00B40A77">
        <w:rPr>
          <w:color w:val="000000" w:themeColor="text1"/>
        </w:rPr>
        <w:t xml:space="preserve">to the </w:t>
      </w:r>
      <w:r w:rsidR="00103ADB" w:rsidRPr="00B40A77">
        <w:rPr>
          <w:color w:val="000000" w:themeColor="text1"/>
        </w:rPr>
        <w:t xml:space="preserve">relevant </w:t>
      </w:r>
      <w:r w:rsidR="00F433A2" w:rsidRPr="00B40A77">
        <w:rPr>
          <w:color w:val="000000" w:themeColor="text1"/>
        </w:rPr>
        <w:t xml:space="preserve">public sector agencies </w:t>
      </w:r>
      <w:r w:rsidRPr="00B40A77">
        <w:rPr>
          <w:color w:val="000000" w:themeColor="text1"/>
        </w:rPr>
        <w:t xml:space="preserve">as soon as practicable after the </w:t>
      </w:r>
      <w:r w:rsidR="00F433A2" w:rsidRPr="00B40A77">
        <w:rPr>
          <w:color w:val="000000" w:themeColor="text1"/>
        </w:rPr>
        <w:t>intervention order is made or revoked</w:t>
      </w:r>
      <w:r w:rsidRPr="00B40A77">
        <w:rPr>
          <w:color w:val="000000" w:themeColor="text1"/>
        </w:rPr>
        <w:t xml:space="preserve"> as required by </w:t>
      </w:r>
      <w:r w:rsidR="00B5540E" w:rsidRPr="00B40A77">
        <w:rPr>
          <w:color w:val="000000" w:themeColor="text1"/>
          <w:lang w:val="en-US"/>
        </w:rPr>
        <w:t>section</w:t>
      </w:r>
      <w:r w:rsidR="00EF1FED" w:rsidRPr="00B40A77">
        <w:rPr>
          <w:color w:val="000000" w:themeColor="text1"/>
          <w:lang w:val="en-US"/>
        </w:rPr>
        <w:t> </w:t>
      </w:r>
      <w:r w:rsidR="00B5540E" w:rsidRPr="00B40A77">
        <w:rPr>
          <w:color w:val="000000" w:themeColor="text1"/>
          <w:lang w:val="en-US"/>
        </w:rPr>
        <w:t xml:space="preserve">23(8) </w:t>
      </w:r>
      <w:r w:rsidRPr="00B40A77">
        <w:rPr>
          <w:rFonts w:cs="Arial"/>
          <w:color w:val="000000" w:themeColor="text1"/>
        </w:rPr>
        <w:t xml:space="preserve">of the </w:t>
      </w:r>
      <w:hyperlink w:anchor="_2.1—Definitions" w:history="1">
        <w:r w:rsidR="00B5540E" w:rsidRPr="00B40A77">
          <w:rPr>
            <w:rStyle w:val="Hyperlink"/>
            <w:iCs/>
            <w:color w:val="000000" w:themeColor="text1"/>
          </w:rPr>
          <w:t>Intervention Orders Act</w:t>
        </w:r>
      </w:hyperlink>
      <w:r w:rsidRPr="00B40A77">
        <w:rPr>
          <w:color w:val="000000" w:themeColor="text1"/>
        </w:rPr>
        <w:t xml:space="preserve">. </w:t>
      </w:r>
    </w:p>
    <w:p w14:paraId="2054489A" w14:textId="6D69BB88" w:rsidR="006D7879" w:rsidRPr="00B40A77" w:rsidRDefault="006D7879" w:rsidP="00B90C7E">
      <w:pPr>
        <w:pStyle w:val="NoteHeader"/>
        <w:keepNext/>
        <w:ind w:left="284" w:firstLine="306"/>
        <w:rPr>
          <w:color w:val="000000" w:themeColor="text1"/>
        </w:rPr>
      </w:pPr>
      <w:r w:rsidRPr="00B40A77">
        <w:rPr>
          <w:color w:val="000000" w:themeColor="text1"/>
        </w:rPr>
        <w:t>Prescribed form—</w:t>
      </w:r>
    </w:p>
    <w:p w14:paraId="0E6F3375" w14:textId="1AB3A9B1" w:rsidR="007502FD" w:rsidRPr="00B40A77" w:rsidRDefault="006D7879" w:rsidP="00BC23E5">
      <w:pPr>
        <w:pStyle w:val="NoteText"/>
        <w:ind w:left="568" w:firstLine="481"/>
        <w:rPr>
          <w:color w:val="000000" w:themeColor="text1"/>
          <w:lang w:val="en-US"/>
        </w:rPr>
      </w:pPr>
      <w:r w:rsidRPr="00B40A77">
        <w:rPr>
          <w:color w:val="000000" w:themeColor="text1"/>
        </w:rPr>
        <w:t>Form 15</w:t>
      </w:r>
      <w:r w:rsidR="00FE727D" w:rsidRPr="00B40A77">
        <w:rPr>
          <w:color w:val="000000" w:themeColor="text1"/>
        </w:rPr>
        <w:t>3</w:t>
      </w:r>
      <w:r w:rsidRPr="00B40A77">
        <w:rPr>
          <w:color w:val="000000" w:themeColor="text1"/>
        </w:rPr>
        <w:t xml:space="preserve"> </w:t>
      </w:r>
      <w:hyperlink r:id="rId308" w:history="1">
        <w:r w:rsidRPr="00B40A77">
          <w:rPr>
            <w:rStyle w:val="Hyperlink"/>
            <w:color w:val="000000" w:themeColor="text1"/>
          </w:rPr>
          <w:t xml:space="preserve">Notice of </w:t>
        </w:r>
        <w:r w:rsidR="00B5540E" w:rsidRPr="00B40A77">
          <w:rPr>
            <w:rStyle w:val="Hyperlink"/>
            <w:color w:val="000000" w:themeColor="text1"/>
          </w:rPr>
          <w:t>Intervention Order</w:t>
        </w:r>
      </w:hyperlink>
    </w:p>
    <w:p w14:paraId="6147F4E7" w14:textId="13C3BD63" w:rsidR="00091C86" w:rsidRPr="00B40A77" w:rsidRDefault="00F76788" w:rsidP="00091C86">
      <w:pPr>
        <w:pStyle w:val="Heading4"/>
        <w:rPr>
          <w:color w:val="000000" w:themeColor="text1"/>
        </w:rPr>
      </w:pPr>
      <w:bookmarkStart w:id="927" w:name="_Toc175239248"/>
      <w:r w:rsidRPr="00B40A77">
        <w:rPr>
          <w:color w:val="000000" w:themeColor="text1"/>
        </w:rPr>
        <w:lastRenderedPageBreak/>
        <w:t>15</w:t>
      </w:r>
      <w:r w:rsidR="00F14A85" w:rsidRPr="00B40A77">
        <w:rPr>
          <w:color w:val="000000" w:themeColor="text1"/>
        </w:rPr>
        <w:t>7</w:t>
      </w:r>
      <w:r w:rsidR="00850435" w:rsidRPr="00B40A77">
        <w:rPr>
          <w:color w:val="000000" w:themeColor="text1"/>
        </w:rPr>
        <w:t>.5</w:t>
      </w:r>
      <w:r w:rsidR="00091C86" w:rsidRPr="00B40A77">
        <w:rPr>
          <w:color w:val="000000" w:themeColor="text1"/>
        </w:rPr>
        <w:t>—Notice of order declaring liable to supervision</w:t>
      </w:r>
      <w:bookmarkEnd w:id="927"/>
    </w:p>
    <w:p w14:paraId="208B287F" w14:textId="79819B40" w:rsidR="00091C86" w:rsidRPr="00B40A77" w:rsidRDefault="00091C86" w:rsidP="00B90C7E">
      <w:pPr>
        <w:pStyle w:val="Hangindent"/>
        <w:keepNext/>
        <w:ind w:left="567" w:firstLine="0"/>
        <w:rPr>
          <w:color w:val="000000" w:themeColor="text1"/>
          <w:lang w:val="en-US"/>
        </w:rPr>
      </w:pPr>
      <w:r w:rsidRPr="00B40A77">
        <w:rPr>
          <w:color w:val="000000" w:themeColor="text1"/>
          <w:lang w:val="en-US"/>
        </w:rPr>
        <w:t xml:space="preserve">If the Court </w:t>
      </w:r>
      <w:r w:rsidRPr="00B40A77">
        <w:rPr>
          <w:color w:val="000000" w:themeColor="text1"/>
        </w:rPr>
        <w:t>declares a defendant or youth liable to supervision under Part</w:t>
      </w:r>
      <w:r w:rsidR="00BA2D1F" w:rsidRPr="00B40A77">
        <w:rPr>
          <w:color w:val="000000" w:themeColor="text1"/>
        </w:rPr>
        <w:t> </w:t>
      </w:r>
      <w:r w:rsidRPr="00B40A77">
        <w:rPr>
          <w:color w:val="000000" w:themeColor="text1"/>
        </w:rPr>
        <w:t xml:space="preserve">8A of the </w:t>
      </w:r>
      <w:r w:rsidR="00A211DF" w:rsidRPr="00B40A77">
        <w:rPr>
          <w:color w:val="000000" w:themeColor="text1"/>
        </w:rPr>
        <w:t>Consolidation Act</w:t>
      </w:r>
      <w:r w:rsidRPr="00B40A77">
        <w:rPr>
          <w:color w:val="000000" w:themeColor="text1"/>
        </w:rPr>
        <w:t xml:space="preserve">, </w:t>
      </w:r>
      <w:r w:rsidRPr="00B40A77">
        <w:rPr>
          <w:rFonts w:cs="Arial"/>
          <w:color w:val="000000" w:themeColor="text1"/>
        </w:rPr>
        <w:t xml:space="preserve">the </w:t>
      </w:r>
      <w:hyperlink w:anchor="_2.1—Definitions" w:history="1">
        <w:r w:rsidR="00D61876" w:rsidRPr="00B40A77">
          <w:rPr>
            <w:rStyle w:val="Hyperlink"/>
            <w:color w:val="000000" w:themeColor="text1"/>
            <w:lang w:val="en-US"/>
          </w:rPr>
          <w:t>Principal Registrar</w:t>
        </w:r>
      </w:hyperlink>
      <w:r w:rsidRPr="00B40A77">
        <w:rPr>
          <w:rFonts w:cs="Arial"/>
          <w:color w:val="000000" w:themeColor="text1"/>
        </w:rPr>
        <w:t xml:space="preserve"> </w:t>
      </w:r>
      <w:r w:rsidRPr="00B40A77">
        <w:rPr>
          <w:color w:val="000000" w:themeColor="text1"/>
        </w:rPr>
        <w:t xml:space="preserve">must </w:t>
      </w:r>
      <w:r w:rsidR="000923E1" w:rsidRPr="00B40A77">
        <w:rPr>
          <w:color w:val="000000" w:themeColor="text1"/>
        </w:rPr>
        <w:t>cause</w:t>
      </w:r>
      <w:r w:rsidRPr="00B40A77">
        <w:rPr>
          <w:color w:val="000000" w:themeColor="text1"/>
        </w:rPr>
        <w:t xml:space="preserve"> </w:t>
      </w:r>
      <w:r w:rsidR="00D14AC6" w:rsidRPr="00B40A77">
        <w:rPr>
          <w:color w:val="000000" w:themeColor="text1"/>
        </w:rPr>
        <w:t>the information contained in the prescribed form</w:t>
      </w:r>
      <w:r w:rsidRPr="00B40A77">
        <w:rPr>
          <w:color w:val="000000" w:themeColor="text1"/>
        </w:rPr>
        <w:t xml:space="preserve"> </w:t>
      </w:r>
      <w:r w:rsidR="000923E1" w:rsidRPr="00B40A77">
        <w:rPr>
          <w:color w:val="000000" w:themeColor="text1"/>
        </w:rPr>
        <w:t>to be</w:t>
      </w:r>
      <w:r w:rsidRPr="00B40A77">
        <w:rPr>
          <w:color w:val="000000" w:themeColor="text1"/>
        </w:rPr>
        <w:t xml:space="preserve"> provided to the relevant public sector agencies as soon as practicable after the order is made. </w:t>
      </w:r>
    </w:p>
    <w:p w14:paraId="159D5D2A" w14:textId="0C4C3138" w:rsidR="00091C86" w:rsidRPr="00B40A77" w:rsidRDefault="00091C86" w:rsidP="00B90C7E">
      <w:pPr>
        <w:pStyle w:val="NoteHeader"/>
        <w:keepNext/>
        <w:ind w:left="284" w:firstLine="306"/>
        <w:rPr>
          <w:color w:val="000000" w:themeColor="text1"/>
        </w:rPr>
      </w:pPr>
      <w:r w:rsidRPr="00B40A77">
        <w:rPr>
          <w:color w:val="000000" w:themeColor="text1"/>
        </w:rPr>
        <w:t>Prescribed form—</w:t>
      </w:r>
    </w:p>
    <w:p w14:paraId="510BE39B" w14:textId="7C2DF00A" w:rsidR="00091C86" w:rsidRPr="00B40A77" w:rsidRDefault="00091C86" w:rsidP="00BC23E5">
      <w:pPr>
        <w:pStyle w:val="NoteText"/>
        <w:ind w:left="568" w:firstLine="481"/>
        <w:rPr>
          <w:color w:val="000000" w:themeColor="text1"/>
        </w:rPr>
      </w:pPr>
      <w:r w:rsidRPr="00B40A77">
        <w:rPr>
          <w:color w:val="000000" w:themeColor="text1"/>
        </w:rPr>
        <w:t>Form 15</w:t>
      </w:r>
      <w:r w:rsidR="00FE727D" w:rsidRPr="00B40A77">
        <w:rPr>
          <w:color w:val="000000" w:themeColor="text1"/>
        </w:rPr>
        <w:t>4</w:t>
      </w:r>
      <w:r w:rsidRPr="00B40A77">
        <w:rPr>
          <w:color w:val="000000" w:themeColor="text1"/>
        </w:rPr>
        <w:t xml:space="preserve"> </w:t>
      </w:r>
      <w:hyperlink r:id="rId309" w:history="1">
        <w:r w:rsidRPr="00B40A77">
          <w:rPr>
            <w:rStyle w:val="Hyperlink"/>
            <w:color w:val="000000" w:themeColor="text1"/>
          </w:rPr>
          <w:t xml:space="preserve">Notice </w:t>
        </w:r>
        <w:r w:rsidR="00FE727D" w:rsidRPr="00B40A77">
          <w:rPr>
            <w:rStyle w:val="Hyperlink"/>
            <w:color w:val="000000" w:themeColor="text1"/>
          </w:rPr>
          <w:t xml:space="preserve">that </w:t>
        </w:r>
        <w:r w:rsidR="00B66A06" w:rsidRPr="00B40A77">
          <w:rPr>
            <w:rStyle w:val="Hyperlink"/>
            <w:color w:val="000000" w:themeColor="text1"/>
          </w:rPr>
          <w:t xml:space="preserve">Person </w:t>
        </w:r>
        <w:r w:rsidR="00FE727D" w:rsidRPr="00B40A77">
          <w:rPr>
            <w:rStyle w:val="Hyperlink"/>
            <w:color w:val="000000" w:themeColor="text1"/>
          </w:rPr>
          <w:t>has been</w:t>
        </w:r>
        <w:r w:rsidRPr="00B40A77">
          <w:rPr>
            <w:rStyle w:val="Hyperlink"/>
            <w:color w:val="000000" w:themeColor="text1"/>
          </w:rPr>
          <w:t xml:space="preserve"> Declared Liable to Supervision</w:t>
        </w:r>
      </w:hyperlink>
    </w:p>
    <w:p w14:paraId="492DDE51" w14:textId="26ACD804" w:rsidR="00A47344" w:rsidRPr="00B40A77" w:rsidRDefault="00F76788" w:rsidP="00A47344">
      <w:pPr>
        <w:pStyle w:val="Heading4"/>
        <w:rPr>
          <w:color w:val="000000" w:themeColor="text1"/>
        </w:rPr>
      </w:pPr>
      <w:bookmarkStart w:id="928" w:name="_Toc175239249"/>
      <w:r w:rsidRPr="00B40A77">
        <w:rPr>
          <w:color w:val="000000" w:themeColor="text1"/>
        </w:rPr>
        <w:t>15</w:t>
      </w:r>
      <w:r w:rsidR="00F14A85" w:rsidRPr="00B40A77">
        <w:rPr>
          <w:color w:val="000000" w:themeColor="text1"/>
        </w:rPr>
        <w:t>7</w:t>
      </w:r>
      <w:r w:rsidR="00A47344" w:rsidRPr="00B40A77">
        <w:rPr>
          <w:color w:val="000000" w:themeColor="text1"/>
        </w:rPr>
        <w:t>.6—Form of notice</w:t>
      </w:r>
      <w:bookmarkEnd w:id="928"/>
    </w:p>
    <w:p w14:paraId="28E62FC7" w14:textId="69662A36" w:rsidR="00A47344" w:rsidRPr="00B40A77" w:rsidRDefault="00A47344" w:rsidP="00A47344">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2F7FE6" w:rsidRPr="00B40A77">
        <w:rPr>
          <w:color w:val="000000" w:themeColor="text1"/>
          <w:lang w:val="en-US"/>
        </w:rPr>
        <w:t>T</w:t>
      </w:r>
      <w:r w:rsidRPr="00B40A77">
        <w:rPr>
          <w:color w:val="000000" w:themeColor="text1"/>
          <w:lang w:val="en-US"/>
        </w:rPr>
        <w:t xml:space="preserve">he information contained in a prescribed form referred to in this Division </w:t>
      </w:r>
      <w:r w:rsidR="002F7FE6" w:rsidRPr="00B40A77">
        <w:rPr>
          <w:color w:val="000000" w:themeColor="text1"/>
          <w:lang w:val="en-US"/>
        </w:rPr>
        <w:t>may</w:t>
      </w:r>
      <w:r w:rsidR="000923E1" w:rsidRPr="00B40A77">
        <w:rPr>
          <w:color w:val="000000" w:themeColor="text1"/>
          <w:lang w:val="en-US"/>
        </w:rPr>
        <w:t xml:space="preserve"> be provided </w:t>
      </w:r>
      <w:r w:rsidRPr="00B40A77">
        <w:rPr>
          <w:color w:val="000000" w:themeColor="text1"/>
          <w:lang w:val="en-US"/>
        </w:rPr>
        <w:t>in a form other than the prescribed form.</w:t>
      </w:r>
    </w:p>
    <w:p w14:paraId="2F523341" w14:textId="03053C97" w:rsidR="00A47344" w:rsidRPr="00B40A77" w:rsidRDefault="00A47344" w:rsidP="00D441A0">
      <w:pPr>
        <w:pStyle w:val="Hangindent"/>
        <w:rPr>
          <w:color w:val="000000" w:themeColor="text1"/>
        </w:rPr>
      </w:pPr>
      <w:r w:rsidRPr="00B40A77">
        <w:rPr>
          <w:color w:val="000000" w:themeColor="text1"/>
          <w:lang w:val="en-US"/>
        </w:rPr>
        <w:t>(2)</w:t>
      </w:r>
      <w:r w:rsidRPr="00B40A77">
        <w:rPr>
          <w:color w:val="000000" w:themeColor="text1"/>
          <w:lang w:val="en-US"/>
        </w:rPr>
        <w:tab/>
      </w:r>
      <w:r w:rsidR="002F7FE6" w:rsidRPr="00B40A77">
        <w:rPr>
          <w:color w:val="000000" w:themeColor="text1"/>
          <w:lang w:val="en-US"/>
        </w:rPr>
        <w:t xml:space="preserve">The </w:t>
      </w:r>
      <w:r w:rsidRPr="00B40A77">
        <w:rPr>
          <w:color w:val="000000" w:themeColor="text1"/>
          <w:lang w:val="en-US"/>
        </w:rPr>
        <w:t xml:space="preserve">information contained in a prescribed form referred to in this Division </w:t>
      </w:r>
      <w:r w:rsidR="002F7FE6" w:rsidRPr="00B40A77">
        <w:rPr>
          <w:color w:val="000000" w:themeColor="text1"/>
          <w:lang w:val="en-US"/>
        </w:rPr>
        <w:t>may</w:t>
      </w:r>
      <w:r w:rsidR="000923E1" w:rsidRPr="00B40A77">
        <w:rPr>
          <w:color w:val="000000" w:themeColor="text1"/>
          <w:lang w:val="en-US"/>
        </w:rPr>
        <w:t xml:space="preserve"> be provided </w:t>
      </w:r>
      <w:r w:rsidRPr="00B40A77">
        <w:rPr>
          <w:color w:val="000000" w:themeColor="text1"/>
          <w:lang w:val="en-US"/>
        </w:rPr>
        <w:t>by electronic data</w:t>
      </w:r>
      <w:r w:rsidRPr="00B40A77">
        <w:rPr>
          <w:color w:val="000000" w:themeColor="text1"/>
        </w:rPr>
        <w:t>.</w:t>
      </w:r>
    </w:p>
    <w:p w14:paraId="02D057C3" w14:textId="538D919D" w:rsidR="00A47344" w:rsidRPr="00B40A77" w:rsidRDefault="00A47344" w:rsidP="00A47344">
      <w:pPr>
        <w:pStyle w:val="Heading3"/>
        <w:rPr>
          <w:color w:val="000000" w:themeColor="text1"/>
        </w:rPr>
      </w:pPr>
      <w:bookmarkStart w:id="929" w:name="_Toc175239250"/>
      <w:r w:rsidRPr="00B40A77">
        <w:rPr>
          <w:color w:val="000000" w:themeColor="text1"/>
        </w:rPr>
        <w:t>Division 3— Certificates</w:t>
      </w:r>
      <w:bookmarkEnd w:id="929"/>
    </w:p>
    <w:p w14:paraId="4B418826" w14:textId="4FE7DC3B" w:rsidR="000B03BB" w:rsidRPr="00B40A77" w:rsidRDefault="00850435" w:rsidP="000B03BB">
      <w:pPr>
        <w:pStyle w:val="Heading4"/>
        <w:rPr>
          <w:color w:val="000000" w:themeColor="text1"/>
        </w:rPr>
      </w:pPr>
      <w:bookmarkStart w:id="930" w:name="_Toc175239251"/>
      <w:r w:rsidRPr="00B40A77">
        <w:rPr>
          <w:color w:val="000000" w:themeColor="text1"/>
        </w:rPr>
        <w:t>1</w:t>
      </w:r>
      <w:r w:rsidR="00A47344" w:rsidRPr="00B40A77">
        <w:rPr>
          <w:color w:val="000000" w:themeColor="text1"/>
        </w:rPr>
        <w:t>5</w:t>
      </w:r>
      <w:r w:rsidR="00F14A85" w:rsidRPr="00B40A77">
        <w:rPr>
          <w:color w:val="000000" w:themeColor="text1"/>
        </w:rPr>
        <w:t>8</w:t>
      </w:r>
      <w:r w:rsidR="00A47344" w:rsidRPr="00B40A77">
        <w:rPr>
          <w:color w:val="000000" w:themeColor="text1"/>
        </w:rPr>
        <w:t>.7</w:t>
      </w:r>
      <w:r w:rsidR="000B03BB" w:rsidRPr="00B40A77">
        <w:rPr>
          <w:color w:val="000000" w:themeColor="text1"/>
        </w:rPr>
        <w:t>—Certificate for identity theft</w:t>
      </w:r>
      <w:bookmarkEnd w:id="930"/>
    </w:p>
    <w:p w14:paraId="2C10F30C" w14:textId="4B5AB188" w:rsidR="000B03BB" w:rsidRPr="00B40A77" w:rsidRDefault="003B19A7"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0B03BB" w:rsidRPr="00B40A77">
        <w:rPr>
          <w:color w:val="000000" w:themeColor="text1"/>
          <w:lang w:val="en-US"/>
        </w:rPr>
        <w:t>A</w:t>
      </w:r>
      <w:r w:rsidRPr="00B40A77">
        <w:rPr>
          <w:color w:val="000000" w:themeColor="text1"/>
          <w:lang w:val="en-US"/>
        </w:rPr>
        <w:t>n application for a</w:t>
      </w:r>
      <w:r w:rsidR="000B03BB" w:rsidRPr="00B40A77">
        <w:rPr>
          <w:color w:val="000000" w:themeColor="text1"/>
          <w:lang w:val="en-US"/>
        </w:rPr>
        <w:t xml:space="preserve"> certificate for identity theft under section</w:t>
      </w:r>
      <w:r w:rsidR="00EF1FED" w:rsidRPr="00B40A77">
        <w:rPr>
          <w:color w:val="000000" w:themeColor="text1"/>
          <w:lang w:val="en-US"/>
        </w:rPr>
        <w:t> </w:t>
      </w:r>
      <w:r w:rsidR="000B03BB" w:rsidRPr="00B40A77">
        <w:rPr>
          <w:color w:val="000000" w:themeColor="text1"/>
          <w:lang w:val="en-US"/>
        </w:rPr>
        <w:t>125 of the Sentencing</w:t>
      </w:r>
      <w:r w:rsidR="00382E1C" w:rsidRPr="00B40A77">
        <w:rPr>
          <w:color w:val="000000" w:themeColor="text1"/>
          <w:lang w:val="en-US"/>
        </w:rPr>
        <w:t> </w:t>
      </w:r>
      <w:r w:rsidR="000B03BB" w:rsidRPr="00B40A77">
        <w:rPr>
          <w:color w:val="000000" w:themeColor="text1"/>
          <w:lang w:val="en-US"/>
        </w:rPr>
        <w:t>Act must be in the prescribed form</w:t>
      </w:r>
      <w:r w:rsidRPr="00B40A77">
        <w:rPr>
          <w:color w:val="000000" w:themeColor="text1"/>
          <w:lang w:val="en-US"/>
        </w:rPr>
        <w:t xml:space="preserve"> supported by an affidavit in the prescribed form</w:t>
      </w:r>
      <w:r w:rsidR="000B03BB" w:rsidRPr="00B40A77">
        <w:rPr>
          <w:color w:val="000000" w:themeColor="text1"/>
          <w:lang w:val="en-US"/>
        </w:rPr>
        <w:t>.</w:t>
      </w:r>
    </w:p>
    <w:p w14:paraId="2148D3A6" w14:textId="6208E6EA" w:rsidR="000B03BB" w:rsidRPr="00B40A77" w:rsidRDefault="000B03BB" w:rsidP="00B90C7E">
      <w:pPr>
        <w:pStyle w:val="NoteHeader"/>
        <w:keepNext/>
        <w:rPr>
          <w:color w:val="000000" w:themeColor="text1"/>
        </w:rPr>
      </w:pPr>
      <w:r w:rsidRPr="00B40A77">
        <w:rPr>
          <w:color w:val="000000" w:themeColor="text1"/>
        </w:rPr>
        <w:t>Prescribed form—</w:t>
      </w:r>
    </w:p>
    <w:p w14:paraId="29B56C65" w14:textId="095EB156" w:rsidR="003B19A7" w:rsidRPr="00B40A77" w:rsidRDefault="003B19A7" w:rsidP="00BC23E5">
      <w:pPr>
        <w:pStyle w:val="NoteText"/>
        <w:rPr>
          <w:color w:val="000000" w:themeColor="text1"/>
          <w:lang w:val="en-US"/>
        </w:rPr>
      </w:pPr>
      <w:r w:rsidRPr="00B40A77">
        <w:rPr>
          <w:color w:val="000000" w:themeColor="text1"/>
        </w:rPr>
        <w:t xml:space="preserve">Form 92 </w:t>
      </w:r>
      <w:hyperlink r:id="rId310" w:history="1">
        <w:r w:rsidRPr="00B40A77">
          <w:rPr>
            <w:rStyle w:val="Hyperlink"/>
            <w:color w:val="000000" w:themeColor="text1"/>
          </w:rPr>
          <w:t xml:space="preserve">Interlocutory </w:t>
        </w:r>
        <w:r w:rsidRPr="00B40A77">
          <w:rPr>
            <w:rStyle w:val="Hyperlink"/>
            <w:color w:val="000000" w:themeColor="text1"/>
            <w:lang w:val="en-US"/>
          </w:rPr>
          <w:t>Application</w:t>
        </w:r>
      </w:hyperlink>
    </w:p>
    <w:p w14:paraId="4ECF06A3" w14:textId="10C5F3E8" w:rsidR="00B7503A" w:rsidRPr="00B40A77" w:rsidRDefault="00B7503A" w:rsidP="00BC23E5">
      <w:pPr>
        <w:pStyle w:val="NoteText"/>
        <w:rPr>
          <w:rStyle w:val="Hyperlink"/>
          <w:color w:val="000000" w:themeColor="text1"/>
        </w:rPr>
      </w:pPr>
      <w:r w:rsidRPr="00B40A77">
        <w:rPr>
          <w:color w:val="000000" w:themeColor="text1"/>
        </w:rPr>
        <w:t xml:space="preserve">Form 93 </w:t>
      </w:r>
      <w:hyperlink r:id="rId311" w:history="1">
        <w:r w:rsidRPr="00B40A77">
          <w:rPr>
            <w:rStyle w:val="Hyperlink"/>
            <w:color w:val="000000" w:themeColor="text1"/>
          </w:rPr>
          <w:t>Affidavit</w:t>
        </w:r>
      </w:hyperlink>
    </w:p>
    <w:p w14:paraId="70483CB8" w14:textId="1BC18C87" w:rsidR="00B7503A" w:rsidRPr="00B40A77" w:rsidRDefault="00B7503A" w:rsidP="00B7503A">
      <w:pPr>
        <w:pStyle w:val="Hangindent"/>
        <w:rPr>
          <w:color w:val="000000" w:themeColor="text1"/>
          <w:lang w:val="en-US"/>
        </w:rPr>
      </w:pPr>
      <w:r w:rsidRPr="00B40A77">
        <w:rPr>
          <w:color w:val="000000" w:themeColor="text1"/>
          <w:lang w:val="en-US"/>
        </w:rPr>
        <w:t>(2)</w:t>
      </w:r>
      <w:r w:rsidRPr="00B40A77">
        <w:rPr>
          <w:color w:val="000000" w:themeColor="text1"/>
          <w:lang w:val="en-US"/>
        </w:rPr>
        <w:tab/>
        <w:t>The supporting affidavit must:</w:t>
      </w:r>
    </w:p>
    <w:p w14:paraId="04977CB0" w14:textId="1B13B6A4" w:rsidR="00B7503A" w:rsidRPr="00B40A77" w:rsidRDefault="00B7503A" w:rsidP="00B7503A">
      <w:pPr>
        <w:pStyle w:val="Doublehangindent"/>
        <w:rPr>
          <w:color w:val="000000" w:themeColor="text1"/>
        </w:rPr>
      </w:pPr>
      <w:r w:rsidRPr="00B40A77">
        <w:rPr>
          <w:color w:val="000000" w:themeColor="text1"/>
        </w:rPr>
        <w:t>(a)</w:t>
      </w:r>
      <w:r w:rsidRPr="00B40A77">
        <w:rPr>
          <w:color w:val="000000" w:themeColor="text1"/>
        </w:rPr>
        <w:tab/>
        <w:t>identify the relevant offence or offences of which the defendant or youth has been found guilty;</w:t>
      </w:r>
    </w:p>
    <w:p w14:paraId="2C6DA980" w14:textId="30AFB16F" w:rsidR="00B7503A" w:rsidRPr="00B40A77" w:rsidRDefault="00B7503A" w:rsidP="00B7503A">
      <w:pPr>
        <w:pStyle w:val="Doublehangindent"/>
        <w:rPr>
          <w:color w:val="000000" w:themeColor="text1"/>
        </w:rPr>
      </w:pPr>
      <w:r w:rsidRPr="00B40A77">
        <w:rPr>
          <w:color w:val="000000" w:themeColor="text1"/>
        </w:rPr>
        <w:t>(b)</w:t>
      </w:r>
      <w:r w:rsidRPr="00B40A77">
        <w:rPr>
          <w:color w:val="000000" w:themeColor="text1"/>
        </w:rPr>
        <w:tab/>
        <w:t>if applicable, identify the manner in which the person’s identity was assumed</w:t>
      </w:r>
      <w:r w:rsidR="00C80C26" w:rsidRPr="00B40A77">
        <w:rPr>
          <w:color w:val="000000" w:themeColor="text1"/>
        </w:rPr>
        <w:t>;</w:t>
      </w:r>
    </w:p>
    <w:p w14:paraId="67D14817" w14:textId="2A1A38CA" w:rsidR="00C80C26" w:rsidRPr="00B40A77" w:rsidRDefault="00C80C26" w:rsidP="00B7503A">
      <w:pPr>
        <w:pStyle w:val="Doublehangindent"/>
        <w:rPr>
          <w:color w:val="000000" w:themeColor="text1"/>
        </w:rPr>
      </w:pPr>
      <w:r w:rsidRPr="00B40A77">
        <w:rPr>
          <w:color w:val="000000" w:themeColor="text1"/>
        </w:rPr>
        <w:t>(c)</w:t>
      </w:r>
      <w:r w:rsidRPr="00B40A77">
        <w:rPr>
          <w:color w:val="000000" w:themeColor="text1"/>
        </w:rPr>
        <w:tab/>
        <w:t>if applicable, identify the relevant personal identification information and the manner in which it was used;</w:t>
      </w:r>
    </w:p>
    <w:p w14:paraId="4B016EC1" w14:textId="0B4B2D16" w:rsidR="00C80C26" w:rsidRPr="00B40A77" w:rsidRDefault="00C80C26" w:rsidP="00B7503A">
      <w:pPr>
        <w:pStyle w:val="Doublehangindent"/>
        <w:rPr>
          <w:color w:val="000000" w:themeColor="text1"/>
        </w:rPr>
      </w:pPr>
      <w:r w:rsidRPr="00B40A77">
        <w:rPr>
          <w:color w:val="000000" w:themeColor="text1"/>
        </w:rPr>
        <w:t>(d)</w:t>
      </w:r>
      <w:r w:rsidRPr="00B40A77">
        <w:rPr>
          <w:color w:val="000000" w:themeColor="text1"/>
        </w:rPr>
        <w:tab/>
        <w:t>identify how the assumption of the person’s identity or use of the person’s personal identification information was assumed or used in connection with the commission of the offence or offences;</w:t>
      </w:r>
    </w:p>
    <w:p w14:paraId="2B434587" w14:textId="386DBA19" w:rsidR="00B7503A" w:rsidRPr="00B40A77" w:rsidRDefault="00C80C26" w:rsidP="00CE24CE">
      <w:pPr>
        <w:pStyle w:val="Doublehangindent"/>
        <w:rPr>
          <w:color w:val="000000" w:themeColor="text1"/>
        </w:rPr>
      </w:pPr>
      <w:r w:rsidRPr="00B40A77">
        <w:rPr>
          <w:color w:val="000000" w:themeColor="text1"/>
        </w:rPr>
        <w:t>(e)</w:t>
      </w:r>
      <w:r w:rsidRPr="00B40A77">
        <w:rPr>
          <w:color w:val="000000" w:themeColor="text1"/>
        </w:rPr>
        <w:tab/>
        <w:t>address the assumption of the person’s identity or use of the person’s personal identification information being without the person’s consent.</w:t>
      </w:r>
    </w:p>
    <w:p w14:paraId="3CB3F37E" w14:textId="45BEE1C2" w:rsidR="00A4547F" w:rsidRPr="00B40A77" w:rsidRDefault="00A4547F" w:rsidP="003B19A7">
      <w:pPr>
        <w:pStyle w:val="Hangindent"/>
        <w:rPr>
          <w:color w:val="000000" w:themeColor="text1"/>
          <w:lang w:val="en-US"/>
        </w:rPr>
      </w:pPr>
      <w:r w:rsidRPr="00B40A77">
        <w:rPr>
          <w:color w:val="000000" w:themeColor="text1"/>
          <w:lang w:val="en-US"/>
        </w:rPr>
        <w:t>(3)</w:t>
      </w:r>
      <w:r w:rsidRPr="00B40A77">
        <w:rPr>
          <w:color w:val="000000" w:themeColor="text1"/>
          <w:lang w:val="en-US"/>
        </w:rPr>
        <w:tab/>
        <w:t>The Court may</w:t>
      </w:r>
      <w:r w:rsidR="00697A9D" w:rsidRPr="00B40A77">
        <w:rPr>
          <w:color w:val="000000" w:themeColor="text1"/>
          <w:lang w:val="en-US"/>
        </w:rPr>
        <w:t>,</w:t>
      </w:r>
      <w:r w:rsidRPr="00B40A77">
        <w:rPr>
          <w:color w:val="000000" w:themeColor="text1"/>
          <w:lang w:val="en-US"/>
        </w:rPr>
        <w:t xml:space="preserve"> if it thinks fit</w:t>
      </w:r>
      <w:r w:rsidR="00697A9D" w:rsidRPr="00B40A77">
        <w:rPr>
          <w:color w:val="000000" w:themeColor="text1"/>
          <w:lang w:val="en-US"/>
        </w:rPr>
        <w:t>,</w:t>
      </w:r>
      <w:r w:rsidRPr="00B40A77">
        <w:rPr>
          <w:color w:val="000000" w:themeColor="text1"/>
          <w:lang w:val="en-US"/>
        </w:rPr>
        <w:t xml:space="preserve"> determine the application without hearing the parties.</w:t>
      </w:r>
    </w:p>
    <w:p w14:paraId="5FB0AD46" w14:textId="42F49990" w:rsidR="003B19A7" w:rsidRPr="00B40A77" w:rsidRDefault="003B19A7" w:rsidP="00B90C7E">
      <w:pPr>
        <w:pStyle w:val="Hangindent"/>
        <w:keepNext/>
        <w:rPr>
          <w:color w:val="000000" w:themeColor="text1"/>
          <w:lang w:val="en-US"/>
        </w:rPr>
      </w:pPr>
      <w:r w:rsidRPr="00B40A77">
        <w:rPr>
          <w:color w:val="000000" w:themeColor="text1"/>
          <w:lang w:val="en-US"/>
        </w:rPr>
        <w:t>(</w:t>
      </w:r>
      <w:r w:rsidR="00A4547F" w:rsidRPr="00B40A77">
        <w:rPr>
          <w:color w:val="000000" w:themeColor="text1"/>
          <w:lang w:val="en-US"/>
        </w:rPr>
        <w:t>4</w:t>
      </w:r>
      <w:r w:rsidRPr="00B40A77">
        <w:rPr>
          <w:color w:val="000000" w:themeColor="text1"/>
          <w:lang w:val="en-US"/>
        </w:rPr>
        <w:t>)</w:t>
      </w:r>
      <w:r w:rsidRPr="00B40A77">
        <w:rPr>
          <w:color w:val="000000" w:themeColor="text1"/>
          <w:lang w:val="en-US"/>
        </w:rPr>
        <w:tab/>
        <w:t>A certificate for identity theft must be in the prescribed form.</w:t>
      </w:r>
    </w:p>
    <w:p w14:paraId="74CC2D9D" w14:textId="77777777" w:rsidR="00A4547F" w:rsidRPr="00B40A77" w:rsidRDefault="00A4547F" w:rsidP="00B90C7E">
      <w:pPr>
        <w:pStyle w:val="NoteHeader"/>
        <w:keepNext/>
        <w:rPr>
          <w:color w:val="000000" w:themeColor="text1"/>
        </w:rPr>
      </w:pPr>
      <w:r w:rsidRPr="00B40A77">
        <w:rPr>
          <w:color w:val="000000" w:themeColor="text1"/>
        </w:rPr>
        <w:t>Prescribed form—</w:t>
      </w:r>
    </w:p>
    <w:p w14:paraId="502798DC" w14:textId="152ABF96" w:rsidR="00091C86" w:rsidRPr="00B40A77" w:rsidRDefault="00A4547F" w:rsidP="00BC23E5">
      <w:pPr>
        <w:pStyle w:val="NoteText"/>
        <w:rPr>
          <w:color w:val="000000" w:themeColor="text1"/>
          <w:u w:val="single"/>
        </w:rPr>
      </w:pPr>
      <w:r w:rsidRPr="00B40A77">
        <w:rPr>
          <w:color w:val="000000" w:themeColor="text1"/>
        </w:rPr>
        <w:t xml:space="preserve">Form 150 </w:t>
      </w:r>
      <w:hyperlink r:id="rId312" w:history="1">
        <w:r w:rsidRPr="00B40A77">
          <w:rPr>
            <w:rStyle w:val="Hyperlink"/>
            <w:color w:val="000000" w:themeColor="text1"/>
          </w:rPr>
          <w:t>Certificate for Victim of Identity Theft</w:t>
        </w:r>
      </w:hyperlink>
    </w:p>
    <w:p w14:paraId="49AFC4EF" w14:textId="661699F3" w:rsidR="003061B8" w:rsidRPr="00B40A77" w:rsidRDefault="00C239BC" w:rsidP="00D45D85">
      <w:pPr>
        <w:pStyle w:val="Heading2"/>
        <w:keepNext/>
        <w:rPr>
          <w:color w:val="000000" w:themeColor="text1"/>
        </w:rPr>
      </w:pPr>
      <w:bookmarkStart w:id="931" w:name="_Toc175239252"/>
      <w:r w:rsidRPr="00B40A77">
        <w:rPr>
          <w:color w:val="000000" w:themeColor="text1"/>
        </w:rPr>
        <w:t>Part 7</w:t>
      </w:r>
      <w:r w:rsidR="003061B8" w:rsidRPr="00B40A77">
        <w:rPr>
          <w:color w:val="000000" w:themeColor="text1"/>
        </w:rPr>
        <w:t xml:space="preserve">—Costs: </w:t>
      </w:r>
      <w:r w:rsidR="00F51FCF" w:rsidRPr="00B40A77">
        <w:rPr>
          <w:color w:val="000000" w:themeColor="text1"/>
        </w:rPr>
        <w:t>Lower</w:t>
      </w:r>
      <w:r w:rsidR="003061B8" w:rsidRPr="00B40A77">
        <w:rPr>
          <w:color w:val="000000" w:themeColor="text1"/>
        </w:rPr>
        <w:t xml:space="preserve"> Court</w:t>
      </w:r>
      <w:r w:rsidR="00F51FCF" w:rsidRPr="00B40A77">
        <w:rPr>
          <w:color w:val="000000" w:themeColor="text1"/>
        </w:rPr>
        <w:t>s</w:t>
      </w:r>
      <w:bookmarkEnd w:id="931"/>
    </w:p>
    <w:p w14:paraId="7722E52E" w14:textId="3A4E85BD" w:rsidR="003061B8" w:rsidRPr="00B40A77" w:rsidRDefault="00850435" w:rsidP="003061B8">
      <w:pPr>
        <w:pStyle w:val="Heading4"/>
        <w:rPr>
          <w:color w:val="000000" w:themeColor="text1"/>
        </w:rPr>
      </w:pPr>
      <w:bookmarkStart w:id="932" w:name="_Toc175239253"/>
      <w:bookmarkStart w:id="933" w:name="_Toc40172913"/>
      <w:r w:rsidRPr="00B40A77">
        <w:rPr>
          <w:color w:val="000000" w:themeColor="text1"/>
        </w:rPr>
        <w:t>15</w:t>
      </w:r>
      <w:r w:rsidR="00F14A85" w:rsidRPr="00B40A77">
        <w:rPr>
          <w:color w:val="000000" w:themeColor="text1"/>
        </w:rPr>
        <w:t>9</w:t>
      </w:r>
      <w:r w:rsidR="003061B8" w:rsidRPr="00B40A77">
        <w:rPr>
          <w:color w:val="000000" w:themeColor="text1"/>
        </w:rPr>
        <w:t>.1—Exercise of costs discretion</w:t>
      </w:r>
      <w:bookmarkEnd w:id="932"/>
    </w:p>
    <w:p w14:paraId="10BF062E" w14:textId="77777777" w:rsidR="003061B8" w:rsidRPr="00B40A77" w:rsidRDefault="003061B8" w:rsidP="003061B8">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This rule applies when the Court has power to order the payment of costs.</w:t>
      </w:r>
    </w:p>
    <w:p w14:paraId="0B5CDEEB" w14:textId="77777777" w:rsidR="003061B8" w:rsidRPr="00B40A77" w:rsidRDefault="003061B8" w:rsidP="003061B8">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An order for costs is in the discretion of the Court.</w:t>
      </w:r>
    </w:p>
    <w:p w14:paraId="04E08670" w14:textId="77777777" w:rsidR="003061B8" w:rsidRPr="00B40A77" w:rsidRDefault="003061B8" w:rsidP="003061B8">
      <w:pPr>
        <w:pStyle w:val="Hangindent"/>
        <w:rPr>
          <w:rFonts w:cs="Times New Roman"/>
          <w:color w:val="000000" w:themeColor="text1"/>
        </w:rPr>
      </w:pPr>
      <w:r w:rsidRPr="00B40A77">
        <w:rPr>
          <w:rFonts w:cs="Times New Roman"/>
          <w:color w:val="000000" w:themeColor="text1"/>
        </w:rPr>
        <w:lastRenderedPageBreak/>
        <w:t>(3)</w:t>
      </w:r>
      <w:r w:rsidRPr="00B40A77">
        <w:rPr>
          <w:rFonts w:cs="Times New Roman"/>
          <w:color w:val="000000" w:themeColor="text1"/>
        </w:rPr>
        <w:tab/>
        <w:t xml:space="preserve">Ordinarily, costs will be ordered in favour of a successful party against an unsuccessful party </w:t>
      </w:r>
    </w:p>
    <w:p w14:paraId="3492187B" w14:textId="0FFE51EC" w:rsidR="003061B8" w:rsidRPr="00B40A77" w:rsidRDefault="003061B8" w:rsidP="003061B8">
      <w:pPr>
        <w:pStyle w:val="Hangindent"/>
        <w:rPr>
          <w:color w:val="000000" w:themeColor="text1"/>
          <w:lang w:val="en-US"/>
        </w:rPr>
      </w:pPr>
      <w:r w:rsidRPr="00B40A77">
        <w:rPr>
          <w:rFonts w:cs="Times New Roman"/>
          <w:color w:val="000000" w:themeColor="text1"/>
        </w:rPr>
        <w:t>(4)</w:t>
      </w:r>
      <w:r w:rsidRPr="00B40A77">
        <w:rPr>
          <w:rFonts w:cs="Times New Roman"/>
          <w:color w:val="000000" w:themeColor="text1"/>
        </w:rPr>
        <w:tab/>
        <w:t>For the purpose of subrule</w:t>
      </w:r>
      <w:r w:rsidR="00C42A0C" w:rsidRPr="00B40A77">
        <w:rPr>
          <w:rFonts w:cs="Times New Roman"/>
          <w:color w:val="000000" w:themeColor="text1"/>
        </w:rPr>
        <w:t> </w:t>
      </w:r>
      <w:r w:rsidRPr="00B40A77">
        <w:rPr>
          <w:rFonts w:cs="Times New Roman"/>
          <w:color w:val="000000" w:themeColor="text1"/>
        </w:rPr>
        <w:t>(3)—</w:t>
      </w:r>
    </w:p>
    <w:p w14:paraId="63C1FD73" w14:textId="77777777" w:rsidR="003061B8" w:rsidRPr="00B40A77" w:rsidRDefault="003061B8" w:rsidP="003061B8">
      <w:pPr>
        <w:pStyle w:val="Doublehangindent"/>
        <w:rPr>
          <w:color w:val="000000" w:themeColor="text1"/>
          <w:lang w:val="en-US"/>
        </w:rPr>
      </w:pPr>
      <w:r w:rsidRPr="00B40A77">
        <w:rPr>
          <w:color w:val="000000" w:themeColor="text1"/>
          <w:lang w:val="en-US"/>
        </w:rPr>
        <w:t>(a)</w:t>
      </w:r>
      <w:r w:rsidRPr="00B40A77">
        <w:rPr>
          <w:color w:val="000000" w:themeColor="text1"/>
          <w:lang w:val="en-US"/>
        </w:rPr>
        <w:tab/>
        <w:t>an informant who institutes a proceeding in which a plea of guilty is entered will be regarded as a successful party; and</w:t>
      </w:r>
    </w:p>
    <w:p w14:paraId="24250BA8" w14:textId="5810ADF4" w:rsidR="003061B8" w:rsidRPr="00B40A77" w:rsidRDefault="003061B8" w:rsidP="003061B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 defendant who defends </w:t>
      </w:r>
      <w:r w:rsidR="00F0768E" w:rsidRPr="00B40A77">
        <w:rPr>
          <w:color w:val="000000" w:themeColor="text1"/>
          <w:lang w:val="en-US"/>
        </w:rPr>
        <w:t xml:space="preserve">a </w:t>
      </w:r>
      <w:r w:rsidRPr="00B40A77">
        <w:rPr>
          <w:color w:val="000000" w:themeColor="text1"/>
          <w:lang w:val="en-US"/>
        </w:rPr>
        <w:t xml:space="preserve">proceeding that </w:t>
      </w:r>
      <w:r w:rsidR="00F0768E" w:rsidRPr="00B40A77">
        <w:rPr>
          <w:color w:val="000000" w:themeColor="text1"/>
          <w:lang w:val="en-US"/>
        </w:rPr>
        <w:t>is</w:t>
      </w:r>
      <w:r w:rsidRPr="00B40A77">
        <w:rPr>
          <w:color w:val="000000" w:themeColor="text1"/>
          <w:lang w:val="en-US"/>
        </w:rPr>
        <w:t xml:space="preserve"> withdrawn or dismissed as a result of no evidence being tendered will be regarded as a successful party.</w:t>
      </w:r>
    </w:p>
    <w:p w14:paraId="3C3CEE91" w14:textId="716D734E" w:rsidR="003061B8" w:rsidRPr="00B40A77" w:rsidRDefault="00850435" w:rsidP="003061B8">
      <w:pPr>
        <w:pStyle w:val="Heading4"/>
        <w:rPr>
          <w:color w:val="000000" w:themeColor="text1"/>
        </w:rPr>
      </w:pPr>
      <w:bookmarkStart w:id="934" w:name="_Toc175239254"/>
      <w:r w:rsidRPr="00B40A77">
        <w:rPr>
          <w:color w:val="000000" w:themeColor="text1"/>
        </w:rPr>
        <w:t>15</w:t>
      </w:r>
      <w:r w:rsidR="00F14A85" w:rsidRPr="00B40A77">
        <w:rPr>
          <w:color w:val="000000" w:themeColor="text1"/>
        </w:rPr>
        <w:t>9</w:t>
      </w:r>
      <w:r w:rsidR="003061B8" w:rsidRPr="00B40A77">
        <w:rPr>
          <w:color w:val="000000" w:themeColor="text1"/>
        </w:rPr>
        <w:t>.2—Scale of costs</w:t>
      </w:r>
      <w:bookmarkEnd w:id="934"/>
    </w:p>
    <w:p w14:paraId="089915E8" w14:textId="77777777" w:rsidR="003061B8" w:rsidRPr="00B40A77" w:rsidRDefault="003061B8" w:rsidP="003061B8">
      <w:pPr>
        <w:pStyle w:val="Hangindent"/>
        <w:rPr>
          <w:color w:val="000000" w:themeColor="text1"/>
          <w:lang w:val="en-US"/>
        </w:rPr>
      </w:pPr>
      <w:r w:rsidRPr="00B40A77">
        <w:rPr>
          <w:rFonts w:cs="Times New Roman"/>
          <w:color w:val="000000" w:themeColor="text1"/>
        </w:rPr>
        <w:t>(1)</w:t>
      </w:r>
      <w:r w:rsidRPr="00B40A77">
        <w:rPr>
          <w:rFonts w:cs="Times New Roman"/>
          <w:color w:val="000000" w:themeColor="text1"/>
        </w:rPr>
        <w:tab/>
        <w:t>The Court may order that costs be awarded—</w:t>
      </w:r>
    </w:p>
    <w:p w14:paraId="50518521" w14:textId="77777777" w:rsidR="00F50B8E" w:rsidRPr="00B40A77" w:rsidRDefault="003061B8" w:rsidP="003061B8">
      <w:pPr>
        <w:pStyle w:val="Doublehangindent"/>
        <w:rPr>
          <w:color w:val="000000" w:themeColor="text1"/>
        </w:rPr>
      </w:pPr>
      <w:r w:rsidRPr="00B40A77">
        <w:rPr>
          <w:color w:val="000000" w:themeColor="text1"/>
        </w:rPr>
        <w:t>(a)</w:t>
      </w:r>
      <w:r w:rsidRPr="00B40A77">
        <w:rPr>
          <w:color w:val="000000" w:themeColor="text1"/>
        </w:rPr>
        <w:tab/>
        <w:t xml:space="preserve">in </w:t>
      </w:r>
      <w:r w:rsidR="00F50B8E" w:rsidRPr="00B40A77">
        <w:rPr>
          <w:color w:val="000000" w:themeColor="text1"/>
        </w:rPr>
        <w:t>a lump sum fixed by the Court;</w:t>
      </w:r>
    </w:p>
    <w:p w14:paraId="73EA27F7" w14:textId="240488BA" w:rsidR="003061B8" w:rsidRPr="00B40A77" w:rsidRDefault="00F50B8E" w:rsidP="003061B8">
      <w:pPr>
        <w:pStyle w:val="Doublehangindent"/>
        <w:rPr>
          <w:color w:val="000000" w:themeColor="text1"/>
        </w:rPr>
      </w:pPr>
      <w:r w:rsidRPr="00B40A77">
        <w:rPr>
          <w:color w:val="000000" w:themeColor="text1"/>
        </w:rPr>
        <w:t>(b)</w:t>
      </w:r>
      <w:r w:rsidRPr="00B40A77">
        <w:rPr>
          <w:color w:val="000000" w:themeColor="text1"/>
        </w:rPr>
        <w:tab/>
        <w:t xml:space="preserve">in </w:t>
      </w:r>
      <w:r w:rsidR="003061B8" w:rsidRPr="00B40A77">
        <w:rPr>
          <w:color w:val="000000" w:themeColor="text1"/>
        </w:rPr>
        <w:t xml:space="preserve">accordance with the </w:t>
      </w:r>
      <w:hyperlink w:anchor="_159.3—Lower_Court_costs" w:history="1">
        <w:r w:rsidR="003061B8" w:rsidRPr="00B40A77">
          <w:rPr>
            <w:rStyle w:val="Hyperlink"/>
            <w:rFonts w:cs="Times New Roman"/>
            <w:color w:val="000000" w:themeColor="text1"/>
          </w:rPr>
          <w:t>Lower Court costs scale</w:t>
        </w:r>
      </w:hyperlink>
      <w:r w:rsidR="003061B8" w:rsidRPr="00B40A77">
        <w:rPr>
          <w:color w:val="000000" w:themeColor="text1"/>
        </w:rPr>
        <w:t xml:space="preserve">; </w:t>
      </w:r>
    </w:p>
    <w:p w14:paraId="790C21E4" w14:textId="62205675" w:rsidR="003061B8" w:rsidRPr="00B40A77" w:rsidRDefault="003061B8" w:rsidP="003061B8">
      <w:pPr>
        <w:pStyle w:val="Doublehangindent"/>
        <w:rPr>
          <w:color w:val="000000" w:themeColor="text1"/>
        </w:rPr>
      </w:pPr>
      <w:r w:rsidRPr="00B40A77">
        <w:rPr>
          <w:color w:val="000000" w:themeColor="text1"/>
        </w:rPr>
        <w:t>(</w:t>
      </w:r>
      <w:r w:rsidR="00F50B8E" w:rsidRPr="00B40A77">
        <w:rPr>
          <w:color w:val="000000" w:themeColor="text1"/>
        </w:rPr>
        <w:t>c</w:t>
      </w:r>
      <w:r w:rsidRPr="00B40A77">
        <w:rPr>
          <w:color w:val="000000" w:themeColor="text1"/>
        </w:rPr>
        <w:t>)</w:t>
      </w:r>
      <w:r w:rsidRPr="00B40A77">
        <w:rPr>
          <w:color w:val="000000" w:themeColor="text1"/>
        </w:rPr>
        <w:tab/>
        <w:t>on an indemnity basis or another basis specified by the Court;</w:t>
      </w:r>
      <w:r w:rsidR="00850435" w:rsidRPr="00B40A77">
        <w:rPr>
          <w:color w:val="000000" w:themeColor="text1"/>
        </w:rPr>
        <w:t xml:space="preserve"> </w:t>
      </w:r>
      <w:r w:rsidRPr="00B40A77">
        <w:rPr>
          <w:color w:val="000000" w:themeColor="text1"/>
        </w:rPr>
        <w:t>or</w:t>
      </w:r>
    </w:p>
    <w:p w14:paraId="617D2F12" w14:textId="0DA1B2EE" w:rsidR="003061B8" w:rsidRPr="00B40A77" w:rsidRDefault="003061B8" w:rsidP="003061B8">
      <w:pPr>
        <w:pStyle w:val="Doublehangindent"/>
        <w:rPr>
          <w:color w:val="000000" w:themeColor="text1"/>
        </w:rPr>
      </w:pPr>
      <w:r w:rsidRPr="00B40A77">
        <w:rPr>
          <w:color w:val="000000" w:themeColor="text1"/>
        </w:rPr>
        <w:t>(</w:t>
      </w:r>
      <w:r w:rsidR="00F50B8E" w:rsidRPr="00B40A77">
        <w:rPr>
          <w:color w:val="000000" w:themeColor="text1"/>
        </w:rPr>
        <w:t>d</w:t>
      </w:r>
      <w:r w:rsidRPr="00B40A77">
        <w:rPr>
          <w:color w:val="000000" w:themeColor="text1"/>
        </w:rPr>
        <w:t>)</w:t>
      </w:r>
      <w:r w:rsidRPr="00B40A77">
        <w:rPr>
          <w:color w:val="000000" w:themeColor="text1"/>
        </w:rPr>
        <w:tab/>
        <w:t>on a combination of different bases or scales for different components of costs.</w:t>
      </w:r>
    </w:p>
    <w:p w14:paraId="1A83C080" w14:textId="5CFE19FD" w:rsidR="003061B8" w:rsidRPr="00B40A77" w:rsidRDefault="003061B8" w:rsidP="003061B8">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Unless the Court otherwise orders, a costs order will be taken to be on the </w:t>
      </w:r>
      <w:hyperlink w:anchor="_191.1—Definitions" w:history="1">
        <w:r w:rsidRPr="00B40A77">
          <w:rPr>
            <w:rStyle w:val="Hyperlink"/>
            <w:rFonts w:cs="Times New Roman"/>
            <w:color w:val="000000" w:themeColor="text1"/>
          </w:rPr>
          <w:t>Lower Court costs scale</w:t>
        </w:r>
      </w:hyperlink>
      <w:r w:rsidRPr="00B40A77">
        <w:rPr>
          <w:color w:val="000000" w:themeColor="text1"/>
        </w:rPr>
        <w:t>.</w:t>
      </w:r>
    </w:p>
    <w:p w14:paraId="4B7CA4BF" w14:textId="0EED7AC3" w:rsidR="003061B8" w:rsidRPr="00B40A77" w:rsidRDefault="00850435" w:rsidP="003061B8">
      <w:pPr>
        <w:pStyle w:val="Heading4"/>
        <w:rPr>
          <w:color w:val="000000" w:themeColor="text1"/>
        </w:rPr>
      </w:pPr>
      <w:bookmarkStart w:id="935" w:name="_158.3—Lower_Court_costs"/>
      <w:bookmarkStart w:id="936" w:name="_159.3—Lower_Court_costs"/>
      <w:bookmarkStart w:id="937" w:name="_Toc175239255"/>
      <w:bookmarkEnd w:id="935"/>
      <w:bookmarkEnd w:id="936"/>
      <w:r w:rsidRPr="00B40A77">
        <w:rPr>
          <w:color w:val="000000" w:themeColor="text1"/>
        </w:rPr>
        <w:t>15</w:t>
      </w:r>
      <w:r w:rsidR="00F14A85" w:rsidRPr="00B40A77">
        <w:rPr>
          <w:color w:val="000000" w:themeColor="text1"/>
        </w:rPr>
        <w:t>9</w:t>
      </w:r>
      <w:r w:rsidR="003061B8" w:rsidRPr="00B40A77">
        <w:rPr>
          <w:color w:val="000000" w:themeColor="text1"/>
        </w:rPr>
        <w:t>.3—Lower Court costs scale</w:t>
      </w:r>
      <w:bookmarkEnd w:id="933"/>
      <w:bookmarkEnd w:id="937"/>
    </w:p>
    <w:p w14:paraId="07C920B6" w14:textId="73FC1F79" w:rsidR="003061B8" w:rsidRPr="00B40A77" w:rsidRDefault="003061B8" w:rsidP="003061B8">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The </w:t>
      </w:r>
      <w:hyperlink w:anchor="_191.1—Definitions" w:history="1">
        <w:hyperlink w:anchor="_159.3—Lower_Court_costs" w:history="1">
          <w:r w:rsidR="00175487" w:rsidRPr="00B40A77">
            <w:rPr>
              <w:rStyle w:val="Hyperlink"/>
              <w:rFonts w:cs="Times New Roman"/>
              <w:color w:val="000000" w:themeColor="text1"/>
            </w:rPr>
            <w:t>Lower Court costs scale</w:t>
          </w:r>
        </w:hyperlink>
      </w:hyperlink>
      <w:r w:rsidRPr="00B40A77">
        <w:rPr>
          <w:rFonts w:cs="Times New Roman"/>
          <w:color w:val="000000" w:themeColor="text1"/>
        </w:rPr>
        <w:t xml:space="preserve"> in respect of work done from </w:t>
      </w:r>
      <w:r w:rsidRPr="00B40A77">
        <w:rPr>
          <w:color w:val="000000" w:themeColor="text1"/>
          <w:lang w:val="en-US"/>
        </w:rPr>
        <w:t xml:space="preserve">the </w:t>
      </w:r>
      <w:hyperlink w:anchor="_2.1—Definitions" w:history="1">
        <w:hyperlink w:anchor="_2.1—Definitions" w:history="1">
          <w:r w:rsidR="001742C0" w:rsidRPr="00B40A77">
            <w:rPr>
              <w:rStyle w:val="Hyperlink"/>
              <w:color w:val="000000" w:themeColor="text1"/>
            </w:rPr>
            <w:t>commencement date</w:t>
          </w:r>
        </w:hyperlink>
      </w:hyperlink>
      <w:r w:rsidRPr="00B40A77">
        <w:rPr>
          <w:rFonts w:cs="Times New Roman"/>
          <w:color w:val="000000" w:themeColor="text1"/>
        </w:rPr>
        <w:t xml:space="preserve"> is fixed by </w:t>
      </w:r>
      <w:hyperlink w:anchor="_Schedule_1—Lower_Courts" w:history="1">
        <w:r w:rsidRPr="00B40A77">
          <w:rPr>
            <w:rStyle w:val="Hyperlink"/>
            <w:rFonts w:cs="Times New Roman"/>
            <w:color w:val="000000" w:themeColor="text1"/>
          </w:rPr>
          <w:t xml:space="preserve">Schedule </w:t>
        </w:r>
        <w:r w:rsidR="00F0768E" w:rsidRPr="00B40A77">
          <w:rPr>
            <w:rStyle w:val="Hyperlink"/>
            <w:rFonts w:cs="Times New Roman"/>
            <w:color w:val="000000" w:themeColor="text1"/>
          </w:rPr>
          <w:t>1</w:t>
        </w:r>
      </w:hyperlink>
      <w:r w:rsidRPr="00B40A77">
        <w:rPr>
          <w:rFonts w:cs="Times New Roman"/>
          <w:color w:val="000000" w:themeColor="text1"/>
        </w:rPr>
        <w:t xml:space="preserve">. </w:t>
      </w:r>
    </w:p>
    <w:p w14:paraId="49F89A1E" w14:textId="6CE0A3F9" w:rsidR="003061B8" w:rsidRPr="00B40A77" w:rsidRDefault="003061B8" w:rsidP="003061B8">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w:t>
      </w:r>
      <w:hyperlink w:anchor="_191.1—Definitions" w:history="1">
        <w:hyperlink w:anchor="_159.3—Lower_Court_costs" w:history="1">
          <w:r w:rsidR="00175487" w:rsidRPr="00B40A77">
            <w:rPr>
              <w:rStyle w:val="Hyperlink"/>
              <w:rFonts w:cs="Times New Roman"/>
              <w:color w:val="000000" w:themeColor="text1"/>
            </w:rPr>
            <w:t>Lower Court costs scale</w:t>
          </w:r>
        </w:hyperlink>
      </w:hyperlink>
      <w:r w:rsidRPr="00B40A77">
        <w:rPr>
          <w:rFonts w:cs="Times New Roman"/>
          <w:color w:val="000000" w:themeColor="text1"/>
        </w:rPr>
        <w:t xml:space="preserve"> in respect of work done before </w:t>
      </w:r>
      <w:r w:rsidRPr="00B40A77">
        <w:rPr>
          <w:color w:val="000000" w:themeColor="text1"/>
          <w:lang w:val="en-US"/>
        </w:rPr>
        <w:t xml:space="preserve">the </w:t>
      </w:r>
      <w:hyperlink w:anchor="_2.1—Definitions" w:history="1">
        <w:hyperlink w:anchor="_2.1—Definitions" w:history="1">
          <w:r w:rsidR="001742C0" w:rsidRPr="00B40A77">
            <w:rPr>
              <w:rStyle w:val="Hyperlink"/>
              <w:color w:val="000000" w:themeColor="text1"/>
            </w:rPr>
            <w:t>commencement date</w:t>
          </w:r>
        </w:hyperlink>
      </w:hyperlink>
      <w:r w:rsidRPr="00B40A77">
        <w:rPr>
          <w:rFonts w:cs="Times New Roman"/>
          <w:color w:val="000000" w:themeColor="text1"/>
        </w:rPr>
        <w:t xml:space="preserve"> is the scale contained in Schedule 1 of the</w:t>
      </w:r>
      <w:r w:rsidRPr="00B40A77">
        <w:rPr>
          <w:rFonts w:cs="Times New Roman"/>
          <w:i/>
          <w:color w:val="000000" w:themeColor="text1"/>
        </w:rPr>
        <w:t xml:space="preserve"> Magistrates Court Rules 1992</w:t>
      </w:r>
      <w:r w:rsidRPr="00B40A77">
        <w:rPr>
          <w:rFonts w:cs="Times New Roman"/>
          <w:color w:val="000000" w:themeColor="text1"/>
        </w:rPr>
        <w:t xml:space="preserve">. </w:t>
      </w:r>
    </w:p>
    <w:p w14:paraId="613D4CFC" w14:textId="03A848E2" w:rsidR="003061B8" w:rsidRPr="00B40A77" w:rsidRDefault="003061B8" w:rsidP="003061B8">
      <w:pPr>
        <w:pStyle w:val="Hangindent"/>
        <w:rPr>
          <w:color w:val="000000" w:themeColor="text1"/>
          <w:lang w:val="en-GB"/>
        </w:rPr>
      </w:pPr>
      <w:r w:rsidRPr="00B40A77">
        <w:rPr>
          <w:rFonts w:cs="Times New Roman"/>
          <w:color w:val="000000" w:themeColor="text1"/>
        </w:rPr>
        <w:t>(3)</w:t>
      </w:r>
      <w:r w:rsidRPr="00B40A77">
        <w:rPr>
          <w:rFonts w:cs="Times New Roman"/>
          <w:color w:val="000000" w:themeColor="text1"/>
        </w:rPr>
        <w:tab/>
        <w:t xml:space="preserve">The </w:t>
      </w:r>
      <w:hyperlink w:anchor="_2.1—Definitions" w:history="1">
        <w:r w:rsidR="001742C0" w:rsidRPr="00B40A77">
          <w:rPr>
            <w:rStyle w:val="Hyperlink"/>
            <w:color w:val="000000" w:themeColor="text1"/>
            <w:lang w:val="en-US"/>
          </w:rPr>
          <w:t>Chief Magistrate</w:t>
        </w:r>
      </w:hyperlink>
      <w:r w:rsidRPr="00B40A77">
        <w:rPr>
          <w:rFonts w:cs="Times New Roman"/>
          <w:color w:val="000000" w:themeColor="text1"/>
        </w:rPr>
        <w:t xml:space="preserve"> may make adjustments to the </w:t>
      </w:r>
      <w:hyperlink w:anchor="_191.1—Definitions" w:history="1">
        <w:hyperlink w:anchor="_159.3—Lower_Court_costs" w:history="1">
          <w:r w:rsidR="00175487" w:rsidRPr="00B40A77">
            <w:rPr>
              <w:rStyle w:val="Hyperlink"/>
              <w:rFonts w:cs="Times New Roman"/>
              <w:color w:val="000000" w:themeColor="text1"/>
            </w:rPr>
            <w:t>Lower Court costs scale</w:t>
          </w:r>
        </w:hyperlink>
      </w:hyperlink>
      <w:r w:rsidRPr="00B40A77">
        <w:rPr>
          <w:rStyle w:val="Hyperlink"/>
          <w:rFonts w:cs="Times New Roman"/>
          <w:color w:val="000000" w:themeColor="text1"/>
          <w:u w:val="none"/>
        </w:rPr>
        <w:t xml:space="preserve"> </w:t>
      </w:r>
      <w:r w:rsidRPr="00B40A77">
        <w:rPr>
          <w:rFonts w:cs="Times New Roman"/>
          <w:color w:val="000000" w:themeColor="text1"/>
        </w:rPr>
        <w:t>by reference to movements in the consumer price index or average weekly earnings</w:t>
      </w:r>
      <w:r w:rsidRPr="00B40A77">
        <w:rPr>
          <w:color w:val="000000" w:themeColor="text1"/>
          <w:lang w:val="en-GB"/>
        </w:rPr>
        <w:t xml:space="preserve">. </w:t>
      </w:r>
    </w:p>
    <w:p w14:paraId="7D7C1898" w14:textId="36836F78" w:rsidR="00673B17" w:rsidRPr="00B40A77" w:rsidRDefault="003061B8" w:rsidP="00CA2D20">
      <w:pPr>
        <w:pStyle w:val="Hangindent"/>
        <w:rPr>
          <w:rFonts w:cs="Times New Roman"/>
          <w:color w:val="000000" w:themeColor="text1"/>
        </w:rPr>
      </w:pPr>
      <w:r w:rsidRPr="00B40A77">
        <w:rPr>
          <w:color w:val="000000" w:themeColor="text1"/>
          <w:lang w:val="en-US"/>
        </w:rPr>
        <w:t>(4)</w:t>
      </w:r>
      <w:r w:rsidRPr="00B40A77">
        <w:rPr>
          <w:color w:val="000000" w:themeColor="text1"/>
          <w:lang w:val="en-US"/>
        </w:rPr>
        <w:tab/>
      </w:r>
      <w:r w:rsidR="002F7FE6"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w:t>
      </w:r>
      <w:r w:rsidR="00D441A0" w:rsidRPr="00B40A77">
        <w:rPr>
          <w:color w:val="000000" w:themeColor="text1"/>
          <w:lang w:val="en-US"/>
        </w:rPr>
        <w:t xml:space="preserve">cause to be </w:t>
      </w:r>
      <w:r w:rsidRPr="00B40A77">
        <w:rPr>
          <w:color w:val="000000" w:themeColor="text1"/>
          <w:lang w:val="en-US"/>
        </w:rPr>
        <w:t>publish</w:t>
      </w:r>
      <w:r w:rsidR="00D441A0" w:rsidRPr="00B40A77">
        <w:rPr>
          <w:color w:val="000000" w:themeColor="text1"/>
          <w:lang w:val="en-US"/>
        </w:rPr>
        <w:t>ed</w:t>
      </w:r>
      <w:r w:rsidRPr="00B40A77">
        <w:rPr>
          <w:color w:val="000000" w:themeColor="text1"/>
          <w:lang w:val="en-US"/>
        </w:rPr>
        <w:t xml:space="preserve"> all cumulative adjustments made under subrule</w:t>
      </w:r>
      <w:r w:rsidR="00C42A0C" w:rsidRPr="00B40A77">
        <w:rPr>
          <w:color w:val="000000" w:themeColor="text1"/>
          <w:lang w:val="en-US"/>
        </w:rPr>
        <w:t> </w:t>
      </w:r>
      <w:r w:rsidRPr="00B40A77">
        <w:rPr>
          <w:color w:val="000000" w:themeColor="text1"/>
          <w:lang w:val="en-US"/>
        </w:rPr>
        <w:t>(3)</w:t>
      </w:r>
      <w:r w:rsidRPr="00B40A77">
        <w:rPr>
          <w:color w:val="000000" w:themeColor="text1"/>
          <w:lang w:val="en-GB"/>
        </w:rPr>
        <w:t xml:space="preserve"> </w:t>
      </w:r>
      <w:r w:rsidRPr="00B40A77">
        <w:rPr>
          <w:color w:val="000000" w:themeColor="text1"/>
          <w:lang w:val="en-US"/>
        </w:rPr>
        <w:t xml:space="preserve">on the </w:t>
      </w:r>
      <w:hyperlink w:anchor="_2.1—Definitions" w:history="1">
        <w:r w:rsidRPr="00B40A77">
          <w:rPr>
            <w:rStyle w:val="Hyperlink"/>
            <w:color w:val="000000" w:themeColor="text1"/>
            <w:lang w:val="en-US"/>
          </w:rPr>
          <w:t>CAA website</w:t>
        </w:r>
      </w:hyperlink>
      <w:r w:rsidRPr="00B40A77">
        <w:rPr>
          <w:color w:val="000000" w:themeColor="text1"/>
          <w:lang w:val="en-US"/>
        </w:rPr>
        <w:t>.</w:t>
      </w:r>
      <w:r w:rsidR="00673B17" w:rsidRPr="00B40A77">
        <w:rPr>
          <w:color w:val="000000" w:themeColor="text1"/>
        </w:rPr>
        <w:br w:type="page"/>
      </w:r>
    </w:p>
    <w:p w14:paraId="3B30884A" w14:textId="4B234501" w:rsidR="004A7600" w:rsidRPr="00B40A77" w:rsidRDefault="004A7600" w:rsidP="00F91EF3">
      <w:pPr>
        <w:pStyle w:val="Heading1"/>
        <w:rPr>
          <w:color w:val="000000" w:themeColor="text1"/>
        </w:rPr>
      </w:pPr>
      <w:bookmarkStart w:id="938" w:name="_Chapter_8—Variation_and"/>
      <w:bookmarkStart w:id="939" w:name="_Toc175239256"/>
      <w:bookmarkEnd w:id="938"/>
      <w:r w:rsidRPr="00B40A77">
        <w:rPr>
          <w:color w:val="000000" w:themeColor="text1"/>
        </w:rPr>
        <w:lastRenderedPageBreak/>
        <w:t xml:space="preserve">Chapter </w:t>
      </w:r>
      <w:r w:rsidR="00C239BC" w:rsidRPr="00B40A77">
        <w:rPr>
          <w:color w:val="000000" w:themeColor="text1"/>
        </w:rPr>
        <w:t>8</w:t>
      </w:r>
      <w:r w:rsidRPr="00B40A77">
        <w:rPr>
          <w:color w:val="000000" w:themeColor="text1"/>
        </w:rPr>
        <w:t xml:space="preserve">—Variation and </w:t>
      </w:r>
      <w:r w:rsidR="003907AE" w:rsidRPr="00B40A77">
        <w:rPr>
          <w:color w:val="000000" w:themeColor="text1"/>
        </w:rPr>
        <w:t>enforcement</w:t>
      </w:r>
      <w:bookmarkEnd w:id="939"/>
    </w:p>
    <w:p w14:paraId="0FAFA815" w14:textId="57379D3D" w:rsidR="00FE0C1E" w:rsidRPr="00B40A77" w:rsidRDefault="00FE0C1E" w:rsidP="00D45D85">
      <w:pPr>
        <w:pStyle w:val="Heading2"/>
        <w:keepNext/>
        <w:rPr>
          <w:color w:val="000000" w:themeColor="text1"/>
        </w:rPr>
      </w:pPr>
      <w:bookmarkStart w:id="940" w:name="_Toc175239257"/>
      <w:bookmarkStart w:id="941" w:name="_Toc60133606"/>
      <w:r w:rsidRPr="00B40A77">
        <w:rPr>
          <w:color w:val="000000" w:themeColor="text1"/>
        </w:rPr>
        <w:t>Part 1—Variation</w:t>
      </w:r>
      <w:bookmarkEnd w:id="940"/>
    </w:p>
    <w:p w14:paraId="263053FD" w14:textId="003FDB63" w:rsidR="00FE0C1E" w:rsidRPr="00B40A77" w:rsidRDefault="00FE0C1E" w:rsidP="00FE0C1E">
      <w:pPr>
        <w:pStyle w:val="Heading3"/>
        <w:rPr>
          <w:color w:val="000000" w:themeColor="text1"/>
        </w:rPr>
      </w:pPr>
      <w:bookmarkStart w:id="942" w:name="_Toc175239258"/>
      <w:r w:rsidRPr="00B40A77">
        <w:rPr>
          <w:color w:val="000000" w:themeColor="text1"/>
        </w:rPr>
        <w:t>Division 1—</w:t>
      </w:r>
      <w:r w:rsidR="00752609" w:rsidRPr="00B40A77">
        <w:rPr>
          <w:color w:val="000000" w:themeColor="text1"/>
        </w:rPr>
        <w:t>Conviction or order</w:t>
      </w:r>
      <w:bookmarkEnd w:id="942"/>
    </w:p>
    <w:p w14:paraId="43D184BE" w14:textId="034AA2DB" w:rsidR="00FE0C1E" w:rsidRPr="00B40A77" w:rsidRDefault="005C332C" w:rsidP="00F91EF3">
      <w:pPr>
        <w:pStyle w:val="Heading4"/>
        <w:rPr>
          <w:color w:val="000000" w:themeColor="text1"/>
        </w:rPr>
      </w:pPr>
      <w:bookmarkStart w:id="943" w:name="_Toc175239259"/>
      <w:r w:rsidRPr="00B40A77">
        <w:rPr>
          <w:color w:val="000000" w:themeColor="text1"/>
        </w:rPr>
        <w:t>16</w:t>
      </w:r>
      <w:r w:rsidR="00036A2B" w:rsidRPr="00B40A77">
        <w:rPr>
          <w:color w:val="000000" w:themeColor="text1"/>
        </w:rPr>
        <w:t>1</w:t>
      </w:r>
      <w:r w:rsidR="00FE0C1E" w:rsidRPr="00B40A77">
        <w:rPr>
          <w:color w:val="000000" w:themeColor="text1"/>
        </w:rPr>
        <w:t>.1—Application to set aside conviction or order</w:t>
      </w:r>
      <w:bookmarkEnd w:id="943"/>
    </w:p>
    <w:p w14:paraId="57DE5639" w14:textId="4BC1E593" w:rsidR="00FE0C1E" w:rsidRPr="00B40A77" w:rsidRDefault="00FE0C1E" w:rsidP="00B90C7E">
      <w:pPr>
        <w:pStyle w:val="Hangindent"/>
        <w:keepNext/>
        <w:ind w:left="567" w:firstLine="0"/>
        <w:rPr>
          <w:color w:val="000000" w:themeColor="text1"/>
          <w:lang w:val="en-US"/>
        </w:rPr>
      </w:pPr>
      <w:r w:rsidRPr="00B40A77">
        <w:rPr>
          <w:color w:val="000000" w:themeColor="text1"/>
          <w:lang w:val="en-US"/>
        </w:rPr>
        <w:t>An application to set aside a conviction or order under section</w:t>
      </w:r>
      <w:r w:rsidR="00EF1FED" w:rsidRPr="00B40A77">
        <w:rPr>
          <w:color w:val="000000" w:themeColor="text1"/>
          <w:lang w:val="en-US"/>
        </w:rPr>
        <w:t> </w:t>
      </w:r>
      <w:r w:rsidRPr="00B40A77">
        <w:rPr>
          <w:color w:val="000000" w:themeColor="text1"/>
          <w:lang w:val="en-US"/>
        </w:rPr>
        <w:t xml:space="preserve">76A of the Procedure Act must be made by an </w:t>
      </w:r>
      <w:r w:rsidR="00D12B75" w:rsidRPr="00B40A77">
        <w:rPr>
          <w:color w:val="000000" w:themeColor="text1"/>
          <w:lang w:val="en-US"/>
        </w:rPr>
        <w:t>interlocutory</w:t>
      </w:r>
      <w:r w:rsidR="000F5BC4" w:rsidRPr="00B40A77">
        <w:rPr>
          <w:color w:val="000000" w:themeColor="text1"/>
          <w:lang w:val="en-US"/>
        </w:rPr>
        <w:t xml:space="preserve"> </w:t>
      </w:r>
      <w:r w:rsidRPr="00B40A77">
        <w:rPr>
          <w:color w:val="000000" w:themeColor="text1"/>
          <w:lang w:val="en-US"/>
        </w:rPr>
        <w:t>application in the prescribed form.</w:t>
      </w:r>
    </w:p>
    <w:p w14:paraId="079EA373" w14:textId="77777777" w:rsidR="00FE0C1E" w:rsidRPr="00B40A77" w:rsidRDefault="00FE0C1E" w:rsidP="00B90C7E">
      <w:pPr>
        <w:pStyle w:val="NoteHeader"/>
        <w:keepNext/>
        <w:ind w:left="284" w:firstLine="306"/>
        <w:rPr>
          <w:color w:val="000000" w:themeColor="text1"/>
        </w:rPr>
      </w:pPr>
      <w:r w:rsidRPr="00B40A77">
        <w:rPr>
          <w:color w:val="000000" w:themeColor="text1"/>
        </w:rPr>
        <w:t>Prescribed form—</w:t>
      </w:r>
    </w:p>
    <w:p w14:paraId="6BF124FA" w14:textId="6B5812ED" w:rsidR="00FE0C1E" w:rsidRPr="00B40A77" w:rsidRDefault="00FE0C1E" w:rsidP="002B7732">
      <w:pPr>
        <w:pStyle w:val="NoteText"/>
        <w:ind w:left="284" w:firstLine="567"/>
        <w:rPr>
          <w:color w:val="000000" w:themeColor="text1"/>
          <w:lang w:val="en-US"/>
        </w:rPr>
      </w:pPr>
      <w:r w:rsidRPr="00B40A77">
        <w:rPr>
          <w:color w:val="000000" w:themeColor="text1"/>
        </w:rPr>
        <w:t>Form 17</w:t>
      </w:r>
      <w:r w:rsidR="00CA2D20" w:rsidRPr="00B40A77">
        <w:rPr>
          <w:color w:val="000000" w:themeColor="text1"/>
        </w:rPr>
        <w:t>2A</w:t>
      </w:r>
      <w:r w:rsidRPr="00B40A77">
        <w:rPr>
          <w:color w:val="000000" w:themeColor="text1"/>
        </w:rPr>
        <w:t xml:space="preserve"> </w:t>
      </w:r>
      <w:hyperlink r:id="rId313" w:history="1">
        <w:r w:rsidR="00B71428" w:rsidRPr="00B40A77">
          <w:rPr>
            <w:rStyle w:val="Hyperlink"/>
            <w:color w:val="000000" w:themeColor="text1"/>
          </w:rPr>
          <w:t>Interlocutory</w:t>
        </w:r>
        <w:r w:rsidR="000B438A" w:rsidRPr="00B40A77">
          <w:rPr>
            <w:rStyle w:val="Hyperlink"/>
            <w:color w:val="000000" w:themeColor="text1"/>
            <w:lang w:val="en-US"/>
          </w:rPr>
          <w:t xml:space="preserve"> </w:t>
        </w:r>
        <w:r w:rsidRPr="00B40A77">
          <w:rPr>
            <w:rStyle w:val="Hyperlink"/>
            <w:color w:val="000000" w:themeColor="text1"/>
            <w:lang w:val="en-US"/>
          </w:rPr>
          <w:t>Application for Set Aside and Rehearing</w:t>
        </w:r>
      </w:hyperlink>
    </w:p>
    <w:p w14:paraId="261909B2" w14:textId="7F6E3156" w:rsidR="0033465D" w:rsidRPr="00B40A77" w:rsidRDefault="005C332C" w:rsidP="00F91EF3">
      <w:pPr>
        <w:pStyle w:val="Heading4"/>
        <w:rPr>
          <w:color w:val="000000" w:themeColor="text1"/>
        </w:rPr>
      </w:pPr>
      <w:bookmarkStart w:id="944" w:name="_Toc175239260"/>
      <w:r w:rsidRPr="00B40A77">
        <w:rPr>
          <w:color w:val="000000" w:themeColor="text1"/>
        </w:rPr>
        <w:t>16</w:t>
      </w:r>
      <w:r w:rsidR="00036A2B" w:rsidRPr="00B40A77">
        <w:rPr>
          <w:color w:val="000000" w:themeColor="text1"/>
        </w:rPr>
        <w:t>1.2</w:t>
      </w:r>
      <w:r w:rsidR="00364D76" w:rsidRPr="00B40A77">
        <w:rPr>
          <w:color w:val="000000" w:themeColor="text1"/>
        </w:rPr>
        <w:t>—Order</w:t>
      </w:r>
      <w:r w:rsidR="0033465D" w:rsidRPr="00B40A77">
        <w:rPr>
          <w:color w:val="000000" w:themeColor="text1"/>
        </w:rPr>
        <w:t xml:space="preserve"> set</w:t>
      </w:r>
      <w:r w:rsidR="00364D76" w:rsidRPr="00B40A77">
        <w:rPr>
          <w:color w:val="000000" w:themeColor="text1"/>
        </w:rPr>
        <w:t xml:space="preserve">ting </w:t>
      </w:r>
      <w:r w:rsidR="0033465D" w:rsidRPr="00B40A77">
        <w:rPr>
          <w:color w:val="000000" w:themeColor="text1"/>
        </w:rPr>
        <w:t>aside conviction or order</w:t>
      </w:r>
      <w:bookmarkEnd w:id="944"/>
    </w:p>
    <w:p w14:paraId="2B198488" w14:textId="1E537EC5" w:rsidR="00364D76" w:rsidRPr="00B40A77" w:rsidRDefault="00364D76" w:rsidP="00B90C7E">
      <w:pPr>
        <w:pStyle w:val="IndentedPara"/>
        <w:keepNext/>
        <w:rPr>
          <w:color w:val="000000" w:themeColor="text1"/>
        </w:rPr>
      </w:pPr>
      <w:r w:rsidRPr="00B40A77">
        <w:rPr>
          <w:color w:val="000000" w:themeColor="text1"/>
        </w:rPr>
        <w:t>The written record of an order setting aside a conviction or order under section</w:t>
      </w:r>
      <w:r w:rsidR="00EF1FED" w:rsidRPr="00B40A77">
        <w:rPr>
          <w:color w:val="000000" w:themeColor="text1"/>
        </w:rPr>
        <w:t> </w:t>
      </w:r>
      <w:r w:rsidRPr="00B40A77">
        <w:rPr>
          <w:color w:val="000000" w:themeColor="text1"/>
        </w:rPr>
        <w:t>76A of the Procedure Act must be in the prescribed form.</w:t>
      </w:r>
    </w:p>
    <w:p w14:paraId="0CFE24AF" w14:textId="22620716" w:rsidR="00364D76" w:rsidRPr="00B40A77" w:rsidRDefault="00364D76" w:rsidP="00B90C7E">
      <w:pPr>
        <w:pStyle w:val="NoteHeader"/>
        <w:keepNext/>
        <w:ind w:left="567"/>
        <w:rPr>
          <w:color w:val="000000" w:themeColor="text1"/>
        </w:rPr>
      </w:pPr>
      <w:r w:rsidRPr="00B40A77">
        <w:rPr>
          <w:color w:val="000000" w:themeColor="text1"/>
        </w:rPr>
        <w:t>Prescribed form—</w:t>
      </w:r>
    </w:p>
    <w:p w14:paraId="0CD207CC" w14:textId="2CDB011D" w:rsidR="00364D76" w:rsidRPr="00B40A77" w:rsidRDefault="00364D76" w:rsidP="00BC23E5">
      <w:pPr>
        <w:pStyle w:val="NoteText"/>
        <w:ind w:left="851"/>
        <w:rPr>
          <w:color w:val="000000" w:themeColor="text1"/>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14" w:history="1">
        <w:r w:rsidRPr="00B40A77">
          <w:rPr>
            <w:rStyle w:val="Hyperlink"/>
            <w:color w:val="000000" w:themeColor="text1"/>
          </w:rPr>
          <w:t>Record of Outcome</w:t>
        </w:r>
      </w:hyperlink>
    </w:p>
    <w:p w14:paraId="007DA759" w14:textId="40C78CE1" w:rsidR="00FE0C1E" w:rsidRPr="00B40A77" w:rsidRDefault="00752609" w:rsidP="00752609">
      <w:pPr>
        <w:pStyle w:val="Heading3"/>
        <w:rPr>
          <w:color w:val="000000" w:themeColor="text1"/>
        </w:rPr>
      </w:pPr>
      <w:bookmarkStart w:id="945" w:name="_Toc175239261"/>
      <w:r w:rsidRPr="00B40A77">
        <w:rPr>
          <w:color w:val="000000" w:themeColor="text1"/>
        </w:rPr>
        <w:t>Division 2—Non-parole period</w:t>
      </w:r>
      <w:bookmarkEnd w:id="945"/>
    </w:p>
    <w:p w14:paraId="1A8A3C53" w14:textId="07590AC0" w:rsidR="006E4F46" w:rsidRPr="00B40A77" w:rsidRDefault="005C332C" w:rsidP="00F91EF3">
      <w:pPr>
        <w:pStyle w:val="Heading4"/>
        <w:rPr>
          <w:color w:val="000000" w:themeColor="text1"/>
        </w:rPr>
      </w:pPr>
      <w:bookmarkStart w:id="946" w:name="_Toc175239262"/>
      <w:r w:rsidRPr="00B40A77">
        <w:rPr>
          <w:color w:val="000000" w:themeColor="text1"/>
        </w:rPr>
        <w:t>16</w:t>
      </w:r>
      <w:r w:rsidR="00036A2B" w:rsidRPr="00B40A77">
        <w:rPr>
          <w:color w:val="000000" w:themeColor="text1"/>
        </w:rPr>
        <w:t>2</w:t>
      </w:r>
      <w:r w:rsidR="00423023" w:rsidRPr="00B40A77">
        <w:rPr>
          <w:color w:val="000000" w:themeColor="text1"/>
        </w:rPr>
        <w:t>.1</w:t>
      </w:r>
      <w:r w:rsidR="006E4F46" w:rsidRPr="00B40A77">
        <w:rPr>
          <w:color w:val="000000" w:themeColor="text1"/>
        </w:rPr>
        <w:t>—Application to fix non-parole period</w:t>
      </w:r>
      <w:bookmarkEnd w:id="941"/>
      <w:bookmarkEnd w:id="946"/>
    </w:p>
    <w:p w14:paraId="44390E80" w14:textId="35B98049" w:rsidR="006E4F46" w:rsidRPr="00B40A77" w:rsidRDefault="006E4F46"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to fix a non-parole period </w:t>
      </w:r>
      <w:r w:rsidR="009B54BF" w:rsidRPr="00B40A77">
        <w:rPr>
          <w:color w:val="000000" w:themeColor="text1"/>
          <w:lang w:val="en-US"/>
        </w:rPr>
        <w:t xml:space="preserve">of a person (the </w:t>
      </w:r>
      <w:r w:rsidR="005F1B99" w:rsidRPr="00B40A77">
        <w:rPr>
          <w:b/>
          <w:bCs/>
          <w:i/>
          <w:iCs/>
          <w:color w:val="000000" w:themeColor="text1"/>
          <w:lang w:val="en-US"/>
        </w:rPr>
        <w:t>subject</w:t>
      </w:r>
      <w:r w:rsidR="009B54BF" w:rsidRPr="00B40A77">
        <w:rPr>
          <w:color w:val="000000" w:themeColor="text1"/>
          <w:lang w:val="en-US"/>
        </w:rPr>
        <w:t xml:space="preserve">) </w:t>
      </w:r>
      <w:r w:rsidR="00423023" w:rsidRPr="00B40A77">
        <w:rPr>
          <w:color w:val="000000" w:themeColor="text1"/>
          <w:lang w:val="en-US"/>
        </w:rPr>
        <w:t>under section</w:t>
      </w:r>
      <w:r w:rsidR="00EF1FED" w:rsidRPr="00B40A77">
        <w:rPr>
          <w:color w:val="000000" w:themeColor="text1"/>
          <w:lang w:val="en-US"/>
        </w:rPr>
        <w:t> </w:t>
      </w:r>
      <w:r w:rsidR="00423023" w:rsidRPr="00B40A77">
        <w:rPr>
          <w:color w:val="000000" w:themeColor="text1"/>
          <w:lang w:val="en-US"/>
        </w:rPr>
        <w:t>47(3) of the Sentencing Act must</w:t>
      </w:r>
      <w:r w:rsidRPr="00B40A77">
        <w:rPr>
          <w:color w:val="000000" w:themeColor="text1"/>
          <w:lang w:val="en-US"/>
        </w:rPr>
        <w:t xml:space="preserve"> be made by </w:t>
      </w:r>
      <w:r w:rsidR="00E4621A" w:rsidRPr="00B40A77">
        <w:rPr>
          <w:color w:val="000000" w:themeColor="text1"/>
          <w:lang w:val="en-US"/>
        </w:rPr>
        <w:t>an</w:t>
      </w:r>
      <w:r w:rsidRPr="00B40A77">
        <w:rPr>
          <w:color w:val="000000" w:themeColor="text1"/>
          <w:lang w:val="en-US"/>
        </w:rPr>
        <w:t xml:space="preserve"> </w:t>
      </w:r>
      <w:r w:rsidR="000B438A" w:rsidRPr="00B40A77">
        <w:rPr>
          <w:color w:val="000000" w:themeColor="text1"/>
          <w:lang w:val="en-US"/>
        </w:rPr>
        <w:t xml:space="preserve">originating </w:t>
      </w:r>
      <w:r w:rsidRPr="00B40A77">
        <w:rPr>
          <w:color w:val="000000" w:themeColor="text1"/>
          <w:lang w:val="en-US"/>
        </w:rPr>
        <w:t xml:space="preserve">application </w:t>
      </w:r>
      <w:r w:rsidR="00F562ED" w:rsidRPr="00B40A77">
        <w:rPr>
          <w:color w:val="000000" w:themeColor="text1"/>
          <w:lang w:val="en-US"/>
        </w:rPr>
        <w:t xml:space="preserve">in </w:t>
      </w:r>
      <w:r w:rsidR="00E4621A" w:rsidRPr="00B40A77">
        <w:rPr>
          <w:color w:val="000000" w:themeColor="text1"/>
          <w:lang w:val="en-US"/>
        </w:rPr>
        <w:t>the prescribed form</w:t>
      </w:r>
      <w:r w:rsidRPr="00B40A77">
        <w:rPr>
          <w:color w:val="000000" w:themeColor="text1"/>
          <w:lang w:val="en-US"/>
        </w:rPr>
        <w:t>.</w:t>
      </w:r>
    </w:p>
    <w:p w14:paraId="08A83FFD" w14:textId="77777777" w:rsidR="00752609" w:rsidRPr="00B40A77" w:rsidRDefault="00752609" w:rsidP="00B90C7E">
      <w:pPr>
        <w:pStyle w:val="NoteHeader"/>
        <w:keepNext/>
        <w:rPr>
          <w:color w:val="000000" w:themeColor="text1"/>
        </w:rPr>
      </w:pPr>
      <w:r w:rsidRPr="00B40A77">
        <w:rPr>
          <w:color w:val="000000" w:themeColor="text1"/>
        </w:rPr>
        <w:t>Prescribed form—</w:t>
      </w:r>
    </w:p>
    <w:p w14:paraId="6E0D1750" w14:textId="68C6887B" w:rsidR="00752609" w:rsidRPr="00B40A77" w:rsidRDefault="00752609" w:rsidP="00BC23E5">
      <w:pPr>
        <w:pStyle w:val="NoteText"/>
        <w:rPr>
          <w:color w:val="000000" w:themeColor="text1"/>
          <w:lang w:val="en-US"/>
        </w:rPr>
      </w:pPr>
      <w:r w:rsidRPr="00B40A77">
        <w:rPr>
          <w:color w:val="000000" w:themeColor="text1"/>
        </w:rPr>
        <w:t>Form 171</w:t>
      </w:r>
      <w:r w:rsidR="00CA2D20" w:rsidRPr="00B40A77">
        <w:rPr>
          <w:color w:val="000000" w:themeColor="text1"/>
        </w:rPr>
        <w:t>B</w:t>
      </w:r>
      <w:r w:rsidRPr="00B40A77">
        <w:rPr>
          <w:color w:val="000000" w:themeColor="text1"/>
        </w:rPr>
        <w:t xml:space="preserve"> </w:t>
      </w:r>
      <w:hyperlink r:id="rId315" w:history="1">
        <w:r w:rsidR="000B438A" w:rsidRPr="00B40A77">
          <w:rPr>
            <w:rStyle w:val="Hyperlink"/>
            <w:color w:val="000000" w:themeColor="text1"/>
            <w:lang w:val="en-US"/>
          </w:rPr>
          <w:t xml:space="preserve">Originating </w:t>
        </w:r>
        <w:r w:rsidRPr="00B40A77">
          <w:rPr>
            <w:rStyle w:val="Hyperlink"/>
            <w:color w:val="000000" w:themeColor="text1"/>
            <w:lang w:val="en-US"/>
          </w:rPr>
          <w:t xml:space="preserve">Application to Fix </w:t>
        </w:r>
        <w:r w:rsidR="00F562ED" w:rsidRPr="00B40A77">
          <w:rPr>
            <w:rStyle w:val="Hyperlink"/>
            <w:color w:val="000000" w:themeColor="text1"/>
            <w:lang w:val="en-US"/>
          </w:rPr>
          <w:t xml:space="preserve">a </w:t>
        </w:r>
        <w:r w:rsidRPr="00B40A77">
          <w:rPr>
            <w:rStyle w:val="Hyperlink"/>
            <w:color w:val="000000" w:themeColor="text1"/>
            <w:lang w:val="en-US"/>
          </w:rPr>
          <w:t>Non-Parole Period</w:t>
        </w:r>
      </w:hyperlink>
    </w:p>
    <w:p w14:paraId="73FC9EE0" w14:textId="7A6525BB" w:rsidR="009B54BF" w:rsidRPr="00B40A77" w:rsidRDefault="009B54BF" w:rsidP="009B54BF">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3D67ED03" w14:textId="5662E1B6" w:rsidR="009B54BF" w:rsidRPr="00B40A77" w:rsidRDefault="009B54BF" w:rsidP="009B54BF">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r w:rsidRPr="00B40A77">
        <w:rPr>
          <w:color w:val="000000" w:themeColor="text1"/>
          <w:u w:val="single"/>
          <w:lang w:val="en-US"/>
        </w:rPr>
        <w:t>subject</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prosecution and the </w:t>
      </w:r>
      <w:r w:rsidR="002A1DC0" w:rsidRPr="00B40A77">
        <w:rPr>
          <w:color w:val="000000" w:themeColor="text1"/>
          <w:lang w:val="en-US"/>
        </w:rPr>
        <w:t xml:space="preserve">Presiding Member of the </w:t>
      </w:r>
      <w:r w:rsidRPr="00B40A77">
        <w:rPr>
          <w:rFonts w:cs="Times New Roman"/>
          <w:color w:val="000000" w:themeColor="text1"/>
          <w:lang w:val="en-US"/>
        </w:rPr>
        <w:t>Parole Board</w:t>
      </w:r>
      <w:r w:rsidRPr="00B40A77">
        <w:rPr>
          <w:color w:val="000000" w:themeColor="text1"/>
          <w:lang w:val="en-US"/>
        </w:rPr>
        <w:t xml:space="preserve"> as respondents; </w:t>
      </w:r>
    </w:p>
    <w:p w14:paraId="56FC6CD2" w14:textId="3D820A7A" w:rsidR="009B54BF" w:rsidRPr="00B40A77" w:rsidRDefault="009B54BF" w:rsidP="009B54BF">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applicant is the </w:t>
      </w:r>
      <w:r w:rsidR="002A1DC0" w:rsidRPr="00B40A77">
        <w:rPr>
          <w:color w:val="000000" w:themeColor="text1"/>
          <w:lang w:val="en-US"/>
        </w:rPr>
        <w:t xml:space="preserve">Presiding Member of the </w:t>
      </w:r>
      <w:r w:rsidR="002A1DC0" w:rsidRPr="00B40A77">
        <w:rPr>
          <w:rFonts w:cs="Times New Roman"/>
          <w:color w:val="000000" w:themeColor="text1"/>
          <w:lang w:val="en-US"/>
        </w:rPr>
        <w:t>Parole Board</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and the prosecution as respondents</w:t>
      </w:r>
      <w:r w:rsidR="00270544" w:rsidRPr="00B40A77">
        <w:rPr>
          <w:color w:val="000000" w:themeColor="text1"/>
          <w:lang w:val="en-US"/>
        </w:rPr>
        <w:t>.</w:t>
      </w:r>
    </w:p>
    <w:p w14:paraId="6930DB42" w14:textId="6C2CDEB0" w:rsidR="00611767" w:rsidRPr="00B40A77" w:rsidRDefault="005C332C" w:rsidP="00F91EF3">
      <w:pPr>
        <w:pStyle w:val="Heading4"/>
        <w:rPr>
          <w:color w:val="000000" w:themeColor="text1"/>
        </w:rPr>
      </w:pPr>
      <w:bookmarkStart w:id="947" w:name="_Toc175239263"/>
      <w:r w:rsidRPr="00B40A77">
        <w:rPr>
          <w:color w:val="000000" w:themeColor="text1"/>
        </w:rPr>
        <w:t>16</w:t>
      </w:r>
      <w:r w:rsidR="00154E2F" w:rsidRPr="00B40A77">
        <w:rPr>
          <w:color w:val="000000" w:themeColor="text1"/>
        </w:rPr>
        <w:t>2</w:t>
      </w:r>
      <w:r w:rsidR="00611767" w:rsidRPr="00B40A77">
        <w:rPr>
          <w:color w:val="000000" w:themeColor="text1"/>
        </w:rPr>
        <w:t>.2</w:t>
      </w:r>
      <w:r w:rsidR="00241841" w:rsidRPr="00B40A77">
        <w:rPr>
          <w:color w:val="000000" w:themeColor="text1"/>
        </w:rPr>
        <w:t>—Application to extend</w:t>
      </w:r>
      <w:r w:rsidR="00611767" w:rsidRPr="00B40A77">
        <w:rPr>
          <w:color w:val="000000" w:themeColor="text1"/>
        </w:rPr>
        <w:t xml:space="preserve"> non-parole period</w:t>
      </w:r>
      <w:bookmarkEnd w:id="947"/>
    </w:p>
    <w:p w14:paraId="125872F5" w14:textId="57D1A7E9" w:rsidR="00611767" w:rsidRPr="00B40A77" w:rsidRDefault="00611767"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to extend a non-parole period </w:t>
      </w:r>
      <w:r w:rsidR="009B54BF" w:rsidRPr="00B40A77">
        <w:rPr>
          <w:color w:val="000000" w:themeColor="text1"/>
          <w:lang w:val="en-US"/>
        </w:rPr>
        <w:t xml:space="preserve">of a person (the </w:t>
      </w:r>
      <w:r w:rsidR="005F1B99" w:rsidRPr="00B40A77">
        <w:rPr>
          <w:b/>
          <w:bCs/>
          <w:i/>
          <w:iCs/>
          <w:color w:val="000000" w:themeColor="text1"/>
          <w:lang w:val="en-US"/>
        </w:rPr>
        <w:t>subject</w:t>
      </w:r>
      <w:r w:rsidR="009B54BF" w:rsidRPr="00B40A77">
        <w:rPr>
          <w:color w:val="000000" w:themeColor="text1"/>
          <w:lang w:val="en-US"/>
        </w:rPr>
        <w:t xml:space="preserve">) </w:t>
      </w:r>
      <w:r w:rsidRPr="00B40A77">
        <w:rPr>
          <w:color w:val="000000" w:themeColor="text1"/>
          <w:lang w:val="en-US"/>
        </w:rPr>
        <w:t>under section</w:t>
      </w:r>
      <w:r w:rsidR="00FA1B2C" w:rsidRPr="00B40A77">
        <w:rPr>
          <w:color w:val="000000" w:themeColor="text1"/>
          <w:lang w:val="en-US"/>
        </w:rPr>
        <w:t> </w:t>
      </w:r>
      <w:r w:rsidRPr="00B40A77">
        <w:rPr>
          <w:color w:val="000000" w:themeColor="text1"/>
          <w:lang w:val="en-US"/>
        </w:rPr>
        <w:t xml:space="preserve">47(7) of the Sentencing Act must be made by an </w:t>
      </w:r>
      <w:r w:rsidR="000B438A" w:rsidRPr="00B40A77">
        <w:rPr>
          <w:color w:val="000000" w:themeColor="text1"/>
          <w:lang w:val="en-US"/>
        </w:rPr>
        <w:t xml:space="preserve">originating </w:t>
      </w:r>
      <w:r w:rsidRPr="00B40A77">
        <w:rPr>
          <w:color w:val="000000" w:themeColor="text1"/>
          <w:lang w:val="en-US"/>
        </w:rPr>
        <w:t>application in the prescribed form.</w:t>
      </w:r>
    </w:p>
    <w:p w14:paraId="663EDDC5" w14:textId="77777777" w:rsidR="00611767" w:rsidRPr="00B40A77" w:rsidRDefault="00611767" w:rsidP="00B90C7E">
      <w:pPr>
        <w:pStyle w:val="NoteHeader"/>
        <w:keepNext/>
        <w:rPr>
          <w:color w:val="000000" w:themeColor="text1"/>
        </w:rPr>
      </w:pPr>
      <w:r w:rsidRPr="00B40A77">
        <w:rPr>
          <w:color w:val="000000" w:themeColor="text1"/>
        </w:rPr>
        <w:t>Prescribed form—</w:t>
      </w:r>
    </w:p>
    <w:p w14:paraId="14CEB452" w14:textId="236EB372" w:rsidR="00611767" w:rsidRPr="00B40A77" w:rsidRDefault="00611767" w:rsidP="00BC23E5">
      <w:pPr>
        <w:pStyle w:val="NoteText"/>
        <w:rPr>
          <w:color w:val="000000" w:themeColor="text1"/>
          <w:u w:val="single"/>
          <w:lang w:val="en-US"/>
        </w:rPr>
      </w:pPr>
      <w:r w:rsidRPr="00B40A77">
        <w:rPr>
          <w:color w:val="000000" w:themeColor="text1"/>
        </w:rPr>
        <w:t>Form 171</w:t>
      </w:r>
      <w:r w:rsidR="00CA2D20" w:rsidRPr="00B40A77">
        <w:rPr>
          <w:color w:val="000000" w:themeColor="text1"/>
        </w:rPr>
        <w:t>C</w:t>
      </w:r>
      <w:r w:rsidRPr="00B40A77">
        <w:rPr>
          <w:color w:val="000000" w:themeColor="text1"/>
        </w:rPr>
        <w:t xml:space="preserve"> </w:t>
      </w:r>
      <w:hyperlink r:id="rId316" w:history="1">
        <w:r w:rsidR="000B438A" w:rsidRPr="00B40A77">
          <w:rPr>
            <w:rStyle w:val="Hyperlink"/>
            <w:color w:val="000000" w:themeColor="text1"/>
            <w:lang w:val="en-US"/>
          </w:rPr>
          <w:t xml:space="preserve">Originating </w:t>
        </w:r>
        <w:r w:rsidRPr="00B40A77">
          <w:rPr>
            <w:rStyle w:val="Hyperlink"/>
            <w:color w:val="000000" w:themeColor="text1"/>
            <w:lang w:val="en-US"/>
          </w:rPr>
          <w:t>Application to Extend a Non-Parole Period</w:t>
        </w:r>
      </w:hyperlink>
    </w:p>
    <w:p w14:paraId="5F6E4152" w14:textId="77777777" w:rsidR="009B54BF" w:rsidRPr="00B40A77" w:rsidRDefault="009B54BF" w:rsidP="009B54BF">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23CCC281" w14:textId="2C89CD53" w:rsidR="009B54BF" w:rsidRPr="00B40A77" w:rsidRDefault="009B54BF" w:rsidP="009B54BF">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r w:rsidR="002A1DC0" w:rsidRPr="00B40A77">
        <w:rPr>
          <w:color w:val="000000" w:themeColor="text1"/>
          <w:lang w:val="en-US"/>
        </w:rPr>
        <w:t>Director</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002A1DC0" w:rsidRPr="00B40A77">
        <w:rPr>
          <w:color w:val="000000" w:themeColor="text1"/>
          <w:u w:val="single"/>
          <w:lang w:val="en-US"/>
        </w:rPr>
        <w:t>subject</w:t>
      </w:r>
      <w:r w:rsidR="002A1DC0" w:rsidRPr="00B40A77">
        <w:rPr>
          <w:color w:val="000000" w:themeColor="text1"/>
          <w:lang w:val="en-US"/>
        </w:rPr>
        <w:t xml:space="preserve"> </w:t>
      </w:r>
      <w:r w:rsidRPr="00B40A77">
        <w:rPr>
          <w:color w:val="000000" w:themeColor="text1"/>
          <w:lang w:val="en-US"/>
        </w:rPr>
        <w:t xml:space="preserve">and the </w:t>
      </w:r>
      <w:r w:rsidR="002A1DC0" w:rsidRPr="00B40A77">
        <w:rPr>
          <w:color w:val="000000" w:themeColor="text1"/>
          <w:lang w:val="en-US"/>
        </w:rPr>
        <w:t xml:space="preserve">Presiding Member of the </w:t>
      </w:r>
      <w:r w:rsidRPr="00B40A77">
        <w:rPr>
          <w:rFonts w:cs="Times New Roman"/>
          <w:color w:val="000000" w:themeColor="text1"/>
          <w:lang w:val="en-US"/>
        </w:rPr>
        <w:t>Parole Board</w:t>
      </w:r>
      <w:r w:rsidRPr="00B40A77">
        <w:rPr>
          <w:color w:val="000000" w:themeColor="text1"/>
          <w:lang w:val="en-US"/>
        </w:rPr>
        <w:t xml:space="preserve"> </w:t>
      </w:r>
      <w:r w:rsidR="002A1DC0" w:rsidRPr="00B40A77">
        <w:rPr>
          <w:color w:val="000000" w:themeColor="text1"/>
          <w:lang w:val="en-US"/>
        </w:rPr>
        <w:t xml:space="preserve">or Training Centre Review Board (as applicable) </w:t>
      </w:r>
      <w:r w:rsidRPr="00B40A77">
        <w:rPr>
          <w:color w:val="000000" w:themeColor="text1"/>
          <w:lang w:val="en-US"/>
        </w:rPr>
        <w:t xml:space="preserve">as respondents; </w:t>
      </w:r>
    </w:p>
    <w:p w14:paraId="014E8EEE" w14:textId="53A538E8" w:rsidR="009B54BF" w:rsidRPr="00B40A77" w:rsidRDefault="009B54BF" w:rsidP="009B54BF">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applicant is the </w:t>
      </w:r>
      <w:r w:rsidR="000D7E12" w:rsidRPr="00B40A77">
        <w:rPr>
          <w:color w:val="000000" w:themeColor="text1"/>
          <w:lang w:val="en-US"/>
        </w:rPr>
        <w:t xml:space="preserve">Presiding Member of the </w:t>
      </w:r>
      <w:r w:rsidR="000D7E12" w:rsidRPr="00B40A77">
        <w:rPr>
          <w:rFonts w:cs="Times New Roman"/>
          <w:color w:val="000000" w:themeColor="text1"/>
          <w:lang w:val="en-US"/>
        </w:rPr>
        <w:t>Parole Board</w:t>
      </w:r>
      <w:r w:rsidR="000D7E12" w:rsidRPr="00B40A77">
        <w:rPr>
          <w:color w:val="000000" w:themeColor="text1"/>
          <w:lang w:val="en-US"/>
        </w:rPr>
        <w:t xml:space="preserve"> or Training Centre Review Board</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000D7E12" w:rsidRPr="00B40A77">
        <w:rPr>
          <w:color w:val="000000" w:themeColor="text1"/>
          <w:lang w:val="en-US"/>
        </w:rPr>
        <w:t xml:space="preserve"> and the Director </w:t>
      </w:r>
      <w:r w:rsidRPr="00B40A77">
        <w:rPr>
          <w:color w:val="000000" w:themeColor="text1"/>
          <w:lang w:val="en-US"/>
        </w:rPr>
        <w:t>as respondents</w:t>
      </w:r>
      <w:r w:rsidR="00FA7FDB" w:rsidRPr="00B40A77">
        <w:rPr>
          <w:color w:val="000000" w:themeColor="text1"/>
          <w:lang w:val="en-US"/>
        </w:rPr>
        <w:t>.</w:t>
      </w:r>
    </w:p>
    <w:p w14:paraId="6C7E21CA" w14:textId="6CA67B99" w:rsidR="00BC65C8" w:rsidRPr="00B40A77" w:rsidRDefault="00031010" w:rsidP="00F91EF3">
      <w:pPr>
        <w:pStyle w:val="Heading4"/>
        <w:rPr>
          <w:color w:val="000000" w:themeColor="text1"/>
        </w:rPr>
      </w:pPr>
      <w:bookmarkStart w:id="948" w:name="_Toc175239264"/>
      <w:r w:rsidRPr="00B40A77">
        <w:rPr>
          <w:color w:val="000000" w:themeColor="text1"/>
        </w:rPr>
        <w:lastRenderedPageBreak/>
        <w:t>16</w:t>
      </w:r>
      <w:r w:rsidR="00154E2F" w:rsidRPr="00B40A77">
        <w:rPr>
          <w:color w:val="000000" w:themeColor="text1"/>
        </w:rPr>
        <w:t>2</w:t>
      </w:r>
      <w:r w:rsidR="00BC65C8" w:rsidRPr="00B40A77">
        <w:rPr>
          <w:color w:val="000000" w:themeColor="text1"/>
        </w:rPr>
        <w:t>.3—Order</w:t>
      </w:r>
      <w:r w:rsidR="00C85966" w:rsidRPr="00B40A77">
        <w:rPr>
          <w:color w:val="000000" w:themeColor="text1"/>
        </w:rPr>
        <w:t xml:space="preserve"> on application to fix or extend non-parole period</w:t>
      </w:r>
      <w:bookmarkEnd w:id="948"/>
    </w:p>
    <w:p w14:paraId="3DE344FC" w14:textId="009155BE" w:rsidR="00BC65C8" w:rsidRPr="00B40A77" w:rsidRDefault="00BC65C8" w:rsidP="00B90C7E">
      <w:pPr>
        <w:pStyle w:val="IndentedPara"/>
        <w:keepNext/>
        <w:rPr>
          <w:color w:val="000000" w:themeColor="text1"/>
        </w:rPr>
      </w:pPr>
      <w:r w:rsidRPr="00B40A77">
        <w:rPr>
          <w:color w:val="000000" w:themeColor="text1"/>
        </w:rPr>
        <w:t xml:space="preserve">The written record of an order </w:t>
      </w:r>
      <w:r w:rsidR="00C85966" w:rsidRPr="00B40A77">
        <w:rPr>
          <w:color w:val="000000" w:themeColor="text1"/>
        </w:rPr>
        <w:t xml:space="preserve">on an application to fix or extend a non-parole period </w:t>
      </w:r>
      <w:r w:rsidRPr="00B40A77">
        <w:rPr>
          <w:color w:val="000000" w:themeColor="text1"/>
        </w:rPr>
        <w:t>must be in the prescribed form.</w:t>
      </w:r>
    </w:p>
    <w:p w14:paraId="52DA421A" w14:textId="25B69EDA" w:rsidR="00BC65C8" w:rsidRPr="00B40A77" w:rsidRDefault="00BC65C8" w:rsidP="00B90C7E">
      <w:pPr>
        <w:pStyle w:val="NoteHeader"/>
        <w:keepNext/>
        <w:ind w:left="567"/>
        <w:rPr>
          <w:color w:val="000000" w:themeColor="text1"/>
        </w:rPr>
      </w:pPr>
      <w:r w:rsidRPr="00B40A77">
        <w:rPr>
          <w:color w:val="000000" w:themeColor="text1"/>
        </w:rPr>
        <w:t>Prescribed form—</w:t>
      </w:r>
    </w:p>
    <w:p w14:paraId="1A26AF06" w14:textId="68E6F14E" w:rsidR="00BC65C8" w:rsidRPr="00B40A77" w:rsidRDefault="00BC65C8" w:rsidP="00BC23E5">
      <w:pPr>
        <w:pStyle w:val="NoteText"/>
        <w:ind w:left="851"/>
        <w:rPr>
          <w:color w:val="000000" w:themeColor="text1"/>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17" w:history="1">
        <w:r w:rsidRPr="00B40A77">
          <w:rPr>
            <w:rStyle w:val="Hyperlink"/>
            <w:color w:val="000000" w:themeColor="text1"/>
          </w:rPr>
          <w:t>Record of Outcome</w:t>
        </w:r>
      </w:hyperlink>
    </w:p>
    <w:p w14:paraId="5CF74DEB" w14:textId="4BC706E8" w:rsidR="00506962" w:rsidRPr="00B40A77" w:rsidRDefault="00825A8B" w:rsidP="00506962">
      <w:pPr>
        <w:pStyle w:val="Heading3"/>
        <w:rPr>
          <w:color w:val="000000" w:themeColor="text1"/>
        </w:rPr>
      </w:pPr>
      <w:bookmarkStart w:id="949" w:name="_Toc175239265"/>
      <w:r w:rsidRPr="00B40A77">
        <w:rPr>
          <w:color w:val="000000" w:themeColor="text1"/>
        </w:rPr>
        <w:t>Division 3</w:t>
      </w:r>
      <w:r w:rsidR="00506962" w:rsidRPr="00B40A77">
        <w:rPr>
          <w:color w:val="000000" w:themeColor="text1"/>
        </w:rPr>
        <w:t>—</w:t>
      </w:r>
      <w:r w:rsidR="0039589C" w:rsidRPr="00B40A77">
        <w:rPr>
          <w:color w:val="000000" w:themeColor="text1"/>
        </w:rPr>
        <w:t>Bond, obligation or recognizance</w:t>
      </w:r>
      <w:bookmarkEnd w:id="949"/>
    </w:p>
    <w:p w14:paraId="5ED63C57" w14:textId="2E25F847" w:rsidR="006338D2" w:rsidRPr="00B40A77" w:rsidRDefault="00031010" w:rsidP="006653F2">
      <w:pPr>
        <w:pStyle w:val="Heading4"/>
        <w:rPr>
          <w:color w:val="000000" w:themeColor="text1"/>
        </w:rPr>
      </w:pPr>
      <w:bookmarkStart w:id="950" w:name="_Toc175239266"/>
      <w:r w:rsidRPr="00B40A77">
        <w:rPr>
          <w:color w:val="000000" w:themeColor="text1"/>
        </w:rPr>
        <w:t>16</w:t>
      </w:r>
      <w:r w:rsidR="00825A8B" w:rsidRPr="00B40A77">
        <w:rPr>
          <w:color w:val="000000" w:themeColor="text1"/>
        </w:rPr>
        <w:t>3</w:t>
      </w:r>
      <w:r w:rsidR="0039589C" w:rsidRPr="00B40A77">
        <w:rPr>
          <w:color w:val="000000" w:themeColor="text1"/>
        </w:rPr>
        <w:t>.1</w:t>
      </w:r>
      <w:r w:rsidR="006338D2" w:rsidRPr="00B40A77">
        <w:rPr>
          <w:color w:val="000000" w:themeColor="text1"/>
        </w:rPr>
        <w:t>—Application to vary</w:t>
      </w:r>
      <w:r w:rsidR="006E3D33" w:rsidRPr="00B40A77">
        <w:rPr>
          <w:color w:val="000000" w:themeColor="text1"/>
        </w:rPr>
        <w:t xml:space="preserve"> or revoke condition or discharge bond or obligation</w:t>
      </w:r>
      <w:bookmarkEnd w:id="950"/>
    </w:p>
    <w:p w14:paraId="5BD5BF37" w14:textId="09D5771B" w:rsidR="006338D2" w:rsidRPr="00B40A77" w:rsidRDefault="006338D2"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to vary or revoke a condition of a bond </w:t>
      </w:r>
      <w:r w:rsidR="00A55B2F" w:rsidRPr="00B40A77">
        <w:rPr>
          <w:color w:val="000000" w:themeColor="text1"/>
          <w:lang w:val="en-US"/>
        </w:rPr>
        <w:t xml:space="preserve">or obligation </w:t>
      </w:r>
      <w:r w:rsidR="00FA7FDB" w:rsidRPr="00B40A77">
        <w:rPr>
          <w:color w:val="000000" w:themeColor="text1"/>
          <w:lang w:val="en-US"/>
        </w:rPr>
        <w:t xml:space="preserve">of a person (the </w:t>
      </w:r>
      <w:r w:rsidR="005F1B99" w:rsidRPr="00B40A77">
        <w:rPr>
          <w:b/>
          <w:bCs/>
          <w:i/>
          <w:iCs/>
          <w:color w:val="000000" w:themeColor="text1"/>
          <w:lang w:val="en-US"/>
        </w:rPr>
        <w:t>subject</w:t>
      </w:r>
      <w:r w:rsidR="00FA7FDB" w:rsidRPr="00B40A77">
        <w:rPr>
          <w:color w:val="000000" w:themeColor="text1"/>
          <w:lang w:val="en-US"/>
        </w:rPr>
        <w:t xml:space="preserve">) </w:t>
      </w:r>
      <w:r w:rsidRPr="00B40A77">
        <w:rPr>
          <w:color w:val="000000" w:themeColor="text1"/>
          <w:lang w:val="en-US"/>
        </w:rPr>
        <w:t>under section</w:t>
      </w:r>
      <w:r w:rsidR="00EF1FED" w:rsidRPr="00B40A77">
        <w:rPr>
          <w:color w:val="000000" w:themeColor="text1"/>
          <w:lang w:val="en-US"/>
        </w:rPr>
        <w:t> </w:t>
      </w:r>
      <w:r w:rsidRPr="00B40A77">
        <w:rPr>
          <w:color w:val="000000" w:themeColor="text1"/>
          <w:lang w:val="en-US"/>
        </w:rPr>
        <w:t xml:space="preserve">103(1) of the Sentencing Act or </w:t>
      </w:r>
      <w:r w:rsidR="00A55B2F" w:rsidRPr="00B40A77">
        <w:rPr>
          <w:color w:val="000000" w:themeColor="text1"/>
          <w:lang w:val="en-US"/>
        </w:rPr>
        <w:t>to discharge a bond or obligation</w:t>
      </w:r>
      <w:r w:rsidRPr="00B40A77">
        <w:rPr>
          <w:color w:val="000000" w:themeColor="text1"/>
          <w:lang w:val="en-US"/>
        </w:rPr>
        <w:t xml:space="preserve"> under section</w:t>
      </w:r>
      <w:r w:rsidR="00EF1FED" w:rsidRPr="00B40A77">
        <w:rPr>
          <w:color w:val="000000" w:themeColor="text1"/>
          <w:lang w:val="en-US"/>
        </w:rPr>
        <w:t> </w:t>
      </w:r>
      <w:r w:rsidRPr="00B40A77">
        <w:rPr>
          <w:color w:val="000000" w:themeColor="text1"/>
          <w:lang w:val="en-US"/>
        </w:rPr>
        <w:t>1</w:t>
      </w:r>
      <w:r w:rsidR="00A55B2F" w:rsidRPr="00B40A77">
        <w:rPr>
          <w:color w:val="000000" w:themeColor="text1"/>
          <w:lang w:val="en-US"/>
        </w:rPr>
        <w:t>03</w:t>
      </w:r>
      <w:r w:rsidRPr="00B40A77">
        <w:rPr>
          <w:color w:val="000000" w:themeColor="text1"/>
          <w:lang w:val="en-US"/>
        </w:rPr>
        <w:t>(</w:t>
      </w:r>
      <w:r w:rsidR="00A55B2F" w:rsidRPr="00B40A77">
        <w:rPr>
          <w:color w:val="000000" w:themeColor="text1"/>
          <w:lang w:val="en-US"/>
        </w:rPr>
        <w:t>8</w:t>
      </w:r>
      <w:r w:rsidRPr="00B40A77">
        <w:rPr>
          <w:color w:val="000000" w:themeColor="text1"/>
          <w:lang w:val="en-US"/>
        </w:rPr>
        <w:t xml:space="preserve">) of the Sentencing Act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32158ED4" w14:textId="77777777" w:rsidR="006338D2" w:rsidRPr="00B40A77" w:rsidRDefault="006338D2" w:rsidP="00B90C7E">
      <w:pPr>
        <w:pStyle w:val="NoteHeader"/>
        <w:keepNext/>
        <w:rPr>
          <w:color w:val="000000" w:themeColor="text1"/>
        </w:rPr>
      </w:pPr>
      <w:r w:rsidRPr="00B40A77">
        <w:rPr>
          <w:color w:val="000000" w:themeColor="text1"/>
        </w:rPr>
        <w:t>Prescribed form—</w:t>
      </w:r>
    </w:p>
    <w:p w14:paraId="432236E0" w14:textId="7EC435D1" w:rsidR="00A55B2F" w:rsidRPr="00B40A77" w:rsidRDefault="006338D2" w:rsidP="00BC23E5">
      <w:pPr>
        <w:pStyle w:val="NoteText"/>
        <w:rPr>
          <w:color w:val="000000" w:themeColor="text1"/>
          <w:lang w:val="en-US"/>
        </w:rPr>
      </w:pPr>
      <w:r w:rsidRPr="00B40A77">
        <w:rPr>
          <w:color w:val="000000" w:themeColor="text1"/>
        </w:rPr>
        <w:t>Form 171</w:t>
      </w:r>
      <w:r w:rsidR="00CA2D20" w:rsidRPr="00B40A77">
        <w:rPr>
          <w:color w:val="000000" w:themeColor="text1"/>
        </w:rPr>
        <w:t>E</w:t>
      </w:r>
      <w:r w:rsidRPr="00B40A77">
        <w:rPr>
          <w:color w:val="000000" w:themeColor="text1"/>
        </w:rPr>
        <w:t xml:space="preserve"> </w:t>
      </w:r>
      <w:hyperlink r:id="rId318" w:history="1">
        <w:r w:rsidR="00FC1FD3" w:rsidRPr="00B40A77">
          <w:rPr>
            <w:rStyle w:val="Hyperlink"/>
            <w:color w:val="000000" w:themeColor="text1"/>
            <w:lang w:val="en-US"/>
          </w:rPr>
          <w:t xml:space="preserve">Originating </w:t>
        </w:r>
        <w:r w:rsidRPr="00B40A77">
          <w:rPr>
            <w:rStyle w:val="Hyperlink"/>
            <w:color w:val="000000" w:themeColor="text1"/>
            <w:lang w:val="en-US"/>
          </w:rPr>
          <w:t xml:space="preserve">Application to </w:t>
        </w:r>
        <w:r w:rsidR="00A55B2F" w:rsidRPr="00B40A77">
          <w:rPr>
            <w:rStyle w:val="Hyperlink"/>
            <w:color w:val="000000" w:themeColor="text1"/>
          </w:rPr>
          <w:t>Vary</w:t>
        </w:r>
        <w:r w:rsidR="00476C43" w:rsidRPr="00B40A77">
          <w:rPr>
            <w:rStyle w:val="Hyperlink"/>
            <w:color w:val="000000" w:themeColor="text1"/>
          </w:rPr>
          <w:t xml:space="preserve"> or </w:t>
        </w:r>
        <w:r w:rsidR="00A55B2F" w:rsidRPr="00B40A77">
          <w:rPr>
            <w:rStyle w:val="Hyperlink"/>
            <w:color w:val="000000" w:themeColor="text1"/>
          </w:rPr>
          <w:t xml:space="preserve">Revoke Condition of </w:t>
        </w:r>
        <w:r w:rsidR="00476C43" w:rsidRPr="00B40A77">
          <w:rPr>
            <w:rStyle w:val="Hyperlink"/>
            <w:color w:val="000000" w:themeColor="text1"/>
          </w:rPr>
          <w:t xml:space="preserve">or </w:t>
        </w:r>
        <w:r w:rsidR="00A55B2F" w:rsidRPr="00B40A77">
          <w:rPr>
            <w:rStyle w:val="Hyperlink"/>
            <w:color w:val="000000" w:themeColor="text1"/>
          </w:rPr>
          <w:t xml:space="preserve">Discharge </w:t>
        </w:r>
        <w:r w:rsidR="00476C43" w:rsidRPr="00B40A77">
          <w:rPr>
            <w:rStyle w:val="Hyperlink"/>
            <w:color w:val="000000" w:themeColor="text1"/>
          </w:rPr>
          <w:t>Bond or Obligation</w:t>
        </w:r>
      </w:hyperlink>
    </w:p>
    <w:p w14:paraId="7D981CCF" w14:textId="77777777" w:rsidR="00FA7FDB" w:rsidRPr="00B40A77" w:rsidRDefault="00FA7FDB" w:rsidP="00FA7FDB">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42B90059" w14:textId="5F2CE457" w:rsidR="00FA7FDB" w:rsidRPr="00B40A77" w:rsidRDefault="00FA7FDB" w:rsidP="00FA7FDB">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r w:rsidRPr="00B40A77">
        <w:rPr>
          <w:color w:val="000000" w:themeColor="text1"/>
          <w:u w:val="single"/>
          <w:lang w:val="en-US"/>
        </w:rPr>
        <w:t>subject</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prosecution and the Minister</w:t>
      </w:r>
      <w:r w:rsidR="007627EE" w:rsidRPr="00B40A77">
        <w:rPr>
          <w:color w:val="000000" w:themeColor="text1"/>
          <w:lang w:val="en-US"/>
        </w:rPr>
        <w:t xml:space="preserve"> </w:t>
      </w:r>
      <w:r w:rsidRPr="00B40A77">
        <w:rPr>
          <w:color w:val="000000" w:themeColor="text1"/>
          <w:lang w:val="en-US"/>
        </w:rPr>
        <w:t>as respondents;</w:t>
      </w:r>
    </w:p>
    <w:p w14:paraId="4F98F219" w14:textId="7D1E07E4" w:rsidR="00FA7FDB" w:rsidRPr="00B40A77" w:rsidRDefault="00FA7FDB" w:rsidP="00FA7FDB">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applicant is the </w:t>
      </w:r>
      <w:r w:rsidRPr="00B40A77">
        <w:rPr>
          <w:color w:val="000000" w:themeColor="text1"/>
          <w:u w:val="single"/>
          <w:lang w:val="en-US"/>
        </w:rPr>
        <w:t>Minister</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and the prosecution as respondents.</w:t>
      </w:r>
    </w:p>
    <w:p w14:paraId="3D2B2D3A" w14:textId="2FBD99C7" w:rsidR="00BB135D" w:rsidRPr="00B40A77" w:rsidRDefault="00BB135D" w:rsidP="00BB135D">
      <w:pPr>
        <w:pStyle w:val="Hangindent"/>
        <w:rPr>
          <w:color w:val="000000" w:themeColor="text1"/>
          <w:lang w:val="en-US"/>
        </w:rPr>
      </w:pPr>
      <w:r w:rsidRPr="00B40A77">
        <w:rPr>
          <w:color w:val="000000" w:themeColor="text1"/>
          <w:lang w:val="en-US"/>
        </w:rPr>
        <w:t>(3)</w:t>
      </w:r>
      <w:r w:rsidRPr="00B40A77">
        <w:rPr>
          <w:color w:val="000000" w:themeColor="text1"/>
          <w:lang w:val="en-US"/>
        </w:rPr>
        <w:tab/>
        <w:t>In this rule</w:t>
      </w:r>
      <w:r w:rsidRPr="00B40A77">
        <w:rPr>
          <w:color w:val="000000" w:themeColor="text1"/>
        </w:rPr>
        <w:t>—</w:t>
      </w:r>
    </w:p>
    <w:p w14:paraId="3C72E555" w14:textId="688E965D" w:rsidR="00BB135D" w:rsidRPr="00B40A77" w:rsidRDefault="00BB135D" w:rsidP="00BB135D">
      <w:pPr>
        <w:pStyle w:val="Hangindent"/>
        <w:ind w:left="981" w:firstLine="153"/>
        <w:rPr>
          <w:color w:val="000000" w:themeColor="text1"/>
        </w:rPr>
      </w:pPr>
      <w:r w:rsidRPr="00B40A77">
        <w:rPr>
          <w:bCs/>
          <w:iCs/>
          <w:color w:val="000000" w:themeColor="text1"/>
          <w:lang w:val="en-US"/>
        </w:rPr>
        <w:t>the</w:t>
      </w:r>
      <w:r w:rsidRPr="00B40A77">
        <w:rPr>
          <w:b/>
          <w:i/>
          <w:color w:val="000000" w:themeColor="text1"/>
          <w:lang w:val="en-US"/>
        </w:rPr>
        <w:t xml:space="preserve"> Minister </w:t>
      </w:r>
      <w:r w:rsidRPr="00B40A77">
        <w:rPr>
          <w:color w:val="000000" w:themeColor="text1"/>
          <w:lang w:val="en-US"/>
        </w:rPr>
        <w:t>means</w:t>
      </w:r>
      <w:r w:rsidRPr="00B40A77">
        <w:rPr>
          <w:color w:val="000000" w:themeColor="text1"/>
        </w:rPr>
        <w:t>—</w:t>
      </w:r>
    </w:p>
    <w:p w14:paraId="7E2E0292" w14:textId="77777777" w:rsidR="00D92ADD" w:rsidRPr="00B40A77" w:rsidRDefault="00BB135D" w:rsidP="00D92ADD">
      <w:pPr>
        <w:pStyle w:val="Doublehangindent"/>
        <w:rPr>
          <w:color w:val="000000" w:themeColor="text1"/>
          <w:lang w:val="en-US"/>
        </w:rPr>
      </w:pPr>
      <w:r w:rsidRPr="00B40A77">
        <w:rPr>
          <w:color w:val="000000" w:themeColor="text1"/>
          <w:lang w:val="en-US"/>
        </w:rPr>
        <w:t>(a)</w:t>
      </w:r>
      <w:r w:rsidR="00420402" w:rsidRPr="00B40A77">
        <w:rPr>
          <w:color w:val="000000" w:themeColor="text1"/>
          <w:lang w:val="en-US"/>
        </w:rPr>
        <w:tab/>
      </w:r>
      <w:r w:rsidRPr="00B40A77">
        <w:rPr>
          <w:color w:val="000000" w:themeColor="text1"/>
          <w:lang w:val="en-US"/>
        </w:rPr>
        <w:t>in respect of a</w:t>
      </w:r>
      <w:r w:rsidR="00420402" w:rsidRPr="00B40A77">
        <w:rPr>
          <w:color w:val="000000" w:themeColor="text1"/>
          <w:lang w:val="en-US"/>
        </w:rPr>
        <w:t>n application in</w:t>
      </w:r>
      <w:r w:rsidRPr="00B40A77">
        <w:rPr>
          <w:color w:val="000000" w:themeColor="text1"/>
          <w:lang w:val="en-US"/>
        </w:rPr>
        <w:t xml:space="preserve"> the Youth Court— the </w:t>
      </w:r>
      <w:r w:rsidR="00420402" w:rsidRPr="00B40A77">
        <w:rPr>
          <w:color w:val="000000" w:themeColor="text1"/>
        </w:rPr>
        <w:t>Minister responsible for the administration of the</w:t>
      </w:r>
      <w:r w:rsidRPr="00B40A77">
        <w:rPr>
          <w:color w:val="000000" w:themeColor="text1"/>
          <w:lang w:val="en-US"/>
        </w:rPr>
        <w:t xml:space="preserve"> </w:t>
      </w:r>
      <w:r w:rsidRPr="00B40A77">
        <w:rPr>
          <w:i/>
          <w:iCs/>
          <w:color w:val="000000" w:themeColor="text1"/>
          <w:lang w:val="en-US"/>
        </w:rPr>
        <w:t>Youth Justice Administration Act 2016</w:t>
      </w:r>
      <w:r w:rsidRPr="00B40A77">
        <w:rPr>
          <w:color w:val="000000" w:themeColor="text1"/>
          <w:lang w:val="en-US"/>
        </w:rPr>
        <w:t xml:space="preserve"> (presently the </w:t>
      </w:r>
      <w:r w:rsidR="00420402" w:rsidRPr="00B40A77">
        <w:rPr>
          <w:color w:val="000000" w:themeColor="text1"/>
          <w:lang w:val="en-US"/>
        </w:rPr>
        <w:t>Minister</w:t>
      </w:r>
      <w:r w:rsidRPr="00B40A77">
        <w:rPr>
          <w:color w:val="000000" w:themeColor="text1"/>
          <w:lang w:val="en-US"/>
        </w:rPr>
        <w:t xml:space="preserve"> for Human Services); or</w:t>
      </w:r>
    </w:p>
    <w:p w14:paraId="0692E8E8" w14:textId="740C1886" w:rsidR="00BB135D" w:rsidRPr="00B40A77" w:rsidRDefault="00BB135D" w:rsidP="00D92AD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in respect of </w:t>
      </w:r>
      <w:r w:rsidR="00DD656B" w:rsidRPr="00B40A77">
        <w:rPr>
          <w:color w:val="000000" w:themeColor="text1"/>
          <w:lang w:val="en-US"/>
        </w:rPr>
        <w:t xml:space="preserve">an application in </w:t>
      </w:r>
      <w:r w:rsidRPr="00B40A77">
        <w:rPr>
          <w:color w:val="000000" w:themeColor="text1"/>
          <w:lang w:val="en-US"/>
        </w:rPr>
        <w:t xml:space="preserve">a Court other than the Youth Court—the </w:t>
      </w:r>
      <w:r w:rsidR="00DD656B" w:rsidRPr="00B40A77">
        <w:rPr>
          <w:color w:val="000000" w:themeColor="text1"/>
        </w:rPr>
        <w:t>Minister responsible for the administration of the</w:t>
      </w:r>
      <w:r w:rsidR="00DD656B" w:rsidRPr="00B40A77">
        <w:rPr>
          <w:color w:val="000000" w:themeColor="text1"/>
          <w:lang w:val="en-US"/>
        </w:rPr>
        <w:t xml:space="preserve"> </w:t>
      </w:r>
      <w:r w:rsidR="00270544" w:rsidRPr="00B40A77">
        <w:rPr>
          <w:i/>
          <w:iCs/>
          <w:color w:val="000000" w:themeColor="text1"/>
        </w:rPr>
        <w:t>Correctional Services Act 1982</w:t>
      </w:r>
      <w:r w:rsidR="00E9115C" w:rsidRPr="00B40A77">
        <w:rPr>
          <w:color w:val="000000" w:themeColor="text1"/>
          <w:lang w:val="en-US"/>
        </w:rPr>
        <w:t xml:space="preserve"> </w:t>
      </w:r>
      <w:r w:rsidRPr="00B40A77">
        <w:rPr>
          <w:color w:val="000000" w:themeColor="text1"/>
          <w:lang w:val="en-US"/>
        </w:rPr>
        <w:t xml:space="preserve">(presently the </w:t>
      </w:r>
      <w:r w:rsidR="00DD656B" w:rsidRPr="00B40A77">
        <w:rPr>
          <w:color w:val="000000" w:themeColor="text1"/>
          <w:lang w:val="en-US"/>
        </w:rPr>
        <w:t>Minister for Police, Emergency Services and Correctional Services</w:t>
      </w:r>
      <w:r w:rsidRPr="00B40A77">
        <w:rPr>
          <w:color w:val="000000" w:themeColor="text1"/>
          <w:lang w:val="en-US"/>
        </w:rPr>
        <w:t>)</w:t>
      </w:r>
      <w:r w:rsidR="00DD656B" w:rsidRPr="00B40A77">
        <w:rPr>
          <w:color w:val="000000" w:themeColor="text1"/>
          <w:lang w:val="en-US"/>
        </w:rPr>
        <w:t>.</w:t>
      </w:r>
    </w:p>
    <w:p w14:paraId="325DD204" w14:textId="38A6ED1E" w:rsidR="005A6A28" w:rsidRPr="00B40A77" w:rsidRDefault="00031010" w:rsidP="008B5152">
      <w:pPr>
        <w:pStyle w:val="Heading4"/>
        <w:rPr>
          <w:color w:val="000000" w:themeColor="text1"/>
        </w:rPr>
      </w:pPr>
      <w:bookmarkStart w:id="951" w:name="_Toc175239267"/>
      <w:r w:rsidRPr="00B40A77">
        <w:rPr>
          <w:color w:val="000000" w:themeColor="text1"/>
        </w:rPr>
        <w:t>16</w:t>
      </w:r>
      <w:r w:rsidR="00825A8B" w:rsidRPr="00B40A77">
        <w:rPr>
          <w:color w:val="000000" w:themeColor="text1"/>
        </w:rPr>
        <w:t>3</w:t>
      </w:r>
      <w:r w:rsidR="0039589C" w:rsidRPr="00B40A77">
        <w:rPr>
          <w:color w:val="000000" w:themeColor="text1"/>
        </w:rPr>
        <w:t>.2</w:t>
      </w:r>
      <w:r w:rsidR="005A6A28" w:rsidRPr="00B40A77">
        <w:rPr>
          <w:color w:val="000000" w:themeColor="text1"/>
        </w:rPr>
        <w:t>—Application to vary or revoke recognizance: All Courts except Youth Court</w:t>
      </w:r>
      <w:bookmarkEnd w:id="951"/>
    </w:p>
    <w:p w14:paraId="544EBA38" w14:textId="07D14AA0" w:rsidR="005A6A28" w:rsidRPr="00B40A77" w:rsidRDefault="005A6A28"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to vary a term of a recognizance or discharge a recognizance </w:t>
      </w:r>
      <w:r w:rsidR="00470E98" w:rsidRPr="00B40A77">
        <w:rPr>
          <w:color w:val="000000" w:themeColor="text1"/>
          <w:lang w:val="en-US"/>
        </w:rPr>
        <w:t xml:space="preserve">of a person (the </w:t>
      </w:r>
      <w:r w:rsidR="005F1B99" w:rsidRPr="00B40A77">
        <w:rPr>
          <w:b/>
          <w:bCs/>
          <w:i/>
          <w:iCs/>
          <w:color w:val="000000" w:themeColor="text1"/>
          <w:lang w:val="en-US"/>
        </w:rPr>
        <w:t>subject</w:t>
      </w:r>
      <w:r w:rsidR="00470E98" w:rsidRPr="00B40A77">
        <w:rPr>
          <w:color w:val="000000" w:themeColor="text1"/>
          <w:lang w:val="en-US"/>
        </w:rPr>
        <w:t xml:space="preserve">) </w:t>
      </w:r>
      <w:r w:rsidRPr="00B40A77">
        <w:rPr>
          <w:color w:val="000000" w:themeColor="text1"/>
          <w:lang w:val="en-US"/>
        </w:rPr>
        <w:t>under section</w:t>
      </w:r>
      <w:r w:rsidR="00EF1FED" w:rsidRPr="00B40A77">
        <w:rPr>
          <w:color w:val="000000" w:themeColor="text1"/>
          <w:lang w:val="en-US"/>
        </w:rPr>
        <w:t> </w:t>
      </w:r>
      <w:r w:rsidRPr="00B40A77">
        <w:rPr>
          <w:color w:val="000000" w:themeColor="text1"/>
          <w:lang w:val="en-US"/>
        </w:rPr>
        <w:t xml:space="preserve">20AA(1) of the Crimes Act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6B4ADD38" w14:textId="77777777" w:rsidR="005A6A28" w:rsidRPr="00B40A77" w:rsidRDefault="005A6A28" w:rsidP="00B90C7E">
      <w:pPr>
        <w:pStyle w:val="NoteHeader"/>
        <w:keepNext/>
        <w:rPr>
          <w:color w:val="000000" w:themeColor="text1"/>
        </w:rPr>
      </w:pPr>
      <w:r w:rsidRPr="00B40A77">
        <w:rPr>
          <w:color w:val="000000" w:themeColor="text1"/>
        </w:rPr>
        <w:t>Prescribed form—</w:t>
      </w:r>
    </w:p>
    <w:p w14:paraId="3215963F" w14:textId="48519620" w:rsidR="005A6A28" w:rsidRPr="00B40A77" w:rsidRDefault="005A6A28" w:rsidP="00BC23E5">
      <w:pPr>
        <w:pStyle w:val="NoteText"/>
        <w:rPr>
          <w:color w:val="000000" w:themeColor="text1"/>
          <w:lang w:val="en-US"/>
        </w:rPr>
      </w:pPr>
      <w:r w:rsidRPr="00B40A77">
        <w:rPr>
          <w:color w:val="000000" w:themeColor="text1"/>
        </w:rPr>
        <w:t>Form 171</w:t>
      </w:r>
      <w:r w:rsidR="00CA2D20" w:rsidRPr="00B40A77">
        <w:rPr>
          <w:color w:val="000000" w:themeColor="text1"/>
        </w:rPr>
        <w:t>F</w:t>
      </w:r>
      <w:r w:rsidRPr="00B40A77">
        <w:rPr>
          <w:color w:val="000000" w:themeColor="text1"/>
        </w:rPr>
        <w:t xml:space="preserve"> </w:t>
      </w:r>
      <w:hyperlink r:id="rId319" w:history="1">
        <w:r w:rsidR="00FC1FD3" w:rsidRPr="00B40A77">
          <w:rPr>
            <w:rStyle w:val="Hyperlink"/>
            <w:color w:val="000000" w:themeColor="text1"/>
            <w:lang w:val="en-US"/>
          </w:rPr>
          <w:t xml:space="preserve">Originating </w:t>
        </w:r>
        <w:r w:rsidRPr="00B40A77">
          <w:rPr>
            <w:rStyle w:val="Hyperlink"/>
            <w:color w:val="000000" w:themeColor="text1"/>
            <w:lang w:val="en-US"/>
          </w:rPr>
          <w:t xml:space="preserve">Application to </w:t>
        </w:r>
        <w:r w:rsidR="00CA2D20" w:rsidRPr="00B40A77">
          <w:rPr>
            <w:rStyle w:val="Hyperlink"/>
            <w:color w:val="000000" w:themeColor="text1"/>
          </w:rPr>
          <w:t xml:space="preserve">Discharge or Vary Condition of </w:t>
        </w:r>
        <w:r w:rsidR="006535E8" w:rsidRPr="00B40A77">
          <w:rPr>
            <w:rStyle w:val="Hyperlink"/>
            <w:color w:val="000000" w:themeColor="text1"/>
          </w:rPr>
          <w:t>Recognizance</w:t>
        </w:r>
        <w:r w:rsidRPr="00B40A77">
          <w:rPr>
            <w:rStyle w:val="Hyperlink"/>
            <w:color w:val="000000" w:themeColor="text1"/>
            <w:lang w:val="en-US"/>
          </w:rPr>
          <w:t xml:space="preserve"> </w:t>
        </w:r>
        <w:r w:rsidR="00CA2D20" w:rsidRPr="00B40A77">
          <w:rPr>
            <w:rStyle w:val="Hyperlink"/>
            <w:color w:val="000000" w:themeColor="text1"/>
            <w:lang w:val="en-US"/>
          </w:rPr>
          <w:t>Order</w:t>
        </w:r>
      </w:hyperlink>
    </w:p>
    <w:p w14:paraId="04C7DF75" w14:textId="77777777" w:rsidR="001A0C59" w:rsidRPr="00B40A77" w:rsidRDefault="001A0C59" w:rsidP="001A0C59">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02D43DC9" w14:textId="570ADB23" w:rsidR="001A0C59" w:rsidRPr="00B40A77" w:rsidRDefault="001A0C59" w:rsidP="001A0C59">
      <w:pPr>
        <w:pStyle w:val="Doublehangindent"/>
        <w:rPr>
          <w:color w:val="000000" w:themeColor="text1"/>
          <w:lang w:val="en-US"/>
        </w:rPr>
      </w:pPr>
      <w:r w:rsidRPr="00B40A77">
        <w:rPr>
          <w:color w:val="000000" w:themeColor="text1"/>
          <w:lang w:val="en-US"/>
        </w:rPr>
        <w:t>(a)</w:t>
      </w:r>
      <w:r w:rsidRPr="00B40A77">
        <w:rPr>
          <w:color w:val="000000" w:themeColor="text1"/>
          <w:lang w:val="en-US"/>
        </w:rPr>
        <w:tab/>
        <w:t>if the applicant is the Attorney-General—</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00470E98" w:rsidRPr="00B40A77">
        <w:rPr>
          <w:color w:val="000000" w:themeColor="text1"/>
          <w:lang w:val="en-US"/>
        </w:rPr>
        <w:t xml:space="preserve">, </w:t>
      </w:r>
      <w:r w:rsidRPr="00B40A77">
        <w:rPr>
          <w:color w:val="000000" w:themeColor="text1"/>
          <w:lang w:val="en-US"/>
        </w:rPr>
        <w:t xml:space="preserve">the </w:t>
      </w:r>
      <w:r w:rsidR="00470E98" w:rsidRPr="00B40A77">
        <w:rPr>
          <w:color w:val="000000" w:themeColor="text1"/>
          <w:lang w:val="en-US"/>
        </w:rPr>
        <w:t>Director, any surety and any probation officer of the subject</w:t>
      </w:r>
      <w:r w:rsidRPr="00B40A77">
        <w:rPr>
          <w:color w:val="000000" w:themeColor="text1"/>
          <w:lang w:val="en-US"/>
        </w:rPr>
        <w:t xml:space="preserve"> as respondents;</w:t>
      </w:r>
    </w:p>
    <w:p w14:paraId="52368C31" w14:textId="4B847A90" w:rsidR="00470E98" w:rsidRPr="00B40A77" w:rsidRDefault="00470E98" w:rsidP="00470E98">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applicant is the Director or a person appointed under section 69 of the </w:t>
      </w:r>
      <w:r w:rsidRPr="00B40A77">
        <w:rPr>
          <w:i/>
          <w:iCs/>
          <w:color w:val="000000" w:themeColor="text1"/>
          <w:lang w:val="en-US"/>
        </w:rPr>
        <w:t>Judiciary Act 1903</w:t>
      </w:r>
      <w:r w:rsidRPr="00B40A77">
        <w:rPr>
          <w:color w:val="000000" w:themeColor="text1"/>
          <w:lang w:val="en-US"/>
        </w:rPr>
        <w:t> (Cth) to prosecute indictable offences against the laws of the Commonwealth—</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any surety and any probation officer of the subject as respondents</w:t>
      </w:r>
    </w:p>
    <w:p w14:paraId="70F1DB4D" w14:textId="2C516FCA" w:rsidR="00470E98" w:rsidRPr="00B40A77" w:rsidRDefault="00470E98" w:rsidP="00470E98">
      <w:pPr>
        <w:pStyle w:val="Doublehangindent"/>
        <w:rPr>
          <w:color w:val="000000" w:themeColor="text1"/>
          <w:lang w:val="en-US"/>
        </w:rPr>
      </w:pPr>
      <w:r w:rsidRPr="00B40A77">
        <w:rPr>
          <w:color w:val="000000" w:themeColor="text1"/>
          <w:lang w:val="en-US"/>
        </w:rPr>
        <w:lastRenderedPageBreak/>
        <w:t>(c)</w:t>
      </w:r>
      <w:r w:rsidRPr="00B40A77">
        <w:rPr>
          <w:color w:val="000000" w:themeColor="text1"/>
          <w:lang w:val="en-US"/>
        </w:rPr>
        <w:tab/>
        <w:t>if the applicant is the subject—</w:t>
      </w:r>
      <w:r w:rsidRPr="00B40A77">
        <w:rPr>
          <w:color w:val="000000" w:themeColor="text1"/>
        </w:rPr>
        <w:t>must</w:t>
      </w:r>
      <w:r w:rsidRPr="00B40A77">
        <w:rPr>
          <w:color w:val="000000" w:themeColor="text1"/>
          <w:lang w:val="en-US"/>
        </w:rPr>
        <w:t xml:space="preserve"> join the Director, any surety and any probation officer of the subject as respondents;</w:t>
      </w:r>
    </w:p>
    <w:p w14:paraId="14A5C90C" w14:textId="0AC7C15B" w:rsidR="00470E98" w:rsidRPr="00B40A77" w:rsidRDefault="00470E98" w:rsidP="00470E98">
      <w:pPr>
        <w:pStyle w:val="Doublehangindent"/>
        <w:rPr>
          <w:color w:val="000000" w:themeColor="text1"/>
          <w:lang w:val="en-US"/>
        </w:rPr>
      </w:pPr>
      <w:r w:rsidRPr="00B40A77">
        <w:rPr>
          <w:color w:val="000000" w:themeColor="text1"/>
          <w:lang w:val="en-US"/>
        </w:rPr>
        <w:t>(d)</w:t>
      </w:r>
      <w:r w:rsidRPr="00B40A77">
        <w:rPr>
          <w:color w:val="000000" w:themeColor="text1"/>
          <w:lang w:val="en-US"/>
        </w:rPr>
        <w:tab/>
        <w:t>if the applicant is a surety of the subject—</w:t>
      </w:r>
      <w:r w:rsidRPr="00B40A77">
        <w:rPr>
          <w:color w:val="000000" w:themeColor="text1"/>
        </w:rPr>
        <w:t>must</w:t>
      </w:r>
      <w:r w:rsidRPr="00B40A77">
        <w:rPr>
          <w:color w:val="000000" w:themeColor="text1"/>
          <w:lang w:val="en-US"/>
        </w:rPr>
        <w:t xml:space="preserve"> join the subject, the Director, any other surety and any probation officer of the subject as respondents;</w:t>
      </w:r>
    </w:p>
    <w:p w14:paraId="718BA0D4" w14:textId="191C854E" w:rsidR="00470E98" w:rsidRPr="00B40A77" w:rsidRDefault="00470E98" w:rsidP="00470E98">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if the applicant is </w:t>
      </w:r>
      <w:r w:rsidR="00A56115" w:rsidRPr="00B40A77">
        <w:rPr>
          <w:color w:val="000000" w:themeColor="text1"/>
          <w:lang w:val="en-US"/>
        </w:rPr>
        <w:t>the probation officer</w:t>
      </w:r>
      <w:r w:rsidRPr="00B40A77">
        <w:rPr>
          <w:color w:val="000000" w:themeColor="text1"/>
          <w:lang w:val="en-US"/>
        </w:rPr>
        <w:t xml:space="preserve"> of the subject—</w:t>
      </w:r>
      <w:r w:rsidRPr="00B40A77">
        <w:rPr>
          <w:color w:val="000000" w:themeColor="text1"/>
        </w:rPr>
        <w:t>must</w:t>
      </w:r>
      <w:r w:rsidRPr="00B40A77">
        <w:rPr>
          <w:color w:val="000000" w:themeColor="text1"/>
          <w:lang w:val="en-US"/>
        </w:rPr>
        <w:t xml:space="preserve"> join the subject, the Director </w:t>
      </w:r>
      <w:r w:rsidR="00A56115" w:rsidRPr="00B40A77">
        <w:rPr>
          <w:color w:val="000000" w:themeColor="text1"/>
          <w:lang w:val="en-US"/>
        </w:rPr>
        <w:t xml:space="preserve">and </w:t>
      </w:r>
      <w:r w:rsidRPr="00B40A77">
        <w:rPr>
          <w:color w:val="000000" w:themeColor="text1"/>
          <w:lang w:val="en-US"/>
        </w:rPr>
        <w:t>any surety as respondents</w:t>
      </w:r>
      <w:r w:rsidR="00A56115" w:rsidRPr="00B40A77">
        <w:rPr>
          <w:color w:val="000000" w:themeColor="text1"/>
          <w:lang w:val="en-US"/>
        </w:rPr>
        <w:t>.</w:t>
      </w:r>
    </w:p>
    <w:p w14:paraId="04FD5D11" w14:textId="250A99C0" w:rsidR="00C85966" w:rsidRPr="00B40A77" w:rsidRDefault="00825A8B" w:rsidP="008B5152">
      <w:pPr>
        <w:pStyle w:val="Heading4"/>
        <w:rPr>
          <w:color w:val="000000" w:themeColor="text1"/>
        </w:rPr>
      </w:pPr>
      <w:bookmarkStart w:id="952" w:name="_Toc175239268"/>
      <w:r w:rsidRPr="00B40A77">
        <w:rPr>
          <w:color w:val="000000" w:themeColor="text1"/>
        </w:rPr>
        <w:t>163</w:t>
      </w:r>
      <w:r w:rsidR="00C85966" w:rsidRPr="00B40A77">
        <w:rPr>
          <w:color w:val="000000" w:themeColor="text1"/>
        </w:rPr>
        <w:t>.3—Order on application to vary or revoke bond</w:t>
      </w:r>
      <w:r w:rsidR="00C276D9" w:rsidRPr="00B40A77">
        <w:rPr>
          <w:color w:val="000000" w:themeColor="text1"/>
        </w:rPr>
        <w:t xml:space="preserve">, </w:t>
      </w:r>
      <w:r w:rsidR="00C85966" w:rsidRPr="00B40A77">
        <w:rPr>
          <w:color w:val="000000" w:themeColor="text1"/>
        </w:rPr>
        <w:t xml:space="preserve">obligation </w:t>
      </w:r>
      <w:r w:rsidR="00C276D9" w:rsidRPr="00B40A77">
        <w:rPr>
          <w:color w:val="000000" w:themeColor="text1"/>
        </w:rPr>
        <w:t>or recognizance</w:t>
      </w:r>
      <w:bookmarkEnd w:id="952"/>
    </w:p>
    <w:p w14:paraId="06E81984" w14:textId="0C56F63B" w:rsidR="00C85966" w:rsidRPr="00B40A77" w:rsidRDefault="00B50F20"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C85966" w:rsidRPr="00B40A77">
        <w:rPr>
          <w:color w:val="000000" w:themeColor="text1"/>
          <w:lang w:val="en-US"/>
        </w:rPr>
        <w:t xml:space="preserve">The written record of an order on an application to </w:t>
      </w:r>
      <w:r w:rsidR="00E54E03" w:rsidRPr="00B40A77">
        <w:rPr>
          <w:color w:val="000000" w:themeColor="text1"/>
          <w:lang w:val="en-US"/>
        </w:rPr>
        <w:t xml:space="preserve">vary or revoke a term or a bond, obligation or recognizance </w:t>
      </w:r>
      <w:r w:rsidR="00C85966" w:rsidRPr="00B40A77">
        <w:rPr>
          <w:color w:val="000000" w:themeColor="text1"/>
          <w:lang w:val="en-US"/>
        </w:rPr>
        <w:t>must be in the prescribed form.</w:t>
      </w:r>
    </w:p>
    <w:p w14:paraId="1127833F" w14:textId="08BA5F5B" w:rsidR="00C85966" w:rsidRPr="00B40A77" w:rsidRDefault="00C85966" w:rsidP="00B90C7E">
      <w:pPr>
        <w:pStyle w:val="NoteHeader"/>
        <w:keepNext/>
        <w:ind w:left="981" w:firstLine="153"/>
        <w:rPr>
          <w:color w:val="000000" w:themeColor="text1"/>
        </w:rPr>
      </w:pPr>
      <w:r w:rsidRPr="00B40A77">
        <w:rPr>
          <w:color w:val="000000" w:themeColor="text1"/>
        </w:rPr>
        <w:t>Prescribed form—</w:t>
      </w:r>
    </w:p>
    <w:p w14:paraId="33E2B465" w14:textId="7CF9258F" w:rsidR="00C85966" w:rsidRPr="00B40A77" w:rsidRDefault="00C85966" w:rsidP="00B50F20">
      <w:pPr>
        <w:pStyle w:val="NoteText"/>
        <w:ind w:left="851" w:firstLine="589"/>
        <w:rPr>
          <w:color w:val="000000" w:themeColor="text1"/>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20" w:history="1">
        <w:r w:rsidRPr="00B40A77">
          <w:rPr>
            <w:rStyle w:val="Hyperlink"/>
            <w:color w:val="000000" w:themeColor="text1"/>
          </w:rPr>
          <w:t>Record of Outcome</w:t>
        </w:r>
      </w:hyperlink>
    </w:p>
    <w:p w14:paraId="0D373B66" w14:textId="5685B018" w:rsidR="00EC129C" w:rsidRPr="00B40A77" w:rsidRDefault="00EC129C"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w:t>
      </w:r>
      <w:r w:rsidRPr="00B40A77">
        <w:rPr>
          <w:color w:val="000000" w:themeColor="text1"/>
        </w:rPr>
        <w:t>varies</w:t>
      </w:r>
      <w:r w:rsidR="00EC71A0" w:rsidRPr="00B40A77">
        <w:rPr>
          <w:color w:val="000000" w:themeColor="text1"/>
        </w:rPr>
        <w:t xml:space="preserve"> </w:t>
      </w:r>
      <w:r w:rsidRPr="00B40A77">
        <w:rPr>
          <w:color w:val="000000" w:themeColor="text1"/>
        </w:rPr>
        <w:t xml:space="preserve">a </w:t>
      </w:r>
      <w:r w:rsidRPr="00B40A77">
        <w:rPr>
          <w:color w:val="000000" w:themeColor="text1"/>
          <w:lang w:val="en-US"/>
        </w:rPr>
        <w:t>good behaviour bond</w:t>
      </w:r>
      <w:r w:rsidR="000363C5" w:rsidRPr="00B40A77">
        <w:rPr>
          <w:color w:val="000000" w:themeColor="text1"/>
          <w:lang w:val="en-US"/>
        </w:rPr>
        <w:t xml:space="preserve">, suspended sentence bond or suspended sentence obligation </w:t>
      </w:r>
      <w:r w:rsidRPr="00B40A77">
        <w:rPr>
          <w:color w:val="000000" w:themeColor="text1"/>
          <w:lang w:val="en-US"/>
        </w:rPr>
        <w:t>under section </w:t>
      </w:r>
      <w:r w:rsidR="000D6051" w:rsidRPr="00B40A77">
        <w:rPr>
          <w:color w:val="000000" w:themeColor="text1"/>
          <w:lang w:val="en-US"/>
        </w:rPr>
        <w:t>103</w:t>
      </w:r>
      <w:r w:rsidRPr="00B40A77">
        <w:rPr>
          <w:color w:val="000000" w:themeColor="text1"/>
          <w:lang w:val="en-US"/>
        </w:rPr>
        <w:t xml:space="preserve"> of the Sentencing Act, a </w:t>
      </w:r>
      <w:r w:rsidR="000D6051" w:rsidRPr="00B40A77">
        <w:rPr>
          <w:color w:val="000000" w:themeColor="text1"/>
          <w:lang w:val="en-US"/>
        </w:rPr>
        <w:t xml:space="preserve">varied </w:t>
      </w:r>
      <w:r w:rsidRPr="00B40A77">
        <w:rPr>
          <w:color w:val="000000" w:themeColor="text1"/>
          <w:lang w:val="en-US"/>
        </w:rPr>
        <w:t>good behaviour bond</w:t>
      </w:r>
      <w:r w:rsidR="000D6051" w:rsidRPr="00B40A77">
        <w:rPr>
          <w:color w:val="000000" w:themeColor="text1"/>
          <w:lang w:val="en-US"/>
        </w:rPr>
        <w:t xml:space="preserve">, suspended sentence bond or suspended sentence obligation </w:t>
      </w:r>
      <w:r w:rsidRPr="00B40A77">
        <w:rPr>
          <w:color w:val="000000" w:themeColor="text1"/>
          <w:lang w:val="en-US"/>
        </w:rPr>
        <w:t>must be in the prescribed form.</w:t>
      </w:r>
    </w:p>
    <w:p w14:paraId="1AEE6756" w14:textId="0FB9C67E" w:rsidR="00EC129C" w:rsidRPr="00B40A77" w:rsidRDefault="00EC129C" w:rsidP="00B90C7E">
      <w:pPr>
        <w:pStyle w:val="NoteHeader"/>
        <w:keepNext/>
        <w:rPr>
          <w:color w:val="000000" w:themeColor="text1"/>
        </w:rPr>
      </w:pPr>
      <w:r w:rsidRPr="00B40A77">
        <w:rPr>
          <w:color w:val="000000" w:themeColor="text1"/>
        </w:rPr>
        <w:t>Prescribed form—</w:t>
      </w:r>
    </w:p>
    <w:p w14:paraId="2857DECF" w14:textId="7D22DA47" w:rsidR="00716A03" w:rsidRPr="00B40A77" w:rsidRDefault="00716A03" w:rsidP="00716A03">
      <w:pPr>
        <w:pStyle w:val="NoteText"/>
        <w:rPr>
          <w:color w:val="000000" w:themeColor="text1"/>
          <w:u w:val="single"/>
        </w:rPr>
      </w:pPr>
      <w:r w:rsidRPr="00B40A77">
        <w:rPr>
          <w:color w:val="000000" w:themeColor="text1"/>
        </w:rPr>
        <w:t xml:space="preserve">Form 175A </w:t>
      </w:r>
      <w:hyperlink r:id="rId321" w:history="1">
        <w:r w:rsidRPr="00B40A77">
          <w:rPr>
            <w:rStyle w:val="Hyperlink"/>
            <w:color w:val="000000" w:themeColor="text1"/>
            <w:lang w:val="en-US"/>
          </w:rPr>
          <w:t>Good Behaviour</w:t>
        </w:r>
        <w:r w:rsidRPr="00B40A77">
          <w:rPr>
            <w:rStyle w:val="Hyperlink"/>
            <w:color w:val="000000" w:themeColor="text1"/>
          </w:rPr>
          <w:t xml:space="preserve"> Bond varied</w:t>
        </w:r>
      </w:hyperlink>
    </w:p>
    <w:p w14:paraId="09B6DBC5" w14:textId="3D1CD565" w:rsidR="00C31E26" w:rsidRPr="00B40A77" w:rsidRDefault="00C31E26" w:rsidP="00C31E26">
      <w:pPr>
        <w:pStyle w:val="NoteText"/>
        <w:rPr>
          <w:color w:val="000000" w:themeColor="text1"/>
        </w:rPr>
      </w:pPr>
      <w:r w:rsidRPr="00B40A77">
        <w:rPr>
          <w:color w:val="000000" w:themeColor="text1"/>
        </w:rPr>
        <w:t>Form 1</w:t>
      </w:r>
      <w:r w:rsidR="00716A03" w:rsidRPr="00B40A77">
        <w:rPr>
          <w:color w:val="000000" w:themeColor="text1"/>
        </w:rPr>
        <w:t>75B</w:t>
      </w:r>
      <w:r w:rsidRPr="00B40A77">
        <w:rPr>
          <w:color w:val="000000" w:themeColor="text1"/>
        </w:rPr>
        <w:t xml:space="preserve"> </w:t>
      </w:r>
      <w:hyperlink r:id="rId322" w:history="1">
        <w:r w:rsidRPr="00B40A77">
          <w:rPr>
            <w:rStyle w:val="Hyperlink"/>
            <w:color w:val="000000" w:themeColor="text1"/>
          </w:rPr>
          <w:t>Suspended Sentence Bond</w:t>
        </w:r>
        <w:r w:rsidR="00716A03" w:rsidRPr="00B40A77">
          <w:rPr>
            <w:rStyle w:val="Hyperlink"/>
            <w:color w:val="000000" w:themeColor="text1"/>
          </w:rPr>
          <w:t xml:space="preserve"> varied</w:t>
        </w:r>
      </w:hyperlink>
    </w:p>
    <w:p w14:paraId="2E418501" w14:textId="16336A6C" w:rsidR="00C31E26" w:rsidRPr="00B40A77" w:rsidRDefault="00C31E26" w:rsidP="00C31E26">
      <w:pPr>
        <w:pStyle w:val="NoteText"/>
        <w:rPr>
          <w:color w:val="000000" w:themeColor="text1"/>
          <w:u w:val="single"/>
        </w:rPr>
      </w:pPr>
      <w:r w:rsidRPr="00B40A77">
        <w:rPr>
          <w:color w:val="000000" w:themeColor="text1"/>
        </w:rPr>
        <w:t>Form 1</w:t>
      </w:r>
      <w:r w:rsidR="00716A03" w:rsidRPr="00B40A77">
        <w:rPr>
          <w:color w:val="000000" w:themeColor="text1"/>
        </w:rPr>
        <w:t>75C</w:t>
      </w:r>
      <w:r w:rsidRPr="00B40A77">
        <w:rPr>
          <w:color w:val="000000" w:themeColor="text1"/>
        </w:rPr>
        <w:t xml:space="preserve"> </w:t>
      </w:r>
      <w:hyperlink r:id="rId323" w:history="1">
        <w:r w:rsidRPr="00B40A77">
          <w:rPr>
            <w:rStyle w:val="Hyperlink"/>
            <w:color w:val="000000" w:themeColor="text1"/>
          </w:rPr>
          <w:t xml:space="preserve">Suspended Sentence Obligation </w:t>
        </w:r>
        <w:r w:rsidR="00716A03" w:rsidRPr="00B40A77">
          <w:rPr>
            <w:rStyle w:val="Hyperlink"/>
            <w:color w:val="000000" w:themeColor="text1"/>
          </w:rPr>
          <w:t>varied</w:t>
        </w:r>
      </w:hyperlink>
    </w:p>
    <w:p w14:paraId="381B0B81" w14:textId="4A152446" w:rsidR="005338FD" w:rsidRPr="00B40A77" w:rsidRDefault="005338FD" w:rsidP="005338FD">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If the Court </w:t>
      </w:r>
      <w:r w:rsidRPr="00B40A77">
        <w:rPr>
          <w:color w:val="000000" w:themeColor="text1"/>
        </w:rPr>
        <w:t xml:space="preserve">varies </w:t>
      </w:r>
      <w:r w:rsidRPr="00B40A77">
        <w:rPr>
          <w:color w:val="000000" w:themeColor="text1"/>
          <w:lang w:val="en-US"/>
        </w:rPr>
        <w:t>a term of a recognizance under section 20AA(1) of the Crimes Act, a varied order and recognizance or varied recognizance release order must be in the prescribed form.</w:t>
      </w:r>
    </w:p>
    <w:p w14:paraId="00952F34" w14:textId="77777777" w:rsidR="005338FD" w:rsidRPr="00B40A77" w:rsidRDefault="005338FD" w:rsidP="005338FD">
      <w:pPr>
        <w:pStyle w:val="NoteHeader"/>
        <w:keepNext/>
        <w:rPr>
          <w:color w:val="000000" w:themeColor="text1"/>
        </w:rPr>
      </w:pPr>
      <w:r w:rsidRPr="00B40A77">
        <w:rPr>
          <w:color w:val="000000" w:themeColor="text1"/>
        </w:rPr>
        <w:t>Prescribed form—</w:t>
      </w:r>
    </w:p>
    <w:p w14:paraId="25D5618F" w14:textId="4D8665D5" w:rsidR="005338FD" w:rsidRPr="00B40A77" w:rsidRDefault="005338FD" w:rsidP="005338FD">
      <w:pPr>
        <w:pStyle w:val="NoteText"/>
        <w:rPr>
          <w:color w:val="000000" w:themeColor="text1"/>
        </w:rPr>
      </w:pPr>
      <w:r w:rsidRPr="00B40A77">
        <w:rPr>
          <w:color w:val="000000" w:themeColor="text1"/>
        </w:rPr>
        <w:t xml:space="preserve">Form 175D </w:t>
      </w:r>
      <w:hyperlink r:id="rId324" w:history="1">
        <w:r w:rsidRPr="00B40A77">
          <w:rPr>
            <w:rStyle w:val="Hyperlink"/>
            <w:color w:val="000000" w:themeColor="text1"/>
            <w:lang w:val="en-US"/>
          </w:rPr>
          <w:t>Recognizance</w:t>
        </w:r>
        <w:r w:rsidRPr="00B40A77">
          <w:rPr>
            <w:rStyle w:val="Hyperlink"/>
            <w:color w:val="000000" w:themeColor="text1"/>
          </w:rPr>
          <w:t xml:space="preserve"> Release Order varied</w:t>
        </w:r>
      </w:hyperlink>
    </w:p>
    <w:p w14:paraId="7640A179" w14:textId="37FD89DA" w:rsidR="005338FD" w:rsidRPr="00B40A77" w:rsidRDefault="005338FD" w:rsidP="005338FD">
      <w:pPr>
        <w:pStyle w:val="NoteText"/>
        <w:rPr>
          <w:color w:val="000000" w:themeColor="text1"/>
          <w:u w:val="single"/>
        </w:rPr>
      </w:pPr>
      <w:r w:rsidRPr="00B40A77">
        <w:rPr>
          <w:color w:val="000000" w:themeColor="text1"/>
        </w:rPr>
        <w:t xml:space="preserve">Form 175E </w:t>
      </w:r>
      <w:hyperlink r:id="rId325" w:history="1">
        <w:r w:rsidRPr="00B40A77">
          <w:rPr>
            <w:rStyle w:val="Hyperlink"/>
            <w:color w:val="000000" w:themeColor="text1"/>
            <w:lang w:val="en-US"/>
          </w:rPr>
          <w:t>Order and Recognizance</w:t>
        </w:r>
        <w:r w:rsidRPr="00B40A77">
          <w:rPr>
            <w:rStyle w:val="Hyperlink"/>
            <w:color w:val="000000" w:themeColor="text1"/>
          </w:rPr>
          <w:t xml:space="preserve"> varied</w:t>
        </w:r>
      </w:hyperlink>
    </w:p>
    <w:p w14:paraId="3AF56BF6" w14:textId="41ED8BF7" w:rsidR="005B5735" w:rsidRPr="00B40A77" w:rsidRDefault="005B5735" w:rsidP="005B5735">
      <w:pPr>
        <w:pStyle w:val="Hangindent"/>
        <w:keepNext/>
        <w:rPr>
          <w:color w:val="000000" w:themeColor="text1"/>
          <w:lang w:val="en-US"/>
        </w:rPr>
      </w:pPr>
      <w:r w:rsidRPr="00B40A77">
        <w:rPr>
          <w:color w:val="000000" w:themeColor="text1"/>
          <w:lang w:val="en-US"/>
        </w:rPr>
        <w:t>(4)</w:t>
      </w:r>
      <w:r w:rsidRPr="00B40A77">
        <w:rPr>
          <w:color w:val="000000" w:themeColor="text1"/>
          <w:lang w:val="en-US"/>
        </w:rPr>
        <w:tab/>
        <w:t xml:space="preserve">If the Court </w:t>
      </w:r>
      <w:r w:rsidRPr="00B40A77">
        <w:rPr>
          <w:color w:val="000000" w:themeColor="text1"/>
        </w:rPr>
        <w:t xml:space="preserve">varies </w:t>
      </w:r>
      <w:r w:rsidRPr="00B40A77">
        <w:rPr>
          <w:color w:val="000000" w:themeColor="text1"/>
          <w:lang w:val="en-US"/>
        </w:rPr>
        <w:t>a term of an Obligation, a varied Obligation order must be in the prescribed form.</w:t>
      </w:r>
    </w:p>
    <w:p w14:paraId="743B8798" w14:textId="77777777" w:rsidR="005B5735" w:rsidRPr="00B40A77" w:rsidRDefault="005B5735" w:rsidP="005B5735">
      <w:pPr>
        <w:pStyle w:val="NoteHeader"/>
        <w:keepNext/>
        <w:rPr>
          <w:color w:val="000000" w:themeColor="text1"/>
        </w:rPr>
      </w:pPr>
      <w:r w:rsidRPr="00B40A77">
        <w:rPr>
          <w:color w:val="000000" w:themeColor="text1"/>
        </w:rPr>
        <w:t>Prescribed form—</w:t>
      </w:r>
    </w:p>
    <w:p w14:paraId="0085E0A6" w14:textId="149E3223" w:rsidR="005B5735" w:rsidRPr="00B40A77" w:rsidRDefault="005B5735" w:rsidP="005338FD">
      <w:pPr>
        <w:pStyle w:val="NoteText"/>
        <w:rPr>
          <w:color w:val="000000" w:themeColor="text1"/>
          <w:u w:val="single"/>
        </w:rPr>
      </w:pPr>
      <w:r w:rsidRPr="00B40A77">
        <w:rPr>
          <w:color w:val="000000" w:themeColor="text1"/>
        </w:rPr>
        <w:t xml:space="preserve">Form 174A </w:t>
      </w:r>
      <w:hyperlink r:id="rId326" w:history="1">
        <w:r w:rsidRPr="00B40A77">
          <w:rPr>
            <w:rStyle w:val="Hyperlink"/>
            <w:color w:val="000000" w:themeColor="text1"/>
          </w:rPr>
          <w:t>Order – Variation or Obligation and Acknowledgement</w:t>
        </w:r>
      </w:hyperlink>
    </w:p>
    <w:p w14:paraId="1F3E037C" w14:textId="4082C41E" w:rsidR="00825A8B" w:rsidRPr="00B40A77" w:rsidRDefault="00825A8B" w:rsidP="00825A8B">
      <w:pPr>
        <w:pStyle w:val="Heading3"/>
        <w:rPr>
          <w:color w:val="000000" w:themeColor="text1"/>
        </w:rPr>
      </w:pPr>
      <w:bookmarkStart w:id="953" w:name="_Toc175239269"/>
      <w:r w:rsidRPr="00B40A77">
        <w:rPr>
          <w:color w:val="000000" w:themeColor="text1"/>
        </w:rPr>
        <w:t>Division 4—Community service order</w:t>
      </w:r>
      <w:bookmarkEnd w:id="953"/>
    </w:p>
    <w:p w14:paraId="29187A80" w14:textId="12231B2D" w:rsidR="00825A8B" w:rsidRPr="00B40A77" w:rsidRDefault="00825A8B" w:rsidP="00825A8B">
      <w:pPr>
        <w:pStyle w:val="Heading4"/>
        <w:rPr>
          <w:color w:val="000000" w:themeColor="text1"/>
        </w:rPr>
      </w:pPr>
      <w:bookmarkStart w:id="954" w:name="_Toc175239270"/>
      <w:r w:rsidRPr="00B40A77">
        <w:rPr>
          <w:color w:val="000000" w:themeColor="text1"/>
        </w:rPr>
        <w:t>164.1—Application to vary community service order</w:t>
      </w:r>
      <w:bookmarkEnd w:id="954"/>
    </w:p>
    <w:p w14:paraId="2B203ACC" w14:textId="46535608" w:rsidR="00825A8B" w:rsidRPr="00B40A77" w:rsidRDefault="00825A8B"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w:t>
      </w:r>
      <w:r w:rsidR="005F1B99" w:rsidRPr="00B40A77">
        <w:rPr>
          <w:color w:val="000000" w:themeColor="text1"/>
          <w:lang w:val="en-US"/>
        </w:rPr>
        <w:t>under section</w:t>
      </w:r>
      <w:r w:rsidR="00EF1FED" w:rsidRPr="00B40A77">
        <w:rPr>
          <w:color w:val="000000" w:themeColor="text1"/>
          <w:lang w:val="en-US"/>
        </w:rPr>
        <w:t> </w:t>
      </w:r>
      <w:r w:rsidR="005F1B99" w:rsidRPr="00B40A77">
        <w:rPr>
          <w:color w:val="000000" w:themeColor="text1"/>
          <w:lang w:val="en-US"/>
        </w:rPr>
        <w:t xml:space="preserve">110(2) of the Sentencing Act </w:t>
      </w:r>
      <w:r w:rsidRPr="00B40A77">
        <w:rPr>
          <w:color w:val="000000" w:themeColor="text1"/>
          <w:lang w:val="en-US"/>
        </w:rPr>
        <w:t xml:space="preserve">to vary a community service order or ancillary order </w:t>
      </w:r>
      <w:r w:rsidR="005F1B99" w:rsidRPr="00B40A77">
        <w:rPr>
          <w:color w:val="000000" w:themeColor="text1"/>
          <w:lang w:val="en-US"/>
        </w:rPr>
        <w:t xml:space="preserve">made against a person (the </w:t>
      </w:r>
      <w:r w:rsidR="005F1B99" w:rsidRPr="00B40A77">
        <w:rPr>
          <w:b/>
          <w:bCs/>
          <w:i/>
          <w:iCs/>
          <w:color w:val="000000" w:themeColor="text1"/>
          <w:lang w:val="en-US"/>
        </w:rPr>
        <w:t>subject</w:t>
      </w:r>
      <w:r w:rsidR="005F1B99" w:rsidRPr="00B40A77">
        <w:rPr>
          <w:color w:val="000000" w:themeColor="text1"/>
          <w:lang w:val="en-US"/>
        </w:rPr>
        <w:t>)</w:t>
      </w:r>
      <w:r w:rsidR="00D07391" w:rsidRPr="00B40A77">
        <w:rPr>
          <w:color w:val="000000" w:themeColor="text1"/>
          <w:lang w:val="en-US"/>
        </w:rPr>
        <w:t xml:space="preserve"> </w:t>
      </w:r>
      <w:r w:rsidRPr="00B40A77">
        <w:rPr>
          <w:color w:val="000000" w:themeColor="text1"/>
          <w:lang w:val="en-US"/>
        </w:rPr>
        <w:t xml:space="preserve">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0E7C63BA" w14:textId="77777777" w:rsidR="00825A8B" w:rsidRPr="00B40A77" w:rsidRDefault="00825A8B" w:rsidP="00B90C7E">
      <w:pPr>
        <w:pStyle w:val="NoteHeader"/>
        <w:keepNext/>
        <w:rPr>
          <w:color w:val="000000" w:themeColor="text1"/>
        </w:rPr>
      </w:pPr>
      <w:r w:rsidRPr="00B40A77">
        <w:rPr>
          <w:color w:val="000000" w:themeColor="text1"/>
        </w:rPr>
        <w:t>Prescribed form—</w:t>
      </w:r>
    </w:p>
    <w:p w14:paraId="550A9236" w14:textId="13F61633" w:rsidR="00825A8B" w:rsidRPr="00B40A77" w:rsidRDefault="00825A8B" w:rsidP="00BC23E5">
      <w:pPr>
        <w:pStyle w:val="NoteText"/>
        <w:rPr>
          <w:color w:val="000000" w:themeColor="text1"/>
          <w:u w:val="single"/>
          <w:lang w:val="en-US"/>
        </w:rPr>
      </w:pPr>
      <w:r w:rsidRPr="00B40A77">
        <w:rPr>
          <w:color w:val="000000" w:themeColor="text1"/>
        </w:rPr>
        <w:t>Form 171</w:t>
      </w:r>
      <w:r w:rsidR="000A4CB3" w:rsidRPr="00B40A77">
        <w:rPr>
          <w:color w:val="000000" w:themeColor="text1"/>
        </w:rPr>
        <w:t>D</w:t>
      </w:r>
      <w:r w:rsidRPr="00B40A77">
        <w:rPr>
          <w:color w:val="000000" w:themeColor="text1"/>
        </w:rPr>
        <w:t xml:space="preserve"> </w:t>
      </w:r>
      <w:hyperlink r:id="rId327" w:history="1">
        <w:r w:rsidR="00FC1FD3" w:rsidRPr="00B40A77">
          <w:rPr>
            <w:rStyle w:val="Hyperlink"/>
            <w:color w:val="000000" w:themeColor="text1"/>
            <w:lang w:val="en-US"/>
          </w:rPr>
          <w:t xml:space="preserve">Originating </w:t>
        </w:r>
        <w:r w:rsidRPr="00B40A77">
          <w:rPr>
            <w:rStyle w:val="Hyperlink"/>
            <w:color w:val="000000" w:themeColor="text1"/>
            <w:lang w:val="en-US"/>
          </w:rPr>
          <w:t>Application to Vary a Community Service Order and Ancillary Order</w:t>
        </w:r>
      </w:hyperlink>
    </w:p>
    <w:p w14:paraId="119811F0" w14:textId="00B5762E" w:rsidR="00825A8B" w:rsidRPr="00B40A77" w:rsidRDefault="00825A8B" w:rsidP="00825A8B">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5F1B99" w:rsidRPr="00B40A77">
        <w:rPr>
          <w:color w:val="000000" w:themeColor="text1"/>
          <w:lang w:val="en-US"/>
        </w:rPr>
        <w:t>T</w:t>
      </w:r>
      <w:r w:rsidRPr="00B40A77">
        <w:rPr>
          <w:color w:val="000000" w:themeColor="text1"/>
          <w:lang w:val="en-US"/>
        </w:rPr>
        <w:t xml:space="preserve">he </w:t>
      </w:r>
      <w:r w:rsidR="005F1B99" w:rsidRPr="00B40A77">
        <w:rPr>
          <w:rFonts w:cs="Arial"/>
          <w:color w:val="000000" w:themeColor="text1"/>
        </w:rPr>
        <w:t xml:space="preserve">applicant must join the </w:t>
      </w:r>
      <w:r w:rsidR="005F1B99" w:rsidRPr="00B40A77">
        <w:rPr>
          <w:rFonts w:cs="Arial"/>
          <w:color w:val="000000" w:themeColor="text1"/>
          <w:u w:val="single"/>
        </w:rPr>
        <w:t>subject</w:t>
      </w:r>
      <w:r w:rsidR="005F1B99" w:rsidRPr="00B40A77">
        <w:rPr>
          <w:rFonts w:cs="Arial"/>
          <w:color w:val="000000" w:themeColor="text1"/>
        </w:rPr>
        <w:t xml:space="preserve"> </w:t>
      </w:r>
      <w:r w:rsidR="00D410F3" w:rsidRPr="00B40A77">
        <w:rPr>
          <w:rFonts w:cs="Arial"/>
          <w:color w:val="000000" w:themeColor="text1"/>
        </w:rPr>
        <w:t xml:space="preserve">and the prosecution as </w:t>
      </w:r>
      <w:r w:rsidR="005F1B99" w:rsidRPr="00B40A77">
        <w:rPr>
          <w:rFonts w:cs="Arial"/>
          <w:color w:val="000000" w:themeColor="text1"/>
        </w:rPr>
        <w:t>respondent</w:t>
      </w:r>
      <w:r w:rsidR="00D410F3" w:rsidRPr="00B40A77">
        <w:rPr>
          <w:color w:val="000000" w:themeColor="text1"/>
          <w:lang w:val="en-US"/>
        </w:rPr>
        <w:t>s</w:t>
      </w:r>
      <w:r w:rsidRPr="00B40A77">
        <w:rPr>
          <w:color w:val="000000" w:themeColor="text1"/>
          <w:lang w:val="en-US"/>
        </w:rPr>
        <w:t>.</w:t>
      </w:r>
    </w:p>
    <w:p w14:paraId="7A9D73EF" w14:textId="231995BB" w:rsidR="00825A8B" w:rsidRPr="00B40A77" w:rsidRDefault="00825A8B" w:rsidP="00825A8B">
      <w:pPr>
        <w:pStyle w:val="Heading4"/>
        <w:rPr>
          <w:color w:val="000000" w:themeColor="text1"/>
        </w:rPr>
      </w:pPr>
      <w:bookmarkStart w:id="955" w:name="_Toc175239271"/>
      <w:r w:rsidRPr="00B40A77">
        <w:rPr>
          <w:color w:val="000000" w:themeColor="text1"/>
        </w:rPr>
        <w:lastRenderedPageBreak/>
        <w:t>164.2—Order on application to vary community service order</w:t>
      </w:r>
      <w:bookmarkEnd w:id="955"/>
    </w:p>
    <w:p w14:paraId="057589B8" w14:textId="16C12403" w:rsidR="00825A8B" w:rsidRPr="00B40A77" w:rsidRDefault="00825A8B" w:rsidP="00B90C7E">
      <w:pPr>
        <w:pStyle w:val="IndentedPara"/>
        <w:keepNext/>
        <w:rPr>
          <w:color w:val="000000" w:themeColor="text1"/>
        </w:rPr>
      </w:pPr>
      <w:r w:rsidRPr="00B40A77">
        <w:rPr>
          <w:color w:val="000000" w:themeColor="text1"/>
        </w:rPr>
        <w:t xml:space="preserve">The written record of an order on an application to vary a community service order </w:t>
      </w:r>
      <w:r w:rsidR="00365E81" w:rsidRPr="00B40A77">
        <w:rPr>
          <w:color w:val="000000" w:themeColor="text1"/>
        </w:rPr>
        <w:t xml:space="preserve">or ancillary order </w:t>
      </w:r>
      <w:r w:rsidRPr="00B40A77">
        <w:rPr>
          <w:color w:val="000000" w:themeColor="text1"/>
        </w:rPr>
        <w:t>must be in the prescribed form.</w:t>
      </w:r>
    </w:p>
    <w:p w14:paraId="09310EEB" w14:textId="31F67709" w:rsidR="00825A8B" w:rsidRPr="00B40A77" w:rsidRDefault="00825A8B" w:rsidP="00B90C7E">
      <w:pPr>
        <w:pStyle w:val="NoteHeader"/>
        <w:keepNext/>
        <w:ind w:left="567"/>
        <w:rPr>
          <w:color w:val="000000" w:themeColor="text1"/>
        </w:rPr>
      </w:pPr>
      <w:r w:rsidRPr="00B40A77">
        <w:rPr>
          <w:color w:val="000000" w:themeColor="text1"/>
        </w:rPr>
        <w:t>Prescribed form—</w:t>
      </w:r>
    </w:p>
    <w:p w14:paraId="3A161441" w14:textId="62BE5FD1" w:rsidR="00825A8B" w:rsidRPr="00B40A77" w:rsidRDefault="00825A8B" w:rsidP="00BC23E5">
      <w:pPr>
        <w:pStyle w:val="NoteText"/>
        <w:ind w:left="851"/>
        <w:rPr>
          <w:color w:val="000000" w:themeColor="text1"/>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28" w:history="1">
        <w:r w:rsidRPr="00B40A77">
          <w:rPr>
            <w:rStyle w:val="Hyperlink"/>
            <w:color w:val="000000" w:themeColor="text1"/>
          </w:rPr>
          <w:t>Record of Outcome</w:t>
        </w:r>
      </w:hyperlink>
    </w:p>
    <w:p w14:paraId="2819B79B" w14:textId="1296D729" w:rsidR="00F00DF1" w:rsidRPr="00B40A77" w:rsidRDefault="00F00DF1" w:rsidP="00F00DF1">
      <w:pPr>
        <w:pStyle w:val="Heading3"/>
        <w:rPr>
          <w:color w:val="000000" w:themeColor="text1"/>
        </w:rPr>
      </w:pPr>
      <w:bookmarkStart w:id="956" w:name="_Toc175239272"/>
      <w:r w:rsidRPr="00B40A77">
        <w:rPr>
          <w:color w:val="000000" w:themeColor="text1"/>
        </w:rPr>
        <w:t xml:space="preserve">Division </w:t>
      </w:r>
      <w:r w:rsidR="00234624" w:rsidRPr="00B40A77">
        <w:rPr>
          <w:color w:val="000000" w:themeColor="text1"/>
        </w:rPr>
        <w:t>5</w:t>
      </w:r>
      <w:r w:rsidRPr="00B40A77">
        <w:rPr>
          <w:color w:val="000000" w:themeColor="text1"/>
        </w:rPr>
        <w:t>—Disqualification order</w:t>
      </w:r>
      <w:bookmarkEnd w:id="956"/>
    </w:p>
    <w:p w14:paraId="7DA57020" w14:textId="65A48C6D" w:rsidR="00F00DF1" w:rsidRPr="00B40A77" w:rsidRDefault="00234624" w:rsidP="00F16570">
      <w:pPr>
        <w:pStyle w:val="Heading4"/>
        <w:rPr>
          <w:color w:val="000000" w:themeColor="text1"/>
        </w:rPr>
      </w:pPr>
      <w:bookmarkStart w:id="957" w:name="_Toc175239273"/>
      <w:r w:rsidRPr="00B40A77">
        <w:rPr>
          <w:color w:val="000000" w:themeColor="text1"/>
        </w:rPr>
        <w:t>165</w:t>
      </w:r>
      <w:r w:rsidR="00F00DF1" w:rsidRPr="00B40A77">
        <w:rPr>
          <w:color w:val="000000" w:themeColor="text1"/>
        </w:rPr>
        <w:t xml:space="preserve">.1—Application to </w:t>
      </w:r>
      <w:r w:rsidR="004E21E6" w:rsidRPr="00B40A77">
        <w:rPr>
          <w:color w:val="000000" w:themeColor="text1"/>
        </w:rPr>
        <w:t>remove</w:t>
      </w:r>
      <w:r w:rsidR="00F00DF1" w:rsidRPr="00B40A77">
        <w:rPr>
          <w:color w:val="000000" w:themeColor="text1"/>
        </w:rPr>
        <w:t xml:space="preserve"> or </w:t>
      </w:r>
      <w:r w:rsidR="004E21E6" w:rsidRPr="00B40A77">
        <w:rPr>
          <w:color w:val="000000" w:themeColor="text1"/>
        </w:rPr>
        <w:t xml:space="preserve">vary or </w:t>
      </w:r>
      <w:r w:rsidR="00F00DF1" w:rsidRPr="00B40A77">
        <w:rPr>
          <w:color w:val="000000" w:themeColor="text1"/>
        </w:rPr>
        <w:t xml:space="preserve">revoke </w:t>
      </w:r>
      <w:r w:rsidR="004E21E6" w:rsidRPr="00B40A77">
        <w:rPr>
          <w:color w:val="000000" w:themeColor="text1"/>
        </w:rPr>
        <w:t>disqualification</w:t>
      </w:r>
      <w:bookmarkEnd w:id="957"/>
    </w:p>
    <w:p w14:paraId="4ECB6C04" w14:textId="6C0CB4AA" w:rsidR="00F00DF1" w:rsidRPr="00B40A77" w:rsidRDefault="00F00DF1"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to vary </w:t>
      </w:r>
      <w:r w:rsidR="00E54E03" w:rsidRPr="00B40A77">
        <w:rPr>
          <w:color w:val="000000" w:themeColor="text1"/>
          <w:lang w:val="en-US"/>
        </w:rPr>
        <w:t xml:space="preserve">or revoke </w:t>
      </w:r>
      <w:r w:rsidR="004E21E6" w:rsidRPr="00B40A77">
        <w:rPr>
          <w:color w:val="000000" w:themeColor="text1"/>
          <w:lang w:val="en-US"/>
        </w:rPr>
        <w:t>a driver’s licence disqualification</w:t>
      </w:r>
      <w:r w:rsidRPr="00B40A77">
        <w:rPr>
          <w:color w:val="000000" w:themeColor="text1"/>
          <w:lang w:val="en-US"/>
        </w:rPr>
        <w:t xml:space="preserve"> </w:t>
      </w:r>
      <w:r w:rsidR="004E21E6" w:rsidRPr="00B40A77">
        <w:rPr>
          <w:color w:val="000000" w:themeColor="text1"/>
          <w:lang w:val="en-US"/>
        </w:rPr>
        <w:t>under section</w:t>
      </w:r>
      <w:r w:rsidR="00EF1FED" w:rsidRPr="00B40A77">
        <w:rPr>
          <w:color w:val="000000" w:themeColor="text1"/>
          <w:lang w:val="en-US"/>
        </w:rPr>
        <w:t> </w:t>
      </w:r>
      <w:r w:rsidR="004E21E6" w:rsidRPr="00B40A77">
        <w:rPr>
          <w:color w:val="000000" w:themeColor="text1"/>
          <w:lang w:val="en-US"/>
        </w:rPr>
        <w:t>28</w:t>
      </w:r>
      <w:r w:rsidRPr="00B40A77">
        <w:rPr>
          <w:color w:val="000000" w:themeColor="text1"/>
          <w:lang w:val="en-US"/>
        </w:rPr>
        <w:t xml:space="preserve">(2) of the </w:t>
      </w:r>
      <w:r w:rsidR="004E21E6" w:rsidRPr="00B40A77">
        <w:rPr>
          <w:color w:val="000000" w:themeColor="text1"/>
          <w:lang w:val="en-US"/>
        </w:rPr>
        <w:t>Young Offenders</w:t>
      </w:r>
      <w:r w:rsidRPr="00B40A77">
        <w:rPr>
          <w:color w:val="000000" w:themeColor="text1"/>
          <w:lang w:val="en-US"/>
        </w:rPr>
        <w:t xml:space="preserve"> Act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6CFBC0F9" w14:textId="77777777" w:rsidR="00F00DF1" w:rsidRPr="00B40A77" w:rsidRDefault="00F00DF1" w:rsidP="00B90C7E">
      <w:pPr>
        <w:pStyle w:val="NoteHeader"/>
        <w:keepNext/>
        <w:tabs>
          <w:tab w:val="left" w:pos="2127"/>
        </w:tabs>
        <w:rPr>
          <w:color w:val="000000" w:themeColor="text1"/>
        </w:rPr>
      </w:pPr>
      <w:r w:rsidRPr="00B40A77">
        <w:rPr>
          <w:color w:val="000000" w:themeColor="text1"/>
        </w:rPr>
        <w:t>Prescribed form—</w:t>
      </w:r>
    </w:p>
    <w:p w14:paraId="11270366" w14:textId="3C6EC518" w:rsidR="00F00DF1" w:rsidRPr="00B40A77" w:rsidRDefault="00F00DF1" w:rsidP="00BC23E5">
      <w:pPr>
        <w:pStyle w:val="NoteText"/>
        <w:tabs>
          <w:tab w:val="left" w:pos="2127"/>
        </w:tabs>
        <w:rPr>
          <w:color w:val="000000" w:themeColor="text1"/>
          <w:lang w:val="en-US"/>
        </w:rPr>
      </w:pPr>
      <w:r w:rsidRPr="00B40A77">
        <w:rPr>
          <w:color w:val="000000" w:themeColor="text1"/>
        </w:rPr>
        <w:t>F</w:t>
      </w:r>
      <w:r w:rsidR="004E21E6" w:rsidRPr="00B40A77">
        <w:rPr>
          <w:color w:val="000000" w:themeColor="text1"/>
        </w:rPr>
        <w:t>orm 171</w:t>
      </w:r>
      <w:r w:rsidR="00CA2D20" w:rsidRPr="00B40A77">
        <w:rPr>
          <w:color w:val="000000" w:themeColor="text1"/>
        </w:rPr>
        <w:t>K</w:t>
      </w:r>
      <w:r w:rsidRPr="00B40A77">
        <w:rPr>
          <w:color w:val="000000" w:themeColor="text1"/>
        </w:rPr>
        <w:t xml:space="preserve"> </w:t>
      </w:r>
      <w:hyperlink r:id="rId329" w:history="1">
        <w:r w:rsidR="00FC1FD3" w:rsidRPr="00B40A77">
          <w:rPr>
            <w:rStyle w:val="Hyperlink"/>
            <w:color w:val="000000" w:themeColor="text1"/>
            <w:lang w:val="en-US"/>
          </w:rPr>
          <w:t xml:space="preserve">Originating </w:t>
        </w:r>
        <w:r w:rsidRPr="00B40A77">
          <w:rPr>
            <w:rStyle w:val="Hyperlink"/>
            <w:color w:val="000000" w:themeColor="text1"/>
            <w:lang w:val="en-US"/>
          </w:rPr>
          <w:t xml:space="preserve">Application to </w:t>
        </w:r>
        <w:r w:rsidR="00CA2D20" w:rsidRPr="00B40A77">
          <w:rPr>
            <w:rStyle w:val="Hyperlink"/>
            <w:color w:val="000000" w:themeColor="text1"/>
            <w:lang w:val="en-US"/>
          </w:rPr>
          <w:t xml:space="preserve">Vary or </w:t>
        </w:r>
        <w:r w:rsidR="004E21E6" w:rsidRPr="00B40A77">
          <w:rPr>
            <w:rStyle w:val="Hyperlink"/>
            <w:color w:val="000000" w:themeColor="text1"/>
            <w:lang w:val="en-US"/>
          </w:rPr>
          <w:t>Revoke Licence Disqualification</w:t>
        </w:r>
      </w:hyperlink>
    </w:p>
    <w:p w14:paraId="1AA3565F" w14:textId="69DD8086" w:rsidR="00365E81" w:rsidRPr="00B40A77" w:rsidRDefault="00365E81" w:rsidP="00365E81">
      <w:pPr>
        <w:pStyle w:val="Hangindent"/>
        <w:rPr>
          <w:color w:val="000000" w:themeColor="text1"/>
        </w:rPr>
      </w:pPr>
      <w:r w:rsidRPr="00B40A77">
        <w:rPr>
          <w:color w:val="000000" w:themeColor="text1"/>
        </w:rPr>
        <w:t>(</w:t>
      </w:r>
      <w:r w:rsidR="00B44B6E" w:rsidRPr="00B40A77">
        <w:rPr>
          <w:color w:val="000000" w:themeColor="text1"/>
        </w:rPr>
        <w:t>2</w:t>
      </w:r>
      <w:r w:rsidRPr="00B40A77">
        <w:rPr>
          <w:color w:val="000000" w:themeColor="text1"/>
        </w:rPr>
        <w:t>)</w:t>
      </w:r>
      <w:r w:rsidRPr="00B40A77">
        <w:rPr>
          <w:color w:val="000000" w:themeColor="text1"/>
        </w:rPr>
        <w:tab/>
      </w:r>
      <w:r w:rsidR="00B44B6E" w:rsidRPr="00B40A77">
        <w:rPr>
          <w:iCs/>
          <w:color w:val="000000" w:themeColor="text1"/>
          <w:lang w:val="en-US"/>
        </w:rPr>
        <w:t>T</w:t>
      </w:r>
      <w:r w:rsidRPr="00B40A77">
        <w:rPr>
          <w:iCs/>
          <w:color w:val="000000" w:themeColor="text1"/>
        </w:rPr>
        <w:t>he</w:t>
      </w:r>
      <w:r w:rsidRPr="00B40A77">
        <w:rPr>
          <w:color w:val="000000" w:themeColor="text1"/>
        </w:rPr>
        <w:t xml:space="preserve"> applicant must join the </w:t>
      </w:r>
      <w:r w:rsidR="001E2199" w:rsidRPr="00B40A77">
        <w:rPr>
          <w:color w:val="000000" w:themeColor="text1"/>
          <w:lang w:val="en-US"/>
        </w:rPr>
        <w:t xml:space="preserve">Commissioner of Police </w:t>
      </w:r>
      <w:r w:rsidRPr="00B40A77">
        <w:rPr>
          <w:color w:val="000000" w:themeColor="text1"/>
        </w:rPr>
        <w:t>and the prosecution (if not the Commissioner of Police) as respondents.</w:t>
      </w:r>
    </w:p>
    <w:p w14:paraId="0DE5C300" w14:textId="6C56AF80" w:rsidR="00E54E03" w:rsidRPr="00B40A77" w:rsidRDefault="009D1D11" w:rsidP="00643044">
      <w:pPr>
        <w:pStyle w:val="Heading4"/>
        <w:rPr>
          <w:color w:val="000000" w:themeColor="text1"/>
        </w:rPr>
      </w:pPr>
      <w:bookmarkStart w:id="958" w:name="_Toc175239274"/>
      <w:r w:rsidRPr="00B40A77">
        <w:rPr>
          <w:color w:val="000000" w:themeColor="text1"/>
        </w:rPr>
        <w:t>165</w:t>
      </w:r>
      <w:r w:rsidR="002A5945" w:rsidRPr="00B40A77">
        <w:rPr>
          <w:color w:val="000000" w:themeColor="text1"/>
        </w:rPr>
        <w:t>.2</w:t>
      </w:r>
      <w:r w:rsidR="00E54E03" w:rsidRPr="00B40A77">
        <w:rPr>
          <w:color w:val="000000" w:themeColor="text1"/>
        </w:rPr>
        <w:t>—Order on application to remove or vary or revoke disqualification</w:t>
      </w:r>
      <w:bookmarkEnd w:id="958"/>
    </w:p>
    <w:p w14:paraId="42769DF5" w14:textId="69A084A1" w:rsidR="00E54E03" w:rsidRPr="00B40A77" w:rsidRDefault="00E54E03" w:rsidP="00B90C7E">
      <w:pPr>
        <w:pStyle w:val="IndentedPara"/>
        <w:keepNext/>
        <w:rPr>
          <w:color w:val="000000" w:themeColor="text1"/>
        </w:rPr>
      </w:pPr>
      <w:r w:rsidRPr="00B40A77">
        <w:rPr>
          <w:color w:val="000000" w:themeColor="text1"/>
        </w:rPr>
        <w:t xml:space="preserve">The written record of an order on an application to remove or vary or revoke </w:t>
      </w:r>
      <w:r w:rsidR="00AB3630" w:rsidRPr="00B40A77">
        <w:rPr>
          <w:color w:val="000000" w:themeColor="text1"/>
        </w:rPr>
        <w:t xml:space="preserve">a </w:t>
      </w:r>
      <w:r w:rsidRPr="00B40A77">
        <w:rPr>
          <w:color w:val="000000" w:themeColor="text1"/>
        </w:rPr>
        <w:t>disqualification must be in the prescribed form.</w:t>
      </w:r>
    </w:p>
    <w:p w14:paraId="5B969A5E" w14:textId="6992B639" w:rsidR="00E54E03" w:rsidRPr="00B40A77" w:rsidRDefault="00E54E03" w:rsidP="00B90C7E">
      <w:pPr>
        <w:pStyle w:val="NoteHeader"/>
        <w:keepNext/>
        <w:ind w:left="567"/>
        <w:rPr>
          <w:color w:val="000000" w:themeColor="text1"/>
        </w:rPr>
      </w:pPr>
      <w:r w:rsidRPr="00B40A77">
        <w:rPr>
          <w:color w:val="000000" w:themeColor="text1"/>
        </w:rPr>
        <w:t>Prescribed form—</w:t>
      </w:r>
    </w:p>
    <w:p w14:paraId="3BACE43C" w14:textId="008C0057" w:rsidR="00E54E03" w:rsidRPr="00B40A77" w:rsidRDefault="00E54E03" w:rsidP="001C6806">
      <w:pPr>
        <w:pStyle w:val="NoteText"/>
        <w:ind w:left="720" w:firstLine="130"/>
        <w:rPr>
          <w:color w:val="000000" w:themeColor="text1"/>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30" w:history="1">
        <w:r w:rsidRPr="00B40A77">
          <w:rPr>
            <w:rStyle w:val="Hyperlink"/>
            <w:color w:val="000000" w:themeColor="text1"/>
          </w:rPr>
          <w:t>Record of Outcome</w:t>
        </w:r>
      </w:hyperlink>
    </w:p>
    <w:p w14:paraId="686C2023" w14:textId="2BC171BD" w:rsidR="004D1A47" w:rsidRPr="00B40A77" w:rsidRDefault="004D1A47" w:rsidP="004D1A47">
      <w:pPr>
        <w:pStyle w:val="Heading3"/>
        <w:rPr>
          <w:color w:val="000000" w:themeColor="text1"/>
        </w:rPr>
      </w:pPr>
      <w:bookmarkStart w:id="959" w:name="_Toc175239275"/>
      <w:r w:rsidRPr="00B40A77">
        <w:rPr>
          <w:color w:val="000000" w:themeColor="text1"/>
        </w:rPr>
        <w:t xml:space="preserve">Division </w:t>
      </w:r>
      <w:r w:rsidR="009D1D11" w:rsidRPr="00B40A77">
        <w:rPr>
          <w:color w:val="000000" w:themeColor="text1"/>
        </w:rPr>
        <w:t>6</w:t>
      </w:r>
      <w:r w:rsidRPr="00B40A77">
        <w:rPr>
          <w:color w:val="000000" w:themeColor="text1"/>
        </w:rPr>
        <w:t>—Youth detention order</w:t>
      </w:r>
      <w:r w:rsidR="00514EBB" w:rsidRPr="00B40A77">
        <w:rPr>
          <w:color w:val="000000" w:themeColor="text1"/>
        </w:rPr>
        <w:t>: Youth Court</w:t>
      </w:r>
      <w:bookmarkEnd w:id="959"/>
    </w:p>
    <w:p w14:paraId="1719BB1B" w14:textId="505C4D19" w:rsidR="004D1A47" w:rsidRPr="00B40A77" w:rsidRDefault="009D1D11" w:rsidP="00643044">
      <w:pPr>
        <w:pStyle w:val="Heading4"/>
        <w:rPr>
          <w:color w:val="000000" w:themeColor="text1"/>
        </w:rPr>
      </w:pPr>
      <w:bookmarkStart w:id="960" w:name="_Toc175239276"/>
      <w:r w:rsidRPr="00B40A77">
        <w:rPr>
          <w:color w:val="000000" w:themeColor="text1"/>
        </w:rPr>
        <w:t>166</w:t>
      </w:r>
      <w:r w:rsidR="004D1A47" w:rsidRPr="00B40A77">
        <w:rPr>
          <w:color w:val="000000" w:themeColor="text1"/>
        </w:rPr>
        <w:t>.1</w:t>
      </w:r>
      <w:r w:rsidR="008300CC" w:rsidRPr="00B40A77">
        <w:rPr>
          <w:color w:val="000000" w:themeColor="text1"/>
        </w:rPr>
        <w:t>—Discharge from detention order</w:t>
      </w:r>
      <w:bookmarkEnd w:id="960"/>
    </w:p>
    <w:p w14:paraId="512BACDC" w14:textId="2E78354A" w:rsidR="004D1A47" w:rsidRPr="00B40A77" w:rsidRDefault="004D1A47"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w:t>
      </w:r>
      <w:r w:rsidR="00C84B0D" w:rsidRPr="00B40A77">
        <w:rPr>
          <w:rFonts w:cs="Arial"/>
          <w:color w:val="000000" w:themeColor="text1"/>
        </w:rPr>
        <w:t xml:space="preserve">for a youth </w:t>
      </w:r>
      <w:r w:rsidR="00D07391" w:rsidRPr="00B40A77">
        <w:rPr>
          <w:color w:val="000000" w:themeColor="text1"/>
          <w:lang w:val="en-US"/>
        </w:rPr>
        <w:t xml:space="preserve">(the </w:t>
      </w:r>
      <w:r w:rsidR="00D07391" w:rsidRPr="00B40A77">
        <w:rPr>
          <w:b/>
          <w:bCs/>
          <w:i/>
          <w:iCs/>
          <w:color w:val="000000" w:themeColor="text1"/>
          <w:lang w:val="en-US"/>
        </w:rPr>
        <w:t>subject</w:t>
      </w:r>
      <w:r w:rsidR="00D07391" w:rsidRPr="00B40A77">
        <w:rPr>
          <w:color w:val="000000" w:themeColor="text1"/>
          <w:lang w:val="en-US"/>
        </w:rPr>
        <w:t xml:space="preserve">) </w:t>
      </w:r>
      <w:r w:rsidR="00C84B0D" w:rsidRPr="00B40A77">
        <w:rPr>
          <w:rFonts w:cs="Arial"/>
          <w:color w:val="000000" w:themeColor="text1"/>
        </w:rPr>
        <w:t>to be discharged from a detention order</w:t>
      </w:r>
      <w:r w:rsidRPr="00B40A77">
        <w:rPr>
          <w:color w:val="000000" w:themeColor="text1"/>
          <w:lang w:val="en-US"/>
        </w:rPr>
        <w:t xml:space="preserve"> under section</w:t>
      </w:r>
      <w:r w:rsidR="00EF1FED" w:rsidRPr="00B40A77">
        <w:rPr>
          <w:color w:val="000000" w:themeColor="text1"/>
          <w:lang w:val="en-US"/>
        </w:rPr>
        <w:t> </w:t>
      </w:r>
      <w:r w:rsidR="00514EBB" w:rsidRPr="00B40A77">
        <w:rPr>
          <w:color w:val="000000" w:themeColor="text1"/>
          <w:lang w:val="en-US"/>
        </w:rPr>
        <w:t>42</w:t>
      </w:r>
      <w:r w:rsidRPr="00B40A77">
        <w:rPr>
          <w:color w:val="000000" w:themeColor="text1"/>
          <w:lang w:val="en-US"/>
        </w:rPr>
        <w:t xml:space="preserve"> of the Young Offenders Act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13935AA7" w14:textId="77777777" w:rsidR="004D1A47" w:rsidRPr="00B40A77" w:rsidRDefault="004D1A47" w:rsidP="003D7E17">
      <w:pPr>
        <w:pStyle w:val="NoteHeader"/>
        <w:keepNext/>
        <w:rPr>
          <w:color w:val="000000" w:themeColor="text1"/>
        </w:rPr>
      </w:pPr>
      <w:r w:rsidRPr="00B40A77">
        <w:rPr>
          <w:color w:val="000000" w:themeColor="text1"/>
        </w:rPr>
        <w:t>Prescribed form—</w:t>
      </w:r>
    </w:p>
    <w:p w14:paraId="17096D45" w14:textId="15F5BC2F" w:rsidR="004D1A47" w:rsidRPr="00B40A77" w:rsidRDefault="004D1A47" w:rsidP="00BC23E5">
      <w:pPr>
        <w:pStyle w:val="NoteText"/>
        <w:rPr>
          <w:color w:val="000000" w:themeColor="text1"/>
        </w:rPr>
      </w:pPr>
      <w:r w:rsidRPr="00B40A77">
        <w:rPr>
          <w:color w:val="000000" w:themeColor="text1"/>
        </w:rPr>
        <w:t>Form 171</w:t>
      </w:r>
      <w:r w:rsidR="00CA2D20" w:rsidRPr="00B40A77">
        <w:rPr>
          <w:color w:val="000000" w:themeColor="text1"/>
        </w:rPr>
        <w:t>L</w:t>
      </w:r>
      <w:r w:rsidRPr="00B40A77">
        <w:rPr>
          <w:color w:val="000000" w:themeColor="text1"/>
        </w:rPr>
        <w:t xml:space="preserve"> </w:t>
      </w:r>
      <w:hyperlink r:id="rId331" w:history="1">
        <w:r w:rsidR="00FC1FD3" w:rsidRPr="00B40A77">
          <w:rPr>
            <w:rStyle w:val="Hyperlink"/>
            <w:color w:val="000000" w:themeColor="text1"/>
            <w:lang w:val="en-US"/>
          </w:rPr>
          <w:t xml:space="preserve">Originating </w:t>
        </w:r>
        <w:r w:rsidR="00B41A3B" w:rsidRPr="00B40A77">
          <w:rPr>
            <w:rStyle w:val="Hyperlink"/>
            <w:color w:val="000000" w:themeColor="text1"/>
            <w:lang w:val="en-US"/>
          </w:rPr>
          <w:t>Ap</w:t>
        </w:r>
        <w:r w:rsidR="00C84B0D" w:rsidRPr="00B40A77">
          <w:rPr>
            <w:rStyle w:val="Hyperlink"/>
            <w:color w:val="000000" w:themeColor="text1"/>
            <w:lang w:val="en-US"/>
          </w:rPr>
          <w:t>plication</w:t>
        </w:r>
        <w:r w:rsidR="00C84B0D" w:rsidRPr="00B40A77">
          <w:rPr>
            <w:rStyle w:val="Hyperlink"/>
            <w:color w:val="000000" w:themeColor="text1"/>
          </w:rPr>
          <w:t xml:space="preserve"> </w:t>
        </w:r>
        <w:r w:rsidR="00514EBB" w:rsidRPr="00B40A77">
          <w:rPr>
            <w:rStyle w:val="Hyperlink"/>
            <w:color w:val="000000" w:themeColor="text1"/>
          </w:rPr>
          <w:t>for Youth to be Discharged Absolutely from a Detention Order</w:t>
        </w:r>
      </w:hyperlink>
    </w:p>
    <w:p w14:paraId="3F3E413C" w14:textId="77777777" w:rsidR="00D07391" w:rsidRPr="00B40A77" w:rsidRDefault="00D07391" w:rsidP="00D07391">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52595E15" w14:textId="0F4121DB" w:rsidR="00D07391" w:rsidRPr="00B40A77" w:rsidRDefault="00D07391" w:rsidP="00D07391">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00D410F3" w:rsidRPr="00B40A77">
        <w:rPr>
          <w:color w:val="000000" w:themeColor="text1"/>
          <w:u w:val="single"/>
          <w:lang w:val="en-US"/>
        </w:rPr>
        <w:t>,</w:t>
      </w:r>
      <w:r w:rsidRPr="00B40A77">
        <w:rPr>
          <w:color w:val="000000" w:themeColor="text1"/>
          <w:lang w:val="en-US"/>
        </w:rPr>
        <w:t xml:space="preserve"> the</w:t>
      </w:r>
      <w:r w:rsidR="00D410F3" w:rsidRPr="00B40A77">
        <w:rPr>
          <w:color w:val="000000" w:themeColor="text1"/>
          <w:lang w:val="en-US"/>
        </w:rPr>
        <w:t xml:space="preserve"> subject’s </w:t>
      </w:r>
      <w:r w:rsidRPr="00B40A77">
        <w:rPr>
          <w:color w:val="000000" w:themeColor="text1"/>
          <w:lang w:val="en-US"/>
        </w:rPr>
        <w:t xml:space="preserve">guardian </w:t>
      </w:r>
      <w:r w:rsidR="00D410F3" w:rsidRPr="00B40A77">
        <w:rPr>
          <w:color w:val="000000" w:themeColor="text1"/>
          <w:lang w:val="en-US"/>
        </w:rPr>
        <w:t xml:space="preserve">and the prosecution </w:t>
      </w:r>
      <w:r w:rsidRPr="00B40A77">
        <w:rPr>
          <w:color w:val="000000" w:themeColor="text1"/>
          <w:lang w:val="en-US"/>
        </w:rPr>
        <w:t>as respondents;</w:t>
      </w:r>
    </w:p>
    <w:p w14:paraId="14FFF6C5" w14:textId="50BC982D" w:rsidR="00D07391" w:rsidRPr="00B40A77" w:rsidRDefault="00D07391" w:rsidP="00D07391">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applicant is the subject—</w:t>
      </w:r>
      <w:r w:rsidRPr="00B40A77">
        <w:rPr>
          <w:color w:val="000000" w:themeColor="text1"/>
        </w:rPr>
        <w:t>must</w:t>
      </w:r>
      <w:r w:rsidRPr="00B40A77">
        <w:rPr>
          <w:color w:val="000000" w:themeColor="text1"/>
          <w:lang w:val="en-US"/>
        </w:rPr>
        <w:t xml:space="preserve"> join the </w:t>
      </w:r>
      <w:hyperlink w:anchor="_2.1—Definitions" w:history="1">
        <w:r w:rsidR="00B9204D" w:rsidRPr="00B40A77">
          <w:rPr>
            <w:rStyle w:val="Hyperlink"/>
            <w:rFonts w:cs="Arial"/>
            <w:color w:val="000000" w:themeColor="text1"/>
          </w:rPr>
          <w:t>Chief Executive</w:t>
        </w:r>
      </w:hyperlink>
      <w:r w:rsidR="00D410F3" w:rsidRPr="00B40A77">
        <w:rPr>
          <w:color w:val="000000" w:themeColor="text1"/>
          <w:lang w:val="en-US"/>
        </w:rPr>
        <w:t>, the prosecution</w:t>
      </w:r>
      <w:r w:rsidRPr="00B40A77">
        <w:rPr>
          <w:color w:val="000000" w:themeColor="text1"/>
          <w:lang w:val="en-US"/>
        </w:rPr>
        <w:t xml:space="preserve"> and the subject’s guardian as respondents;</w:t>
      </w:r>
    </w:p>
    <w:p w14:paraId="1469DA43" w14:textId="6E26CEB9" w:rsidR="00D07391" w:rsidRPr="00B40A77" w:rsidRDefault="00D07391" w:rsidP="00D07391">
      <w:pPr>
        <w:pStyle w:val="Doublehangindent"/>
        <w:rPr>
          <w:color w:val="000000" w:themeColor="text1"/>
          <w:lang w:val="en-US"/>
        </w:rPr>
      </w:pPr>
      <w:r w:rsidRPr="00B40A77">
        <w:rPr>
          <w:color w:val="000000" w:themeColor="text1"/>
          <w:lang w:val="en-US"/>
        </w:rPr>
        <w:t>(c)</w:t>
      </w:r>
      <w:r w:rsidRPr="00B40A77">
        <w:rPr>
          <w:color w:val="000000" w:themeColor="text1"/>
          <w:lang w:val="en-US"/>
        </w:rPr>
        <w:tab/>
        <w:t>if the applicant is the subject’s guardian—</w:t>
      </w:r>
      <w:r w:rsidRPr="00B40A77">
        <w:rPr>
          <w:color w:val="000000" w:themeColor="text1"/>
        </w:rPr>
        <w:t>must</w:t>
      </w:r>
      <w:r w:rsidRPr="00B40A77">
        <w:rPr>
          <w:color w:val="000000" w:themeColor="text1"/>
          <w:lang w:val="en-US"/>
        </w:rPr>
        <w:t xml:space="preserve"> join the </w:t>
      </w:r>
      <w:hyperlink w:anchor="_2.1—Definitions" w:history="1">
        <w:r w:rsidR="00B9204D" w:rsidRPr="00B40A77">
          <w:rPr>
            <w:rStyle w:val="Hyperlink"/>
            <w:rFonts w:cs="Arial"/>
            <w:color w:val="000000" w:themeColor="text1"/>
          </w:rPr>
          <w:t>Chief Executive</w:t>
        </w:r>
      </w:hyperlink>
      <w:r w:rsidR="00D410F3" w:rsidRPr="00B40A77">
        <w:rPr>
          <w:color w:val="000000" w:themeColor="text1"/>
          <w:lang w:val="en-US"/>
        </w:rPr>
        <w:t>, the prosecution</w:t>
      </w:r>
      <w:r w:rsidRPr="00B40A77">
        <w:rPr>
          <w:color w:val="000000" w:themeColor="text1"/>
          <w:lang w:val="en-US"/>
        </w:rPr>
        <w:t xml:space="preserve"> and the subj</w:t>
      </w:r>
      <w:r w:rsidR="00ED2C4D" w:rsidRPr="00B40A77">
        <w:rPr>
          <w:color w:val="000000" w:themeColor="text1"/>
          <w:lang w:val="en-US"/>
        </w:rPr>
        <w:t>ect</w:t>
      </w:r>
      <w:r w:rsidRPr="00B40A77">
        <w:rPr>
          <w:color w:val="000000" w:themeColor="text1"/>
          <w:lang w:val="en-US"/>
        </w:rPr>
        <w:t xml:space="preserve"> as respondents</w:t>
      </w:r>
      <w:r w:rsidR="00D410F3" w:rsidRPr="00B40A77">
        <w:rPr>
          <w:color w:val="000000" w:themeColor="text1"/>
          <w:lang w:val="en-US"/>
        </w:rPr>
        <w:t>.</w:t>
      </w:r>
    </w:p>
    <w:p w14:paraId="5DC13E19" w14:textId="33A4B243" w:rsidR="008300CC" w:rsidRPr="00B40A77" w:rsidRDefault="009D1D11" w:rsidP="00643044">
      <w:pPr>
        <w:pStyle w:val="Heading4"/>
        <w:rPr>
          <w:color w:val="000000" w:themeColor="text1"/>
        </w:rPr>
      </w:pPr>
      <w:bookmarkStart w:id="961" w:name="_Toc175239277"/>
      <w:r w:rsidRPr="00B40A77">
        <w:rPr>
          <w:color w:val="000000" w:themeColor="text1"/>
        </w:rPr>
        <w:lastRenderedPageBreak/>
        <w:t>166</w:t>
      </w:r>
      <w:r w:rsidR="008300CC" w:rsidRPr="00B40A77">
        <w:rPr>
          <w:color w:val="000000" w:themeColor="text1"/>
        </w:rPr>
        <w:t>.</w:t>
      </w:r>
      <w:r w:rsidR="00EA0C90" w:rsidRPr="00B40A77">
        <w:rPr>
          <w:color w:val="000000" w:themeColor="text1"/>
        </w:rPr>
        <w:t>2—Transfer between training centre and</w:t>
      </w:r>
      <w:r w:rsidR="008300CC" w:rsidRPr="00B40A77">
        <w:rPr>
          <w:color w:val="000000" w:themeColor="text1"/>
        </w:rPr>
        <w:t xml:space="preserve"> prison</w:t>
      </w:r>
      <w:bookmarkEnd w:id="961"/>
    </w:p>
    <w:p w14:paraId="59783519" w14:textId="6B9DFA89" w:rsidR="008300CC" w:rsidRPr="00B40A77" w:rsidRDefault="008300CC"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w:t>
      </w:r>
      <w:r w:rsidRPr="00B40A77">
        <w:rPr>
          <w:rFonts w:cs="Arial"/>
          <w:color w:val="000000" w:themeColor="text1"/>
        </w:rPr>
        <w:t xml:space="preserve">for transfer of a youth </w:t>
      </w:r>
      <w:r w:rsidR="00D410F3" w:rsidRPr="00B40A77">
        <w:rPr>
          <w:color w:val="000000" w:themeColor="text1"/>
          <w:lang w:val="en-US"/>
        </w:rPr>
        <w:t xml:space="preserve">(the </w:t>
      </w:r>
      <w:r w:rsidR="00D410F3" w:rsidRPr="00B40A77">
        <w:rPr>
          <w:b/>
          <w:bCs/>
          <w:i/>
          <w:iCs/>
          <w:color w:val="000000" w:themeColor="text1"/>
          <w:lang w:val="en-US"/>
        </w:rPr>
        <w:t>subject</w:t>
      </w:r>
      <w:r w:rsidR="00D410F3" w:rsidRPr="00B40A77">
        <w:rPr>
          <w:color w:val="000000" w:themeColor="text1"/>
          <w:lang w:val="en-US"/>
        </w:rPr>
        <w:t xml:space="preserve">) </w:t>
      </w:r>
      <w:r w:rsidRPr="00B40A77">
        <w:rPr>
          <w:rFonts w:cs="Arial"/>
          <w:color w:val="000000" w:themeColor="text1"/>
        </w:rPr>
        <w:t xml:space="preserve">from a training centre </w:t>
      </w:r>
      <w:r w:rsidR="00EA0C90" w:rsidRPr="00B40A77">
        <w:rPr>
          <w:rFonts w:cs="Arial"/>
          <w:color w:val="000000" w:themeColor="text1"/>
        </w:rPr>
        <w:t xml:space="preserve">or another place </w:t>
      </w:r>
      <w:r w:rsidRPr="00B40A77">
        <w:rPr>
          <w:rFonts w:cs="Arial"/>
          <w:color w:val="000000" w:themeColor="text1"/>
        </w:rPr>
        <w:t xml:space="preserve">to a prison </w:t>
      </w:r>
      <w:r w:rsidRPr="00B40A77">
        <w:rPr>
          <w:color w:val="000000" w:themeColor="text1"/>
          <w:lang w:val="en-US"/>
        </w:rPr>
        <w:t>under section</w:t>
      </w:r>
      <w:r w:rsidR="00EF1FED" w:rsidRPr="00B40A77">
        <w:rPr>
          <w:color w:val="000000" w:themeColor="text1"/>
          <w:lang w:val="en-US"/>
        </w:rPr>
        <w:t> </w:t>
      </w:r>
      <w:r w:rsidRPr="00B40A77">
        <w:rPr>
          <w:color w:val="000000" w:themeColor="text1"/>
          <w:lang w:val="en-US"/>
        </w:rPr>
        <w:t>63(2) or</w:t>
      </w:r>
      <w:r w:rsidR="00EF1FED" w:rsidRPr="00B40A77">
        <w:rPr>
          <w:color w:val="000000" w:themeColor="text1"/>
          <w:lang w:val="en-US"/>
        </w:rPr>
        <w:t> </w:t>
      </w:r>
      <w:r w:rsidRPr="00B40A77">
        <w:rPr>
          <w:color w:val="000000" w:themeColor="text1"/>
          <w:lang w:val="en-US"/>
        </w:rPr>
        <w:t xml:space="preserve">(4) of the Young Offenders Act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7399EF1F" w14:textId="77777777" w:rsidR="008300CC" w:rsidRPr="00B40A77" w:rsidRDefault="008300CC" w:rsidP="00B90C7E">
      <w:pPr>
        <w:pStyle w:val="NoteHeader"/>
        <w:keepNext/>
        <w:rPr>
          <w:color w:val="000000" w:themeColor="text1"/>
        </w:rPr>
      </w:pPr>
      <w:r w:rsidRPr="00B40A77">
        <w:rPr>
          <w:color w:val="000000" w:themeColor="text1"/>
        </w:rPr>
        <w:t>Prescribed form—</w:t>
      </w:r>
    </w:p>
    <w:p w14:paraId="73777FCE" w14:textId="61D58598" w:rsidR="008300CC" w:rsidRPr="00B40A77" w:rsidRDefault="008300CC" w:rsidP="00BC23E5">
      <w:pPr>
        <w:pStyle w:val="NoteText"/>
        <w:rPr>
          <w:color w:val="000000" w:themeColor="text1"/>
        </w:rPr>
      </w:pPr>
      <w:r w:rsidRPr="00B40A77">
        <w:rPr>
          <w:color w:val="000000" w:themeColor="text1"/>
        </w:rPr>
        <w:t>Form 171</w:t>
      </w:r>
      <w:r w:rsidR="00CA2D20" w:rsidRPr="00B40A77">
        <w:rPr>
          <w:color w:val="000000" w:themeColor="text1"/>
        </w:rPr>
        <w:t>M</w:t>
      </w:r>
      <w:r w:rsidRPr="00B40A77">
        <w:rPr>
          <w:color w:val="000000" w:themeColor="text1"/>
        </w:rPr>
        <w:t xml:space="preserve"> </w:t>
      </w:r>
      <w:hyperlink r:id="rId332" w:history="1">
        <w:r w:rsidR="00FC1FD3" w:rsidRPr="00B40A77">
          <w:rPr>
            <w:rStyle w:val="Hyperlink"/>
            <w:color w:val="000000" w:themeColor="text1"/>
            <w:lang w:val="en-US"/>
          </w:rPr>
          <w:t xml:space="preserve">Originating </w:t>
        </w:r>
        <w:r w:rsidR="00B846AA" w:rsidRPr="00B40A77">
          <w:rPr>
            <w:rStyle w:val="Hyperlink"/>
            <w:color w:val="000000" w:themeColor="text1"/>
            <w:lang w:val="en-US"/>
          </w:rPr>
          <w:t>Ap</w:t>
        </w:r>
        <w:r w:rsidRPr="00B40A77">
          <w:rPr>
            <w:rStyle w:val="Hyperlink"/>
            <w:color w:val="000000" w:themeColor="text1"/>
            <w:lang w:val="en-US"/>
          </w:rPr>
          <w:t>plication</w:t>
        </w:r>
        <w:r w:rsidRPr="00B40A77">
          <w:rPr>
            <w:rStyle w:val="Hyperlink"/>
            <w:color w:val="000000" w:themeColor="text1"/>
          </w:rPr>
          <w:t xml:space="preserve"> for a Person Held in a Training Centre to be Transferred to a Prison</w:t>
        </w:r>
      </w:hyperlink>
    </w:p>
    <w:p w14:paraId="6FDF8AAE" w14:textId="77777777" w:rsidR="00D410F3" w:rsidRPr="00B40A77" w:rsidRDefault="00D410F3" w:rsidP="00D410F3">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6DD83ACE" w14:textId="5772F1C2" w:rsidR="00D410F3" w:rsidRPr="00B40A77" w:rsidRDefault="00D410F3" w:rsidP="00D410F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as the respondent;</w:t>
      </w:r>
    </w:p>
    <w:p w14:paraId="1B54EBF2" w14:textId="6FB17BA3" w:rsidR="00D410F3" w:rsidRPr="00B40A77" w:rsidRDefault="00D410F3" w:rsidP="00D410F3">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applicant is the subject—</w:t>
      </w:r>
      <w:r w:rsidRPr="00B40A77">
        <w:rPr>
          <w:color w:val="000000" w:themeColor="text1"/>
        </w:rPr>
        <w:t>must</w:t>
      </w:r>
      <w:r w:rsidRPr="00B40A77">
        <w:rPr>
          <w:color w:val="000000" w:themeColor="text1"/>
          <w:lang w:val="en-US"/>
        </w:rPr>
        <w:t xml:space="preserve"> join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 xml:space="preserve"> as the respondent.</w:t>
      </w:r>
    </w:p>
    <w:p w14:paraId="6952D8AC" w14:textId="7A6A2073" w:rsidR="00EA0C90" w:rsidRPr="00B40A77" w:rsidRDefault="00EA0C90" w:rsidP="00B90C7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An application to revoke an order </w:t>
      </w:r>
      <w:r w:rsidRPr="00B40A77">
        <w:rPr>
          <w:rFonts w:cs="Arial"/>
          <w:color w:val="000000" w:themeColor="text1"/>
        </w:rPr>
        <w:t xml:space="preserve">for transfer of a youth </w:t>
      </w:r>
      <w:r w:rsidR="00ED2C4D" w:rsidRPr="00B40A77">
        <w:rPr>
          <w:color w:val="000000" w:themeColor="text1"/>
          <w:lang w:val="en-US"/>
        </w:rPr>
        <w:t xml:space="preserve">(the </w:t>
      </w:r>
      <w:r w:rsidR="00ED2C4D" w:rsidRPr="00B40A77">
        <w:rPr>
          <w:b/>
          <w:bCs/>
          <w:i/>
          <w:iCs/>
          <w:color w:val="000000" w:themeColor="text1"/>
          <w:lang w:val="en-US"/>
        </w:rPr>
        <w:t>subject</w:t>
      </w:r>
      <w:r w:rsidR="00ED2C4D" w:rsidRPr="00B40A77">
        <w:rPr>
          <w:color w:val="000000" w:themeColor="text1"/>
          <w:lang w:val="en-US"/>
        </w:rPr>
        <w:t xml:space="preserve">) </w:t>
      </w:r>
      <w:r w:rsidRPr="00B40A77">
        <w:rPr>
          <w:rFonts w:cs="Arial"/>
          <w:color w:val="000000" w:themeColor="text1"/>
        </w:rPr>
        <w:t xml:space="preserve">from a training centre or another place to a prison </w:t>
      </w:r>
      <w:r w:rsidRPr="00B40A77">
        <w:rPr>
          <w:color w:val="000000" w:themeColor="text1"/>
          <w:lang w:val="en-US"/>
        </w:rPr>
        <w:t>under section</w:t>
      </w:r>
      <w:r w:rsidR="00425D16" w:rsidRPr="00B40A77">
        <w:rPr>
          <w:color w:val="000000" w:themeColor="text1"/>
          <w:lang w:val="en-US"/>
        </w:rPr>
        <w:t> </w:t>
      </w:r>
      <w:r w:rsidRPr="00B40A77">
        <w:rPr>
          <w:color w:val="000000" w:themeColor="text1"/>
          <w:lang w:val="en-US"/>
        </w:rPr>
        <w:t xml:space="preserve">63(7) of the Young Offenders Act must be made by an </w:t>
      </w:r>
      <w:r w:rsidR="00ED2C4D" w:rsidRPr="00B40A77">
        <w:rPr>
          <w:color w:val="000000" w:themeColor="text1"/>
          <w:lang w:val="en-US"/>
        </w:rPr>
        <w:t xml:space="preserve">originating </w:t>
      </w:r>
      <w:r w:rsidRPr="00B40A77">
        <w:rPr>
          <w:color w:val="000000" w:themeColor="text1"/>
          <w:lang w:val="en-US"/>
        </w:rPr>
        <w:t>application in the prescribed form.</w:t>
      </w:r>
    </w:p>
    <w:p w14:paraId="2A4F1FD1" w14:textId="77777777" w:rsidR="00EA0C90" w:rsidRPr="00B40A77" w:rsidRDefault="00EA0C90" w:rsidP="003D7E17">
      <w:pPr>
        <w:pStyle w:val="NoteHeader"/>
        <w:keepNext/>
        <w:rPr>
          <w:color w:val="000000" w:themeColor="text1"/>
        </w:rPr>
      </w:pPr>
      <w:r w:rsidRPr="00B40A77">
        <w:rPr>
          <w:color w:val="000000" w:themeColor="text1"/>
        </w:rPr>
        <w:t>Prescribed form—</w:t>
      </w:r>
    </w:p>
    <w:p w14:paraId="38846CE4" w14:textId="06E10618" w:rsidR="00EA0C90" w:rsidRPr="00B40A77" w:rsidRDefault="00EA0C90" w:rsidP="00BC23E5">
      <w:pPr>
        <w:pStyle w:val="NoteText"/>
        <w:rPr>
          <w:color w:val="000000" w:themeColor="text1"/>
        </w:rPr>
      </w:pPr>
      <w:r w:rsidRPr="00B40A77">
        <w:rPr>
          <w:color w:val="000000" w:themeColor="text1"/>
        </w:rPr>
        <w:t>Form 171</w:t>
      </w:r>
      <w:r w:rsidR="00CA2D20" w:rsidRPr="00B40A77">
        <w:rPr>
          <w:color w:val="000000" w:themeColor="text1"/>
        </w:rPr>
        <w:t>N</w:t>
      </w:r>
      <w:r w:rsidRPr="00B40A77">
        <w:rPr>
          <w:color w:val="000000" w:themeColor="text1"/>
        </w:rPr>
        <w:t xml:space="preserve"> </w:t>
      </w:r>
      <w:hyperlink r:id="rId333" w:history="1">
        <w:r w:rsidR="00ED2C4D" w:rsidRPr="00B40A77">
          <w:rPr>
            <w:rStyle w:val="Hyperlink"/>
            <w:color w:val="000000" w:themeColor="text1"/>
          </w:rPr>
          <w:t xml:space="preserve">Originating </w:t>
        </w:r>
        <w:r w:rsidR="00B846AA" w:rsidRPr="00B40A77">
          <w:rPr>
            <w:rStyle w:val="Hyperlink"/>
            <w:color w:val="000000" w:themeColor="text1"/>
            <w:lang w:val="en-US"/>
          </w:rPr>
          <w:t>Ap</w:t>
        </w:r>
        <w:r w:rsidRPr="00B40A77">
          <w:rPr>
            <w:rStyle w:val="Hyperlink"/>
            <w:color w:val="000000" w:themeColor="text1"/>
            <w:lang w:val="en-US"/>
          </w:rPr>
          <w:t>plication</w:t>
        </w:r>
        <w:r w:rsidRPr="00B40A77">
          <w:rPr>
            <w:rStyle w:val="Hyperlink"/>
            <w:color w:val="000000" w:themeColor="text1"/>
          </w:rPr>
          <w:t xml:space="preserve"> </w:t>
        </w:r>
        <w:r w:rsidR="005D4214" w:rsidRPr="00B40A77">
          <w:rPr>
            <w:rStyle w:val="Hyperlink"/>
            <w:color w:val="000000" w:themeColor="text1"/>
          </w:rPr>
          <w:t>to Revoke an Order that a Youth</w:t>
        </w:r>
        <w:r w:rsidRPr="00B40A77">
          <w:rPr>
            <w:rStyle w:val="Hyperlink"/>
            <w:color w:val="000000" w:themeColor="text1"/>
          </w:rPr>
          <w:t xml:space="preserve"> be Transferred to a Prison</w:t>
        </w:r>
      </w:hyperlink>
    </w:p>
    <w:p w14:paraId="5CF7661D" w14:textId="027F5CEB" w:rsidR="00ED2C4D" w:rsidRPr="00B40A77" w:rsidRDefault="00ED2C4D" w:rsidP="00ED2C4D">
      <w:pPr>
        <w:pStyle w:val="Hangindent"/>
        <w:rPr>
          <w:color w:val="000000" w:themeColor="text1"/>
        </w:rPr>
      </w:pPr>
      <w:r w:rsidRPr="00B40A77">
        <w:rPr>
          <w:color w:val="000000" w:themeColor="text1"/>
        </w:rPr>
        <w:t>(4)</w:t>
      </w:r>
      <w:r w:rsidRPr="00B40A77">
        <w:rPr>
          <w:color w:val="000000" w:themeColor="text1"/>
        </w:rPr>
        <w:tab/>
        <w:t>The applicant</w:t>
      </w:r>
      <w:r w:rsidRPr="00B40A77">
        <w:rPr>
          <w:color w:val="000000" w:themeColor="text1"/>
          <w:lang w:val="en-US"/>
        </w:rPr>
        <w:t>—</w:t>
      </w:r>
    </w:p>
    <w:p w14:paraId="1A15470C" w14:textId="01B36D29" w:rsidR="00ED2C4D" w:rsidRPr="00B40A77" w:rsidRDefault="00ED2C4D" w:rsidP="00ED2C4D">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the applicant is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 and</w:t>
      </w:r>
      <w:r w:rsidRPr="00B40A77">
        <w:rPr>
          <w:color w:val="000000" w:themeColor="text1"/>
          <w:lang w:val="en-US"/>
        </w:rPr>
        <w:t xml:space="preserve"> the subject’s guardian as respondents;</w:t>
      </w:r>
    </w:p>
    <w:p w14:paraId="3D53490A" w14:textId="5B6F7856" w:rsidR="00ED2C4D" w:rsidRPr="00B40A77" w:rsidRDefault="00ED2C4D" w:rsidP="00ED2C4D">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applicant is the subject—</w:t>
      </w:r>
      <w:r w:rsidRPr="00B40A77">
        <w:rPr>
          <w:color w:val="000000" w:themeColor="text1"/>
        </w:rPr>
        <w:t>must</w:t>
      </w:r>
      <w:r w:rsidRPr="00B40A77">
        <w:rPr>
          <w:color w:val="000000" w:themeColor="text1"/>
          <w:lang w:val="en-US"/>
        </w:rPr>
        <w:t xml:space="preserve"> join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 xml:space="preserve"> and the subject’s guardian as respondents;</w:t>
      </w:r>
    </w:p>
    <w:p w14:paraId="3F25C885" w14:textId="5E686F28" w:rsidR="00ED2C4D" w:rsidRPr="00B40A77" w:rsidRDefault="00ED2C4D" w:rsidP="00ED2C4D">
      <w:pPr>
        <w:pStyle w:val="Doublehangindent"/>
        <w:rPr>
          <w:color w:val="000000" w:themeColor="text1"/>
          <w:lang w:val="en-US"/>
        </w:rPr>
      </w:pPr>
      <w:r w:rsidRPr="00B40A77">
        <w:rPr>
          <w:color w:val="000000" w:themeColor="text1"/>
          <w:lang w:val="en-US"/>
        </w:rPr>
        <w:t>(c)</w:t>
      </w:r>
      <w:r w:rsidRPr="00B40A77">
        <w:rPr>
          <w:color w:val="000000" w:themeColor="text1"/>
          <w:lang w:val="en-US"/>
        </w:rPr>
        <w:tab/>
        <w:t>if the applicant is the subject’s guardian—</w:t>
      </w:r>
      <w:r w:rsidRPr="00B40A77">
        <w:rPr>
          <w:color w:val="000000" w:themeColor="text1"/>
        </w:rPr>
        <w:t>must</w:t>
      </w:r>
      <w:r w:rsidRPr="00B40A77">
        <w:rPr>
          <w:color w:val="000000" w:themeColor="text1"/>
          <w:lang w:val="en-US"/>
        </w:rPr>
        <w:t xml:space="preserve"> join the </w:t>
      </w:r>
      <w:hyperlink w:anchor="_2.1—Definitions" w:history="1">
        <w:r w:rsidR="00B9204D" w:rsidRPr="00B40A77">
          <w:rPr>
            <w:rStyle w:val="Hyperlink"/>
            <w:rFonts w:cs="Arial"/>
            <w:color w:val="000000" w:themeColor="text1"/>
          </w:rPr>
          <w:t>Chief Executive</w:t>
        </w:r>
      </w:hyperlink>
      <w:r w:rsidRPr="00B40A77">
        <w:rPr>
          <w:color w:val="000000" w:themeColor="text1"/>
          <w:lang w:val="en-US"/>
        </w:rPr>
        <w:t xml:space="preserve"> and the subject as respondents.</w:t>
      </w:r>
    </w:p>
    <w:p w14:paraId="14D52104" w14:textId="78E58CCA" w:rsidR="00E54E03" w:rsidRPr="00B40A77" w:rsidRDefault="009D1D11" w:rsidP="00643044">
      <w:pPr>
        <w:pStyle w:val="Heading4"/>
        <w:rPr>
          <w:color w:val="000000" w:themeColor="text1"/>
        </w:rPr>
      </w:pPr>
      <w:bookmarkStart w:id="962" w:name="_Toc175239278"/>
      <w:r w:rsidRPr="00B40A77">
        <w:rPr>
          <w:color w:val="000000" w:themeColor="text1"/>
        </w:rPr>
        <w:t>166</w:t>
      </w:r>
      <w:r w:rsidR="00E54E03" w:rsidRPr="00B40A77">
        <w:rPr>
          <w:color w:val="000000" w:themeColor="text1"/>
        </w:rPr>
        <w:t>.3—Order on application for discharge from detention order or transfer between training centre and prison</w:t>
      </w:r>
      <w:bookmarkEnd w:id="962"/>
    </w:p>
    <w:p w14:paraId="4F60577E" w14:textId="334AA6F8" w:rsidR="00E54E03" w:rsidRPr="00B40A77" w:rsidRDefault="00E54E03" w:rsidP="00B90C7E">
      <w:pPr>
        <w:pStyle w:val="IndentedPara"/>
        <w:keepNext/>
        <w:rPr>
          <w:color w:val="000000" w:themeColor="text1"/>
        </w:rPr>
      </w:pPr>
      <w:r w:rsidRPr="00B40A77">
        <w:rPr>
          <w:color w:val="000000" w:themeColor="text1"/>
        </w:rPr>
        <w:t>The written record of an order on an application for discharge from a detention order or t</w:t>
      </w:r>
      <w:r w:rsidR="00876DD4" w:rsidRPr="00B40A77">
        <w:rPr>
          <w:color w:val="000000" w:themeColor="text1"/>
        </w:rPr>
        <w:t xml:space="preserve">ransfer between a </w:t>
      </w:r>
      <w:r w:rsidRPr="00B40A77">
        <w:rPr>
          <w:color w:val="000000" w:themeColor="text1"/>
        </w:rPr>
        <w:t>training centre and a prison must be in the prescribed form.</w:t>
      </w:r>
    </w:p>
    <w:p w14:paraId="3E0949BA" w14:textId="31703109" w:rsidR="00E54E03" w:rsidRPr="00B40A77" w:rsidRDefault="00E54E03" w:rsidP="003D7E17">
      <w:pPr>
        <w:pStyle w:val="NoteHeader"/>
        <w:keepNext/>
        <w:ind w:left="567"/>
        <w:rPr>
          <w:color w:val="000000" w:themeColor="text1"/>
        </w:rPr>
      </w:pPr>
      <w:r w:rsidRPr="00B40A77">
        <w:rPr>
          <w:color w:val="000000" w:themeColor="text1"/>
        </w:rPr>
        <w:t>Prescribed form—</w:t>
      </w:r>
    </w:p>
    <w:p w14:paraId="055E2CF4" w14:textId="677D424C" w:rsidR="00E54E03" w:rsidRPr="00B40A77" w:rsidRDefault="00E54E03" w:rsidP="00BC23E5">
      <w:pPr>
        <w:pStyle w:val="NoteText"/>
        <w:ind w:left="851"/>
        <w:rPr>
          <w:color w:val="000000" w:themeColor="text1"/>
        </w:rPr>
      </w:pPr>
      <w:r w:rsidRPr="00B40A77">
        <w:rPr>
          <w:color w:val="000000" w:themeColor="text1"/>
        </w:rPr>
        <w:t xml:space="preserve">Form </w:t>
      </w:r>
      <w:r w:rsidR="006D25C3" w:rsidRPr="00B40A77">
        <w:rPr>
          <w:color w:val="000000" w:themeColor="text1"/>
        </w:rPr>
        <w:t xml:space="preserve">173 </w:t>
      </w:r>
      <w:hyperlink r:id="rId334" w:history="1">
        <w:r w:rsidRPr="00B40A77">
          <w:rPr>
            <w:rStyle w:val="Hyperlink"/>
            <w:color w:val="000000" w:themeColor="text1"/>
          </w:rPr>
          <w:t>Record of Outcome</w:t>
        </w:r>
      </w:hyperlink>
    </w:p>
    <w:p w14:paraId="2ABC750A" w14:textId="338847AB" w:rsidR="00FB1A25" w:rsidRPr="00B40A77" w:rsidRDefault="00FB1A25" w:rsidP="00FB1A25">
      <w:pPr>
        <w:pStyle w:val="Heading3"/>
        <w:rPr>
          <w:color w:val="000000" w:themeColor="text1"/>
        </w:rPr>
      </w:pPr>
      <w:bookmarkStart w:id="963" w:name="_Toc175239279"/>
      <w:bookmarkStart w:id="964" w:name="_Hlk103616748"/>
      <w:r w:rsidRPr="00B40A77">
        <w:rPr>
          <w:color w:val="000000" w:themeColor="text1"/>
        </w:rPr>
        <w:t>Division 7—Intervention order made under Sentencing Act</w:t>
      </w:r>
      <w:bookmarkEnd w:id="963"/>
    </w:p>
    <w:p w14:paraId="1AE2C81E" w14:textId="58E0C9C0" w:rsidR="00FB1A25" w:rsidRPr="00B40A77" w:rsidRDefault="00FB1A25" w:rsidP="00FB1A25">
      <w:pPr>
        <w:pStyle w:val="Heading4"/>
        <w:rPr>
          <w:color w:val="000000" w:themeColor="text1"/>
        </w:rPr>
      </w:pPr>
      <w:bookmarkStart w:id="965" w:name="_Toc175239280"/>
      <w:r w:rsidRPr="00B40A77">
        <w:rPr>
          <w:color w:val="000000" w:themeColor="text1"/>
        </w:rPr>
        <w:t>16</w:t>
      </w:r>
      <w:r w:rsidR="00E41D2E" w:rsidRPr="00B40A77">
        <w:rPr>
          <w:color w:val="000000" w:themeColor="text1"/>
        </w:rPr>
        <w:t>7</w:t>
      </w:r>
      <w:r w:rsidRPr="00B40A77">
        <w:rPr>
          <w:color w:val="000000" w:themeColor="text1"/>
        </w:rPr>
        <w:t>.1—</w:t>
      </w:r>
      <w:r w:rsidR="00AB4D1A" w:rsidRPr="00B40A77">
        <w:rPr>
          <w:color w:val="000000" w:themeColor="text1"/>
        </w:rPr>
        <w:t>Application of Division</w:t>
      </w:r>
      <w:bookmarkEnd w:id="965"/>
    </w:p>
    <w:p w14:paraId="2BC9B690" w14:textId="39A853D7" w:rsidR="008320DA" w:rsidRPr="00B40A77" w:rsidRDefault="008320DA" w:rsidP="008320DA">
      <w:pPr>
        <w:pStyle w:val="Hangindent"/>
        <w:ind w:left="567" w:firstLine="0"/>
        <w:rPr>
          <w:rFonts w:cs="Times New Roman"/>
          <w:color w:val="000000" w:themeColor="text1"/>
          <w:lang w:val="en-US"/>
        </w:rPr>
      </w:pPr>
      <w:r w:rsidRPr="00B40A77">
        <w:rPr>
          <w:rFonts w:cs="Times New Roman"/>
          <w:color w:val="000000" w:themeColor="text1"/>
          <w:lang w:val="en-US"/>
        </w:rPr>
        <w:t xml:space="preserve">This Division applies to applications to vary or revoke intervention orders or problem gambling orders made under </w:t>
      </w:r>
      <w:r w:rsidR="00D341E8" w:rsidRPr="00B40A77">
        <w:rPr>
          <w:color w:val="000000" w:themeColor="text1"/>
          <w:lang w:val="en-US"/>
        </w:rPr>
        <w:t>section 28 of the Sentencing Act</w:t>
      </w:r>
      <w:r w:rsidRPr="00B40A77">
        <w:rPr>
          <w:rFonts w:cs="Times New Roman"/>
          <w:color w:val="000000" w:themeColor="text1"/>
          <w:lang w:val="en-US"/>
        </w:rPr>
        <w:t xml:space="preserve">. </w:t>
      </w:r>
    </w:p>
    <w:p w14:paraId="21727A01" w14:textId="77777777" w:rsidR="00DF27FD" w:rsidRPr="00B40A77" w:rsidRDefault="00DF27FD" w:rsidP="00E200BE">
      <w:pPr>
        <w:pStyle w:val="NoteHeader"/>
        <w:ind w:left="567"/>
        <w:rPr>
          <w:color w:val="000000" w:themeColor="text1"/>
        </w:rPr>
      </w:pPr>
      <w:r w:rsidRPr="00B40A77">
        <w:rPr>
          <w:color w:val="000000" w:themeColor="text1"/>
        </w:rPr>
        <w:t>Note—</w:t>
      </w:r>
    </w:p>
    <w:p w14:paraId="09A531C1" w14:textId="4B65459C" w:rsidR="00DF27FD" w:rsidRPr="00B40A77" w:rsidRDefault="00DF27FD" w:rsidP="00E200BE">
      <w:pPr>
        <w:pStyle w:val="NoteText"/>
        <w:ind w:left="851"/>
        <w:rPr>
          <w:color w:val="000000" w:themeColor="text1"/>
        </w:rPr>
      </w:pPr>
      <w:r w:rsidRPr="00B40A77">
        <w:rPr>
          <w:color w:val="000000" w:themeColor="text1"/>
        </w:rPr>
        <w:t xml:space="preserve">An application to vary or revoke an interim intervention order made under </w:t>
      </w:r>
      <w:r w:rsidRPr="00B40A77">
        <w:rPr>
          <w:rFonts w:cs="Arial"/>
          <w:color w:val="000000" w:themeColor="text1"/>
        </w:rPr>
        <w:t xml:space="preserve">section 23A of the </w:t>
      </w:r>
      <w:r w:rsidR="00D62524" w:rsidRPr="00B40A77">
        <w:rPr>
          <w:color w:val="000000" w:themeColor="text1"/>
        </w:rPr>
        <w:t xml:space="preserve">Bail Act </w:t>
      </w:r>
      <w:r w:rsidRPr="00B40A77">
        <w:rPr>
          <w:color w:val="000000" w:themeColor="text1"/>
        </w:rPr>
        <w:t xml:space="preserve">is to be made </w:t>
      </w:r>
      <w:r w:rsidR="00B471D9" w:rsidRPr="00B40A77">
        <w:rPr>
          <w:color w:val="000000" w:themeColor="text1"/>
          <w:lang w:val="en-US"/>
        </w:rPr>
        <w:t>under</w:t>
      </w:r>
      <w:r w:rsidRPr="00B40A77">
        <w:rPr>
          <w:color w:val="000000" w:themeColor="text1"/>
          <w:lang w:val="en-US"/>
        </w:rPr>
        <w:t xml:space="preserve"> the </w:t>
      </w:r>
      <w:hyperlink w:anchor="_2.1—Definitions" w:history="1">
        <w:r w:rsidRPr="00B40A77">
          <w:rPr>
            <w:rStyle w:val="Hyperlink"/>
            <w:color w:val="000000" w:themeColor="text1"/>
            <w:lang w:val="en-US"/>
          </w:rPr>
          <w:t>Uniform Special Statutory Rules</w:t>
        </w:r>
      </w:hyperlink>
      <w:r w:rsidRPr="00B40A77">
        <w:rPr>
          <w:color w:val="000000" w:themeColor="text1"/>
          <w:lang w:val="en-US"/>
        </w:rPr>
        <w:t xml:space="preserve"> and not under these Rules.</w:t>
      </w:r>
    </w:p>
    <w:p w14:paraId="746D8D93" w14:textId="1677E42B" w:rsidR="008320DA" w:rsidRPr="00B40A77" w:rsidRDefault="00D341E8" w:rsidP="008320DA">
      <w:pPr>
        <w:pStyle w:val="Heading4"/>
        <w:rPr>
          <w:color w:val="000000" w:themeColor="text1"/>
        </w:rPr>
      </w:pPr>
      <w:bookmarkStart w:id="966" w:name="_93.2—Application_to_revoke"/>
      <w:bookmarkStart w:id="967" w:name="_167.2—Application_to_revoke"/>
      <w:bookmarkStart w:id="968" w:name="_Toc101971601"/>
      <w:bookmarkStart w:id="969" w:name="_Toc175239281"/>
      <w:bookmarkEnd w:id="966"/>
      <w:bookmarkEnd w:id="967"/>
      <w:r w:rsidRPr="00B40A77">
        <w:rPr>
          <w:color w:val="000000" w:themeColor="text1"/>
        </w:rPr>
        <w:t>16</w:t>
      </w:r>
      <w:r w:rsidR="00E41D2E" w:rsidRPr="00B40A77">
        <w:rPr>
          <w:color w:val="000000" w:themeColor="text1"/>
        </w:rPr>
        <w:t>7</w:t>
      </w:r>
      <w:r w:rsidR="008320DA" w:rsidRPr="00B40A77">
        <w:rPr>
          <w:color w:val="000000" w:themeColor="text1"/>
        </w:rPr>
        <w:t>.2—Application to revoke or vary</w:t>
      </w:r>
      <w:bookmarkEnd w:id="968"/>
      <w:bookmarkEnd w:id="969"/>
    </w:p>
    <w:p w14:paraId="29DD2362" w14:textId="072C5003" w:rsidR="008320DA" w:rsidRPr="00B40A77" w:rsidRDefault="008320DA" w:rsidP="008320DA">
      <w:pPr>
        <w:pStyle w:val="Hangindent"/>
        <w:keepNex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An application under section 26</w:t>
      </w:r>
      <w:r w:rsidR="00D341E8" w:rsidRPr="00B40A77">
        <w:rPr>
          <w:rFonts w:cs="Times New Roman"/>
          <w:color w:val="000000" w:themeColor="text1"/>
          <w:lang w:val="en-US"/>
        </w:rPr>
        <w:t xml:space="preserve"> or</w:t>
      </w:r>
      <w:r w:rsidRPr="00B40A77">
        <w:rPr>
          <w:rFonts w:cs="Times New Roman"/>
          <w:color w:val="000000" w:themeColor="text1"/>
          <w:lang w:val="en-US"/>
        </w:rPr>
        <w:t xml:space="preserve"> 26A of the </w:t>
      </w:r>
      <w:hyperlink w:anchor="_2.1—Definitions" w:history="1">
        <w:r w:rsidR="005A6381" w:rsidRPr="00B40A77">
          <w:rPr>
            <w:rStyle w:val="Hyperlink"/>
            <w:iCs/>
            <w:color w:val="000000" w:themeColor="text1"/>
            <w:lang w:val="en-US"/>
          </w:rPr>
          <w:t>Intervention Orders Act</w:t>
        </w:r>
      </w:hyperlink>
      <w:r w:rsidRPr="00B40A77">
        <w:rPr>
          <w:rFonts w:cs="Times New Roman"/>
          <w:color w:val="000000" w:themeColor="text1"/>
          <w:lang w:val="en-US"/>
        </w:rPr>
        <w:t xml:space="preserve"> to revoke or vary an intervention order must be—</w:t>
      </w:r>
    </w:p>
    <w:p w14:paraId="23A33E7F" w14:textId="77777777" w:rsidR="008320DA" w:rsidRPr="00B40A77" w:rsidRDefault="008320DA" w:rsidP="008320DA">
      <w:pPr>
        <w:pStyle w:val="Doublehangindent"/>
        <w:rPr>
          <w:iCs/>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rPr>
        <w:t xml:space="preserve">in the prescribed form; and </w:t>
      </w:r>
    </w:p>
    <w:p w14:paraId="48A14416" w14:textId="77777777" w:rsidR="008320DA" w:rsidRPr="00B40A77" w:rsidRDefault="008320DA" w:rsidP="008320DA">
      <w:pPr>
        <w:pStyle w:val="Doublehangindent"/>
        <w:rPr>
          <w:iCs/>
          <w:color w:val="000000" w:themeColor="text1"/>
          <w:lang w:val="en-US"/>
        </w:rPr>
      </w:pPr>
      <w:r w:rsidRPr="00B40A77">
        <w:rPr>
          <w:iCs/>
          <w:color w:val="000000" w:themeColor="text1"/>
          <w:lang w:val="en-US"/>
        </w:rPr>
        <w:t>(b)</w:t>
      </w:r>
      <w:r w:rsidRPr="00B40A77">
        <w:rPr>
          <w:iCs/>
          <w:color w:val="000000" w:themeColor="text1"/>
          <w:lang w:val="en-US"/>
        </w:rPr>
        <w:tab/>
      </w:r>
      <w:r w:rsidRPr="00B40A77">
        <w:rPr>
          <w:color w:val="000000" w:themeColor="text1"/>
        </w:rPr>
        <w:t>supported by an affidavit in the prescribed form.</w:t>
      </w:r>
    </w:p>
    <w:p w14:paraId="6DBDD170" w14:textId="77777777" w:rsidR="008320DA" w:rsidRPr="00B40A77" w:rsidRDefault="008320DA" w:rsidP="008320DA">
      <w:pPr>
        <w:pStyle w:val="NoteHeader"/>
        <w:rPr>
          <w:color w:val="000000" w:themeColor="text1"/>
        </w:rPr>
      </w:pPr>
      <w:r w:rsidRPr="00B40A77">
        <w:rPr>
          <w:color w:val="000000" w:themeColor="text1"/>
        </w:rPr>
        <w:lastRenderedPageBreak/>
        <w:t>Prescribed forms—</w:t>
      </w:r>
    </w:p>
    <w:p w14:paraId="16554637" w14:textId="4A062A80" w:rsidR="009F66E3" w:rsidRPr="00B40A77" w:rsidRDefault="009F66E3" w:rsidP="009F66E3">
      <w:pPr>
        <w:pStyle w:val="NoteText"/>
        <w:rPr>
          <w:color w:val="000000" w:themeColor="text1"/>
        </w:rPr>
      </w:pPr>
      <w:r w:rsidRPr="00B40A77">
        <w:rPr>
          <w:color w:val="000000" w:themeColor="text1"/>
        </w:rPr>
        <w:t>Form 1</w:t>
      </w:r>
      <w:r w:rsidR="00B471D9" w:rsidRPr="00B40A77">
        <w:rPr>
          <w:color w:val="000000" w:themeColor="text1"/>
        </w:rPr>
        <w:t>72C</w:t>
      </w:r>
      <w:r w:rsidRPr="00B40A77">
        <w:rPr>
          <w:color w:val="000000" w:themeColor="text1"/>
        </w:rPr>
        <w:t xml:space="preserve"> </w:t>
      </w:r>
      <w:hyperlink r:id="rId335" w:history="1">
        <w:r w:rsidRPr="00B40A77">
          <w:rPr>
            <w:rStyle w:val="Hyperlink"/>
            <w:color w:val="000000" w:themeColor="text1"/>
          </w:rPr>
          <w:t>Interlocutory Application to Vary or Revoke Order - Intervention Order</w:t>
        </w:r>
      </w:hyperlink>
    </w:p>
    <w:p w14:paraId="19D38283" w14:textId="69995F2B" w:rsidR="008320DA" w:rsidRPr="00B40A77" w:rsidRDefault="008320DA" w:rsidP="008320DA">
      <w:pPr>
        <w:pStyle w:val="NoteText"/>
        <w:rPr>
          <w:color w:val="000000" w:themeColor="text1"/>
        </w:rPr>
      </w:pPr>
      <w:r w:rsidRPr="00B40A77">
        <w:rPr>
          <w:color w:val="000000" w:themeColor="text1"/>
        </w:rPr>
        <w:t xml:space="preserve">Form 7 </w:t>
      </w:r>
      <w:hyperlink r:id="rId336" w:history="1">
        <w:r w:rsidRPr="00B40A77">
          <w:rPr>
            <w:rStyle w:val="Hyperlink"/>
            <w:color w:val="000000" w:themeColor="text1"/>
          </w:rPr>
          <w:t>Affidavit</w:t>
        </w:r>
      </w:hyperlink>
    </w:p>
    <w:p w14:paraId="2E46730C" w14:textId="3BE4D953" w:rsidR="008320DA" w:rsidRPr="00B40A77" w:rsidRDefault="008320DA" w:rsidP="008320DA">
      <w:pPr>
        <w:pStyle w:val="Hangindent"/>
        <w:rPr>
          <w:color w:val="000000" w:themeColor="text1"/>
          <w:lang w:val="en-US"/>
        </w:rPr>
      </w:pPr>
      <w:r w:rsidRPr="00B40A77">
        <w:rPr>
          <w:rFonts w:cs="Times New Roman"/>
          <w:color w:val="000000" w:themeColor="text1"/>
          <w:lang w:val="en-US"/>
        </w:rPr>
        <w:t>(</w:t>
      </w:r>
      <w:r w:rsidR="009454DB" w:rsidRPr="00B40A77">
        <w:rPr>
          <w:rFonts w:cs="Times New Roman"/>
          <w:color w:val="000000" w:themeColor="text1"/>
          <w:lang w:val="en-US"/>
        </w:rPr>
        <w:t>2</w:t>
      </w:r>
      <w:r w:rsidRPr="00B40A77">
        <w:rPr>
          <w:rFonts w:cs="Times New Roman"/>
          <w:color w:val="000000" w:themeColor="text1"/>
          <w:lang w:val="en-US"/>
        </w:rPr>
        <w:t>)</w:t>
      </w:r>
      <w:r w:rsidRPr="00B40A77">
        <w:rPr>
          <w:rFonts w:cs="Times New Roman"/>
          <w:color w:val="000000" w:themeColor="text1"/>
          <w:lang w:val="en-US"/>
        </w:rPr>
        <w:tab/>
        <w:t xml:space="preserve">Subject to </w:t>
      </w:r>
      <w:hyperlink w:anchor="_93.4—Application_for_interim" w:history="1">
        <w:r w:rsidRPr="00B40A77">
          <w:rPr>
            <w:rStyle w:val="Hyperlink"/>
            <w:rFonts w:cs="Times New Roman"/>
            <w:color w:val="000000" w:themeColor="text1"/>
            <w:lang w:val="en-US"/>
          </w:rPr>
          <w:t xml:space="preserve">rule </w:t>
        </w:r>
        <w:r w:rsidR="00020371" w:rsidRPr="00B40A77">
          <w:rPr>
            <w:rStyle w:val="Hyperlink"/>
            <w:rFonts w:cs="Times New Roman"/>
            <w:color w:val="000000" w:themeColor="text1"/>
            <w:lang w:val="en-US"/>
          </w:rPr>
          <w:t>16</w:t>
        </w:r>
        <w:r w:rsidR="00516D9C" w:rsidRPr="00B40A77">
          <w:rPr>
            <w:rStyle w:val="Hyperlink"/>
            <w:rFonts w:cs="Times New Roman"/>
            <w:color w:val="000000" w:themeColor="text1"/>
            <w:lang w:val="en-US"/>
          </w:rPr>
          <w:t>7</w:t>
        </w:r>
        <w:r w:rsidRPr="00B40A77">
          <w:rPr>
            <w:rStyle w:val="Hyperlink"/>
            <w:rFonts w:cs="Times New Roman"/>
            <w:color w:val="000000" w:themeColor="text1"/>
            <w:lang w:val="en-US"/>
          </w:rPr>
          <w:t>.4</w:t>
        </w:r>
      </w:hyperlink>
      <w:r w:rsidRPr="00B40A77">
        <w:rPr>
          <w:rFonts w:cs="Times New Roman"/>
          <w:color w:val="000000" w:themeColor="text1"/>
          <w:lang w:val="en-US"/>
        </w:rPr>
        <w:t>(2), the applicant must serve the interlocutory application and supporting affidavit on the other part</w:t>
      </w:r>
      <w:r w:rsidR="009F66E3" w:rsidRPr="00B40A77">
        <w:rPr>
          <w:rFonts w:cs="Times New Roman"/>
          <w:color w:val="000000" w:themeColor="text1"/>
          <w:lang w:val="en-US"/>
        </w:rPr>
        <w:t>y</w:t>
      </w:r>
      <w:r w:rsidRPr="00B40A77">
        <w:rPr>
          <w:rFonts w:cs="Times New Roman"/>
          <w:color w:val="000000" w:themeColor="text1"/>
          <w:lang w:val="en-US"/>
        </w:rPr>
        <w:t xml:space="preserve"> as soon as practicable</w:t>
      </w:r>
      <w:r w:rsidR="009454DB" w:rsidRPr="00B40A77">
        <w:rPr>
          <w:color w:val="000000" w:themeColor="text1"/>
          <w:lang w:val="en-US"/>
        </w:rPr>
        <w:t>.</w:t>
      </w:r>
    </w:p>
    <w:p w14:paraId="0FE20D6B" w14:textId="0DE76F83" w:rsidR="008320DA" w:rsidRPr="00B40A77" w:rsidRDefault="009454DB" w:rsidP="008320DA">
      <w:pPr>
        <w:pStyle w:val="Heading4"/>
        <w:rPr>
          <w:color w:val="000000" w:themeColor="text1"/>
        </w:rPr>
      </w:pPr>
      <w:bookmarkStart w:id="970" w:name="_Toc101971602"/>
      <w:bookmarkStart w:id="971" w:name="_Toc175239282"/>
      <w:r w:rsidRPr="00B40A77">
        <w:rPr>
          <w:color w:val="000000" w:themeColor="text1"/>
        </w:rPr>
        <w:t>16</w:t>
      </w:r>
      <w:r w:rsidR="00E41D2E" w:rsidRPr="00B40A77">
        <w:rPr>
          <w:color w:val="000000" w:themeColor="text1"/>
        </w:rPr>
        <w:t>7</w:t>
      </w:r>
      <w:r w:rsidR="008320DA" w:rsidRPr="00B40A77">
        <w:rPr>
          <w:color w:val="000000" w:themeColor="text1"/>
        </w:rPr>
        <w:t>.3—Application when leave required</w:t>
      </w:r>
      <w:bookmarkEnd w:id="970"/>
      <w:bookmarkEnd w:id="971"/>
    </w:p>
    <w:p w14:paraId="6E29762B" w14:textId="557223C9"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If leave is required under section 26(1)(b), (2)(a) or (b)(iii) of the </w:t>
      </w:r>
      <w:hyperlink w:anchor="_2.1—Definitions" w:history="1">
        <w:r w:rsidR="005A6381" w:rsidRPr="00B40A77">
          <w:rPr>
            <w:rStyle w:val="Hyperlink"/>
            <w:iCs/>
            <w:color w:val="000000" w:themeColor="text1"/>
            <w:lang w:val="en-US"/>
          </w:rPr>
          <w:t>Intervention Orders Act</w:t>
        </w:r>
      </w:hyperlink>
      <w:r w:rsidRPr="00B40A77">
        <w:rPr>
          <w:color w:val="000000" w:themeColor="text1"/>
          <w:lang w:val="en-US"/>
        </w:rPr>
        <w:t>—</w:t>
      </w:r>
    </w:p>
    <w:p w14:paraId="47A74795" w14:textId="16D3BFAC" w:rsidR="008320DA" w:rsidRPr="00B40A77" w:rsidRDefault="008320DA" w:rsidP="008320D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application must be made in the ordinary way in accordance with </w:t>
      </w:r>
      <w:hyperlink w:anchor="_167.2—Application_to_revoke" w:history="1">
        <w:r w:rsidRPr="00B40A77">
          <w:rPr>
            <w:rStyle w:val="Hyperlink"/>
            <w:color w:val="000000" w:themeColor="text1"/>
            <w:lang w:val="en-US"/>
          </w:rPr>
          <w:t xml:space="preserve">rule </w:t>
        </w:r>
        <w:r w:rsidR="009F66E3" w:rsidRPr="00B40A77">
          <w:rPr>
            <w:rStyle w:val="Hyperlink"/>
            <w:color w:val="000000" w:themeColor="text1"/>
            <w:lang w:val="en-US"/>
          </w:rPr>
          <w:t>16</w:t>
        </w:r>
        <w:r w:rsidR="00516D9C" w:rsidRPr="00B40A77">
          <w:rPr>
            <w:rStyle w:val="Hyperlink"/>
            <w:color w:val="000000" w:themeColor="text1"/>
            <w:lang w:val="en-US"/>
          </w:rPr>
          <w:t>7</w:t>
        </w:r>
        <w:r w:rsidRPr="00B40A77">
          <w:rPr>
            <w:rStyle w:val="Hyperlink"/>
            <w:color w:val="000000" w:themeColor="text1"/>
            <w:lang w:val="en-US"/>
          </w:rPr>
          <w:t>.2</w:t>
        </w:r>
      </w:hyperlink>
      <w:r w:rsidRPr="00B40A77">
        <w:rPr>
          <w:color w:val="000000" w:themeColor="text1"/>
          <w:lang w:val="en-US"/>
        </w:rPr>
        <w:t>;</w:t>
      </w:r>
    </w:p>
    <w:p w14:paraId="7771F19F" w14:textId="77777777" w:rsidR="008320DA" w:rsidRPr="00B40A77" w:rsidRDefault="008320DA" w:rsidP="008320DA">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the </w:t>
      </w:r>
      <w:r w:rsidRPr="00B40A77">
        <w:rPr>
          <w:rFonts w:cs="Times New Roman"/>
          <w:color w:val="000000" w:themeColor="text1"/>
          <w:lang w:val="en-US"/>
        </w:rPr>
        <w:t>interlocutory</w:t>
      </w:r>
      <w:r w:rsidRPr="00B40A77">
        <w:rPr>
          <w:color w:val="000000" w:themeColor="text1"/>
          <w:lang w:val="en-US"/>
        </w:rPr>
        <w:t xml:space="preserve"> application must seek the necessary leave; and</w:t>
      </w:r>
    </w:p>
    <w:p w14:paraId="694F6070" w14:textId="77777777" w:rsidR="008320DA" w:rsidRPr="00B40A77" w:rsidRDefault="008320DA" w:rsidP="00E200BE">
      <w:pPr>
        <w:pStyle w:val="Doublehangindent"/>
        <w:keepNext/>
        <w:rPr>
          <w:color w:val="000000" w:themeColor="text1"/>
          <w:lang w:val="en-US"/>
        </w:rPr>
      </w:pPr>
      <w:r w:rsidRPr="00B40A77">
        <w:rPr>
          <w:color w:val="000000" w:themeColor="text1"/>
          <w:lang w:val="en-US"/>
        </w:rPr>
        <w:t>(c)</w:t>
      </w:r>
      <w:r w:rsidRPr="00B40A77">
        <w:rPr>
          <w:color w:val="000000" w:themeColor="text1"/>
          <w:lang w:val="en-US"/>
        </w:rPr>
        <w:tab/>
        <w:t>the application for leave must be supported by an affidavit deposing to the grounds on which leave is sought.</w:t>
      </w:r>
    </w:p>
    <w:p w14:paraId="2533964F" w14:textId="77777777" w:rsidR="008320DA" w:rsidRPr="00B40A77" w:rsidRDefault="008320DA" w:rsidP="00E200BE">
      <w:pPr>
        <w:pStyle w:val="NoteHeader"/>
        <w:keepNext/>
        <w:ind w:left="1701"/>
        <w:rPr>
          <w:color w:val="000000" w:themeColor="text1"/>
        </w:rPr>
      </w:pPr>
      <w:r w:rsidRPr="00B40A77">
        <w:rPr>
          <w:color w:val="000000" w:themeColor="text1"/>
        </w:rPr>
        <w:t>Notes—</w:t>
      </w:r>
    </w:p>
    <w:p w14:paraId="471A2493" w14:textId="546CE14E" w:rsidR="008320DA" w:rsidRPr="00B40A77" w:rsidRDefault="008320DA" w:rsidP="00E200BE">
      <w:pPr>
        <w:pStyle w:val="NoteText"/>
        <w:keepNext/>
        <w:ind w:left="1985"/>
        <w:rPr>
          <w:color w:val="000000" w:themeColor="text1"/>
          <w:lang w:val="en-US"/>
        </w:rPr>
      </w:pPr>
      <w:r w:rsidRPr="00B40A77">
        <w:rPr>
          <w:color w:val="000000" w:themeColor="text1"/>
        </w:rPr>
        <w:t>S</w:t>
      </w:r>
      <w:r w:rsidRPr="00B40A77">
        <w:rPr>
          <w:color w:val="000000" w:themeColor="text1"/>
          <w:lang w:val="en-US"/>
        </w:rPr>
        <w:t xml:space="preserve">ection 26(1)(b) </w:t>
      </w:r>
      <w:r w:rsidR="00AE4221" w:rsidRPr="00B40A77">
        <w:rPr>
          <w:color w:val="000000" w:themeColor="text1"/>
          <w:lang w:val="en-US"/>
        </w:rPr>
        <w:t xml:space="preserve">of the </w:t>
      </w:r>
      <w:hyperlink w:anchor="_2.1—Definitions" w:history="1">
        <w:r w:rsidR="005A6381" w:rsidRPr="00B40A77">
          <w:rPr>
            <w:rStyle w:val="Hyperlink"/>
            <w:iCs/>
            <w:color w:val="000000" w:themeColor="text1"/>
            <w:lang w:val="en-US"/>
          </w:rPr>
          <w:t>Intervention Orders Act</w:t>
        </w:r>
      </w:hyperlink>
      <w:r w:rsidR="00AE4221" w:rsidRPr="00B40A77">
        <w:rPr>
          <w:color w:val="000000" w:themeColor="text1"/>
          <w:lang w:val="en-US"/>
        </w:rPr>
        <w:t xml:space="preserve"> </w:t>
      </w:r>
      <w:r w:rsidRPr="00B40A77">
        <w:rPr>
          <w:color w:val="000000" w:themeColor="text1"/>
          <w:lang w:val="en-US"/>
        </w:rPr>
        <w:t xml:space="preserve">provides that an application may be made on behalf of a person </w:t>
      </w:r>
      <w:r w:rsidRPr="00B40A77">
        <w:rPr>
          <w:color w:val="000000" w:themeColor="text1"/>
        </w:rPr>
        <w:t>against whom it is alleged an act of abuse</w:t>
      </w:r>
      <w:r w:rsidRPr="00B40A77">
        <w:rPr>
          <w:color w:val="000000" w:themeColor="text1"/>
          <w:lang w:val="en-US"/>
        </w:rPr>
        <w:t xml:space="preserve"> may be committed </w:t>
      </w:r>
      <w:r w:rsidRPr="00B40A77">
        <w:rPr>
          <w:color w:val="000000" w:themeColor="text1"/>
        </w:rPr>
        <w:t>by a suitable representative given permission to apply by the Court.</w:t>
      </w:r>
    </w:p>
    <w:p w14:paraId="50F9E701" w14:textId="64003FF4" w:rsidR="008320DA" w:rsidRPr="00B40A77" w:rsidRDefault="008320DA" w:rsidP="00E200BE">
      <w:pPr>
        <w:pStyle w:val="NoteText"/>
        <w:keepNext/>
        <w:ind w:left="1985"/>
        <w:rPr>
          <w:color w:val="000000" w:themeColor="text1"/>
        </w:rPr>
      </w:pPr>
      <w:r w:rsidRPr="00B40A77">
        <w:rPr>
          <w:color w:val="000000" w:themeColor="text1"/>
        </w:rPr>
        <w:t xml:space="preserve">Section </w:t>
      </w:r>
      <w:r w:rsidRPr="00B40A77">
        <w:rPr>
          <w:color w:val="000000" w:themeColor="text1"/>
          <w:lang w:val="en-US"/>
        </w:rPr>
        <w:t xml:space="preserve">26(2)(a) provides that an application may be made </w:t>
      </w:r>
      <w:r w:rsidRPr="00B40A77">
        <w:rPr>
          <w:color w:val="000000" w:themeColor="text1"/>
        </w:rPr>
        <w:t>by a child with the permission of the Court if the child has attained the age of 14 years.</w:t>
      </w:r>
    </w:p>
    <w:p w14:paraId="1E1FF5C5" w14:textId="78A24F46" w:rsidR="008320DA" w:rsidRPr="00B40A77" w:rsidRDefault="008320DA" w:rsidP="00E200BE">
      <w:pPr>
        <w:pStyle w:val="NoteText"/>
        <w:keepNext/>
        <w:ind w:left="1985"/>
        <w:rPr>
          <w:color w:val="000000" w:themeColor="text1"/>
          <w:lang w:val="en-US"/>
        </w:rPr>
      </w:pPr>
      <w:r w:rsidRPr="00B40A77">
        <w:rPr>
          <w:color w:val="000000" w:themeColor="text1"/>
        </w:rPr>
        <w:t>S</w:t>
      </w:r>
      <w:r w:rsidRPr="00B40A77">
        <w:rPr>
          <w:color w:val="000000" w:themeColor="text1"/>
          <w:lang w:val="en-US"/>
        </w:rPr>
        <w:t xml:space="preserve">ection 26(2)(b)(iii) provides that an application may be made on behalf of a child </w:t>
      </w:r>
      <w:r w:rsidRPr="00B40A77">
        <w:rPr>
          <w:color w:val="000000" w:themeColor="text1"/>
        </w:rPr>
        <w:t>by a suitable representative of the child given permission to apply by the Court.</w:t>
      </w:r>
    </w:p>
    <w:p w14:paraId="4B244954" w14:textId="700C5389" w:rsidR="008320DA" w:rsidRPr="00B40A77" w:rsidRDefault="008320DA" w:rsidP="00E200BE">
      <w:pPr>
        <w:pStyle w:val="NoteText"/>
        <w:ind w:left="1985"/>
        <w:rPr>
          <w:color w:val="000000" w:themeColor="text1"/>
          <w:lang w:val="en-US"/>
        </w:rPr>
      </w:pPr>
      <w:r w:rsidRPr="00B40A77">
        <w:rPr>
          <w:color w:val="000000" w:themeColor="text1"/>
          <w:lang w:val="en-US"/>
        </w:rPr>
        <w:t xml:space="preserve">Under </w:t>
      </w:r>
      <w:hyperlink w:anchor="_2.4—Statutory_equivalent_language" w:history="1">
        <w:r w:rsidRPr="00B40A77">
          <w:rPr>
            <w:rStyle w:val="Hyperlink"/>
            <w:color w:val="000000" w:themeColor="text1"/>
            <w:lang w:val="en-US"/>
          </w:rPr>
          <w:t>rule 2.4</w:t>
        </w:r>
      </w:hyperlink>
      <w:r w:rsidRPr="00B40A77">
        <w:rPr>
          <w:color w:val="000000" w:themeColor="text1"/>
          <w:lang w:val="en-US"/>
        </w:rPr>
        <w:t>, a statutory reference to permission is equivalent to a reference in these Rules to leave.</w:t>
      </w:r>
    </w:p>
    <w:p w14:paraId="4A1DEF49" w14:textId="23EDA5AF"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The Court may determine the application for leave </w:t>
      </w:r>
      <w:hyperlink w:anchor="_2.1—Definitions" w:history="1">
        <w:r w:rsidR="00307014" w:rsidRPr="00B40A77">
          <w:rPr>
            <w:rStyle w:val="Hyperlink"/>
            <w:color w:val="000000" w:themeColor="text1"/>
            <w:lang w:val="en-US"/>
          </w:rPr>
          <w:t>in chambers</w:t>
        </w:r>
      </w:hyperlink>
      <w:r w:rsidRPr="00B40A77">
        <w:rPr>
          <w:rFonts w:cs="Times New Roman"/>
          <w:color w:val="000000" w:themeColor="text1"/>
          <w:lang w:val="en-US"/>
        </w:rPr>
        <w:t xml:space="preserve"> on the basis of the supporting affidavit or make orders for its determination.</w:t>
      </w:r>
    </w:p>
    <w:p w14:paraId="7971A034" w14:textId="77777777" w:rsidR="008320DA" w:rsidRPr="00B40A77" w:rsidRDefault="008320DA" w:rsidP="008320DA">
      <w:pPr>
        <w:pStyle w:val="Hangindent"/>
        <w:rPr>
          <w:color w:val="000000" w:themeColor="text1"/>
          <w:lang w:val="en-US"/>
        </w:rPr>
      </w:pPr>
      <w:r w:rsidRPr="00B40A77">
        <w:rPr>
          <w:rFonts w:cs="Times New Roman"/>
          <w:color w:val="000000" w:themeColor="text1"/>
          <w:lang w:val="en-US"/>
        </w:rPr>
        <w:t>(3)</w:t>
      </w:r>
      <w:r w:rsidRPr="00B40A77">
        <w:rPr>
          <w:rFonts w:cs="Times New Roman"/>
          <w:color w:val="000000" w:themeColor="text1"/>
          <w:lang w:val="en-US"/>
        </w:rPr>
        <w:tab/>
      </w:r>
      <w:r w:rsidRPr="00B40A77">
        <w:rPr>
          <w:color w:val="000000" w:themeColor="text1"/>
          <w:lang w:val="en-US"/>
        </w:rPr>
        <w:t>If an application seeking leave is filed under this rule—</w:t>
      </w:r>
    </w:p>
    <w:p w14:paraId="171BDF2F" w14:textId="77777777" w:rsidR="008320DA" w:rsidRPr="00B40A77" w:rsidRDefault="008320DA" w:rsidP="008320D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w:t>
      </w:r>
      <w:r w:rsidRPr="00B40A77">
        <w:rPr>
          <w:rFonts w:cs="Times New Roman"/>
          <w:color w:val="000000" w:themeColor="text1"/>
          <w:lang w:val="en-US"/>
        </w:rPr>
        <w:t>interlocutory</w:t>
      </w:r>
      <w:r w:rsidRPr="00B40A77">
        <w:rPr>
          <w:color w:val="000000" w:themeColor="text1"/>
          <w:lang w:val="en-US"/>
        </w:rPr>
        <w:t xml:space="preserve"> application is conditional on leave being granted; and</w:t>
      </w:r>
    </w:p>
    <w:p w14:paraId="234DBDF5" w14:textId="77777777" w:rsidR="008320DA" w:rsidRPr="00B40A77" w:rsidRDefault="008320DA" w:rsidP="008320DA">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leave is refused, the </w:t>
      </w:r>
      <w:r w:rsidRPr="00B40A77">
        <w:rPr>
          <w:rFonts w:cs="Times New Roman"/>
          <w:color w:val="000000" w:themeColor="text1"/>
          <w:lang w:val="en-US"/>
        </w:rPr>
        <w:t>interlocutory</w:t>
      </w:r>
      <w:r w:rsidRPr="00B40A77">
        <w:rPr>
          <w:color w:val="000000" w:themeColor="text1"/>
          <w:lang w:val="en-US"/>
        </w:rPr>
        <w:t xml:space="preserve"> application lapses.</w:t>
      </w:r>
    </w:p>
    <w:p w14:paraId="787D1619" w14:textId="5E0683F6" w:rsidR="008320DA" w:rsidRPr="00B40A77" w:rsidRDefault="009F66E3" w:rsidP="008320DA">
      <w:pPr>
        <w:pStyle w:val="Heading4"/>
        <w:rPr>
          <w:color w:val="000000" w:themeColor="text1"/>
        </w:rPr>
      </w:pPr>
      <w:bookmarkStart w:id="972" w:name="_93.4—Application_for_interim"/>
      <w:bookmarkStart w:id="973" w:name="_Toc101971603"/>
      <w:bookmarkStart w:id="974" w:name="_Toc175239283"/>
      <w:bookmarkEnd w:id="972"/>
      <w:r w:rsidRPr="00B40A77">
        <w:rPr>
          <w:color w:val="000000" w:themeColor="text1"/>
        </w:rPr>
        <w:t>16</w:t>
      </w:r>
      <w:r w:rsidR="00E41D2E" w:rsidRPr="00B40A77">
        <w:rPr>
          <w:color w:val="000000" w:themeColor="text1"/>
        </w:rPr>
        <w:t>7</w:t>
      </w:r>
      <w:r w:rsidR="008320DA" w:rsidRPr="00B40A77">
        <w:rPr>
          <w:color w:val="000000" w:themeColor="text1"/>
        </w:rPr>
        <w:t>.4—Application for interim variation</w:t>
      </w:r>
      <w:bookmarkEnd w:id="973"/>
      <w:bookmarkEnd w:id="974"/>
      <w:r w:rsidR="008320DA" w:rsidRPr="00B40A77">
        <w:rPr>
          <w:color w:val="000000" w:themeColor="text1"/>
        </w:rPr>
        <w:t xml:space="preserve"> </w:t>
      </w:r>
    </w:p>
    <w:p w14:paraId="71C5C2D4" w14:textId="6EF9E83D"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This rule applies if an application is made under section 26A of the </w:t>
      </w:r>
      <w:hyperlink w:anchor="_2.1—Definitions" w:history="1">
        <w:r w:rsidR="005A6381" w:rsidRPr="00B40A77">
          <w:rPr>
            <w:rStyle w:val="Hyperlink"/>
            <w:iCs/>
            <w:color w:val="000000" w:themeColor="text1"/>
            <w:lang w:val="en-US"/>
          </w:rPr>
          <w:t>Intervention Orders Act</w:t>
        </w:r>
      </w:hyperlink>
      <w:r w:rsidRPr="00B40A77">
        <w:rPr>
          <w:rFonts w:cs="Times New Roman"/>
          <w:color w:val="000000" w:themeColor="text1"/>
          <w:lang w:val="en-US"/>
        </w:rPr>
        <w:t xml:space="preserve"> for an interim variation of an intervention order.</w:t>
      </w:r>
    </w:p>
    <w:p w14:paraId="4AD021B2" w14:textId="06826123"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If this rule applies, the interlocutory application and supporting affidavit must not be served on the </w:t>
      </w:r>
      <w:r w:rsidR="009F66E3" w:rsidRPr="00B40A77">
        <w:rPr>
          <w:rFonts w:cs="Times New Roman"/>
          <w:color w:val="000000" w:themeColor="text1"/>
          <w:lang w:val="en-US"/>
        </w:rPr>
        <w:t>defendant</w:t>
      </w:r>
      <w:r w:rsidRPr="00B40A77">
        <w:rPr>
          <w:rFonts w:cs="Times New Roman"/>
          <w:color w:val="000000" w:themeColor="text1"/>
          <w:lang w:val="en-US"/>
        </w:rPr>
        <w:t>.</w:t>
      </w:r>
    </w:p>
    <w:p w14:paraId="5C6E6ECA" w14:textId="753679CB"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w:t>
      </w:r>
      <w:r w:rsidR="002756A9" w:rsidRPr="00B40A77">
        <w:rPr>
          <w:rFonts w:cs="Times New Roman"/>
          <w:color w:val="000000" w:themeColor="text1"/>
          <w:lang w:val="en-US"/>
        </w:rPr>
        <w:t>3</w:t>
      </w:r>
      <w:r w:rsidRPr="00B40A77">
        <w:rPr>
          <w:rFonts w:cs="Times New Roman"/>
          <w:color w:val="000000" w:themeColor="text1"/>
          <w:lang w:val="en-US"/>
        </w:rPr>
        <w:t>)</w:t>
      </w:r>
      <w:r w:rsidRPr="00B40A77">
        <w:rPr>
          <w:rFonts w:cs="Times New Roman"/>
          <w:color w:val="000000" w:themeColor="text1"/>
          <w:lang w:val="en-US"/>
        </w:rPr>
        <w:tab/>
        <w:t>A record of outcome of an application for an interim variation of an intervention order must be in the prescribed form.</w:t>
      </w:r>
    </w:p>
    <w:p w14:paraId="139D31B3" w14:textId="77777777" w:rsidR="008320DA" w:rsidRPr="00B40A77" w:rsidRDefault="008320DA" w:rsidP="008320DA">
      <w:pPr>
        <w:pStyle w:val="NoteHeader"/>
        <w:rPr>
          <w:color w:val="000000" w:themeColor="text1"/>
        </w:rPr>
      </w:pPr>
      <w:r w:rsidRPr="00B40A77">
        <w:rPr>
          <w:color w:val="000000" w:themeColor="text1"/>
        </w:rPr>
        <w:t>Prescribed form—</w:t>
      </w:r>
    </w:p>
    <w:p w14:paraId="5E987CD6" w14:textId="044F58CF" w:rsidR="0087770D" w:rsidRPr="00B40A77" w:rsidRDefault="0087770D" w:rsidP="008320DA">
      <w:pPr>
        <w:pStyle w:val="NoteText"/>
        <w:rPr>
          <w:color w:val="000000" w:themeColor="text1"/>
          <w:u w:val="single"/>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37" w:history="1">
        <w:r w:rsidRPr="00B40A77">
          <w:rPr>
            <w:rStyle w:val="Hyperlink"/>
            <w:color w:val="000000" w:themeColor="text1"/>
          </w:rPr>
          <w:t>Record of Outcome</w:t>
        </w:r>
      </w:hyperlink>
    </w:p>
    <w:p w14:paraId="57E17A14" w14:textId="70694DD0"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w:t>
      </w:r>
      <w:r w:rsidR="002756A9" w:rsidRPr="00B40A77">
        <w:rPr>
          <w:rFonts w:cs="Times New Roman"/>
          <w:color w:val="000000" w:themeColor="text1"/>
          <w:lang w:val="en-US"/>
        </w:rPr>
        <w:t>4</w:t>
      </w:r>
      <w:r w:rsidRPr="00B40A77">
        <w:rPr>
          <w:rFonts w:cs="Times New Roman"/>
          <w:color w:val="000000" w:themeColor="text1"/>
          <w:lang w:val="en-US"/>
        </w:rPr>
        <w:t>)</w:t>
      </w:r>
      <w:r w:rsidRPr="00B40A77">
        <w:rPr>
          <w:rFonts w:cs="Times New Roman"/>
          <w:color w:val="000000" w:themeColor="text1"/>
          <w:lang w:val="en-US"/>
        </w:rPr>
        <w:tab/>
        <w:t>If the Court makes an interim variation order, the Court will issue a formal interim variation order and summons in the prescribed form.</w:t>
      </w:r>
    </w:p>
    <w:p w14:paraId="00153AC5" w14:textId="77777777" w:rsidR="008320DA" w:rsidRPr="00B40A77" w:rsidRDefault="008320DA" w:rsidP="008320DA">
      <w:pPr>
        <w:pStyle w:val="NoteHeader"/>
        <w:rPr>
          <w:color w:val="000000" w:themeColor="text1"/>
        </w:rPr>
      </w:pPr>
      <w:r w:rsidRPr="00B40A77">
        <w:rPr>
          <w:color w:val="000000" w:themeColor="text1"/>
        </w:rPr>
        <w:t>Prescribed form—</w:t>
      </w:r>
    </w:p>
    <w:p w14:paraId="497C4173" w14:textId="730EBF5C" w:rsidR="008320DA" w:rsidRPr="00B40A77" w:rsidRDefault="008320DA" w:rsidP="008320DA">
      <w:pPr>
        <w:pStyle w:val="NoteText"/>
        <w:rPr>
          <w:color w:val="000000" w:themeColor="text1"/>
          <w:sz w:val="24"/>
          <w:szCs w:val="24"/>
          <w:lang w:val="en-US"/>
        </w:rPr>
      </w:pPr>
      <w:r w:rsidRPr="00B40A77">
        <w:rPr>
          <w:color w:val="000000" w:themeColor="text1"/>
        </w:rPr>
        <w:t>Form 1</w:t>
      </w:r>
      <w:r w:rsidR="003308A2" w:rsidRPr="00B40A77">
        <w:rPr>
          <w:color w:val="000000" w:themeColor="text1"/>
        </w:rPr>
        <w:t>74H</w:t>
      </w:r>
      <w:r w:rsidRPr="00B40A77">
        <w:rPr>
          <w:color w:val="000000" w:themeColor="text1"/>
        </w:rPr>
        <w:t xml:space="preserve"> </w:t>
      </w:r>
      <w:hyperlink r:id="rId338" w:history="1">
        <w:r w:rsidRPr="00B40A77">
          <w:rPr>
            <w:rStyle w:val="Hyperlink"/>
            <w:color w:val="000000" w:themeColor="text1"/>
          </w:rPr>
          <w:t>Order for Interim Variation of Intervention Order</w:t>
        </w:r>
      </w:hyperlink>
    </w:p>
    <w:p w14:paraId="5CD2B324" w14:textId="7C82E07F" w:rsidR="008320DA" w:rsidRPr="00B40A77" w:rsidRDefault="008320DA" w:rsidP="009A06C6">
      <w:pPr>
        <w:pStyle w:val="Hangindent"/>
        <w:rPr>
          <w:color w:val="000000" w:themeColor="text1"/>
          <w:lang w:val="en-US"/>
        </w:rPr>
      </w:pPr>
      <w:r w:rsidRPr="00B40A77">
        <w:rPr>
          <w:rFonts w:cs="Times New Roman"/>
          <w:color w:val="000000" w:themeColor="text1"/>
          <w:lang w:val="en-US"/>
        </w:rPr>
        <w:lastRenderedPageBreak/>
        <w:t>(</w:t>
      </w:r>
      <w:r w:rsidR="002756A9" w:rsidRPr="00B40A77">
        <w:rPr>
          <w:rFonts w:cs="Times New Roman"/>
          <w:color w:val="000000" w:themeColor="text1"/>
          <w:lang w:val="en-US"/>
        </w:rPr>
        <w:t>5</w:t>
      </w:r>
      <w:r w:rsidRPr="00B40A77">
        <w:rPr>
          <w:rFonts w:cs="Times New Roman"/>
          <w:color w:val="000000" w:themeColor="text1"/>
          <w:lang w:val="en-US"/>
        </w:rPr>
        <w:t>)</w:t>
      </w:r>
      <w:r w:rsidRPr="00B40A77">
        <w:rPr>
          <w:rFonts w:cs="Times New Roman"/>
          <w:color w:val="000000" w:themeColor="text1"/>
          <w:lang w:val="en-US"/>
        </w:rPr>
        <w:tab/>
      </w:r>
      <w:r w:rsidR="009A06C6" w:rsidRPr="00B40A77">
        <w:rPr>
          <w:rFonts w:cs="Times New Roman"/>
          <w:color w:val="000000" w:themeColor="text1"/>
          <w:lang w:val="en-US"/>
        </w:rPr>
        <w:t>The Commissioner</w:t>
      </w:r>
      <w:r w:rsidRPr="00B40A77">
        <w:rPr>
          <w:rFonts w:cs="Times New Roman"/>
          <w:color w:val="000000" w:themeColor="text1"/>
          <w:lang w:val="en-US"/>
        </w:rPr>
        <w:t xml:space="preserve"> must serve the interim variation of intervention order and summons, the supporting affidavit, </w:t>
      </w:r>
      <w:r w:rsidR="009A06C6" w:rsidRPr="00B40A77">
        <w:rPr>
          <w:rFonts w:cs="Times New Roman"/>
          <w:color w:val="000000" w:themeColor="text1"/>
          <w:lang w:val="en-US"/>
        </w:rPr>
        <w:t xml:space="preserve">and </w:t>
      </w:r>
      <w:r w:rsidRPr="00B40A77">
        <w:rPr>
          <w:rFonts w:cs="Times New Roman"/>
          <w:color w:val="000000" w:themeColor="text1"/>
          <w:lang w:val="en-US"/>
        </w:rPr>
        <w:t xml:space="preserve">any recorded evidence on an electronic storage device </w:t>
      </w:r>
      <w:r w:rsidR="009A06C6" w:rsidRPr="00B40A77">
        <w:rPr>
          <w:rFonts w:cs="Times New Roman"/>
          <w:color w:val="000000" w:themeColor="text1"/>
          <w:lang w:val="en-US"/>
        </w:rPr>
        <w:t xml:space="preserve">on the defendant </w:t>
      </w:r>
      <w:r w:rsidRPr="00B40A77">
        <w:rPr>
          <w:rFonts w:cs="Times New Roman"/>
          <w:color w:val="000000" w:themeColor="text1"/>
          <w:lang w:val="en-US"/>
        </w:rPr>
        <w:t>as soon as practicable</w:t>
      </w:r>
    </w:p>
    <w:p w14:paraId="75A7D51F" w14:textId="77777777" w:rsidR="008320DA" w:rsidRPr="00B40A77" w:rsidRDefault="008320DA" w:rsidP="008320DA">
      <w:pPr>
        <w:pStyle w:val="NoteHeader"/>
        <w:rPr>
          <w:color w:val="000000" w:themeColor="text1"/>
        </w:rPr>
      </w:pPr>
      <w:r w:rsidRPr="00B40A77">
        <w:rPr>
          <w:color w:val="000000" w:themeColor="text1"/>
        </w:rPr>
        <w:t>Note—</w:t>
      </w:r>
    </w:p>
    <w:p w14:paraId="42A7F455" w14:textId="17D0152D" w:rsidR="008320DA" w:rsidRPr="00B40A77" w:rsidRDefault="008320DA" w:rsidP="008320DA">
      <w:pPr>
        <w:pStyle w:val="NoteText"/>
        <w:rPr>
          <w:color w:val="000000" w:themeColor="text1"/>
          <w:lang w:val="en-US"/>
        </w:rPr>
      </w:pPr>
      <w:r w:rsidRPr="00B40A77">
        <w:rPr>
          <w:color w:val="000000" w:themeColor="text1"/>
        </w:rPr>
        <w:t xml:space="preserve">If the applicant is a person other than the Commissioner of Police, the </w:t>
      </w:r>
      <w:r w:rsidRPr="00B40A77">
        <w:rPr>
          <w:color w:val="000000" w:themeColor="text1"/>
          <w:lang w:val="en-US"/>
        </w:rPr>
        <w:t xml:space="preserve">documents must not be served by the applicant but will be served by </w:t>
      </w:r>
      <w:hyperlink w:anchor="_2.1—Definitions" w:history="1">
        <w:r w:rsidR="00344475" w:rsidRPr="00B40A77">
          <w:rPr>
            <w:rStyle w:val="Hyperlink"/>
            <w:color w:val="000000" w:themeColor="text1"/>
            <w:lang w:val="en-US"/>
          </w:rPr>
          <w:t>SAPOL</w:t>
        </w:r>
      </w:hyperlink>
      <w:r w:rsidRPr="00B40A77">
        <w:rPr>
          <w:color w:val="000000" w:themeColor="text1"/>
          <w:lang w:val="en-US"/>
        </w:rPr>
        <w:t>.</w:t>
      </w:r>
    </w:p>
    <w:p w14:paraId="40553446" w14:textId="5087FE76"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w:t>
      </w:r>
      <w:r w:rsidR="002756A9" w:rsidRPr="00B40A77">
        <w:rPr>
          <w:rFonts w:cs="Times New Roman"/>
          <w:color w:val="000000" w:themeColor="text1"/>
          <w:lang w:val="en-US"/>
        </w:rPr>
        <w:t>6</w:t>
      </w:r>
      <w:r w:rsidRPr="00B40A77">
        <w:rPr>
          <w:rFonts w:cs="Times New Roman"/>
          <w:color w:val="000000" w:themeColor="text1"/>
          <w:lang w:val="en-US"/>
        </w:rPr>
        <w:t>)</w:t>
      </w:r>
      <w:r w:rsidRPr="00B40A77">
        <w:rPr>
          <w:rFonts w:cs="Times New Roman"/>
          <w:color w:val="000000" w:themeColor="text1"/>
          <w:lang w:val="en-US"/>
        </w:rPr>
        <w:tab/>
        <w:t xml:space="preserve">Upon an interim variation order being made, 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lang w:val="en-US"/>
        </w:rPr>
        <w:t xml:space="preserve"> must </w:t>
      </w:r>
      <w:r w:rsidR="00506BD4" w:rsidRPr="00B40A77">
        <w:rPr>
          <w:rFonts w:cs="Times New Roman"/>
          <w:color w:val="000000" w:themeColor="text1"/>
          <w:lang w:val="en-US"/>
        </w:rPr>
        <w:t>cause a notice in the prescribed form, or by alternative means cause the information required by the applicable statutory provisions, to be sent to</w:t>
      </w:r>
      <w:r w:rsidRPr="00B40A77">
        <w:rPr>
          <w:rFonts w:cs="Times New Roman"/>
          <w:color w:val="000000" w:themeColor="text1"/>
          <w:lang w:val="en-US"/>
        </w:rPr>
        <w:t xml:space="preserve"> the relevant public sector agencies in accordance with subsection 26A(10) of the </w:t>
      </w:r>
      <w:hyperlink w:anchor="_2.1—Definitions" w:history="1">
        <w:r w:rsidR="005A6381" w:rsidRPr="00B40A77">
          <w:rPr>
            <w:rStyle w:val="Hyperlink"/>
            <w:iCs/>
            <w:color w:val="000000" w:themeColor="text1"/>
            <w:lang w:val="en-US"/>
          </w:rPr>
          <w:t>Intervention Orders Act</w:t>
        </w:r>
      </w:hyperlink>
      <w:r w:rsidRPr="00B40A77">
        <w:rPr>
          <w:rFonts w:cs="Times New Roman"/>
          <w:color w:val="000000" w:themeColor="text1"/>
          <w:lang w:val="en-US"/>
        </w:rPr>
        <w:t>.</w:t>
      </w:r>
    </w:p>
    <w:p w14:paraId="1FC341A4" w14:textId="77777777" w:rsidR="008320DA" w:rsidRPr="00B40A77" w:rsidRDefault="008320DA" w:rsidP="008320DA">
      <w:pPr>
        <w:pStyle w:val="NoteHeader"/>
        <w:rPr>
          <w:color w:val="000000" w:themeColor="text1"/>
        </w:rPr>
      </w:pPr>
      <w:r w:rsidRPr="00B40A77">
        <w:rPr>
          <w:color w:val="000000" w:themeColor="text1"/>
        </w:rPr>
        <w:t>Prescribed form—</w:t>
      </w:r>
    </w:p>
    <w:p w14:paraId="20B9ECBF" w14:textId="0C39DF0B" w:rsidR="008320DA" w:rsidRPr="00B40A77" w:rsidRDefault="008320DA" w:rsidP="008320DA">
      <w:pPr>
        <w:pStyle w:val="NoteText"/>
        <w:rPr>
          <w:color w:val="000000" w:themeColor="text1"/>
        </w:rPr>
      </w:pPr>
      <w:r w:rsidRPr="00B40A77">
        <w:rPr>
          <w:color w:val="000000" w:themeColor="text1"/>
        </w:rPr>
        <w:t xml:space="preserve">Form </w:t>
      </w:r>
      <w:r w:rsidR="003308A2" w:rsidRPr="00B40A77">
        <w:rPr>
          <w:color w:val="000000" w:themeColor="text1"/>
        </w:rPr>
        <w:t>17</w:t>
      </w:r>
      <w:r w:rsidRPr="00B40A77">
        <w:rPr>
          <w:color w:val="000000" w:themeColor="text1"/>
        </w:rPr>
        <w:t xml:space="preserve">7 </w:t>
      </w:r>
      <w:hyperlink r:id="rId339" w:history="1">
        <w:r w:rsidRPr="00B40A77">
          <w:rPr>
            <w:rStyle w:val="Hyperlink"/>
            <w:color w:val="000000" w:themeColor="text1"/>
          </w:rPr>
          <w:t>Notice to Relevant Public Sector Agencies about Intervention Order</w:t>
        </w:r>
      </w:hyperlink>
    </w:p>
    <w:p w14:paraId="17BC2FC2" w14:textId="46D4A627" w:rsidR="008320DA" w:rsidRPr="00B40A77" w:rsidRDefault="008320DA" w:rsidP="008320DA">
      <w:pPr>
        <w:pStyle w:val="Hangindent"/>
        <w:rPr>
          <w:color w:val="000000" w:themeColor="text1"/>
          <w:lang w:val="en-US"/>
        </w:rPr>
      </w:pPr>
      <w:r w:rsidRPr="00B40A77">
        <w:rPr>
          <w:rFonts w:cs="Times New Roman"/>
          <w:color w:val="000000" w:themeColor="text1"/>
          <w:lang w:val="en-US"/>
        </w:rPr>
        <w:t>(</w:t>
      </w:r>
      <w:r w:rsidR="00F7752C" w:rsidRPr="00B40A77">
        <w:rPr>
          <w:rFonts w:cs="Times New Roman"/>
          <w:color w:val="000000" w:themeColor="text1"/>
          <w:lang w:val="en-US"/>
        </w:rPr>
        <w:t>7</w:t>
      </w:r>
      <w:r w:rsidRPr="00B40A77">
        <w:rPr>
          <w:rFonts w:cs="Times New Roman"/>
          <w:color w:val="000000" w:themeColor="text1"/>
          <w:lang w:val="en-US"/>
        </w:rPr>
        <w:t>)</w:t>
      </w:r>
      <w:r w:rsidRPr="00B40A77">
        <w:rPr>
          <w:rFonts w:cs="Times New Roman"/>
          <w:color w:val="000000" w:themeColor="text1"/>
          <w:lang w:val="en-US"/>
        </w:rPr>
        <w:tab/>
        <w:t xml:space="preserve">Upon an interim variation order being made, 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lang w:val="en-US"/>
        </w:rPr>
        <w:t xml:space="preserve"> must </w:t>
      </w:r>
      <w:r w:rsidR="00506BD4" w:rsidRPr="00B40A77">
        <w:rPr>
          <w:rFonts w:cs="Times New Roman"/>
          <w:color w:val="000000" w:themeColor="text1"/>
          <w:lang w:val="en-US"/>
        </w:rPr>
        <w:t>cause a notice in the prescribed form, or by alternative means cause the information required by the applicable statutory provisions,</w:t>
      </w:r>
      <w:r w:rsidRPr="00B40A77">
        <w:rPr>
          <w:rFonts w:cs="Times New Roman"/>
          <w:color w:val="000000" w:themeColor="text1"/>
          <w:lang w:val="en-US"/>
        </w:rPr>
        <w:t xml:space="preserve"> together with a copy of the order in accordance with section 26A(9) of the </w:t>
      </w:r>
      <w:hyperlink w:anchor="_2.1—Definitions" w:history="1">
        <w:r w:rsidR="005A6381" w:rsidRPr="00B40A77">
          <w:rPr>
            <w:rStyle w:val="Hyperlink"/>
            <w:iCs/>
            <w:color w:val="000000" w:themeColor="text1"/>
            <w:lang w:val="en-US"/>
          </w:rPr>
          <w:t>Intervention Orders Act</w:t>
        </w:r>
      </w:hyperlink>
      <w:r w:rsidRPr="00B40A77">
        <w:rPr>
          <w:rFonts w:cs="Times New Roman"/>
          <w:color w:val="000000" w:themeColor="text1"/>
          <w:lang w:val="en-US"/>
        </w:rPr>
        <w:t xml:space="preserve"> to be sent to</w:t>
      </w:r>
      <w:r w:rsidRPr="00B40A77">
        <w:rPr>
          <w:color w:val="000000" w:themeColor="text1"/>
          <w:lang w:val="en-US"/>
        </w:rPr>
        <w:t>—</w:t>
      </w:r>
    </w:p>
    <w:p w14:paraId="2980ED2F" w14:textId="77777777" w:rsidR="008320DA" w:rsidRPr="00B40A77" w:rsidRDefault="008320DA" w:rsidP="008320D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each </w:t>
      </w:r>
      <w:r w:rsidRPr="00B40A77">
        <w:rPr>
          <w:color w:val="000000" w:themeColor="text1"/>
          <w:u w:val="single"/>
          <w:lang w:val="en-US"/>
        </w:rPr>
        <w:t>protected person</w:t>
      </w:r>
      <w:r w:rsidRPr="00B40A77">
        <w:rPr>
          <w:color w:val="000000" w:themeColor="text1"/>
          <w:lang w:val="en-US"/>
        </w:rPr>
        <w:t>; and</w:t>
      </w:r>
    </w:p>
    <w:p w14:paraId="5217F765" w14:textId="77777777" w:rsidR="008320DA" w:rsidRPr="00B40A77" w:rsidRDefault="008320DA" w:rsidP="008320DA">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Commissioner of Police.</w:t>
      </w:r>
    </w:p>
    <w:p w14:paraId="7C7AB6ED" w14:textId="77777777" w:rsidR="008320DA" w:rsidRPr="00B40A77" w:rsidRDefault="008320DA" w:rsidP="008320DA">
      <w:pPr>
        <w:pStyle w:val="NoteHeader"/>
        <w:rPr>
          <w:color w:val="000000" w:themeColor="text1"/>
        </w:rPr>
      </w:pPr>
      <w:r w:rsidRPr="00B40A77">
        <w:rPr>
          <w:color w:val="000000" w:themeColor="text1"/>
        </w:rPr>
        <w:t>Prescribed form—</w:t>
      </w:r>
    </w:p>
    <w:p w14:paraId="0AC8AF1E" w14:textId="66F6F956" w:rsidR="008320DA" w:rsidRPr="00B40A77" w:rsidRDefault="008320DA" w:rsidP="008320DA">
      <w:pPr>
        <w:pStyle w:val="NoteText"/>
        <w:rPr>
          <w:color w:val="000000" w:themeColor="text1"/>
        </w:rPr>
      </w:pPr>
      <w:r w:rsidRPr="00B40A77">
        <w:rPr>
          <w:color w:val="000000" w:themeColor="text1"/>
        </w:rPr>
        <w:t xml:space="preserve">Form </w:t>
      </w:r>
      <w:r w:rsidR="003308A2" w:rsidRPr="00B40A77">
        <w:rPr>
          <w:color w:val="000000" w:themeColor="text1"/>
        </w:rPr>
        <w:t>176</w:t>
      </w:r>
      <w:r w:rsidRPr="00B40A77">
        <w:rPr>
          <w:color w:val="000000" w:themeColor="text1"/>
        </w:rPr>
        <w:t xml:space="preserve"> </w:t>
      </w:r>
      <w:hyperlink r:id="rId340" w:history="1">
        <w:r w:rsidRPr="00B40A77">
          <w:rPr>
            <w:rStyle w:val="Hyperlink"/>
            <w:color w:val="000000" w:themeColor="text1"/>
          </w:rPr>
          <w:t>Notice of Order</w:t>
        </w:r>
        <w:r w:rsidRPr="00B40A77">
          <w:rPr>
            <w:rStyle w:val="Hyperlink"/>
            <w:color w:val="000000" w:themeColor="text1"/>
            <w:sz w:val="24"/>
            <w:szCs w:val="24"/>
            <w:lang w:val="en-US"/>
          </w:rPr>
          <w:t xml:space="preserve"> </w:t>
        </w:r>
        <w:r w:rsidRPr="00B40A77">
          <w:rPr>
            <w:rStyle w:val="Hyperlink"/>
            <w:color w:val="000000" w:themeColor="text1"/>
          </w:rPr>
          <w:t>– Intervention Orders Act Order</w:t>
        </w:r>
      </w:hyperlink>
    </w:p>
    <w:p w14:paraId="594FF0AF" w14:textId="40FBF80F" w:rsidR="008320DA" w:rsidRPr="00B40A77" w:rsidRDefault="00F7752C" w:rsidP="008320DA">
      <w:pPr>
        <w:pStyle w:val="Heading4"/>
        <w:rPr>
          <w:color w:val="000000" w:themeColor="text1"/>
        </w:rPr>
      </w:pPr>
      <w:bookmarkStart w:id="975" w:name="_Toc101971606"/>
      <w:bookmarkStart w:id="976" w:name="_Toc175239284"/>
      <w:r w:rsidRPr="00B40A77">
        <w:rPr>
          <w:color w:val="000000" w:themeColor="text1"/>
        </w:rPr>
        <w:t>16</w:t>
      </w:r>
      <w:r w:rsidR="00E41D2E" w:rsidRPr="00B40A77">
        <w:rPr>
          <w:color w:val="000000" w:themeColor="text1"/>
        </w:rPr>
        <w:t>7</w:t>
      </w:r>
      <w:r w:rsidRPr="00B40A77">
        <w:rPr>
          <w:color w:val="000000" w:themeColor="text1"/>
        </w:rPr>
        <w:t>.5</w:t>
      </w:r>
      <w:r w:rsidR="008320DA" w:rsidRPr="00B40A77">
        <w:rPr>
          <w:color w:val="000000" w:themeColor="text1"/>
        </w:rPr>
        <w:t>—Order</w:t>
      </w:r>
      <w:bookmarkEnd w:id="975"/>
      <w:bookmarkEnd w:id="976"/>
    </w:p>
    <w:p w14:paraId="6AD13E64" w14:textId="2BC849E9"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A record of outcome of the </w:t>
      </w:r>
      <w:hyperlink w:anchor="_2.1—Definitions" w:history="1">
        <w:r w:rsidR="001953DB" w:rsidRPr="00B40A77">
          <w:rPr>
            <w:rStyle w:val="Hyperlink"/>
            <w:color w:val="000000" w:themeColor="text1"/>
          </w:rPr>
          <w:t>hearing</w:t>
        </w:r>
      </w:hyperlink>
      <w:r w:rsidRPr="00B40A77">
        <w:rPr>
          <w:rFonts w:cs="Times New Roman"/>
          <w:color w:val="000000" w:themeColor="text1"/>
          <w:lang w:val="en-US"/>
        </w:rPr>
        <w:t xml:space="preserve"> of a variation or revocation application must be in the prescribed form.</w:t>
      </w:r>
    </w:p>
    <w:p w14:paraId="785373D7" w14:textId="77777777" w:rsidR="008320DA" w:rsidRPr="00B40A77" w:rsidRDefault="008320DA" w:rsidP="008320DA">
      <w:pPr>
        <w:pStyle w:val="NoteHeader"/>
        <w:rPr>
          <w:color w:val="000000" w:themeColor="text1"/>
        </w:rPr>
      </w:pPr>
      <w:r w:rsidRPr="00B40A77">
        <w:rPr>
          <w:color w:val="000000" w:themeColor="text1"/>
        </w:rPr>
        <w:t>Prescribed form—</w:t>
      </w:r>
    </w:p>
    <w:p w14:paraId="1E8B3B61" w14:textId="3DC8382D" w:rsidR="0087770D" w:rsidRPr="00B40A77" w:rsidRDefault="0087770D">
      <w:pPr>
        <w:pStyle w:val="NoteText"/>
        <w:rPr>
          <w:color w:val="000000" w:themeColor="text1"/>
          <w:u w:val="single"/>
        </w:rPr>
      </w:pPr>
      <w:r w:rsidRPr="00B40A77">
        <w:rPr>
          <w:color w:val="000000" w:themeColor="text1"/>
        </w:rPr>
        <w:t xml:space="preserve">Form </w:t>
      </w:r>
      <w:r w:rsidR="006D25C3" w:rsidRPr="00B40A77">
        <w:rPr>
          <w:color w:val="000000" w:themeColor="text1"/>
        </w:rPr>
        <w:t>173</w:t>
      </w:r>
      <w:r w:rsidRPr="00B40A77">
        <w:rPr>
          <w:color w:val="000000" w:themeColor="text1"/>
        </w:rPr>
        <w:t xml:space="preserve"> </w:t>
      </w:r>
      <w:hyperlink r:id="rId341" w:history="1">
        <w:r w:rsidRPr="00B40A77">
          <w:rPr>
            <w:rStyle w:val="Hyperlink"/>
            <w:color w:val="000000" w:themeColor="text1"/>
          </w:rPr>
          <w:t>Record of Outcome</w:t>
        </w:r>
      </w:hyperlink>
    </w:p>
    <w:p w14:paraId="14563F09" w14:textId="77777777"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If the Court makes a variation or revocation order, the Court will issue a formal order in the prescribed form.</w:t>
      </w:r>
    </w:p>
    <w:p w14:paraId="4BBCEA46" w14:textId="77777777" w:rsidR="008320DA" w:rsidRPr="00B40A77" w:rsidRDefault="008320DA" w:rsidP="008320DA">
      <w:pPr>
        <w:pStyle w:val="NoteHeader"/>
        <w:rPr>
          <w:color w:val="000000" w:themeColor="text1"/>
        </w:rPr>
      </w:pPr>
      <w:r w:rsidRPr="00B40A77">
        <w:rPr>
          <w:color w:val="000000" w:themeColor="text1"/>
        </w:rPr>
        <w:t>Prescribed form—</w:t>
      </w:r>
    </w:p>
    <w:p w14:paraId="29746D80" w14:textId="451FE998" w:rsidR="008320DA" w:rsidRPr="00B40A77" w:rsidRDefault="008320DA" w:rsidP="008320DA">
      <w:pPr>
        <w:pStyle w:val="NoteText"/>
        <w:rPr>
          <w:color w:val="000000" w:themeColor="text1"/>
          <w:sz w:val="24"/>
          <w:szCs w:val="24"/>
          <w:lang w:val="en-US"/>
        </w:rPr>
      </w:pPr>
      <w:r w:rsidRPr="00B40A77">
        <w:rPr>
          <w:color w:val="000000" w:themeColor="text1"/>
        </w:rPr>
        <w:t>Form 1</w:t>
      </w:r>
      <w:r w:rsidR="003308A2" w:rsidRPr="00B40A77">
        <w:rPr>
          <w:color w:val="000000" w:themeColor="text1"/>
        </w:rPr>
        <w:t>74I</w:t>
      </w:r>
      <w:r w:rsidRPr="00B40A77">
        <w:rPr>
          <w:color w:val="000000" w:themeColor="text1"/>
        </w:rPr>
        <w:t xml:space="preserve"> </w:t>
      </w:r>
      <w:hyperlink r:id="rId342" w:history="1">
        <w:r w:rsidRPr="00B40A77">
          <w:rPr>
            <w:rStyle w:val="Hyperlink"/>
            <w:color w:val="000000" w:themeColor="text1"/>
          </w:rPr>
          <w:t>Order for Final Variation or Revocation of Intervention or Problem Gambling Order</w:t>
        </w:r>
      </w:hyperlink>
    </w:p>
    <w:p w14:paraId="72999AD1" w14:textId="43347EAA" w:rsidR="008320DA" w:rsidRPr="00B40A77" w:rsidRDefault="00AE4221" w:rsidP="008320DA">
      <w:pPr>
        <w:pStyle w:val="Heading4"/>
        <w:rPr>
          <w:color w:val="000000" w:themeColor="text1"/>
        </w:rPr>
      </w:pPr>
      <w:bookmarkStart w:id="977" w:name="_Toc101971607"/>
      <w:bookmarkStart w:id="978" w:name="_Toc175239285"/>
      <w:r w:rsidRPr="00B40A77">
        <w:rPr>
          <w:color w:val="000000" w:themeColor="text1"/>
        </w:rPr>
        <w:t>16</w:t>
      </w:r>
      <w:r w:rsidR="00E41D2E" w:rsidRPr="00B40A77">
        <w:rPr>
          <w:color w:val="000000" w:themeColor="text1"/>
        </w:rPr>
        <w:t>7</w:t>
      </w:r>
      <w:r w:rsidRPr="00B40A77">
        <w:rPr>
          <w:color w:val="000000" w:themeColor="text1"/>
        </w:rPr>
        <w:t>.6</w:t>
      </w:r>
      <w:r w:rsidR="008320DA" w:rsidRPr="00B40A77">
        <w:rPr>
          <w:color w:val="000000" w:themeColor="text1"/>
        </w:rPr>
        <w:t>—Service of order</w:t>
      </w:r>
      <w:bookmarkEnd w:id="977"/>
      <w:bookmarkEnd w:id="978"/>
    </w:p>
    <w:p w14:paraId="0901F888" w14:textId="2E39FDCF" w:rsidR="008320DA" w:rsidRPr="00B40A77" w:rsidRDefault="008320DA" w:rsidP="00145BB8">
      <w:pPr>
        <w:pStyle w:val="Hangindent"/>
        <w:keepNex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If the Court varies </w:t>
      </w:r>
      <w:r w:rsidR="00F7752C" w:rsidRPr="00B40A77">
        <w:rPr>
          <w:color w:val="000000" w:themeColor="text1"/>
          <w:lang w:val="en-US"/>
        </w:rPr>
        <w:t>an intervention order</w:t>
      </w:r>
      <w:r w:rsidR="00F7752C" w:rsidRPr="00B40A77">
        <w:rPr>
          <w:rFonts w:cs="Times New Roman"/>
          <w:color w:val="000000" w:themeColor="text1"/>
          <w:lang w:val="en-US"/>
        </w:rPr>
        <w:t xml:space="preserve"> </w:t>
      </w:r>
      <w:r w:rsidRPr="00B40A77">
        <w:rPr>
          <w:rFonts w:cs="Times New Roman"/>
          <w:color w:val="000000" w:themeColor="text1"/>
          <w:lang w:val="en-US"/>
        </w:rPr>
        <w:t xml:space="preserve">and the </w:t>
      </w:r>
      <w:r w:rsidR="00F7752C" w:rsidRPr="00B40A77">
        <w:rPr>
          <w:rFonts w:cs="Times New Roman"/>
          <w:color w:val="000000" w:themeColor="text1"/>
          <w:lang w:val="en-US"/>
        </w:rPr>
        <w:t xml:space="preserve">defendant </w:t>
      </w:r>
      <w:r w:rsidRPr="00B40A77">
        <w:rPr>
          <w:rFonts w:cs="Times New Roman"/>
          <w:color w:val="000000" w:themeColor="text1"/>
          <w:lang w:val="en-US"/>
        </w:rPr>
        <w:t xml:space="preserve">was not present in </w:t>
      </w:r>
      <w:r w:rsidR="00307014" w:rsidRPr="00B40A77">
        <w:rPr>
          <w:rFonts w:cs="Times New Roman"/>
          <w:color w:val="000000" w:themeColor="text1"/>
          <w:lang w:val="en-US"/>
        </w:rPr>
        <w:t>c</w:t>
      </w:r>
      <w:r w:rsidRPr="00B40A77">
        <w:rPr>
          <w:rFonts w:cs="Times New Roman"/>
          <w:color w:val="000000" w:themeColor="text1"/>
          <w:lang w:val="en-US"/>
        </w:rPr>
        <w:t xml:space="preserve">ourt when the order was made, </w:t>
      </w:r>
      <w:r w:rsidR="00F7752C" w:rsidRPr="00B40A77">
        <w:rPr>
          <w:rFonts w:cs="Times New Roman"/>
          <w:color w:val="000000" w:themeColor="text1"/>
          <w:lang w:val="en-US"/>
        </w:rPr>
        <w:t>the Commissioner</w:t>
      </w:r>
      <w:r w:rsidRPr="00B40A77">
        <w:rPr>
          <w:rFonts w:cs="Times New Roman"/>
          <w:color w:val="000000" w:themeColor="text1"/>
          <w:lang w:val="en-US"/>
        </w:rPr>
        <w:t xml:space="preserve"> must serve the variation order on the </w:t>
      </w:r>
      <w:r w:rsidR="00AE4221" w:rsidRPr="00B40A77">
        <w:rPr>
          <w:rFonts w:cs="Times New Roman"/>
          <w:color w:val="000000" w:themeColor="text1"/>
          <w:lang w:val="en-US"/>
        </w:rPr>
        <w:t xml:space="preserve">defendant </w:t>
      </w:r>
      <w:r w:rsidRPr="00B40A77">
        <w:rPr>
          <w:rFonts w:cs="Times New Roman"/>
          <w:color w:val="000000" w:themeColor="text1"/>
          <w:lang w:val="en-US"/>
        </w:rPr>
        <w:t>as soon as practicable</w:t>
      </w:r>
      <w:r w:rsidRPr="00B40A77">
        <w:rPr>
          <w:rFonts w:cs="Times New Roman"/>
          <w:color w:val="000000" w:themeColor="text1"/>
        </w:rPr>
        <w:t xml:space="preserve">. </w:t>
      </w:r>
    </w:p>
    <w:p w14:paraId="2BA84084" w14:textId="77777777" w:rsidR="008320DA" w:rsidRPr="00B40A77" w:rsidRDefault="008320DA" w:rsidP="00145BB8">
      <w:pPr>
        <w:pStyle w:val="NoteHeader"/>
        <w:keepNext/>
        <w:rPr>
          <w:color w:val="000000" w:themeColor="text1"/>
        </w:rPr>
      </w:pPr>
      <w:r w:rsidRPr="00B40A77">
        <w:rPr>
          <w:color w:val="000000" w:themeColor="text1"/>
        </w:rPr>
        <w:t>Notes—</w:t>
      </w:r>
    </w:p>
    <w:p w14:paraId="70BFC9E3" w14:textId="74513E7D" w:rsidR="008320DA" w:rsidRPr="00B40A77" w:rsidRDefault="008320DA" w:rsidP="00145BB8">
      <w:pPr>
        <w:pStyle w:val="NoteText"/>
        <w:keepNext/>
        <w:rPr>
          <w:color w:val="000000" w:themeColor="text1"/>
        </w:rPr>
      </w:pPr>
      <w:r w:rsidRPr="00B40A77">
        <w:rPr>
          <w:color w:val="000000" w:themeColor="text1"/>
        </w:rPr>
        <w:t xml:space="preserve">Section 26(7) of the </w:t>
      </w:r>
      <w:hyperlink w:anchor="_2.1—Definitions" w:history="1">
        <w:r w:rsidR="005A6381" w:rsidRPr="00B40A77">
          <w:rPr>
            <w:rStyle w:val="Hyperlink"/>
            <w:iCs/>
            <w:color w:val="000000" w:themeColor="text1"/>
            <w:lang w:val="en-US"/>
          </w:rPr>
          <w:t>Intervention Orders Act</w:t>
        </w:r>
      </w:hyperlink>
      <w:r w:rsidRPr="00B40A77">
        <w:rPr>
          <w:color w:val="000000" w:themeColor="text1"/>
        </w:rPr>
        <w:t xml:space="preserve"> provides that, if an </w:t>
      </w:r>
      <w:r w:rsidRPr="00B40A77">
        <w:rPr>
          <w:color w:val="000000" w:themeColor="text1"/>
          <w:u w:val="single"/>
        </w:rPr>
        <w:t>intervention order</w:t>
      </w:r>
      <w:r w:rsidRPr="00B40A77">
        <w:rPr>
          <w:color w:val="000000" w:themeColor="text1"/>
        </w:rPr>
        <w:t xml:space="preserve"> is varied, it comes into force when served on the</w:t>
      </w:r>
      <w:r w:rsidR="00AE4221" w:rsidRPr="00B40A77">
        <w:rPr>
          <w:color w:val="000000" w:themeColor="text1"/>
        </w:rPr>
        <w:t xml:space="preserve"> defendant</w:t>
      </w:r>
      <w:r w:rsidRPr="00B40A77">
        <w:rPr>
          <w:color w:val="000000" w:themeColor="text1"/>
        </w:rPr>
        <w:t xml:space="preserve"> in accordance with section 26 (and until the order is so served the </w:t>
      </w:r>
      <w:r w:rsidRPr="00B40A77">
        <w:rPr>
          <w:color w:val="000000" w:themeColor="text1"/>
          <w:u w:val="single"/>
        </w:rPr>
        <w:t>intervention order</w:t>
      </w:r>
      <w:r w:rsidRPr="00B40A77">
        <w:rPr>
          <w:color w:val="000000" w:themeColor="text1"/>
        </w:rPr>
        <w:t xml:space="preserve"> in its unamended form continues in force).</w:t>
      </w:r>
    </w:p>
    <w:p w14:paraId="08B103AD" w14:textId="6BD72C2E" w:rsidR="008320DA" w:rsidRPr="00B40A77" w:rsidRDefault="008320DA" w:rsidP="008320DA">
      <w:pPr>
        <w:pStyle w:val="NoteText"/>
        <w:rPr>
          <w:color w:val="000000" w:themeColor="text1"/>
        </w:rPr>
      </w:pPr>
      <w:r w:rsidRPr="00B40A77">
        <w:rPr>
          <w:color w:val="000000" w:themeColor="text1"/>
        </w:rPr>
        <w:t xml:space="preserve">If the applicant for the variation is a person other than the Commissioner of Police, the </w:t>
      </w:r>
      <w:r w:rsidRPr="00B40A77">
        <w:rPr>
          <w:color w:val="000000" w:themeColor="text1"/>
          <w:lang w:val="en-US"/>
        </w:rPr>
        <w:t xml:space="preserve">order must not be served by the applicant but will be served by </w:t>
      </w:r>
      <w:hyperlink w:anchor="_2.1—Definitions" w:history="1">
        <w:r w:rsidR="00344475" w:rsidRPr="00B40A77">
          <w:rPr>
            <w:rStyle w:val="Hyperlink"/>
            <w:color w:val="000000" w:themeColor="text1"/>
            <w:lang w:val="en-US"/>
          </w:rPr>
          <w:t>SAPOL</w:t>
        </w:r>
      </w:hyperlink>
      <w:r w:rsidRPr="00B40A77">
        <w:rPr>
          <w:color w:val="000000" w:themeColor="text1"/>
          <w:lang w:val="en-US"/>
        </w:rPr>
        <w:t>.</w:t>
      </w:r>
    </w:p>
    <w:p w14:paraId="77AA030F" w14:textId="38C6DAC5" w:rsidR="008320DA" w:rsidRPr="00B40A77" w:rsidRDefault="008320DA" w:rsidP="00145BB8">
      <w:pPr>
        <w:pStyle w:val="Hangindent"/>
        <w:keepNext/>
        <w:rPr>
          <w:color w:val="000000" w:themeColor="text1"/>
          <w:lang w:val="en-US"/>
        </w:rPr>
      </w:pPr>
      <w:r w:rsidRPr="00B40A77">
        <w:rPr>
          <w:rFonts w:cs="Times New Roman"/>
          <w:color w:val="000000" w:themeColor="text1"/>
          <w:lang w:val="en-US"/>
        </w:rPr>
        <w:lastRenderedPageBreak/>
        <w:t>(</w:t>
      </w:r>
      <w:r w:rsidR="00AE4221" w:rsidRPr="00B40A77">
        <w:rPr>
          <w:rFonts w:cs="Times New Roman"/>
          <w:color w:val="000000" w:themeColor="text1"/>
          <w:lang w:val="en-US"/>
        </w:rPr>
        <w:t>2</w:t>
      </w:r>
      <w:r w:rsidRPr="00B40A77">
        <w:rPr>
          <w:rFonts w:cs="Times New Roman"/>
          <w:color w:val="000000" w:themeColor="text1"/>
          <w:lang w:val="en-US"/>
        </w:rPr>
        <w:t>)</w:t>
      </w:r>
      <w:r w:rsidRPr="00B40A77">
        <w:rPr>
          <w:rFonts w:cs="Times New Roman"/>
          <w:color w:val="000000" w:themeColor="text1"/>
          <w:lang w:val="en-US"/>
        </w:rPr>
        <w:tab/>
        <w:t>If</w:t>
      </w:r>
      <w:r w:rsidRPr="00B40A77">
        <w:rPr>
          <w:color w:val="000000" w:themeColor="text1"/>
          <w:lang w:val="en-US"/>
        </w:rPr>
        <w:t xml:space="preserve"> the Court revokes </w:t>
      </w:r>
      <w:r w:rsidRPr="00B40A77">
        <w:rPr>
          <w:rFonts w:cs="Times New Roman"/>
          <w:color w:val="000000" w:themeColor="text1"/>
          <w:lang w:val="en-US"/>
        </w:rPr>
        <w:t xml:space="preserve">an intervention order, 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lang w:val="en-US"/>
        </w:rPr>
        <w:t xml:space="preserve"> must cause to be served on the </w:t>
      </w:r>
      <w:r w:rsidR="00AE4221" w:rsidRPr="00B40A77">
        <w:rPr>
          <w:rFonts w:cs="Times New Roman"/>
          <w:color w:val="000000" w:themeColor="text1"/>
          <w:lang w:val="en-US"/>
        </w:rPr>
        <w:t>defendant</w:t>
      </w:r>
      <w:r w:rsidRPr="00B40A77">
        <w:rPr>
          <w:rFonts w:cs="Times New Roman"/>
          <w:color w:val="000000" w:themeColor="text1"/>
          <w:lang w:val="en-US"/>
        </w:rPr>
        <w:t xml:space="preserve"> the revocation order</w:t>
      </w:r>
      <w:r w:rsidR="00AE4221" w:rsidRPr="00B40A77">
        <w:rPr>
          <w:color w:val="000000" w:themeColor="text1"/>
          <w:lang w:val="en-US"/>
        </w:rPr>
        <w:t>.</w:t>
      </w:r>
    </w:p>
    <w:p w14:paraId="746CC3F0" w14:textId="2EE73713" w:rsidR="008320DA" w:rsidRPr="00B40A77" w:rsidRDefault="008320DA" w:rsidP="00145BB8">
      <w:pPr>
        <w:pStyle w:val="NoteHeader"/>
        <w:keepNext/>
        <w:rPr>
          <w:color w:val="000000" w:themeColor="text1"/>
        </w:rPr>
      </w:pPr>
      <w:r w:rsidRPr="00B40A77">
        <w:rPr>
          <w:color w:val="000000" w:themeColor="text1"/>
        </w:rPr>
        <w:t>Note—</w:t>
      </w:r>
    </w:p>
    <w:p w14:paraId="0BA5D570" w14:textId="65574EE0" w:rsidR="008320DA" w:rsidRPr="00B40A77" w:rsidRDefault="008320DA" w:rsidP="008320DA">
      <w:pPr>
        <w:pStyle w:val="NoteText"/>
        <w:rPr>
          <w:color w:val="000000" w:themeColor="text1"/>
        </w:rPr>
      </w:pPr>
      <w:r w:rsidRPr="00B40A77">
        <w:rPr>
          <w:color w:val="000000" w:themeColor="text1"/>
        </w:rPr>
        <w:t>S</w:t>
      </w:r>
      <w:r w:rsidRPr="00B40A77">
        <w:rPr>
          <w:color w:val="000000" w:themeColor="text1"/>
          <w:lang w:val="en-US"/>
        </w:rPr>
        <w:t xml:space="preserve">ection 26(8) requires the Registrar to </w:t>
      </w:r>
      <w:r w:rsidRPr="00B40A77">
        <w:rPr>
          <w:color w:val="000000" w:themeColor="text1"/>
        </w:rPr>
        <w:t xml:space="preserve">serve written notice of the revocation on the defendant personally or by post at the </w:t>
      </w:r>
      <w:r w:rsidR="00531F32" w:rsidRPr="00B40A77">
        <w:rPr>
          <w:color w:val="000000" w:themeColor="text1"/>
          <w:lang w:val="en-US"/>
        </w:rPr>
        <w:t>address for service</w:t>
      </w:r>
      <w:r w:rsidR="00531F32" w:rsidRPr="00B40A77">
        <w:rPr>
          <w:rStyle w:val="Hyperlink"/>
          <w:color w:val="000000" w:themeColor="text1"/>
          <w:u w:val="none"/>
          <w:lang w:val="en-US"/>
        </w:rPr>
        <w:t xml:space="preserve"> </w:t>
      </w:r>
      <w:r w:rsidRPr="00B40A77">
        <w:rPr>
          <w:color w:val="000000" w:themeColor="text1"/>
        </w:rPr>
        <w:t xml:space="preserve">provided by the defendant under the Act or in some other manner authorised by the Court. </w:t>
      </w:r>
    </w:p>
    <w:p w14:paraId="73F9D7EA" w14:textId="2F7975F0" w:rsidR="008320DA" w:rsidRPr="00B40A77" w:rsidRDefault="00AE4221" w:rsidP="008320DA">
      <w:pPr>
        <w:pStyle w:val="Heading4"/>
        <w:rPr>
          <w:color w:val="000000" w:themeColor="text1"/>
        </w:rPr>
      </w:pPr>
      <w:bookmarkStart w:id="979" w:name="_Toc101971608"/>
      <w:bookmarkStart w:id="980" w:name="_Toc175239286"/>
      <w:r w:rsidRPr="00B40A77">
        <w:rPr>
          <w:color w:val="000000" w:themeColor="text1"/>
        </w:rPr>
        <w:t>16</w:t>
      </w:r>
      <w:r w:rsidR="00E41D2E" w:rsidRPr="00B40A77">
        <w:rPr>
          <w:color w:val="000000" w:themeColor="text1"/>
        </w:rPr>
        <w:t>7</w:t>
      </w:r>
      <w:r w:rsidRPr="00B40A77">
        <w:rPr>
          <w:color w:val="000000" w:themeColor="text1"/>
        </w:rPr>
        <w:t>.7</w:t>
      </w:r>
      <w:r w:rsidR="008320DA" w:rsidRPr="00B40A77">
        <w:rPr>
          <w:color w:val="000000" w:themeColor="text1"/>
        </w:rPr>
        <w:t>—Notice of order</w:t>
      </w:r>
      <w:bookmarkEnd w:id="979"/>
      <w:bookmarkEnd w:id="980"/>
    </w:p>
    <w:p w14:paraId="52DD2EFB" w14:textId="4C12DB70" w:rsidR="008320DA" w:rsidRPr="00B40A77" w:rsidRDefault="008320DA" w:rsidP="008320DA">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t xml:space="preserve">Upon an intervention order being varied or revoked, 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lang w:val="en-US"/>
        </w:rPr>
        <w:t xml:space="preserve"> must </w:t>
      </w:r>
      <w:r w:rsidR="00506BD4" w:rsidRPr="00B40A77">
        <w:rPr>
          <w:rFonts w:cs="Times New Roman"/>
          <w:color w:val="000000" w:themeColor="text1"/>
          <w:lang w:val="en-US"/>
        </w:rPr>
        <w:t>cause a notice in the prescribed form, or by alternative means cause the information required by the applicable statutory provisions, to be sent to</w:t>
      </w:r>
      <w:r w:rsidRPr="00B40A77">
        <w:rPr>
          <w:rFonts w:cs="Times New Roman"/>
          <w:color w:val="000000" w:themeColor="text1"/>
          <w:lang w:val="en-US"/>
        </w:rPr>
        <w:t xml:space="preserve"> the relevant public sector agencies in accordance with section 26(10) of the </w:t>
      </w:r>
      <w:hyperlink w:anchor="_2.1—Definitions" w:history="1">
        <w:r w:rsidR="005A6381" w:rsidRPr="00B40A77">
          <w:rPr>
            <w:rStyle w:val="Hyperlink"/>
            <w:iCs/>
            <w:color w:val="000000" w:themeColor="text1"/>
            <w:lang w:val="en-US"/>
          </w:rPr>
          <w:t>Intervention Orders Act</w:t>
        </w:r>
      </w:hyperlink>
      <w:r w:rsidRPr="00B40A77">
        <w:rPr>
          <w:rFonts w:cs="Times New Roman"/>
          <w:color w:val="000000" w:themeColor="text1"/>
          <w:lang w:val="en-US"/>
        </w:rPr>
        <w:t>.</w:t>
      </w:r>
    </w:p>
    <w:p w14:paraId="0A604082" w14:textId="77777777" w:rsidR="008320DA" w:rsidRPr="00B40A77" w:rsidRDefault="008320DA" w:rsidP="008320DA">
      <w:pPr>
        <w:pStyle w:val="NoteHeader"/>
        <w:rPr>
          <w:color w:val="000000" w:themeColor="text1"/>
        </w:rPr>
      </w:pPr>
      <w:r w:rsidRPr="00B40A77">
        <w:rPr>
          <w:color w:val="000000" w:themeColor="text1"/>
        </w:rPr>
        <w:t>Prescribed form—</w:t>
      </w:r>
    </w:p>
    <w:p w14:paraId="29976F3A" w14:textId="0A792970" w:rsidR="008320DA" w:rsidRPr="00B40A77" w:rsidRDefault="008320DA" w:rsidP="008320DA">
      <w:pPr>
        <w:pStyle w:val="NoteText"/>
        <w:rPr>
          <w:color w:val="000000" w:themeColor="text1"/>
          <w:sz w:val="24"/>
          <w:szCs w:val="24"/>
          <w:lang w:val="en-US"/>
        </w:rPr>
      </w:pPr>
      <w:r w:rsidRPr="00B40A77">
        <w:rPr>
          <w:color w:val="000000" w:themeColor="text1"/>
        </w:rPr>
        <w:t xml:space="preserve">Form </w:t>
      </w:r>
      <w:r w:rsidR="003308A2" w:rsidRPr="00B40A77">
        <w:rPr>
          <w:color w:val="000000" w:themeColor="text1"/>
        </w:rPr>
        <w:t>177</w:t>
      </w:r>
      <w:r w:rsidRPr="00B40A77">
        <w:rPr>
          <w:color w:val="000000" w:themeColor="text1"/>
        </w:rPr>
        <w:t xml:space="preserve"> </w:t>
      </w:r>
      <w:hyperlink r:id="rId343" w:history="1">
        <w:r w:rsidRPr="00B40A77">
          <w:rPr>
            <w:rStyle w:val="Hyperlink"/>
            <w:color w:val="000000" w:themeColor="text1"/>
          </w:rPr>
          <w:t>Notice to Relevant Public Sector Agencies about Intervention Order</w:t>
        </w:r>
      </w:hyperlink>
      <w:r w:rsidRPr="00B40A77">
        <w:rPr>
          <w:color w:val="000000" w:themeColor="text1"/>
          <w:sz w:val="24"/>
          <w:szCs w:val="24"/>
          <w:lang w:val="en-US"/>
        </w:rPr>
        <w:t xml:space="preserve"> </w:t>
      </w:r>
    </w:p>
    <w:p w14:paraId="3192E029" w14:textId="653767AE" w:rsidR="008320DA" w:rsidRPr="00B40A77" w:rsidRDefault="008320DA" w:rsidP="008320DA">
      <w:pPr>
        <w:pStyle w:val="Hangindent"/>
        <w:rPr>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Upon an intervention order being varied or revoked, 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lang w:val="en-US"/>
        </w:rPr>
        <w:t xml:space="preserve"> must </w:t>
      </w:r>
      <w:r w:rsidR="000F176A" w:rsidRPr="00B40A77">
        <w:rPr>
          <w:rFonts w:cs="Times New Roman"/>
          <w:color w:val="000000" w:themeColor="text1"/>
          <w:lang w:val="en-US"/>
        </w:rPr>
        <w:t xml:space="preserve">cause a notice in the prescribed form, or by alternative means cause the information required by the applicable statutory provisions, </w:t>
      </w:r>
      <w:r w:rsidRPr="00B40A77">
        <w:rPr>
          <w:rFonts w:cs="Times New Roman"/>
          <w:color w:val="000000" w:themeColor="text1"/>
          <w:lang w:val="en-US"/>
        </w:rPr>
        <w:t xml:space="preserve"> together with a copy of the order to be sent in accordance with section 26(9) of the Act to</w:t>
      </w:r>
      <w:r w:rsidRPr="00B40A77">
        <w:rPr>
          <w:color w:val="000000" w:themeColor="text1"/>
          <w:lang w:val="en-US"/>
        </w:rPr>
        <w:t>—</w:t>
      </w:r>
    </w:p>
    <w:p w14:paraId="6AAE416F" w14:textId="77777777" w:rsidR="008320DA" w:rsidRPr="00B40A77" w:rsidRDefault="008320DA" w:rsidP="008320DA">
      <w:pPr>
        <w:pStyle w:val="Doublehangindent"/>
        <w:rPr>
          <w:color w:val="000000" w:themeColor="text1"/>
          <w:lang w:val="en-US"/>
        </w:rPr>
      </w:pPr>
      <w:r w:rsidRPr="00B40A77">
        <w:rPr>
          <w:color w:val="000000" w:themeColor="text1"/>
          <w:lang w:val="en-US"/>
        </w:rPr>
        <w:t>(a)</w:t>
      </w:r>
      <w:r w:rsidRPr="00B40A77">
        <w:rPr>
          <w:color w:val="000000" w:themeColor="text1"/>
          <w:lang w:val="en-US"/>
        </w:rPr>
        <w:tab/>
        <w:t>each protected person;</w:t>
      </w:r>
    </w:p>
    <w:p w14:paraId="3A113689" w14:textId="77777777" w:rsidR="008320DA" w:rsidRPr="00B40A77" w:rsidRDefault="008320DA" w:rsidP="008320DA">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Commissioner of Police; and</w:t>
      </w:r>
    </w:p>
    <w:p w14:paraId="4165FF3C" w14:textId="77777777" w:rsidR="008320DA" w:rsidRPr="00B40A77" w:rsidRDefault="008320DA" w:rsidP="008320DA">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applicant (if not </w:t>
      </w:r>
      <w:r w:rsidRPr="00B40A77">
        <w:rPr>
          <w:color w:val="000000" w:themeColor="text1"/>
          <w:u w:val="single"/>
          <w:lang w:val="en-US"/>
        </w:rPr>
        <w:t>a protected person</w:t>
      </w:r>
      <w:r w:rsidRPr="00B40A77">
        <w:rPr>
          <w:color w:val="000000" w:themeColor="text1"/>
          <w:lang w:val="en-US"/>
        </w:rPr>
        <w:t xml:space="preserve"> or police officer).</w:t>
      </w:r>
    </w:p>
    <w:p w14:paraId="00FD75FF" w14:textId="77777777" w:rsidR="008320DA" w:rsidRPr="00B40A77" w:rsidRDefault="008320DA" w:rsidP="008320DA">
      <w:pPr>
        <w:pStyle w:val="NoteHeader"/>
        <w:rPr>
          <w:color w:val="000000" w:themeColor="text1"/>
        </w:rPr>
      </w:pPr>
      <w:r w:rsidRPr="00B40A77">
        <w:rPr>
          <w:color w:val="000000" w:themeColor="text1"/>
        </w:rPr>
        <w:t>Prescribed form—</w:t>
      </w:r>
    </w:p>
    <w:p w14:paraId="16A458E8" w14:textId="19916EAE" w:rsidR="008320DA" w:rsidRPr="00B40A77" w:rsidRDefault="008320DA" w:rsidP="008320DA">
      <w:pPr>
        <w:pStyle w:val="NoteText"/>
        <w:rPr>
          <w:color w:val="000000" w:themeColor="text1"/>
          <w:sz w:val="24"/>
          <w:szCs w:val="24"/>
          <w:lang w:val="en-US"/>
        </w:rPr>
      </w:pPr>
      <w:r w:rsidRPr="00B40A77">
        <w:rPr>
          <w:color w:val="000000" w:themeColor="text1"/>
        </w:rPr>
        <w:t xml:space="preserve">Form </w:t>
      </w:r>
      <w:r w:rsidR="003308A2" w:rsidRPr="00B40A77">
        <w:rPr>
          <w:color w:val="000000" w:themeColor="text1"/>
        </w:rPr>
        <w:t>176</w:t>
      </w:r>
      <w:r w:rsidRPr="00B40A77">
        <w:rPr>
          <w:color w:val="000000" w:themeColor="text1"/>
        </w:rPr>
        <w:t xml:space="preserve"> </w:t>
      </w:r>
      <w:hyperlink r:id="rId344" w:history="1">
        <w:r w:rsidRPr="00B40A77">
          <w:rPr>
            <w:rStyle w:val="Hyperlink"/>
            <w:color w:val="000000" w:themeColor="text1"/>
          </w:rPr>
          <w:t>Notice of Order – Intervention Orders Act Order</w:t>
        </w:r>
      </w:hyperlink>
      <w:r w:rsidRPr="00B40A77">
        <w:rPr>
          <w:color w:val="000000" w:themeColor="text1"/>
          <w:sz w:val="24"/>
          <w:szCs w:val="24"/>
          <w:lang w:val="en-US"/>
        </w:rPr>
        <w:t xml:space="preserve"> </w:t>
      </w:r>
    </w:p>
    <w:p w14:paraId="352D2B26" w14:textId="39E4AA7E" w:rsidR="008D0DDD" w:rsidRPr="00B40A77" w:rsidRDefault="009D1D11" w:rsidP="008D0DDD">
      <w:pPr>
        <w:pStyle w:val="Heading3"/>
        <w:rPr>
          <w:color w:val="000000" w:themeColor="text1"/>
        </w:rPr>
      </w:pPr>
      <w:bookmarkStart w:id="981" w:name="_Toc175239287"/>
      <w:r w:rsidRPr="00B40A77">
        <w:rPr>
          <w:color w:val="000000" w:themeColor="text1"/>
        </w:rPr>
        <w:t xml:space="preserve">Division </w:t>
      </w:r>
      <w:r w:rsidR="00DF27FD" w:rsidRPr="00B40A77">
        <w:rPr>
          <w:color w:val="000000" w:themeColor="text1"/>
        </w:rPr>
        <w:t>8</w:t>
      </w:r>
      <w:r w:rsidR="008D0DDD" w:rsidRPr="00B40A77">
        <w:rPr>
          <w:color w:val="000000" w:themeColor="text1"/>
        </w:rPr>
        <w:t>—Other variations or revocations</w:t>
      </w:r>
      <w:bookmarkEnd w:id="981"/>
    </w:p>
    <w:p w14:paraId="03E1253E" w14:textId="740430F3" w:rsidR="00AF2DDB" w:rsidRPr="00B40A77" w:rsidRDefault="00AF2DDB" w:rsidP="00AF2DDB">
      <w:pPr>
        <w:pStyle w:val="Heading4"/>
        <w:rPr>
          <w:color w:val="000000" w:themeColor="text1"/>
        </w:rPr>
      </w:pPr>
      <w:bookmarkStart w:id="982" w:name="_168.1—Protection_orders"/>
      <w:bookmarkStart w:id="983" w:name="_Toc175239288"/>
      <w:bookmarkEnd w:id="982"/>
      <w:r w:rsidRPr="00B40A77">
        <w:rPr>
          <w:color w:val="000000" w:themeColor="text1"/>
        </w:rPr>
        <w:t>16</w:t>
      </w:r>
      <w:r w:rsidR="00E41D2E" w:rsidRPr="00B40A77">
        <w:rPr>
          <w:color w:val="000000" w:themeColor="text1"/>
        </w:rPr>
        <w:t>8</w:t>
      </w:r>
      <w:r w:rsidRPr="00B40A77">
        <w:rPr>
          <w:color w:val="000000" w:themeColor="text1"/>
        </w:rPr>
        <w:t>.1—</w:t>
      </w:r>
      <w:r w:rsidR="009174B7" w:rsidRPr="00B40A77">
        <w:rPr>
          <w:color w:val="000000" w:themeColor="text1"/>
        </w:rPr>
        <w:t>Protection</w:t>
      </w:r>
      <w:r w:rsidRPr="00B40A77">
        <w:rPr>
          <w:color w:val="000000" w:themeColor="text1"/>
        </w:rPr>
        <w:t xml:space="preserve"> orders</w:t>
      </w:r>
      <w:bookmarkEnd w:id="983"/>
    </w:p>
    <w:p w14:paraId="74EAFD26" w14:textId="758BB929" w:rsidR="00453FD8" w:rsidRPr="00B40A77" w:rsidRDefault="00020371" w:rsidP="00020371">
      <w:pPr>
        <w:pStyle w:val="Hangindent"/>
        <w:rPr>
          <w:rFonts w:cs="Times New Roman"/>
          <w:color w:val="000000" w:themeColor="text1"/>
          <w:lang w:val="en-US"/>
        </w:rPr>
      </w:pPr>
      <w:r w:rsidRPr="00B40A77">
        <w:rPr>
          <w:rFonts w:cs="Times New Roman"/>
          <w:color w:val="000000" w:themeColor="text1"/>
          <w:lang w:val="en-US"/>
        </w:rPr>
        <w:t>(1)</w:t>
      </w:r>
      <w:r w:rsidRPr="00B40A77">
        <w:rPr>
          <w:rFonts w:cs="Times New Roman"/>
          <w:color w:val="000000" w:themeColor="text1"/>
          <w:lang w:val="en-US"/>
        </w:rPr>
        <w:tab/>
      </w:r>
      <w:r w:rsidR="00AF2DDB" w:rsidRPr="00B40A77">
        <w:rPr>
          <w:rFonts w:cs="Times New Roman"/>
          <w:color w:val="000000" w:themeColor="text1"/>
          <w:lang w:val="en-US"/>
        </w:rPr>
        <w:t>An application to vary or revoke</w:t>
      </w:r>
      <w:r w:rsidR="00AC5E48" w:rsidRPr="00B40A77">
        <w:rPr>
          <w:rFonts w:cs="Times New Roman"/>
          <w:color w:val="000000" w:themeColor="text1"/>
          <w:lang w:val="en-US"/>
        </w:rPr>
        <w:t xml:space="preserve"> one of the following orders made in a </w:t>
      </w:r>
      <w:hyperlink w:anchor="_2.1—Definitions" w:history="1">
        <w:r w:rsidR="0082271A" w:rsidRPr="00B40A77">
          <w:rPr>
            <w:rStyle w:val="Hyperlink"/>
            <w:color w:val="000000" w:themeColor="text1"/>
          </w:rPr>
          <w:t>criminal proceeding</w:t>
        </w:r>
      </w:hyperlink>
      <w:r w:rsidR="00AC5E48" w:rsidRPr="00B40A77">
        <w:rPr>
          <w:rFonts w:cs="Times New Roman"/>
          <w:color w:val="000000" w:themeColor="text1"/>
          <w:lang w:val="en-US"/>
        </w:rPr>
        <w:t xml:space="preserve"> </w:t>
      </w:r>
      <w:r w:rsidR="00AF2DDB" w:rsidRPr="00B40A77">
        <w:rPr>
          <w:rFonts w:cs="Times New Roman"/>
          <w:color w:val="000000" w:themeColor="text1"/>
          <w:lang w:val="en-US"/>
        </w:rPr>
        <w:t xml:space="preserve">must be made by an originating application </w:t>
      </w:r>
      <w:r w:rsidR="00AC5E48" w:rsidRPr="00B40A77">
        <w:rPr>
          <w:rFonts w:cs="Times New Roman"/>
          <w:color w:val="000000" w:themeColor="text1"/>
          <w:lang w:val="en-US"/>
        </w:rPr>
        <w:t xml:space="preserve">under the </w:t>
      </w:r>
      <w:hyperlink w:anchor="_2.1—Definitions" w:history="1">
        <w:hyperlink w:anchor="_2.1—Definitions" w:history="1">
          <w:r w:rsidR="00EE525A" w:rsidRPr="00B40A77">
            <w:rPr>
              <w:rStyle w:val="Hyperlink"/>
              <w:color w:val="000000" w:themeColor="text1"/>
              <w:lang w:val="en-US"/>
            </w:rPr>
            <w:t>Uniform Special Statutory Rules</w:t>
          </w:r>
        </w:hyperlink>
      </w:hyperlink>
      <w:r w:rsidR="00453FD8" w:rsidRPr="00B40A77">
        <w:rPr>
          <w:rFonts w:cs="Times New Roman"/>
          <w:color w:val="000000" w:themeColor="text1"/>
          <w:lang w:val="en-US"/>
        </w:rPr>
        <w:t>—</w:t>
      </w:r>
    </w:p>
    <w:p w14:paraId="7AFAF6AB" w14:textId="6E193A81" w:rsidR="00453FD8" w:rsidRPr="00B40A77" w:rsidRDefault="00453FD8" w:rsidP="00020371">
      <w:pPr>
        <w:pStyle w:val="Doublehangindent"/>
        <w:rPr>
          <w:color w:val="000000" w:themeColor="text1"/>
          <w:lang w:val="en-US"/>
        </w:rPr>
      </w:pPr>
      <w:r w:rsidRPr="00B40A77">
        <w:rPr>
          <w:color w:val="000000" w:themeColor="text1"/>
          <w:lang w:val="en-US"/>
        </w:rPr>
        <w:t>(</w:t>
      </w:r>
      <w:r w:rsidR="00020371" w:rsidRPr="00B40A77">
        <w:rPr>
          <w:color w:val="000000" w:themeColor="text1"/>
          <w:lang w:val="en-US"/>
        </w:rPr>
        <w:t>a</w:t>
      </w:r>
      <w:r w:rsidRPr="00B40A77">
        <w:rPr>
          <w:color w:val="000000" w:themeColor="text1"/>
          <w:lang w:val="en-US"/>
        </w:rPr>
        <w:t>)</w:t>
      </w:r>
      <w:r w:rsidR="00020371" w:rsidRPr="00B40A77">
        <w:rPr>
          <w:color w:val="000000" w:themeColor="text1"/>
          <w:lang w:val="en-US"/>
        </w:rPr>
        <w:tab/>
      </w:r>
      <w:r w:rsidRPr="00B40A77">
        <w:rPr>
          <w:color w:val="000000" w:themeColor="text1"/>
          <w:lang w:val="en-US"/>
        </w:rPr>
        <w:t>a child protection restraining order under section 28 of the Sentencing Act;</w:t>
      </w:r>
    </w:p>
    <w:p w14:paraId="0ABBC6CA" w14:textId="5D91C820" w:rsidR="00453FD8" w:rsidRPr="00B40A77" w:rsidRDefault="00453FD8" w:rsidP="00020371">
      <w:pPr>
        <w:pStyle w:val="Doublehangindent"/>
        <w:rPr>
          <w:color w:val="000000" w:themeColor="text1"/>
          <w:lang w:val="en-US"/>
        </w:rPr>
      </w:pPr>
      <w:r w:rsidRPr="00B40A77">
        <w:rPr>
          <w:color w:val="000000" w:themeColor="text1"/>
          <w:lang w:val="en-US"/>
        </w:rPr>
        <w:t>(</w:t>
      </w:r>
      <w:r w:rsidR="00020371" w:rsidRPr="00B40A77">
        <w:rPr>
          <w:color w:val="000000" w:themeColor="text1"/>
          <w:lang w:val="en-US"/>
        </w:rPr>
        <w:t>b</w:t>
      </w:r>
      <w:r w:rsidRPr="00B40A77">
        <w:rPr>
          <w:color w:val="000000" w:themeColor="text1"/>
          <w:lang w:val="en-US"/>
        </w:rPr>
        <w:t>)</w:t>
      </w:r>
      <w:r w:rsidRPr="00B40A77">
        <w:rPr>
          <w:color w:val="000000" w:themeColor="text1"/>
          <w:lang w:val="en-US"/>
        </w:rPr>
        <w:tab/>
        <w:t>a paedophile restraining order under section 28 of the Sentencing Act;</w:t>
      </w:r>
    </w:p>
    <w:p w14:paraId="4ACF3BFE" w14:textId="5FD01824" w:rsidR="00453FD8" w:rsidRPr="00B40A77" w:rsidRDefault="00453FD8" w:rsidP="00020371">
      <w:pPr>
        <w:pStyle w:val="Doublehangindent"/>
        <w:rPr>
          <w:color w:val="000000" w:themeColor="text1"/>
          <w:lang w:val="en-US"/>
        </w:rPr>
      </w:pPr>
      <w:r w:rsidRPr="00B40A77">
        <w:rPr>
          <w:color w:val="000000" w:themeColor="text1"/>
          <w:lang w:val="en-US"/>
        </w:rPr>
        <w:t>(</w:t>
      </w:r>
      <w:r w:rsidR="00020371" w:rsidRPr="00B40A77">
        <w:rPr>
          <w:color w:val="000000" w:themeColor="text1"/>
          <w:lang w:val="en-US"/>
        </w:rPr>
        <w:t>c</w:t>
      </w:r>
      <w:r w:rsidRPr="00B40A77">
        <w:rPr>
          <w:color w:val="000000" w:themeColor="text1"/>
          <w:lang w:val="en-US"/>
        </w:rPr>
        <w:t>)</w:t>
      </w:r>
      <w:r w:rsidRPr="00B40A77">
        <w:rPr>
          <w:color w:val="000000" w:themeColor="text1"/>
          <w:lang w:val="en-US"/>
        </w:rPr>
        <w:tab/>
        <w:t>a place restriction order under section 27 of the Sentencing Act;</w:t>
      </w:r>
      <w:r w:rsidR="000860FF" w:rsidRPr="00B40A77">
        <w:rPr>
          <w:color w:val="000000" w:themeColor="text1"/>
          <w:lang w:val="en-US"/>
        </w:rPr>
        <w:t xml:space="preserve"> or</w:t>
      </w:r>
    </w:p>
    <w:p w14:paraId="0888606E" w14:textId="58E65D53" w:rsidR="00453FD8" w:rsidRPr="00B40A77" w:rsidRDefault="00453FD8" w:rsidP="00020371">
      <w:pPr>
        <w:pStyle w:val="Doublehangindent"/>
        <w:rPr>
          <w:color w:val="000000" w:themeColor="text1"/>
          <w:lang w:val="en-US"/>
        </w:rPr>
      </w:pPr>
      <w:r w:rsidRPr="00B40A77">
        <w:rPr>
          <w:color w:val="000000" w:themeColor="text1"/>
          <w:lang w:val="en-US"/>
        </w:rPr>
        <w:t>(</w:t>
      </w:r>
      <w:r w:rsidR="00020371" w:rsidRPr="00B40A77">
        <w:rPr>
          <w:color w:val="000000" w:themeColor="text1"/>
          <w:lang w:val="en-US"/>
        </w:rPr>
        <w:t>d</w:t>
      </w:r>
      <w:r w:rsidRPr="00B40A77">
        <w:rPr>
          <w:color w:val="000000" w:themeColor="text1"/>
          <w:lang w:val="en-US"/>
        </w:rPr>
        <w:t>)</w:t>
      </w:r>
      <w:r w:rsidRPr="00B40A77">
        <w:rPr>
          <w:color w:val="000000" w:themeColor="text1"/>
          <w:lang w:val="en-US"/>
        </w:rPr>
        <w:tab/>
        <w:t>a non-association order under section 27 of the Sentencing Act.</w:t>
      </w:r>
    </w:p>
    <w:p w14:paraId="10253CE3" w14:textId="42535CD3" w:rsidR="00020371" w:rsidRPr="00B40A77" w:rsidRDefault="00020371" w:rsidP="00020371">
      <w:pPr>
        <w:pStyle w:val="Hangindent"/>
        <w:rPr>
          <w:rFonts w:cs="Times New Roman"/>
          <w:color w:val="000000" w:themeColor="text1"/>
          <w:lang w:val="en-US"/>
        </w:rPr>
      </w:pPr>
      <w:r w:rsidRPr="00B40A77">
        <w:rPr>
          <w:rFonts w:cs="Times New Roman"/>
          <w:color w:val="000000" w:themeColor="text1"/>
          <w:lang w:val="en-US"/>
        </w:rPr>
        <w:t>(2)</w:t>
      </w:r>
      <w:r w:rsidRPr="00B40A77">
        <w:rPr>
          <w:rFonts w:cs="Times New Roman"/>
          <w:color w:val="000000" w:themeColor="text1"/>
          <w:lang w:val="en-US"/>
        </w:rPr>
        <w:tab/>
        <w:t xml:space="preserve">An application to vary or revoke an interim intervention order made under section 23A of the </w:t>
      </w:r>
      <w:r w:rsidR="00D62524" w:rsidRPr="00B40A77">
        <w:rPr>
          <w:color w:val="000000" w:themeColor="text1"/>
        </w:rPr>
        <w:t xml:space="preserve">Bail Act </w:t>
      </w:r>
      <w:r w:rsidRPr="00B40A77">
        <w:rPr>
          <w:rFonts w:cs="Times New Roman"/>
          <w:color w:val="000000" w:themeColor="text1"/>
          <w:lang w:val="en-US"/>
        </w:rPr>
        <w:t xml:space="preserve">in a </w:t>
      </w:r>
      <w:hyperlink w:anchor="_2.1—Definitions" w:history="1">
        <w:r w:rsidR="0082271A" w:rsidRPr="00B40A77">
          <w:rPr>
            <w:rStyle w:val="Hyperlink"/>
            <w:color w:val="000000" w:themeColor="text1"/>
          </w:rPr>
          <w:t>criminal proceeding</w:t>
        </w:r>
      </w:hyperlink>
      <w:r w:rsidRPr="00B40A77">
        <w:rPr>
          <w:rFonts w:cs="Times New Roman"/>
          <w:color w:val="000000" w:themeColor="text1"/>
          <w:lang w:val="en-US"/>
        </w:rPr>
        <w:t xml:space="preserve"> must be made by an interlocutory application under the </w:t>
      </w:r>
      <w:hyperlink w:anchor="_2.1—Definitions" w:history="1">
        <w:r w:rsidR="00EE525A" w:rsidRPr="00B40A77">
          <w:rPr>
            <w:rStyle w:val="Hyperlink"/>
            <w:color w:val="000000" w:themeColor="text1"/>
            <w:lang w:val="en-US"/>
          </w:rPr>
          <w:t>Uniform Special Statutory Rules</w:t>
        </w:r>
      </w:hyperlink>
      <w:r w:rsidRPr="00B40A77">
        <w:rPr>
          <w:rFonts w:cs="Times New Roman"/>
          <w:color w:val="000000" w:themeColor="text1"/>
          <w:lang w:val="en-US"/>
        </w:rPr>
        <w:t>.</w:t>
      </w:r>
    </w:p>
    <w:p w14:paraId="5D4284C7" w14:textId="4F889E04" w:rsidR="008D0DDD" w:rsidRPr="00B40A77" w:rsidRDefault="009D1D11" w:rsidP="00643044">
      <w:pPr>
        <w:pStyle w:val="Heading4"/>
        <w:rPr>
          <w:color w:val="000000" w:themeColor="text1"/>
        </w:rPr>
      </w:pPr>
      <w:bookmarkStart w:id="984" w:name="_Toc175239289"/>
      <w:r w:rsidRPr="00B40A77">
        <w:rPr>
          <w:color w:val="000000" w:themeColor="text1"/>
        </w:rPr>
        <w:t>16</w:t>
      </w:r>
      <w:r w:rsidR="00E41D2E" w:rsidRPr="00B40A77">
        <w:rPr>
          <w:color w:val="000000" w:themeColor="text1"/>
        </w:rPr>
        <w:t>8</w:t>
      </w:r>
      <w:r w:rsidR="008D0DDD" w:rsidRPr="00B40A77">
        <w:rPr>
          <w:color w:val="000000" w:themeColor="text1"/>
        </w:rPr>
        <w:t>.</w:t>
      </w:r>
      <w:r w:rsidR="00AF2DDB" w:rsidRPr="00B40A77">
        <w:rPr>
          <w:color w:val="000000" w:themeColor="text1"/>
        </w:rPr>
        <w:t>2</w:t>
      </w:r>
      <w:r w:rsidR="008D0DDD" w:rsidRPr="00B40A77">
        <w:rPr>
          <w:color w:val="000000" w:themeColor="text1"/>
        </w:rPr>
        <w:t>—</w:t>
      </w:r>
      <w:r w:rsidR="00AF2DDB" w:rsidRPr="00B40A77">
        <w:rPr>
          <w:color w:val="000000" w:themeColor="text1"/>
        </w:rPr>
        <w:t>Other</w:t>
      </w:r>
      <w:r w:rsidR="008D0DDD" w:rsidRPr="00B40A77">
        <w:rPr>
          <w:color w:val="000000" w:themeColor="text1"/>
        </w:rPr>
        <w:t xml:space="preserve"> order</w:t>
      </w:r>
      <w:r w:rsidR="00AF2DDB" w:rsidRPr="00B40A77">
        <w:rPr>
          <w:color w:val="000000" w:themeColor="text1"/>
        </w:rPr>
        <w:t>s</w:t>
      </w:r>
      <w:bookmarkEnd w:id="984"/>
    </w:p>
    <w:p w14:paraId="5BECBF73" w14:textId="131CF01C" w:rsidR="008D0DDD" w:rsidRPr="00B40A77" w:rsidRDefault="008D0DDD" w:rsidP="00B90C7E">
      <w:pPr>
        <w:pStyle w:val="Hangindent"/>
        <w:keepNext/>
        <w:ind w:left="567" w:firstLine="0"/>
        <w:rPr>
          <w:color w:val="000000" w:themeColor="text1"/>
          <w:lang w:val="en-US"/>
        </w:rPr>
      </w:pPr>
      <w:r w:rsidRPr="00B40A77">
        <w:rPr>
          <w:color w:val="000000" w:themeColor="text1"/>
          <w:lang w:val="en-US"/>
        </w:rPr>
        <w:t xml:space="preserve">An application </w:t>
      </w:r>
      <w:r w:rsidR="007D2388" w:rsidRPr="00B40A77">
        <w:rPr>
          <w:color w:val="000000" w:themeColor="text1"/>
        </w:rPr>
        <w:t>to vary or revoke an order</w:t>
      </w:r>
      <w:r w:rsidR="007D2388" w:rsidRPr="00B40A77">
        <w:rPr>
          <w:color w:val="000000" w:themeColor="text1"/>
          <w:lang w:val="en-US"/>
        </w:rPr>
        <w:t xml:space="preserve"> not governed by a preceding Division </w:t>
      </w:r>
      <w:r w:rsidR="00AF2DDB" w:rsidRPr="00B40A77">
        <w:rPr>
          <w:color w:val="000000" w:themeColor="text1"/>
          <w:lang w:val="en-US"/>
        </w:rPr>
        <w:t xml:space="preserve">or by </w:t>
      </w:r>
      <w:hyperlink w:anchor="_168.1—Protection_orders" w:history="1">
        <w:r w:rsidR="00AF2DDB" w:rsidRPr="00B40A77">
          <w:rPr>
            <w:rStyle w:val="Hyperlink"/>
            <w:color w:val="000000" w:themeColor="text1"/>
            <w:lang w:val="en-US"/>
          </w:rPr>
          <w:t>rule</w:t>
        </w:r>
        <w:r w:rsidR="00516D9C" w:rsidRPr="00B40A77">
          <w:rPr>
            <w:rStyle w:val="Hyperlink"/>
            <w:color w:val="000000" w:themeColor="text1"/>
            <w:lang w:val="en-US"/>
          </w:rPr>
          <w:t> </w:t>
        </w:r>
        <w:r w:rsidR="00AF2DDB" w:rsidRPr="00B40A77">
          <w:rPr>
            <w:rStyle w:val="Hyperlink"/>
            <w:color w:val="000000" w:themeColor="text1"/>
            <w:lang w:val="en-US"/>
          </w:rPr>
          <w:t>16</w:t>
        </w:r>
        <w:r w:rsidR="00516D9C" w:rsidRPr="00B40A77">
          <w:rPr>
            <w:rStyle w:val="Hyperlink"/>
            <w:color w:val="000000" w:themeColor="text1"/>
            <w:lang w:val="en-US"/>
          </w:rPr>
          <w:t>8</w:t>
        </w:r>
        <w:r w:rsidR="00AF2DDB" w:rsidRPr="00B40A77">
          <w:rPr>
            <w:rStyle w:val="Hyperlink"/>
            <w:color w:val="000000" w:themeColor="text1"/>
            <w:lang w:val="en-US"/>
          </w:rPr>
          <w:t>.1</w:t>
        </w:r>
      </w:hyperlink>
      <w:r w:rsidR="00453FD8" w:rsidRPr="00B40A77">
        <w:rPr>
          <w:color w:val="000000" w:themeColor="text1"/>
          <w:lang w:val="en-US"/>
        </w:rPr>
        <w:t xml:space="preserve"> </w:t>
      </w:r>
      <w:r w:rsidRPr="00B40A77">
        <w:rPr>
          <w:color w:val="000000" w:themeColor="text1"/>
          <w:lang w:val="en-US"/>
        </w:rPr>
        <w:t xml:space="preserve">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247993F8" w14:textId="77777777" w:rsidR="008D0DDD" w:rsidRPr="00B40A77" w:rsidRDefault="008D0DDD" w:rsidP="003D7E17">
      <w:pPr>
        <w:pStyle w:val="NoteHeader"/>
        <w:keepNext/>
        <w:ind w:left="567"/>
        <w:rPr>
          <w:color w:val="000000" w:themeColor="text1"/>
        </w:rPr>
      </w:pPr>
      <w:r w:rsidRPr="00B40A77">
        <w:rPr>
          <w:color w:val="000000" w:themeColor="text1"/>
        </w:rPr>
        <w:t>Prescribed form—</w:t>
      </w:r>
    </w:p>
    <w:p w14:paraId="71ACAD9E" w14:textId="58341366" w:rsidR="008300CC" w:rsidRPr="00B40A77" w:rsidRDefault="008D0DDD" w:rsidP="00BC23E5">
      <w:pPr>
        <w:pStyle w:val="NoteText"/>
        <w:ind w:left="765"/>
        <w:rPr>
          <w:color w:val="000000" w:themeColor="text1"/>
        </w:rPr>
      </w:pPr>
      <w:r w:rsidRPr="00B40A77">
        <w:rPr>
          <w:color w:val="000000" w:themeColor="text1"/>
        </w:rPr>
        <w:t>Form 171</w:t>
      </w:r>
      <w:r w:rsidR="007D2388" w:rsidRPr="00B40A77">
        <w:rPr>
          <w:color w:val="000000" w:themeColor="text1"/>
        </w:rPr>
        <w:t>A</w:t>
      </w:r>
      <w:r w:rsidRPr="00B40A77">
        <w:rPr>
          <w:color w:val="000000" w:themeColor="text1"/>
        </w:rPr>
        <w:t xml:space="preserve"> </w:t>
      </w:r>
      <w:hyperlink r:id="rId345" w:history="1">
        <w:r w:rsidR="00FC1FD3" w:rsidRPr="00B40A77">
          <w:rPr>
            <w:rStyle w:val="Hyperlink"/>
            <w:color w:val="000000" w:themeColor="text1"/>
            <w:lang w:val="en-US"/>
          </w:rPr>
          <w:t xml:space="preserve">Originating </w:t>
        </w:r>
        <w:r w:rsidR="00643044" w:rsidRPr="00B40A77">
          <w:rPr>
            <w:rStyle w:val="Hyperlink"/>
            <w:color w:val="000000" w:themeColor="text1"/>
            <w:lang w:val="en-US"/>
          </w:rPr>
          <w:t>Ap</w:t>
        </w:r>
        <w:r w:rsidRPr="00B40A77">
          <w:rPr>
            <w:rStyle w:val="Hyperlink"/>
            <w:color w:val="000000" w:themeColor="text1"/>
            <w:lang w:val="en-US"/>
          </w:rPr>
          <w:t>plication</w:t>
        </w:r>
        <w:r w:rsidRPr="00B40A77">
          <w:rPr>
            <w:rStyle w:val="Hyperlink"/>
            <w:color w:val="000000" w:themeColor="text1"/>
          </w:rPr>
          <w:t xml:space="preserve"> </w:t>
        </w:r>
        <w:r w:rsidR="007D2388" w:rsidRPr="00B40A77">
          <w:rPr>
            <w:rStyle w:val="Hyperlink"/>
            <w:color w:val="000000" w:themeColor="text1"/>
          </w:rPr>
          <w:t xml:space="preserve">to </w:t>
        </w:r>
        <w:r w:rsidR="00E22E65" w:rsidRPr="00B40A77">
          <w:rPr>
            <w:rStyle w:val="Hyperlink"/>
            <w:color w:val="000000" w:themeColor="text1"/>
          </w:rPr>
          <w:t>V</w:t>
        </w:r>
        <w:r w:rsidR="007D2388" w:rsidRPr="00B40A77">
          <w:rPr>
            <w:rStyle w:val="Hyperlink"/>
            <w:color w:val="000000" w:themeColor="text1"/>
          </w:rPr>
          <w:t xml:space="preserve">ary or </w:t>
        </w:r>
        <w:r w:rsidR="00E22E65" w:rsidRPr="00B40A77">
          <w:rPr>
            <w:rStyle w:val="Hyperlink"/>
            <w:color w:val="000000" w:themeColor="text1"/>
          </w:rPr>
          <w:t>R</w:t>
        </w:r>
        <w:r w:rsidR="007D2388" w:rsidRPr="00B40A77">
          <w:rPr>
            <w:rStyle w:val="Hyperlink"/>
            <w:color w:val="000000" w:themeColor="text1"/>
          </w:rPr>
          <w:t xml:space="preserve">evoke an </w:t>
        </w:r>
        <w:r w:rsidR="00E22E65" w:rsidRPr="00B40A77">
          <w:rPr>
            <w:rStyle w:val="Hyperlink"/>
            <w:color w:val="000000" w:themeColor="text1"/>
          </w:rPr>
          <w:t>O</w:t>
        </w:r>
        <w:r w:rsidR="007D2388" w:rsidRPr="00B40A77">
          <w:rPr>
            <w:rStyle w:val="Hyperlink"/>
            <w:color w:val="000000" w:themeColor="text1"/>
          </w:rPr>
          <w:t>rder</w:t>
        </w:r>
      </w:hyperlink>
    </w:p>
    <w:p w14:paraId="7F364B69" w14:textId="19562251" w:rsidR="00234624" w:rsidRPr="00B40A77" w:rsidRDefault="00234624" w:rsidP="00D45D85">
      <w:pPr>
        <w:pStyle w:val="Heading2"/>
        <w:keepNext/>
        <w:rPr>
          <w:color w:val="000000" w:themeColor="text1"/>
        </w:rPr>
      </w:pPr>
      <w:bookmarkStart w:id="985" w:name="_Toc175239290"/>
      <w:bookmarkEnd w:id="964"/>
      <w:r w:rsidRPr="00B40A77">
        <w:rPr>
          <w:color w:val="000000" w:themeColor="text1"/>
        </w:rPr>
        <w:lastRenderedPageBreak/>
        <w:t>Part 2—Mental impairment variation and enforcement</w:t>
      </w:r>
      <w:bookmarkEnd w:id="985"/>
    </w:p>
    <w:p w14:paraId="60F80755" w14:textId="77777777" w:rsidR="00234624" w:rsidRPr="00B40A77" w:rsidRDefault="00234624" w:rsidP="00234624">
      <w:pPr>
        <w:pStyle w:val="Heading3"/>
        <w:spacing w:after="0"/>
        <w:rPr>
          <w:color w:val="000000" w:themeColor="text1"/>
        </w:rPr>
      </w:pPr>
      <w:bookmarkStart w:id="986" w:name="_Toc175239291"/>
      <w:r w:rsidRPr="00B40A77">
        <w:rPr>
          <w:color w:val="000000" w:themeColor="text1"/>
        </w:rPr>
        <w:t>Division 1—General</w:t>
      </w:r>
      <w:bookmarkEnd w:id="986"/>
    </w:p>
    <w:p w14:paraId="119571D7" w14:textId="1E7589BD" w:rsidR="00B85046" w:rsidRPr="00B40A77" w:rsidRDefault="00B85046" w:rsidP="00B85046">
      <w:pPr>
        <w:pStyle w:val="Heading4"/>
        <w:rPr>
          <w:color w:val="000000" w:themeColor="text1"/>
        </w:rPr>
      </w:pPr>
      <w:bookmarkStart w:id="987" w:name="_169.1—Definitions"/>
      <w:bookmarkStart w:id="988" w:name="_Toc175239292"/>
      <w:bookmarkEnd w:id="987"/>
      <w:r w:rsidRPr="00B40A77">
        <w:rPr>
          <w:color w:val="000000" w:themeColor="text1"/>
        </w:rPr>
        <w:t>16</w:t>
      </w:r>
      <w:r w:rsidR="00E41D2E" w:rsidRPr="00B40A77">
        <w:rPr>
          <w:color w:val="000000" w:themeColor="text1"/>
        </w:rPr>
        <w:t>9</w:t>
      </w:r>
      <w:r w:rsidRPr="00B40A77">
        <w:rPr>
          <w:color w:val="000000" w:themeColor="text1"/>
        </w:rPr>
        <w:t>.1—Definitions</w:t>
      </w:r>
      <w:bookmarkEnd w:id="988"/>
    </w:p>
    <w:p w14:paraId="2D3D0C37" w14:textId="00CD410D" w:rsidR="00B85046" w:rsidRPr="00B40A77" w:rsidRDefault="00B85046" w:rsidP="00B85046">
      <w:pPr>
        <w:pStyle w:val="Hangindent"/>
        <w:rPr>
          <w:color w:val="000000" w:themeColor="text1"/>
          <w:lang w:val="en-US"/>
        </w:rPr>
      </w:pPr>
      <w:r w:rsidRPr="00B40A77">
        <w:rPr>
          <w:color w:val="000000" w:themeColor="text1"/>
        </w:rPr>
        <w:t xml:space="preserve">In this </w:t>
      </w:r>
      <w:r w:rsidR="00F5292A" w:rsidRPr="00B40A77">
        <w:rPr>
          <w:color w:val="000000" w:themeColor="text1"/>
        </w:rPr>
        <w:t>Part</w:t>
      </w:r>
      <w:r w:rsidRPr="00B40A77">
        <w:rPr>
          <w:color w:val="000000" w:themeColor="text1"/>
          <w:lang w:val="en-US"/>
        </w:rPr>
        <w:t>—</w:t>
      </w:r>
    </w:p>
    <w:p w14:paraId="0729D97F" w14:textId="675CF7B6" w:rsidR="00B85046" w:rsidRPr="00B40A77" w:rsidRDefault="009B27FB" w:rsidP="00B85046">
      <w:pPr>
        <w:pStyle w:val="Hangindent"/>
        <w:ind w:firstLine="0"/>
        <w:rPr>
          <w:color w:val="000000" w:themeColor="text1"/>
          <w:lang w:val="en-US"/>
        </w:rPr>
      </w:pPr>
      <w:r w:rsidRPr="00B40A77">
        <w:rPr>
          <w:b/>
          <w:i/>
          <w:color w:val="000000" w:themeColor="text1"/>
          <w:lang w:val="en-US"/>
        </w:rPr>
        <w:t>former section 293A order</w:t>
      </w:r>
      <w:r w:rsidR="00B85046" w:rsidRPr="00B40A77">
        <w:rPr>
          <w:b/>
          <w:i/>
          <w:color w:val="000000" w:themeColor="text1"/>
          <w:lang w:val="en-US"/>
        </w:rPr>
        <w:t xml:space="preserve"> </w:t>
      </w:r>
      <w:r w:rsidR="00B85046" w:rsidRPr="00B40A77">
        <w:rPr>
          <w:color w:val="000000" w:themeColor="text1"/>
          <w:lang w:val="en-US"/>
        </w:rPr>
        <w:t>means</w:t>
      </w:r>
      <w:r w:rsidR="00B85046" w:rsidRPr="00B40A77">
        <w:rPr>
          <w:color w:val="000000" w:themeColor="text1"/>
        </w:rPr>
        <w:t xml:space="preserve"> </w:t>
      </w:r>
      <w:r w:rsidRPr="00B40A77">
        <w:rPr>
          <w:color w:val="000000" w:themeColor="text1"/>
          <w:lang w:val="en-US"/>
        </w:rPr>
        <w:t>an order made under section</w:t>
      </w:r>
      <w:r w:rsidR="00EF1FED" w:rsidRPr="00B40A77">
        <w:rPr>
          <w:color w:val="000000" w:themeColor="text1"/>
          <w:lang w:val="en-US"/>
        </w:rPr>
        <w:t> </w:t>
      </w:r>
      <w:r w:rsidRPr="00B40A77">
        <w:rPr>
          <w:color w:val="000000" w:themeColor="text1"/>
          <w:lang w:val="en-US"/>
        </w:rPr>
        <w:t xml:space="preserve">293A 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in force before 2 March 1996;</w:t>
      </w:r>
    </w:p>
    <w:p w14:paraId="39010150" w14:textId="345EC2C6" w:rsidR="00B85046" w:rsidRPr="00B40A77" w:rsidRDefault="009B27FB" w:rsidP="009B27FB">
      <w:pPr>
        <w:pStyle w:val="Hangindent"/>
        <w:ind w:firstLine="0"/>
        <w:rPr>
          <w:color w:val="000000" w:themeColor="text1"/>
          <w:lang w:val="en-US"/>
        </w:rPr>
      </w:pPr>
      <w:r w:rsidRPr="00B40A77">
        <w:rPr>
          <w:bCs/>
          <w:iCs/>
          <w:color w:val="000000" w:themeColor="text1"/>
          <w:lang w:val="en-US"/>
        </w:rPr>
        <w:t>the</w:t>
      </w:r>
      <w:r w:rsidRPr="00B40A77">
        <w:rPr>
          <w:b/>
          <w:i/>
          <w:color w:val="000000" w:themeColor="text1"/>
          <w:lang w:val="en-US"/>
        </w:rPr>
        <w:t xml:space="preserve"> Minister for Health </w:t>
      </w:r>
      <w:r w:rsidRPr="00B40A77">
        <w:rPr>
          <w:color w:val="000000" w:themeColor="text1"/>
          <w:lang w:val="en-US"/>
        </w:rPr>
        <w:t>means</w:t>
      </w:r>
      <w:r w:rsidRPr="00B40A77">
        <w:rPr>
          <w:color w:val="000000" w:themeColor="text1"/>
        </w:rPr>
        <w:t xml:space="preserve"> </w:t>
      </w:r>
      <w:r w:rsidRPr="00B40A77">
        <w:rPr>
          <w:color w:val="000000" w:themeColor="text1"/>
          <w:lang w:val="en-US"/>
        </w:rPr>
        <w:t xml:space="preserve">the </w:t>
      </w:r>
      <w:r w:rsidRPr="00B40A77">
        <w:rPr>
          <w:color w:val="000000" w:themeColor="text1"/>
        </w:rPr>
        <w:t>Minister responsible for the administration of the</w:t>
      </w:r>
      <w:r w:rsidRPr="00B40A77">
        <w:rPr>
          <w:color w:val="000000" w:themeColor="text1"/>
          <w:lang w:val="en-US"/>
        </w:rPr>
        <w:t xml:space="preserve"> </w:t>
      </w:r>
      <w:r w:rsidRPr="00B40A77">
        <w:rPr>
          <w:i/>
          <w:iCs/>
          <w:color w:val="000000" w:themeColor="text1"/>
        </w:rPr>
        <w:t>Mental Health Act 2016</w:t>
      </w:r>
      <w:r w:rsidRPr="00B40A77">
        <w:rPr>
          <w:color w:val="000000" w:themeColor="text1"/>
          <w:lang w:val="en-US"/>
        </w:rPr>
        <w:t xml:space="preserve"> (presently the Minister for Health and Wellbeing)</w:t>
      </w:r>
      <w:r w:rsidR="007A427A" w:rsidRPr="00B40A77">
        <w:rPr>
          <w:color w:val="000000" w:themeColor="text1"/>
          <w:lang w:val="en-US"/>
        </w:rPr>
        <w:t>;</w:t>
      </w:r>
    </w:p>
    <w:p w14:paraId="2E4B867D" w14:textId="08A714DF" w:rsidR="007A427A" w:rsidRPr="00B40A77" w:rsidRDefault="007A427A" w:rsidP="009B27FB">
      <w:pPr>
        <w:pStyle w:val="Hangindent"/>
        <w:ind w:firstLine="0"/>
        <w:rPr>
          <w:color w:val="000000" w:themeColor="text1"/>
          <w:lang w:val="en-US"/>
        </w:rPr>
      </w:pPr>
      <w:r w:rsidRPr="00B40A77">
        <w:rPr>
          <w:b/>
          <w:bCs/>
          <w:i/>
          <w:iCs/>
          <w:color w:val="000000" w:themeColor="text1"/>
          <w:lang w:val="en-US"/>
        </w:rPr>
        <w:t xml:space="preserve">Part 8A order </w:t>
      </w:r>
      <w:r w:rsidRPr="00B40A77">
        <w:rPr>
          <w:color w:val="000000" w:themeColor="text1"/>
          <w:lang w:val="en-US"/>
        </w:rPr>
        <w:t>means an order made under Part 8A of the Consolidation Act.</w:t>
      </w:r>
    </w:p>
    <w:p w14:paraId="7C1B22D7" w14:textId="7C04F8F0" w:rsidR="00D239B5" w:rsidRPr="00B40A77" w:rsidRDefault="00D239B5" w:rsidP="00D239B5">
      <w:pPr>
        <w:pStyle w:val="Heading4"/>
        <w:rPr>
          <w:color w:val="000000" w:themeColor="text1"/>
        </w:rPr>
      </w:pPr>
      <w:bookmarkStart w:id="989" w:name="_Toc175239293"/>
      <w:r w:rsidRPr="00B40A77">
        <w:rPr>
          <w:color w:val="000000" w:themeColor="text1"/>
        </w:rPr>
        <w:t>16</w:t>
      </w:r>
      <w:r w:rsidR="00E41D2E" w:rsidRPr="00B40A77">
        <w:rPr>
          <w:color w:val="000000" w:themeColor="text1"/>
        </w:rPr>
        <w:t>9</w:t>
      </w:r>
      <w:r w:rsidRPr="00B40A77">
        <w:rPr>
          <w:color w:val="000000" w:themeColor="text1"/>
        </w:rPr>
        <w:t>.2—Order to bring detainee/licensee from institution</w:t>
      </w:r>
      <w:bookmarkEnd w:id="989"/>
    </w:p>
    <w:p w14:paraId="3814845F" w14:textId="77777777" w:rsidR="00D239B5" w:rsidRPr="00B40A77" w:rsidRDefault="00D239B5" w:rsidP="00B90C7E">
      <w:pPr>
        <w:pStyle w:val="Hangindent"/>
        <w:keepNext/>
        <w:ind w:left="567" w:firstLine="0"/>
        <w:rPr>
          <w:color w:val="000000" w:themeColor="text1"/>
          <w:lang w:val="en-US"/>
        </w:rPr>
      </w:pPr>
      <w:r w:rsidRPr="00B40A77">
        <w:rPr>
          <w:color w:val="000000" w:themeColor="text1"/>
          <w:lang w:val="en-US"/>
        </w:rPr>
        <w:t>If the Court makes an order that a detainee or licensee be brought to Court from an institution for the purpose of an application under this Division, a formal order in the prescribed form must be issued and given to the institution.</w:t>
      </w:r>
    </w:p>
    <w:p w14:paraId="06270A81" w14:textId="7EA054FD" w:rsidR="00D239B5" w:rsidRPr="00B40A77" w:rsidRDefault="00D239B5" w:rsidP="00CD1B1D">
      <w:pPr>
        <w:pStyle w:val="NoteHeader"/>
        <w:keepNext/>
        <w:ind w:left="567"/>
        <w:rPr>
          <w:color w:val="000000" w:themeColor="text1"/>
        </w:rPr>
      </w:pPr>
      <w:r w:rsidRPr="00B40A77">
        <w:rPr>
          <w:color w:val="000000" w:themeColor="text1"/>
        </w:rPr>
        <w:t>Prescribed form—</w:t>
      </w:r>
    </w:p>
    <w:p w14:paraId="7DCB5224" w14:textId="60D916DB" w:rsidR="00D239B5" w:rsidRPr="00B40A77" w:rsidRDefault="00D239B5" w:rsidP="002521D4">
      <w:pPr>
        <w:pStyle w:val="NoteText"/>
        <w:ind w:left="851"/>
        <w:rPr>
          <w:color w:val="000000" w:themeColor="text1"/>
        </w:rPr>
      </w:pPr>
      <w:r w:rsidRPr="00B40A77">
        <w:rPr>
          <w:color w:val="000000" w:themeColor="text1"/>
        </w:rPr>
        <w:t xml:space="preserve">Form 174F </w:t>
      </w:r>
      <w:hyperlink r:id="rId346" w:history="1">
        <w:r w:rsidRPr="00B40A77">
          <w:rPr>
            <w:rStyle w:val="Hyperlink"/>
            <w:color w:val="000000" w:themeColor="text1"/>
          </w:rPr>
          <w:t xml:space="preserve">Order </w:t>
        </w:r>
        <w:r w:rsidR="002521D4" w:rsidRPr="00B40A77">
          <w:rPr>
            <w:rStyle w:val="Hyperlink"/>
            <w:color w:val="000000" w:themeColor="text1"/>
          </w:rPr>
          <w:t>–</w:t>
        </w:r>
        <w:r w:rsidRPr="00B40A77">
          <w:rPr>
            <w:rStyle w:val="Hyperlink"/>
            <w:color w:val="000000" w:themeColor="text1"/>
          </w:rPr>
          <w:t xml:space="preserve"> Bring Detainee or Licensee from an Institution</w:t>
        </w:r>
      </w:hyperlink>
    </w:p>
    <w:p w14:paraId="758DAACC" w14:textId="77777777" w:rsidR="00234624" w:rsidRPr="00B40A77" w:rsidRDefault="00234624" w:rsidP="00234624">
      <w:pPr>
        <w:pStyle w:val="Heading3"/>
        <w:rPr>
          <w:color w:val="000000" w:themeColor="text1"/>
        </w:rPr>
      </w:pPr>
      <w:bookmarkStart w:id="990" w:name="_Toc175239294"/>
      <w:r w:rsidRPr="00B40A77">
        <w:rPr>
          <w:color w:val="000000" w:themeColor="text1"/>
        </w:rPr>
        <w:t>Division 2—Review order</w:t>
      </w:r>
      <w:bookmarkEnd w:id="990"/>
    </w:p>
    <w:p w14:paraId="56DE3F8E" w14:textId="442593CD" w:rsidR="00234624" w:rsidRPr="00B40A77" w:rsidRDefault="00234624" w:rsidP="00234624">
      <w:pPr>
        <w:pStyle w:val="Heading4"/>
        <w:rPr>
          <w:color w:val="000000" w:themeColor="text1"/>
        </w:rPr>
      </w:pPr>
      <w:bookmarkStart w:id="991" w:name="_Toc175239295"/>
      <w:r w:rsidRPr="00B40A77">
        <w:rPr>
          <w:color w:val="000000" w:themeColor="text1"/>
        </w:rPr>
        <w:t>1</w:t>
      </w:r>
      <w:r w:rsidR="00E41D2E" w:rsidRPr="00B40A77">
        <w:rPr>
          <w:color w:val="000000" w:themeColor="text1"/>
        </w:rPr>
        <w:t>70</w:t>
      </w:r>
      <w:r w:rsidRPr="00B40A77">
        <w:rPr>
          <w:color w:val="000000" w:themeColor="text1"/>
        </w:rPr>
        <w:t>.1—Application to review mental impairment order</w:t>
      </w:r>
      <w:bookmarkEnd w:id="991"/>
    </w:p>
    <w:p w14:paraId="273916B6" w14:textId="034EB17E" w:rsidR="00234624" w:rsidRPr="00B40A77" w:rsidRDefault="00234624"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by the </w:t>
      </w:r>
      <w:r w:rsidR="003519E8" w:rsidRPr="00B40A77">
        <w:rPr>
          <w:color w:val="000000" w:themeColor="text1"/>
          <w:lang w:val="en-US"/>
        </w:rPr>
        <w:t>Crown</w:t>
      </w:r>
      <w:r w:rsidRPr="00B40A77">
        <w:rPr>
          <w:color w:val="000000" w:themeColor="text1"/>
          <w:lang w:val="en-US"/>
        </w:rPr>
        <w:t xml:space="preserve"> </w:t>
      </w:r>
      <w:r w:rsidR="00CB6BFD" w:rsidRPr="00B40A77">
        <w:rPr>
          <w:color w:val="000000" w:themeColor="text1"/>
          <w:lang w:val="en-US"/>
        </w:rPr>
        <w:t xml:space="preserve">under </w:t>
      </w:r>
      <w:r w:rsidR="00CB6BFD" w:rsidRPr="00B40A77">
        <w:rPr>
          <w:rFonts w:cs="Arial"/>
          <w:color w:val="000000" w:themeColor="text1"/>
        </w:rPr>
        <w:t>section</w:t>
      </w:r>
      <w:r w:rsidR="00EF1FED" w:rsidRPr="00B40A77">
        <w:rPr>
          <w:rFonts w:cs="Arial"/>
          <w:color w:val="000000" w:themeColor="text1"/>
        </w:rPr>
        <w:t> </w:t>
      </w:r>
      <w:r w:rsidR="00CB6BFD" w:rsidRPr="00B40A77">
        <w:rPr>
          <w:rFonts w:cs="Arial"/>
          <w:color w:val="000000" w:themeColor="text1"/>
        </w:rPr>
        <w:t>269NDA or</w:t>
      </w:r>
      <w:r w:rsidR="00EF1FED" w:rsidRPr="00B40A77">
        <w:rPr>
          <w:rFonts w:cs="Arial"/>
          <w:color w:val="000000" w:themeColor="text1"/>
        </w:rPr>
        <w:t> </w:t>
      </w:r>
      <w:r w:rsidR="00CB6BFD" w:rsidRPr="00B40A77">
        <w:rPr>
          <w:rFonts w:cs="Arial"/>
          <w:color w:val="000000" w:themeColor="text1"/>
        </w:rPr>
        <w:t xml:space="preserve">269U </w:t>
      </w:r>
      <w:r w:rsidR="00CB6BFD" w:rsidRPr="00B40A77">
        <w:rPr>
          <w:color w:val="000000" w:themeColor="text1"/>
          <w:lang w:val="en-US"/>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to review a </w:t>
      </w:r>
      <w:hyperlink w:anchor="_169.1—Definitions" w:history="1">
        <w:r w:rsidRPr="00B40A77">
          <w:rPr>
            <w:rStyle w:val="Hyperlink"/>
            <w:color w:val="000000" w:themeColor="text1"/>
            <w:lang w:val="en-US"/>
          </w:rPr>
          <w:t>Part</w:t>
        </w:r>
        <w:r w:rsidR="00BA2D1F" w:rsidRPr="00B40A77">
          <w:rPr>
            <w:rStyle w:val="Hyperlink"/>
            <w:color w:val="000000" w:themeColor="text1"/>
            <w:lang w:val="en-US"/>
          </w:rPr>
          <w:t> </w:t>
        </w:r>
        <w:r w:rsidRPr="00B40A77">
          <w:rPr>
            <w:rStyle w:val="Hyperlink"/>
            <w:color w:val="000000" w:themeColor="text1"/>
            <w:lang w:val="en-US"/>
          </w:rPr>
          <w:t>8A order</w:t>
        </w:r>
      </w:hyperlink>
      <w:r w:rsidRPr="00B40A77">
        <w:rPr>
          <w:color w:val="000000" w:themeColor="text1"/>
          <w:lang w:val="en-US"/>
        </w:rPr>
        <w:t xml:space="preserve"> </w:t>
      </w:r>
      <w:r w:rsidR="00CB6BFD" w:rsidRPr="00B40A77">
        <w:rPr>
          <w:color w:val="000000" w:themeColor="text1"/>
          <w:lang w:val="en-US"/>
        </w:rPr>
        <w:t xml:space="preserve">made against a person (the </w:t>
      </w:r>
      <w:r w:rsidR="00CB6BFD" w:rsidRPr="00B40A77">
        <w:rPr>
          <w:b/>
          <w:bCs/>
          <w:i/>
          <w:iCs/>
          <w:color w:val="000000" w:themeColor="text1"/>
          <w:lang w:val="en-US"/>
        </w:rPr>
        <w:t>subject</w:t>
      </w:r>
      <w:r w:rsidR="00CB6BFD" w:rsidRPr="00B40A77">
        <w:rPr>
          <w:color w:val="000000" w:themeColor="text1"/>
          <w:lang w:val="en-US"/>
        </w:rPr>
        <w:t xml:space="preserve">) </w:t>
      </w:r>
      <w:r w:rsidRPr="00B40A77">
        <w:rPr>
          <w:color w:val="000000" w:themeColor="text1"/>
          <w:lang w:val="en-US"/>
        </w:rPr>
        <w:t xml:space="preserve">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5428FBB7" w14:textId="77777777" w:rsidR="00234624" w:rsidRPr="00B40A77" w:rsidRDefault="00234624" w:rsidP="002B7732">
      <w:pPr>
        <w:pStyle w:val="NoteHeader"/>
        <w:keepNext/>
        <w:rPr>
          <w:color w:val="000000" w:themeColor="text1"/>
        </w:rPr>
      </w:pPr>
      <w:r w:rsidRPr="00B40A77">
        <w:rPr>
          <w:color w:val="000000" w:themeColor="text1"/>
        </w:rPr>
        <w:t>Prescribed form—</w:t>
      </w:r>
    </w:p>
    <w:p w14:paraId="434D6CC7" w14:textId="7CFBF1C2" w:rsidR="00234624" w:rsidRPr="00B40A77" w:rsidRDefault="00234624" w:rsidP="00BC23E5">
      <w:pPr>
        <w:pStyle w:val="NoteText"/>
        <w:rPr>
          <w:color w:val="000000" w:themeColor="text1"/>
          <w:lang w:val="en-US"/>
        </w:rPr>
      </w:pPr>
      <w:r w:rsidRPr="00B40A77">
        <w:rPr>
          <w:color w:val="000000" w:themeColor="text1"/>
        </w:rPr>
        <w:t>Form 171</w:t>
      </w:r>
      <w:r w:rsidR="00E22E65" w:rsidRPr="00B40A77">
        <w:rPr>
          <w:color w:val="000000" w:themeColor="text1"/>
        </w:rPr>
        <w:t>G</w:t>
      </w:r>
      <w:r w:rsidRPr="00B40A77">
        <w:rPr>
          <w:color w:val="000000" w:themeColor="text1"/>
        </w:rPr>
        <w:t xml:space="preserve"> </w:t>
      </w:r>
      <w:hyperlink r:id="rId347" w:history="1">
        <w:r w:rsidR="00FC1FD3" w:rsidRPr="00B40A77">
          <w:rPr>
            <w:rStyle w:val="Hyperlink"/>
            <w:color w:val="000000" w:themeColor="text1"/>
            <w:lang w:val="en-US"/>
          </w:rPr>
          <w:t xml:space="preserve">Originating </w:t>
        </w:r>
        <w:r w:rsidRPr="00B40A77">
          <w:rPr>
            <w:rStyle w:val="Hyperlink"/>
            <w:color w:val="000000" w:themeColor="text1"/>
            <w:lang w:val="en-US"/>
          </w:rPr>
          <w:t xml:space="preserve">Application for </w:t>
        </w:r>
        <w:r w:rsidRPr="00B40A77">
          <w:rPr>
            <w:rStyle w:val="Hyperlink"/>
            <w:color w:val="000000" w:themeColor="text1"/>
          </w:rPr>
          <w:t>Review, Variation or Revocation of Part 8A Criminal Law Consolidation Act Order</w:t>
        </w:r>
      </w:hyperlink>
    </w:p>
    <w:p w14:paraId="587D78BD" w14:textId="54D5C858" w:rsidR="002C4B3E" w:rsidRPr="00B40A77" w:rsidRDefault="002C4B3E" w:rsidP="002C4B3E">
      <w:pPr>
        <w:pStyle w:val="Hangindent"/>
        <w:rPr>
          <w:color w:val="000000" w:themeColor="text1"/>
          <w:lang w:val="en-US"/>
        </w:rPr>
      </w:pPr>
      <w:r w:rsidRPr="00B40A77">
        <w:rPr>
          <w:color w:val="000000" w:themeColor="text1"/>
        </w:rPr>
        <w:t>(</w:t>
      </w:r>
      <w:r w:rsidR="00CB6BFD" w:rsidRPr="00B40A77">
        <w:rPr>
          <w:color w:val="000000" w:themeColor="text1"/>
        </w:rPr>
        <w:t>2</w:t>
      </w:r>
      <w:r w:rsidRPr="00B40A77">
        <w:rPr>
          <w:color w:val="000000" w:themeColor="text1"/>
        </w:rPr>
        <w:t>)</w:t>
      </w:r>
      <w:r w:rsidRPr="00B40A77">
        <w:rPr>
          <w:color w:val="000000" w:themeColor="text1"/>
        </w:rPr>
        <w:tab/>
        <w:t>The applicant must</w:t>
      </w:r>
      <w:r w:rsidRPr="00B40A77">
        <w:rPr>
          <w:color w:val="000000" w:themeColor="text1"/>
          <w:lang w:val="en-US"/>
        </w:rPr>
        <w:t xml:space="preserve"> join the </w:t>
      </w:r>
      <w:r w:rsidRPr="00B40A77">
        <w:rPr>
          <w:color w:val="000000" w:themeColor="text1"/>
          <w:u w:val="single"/>
          <w:lang w:val="en-US"/>
        </w:rPr>
        <w:t xml:space="preserve">subject </w:t>
      </w:r>
      <w:r w:rsidRPr="00B40A77">
        <w:rPr>
          <w:color w:val="000000" w:themeColor="text1"/>
          <w:lang w:val="en-US"/>
        </w:rPr>
        <w:t xml:space="preserve">as </w:t>
      </w:r>
      <w:r w:rsidR="00CB6BFD" w:rsidRPr="00B40A77">
        <w:rPr>
          <w:color w:val="000000" w:themeColor="text1"/>
          <w:lang w:val="en-US"/>
        </w:rPr>
        <w:t xml:space="preserve">the </w:t>
      </w:r>
      <w:r w:rsidRPr="00B40A77">
        <w:rPr>
          <w:color w:val="000000" w:themeColor="text1"/>
          <w:lang w:val="en-US"/>
        </w:rPr>
        <w:t>respondent</w:t>
      </w:r>
      <w:r w:rsidR="00CB6BFD" w:rsidRPr="00B40A77">
        <w:rPr>
          <w:color w:val="000000" w:themeColor="text1"/>
          <w:lang w:val="en-US"/>
        </w:rPr>
        <w:t>.</w:t>
      </w:r>
    </w:p>
    <w:p w14:paraId="64160CB8" w14:textId="2652277F" w:rsidR="00234624" w:rsidRPr="00B40A77" w:rsidRDefault="00234624" w:rsidP="00B90C7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An application by the </w:t>
      </w:r>
      <w:hyperlink w:anchor="_169.1—Definitions" w:history="1">
        <w:r w:rsidRPr="00B40A77">
          <w:rPr>
            <w:rStyle w:val="Hyperlink"/>
            <w:color w:val="000000" w:themeColor="text1"/>
            <w:lang w:val="en-US"/>
          </w:rPr>
          <w:t xml:space="preserve">Minister </w:t>
        </w:r>
        <w:r w:rsidR="009E6B4E" w:rsidRPr="00B40A77">
          <w:rPr>
            <w:rStyle w:val="Hyperlink"/>
            <w:color w:val="000000" w:themeColor="text1"/>
            <w:lang w:val="en-US"/>
          </w:rPr>
          <w:t xml:space="preserve">for </w:t>
        </w:r>
        <w:r w:rsidRPr="00B40A77">
          <w:rPr>
            <w:rStyle w:val="Hyperlink"/>
            <w:color w:val="000000" w:themeColor="text1"/>
            <w:lang w:val="en-US"/>
          </w:rPr>
          <w:t>Health</w:t>
        </w:r>
      </w:hyperlink>
      <w:r w:rsidR="009E6B4E" w:rsidRPr="00B40A77">
        <w:rPr>
          <w:color w:val="000000" w:themeColor="text1"/>
          <w:lang w:val="en-US"/>
        </w:rPr>
        <w:t xml:space="preserve"> </w:t>
      </w:r>
      <w:r w:rsidR="00CB6BFD" w:rsidRPr="00B40A77">
        <w:rPr>
          <w:color w:val="000000" w:themeColor="text1"/>
          <w:lang w:val="en-US"/>
        </w:rPr>
        <w:t xml:space="preserve">under </w:t>
      </w:r>
      <w:r w:rsidR="00CB6BFD" w:rsidRPr="00B40A77">
        <w:rPr>
          <w:rFonts w:cs="Arial"/>
          <w:color w:val="000000" w:themeColor="text1"/>
        </w:rPr>
        <w:t>former section</w:t>
      </w:r>
      <w:r w:rsidR="00EF1FED" w:rsidRPr="00B40A77">
        <w:rPr>
          <w:rFonts w:cs="Arial"/>
          <w:color w:val="000000" w:themeColor="text1"/>
        </w:rPr>
        <w:t> </w:t>
      </w:r>
      <w:r w:rsidR="00CB6BFD" w:rsidRPr="00B40A77">
        <w:rPr>
          <w:rFonts w:cs="Arial"/>
          <w:color w:val="000000" w:themeColor="text1"/>
        </w:rPr>
        <w:t xml:space="preserve">293A(17) </w:t>
      </w:r>
      <w:r w:rsidR="00CB6BFD" w:rsidRPr="00B40A77">
        <w:rPr>
          <w:color w:val="000000" w:themeColor="text1"/>
          <w:lang w:val="en-US"/>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to review a </w:t>
      </w:r>
      <w:hyperlink w:anchor="_169.1—Definitions" w:history="1">
        <w:r w:rsidRPr="00B40A77">
          <w:rPr>
            <w:rStyle w:val="Hyperlink"/>
            <w:color w:val="000000" w:themeColor="text1"/>
            <w:lang w:val="en-US"/>
          </w:rPr>
          <w:t>former section</w:t>
        </w:r>
        <w:r w:rsidR="00EF1FED" w:rsidRPr="00B40A77">
          <w:rPr>
            <w:rStyle w:val="Hyperlink"/>
            <w:color w:val="000000" w:themeColor="text1"/>
            <w:lang w:val="en-US"/>
          </w:rPr>
          <w:t> </w:t>
        </w:r>
        <w:r w:rsidRPr="00B40A77">
          <w:rPr>
            <w:rStyle w:val="Hyperlink"/>
            <w:color w:val="000000" w:themeColor="text1"/>
            <w:lang w:val="en-US"/>
          </w:rPr>
          <w:t>293A order</w:t>
        </w:r>
      </w:hyperlink>
      <w:r w:rsidRPr="00B40A77">
        <w:rPr>
          <w:color w:val="000000" w:themeColor="text1"/>
          <w:lang w:val="en-US"/>
        </w:rPr>
        <w:t xml:space="preserve"> </w:t>
      </w:r>
      <w:r w:rsidR="00CB6BFD" w:rsidRPr="00B40A77">
        <w:rPr>
          <w:color w:val="000000" w:themeColor="text1"/>
          <w:lang w:val="en-US"/>
        </w:rPr>
        <w:t xml:space="preserve">made against a person (the </w:t>
      </w:r>
      <w:r w:rsidR="00CB6BFD" w:rsidRPr="00B40A77">
        <w:rPr>
          <w:b/>
          <w:bCs/>
          <w:i/>
          <w:iCs/>
          <w:color w:val="000000" w:themeColor="text1"/>
          <w:lang w:val="en-US"/>
        </w:rPr>
        <w:t>subject</w:t>
      </w:r>
      <w:r w:rsidR="00CB6BFD" w:rsidRPr="00B40A77">
        <w:rPr>
          <w:color w:val="000000" w:themeColor="text1"/>
          <w:lang w:val="en-US"/>
        </w:rPr>
        <w:t xml:space="preserve">) </w:t>
      </w:r>
      <w:r w:rsidRPr="00B40A77">
        <w:rPr>
          <w:color w:val="000000" w:themeColor="text1"/>
          <w:lang w:val="en-US"/>
        </w:rPr>
        <w:t>must be made by an application in the prescribed form.</w:t>
      </w:r>
    </w:p>
    <w:p w14:paraId="3CF2DF16" w14:textId="77777777" w:rsidR="00234624" w:rsidRPr="00B40A77" w:rsidRDefault="00234624" w:rsidP="00B90C7E">
      <w:pPr>
        <w:pStyle w:val="NoteHeader"/>
        <w:keepNext/>
        <w:rPr>
          <w:color w:val="000000" w:themeColor="text1"/>
        </w:rPr>
      </w:pPr>
      <w:r w:rsidRPr="00B40A77">
        <w:rPr>
          <w:color w:val="000000" w:themeColor="text1"/>
        </w:rPr>
        <w:t>Prescribed form—</w:t>
      </w:r>
    </w:p>
    <w:p w14:paraId="4C652C94" w14:textId="38C1F91F" w:rsidR="00234624" w:rsidRPr="00B40A77" w:rsidRDefault="00234624" w:rsidP="00BC23E5">
      <w:pPr>
        <w:pStyle w:val="NoteText"/>
        <w:rPr>
          <w:color w:val="000000" w:themeColor="text1"/>
        </w:rPr>
      </w:pPr>
      <w:r w:rsidRPr="00B40A77">
        <w:rPr>
          <w:color w:val="000000" w:themeColor="text1"/>
        </w:rPr>
        <w:t>Form 171</w:t>
      </w:r>
      <w:r w:rsidR="00E22E65" w:rsidRPr="00B40A77">
        <w:rPr>
          <w:color w:val="000000" w:themeColor="text1"/>
        </w:rPr>
        <w:t>H</w:t>
      </w:r>
      <w:r w:rsidRPr="00B40A77">
        <w:rPr>
          <w:color w:val="000000" w:themeColor="text1"/>
        </w:rPr>
        <w:t xml:space="preserve"> </w:t>
      </w:r>
      <w:hyperlink r:id="rId348" w:history="1">
        <w:r w:rsidRPr="00B40A77">
          <w:rPr>
            <w:rStyle w:val="Hyperlink"/>
            <w:color w:val="000000" w:themeColor="text1"/>
          </w:rPr>
          <w:t xml:space="preserve">Application for Variation, Cancellation or Review of Release on Licence pursuant to </w:t>
        </w:r>
        <w:r w:rsidR="00E22E65" w:rsidRPr="00B40A77">
          <w:rPr>
            <w:rStyle w:val="Hyperlink"/>
            <w:color w:val="000000" w:themeColor="text1"/>
          </w:rPr>
          <w:t xml:space="preserve">former </w:t>
        </w:r>
        <w:r w:rsidRPr="00B40A77">
          <w:rPr>
            <w:rStyle w:val="Hyperlink"/>
            <w:color w:val="000000" w:themeColor="text1"/>
          </w:rPr>
          <w:t>s</w:t>
        </w:r>
        <w:r w:rsidR="00E22E65" w:rsidRPr="00B40A77">
          <w:rPr>
            <w:rStyle w:val="Hyperlink"/>
            <w:color w:val="000000" w:themeColor="text1"/>
          </w:rPr>
          <w:t>ection</w:t>
        </w:r>
        <w:r w:rsidRPr="00B40A77">
          <w:rPr>
            <w:rStyle w:val="Hyperlink"/>
            <w:color w:val="000000" w:themeColor="text1"/>
          </w:rPr>
          <w:t xml:space="preserve"> 293A Criminal Law Consolidation Act</w:t>
        </w:r>
      </w:hyperlink>
    </w:p>
    <w:p w14:paraId="10CB94CC" w14:textId="2749C9F7" w:rsidR="00CB6BFD" w:rsidRPr="00B40A77" w:rsidRDefault="00CB6BFD" w:rsidP="00CB6BFD">
      <w:pPr>
        <w:pStyle w:val="Hangindent"/>
        <w:rPr>
          <w:color w:val="000000" w:themeColor="text1"/>
          <w:lang w:val="en-US"/>
        </w:rPr>
      </w:pPr>
      <w:r w:rsidRPr="00B40A77">
        <w:rPr>
          <w:color w:val="000000" w:themeColor="text1"/>
        </w:rPr>
        <w:t>(</w:t>
      </w:r>
      <w:r w:rsidR="002C4F34" w:rsidRPr="00B40A77">
        <w:rPr>
          <w:color w:val="000000" w:themeColor="text1"/>
        </w:rPr>
        <w:t>4</w:t>
      </w:r>
      <w:r w:rsidRPr="00B40A77">
        <w:rPr>
          <w:color w:val="000000" w:themeColor="text1"/>
        </w:rPr>
        <w:t>)</w:t>
      </w:r>
      <w:r w:rsidRPr="00B40A77">
        <w:rPr>
          <w:color w:val="000000" w:themeColor="text1"/>
        </w:rPr>
        <w:tab/>
        <w:t>The applicant 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and the Director as respondents.</w:t>
      </w:r>
    </w:p>
    <w:p w14:paraId="248419E7" w14:textId="38DB65FE" w:rsidR="00234624" w:rsidRPr="00B40A77" w:rsidRDefault="00234624" w:rsidP="00234624">
      <w:pPr>
        <w:pStyle w:val="Heading4"/>
        <w:rPr>
          <w:color w:val="000000" w:themeColor="text1"/>
        </w:rPr>
      </w:pPr>
      <w:bookmarkStart w:id="992" w:name="_Toc175239296"/>
      <w:r w:rsidRPr="00B40A77">
        <w:rPr>
          <w:color w:val="000000" w:themeColor="text1"/>
        </w:rPr>
        <w:t>1</w:t>
      </w:r>
      <w:r w:rsidR="00E41D2E" w:rsidRPr="00B40A77">
        <w:rPr>
          <w:color w:val="000000" w:themeColor="text1"/>
        </w:rPr>
        <w:t>70</w:t>
      </w:r>
      <w:r w:rsidRPr="00B40A77">
        <w:rPr>
          <w:color w:val="000000" w:themeColor="text1"/>
        </w:rPr>
        <w:t>.2—Order on application to review mental impairment</w:t>
      </w:r>
      <w:bookmarkEnd w:id="992"/>
    </w:p>
    <w:p w14:paraId="7AE2680A" w14:textId="1367B224" w:rsidR="00234624" w:rsidRPr="00B40A77" w:rsidRDefault="00234624" w:rsidP="00B90C7E">
      <w:pPr>
        <w:pStyle w:val="IndentedPara"/>
        <w:keepNext/>
        <w:ind w:left="1134" w:hanging="567"/>
        <w:rPr>
          <w:color w:val="000000" w:themeColor="text1"/>
        </w:rPr>
      </w:pPr>
      <w:r w:rsidRPr="00B40A77">
        <w:rPr>
          <w:color w:val="000000" w:themeColor="text1"/>
        </w:rPr>
        <w:t>(1)</w:t>
      </w:r>
      <w:r w:rsidRPr="00B40A77">
        <w:rPr>
          <w:color w:val="000000" w:themeColor="text1"/>
        </w:rPr>
        <w:tab/>
      </w:r>
      <w:r w:rsidRPr="00B40A77">
        <w:rPr>
          <w:color w:val="000000" w:themeColor="text1"/>
        </w:rPr>
        <w:tab/>
        <w:t xml:space="preserve">The written record of an order on an application to review a </w:t>
      </w:r>
      <w:hyperlink w:anchor="_169.1—Definitions" w:history="1">
        <w:r w:rsidR="00A36711" w:rsidRPr="00B40A77">
          <w:rPr>
            <w:rStyle w:val="Hyperlink"/>
            <w:color w:val="000000" w:themeColor="text1"/>
          </w:rPr>
          <w:t>Part 8A order</w:t>
        </w:r>
      </w:hyperlink>
      <w:r w:rsidRPr="00B40A77">
        <w:rPr>
          <w:color w:val="000000" w:themeColor="text1"/>
        </w:rPr>
        <w:t xml:space="preserve"> or </w:t>
      </w:r>
      <w:hyperlink w:anchor="_169.1—Definitions" w:history="1">
        <w:r w:rsidR="00A36711" w:rsidRPr="00B40A77">
          <w:rPr>
            <w:rStyle w:val="Hyperlink"/>
            <w:color w:val="000000" w:themeColor="text1"/>
          </w:rPr>
          <w:t>former section 293A order</w:t>
        </w:r>
      </w:hyperlink>
      <w:r w:rsidRPr="00B40A77">
        <w:rPr>
          <w:color w:val="000000" w:themeColor="text1"/>
        </w:rPr>
        <w:t xml:space="preserve"> must be in the prescribed form.</w:t>
      </w:r>
    </w:p>
    <w:p w14:paraId="5ABE3F84" w14:textId="2CAECA94" w:rsidR="00234624" w:rsidRPr="00B40A77" w:rsidRDefault="00234624" w:rsidP="00B90C7E">
      <w:pPr>
        <w:pStyle w:val="NoteHeader"/>
        <w:keepNext/>
        <w:rPr>
          <w:color w:val="000000" w:themeColor="text1"/>
        </w:rPr>
      </w:pPr>
      <w:r w:rsidRPr="00B40A77">
        <w:rPr>
          <w:color w:val="000000" w:themeColor="text1"/>
        </w:rPr>
        <w:t>Prescribed form—</w:t>
      </w:r>
    </w:p>
    <w:p w14:paraId="4F979CC5" w14:textId="0C29C6C1" w:rsidR="00234624" w:rsidRPr="00B40A77" w:rsidRDefault="00234624" w:rsidP="00234624">
      <w:pPr>
        <w:pStyle w:val="NoteText"/>
        <w:rPr>
          <w:color w:val="000000" w:themeColor="text1"/>
        </w:rPr>
      </w:pPr>
      <w:r w:rsidRPr="00B40A77">
        <w:rPr>
          <w:color w:val="000000" w:themeColor="text1"/>
        </w:rPr>
        <w:t xml:space="preserve">Form </w:t>
      </w:r>
      <w:r w:rsidR="006D25C3" w:rsidRPr="00B40A77">
        <w:rPr>
          <w:color w:val="000000" w:themeColor="text1"/>
        </w:rPr>
        <w:t xml:space="preserve">173 </w:t>
      </w:r>
      <w:hyperlink r:id="rId349" w:history="1">
        <w:r w:rsidRPr="00B40A77">
          <w:rPr>
            <w:rStyle w:val="Hyperlink"/>
            <w:color w:val="000000" w:themeColor="text1"/>
          </w:rPr>
          <w:t>Record of Outcome</w:t>
        </w:r>
      </w:hyperlink>
      <w:r w:rsidRPr="00B40A77">
        <w:rPr>
          <w:color w:val="000000" w:themeColor="text1"/>
        </w:rPr>
        <w:t xml:space="preserve"> </w:t>
      </w:r>
    </w:p>
    <w:p w14:paraId="5A96AC73" w14:textId="77777777" w:rsidR="00234624" w:rsidRPr="00B40A77" w:rsidRDefault="00234624" w:rsidP="00B90C7E">
      <w:pPr>
        <w:pStyle w:val="Hangindent"/>
        <w:keepNext/>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If the Court makes </w:t>
      </w:r>
      <w:r w:rsidRPr="00B40A77">
        <w:rPr>
          <w:color w:val="000000" w:themeColor="text1"/>
        </w:rPr>
        <w:t>a substantive order</w:t>
      </w:r>
      <w:r w:rsidRPr="00B40A77">
        <w:rPr>
          <w:color w:val="000000" w:themeColor="text1"/>
          <w:lang w:val="en-US"/>
        </w:rPr>
        <w:t xml:space="preserve"> on the review, a formal order in the prescribed form must be issued.</w:t>
      </w:r>
    </w:p>
    <w:p w14:paraId="61629B81" w14:textId="02DE7EB0" w:rsidR="00234624" w:rsidRPr="00B40A77" w:rsidRDefault="00234624" w:rsidP="00B90C7E">
      <w:pPr>
        <w:pStyle w:val="NoteHeader"/>
        <w:keepNext/>
        <w:rPr>
          <w:color w:val="000000" w:themeColor="text1"/>
        </w:rPr>
      </w:pPr>
      <w:r w:rsidRPr="00B40A77">
        <w:rPr>
          <w:color w:val="000000" w:themeColor="text1"/>
        </w:rPr>
        <w:t>Prescribed forms—</w:t>
      </w:r>
    </w:p>
    <w:p w14:paraId="1EF49B00" w14:textId="39BA8C04" w:rsidR="00234624" w:rsidRPr="00B40A77" w:rsidRDefault="00234624" w:rsidP="00B90C7E">
      <w:pPr>
        <w:pStyle w:val="NoteText"/>
        <w:keepNext/>
        <w:rPr>
          <w:color w:val="000000" w:themeColor="text1"/>
        </w:rPr>
      </w:pPr>
      <w:r w:rsidRPr="00B40A77">
        <w:rPr>
          <w:color w:val="000000" w:themeColor="text1"/>
        </w:rPr>
        <w:t>Form 17</w:t>
      </w:r>
      <w:r w:rsidR="00E22E65" w:rsidRPr="00B40A77">
        <w:rPr>
          <w:color w:val="000000" w:themeColor="text1"/>
        </w:rPr>
        <w:t>4D</w:t>
      </w:r>
      <w:r w:rsidRPr="00B40A77">
        <w:rPr>
          <w:color w:val="000000" w:themeColor="text1"/>
        </w:rPr>
        <w:t xml:space="preserve"> </w:t>
      </w:r>
      <w:hyperlink r:id="rId350" w:history="1">
        <w:r w:rsidRPr="00B40A77">
          <w:rPr>
            <w:rStyle w:val="Hyperlink"/>
            <w:color w:val="000000" w:themeColor="text1"/>
          </w:rPr>
          <w:t>Order – Confirmation, Variation or Revocation of Part 8A Criminal Law Consolidation Act Order</w:t>
        </w:r>
      </w:hyperlink>
    </w:p>
    <w:p w14:paraId="28EB217F" w14:textId="449A4E3E" w:rsidR="00234624" w:rsidRPr="00B40A77" w:rsidRDefault="00234624" w:rsidP="00234624">
      <w:pPr>
        <w:pStyle w:val="NoteText"/>
        <w:rPr>
          <w:color w:val="000000" w:themeColor="text1"/>
        </w:rPr>
      </w:pPr>
      <w:r w:rsidRPr="00B40A77">
        <w:rPr>
          <w:color w:val="000000" w:themeColor="text1"/>
        </w:rPr>
        <w:t>Form 17</w:t>
      </w:r>
      <w:r w:rsidR="00E22E65" w:rsidRPr="00B40A77">
        <w:rPr>
          <w:color w:val="000000" w:themeColor="text1"/>
        </w:rPr>
        <w:t>4</w:t>
      </w:r>
      <w:r w:rsidRPr="00B40A77">
        <w:rPr>
          <w:color w:val="000000" w:themeColor="text1"/>
        </w:rPr>
        <w:t xml:space="preserve">C </w:t>
      </w:r>
      <w:hyperlink r:id="rId351" w:history="1">
        <w:r w:rsidRPr="00B40A77">
          <w:rPr>
            <w:rStyle w:val="Hyperlink"/>
            <w:color w:val="000000" w:themeColor="text1"/>
          </w:rPr>
          <w:t xml:space="preserve">Order – Confirmation, Variation or Cancellation of </w:t>
        </w:r>
        <w:r w:rsidR="00E22E65" w:rsidRPr="00B40A77">
          <w:rPr>
            <w:rStyle w:val="Hyperlink"/>
            <w:color w:val="000000" w:themeColor="text1"/>
          </w:rPr>
          <w:t>former section</w:t>
        </w:r>
        <w:r w:rsidRPr="00B40A77">
          <w:rPr>
            <w:rStyle w:val="Hyperlink"/>
            <w:color w:val="000000" w:themeColor="text1"/>
          </w:rPr>
          <w:t xml:space="preserve"> 293A Order</w:t>
        </w:r>
      </w:hyperlink>
    </w:p>
    <w:p w14:paraId="5F70DE73" w14:textId="77777777" w:rsidR="00234624" w:rsidRPr="00B40A77" w:rsidRDefault="00234624" w:rsidP="00234624">
      <w:pPr>
        <w:pStyle w:val="Heading3"/>
        <w:rPr>
          <w:color w:val="000000" w:themeColor="text1"/>
        </w:rPr>
      </w:pPr>
      <w:bookmarkStart w:id="993" w:name="_Toc175239297"/>
      <w:r w:rsidRPr="00B40A77">
        <w:rPr>
          <w:color w:val="000000" w:themeColor="text1"/>
        </w:rPr>
        <w:t>Division 3— Vary or revoke order</w:t>
      </w:r>
      <w:bookmarkEnd w:id="993"/>
    </w:p>
    <w:p w14:paraId="0812CF67" w14:textId="0513CE38" w:rsidR="00234624" w:rsidRPr="00B40A77" w:rsidRDefault="00234624" w:rsidP="00234624">
      <w:pPr>
        <w:pStyle w:val="Heading4"/>
        <w:rPr>
          <w:color w:val="000000" w:themeColor="text1"/>
        </w:rPr>
      </w:pPr>
      <w:bookmarkStart w:id="994" w:name="_Toc175239298"/>
      <w:r w:rsidRPr="00B40A77">
        <w:rPr>
          <w:color w:val="000000" w:themeColor="text1"/>
        </w:rPr>
        <w:t>1</w:t>
      </w:r>
      <w:r w:rsidR="009D1D11" w:rsidRPr="00B40A77">
        <w:rPr>
          <w:color w:val="000000" w:themeColor="text1"/>
        </w:rPr>
        <w:t>7</w:t>
      </w:r>
      <w:r w:rsidR="00E41D2E" w:rsidRPr="00B40A77">
        <w:rPr>
          <w:color w:val="000000" w:themeColor="text1"/>
        </w:rPr>
        <w:t>1</w:t>
      </w:r>
      <w:r w:rsidRPr="00B40A77">
        <w:rPr>
          <w:color w:val="000000" w:themeColor="text1"/>
        </w:rPr>
        <w:t>.1—Application to vary or revoke order</w:t>
      </w:r>
      <w:bookmarkEnd w:id="994"/>
    </w:p>
    <w:p w14:paraId="54AB4BED" w14:textId="6EB883BA" w:rsidR="00234624" w:rsidRPr="00B40A77" w:rsidRDefault="00234624"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w:t>
      </w:r>
      <w:r w:rsidR="002C4F34" w:rsidRPr="00B40A77">
        <w:rPr>
          <w:color w:val="000000" w:themeColor="text1"/>
          <w:lang w:val="en-US"/>
        </w:rPr>
        <w:t xml:space="preserve">under </w:t>
      </w:r>
      <w:r w:rsidR="002C4F34" w:rsidRPr="00B40A77">
        <w:rPr>
          <w:rFonts w:cs="Arial"/>
          <w:color w:val="000000" w:themeColor="text1"/>
        </w:rPr>
        <w:t>section</w:t>
      </w:r>
      <w:r w:rsidR="007A427A" w:rsidRPr="00B40A77">
        <w:rPr>
          <w:rFonts w:cs="Arial"/>
          <w:color w:val="000000" w:themeColor="text1"/>
        </w:rPr>
        <w:t> </w:t>
      </w:r>
      <w:r w:rsidR="002C4F34" w:rsidRPr="00B40A77">
        <w:rPr>
          <w:rFonts w:cs="Arial"/>
          <w:color w:val="000000" w:themeColor="text1"/>
        </w:rPr>
        <w:t>269ND</w:t>
      </w:r>
      <w:r w:rsidR="00DD330E">
        <w:rPr>
          <w:rFonts w:cs="Arial"/>
          <w:color w:val="000000" w:themeColor="text1"/>
        </w:rPr>
        <w:t xml:space="preserve"> or</w:t>
      </w:r>
      <w:r w:rsidR="007A427A" w:rsidRPr="00B40A77">
        <w:rPr>
          <w:rFonts w:cs="Arial"/>
          <w:color w:val="000000" w:themeColor="text1"/>
        </w:rPr>
        <w:t> </w:t>
      </w:r>
      <w:r w:rsidR="002C4F34" w:rsidRPr="00B40A77">
        <w:rPr>
          <w:rFonts w:cs="Arial"/>
          <w:color w:val="000000" w:themeColor="text1"/>
        </w:rPr>
        <w:t xml:space="preserve">269P </w:t>
      </w:r>
      <w:r w:rsidR="002C4F34" w:rsidRPr="00B40A77">
        <w:rPr>
          <w:color w:val="000000" w:themeColor="text1"/>
          <w:lang w:val="en-US"/>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to vary or revoke a </w:t>
      </w:r>
      <w:hyperlink w:anchor="_169.1—Definitions" w:history="1">
        <w:r w:rsidR="00A36711" w:rsidRPr="00B40A77">
          <w:rPr>
            <w:rStyle w:val="Hyperlink"/>
            <w:color w:val="000000" w:themeColor="text1"/>
            <w:lang w:val="en-US"/>
          </w:rPr>
          <w:t>Part 8A order</w:t>
        </w:r>
      </w:hyperlink>
      <w:r w:rsidRPr="00B40A77">
        <w:rPr>
          <w:color w:val="000000" w:themeColor="text1"/>
          <w:lang w:val="en-US"/>
        </w:rPr>
        <w:t xml:space="preserve"> </w:t>
      </w:r>
      <w:r w:rsidR="002C4F34" w:rsidRPr="00B40A77">
        <w:rPr>
          <w:color w:val="000000" w:themeColor="text1"/>
          <w:lang w:val="en-US"/>
        </w:rPr>
        <w:t xml:space="preserve">made against a person (the </w:t>
      </w:r>
      <w:r w:rsidR="002C4F34" w:rsidRPr="00B40A77">
        <w:rPr>
          <w:b/>
          <w:bCs/>
          <w:i/>
          <w:iCs/>
          <w:color w:val="000000" w:themeColor="text1"/>
          <w:lang w:val="en-US"/>
        </w:rPr>
        <w:t>subject</w:t>
      </w:r>
      <w:r w:rsidR="002C4F34" w:rsidRPr="00B40A77">
        <w:rPr>
          <w:color w:val="000000" w:themeColor="text1"/>
          <w:lang w:val="en-US"/>
        </w:rPr>
        <w:t>)</w:t>
      </w:r>
      <w:r w:rsidR="00384EC9" w:rsidRPr="00B40A77">
        <w:rPr>
          <w:color w:val="000000" w:themeColor="text1"/>
          <w:lang w:val="en-US"/>
        </w:rPr>
        <w:t xml:space="preserve"> </w:t>
      </w:r>
      <w:r w:rsidRPr="00B40A77">
        <w:rPr>
          <w:color w:val="000000" w:themeColor="text1"/>
          <w:lang w:val="en-US"/>
        </w:rPr>
        <w:t xml:space="preserve">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4A8CB510" w14:textId="77777777" w:rsidR="00234624" w:rsidRPr="00B40A77" w:rsidRDefault="00234624" w:rsidP="00B90C7E">
      <w:pPr>
        <w:pStyle w:val="NoteHeader"/>
        <w:keepNext/>
        <w:rPr>
          <w:color w:val="000000" w:themeColor="text1"/>
        </w:rPr>
      </w:pPr>
      <w:r w:rsidRPr="00B40A77">
        <w:rPr>
          <w:color w:val="000000" w:themeColor="text1"/>
        </w:rPr>
        <w:t>Prescribed form—</w:t>
      </w:r>
    </w:p>
    <w:p w14:paraId="130B0B38" w14:textId="37A2634B" w:rsidR="00234624" w:rsidRPr="00B40A77" w:rsidRDefault="00234624" w:rsidP="003412A9">
      <w:pPr>
        <w:pStyle w:val="NoteText"/>
        <w:rPr>
          <w:color w:val="000000" w:themeColor="text1"/>
          <w:lang w:val="en-US"/>
        </w:rPr>
      </w:pPr>
      <w:r w:rsidRPr="00B40A77">
        <w:rPr>
          <w:color w:val="000000" w:themeColor="text1"/>
        </w:rPr>
        <w:t>Form 171</w:t>
      </w:r>
      <w:r w:rsidR="00E22E65" w:rsidRPr="00B40A77">
        <w:rPr>
          <w:color w:val="000000" w:themeColor="text1"/>
        </w:rPr>
        <w:t>G</w:t>
      </w:r>
      <w:r w:rsidRPr="00B40A77">
        <w:rPr>
          <w:color w:val="000000" w:themeColor="text1"/>
        </w:rPr>
        <w:t xml:space="preserve"> </w:t>
      </w:r>
      <w:hyperlink r:id="rId352" w:history="1">
        <w:r w:rsidR="00FC1FD3" w:rsidRPr="00B40A77">
          <w:rPr>
            <w:rStyle w:val="Hyperlink"/>
            <w:color w:val="000000" w:themeColor="text1"/>
            <w:lang w:val="en-US"/>
          </w:rPr>
          <w:t xml:space="preserve">Originating </w:t>
        </w:r>
        <w:r w:rsidRPr="00B40A77">
          <w:rPr>
            <w:rStyle w:val="Hyperlink"/>
            <w:color w:val="000000" w:themeColor="text1"/>
            <w:lang w:val="en-US"/>
          </w:rPr>
          <w:t xml:space="preserve">Application for </w:t>
        </w:r>
        <w:r w:rsidRPr="00B40A77">
          <w:rPr>
            <w:rStyle w:val="Hyperlink"/>
            <w:color w:val="000000" w:themeColor="text1"/>
          </w:rPr>
          <w:t>Review, Variation or Revocation of a Part 8A Criminal Law Consolidation Act Order</w:t>
        </w:r>
      </w:hyperlink>
    </w:p>
    <w:p w14:paraId="6554AD94" w14:textId="4A1ACE50" w:rsidR="00234624" w:rsidRPr="00B40A77" w:rsidRDefault="00234624" w:rsidP="00CD1B1D">
      <w:pPr>
        <w:pStyle w:val="Hangindent"/>
        <w:keepNext/>
        <w:rPr>
          <w:color w:val="000000" w:themeColor="text1"/>
          <w:lang w:val="en-US"/>
        </w:rPr>
      </w:pPr>
      <w:r w:rsidRPr="00B40A77">
        <w:rPr>
          <w:color w:val="000000" w:themeColor="text1"/>
          <w:lang w:val="en-US"/>
        </w:rPr>
        <w:t>(</w:t>
      </w:r>
      <w:r w:rsidR="00384EC9" w:rsidRPr="00B40A77">
        <w:rPr>
          <w:color w:val="000000" w:themeColor="text1"/>
          <w:lang w:val="en-US"/>
        </w:rPr>
        <w:t>2</w:t>
      </w:r>
      <w:r w:rsidRPr="00B40A77">
        <w:rPr>
          <w:color w:val="000000" w:themeColor="text1"/>
          <w:lang w:val="en-US"/>
        </w:rPr>
        <w:t>)</w:t>
      </w:r>
      <w:r w:rsidRPr="00B40A77">
        <w:rPr>
          <w:color w:val="000000" w:themeColor="text1"/>
          <w:lang w:val="en-US"/>
        </w:rPr>
        <w:tab/>
      </w:r>
      <w:r w:rsidR="002C4F34" w:rsidRPr="00B40A77">
        <w:rPr>
          <w:color w:val="000000" w:themeColor="text1"/>
          <w:lang w:val="en-US"/>
        </w:rPr>
        <w:t>The applicant</w:t>
      </w:r>
      <w:r w:rsidRPr="00B40A77">
        <w:rPr>
          <w:color w:val="000000" w:themeColor="text1"/>
          <w:lang w:val="en-US"/>
        </w:rPr>
        <w:t>—</w:t>
      </w:r>
    </w:p>
    <w:p w14:paraId="7C93E373" w14:textId="2D53C81A" w:rsidR="00234624" w:rsidRPr="00B40A77" w:rsidRDefault="00234624" w:rsidP="00234624">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2C4F34" w:rsidRPr="00B40A77">
        <w:rPr>
          <w:color w:val="000000" w:themeColor="text1"/>
          <w:lang w:val="en-US"/>
        </w:rPr>
        <w:t>if the applicant is the subject—</w:t>
      </w:r>
      <w:r w:rsidR="002C4F34" w:rsidRPr="00B40A77">
        <w:rPr>
          <w:color w:val="000000" w:themeColor="text1"/>
        </w:rPr>
        <w:t>must</w:t>
      </w:r>
      <w:r w:rsidR="002C4F34" w:rsidRPr="00B40A77">
        <w:rPr>
          <w:color w:val="000000" w:themeColor="text1"/>
          <w:lang w:val="en-US"/>
        </w:rPr>
        <w:t xml:space="preserve"> join the </w:t>
      </w:r>
      <w:r w:rsidRPr="00B40A77">
        <w:rPr>
          <w:color w:val="000000" w:themeColor="text1"/>
          <w:lang w:val="en-US"/>
        </w:rPr>
        <w:t xml:space="preserve">Director, </w:t>
      </w:r>
      <w:r w:rsidR="008A514C" w:rsidRPr="00B40A77">
        <w:rPr>
          <w:color w:val="000000" w:themeColor="text1"/>
          <w:lang w:val="en-US"/>
        </w:rPr>
        <w:t xml:space="preserve">the </w:t>
      </w:r>
      <w:r w:rsidRPr="00B40A77">
        <w:rPr>
          <w:color w:val="000000" w:themeColor="text1"/>
        </w:rPr>
        <w:t xml:space="preserve">Public Advocate, </w:t>
      </w:r>
      <w:r w:rsidR="008A514C" w:rsidRPr="00B40A77">
        <w:rPr>
          <w:color w:val="000000" w:themeColor="text1"/>
        </w:rPr>
        <w:t xml:space="preserve">the </w:t>
      </w:r>
      <w:r w:rsidRPr="00B40A77">
        <w:rPr>
          <w:color w:val="000000" w:themeColor="text1"/>
        </w:rPr>
        <w:t>Commissioner for Victims’ Rights</w:t>
      </w:r>
      <w:r w:rsidRPr="00B40A77">
        <w:rPr>
          <w:color w:val="000000" w:themeColor="text1"/>
          <w:lang w:val="en-US"/>
        </w:rPr>
        <w:t xml:space="preserve"> and </w:t>
      </w:r>
      <w:r w:rsidR="008A514C" w:rsidRPr="00B40A77">
        <w:rPr>
          <w:color w:val="000000" w:themeColor="text1"/>
          <w:lang w:val="en-US"/>
        </w:rPr>
        <w:t xml:space="preserve">the </w:t>
      </w:r>
      <w:r w:rsidRPr="00B40A77">
        <w:rPr>
          <w:color w:val="000000" w:themeColor="text1"/>
          <w:lang w:val="en-US"/>
        </w:rPr>
        <w:t xml:space="preserve">Parole Board in respect of a defendant or </w:t>
      </w:r>
      <w:r w:rsidR="007A427A" w:rsidRPr="00B40A77">
        <w:rPr>
          <w:color w:val="000000" w:themeColor="text1"/>
          <w:lang w:val="en-US"/>
        </w:rPr>
        <w:t xml:space="preserve">the </w:t>
      </w:r>
      <w:r w:rsidR="002C4F34" w:rsidRPr="00B40A77">
        <w:rPr>
          <w:color w:val="000000" w:themeColor="text1"/>
        </w:rPr>
        <w:t>Training Centre Review</w:t>
      </w:r>
      <w:r w:rsidR="00733561" w:rsidRPr="00B40A77">
        <w:rPr>
          <w:color w:val="000000" w:themeColor="text1"/>
        </w:rPr>
        <w:t xml:space="preserve"> Board </w:t>
      </w:r>
      <w:r w:rsidRPr="00B40A77">
        <w:rPr>
          <w:color w:val="000000" w:themeColor="text1"/>
          <w:lang w:val="en-US"/>
        </w:rPr>
        <w:t xml:space="preserve">in respect of a youth; </w:t>
      </w:r>
    </w:p>
    <w:p w14:paraId="5089A711" w14:textId="2AE7B73C" w:rsidR="00234624" w:rsidRPr="00B40A77" w:rsidRDefault="00234624" w:rsidP="00234624">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w:t>
      </w:r>
      <w:r w:rsidR="008A514C" w:rsidRPr="00B40A77">
        <w:rPr>
          <w:color w:val="000000" w:themeColor="text1"/>
          <w:lang w:val="en-US"/>
        </w:rPr>
        <w:t xml:space="preserve">the applicant is </w:t>
      </w:r>
      <w:r w:rsidRPr="00B40A77">
        <w:rPr>
          <w:color w:val="000000" w:themeColor="text1"/>
          <w:lang w:val="en-US"/>
        </w:rPr>
        <w:t>the Director—</w:t>
      </w:r>
      <w:r w:rsidR="008A514C" w:rsidRPr="00B40A77">
        <w:rPr>
          <w:color w:val="000000" w:themeColor="text1"/>
        </w:rPr>
        <w:t>must</w:t>
      </w:r>
      <w:r w:rsidR="008A514C" w:rsidRPr="00B40A77">
        <w:rPr>
          <w:color w:val="000000" w:themeColor="text1"/>
          <w:lang w:val="en-US"/>
        </w:rPr>
        <w:t xml:space="preserve"> join the</w:t>
      </w:r>
      <w:r w:rsidRPr="00B40A77">
        <w:rPr>
          <w:color w:val="000000" w:themeColor="text1"/>
          <w:lang w:val="en-US"/>
        </w:rPr>
        <w:t xml:space="preserve"> </w:t>
      </w:r>
      <w:r w:rsidR="008A514C" w:rsidRPr="00B40A77">
        <w:rPr>
          <w:color w:val="000000" w:themeColor="text1"/>
          <w:lang w:val="en-US"/>
        </w:rPr>
        <w:t xml:space="preserve">subject, the </w:t>
      </w:r>
      <w:r w:rsidRPr="00B40A77">
        <w:rPr>
          <w:color w:val="000000" w:themeColor="text1"/>
        </w:rPr>
        <w:t xml:space="preserve">Public Advocate, </w:t>
      </w:r>
      <w:r w:rsidR="008A514C" w:rsidRPr="00B40A77">
        <w:rPr>
          <w:color w:val="000000" w:themeColor="text1"/>
        </w:rPr>
        <w:t xml:space="preserve">the </w:t>
      </w:r>
      <w:r w:rsidRPr="00B40A77">
        <w:rPr>
          <w:color w:val="000000" w:themeColor="text1"/>
        </w:rPr>
        <w:t>Commissioner for Victims’ Rights</w:t>
      </w:r>
      <w:r w:rsidRPr="00B40A77">
        <w:rPr>
          <w:color w:val="000000" w:themeColor="text1"/>
          <w:lang w:val="en-US"/>
        </w:rPr>
        <w:t xml:space="preserve"> and </w:t>
      </w:r>
      <w:r w:rsidR="008A514C" w:rsidRPr="00B40A77">
        <w:rPr>
          <w:color w:val="000000" w:themeColor="text1"/>
          <w:lang w:val="en-US"/>
        </w:rPr>
        <w:t xml:space="preserve">the </w:t>
      </w:r>
      <w:r w:rsidRPr="00B40A77">
        <w:rPr>
          <w:color w:val="000000" w:themeColor="text1"/>
          <w:lang w:val="en-US"/>
        </w:rPr>
        <w:t xml:space="preserve">Parole Board </w:t>
      </w:r>
      <w:r w:rsidR="008A514C" w:rsidRPr="00B40A77">
        <w:rPr>
          <w:color w:val="000000" w:themeColor="text1"/>
          <w:lang w:val="en-US"/>
        </w:rPr>
        <w:t xml:space="preserve">in respect of a defendant or </w:t>
      </w:r>
      <w:r w:rsidR="007A427A" w:rsidRPr="00B40A77">
        <w:rPr>
          <w:color w:val="000000" w:themeColor="text1"/>
          <w:lang w:val="en-US"/>
        </w:rPr>
        <w:t xml:space="preserve">the </w:t>
      </w:r>
      <w:r w:rsidR="008A514C" w:rsidRPr="00B40A77">
        <w:rPr>
          <w:color w:val="000000" w:themeColor="text1"/>
        </w:rPr>
        <w:t xml:space="preserve">Training Centre Review Board </w:t>
      </w:r>
      <w:r w:rsidR="008A514C" w:rsidRPr="00B40A77">
        <w:rPr>
          <w:color w:val="000000" w:themeColor="text1"/>
          <w:lang w:val="en-US"/>
        </w:rPr>
        <w:t>in respect of a youth</w:t>
      </w:r>
      <w:r w:rsidRPr="00B40A77">
        <w:rPr>
          <w:color w:val="000000" w:themeColor="text1"/>
          <w:lang w:val="en-US"/>
        </w:rPr>
        <w:t>;</w:t>
      </w:r>
    </w:p>
    <w:p w14:paraId="64FF60F1" w14:textId="4AA6F80C" w:rsidR="008A514C" w:rsidRPr="00B40A77" w:rsidRDefault="008A514C" w:rsidP="008A514C">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if the applicant is the </w:t>
      </w:r>
      <w:r w:rsidRPr="00B40A77">
        <w:rPr>
          <w:color w:val="000000" w:themeColor="text1"/>
        </w:rPr>
        <w:t>Public Advocate</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subject, the Director</w:t>
      </w:r>
      <w:r w:rsidRPr="00B40A77">
        <w:rPr>
          <w:color w:val="000000" w:themeColor="text1"/>
        </w:rPr>
        <w:t>, the Commissioner for Victims’ Rights</w:t>
      </w:r>
      <w:r w:rsidRPr="00B40A77">
        <w:rPr>
          <w:color w:val="000000" w:themeColor="text1"/>
          <w:lang w:val="en-US"/>
        </w:rPr>
        <w:t xml:space="preserve"> and the Parole Board in respect of a defendant or </w:t>
      </w:r>
      <w:r w:rsidR="007A427A" w:rsidRPr="00B40A77">
        <w:rPr>
          <w:color w:val="000000" w:themeColor="text1"/>
          <w:lang w:val="en-US"/>
        </w:rPr>
        <w:t xml:space="preserve">the </w:t>
      </w:r>
      <w:r w:rsidRPr="00B40A77">
        <w:rPr>
          <w:color w:val="000000" w:themeColor="text1"/>
        </w:rPr>
        <w:t xml:space="preserve">Training Centre Review Board </w:t>
      </w:r>
      <w:r w:rsidRPr="00B40A77">
        <w:rPr>
          <w:color w:val="000000" w:themeColor="text1"/>
          <w:lang w:val="en-US"/>
        </w:rPr>
        <w:t>in respect of a youth;</w:t>
      </w:r>
    </w:p>
    <w:p w14:paraId="02B988CF" w14:textId="73B753D1" w:rsidR="008A514C" w:rsidRPr="00B40A77" w:rsidRDefault="008A514C" w:rsidP="008A514C">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if the applicant is the </w:t>
      </w:r>
      <w:r w:rsidRPr="00B40A77">
        <w:rPr>
          <w:color w:val="000000" w:themeColor="text1"/>
        </w:rPr>
        <w:t>Commissioner for Victims’ Rights</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subject, the Director</w:t>
      </w:r>
      <w:r w:rsidRPr="00B40A77">
        <w:rPr>
          <w:color w:val="000000" w:themeColor="text1"/>
        </w:rPr>
        <w:t>, the Public Advocate</w:t>
      </w:r>
      <w:r w:rsidRPr="00B40A77">
        <w:rPr>
          <w:color w:val="000000" w:themeColor="text1"/>
          <w:lang w:val="en-US"/>
        </w:rPr>
        <w:t xml:space="preserve"> and the Parole Board in respect of a defendant or </w:t>
      </w:r>
      <w:r w:rsidR="007A427A" w:rsidRPr="00B40A77">
        <w:rPr>
          <w:color w:val="000000" w:themeColor="text1"/>
          <w:lang w:val="en-US"/>
        </w:rPr>
        <w:t xml:space="preserve">the </w:t>
      </w:r>
      <w:r w:rsidRPr="00B40A77">
        <w:rPr>
          <w:color w:val="000000" w:themeColor="text1"/>
        </w:rPr>
        <w:t xml:space="preserve">Training Centre Review Board </w:t>
      </w:r>
      <w:r w:rsidRPr="00B40A77">
        <w:rPr>
          <w:color w:val="000000" w:themeColor="text1"/>
          <w:lang w:val="en-US"/>
        </w:rPr>
        <w:t>in respect of a youth;</w:t>
      </w:r>
    </w:p>
    <w:p w14:paraId="4BDB0D6B" w14:textId="378C8A53" w:rsidR="00234624" w:rsidRPr="00B40A77" w:rsidRDefault="00234624" w:rsidP="00234624">
      <w:pPr>
        <w:pStyle w:val="Doublehangindent"/>
        <w:rPr>
          <w:color w:val="000000" w:themeColor="text1"/>
        </w:rPr>
      </w:pPr>
      <w:r w:rsidRPr="00B40A77">
        <w:rPr>
          <w:color w:val="000000" w:themeColor="text1"/>
          <w:lang w:val="en-US"/>
        </w:rPr>
        <w:t>(</w:t>
      </w:r>
      <w:r w:rsidR="00384EC9" w:rsidRPr="00B40A77">
        <w:rPr>
          <w:color w:val="000000" w:themeColor="text1"/>
          <w:lang w:val="en-US"/>
        </w:rPr>
        <w:t>e</w:t>
      </w:r>
      <w:r w:rsidRPr="00B40A77">
        <w:rPr>
          <w:color w:val="000000" w:themeColor="text1"/>
          <w:lang w:val="en-US"/>
        </w:rPr>
        <w:t>)</w:t>
      </w:r>
      <w:r w:rsidRPr="00B40A77">
        <w:rPr>
          <w:color w:val="000000" w:themeColor="text1"/>
          <w:lang w:val="en-US"/>
        </w:rPr>
        <w:tab/>
        <w:t xml:space="preserve">if </w:t>
      </w:r>
      <w:r w:rsidR="00384EC9" w:rsidRPr="00B40A77">
        <w:rPr>
          <w:color w:val="000000" w:themeColor="text1"/>
          <w:lang w:val="en-US"/>
        </w:rPr>
        <w:t xml:space="preserve">the applicant is </w:t>
      </w:r>
      <w:r w:rsidRPr="00B40A77">
        <w:rPr>
          <w:color w:val="000000" w:themeColor="text1"/>
          <w:lang w:val="en-US"/>
        </w:rPr>
        <w:t>an</w:t>
      </w:r>
      <w:r w:rsidR="00384EC9" w:rsidRPr="00B40A77">
        <w:rPr>
          <w:color w:val="000000" w:themeColor="text1"/>
          <w:lang w:val="en-US"/>
        </w:rPr>
        <w:t>yone else</w:t>
      </w:r>
      <w:r w:rsidRPr="00B40A77">
        <w:rPr>
          <w:color w:val="000000" w:themeColor="text1"/>
          <w:lang w:val="en-US"/>
        </w:rPr>
        <w:t>—</w:t>
      </w:r>
      <w:r w:rsidR="00384EC9" w:rsidRPr="00B40A77">
        <w:rPr>
          <w:color w:val="000000" w:themeColor="text1"/>
        </w:rPr>
        <w:t>must</w:t>
      </w:r>
      <w:r w:rsidR="00384EC9" w:rsidRPr="00B40A77">
        <w:rPr>
          <w:color w:val="000000" w:themeColor="text1"/>
          <w:lang w:val="en-US"/>
        </w:rPr>
        <w:t xml:space="preserve"> join the subject, the Director, the </w:t>
      </w:r>
      <w:r w:rsidR="00384EC9" w:rsidRPr="00B40A77">
        <w:rPr>
          <w:color w:val="000000" w:themeColor="text1"/>
        </w:rPr>
        <w:t>Public Advocate, the Commissioner for Victims’ Rights</w:t>
      </w:r>
      <w:r w:rsidR="00384EC9" w:rsidRPr="00B40A77">
        <w:rPr>
          <w:color w:val="000000" w:themeColor="text1"/>
          <w:lang w:val="en-US"/>
        </w:rPr>
        <w:t xml:space="preserve"> and the Parole Board in respect of a defendant or </w:t>
      </w:r>
      <w:r w:rsidR="007A427A" w:rsidRPr="00B40A77">
        <w:rPr>
          <w:color w:val="000000" w:themeColor="text1"/>
          <w:lang w:val="en-US"/>
        </w:rPr>
        <w:t xml:space="preserve">the </w:t>
      </w:r>
      <w:r w:rsidR="00384EC9" w:rsidRPr="00B40A77">
        <w:rPr>
          <w:color w:val="000000" w:themeColor="text1"/>
        </w:rPr>
        <w:t xml:space="preserve">Training Centre Review Board </w:t>
      </w:r>
      <w:r w:rsidR="00384EC9" w:rsidRPr="00B40A77">
        <w:rPr>
          <w:color w:val="000000" w:themeColor="text1"/>
          <w:lang w:val="en-US"/>
        </w:rPr>
        <w:t>in respect of a youth.</w:t>
      </w:r>
    </w:p>
    <w:p w14:paraId="2D9E9E56" w14:textId="6BC7FD4D" w:rsidR="00234624" w:rsidRPr="00B40A77" w:rsidRDefault="00234624" w:rsidP="00B90C7E">
      <w:pPr>
        <w:pStyle w:val="Hangindent"/>
        <w:keepNext/>
        <w:rPr>
          <w:color w:val="000000" w:themeColor="text1"/>
          <w:lang w:val="en-US"/>
        </w:rPr>
      </w:pPr>
      <w:r w:rsidRPr="00B40A77">
        <w:rPr>
          <w:color w:val="000000" w:themeColor="text1"/>
          <w:lang w:val="en-US"/>
        </w:rPr>
        <w:t>(</w:t>
      </w:r>
      <w:r w:rsidR="00384EC9" w:rsidRPr="00B40A77">
        <w:rPr>
          <w:color w:val="000000" w:themeColor="text1"/>
          <w:lang w:val="en-US"/>
        </w:rPr>
        <w:t>3</w:t>
      </w:r>
      <w:r w:rsidRPr="00B40A77">
        <w:rPr>
          <w:color w:val="000000" w:themeColor="text1"/>
          <w:lang w:val="en-US"/>
        </w:rPr>
        <w:t>)</w:t>
      </w:r>
      <w:r w:rsidRPr="00B40A77">
        <w:rPr>
          <w:color w:val="000000" w:themeColor="text1"/>
          <w:lang w:val="en-US"/>
        </w:rPr>
        <w:tab/>
        <w:t xml:space="preserve">An application </w:t>
      </w:r>
      <w:r w:rsidR="00384EC9" w:rsidRPr="00B40A77">
        <w:rPr>
          <w:color w:val="000000" w:themeColor="text1"/>
          <w:lang w:val="en-US"/>
        </w:rPr>
        <w:t xml:space="preserve">under </w:t>
      </w:r>
      <w:r w:rsidR="00384EC9" w:rsidRPr="00B40A77">
        <w:rPr>
          <w:rFonts w:cs="Arial"/>
          <w:color w:val="000000" w:themeColor="text1"/>
        </w:rPr>
        <w:t>former section</w:t>
      </w:r>
      <w:r w:rsidR="00EF1FED" w:rsidRPr="00B40A77">
        <w:rPr>
          <w:rFonts w:cs="Arial"/>
          <w:color w:val="000000" w:themeColor="text1"/>
        </w:rPr>
        <w:t> </w:t>
      </w:r>
      <w:r w:rsidR="00384EC9" w:rsidRPr="00B40A77">
        <w:rPr>
          <w:rFonts w:cs="Arial"/>
          <w:color w:val="000000" w:themeColor="text1"/>
        </w:rPr>
        <w:t xml:space="preserve">293A(7)(b) </w:t>
      </w:r>
      <w:r w:rsidR="00384EC9" w:rsidRPr="00B40A77">
        <w:rPr>
          <w:color w:val="000000" w:themeColor="text1"/>
          <w:lang w:val="en-US"/>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to vary or cancel a </w:t>
      </w:r>
      <w:hyperlink w:anchor="_169.1—Definitions" w:history="1">
        <w:r w:rsidR="00A36711" w:rsidRPr="00B40A77">
          <w:rPr>
            <w:rStyle w:val="Hyperlink"/>
            <w:color w:val="000000" w:themeColor="text1"/>
            <w:lang w:val="en-US"/>
          </w:rPr>
          <w:t>former section 293A order</w:t>
        </w:r>
      </w:hyperlink>
      <w:r w:rsidRPr="00B40A77">
        <w:rPr>
          <w:color w:val="000000" w:themeColor="text1"/>
          <w:lang w:val="en-US"/>
        </w:rPr>
        <w:t xml:space="preserve"> for release </w:t>
      </w:r>
      <w:r w:rsidR="00384EC9" w:rsidRPr="00B40A77">
        <w:rPr>
          <w:color w:val="000000" w:themeColor="text1"/>
          <w:lang w:val="en-US"/>
        </w:rPr>
        <w:t xml:space="preserve">of a person (the </w:t>
      </w:r>
      <w:r w:rsidR="00384EC9" w:rsidRPr="00B40A77">
        <w:rPr>
          <w:b/>
          <w:bCs/>
          <w:i/>
          <w:iCs/>
          <w:color w:val="000000" w:themeColor="text1"/>
          <w:lang w:val="en-US"/>
        </w:rPr>
        <w:t>subject</w:t>
      </w:r>
      <w:r w:rsidR="00384EC9" w:rsidRPr="00B40A77">
        <w:rPr>
          <w:color w:val="000000" w:themeColor="text1"/>
          <w:lang w:val="en-US"/>
        </w:rPr>
        <w:t xml:space="preserve">) </w:t>
      </w:r>
      <w:r w:rsidRPr="00B40A77">
        <w:rPr>
          <w:color w:val="000000" w:themeColor="text1"/>
          <w:lang w:val="en-US"/>
        </w:rPr>
        <w:t xml:space="preserve">on conditions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392D0243" w14:textId="77777777" w:rsidR="00234624" w:rsidRPr="00B40A77" w:rsidRDefault="00234624" w:rsidP="00B90C7E">
      <w:pPr>
        <w:pStyle w:val="NoteHeader"/>
        <w:keepNext/>
        <w:rPr>
          <w:color w:val="000000" w:themeColor="text1"/>
        </w:rPr>
      </w:pPr>
      <w:r w:rsidRPr="00B40A77">
        <w:rPr>
          <w:color w:val="000000" w:themeColor="text1"/>
        </w:rPr>
        <w:t>Prescribed form—</w:t>
      </w:r>
    </w:p>
    <w:p w14:paraId="0EBCA6F3" w14:textId="724D50A1" w:rsidR="00234624" w:rsidRPr="00B40A77" w:rsidRDefault="00234624" w:rsidP="003412A9">
      <w:pPr>
        <w:pStyle w:val="NoteText"/>
        <w:rPr>
          <w:color w:val="000000" w:themeColor="text1"/>
        </w:rPr>
      </w:pPr>
      <w:r w:rsidRPr="00B40A77">
        <w:rPr>
          <w:color w:val="000000" w:themeColor="text1"/>
        </w:rPr>
        <w:t>Form 171</w:t>
      </w:r>
      <w:r w:rsidR="000A4CB3" w:rsidRPr="00B40A77">
        <w:rPr>
          <w:color w:val="000000" w:themeColor="text1"/>
        </w:rPr>
        <w:t>H</w:t>
      </w:r>
      <w:r w:rsidRPr="00B40A77">
        <w:rPr>
          <w:color w:val="000000" w:themeColor="text1"/>
        </w:rPr>
        <w:t xml:space="preserve"> </w:t>
      </w:r>
      <w:hyperlink r:id="rId353" w:history="1">
        <w:r w:rsidR="00FC1FD3" w:rsidRPr="00B40A77">
          <w:rPr>
            <w:rStyle w:val="Hyperlink"/>
            <w:color w:val="000000" w:themeColor="text1"/>
            <w:lang w:val="en-US"/>
          </w:rPr>
          <w:t xml:space="preserve">Originating </w:t>
        </w:r>
        <w:r w:rsidRPr="00B40A77">
          <w:rPr>
            <w:rStyle w:val="Hyperlink"/>
            <w:color w:val="000000" w:themeColor="text1"/>
          </w:rPr>
          <w:t xml:space="preserve">Application for Variation, Cancellation or Review of Release on Licence pursuant to </w:t>
        </w:r>
        <w:r w:rsidR="00E22E65" w:rsidRPr="00B40A77">
          <w:rPr>
            <w:rStyle w:val="Hyperlink"/>
            <w:color w:val="000000" w:themeColor="text1"/>
          </w:rPr>
          <w:t xml:space="preserve">former </w:t>
        </w:r>
        <w:r w:rsidRPr="00B40A77">
          <w:rPr>
            <w:rStyle w:val="Hyperlink"/>
            <w:color w:val="000000" w:themeColor="text1"/>
          </w:rPr>
          <w:t>s</w:t>
        </w:r>
        <w:r w:rsidR="00E22E65" w:rsidRPr="00B40A77">
          <w:rPr>
            <w:rStyle w:val="Hyperlink"/>
            <w:color w:val="000000" w:themeColor="text1"/>
          </w:rPr>
          <w:t>ection</w:t>
        </w:r>
        <w:r w:rsidRPr="00B40A77">
          <w:rPr>
            <w:rStyle w:val="Hyperlink"/>
            <w:color w:val="000000" w:themeColor="text1"/>
          </w:rPr>
          <w:t xml:space="preserve"> 293A Criminal Law Consolidation Act</w:t>
        </w:r>
      </w:hyperlink>
    </w:p>
    <w:p w14:paraId="58F432B6" w14:textId="4222B5DD" w:rsidR="00384EC9" w:rsidRPr="00B40A77" w:rsidRDefault="00384EC9" w:rsidP="00384EC9">
      <w:pPr>
        <w:pStyle w:val="Hangindent"/>
        <w:rPr>
          <w:color w:val="000000" w:themeColor="text1"/>
        </w:rPr>
      </w:pPr>
      <w:r w:rsidRPr="00B40A77">
        <w:rPr>
          <w:color w:val="000000" w:themeColor="text1"/>
        </w:rPr>
        <w:t>(4)</w:t>
      </w:r>
      <w:r w:rsidRPr="00B40A77">
        <w:rPr>
          <w:color w:val="000000" w:themeColor="text1"/>
        </w:rPr>
        <w:tab/>
        <w:t>The applicant</w:t>
      </w:r>
      <w:r w:rsidRPr="00B40A77">
        <w:rPr>
          <w:color w:val="000000" w:themeColor="text1"/>
          <w:lang w:val="en-US"/>
        </w:rPr>
        <w:t>—</w:t>
      </w:r>
    </w:p>
    <w:p w14:paraId="2B4A61C9" w14:textId="582B320C" w:rsidR="00384EC9" w:rsidRPr="00B40A77" w:rsidRDefault="00384EC9" w:rsidP="00384EC9">
      <w:pPr>
        <w:pStyle w:val="Doublehangindent"/>
        <w:rPr>
          <w:color w:val="000000" w:themeColor="text1"/>
          <w:lang w:val="en-US"/>
        </w:rPr>
      </w:pPr>
      <w:r w:rsidRPr="00B40A77">
        <w:rPr>
          <w:color w:val="000000" w:themeColor="text1"/>
          <w:lang w:val="en-US"/>
        </w:rPr>
        <w:t>(a)</w:t>
      </w:r>
      <w:r w:rsidRPr="00B40A77">
        <w:rPr>
          <w:color w:val="000000" w:themeColor="text1"/>
          <w:lang w:val="en-US"/>
        </w:rPr>
        <w:tab/>
        <w:t>if the applicant is the Director—</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as the respondent;</w:t>
      </w:r>
    </w:p>
    <w:p w14:paraId="5F96248C" w14:textId="1F59EECF" w:rsidR="00384EC9" w:rsidRPr="00B40A77" w:rsidRDefault="00384EC9" w:rsidP="00384EC9">
      <w:pPr>
        <w:pStyle w:val="Doublehangindent"/>
        <w:rPr>
          <w:color w:val="000000" w:themeColor="text1"/>
          <w:lang w:val="en-US"/>
        </w:rPr>
      </w:pPr>
      <w:r w:rsidRPr="00B40A77">
        <w:rPr>
          <w:color w:val="000000" w:themeColor="text1"/>
          <w:lang w:val="en-US"/>
        </w:rPr>
        <w:t>(b)</w:t>
      </w:r>
      <w:r w:rsidRPr="00B40A77">
        <w:rPr>
          <w:color w:val="000000" w:themeColor="text1"/>
          <w:lang w:val="en-US"/>
        </w:rPr>
        <w:tab/>
        <w:t>if the applicant is the subject—</w:t>
      </w:r>
      <w:r w:rsidRPr="00B40A77">
        <w:rPr>
          <w:color w:val="000000" w:themeColor="text1"/>
        </w:rPr>
        <w:t>must</w:t>
      </w:r>
      <w:r w:rsidRPr="00B40A77">
        <w:rPr>
          <w:color w:val="000000" w:themeColor="text1"/>
          <w:lang w:val="en-US"/>
        </w:rPr>
        <w:t xml:space="preserve"> join the Director as the respondent.</w:t>
      </w:r>
    </w:p>
    <w:p w14:paraId="403E223E" w14:textId="60108C66" w:rsidR="00234624" w:rsidRPr="00B40A77" w:rsidRDefault="00234624" w:rsidP="00234624">
      <w:pPr>
        <w:pStyle w:val="Heading4"/>
        <w:rPr>
          <w:color w:val="000000" w:themeColor="text1"/>
        </w:rPr>
      </w:pPr>
      <w:bookmarkStart w:id="995" w:name="_Toc175239299"/>
      <w:r w:rsidRPr="00B40A77">
        <w:rPr>
          <w:color w:val="000000" w:themeColor="text1"/>
        </w:rPr>
        <w:lastRenderedPageBreak/>
        <w:t>1</w:t>
      </w:r>
      <w:r w:rsidR="009D1D11" w:rsidRPr="00B40A77">
        <w:rPr>
          <w:color w:val="000000" w:themeColor="text1"/>
        </w:rPr>
        <w:t>7</w:t>
      </w:r>
      <w:r w:rsidR="00E41D2E" w:rsidRPr="00B40A77">
        <w:rPr>
          <w:color w:val="000000" w:themeColor="text1"/>
        </w:rPr>
        <w:t>1</w:t>
      </w:r>
      <w:r w:rsidRPr="00B40A77">
        <w:rPr>
          <w:color w:val="000000" w:themeColor="text1"/>
        </w:rPr>
        <w:t>.2—Order on application to vary or revoke order</w:t>
      </w:r>
      <w:bookmarkEnd w:id="995"/>
    </w:p>
    <w:p w14:paraId="2AB4754C" w14:textId="7D78446C" w:rsidR="00234624" w:rsidRPr="00B40A77" w:rsidRDefault="00234624" w:rsidP="00B90C7E">
      <w:pPr>
        <w:pStyle w:val="IndentedPara"/>
        <w:keepNext/>
        <w:ind w:left="1134" w:hanging="567"/>
        <w:rPr>
          <w:color w:val="000000" w:themeColor="text1"/>
        </w:rPr>
      </w:pPr>
      <w:r w:rsidRPr="00B40A77">
        <w:rPr>
          <w:color w:val="000000" w:themeColor="text1"/>
        </w:rPr>
        <w:t>(1)</w:t>
      </w:r>
      <w:r w:rsidRPr="00B40A77">
        <w:rPr>
          <w:color w:val="000000" w:themeColor="text1"/>
        </w:rPr>
        <w:tab/>
      </w:r>
      <w:r w:rsidRPr="00B40A77">
        <w:rPr>
          <w:color w:val="000000" w:themeColor="text1"/>
        </w:rPr>
        <w:tab/>
        <w:t xml:space="preserve">The written record of an order on an application to vary or revoke a </w:t>
      </w:r>
      <w:hyperlink w:anchor="_169.1—Definitions" w:history="1">
        <w:r w:rsidR="00A36711" w:rsidRPr="00B40A77">
          <w:rPr>
            <w:rStyle w:val="Hyperlink"/>
            <w:color w:val="000000" w:themeColor="text1"/>
          </w:rPr>
          <w:t>Part 8A order</w:t>
        </w:r>
      </w:hyperlink>
      <w:r w:rsidRPr="00B40A77">
        <w:rPr>
          <w:color w:val="000000" w:themeColor="text1"/>
        </w:rPr>
        <w:t xml:space="preserve"> or </w:t>
      </w:r>
      <w:hyperlink w:anchor="_169.1—Definitions" w:history="1">
        <w:r w:rsidR="00A36711" w:rsidRPr="00B40A77">
          <w:rPr>
            <w:rStyle w:val="Hyperlink"/>
            <w:color w:val="000000" w:themeColor="text1"/>
          </w:rPr>
          <w:t>former section 293A order</w:t>
        </w:r>
      </w:hyperlink>
      <w:r w:rsidRPr="00B40A77">
        <w:rPr>
          <w:color w:val="000000" w:themeColor="text1"/>
        </w:rPr>
        <w:t xml:space="preserve"> must be in the prescribed form.</w:t>
      </w:r>
    </w:p>
    <w:p w14:paraId="6804B71A" w14:textId="77777777" w:rsidR="00234624" w:rsidRPr="00B40A77" w:rsidRDefault="00234624"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17F16020" w14:textId="09E5E9A9" w:rsidR="00234624" w:rsidRPr="00B40A77" w:rsidRDefault="00234624" w:rsidP="001C6806">
      <w:pPr>
        <w:pStyle w:val="NoteText"/>
        <w:rPr>
          <w:color w:val="000000" w:themeColor="text1"/>
        </w:rPr>
      </w:pPr>
      <w:r w:rsidRPr="00B40A77">
        <w:rPr>
          <w:color w:val="000000" w:themeColor="text1"/>
        </w:rPr>
        <w:t xml:space="preserve">Form </w:t>
      </w:r>
      <w:r w:rsidR="006D25C3" w:rsidRPr="00B40A77">
        <w:rPr>
          <w:color w:val="000000" w:themeColor="text1"/>
        </w:rPr>
        <w:t xml:space="preserve">173 </w:t>
      </w:r>
      <w:hyperlink r:id="rId354" w:history="1">
        <w:r w:rsidRPr="00B40A77">
          <w:rPr>
            <w:rStyle w:val="Hyperlink"/>
            <w:color w:val="000000" w:themeColor="text1"/>
          </w:rPr>
          <w:t>Record of Outcome</w:t>
        </w:r>
      </w:hyperlink>
    </w:p>
    <w:p w14:paraId="3B219D6C" w14:textId="77777777" w:rsidR="00234624" w:rsidRPr="00B40A77" w:rsidRDefault="00234624" w:rsidP="002B7732">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makes </w:t>
      </w:r>
      <w:r w:rsidRPr="00B40A77">
        <w:rPr>
          <w:color w:val="000000" w:themeColor="text1"/>
        </w:rPr>
        <w:t>a substantive order</w:t>
      </w:r>
      <w:r w:rsidRPr="00B40A77">
        <w:rPr>
          <w:color w:val="000000" w:themeColor="text1"/>
          <w:lang w:val="en-US"/>
        </w:rPr>
        <w:t>, a formal order in the prescribed form must be issued.</w:t>
      </w:r>
    </w:p>
    <w:p w14:paraId="13A11CA4" w14:textId="77777777" w:rsidR="00234624" w:rsidRPr="00B40A77" w:rsidRDefault="00234624" w:rsidP="002B7732">
      <w:pPr>
        <w:pStyle w:val="NoteHeader"/>
        <w:keepNext/>
        <w:rPr>
          <w:color w:val="000000" w:themeColor="text1"/>
        </w:rPr>
      </w:pPr>
      <w:r w:rsidRPr="00B40A77">
        <w:rPr>
          <w:color w:val="000000" w:themeColor="text1"/>
        </w:rPr>
        <w:t>Prescribed forms—</w:t>
      </w:r>
      <w:r w:rsidRPr="00B40A77">
        <w:rPr>
          <w:color w:val="000000" w:themeColor="text1"/>
        </w:rPr>
        <w:tab/>
      </w:r>
    </w:p>
    <w:p w14:paraId="26D48257" w14:textId="5441A6C6" w:rsidR="00234624" w:rsidRPr="00B40A77" w:rsidRDefault="00234624" w:rsidP="002B7732">
      <w:pPr>
        <w:pStyle w:val="NoteText"/>
        <w:keepNext/>
        <w:rPr>
          <w:color w:val="000000" w:themeColor="text1"/>
        </w:rPr>
      </w:pPr>
      <w:r w:rsidRPr="00B40A77">
        <w:rPr>
          <w:color w:val="000000" w:themeColor="text1"/>
        </w:rPr>
        <w:t>Form 17</w:t>
      </w:r>
      <w:r w:rsidR="00E22E65" w:rsidRPr="00B40A77">
        <w:rPr>
          <w:color w:val="000000" w:themeColor="text1"/>
        </w:rPr>
        <w:t>4D</w:t>
      </w:r>
      <w:r w:rsidRPr="00B40A77">
        <w:rPr>
          <w:color w:val="000000" w:themeColor="text1"/>
        </w:rPr>
        <w:t xml:space="preserve"> </w:t>
      </w:r>
      <w:hyperlink r:id="rId355" w:history="1">
        <w:r w:rsidRPr="00B40A77">
          <w:rPr>
            <w:rStyle w:val="Hyperlink"/>
            <w:color w:val="000000" w:themeColor="text1"/>
          </w:rPr>
          <w:t>Order – Confirmation, Variation or Revocation of Part 8A Criminal Law Consolidation Act Order</w:t>
        </w:r>
      </w:hyperlink>
    </w:p>
    <w:p w14:paraId="41991760" w14:textId="75A7E47A" w:rsidR="00234624" w:rsidRPr="00B40A77" w:rsidRDefault="00234624" w:rsidP="00234624">
      <w:pPr>
        <w:pStyle w:val="NoteText"/>
        <w:rPr>
          <w:color w:val="000000" w:themeColor="text1"/>
        </w:rPr>
      </w:pPr>
      <w:r w:rsidRPr="00B40A77">
        <w:rPr>
          <w:color w:val="000000" w:themeColor="text1"/>
        </w:rPr>
        <w:t>Form 17</w:t>
      </w:r>
      <w:r w:rsidR="00E22E65" w:rsidRPr="00B40A77">
        <w:rPr>
          <w:color w:val="000000" w:themeColor="text1"/>
        </w:rPr>
        <w:t>4</w:t>
      </w:r>
      <w:r w:rsidRPr="00B40A77">
        <w:rPr>
          <w:color w:val="000000" w:themeColor="text1"/>
        </w:rPr>
        <w:t xml:space="preserve">C </w:t>
      </w:r>
      <w:hyperlink r:id="rId356" w:history="1">
        <w:r w:rsidRPr="00B40A77">
          <w:rPr>
            <w:rStyle w:val="Hyperlink"/>
            <w:color w:val="000000" w:themeColor="text1"/>
          </w:rPr>
          <w:t xml:space="preserve">Order – Confirmation, Variation or Cancellation of </w:t>
        </w:r>
        <w:r w:rsidR="00E22E65" w:rsidRPr="00B40A77">
          <w:rPr>
            <w:rStyle w:val="Hyperlink"/>
            <w:color w:val="000000" w:themeColor="text1"/>
          </w:rPr>
          <w:t>former section</w:t>
        </w:r>
        <w:r w:rsidRPr="00B40A77">
          <w:rPr>
            <w:rStyle w:val="Hyperlink"/>
            <w:color w:val="000000" w:themeColor="text1"/>
          </w:rPr>
          <w:t xml:space="preserve"> 293A Order</w:t>
        </w:r>
      </w:hyperlink>
    </w:p>
    <w:p w14:paraId="29229A90" w14:textId="5F4F23A1" w:rsidR="00234624" w:rsidRPr="00B40A77" w:rsidRDefault="00234624" w:rsidP="00234624">
      <w:pPr>
        <w:pStyle w:val="Heading3"/>
        <w:rPr>
          <w:color w:val="000000" w:themeColor="text1"/>
        </w:rPr>
      </w:pPr>
      <w:bookmarkStart w:id="996" w:name="_Toc175239300"/>
      <w:r w:rsidRPr="00B40A77">
        <w:rPr>
          <w:color w:val="000000" w:themeColor="text1"/>
        </w:rPr>
        <w:t>Division 4—Release on licence</w:t>
      </w:r>
      <w:bookmarkEnd w:id="996"/>
    </w:p>
    <w:p w14:paraId="2F90543D" w14:textId="3E9311E6" w:rsidR="00234624" w:rsidRPr="00B40A77" w:rsidRDefault="00234624" w:rsidP="00234624">
      <w:pPr>
        <w:pStyle w:val="Heading4"/>
        <w:rPr>
          <w:color w:val="000000" w:themeColor="text1"/>
        </w:rPr>
      </w:pPr>
      <w:bookmarkStart w:id="997" w:name="_Toc175239301"/>
      <w:r w:rsidRPr="00B40A77">
        <w:rPr>
          <w:color w:val="000000" w:themeColor="text1"/>
        </w:rPr>
        <w:t>1</w:t>
      </w:r>
      <w:r w:rsidR="009D1D11" w:rsidRPr="00B40A77">
        <w:rPr>
          <w:color w:val="000000" w:themeColor="text1"/>
        </w:rPr>
        <w:t>7</w:t>
      </w:r>
      <w:r w:rsidR="00E41D2E" w:rsidRPr="00B40A77">
        <w:rPr>
          <w:color w:val="000000" w:themeColor="text1"/>
        </w:rPr>
        <w:t>2</w:t>
      </w:r>
      <w:r w:rsidRPr="00B40A77">
        <w:rPr>
          <w:color w:val="000000" w:themeColor="text1"/>
        </w:rPr>
        <w:t>.1—Application for release under licence under former section 293A</w:t>
      </w:r>
      <w:bookmarkEnd w:id="997"/>
    </w:p>
    <w:p w14:paraId="4EFC7E67" w14:textId="0E70C24F" w:rsidR="00234624" w:rsidRPr="00B40A77" w:rsidRDefault="00234624" w:rsidP="00B90C7E">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 application </w:t>
      </w:r>
      <w:r w:rsidR="00D6232A" w:rsidRPr="00B40A77">
        <w:rPr>
          <w:color w:val="000000" w:themeColor="text1"/>
          <w:lang w:val="en-US"/>
        </w:rPr>
        <w:t>under former section</w:t>
      </w:r>
      <w:r w:rsidR="00EF1FED" w:rsidRPr="00B40A77">
        <w:rPr>
          <w:color w:val="000000" w:themeColor="text1"/>
          <w:lang w:val="en-US"/>
        </w:rPr>
        <w:t> </w:t>
      </w:r>
      <w:r w:rsidR="00D6232A" w:rsidRPr="00B40A77">
        <w:rPr>
          <w:color w:val="000000" w:themeColor="text1"/>
          <w:lang w:val="en-US"/>
        </w:rPr>
        <w:t>293A</w:t>
      </w:r>
      <w:r w:rsidR="00D6232A" w:rsidRPr="00B40A77">
        <w:rPr>
          <w:rFonts w:cs="Arial"/>
          <w:color w:val="000000" w:themeColor="text1"/>
        </w:rPr>
        <w:t xml:space="preserve">(7)(a) </w:t>
      </w:r>
      <w:r w:rsidR="00D6232A" w:rsidRPr="00B40A77">
        <w:rPr>
          <w:color w:val="000000" w:themeColor="text1"/>
          <w:lang w:val="en-US"/>
        </w:rPr>
        <w:t xml:space="preserve">of the </w:t>
      </w:r>
      <w:r w:rsidR="003A2F8B" w:rsidRPr="00B40A77">
        <w:rPr>
          <w:color w:val="000000" w:themeColor="text1"/>
          <w:szCs w:val="24"/>
        </w:rPr>
        <w:t>Consolidation Act</w:t>
      </w:r>
      <w:r w:rsidR="003A2F8B" w:rsidRPr="00B40A77">
        <w:rPr>
          <w:i/>
          <w:iCs/>
          <w:color w:val="000000" w:themeColor="text1"/>
          <w:szCs w:val="24"/>
        </w:rPr>
        <w:t xml:space="preserve"> </w:t>
      </w:r>
      <w:r w:rsidRPr="00B40A77">
        <w:rPr>
          <w:color w:val="000000" w:themeColor="text1"/>
          <w:lang w:val="en-US"/>
        </w:rPr>
        <w:t xml:space="preserve">for release </w:t>
      </w:r>
      <w:r w:rsidR="00D6232A" w:rsidRPr="00B40A77">
        <w:rPr>
          <w:color w:val="000000" w:themeColor="text1"/>
          <w:lang w:val="en-US"/>
        </w:rPr>
        <w:t xml:space="preserve">of a person (the </w:t>
      </w:r>
      <w:r w:rsidR="00D6232A" w:rsidRPr="00B40A77">
        <w:rPr>
          <w:b/>
          <w:bCs/>
          <w:i/>
          <w:iCs/>
          <w:color w:val="000000" w:themeColor="text1"/>
          <w:lang w:val="en-US"/>
        </w:rPr>
        <w:t>subject</w:t>
      </w:r>
      <w:r w:rsidR="00D6232A" w:rsidRPr="00B40A77">
        <w:rPr>
          <w:color w:val="000000" w:themeColor="text1"/>
          <w:lang w:val="en-US"/>
        </w:rPr>
        <w:t xml:space="preserve">) </w:t>
      </w:r>
      <w:r w:rsidRPr="00B40A77">
        <w:rPr>
          <w:color w:val="000000" w:themeColor="text1"/>
          <w:lang w:val="en-US"/>
        </w:rPr>
        <w:t xml:space="preserve">on licence must be made by an </w:t>
      </w:r>
      <w:r w:rsidR="00FC1FD3" w:rsidRPr="00B40A77">
        <w:rPr>
          <w:color w:val="000000" w:themeColor="text1"/>
          <w:lang w:val="en-US"/>
        </w:rPr>
        <w:t xml:space="preserve">originating </w:t>
      </w:r>
      <w:r w:rsidRPr="00B40A77">
        <w:rPr>
          <w:color w:val="000000" w:themeColor="text1"/>
          <w:lang w:val="en-US"/>
        </w:rPr>
        <w:t>application in the prescribed form.</w:t>
      </w:r>
    </w:p>
    <w:p w14:paraId="478A11E1" w14:textId="77777777" w:rsidR="00234624" w:rsidRPr="00B40A77" w:rsidRDefault="00234624" w:rsidP="002B7732">
      <w:pPr>
        <w:pStyle w:val="NoteHeader"/>
        <w:keepNext/>
        <w:rPr>
          <w:color w:val="000000" w:themeColor="text1"/>
        </w:rPr>
      </w:pPr>
      <w:r w:rsidRPr="00B40A77">
        <w:rPr>
          <w:color w:val="000000" w:themeColor="text1"/>
        </w:rPr>
        <w:t>Prescribed form—</w:t>
      </w:r>
    </w:p>
    <w:p w14:paraId="16DCC420" w14:textId="44F50166" w:rsidR="00234624" w:rsidRPr="00B40A77" w:rsidRDefault="00234624" w:rsidP="003412A9">
      <w:pPr>
        <w:pStyle w:val="NoteText"/>
        <w:rPr>
          <w:color w:val="000000" w:themeColor="text1"/>
        </w:rPr>
      </w:pPr>
      <w:r w:rsidRPr="00B40A77">
        <w:rPr>
          <w:color w:val="000000" w:themeColor="text1"/>
        </w:rPr>
        <w:t>Form 171</w:t>
      </w:r>
      <w:r w:rsidR="00E22E65" w:rsidRPr="00B40A77">
        <w:rPr>
          <w:color w:val="000000" w:themeColor="text1"/>
        </w:rPr>
        <w:t>I</w:t>
      </w:r>
      <w:r w:rsidRPr="00B40A77">
        <w:rPr>
          <w:color w:val="000000" w:themeColor="text1"/>
        </w:rPr>
        <w:t xml:space="preserve"> </w:t>
      </w:r>
      <w:hyperlink r:id="rId357" w:history="1">
        <w:r w:rsidR="00FC1FD3" w:rsidRPr="00B40A77">
          <w:rPr>
            <w:rStyle w:val="Hyperlink"/>
            <w:color w:val="000000" w:themeColor="text1"/>
            <w:lang w:val="en-US"/>
          </w:rPr>
          <w:t xml:space="preserve">Originating </w:t>
        </w:r>
        <w:r w:rsidRPr="00B40A77">
          <w:rPr>
            <w:rStyle w:val="Hyperlink"/>
            <w:color w:val="000000" w:themeColor="text1"/>
          </w:rPr>
          <w:t xml:space="preserve">Application for Release on Licence pursuant to </w:t>
        </w:r>
        <w:r w:rsidR="00E22E65" w:rsidRPr="00B40A77">
          <w:rPr>
            <w:rStyle w:val="Hyperlink"/>
            <w:color w:val="000000" w:themeColor="text1"/>
          </w:rPr>
          <w:t xml:space="preserve">former </w:t>
        </w:r>
        <w:r w:rsidRPr="00B40A77">
          <w:rPr>
            <w:rStyle w:val="Hyperlink"/>
            <w:color w:val="000000" w:themeColor="text1"/>
          </w:rPr>
          <w:t>s</w:t>
        </w:r>
        <w:r w:rsidR="00E22E65" w:rsidRPr="00B40A77">
          <w:rPr>
            <w:rStyle w:val="Hyperlink"/>
            <w:color w:val="000000" w:themeColor="text1"/>
          </w:rPr>
          <w:t>ection</w:t>
        </w:r>
        <w:r w:rsidRPr="00B40A77">
          <w:rPr>
            <w:rStyle w:val="Hyperlink"/>
            <w:color w:val="000000" w:themeColor="text1"/>
          </w:rPr>
          <w:t xml:space="preserve"> 293A Criminal Law Consolidation Act</w:t>
        </w:r>
      </w:hyperlink>
    </w:p>
    <w:p w14:paraId="59D41774" w14:textId="525F4003" w:rsidR="00D6232A" w:rsidRPr="00B40A77" w:rsidRDefault="00D6232A" w:rsidP="00D6232A">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38949495" w14:textId="0C2BCEB4" w:rsidR="00D6232A" w:rsidRPr="00B40A77" w:rsidRDefault="00D6232A" w:rsidP="00D6232A">
      <w:pPr>
        <w:pStyle w:val="Doublehangindent"/>
        <w:rPr>
          <w:color w:val="000000" w:themeColor="text1"/>
          <w:lang w:val="en-US"/>
        </w:rPr>
      </w:pPr>
      <w:r w:rsidRPr="00B40A77">
        <w:rPr>
          <w:color w:val="000000" w:themeColor="text1"/>
          <w:lang w:val="en-US"/>
        </w:rPr>
        <w:t>(a)</w:t>
      </w:r>
      <w:r w:rsidRPr="00B40A77">
        <w:rPr>
          <w:color w:val="000000" w:themeColor="text1"/>
          <w:lang w:val="en-US"/>
        </w:rPr>
        <w:tab/>
        <w:t>if the applicant is the Director—</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as the respondent;</w:t>
      </w:r>
    </w:p>
    <w:p w14:paraId="3714F0FF" w14:textId="07A588CA" w:rsidR="00D6232A" w:rsidRPr="00B40A77" w:rsidRDefault="00D6232A" w:rsidP="00D6232A">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applicant is the </w:t>
      </w:r>
      <w:r w:rsidRPr="00B40A77">
        <w:rPr>
          <w:color w:val="000000" w:themeColor="text1"/>
          <w:u w:val="single"/>
          <w:lang w:val="en-US"/>
        </w:rPr>
        <w:t>subject</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Director as the respondent.</w:t>
      </w:r>
    </w:p>
    <w:p w14:paraId="0237B2D6" w14:textId="6746241E" w:rsidR="00234624" w:rsidRPr="00B40A77" w:rsidRDefault="00234624" w:rsidP="00234624">
      <w:pPr>
        <w:pStyle w:val="Heading4"/>
        <w:rPr>
          <w:color w:val="000000" w:themeColor="text1"/>
        </w:rPr>
      </w:pPr>
      <w:bookmarkStart w:id="998" w:name="_Toc175239302"/>
      <w:r w:rsidRPr="00B40A77">
        <w:rPr>
          <w:color w:val="000000" w:themeColor="text1"/>
        </w:rPr>
        <w:t>1</w:t>
      </w:r>
      <w:r w:rsidR="009D1D11" w:rsidRPr="00B40A77">
        <w:rPr>
          <w:color w:val="000000" w:themeColor="text1"/>
        </w:rPr>
        <w:t>7</w:t>
      </w:r>
      <w:r w:rsidR="00E41D2E" w:rsidRPr="00B40A77">
        <w:rPr>
          <w:color w:val="000000" w:themeColor="text1"/>
        </w:rPr>
        <w:t>2</w:t>
      </w:r>
      <w:r w:rsidRPr="00B40A77">
        <w:rPr>
          <w:color w:val="000000" w:themeColor="text1"/>
        </w:rPr>
        <w:t>.2—Order on application for release on licence</w:t>
      </w:r>
      <w:bookmarkEnd w:id="998"/>
    </w:p>
    <w:p w14:paraId="2DD46B19" w14:textId="5FDE7E9F" w:rsidR="00234624" w:rsidRPr="00B40A77" w:rsidRDefault="00234624" w:rsidP="00B90C7E">
      <w:pPr>
        <w:pStyle w:val="IndentedPara"/>
        <w:keepNext/>
        <w:ind w:left="1134" w:hanging="567"/>
        <w:rPr>
          <w:color w:val="000000" w:themeColor="text1"/>
        </w:rPr>
      </w:pPr>
      <w:r w:rsidRPr="00B40A77">
        <w:rPr>
          <w:color w:val="000000" w:themeColor="text1"/>
        </w:rPr>
        <w:t>(1)</w:t>
      </w:r>
      <w:r w:rsidRPr="00B40A77">
        <w:rPr>
          <w:color w:val="000000" w:themeColor="text1"/>
        </w:rPr>
        <w:tab/>
      </w:r>
      <w:r w:rsidRPr="00B40A77">
        <w:rPr>
          <w:color w:val="000000" w:themeColor="text1"/>
        </w:rPr>
        <w:tab/>
        <w:t>The written record of an order on an application for release on licence under former section</w:t>
      </w:r>
      <w:r w:rsidR="00EF1FED" w:rsidRPr="00B40A77">
        <w:rPr>
          <w:color w:val="000000" w:themeColor="text1"/>
        </w:rPr>
        <w:t> </w:t>
      </w:r>
      <w:r w:rsidRPr="00B40A77">
        <w:rPr>
          <w:color w:val="000000" w:themeColor="text1"/>
        </w:rPr>
        <w:t>293A</w:t>
      </w:r>
      <w:r w:rsidRPr="00B40A77">
        <w:rPr>
          <w:rFonts w:cs="Arial"/>
          <w:color w:val="000000" w:themeColor="text1"/>
        </w:rPr>
        <w:t>(7)(a)</w:t>
      </w:r>
      <w:r w:rsidRPr="00B40A77">
        <w:rPr>
          <w:color w:val="000000" w:themeColor="text1"/>
        </w:rPr>
        <w:t xml:space="preserve"> must be in the prescribed form.</w:t>
      </w:r>
    </w:p>
    <w:p w14:paraId="491D7021" w14:textId="77777777" w:rsidR="00234624" w:rsidRPr="00B40A77" w:rsidRDefault="00234624"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09638EDD" w14:textId="0643813F" w:rsidR="00234624" w:rsidRPr="00B40A77" w:rsidRDefault="00234624" w:rsidP="00B90C7E">
      <w:pPr>
        <w:pStyle w:val="NoteText"/>
        <w:keepNext/>
        <w:rPr>
          <w:color w:val="000000" w:themeColor="text1"/>
        </w:rPr>
      </w:pPr>
      <w:r w:rsidRPr="00B40A77">
        <w:rPr>
          <w:color w:val="000000" w:themeColor="text1"/>
        </w:rPr>
        <w:t xml:space="preserve">Form </w:t>
      </w:r>
      <w:r w:rsidR="006D25C3" w:rsidRPr="00B40A77">
        <w:rPr>
          <w:color w:val="000000" w:themeColor="text1"/>
        </w:rPr>
        <w:t xml:space="preserve">173 </w:t>
      </w:r>
      <w:hyperlink r:id="rId358" w:history="1">
        <w:r w:rsidRPr="00B40A77">
          <w:rPr>
            <w:rStyle w:val="Hyperlink"/>
            <w:color w:val="000000" w:themeColor="text1"/>
          </w:rPr>
          <w:t>Record of Outcome</w:t>
        </w:r>
      </w:hyperlink>
    </w:p>
    <w:p w14:paraId="18655A8F" w14:textId="77777777" w:rsidR="00234624" w:rsidRPr="00B40A77" w:rsidRDefault="00234624"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makes </w:t>
      </w:r>
      <w:r w:rsidRPr="00B40A77">
        <w:rPr>
          <w:color w:val="000000" w:themeColor="text1"/>
        </w:rPr>
        <w:t>a substantive order</w:t>
      </w:r>
      <w:r w:rsidRPr="00B40A77">
        <w:rPr>
          <w:color w:val="000000" w:themeColor="text1"/>
          <w:lang w:val="en-US"/>
        </w:rPr>
        <w:t>, a formal order in the prescribed form must be issued.</w:t>
      </w:r>
    </w:p>
    <w:p w14:paraId="034FDA3F" w14:textId="77777777" w:rsidR="00234624" w:rsidRPr="00B40A77" w:rsidRDefault="00234624"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29746281" w14:textId="66C20389" w:rsidR="00234624" w:rsidRPr="00B40A77" w:rsidRDefault="00234624" w:rsidP="00234624">
      <w:pPr>
        <w:pStyle w:val="NoteText"/>
        <w:rPr>
          <w:color w:val="000000" w:themeColor="text1"/>
        </w:rPr>
      </w:pPr>
      <w:r w:rsidRPr="00B40A77">
        <w:rPr>
          <w:color w:val="000000" w:themeColor="text1"/>
        </w:rPr>
        <w:t>Form 17</w:t>
      </w:r>
      <w:r w:rsidR="00DF2BC3" w:rsidRPr="00B40A77">
        <w:rPr>
          <w:color w:val="000000" w:themeColor="text1"/>
        </w:rPr>
        <w:t>4</w:t>
      </w:r>
      <w:r w:rsidRPr="00B40A77">
        <w:rPr>
          <w:color w:val="000000" w:themeColor="text1"/>
        </w:rPr>
        <w:t xml:space="preserve">C </w:t>
      </w:r>
      <w:hyperlink r:id="rId359" w:history="1">
        <w:r w:rsidRPr="00B40A77">
          <w:rPr>
            <w:rStyle w:val="Hyperlink"/>
            <w:color w:val="000000" w:themeColor="text1"/>
          </w:rPr>
          <w:t xml:space="preserve">Order – Confirmation, Variation or Cancellation of </w:t>
        </w:r>
        <w:r w:rsidR="00DF2BC3" w:rsidRPr="00B40A77">
          <w:rPr>
            <w:rStyle w:val="Hyperlink"/>
            <w:color w:val="000000" w:themeColor="text1"/>
          </w:rPr>
          <w:t>former section</w:t>
        </w:r>
        <w:r w:rsidRPr="00B40A77">
          <w:rPr>
            <w:rStyle w:val="Hyperlink"/>
            <w:color w:val="000000" w:themeColor="text1"/>
          </w:rPr>
          <w:t xml:space="preserve"> 293A Order</w:t>
        </w:r>
      </w:hyperlink>
    </w:p>
    <w:p w14:paraId="70F3AA82" w14:textId="4A8EB1FD" w:rsidR="00234624" w:rsidRPr="00B40A77" w:rsidRDefault="00234624" w:rsidP="00234624">
      <w:pPr>
        <w:pStyle w:val="Heading3"/>
        <w:rPr>
          <w:color w:val="000000" w:themeColor="text1"/>
        </w:rPr>
      </w:pPr>
      <w:bookmarkStart w:id="999" w:name="_Toc175239303"/>
      <w:r w:rsidRPr="00B40A77">
        <w:rPr>
          <w:color w:val="000000" w:themeColor="text1"/>
        </w:rPr>
        <w:t>Division 5—Crimes Act order</w:t>
      </w:r>
      <w:r w:rsidR="00733561" w:rsidRPr="00B40A77">
        <w:rPr>
          <w:color w:val="000000" w:themeColor="text1"/>
        </w:rPr>
        <w:t xml:space="preserve">: </w:t>
      </w:r>
      <w:r w:rsidR="00394A9B" w:rsidRPr="00B40A77">
        <w:rPr>
          <w:color w:val="000000" w:themeColor="text1"/>
        </w:rPr>
        <w:t>All Courts except Youth Court</w:t>
      </w:r>
      <w:bookmarkEnd w:id="999"/>
    </w:p>
    <w:p w14:paraId="4EE11E2F" w14:textId="411D7E73" w:rsidR="00234624" w:rsidRPr="00B40A77" w:rsidRDefault="009D1D11" w:rsidP="00234624">
      <w:pPr>
        <w:pStyle w:val="Heading4"/>
        <w:rPr>
          <w:color w:val="000000" w:themeColor="text1"/>
        </w:rPr>
      </w:pPr>
      <w:bookmarkStart w:id="1000" w:name="_Toc175239304"/>
      <w:r w:rsidRPr="00B40A77">
        <w:rPr>
          <w:color w:val="000000" w:themeColor="text1"/>
        </w:rPr>
        <w:t>17</w:t>
      </w:r>
      <w:r w:rsidR="00E41D2E" w:rsidRPr="00B40A77">
        <w:rPr>
          <w:color w:val="000000" w:themeColor="text1"/>
        </w:rPr>
        <w:t>3</w:t>
      </w:r>
      <w:r w:rsidRPr="00B40A77">
        <w:rPr>
          <w:color w:val="000000" w:themeColor="text1"/>
        </w:rPr>
        <w:t>.1</w:t>
      </w:r>
      <w:r w:rsidR="00234624" w:rsidRPr="00B40A77">
        <w:rPr>
          <w:color w:val="000000" w:themeColor="text1"/>
        </w:rPr>
        <w:t>—Application to vary or discharge order</w:t>
      </w:r>
      <w:bookmarkEnd w:id="1000"/>
    </w:p>
    <w:p w14:paraId="621BE366" w14:textId="6168EBA9" w:rsidR="00CF0678" w:rsidRPr="00B40A77" w:rsidRDefault="00234624" w:rsidP="00110EA9">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An application</w:t>
      </w:r>
      <w:r w:rsidR="00CF0678" w:rsidRPr="00B40A77">
        <w:rPr>
          <w:color w:val="000000" w:themeColor="text1"/>
          <w:lang w:val="en-US"/>
        </w:rPr>
        <w:t>—</w:t>
      </w:r>
    </w:p>
    <w:p w14:paraId="144C98D7" w14:textId="760F1344" w:rsidR="00CF0678" w:rsidRPr="00B40A77" w:rsidRDefault="00CF0678" w:rsidP="00CF0678">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84292E" w:rsidRPr="00B40A77">
        <w:rPr>
          <w:rFonts w:cs="Arial"/>
          <w:color w:val="000000" w:themeColor="text1"/>
        </w:rPr>
        <w:t>under section</w:t>
      </w:r>
      <w:r w:rsidR="00EF1FED" w:rsidRPr="00B40A77">
        <w:rPr>
          <w:rFonts w:cs="Arial"/>
          <w:color w:val="000000" w:themeColor="text1"/>
        </w:rPr>
        <w:t> </w:t>
      </w:r>
      <w:r w:rsidR="0084292E" w:rsidRPr="00B40A77">
        <w:rPr>
          <w:rFonts w:cs="Arial"/>
          <w:color w:val="000000" w:themeColor="text1"/>
        </w:rPr>
        <w:t xml:space="preserve">20BC(7) </w:t>
      </w:r>
      <w:r w:rsidR="0084292E" w:rsidRPr="00B40A77">
        <w:rPr>
          <w:color w:val="000000" w:themeColor="text1"/>
          <w:lang w:val="en-US"/>
        </w:rPr>
        <w:t xml:space="preserve">of the Crimes Act to </w:t>
      </w:r>
      <w:r w:rsidR="00234624" w:rsidRPr="00B40A77">
        <w:rPr>
          <w:color w:val="000000" w:themeColor="text1"/>
          <w:lang w:val="en-US"/>
        </w:rPr>
        <w:t>vary</w:t>
      </w:r>
      <w:r w:rsidR="00234624" w:rsidRPr="00B40A77">
        <w:rPr>
          <w:rFonts w:cs="Arial"/>
          <w:color w:val="000000" w:themeColor="text1"/>
        </w:rPr>
        <w:t xml:space="preserve"> the terms of a Division 6 order</w:t>
      </w:r>
      <w:r w:rsidRPr="00B40A77">
        <w:rPr>
          <w:color w:val="000000" w:themeColor="text1"/>
          <w:lang w:val="en-US"/>
        </w:rPr>
        <w:t>;</w:t>
      </w:r>
    </w:p>
    <w:p w14:paraId="0989AB2D" w14:textId="633CF52A" w:rsidR="00CF0678" w:rsidRPr="00B40A77" w:rsidRDefault="00CF0678" w:rsidP="00CF0678">
      <w:pPr>
        <w:pStyle w:val="Doublehangindent"/>
        <w:rPr>
          <w:rFonts w:cs="Arial"/>
          <w:color w:val="000000" w:themeColor="text1"/>
        </w:rPr>
      </w:pPr>
      <w:r w:rsidRPr="00B40A77">
        <w:rPr>
          <w:color w:val="000000" w:themeColor="text1"/>
          <w:lang w:val="en-US"/>
        </w:rPr>
        <w:t>(</w:t>
      </w:r>
      <w:r w:rsidR="00284D00" w:rsidRPr="00B40A77">
        <w:rPr>
          <w:color w:val="000000" w:themeColor="text1"/>
          <w:lang w:val="en-US"/>
        </w:rPr>
        <w:t>b</w:t>
      </w:r>
      <w:r w:rsidRPr="00B40A77">
        <w:rPr>
          <w:color w:val="000000" w:themeColor="text1"/>
          <w:lang w:val="en-US"/>
        </w:rPr>
        <w:t>)</w:t>
      </w:r>
      <w:r w:rsidRPr="00B40A77">
        <w:rPr>
          <w:color w:val="000000" w:themeColor="text1"/>
          <w:lang w:val="en-US"/>
        </w:rPr>
        <w:tab/>
      </w:r>
      <w:r w:rsidRPr="00B40A77">
        <w:rPr>
          <w:rFonts w:cs="Arial"/>
          <w:color w:val="000000" w:themeColor="text1"/>
        </w:rPr>
        <w:t>under section</w:t>
      </w:r>
      <w:r w:rsidR="00EF1FED" w:rsidRPr="00B40A77">
        <w:rPr>
          <w:rFonts w:cs="Arial"/>
          <w:color w:val="000000" w:themeColor="text1"/>
        </w:rPr>
        <w:t> </w:t>
      </w:r>
      <w:r w:rsidR="00217261" w:rsidRPr="00B40A77">
        <w:rPr>
          <w:rFonts w:cs="Arial"/>
          <w:color w:val="000000" w:themeColor="text1"/>
        </w:rPr>
        <w:t xml:space="preserve">20BJ(5) </w:t>
      </w:r>
      <w:r w:rsidRPr="00B40A77">
        <w:rPr>
          <w:color w:val="000000" w:themeColor="text1"/>
          <w:lang w:val="en-US"/>
        </w:rPr>
        <w:t>of the Crimes Act</w:t>
      </w:r>
      <w:r w:rsidR="0084292E" w:rsidRPr="00B40A77">
        <w:rPr>
          <w:color w:val="000000" w:themeColor="text1"/>
          <w:lang w:val="en-US"/>
        </w:rPr>
        <w:t xml:space="preserve"> to vary</w:t>
      </w:r>
      <w:r w:rsidR="0084292E" w:rsidRPr="00B40A77">
        <w:rPr>
          <w:rFonts w:cs="Arial"/>
          <w:color w:val="000000" w:themeColor="text1"/>
        </w:rPr>
        <w:t xml:space="preserve"> the terms of a Division 7 order</w:t>
      </w:r>
      <w:r w:rsidRPr="00B40A77">
        <w:rPr>
          <w:color w:val="000000" w:themeColor="text1"/>
          <w:lang w:val="en-US"/>
        </w:rPr>
        <w:t>;</w:t>
      </w:r>
    </w:p>
    <w:p w14:paraId="5E2A20EE" w14:textId="02BE568A" w:rsidR="00CF0678" w:rsidRPr="00B40A77" w:rsidRDefault="00CF0678" w:rsidP="00CF0678">
      <w:pPr>
        <w:pStyle w:val="Doublehangindent"/>
        <w:rPr>
          <w:color w:val="000000" w:themeColor="text1"/>
          <w:lang w:val="en-US"/>
        </w:rPr>
      </w:pPr>
      <w:r w:rsidRPr="00B40A77">
        <w:rPr>
          <w:rFonts w:cs="Arial"/>
          <w:color w:val="000000" w:themeColor="text1"/>
        </w:rPr>
        <w:t>(</w:t>
      </w:r>
      <w:r w:rsidR="00217261" w:rsidRPr="00B40A77">
        <w:rPr>
          <w:rFonts w:cs="Arial"/>
          <w:color w:val="000000" w:themeColor="text1"/>
        </w:rPr>
        <w:t>c</w:t>
      </w:r>
      <w:r w:rsidRPr="00B40A77">
        <w:rPr>
          <w:rFonts w:cs="Arial"/>
          <w:color w:val="000000" w:themeColor="text1"/>
        </w:rPr>
        <w:t>)</w:t>
      </w:r>
      <w:r w:rsidRPr="00B40A77">
        <w:rPr>
          <w:rFonts w:cs="Arial"/>
          <w:color w:val="000000" w:themeColor="text1"/>
        </w:rPr>
        <w:tab/>
        <w:t>under section</w:t>
      </w:r>
      <w:r w:rsidR="00EF1FED" w:rsidRPr="00B40A77">
        <w:rPr>
          <w:rFonts w:cs="Arial"/>
          <w:color w:val="000000" w:themeColor="text1"/>
        </w:rPr>
        <w:t> </w:t>
      </w:r>
      <w:r w:rsidRPr="00B40A77">
        <w:rPr>
          <w:rFonts w:cs="Arial"/>
          <w:color w:val="000000" w:themeColor="text1"/>
        </w:rPr>
        <w:t xml:space="preserve">20BV(4) </w:t>
      </w:r>
      <w:r w:rsidRPr="00B40A77">
        <w:rPr>
          <w:color w:val="000000" w:themeColor="text1"/>
          <w:lang w:val="en-US"/>
        </w:rPr>
        <w:t>of the Crimes Act</w:t>
      </w:r>
      <w:r w:rsidR="0084292E" w:rsidRPr="00B40A77">
        <w:rPr>
          <w:color w:val="000000" w:themeColor="text1"/>
          <w:lang w:val="en-US"/>
        </w:rPr>
        <w:t xml:space="preserve"> to </w:t>
      </w:r>
      <w:r w:rsidR="0084292E" w:rsidRPr="00B40A77">
        <w:rPr>
          <w:rFonts w:cs="Arial"/>
          <w:color w:val="000000" w:themeColor="text1"/>
        </w:rPr>
        <w:t>vary treatment under a Division 9 psychiatric order</w:t>
      </w:r>
      <w:r w:rsidRPr="00B40A77">
        <w:rPr>
          <w:color w:val="000000" w:themeColor="text1"/>
          <w:lang w:val="en-US"/>
        </w:rPr>
        <w:t xml:space="preserve">; </w:t>
      </w:r>
      <w:r w:rsidR="00234624" w:rsidRPr="00B40A77">
        <w:rPr>
          <w:color w:val="000000" w:themeColor="text1"/>
          <w:lang w:val="en-US"/>
        </w:rPr>
        <w:t xml:space="preserve">or </w:t>
      </w:r>
    </w:p>
    <w:p w14:paraId="0EA07C11" w14:textId="3F2FF127" w:rsidR="00CF0678" w:rsidRPr="00B40A77" w:rsidRDefault="00CF0678" w:rsidP="00CF0678">
      <w:pPr>
        <w:pStyle w:val="Doublehangindent"/>
        <w:rPr>
          <w:color w:val="000000" w:themeColor="text1"/>
          <w:lang w:val="en-US"/>
        </w:rPr>
      </w:pPr>
      <w:r w:rsidRPr="00B40A77">
        <w:rPr>
          <w:color w:val="000000" w:themeColor="text1"/>
          <w:lang w:val="en-US"/>
        </w:rPr>
        <w:t>(</w:t>
      </w:r>
      <w:r w:rsidR="00217261" w:rsidRPr="00B40A77">
        <w:rPr>
          <w:color w:val="000000" w:themeColor="text1"/>
          <w:lang w:val="en-US"/>
        </w:rPr>
        <w:t>d</w:t>
      </w:r>
      <w:r w:rsidRPr="00B40A77">
        <w:rPr>
          <w:color w:val="000000" w:themeColor="text1"/>
          <w:lang w:val="en-US"/>
        </w:rPr>
        <w:t>)</w:t>
      </w:r>
      <w:r w:rsidRPr="00B40A77">
        <w:rPr>
          <w:color w:val="000000" w:themeColor="text1"/>
          <w:lang w:val="en-US"/>
        </w:rPr>
        <w:tab/>
      </w:r>
      <w:r w:rsidR="00234624" w:rsidRPr="00B40A77">
        <w:rPr>
          <w:rFonts w:cs="Arial"/>
          <w:color w:val="000000" w:themeColor="text1"/>
        </w:rPr>
        <w:t>under section</w:t>
      </w:r>
      <w:r w:rsidR="00EF1FED" w:rsidRPr="00B40A77">
        <w:rPr>
          <w:rFonts w:cs="Arial"/>
          <w:color w:val="000000" w:themeColor="text1"/>
        </w:rPr>
        <w:t> </w:t>
      </w:r>
      <w:r w:rsidR="00234624" w:rsidRPr="00B40A77">
        <w:rPr>
          <w:rFonts w:cs="Arial"/>
          <w:color w:val="000000" w:themeColor="text1"/>
        </w:rPr>
        <w:t>20BU</w:t>
      </w:r>
      <w:r w:rsidR="00234624" w:rsidRPr="00B40A77">
        <w:rPr>
          <w:color w:val="000000" w:themeColor="text1"/>
          <w:lang w:val="en-US"/>
        </w:rPr>
        <w:t xml:space="preserve"> of the Crimes Act</w:t>
      </w:r>
      <w:r w:rsidR="0084292E" w:rsidRPr="00B40A77">
        <w:rPr>
          <w:color w:val="000000" w:themeColor="text1"/>
          <w:lang w:val="en-US"/>
        </w:rPr>
        <w:t xml:space="preserve"> to </w:t>
      </w:r>
      <w:r w:rsidR="0084292E" w:rsidRPr="00B40A77">
        <w:rPr>
          <w:rFonts w:cs="Arial"/>
          <w:color w:val="000000" w:themeColor="text1"/>
        </w:rPr>
        <w:t>discharge a Division 9 hospital order</w:t>
      </w:r>
      <w:r w:rsidRPr="00B40A77">
        <w:rPr>
          <w:color w:val="000000" w:themeColor="text1"/>
          <w:lang w:val="en-US"/>
        </w:rPr>
        <w:t>,</w:t>
      </w:r>
    </w:p>
    <w:p w14:paraId="2D4FCCB7" w14:textId="371130CD" w:rsidR="00234624" w:rsidRPr="00B40A77" w:rsidRDefault="0084292E" w:rsidP="00B90C7E">
      <w:pPr>
        <w:pStyle w:val="Doublehangindent"/>
        <w:keepNext/>
        <w:ind w:left="1134" w:firstLine="0"/>
        <w:rPr>
          <w:color w:val="000000" w:themeColor="text1"/>
          <w:lang w:val="en-US"/>
        </w:rPr>
      </w:pPr>
      <w:r w:rsidRPr="00B40A77">
        <w:rPr>
          <w:color w:val="000000" w:themeColor="text1"/>
          <w:lang w:val="en-US"/>
        </w:rPr>
        <w:lastRenderedPageBreak/>
        <w:t xml:space="preserve">made against a person (the </w:t>
      </w:r>
      <w:r w:rsidRPr="00B40A77">
        <w:rPr>
          <w:b/>
          <w:bCs/>
          <w:i/>
          <w:iCs/>
          <w:color w:val="000000" w:themeColor="text1"/>
          <w:lang w:val="en-US"/>
        </w:rPr>
        <w:t>subject</w:t>
      </w:r>
      <w:r w:rsidRPr="00B40A77">
        <w:rPr>
          <w:color w:val="000000" w:themeColor="text1"/>
          <w:lang w:val="en-US"/>
        </w:rPr>
        <w:t xml:space="preserve">) </w:t>
      </w:r>
      <w:r w:rsidR="00234624" w:rsidRPr="00B40A77">
        <w:rPr>
          <w:color w:val="000000" w:themeColor="text1"/>
          <w:lang w:val="en-US"/>
        </w:rPr>
        <w:t xml:space="preserve">must be made by an </w:t>
      </w:r>
      <w:r w:rsidR="00FC1FD3" w:rsidRPr="00B40A77">
        <w:rPr>
          <w:color w:val="000000" w:themeColor="text1"/>
          <w:lang w:val="en-US"/>
        </w:rPr>
        <w:t xml:space="preserve">originating </w:t>
      </w:r>
      <w:r w:rsidR="00234624" w:rsidRPr="00B40A77">
        <w:rPr>
          <w:color w:val="000000" w:themeColor="text1"/>
          <w:lang w:val="en-US"/>
        </w:rPr>
        <w:t>application in the prescribed form.</w:t>
      </w:r>
    </w:p>
    <w:p w14:paraId="696D4193" w14:textId="77777777" w:rsidR="00234624" w:rsidRPr="00B40A77" w:rsidRDefault="00234624" w:rsidP="00B90C7E">
      <w:pPr>
        <w:pStyle w:val="NoteHeader"/>
        <w:keepNext/>
        <w:rPr>
          <w:color w:val="000000" w:themeColor="text1"/>
        </w:rPr>
      </w:pPr>
      <w:r w:rsidRPr="00B40A77">
        <w:rPr>
          <w:color w:val="000000" w:themeColor="text1"/>
        </w:rPr>
        <w:t>Prescribed form—</w:t>
      </w:r>
    </w:p>
    <w:p w14:paraId="1F798DFB" w14:textId="3C0E7AB5" w:rsidR="00234624" w:rsidRPr="00B40A77" w:rsidRDefault="00234624" w:rsidP="003412A9">
      <w:pPr>
        <w:pStyle w:val="NoteText"/>
        <w:rPr>
          <w:color w:val="000000" w:themeColor="text1"/>
        </w:rPr>
      </w:pPr>
      <w:r w:rsidRPr="00B40A77">
        <w:rPr>
          <w:color w:val="000000" w:themeColor="text1"/>
        </w:rPr>
        <w:t>F</w:t>
      </w:r>
      <w:r w:rsidR="001822A3" w:rsidRPr="00B40A77">
        <w:rPr>
          <w:color w:val="000000" w:themeColor="text1"/>
        </w:rPr>
        <w:t>orm 171</w:t>
      </w:r>
      <w:r w:rsidR="00DF2BC3" w:rsidRPr="00B40A77">
        <w:rPr>
          <w:color w:val="000000" w:themeColor="text1"/>
        </w:rPr>
        <w:t>J</w:t>
      </w:r>
      <w:r w:rsidRPr="00B40A77">
        <w:rPr>
          <w:color w:val="000000" w:themeColor="text1"/>
        </w:rPr>
        <w:t xml:space="preserve"> </w:t>
      </w:r>
      <w:hyperlink r:id="rId360" w:history="1">
        <w:r w:rsidR="00FC1FD3" w:rsidRPr="00B40A77">
          <w:rPr>
            <w:rStyle w:val="Hyperlink"/>
            <w:color w:val="000000" w:themeColor="text1"/>
            <w:lang w:val="en-US"/>
          </w:rPr>
          <w:t xml:space="preserve">Originating </w:t>
        </w:r>
        <w:r w:rsidRPr="00B40A77">
          <w:rPr>
            <w:rStyle w:val="Hyperlink"/>
            <w:color w:val="000000" w:themeColor="text1"/>
          </w:rPr>
          <w:t>Application for Variation or Discharge of Division 6, 7 or 9 Crimes Act 1914 (Cth) Order</w:t>
        </w:r>
      </w:hyperlink>
    </w:p>
    <w:p w14:paraId="52E945D7" w14:textId="77777777" w:rsidR="0084292E" w:rsidRPr="00B40A77" w:rsidRDefault="0084292E" w:rsidP="0084292E">
      <w:pPr>
        <w:pStyle w:val="Hangindent"/>
        <w:rPr>
          <w:color w:val="000000" w:themeColor="text1"/>
        </w:rPr>
      </w:pPr>
      <w:r w:rsidRPr="00B40A77">
        <w:rPr>
          <w:color w:val="000000" w:themeColor="text1"/>
        </w:rPr>
        <w:t>(2)</w:t>
      </w:r>
      <w:r w:rsidRPr="00B40A77">
        <w:rPr>
          <w:color w:val="000000" w:themeColor="text1"/>
        </w:rPr>
        <w:tab/>
        <w:t>The applicant</w:t>
      </w:r>
      <w:r w:rsidRPr="00B40A77">
        <w:rPr>
          <w:color w:val="000000" w:themeColor="text1"/>
          <w:lang w:val="en-US"/>
        </w:rPr>
        <w:t>—</w:t>
      </w:r>
    </w:p>
    <w:p w14:paraId="5A292484" w14:textId="09C2E08B" w:rsidR="0084292E" w:rsidRPr="00B40A77" w:rsidRDefault="0084292E" w:rsidP="0084292E">
      <w:pPr>
        <w:pStyle w:val="Doublehangindent"/>
        <w:rPr>
          <w:color w:val="000000" w:themeColor="text1"/>
          <w:lang w:val="en-US"/>
        </w:rPr>
      </w:pPr>
      <w:r w:rsidRPr="00B40A77">
        <w:rPr>
          <w:color w:val="000000" w:themeColor="text1"/>
          <w:lang w:val="en-US"/>
        </w:rPr>
        <w:t>(a)</w:t>
      </w:r>
      <w:r w:rsidRPr="00B40A77">
        <w:rPr>
          <w:color w:val="000000" w:themeColor="text1"/>
          <w:lang w:val="en-US"/>
        </w:rPr>
        <w:tab/>
        <w:t>if the applicant is the Director—</w:t>
      </w:r>
      <w:r w:rsidRPr="00B40A77">
        <w:rPr>
          <w:color w:val="000000" w:themeColor="text1"/>
        </w:rPr>
        <w:t>must</w:t>
      </w:r>
      <w:r w:rsidRPr="00B40A77">
        <w:rPr>
          <w:color w:val="000000" w:themeColor="text1"/>
          <w:lang w:val="en-US"/>
        </w:rPr>
        <w:t xml:space="preserve"> join the </w:t>
      </w:r>
      <w:r w:rsidRPr="00B40A77">
        <w:rPr>
          <w:color w:val="000000" w:themeColor="text1"/>
          <w:u w:val="single"/>
          <w:lang w:val="en-US"/>
        </w:rPr>
        <w:t>subject</w:t>
      </w:r>
      <w:r w:rsidRPr="00B40A77">
        <w:rPr>
          <w:color w:val="000000" w:themeColor="text1"/>
          <w:lang w:val="en-US"/>
        </w:rPr>
        <w:t xml:space="preserve"> as the respondent;</w:t>
      </w:r>
    </w:p>
    <w:p w14:paraId="776ACCDE" w14:textId="747D661A" w:rsidR="0084292E" w:rsidRPr="00B40A77" w:rsidRDefault="0084292E" w:rsidP="0084292E">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if the applicant is the </w:t>
      </w:r>
      <w:r w:rsidRPr="00B40A77">
        <w:rPr>
          <w:color w:val="000000" w:themeColor="text1"/>
          <w:u w:val="single"/>
          <w:lang w:val="en-US"/>
        </w:rPr>
        <w:t>subject</w:t>
      </w:r>
      <w:r w:rsidRPr="00B40A77">
        <w:rPr>
          <w:color w:val="000000" w:themeColor="text1"/>
          <w:lang w:val="en-US"/>
        </w:rPr>
        <w:t>—</w:t>
      </w:r>
      <w:r w:rsidRPr="00B40A77">
        <w:rPr>
          <w:color w:val="000000" w:themeColor="text1"/>
        </w:rPr>
        <w:t>must</w:t>
      </w:r>
      <w:r w:rsidRPr="00B40A77">
        <w:rPr>
          <w:color w:val="000000" w:themeColor="text1"/>
          <w:lang w:val="en-US"/>
        </w:rPr>
        <w:t xml:space="preserve"> join the Director as the respondent.</w:t>
      </w:r>
    </w:p>
    <w:p w14:paraId="5AFFFCCE" w14:textId="5378186A" w:rsidR="00234624" w:rsidRPr="00B40A77" w:rsidRDefault="009D1D11" w:rsidP="00234624">
      <w:pPr>
        <w:pStyle w:val="Heading4"/>
        <w:rPr>
          <w:color w:val="000000" w:themeColor="text1"/>
        </w:rPr>
      </w:pPr>
      <w:bookmarkStart w:id="1001" w:name="_Toc175239305"/>
      <w:r w:rsidRPr="00B40A77">
        <w:rPr>
          <w:color w:val="000000" w:themeColor="text1"/>
        </w:rPr>
        <w:t>17</w:t>
      </w:r>
      <w:r w:rsidR="00E41D2E" w:rsidRPr="00B40A77">
        <w:rPr>
          <w:color w:val="000000" w:themeColor="text1"/>
        </w:rPr>
        <w:t>3</w:t>
      </w:r>
      <w:r w:rsidRPr="00B40A77">
        <w:rPr>
          <w:color w:val="000000" w:themeColor="text1"/>
        </w:rPr>
        <w:t>.2</w:t>
      </w:r>
      <w:r w:rsidR="00234624" w:rsidRPr="00B40A77">
        <w:rPr>
          <w:color w:val="000000" w:themeColor="text1"/>
        </w:rPr>
        <w:t>—Order on application to vary or discharge order</w:t>
      </w:r>
      <w:bookmarkEnd w:id="1001"/>
    </w:p>
    <w:p w14:paraId="29923EC2" w14:textId="38BCC2F8" w:rsidR="00234624" w:rsidRPr="00B40A77" w:rsidRDefault="00234624" w:rsidP="00B90C7E">
      <w:pPr>
        <w:pStyle w:val="IndentedPara"/>
        <w:keepNext/>
        <w:ind w:left="1134" w:hanging="567"/>
        <w:rPr>
          <w:color w:val="000000" w:themeColor="text1"/>
        </w:rPr>
      </w:pPr>
      <w:r w:rsidRPr="00B40A77">
        <w:rPr>
          <w:color w:val="000000" w:themeColor="text1"/>
        </w:rPr>
        <w:t>(1)</w:t>
      </w:r>
      <w:r w:rsidRPr="00B40A77">
        <w:rPr>
          <w:color w:val="000000" w:themeColor="text1"/>
        </w:rPr>
        <w:tab/>
      </w:r>
      <w:r w:rsidRPr="00B40A77">
        <w:rPr>
          <w:color w:val="000000" w:themeColor="text1"/>
        </w:rPr>
        <w:tab/>
        <w:t>The written record of an order on an application to vary</w:t>
      </w:r>
      <w:r w:rsidRPr="00B40A77">
        <w:rPr>
          <w:rFonts w:cs="Arial"/>
          <w:color w:val="000000" w:themeColor="text1"/>
        </w:rPr>
        <w:t xml:space="preserve"> or discharge a Division</w:t>
      </w:r>
      <w:r w:rsidR="00580D9D" w:rsidRPr="00B40A77">
        <w:rPr>
          <w:rFonts w:cs="Arial"/>
          <w:color w:val="000000" w:themeColor="text1"/>
        </w:rPr>
        <w:t> </w:t>
      </w:r>
      <w:r w:rsidRPr="00B40A77">
        <w:rPr>
          <w:rFonts w:cs="Arial"/>
          <w:color w:val="000000" w:themeColor="text1"/>
        </w:rPr>
        <w:t>6, 7 or</w:t>
      </w:r>
      <w:r w:rsidR="00580D9D" w:rsidRPr="00B40A77">
        <w:rPr>
          <w:rFonts w:cs="Arial"/>
          <w:color w:val="000000" w:themeColor="text1"/>
        </w:rPr>
        <w:t> </w:t>
      </w:r>
      <w:r w:rsidRPr="00B40A77">
        <w:rPr>
          <w:rFonts w:cs="Arial"/>
          <w:color w:val="000000" w:themeColor="text1"/>
        </w:rPr>
        <w:t>9 order</w:t>
      </w:r>
      <w:r w:rsidRPr="00B40A77">
        <w:rPr>
          <w:color w:val="000000" w:themeColor="text1"/>
        </w:rPr>
        <w:t xml:space="preserve"> must be in the prescribed form.</w:t>
      </w:r>
    </w:p>
    <w:p w14:paraId="6A7E5CBC" w14:textId="77777777" w:rsidR="00234624" w:rsidRPr="00B40A77" w:rsidRDefault="00234624" w:rsidP="00B90C7E">
      <w:pPr>
        <w:pStyle w:val="NoteHeader"/>
        <w:keepNext/>
        <w:rPr>
          <w:color w:val="000000" w:themeColor="text1"/>
        </w:rPr>
      </w:pPr>
      <w:r w:rsidRPr="00B40A77">
        <w:rPr>
          <w:color w:val="000000" w:themeColor="text1"/>
        </w:rPr>
        <w:t>Prescribed form—</w:t>
      </w:r>
      <w:r w:rsidRPr="00B40A77">
        <w:rPr>
          <w:color w:val="000000" w:themeColor="text1"/>
        </w:rPr>
        <w:tab/>
      </w:r>
    </w:p>
    <w:p w14:paraId="0CB88459" w14:textId="128646BA" w:rsidR="00234624" w:rsidRPr="00B40A77" w:rsidRDefault="00234624" w:rsidP="00234624">
      <w:pPr>
        <w:pStyle w:val="NoteText"/>
        <w:rPr>
          <w:color w:val="000000" w:themeColor="text1"/>
        </w:rPr>
      </w:pPr>
      <w:r w:rsidRPr="00B40A77">
        <w:rPr>
          <w:color w:val="000000" w:themeColor="text1"/>
        </w:rPr>
        <w:t xml:space="preserve">Form </w:t>
      </w:r>
      <w:r w:rsidR="009A4D0F" w:rsidRPr="00B40A77">
        <w:rPr>
          <w:color w:val="000000" w:themeColor="text1"/>
        </w:rPr>
        <w:t>173</w:t>
      </w:r>
      <w:r w:rsidRPr="00B40A77">
        <w:rPr>
          <w:color w:val="000000" w:themeColor="text1"/>
        </w:rPr>
        <w:t xml:space="preserve"> </w:t>
      </w:r>
      <w:hyperlink r:id="rId361" w:history="1">
        <w:r w:rsidRPr="00B40A77">
          <w:rPr>
            <w:rStyle w:val="Hyperlink"/>
            <w:color w:val="000000" w:themeColor="text1"/>
          </w:rPr>
          <w:t>Record of Outcome</w:t>
        </w:r>
      </w:hyperlink>
    </w:p>
    <w:p w14:paraId="02DD84CA" w14:textId="77777777" w:rsidR="00234624" w:rsidRPr="00B40A77" w:rsidRDefault="00234624" w:rsidP="00B90C7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If the Court makes </w:t>
      </w:r>
      <w:r w:rsidRPr="00B40A77">
        <w:rPr>
          <w:color w:val="000000" w:themeColor="text1"/>
        </w:rPr>
        <w:t>a substantive order</w:t>
      </w:r>
      <w:r w:rsidRPr="00B40A77">
        <w:rPr>
          <w:color w:val="000000" w:themeColor="text1"/>
          <w:lang w:val="en-US"/>
        </w:rPr>
        <w:t>, a formal order in the prescribed form must be issued.</w:t>
      </w:r>
    </w:p>
    <w:p w14:paraId="073BEF8F" w14:textId="6298CFBC" w:rsidR="00234624" w:rsidRPr="00B40A77" w:rsidRDefault="00234624" w:rsidP="00B90C7E">
      <w:pPr>
        <w:pStyle w:val="NoteHeader"/>
        <w:keepNext/>
        <w:rPr>
          <w:color w:val="000000" w:themeColor="text1"/>
        </w:rPr>
      </w:pPr>
      <w:r w:rsidRPr="00B40A77">
        <w:rPr>
          <w:color w:val="000000" w:themeColor="text1"/>
        </w:rPr>
        <w:t>Prescribed form—</w:t>
      </w:r>
    </w:p>
    <w:p w14:paraId="216200F1" w14:textId="4454004C" w:rsidR="00234624" w:rsidRPr="00B40A77" w:rsidRDefault="00234624" w:rsidP="00234624">
      <w:pPr>
        <w:pStyle w:val="NoteText"/>
        <w:rPr>
          <w:color w:val="000000" w:themeColor="text1"/>
          <w:u w:val="single"/>
        </w:rPr>
      </w:pPr>
      <w:r w:rsidRPr="00B40A77">
        <w:rPr>
          <w:color w:val="000000" w:themeColor="text1"/>
        </w:rPr>
        <w:t>Form 17</w:t>
      </w:r>
      <w:r w:rsidR="00DF2BC3" w:rsidRPr="00B40A77">
        <w:rPr>
          <w:color w:val="000000" w:themeColor="text1"/>
        </w:rPr>
        <w:t>4E</w:t>
      </w:r>
      <w:r w:rsidRPr="00B40A77">
        <w:rPr>
          <w:color w:val="000000" w:themeColor="text1"/>
        </w:rPr>
        <w:t xml:space="preserve"> </w:t>
      </w:r>
      <w:hyperlink r:id="rId362" w:history="1">
        <w:r w:rsidRPr="00B40A77">
          <w:rPr>
            <w:rStyle w:val="Hyperlink"/>
            <w:color w:val="000000" w:themeColor="text1"/>
          </w:rPr>
          <w:t>Order – Variation of Division 6, 7 or 9 Crimes Act Order</w:t>
        </w:r>
      </w:hyperlink>
    </w:p>
    <w:p w14:paraId="519C55CB" w14:textId="37917344" w:rsidR="00514EBB" w:rsidRPr="00B40A77" w:rsidRDefault="00234624" w:rsidP="00110EA9">
      <w:pPr>
        <w:pStyle w:val="Heading2"/>
        <w:contextualSpacing w:val="0"/>
        <w:rPr>
          <w:color w:val="000000" w:themeColor="text1"/>
        </w:rPr>
      </w:pPr>
      <w:bookmarkStart w:id="1002" w:name="_Toc175239306"/>
      <w:r w:rsidRPr="00B40A77">
        <w:rPr>
          <w:color w:val="000000" w:themeColor="text1"/>
        </w:rPr>
        <w:t>Part 3</w:t>
      </w:r>
      <w:r w:rsidR="00514EBB" w:rsidRPr="00B40A77">
        <w:rPr>
          <w:color w:val="000000" w:themeColor="text1"/>
        </w:rPr>
        <w:t>—Enforcement</w:t>
      </w:r>
      <w:bookmarkEnd w:id="1002"/>
    </w:p>
    <w:p w14:paraId="2FF5F4AC" w14:textId="3412567B" w:rsidR="00D73F9F" w:rsidRPr="00B40A77" w:rsidRDefault="00D73F9F" w:rsidP="00D73F9F">
      <w:pPr>
        <w:pStyle w:val="Heading3"/>
        <w:rPr>
          <w:color w:val="000000" w:themeColor="text1"/>
        </w:rPr>
      </w:pPr>
      <w:bookmarkStart w:id="1003" w:name="_Toc175239307"/>
      <w:r w:rsidRPr="00B40A77">
        <w:rPr>
          <w:color w:val="000000" w:themeColor="text1"/>
        </w:rPr>
        <w:t>Division 1—</w:t>
      </w:r>
      <w:r w:rsidR="009D1D11" w:rsidRPr="00B40A77">
        <w:rPr>
          <w:color w:val="000000" w:themeColor="text1"/>
        </w:rPr>
        <w:t>Application</w:t>
      </w:r>
      <w:r w:rsidRPr="00B40A77">
        <w:rPr>
          <w:color w:val="000000" w:themeColor="text1"/>
        </w:rPr>
        <w:t xml:space="preserve"> for enforcement</w:t>
      </w:r>
      <w:bookmarkEnd w:id="1003"/>
    </w:p>
    <w:p w14:paraId="364D22E3" w14:textId="07C665C4" w:rsidR="008577CC" w:rsidRPr="00B40A77" w:rsidRDefault="009D1D11" w:rsidP="003D7CF7">
      <w:pPr>
        <w:pStyle w:val="Heading4"/>
        <w:rPr>
          <w:rFonts w:eastAsiaTheme="minorHAnsi" w:cstheme="minorBidi"/>
          <w:bCs/>
          <w:color w:val="000000" w:themeColor="text1"/>
          <w:sz w:val="23"/>
          <w:szCs w:val="23"/>
          <w:lang w:val="en-US"/>
        </w:rPr>
      </w:pPr>
      <w:bookmarkStart w:id="1004" w:name="_173.1—Application_to_enforce"/>
      <w:bookmarkStart w:id="1005" w:name="_Toc175239308"/>
      <w:bookmarkEnd w:id="1004"/>
      <w:r w:rsidRPr="00B40A77">
        <w:rPr>
          <w:color w:val="000000" w:themeColor="text1"/>
        </w:rPr>
        <w:t>17</w:t>
      </w:r>
      <w:r w:rsidR="00E41D2E" w:rsidRPr="00B40A77">
        <w:rPr>
          <w:color w:val="000000" w:themeColor="text1"/>
        </w:rPr>
        <w:t>4</w:t>
      </w:r>
      <w:r w:rsidR="008577CC" w:rsidRPr="00B40A77">
        <w:rPr>
          <w:color w:val="000000" w:themeColor="text1"/>
        </w:rPr>
        <w:t>.</w:t>
      </w:r>
      <w:r w:rsidR="00F26E93" w:rsidRPr="00B40A77">
        <w:rPr>
          <w:color w:val="000000" w:themeColor="text1"/>
        </w:rPr>
        <w:t>1—Application to enforce sentencing</w:t>
      </w:r>
      <w:r w:rsidR="008577CC" w:rsidRPr="00B40A77">
        <w:rPr>
          <w:color w:val="000000" w:themeColor="text1"/>
        </w:rPr>
        <w:t xml:space="preserve"> order</w:t>
      </w:r>
      <w:bookmarkEnd w:id="1005"/>
    </w:p>
    <w:p w14:paraId="5BF34E2F" w14:textId="1F7B96C7" w:rsidR="006F0A87" w:rsidRPr="00B40A77" w:rsidRDefault="008577CC" w:rsidP="006F0A87">
      <w:pPr>
        <w:pStyle w:val="Hangindent"/>
        <w:rPr>
          <w:color w:val="000000" w:themeColor="text1"/>
          <w:lang w:val="en-US"/>
        </w:rPr>
      </w:pPr>
      <w:r w:rsidRPr="00B40A77">
        <w:rPr>
          <w:color w:val="000000" w:themeColor="text1"/>
          <w:lang w:val="en-US"/>
        </w:rPr>
        <w:t>(1)</w:t>
      </w:r>
      <w:r w:rsidRPr="00B40A77">
        <w:rPr>
          <w:color w:val="000000" w:themeColor="text1"/>
          <w:lang w:val="en-US"/>
        </w:rPr>
        <w:tab/>
        <w:t>An application</w:t>
      </w:r>
      <w:r w:rsidR="003F7FFE" w:rsidRPr="00B40A77">
        <w:rPr>
          <w:color w:val="000000" w:themeColor="text1"/>
          <w:lang w:val="en-US"/>
        </w:rPr>
        <w:t>—</w:t>
      </w:r>
    </w:p>
    <w:p w14:paraId="4082FBB7" w14:textId="0603565A" w:rsidR="006F0A87" w:rsidRPr="00B40A77" w:rsidRDefault="006F0A87" w:rsidP="006F0A87">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113</w:t>
      </w:r>
      <w:r w:rsidR="003F7FFE" w:rsidRPr="00B40A77">
        <w:rPr>
          <w:color w:val="000000" w:themeColor="text1"/>
          <w:lang w:val="en-US"/>
        </w:rPr>
        <w:t xml:space="preserve"> </w:t>
      </w:r>
      <w:r w:rsidRPr="00B40A77">
        <w:rPr>
          <w:color w:val="000000" w:themeColor="text1"/>
          <w:lang w:val="en-US"/>
        </w:rPr>
        <w:t>of the Sentencing Act to enforce a good behaviour bond;</w:t>
      </w:r>
    </w:p>
    <w:p w14:paraId="2C6EC6DE" w14:textId="321245CB" w:rsidR="006F0A87" w:rsidRPr="00B40A77" w:rsidRDefault="006F0A87" w:rsidP="006F0A87">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113</w:t>
      </w:r>
      <w:r w:rsidRPr="00B40A77">
        <w:rPr>
          <w:color w:val="000000" w:themeColor="text1"/>
          <w:lang w:val="en-US"/>
        </w:rPr>
        <w:t xml:space="preserve"> of the Sentencing Act </w:t>
      </w:r>
      <w:r w:rsidR="00900B3E" w:rsidRPr="00B40A77">
        <w:rPr>
          <w:color w:val="000000" w:themeColor="text1"/>
          <w:lang w:val="en-US"/>
        </w:rPr>
        <w:t xml:space="preserve">to enforce a </w:t>
      </w:r>
      <w:r w:rsidRPr="00B40A77">
        <w:rPr>
          <w:color w:val="000000" w:themeColor="text1"/>
          <w:lang w:val="en-US"/>
        </w:rPr>
        <w:t>suspended sentence bond</w:t>
      </w:r>
      <w:r w:rsidR="00284D00" w:rsidRPr="00B40A77">
        <w:rPr>
          <w:color w:val="000000" w:themeColor="text1"/>
          <w:lang w:val="en-US"/>
        </w:rPr>
        <w:t>;</w:t>
      </w:r>
    </w:p>
    <w:p w14:paraId="36A39062" w14:textId="2B886B04" w:rsidR="006F0A87" w:rsidRPr="00B40A77" w:rsidRDefault="006F0A87" w:rsidP="006F0A87">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73(5)(a)</w:t>
      </w:r>
      <w:r w:rsidRPr="00B40A77">
        <w:rPr>
          <w:color w:val="000000" w:themeColor="text1"/>
          <w:lang w:val="en-US"/>
        </w:rPr>
        <w:t xml:space="preserve"> of the Sentencing Act </w:t>
      </w:r>
      <w:r w:rsidR="00900B3E" w:rsidRPr="00B40A77">
        <w:rPr>
          <w:color w:val="000000" w:themeColor="text1"/>
          <w:lang w:val="en-US"/>
        </w:rPr>
        <w:t xml:space="preserve">to enforce a </w:t>
      </w:r>
      <w:r w:rsidRPr="00B40A77">
        <w:rPr>
          <w:color w:val="000000" w:themeColor="text1"/>
          <w:lang w:val="en-US"/>
        </w:rPr>
        <w:t>home detention order</w:t>
      </w:r>
      <w:r w:rsidR="00284D00" w:rsidRPr="00B40A77">
        <w:rPr>
          <w:color w:val="000000" w:themeColor="text1"/>
          <w:lang w:val="en-US"/>
        </w:rPr>
        <w:t>;</w:t>
      </w:r>
    </w:p>
    <w:p w14:paraId="5A0887B0" w14:textId="23FAA008" w:rsidR="006F0A87" w:rsidRPr="00B40A77" w:rsidRDefault="006F0A87" w:rsidP="006F0A87">
      <w:pPr>
        <w:pStyle w:val="Doublehangindent"/>
        <w:rPr>
          <w:color w:val="000000" w:themeColor="text1"/>
          <w:lang w:val="en-US"/>
        </w:rPr>
      </w:pPr>
      <w:r w:rsidRPr="00B40A77">
        <w:rPr>
          <w:color w:val="000000" w:themeColor="text1"/>
          <w:lang w:val="en-US"/>
        </w:rPr>
        <w:t>(d)</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83(5)(a)</w:t>
      </w:r>
      <w:r w:rsidRPr="00B40A77">
        <w:rPr>
          <w:color w:val="000000" w:themeColor="text1"/>
          <w:lang w:val="en-US"/>
        </w:rPr>
        <w:t xml:space="preserve"> of the Sentencing Act </w:t>
      </w:r>
      <w:r w:rsidR="00900B3E" w:rsidRPr="00B40A77">
        <w:rPr>
          <w:color w:val="000000" w:themeColor="text1"/>
          <w:lang w:val="en-US"/>
        </w:rPr>
        <w:t xml:space="preserve">to enforce an </w:t>
      </w:r>
      <w:r w:rsidRPr="00B40A77">
        <w:rPr>
          <w:color w:val="000000" w:themeColor="text1"/>
          <w:lang w:val="en-US"/>
        </w:rPr>
        <w:t>intensive correction order</w:t>
      </w:r>
      <w:r w:rsidR="00284D00" w:rsidRPr="00B40A77">
        <w:rPr>
          <w:color w:val="000000" w:themeColor="text1"/>
          <w:lang w:val="en-US"/>
        </w:rPr>
        <w:t>;</w:t>
      </w:r>
    </w:p>
    <w:p w14:paraId="78953BFA" w14:textId="2B4CE012" w:rsidR="006F0A87" w:rsidRPr="00B40A77" w:rsidRDefault="006F0A87" w:rsidP="006F0A87">
      <w:pPr>
        <w:pStyle w:val="Doublehangindent"/>
        <w:rPr>
          <w:color w:val="000000" w:themeColor="text1"/>
          <w:lang w:val="en-US"/>
        </w:rPr>
      </w:pPr>
      <w:r w:rsidRPr="00B40A77">
        <w:rPr>
          <w:color w:val="000000" w:themeColor="text1"/>
          <w:lang w:val="en-US"/>
        </w:rPr>
        <w:t>(e)</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115(3)(a)</w:t>
      </w:r>
      <w:r w:rsidRPr="00B40A77">
        <w:rPr>
          <w:color w:val="000000" w:themeColor="text1"/>
          <w:lang w:val="en-US"/>
        </w:rPr>
        <w:t xml:space="preserve"> of the Sentencing Act </w:t>
      </w:r>
      <w:r w:rsidR="00900B3E" w:rsidRPr="00B40A77">
        <w:rPr>
          <w:color w:val="000000" w:themeColor="text1"/>
          <w:lang w:val="en-US"/>
        </w:rPr>
        <w:t xml:space="preserve">to enforce a </w:t>
      </w:r>
      <w:r w:rsidRPr="00B40A77">
        <w:rPr>
          <w:color w:val="000000" w:themeColor="text1"/>
          <w:lang w:val="en-US"/>
        </w:rPr>
        <w:t>community service order</w:t>
      </w:r>
      <w:r w:rsidR="00284D00" w:rsidRPr="00B40A77">
        <w:rPr>
          <w:color w:val="000000" w:themeColor="text1"/>
          <w:lang w:val="en-US"/>
        </w:rPr>
        <w:t>;</w:t>
      </w:r>
    </w:p>
    <w:p w14:paraId="3ECEB77A" w14:textId="6E762C0D" w:rsidR="006F0A87" w:rsidRPr="00B40A77" w:rsidRDefault="006F0A87" w:rsidP="006F0A87">
      <w:pPr>
        <w:pStyle w:val="Doublehangindent"/>
        <w:rPr>
          <w:color w:val="000000" w:themeColor="text1"/>
          <w:lang w:val="en-US"/>
        </w:rPr>
      </w:pPr>
      <w:r w:rsidRPr="00B40A77">
        <w:rPr>
          <w:color w:val="000000" w:themeColor="text1"/>
          <w:lang w:val="en-US"/>
        </w:rPr>
        <w:t>(f)</w:t>
      </w:r>
      <w:r w:rsidRPr="00B40A77">
        <w:rPr>
          <w:color w:val="000000" w:themeColor="text1"/>
          <w:lang w:val="en-US"/>
        </w:rPr>
        <w:tab/>
      </w:r>
      <w:r w:rsidR="00F26E93" w:rsidRPr="00B40A77">
        <w:rPr>
          <w:color w:val="000000" w:themeColor="text1"/>
          <w:lang w:val="en-US"/>
        </w:rPr>
        <w:t>under section</w:t>
      </w:r>
      <w:r w:rsidR="00EF1FED" w:rsidRPr="00B40A77">
        <w:rPr>
          <w:color w:val="000000" w:themeColor="text1"/>
          <w:lang w:val="en-US"/>
        </w:rPr>
        <w:t> </w:t>
      </w:r>
      <w:r w:rsidR="00F26E93" w:rsidRPr="00B40A77">
        <w:rPr>
          <w:color w:val="000000" w:themeColor="text1"/>
          <w:lang w:val="en-US"/>
        </w:rPr>
        <w:t>116(1)(a)</w:t>
      </w:r>
      <w:r w:rsidRPr="00B40A77">
        <w:rPr>
          <w:color w:val="000000" w:themeColor="text1"/>
          <w:lang w:val="en-US"/>
        </w:rPr>
        <w:t xml:space="preserve"> of the Sentencing Act </w:t>
      </w:r>
      <w:r w:rsidR="00900B3E" w:rsidRPr="00B40A77">
        <w:rPr>
          <w:color w:val="000000" w:themeColor="text1"/>
          <w:lang w:val="en-US"/>
        </w:rPr>
        <w:t xml:space="preserve">to enforce a </w:t>
      </w:r>
      <w:r w:rsidRPr="00B40A77">
        <w:rPr>
          <w:color w:val="000000" w:themeColor="text1"/>
          <w:lang w:val="en-US"/>
        </w:rPr>
        <w:t>non-pecuniary order</w:t>
      </w:r>
      <w:r w:rsidR="00900B3E" w:rsidRPr="00B40A77">
        <w:rPr>
          <w:color w:val="000000" w:themeColor="text1"/>
          <w:lang w:val="en-US"/>
        </w:rPr>
        <w:t>;</w:t>
      </w:r>
      <w:r w:rsidR="00CC7C23" w:rsidRPr="00B40A77">
        <w:rPr>
          <w:color w:val="000000" w:themeColor="text1"/>
          <w:lang w:val="en-US"/>
        </w:rPr>
        <w:t> </w:t>
      </w:r>
      <w:r w:rsidR="00900B3E" w:rsidRPr="00B40A77">
        <w:rPr>
          <w:color w:val="000000" w:themeColor="text1"/>
          <w:lang w:val="en-US"/>
        </w:rPr>
        <w:t>or</w:t>
      </w:r>
    </w:p>
    <w:p w14:paraId="11FF6E12" w14:textId="2813ADCA" w:rsidR="006F0A87" w:rsidRPr="00B40A77" w:rsidRDefault="006F0A87" w:rsidP="006F0A87">
      <w:pPr>
        <w:pStyle w:val="Doublehangindent"/>
        <w:rPr>
          <w:color w:val="000000" w:themeColor="text1"/>
          <w:lang w:val="en-US"/>
        </w:rPr>
      </w:pPr>
      <w:r w:rsidRPr="00B40A77">
        <w:rPr>
          <w:color w:val="000000" w:themeColor="text1"/>
          <w:lang w:val="en-US"/>
        </w:rPr>
        <w:t>(g)</w:t>
      </w:r>
      <w:r w:rsidRPr="00B40A77">
        <w:rPr>
          <w:color w:val="000000" w:themeColor="text1"/>
          <w:lang w:val="en-US"/>
        </w:rPr>
        <w:tab/>
      </w:r>
      <w:r w:rsidR="00900B3E" w:rsidRPr="00B40A77">
        <w:rPr>
          <w:color w:val="000000" w:themeColor="text1"/>
          <w:lang w:val="en-US"/>
        </w:rPr>
        <w:t>to enforce an</w:t>
      </w:r>
      <w:r w:rsidR="00F26E93" w:rsidRPr="00B40A77">
        <w:rPr>
          <w:color w:val="000000" w:themeColor="text1"/>
          <w:lang w:val="en-US"/>
        </w:rPr>
        <w:t>other sentencing order</w:t>
      </w:r>
      <w:r w:rsidR="00900B3E" w:rsidRPr="00B40A77">
        <w:rPr>
          <w:color w:val="000000" w:themeColor="text1"/>
          <w:lang w:val="en-US"/>
        </w:rPr>
        <w:t>,</w:t>
      </w:r>
    </w:p>
    <w:p w14:paraId="435FBED0" w14:textId="77777777" w:rsidR="00BC4492" w:rsidRPr="00B40A77" w:rsidRDefault="00BC4492" w:rsidP="00B90C7E">
      <w:pPr>
        <w:pStyle w:val="Doublehangindent"/>
        <w:keepNext/>
        <w:ind w:left="1134" w:firstLine="0"/>
        <w:rPr>
          <w:color w:val="000000" w:themeColor="text1"/>
          <w:lang w:val="en-US"/>
        </w:rPr>
      </w:pPr>
      <w:r w:rsidRPr="00B40A77">
        <w:rPr>
          <w:color w:val="000000" w:themeColor="text1"/>
          <w:lang w:val="en-US"/>
        </w:rPr>
        <w:t xml:space="preserve">made against a person (the </w:t>
      </w:r>
      <w:r w:rsidRPr="00B40A77">
        <w:rPr>
          <w:b/>
          <w:bCs/>
          <w:i/>
          <w:iCs/>
          <w:color w:val="000000" w:themeColor="text1"/>
          <w:lang w:val="en-US"/>
        </w:rPr>
        <w:t>subject</w:t>
      </w:r>
      <w:r w:rsidRPr="00B40A77">
        <w:rPr>
          <w:color w:val="000000" w:themeColor="text1"/>
          <w:lang w:val="en-US"/>
        </w:rPr>
        <w:t>) must be made by an originating application in the prescribed form.</w:t>
      </w:r>
    </w:p>
    <w:p w14:paraId="6052D5D0" w14:textId="77777777" w:rsidR="008577CC" w:rsidRPr="00B40A77" w:rsidRDefault="008577CC" w:rsidP="00B90C7E">
      <w:pPr>
        <w:pStyle w:val="NoteHeader"/>
        <w:keepNext/>
        <w:rPr>
          <w:color w:val="000000" w:themeColor="text1"/>
        </w:rPr>
      </w:pPr>
      <w:r w:rsidRPr="00B40A77">
        <w:rPr>
          <w:color w:val="000000" w:themeColor="text1"/>
        </w:rPr>
        <w:t>Prescribed form—</w:t>
      </w:r>
    </w:p>
    <w:p w14:paraId="64E1699F" w14:textId="659C3C53" w:rsidR="008577CC" w:rsidRPr="00B40A77" w:rsidRDefault="00F26E93" w:rsidP="003412A9">
      <w:pPr>
        <w:pStyle w:val="NoteText"/>
        <w:rPr>
          <w:color w:val="000000" w:themeColor="text1"/>
        </w:rPr>
      </w:pPr>
      <w:r w:rsidRPr="00B40A77">
        <w:rPr>
          <w:color w:val="000000" w:themeColor="text1"/>
        </w:rPr>
        <w:t>Form 2</w:t>
      </w:r>
      <w:r w:rsidR="00DF2BC3" w:rsidRPr="00B40A77">
        <w:rPr>
          <w:color w:val="000000" w:themeColor="text1"/>
        </w:rPr>
        <w:t>1</w:t>
      </w:r>
      <w:r w:rsidRPr="00B40A77">
        <w:rPr>
          <w:color w:val="000000" w:themeColor="text1"/>
        </w:rPr>
        <w:t>1</w:t>
      </w:r>
      <w:r w:rsidR="008577CC" w:rsidRPr="00B40A77">
        <w:rPr>
          <w:color w:val="000000" w:themeColor="text1"/>
        </w:rPr>
        <w:t xml:space="preserve"> </w:t>
      </w:r>
      <w:hyperlink r:id="rId363" w:history="1">
        <w:r w:rsidR="00FC1FD3" w:rsidRPr="00B40A77">
          <w:rPr>
            <w:rStyle w:val="Hyperlink"/>
            <w:color w:val="000000" w:themeColor="text1"/>
            <w:lang w:val="en-US"/>
          </w:rPr>
          <w:t xml:space="preserve">Originating </w:t>
        </w:r>
        <w:r w:rsidR="003D7CF7" w:rsidRPr="00B40A77">
          <w:rPr>
            <w:rStyle w:val="Hyperlink"/>
            <w:color w:val="000000" w:themeColor="text1"/>
            <w:lang w:val="en-US"/>
          </w:rPr>
          <w:t>Ap</w:t>
        </w:r>
        <w:r w:rsidR="008577CC" w:rsidRPr="00B40A77">
          <w:rPr>
            <w:rStyle w:val="Hyperlink"/>
            <w:color w:val="000000" w:themeColor="text1"/>
            <w:lang w:val="en-US"/>
          </w:rPr>
          <w:t>plication</w:t>
        </w:r>
        <w:r w:rsidR="008577CC" w:rsidRPr="00B40A77">
          <w:rPr>
            <w:rStyle w:val="Hyperlink"/>
            <w:color w:val="000000" w:themeColor="text1"/>
          </w:rPr>
          <w:t xml:space="preserve"> </w:t>
        </w:r>
        <w:r w:rsidRPr="00B40A77">
          <w:rPr>
            <w:rStyle w:val="Hyperlink"/>
            <w:color w:val="000000" w:themeColor="text1"/>
          </w:rPr>
          <w:t xml:space="preserve">for </w:t>
        </w:r>
        <w:r w:rsidR="00626E10" w:rsidRPr="00B40A77">
          <w:rPr>
            <w:rStyle w:val="Hyperlink"/>
            <w:color w:val="000000" w:themeColor="text1"/>
          </w:rPr>
          <w:t>Enforcement Order</w:t>
        </w:r>
      </w:hyperlink>
    </w:p>
    <w:p w14:paraId="7A75D33D" w14:textId="142CF9F5" w:rsidR="00BC4492" w:rsidRPr="00B40A77" w:rsidRDefault="00BC4492" w:rsidP="00BC4492">
      <w:pPr>
        <w:pStyle w:val="Hangindent"/>
        <w:rPr>
          <w:color w:val="000000" w:themeColor="text1"/>
        </w:rPr>
      </w:pPr>
      <w:r w:rsidRPr="00B40A77">
        <w:rPr>
          <w:color w:val="000000" w:themeColor="text1"/>
        </w:rPr>
        <w:t>(2)</w:t>
      </w:r>
      <w:r w:rsidRPr="00B40A77">
        <w:rPr>
          <w:color w:val="000000" w:themeColor="text1"/>
        </w:rPr>
        <w:tab/>
        <w:t>The applicant must</w:t>
      </w:r>
      <w:r w:rsidRPr="00B40A77">
        <w:rPr>
          <w:color w:val="000000" w:themeColor="text1"/>
          <w:lang w:val="en-US"/>
        </w:rPr>
        <w:t xml:space="preserve"> join the </w:t>
      </w:r>
      <w:r w:rsidRPr="00B40A77">
        <w:rPr>
          <w:color w:val="000000" w:themeColor="text1"/>
          <w:u w:val="single"/>
          <w:lang w:val="en-US"/>
        </w:rPr>
        <w:t xml:space="preserve">subject </w:t>
      </w:r>
      <w:r w:rsidRPr="00B40A77">
        <w:rPr>
          <w:color w:val="000000" w:themeColor="text1"/>
          <w:lang w:val="en-US"/>
        </w:rPr>
        <w:t>as the respondent.</w:t>
      </w:r>
    </w:p>
    <w:p w14:paraId="0AD38506" w14:textId="2809E985" w:rsidR="008F5635" w:rsidRPr="00B40A77" w:rsidRDefault="0050300D" w:rsidP="00504F0B">
      <w:pPr>
        <w:pStyle w:val="Heading4"/>
        <w:rPr>
          <w:rFonts w:eastAsiaTheme="minorHAnsi" w:cstheme="minorBidi"/>
          <w:bCs/>
          <w:color w:val="000000" w:themeColor="text1"/>
          <w:sz w:val="23"/>
          <w:szCs w:val="23"/>
          <w:lang w:val="en-US"/>
        </w:rPr>
      </w:pPr>
      <w:bookmarkStart w:id="1006" w:name="_173.2—Application_to_enforce"/>
      <w:bookmarkStart w:id="1007" w:name="_Toc175239309"/>
      <w:bookmarkEnd w:id="1006"/>
      <w:r w:rsidRPr="00B40A77">
        <w:rPr>
          <w:color w:val="000000" w:themeColor="text1"/>
        </w:rPr>
        <w:lastRenderedPageBreak/>
        <w:t>17</w:t>
      </w:r>
      <w:r w:rsidR="00E41D2E" w:rsidRPr="00B40A77">
        <w:rPr>
          <w:color w:val="000000" w:themeColor="text1"/>
        </w:rPr>
        <w:t>4</w:t>
      </w:r>
      <w:r w:rsidR="008F5635" w:rsidRPr="00B40A77">
        <w:rPr>
          <w:color w:val="000000" w:themeColor="text1"/>
        </w:rPr>
        <w:t>.2—Application to enforce federal sentencing order</w:t>
      </w:r>
      <w:r w:rsidR="00C239BC" w:rsidRPr="00B40A77">
        <w:rPr>
          <w:color w:val="000000" w:themeColor="text1"/>
        </w:rPr>
        <w:t>: All Courts except Youth Court</w:t>
      </w:r>
      <w:bookmarkEnd w:id="1007"/>
    </w:p>
    <w:p w14:paraId="56039938" w14:textId="7159DE8E" w:rsidR="003F7FFE" w:rsidRPr="00B40A77" w:rsidRDefault="00BC4492" w:rsidP="00462D7D">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8F5635" w:rsidRPr="00B40A77">
        <w:rPr>
          <w:color w:val="000000" w:themeColor="text1"/>
          <w:lang w:val="en-US"/>
        </w:rPr>
        <w:t>An application</w:t>
      </w:r>
      <w:r w:rsidR="003F7FFE" w:rsidRPr="00B40A77">
        <w:rPr>
          <w:color w:val="000000" w:themeColor="text1"/>
          <w:lang w:val="en-US"/>
        </w:rPr>
        <w:t>—</w:t>
      </w:r>
    </w:p>
    <w:p w14:paraId="4F1BE1AB" w14:textId="573F19C3" w:rsidR="00ED512E" w:rsidRPr="00B40A77" w:rsidRDefault="003F7FFE" w:rsidP="00BC4492">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BC4492" w:rsidRPr="00B40A77">
        <w:rPr>
          <w:color w:val="000000" w:themeColor="text1"/>
          <w:lang w:val="en-US"/>
        </w:rPr>
        <w:t>under section</w:t>
      </w:r>
      <w:r w:rsidR="00CC7C23" w:rsidRPr="00B40A77">
        <w:rPr>
          <w:color w:val="000000" w:themeColor="text1"/>
          <w:lang w:val="en-US"/>
        </w:rPr>
        <w:t> </w:t>
      </w:r>
      <w:r w:rsidR="00BC4492" w:rsidRPr="00B40A77">
        <w:rPr>
          <w:color w:val="000000" w:themeColor="text1"/>
          <w:lang w:val="en-US"/>
        </w:rPr>
        <w:t>20A(1)</w:t>
      </w:r>
      <w:r w:rsidR="008F5635" w:rsidRPr="00B40A77">
        <w:rPr>
          <w:color w:val="000000" w:themeColor="text1"/>
          <w:lang w:val="en-US"/>
        </w:rPr>
        <w:t xml:space="preserve"> </w:t>
      </w:r>
      <w:r w:rsidR="00BC4492" w:rsidRPr="00B40A77">
        <w:rPr>
          <w:color w:val="000000" w:themeColor="text1"/>
          <w:lang w:val="en-US"/>
        </w:rPr>
        <w:t xml:space="preserve">of the Crimes Act </w:t>
      </w:r>
      <w:r w:rsidR="008F5635" w:rsidRPr="00B40A77">
        <w:rPr>
          <w:color w:val="000000" w:themeColor="text1"/>
          <w:lang w:val="en-US"/>
        </w:rPr>
        <w:t>to enforce a Recognizance Release Order or Recognizance Order</w:t>
      </w:r>
      <w:r w:rsidR="00BC4492" w:rsidRPr="00B40A77">
        <w:rPr>
          <w:color w:val="000000" w:themeColor="text1"/>
          <w:lang w:val="en-US"/>
        </w:rPr>
        <w:t>;</w:t>
      </w:r>
    </w:p>
    <w:p w14:paraId="6C5763A2" w14:textId="0C2A8BBA" w:rsidR="00BC4492" w:rsidRPr="00B40A77" w:rsidRDefault="00ED512E" w:rsidP="00BC4492">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BC4492" w:rsidRPr="00B40A77">
        <w:rPr>
          <w:color w:val="000000" w:themeColor="text1"/>
          <w:lang w:val="en-US"/>
        </w:rPr>
        <w:t>under section</w:t>
      </w:r>
      <w:r w:rsidR="00CC7C23" w:rsidRPr="00B40A77">
        <w:rPr>
          <w:color w:val="000000" w:themeColor="text1"/>
          <w:lang w:val="en-US"/>
        </w:rPr>
        <w:t> </w:t>
      </w:r>
      <w:r w:rsidR="00BC4492" w:rsidRPr="00B40A77">
        <w:rPr>
          <w:color w:val="000000" w:themeColor="text1"/>
          <w:lang w:val="en-US"/>
        </w:rPr>
        <w:t xml:space="preserve">20BW(1) of the Crimes Act to enforce a </w:t>
      </w:r>
      <w:r w:rsidR="008F5635" w:rsidRPr="00B40A77">
        <w:rPr>
          <w:color w:val="000000" w:themeColor="text1"/>
          <w:lang w:val="en-US"/>
        </w:rPr>
        <w:t>Psychiatric Probation Order</w:t>
      </w:r>
      <w:r w:rsidR="00BC4492" w:rsidRPr="00B40A77">
        <w:rPr>
          <w:color w:val="000000" w:themeColor="text1"/>
          <w:lang w:val="en-US"/>
        </w:rPr>
        <w:t>;</w:t>
      </w:r>
      <w:r w:rsidR="00CC7C23" w:rsidRPr="00B40A77">
        <w:rPr>
          <w:color w:val="000000" w:themeColor="text1"/>
          <w:lang w:val="en-US"/>
        </w:rPr>
        <w:t> </w:t>
      </w:r>
      <w:r w:rsidR="00BC4492" w:rsidRPr="00B40A77">
        <w:rPr>
          <w:color w:val="000000" w:themeColor="text1"/>
          <w:lang w:val="en-US"/>
        </w:rPr>
        <w:t>or</w:t>
      </w:r>
    </w:p>
    <w:p w14:paraId="229B21B2" w14:textId="365BB8B7" w:rsidR="00BC4492" w:rsidRPr="00B40A77" w:rsidRDefault="00BC4492" w:rsidP="00BC4492">
      <w:pPr>
        <w:pStyle w:val="Doublehangindent"/>
        <w:rPr>
          <w:color w:val="000000" w:themeColor="text1"/>
          <w:lang w:val="en-US"/>
        </w:rPr>
      </w:pPr>
      <w:r w:rsidRPr="00B40A77">
        <w:rPr>
          <w:color w:val="000000" w:themeColor="text1"/>
          <w:lang w:val="en-US"/>
        </w:rPr>
        <w:t>(c)</w:t>
      </w:r>
      <w:r w:rsidRPr="00B40A77">
        <w:rPr>
          <w:color w:val="000000" w:themeColor="text1"/>
          <w:lang w:val="en-US"/>
        </w:rPr>
        <w:tab/>
        <w:t>under sections</w:t>
      </w:r>
      <w:r w:rsidR="00CC7C23" w:rsidRPr="00B40A77">
        <w:rPr>
          <w:color w:val="000000" w:themeColor="text1"/>
          <w:lang w:val="en-US"/>
        </w:rPr>
        <w:t> </w:t>
      </w:r>
      <w:r w:rsidRPr="00B40A77">
        <w:rPr>
          <w:color w:val="000000" w:themeColor="text1"/>
          <w:lang w:val="en-US"/>
        </w:rPr>
        <w:t xml:space="preserve">20BW(1) and 20BY(2) of the Crimes Act to enforce a </w:t>
      </w:r>
      <w:r w:rsidR="008F5635" w:rsidRPr="00B40A77">
        <w:rPr>
          <w:color w:val="000000" w:themeColor="text1"/>
          <w:lang w:val="en-US"/>
        </w:rPr>
        <w:t>Program Probation Order</w:t>
      </w:r>
      <w:r w:rsidRPr="00B40A77">
        <w:rPr>
          <w:color w:val="000000" w:themeColor="text1"/>
          <w:lang w:val="en-US"/>
        </w:rPr>
        <w:t>,</w:t>
      </w:r>
    </w:p>
    <w:p w14:paraId="6B70C5A3" w14:textId="77777777" w:rsidR="00BC4492" w:rsidRPr="00B40A77" w:rsidRDefault="00BC4492" w:rsidP="00B90C7E">
      <w:pPr>
        <w:pStyle w:val="Doublehangindent"/>
        <w:keepNext/>
        <w:ind w:left="1134" w:firstLine="0"/>
        <w:rPr>
          <w:color w:val="000000" w:themeColor="text1"/>
          <w:lang w:val="en-US"/>
        </w:rPr>
      </w:pPr>
      <w:r w:rsidRPr="00B40A77">
        <w:rPr>
          <w:color w:val="000000" w:themeColor="text1"/>
          <w:lang w:val="en-US"/>
        </w:rPr>
        <w:t xml:space="preserve">made against a person (the </w:t>
      </w:r>
      <w:r w:rsidRPr="00B40A77">
        <w:rPr>
          <w:b/>
          <w:bCs/>
          <w:i/>
          <w:iCs/>
          <w:color w:val="000000" w:themeColor="text1"/>
          <w:lang w:val="en-US"/>
        </w:rPr>
        <w:t>subject</w:t>
      </w:r>
      <w:r w:rsidRPr="00B40A77">
        <w:rPr>
          <w:color w:val="000000" w:themeColor="text1"/>
          <w:lang w:val="en-US"/>
        </w:rPr>
        <w:t>) must be made by an originating application in the prescribed form.</w:t>
      </w:r>
    </w:p>
    <w:p w14:paraId="5969F12F" w14:textId="77777777" w:rsidR="008F5635" w:rsidRPr="00B40A77" w:rsidRDefault="008F5635" w:rsidP="00B90C7E">
      <w:pPr>
        <w:pStyle w:val="NoteHeader"/>
        <w:keepNext/>
        <w:rPr>
          <w:color w:val="000000" w:themeColor="text1"/>
        </w:rPr>
      </w:pPr>
      <w:r w:rsidRPr="00B40A77">
        <w:rPr>
          <w:color w:val="000000" w:themeColor="text1"/>
        </w:rPr>
        <w:t>Prescribed form—</w:t>
      </w:r>
    </w:p>
    <w:p w14:paraId="505675CF" w14:textId="35C31864" w:rsidR="008F5635" w:rsidRPr="00B40A77" w:rsidRDefault="008F5635" w:rsidP="003412A9">
      <w:pPr>
        <w:pStyle w:val="NoteText"/>
        <w:rPr>
          <w:color w:val="000000" w:themeColor="text1"/>
        </w:rPr>
      </w:pPr>
      <w:r w:rsidRPr="00B40A77">
        <w:rPr>
          <w:color w:val="000000" w:themeColor="text1"/>
        </w:rPr>
        <w:t>Form 2</w:t>
      </w:r>
      <w:r w:rsidR="00DF2BC3" w:rsidRPr="00B40A77">
        <w:rPr>
          <w:color w:val="000000" w:themeColor="text1"/>
        </w:rPr>
        <w:t>13A</w:t>
      </w:r>
      <w:r w:rsidRPr="00B40A77">
        <w:rPr>
          <w:color w:val="000000" w:themeColor="text1"/>
        </w:rPr>
        <w:t xml:space="preserve"> </w:t>
      </w:r>
      <w:hyperlink r:id="rId364" w:history="1">
        <w:r w:rsidR="00223697" w:rsidRPr="00B40A77">
          <w:rPr>
            <w:rStyle w:val="Hyperlink"/>
            <w:color w:val="000000" w:themeColor="text1"/>
          </w:rPr>
          <w:t xml:space="preserve">Information to </w:t>
        </w:r>
        <w:r w:rsidR="00DF2BC3" w:rsidRPr="00B40A77">
          <w:rPr>
            <w:rStyle w:val="Hyperlink"/>
            <w:color w:val="000000" w:themeColor="text1"/>
          </w:rPr>
          <w:t>E</w:t>
        </w:r>
        <w:r w:rsidRPr="00B40A77">
          <w:rPr>
            <w:rStyle w:val="Hyperlink"/>
            <w:color w:val="000000" w:themeColor="text1"/>
          </w:rPr>
          <w:t xml:space="preserve">nforce </w:t>
        </w:r>
        <w:r w:rsidR="00DF2BC3" w:rsidRPr="00B40A77">
          <w:rPr>
            <w:rStyle w:val="Hyperlink"/>
            <w:color w:val="000000" w:themeColor="text1"/>
          </w:rPr>
          <w:t>O</w:t>
        </w:r>
        <w:r w:rsidRPr="00B40A77">
          <w:rPr>
            <w:rStyle w:val="Hyperlink"/>
            <w:color w:val="000000" w:themeColor="text1"/>
          </w:rPr>
          <w:t>rder</w:t>
        </w:r>
        <w:r w:rsidR="00DF2BC3" w:rsidRPr="00B40A77">
          <w:rPr>
            <w:rStyle w:val="Hyperlink"/>
            <w:color w:val="000000" w:themeColor="text1"/>
          </w:rPr>
          <w:t xml:space="preserve"> (Cth)</w:t>
        </w:r>
      </w:hyperlink>
    </w:p>
    <w:p w14:paraId="7B0C7E30" w14:textId="1C7DEE18" w:rsidR="00BC4492" w:rsidRPr="00B40A77" w:rsidRDefault="00BC4492" w:rsidP="00BC4492">
      <w:pPr>
        <w:pStyle w:val="Hangindent"/>
        <w:rPr>
          <w:color w:val="000000" w:themeColor="text1"/>
        </w:rPr>
      </w:pPr>
      <w:r w:rsidRPr="00B40A77">
        <w:rPr>
          <w:color w:val="000000" w:themeColor="text1"/>
        </w:rPr>
        <w:t>(2)</w:t>
      </w:r>
      <w:r w:rsidRPr="00B40A77">
        <w:rPr>
          <w:color w:val="000000" w:themeColor="text1"/>
        </w:rPr>
        <w:tab/>
        <w:t>The applicant must</w:t>
      </w:r>
      <w:r w:rsidRPr="00B40A77">
        <w:rPr>
          <w:color w:val="000000" w:themeColor="text1"/>
          <w:lang w:val="en-US"/>
        </w:rPr>
        <w:t xml:space="preserve"> join the </w:t>
      </w:r>
      <w:r w:rsidRPr="00B40A77">
        <w:rPr>
          <w:color w:val="000000" w:themeColor="text1"/>
          <w:u w:val="single"/>
          <w:lang w:val="en-US"/>
        </w:rPr>
        <w:t xml:space="preserve">subject </w:t>
      </w:r>
      <w:r w:rsidRPr="00B40A77">
        <w:rPr>
          <w:color w:val="000000" w:themeColor="text1"/>
          <w:lang w:val="en-US"/>
        </w:rPr>
        <w:t>as the respondent.</w:t>
      </w:r>
    </w:p>
    <w:p w14:paraId="7A253D27" w14:textId="69F17ACA" w:rsidR="00223697" w:rsidRPr="00B40A77" w:rsidRDefault="0050300D" w:rsidP="00504F0B">
      <w:pPr>
        <w:pStyle w:val="Heading4"/>
        <w:rPr>
          <w:rFonts w:eastAsiaTheme="minorHAnsi" w:cstheme="minorBidi"/>
          <w:bCs/>
          <w:color w:val="000000" w:themeColor="text1"/>
          <w:sz w:val="23"/>
          <w:szCs w:val="23"/>
          <w:lang w:val="en-US"/>
        </w:rPr>
      </w:pPr>
      <w:bookmarkStart w:id="1008" w:name="_Toc175239310"/>
      <w:r w:rsidRPr="00B40A77">
        <w:rPr>
          <w:color w:val="000000" w:themeColor="text1"/>
        </w:rPr>
        <w:t>17</w:t>
      </w:r>
      <w:r w:rsidR="00E41D2E" w:rsidRPr="00B40A77">
        <w:rPr>
          <w:color w:val="000000" w:themeColor="text1"/>
        </w:rPr>
        <w:t>4</w:t>
      </w:r>
      <w:r w:rsidR="00223697" w:rsidRPr="00B40A77">
        <w:rPr>
          <w:color w:val="000000" w:themeColor="text1"/>
        </w:rPr>
        <w:t xml:space="preserve">.3—Summons to </w:t>
      </w:r>
      <w:r w:rsidR="00BC4492" w:rsidRPr="00B40A77">
        <w:rPr>
          <w:color w:val="000000" w:themeColor="text1"/>
        </w:rPr>
        <w:t>respondent</w:t>
      </w:r>
      <w:bookmarkEnd w:id="1008"/>
    </w:p>
    <w:p w14:paraId="32E05C9D" w14:textId="55417535" w:rsidR="00D5601E" w:rsidRPr="00B40A77" w:rsidRDefault="00D5601E" w:rsidP="00D5601E">
      <w:pPr>
        <w:pStyle w:val="Hangindent"/>
        <w:rPr>
          <w:color w:val="000000" w:themeColor="text1"/>
          <w:lang w:val="en-US"/>
        </w:rPr>
      </w:pPr>
      <w:r w:rsidRPr="00B40A77">
        <w:rPr>
          <w:color w:val="000000" w:themeColor="text1"/>
        </w:rPr>
        <w:t>(</w:t>
      </w:r>
      <w:r w:rsidR="00B3244F" w:rsidRPr="00B40A77">
        <w:rPr>
          <w:color w:val="000000" w:themeColor="text1"/>
        </w:rPr>
        <w:t>1</w:t>
      </w:r>
      <w:r w:rsidR="00223697" w:rsidRPr="00B40A77">
        <w:rPr>
          <w:color w:val="000000" w:themeColor="text1"/>
        </w:rPr>
        <w:t>)</w:t>
      </w:r>
      <w:r w:rsidR="00223697" w:rsidRPr="00B40A77">
        <w:rPr>
          <w:color w:val="000000" w:themeColor="text1"/>
        </w:rPr>
        <w:tab/>
        <w:t xml:space="preserve">A summons to a </w:t>
      </w:r>
      <w:r w:rsidR="00B3244F" w:rsidRPr="00B40A77">
        <w:rPr>
          <w:color w:val="000000" w:themeColor="text1"/>
        </w:rPr>
        <w:t>respondent</w:t>
      </w:r>
      <w:r w:rsidRPr="00B40A77">
        <w:rPr>
          <w:color w:val="000000" w:themeColor="text1"/>
          <w:lang w:val="en-US"/>
        </w:rPr>
        <w:t>—</w:t>
      </w:r>
    </w:p>
    <w:p w14:paraId="062463C0" w14:textId="188B7ECF" w:rsidR="00D5601E" w:rsidRPr="00B40A77" w:rsidRDefault="00D5601E" w:rsidP="00D5601E">
      <w:pPr>
        <w:pStyle w:val="Doublehangindent"/>
        <w:rPr>
          <w:color w:val="000000" w:themeColor="text1"/>
        </w:rPr>
      </w:pPr>
      <w:r w:rsidRPr="00B40A77">
        <w:rPr>
          <w:color w:val="000000" w:themeColor="text1"/>
          <w:lang w:val="en-US"/>
        </w:rPr>
        <w:t>(a)</w:t>
      </w:r>
      <w:r w:rsidRPr="00B40A77">
        <w:rPr>
          <w:color w:val="000000" w:themeColor="text1"/>
          <w:lang w:val="en-US"/>
        </w:rPr>
        <w:tab/>
      </w:r>
      <w:r w:rsidR="00223697" w:rsidRPr="00B40A77">
        <w:rPr>
          <w:color w:val="000000" w:themeColor="text1"/>
        </w:rPr>
        <w:t>in respect of</w:t>
      </w:r>
      <w:r w:rsidR="006F7B3F" w:rsidRPr="00B40A77">
        <w:rPr>
          <w:color w:val="000000" w:themeColor="text1"/>
        </w:rPr>
        <w:t xml:space="preserve"> </w:t>
      </w:r>
      <w:r w:rsidR="00223697" w:rsidRPr="00B40A77">
        <w:rPr>
          <w:color w:val="000000" w:themeColor="text1"/>
        </w:rPr>
        <w:t xml:space="preserve">an enforcement application </w:t>
      </w:r>
      <w:r w:rsidR="0050300D" w:rsidRPr="00B40A77">
        <w:rPr>
          <w:color w:val="000000" w:themeColor="text1"/>
        </w:rPr>
        <w:t xml:space="preserve">referred to in </w:t>
      </w:r>
      <w:hyperlink w:anchor="_173.1—Application_to_enforce" w:history="1">
        <w:r w:rsidR="0050300D" w:rsidRPr="00B40A77">
          <w:rPr>
            <w:rStyle w:val="Hyperlink"/>
            <w:color w:val="000000" w:themeColor="text1"/>
          </w:rPr>
          <w:t>rule 17</w:t>
        </w:r>
        <w:r w:rsidR="00516D9C" w:rsidRPr="00B40A77">
          <w:rPr>
            <w:rStyle w:val="Hyperlink"/>
            <w:color w:val="000000" w:themeColor="text1"/>
          </w:rPr>
          <w:t>4</w:t>
        </w:r>
        <w:r w:rsidR="00473ACC" w:rsidRPr="00B40A77">
          <w:rPr>
            <w:rStyle w:val="Hyperlink"/>
            <w:color w:val="000000" w:themeColor="text1"/>
          </w:rPr>
          <w:t>.1</w:t>
        </w:r>
      </w:hyperlink>
      <w:r w:rsidR="00473ACC" w:rsidRPr="00B40A77">
        <w:rPr>
          <w:color w:val="000000" w:themeColor="text1"/>
        </w:rPr>
        <w:t xml:space="preserve"> </w:t>
      </w:r>
      <w:r w:rsidR="00223697" w:rsidRPr="00B40A77">
        <w:rPr>
          <w:color w:val="000000" w:themeColor="text1"/>
        </w:rPr>
        <w:t xml:space="preserve">issued by the Court under </w:t>
      </w:r>
      <w:r w:rsidR="00473ACC" w:rsidRPr="00B40A77">
        <w:rPr>
          <w:rFonts w:cs="Arial"/>
          <w:color w:val="000000" w:themeColor="text1"/>
        </w:rPr>
        <w:t>section</w:t>
      </w:r>
      <w:r w:rsidR="00CC7C23" w:rsidRPr="00B40A77">
        <w:rPr>
          <w:rFonts w:cs="Arial"/>
          <w:color w:val="000000" w:themeColor="text1"/>
        </w:rPr>
        <w:t> </w:t>
      </w:r>
      <w:r w:rsidR="00473ACC" w:rsidRPr="00B40A77">
        <w:rPr>
          <w:color w:val="000000" w:themeColor="text1"/>
        </w:rPr>
        <w:t>113(1)(a)(i), 113(1)(a)(i</w:t>
      </w:r>
      <w:r w:rsidR="00DB6710" w:rsidRPr="00B40A77">
        <w:rPr>
          <w:color w:val="000000" w:themeColor="text1"/>
        </w:rPr>
        <w:t>i</w:t>
      </w:r>
      <w:r w:rsidR="00473ACC" w:rsidRPr="00B40A77">
        <w:rPr>
          <w:color w:val="000000" w:themeColor="text1"/>
        </w:rPr>
        <w:t>), 73(5)(a), 83(5)(a), 115(3)(a) or</w:t>
      </w:r>
      <w:r w:rsidR="00CC7C23" w:rsidRPr="00B40A77">
        <w:rPr>
          <w:color w:val="000000" w:themeColor="text1"/>
        </w:rPr>
        <w:t> </w:t>
      </w:r>
      <w:r w:rsidR="00473ACC" w:rsidRPr="00B40A77">
        <w:rPr>
          <w:color w:val="000000" w:themeColor="text1"/>
        </w:rPr>
        <w:t>116(1)(a) of the Sentencing Act</w:t>
      </w:r>
      <w:r w:rsidRPr="00B40A77">
        <w:rPr>
          <w:color w:val="000000" w:themeColor="text1"/>
        </w:rPr>
        <w:t>; or</w:t>
      </w:r>
    </w:p>
    <w:p w14:paraId="632B455E" w14:textId="3A8C93CE" w:rsidR="00D5601E" w:rsidRPr="00B40A77" w:rsidRDefault="00D5601E" w:rsidP="00D5601E">
      <w:pPr>
        <w:pStyle w:val="Doublehangindent"/>
        <w:rPr>
          <w:color w:val="000000" w:themeColor="text1"/>
        </w:rPr>
      </w:pPr>
      <w:r w:rsidRPr="00B40A77">
        <w:rPr>
          <w:color w:val="000000" w:themeColor="text1"/>
        </w:rPr>
        <w:t>(b)</w:t>
      </w:r>
      <w:r w:rsidRPr="00B40A77">
        <w:rPr>
          <w:color w:val="000000" w:themeColor="text1"/>
        </w:rPr>
        <w:tab/>
        <w:t>issued after filing of an enforcement app</w:t>
      </w:r>
      <w:r w:rsidR="00380083" w:rsidRPr="00B40A77">
        <w:rPr>
          <w:color w:val="000000" w:themeColor="text1"/>
        </w:rPr>
        <w:t xml:space="preserve">lication referred to in </w:t>
      </w:r>
      <w:hyperlink w:anchor="_173.2—Application_to_enforce" w:history="1">
        <w:r w:rsidR="00380083" w:rsidRPr="00B40A77">
          <w:rPr>
            <w:rStyle w:val="Hyperlink"/>
            <w:color w:val="000000" w:themeColor="text1"/>
          </w:rPr>
          <w:t>rule 17</w:t>
        </w:r>
        <w:r w:rsidR="00516D9C" w:rsidRPr="00B40A77">
          <w:rPr>
            <w:rStyle w:val="Hyperlink"/>
            <w:color w:val="000000" w:themeColor="text1"/>
          </w:rPr>
          <w:t>4</w:t>
        </w:r>
        <w:r w:rsidRPr="00B40A77">
          <w:rPr>
            <w:rStyle w:val="Hyperlink"/>
            <w:color w:val="000000" w:themeColor="text1"/>
          </w:rPr>
          <w:t>.2</w:t>
        </w:r>
      </w:hyperlink>
      <w:r w:rsidRPr="00B40A77">
        <w:rPr>
          <w:color w:val="000000" w:themeColor="text1"/>
        </w:rPr>
        <w:t xml:space="preserve"> under </w:t>
      </w:r>
      <w:r w:rsidRPr="00B40A77">
        <w:rPr>
          <w:rFonts w:cs="Arial"/>
          <w:color w:val="000000" w:themeColor="text1"/>
        </w:rPr>
        <w:t>section</w:t>
      </w:r>
      <w:r w:rsidR="00B32206" w:rsidRPr="00B40A77">
        <w:rPr>
          <w:rFonts w:cs="Arial"/>
          <w:color w:val="000000" w:themeColor="text1"/>
        </w:rPr>
        <w:t> </w:t>
      </w:r>
      <w:r w:rsidRPr="00B40A77">
        <w:rPr>
          <w:color w:val="000000" w:themeColor="text1"/>
        </w:rPr>
        <w:t xml:space="preserve">20A(1)(a) or 20BW(1)(a) </w:t>
      </w:r>
      <w:r w:rsidRPr="00B40A77">
        <w:rPr>
          <w:color w:val="000000" w:themeColor="text1"/>
          <w:lang w:val="en-US"/>
        </w:rPr>
        <w:t>of the Crimes Act,</w:t>
      </w:r>
    </w:p>
    <w:p w14:paraId="637E94A3" w14:textId="3799D2F3" w:rsidR="00223697" w:rsidRPr="00B40A77" w:rsidRDefault="00223697" w:rsidP="00B90C7E">
      <w:pPr>
        <w:pStyle w:val="Doublehangindent"/>
        <w:keepNext/>
        <w:rPr>
          <w:color w:val="000000" w:themeColor="text1"/>
        </w:rPr>
      </w:pPr>
      <w:r w:rsidRPr="00B40A77">
        <w:rPr>
          <w:color w:val="000000" w:themeColor="text1"/>
        </w:rPr>
        <w:t>must be in the prescribed form.</w:t>
      </w:r>
    </w:p>
    <w:p w14:paraId="0A190B0F" w14:textId="77777777" w:rsidR="00223697" w:rsidRPr="00B40A77" w:rsidRDefault="00223697" w:rsidP="00B90C7E">
      <w:pPr>
        <w:pStyle w:val="NoteHeader"/>
        <w:keepNext/>
        <w:rPr>
          <w:color w:val="000000" w:themeColor="text1"/>
        </w:rPr>
      </w:pPr>
      <w:r w:rsidRPr="00B40A77">
        <w:rPr>
          <w:color w:val="000000" w:themeColor="text1"/>
        </w:rPr>
        <w:t>Prescribed form—</w:t>
      </w:r>
    </w:p>
    <w:p w14:paraId="7DC9E9C1" w14:textId="3E0F200D" w:rsidR="00223697" w:rsidRPr="00B40A77" w:rsidRDefault="00223697" w:rsidP="003412A9">
      <w:pPr>
        <w:pStyle w:val="NoteText"/>
        <w:rPr>
          <w:color w:val="000000" w:themeColor="text1"/>
        </w:rPr>
      </w:pPr>
      <w:r w:rsidRPr="00B40A77">
        <w:rPr>
          <w:color w:val="000000" w:themeColor="text1"/>
        </w:rPr>
        <w:t>Fo</w:t>
      </w:r>
      <w:r w:rsidR="006F7B3F" w:rsidRPr="00B40A77">
        <w:rPr>
          <w:color w:val="000000" w:themeColor="text1"/>
        </w:rPr>
        <w:t>rm 2</w:t>
      </w:r>
      <w:r w:rsidR="00DF2BC3" w:rsidRPr="00B40A77">
        <w:rPr>
          <w:color w:val="000000" w:themeColor="text1"/>
        </w:rPr>
        <w:t>1</w:t>
      </w:r>
      <w:r w:rsidRPr="00B40A77">
        <w:rPr>
          <w:color w:val="000000" w:themeColor="text1"/>
        </w:rPr>
        <w:t xml:space="preserve">2 </w:t>
      </w:r>
      <w:hyperlink r:id="rId365" w:history="1">
        <w:r w:rsidRPr="00B40A77">
          <w:rPr>
            <w:rStyle w:val="Hyperlink"/>
            <w:color w:val="000000" w:themeColor="text1"/>
          </w:rPr>
          <w:t>Su</w:t>
        </w:r>
        <w:r w:rsidR="006F7B3F" w:rsidRPr="00B40A77">
          <w:rPr>
            <w:rStyle w:val="Hyperlink"/>
            <w:color w:val="000000" w:themeColor="text1"/>
          </w:rPr>
          <w:t xml:space="preserve">mmons to </w:t>
        </w:r>
        <w:r w:rsidR="00DF2BC3" w:rsidRPr="00B40A77">
          <w:rPr>
            <w:rStyle w:val="Hyperlink"/>
            <w:color w:val="000000" w:themeColor="text1"/>
          </w:rPr>
          <w:t>Defendant</w:t>
        </w:r>
      </w:hyperlink>
    </w:p>
    <w:p w14:paraId="287ECAFC" w14:textId="654D60DF" w:rsidR="00B3244F" w:rsidRPr="00B40A77" w:rsidRDefault="00B3244F" w:rsidP="00B90C7E">
      <w:pPr>
        <w:pStyle w:val="Hangindent"/>
        <w:keepNext/>
        <w:rPr>
          <w:color w:val="000000" w:themeColor="text1"/>
        </w:rPr>
      </w:pPr>
      <w:r w:rsidRPr="00B40A77">
        <w:rPr>
          <w:color w:val="000000" w:themeColor="text1"/>
        </w:rPr>
        <w:t>(2)</w:t>
      </w:r>
      <w:r w:rsidRPr="00B40A77">
        <w:rPr>
          <w:color w:val="000000" w:themeColor="text1"/>
        </w:rPr>
        <w:tab/>
        <w:t xml:space="preserve">A summons to a respondent issued as part of an enforcement application referred to in </w:t>
      </w:r>
      <w:hyperlink w:anchor="_173.2—Application_to_enforce" w:history="1">
        <w:r w:rsidR="00B962CD" w:rsidRPr="00B40A77">
          <w:rPr>
            <w:rStyle w:val="Hyperlink"/>
            <w:color w:val="000000" w:themeColor="text1"/>
          </w:rPr>
          <w:t>rule</w:t>
        </w:r>
        <w:r w:rsidR="00CC7C23" w:rsidRPr="00B40A77">
          <w:rPr>
            <w:rStyle w:val="Hyperlink"/>
            <w:color w:val="000000" w:themeColor="text1"/>
          </w:rPr>
          <w:t> </w:t>
        </w:r>
        <w:r w:rsidR="00B962CD" w:rsidRPr="00B40A77">
          <w:rPr>
            <w:rStyle w:val="Hyperlink"/>
            <w:color w:val="000000" w:themeColor="text1"/>
          </w:rPr>
          <w:t>17</w:t>
        </w:r>
        <w:r w:rsidR="00516D9C" w:rsidRPr="00B40A77">
          <w:rPr>
            <w:rStyle w:val="Hyperlink"/>
            <w:color w:val="000000" w:themeColor="text1"/>
          </w:rPr>
          <w:t>4</w:t>
        </w:r>
        <w:r w:rsidR="00B962CD" w:rsidRPr="00B40A77">
          <w:rPr>
            <w:rStyle w:val="Hyperlink"/>
            <w:color w:val="000000" w:themeColor="text1"/>
          </w:rPr>
          <w:t>.2</w:t>
        </w:r>
      </w:hyperlink>
      <w:r w:rsidRPr="00B40A77">
        <w:rPr>
          <w:color w:val="000000" w:themeColor="text1"/>
        </w:rPr>
        <w:t xml:space="preserve"> under </w:t>
      </w:r>
      <w:r w:rsidRPr="00B40A77">
        <w:rPr>
          <w:rFonts w:cs="Arial"/>
          <w:color w:val="000000" w:themeColor="text1"/>
        </w:rPr>
        <w:t>section</w:t>
      </w:r>
      <w:r w:rsidR="00CC7C23" w:rsidRPr="00B40A77">
        <w:rPr>
          <w:rFonts w:cs="Arial"/>
          <w:color w:val="000000" w:themeColor="text1"/>
        </w:rPr>
        <w:t> </w:t>
      </w:r>
      <w:r w:rsidRPr="00B40A77">
        <w:rPr>
          <w:color w:val="000000" w:themeColor="text1"/>
        </w:rPr>
        <w:t>20A(1)(a) or</w:t>
      </w:r>
      <w:r w:rsidR="00CC7C23" w:rsidRPr="00B40A77">
        <w:rPr>
          <w:color w:val="000000" w:themeColor="text1"/>
        </w:rPr>
        <w:t> </w:t>
      </w:r>
      <w:r w:rsidRPr="00B40A77">
        <w:rPr>
          <w:color w:val="000000" w:themeColor="text1"/>
        </w:rPr>
        <w:t xml:space="preserve">20BW(1)(a) </w:t>
      </w:r>
      <w:r w:rsidRPr="00B40A77">
        <w:rPr>
          <w:color w:val="000000" w:themeColor="text1"/>
          <w:lang w:val="en-US"/>
        </w:rPr>
        <w:t xml:space="preserve">of the Crimes Act </w:t>
      </w:r>
      <w:r w:rsidRPr="00B40A77">
        <w:rPr>
          <w:color w:val="000000" w:themeColor="text1"/>
        </w:rPr>
        <w:t>must be in the prescribed form.</w:t>
      </w:r>
    </w:p>
    <w:p w14:paraId="233DE41D" w14:textId="77777777" w:rsidR="00B3244F" w:rsidRPr="00B40A77" w:rsidRDefault="00B3244F" w:rsidP="00B90C7E">
      <w:pPr>
        <w:pStyle w:val="NoteHeader"/>
        <w:keepNext/>
        <w:rPr>
          <w:color w:val="000000" w:themeColor="text1"/>
        </w:rPr>
      </w:pPr>
      <w:r w:rsidRPr="00B40A77">
        <w:rPr>
          <w:color w:val="000000" w:themeColor="text1"/>
        </w:rPr>
        <w:t>Prescribed form—</w:t>
      </w:r>
    </w:p>
    <w:p w14:paraId="24F6BB5E" w14:textId="648A3628" w:rsidR="00B3244F" w:rsidRPr="00B40A77" w:rsidRDefault="00B3244F" w:rsidP="003412A9">
      <w:pPr>
        <w:pStyle w:val="NoteText"/>
        <w:rPr>
          <w:color w:val="000000" w:themeColor="text1"/>
        </w:rPr>
      </w:pPr>
      <w:r w:rsidRPr="00B40A77">
        <w:rPr>
          <w:color w:val="000000" w:themeColor="text1"/>
        </w:rPr>
        <w:t>Form 2</w:t>
      </w:r>
      <w:r w:rsidR="00DF2BC3" w:rsidRPr="00B40A77">
        <w:rPr>
          <w:color w:val="000000" w:themeColor="text1"/>
        </w:rPr>
        <w:t>13B</w:t>
      </w:r>
      <w:r w:rsidRPr="00B40A77">
        <w:rPr>
          <w:color w:val="000000" w:themeColor="text1"/>
        </w:rPr>
        <w:t xml:space="preserve"> </w:t>
      </w:r>
      <w:hyperlink r:id="rId366" w:history="1">
        <w:r w:rsidRPr="00B40A77">
          <w:rPr>
            <w:rStyle w:val="Hyperlink"/>
            <w:color w:val="000000" w:themeColor="text1"/>
          </w:rPr>
          <w:t>Information and Summons to Enforce Order</w:t>
        </w:r>
        <w:r w:rsidR="00DF2BC3" w:rsidRPr="00B40A77">
          <w:rPr>
            <w:rStyle w:val="Hyperlink"/>
            <w:color w:val="000000" w:themeColor="text1"/>
          </w:rPr>
          <w:t xml:space="preserve"> (Cth)</w:t>
        </w:r>
      </w:hyperlink>
    </w:p>
    <w:p w14:paraId="461990DE" w14:textId="46666539" w:rsidR="00223697" w:rsidRPr="00B40A77" w:rsidRDefault="005F0FB1" w:rsidP="00223697">
      <w:pPr>
        <w:pStyle w:val="Hangindent"/>
        <w:rPr>
          <w:color w:val="000000" w:themeColor="text1"/>
        </w:rPr>
      </w:pPr>
      <w:r w:rsidRPr="00B40A77">
        <w:rPr>
          <w:color w:val="000000" w:themeColor="text1"/>
        </w:rPr>
        <w:t>(3</w:t>
      </w:r>
      <w:r w:rsidR="00223697" w:rsidRPr="00B40A77">
        <w:rPr>
          <w:color w:val="000000" w:themeColor="text1"/>
        </w:rPr>
        <w:t>)</w:t>
      </w:r>
      <w:r w:rsidR="00223697" w:rsidRPr="00B40A77">
        <w:rPr>
          <w:color w:val="000000" w:themeColor="text1"/>
        </w:rPr>
        <w:tab/>
        <w:t xml:space="preserve">The prosecution is responsible for serving </w:t>
      </w:r>
      <w:r w:rsidRPr="00B40A77">
        <w:rPr>
          <w:color w:val="000000" w:themeColor="text1"/>
        </w:rPr>
        <w:t>a</w:t>
      </w:r>
      <w:r w:rsidR="00223697" w:rsidRPr="00B40A77">
        <w:rPr>
          <w:color w:val="000000" w:themeColor="text1"/>
        </w:rPr>
        <w:t xml:space="preserve"> summons</w:t>
      </w:r>
      <w:r w:rsidRPr="00B40A77">
        <w:rPr>
          <w:color w:val="000000" w:themeColor="text1"/>
        </w:rPr>
        <w:t xml:space="preserve"> governed by this rule</w:t>
      </w:r>
      <w:r w:rsidR="00223697" w:rsidRPr="00B40A77">
        <w:rPr>
          <w:color w:val="000000" w:themeColor="text1"/>
        </w:rPr>
        <w:t>.</w:t>
      </w:r>
    </w:p>
    <w:p w14:paraId="61462102" w14:textId="77777777" w:rsidR="00D640C5" w:rsidRPr="00B40A77" w:rsidRDefault="00D640C5" w:rsidP="00223697">
      <w:pPr>
        <w:pStyle w:val="Hangindent"/>
        <w:rPr>
          <w:color w:val="000000" w:themeColor="text1"/>
        </w:rPr>
      </w:pPr>
    </w:p>
    <w:p w14:paraId="0E4DE677" w14:textId="5F7401CE" w:rsidR="00473ACC" w:rsidRPr="00B40A77" w:rsidRDefault="00380083" w:rsidP="00ED4EB2">
      <w:pPr>
        <w:pStyle w:val="Heading4"/>
        <w:rPr>
          <w:rFonts w:eastAsiaTheme="minorHAnsi" w:cstheme="minorBidi"/>
          <w:bCs/>
          <w:color w:val="000000" w:themeColor="text1"/>
          <w:sz w:val="23"/>
          <w:szCs w:val="23"/>
          <w:lang w:val="en-US"/>
        </w:rPr>
      </w:pPr>
      <w:bookmarkStart w:id="1009" w:name="_Toc175239311"/>
      <w:r w:rsidRPr="00B40A77">
        <w:rPr>
          <w:color w:val="000000" w:themeColor="text1"/>
        </w:rPr>
        <w:t>17</w:t>
      </w:r>
      <w:r w:rsidR="00E41D2E" w:rsidRPr="00B40A77">
        <w:rPr>
          <w:color w:val="000000" w:themeColor="text1"/>
        </w:rPr>
        <w:t>4</w:t>
      </w:r>
      <w:r w:rsidR="00473ACC" w:rsidRPr="00B40A77">
        <w:rPr>
          <w:color w:val="000000" w:themeColor="text1"/>
        </w:rPr>
        <w:t>.</w:t>
      </w:r>
      <w:r w:rsidR="0099288F" w:rsidRPr="00B40A77">
        <w:rPr>
          <w:color w:val="000000" w:themeColor="text1"/>
        </w:rPr>
        <w:t>4</w:t>
      </w:r>
      <w:r w:rsidR="00473ACC" w:rsidRPr="00B40A77">
        <w:rPr>
          <w:color w:val="000000" w:themeColor="text1"/>
        </w:rPr>
        <w:t>—Warrant of apprehension of defendant</w:t>
      </w:r>
      <w:r w:rsidR="00212792" w:rsidRPr="00B40A77">
        <w:rPr>
          <w:color w:val="000000" w:themeColor="text1"/>
        </w:rPr>
        <w:t xml:space="preserve"> or youth</w:t>
      </w:r>
      <w:bookmarkEnd w:id="1009"/>
    </w:p>
    <w:p w14:paraId="309F2B38" w14:textId="617F78F9" w:rsidR="00212792" w:rsidRPr="00B40A77" w:rsidRDefault="00473ACC" w:rsidP="00B3244F">
      <w:pPr>
        <w:pStyle w:val="Hangindent"/>
        <w:ind w:left="567" w:firstLine="0"/>
        <w:rPr>
          <w:color w:val="000000" w:themeColor="text1"/>
          <w:lang w:val="en-US"/>
        </w:rPr>
      </w:pPr>
      <w:r w:rsidRPr="00B40A77">
        <w:rPr>
          <w:color w:val="000000" w:themeColor="text1"/>
        </w:rPr>
        <w:t xml:space="preserve">A warrant of apprehension of a </w:t>
      </w:r>
      <w:r w:rsidR="00B3244F" w:rsidRPr="00B40A77">
        <w:rPr>
          <w:color w:val="000000" w:themeColor="text1"/>
        </w:rPr>
        <w:t xml:space="preserve">respondent </w:t>
      </w:r>
      <w:r w:rsidR="00212792" w:rsidRPr="00B40A77">
        <w:rPr>
          <w:color w:val="000000" w:themeColor="text1"/>
        </w:rPr>
        <w:t>in respect of an enforcement application</w:t>
      </w:r>
      <w:r w:rsidR="00212792" w:rsidRPr="00B40A77">
        <w:rPr>
          <w:color w:val="000000" w:themeColor="text1"/>
          <w:lang w:val="en-US"/>
        </w:rPr>
        <w:t>—</w:t>
      </w:r>
    </w:p>
    <w:p w14:paraId="33A38991" w14:textId="254C92FF" w:rsidR="00B32206" w:rsidRPr="00B40A77" w:rsidRDefault="00B3244F" w:rsidP="00B3244F">
      <w:pPr>
        <w:pStyle w:val="Hangindent"/>
        <w:rPr>
          <w:color w:val="000000" w:themeColor="text1"/>
          <w:lang w:val="en-US"/>
        </w:rPr>
      </w:pPr>
      <w:r w:rsidRPr="00B40A77">
        <w:rPr>
          <w:color w:val="000000" w:themeColor="text1"/>
        </w:rPr>
        <w:t>(a)</w:t>
      </w:r>
      <w:r w:rsidRPr="00B40A77">
        <w:rPr>
          <w:color w:val="000000" w:themeColor="text1"/>
        </w:rPr>
        <w:tab/>
      </w:r>
      <w:r w:rsidR="00380083" w:rsidRPr="00B40A77">
        <w:rPr>
          <w:color w:val="000000" w:themeColor="text1"/>
        </w:rPr>
        <w:t xml:space="preserve">referred to in </w:t>
      </w:r>
      <w:hyperlink w:anchor="_173.1—Application_to_enforce" w:history="1">
        <w:r w:rsidR="00B962CD" w:rsidRPr="00B40A77">
          <w:rPr>
            <w:rStyle w:val="Hyperlink"/>
            <w:color w:val="000000" w:themeColor="text1"/>
          </w:rPr>
          <w:t>rule 17</w:t>
        </w:r>
        <w:r w:rsidR="00516D9C" w:rsidRPr="00B40A77">
          <w:rPr>
            <w:rStyle w:val="Hyperlink"/>
            <w:color w:val="000000" w:themeColor="text1"/>
          </w:rPr>
          <w:t>4</w:t>
        </w:r>
        <w:r w:rsidR="00B962CD" w:rsidRPr="00B40A77">
          <w:rPr>
            <w:rStyle w:val="Hyperlink"/>
            <w:color w:val="000000" w:themeColor="text1"/>
          </w:rPr>
          <w:t>.1</w:t>
        </w:r>
      </w:hyperlink>
      <w:r w:rsidR="00212792" w:rsidRPr="00B40A77">
        <w:rPr>
          <w:color w:val="000000" w:themeColor="text1"/>
        </w:rPr>
        <w:t xml:space="preserve"> issued by the Court under </w:t>
      </w:r>
      <w:r w:rsidR="00B32206" w:rsidRPr="00B40A77">
        <w:rPr>
          <w:color w:val="000000" w:themeColor="text1"/>
        </w:rPr>
        <w:t>the Sentencing Act</w:t>
      </w:r>
      <w:r w:rsidR="005D7B7C" w:rsidRPr="00B40A77">
        <w:rPr>
          <w:color w:val="000000" w:themeColor="text1"/>
        </w:rPr>
        <w:t xml:space="preserve"> at</w:t>
      </w:r>
      <w:r w:rsidR="00B32206" w:rsidRPr="00B40A77">
        <w:rPr>
          <w:color w:val="000000" w:themeColor="text1"/>
          <w:lang w:val="en-US"/>
        </w:rPr>
        <w:t>—</w:t>
      </w:r>
    </w:p>
    <w:p w14:paraId="3722F256" w14:textId="295C5174" w:rsidR="00B32206" w:rsidRPr="00B40A77" w:rsidRDefault="00B32206" w:rsidP="00B32206">
      <w:pPr>
        <w:pStyle w:val="Doublehangindent"/>
        <w:rPr>
          <w:color w:val="000000" w:themeColor="text1"/>
        </w:rPr>
      </w:pPr>
      <w:r w:rsidRPr="00B40A77">
        <w:rPr>
          <w:rFonts w:cs="Arial"/>
          <w:color w:val="000000" w:themeColor="text1"/>
        </w:rPr>
        <w:t>(i)</w:t>
      </w:r>
      <w:r w:rsidRPr="00B40A77">
        <w:rPr>
          <w:rFonts w:cs="Arial"/>
          <w:color w:val="000000" w:themeColor="text1"/>
        </w:rPr>
        <w:tab/>
      </w:r>
      <w:r w:rsidR="00212792" w:rsidRPr="00B40A77">
        <w:rPr>
          <w:rFonts w:cs="Arial"/>
          <w:color w:val="000000" w:themeColor="text1"/>
        </w:rPr>
        <w:t>section</w:t>
      </w:r>
      <w:r w:rsidRPr="00B40A77">
        <w:rPr>
          <w:rFonts w:cs="Arial"/>
          <w:color w:val="000000" w:themeColor="text1"/>
        </w:rPr>
        <w:t> </w:t>
      </w:r>
      <w:r w:rsidR="00212792" w:rsidRPr="00B40A77">
        <w:rPr>
          <w:color w:val="000000" w:themeColor="text1"/>
        </w:rPr>
        <w:t>113(1)(a)(i</w:t>
      </w:r>
      <w:r w:rsidRPr="00B40A77">
        <w:rPr>
          <w:color w:val="000000" w:themeColor="text1"/>
        </w:rPr>
        <w:t>i</w:t>
      </w:r>
      <w:r w:rsidR="00212792" w:rsidRPr="00B40A77">
        <w:rPr>
          <w:color w:val="000000" w:themeColor="text1"/>
        </w:rPr>
        <w:t>)</w:t>
      </w:r>
      <w:r w:rsidRPr="00B40A77">
        <w:rPr>
          <w:color w:val="000000" w:themeColor="text1"/>
        </w:rPr>
        <w:t>;</w:t>
      </w:r>
    </w:p>
    <w:p w14:paraId="6A8570F1" w14:textId="55ADA2D6" w:rsidR="00B32206" w:rsidRPr="00B40A77" w:rsidRDefault="00B32206" w:rsidP="00B32206">
      <w:pPr>
        <w:pStyle w:val="Doublehangindent"/>
        <w:rPr>
          <w:color w:val="000000" w:themeColor="text1"/>
        </w:rPr>
      </w:pPr>
      <w:r w:rsidRPr="00B40A77">
        <w:rPr>
          <w:rFonts w:cs="Arial"/>
          <w:color w:val="000000" w:themeColor="text1"/>
        </w:rPr>
        <w:t>(ii)</w:t>
      </w:r>
      <w:r w:rsidRPr="00B40A77">
        <w:rPr>
          <w:rFonts w:cs="Arial"/>
          <w:color w:val="000000" w:themeColor="text1"/>
        </w:rPr>
        <w:tab/>
        <w:t>section </w:t>
      </w:r>
      <w:r w:rsidR="00212792" w:rsidRPr="00B40A77">
        <w:rPr>
          <w:color w:val="000000" w:themeColor="text1"/>
        </w:rPr>
        <w:t>73(5)(a)</w:t>
      </w:r>
      <w:r w:rsidRPr="00B40A77">
        <w:rPr>
          <w:color w:val="000000" w:themeColor="text1"/>
        </w:rPr>
        <w:t>;</w:t>
      </w:r>
    </w:p>
    <w:p w14:paraId="6E185CE0" w14:textId="014CC177" w:rsidR="00B32206" w:rsidRPr="00B40A77" w:rsidRDefault="00B32206" w:rsidP="00B32206">
      <w:pPr>
        <w:pStyle w:val="Doublehangindent"/>
        <w:rPr>
          <w:color w:val="000000" w:themeColor="text1"/>
        </w:rPr>
      </w:pPr>
      <w:r w:rsidRPr="00B40A77">
        <w:rPr>
          <w:rFonts w:cs="Arial"/>
          <w:color w:val="000000" w:themeColor="text1"/>
        </w:rPr>
        <w:t>(iii)</w:t>
      </w:r>
      <w:r w:rsidRPr="00B40A77">
        <w:rPr>
          <w:rFonts w:cs="Arial"/>
          <w:color w:val="000000" w:themeColor="text1"/>
        </w:rPr>
        <w:tab/>
        <w:t>section </w:t>
      </w:r>
      <w:r w:rsidR="00212792" w:rsidRPr="00B40A77">
        <w:rPr>
          <w:color w:val="000000" w:themeColor="text1"/>
        </w:rPr>
        <w:t>83(5)(a)</w:t>
      </w:r>
      <w:r w:rsidR="005D7B7C" w:rsidRPr="00B40A77">
        <w:rPr>
          <w:color w:val="000000" w:themeColor="text1"/>
        </w:rPr>
        <w:t>;</w:t>
      </w:r>
    </w:p>
    <w:p w14:paraId="0B7F9F70" w14:textId="78A69DE9" w:rsidR="005D7B7C" w:rsidRPr="00B40A77" w:rsidRDefault="00B32206" w:rsidP="00B32206">
      <w:pPr>
        <w:pStyle w:val="Doublehangindent"/>
        <w:rPr>
          <w:color w:val="000000" w:themeColor="text1"/>
        </w:rPr>
      </w:pPr>
      <w:r w:rsidRPr="00B40A77">
        <w:rPr>
          <w:rFonts w:cs="Arial"/>
          <w:color w:val="000000" w:themeColor="text1"/>
        </w:rPr>
        <w:t>(iii)</w:t>
      </w:r>
      <w:r w:rsidRPr="00B40A77">
        <w:rPr>
          <w:rFonts w:cs="Arial"/>
          <w:color w:val="000000" w:themeColor="text1"/>
        </w:rPr>
        <w:tab/>
        <w:t>section</w:t>
      </w:r>
      <w:r w:rsidR="00993A12" w:rsidRPr="00B40A77">
        <w:rPr>
          <w:color w:val="000000" w:themeColor="text1"/>
        </w:rPr>
        <w:t> </w:t>
      </w:r>
      <w:r w:rsidR="00212792" w:rsidRPr="00B40A77">
        <w:rPr>
          <w:color w:val="000000" w:themeColor="text1"/>
        </w:rPr>
        <w:t>115(3)(a)</w:t>
      </w:r>
      <w:r w:rsidRPr="00B40A77">
        <w:rPr>
          <w:color w:val="000000" w:themeColor="text1"/>
        </w:rPr>
        <w:t>;</w:t>
      </w:r>
    </w:p>
    <w:p w14:paraId="67CB2765" w14:textId="1DCCF722" w:rsidR="00212792" w:rsidRPr="00B40A77" w:rsidRDefault="005D7B7C" w:rsidP="005D7B7C">
      <w:pPr>
        <w:pStyle w:val="Doublehangindent"/>
        <w:rPr>
          <w:color w:val="000000" w:themeColor="text1"/>
        </w:rPr>
      </w:pPr>
      <w:r w:rsidRPr="00B40A77">
        <w:rPr>
          <w:rFonts w:cs="Arial"/>
          <w:color w:val="000000" w:themeColor="text1"/>
        </w:rPr>
        <w:t>(iv)</w:t>
      </w:r>
      <w:r w:rsidRPr="00B40A77">
        <w:rPr>
          <w:rFonts w:cs="Arial"/>
          <w:color w:val="000000" w:themeColor="text1"/>
        </w:rPr>
        <w:tab/>
        <w:t>section</w:t>
      </w:r>
      <w:r w:rsidR="00993A12" w:rsidRPr="00B40A77">
        <w:rPr>
          <w:color w:val="000000" w:themeColor="text1"/>
        </w:rPr>
        <w:t> </w:t>
      </w:r>
      <w:r w:rsidR="00212792" w:rsidRPr="00B40A77">
        <w:rPr>
          <w:color w:val="000000" w:themeColor="text1"/>
        </w:rPr>
        <w:t>116(1)(a); or</w:t>
      </w:r>
    </w:p>
    <w:p w14:paraId="77B33F5B" w14:textId="05AFFAC9" w:rsidR="00212792" w:rsidRPr="00B40A77" w:rsidRDefault="003976A0" w:rsidP="003B64D7">
      <w:pPr>
        <w:pStyle w:val="Hangindent"/>
        <w:keepNext/>
        <w:rPr>
          <w:color w:val="000000" w:themeColor="text1"/>
        </w:rPr>
      </w:pPr>
      <w:r w:rsidRPr="00B40A77">
        <w:rPr>
          <w:color w:val="000000" w:themeColor="text1"/>
        </w:rPr>
        <w:lastRenderedPageBreak/>
        <w:t>(b)</w:t>
      </w:r>
      <w:r w:rsidRPr="00B40A77">
        <w:rPr>
          <w:color w:val="000000" w:themeColor="text1"/>
        </w:rPr>
        <w:tab/>
      </w:r>
      <w:r w:rsidR="00380083" w:rsidRPr="00B40A77">
        <w:rPr>
          <w:color w:val="000000" w:themeColor="text1"/>
        </w:rPr>
        <w:t xml:space="preserve">referred to in </w:t>
      </w:r>
      <w:hyperlink w:anchor="_173.2—Application_to_enforce" w:history="1">
        <w:r w:rsidR="00B962CD" w:rsidRPr="00B40A77">
          <w:rPr>
            <w:rStyle w:val="Hyperlink"/>
            <w:color w:val="000000" w:themeColor="text1"/>
          </w:rPr>
          <w:t>rule</w:t>
        </w:r>
        <w:r w:rsidR="00CC7C23" w:rsidRPr="00B40A77">
          <w:rPr>
            <w:rStyle w:val="Hyperlink"/>
            <w:color w:val="000000" w:themeColor="text1"/>
          </w:rPr>
          <w:t> </w:t>
        </w:r>
        <w:r w:rsidR="00B962CD" w:rsidRPr="00B40A77">
          <w:rPr>
            <w:rStyle w:val="Hyperlink"/>
            <w:color w:val="000000" w:themeColor="text1"/>
          </w:rPr>
          <w:t>17</w:t>
        </w:r>
        <w:r w:rsidR="00CC2C96" w:rsidRPr="00B40A77">
          <w:rPr>
            <w:rStyle w:val="Hyperlink"/>
            <w:color w:val="000000" w:themeColor="text1"/>
          </w:rPr>
          <w:t>4</w:t>
        </w:r>
        <w:r w:rsidR="00B962CD" w:rsidRPr="00B40A77">
          <w:rPr>
            <w:rStyle w:val="Hyperlink"/>
            <w:color w:val="000000" w:themeColor="text1"/>
          </w:rPr>
          <w:t>.2</w:t>
        </w:r>
      </w:hyperlink>
      <w:r w:rsidR="00212792" w:rsidRPr="00B40A77">
        <w:rPr>
          <w:color w:val="000000" w:themeColor="text1"/>
        </w:rPr>
        <w:t xml:space="preserve"> under </w:t>
      </w:r>
      <w:r w:rsidR="00212792" w:rsidRPr="00B40A77">
        <w:rPr>
          <w:rFonts w:cs="Arial"/>
          <w:color w:val="000000" w:themeColor="text1"/>
        </w:rPr>
        <w:t>section</w:t>
      </w:r>
      <w:r w:rsidR="005D7B7C" w:rsidRPr="00B40A77">
        <w:rPr>
          <w:rFonts w:cs="Arial"/>
          <w:color w:val="000000" w:themeColor="text1"/>
        </w:rPr>
        <w:t> </w:t>
      </w:r>
      <w:r w:rsidR="00212792" w:rsidRPr="00B40A77">
        <w:rPr>
          <w:color w:val="000000" w:themeColor="text1"/>
        </w:rPr>
        <w:t>20A(1)(a) or</w:t>
      </w:r>
      <w:r w:rsidR="005D7B7C" w:rsidRPr="00B40A77">
        <w:rPr>
          <w:color w:val="000000" w:themeColor="text1"/>
        </w:rPr>
        <w:t> </w:t>
      </w:r>
      <w:r w:rsidR="00212792" w:rsidRPr="00B40A77">
        <w:rPr>
          <w:color w:val="000000" w:themeColor="text1"/>
        </w:rPr>
        <w:t xml:space="preserve">20BW(1)(a) </w:t>
      </w:r>
      <w:r w:rsidR="00212792" w:rsidRPr="00B40A77">
        <w:rPr>
          <w:color w:val="000000" w:themeColor="text1"/>
          <w:lang w:val="en-US"/>
        </w:rPr>
        <w:t>of the Crimes Act,</w:t>
      </w:r>
    </w:p>
    <w:p w14:paraId="329274F4" w14:textId="30B8E98C" w:rsidR="00212792" w:rsidRPr="00B40A77" w:rsidRDefault="00212792" w:rsidP="003976A0">
      <w:pPr>
        <w:pStyle w:val="Doublehangindent"/>
        <w:ind w:left="0" w:firstLine="567"/>
        <w:rPr>
          <w:color w:val="000000" w:themeColor="text1"/>
        </w:rPr>
      </w:pPr>
      <w:r w:rsidRPr="00B40A77">
        <w:rPr>
          <w:color w:val="000000" w:themeColor="text1"/>
        </w:rPr>
        <w:t>must be in the prescribed form.</w:t>
      </w:r>
    </w:p>
    <w:p w14:paraId="53C3424E" w14:textId="77777777" w:rsidR="00473ACC" w:rsidRPr="00B40A77" w:rsidRDefault="00473ACC" w:rsidP="003B64D7">
      <w:pPr>
        <w:pStyle w:val="NoteHeader"/>
        <w:keepNext/>
        <w:ind w:left="567"/>
        <w:rPr>
          <w:color w:val="000000" w:themeColor="text1"/>
        </w:rPr>
      </w:pPr>
      <w:r w:rsidRPr="00B40A77">
        <w:rPr>
          <w:color w:val="000000" w:themeColor="text1"/>
        </w:rPr>
        <w:t>Prescribed form—</w:t>
      </w:r>
    </w:p>
    <w:p w14:paraId="04D39DF4" w14:textId="4B34A2B2" w:rsidR="00473ACC" w:rsidRPr="00B40A77" w:rsidRDefault="00473ACC" w:rsidP="003412A9">
      <w:pPr>
        <w:pStyle w:val="NoteText"/>
        <w:ind w:left="850"/>
        <w:rPr>
          <w:color w:val="000000" w:themeColor="text1"/>
        </w:rPr>
      </w:pPr>
      <w:r w:rsidRPr="00B40A77">
        <w:rPr>
          <w:color w:val="000000" w:themeColor="text1"/>
        </w:rPr>
        <w:t>F</w:t>
      </w:r>
      <w:r w:rsidR="00D5601E" w:rsidRPr="00B40A77">
        <w:rPr>
          <w:color w:val="000000" w:themeColor="text1"/>
        </w:rPr>
        <w:t>orm 2</w:t>
      </w:r>
      <w:r w:rsidR="003047F3" w:rsidRPr="00B40A77">
        <w:rPr>
          <w:color w:val="000000" w:themeColor="text1"/>
        </w:rPr>
        <w:t>1</w:t>
      </w:r>
      <w:r w:rsidR="00D5601E" w:rsidRPr="00B40A77">
        <w:rPr>
          <w:color w:val="000000" w:themeColor="text1"/>
        </w:rPr>
        <w:t xml:space="preserve">4 </w:t>
      </w:r>
      <w:hyperlink r:id="rId367" w:history="1">
        <w:r w:rsidR="00D5601E" w:rsidRPr="00B40A77">
          <w:rPr>
            <w:rStyle w:val="Hyperlink"/>
            <w:color w:val="000000" w:themeColor="text1"/>
          </w:rPr>
          <w:t xml:space="preserve">Warrant of </w:t>
        </w:r>
        <w:r w:rsidR="00DF2BC3" w:rsidRPr="00B40A77">
          <w:rPr>
            <w:rStyle w:val="Hyperlink"/>
            <w:color w:val="000000" w:themeColor="text1"/>
          </w:rPr>
          <w:t>A</w:t>
        </w:r>
        <w:r w:rsidR="00D5601E" w:rsidRPr="00B40A77">
          <w:rPr>
            <w:rStyle w:val="Hyperlink"/>
            <w:color w:val="000000" w:themeColor="text1"/>
          </w:rPr>
          <w:t>pprehension</w:t>
        </w:r>
      </w:hyperlink>
    </w:p>
    <w:p w14:paraId="4C7D3358" w14:textId="6851A1E9" w:rsidR="00212792" w:rsidRPr="00B40A77" w:rsidRDefault="00212792" w:rsidP="003A287A">
      <w:pPr>
        <w:pStyle w:val="Heading3"/>
        <w:rPr>
          <w:color w:val="000000" w:themeColor="text1"/>
        </w:rPr>
      </w:pPr>
      <w:bookmarkStart w:id="1010" w:name="_Toc175239312"/>
      <w:r w:rsidRPr="00B40A77">
        <w:rPr>
          <w:color w:val="000000" w:themeColor="text1"/>
        </w:rPr>
        <w:t>Division 2—</w:t>
      </w:r>
      <w:r w:rsidR="000D568A" w:rsidRPr="00B40A77">
        <w:rPr>
          <w:color w:val="000000" w:themeColor="text1"/>
        </w:rPr>
        <w:t>Orders</w:t>
      </w:r>
      <w:r w:rsidRPr="00B40A77">
        <w:rPr>
          <w:color w:val="000000" w:themeColor="text1"/>
        </w:rPr>
        <w:t xml:space="preserve"> for enforcement</w:t>
      </w:r>
      <w:bookmarkEnd w:id="1010"/>
    </w:p>
    <w:p w14:paraId="1A9F986A" w14:textId="4DD6D7C2" w:rsidR="000D568A" w:rsidRPr="00B40A77" w:rsidRDefault="00380083" w:rsidP="00ED4EB2">
      <w:pPr>
        <w:pStyle w:val="Heading4"/>
        <w:rPr>
          <w:color w:val="000000" w:themeColor="text1"/>
        </w:rPr>
      </w:pPr>
      <w:bookmarkStart w:id="1011" w:name="_Toc175239313"/>
      <w:r w:rsidRPr="00B40A77">
        <w:rPr>
          <w:color w:val="000000" w:themeColor="text1"/>
        </w:rPr>
        <w:t>17</w:t>
      </w:r>
      <w:r w:rsidR="00E41D2E" w:rsidRPr="00B40A77">
        <w:rPr>
          <w:color w:val="000000" w:themeColor="text1"/>
        </w:rPr>
        <w:t>5</w:t>
      </w:r>
      <w:r w:rsidR="000D568A" w:rsidRPr="00B40A77">
        <w:rPr>
          <w:color w:val="000000" w:themeColor="text1"/>
        </w:rPr>
        <w:t>.1—Order on application for enforcement</w:t>
      </w:r>
      <w:bookmarkEnd w:id="1011"/>
    </w:p>
    <w:p w14:paraId="77A6CAFC" w14:textId="4E4FABF4" w:rsidR="000D568A" w:rsidRPr="00B40A77" w:rsidRDefault="00445504" w:rsidP="00B90C7E">
      <w:pPr>
        <w:pStyle w:val="IndentedPara"/>
        <w:keepNext/>
        <w:ind w:left="1134" w:hanging="567"/>
        <w:rPr>
          <w:color w:val="000000" w:themeColor="text1"/>
        </w:rPr>
      </w:pPr>
      <w:r w:rsidRPr="00B40A77">
        <w:rPr>
          <w:color w:val="000000" w:themeColor="text1"/>
        </w:rPr>
        <w:t>(1)</w:t>
      </w:r>
      <w:r w:rsidRPr="00B40A77">
        <w:rPr>
          <w:color w:val="000000" w:themeColor="text1"/>
        </w:rPr>
        <w:tab/>
      </w:r>
      <w:r w:rsidRPr="00B40A77">
        <w:rPr>
          <w:color w:val="000000" w:themeColor="text1"/>
        </w:rPr>
        <w:tab/>
      </w:r>
      <w:r w:rsidR="000D568A" w:rsidRPr="00B40A77">
        <w:rPr>
          <w:color w:val="000000" w:themeColor="text1"/>
        </w:rPr>
        <w:t xml:space="preserve">The written record of an order on an application for </w:t>
      </w:r>
      <w:r w:rsidRPr="00B40A77">
        <w:rPr>
          <w:color w:val="000000" w:themeColor="text1"/>
        </w:rPr>
        <w:t>enforcement of a bond</w:t>
      </w:r>
      <w:r w:rsidR="000D568A" w:rsidRPr="00B40A77">
        <w:rPr>
          <w:color w:val="000000" w:themeColor="text1"/>
        </w:rPr>
        <w:t xml:space="preserve"> must be in the prescribed form.</w:t>
      </w:r>
    </w:p>
    <w:p w14:paraId="54C61364" w14:textId="79AB998E" w:rsidR="000D568A" w:rsidRPr="00B40A77" w:rsidRDefault="000D568A" w:rsidP="00B90C7E">
      <w:pPr>
        <w:pStyle w:val="NoteHeader"/>
        <w:keepNext/>
        <w:rPr>
          <w:color w:val="000000" w:themeColor="text1"/>
        </w:rPr>
      </w:pPr>
      <w:r w:rsidRPr="00B40A77">
        <w:rPr>
          <w:color w:val="000000" w:themeColor="text1"/>
        </w:rPr>
        <w:t>Prescribed form—</w:t>
      </w:r>
    </w:p>
    <w:p w14:paraId="4DE2C842" w14:textId="3D5270EA" w:rsidR="000D568A" w:rsidRPr="00B40A77" w:rsidRDefault="00445504" w:rsidP="001C6806">
      <w:pPr>
        <w:pStyle w:val="NoteText"/>
        <w:rPr>
          <w:color w:val="000000" w:themeColor="text1"/>
        </w:rPr>
      </w:pPr>
      <w:r w:rsidRPr="00B40A77">
        <w:rPr>
          <w:color w:val="000000" w:themeColor="text1"/>
        </w:rPr>
        <w:t xml:space="preserve">Form </w:t>
      </w:r>
      <w:r w:rsidR="009A4D0F" w:rsidRPr="00B40A77">
        <w:rPr>
          <w:color w:val="000000" w:themeColor="text1"/>
        </w:rPr>
        <w:t xml:space="preserve">215 </w:t>
      </w:r>
      <w:hyperlink r:id="rId368" w:history="1">
        <w:r w:rsidR="000D568A" w:rsidRPr="00B40A77">
          <w:rPr>
            <w:rStyle w:val="Hyperlink"/>
            <w:color w:val="000000" w:themeColor="text1"/>
          </w:rPr>
          <w:t>Record of Outcome</w:t>
        </w:r>
      </w:hyperlink>
    </w:p>
    <w:p w14:paraId="333C50BF" w14:textId="567D2AAC" w:rsidR="00445504" w:rsidRPr="00B40A77" w:rsidRDefault="00445504" w:rsidP="003A287A">
      <w:pPr>
        <w:pStyle w:val="IndentedPara"/>
        <w:keepNext/>
        <w:tabs>
          <w:tab w:val="clear" w:pos="851"/>
          <w:tab w:val="left" w:pos="1134"/>
        </w:tabs>
        <w:ind w:left="1134" w:hanging="567"/>
        <w:rPr>
          <w:color w:val="000000" w:themeColor="text1"/>
        </w:rPr>
      </w:pPr>
      <w:r w:rsidRPr="00B40A77">
        <w:rPr>
          <w:color w:val="000000" w:themeColor="text1"/>
        </w:rPr>
        <w:t>(2)</w:t>
      </w:r>
      <w:r w:rsidRPr="00B40A77">
        <w:rPr>
          <w:color w:val="000000" w:themeColor="text1"/>
        </w:rPr>
        <w:tab/>
        <w:t>The written record of an order on an application for enforcement of a community service order or non-pecuniary order must be in the prescribed form.</w:t>
      </w:r>
    </w:p>
    <w:p w14:paraId="2BF28F72" w14:textId="472EE75A" w:rsidR="00445504" w:rsidRPr="00B40A77" w:rsidRDefault="00445504" w:rsidP="00B90C7E">
      <w:pPr>
        <w:pStyle w:val="NoteHeader"/>
        <w:keepNext/>
        <w:rPr>
          <w:color w:val="000000" w:themeColor="text1"/>
        </w:rPr>
      </w:pPr>
      <w:r w:rsidRPr="00B40A77">
        <w:rPr>
          <w:color w:val="000000" w:themeColor="text1"/>
        </w:rPr>
        <w:t>Prescribed form—</w:t>
      </w:r>
    </w:p>
    <w:p w14:paraId="1375DD03" w14:textId="1EC28A37" w:rsidR="00445504" w:rsidRPr="00B40A77" w:rsidRDefault="00445504" w:rsidP="001C6806">
      <w:pPr>
        <w:pStyle w:val="NoteText"/>
        <w:rPr>
          <w:color w:val="000000" w:themeColor="text1"/>
        </w:rPr>
      </w:pPr>
      <w:r w:rsidRPr="00B40A77">
        <w:rPr>
          <w:color w:val="000000" w:themeColor="text1"/>
        </w:rPr>
        <w:t xml:space="preserve">Form </w:t>
      </w:r>
      <w:r w:rsidR="009A4D0F" w:rsidRPr="00B40A77">
        <w:rPr>
          <w:color w:val="000000" w:themeColor="text1"/>
        </w:rPr>
        <w:t>215</w:t>
      </w:r>
      <w:r w:rsidRPr="00B40A77">
        <w:rPr>
          <w:color w:val="000000" w:themeColor="text1"/>
        </w:rPr>
        <w:t xml:space="preserve"> </w:t>
      </w:r>
      <w:hyperlink r:id="rId369" w:history="1">
        <w:r w:rsidRPr="00B40A77">
          <w:rPr>
            <w:rStyle w:val="Hyperlink"/>
            <w:color w:val="000000" w:themeColor="text1"/>
          </w:rPr>
          <w:t>Record of Outcome</w:t>
        </w:r>
      </w:hyperlink>
    </w:p>
    <w:p w14:paraId="5BBE33D0" w14:textId="34DDF759" w:rsidR="00445504" w:rsidRPr="00B40A77" w:rsidRDefault="00CE7BBA" w:rsidP="00B90C7E">
      <w:pPr>
        <w:pStyle w:val="IndentedPara"/>
        <w:keepNext/>
        <w:ind w:left="1134" w:hanging="567"/>
        <w:rPr>
          <w:color w:val="000000" w:themeColor="text1"/>
        </w:rPr>
      </w:pPr>
      <w:r w:rsidRPr="00B40A77">
        <w:rPr>
          <w:color w:val="000000" w:themeColor="text1"/>
        </w:rPr>
        <w:t>(3</w:t>
      </w:r>
      <w:r w:rsidR="00445504" w:rsidRPr="00B40A77">
        <w:rPr>
          <w:color w:val="000000" w:themeColor="text1"/>
        </w:rPr>
        <w:t>)</w:t>
      </w:r>
      <w:r w:rsidR="00445504" w:rsidRPr="00B40A77">
        <w:rPr>
          <w:color w:val="000000" w:themeColor="text1"/>
        </w:rPr>
        <w:tab/>
      </w:r>
      <w:r w:rsidR="00445504" w:rsidRPr="00B40A77">
        <w:rPr>
          <w:color w:val="000000" w:themeColor="text1"/>
        </w:rPr>
        <w:tab/>
        <w:t>The written record of an order on an application for enforcement of a recognizance release order or recognizance order must be in the prescribed form.</w:t>
      </w:r>
    </w:p>
    <w:p w14:paraId="2AD68C1A" w14:textId="6D6E50D1" w:rsidR="00445504" w:rsidRPr="00B40A77" w:rsidRDefault="00445504" w:rsidP="00B90C7E">
      <w:pPr>
        <w:pStyle w:val="NoteHeader"/>
        <w:keepNext/>
        <w:rPr>
          <w:color w:val="000000" w:themeColor="text1"/>
        </w:rPr>
      </w:pPr>
      <w:r w:rsidRPr="00B40A77">
        <w:rPr>
          <w:color w:val="000000" w:themeColor="text1"/>
        </w:rPr>
        <w:t>Prescribed form—</w:t>
      </w:r>
    </w:p>
    <w:p w14:paraId="03C99D9C" w14:textId="283D2537" w:rsidR="00445504" w:rsidRPr="00B40A77" w:rsidRDefault="00445504" w:rsidP="001C6806">
      <w:pPr>
        <w:pStyle w:val="NoteText"/>
        <w:rPr>
          <w:color w:val="000000" w:themeColor="text1"/>
        </w:rPr>
      </w:pPr>
      <w:r w:rsidRPr="00B40A77">
        <w:rPr>
          <w:color w:val="000000" w:themeColor="text1"/>
        </w:rPr>
        <w:t xml:space="preserve">Form </w:t>
      </w:r>
      <w:r w:rsidR="009A4D0F" w:rsidRPr="00B40A77">
        <w:rPr>
          <w:color w:val="000000" w:themeColor="text1"/>
        </w:rPr>
        <w:t>215</w:t>
      </w:r>
      <w:r w:rsidRPr="00B40A77">
        <w:rPr>
          <w:color w:val="000000" w:themeColor="text1"/>
        </w:rPr>
        <w:t xml:space="preserve"> </w:t>
      </w:r>
      <w:hyperlink r:id="rId370" w:history="1">
        <w:r w:rsidRPr="00B40A77">
          <w:rPr>
            <w:rStyle w:val="Hyperlink"/>
            <w:color w:val="000000" w:themeColor="text1"/>
          </w:rPr>
          <w:t>Record of Outcome</w:t>
        </w:r>
      </w:hyperlink>
    </w:p>
    <w:p w14:paraId="3616D9AA" w14:textId="6BB3B7B0" w:rsidR="003A287A" w:rsidRPr="00B40A77" w:rsidRDefault="003A287A" w:rsidP="00110EA9">
      <w:pPr>
        <w:pStyle w:val="IndentedPara"/>
        <w:keepNext/>
        <w:tabs>
          <w:tab w:val="clear" w:pos="851"/>
          <w:tab w:val="left" w:pos="1134"/>
        </w:tabs>
        <w:ind w:left="1134" w:hanging="567"/>
        <w:rPr>
          <w:color w:val="000000" w:themeColor="text1"/>
        </w:rPr>
      </w:pPr>
      <w:r w:rsidRPr="00B40A77">
        <w:rPr>
          <w:color w:val="000000" w:themeColor="text1"/>
        </w:rPr>
        <w:t>(4)</w:t>
      </w:r>
      <w:r w:rsidRPr="00B40A77">
        <w:rPr>
          <w:color w:val="000000" w:themeColor="text1"/>
        </w:rPr>
        <w:tab/>
        <w:t xml:space="preserve">The written record of an order on an application to enforce a psychiatric probation order or program probation order under section </w:t>
      </w:r>
      <w:r w:rsidR="003872E7" w:rsidRPr="00B40A77">
        <w:rPr>
          <w:color w:val="000000" w:themeColor="text1"/>
        </w:rPr>
        <w:t xml:space="preserve">20BX </w:t>
      </w:r>
      <w:r w:rsidRPr="00B40A77">
        <w:rPr>
          <w:color w:val="000000" w:themeColor="text1"/>
        </w:rPr>
        <w:t>of the Crimes Act must be in the prescribed form.</w:t>
      </w:r>
    </w:p>
    <w:p w14:paraId="25A92E85" w14:textId="77777777" w:rsidR="003A287A" w:rsidRPr="00B40A77" w:rsidRDefault="003A287A" w:rsidP="00110EA9">
      <w:pPr>
        <w:pStyle w:val="NoteHeader"/>
        <w:keepNext/>
        <w:rPr>
          <w:color w:val="000000" w:themeColor="text1"/>
        </w:rPr>
      </w:pPr>
      <w:r w:rsidRPr="00B40A77">
        <w:rPr>
          <w:color w:val="000000" w:themeColor="text1"/>
        </w:rPr>
        <w:t>Prescribed form—</w:t>
      </w:r>
    </w:p>
    <w:p w14:paraId="7BE6BEE9" w14:textId="4CC98286" w:rsidR="003A287A" w:rsidRPr="00B40A77" w:rsidRDefault="003A287A" w:rsidP="001C6806">
      <w:pPr>
        <w:pStyle w:val="NoteText"/>
        <w:rPr>
          <w:color w:val="000000" w:themeColor="text1"/>
        </w:rPr>
      </w:pPr>
      <w:r w:rsidRPr="00B40A77">
        <w:rPr>
          <w:color w:val="000000" w:themeColor="text1"/>
        </w:rPr>
        <w:t xml:space="preserve">Form </w:t>
      </w:r>
      <w:r w:rsidR="009A4D0F" w:rsidRPr="00B40A77">
        <w:rPr>
          <w:color w:val="000000" w:themeColor="text1"/>
        </w:rPr>
        <w:t>215</w:t>
      </w:r>
      <w:r w:rsidRPr="00B40A77">
        <w:rPr>
          <w:color w:val="000000" w:themeColor="text1"/>
        </w:rPr>
        <w:t xml:space="preserve"> </w:t>
      </w:r>
      <w:hyperlink r:id="rId371" w:history="1">
        <w:r w:rsidRPr="00B40A77">
          <w:rPr>
            <w:rStyle w:val="Hyperlink"/>
            <w:color w:val="000000" w:themeColor="text1"/>
          </w:rPr>
          <w:t>Record of Outcome</w:t>
        </w:r>
      </w:hyperlink>
    </w:p>
    <w:p w14:paraId="212363DC" w14:textId="0B61A447" w:rsidR="00F7253D" w:rsidRPr="00B40A77" w:rsidRDefault="00CE7BBA" w:rsidP="00B90C7E">
      <w:pPr>
        <w:pStyle w:val="IndentedPara"/>
        <w:keepNext/>
        <w:ind w:left="1134" w:hanging="567"/>
        <w:rPr>
          <w:color w:val="000000" w:themeColor="text1"/>
        </w:rPr>
      </w:pPr>
      <w:r w:rsidRPr="00B40A77">
        <w:rPr>
          <w:color w:val="000000" w:themeColor="text1"/>
        </w:rPr>
        <w:t>(</w:t>
      </w:r>
      <w:r w:rsidR="003872E7" w:rsidRPr="00B40A77">
        <w:rPr>
          <w:color w:val="000000" w:themeColor="text1"/>
        </w:rPr>
        <w:t>5</w:t>
      </w:r>
      <w:r w:rsidR="00F7253D" w:rsidRPr="00B40A77">
        <w:rPr>
          <w:color w:val="000000" w:themeColor="text1"/>
        </w:rPr>
        <w:t>)</w:t>
      </w:r>
      <w:r w:rsidR="00F7253D" w:rsidRPr="00B40A77">
        <w:rPr>
          <w:color w:val="000000" w:themeColor="text1"/>
        </w:rPr>
        <w:tab/>
      </w:r>
      <w:r w:rsidR="00F7253D" w:rsidRPr="00B40A77">
        <w:rPr>
          <w:color w:val="000000" w:themeColor="text1"/>
        </w:rPr>
        <w:tab/>
        <w:t xml:space="preserve">The written record of an order on an application for enforcement of </w:t>
      </w:r>
      <w:r w:rsidR="008D6D64" w:rsidRPr="00B40A77">
        <w:rPr>
          <w:color w:val="000000" w:themeColor="text1"/>
        </w:rPr>
        <w:t>another</w:t>
      </w:r>
      <w:r w:rsidR="00F7253D" w:rsidRPr="00B40A77">
        <w:rPr>
          <w:color w:val="000000" w:themeColor="text1"/>
        </w:rPr>
        <w:t xml:space="preserve"> sentencing order must be in the prescribed form.</w:t>
      </w:r>
    </w:p>
    <w:p w14:paraId="65BAAF82" w14:textId="3C1F5C0F" w:rsidR="00F7253D" w:rsidRPr="00B40A77" w:rsidRDefault="00F7253D" w:rsidP="00B90C7E">
      <w:pPr>
        <w:pStyle w:val="NoteHeader"/>
        <w:keepNext/>
        <w:rPr>
          <w:color w:val="000000" w:themeColor="text1"/>
        </w:rPr>
      </w:pPr>
      <w:r w:rsidRPr="00B40A77">
        <w:rPr>
          <w:color w:val="000000" w:themeColor="text1"/>
        </w:rPr>
        <w:t>Prescribed form—</w:t>
      </w:r>
    </w:p>
    <w:p w14:paraId="45EBFE18" w14:textId="69A13CD2" w:rsidR="00F7253D" w:rsidRPr="00B40A77" w:rsidRDefault="00F7253D" w:rsidP="00F7253D">
      <w:pPr>
        <w:pStyle w:val="NoteText"/>
        <w:rPr>
          <w:color w:val="000000" w:themeColor="text1"/>
          <w:u w:val="single"/>
        </w:rPr>
      </w:pPr>
      <w:r w:rsidRPr="00B40A77">
        <w:rPr>
          <w:color w:val="000000" w:themeColor="text1"/>
        </w:rPr>
        <w:t xml:space="preserve">Form </w:t>
      </w:r>
      <w:r w:rsidR="009A4D0F" w:rsidRPr="00B40A77">
        <w:rPr>
          <w:color w:val="000000" w:themeColor="text1"/>
        </w:rPr>
        <w:t>215</w:t>
      </w:r>
      <w:r w:rsidRPr="00B40A77">
        <w:rPr>
          <w:color w:val="000000" w:themeColor="text1"/>
        </w:rPr>
        <w:t xml:space="preserve"> </w:t>
      </w:r>
      <w:hyperlink r:id="rId372" w:history="1">
        <w:r w:rsidRPr="00B40A77">
          <w:rPr>
            <w:rStyle w:val="Hyperlink"/>
            <w:color w:val="000000" w:themeColor="text1"/>
          </w:rPr>
          <w:t>Record of Outcome</w:t>
        </w:r>
      </w:hyperlink>
    </w:p>
    <w:p w14:paraId="533B2D7F" w14:textId="4C927838" w:rsidR="003222DB" w:rsidRPr="00B40A77" w:rsidRDefault="003222DB" w:rsidP="003222DB">
      <w:pPr>
        <w:pStyle w:val="Hangindent"/>
        <w:keepNext/>
        <w:rPr>
          <w:color w:val="000000" w:themeColor="text1"/>
          <w:lang w:val="en-US"/>
        </w:rPr>
      </w:pPr>
      <w:r w:rsidRPr="00B40A77">
        <w:rPr>
          <w:color w:val="000000" w:themeColor="text1"/>
          <w:lang w:val="en-US"/>
        </w:rPr>
        <w:t>(</w:t>
      </w:r>
      <w:r w:rsidR="003872E7" w:rsidRPr="00B40A77">
        <w:rPr>
          <w:color w:val="000000" w:themeColor="text1"/>
          <w:lang w:val="en-US"/>
        </w:rPr>
        <w:t>6</w:t>
      </w:r>
      <w:r w:rsidRPr="00B40A77">
        <w:rPr>
          <w:color w:val="000000" w:themeColor="text1"/>
          <w:lang w:val="en-US"/>
        </w:rPr>
        <w:t>)</w:t>
      </w:r>
      <w:r w:rsidRPr="00B40A77">
        <w:rPr>
          <w:color w:val="000000" w:themeColor="text1"/>
          <w:lang w:val="en-US"/>
        </w:rPr>
        <w:tab/>
        <w:t xml:space="preserve">If the Court </w:t>
      </w:r>
      <w:r w:rsidRPr="00B40A77">
        <w:rPr>
          <w:color w:val="000000" w:themeColor="text1"/>
        </w:rPr>
        <w:t xml:space="preserve">varies a </w:t>
      </w:r>
      <w:r w:rsidRPr="00B40A77">
        <w:rPr>
          <w:color w:val="000000" w:themeColor="text1"/>
          <w:lang w:val="en-US"/>
        </w:rPr>
        <w:t>condition of a Home Detention Order or Intensive Correction Order under section 73 or 83 of the Sentencing Act, a varied Home Detention Order or Intensive Correction Order must be in the prescribed form.</w:t>
      </w:r>
    </w:p>
    <w:p w14:paraId="204D36EF" w14:textId="77777777" w:rsidR="003222DB" w:rsidRPr="00B40A77" w:rsidRDefault="003222DB" w:rsidP="003222DB">
      <w:pPr>
        <w:pStyle w:val="NoteHeader"/>
        <w:keepNext/>
        <w:rPr>
          <w:color w:val="000000" w:themeColor="text1"/>
        </w:rPr>
      </w:pPr>
      <w:r w:rsidRPr="00B40A77">
        <w:rPr>
          <w:color w:val="000000" w:themeColor="text1"/>
        </w:rPr>
        <w:t>Prescribed form—</w:t>
      </w:r>
    </w:p>
    <w:p w14:paraId="4D41217A" w14:textId="69A744F0" w:rsidR="003222DB" w:rsidRPr="00B40A77" w:rsidRDefault="003222DB" w:rsidP="003222DB">
      <w:pPr>
        <w:pStyle w:val="NoteText"/>
        <w:rPr>
          <w:color w:val="000000" w:themeColor="text1"/>
          <w:u w:val="single"/>
        </w:rPr>
      </w:pPr>
      <w:r w:rsidRPr="00B40A77">
        <w:rPr>
          <w:color w:val="000000" w:themeColor="text1"/>
        </w:rPr>
        <w:t xml:space="preserve">Form 216A </w:t>
      </w:r>
      <w:hyperlink r:id="rId373" w:history="1">
        <w:r w:rsidRPr="00B40A77">
          <w:rPr>
            <w:rStyle w:val="Hyperlink"/>
            <w:color w:val="000000" w:themeColor="text1"/>
            <w:lang w:val="en-US"/>
          </w:rPr>
          <w:t>Order Varying Home Detention Order and Acknowledgement</w:t>
        </w:r>
      </w:hyperlink>
    </w:p>
    <w:p w14:paraId="4F38DB20" w14:textId="510CA6AB" w:rsidR="003222DB" w:rsidRPr="00B40A77" w:rsidRDefault="003222DB" w:rsidP="00F7253D">
      <w:pPr>
        <w:pStyle w:val="NoteText"/>
        <w:rPr>
          <w:color w:val="000000" w:themeColor="text1"/>
        </w:rPr>
      </w:pPr>
      <w:r w:rsidRPr="00B40A77">
        <w:rPr>
          <w:color w:val="000000" w:themeColor="text1"/>
        </w:rPr>
        <w:t xml:space="preserve">Form 216B </w:t>
      </w:r>
      <w:hyperlink r:id="rId374" w:history="1">
        <w:r w:rsidRPr="00B40A77">
          <w:rPr>
            <w:rStyle w:val="Hyperlink"/>
            <w:color w:val="000000" w:themeColor="text1"/>
            <w:lang w:val="en-US"/>
          </w:rPr>
          <w:t>Order Varying Intensive Correction Order and Acknowledgement</w:t>
        </w:r>
      </w:hyperlink>
    </w:p>
    <w:p w14:paraId="2FE8A2DB" w14:textId="58E4A79C" w:rsidR="00F7253D" w:rsidRPr="00B40A77" w:rsidRDefault="00CE7BBA" w:rsidP="00104839">
      <w:pPr>
        <w:pStyle w:val="Heading4"/>
        <w:rPr>
          <w:color w:val="000000" w:themeColor="text1"/>
        </w:rPr>
      </w:pPr>
      <w:bookmarkStart w:id="1012" w:name="_Toc175239314"/>
      <w:r w:rsidRPr="00B40A77">
        <w:rPr>
          <w:color w:val="000000" w:themeColor="text1"/>
        </w:rPr>
        <w:t>17</w:t>
      </w:r>
      <w:r w:rsidR="00E41D2E" w:rsidRPr="00B40A77">
        <w:rPr>
          <w:color w:val="000000" w:themeColor="text1"/>
        </w:rPr>
        <w:t>5</w:t>
      </w:r>
      <w:r w:rsidR="00F7253D" w:rsidRPr="00B40A77">
        <w:rPr>
          <w:color w:val="000000" w:themeColor="text1"/>
        </w:rPr>
        <w:t>.2—Warrant of commitment</w:t>
      </w:r>
      <w:r w:rsidR="00017A13" w:rsidRPr="00B40A77">
        <w:rPr>
          <w:color w:val="000000" w:themeColor="text1"/>
        </w:rPr>
        <w:t xml:space="preserve"> or mandate for detention</w:t>
      </w:r>
      <w:bookmarkEnd w:id="1012"/>
    </w:p>
    <w:p w14:paraId="0ACC535F" w14:textId="6D62D525" w:rsidR="00017A13" w:rsidRPr="00B40A77" w:rsidRDefault="00017A13" w:rsidP="00B90C7E">
      <w:pPr>
        <w:pStyle w:val="Hangindent"/>
        <w:keepNext/>
        <w:ind w:left="567" w:firstLine="0"/>
        <w:rPr>
          <w:color w:val="000000" w:themeColor="text1"/>
          <w:lang w:val="en-US"/>
        </w:rPr>
      </w:pPr>
      <w:r w:rsidRPr="00B40A77">
        <w:rPr>
          <w:color w:val="000000" w:themeColor="text1"/>
          <w:lang w:val="en-US"/>
        </w:rPr>
        <w:t xml:space="preserve">If the Court makes </w:t>
      </w:r>
      <w:r w:rsidRPr="00B40A77">
        <w:rPr>
          <w:color w:val="000000" w:themeColor="text1"/>
        </w:rPr>
        <w:t>an order on an enforcement application that a defendant or youth be imprisoned or detained</w:t>
      </w:r>
      <w:r w:rsidRPr="00B40A77">
        <w:rPr>
          <w:color w:val="000000" w:themeColor="text1"/>
          <w:lang w:val="en-US"/>
        </w:rPr>
        <w:t xml:space="preserve">,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must </w:t>
      </w:r>
      <w:r w:rsidR="00D441A0" w:rsidRPr="00B40A77">
        <w:rPr>
          <w:color w:val="000000" w:themeColor="text1"/>
          <w:lang w:val="en-US"/>
        </w:rPr>
        <w:t xml:space="preserve">cause </w:t>
      </w:r>
      <w:r w:rsidRPr="00B40A77">
        <w:rPr>
          <w:color w:val="000000" w:themeColor="text1"/>
          <w:lang w:val="en-US"/>
        </w:rPr>
        <w:t xml:space="preserve">a warrant </w:t>
      </w:r>
      <w:r w:rsidRPr="00B40A77">
        <w:rPr>
          <w:color w:val="000000" w:themeColor="text1"/>
        </w:rPr>
        <w:t>of commitment or mandate for detention</w:t>
      </w:r>
      <w:r w:rsidRPr="00B40A77">
        <w:rPr>
          <w:color w:val="000000" w:themeColor="text1"/>
          <w:lang w:val="en-US"/>
        </w:rPr>
        <w:t xml:space="preserve"> in th</w:t>
      </w:r>
      <w:r w:rsidR="00314BEA" w:rsidRPr="00B40A77">
        <w:rPr>
          <w:color w:val="000000" w:themeColor="text1"/>
          <w:lang w:val="en-US"/>
        </w:rPr>
        <w:t>e prescribed form</w:t>
      </w:r>
      <w:r w:rsidR="00D441A0" w:rsidRPr="00B40A77">
        <w:rPr>
          <w:color w:val="000000" w:themeColor="text1"/>
          <w:lang w:val="en-US"/>
        </w:rPr>
        <w:t xml:space="preserve"> to be issued</w:t>
      </w:r>
      <w:r w:rsidRPr="00B40A77">
        <w:rPr>
          <w:color w:val="000000" w:themeColor="text1"/>
          <w:lang w:val="en-US"/>
        </w:rPr>
        <w:t>.</w:t>
      </w:r>
    </w:p>
    <w:p w14:paraId="5BA72380" w14:textId="3E72CE8F" w:rsidR="00017A13" w:rsidRPr="00B40A77" w:rsidRDefault="00017A13" w:rsidP="00B90C7E">
      <w:pPr>
        <w:pStyle w:val="NoteHeader"/>
        <w:keepNext/>
        <w:ind w:left="567"/>
        <w:rPr>
          <w:color w:val="000000" w:themeColor="text1"/>
        </w:rPr>
      </w:pPr>
      <w:r w:rsidRPr="00B40A77">
        <w:rPr>
          <w:color w:val="000000" w:themeColor="text1"/>
        </w:rPr>
        <w:t>Prescribed form—</w:t>
      </w:r>
    </w:p>
    <w:p w14:paraId="6D08F6CA" w14:textId="0397E348" w:rsidR="00F00DF1" w:rsidRPr="00B40A77" w:rsidRDefault="00017A13" w:rsidP="00D72220">
      <w:pPr>
        <w:pStyle w:val="NoteText"/>
        <w:ind w:left="850"/>
        <w:rPr>
          <w:color w:val="000000" w:themeColor="text1"/>
        </w:rPr>
      </w:pPr>
      <w:r w:rsidRPr="00B40A77">
        <w:rPr>
          <w:color w:val="000000" w:themeColor="text1"/>
        </w:rPr>
        <w:t>Form 2</w:t>
      </w:r>
      <w:r w:rsidR="00D72220" w:rsidRPr="00B40A77">
        <w:rPr>
          <w:color w:val="000000" w:themeColor="text1"/>
        </w:rPr>
        <w:t>1</w:t>
      </w:r>
      <w:r w:rsidR="0059634E" w:rsidRPr="00B40A77">
        <w:rPr>
          <w:color w:val="000000" w:themeColor="text1"/>
        </w:rPr>
        <w:t>7</w:t>
      </w:r>
      <w:r w:rsidRPr="00B40A77">
        <w:rPr>
          <w:color w:val="000000" w:themeColor="text1"/>
        </w:rPr>
        <w:t xml:space="preserve"> </w:t>
      </w:r>
      <w:hyperlink r:id="rId375" w:history="1">
        <w:r w:rsidR="00EF4432" w:rsidRPr="00B40A77">
          <w:rPr>
            <w:rStyle w:val="Hyperlink"/>
            <w:color w:val="000000" w:themeColor="text1"/>
          </w:rPr>
          <w:t xml:space="preserve">Warrant </w:t>
        </w:r>
        <w:r w:rsidRPr="00B40A77">
          <w:rPr>
            <w:rStyle w:val="Hyperlink"/>
            <w:color w:val="000000" w:themeColor="text1"/>
          </w:rPr>
          <w:t xml:space="preserve">of </w:t>
        </w:r>
        <w:r w:rsidR="00EF4432" w:rsidRPr="00B40A77">
          <w:rPr>
            <w:rStyle w:val="Hyperlink"/>
            <w:color w:val="000000" w:themeColor="text1"/>
          </w:rPr>
          <w:t>Commitment</w:t>
        </w:r>
        <w:r w:rsidR="00030E69" w:rsidRPr="00B40A77">
          <w:rPr>
            <w:rStyle w:val="Hyperlink"/>
            <w:color w:val="000000" w:themeColor="text1"/>
          </w:rPr>
          <w:t xml:space="preserve"> or </w:t>
        </w:r>
        <w:r w:rsidR="00EF4432" w:rsidRPr="00B40A77">
          <w:rPr>
            <w:rStyle w:val="Hyperlink"/>
            <w:color w:val="000000" w:themeColor="text1"/>
          </w:rPr>
          <w:t>Mandate for Detention</w:t>
        </w:r>
        <w:r w:rsidR="00406F19" w:rsidRPr="00B40A77">
          <w:rPr>
            <w:rStyle w:val="Hyperlink"/>
            <w:color w:val="000000" w:themeColor="text1"/>
          </w:rPr>
          <w:t xml:space="preserve"> </w:t>
        </w:r>
        <w:r w:rsidR="00D72220" w:rsidRPr="00B40A77">
          <w:rPr>
            <w:rStyle w:val="Hyperlink"/>
            <w:color w:val="000000" w:themeColor="text1"/>
          </w:rPr>
          <w:t>–</w:t>
        </w:r>
        <w:r w:rsidR="00406F19" w:rsidRPr="00B40A77">
          <w:rPr>
            <w:rStyle w:val="Hyperlink"/>
            <w:color w:val="000000" w:themeColor="text1"/>
          </w:rPr>
          <w:t xml:space="preserve"> Enforcement of Community Service Order or Non-Pecuniary Order</w:t>
        </w:r>
      </w:hyperlink>
    </w:p>
    <w:p w14:paraId="3B5E16B8" w14:textId="1853E0B7" w:rsidR="00D82917" w:rsidRPr="00B40A77" w:rsidRDefault="000B65D1" w:rsidP="0069412E">
      <w:pPr>
        <w:pStyle w:val="Heading1"/>
        <w:rPr>
          <w:color w:val="000000" w:themeColor="text1"/>
        </w:rPr>
      </w:pPr>
      <w:bookmarkStart w:id="1013" w:name="_Chapter_9—Appellate_Proceedings"/>
      <w:bookmarkStart w:id="1014" w:name="_Toc175239315"/>
      <w:bookmarkStart w:id="1015" w:name="_Hlk70251960"/>
      <w:bookmarkEnd w:id="1013"/>
      <w:r w:rsidRPr="00B40A77">
        <w:rPr>
          <w:color w:val="000000" w:themeColor="text1"/>
        </w:rPr>
        <w:lastRenderedPageBreak/>
        <w:t xml:space="preserve">Chapter </w:t>
      </w:r>
      <w:r w:rsidR="00C239BC" w:rsidRPr="00B40A77">
        <w:rPr>
          <w:color w:val="000000" w:themeColor="text1"/>
        </w:rPr>
        <w:t>9</w:t>
      </w:r>
      <w:r w:rsidR="0076562A" w:rsidRPr="00B40A77">
        <w:rPr>
          <w:color w:val="000000" w:themeColor="text1"/>
        </w:rPr>
        <w:t>—Appellate Proceedings</w:t>
      </w:r>
      <w:bookmarkEnd w:id="1014"/>
    </w:p>
    <w:p w14:paraId="30493FCF" w14:textId="77777777" w:rsidR="00372C09" w:rsidRPr="00B40A77" w:rsidRDefault="00372C09" w:rsidP="00D45D85">
      <w:pPr>
        <w:pStyle w:val="Heading2"/>
        <w:keepNext/>
        <w:rPr>
          <w:color w:val="000000" w:themeColor="text1"/>
        </w:rPr>
      </w:pPr>
      <w:bookmarkStart w:id="1016" w:name="_Toc25920226"/>
      <w:bookmarkStart w:id="1017" w:name="_Toc175239316"/>
      <w:r w:rsidRPr="00B40A77">
        <w:rPr>
          <w:color w:val="000000" w:themeColor="text1"/>
        </w:rPr>
        <w:t>Part 1—</w:t>
      </w:r>
      <w:bookmarkEnd w:id="1016"/>
      <w:r w:rsidRPr="00B40A77">
        <w:rPr>
          <w:color w:val="000000" w:themeColor="text1"/>
        </w:rPr>
        <w:t>General</w:t>
      </w:r>
      <w:bookmarkEnd w:id="1017"/>
    </w:p>
    <w:p w14:paraId="0521B8C0" w14:textId="2BF7D41B" w:rsidR="00372C09" w:rsidRPr="00B40A77" w:rsidRDefault="00CE7BBA" w:rsidP="00372C09">
      <w:pPr>
        <w:pStyle w:val="Heading4"/>
        <w:rPr>
          <w:color w:val="000000" w:themeColor="text1"/>
        </w:rPr>
      </w:pPr>
      <w:bookmarkStart w:id="1018" w:name="_211.1—Definitions"/>
      <w:bookmarkStart w:id="1019" w:name="_181.1—Definitions"/>
      <w:bookmarkStart w:id="1020" w:name="_Toc25920227"/>
      <w:bookmarkStart w:id="1021" w:name="_Toc175239317"/>
      <w:bookmarkEnd w:id="1018"/>
      <w:bookmarkEnd w:id="1019"/>
      <w:r w:rsidRPr="00B40A77">
        <w:rPr>
          <w:color w:val="000000" w:themeColor="text1"/>
        </w:rPr>
        <w:t>18</w:t>
      </w:r>
      <w:r w:rsidR="00787DD0" w:rsidRPr="00B40A77">
        <w:rPr>
          <w:color w:val="000000" w:themeColor="text1"/>
        </w:rPr>
        <w:t>1</w:t>
      </w:r>
      <w:r w:rsidR="00372C09" w:rsidRPr="00B40A77">
        <w:rPr>
          <w:color w:val="000000" w:themeColor="text1"/>
        </w:rPr>
        <w:t>.1—Definitions</w:t>
      </w:r>
      <w:bookmarkEnd w:id="1020"/>
      <w:bookmarkEnd w:id="1021"/>
    </w:p>
    <w:p w14:paraId="79B95B56" w14:textId="55B939AF" w:rsidR="00372C09" w:rsidRPr="00B40A77" w:rsidRDefault="00372C09" w:rsidP="00372C09">
      <w:pPr>
        <w:pStyle w:val="Hangindent"/>
        <w:rPr>
          <w:color w:val="000000" w:themeColor="text1"/>
          <w:lang w:val="en-US"/>
        </w:rPr>
      </w:pPr>
      <w:r w:rsidRPr="00B40A77">
        <w:rPr>
          <w:color w:val="000000" w:themeColor="text1"/>
          <w:lang w:val="en-US"/>
        </w:rPr>
        <w:t>In this Chapter</w:t>
      </w:r>
      <w:r w:rsidRPr="00B40A77">
        <w:rPr>
          <w:color w:val="000000" w:themeColor="text1"/>
        </w:rPr>
        <w:t>—</w:t>
      </w:r>
    </w:p>
    <w:p w14:paraId="3279C815" w14:textId="63275447" w:rsidR="004C3F5A" w:rsidRPr="00B40A77" w:rsidRDefault="00365505" w:rsidP="00372C09">
      <w:pPr>
        <w:pStyle w:val="Hangindent"/>
        <w:ind w:left="567" w:firstLine="0"/>
        <w:rPr>
          <w:color w:val="000000" w:themeColor="text1"/>
          <w:lang w:val="en-US"/>
        </w:rPr>
      </w:pPr>
      <w:r w:rsidRPr="00B40A77">
        <w:rPr>
          <w:b/>
          <w:i/>
          <w:color w:val="000000" w:themeColor="text1"/>
          <w:lang w:val="en-US"/>
        </w:rPr>
        <w:t>ancillary order</w:t>
      </w:r>
      <w:r w:rsidR="004C3F5A" w:rsidRPr="00B40A77">
        <w:rPr>
          <w:b/>
          <w:i/>
          <w:color w:val="000000" w:themeColor="text1"/>
          <w:lang w:val="en-US"/>
        </w:rPr>
        <w:t xml:space="preserve"> </w:t>
      </w:r>
      <w:r w:rsidR="004C3F5A" w:rsidRPr="00B40A77">
        <w:rPr>
          <w:color w:val="000000" w:themeColor="text1"/>
          <w:lang w:val="en-US"/>
        </w:rPr>
        <w:t xml:space="preserve">means </w:t>
      </w:r>
      <w:r w:rsidRPr="00B40A77">
        <w:rPr>
          <w:color w:val="000000" w:themeColor="text1"/>
        </w:rPr>
        <w:t>an ancillary order within the meaning of section</w:t>
      </w:r>
      <w:r w:rsidR="00CC7C23" w:rsidRPr="00B40A77">
        <w:rPr>
          <w:color w:val="000000" w:themeColor="text1"/>
        </w:rPr>
        <w:t> </w:t>
      </w:r>
      <w:r w:rsidRPr="00B40A77">
        <w:rPr>
          <w:color w:val="000000" w:themeColor="text1"/>
        </w:rPr>
        <w:t>151 of the Procedure</w:t>
      </w:r>
      <w:r w:rsidR="00201B5C" w:rsidRPr="00B40A77">
        <w:rPr>
          <w:color w:val="000000" w:themeColor="text1"/>
        </w:rPr>
        <w:t> </w:t>
      </w:r>
      <w:r w:rsidRPr="00B40A77">
        <w:rPr>
          <w:color w:val="000000" w:themeColor="text1"/>
        </w:rPr>
        <w:t xml:space="preserve">Act or </w:t>
      </w:r>
      <w:r w:rsidR="00AD6118" w:rsidRPr="00B40A77">
        <w:rPr>
          <w:color w:val="000000" w:themeColor="text1"/>
        </w:rPr>
        <w:t xml:space="preserve">a </w:t>
      </w:r>
      <w:r w:rsidRPr="00B40A77">
        <w:rPr>
          <w:color w:val="000000" w:themeColor="text1"/>
        </w:rPr>
        <w:t>decision not to make such an ancillary order</w:t>
      </w:r>
      <w:r w:rsidR="004C3F5A" w:rsidRPr="00B40A77">
        <w:rPr>
          <w:color w:val="000000" w:themeColor="text1"/>
        </w:rPr>
        <w:t>;</w:t>
      </w:r>
    </w:p>
    <w:p w14:paraId="56F1FE48" w14:textId="0E2734BD" w:rsidR="00372C09" w:rsidRPr="00B40A77" w:rsidRDefault="00372C09" w:rsidP="00372C09">
      <w:pPr>
        <w:pStyle w:val="Hangindent"/>
        <w:ind w:left="567" w:firstLine="0"/>
        <w:rPr>
          <w:color w:val="000000" w:themeColor="text1"/>
          <w:lang w:val="en-US"/>
        </w:rPr>
      </w:pPr>
      <w:r w:rsidRPr="00B40A77">
        <w:rPr>
          <w:b/>
          <w:i/>
          <w:color w:val="000000" w:themeColor="text1"/>
          <w:lang w:val="en-US"/>
        </w:rPr>
        <w:t xml:space="preserve">appeal </w:t>
      </w:r>
      <w:r w:rsidRPr="00B40A77">
        <w:rPr>
          <w:color w:val="000000" w:themeColor="text1"/>
          <w:lang w:val="en-US"/>
        </w:rPr>
        <w:t>means an appeal against a judgment, order or decision of a court in a proceeding and, unless the context indicates otherwise, includes</w:t>
      </w:r>
      <w:r w:rsidRPr="00B40A77">
        <w:rPr>
          <w:color w:val="000000" w:themeColor="text1"/>
        </w:rPr>
        <w:t>—</w:t>
      </w:r>
    </w:p>
    <w:p w14:paraId="1CB4FCBB" w14:textId="4068A3F5" w:rsidR="00372C09" w:rsidRPr="00B40A77" w:rsidRDefault="00372C09" w:rsidP="00372C09">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a </w:t>
      </w:r>
      <w:r w:rsidR="00FC7C75" w:rsidRPr="00B40A77">
        <w:rPr>
          <w:color w:val="000000" w:themeColor="text1"/>
          <w:u w:val="single"/>
          <w:lang w:val="en-US"/>
        </w:rPr>
        <w:t xml:space="preserve">bail </w:t>
      </w:r>
      <w:r w:rsidRPr="00B40A77">
        <w:rPr>
          <w:color w:val="000000" w:themeColor="text1"/>
          <w:u w:val="single"/>
          <w:lang w:val="en-US"/>
        </w:rPr>
        <w:t>review</w:t>
      </w:r>
      <w:r w:rsidRPr="00B40A77">
        <w:rPr>
          <w:color w:val="000000" w:themeColor="text1"/>
          <w:lang w:val="en-US"/>
        </w:rPr>
        <w:t>;</w:t>
      </w:r>
    </w:p>
    <w:p w14:paraId="31A5F1C1" w14:textId="1797EC33" w:rsidR="00372C09" w:rsidRPr="00B40A77" w:rsidRDefault="00C314F1" w:rsidP="00372C09">
      <w:pPr>
        <w:pStyle w:val="Hangindent"/>
        <w:rPr>
          <w:color w:val="000000" w:themeColor="text1"/>
          <w:lang w:val="en-US"/>
        </w:rPr>
      </w:pPr>
      <w:r w:rsidRPr="00B40A77">
        <w:rPr>
          <w:color w:val="000000" w:themeColor="text1"/>
          <w:lang w:val="en-US"/>
        </w:rPr>
        <w:t>(b</w:t>
      </w:r>
      <w:r w:rsidR="00372C09" w:rsidRPr="00B40A77">
        <w:rPr>
          <w:color w:val="000000" w:themeColor="text1"/>
          <w:lang w:val="en-US"/>
        </w:rPr>
        <w:t>)</w:t>
      </w:r>
      <w:r w:rsidR="00372C09" w:rsidRPr="00B40A77">
        <w:rPr>
          <w:color w:val="000000" w:themeColor="text1"/>
          <w:lang w:val="en-US"/>
        </w:rPr>
        <w:tab/>
        <w:t>an application for l</w:t>
      </w:r>
      <w:r w:rsidRPr="00B40A77">
        <w:rPr>
          <w:color w:val="000000" w:themeColor="text1"/>
          <w:lang w:val="en-US"/>
        </w:rPr>
        <w:t>eave to appeal</w:t>
      </w:r>
      <w:r w:rsidR="00BA6E4B" w:rsidRPr="00B40A77">
        <w:rPr>
          <w:color w:val="000000" w:themeColor="text1"/>
          <w:lang w:val="en-US"/>
        </w:rPr>
        <w:t xml:space="preserve"> (or </w:t>
      </w:r>
      <w:r w:rsidR="00BA6E4B" w:rsidRPr="00B40A77">
        <w:rPr>
          <w:color w:val="000000" w:themeColor="text1"/>
          <w:u w:val="single"/>
          <w:lang w:val="en-US"/>
        </w:rPr>
        <w:t>cross appeal</w:t>
      </w:r>
      <w:r w:rsidR="00BA6E4B" w:rsidRPr="00B40A77">
        <w:rPr>
          <w:color w:val="000000" w:themeColor="text1"/>
          <w:lang w:val="en-US"/>
        </w:rPr>
        <w:t>)</w:t>
      </w:r>
      <w:r w:rsidR="00372C09" w:rsidRPr="00B40A77">
        <w:rPr>
          <w:color w:val="000000" w:themeColor="text1"/>
          <w:lang w:val="en-US"/>
        </w:rPr>
        <w:t>;</w:t>
      </w:r>
    </w:p>
    <w:p w14:paraId="46385846" w14:textId="72E99335" w:rsidR="00372C09" w:rsidRPr="00B40A77" w:rsidRDefault="00C314F1" w:rsidP="00372C09">
      <w:pPr>
        <w:pStyle w:val="Hangindent"/>
        <w:rPr>
          <w:color w:val="000000" w:themeColor="text1"/>
          <w:lang w:val="en-US"/>
        </w:rPr>
      </w:pPr>
      <w:r w:rsidRPr="00B40A77">
        <w:rPr>
          <w:color w:val="000000" w:themeColor="text1"/>
          <w:lang w:val="en-US"/>
        </w:rPr>
        <w:t>(c</w:t>
      </w:r>
      <w:r w:rsidR="00372C09" w:rsidRPr="00B40A77">
        <w:rPr>
          <w:color w:val="000000" w:themeColor="text1"/>
          <w:lang w:val="en-US"/>
        </w:rPr>
        <w:t>)</w:t>
      </w:r>
      <w:r w:rsidR="00372C09" w:rsidRPr="00B40A77">
        <w:rPr>
          <w:color w:val="000000" w:themeColor="text1"/>
          <w:lang w:val="en-US"/>
        </w:rPr>
        <w:tab/>
        <w:t>an application for an extension of time to appeal</w:t>
      </w:r>
      <w:r w:rsidR="00BA6E4B" w:rsidRPr="00B40A77">
        <w:rPr>
          <w:color w:val="000000" w:themeColor="text1"/>
          <w:lang w:val="en-US"/>
        </w:rPr>
        <w:t xml:space="preserve"> (or </w:t>
      </w:r>
      <w:r w:rsidR="00BA6E4B" w:rsidRPr="00B40A77">
        <w:rPr>
          <w:color w:val="000000" w:themeColor="text1"/>
          <w:u w:val="single"/>
          <w:lang w:val="en-US"/>
        </w:rPr>
        <w:t>cross appeal</w:t>
      </w:r>
      <w:r w:rsidR="00BA6E4B" w:rsidRPr="00B40A77">
        <w:rPr>
          <w:color w:val="000000" w:themeColor="text1"/>
          <w:lang w:val="en-US"/>
        </w:rPr>
        <w:t>)</w:t>
      </w:r>
      <w:r w:rsidR="00372C09" w:rsidRPr="00B40A77">
        <w:rPr>
          <w:color w:val="000000" w:themeColor="text1"/>
          <w:lang w:val="en-US"/>
        </w:rPr>
        <w:t>;</w:t>
      </w:r>
    </w:p>
    <w:p w14:paraId="56333559" w14:textId="5F96F1D4" w:rsidR="001A7A5D" w:rsidRPr="00B40A77" w:rsidRDefault="001A7A5D" w:rsidP="00372C09">
      <w:pPr>
        <w:pStyle w:val="Hangindent"/>
        <w:rPr>
          <w:color w:val="000000" w:themeColor="text1"/>
          <w:lang w:val="en-US"/>
        </w:rPr>
      </w:pPr>
      <w:r w:rsidRPr="00B40A77">
        <w:rPr>
          <w:color w:val="000000" w:themeColor="text1"/>
          <w:lang w:val="en-US"/>
        </w:rPr>
        <w:t>(d)</w:t>
      </w:r>
      <w:r w:rsidRPr="00B40A77">
        <w:rPr>
          <w:color w:val="000000" w:themeColor="text1"/>
          <w:lang w:val="en-US"/>
        </w:rPr>
        <w:tab/>
        <w:t xml:space="preserve">a </w:t>
      </w:r>
      <w:r w:rsidRPr="00B40A77">
        <w:rPr>
          <w:color w:val="000000" w:themeColor="text1"/>
          <w:u w:val="single"/>
          <w:lang w:val="en-US"/>
        </w:rPr>
        <w:t>cross appeal</w:t>
      </w:r>
      <w:r w:rsidRPr="00B40A77">
        <w:rPr>
          <w:color w:val="000000" w:themeColor="text1"/>
          <w:lang w:val="en-US"/>
        </w:rPr>
        <w:t>;</w:t>
      </w:r>
    </w:p>
    <w:p w14:paraId="3CC83525" w14:textId="57E255AB" w:rsidR="00710792" w:rsidRPr="00B40A77" w:rsidRDefault="00710792" w:rsidP="00372C09">
      <w:pPr>
        <w:pStyle w:val="Hangindent"/>
        <w:rPr>
          <w:color w:val="000000" w:themeColor="text1"/>
          <w:lang w:val="en-US"/>
        </w:rPr>
      </w:pPr>
      <w:r w:rsidRPr="00B40A77">
        <w:rPr>
          <w:color w:val="000000" w:themeColor="text1"/>
          <w:lang w:val="en-US"/>
        </w:rPr>
        <w:t>(e)</w:t>
      </w:r>
      <w:r w:rsidRPr="00B40A77">
        <w:rPr>
          <w:color w:val="000000" w:themeColor="text1"/>
          <w:lang w:val="en-US"/>
        </w:rPr>
        <w:tab/>
        <w:t xml:space="preserve">a </w:t>
      </w:r>
      <w:r w:rsidRPr="00B40A77">
        <w:rPr>
          <w:color w:val="000000" w:themeColor="text1"/>
          <w:u w:val="single"/>
          <w:lang w:val="en-US"/>
        </w:rPr>
        <w:t>second appeal</w:t>
      </w:r>
      <w:r w:rsidRPr="00B40A77">
        <w:rPr>
          <w:color w:val="000000" w:themeColor="text1"/>
          <w:lang w:val="en-US"/>
        </w:rPr>
        <w:t>;</w:t>
      </w:r>
    </w:p>
    <w:p w14:paraId="2CE070B8" w14:textId="4C45E58E" w:rsidR="00710792" w:rsidRPr="00B40A77" w:rsidRDefault="00710792" w:rsidP="00710792">
      <w:pPr>
        <w:pStyle w:val="Hangindent"/>
        <w:rPr>
          <w:color w:val="000000" w:themeColor="text1"/>
          <w:lang w:val="en-US"/>
        </w:rPr>
      </w:pPr>
      <w:r w:rsidRPr="00B40A77">
        <w:rPr>
          <w:color w:val="000000" w:themeColor="text1"/>
          <w:lang w:val="en-US"/>
        </w:rPr>
        <w:t>(f)</w:t>
      </w:r>
      <w:r w:rsidRPr="00B40A77">
        <w:rPr>
          <w:color w:val="000000" w:themeColor="text1"/>
          <w:lang w:val="en-US"/>
        </w:rPr>
        <w:tab/>
        <w:t xml:space="preserve">a </w:t>
      </w:r>
      <w:r w:rsidR="000E7400" w:rsidRPr="00B40A77">
        <w:rPr>
          <w:color w:val="000000" w:themeColor="text1"/>
          <w:u w:val="single"/>
          <w:lang w:val="en-US"/>
        </w:rPr>
        <w:t xml:space="preserve">petition </w:t>
      </w:r>
      <w:r w:rsidRPr="00B40A77">
        <w:rPr>
          <w:color w:val="000000" w:themeColor="text1"/>
          <w:u w:val="single"/>
          <w:lang w:val="en-US"/>
        </w:rPr>
        <w:t>referral</w:t>
      </w:r>
      <w:r w:rsidRPr="00B40A77">
        <w:rPr>
          <w:color w:val="000000" w:themeColor="text1"/>
          <w:lang w:val="en-US"/>
        </w:rPr>
        <w:t>;</w:t>
      </w:r>
      <w:r w:rsidR="00213F0B" w:rsidRPr="00B40A77">
        <w:rPr>
          <w:color w:val="000000" w:themeColor="text1"/>
          <w:lang w:val="en-US"/>
        </w:rPr>
        <w:t xml:space="preserve"> and</w:t>
      </w:r>
    </w:p>
    <w:p w14:paraId="7BEF1560" w14:textId="5D97A592" w:rsidR="00D21B55" w:rsidRPr="00B40A77" w:rsidRDefault="00D21B55" w:rsidP="00710792">
      <w:pPr>
        <w:pStyle w:val="Hangindent"/>
        <w:rPr>
          <w:color w:val="000000" w:themeColor="text1"/>
          <w:lang w:val="en-US"/>
        </w:rPr>
      </w:pPr>
      <w:r w:rsidRPr="00B40A77">
        <w:rPr>
          <w:color w:val="000000" w:themeColor="text1"/>
          <w:lang w:val="en-US"/>
        </w:rPr>
        <w:t>(g)</w:t>
      </w:r>
      <w:r w:rsidRPr="00B40A77">
        <w:rPr>
          <w:color w:val="000000" w:themeColor="text1"/>
          <w:lang w:val="en-US"/>
        </w:rPr>
        <w:tab/>
        <w:t xml:space="preserve">a </w:t>
      </w:r>
      <w:r w:rsidRPr="00B40A77">
        <w:rPr>
          <w:color w:val="000000" w:themeColor="text1"/>
          <w:u w:val="single"/>
          <w:lang w:val="en-US"/>
        </w:rPr>
        <w:t>retrial application</w:t>
      </w:r>
      <w:r w:rsidR="00213F0B" w:rsidRPr="00B40A77">
        <w:rPr>
          <w:color w:val="000000" w:themeColor="text1"/>
          <w:u w:val="single"/>
          <w:lang w:val="en-US"/>
        </w:rPr>
        <w:t>;</w:t>
      </w:r>
    </w:p>
    <w:p w14:paraId="7A9F4321" w14:textId="77777777" w:rsidR="00372C09" w:rsidRPr="00B40A77" w:rsidRDefault="00372C09" w:rsidP="00372C09">
      <w:pPr>
        <w:pStyle w:val="Hangindent"/>
        <w:rPr>
          <w:color w:val="000000" w:themeColor="text1"/>
          <w:lang w:val="en-US"/>
        </w:rPr>
      </w:pPr>
      <w:r w:rsidRPr="00B40A77">
        <w:rPr>
          <w:b/>
          <w:i/>
          <w:color w:val="000000" w:themeColor="text1"/>
          <w:lang w:val="en-US"/>
        </w:rPr>
        <w:t>appellant</w:t>
      </w:r>
      <w:r w:rsidRPr="00B40A77">
        <w:rPr>
          <w:color w:val="000000" w:themeColor="text1"/>
          <w:lang w:val="en-US"/>
        </w:rPr>
        <w:t xml:space="preserve"> means</w:t>
      </w:r>
      <w:r w:rsidRPr="00B40A77">
        <w:rPr>
          <w:color w:val="000000" w:themeColor="text1"/>
        </w:rPr>
        <w:t>—</w:t>
      </w:r>
    </w:p>
    <w:p w14:paraId="4ADF30B0" w14:textId="53A29EBE" w:rsidR="00372C09" w:rsidRPr="00B40A77" w:rsidRDefault="00372C09" w:rsidP="00372C09">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in an </w:t>
      </w:r>
      <w:r w:rsidRPr="00B40A77">
        <w:rPr>
          <w:color w:val="000000" w:themeColor="text1"/>
          <w:u w:val="single"/>
          <w:lang w:val="en-US"/>
        </w:rPr>
        <w:t>appeal</w:t>
      </w:r>
      <w:r w:rsidRPr="00B40A77">
        <w:rPr>
          <w:color w:val="000000" w:themeColor="text1"/>
        </w:rPr>
        <w:t>—</w:t>
      </w:r>
      <w:r w:rsidRPr="00B40A77">
        <w:rPr>
          <w:color w:val="000000" w:themeColor="text1"/>
          <w:lang w:val="en-US"/>
        </w:rPr>
        <w:t>the person appealing against or seeking review in the nature of an appeal against a judgment, order</w:t>
      </w:r>
      <w:r w:rsidR="00C314F1" w:rsidRPr="00B40A77">
        <w:rPr>
          <w:color w:val="000000" w:themeColor="text1"/>
          <w:lang w:val="en-US"/>
        </w:rPr>
        <w:t xml:space="preserve"> or decision</w:t>
      </w:r>
      <w:r w:rsidR="00BA6E4B" w:rsidRPr="00B40A77">
        <w:rPr>
          <w:color w:val="000000" w:themeColor="text1"/>
          <w:lang w:val="en-US"/>
        </w:rPr>
        <w:t xml:space="preserve"> </w:t>
      </w:r>
      <w:r w:rsidR="00F85FC9" w:rsidRPr="00B40A77">
        <w:rPr>
          <w:color w:val="000000" w:themeColor="text1"/>
          <w:lang w:val="en-US"/>
        </w:rPr>
        <w:t xml:space="preserve">or making the subject application </w:t>
      </w:r>
      <w:r w:rsidR="00BA6E4B" w:rsidRPr="00B40A77">
        <w:rPr>
          <w:color w:val="000000" w:themeColor="text1"/>
          <w:lang w:val="en-US"/>
        </w:rPr>
        <w:t xml:space="preserve">and, unless the context indicates otherwise, includes that person in the capacity of a respondent to a </w:t>
      </w:r>
      <w:r w:rsidR="00BA6E4B" w:rsidRPr="00B40A77">
        <w:rPr>
          <w:color w:val="000000" w:themeColor="text1"/>
          <w:u w:val="single"/>
          <w:lang w:val="en-US"/>
        </w:rPr>
        <w:t>cross appeal</w:t>
      </w:r>
      <w:r w:rsidR="00AB28CD" w:rsidRPr="00B40A77">
        <w:rPr>
          <w:color w:val="000000" w:themeColor="text1"/>
          <w:lang w:val="en-US"/>
        </w:rPr>
        <w:t>;</w:t>
      </w:r>
    </w:p>
    <w:p w14:paraId="6F5BB8C2" w14:textId="59B3DFAA" w:rsidR="00372C09" w:rsidRPr="00B40A77" w:rsidRDefault="00372C09" w:rsidP="00372C09">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in a </w:t>
      </w:r>
      <w:r w:rsidRPr="00B40A77">
        <w:rPr>
          <w:color w:val="000000" w:themeColor="text1"/>
          <w:u w:val="single"/>
          <w:lang w:val="en-US"/>
        </w:rPr>
        <w:t>case stated</w:t>
      </w:r>
      <w:r w:rsidRPr="00B40A77">
        <w:rPr>
          <w:color w:val="000000" w:themeColor="text1"/>
        </w:rPr>
        <w:t>—</w:t>
      </w:r>
      <w:r w:rsidRPr="00B40A77">
        <w:rPr>
          <w:color w:val="000000" w:themeColor="text1"/>
          <w:lang w:val="en-US"/>
        </w:rPr>
        <w:t xml:space="preserve">the person who files the notice of case stated or otherwise has the carriage of the </w:t>
      </w:r>
      <w:r w:rsidRPr="00B40A77">
        <w:rPr>
          <w:color w:val="000000" w:themeColor="text1"/>
          <w:u w:val="single"/>
          <w:lang w:val="en-US"/>
        </w:rPr>
        <w:t>case stated</w:t>
      </w:r>
      <w:r w:rsidRPr="00B40A77">
        <w:rPr>
          <w:color w:val="000000" w:themeColor="text1"/>
          <w:lang w:val="en-US"/>
        </w:rPr>
        <w:t>;</w:t>
      </w:r>
    </w:p>
    <w:p w14:paraId="44027476" w14:textId="25015FC1" w:rsidR="00C25AB8" w:rsidRPr="00B40A77" w:rsidRDefault="00C25AB8" w:rsidP="00C25AB8">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in a </w:t>
      </w:r>
      <w:r w:rsidR="000E7400" w:rsidRPr="00B40A77">
        <w:rPr>
          <w:color w:val="000000" w:themeColor="text1"/>
          <w:u w:val="single"/>
          <w:lang w:val="en-US"/>
        </w:rPr>
        <w:t>petition referral</w:t>
      </w:r>
      <w:r w:rsidRPr="00B40A77">
        <w:rPr>
          <w:color w:val="000000" w:themeColor="text1"/>
        </w:rPr>
        <w:t>—</w:t>
      </w:r>
      <w:r w:rsidRPr="00B40A77">
        <w:rPr>
          <w:color w:val="000000" w:themeColor="text1"/>
          <w:lang w:val="en-US"/>
        </w:rPr>
        <w:t xml:space="preserve">the </w:t>
      </w:r>
      <w:r w:rsidR="000E7400" w:rsidRPr="00B40A77">
        <w:rPr>
          <w:color w:val="000000" w:themeColor="text1"/>
          <w:lang w:val="en-US"/>
        </w:rPr>
        <w:t>petitioner</w:t>
      </w:r>
      <w:r w:rsidRPr="00B40A77">
        <w:rPr>
          <w:color w:val="000000" w:themeColor="text1"/>
          <w:lang w:val="en-US"/>
        </w:rPr>
        <w:t>;</w:t>
      </w:r>
      <w:r w:rsidR="00213F0B" w:rsidRPr="00B40A77">
        <w:rPr>
          <w:color w:val="000000" w:themeColor="text1"/>
          <w:lang w:val="en-US"/>
        </w:rPr>
        <w:t xml:space="preserve"> or</w:t>
      </w:r>
    </w:p>
    <w:p w14:paraId="09618D19" w14:textId="3E9E8336" w:rsidR="00C643AA" w:rsidRPr="00B40A77" w:rsidRDefault="00C643AA" w:rsidP="00372C09">
      <w:pPr>
        <w:pStyle w:val="Hangindent"/>
        <w:rPr>
          <w:color w:val="000000" w:themeColor="text1"/>
          <w:lang w:val="en-US"/>
        </w:rPr>
      </w:pPr>
      <w:r w:rsidRPr="00B40A77">
        <w:rPr>
          <w:color w:val="000000" w:themeColor="text1"/>
          <w:lang w:val="en-US"/>
        </w:rPr>
        <w:t>(</w:t>
      </w:r>
      <w:r w:rsidR="00C25AB8" w:rsidRPr="00B40A77">
        <w:rPr>
          <w:color w:val="000000" w:themeColor="text1"/>
          <w:lang w:val="en-US"/>
        </w:rPr>
        <w:t>d</w:t>
      </w:r>
      <w:r w:rsidRPr="00B40A77">
        <w:rPr>
          <w:color w:val="000000" w:themeColor="text1"/>
          <w:lang w:val="en-US"/>
        </w:rPr>
        <w:t>)</w:t>
      </w:r>
      <w:r w:rsidRPr="00B40A77">
        <w:rPr>
          <w:color w:val="000000" w:themeColor="text1"/>
          <w:lang w:val="en-US"/>
        </w:rPr>
        <w:tab/>
        <w:t xml:space="preserve">in a </w:t>
      </w:r>
      <w:r w:rsidRPr="00B40A77">
        <w:rPr>
          <w:color w:val="000000" w:themeColor="text1"/>
          <w:u w:val="single"/>
          <w:lang w:val="en-US"/>
        </w:rPr>
        <w:t>retrial application</w:t>
      </w:r>
      <w:r w:rsidRPr="00B40A77">
        <w:rPr>
          <w:color w:val="000000" w:themeColor="text1"/>
        </w:rPr>
        <w:t>—the Director;</w:t>
      </w:r>
    </w:p>
    <w:p w14:paraId="2CCBEF1A" w14:textId="77777777" w:rsidR="00372C09" w:rsidRPr="00B40A77" w:rsidRDefault="00372C09" w:rsidP="00372C09">
      <w:pPr>
        <w:pStyle w:val="Hangindent"/>
        <w:rPr>
          <w:color w:val="000000" w:themeColor="text1"/>
          <w:lang w:val="en-US"/>
        </w:rPr>
      </w:pPr>
      <w:bookmarkStart w:id="1022" w:name="_Hlk31810326"/>
      <w:r w:rsidRPr="00B40A77">
        <w:rPr>
          <w:b/>
          <w:i/>
          <w:color w:val="000000" w:themeColor="text1"/>
          <w:lang w:val="en-US"/>
        </w:rPr>
        <w:t>appellate document</w:t>
      </w:r>
      <w:r w:rsidRPr="00B40A77">
        <w:rPr>
          <w:color w:val="000000" w:themeColor="text1"/>
          <w:lang w:val="en-US"/>
        </w:rPr>
        <w:t xml:space="preserve"> means</w:t>
      </w:r>
      <w:r w:rsidRPr="00B40A77">
        <w:rPr>
          <w:color w:val="000000" w:themeColor="text1"/>
        </w:rPr>
        <w:t>—</w:t>
      </w:r>
    </w:p>
    <w:p w14:paraId="26A07F67" w14:textId="77777777" w:rsidR="00372C09" w:rsidRPr="00B40A77" w:rsidRDefault="00372C09" w:rsidP="00372C09">
      <w:pPr>
        <w:pStyle w:val="Hangindent"/>
        <w:rPr>
          <w:color w:val="000000" w:themeColor="text1"/>
          <w:lang w:val="en-US"/>
        </w:rPr>
      </w:pPr>
      <w:r w:rsidRPr="00B40A77">
        <w:rPr>
          <w:color w:val="000000" w:themeColor="text1"/>
          <w:lang w:val="en-US"/>
        </w:rPr>
        <w:t>(a)</w:t>
      </w:r>
      <w:r w:rsidRPr="00B40A77">
        <w:rPr>
          <w:color w:val="000000" w:themeColor="text1"/>
          <w:lang w:val="en-US"/>
        </w:rPr>
        <w:tab/>
        <w:t>a notice of appeal or review;</w:t>
      </w:r>
    </w:p>
    <w:p w14:paraId="76446CC7" w14:textId="49E85299" w:rsidR="00372C09" w:rsidRPr="00B40A77" w:rsidRDefault="00372C09" w:rsidP="00372C09">
      <w:pPr>
        <w:pStyle w:val="Hangindent"/>
        <w:rPr>
          <w:color w:val="000000" w:themeColor="text1"/>
          <w:lang w:val="en-US"/>
        </w:rPr>
      </w:pPr>
      <w:r w:rsidRPr="00B40A77">
        <w:rPr>
          <w:color w:val="000000" w:themeColor="text1"/>
          <w:lang w:val="en-US"/>
        </w:rPr>
        <w:t>(b)</w:t>
      </w:r>
      <w:r w:rsidRPr="00B40A77">
        <w:rPr>
          <w:color w:val="000000" w:themeColor="text1"/>
          <w:lang w:val="en-US"/>
        </w:rPr>
        <w:tab/>
        <w:t>an application for leave to appeal</w:t>
      </w:r>
      <w:r w:rsidR="000E7400" w:rsidRPr="00B40A77">
        <w:rPr>
          <w:color w:val="000000" w:themeColor="text1"/>
          <w:lang w:val="en-US"/>
        </w:rPr>
        <w:t xml:space="preserve"> or </w:t>
      </w:r>
      <w:r w:rsidR="000E7400" w:rsidRPr="00B40A77">
        <w:rPr>
          <w:color w:val="000000" w:themeColor="text1"/>
          <w:u w:val="single"/>
          <w:lang w:val="en-US"/>
        </w:rPr>
        <w:t>cross appeal</w:t>
      </w:r>
      <w:r w:rsidRPr="00B40A77">
        <w:rPr>
          <w:color w:val="000000" w:themeColor="text1"/>
          <w:lang w:val="en-US"/>
        </w:rPr>
        <w:t>;</w:t>
      </w:r>
    </w:p>
    <w:p w14:paraId="6CC9CF22" w14:textId="2EB96982" w:rsidR="00A32333" w:rsidRPr="00B40A77" w:rsidRDefault="00A32333" w:rsidP="00372C09">
      <w:pPr>
        <w:pStyle w:val="Hangindent"/>
        <w:rPr>
          <w:color w:val="000000" w:themeColor="text1"/>
          <w:lang w:val="en-US"/>
        </w:rPr>
      </w:pPr>
      <w:r w:rsidRPr="00B40A77">
        <w:rPr>
          <w:color w:val="000000" w:themeColor="text1"/>
          <w:lang w:val="en-US"/>
        </w:rPr>
        <w:t>(c)</w:t>
      </w:r>
      <w:r w:rsidRPr="00B40A77">
        <w:rPr>
          <w:color w:val="000000" w:themeColor="text1"/>
          <w:lang w:val="en-US"/>
        </w:rPr>
        <w:tab/>
        <w:t xml:space="preserve">a notice of </w:t>
      </w:r>
      <w:r w:rsidRPr="00B40A77">
        <w:rPr>
          <w:color w:val="000000" w:themeColor="text1"/>
          <w:u w:val="single"/>
          <w:lang w:val="en-US"/>
        </w:rPr>
        <w:t>cross appeal</w:t>
      </w:r>
      <w:r w:rsidRPr="00B40A77">
        <w:rPr>
          <w:color w:val="000000" w:themeColor="text1"/>
          <w:lang w:val="en-US"/>
        </w:rPr>
        <w:t>;</w:t>
      </w:r>
    </w:p>
    <w:p w14:paraId="48A52C01" w14:textId="3F49B1F7" w:rsidR="00372C09" w:rsidRPr="00B40A77" w:rsidRDefault="00A32333" w:rsidP="00372C09">
      <w:pPr>
        <w:pStyle w:val="Hangindent"/>
        <w:rPr>
          <w:color w:val="000000" w:themeColor="text1"/>
          <w:lang w:val="en-US"/>
        </w:rPr>
      </w:pPr>
      <w:r w:rsidRPr="00B40A77">
        <w:rPr>
          <w:color w:val="000000" w:themeColor="text1"/>
          <w:lang w:val="en-US"/>
        </w:rPr>
        <w:t>(d</w:t>
      </w:r>
      <w:r w:rsidR="00372C09" w:rsidRPr="00B40A77">
        <w:rPr>
          <w:color w:val="000000" w:themeColor="text1"/>
          <w:lang w:val="en-US"/>
        </w:rPr>
        <w:t>)</w:t>
      </w:r>
      <w:r w:rsidR="00372C09" w:rsidRPr="00B40A77">
        <w:rPr>
          <w:color w:val="000000" w:themeColor="text1"/>
          <w:lang w:val="en-US"/>
        </w:rPr>
        <w:tab/>
        <w:t>a noti</w:t>
      </w:r>
      <w:r w:rsidR="00C643AA" w:rsidRPr="00B40A77">
        <w:rPr>
          <w:color w:val="000000" w:themeColor="text1"/>
          <w:lang w:val="en-US"/>
        </w:rPr>
        <w:t>ce of alternative contention;</w:t>
      </w:r>
    </w:p>
    <w:p w14:paraId="0395FA2F" w14:textId="75198C49" w:rsidR="00372C09" w:rsidRPr="00B40A77" w:rsidRDefault="00AB28CD" w:rsidP="00372C09">
      <w:pPr>
        <w:pStyle w:val="Hangindent"/>
        <w:rPr>
          <w:color w:val="000000" w:themeColor="text1"/>
          <w:lang w:val="en-US"/>
        </w:rPr>
      </w:pPr>
      <w:r w:rsidRPr="00B40A77">
        <w:rPr>
          <w:color w:val="000000" w:themeColor="text1"/>
          <w:lang w:val="en-US"/>
        </w:rPr>
        <w:t>(e</w:t>
      </w:r>
      <w:r w:rsidR="00372C09" w:rsidRPr="00B40A77">
        <w:rPr>
          <w:color w:val="000000" w:themeColor="text1"/>
          <w:lang w:val="en-US"/>
        </w:rPr>
        <w:t>)</w:t>
      </w:r>
      <w:r w:rsidR="00372C09" w:rsidRPr="00B40A77">
        <w:rPr>
          <w:color w:val="000000" w:themeColor="text1"/>
          <w:lang w:val="en-US"/>
        </w:rPr>
        <w:tab/>
        <w:t>a notice of case stated;</w:t>
      </w:r>
      <w:r w:rsidRPr="00B40A77">
        <w:rPr>
          <w:color w:val="000000" w:themeColor="text1"/>
          <w:lang w:val="en-US"/>
        </w:rPr>
        <w:t xml:space="preserve"> </w:t>
      </w:r>
    </w:p>
    <w:p w14:paraId="1D798BB4" w14:textId="0A51CAC4" w:rsidR="00AB28CD" w:rsidRPr="00B40A77" w:rsidRDefault="00AB28CD" w:rsidP="00372C09">
      <w:pPr>
        <w:pStyle w:val="Hangindent"/>
        <w:rPr>
          <w:color w:val="000000" w:themeColor="text1"/>
          <w:lang w:val="en-US"/>
        </w:rPr>
      </w:pPr>
      <w:r w:rsidRPr="00B40A77">
        <w:rPr>
          <w:color w:val="000000" w:themeColor="text1"/>
          <w:lang w:val="en-US"/>
        </w:rPr>
        <w:t>(f)</w:t>
      </w:r>
      <w:r w:rsidRPr="00B40A77">
        <w:rPr>
          <w:color w:val="000000" w:themeColor="text1"/>
          <w:lang w:val="en-US"/>
        </w:rPr>
        <w:tab/>
        <w:t>a notice of referral of petition of mercy; or</w:t>
      </w:r>
    </w:p>
    <w:p w14:paraId="0A5AAD77" w14:textId="094A1DE5" w:rsidR="00AB28CD" w:rsidRPr="00B40A77" w:rsidRDefault="00AB28CD" w:rsidP="00AB28CD">
      <w:pPr>
        <w:pStyle w:val="Hangindent"/>
        <w:rPr>
          <w:color w:val="000000" w:themeColor="text1"/>
          <w:lang w:val="en-US"/>
        </w:rPr>
      </w:pPr>
      <w:r w:rsidRPr="00B40A77">
        <w:rPr>
          <w:color w:val="000000" w:themeColor="text1"/>
          <w:lang w:val="en-US"/>
        </w:rPr>
        <w:t>(g)</w:t>
      </w:r>
      <w:r w:rsidRPr="00B40A77">
        <w:rPr>
          <w:color w:val="000000" w:themeColor="text1"/>
          <w:lang w:val="en-US"/>
        </w:rPr>
        <w:tab/>
        <w:t>a notice of application for retrial;</w:t>
      </w:r>
    </w:p>
    <w:bookmarkEnd w:id="1022"/>
    <w:p w14:paraId="186278AE" w14:textId="170D9E99" w:rsidR="00481624" w:rsidRPr="00B40A77" w:rsidRDefault="00481624" w:rsidP="00481624">
      <w:pPr>
        <w:ind w:left="567"/>
        <w:jc w:val="both"/>
        <w:rPr>
          <w:rFonts w:eastAsia="Calibri"/>
          <w:color w:val="000000" w:themeColor="text1"/>
          <w:szCs w:val="24"/>
          <w:lang w:val="en-US"/>
        </w:rPr>
      </w:pPr>
      <w:r w:rsidRPr="00B40A77">
        <w:rPr>
          <w:rFonts w:eastAsia="Calibri"/>
          <w:b/>
          <w:i/>
          <w:color w:val="000000" w:themeColor="text1"/>
          <w:szCs w:val="24"/>
          <w:lang w:val="en-US"/>
        </w:rPr>
        <w:t>appellate hearing</w:t>
      </w:r>
      <w:r w:rsidRPr="00B40A77">
        <w:rPr>
          <w:rFonts w:eastAsia="Calibri"/>
          <w:color w:val="000000" w:themeColor="text1"/>
          <w:szCs w:val="24"/>
          <w:lang w:val="en-US"/>
        </w:rPr>
        <w:t xml:space="preserve"> means</w:t>
      </w:r>
      <w:r w:rsidR="00A33ABB" w:rsidRPr="00B40A77">
        <w:rPr>
          <w:rFonts w:eastAsia="Calibri"/>
          <w:color w:val="000000" w:themeColor="text1"/>
          <w:szCs w:val="24"/>
          <w:lang w:val="en-US"/>
        </w:rPr>
        <w:t xml:space="preserve"> an interlocutory or final hearing of an appellate proceeding</w:t>
      </w:r>
      <w:r w:rsidRPr="00B40A77">
        <w:rPr>
          <w:rFonts w:eastAsia="Calibri"/>
          <w:color w:val="000000" w:themeColor="text1"/>
          <w:szCs w:val="24"/>
          <w:lang w:val="en-US"/>
        </w:rPr>
        <w:t>;</w:t>
      </w:r>
    </w:p>
    <w:p w14:paraId="2BAB8C0E" w14:textId="77777777" w:rsidR="00372C09" w:rsidRPr="00B40A77" w:rsidRDefault="00372C09" w:rsidP="00372C09">
      <w:pPr>
        <w:pStyle w:val="Hangindent"/>
        <w:rPr>
          <w:color w:val="000000" w:themeColor="text1"/>
          <w:lang w:val="en-US"/>
        </w:rPr>
      </w:pPr>
      <w:r w:rsidRPr="00B40A77">
        <w:rPr>
          <w:b/>
          <w:i/>
          <w:color w:val="000000" w:themeColor="text1"/>
          <w:lang w:val="en-US"/>
        </w:rPr>
        <w:t xml:space="preserve">appellate proceeding </w:t>
      </w:r>
      <w:r w:rsidRPr="00B40A77">
        <w:rPr>
          <w:color w:val="000000" w:themeColor="text1"/>
          <w:lang w:val="en-US"/>
        </w:rPr>
        <w:t>means</w:t>
      </w:r>
      <w:r w:rsidRPr="00B40A77">
        <w:rPr>
          <w:color w:val="000000" w:themeColor="text1"/>
        </w:rPr>
        <w:t>—</w:t>
      </w:r>
    </w:p>
    <w:p w14:paraId="6F28CAA7" w14:textId="4937B80E" w:rsidR="00372C09" w:rsidRPr="00B40A77" w:rsidRDefault="00FB54F5" w:rsidP="00372C09">
      <w:pPr>
        <w:pStyle w:val="Hangindent"/>
        <w:rPr>
          <w:color w:val="000000" w:themeColor="text1"/>
          <w:lang w:val="en-US"/>
        </w:rPr>
      </w:pPr>
      <w:r w:rsidRPr="00B40A77">
        <w:rPr>
          <w:color w:val="000000" w:themeColor="text1"/>
          <w:lang w:val="en-US"/>
        </w:rPr>
        <w:t>(a)</w:t>
      </w:r>
      <w:r w:rsidRPr="00B40A77">
        <w:rPr>
          <w:color w:val="000000" w:themeColor="text1"/>
          <w:lang w:val="en-US"/>
        </w:rPr>
        <w:tab/>
        <w:t xml:space="preserve">an </w:t>
      </w:r>
      <w:r w:rsidRPr="00B40A77">
        <w:rPr>
          <w:color w:val="000000" w:themeColor="text1"/>
          <w:u w:val="single"/>
          <w:lang w:val="en-US"/>
        </w:rPr>
        <w:t>appeal</w:t>
      </w:r>
      <w:r w:rsidR="00710792" w:rsidRPr="00B40A77">
        <w:rPr>
          <w:color w:val="000000" w:themeColor="text1"/>
          <w:lang w:val="en-US"/>
        </w:rPr>
        <w:t>;</w:t>
      </w:r>
    </w:p>
    <w:p w14:paraId="037B6CAC" w14:textId="799CC288" w:rsidR="000E7400" w:rsidRPr="00B40A77" w:rsidRDefault="00372C09" w:rsidP="00372C09">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a </w:t>
      </w:r>
      <w:r w:rsidRPr="00B40A77">
        <w:rPr>
          <w:color w:val="000000" w:themeColor="text1"/>
          <w:u w:val="single"/>
          <w:lang w:val="en-US"/>
        </w:rPr>
        <w:t>case stated</w:t>
      </w:r>
      <w:r w:rsidRPr="00B40A77">
        <w:rPr>
          <w:color w:val="000000" w:themeColor="text1"/>
          <w:lang w:val="en-US"/>
        </w:rPr>
        <w:t>;</w:t>
      </w:r>
    </w:p>
    <w:p w14:paraId="0AF35325" w14:textId="2E31CACE" w:rsidR="00372C09" w:rsidRPr="00B40A77" w:rsidRDefault="000E7400" w:rsidP="00372C09">
      <w:pPr>
        <w:pStyle w:val="Hangindent"/>
        <w:rPr>
          <w:color w:val="000000" w:themeColor="text1"/>
          <w:lang w:val="en-US"/>
        </w:rPr>
      </w:pPr>
      <w:r w:rsidRPr="00B40A77">
        <w:rPr>
          <w:color w:val="000000" w:themeColor="text1"/>
          <w:lang w:val="en-US"/>
        </w:rPr>
        <w:lastRenderedPageBreak/>
        <w:t>(c)</w:t>
      </w:r>
      <w:r w:rsidRPr="00B40A77">
        <w:rPr>
          <w:color w:val="000000" w:themeColor="text1"/>
          <w:lang w:val="en-US"/>
        </w:rPr>
        <w:tab/>
        <w:t xml:space="preserve">a </w:t>
      </w:r>
      <w:r w:rsidRPr="00B40A77">
        <w:rPr>
          <w:color w:val="000000" w:themeColor="text1"/>
          <w:u w:val="single"/>
          <w:lang w:val="en-US"/>
        </w:rPr>
        <w:t>petition referral;</w:t>
      </w:r>
      <w:r w:rsidRPr="00B40A77">
        <w:rPr>
          <w:color w:val="000000" w:themeColor="text1"/>
          <w:lang w:val="en-US"/>
        </w:rPr>
        <w:t xml:space="preserve"> </w:t>
      </w:r>
      <w:r w:rsidR="00C643AA" w:rsidRPr="00B40A77">
        <w:rPr>
          <w:color w:val="000000" w:themeColor="text1"/>
          <w:lang w:val="en-US"/>
        </w:rPr>
        <w:t>or</w:t>
      </w:r>
    </w:p>
    <w:p w14:paraId="50568D06" w14:textId="32E0240C" w:rsidR="00C643AA" w:rsidRPr="00B40A77" w:rsidRDefault="00C643AA" w:rsidP="00372C09">
      <w:pPr>
        <w:pStyle w:val="Hangindent"/>
        <w:rPr>
          <w:color w:val="000000" w:themeColor="text1"/>
          <w:lang w:val="en-US"/>
        </w:rPr>
      </w:pPr>
      <w:r w:rsidRPr="00B40A77">
        <w:rPr>
          <w:color w:val="000000" w:themeColor="text1"/>
          <w:lang w:val="en-US"/>
        </w:rPr>
        <w:t>(</w:t>
      </w:r>
      <w:r w:rsidR="000E7400" w:rsidRPr="00B40A77">
        <w:rPr>
          <w:color w:val="000000" w:themeColor="text1"/>
          <w:lang w:val="en-US"/>
        </w:rPr>
        <w:t>d</w:t>
      </w:r>
      <w:r w:rsidRPr="00B40A77">
        <w:rPr>
          <w:color w:val="000000" w:themeColor="text1"/>
          <w:lang w:val="en-US"/>
        </w:rPr>
        <w:t>)</w:t>
      </w:r>
      <w:r w:rsidRPr="00B40A77">
        <w:rPr>
          <w:color w:val="000000" w:themeColor="text1"/>
          <w:lang w:val="en-US"/>
        </w:rPr>
        <w:tab/>
        <w:t xml:space="preserve">a </w:t>
      </w:r>
      <w:r w:rsidRPr="00B40A77">
        <w:rPr>
          <w:color w:val="000000" w:themeColor="text1"/>
          <w:u w:val="single"/>
          <w:lang w:val="en-US"/>
        </w:rPr>
        <w:t>retrial application</w:t>
      </w:r>
      <w:r w:rsidRPr="00B40A77">
        <w:rPr>
          <w:color w:val="000000" w:themeColor="text1"/>
          <w:lang w:val="en-US"/>
        </w:rPr>
        <w:t>;</w:t>
      </w:r>
    </w:p>
    <w:p w14:paraId="17459023" w14:textId="7DBAA77C" w:rsidR="001C78E3" w:rsidRPr="00B40A77" w:rsidRDefault="001C78E3" w:rsidP="001C78E3">
      <w:pPr>
        <w:pStyle w:val="Hangindent"/>
        <w:ind w:left="567" w:firstLine="0"/>
        <w:rPr>
          <w:color w:val="000000" w:themeColor="text1"/>
          <w:lang w:val="en-US"/>
        </w:rPr>
      </w:pPr>
      <w:r w:rsidRPr="00B40A77">
        <w:rPr>
          <w:b/>
          <w:i/>
          <w:color w:val="000000" w:themeColor="text1"/>
          <w:lang w:val="en-US"/>
        </w:rPr>
        <w:t xml:space="preserve">bail review </w:t>
      </w:r>
      <w:r w:rsidRPr="00B40A77">
        <w:rPr>
          <w:color w:val="000000" w:themeColor="text1"/>
          <w:lang w:val="en-US"/>
        </w:rPr>
        <w:t xml:space="preserve">means a </w:t>
      </w:r>
      <w:r w:rsidRPr="00B40A77">
        <w:rPr>
          <w:color w:val="000000" w:themeColor="text1"/>
        </w:rPr>
        <w:t xml:space="preserve">review of a bail decision </w:t>
      </w:r>
      <w:r w:rsidR="00380139" w:rsidRPr="00B40A77">
        <w:rPr>
          <w:color w:val="000000" w:themeColor="text1"/>
        </w:rPr>
        <w:t xml:space="preserve">by the Supreme Court </w:t>
      </w:r>
      <w:r w:rsidRPr="00B40A77">
        <w:rPr>
          <w:color w:val="000000" w:themeColor="text1"/>
        </w:rPr>
        <w:t>under Part</w:t>
      </w:r>
      <w:r w:rsidR="00A40EF4" w:rsidRPr="00B40A77">
        <w:rPr>
          <w:color w:val="000000" w:themeColor="text1"/>
        </w:rPr>
        <w:t> </w:t>
      </w:r>
      <w:r w:rsidRPr="00B40A77">
        <w:rPr>
          <w:color w:val="000000" w:themeColor="text1"/>
        </w:rPr>
        <w:t xml:space="preserve">4 of the </w:t>
      </w:r>
      <w:r w:rsidR="00D62524" w:rsidRPr="00B40A77">
        <w:rPr>
          <w:color w:val="000000" w:themeColor="text1"/>
        </w:rPr>
        <w:t xml:space="preserve">Bail Act </w:t>
      </w:r>
      <w:r w:rsidRPr="00B40A77">
        <w:rPr>
          <w:color w:val="000000" w:themeColor="text1"/>
        </w:rPr>
        <w:t>or under Part</w:t>
      </w:r>
      <w:r w:rsidR="00A40EF4" w:rsidRPr="00B40A77">
        <w:rPr>
          <w:color w:val="000000" w:themeColor="text1"/>
        </w:rPr>
        <w:t> </w:t>
      </w:r>
      <w:r w:rsidRPr="00B40A77">
        <w:rPr>
          <w:color w:val="000000" w:themeColor="text1"/>
        </w:rPr>
        <w:t>5 of the Service and Execution of Process Act</w:t>
      </w:r>
      <w:r w:rsidRPr="00B40A77">
        <w:rPr>
          <w:color w:val="000000" w:themeColor="text1"/>
          <w:lang w:val="en-US"/>
        </w:rPr>
        <w:t>;</w:t>
      </w:r>
    </w:p>
    <w:p w14:paraId="33C96A44" w14:textId="74F6F7ED" w:rsidR="00372C09" w:rsidRPr="00B40A77" w:rsidRDefault="00372C09" w:rsidP="00372C09">
      <w:pPr>
        <w:pStyle w:val="Hangindent"/>
        <w:ind w:left="567" w:firstLine="0"/>
        <w:rPr>
          <w:color w:val="000000" w:themeColor="text1"/>
          <w:lang w:val="en-US"/>
        </w:rPr>
      </w:pPr>
      <w:r w:rsidRPr="00B40A77">
        <w:rPr>
          <w:b/>
          <w:i/>
          <w:color w:val="000000" w:themeColor="text1"/>
          <w:lang w:val="en-US"/>
        </w:rPr>
        <w:t xml:space="preserve">case stated </w:t>
      </w:r>
      <w:r w:rsidRPr="00B40A77">
        <w:rPr>
          <w:color w:val="000000" w:themeColor="text1"/>
          <w:lang w:val="en-US"/>
        </w:rPr>
        <w:t xml:space="preserve">means a case stated or question reserved for the consideration of </w:t>
      </w:r>
      <w:r w:rsidR="00901D56" w:rsidRPr="00B40A77">
        <w:rPr>
          <w:color w:val="000000" w:themeColor="text1"/>
          <w:lang w:val="en-US"/>
        </w:rPr>
        <w:t xml:space="preserve">a single Judge or </w:t>
      </w:r>
      <w:r w:rsidRPr="00B40A77">
        <w:rPr>
          <w:color w:val="000000" w:themeColor="text1"/>
          <w:lang w:val="en-US"/>
        </w:rPr>
        <w:t xml:space="preserve">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0E4C23C3" w14:textId="25189B85" w:rsidR="00700FCC" w:rsidRPr="00B40A77" w:rsidRDefault="0017791C" w:rsidP="00481624">
      <w:pPr>
        <w:ind w:left="567"/>
        <w:jc w:val="both"/>
        <w:rPr>
          <w:color w:val="000000" w:themeColor="text1"/>
          <w:lang w:val="en-US"/>
        </w:rPr>
      </w:pPr>
      <w:r w:rsidRPr="00B40A77">
        <w:rPr>
          <w:b/>
          <w:i/>
          <w:color w:val="000000" w:themeColor="text1"/>
          <w:lang w:val="en-US"/>
        </w:rPr>
        <w:t xml:space="preserve">conviction appeal </w:t>
      </w:r>
      <w:r w:rsidRPr="00B40A77">
        <w:rPr>
          <w:color w:val="000000" w:themeColor="text1"/>
          <w:lang w:val="en-US"/>
        </w:rPr>
        <w:t>means a</w:t>
      </w:r>
      <w:r w:rsidR="00DC3A1E" w:rsidRPr="00B40A77">
        <w:rPr>
          <w:color w:val="000000" w:themeColor="text1"/>
          <w:lang w:val="en-US"/>
        </w:rPr>
        <w:t>n appeal against or involving</w:t>
      </w:r>
      <w:r w:rsidR="00700FCC" w:rsidRPr="00B40A77">
        <w:rPr>
          <w:color w:val="000000" w:themeColor="text1"/>
        </w:rPr>
        <w:t>—</w:t>
      </w:r>
    </w:p>
    <w:p w14:paraId="19B91D93" w14:textId="5F6A9E6C" w:rsidR="00700FCC" w:rsidRPr="00B40A77" w:rsidRDefault="00700FCC" w:rsidP="00700FCC">
      <w:pPr>
        <w:pStyle w:val="Hangindent"/>
        <w:rPr>
          <w:color w:val="000000" w:themeColor="text1"/>
        </w:rPr>
      </w:pPr>
      <w:r w:rsidRPr="00B40A77">
        <w:rPr>
          <w:color w:val="000000" w:themeColor="text1"/>
          <w:lang w:val="en-US"/>
        </w:rPr>
        <w:t>(a)</w:t>
      </w:r>
      <w:r w:rsidRPr="00B40A77">
        <w:rPr>
          <w:color w:val="000000" w:themeColor="text1"/>
          <w:lang w:val="en-US"/>
        </w:rPr>
        <w:tab/>
      </w:r>
      <w:r w:rsidR="00DC3A1E" w:rsidRPr="00B40A77">
        <w:rPr>
          <w:color w:val="000000" w:themeColor="text1"/>
          <w:lang w:val="en-US"/>
        </w:rPr>
        <w:t>a</w:t>
      </w:r>
      <w:r w:rsidR="0017791C" w:rsidRPr="00B40A77">
        <w:rPr>
          <w:color w:val="000000" w:themeColor="text1"/>
          <w:lang w:val="en-US"/>
        </w:rPr>
        <w:t xml:space="preserve"> verdict of </w:t>
      </w:r>
      <w:r w:rsidRPr="00B40A77">
        <w:rPr>
          <w:color w:val="000000" w:themeColor="text1"/>
        </w:rPr>
        <w:t>guilty or conviction;</w:t>
      </w:r>
    </w:p>
    <w:p w14:paraId="57DA50DB" w14:textId="77777777" w:rsidR="00700FCC" w:rsidRPr="00B40A77" w:rsidRDefault="00700FCC" w:rsidP="00700FCC">
      <w:pPr>
        <w:pStyle w:val="Hangindent"/>
        <w:rPr>
          <w:color w:val="000000" w:themeColor="text1"/>
        </w:rPr>
      </w:pPr>
      <w:r w:rsidRPr="00B40A77">
        <w:rPr>
          <w:color w:val="000000" w:themeColor="text1"/>
        </w:rPr>
        <w:t>(b)</w:t>
      </w:r>
      <w:r w:rsidRPr="00B40A77">
        <w:rPr>
          <w:color w:val="000000" w:themeColor="text1"/>
        </w:rPr>
        <w:tab/>
        <w:t xml:space="preserve">a verdict of </w:t>
      </w:r>
      <w:r w:rsidR="0017791C" w:rsidRPr="00B40A77">
        <w:rPr>
          <w:color w:val="000000" w:themeColor="text1"/>
        </w:rPr>
        <w:t>not guilty</w:t>
      </w:r>
      <w:r w:rsidRPr="00B40A77">
        <w:rPr>
          <w:color w:val="000000" w:themeColor="text1"/>
        </w:rPr>
        <w:t xml:space="preserve"> or acquittal;</w:t>
      </w:r>
    </w:p>
    <w:p w14:paraId="300AAA54" w14:textId="419236D5" w:rsidR="004F7532" w:rsidRPr="00B40A77" w:rsidRDefault="00700FCC" w:rsidP="00700FCC">
      <w:pPr>
        <w:pStyle w:val="Hangindent"/>
        <w:rPr>
          <w:color w:val="000000" w:themeColor="text1"/>
        </w:rPr>
      </w:pPr>
      <w:r w:rsidRPr="00B40A77">
        <w:rPr>
          <w:color w:val="000000" w:themeColor="text1"/>
        </w:rPr>
        <w:t>(c)</w:t>
      </w:r>
      <w:r w:rsidRPr="00B40A77">
        <w:rPr>
          <w:color w:val="000000" w:themeColor="text1"/>
        </w:rPr>
        <w:tab/>
        <w:t xml:space="preserve">a verdict of </w:t>
      </w:r>
      <w:r w:rsidR="0017791C" w:rsidRPr="00B40A77">
        <w:rPr>
          <w:color w:val="000000" w:themeColor="text1"/>
        </w:rPr>
        <w:t xml:space="preserve">fitness or unfitness to stand </w:t>
      </w:r>
      <w:hyperlink w:anchor="_2.1—Definitions" w:history="1">
        <w:r w:rsidR="002A0B8E" w:rsidRPr="00B40A77">
          <w:rPr>
            <w:rStyle w:val="Hyperlink"/>
            <w:color w:val="000000" w:themeColor="text1"/>
            <w:lang w:val="en-US"/>
          </w:rPr>
          <w:t>trial</w:t>
        </w:r>
      </w:hyperlink>
      <w:r w:rsidR="004F7532" w:rsidRPr="00B40A77">
        <w:rPr>
          <w:color w:val="000000" w:themeColor="text1"/>
        </w:rPr>
        <w:t>;</w:t>
      </w:r>
    </w:p>
    <w:p w14:paraId="24270DFA" w14:textId="214E6D69" w:rsidR="004F7532" w:rsidRPr="00B40A77" w:rsidRDefault="004F7532" w:rsidP="00700FCC">
      <w:pPr>
        <w:pStyle w:val="Hangindent"/>
        <w:rPr>
          <w:color w:val="000000" w:themeColor="text1"/>
        </w:rPr>
      </w:pPr>
      <w:r w:rsidRPr="00B40A77">
        <w:rPr>
          <w:color w:val="000000" w:themeColor="text1"/>
        </w:rPr>
        <w:t>(d)</w:t>
      </w:r>
      <w:r w:rsidRPr="00B40A77">
        <w:rPr>
          <w:color w:val="000000" w:themeColor="text1"/>
        </w:rPr>
        <w:tab/>
        <w:t>a verdict of</w:t>
      </w:r>
      <w:r w:rsidR="0017791C" w:rsidRPr="00B40A77">
        <w:rPr>
          <w:color w:val="000000" w:themeColor="text1"/>
        </w:rPr>
        <w:t xml:space="preserve"> </w:t>
      </w:r>
      <w:r w:rsidR="0017791C" w:rsidRPr="00B40A77">
        <w:rPr>
          <w:color w:val="000000" w:themeColor="text1"/>
          <w:u w:val="single"/>
        </w:rPr>
        <w:t>mental competence</w:t>
      </w:r>
      <w:r w:rsidR="0017791C" w:rsidRPr="00B40A77">
        <w:rPr>
          <w:color w:val="000000" w:themeColor="text1"/>
        </w:rPr>
        <w:t xml:space="preserve"> or </w:t>
      </w:r>
      <w:hyperlink w:anchor="_2.1—Definitions" w:history="1">
        <w:r w:rsidR="00005C70" w:rsidRPr="00B40A77">
          <w:rPr>
            <w:rStyle w:val="Hyperlink"/>
            <w:color w:val="000000" w:themeColor="text1"/>
            <w:lang w:val="en-US"/>
          </w:rPr>
          <w:t xml:space="preserve">mental </w:t>
        </w:r>
        <w:r w:rsidR="00005C70" w:rsidRPr="00B40A77">
          <w:rPr>
            <w:rStyle w:val="Hyperlink"/>
            <w:color w:val="000000" w:themeColor="text1"/>
          </w:rPr>
          <w:t>incompetence</w:t>
        </w:r>
      </w:hyperlink>
      <w:r w:rsidR="00005C70" w:rsidRPr="00B40A77">
        <w:rPr>
          <w:rStyle w:val="Hyperlink"/>
          <w:color w:val="000000" w:themeColor="text1"/>
          <w:u w:val="none"/>
        </w:rPr>
        <w:t xml:space="preserve"> </w:t>
      </w:r>
      <w:r w:rsidR="0017791C" w:rsidRPr="00B40A77">
        <w:rPr>
          <w:color w:val="000000" w:themeColor="text1"/>
        </w:rPr>
        <w:t>to commit an offence charged</w:t>
      </w:r>
      <w:r w:rsidRPr="00B40A77">
        <w:rPr>
          <w:color w:val="000000" w:themeColor="text1"/>
        </w:rPr>
        <w:t>;</w:t>
      </w:r>
    </w:p>
    <w:p w14:paraId="7B6B38B6" w14:textId="6E638700" w:rsidR="004F7532" w:rsidRPr="00B40A77" w:rsidRDefault="004F7532" w:rsidP="00700FCC">
      <w:pPr>
        <w:pStyle w:val="Hangindent"/>
        <w:rPr>
          <w:color w:val="000000" w:themeColor="text1"/>
        </w:rPr>
      </w:pPr>
      <w:r w:rsidRPr="00B40A77">
        <w:rPr>
          <w:color w:val="000000" w:themeColor="text1"/>
        </w:rPr>
        <w:t>(e)</w:t>
      </w:r>
      <w:r w:rsidRPr="00B40A77">
        <w:rPr>
          <w:color w:val="000000" w:themeColor="text1"/>
        </w:rPr>
        <w:tab/>
        <w:t xml:space="preserve">a verdict </w:t>
      </w:r>
      <w:r w:rsidR="0017791C" w:rsidRPr="00B40A77">
        <w:rPr>
          <w:color w:val="000000" w:themeColor="text1"/>
        </w:rPr>
        <w:t>that the objective elements of the offence charged are established or not established</w:t>
      </w:r>
      <w:r w:rsidRPr="00B40A77">
        <w:rPr>
          <w:color w:val="000000" w:themeColor="text1"/>
        </w:rPr>
        <w:t>;</w:t>
      </w:r>
      <w:r w:rsidR="0017791C" w:rsidRPr="00B40A77">
        <w:rPr>
          <w:color w:val="000000" w:themeColor="text1"/>
        </w:rPr>
        <w:t xml:space="preserve"> or</w:t>
      </w:r>
    </w:p>
    <w:p w14:paraId="2FCB7306" w14:textId="5C699A9D" w:rsidR="0017791C" w:rsidRPr="00B40A77" w:rsidRDefault="004F7532" w:rsidP="00700FCC">
      <w:pPr>
        <w:pStyle w:val="Hangindent"/>
        <w:rPr>
          <w:color w:val="000000" w:themeColor="text1"/>
          <w:lang w:val="en-US"/>
        </w:rPr>
      </w:pPr>
      <w:r w:rsidRPr="00B40A77">
        <w:rPr>
          <w:color w:val="000000" w:themeColor="text1"/>
        </w:rPr>
        <w:t>(</w:t>
      </w:r>
      <w:r w:rsidR="00345BC3" w:rsidRPr="00B40A77">
        <w:rPr>
          <w:color w:val="000000" w:themeColor="text1"/>
        </w:rPr>
        <w:t>f</w:t>
      </w:r>
      <w:r w:rsidRPr="00B40A77">
        <w:rPr>
          <w:color w:val="000000" w:themeColor="text1"/>
        </w:rPr>
        <w:t>)</w:t>
      </w:r>
      <w:r w:rsidRPr="00B40A77">
        <w:rPr>
          <w:color w:val="000000" w:themeColor="text1"/>
        </w:rPr>
        <w:tab/>
      </w:r>
      <w:r w:rsidR="0017791C" w:rsidRPr="00B40A77">
        <w:rPr>
          <w:color w:val="000000" w:themeColor="text1"/>
        </w:rPr>
        <w:t>the grant or refusal of an application for a permanent stay</w:t>
      </w:r>
      <w:r w:rsidR="00DC3A1E" w:rsidRPr="00B40A77">
        <w:rPr>
          <w:color w:val="000000" w:themeColor="text1"/>
        </w:rPr>
        <w:t>;</w:t>
      </w:r>
    </w:p>
    <w:p w14:paraId="4F80D0AE" w14:textId="0FD10CFA" w:rsidR="00481624" w:rsidRPr="00B40A77" w:rsidRDefault="00481624" w:rsidP="00481624">
      <w:pPr>
        <w:ind w:left="567"/>
        <w:jc w:val="both"/>
        <w:rPr>
          <w:rFonts w:eastAsia="Calibri"/>
          <w:color w:val="000000" w:themeColor="text1"/>
          <w:szCs w:val="24"/>
          <w:lang w:val="en-US"/>
        </w:rPr>
      </w:pPr>
      <w:r w:rsidRPr="00B40A77">
        <w:rPr>
          <w:rFonts w:eastAsia="Calibri"/>
          <w:b/>
          <w:i/>
          <w:color w:val="000000" w:themeColor="text1"/>
          <w:szCs w:val="24"/>
          <w:lang w:val="en-US"/>
        </w:rPr>
        <w:t xml:space="preserve">cross appeal </w:t>
      </w:r>
      <w:r w:rsidRPr="00B40A77">
        <w:rPr>
          <w:rFonts w:eastAsia="Calibri"/>
          <w:color w:val="000000" w:themeColor="text1"/>
          <w:szCs w:val="24"/>
          <w:lang w:val="en-US"/>
        </w:rPr>
        <w:t xml:space="preserve">means a cross appeal referred to in </w:t>
      </w:r>
      <w:hyperlink w:anchor="_186.2—Institution_of_cross" w:history="1">
        <w:r w:rsidR="0041069C" w:rsidRPr="00B40A77">
          <w:rPr>
            <w:rStyle w:val="Hyperlink"/>
            <w:rFonts w:eastAsia="Calibri"/>
            <w:color w:val="000000" w:themeColor="text1"/>
            <w:szCs w:val="24"/>
            <w:lang w:val="en-US"/>
          </w:rPr>
          <w:t>rule</w:t>
        </w:r>
        <w:r w:rsidR="00A40EF4" w:rsidRPr="00B40A77">
          <w:rPr>
            <w:rStyle w:val="Hyperlink"/>
            <w:rFonts w:eastAsia="Calibri"/>
            <w:color w:val="000000" w:themeColor="text1"/>
            <w:szCs w:val="24"/>
            <w:lang w:val="en-US"/>
          </w:rPr>
          <w:t> </w:t>
        </w:r>
        <w:r w:rsidR="0041069C" w:rsidRPr="00B40A77">
          <w:rPr>
            <w:rStyle w:val="Hyperlink"/>
            <w:rFonts w:eastAsia="Calibri"/>
            <w:color w:val="000000" w:themeColor="text1"/>
            <w:szCs w:val="24"/>
            <w:lang w:val="en-US"/>
          </w:rPr>
          <w:t>186.2</w:t>
        </w:r>
      </w:hyperlink>
      <w:r w:rsidR="0041069C" w:rsidRPr="00B40A77">
        <w:rPr>
          <w:rFonts w:eastAsia="Calibri"/>
          <w:color w:val="000000" w:themeColor="text1"/>
          <w:szCs w:val="24"/>
          <w:lang w:val="en-US"/>
        </w:rPr>
        <w:t xml:space="preserve"> or </w:t>
      </w:r>
      <w:hyperlink w:anchor="_194.2—Institution_of_cross" w:history="1">
        <w:r w:rsidR="0041069C" w:rsidRPr="00B40A77">
          <w:rPr>
            <w:rStyle w:val="Hyperlink"/>
            <w:rFonts w:eastAsia="Calibri"/>
            <w:color w:val="000000" w:themeColor="text1"/>
            <w:szCs w:val="24"/>
            <w:lang w:val="en-US"/>
          </w:rPr>
          <w:t>rule</w:t>
        </w:r>
        <w:r w:rsidR="00A40EF4" w:rsidRPr="00B40A77">
          <w:rPr>
            <w:rStyle w:val="Hyperlink"/>
            <w:rFonts w:eastAsia="Calibri"/>
            <w:color w:val="000000" w:themeColor="text1"/>
            <w:szCs w:val="24"/>
            <w:lang w:val="en-US"/>
          </w:rPr>
          <w:t> </w:t>
        </w:r>
        <w:r w:rsidR="0041069C" w:rsidRPr="00B40A77">
          <w:rPr>
            <w:rStyle w:val="Hyperlink"/>
            <w:rFonts w:eastAsia="Calibri"/>
            <w:color w:val="000000" w:themeColor="text1"/>
            <w:szCs w:val="24"/>
            <w:lang w:val="en-US"/>
          </w:rPr>
          <w:t>194.2</w:t>
        </w:r>
      </w:hyperlink>
      <w:r w:rsidRPr="00B40A77">
        <w:rPr>
          <w:rFonts w:eastAsia="Calibri"/>
          <w:color w:val="000000" w:themeColor="text1"/>
          <w:szCs w:val="24"/>
          <w:lang w:val="en-US"/>
        </w:rPr>
        <w:t>;</w:t>
      </w:r>
    </w:p>
    <w:p w14:paraId="52224C8F" w14:textId="77777777" w:rsidR="00712C6A" w:rsidRPr="00B40A77" w:rsidRDefault="00372C09" w:rsidP="00712C6A">
      <w:pPr>
        <w:ind w:left="567"/>
        <w:jc w:val="both"/>
        <w:rPr>
          <w:color w:val="000000" w:themeColor="text1"/>
          <w:lang w:val="en-US"/>
        </w:rPr>
      </w:pPr>
      <w:r w:rsidRPr="00B40A77">
        <w:rPr>
          <w:rFonts w:cs="Times New Roman"/>
          <w:b/>
          <w:i/>
          <w:color w:val="000000" w:themeColor="text1"/>
          <w:lang w:val="en-US"/>
        </w:rPr>
        <w:t xml:space="preserve">filing page </w:t>
      </w:r>
      <w:r w:rsidRPr="00B40A77">
        <w:rPr>
          <w:rFonts w:cs="Times New Roman"/>
          <w:color w:val="000000" w:themeColor="text1"/>
          <w:lang w:val="en-US"/>
        </w:rPr>
        <w:t>means a front sheet to a document to be filed which</w:t>
      </w:r>
      <w:r w:rsidR="00712C6A" w:rsidRPr="00B40A77">
        <w:rPr>
          <w:color w:val="000000" w:themeColor="text1"/>
        </w:rPr>
        <w:t>—</w:t>
      </w:r>
    </w:p>
    <w:p w14:paraId="7F3E9D56" w14:textId="23969ECF" w:rsidR="00712C6A" w:rsidRPr="00B40A77" w:rsidRDefault="00712C6A" w:rsidP="00712C6A">
      <w:pPr>
        <w:pStyle w:val="Hangindent"/>
        <w:rPr>
          <w:rFonts w:cs="Times New Roman"/>
          <w:color w:val="000000" w:themeColor="text1"/>
          <w:lang w:val="en-US"/>
        </w:rPr>
      </w:pPr>
      <w:r w:rsidRPr="00B40A77">
        <w:rPr>
          <w:color w:val="000000" w:themeColor="text1"/>
          <w:lang w:val="en-US"/>
        </w:rPr>
        <w:t>(a)</w:t>
      </w:r>
      <w:r w:rsidRPr="00B40A77">
        <w:rPr>
          <w:color w:val="000000" w:themeColor="text1"/>
          <w:lang w:val="en-US"/>
        </w:rPr>
        <w:tab/>
      </w:r>
      <w:r w:rsidR="00062753" w:rsidRPr="00B40A77">
        <w:rPr>
          <w:rFonts w:cs="Times New Roman"/>
          <w:color w:val="000000" w:themeColor="text1"/>
          <w:lang w:val="en-US"/>
        </w:rPr>
        <w:t xml:space="preserve">contains provision for </w:t>
      </w:r>
      <w:r w:rsidR="00362DF2" w:rsidRPr="00B40A77">
        <w:rPr>
          <w:rFonts w:cs="Times New Roman"/>
          <w:color w:val="000000" w:themeColor="text1"/>
          <w:lang w:val="en-US"/>
        </w:rPr>
        <w:t xml:space="preserve">a </w:t>
      </w:r>
      <w:r w:rsidR="00062753" w:rsidRPr="00B40A77">
        <w:rPr>
          <w:rFonts w:cs="Times New Roman"/>
          <w:color w:val="000000" w:themeColor="text1"/>
          <w:lang w:val="en-US"/>
        </w:rPr>
        <w:t xml:space="preserve">filed document number and </w:t>
      </w:r>
      <w:r w:rsidR="00362DF2" w:rsidRPr="00B40A77">
        <w:rPr>
          <w:rFonts w:cs="Times New Roman"/>
          <w:color w:val="000000" w:themeColor="text1"/>
          <w:lang w:val="en-US"/>
        </w:rPr>
        <w:t xml:space="preserve">the </w:t>
      </w:r>
      <w:r w:rsidR="00062753" w:rsidRPr="00B40A77">
        <w:rPr>
          <w:rFonts w:cs="Times New Roman"/>
          <w:color w:val="000000" w:themeColor="text1"/>
          <w:lang w:val="en-US"/>
        </w:rPr>
        <w:t>date</w:t>
      </w:r>
      <w:r w:rsidR="00362DF2" w:rsidRPr="00B40A77">
        <w:rPr>
          <w:rFonts w:cs="Times New Roman"/>
          <w:color w:val="000000" w:themeColor="text1"/>
          <w:lang w:val="en-US"/>
        </w:rPr>
        <w:t xml:space="preserve"> of</w:t>
      </w:r>
      <w:r w:rsidR="00314285" w:rsidRPr="00B40A77">
        <w:rPr>
          <w:rFonts w:cs="Times New Roman"/>
          <w:color w:val="000000" w:themeColor="text1"/>
          <w:lang w:val="en-US"/>
        </w:rPr>
        <w:t xml:space="preserve"> </w:t>
      </w:r>
      <w:r w:rsidR="00062753" w:rsidRPr="00B40A77">
        <w:rPr>
          <w:rFonts w:cs="Times New Roman"/>
          <w:color w:val="000000" w:themeColor="text1"/>
          <w:lang w:val="en-US"/>
        </w:rPr>
        <w:t>fil</w:t>
      </w:r>
      <w:r w:rsidR="00362DF2" w:rsidRPr="00B40A77">
        <w:rPr>
          <w:rFonts w:cs="Times New Roman"/>
          <w:color w:val="000000" w:themeColor="text1"/>
          <w:lang w:val="en-US"/>
        </w:rPr>
        <w:t>ing</w:t>
      </w:r>
      <w:r w:rsidR="00062753" w:rsidRPr="00B40A77">
        <w:rPr>
          <w:rFonts w:cs="Times New Roman"/>
          <w:color w:val="000000" w:themeColor="text1"/>
          <w:lang w:val="en-US"/>
        </w:rPr>
        <w:t>;</w:t>
      </w:r>
    </w:p>
    <w:p w14:paraId="499BA230" w14:textId="5BE03FC1" w:rsidR="006E73A3" w:rsidRPr="00B40A77" w:rsidRDefault="00712C6A" w:rsidP="00712C6A">
      <w:pPr>
        <w:pStyle w:val="Hangindent"/>
        <w:rPr>
          <w:rFonts w:cs="Times New Roman"/>
          <w:color w:val="000000" w:themeColor="text1"/>
          <w:lang w:val="en-US"/>
        </w:rPr>
      </w:pPr>
      <w:r w:rsidRPr="00B40A77">
        <w:rPr>
          <w:rFonts w:cs="Times New Roman"/>
          <w:color w:val="000000" w:themeColor="text1"/>
          <w:lang w:val="en-US"/>
        </w:rPr>
        <w:t>(b)</w:t>
      </w:r>
      <w:r w:rsidRPr="00B40A77">
        <w:rPr>
          <w:rFonts w:cs="Times New Roman"/>
          <w:color w:val="000000" w:themeColor="text1"/>
          <w:lang w:val="en-US"/>
        </w:rPr>
        <w:tab/>
      </w:r>
      <w:r w:rsidR="00372C09" w:rsidRPr="00B40A77">
        <w:rPr>
          <w:rFonts w:cs="Times New Roman"/>
          <w:color w:val="000000" w:themeColor="text1"/>
          <w:lang w:val="en-US"/>
        </w:rPr>
        <w:t xml:space="preserve">shows the court, jurisdiction, </w:t>
      </w:r>
      <w:r w:rsidR="004810B4" w:rsidRPr="00B40A77">
        <w:rPr>
          <w:rFonts w:cs="Times New Roman"/>
          <w:color w:val="000000" w:themeColor="text1"/>
          <w:lang w:val="en-US"/>
        </w:rPr>
        <w:t>case number, parties and</w:t>
      </w:r>
      <w:r w:rsidR="00372C09" w:rsidRPr="00B40A77">
        <w:rPr>
          <w:rFonts w:cs="Times New Roman"/>
          <w:color w:val="000000" w:themeColor="text1"/>
          <w:lang w:val="en-US"/>
        </w:rPr>
        <w:t xml:space="preserve"> name of the document to be filed;</w:t>
      </w:r>
    </w:p>
    <w:p w14:paraId="13A9C0A8" w14:textId="00BAA4B8" w:rsidR="006E73A3" w:rsidRPr="00B40A77" w:rsidRDefault="006E73A3" w:rsidP="00712C6A">
      <w:pPr>
        <w:pStyle w:val="Hangindent"/>
        <w:rPr>
          <w:rFonts w:cs="Times New Roman"/>
          <w:color w:val="000000" w:themeColor="text1"/>
          <w:lang w:val="en-US"/>
        </w:rPr>
      </w:pPr>
      <w:r w:rsidRPr="00B40A77">
        <w:rPr>
          <w:rFonts w:cs="Times New Roman"/>
          <w:color w:val="000000" w:themeColor="text1"/>
          <w:lang w:val="en-US"/>
        </w:rPr>
        <w:t>(c)</w:t>
      </w:r>
      <w:r w:rsidRPr="00B40A77">
        <w:rPr>
          <w:rFonts w:cs="Times New Roman"/>
          <w:color w:val="000000" w:themeColor="text1"/>
          <w:lang w:val="en-US"/>
        </w:rPr>
        <w:tab/>
      </w:r>
      <w:r w:rsidR="00062753" w:rsidRPr="00B40A77">
        <w:rPr>
          <w:rFonts w:cs="Times New Roman"/>
          <w:color w:val="000000" w:themeColor="text1"/>
          <w:lang w:val="en-US"/>
        </w:rPr>
        <w:t>contains the party title and name of the party filing the document</w:t>
      </w:r>
      <w:r w:rsidRPr="00B40A77">
        <w:rPr>
          <w:rFonts w:cs="Times New Roman"/>
          <w:color w:val="000000" w:themeColor="text1"/>
          <w:lang w:val="en-US"/>
        </w:rPr>
        <w:t>;</w:t>
      </w:r>
      <w:r w:rsidR="00213F0B" w:rsidRPr="00B40A77">
        <w:rPr>
          <w:rFonts w:cs="Times New Roman"/>
          <w:color w:val="000000" w:themeColor="text1"/>
          <w:lang w:val="en-US"/>
        </w:rPr>
        <w:t xml:space="preserve"> and</w:t>
      </w:r>
    </w:p>
    <w:p w14:paraId="4C7D0F0B" w14:textId="2C364DB9" w:rsidR="00372C09" w:rsidRPr="00B40A77" w:rsidRDefault="006E73A3" w:rsidP="00712C6A">
      <w:pPr>
        <w:pStyle w:val="Hangindent"/>
        <w:rPr>
          <w:rFonts w:cs="Times New Roman"/>
          <w:color w:val="000000" w:themeColor="text1"/>
        </w:rPr>
      </w:pPr>
      <w:r w:rsidRPr="00B40A77">
        <w:rPr>
          <w:rFonts w:cs="Times New Roman"/>
          <w:color w:val="000000" w:themeColor="text1"/>
          <w:lang w:val="en-US"/>
        </w:rPr>
        <w:t>(d)</w:t>
      </w:r>
      <w:r w:rsidRPr="00B40A77">
        <w:rPr>
          <w:rFonts w:cs="Times New Roman"/>
          <w:color w:val="000000" w:themeColor="text1"/>
          <w:lang w:val="en-US"/>
        </w:rPr>
        <w:tab/>
        <w:t xml:space="preserve">if filed by a party </w:t>
      </w:r>
      <w:r w:rsidR="00062753" w:rsidRPr="00B40A77">
        <w:rPr>
          <w:rFonts w:cs="Times New Roman"/>
          <w:color w:val="000000" w:themeColor="text1"/>
          <w:lang w:val="en-US"/>
        </w:rPr>
        <w:t xml:space="preserve">represented by a </w:t>
      </w:r>
      <w:hyperlink w:anchor="_2.1—Definitions" w:history="1">
        <w:r w:rsidR="00376FC8" w:rsidRPr="00B40A77">
          <w:rPr>
            <w:rStyle w:val="Hyperlink"/>
            <w:rFonts w:cs="Times New Roman"/>
            <w:color w:val="000000" w:themeColor="text1"/>
            <w:lang w:val="en-US"/>
          </w:rPr>
          <w:t>law firm or office</w:t>
        </w:r>
      </w:hyperlink>
      <w:r w:rsidRPr="00B40A77">
        <w:rPr>
          <w:color w:val="000000" w:themeColor="text1"/>
        </w:rPr>
        <w:t>—</w:t>
      </w:r>
      <w:r w:rsidR="00062753" w:rsidRPr="00B40A77">
        <w:rPr>
          <w:rFonts w:cs="Times New Roman"/>
          <w:color w:val="000000" w:themeColor="text1"/>
          <w:lang w:val="en-US"/>
        </w:rPr>
        <w:t xml:space="preserve">contains the name of the </w:t>
      </w:r>
      <w:hyperlink w:anchor="_2.1—Definitions" w:history="1">
        <w:r w:rsidR="005A6381" w:rsidRPr="00B40A77">
          <w:rPr>
            <w:rStyle w:val="Hyperlink"/>
            <w:rFonts w:cs="Times New Roman"/>
            <w:color w:val="000000" w:themeColor="text1"/>
            <w:lang w:val="en-US"/>
          </w:rPr>
          <w:t>law firm or office</w:t>
        </w:r>
      </w:hyperlink>
      <w:r w:rsidR="00712C6A" w:rsidRPr="00B40A77">
        <w:rPr>
          <w:rFonts w:cs="Times New Roman"/>
          <w:color w:val="000000" w:themeColor="text1"/>
          <w:lang w:val="en-US"/>
        </w:rPr>
        <w:t xml:space="preserve"> </w:t>
      </w:r>
      <w:r w:rsidR="00062753" w:rsidRPr="00B40A77">
        <w:rPr>
          <w:rFonts w:cs="Times New Roman"/>
          <w:color w:val="000000" w:themeColor="text1"/>
          <w:lang w:val="en-US"/>
        </w:rPr>
        <w:t>and</w:t>
      </w:r>
      <w:r w:rsidR="00376FC8" w:rsidRPr="00B40A77">
        <w:rPr>
          <w:rFonts w:cs="Times New Roman"/>
          <w:color w:val="000000" w:themeColor="text1"/>
          <w:lang w:val="en-US"/>
        </w:rPr>
        <w:t xml:space="preserve">, subject to </w:t>
      </w:r>
      <w:hyperlink w:anchor="_25.3—Responsible_solicitor" w:history="1">
        <w:r w:rsidR="00376FC8" w:rsidRPr="00B40A77">
          <w:rPr>
            <w:rStyle w:val="Hyperlink"/>
            <w:rFonts w:cs="Times New Roman"/>
            <w:color w:val="000000" w:themeColor="text1"/>
            <w:lang w:val="en-US"/>
          </w:rPr>
          <w:t>rule</w:t>
        </w:r>
        <w:r w:rsidR="003872E7" w:rsidRPr="00B40A77">
          <w:rPr>
            <w:rStyle w:val="Hyperlink"/>
            <w:rFonts w:cs="Times New Roman"/>
            <w:color w:val="000000" w:themeColor="text1"/>
            <w:lang w:val="en-US"/>
          </w:rPr>
          <w:t> </w:t>
        </w:r>
        <w:r w:rsidR="00376FC8" w:rsidRPr="00B40A77">
          <w:rPr>
            <w:rStyle w:val="Hyperlink"/>
            <w:rFonts w:cs="Times New Roman"/>
            <w:color w:val="000000" w:themeColor="text1"/>
            <w:lang w:val="en-US"/>
          </w:rPr>
          <w:t>25</w:t>
        </w:r>
        <w:r w:rsidR="003872E7" w:rsidRPr="00B40A77">
          <w:rPr>
            <w:rStyle w:val="Hyperlink"/>
            <w:rFonts w:cs="Times New Roman"/>
            <w:color w:val="000000" w:themeColor="text1"/>
            <w:lang w:val="en-US"/>
          </w:rPr>
          <w:t>.</w:t>
        </w:r>
        <w:r w:rsidR="00376FC8" w:rsidRPr="00B40A77">
          <w:rPr>
            <w:rStyle w:val="Hyperlink"/>
            <w:rFonts w:cs="Times New Roman"/>
            <w:color w:val="000000" w:themeColor="text1"/>
            <w:lang w:val="en-US"/>
          </w:rPr>
          <w:t>3</w:t>
        </w:r>
      </w:hyperlink>
      <w:r w:rsidR="00376FC8" w:rsidRPr="00B40A77">
        <w:rPr>
          <w:rFonts w:cs="Times New Roman"/>
          <w:color w:val="000000" w:themeColor="text1"/>
          <w:lang w:val="en-US"/>
        </w:rPr>
        <w:t>,</w:t>
      </w:r>
      <w:r w:rsidR="00062753" w:rsidRPr="00B40A77">
        <w:rPr>
          <w:rFonts w:cs="Times New Roman"/>
          <w:color w:val="000000" w:themeColor="text1"/>
          <w:lang w:val="en-US"/>
        </w:rPr>
        <w:t xml:space="preserve"> </w:t>
      </w:r>
      <w:r w:rsidRPr="00B40A77">
        <w:rPr>
          <w:rFonts w:cs="Times New Roman"/>
          <w:color w:val="000000" w:themeColor="text1"/>
          <w:lang w:val="en-US"/>
        </w:rPr>
        <w:t xml:space="preserve">the </w:t>
      </w:r>
      <w:hyperlink w:anchor="_2.1—Definitions" w:history="1">
        <w:r w:rsidR="0027258B" w:rsidRPr="00B40A77">
          <w:rPr>
            <w:rStyle w:val="Hyperlink"/>
            <w:rFonts w:cs="Times New Roman"/>
            <w:color w:val="000000" w:themeColor="text1"/>
            <w:lang w:val="en-US"/>
          </w:rPr>
          <w:t>responsible solicitor</w:t>
        </w:r>
      </w:hyperlink>
      <w:r w:rsidR="00062753" w:rsidRPr="00B40A77">
        <w:rPr>
          <w:rFonts w:cs="Times New Roman"/>
          <w:color w:val="000000" w:themeColor="text1"/>
          <w:lang w:val="en-US"/>
        </w:rPr>
        <w:t>;</w:t>
      </w:r>
    </w:p>
    <w:p w14:paraId="702DBEBE" w14:textId="77777777" w:rsidR="002524DF" w:rsidRPr="00B40A77" w:rsidRDefault="00372C09" w:rsidP="002524DF">
      <w:pPr>
        <w:pStyle w:val="Hangindent"/>
        <w:ind w:left="567" w:firstLine="0"/>
        <w:rPr>
          <w:color w:val="000000" w:themeColor="text1"/>
        </w:rPr>
      </w:pPr>
      <w:r w:rsidRPr="00B40A77">
        <w:rPr>
          <w:rFonts w:cs="Times New Roman"/>
          <w:b/>
          <w:i/>
          <w:color w:val="000000" w:themeColor="text1"/>
          <w:lang w:val="en-US"/>
        </w:rPr>
        <w:t>listed hearing date</w:t>
      </w:r>
      <w:r w:rsidRPr="00B40A77">
        <w:rPr>
          <w:rFonts w:cs="Times New Roman"/>
          <w:color w:val="000000" w:themeColor="text1"/>
          <w:lang w:val="en-US"/>
        </w:rPr>
        <w:t xml:space="preserve"> means</w:t>
      </w:r>
      <w:r w:rsidR="002524DF" w:rsidRPr="00B40A77">
        <w:rPr>
          <w:rFonts w:cs="Times New Roman"/>
          <w:color w:val="000000" w:themeColor="text1"/>
        </w:rPr>
        <w:t>—</w:t>
      </w:r>
    </w:p>
    <w:p w14:paraId="771A5505" w14:textId="2E7AA7AD" w:rsidR="00372C09" w:rsidRPr="00B40A77" w:rsidRDefault="002524DF" w:rsidP="00F85EEB">
      <w:pPr>
        <w:pStyle w:val="Hangindent"/>
        <w:rPr>
          <w:rFonts w:cs="Times New Roman"/>
          <w:color w:val="000000" w:themeColor="text1"/>
          <w:u w:val="single"/>
          <w:lang w:val="en-US"/>
        </w:rPr>
      </w:pPr>
      <w:r w:rsidRPr="00B40A77">
        <w:rPr>
          <w:color w:val="000000" w:themeColor="text1"/>
          <w:lang w:val="en-US"/>
        </w:rPr>
        <w:t>(a)</w:t>
      </w:r>
      <w:r w:rsidRPr="00B40A77">
        <w:rPr>
          <w:color w:val="000000" w:themeColor="text1"/>
          <w:lang w:val="en-US"/>
        </w:rPr>
        <w:tab/>
        <w:t xml:space="preserve">in </w:t>
      </w:r>
      <w:hyperlink w:anchor="_Part_34—Appeals_and" w:history="1">
        <w:r w:rsidRPr="00B40A77">
          <w:rPr>
            <w:rStyle w:val="Hyperlink"/>
            <w:color w:val="000000" w:themeColor="text1"/>
            <w:lang w:val="en-US"/>
          </w:rPr>
          <w:t>Part</w:t>
        </w:r>
        <w:r w:rsidR="00BA2D1F" w:rsidRPr="00B40A77">
          <w:rPr>
            <w:rStyle w:val="Hyperlink"/>
            <w:color w:val="000000" w:themeColor="text1"/>
            <w:lang w:val="en-US"/>
          </w:rPr>
          <w:t> </w:t>
        </w:r>
        <w:r w:rsidR="004A0458" w:rsidRPr="00B40A77">
          <w:rPr>
            <w:rStyle w:val="Hyperlink"/>
            <w:color w:val="000000" w:themeColor="text1"/>
            <w:lang w:val="en-US"/>
          </w:rPr>
          <w:t>3</w:t>
        </w:r>
      </w:hyperlink>
      <w:r w:rsidR="00F85EEB" w:rsidRPr="00B40A77">
        <w:rPr>
          <w:rFonts w:cs="Times New Roman"/>
          <w:color w:val="000000" w:themeColor="text1"/>
        </w:rPr>
        <w:t>—</w:t>
      </w:r>
      <w:r w:rsidR="00372C09" w:rsidRPr="00B40A77">
        <w:rPr>
          <w:rFonts w:cs="Times New Roman"/>
          <w:color w:val="000000" w:themeColor="text1"/>
          <w:lang w:val="en-US"/>
        </w:rPr>
        <w:t xml:space="preserve">the earlier of the listed hearing date referred to in </w:t>
      </w:r>
      <w:hyperlink w:anchor="_189.1—Listing_for_hearing" w:history="1">
        <w:r w:rsidR="00372C09" w:rsidRPr="00B40A77">
          <w:rPr>
            <w:rStyle w:val="Hyperlink"/>
            <w:rFonts w:cs="Times New Roman"/>
            <w:color w:val="000000" w:themeColor="text1"/>
            <w:lang w:val="en-US"/>
          </w:rPr>
          <w:t>rule</w:t>
        </w:r>
        <w:r w:rsidR="00A40EF4" w:rsidRPr="00B40A77">
          <w:rPr>
            <w:rStyle w:val="Hyperlink"/>
            <w:rFonts w:cs="Times New Roman"/>
            <w:color w:val="000000" w:themeColor="text1"/>
            <w:lang w:val="en-US"/>
          </w:rPr>
          <w:t> </w:t>
        </w:r>
        <w:r w:rsidRPr="00B40A77">
          <w:rPr>
            <w:rStyle w:val="Hyperlink"/>
            <w:rFonts w:cs="Times New Roman"/>
            <w:color w:val="000000" w:themeColor="text1"/>
            <w:lang w:val="en-US"/>
          </w:rPr>
          <w:t>189.1</w:t>
        </w:r>
      </w:hyperlink>
      <w:r w:rsidRPr="00B40A77">
        <w:rPr>
          <w:rFonts w:cs="Times New Roman"/>
          <w:color w:val="000000" w:themeColor="text1"/>
          <w:lang w:val="en-US"/>
        </w:rPr>
        <w:t>(2</w:t>
      </w:r>
      <w:r w:rsidR="00372C09" w:rsidRPr="00B40A77">
        <w:rPr>
          <w:rFonts w:cs="Times New Roman"/>
          <w:color w:val="000000" w:themeColor="text1"/>
          <w:lang w:val="en-US"/>
        </w:rPr>
        <w:t xml:space="preserve">) and any varied hearing date referred to in </w:t>
      </w:r>
      <w:hyperlink w:anchor="_189.1—Listing_for_hearing" w:history="1">
        <w:r w:rsidR="00AD1113" w:rsidRPr="00B40A77">
          <w:rPr>
            <w:rStyle w:val="Hyperlink"/>
            <w:rFonts w:cs="Times New Roman"/>
            <w:color w:val="000000" w:themeColor="text1"/>
            <w:lang w:val="en-US"/>
          </w:rPr>
          <w:t>rule</w:t>
        </w:r>
        <w:r w:rsidR="00A40EF4" w:rsidRPr="00B40A77">
          <w:rPr>
            <w:rStyle w:val="Hyperlink"/>
            <w:rFonts w:cs="Times New Roman"/>
            <w:color w:val="000000" w:themeColor="text1"/>
            <w:lang w:val="en-US"/>
          </w:rPr>
          <w:t> </w:t>
        </w:r>
        <w:r w:rsidR="00AD1113" w:rsidRPr="00B40A77">
          <w:rPr>
            <w:rStyle w:val="Hyperlink"/>
            <w:rFonts w:cs="Times New Roman"/>
            <w:color w:val="000000" w:themeColor="text1"/>
            <w:lang w:val="en-US"/>
          </w:rPr>
          <w:t>189.1</w:t>
        </w:r>
      </w:hyperlink>
      <w:r w:rsidR="00372C09" w:rsidRPr="00B40A77">
        <w:rPr>
          <w:rFonts w:cs="Times New Roman"/>
          <w:color w:val="000000" w:themeColor="text1"/>
          <w:lang w:val="en-US"/>
        </w:rPr>
        <w:t>(3)</w:t>
      </w:r>
      <w:r w:rsidR="00372C09" w:rsidRPr="00B40A77">
        <w:rPr>
          <w:rFonts w:cs="Times New Roman"/>
          <w:color w:val="000000" w:themeColor="text1"/>
          <w:u w:val="single"/>
          <w:lang w:val="en-US"/>
        </w:rPr>
        <w:t>;</w:t>
      </w:r>
    </w:p>
    <w:p w14:paraId="1FF77D0D" w14:textId="5D9E0597" w:rsidR="00F85EEB" w:rsidRPr="00B40A77" w:rsidRDefault="00F85EEB" w:rsidP="00F85EEB">
      <w:pPr>
        <w:pStyle w:val="Hangindent"/>
        <w:rPr>
          <w:rFonts w:cs="Times New Roman"/>
          <w:color w:val="000000" w:themeColor="text1"/>
          <w:lang w:val="en-US"/>
        </w:rPr>
      </w:pPr>
      <w:r w:rsidRPr="00B40A77">
        <w:rPr>
          <w:rFonts w:cs="Times New Roman"/>
          <w:color w:val="000000" w:themeColor="text1"/>
          <w:lang w:val="en-US"/>
        </w:rPr>
        <w:t>(b)</w:t>
      </w:r>
      <w:r w:rsidRPr="00B40A77">
        <w:rPr>
          <w:rFonts w:cs="Times New Roman"/>
          <w:color w:val="000000" w:themeColor="text1"/>
          <w:lang w:val="en-US"/>
        </w:rPr>
        <w:tab/>
      </w:r>
      <w:r w:rsidRPr="00B40A77">
        <w:rPr>
          <w:color w:val="000000" w:themeColor="text1"/>
          <w:lang w:val="en-US"/>
        </w:rPr>
        <w:t xml:space="preserve">in </w:t>
      </w:r>
      <w:hyperlink w:anchor="_Part_45—Appeals_and" w:history="1">
        <w:r w:rsidRPr="00B40A77">
          <w:rPr>
            <w:rStyle w:val="Hyperlink"/>
            <w:color w:val="000000" w:themeColor="text1"/>
            <w:lang w:val="en-US"/>
          </w:rPr>
          <w:t>Part</w:t>
        </w:r>
        <w:r w:rsidR="00BA2D1F" w:rsidRPr="00B40A77">
          <w:rPr>
            <w:rStyle w:val="Hyperlink"/>
            <w:color w:val="000000" w:themeColor="text1"/>
            <w:lang w:val="en-US"/>
          </w:rPr>
          <w:t> </w:t>
        </w:r>
        <w:r w:rsidR="004A0458" w:rsidRPr="00B40A77">
          <w:rPr>
            <w:rStyle w:val="Hyperlink"/>
            <w:color w:val="000000" w:themeColor="text1"/>
            <w:lang w:val="en-US"/>
          </w:rPr>
          <w:t>4</w:t>
        </w:r>
      </w:hyperlink>
      <w:r w:rsidRPr="00B40A77">
        <w:rPr>
          <w:rFonts w:cs="Times New Roman"/>
          <w:color w:val="000000" w:themeColor="text1"/>
        </w:rPr>
        <w:t>—</w:t>
      </w:r>
      <w:r w:rsidRPr="00B40A77">
        <w:rPr>
          <w:rFonts w:cs="Times New Roman"/>
          <w:color w:val="000000" w:themeColor="text1"/>
          <w:lang w:val="en-US"/>
        </w:rPr>
        <w:t xml:space="preserve">the listed hearing date referred to in </w:t>
      </w:r>
      <w:hyperlink w:anchor="_202.1—Listing_for_hearing" w:history="1">
        <w:r w:rsidRPr="00B40A77">
          <w:rPr>
            <w:rStyle w:val="Hyperlink"/>
            <w:rFonts w:cs="Times New Roman"/>
            <w:color w:val="000000" w:themeColor="text1"/>
            <w:lang w:val="en-US"/>
          </w:rPr>
          <w:t>rule</w:t>
        </w:r>
        <w:r w:rsidR="00A40EF4" w:rsidRPr="00B40A77">
          <w:rPr>
            <w:rStyle w:val="Hyperlink"/>
            <w:rFonts w:cs="Times New Roman"/>
            <w:color w:val="000000" w:themeColor="text1"/>
            <w:lang w:val="en-US"/>
          </w:rPr>
          <w:t> </w:t>
        </w:r>
        <w:r w:rsidR="003D4776" w:rsidRPr="00B40A77">
          <w:rPr>
            <w:rStyle w:val="Hyperlink"/>
            <w:rFonts w:cs="Times New Roman"/>
            <w:color w:val="000000" w:themeColor="text1"/>
            <w:lang w:val="en-US"/>
          </w:rPr>
          <w:t>20</w:t>
        </w:r>
        <w:r w:rsidR="00A64E9E" w:rsidRPr="00B40A77">
          <w:rPr>
            <w:rStyle w:val="Hyperlink"/>
            <w:rFonts w:cs="Times New Roman"/>
            <w:color w:val="000000" w:themeColor="text1"/>
            <w:lang w:val="en-US"/>
          </w:rPr>
          <w:t>2</w:t>
        </w:r>
        <w:r w:rsidR="003D4776" w:rsidRPr="00B40A77">
          <w:rPr>
            <w:rStyle w:val="Hyperlink"/>
            <w:rFonts w:cs="Times New Roman"/>
            <w:color w:val="000000" w:themeColor="text1"/>
            <w:lang w:val="en-US"/>
          </w:rPr>
          <w:t>.1</w:t>
        </w:r>
      </w:hyperlink>
      <w:r w:rsidRPr="00B40A77">
        <w:rPr>
          <w:rFonts w:cs="Times New Roman"/>
          <w:color w:val="000000" w:themeColor="text1"/>
          <w:lang w:val="en-US"/>
        </w:rPr>
        <w:t>;</w:t>
      </w:r>
    </w:p>
    <w:p w14:paraId="74199FBC" w14:textId="265B4CE3" w:rsidR="00DC3A1E" w:rsidRPr="00B40A77" w:rsidRDefault="00DC3A1E" w:rsidP="00DC3A1E">
      <w:pPr>
        <w:ind w:left="567"/>
        <w:jc w:val="both"/>
        <w:rPr>
          <w:rFonts w:eastAsia="Calibri"/>
          <w:b/>
          <w:i/>
          <w:color w:val="000000" w:themeColor="text1"/>
          <w:szCs w:val="24"/>
          <w:lang w:val="en-US"/>
        </w:rPr>
      </w:pPr>
      <w:r w:rsidRPr="00B40A77">
        <w:rPr>
          <w:b/>
          <w:i/>
          <w:color w:val="000000" w:themeColor="text1"/>
          <w:lang w:val="en-US"/>
        </w:rPr>
        <w:t xml:space="preserve">miscellaneous appeal </w:t>
      </w:r>
      <w:r w:rsidRPr="00B40A77">
        <w:rPr>
          <w:color w:val="000000" w:themeColor="text1"/>
          <w:lang w:val="en-US"/>
        </w:rPr>
        <w:t xml:space="preserve">means an appeal other than a </w:t>
      </w:r>
      <w:r w:rsidRPr="00B40A77">
        <w:rPr>
          <w:color w:val="000000" w:themeColor="text1"/>
          <w:u w:val="single"/>
          <w:lang w:val="en-US"/>
        </w:rPr>
        <w:t>conviction appeal</w:t>
      </w:r>
      <w:r w:rsidRPr="00B40A77">
        <w:rPr>
          <w:color w:val="000000" w:themeColor="text1"/>
          <w:lang w:val="en-US"/>
        </w:rPr>
        <w:t xml:space="preserve"> or </w:t>
      </w:r>
      <w:r w:rsidRPr="00B40A77">
        <w:rPr>
          <w:color w:val="000000" w:themeColor="text1"/>
          <w:u w:val="single"/>
          <w:lang w:val="en-US"/>
        </w:rPr>
        <w:t>sentence appeal</w:t>
      </w:r>
      <w:r w:rsidRPr="00B40A77">
        <w:rPr>
          <w:color w:val="000000" w:themeColor="text1"/>
          <w:lang w:val="en-US"/>
        </w:rPr>
        <w:t>;</w:t>
      </w:r>
    </w:p>
    <w:p w14:paraId="4E244249" w14:textId="0F449E65" w:rsidR="00C25AB8" w:rsidRPr="00B40A77" w:rsidRDefault="00C25AB8" w:rsidP="00C25AB8">
      <w:pPr>
        <w:pStyle w:val="Hangindent"/>
        <w:ind w:left="567" w:firstLine="0"/>
        <w:rPr>
          <w:color w:val="000000" w:themeColor="text1"/>
          <w:lang w:val="en-US"/>
        </w:rPr>
      </w:pPr>
      <w:r w:rsidRPr="00B40A77">
        <w:rPr>
          <w:b/>
          <w:i/>
          <w:color w:val="000000" w:themeColor="text1"/>
          <w:lang w:val="en-US"/>
        </w:rPr>
        <w:t xml:space="preserve">petition referral </w:t>
      </w:r>
      <w:r w:rsidRPr="00B40A77">
        <w:rPr>
          <w:color w:val="000000" w:themeColor="text1"/>
          <w:lang w:val="en-US"/>
        </w:rPr>
        <w:t>means a referral by the Attorney-General on a petition of mercy under section</w:t>
      </w:r>
      <w:r w:rsidR="00A40EF4" w:rsidRPr="00B40A77">
        <w:rPr>
          <w:color w:val="000000" w:themeColor="text1"/>
          <w:lang w:val="en-US"/>
        </w:rPr>
        <w:t> </w:t>
      </w:r>
      <w:r w:rsidR="000E7400" w:rsidRPr="00B40A77">
        <w:rPr>
          <w:color w:val="000000" w:themeColor="text1"/>
          <w:lang w:val="en-US"/>
        </w:rPr>
        <w:t xml:space="preserve">173 </w:t>
      </w:r>
      <w:r w:rsidRPr="00B40A77">
        <w:rPr>
          <w:color w:val="000000" w:themeColor="text1"/>
          <w:lang w:val="en-US"/>
        </w:rPr>
        <w:t>of the Procedure Act;</w:t>
      </w:r>
    </w:p>
    <w:p w14:paraId="5FC24C13" w14:textId="08DC8771" w:rsidR="00372C09" w:rsidRPr="00B40A77" w:rsidRDefault="00372C09" w:rsidP="00A32333">
      <w:pPr>
        <w:pStyle w:val="Hangindent"/>
        <w:ind w:left="567" w:firstLine="0"/>
        <w:rPr>
          <w:color w:val="000000" w:themeColor="text1"/>
          <w:lang w:val="en-US"/>
        </w:rPr>
      </w:pPr>
      <w:r w:rsidRPr="00B40A77">
        <w:rPr>
          <w:b/>
          <w:i/>
          <w:color w:val="000000" w:themeColor="text1"/>
          <w:lang w:val="en-US"/>
        </w:rPr>
        <w:t xml:space="preserve">respondent </w:t>
      </w:r>
      <w:r w:rsidRPr="00B40A77">
        <w:rPr>
          <w:color w:val="000000" w:themeColor="text1"/>
          <w:lang w:val="en-US"/>
        </w:rPr>
        <w:t>to an appellate proceeding</w:t>
      </w:r>
      <w:r w:rsidR="004810B4" w:rsidRPr="00B40A77">
        <w:rPr>
          <w:color w:val="000000" w:themeColor="text1"/>
          <w:lang w:val="en-US"/>
        </w:rPr>
        <w:t xml:space="preserve"> means a party </w:t>
      </w:r>
      <w:r w:rsidR="001C78E3" w:rsidRPr="00B40A77">
        <w:rPr>
          <w:color w:val="000000" w:themeColor="text1"/>
          <w:lang w:val="en-US"/>
        </w:rPr>
        <w:t>w</w:t>
      </w:r>
      <w:r w:rsidRPr="00B40A77">
        <w:rPr>
          <w:color w:val="000000" w:themeColor="text1"/>
          <w:lang w:val="en-US"/>
        </w:rPr>
        <w:t xml:space="preserve">ho was </w:t>
      </w:r>
      <w:r w:rsidR="00901D56" w:rsidRPr="00B40A77">
        <w:rPr>
          <w:color w:val="000000" w:themeColor="text1"/>
          <w:lang w:val="en-US"/>
        </w:rPr>
        <w:t>a party</w:t>
      </w:r>
      <w:r w:rsidRPr="00B40A77">
        <w:rPr>
          <w:color w:val="000000" w:themeColor="text1"/>
          <w:lang w:val="en-US"/>
        </w:rPr>
        <w:t xml:space="preserve"> in the proceeding at first instance, unless the party has no interest</w:t>
      </w:r>
      <w:r w:rsidR="001C78E3" w:rsidRPr="00B40A77">
        <w:rPr>
          <w:color w:val="000000" w:themeColor="text1"/>
          <w:lang w:val="en-US"/>
        </w:rPr>
        <w:t xml:space="preserve"> in the appellate proceeding;</w:t>
      </w:r>
    </w:p>
    <w:p w14:paraId="4A1B5FA6" w14:textId="124969F8" w:rsidR="008926E4" w:rsidRPr="00B40A77" w:rsidRDefault="008926E4" w:rsidP="008926E4">
      <w:pPr>
        <w:pStyle w:val="Hangindent"/>
        <w:ind w:left="567" w:firstLine="0"/>
        <w:rPr>
          <w:color w:val="000000" w:themeColor="text1"/>
        </w:rPr>
      </w:pPr>
      <w:r w:rsidRPr="00B40A77">
        <w:rPr>
          <w:b/>
          <w:i/>
          <w:color w:val="000000" w:themeColor="text1"/>
          <w:lang w:val="en-US"/>
        </w:rPr>
        <w:t xml:space="preserve">retrial application </w:t>
      </w:r>
      <w:r w:rsidRPr="00B40A77">
        <w:rPr>
          <w:color w:val="000000" w:themeColor="text1"/>
          <w:lang w:val="en-US"/>
        </w:rPr>
        <w:t xml:space="preserve">means an application to the </w:t>
      </w:r>
      <w:hyperlink w:anchor="_2.1—Definitions" w:history="1">
        <w:r w:rsidR="00350C21" w:rsidRPr="00B40A77">
          <w:rPr>
            <w:rStyle w:val="Hyperlink"/>
            <w:color w:val="000000" w:themeColor="text1"/>
            <w:lang w:val="en-US"/>
          </w:rPr>
          <w:t>Court of Appeal</w:t>
        </w:r>
      </w:hyperlink>
      <w:r w:rsidRPr="00B40A77">
        <w:rPr>
          <w:rFonts w:cs="Times New Roman"/>
          <w:color w:val="000000" w:themeColor="text1"/>
        </w:rPr>
        <w:t>—</w:t>
      </w:r>
    </w:p>
    <w:p w14:paraId="173135BB" w14:textId="6745BC88" w:rsidR="008926E4" w:rsidRPr="00B40A77" w:rsidRDefault="008926E4" w:rsidP="008926E4">
      <w:pPr>
        <w:pStyle w:val="Hangindent"/>
        <w:rPr>
          <w:color w:val="000000" w:themeColor="text1"/>
          <w:lang w:val="en-US"/>
        </w:rPr>
      </w:pPr>
      <w:r w:rsidRPr="00B40A77">
        <w:rPr>
          <w:color w:val="000000" w:themeColor="text1"/>
          <w:lang w:val="en-US"/>
        </w:rPr>
        <w:t>(a)</w:t>
      </w:r>
      <w:r w:rsidRPr="00B40A77">
        <w:rPr>
          <w:color w:val="000000" w:themeColor="text1"/>
          <w:lang w:val="en-US"/>
        </w:rPr>
        <w:tab/>
        <w:t>for a retrial of a relevant offence or Category A offence under section</w:t>
      </w:r>
      <w:r w:rsidR="00A40EF4" w:rsidRPr="00B40A77">
        <w:rPr>
          <w:color w:val="000000" w:themeColor="text1"/>
          <w:lang w:val="en-US"/>
        </w:rPr>
        <w:t> </w:t>
      </w:r>
      <w:r w:rsidRPr="00B40A77">
        <w:rPr>
          <w:color w:val="000000" w:themeColor="text1"/>
          <w:lang w:val="en-US"/>
        </w:rPr>
        <w:t>146 or</w:t>
      </w:r>
      <w:r w:rsidR="00A40EF4" w:rsidRPr="00B40A77">
        <w:rPr>
          <w:color w:val="000000" w:themeColor="text1"/>
          <w:lang w:val="en-US"/>
        </w:rPr>
        <w:t> </w:t>
      </w:r>
      <w:r w:rsidRPr="00B40A77">
        <w:rPr>
          <w:color w:val="000000" w:themeColor="text1"/>
          <w:lang w:val="en-US"/>
        </w:rPr>
        <w:t>147 of the Procedure Act; or</w:t>
      </w:r>
    </w:p>
    <w:p w14:paraId="55E6F2EA" w14:textId="5D3424AB" w:rsidR="008926E4" w:rsidRPr="00B40A77" w:rsidRDefault="008926E4" w:rsidP="008926E4">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for a trial </w:t>
      </w:r>
      <w:r w:rsidR="006A088E" w:rsidRPr="00B40A77">
        <w:rPr>
          <w:color w:val="000000" w:themeColor="text1"/>
          <w:lang w:val="en-US"/>
        </w:rPr>
        <w:t xml:space="preserve">of an administration of justice offence </w:t>
      </w:r>
      <w:r w:rsidRPr="00B40A77">
        <w:rPr>
          <w:color w:val="000000" w:themeColor="text1"/>
          <w:lang w:val="en-US"/>
        </w:rPr>
        <w:t>under section</w:t>
      </w:r>
      <w:r w:rsidR="00A40EF4" w:rsidRPr="00B40A77">
        <w:rPr>
          <w:color w:val="000000" w:themeColor="text1"/>
          <w:lang w:val="en-US"/>
        </w:rPr>
        <w:t> </w:t>
      </w:r>
      <w:r w:rsidRPr="00B40A77">
        <w:rPr>
          <w:color w:val="000000" w:themeColor="text1"/>
          <w:lang w:val="en-US"/>
        </w:rPr>
        <w:t>1</w:t>
      </w:r>
      <w:r w:rsidR="006A088E" w:rsidRPr="00B40A77">
        <w:rPr>
          <w:color w:val="000000" w:themeColor="text1"/>
          <w:lang w:val="en-US"/>
        </w:rPr>
        <w:t>48</w:t>
      </w:r>
      <w:r w:rsidRPr="00B40A77">
        <w:rPr>
          <w:color w:val="000000" w:themeColor="text1"/>
          <w:lang w:val="en-US"/>
        </w:rPr>
        <w:t xml:space="preserve"> of the Procedure</w:t>
      </w:r>
      <w:r w:rsidR="00201B5C" w:rsidRPr="00B40A77">
        <w:rPr>
          <w:color w:val="000000" w:themeColor="text1"/>
          <w:lang w:val="en-US"/>
        </w:rPr>
        <w:t> </w:t>
      </w:r>
      <w:r w:rsidRPr="00B40A77">
        <w:rPr>
          <w:color w:val="000000" w:themeColor="text1"/>
          <w:lang w:val="en-US"/>
        </w:rPr>
        <w:t>Act;</w:t>
      </w:r>
    </w:p>
    <w:p w14:paraId="04A84519" w14:textId="4D992753" w:rsidR="00AD537F" w:rsidRPr="00B40A77" w:rsidRDefault="00AD537F" w:rsidP="00AD537F">
      <w:pPr>
        <w:pStyle w:val="Hangindent"/>
        <w:ind w:left="567" w:firstLine="0"/>
        <w:rPr>
          <w:color w:val="000000" w:themeColor="text1"/>
        </w:rPr>
      </w:pPr>
      <w:r w:rsidRPr="00B40A77">
        <w:rPr>
          <w:b/>
          <w:i/>
          <w:color w:val="000000" w:themeColor="text1"/>
          <w:lang w:val="en-US"/>
        </w:rPr>
        <w:t xml:space="preserve">second appeal </w:t>
      </w:r>
      <w:r w:rsidRPr="00B40A77">
        <w:rPr>
          <w:color w:val="000000" w:themeColor="text1"/>
          <w:lang w:val="en-US"/>
        </w:rPr>
        <w:t>means a second or subsequent appeal under</w:t>
      </w:r>
      <w:r w:rsidRPr="00B40A77">
        <w:rPr>
          <w:rFonts w:cs="Times New Roman"/>
          <w:color w:val="000000" w:themeColor="text1"/>
        </w:rPr>
        <w:t>—</w:t>
      </w:r>
    </w:p>
    <w:p w14:paraId="466F8EB9" w14:textId="442AFC4B" w:rsidR="00AD537F" w:rsidRPr="00B40A77" w:rsidRDefault="00AD537F" w:rsidP="00AD537F">
      <w:pPr>
        <w:pStyle w:val="Hangindent"/>
        <w:rPr>
          <w:color w:val="000000" w:themeColor="text1"/>
          <w:lang w:val="en-US"/>
        </w:rPr>
      </w:pPr>
      <w:r w:rsidRPr="00B40A77">
        <w:rPr>
          <w:color w:val="000000" w:themeColor="text1"/>
          <w:lang w:val="en-US"/>
        </w:rPr>
        <w:t>(a)</w:t>
      </w:r>
      <w:r w:rsidRPr="00B40A77">
        <w:rPr>
          <w:color w:val="000000" w:themeColor="text1"/>
          <w:lang w:val="en-US"/>
        </w:rPr>
        <w:tab/>
        <w:t>section</w:t>
      </w:r>
      <w:r w:rsidR="00A40EF4" w:rsidRPr="00B40A77">
        <w:rPr>
          <w:color w:val="000000" w:themeColor="text1"/>
          <w:lang w:val="en-US"/>
        </w:rPr>
        <w:t> </w:t>
      </w:r>
      <w:r w:rsidR="00FB54F5" w:rsidRPr="00B40A77">
        <w:rPr>
          <w:color w:val="000000" w:themeColor="text1"/>
          <w:lang w:val="en-US"/>
        </w:rPr>
        <w:t xml:space="preserve">159 </w:t>
      </w:r>
      <w:r w:rsidRPr="00B40A77">
        <w:rPr>
          <w:color w:val="000000" w:themeColor="text1"/>
          <w:lang w:val="en-US"/>
        </w:rPr>
        <w:t xml:space="preserve">of the Procedure Act; </w:t>
      </w:r>
      <w:r w:rsidR="00FB54F5" w:rsidRPr="00B40A77">
        <w:rPr>
          <w:color w:val="000000" w:themeColor="text1"/>
          <w:lang w:val="en-US"/>
        </w:rPr>
        <w:t>or</w:t>
      </w:r>
    </w:p>
    <w:p w14:paraId="40C3235A" w14:textId="49CD2E45" w:rsidR="00AD537F" w:rsidRPr="00B40A77" w:rsidRDefault="00AD537F" w:rsidP="00AD537F">
      <w:pPr>
        <w:pStyle w:val="Hangindent"/>
        <w:rPr>
          <w:color w:val="000000" w:themeColor="text1"/>
          <w:lang w:val="en-US"/>
        </w:rPr>
      </w:pPr>
      <w:r w:rsidRPr="00B40A77">
        <w:rPr>
          <w:color w:val="000000" w:themeColor="text1"/>
          <w:lang w:val="en-US"/>
        </w:rPr>
        <w:t>(b)</w:t>
      </w:r>
      <w:r w:rsidRPr="00B40A77">
        <w:rPr>
          <w:color w:val="000000" w:themeColor="text1"/>
          <w:lang w:val="en-US"/>
        </w:rPr>
        <w:tab/>
        <w:t>section</w:t>
      </w:r>
      <w:r w:rsidR="00A40EF4" w:rsidRPr="00B40A77">
        <w:rPr>
          <w:color w:val="000000" w:themeColor="text1"/>
          <w:lang w:val="en-US"/>
        </w:rPr>
        <w:t> </w:t>
      </w:r>
      <w:r w:rsidR="00FB54F5" w:rsidRPr="00B40A77">
        <w:rPr>
          <w:color w:val="000000" w:themeColor="text1"/>
          <w:lang w:val="en-US"/>
        </w:rPr>
        <w:t xml:space="preserve">43A </w:t>
      </w:r>
      <w:r w:rsidRPr="00B40A77">
        <w:rPr>
          <w:color w:val="000000" w:themeColor="text1"/>
          <w:lang w:val="en-US"/>
        </w:rPr>
        <w:t xml:space="preserve">of the </w:t>
      </w:r>
      <w:r w:rsidR="00FB54F5" w:rsidRPr="00B40A77">
        <w:rPr>
          <w:i/>
          <w:color w:val="000000" w:themeColor="text1"/>
          <w:lang w:val="en-US"/>
        </w:rPr>
        <w:t>Magistrates Court Act 1991</w:t>
      </w:r>
      <w:r w:rsidRPr="00B40A77">
        <w:rPr>
          <w:color w:val="000000" w:themeColor="text1"/>
          <w:lang w:val="en-US"/>
        </w:rPr>
        <w:t>;</w:t>
      </w:r>
    </w:p>
    <w:p w14:paraId="2C942269" w14:textId="77777777" w:rsidR="00700FCC" w:rsidRPr="00B40A77" w:rsidRDefault="00DC3A1E" w:rsidP="00A17201">
      <w:pPr>
        <w:pStyle w:val="Hangindent"/>
        <w:keepNext/>
        <w:ind w:left="567" w:firstLine="0"/>
        <w:rPr>
          <w:color w:val="000000" w:themeColor="text1"/>
        </w:rPr>
      </w:pPr>
      <w:r w:rsidRPr="00B40A77">
        <w:rPr>
          <w:b/>
          <w:i/>
          <w:color w:val="000000" w:themeColor="text1"/>
          <w:lang w:val="en-US"/>
        </w:rPr>
        <w:lastRenderedPageBreak/>
        <w:t xml:space="preserve">sentence appeal </w:t>
      </w:r>
      <w:r w:rsidRPr="00B40A77">
        <w:rPr>
          <w:color w:val="000000" w:themeColor="text1"/>
          <w:lang w:val="en-US"/>
        </w:rPr>
        <w:t>means an appeal against or involving</w:t>
      </w:r>
      <w:r w:rsidR="00700FCC" w:rsidRPr="00B40A77">
        <w:rPr>
          <w:rFonts w:cs="Times New Roman"/>
          <w:color w:val="000000" w:themeColor="text1"/>
        </w:rPr>
        <w:t>—</w:t>
      </w:r>
    </w:p>
    <w:p w14:paraId="561636F6" w14:textId="25730917" w:rsidR="00700FCC" w:rsidRPr="00B40A77" w:rsidRDefault="00700FCC" w:rsidP="00700FCC">
      <w:pPr>
        <w:pStyle w:val="Hangindent"/>
        <w:rPr>
          <w:color w:val="000000" w:themeColor="text1"/>
          <w:lang w:val="en-US"/>
        </w:rPr>
      </w:pPr>
      <w:r w:rsidRPr="00B40A77">
        <w:rPr>
          <w:color w:val="000000" w:themeColor="text1"/>
          <w:lang w:val="en-US"/>
        </w:rPr>
        <w:t>(a)</w:t>
      </w:r>
      <w:r w:rsidRPr="00B40A77">
        <w:rPr>
          <w:color w:val="000000" w:themeColor="text1"/>
          <w:lang w:val="en-US"/>
        </w:rPr>
        <w:tab/>
      </w:r>
      <w:r w:rsidR="00DC3A1E" w:rsidRPr="00B40A77">
        <w:rPr>
          <w:color w:val="000000" w:themeColor="text1"/>
          <w:lang w:val="en-US"/>
        </w:rPr>
        <w:t xml:space="preserve">a </w:t>
      </w:r>
      <w:hyperlink w:anchor="_2.1—Definitions" w:history="1">
        <w:r w:rsidR="00340620" w:rsidRPr="00B40A77">
          <w:rPr>
            <w:rStyle w:val="Hyperlink"/>
            <w:color w:val="000000" w:themeColor="text1"/>
          </w:rPr>
          <w:t>sentence</w:t>
        </w:r>
      </w:hyperlink>
      <w:r w:rsidRPr="00B40A77">
        <w:rPr>
          <w:color w:val="000000" w:themeColor="text1"/>
          <w:lang w:val="en-US"/>
        </w:rPr>
        <w:t>;</w:t>
      </w:r>
    </w:p>
    <w:p w14:paraId="12FB28ED" w14:textId="49308176" w:rsidR="00345BC3" w:rsidRPr="00B40A77" w:rsidRDefault="00700FCC" w:rsidP="00700FCC">
      <w:pPr>
        <w:pStyle w:val="Hangindent"/>
        <w:rPr>
          <w:color w:val="000000" w:themeColor="text1"/>
          <w:lang w:val="en-US"/>
        </w:rPr>
      </w:pPr>
      <w:r w:rsidRPr="00B40A77">
        <w:rPr>
          <w:color w:val="000000" w:themeColor="text1"/>
          <w:lang w:val="en-US"/>
        </w:rPr>
        <w:t>(b)</w:t>
      </w:r>
      <w:r w:rsidRPr="00B40A77">
        <w:rPr>
          <w:color w:val="000000" w:themeColor="text1"/>
          <w:lang w:val="en-US"/>
        </w:rPr>
        <w:tab/>
      </w:r>
      <w:r w:rsidR="00345BC3" w:rsidRPr="00B40A77">
        <w:rPr>
          <w:color w:val="000000" w:themeColor="text1"/>
          <w:lang w:val="en-US"/>
        </w:rPr>
        <w:t xml:space="preserve">an </w:t>
      </w:r>
      <w:hyperlink w:anchor="_211.1—Definitions" w:history="1">
        <w:r w:rsidR="000D2BEB" w:rsidRPr="00B40A77">
          <w:rPr>
            <w:rStyle w:val="Hyperlink"/>
            <w:color w:val="000000" w:themeColor="text1"/>
            <w:lang w:val="en-US"/>
          </w:rPr>
          <w:t>ancillary order</w:t>
        </w:r>
      </w:hyperlink>
      <w:r w:rsidR="00365505" w:rsidRPr="00B40A77">
        <w:rPr>
          <w:color w:val="000000" w:themeColor="text1"/>
          <w:lang w:val="en-US"/>
        </w:rPr>
        <w:t>;</w:t>
      </w:r>
    </w:p>
    <w:p w14:paraId="1B787E58" w14:textId="00B39A19" w:rsidR="00700FCC" w:rsidRPr="00B40A77" w:rsidRDefault="00345BC3" w:rsidP="00700FCC">
      <w:pPr>
        <w:pStyle w:val="Hangindent"/>
        <w:rPr>
          <w:color w:val="000000" w:themeColor="text1"/>
        </w:rPr>
      </w:pPr>
      <w:r w:rsidRPr="00B40A77">
        <w:rPr>
          <w:color w:val="000000" w:themeColor="text1"/>
          <w:lang w:val="en-US"/>
        </w:rPr>
        <w:t>(c)</w:t>
      </w:r>
      <w:r w:rsidRPr="00B40A77">
        <w:rPr>
          <w:color w:val="000000" w:themeColor="text1"/>
          <w:lang w:val="en-US"/>
        </w:rPr>
        <w:tab/>
        <w:t xml:space="preserve">other </w:t>
      </w:r>
      <w:r w:rsidR="00DC3A1E" w:rsidRPr="00B40A77">
        <w:rPr>
          <w:color w:val="000000" w:themeColor="text1"/>
          <w:lang w:val="en-US"/>
        </w:rPr>
        <w:t xml:space="preserve">orders made after a </w:t>
      </w:r>
      <w:r w:rsidR="00700FCC" w:rsidRPr="00B40A77">
        <w:rPr>
          <w:color w:val="000000" w:themeColor="text1"/>
          <w:lang w:val="en-US"/>
        </w:rPr>
        <w:t xml:space="preserve">conviction or finding of guilt or </w:t>
      </w:r>
      <w:r w:rsidR="004C7108" w:rsidRPr="00B40A77">
        <w:rPr>
          <w:color w:val="000000" w:themeColor="text1"/>
          <w:lang w:val="en-US"/>
        </w:rPr>
        <w:t xml:space="preserve">a </w:t>
      </w:r>
      <w:r w:rsidR="00DC3A1E" w:rsidRPr="00B40A77">
        <w:rPr>
          <w:color w:val="000000" w:themeColor="text1"/>
          <w:lang w:val="en-US"/>
        </w:rPr>
        <w:t xml:space="preserve">determination that the </w:t>
      </w:r>
      <w:r w:rsidR="00DC3A1E" w:rsidRPr="00B40A77">
        <w:rPr>
          <w:color w:val="000000" w:themeColor="text1"/>
        </w:rPr>
        <w:t xml:space="preserve">objective elements of the offence charged are established and the defendant or youth </w:t>
      </w:r>
      <w:r w:rsidR="004C7108" w:rsidRPr="00B40A77">
        <w:rPr>
          <w:color w:val="000000" w:themeColor="text1"/>
        </w:rPr>
        <w:t xml:space="preserve">is </w:t>
      </w:r>
      <w:r w:rsidR="00DC3A1E" w:rsidRPr="00B40A77">
        <w:rPr>
          <w:color w:val="000000" w:themeColor="text1"/>
        </w:rPr>
        <w:t xml:space="preserve">either </w:t>
      </w:r>
      <w:hyperlink w:anchor="_2.1—Definitions" w:history="1">
        <w:r w:rsidR="00E9233A" w:rsidRPr="00B40A77">
          <w:rPr>
            <w:rStyle w:val="Hyperlink"/>
            <w:color w:val="000000" w:themeColor="text1"/>
            <w:lang w:val="en-US"/>
          </w:rPr>
          <w:t>unfit to stand trial</w:t>
        </w:r>
      </w:hyperlink>
      <w:r w:rsidR="00DC3A1E" w:rsidRPr="00B40A77">
        <w:rPr>
          <w:color w:val="000000" w:themeColor="text1"/>
        </w:rPr>
        <w:t xml:space="preserve"> or was </w:t>
      </w:r>
      <w:hyperlink w:anchor="_2.1—Definitions" w:history="1">
        <w:r w:rsidR="005A680E" w:rsidRPr="00B40A77">
          <w:rPr>
            <w:rStyle w:val="Hyperlink"/>
            <w:color w:val="000000" w:themeColor="text1"/>
            <w:lang w:val="en-US"/>
          </w:rPr>
          <w:t>mentally incompetent</w:t>
        </w:r>
      </w:hyperlink>
      <w:r w:rsidR="00DC3A1E" w:rsidRPr="00B40A77">
        <w:rPr>
          <w:color w:val="000000" w:themeColor="text1"/>
        </w:rPr>
        <w:t xml:space="preserve"> to commit an offence charged</w:t>
      </w:r>
      <w:r w:rsidR="00700FCC" w:rsidRPr="00B40A77">
        <w:rPr>
          <w:color w:val="000000" w:themeColor="text1"/>
        </w:rPr>
        <w:t>; or</w:t>
      </w:r>
    </w:p>
    <w:p w14:paraId="6CB73C09" w14:textId="6917D066" w:rsidR="00DC3A1E" w:rsidRPr="00B40A77" w:rsidRDefault="004810B4" w:rsidP="00700FCC">
      <w:pPr>
        <w:pStyle w:val="Hangindent"/>
        <w:rPr>
          <w:rFonts w:eastAsia="Calibri"/>
          <w:b/>
          <w:iCs/>
          <w:color w:val="000000" w:themeColor="text1"/>
          <w:szCs w:val="24"/>
          <w:lang w:val="en-US"/>
        </w:rPr>
      </w:pPr>
      <w:r w:rsidRPr="00B40A77">
        <w:rPr>
          <w:color w:val="000000" w:themeColor="text1"/>
        </w:rPr>
        <w:t>(d</w:t>
      </w:r>
      <w:r w:rsidR="00700FCC" w:rsidRPr="00B40A77">
        <w:rPr>
          <w:color w:val="000000" w:themeColor="text1"/>
        </w:rPr>
        <w:t>)</w:t>
      </w:r>
      <w:r w:rsidR="00700FCC" w:rsidRPr="00B40A77">
        <w:rPr>
          <w:color w:val="000000" w:themeColor="text1"/>
        </w:rPr>
        <w:tab/>
      </w:r>
      <w:r w:rsidRPr="00B40A77">
        <w:rPr>
          <w:color w:val="000000" w:themeColor="text1"/>
        </w:rPr>
        <w:t xml:space="preserve">a </w:t>
      </w:r>
      <w:r w:rsidR="00700FCC" w:rsidRPr="00B40A77">
        <w:rPr>
          <w:color w:val="000000" w:themeColor="text1"/>
        </w:rPr>
        <w:t xml:space="preserve">decision to defer sentencing </w:t>
      </w:r>
      <w:r w:rsidR="00BF2DE5" w:rsidRPr="00B40A77">
        <w:rPr>
          <w:color w:val="000000" w:themeColor="text1"/>
        </w:rPr>
        <w:t>within the meaning of</w:t>
      </w:r>
      <w:r w:rsidR="00700FCC" w:rsidRPr="00B40A77">
        <w:rPr>
          <w:color w:val="000000" w:themeColor="text1"/>
        </w:rPr>
        <w:t xml:space="preserve"> section</w:t>
      </w:r>
      <w:r w:rsidR="0038131A" w:rsidRPr="00B40A77">
        <w:rPr>
          <w:color w:val="000000" w:themeColor="text1"/>
        </w:rPr>
        <w:t> </w:t>
      </w:r>
      <w:r w:rsidR="00700FCC" w:rsidRPr="00B40A77">
        <w:rPr>
          <w:color w:val="000000" w:themeColor="text1"/>
        </w:rPr>
        <w:t xml:space="preserve">157(1)(a)(ii) of the </w:t>
      </w:r>
      <w:r w:rsidR="00A61F3B" w:rsidRPr="00B40A77">
        <w:rPr>
          <w:color w:val="000000" w:themeColor="text1"/>
        </w:rPr>
        <w:t>Consolidation</w:t>
      </w:r>
      <w:r w:rsidR="00700FCC" w:rsidRPr="00B40A77">
        <w:rPr>
          <w:color w:val="000000" w:themeColor="text1"/>
        </w:rPr>
        <w:t xml:space="preserve"> Act</w:t>
      </w:r>
      <w:r w:rsidR="006E73A3" w:rsidRPr="00B40A77">
        <w:rPr>
          <w:color w:val="000000" w:themeColor="text1"/>
        </w:rPr>
        <w:t>.</w:t>
      </w:r>
    </w:p>
    <w:p w14:paraId="37589CBE" w14:textId="389C28EF" w:rsidR="00372C09" w:rsidRPr="00B40A77" w:rsidRDefault="004810B4" w:rsidP="00372C09">
      <w:pPr>
        <w:pStyle w:val="Heading4"/>
        <w:rPr>
          <w:color w:val="000000" w:themeColor="text1"/>
        </w:rPr>
      </w:pPr>
      <w:bookmarkStart w:id="1023" w:name="_Toc175239318"/>
      <w:r w:rsidRPr="00B40A77">
        <w:rPr>
          <w:color w:val="000000" w:themeColor="text1"/>
        </w:rPr>
        <w:t>18</w:t>
      </w:r>
      <w:r w:rsidR="00787DD0" w:rsidRPr="00B40A77">
        <w:rPr>
          <w:color w:val="000000" w:themeColor="text1"/>
        </w:rPr>
        <w:t>1</w:t>
      </w:r>
      <w:r w:rsidR="00372C09" w:rsidRPr="00B40A77">
        <w:rPr>
          <w:color w:val="000000" w:themeColor="text1"/>
        </w:rPr>
        <w:t>.2—Service of documents</w:t>
      </w:r>
      <w:bookmarkEnd w:id="1023"/>
    </w:p>
    <w:p w14:paraId="5D81F7BE" w14:textId="77777777" w:rsidR="00372C09" w:rsidRPr="00B40A77" w:rsidRDefault="00372C09" w:rsidP="00372C09">
      <w:pPr>
        <w:pStyle w:val="Hangindent"/>
        <w:ind w:left="567" w:firstLine="0"/>
        <w:rPr>
          <w:rFonts w:cs="Times New Roman"/>
          <w:color w:val="000000" w:themeColor="text1"/>
        </w:rPr>
      </w:pPr>
      <w:r w:rsidRPr="00B40A77">
        <w:rPr>
          <w:rFonts w:cs="Times New Roman"/>
          <w:color w:val="000000" w:themeColor="text1"/>
        </w:rPr>
        <w:t>Unless the Court otherwise orders, any document that is to be served on a person in an appellate proceeding must be served</w:t>
      </w:r>
      <w:r w:rsidRPr="00B40A77">
        <w:rPr>
          <w:color w:val="000000" w:themeColor="text1"/>
        </w:rPr>
        <w:t>—</w:t>
      </w:r>
    </w:p>
    <w:p w14:paraId="5E0A223E" w14:textId="6AB54B07" w:rsidR="00372C09" w:rsidRPr="00B40A77" w:rsidRDefault="00372C09" w:rsidP="00372C09">
      <w:pPr>
        <w:pStyle w:val="Hangindent"/>
        <w:rPr>
          <w:color w:val="000000" w:themeColor="text1"/>
        </w:rPr>
      </w:pPr>
      <w:r w:rsidRPr="00B40A77">
        <w:rPr>
          <w:color w:val="000000" w:themeColor="text1"/>
        </w:rPr>
        <w:t>(a)</w:t>
      </w:r>
      <w:r w:rsidRPr="00B40A77">
        <w:rPr>
          <w:color w:val="000000" w:themeColor="text1"/>
        </w:rPr>
        <w:tab/>
        <w:t xml:space="preserve">if the person has an </w:t>
      </w:r>
      <w:hyperlink w:anchor="_2.1—Definitions" w:history="1">
        <w:r w:rsidRPr="00B40A77">
          <w:rPr>
            <w:rStyle w:val="Hyperlink"/>
            <w:color w:val="000000" w:themeColor="text1"/>
          </w:rPr>
          <w:t>address for service</w:t>
        </w:r>
      </w:hyperlink>
      <w:r w:rsidRPr="00B40A77">
        <w:rPr>
          <w:color w:val="000000" w:themeColor="text1"/>
        </w:rPr>
        <w:t xml:space="preserve"> in the appellate proceeding—by service at that </w:t>
      </w:r>
      <w:hyperlink w:anchor="_2.1—Definitions" w:history="1">
        <w:r w:rsidRPr="00B40A77">
          <w:rPr>
            <w:rStyle w:val="Hyperlink"/>
            <w:color w:val="000000" w:themeColor="text1"/>
          </w:rPr>
          <w:t>address for service</w:t>
        </w:r>
      </w:hyperlink>
      <w:r w:rsidRPr="00B40A77">
        <w:rPr>
          <w:color w:val="000000" w:themeColor="text1"/>
        </w:rPr>
        <w:t xml:space="preserve">; </w:t>
      </w:r>
    </w:p>
    <w:p w14:paraId="45D085C8" w14:textId="193743E0" w:rsidR="00372C09" w:rsidRPr="00B40A77" w:rsidRDefault="00372C09" w:rsidP="00372C09">
      <w:pPr>
        <w:pStyle w:val="Hangindent"/>
        <w:rPr>
          <w:color w:val="000000" w:themeColor="text1"/>
        </w:rPr>
      </w:pPr>
      <w:r w:rsidRPr="00B40A77">
        <w:rPr>
          <w:color w:val="000000" w:themeColor="text1"/>
        </w:rPr>
        <w:t>(b)</w:t>
      </w:r>
      <w:r w:rsidRPr="00B40A77">
        <w:rPr>
          <w:color w:val="000000" w:themeColor="text1"/>
        </w:rPr>
        <w:tab/>
        <w:t xml:space="preserve">if the person has an </w:t>
      </w:r>
      <w:hyperlink w:anchor="_2.1—Definitions" w:history="1">
        <w:r w:rsidRPr="00B40A77">
          <w:rPr>
            <w:rStyle w:val="Hyperlink"/>
            <w:color w:val="000000" w:themeColor="text1"/>
          </w:rPr>
          <w:t>address for service</w:t>
        </w:r>
      </w:hyperlink>
      <w:r w:rsidRPr="00B40A77">
        <w:rPr>
          <w:color w:val="000000" w:themeColor="text1"/>
        </w:rPr>
        <w:t xml:space="preserve"> in the underlying proceeding but not in the appellate proceeding—by service at that </w:t>
      </w:r>
      <w:hyperlink w:anchor="_2.1—Definitions" w:history="1">
        <w:r w:rsidRPr="00B40A77">
          <w:rPr>
            <w:rStyle w:val="Hyperlink"/>
            <w:color w:val="000000" w:themeColor="text1"/>
          </w:rPr>
          <w:t>address for service</w:t>
        </w:r>
      </w:hyperlink>
      <w:r w:rsidRPr="00B40A77">
        <w:rPr>
          <w:color w:val="000000" w:themeColor="text1"/>
        </w:rPr>
        <w:t>; or</w:t>
      </w:r>
    </w:p>
    <w:p w14:paraId="6BA91AA7" w14:textId="70C91687" w:rsidR="00372C09" w:rsidRPr="00B40A77" w:rsidRDefault="00372C09" w:rsidP="00372C09">
      <w:pPr>
        <w:pStyle w:val="Hangindent"/>
        <w:rPr>
          <w:color w:val="000000" w:themeColor="text1"/>
        </w:rPr>
      </w:pPr>
      <w:r w:rsidRPr="00B40A77">
        <w:rPr>
          <w:color w:val="000000" w:themeColor="text1"/>
        </w:rPr>
        <w:t>(c)</w:t>
      </w:r>
      <w:r w:rsidRPr="00B40A77">
        <w:rPr>
          <w:color w:val="000000" w:themeColor="text1"/>
        </w:rPr>
        <w:tab/>
        <w:t xml:space="preserve">in any other case—by </w:t>
      </w:r>
      <w:hyperlink w:anchor="_33.7—Original_service" w:history="1">
        <w:hyperlink w:anchor="_33.7—Original_service" w:history="1">
          <w:r w:rsidR="003A1982" w:rsidRPr="00B40A77">
            <w:rPr>
              <w:rStyle w:val="Hyperlink"/>
              <w:color w:val="000000" w:themeColor="text1"/>
            </w:rPr>
            <w:t>original service</w:t>
          </w:r>
        </w:hyperlink>
      </w:hyperlink>
      <w:r w:rsidRPr="00B40A77">
        <w:rPr>
          <w:color w:val="000000" w:themeColor="text1"/>
        </w:rPr>
        <w:t>.</w:t>
      </w:r>
    </w:p>
    <w:p w14:paraId="11869765" w14:textId="0A4C415D" w:rsidR="00D90A72" w:rsidRPr="00B40A77" w:rsidRDefault="00D90A72" w:rsidP="00D90A72">
      <w:pPr>
        <w:pStyle w:val="Heading4"/>
        <w:rPr>
          <w:color w:val="000000" w:themeColor="text1"/>
        </w:rPr>
      </w:pPr>
      <w:bookmarkStart w:id="1024" w:name="_Toc175239319"/>
      <w:r w:rsidRPr="00B40A77">
        <w:rPr>
          <w:color w:val="000000" w:themeColor="text1"/>
        </w:rPr>
        <w:t xml:space="preserve">181.3—Records of </w:t>
      </w:r>
      <w:r w:rsidR="00155F75" w:rsidRPr="00B40A77">
        <w:rPr>
          <w:color w:val="000000" w:themeColor="text1"/>
        </w:rPr>
        <w:t>O</w:t>
      </w:r>
      <w:r w:rsidRPr="00B40A77">
        <w:rPr>
          <w:color w:val="000000" w:themeColor="text1"/>
        </w:rPr>
        <w:t>utcome</w:t>
      </w:r>
      <w:bookmarkEnd w:id="1024"/>
    </w:p>
    <w:p w14:paraId="607F9802" w14:textId="6D721D12" w:rsidR="008725A5" w:rsidRPr="00B40A77" w:rsidRDefault="008725A5" w:rsidP="00B90C7E">
      <w:pPr>
        <w:pStyle w:val="Hangindent"/>
        <w:keepNext/>
        <w:rPr>
          <w:color w:val="000000" w:themeColor="text1"/>
        </w:rPr>
      </w:pPr>
      <w:r w:rsidRPr="00B40A77">
        <w:rPr>
          <w:color w:val="000000" w:themeColor="text1"/>
        </w:rPr>
        <w:t>(1)</w:t>
      </w:r>
      <w:r w:rsidRPr="00B40A77">
        <w:rPr>
          <w:color w:val="000000" w:themeColor="text1"/>
        </w:rPr>
        <w:tab/>
        <w:t>The record of outcome of a</w:t>
      </w:r>
      <w:r w:rsidR="001953DB" w:rsidRPr="00B40A77">
        <w:rPr>
          <w:color w:val="000000" w:themeColor="text1"/>
        </w:rPr>
        <w:t>n</w:t>
      </w:r>
      <w:r w:rsidRPr="00B40A77">
        <w:rPr>
          <w:color w:val="000000" w:themeColor="text1"/>
        </w:rPr>
        <w:t xml:space="preserve"> </w:t>
      </w:r>
      <w:hyperlink w:anchor="_211.1—Definitions" w:history="1">
        <w:r w:rsidRPr="00B40A77">
          <w:rPr>
            <w:rStyle w:val="Hyperlink"/>
            <w:color w:val="000000" w:themeColor="text1"/>
          </w:rPr>
          <w:t xml:space="preserve">appellate </w:t>
        </w:r>
        <w:r w:rsidR="001953DB" w:rsidRPr="00B40A77">
          <w:rPr>
            <w:rStyle w:val="Hyperlink"/>
            <w:color w:val="000000" w:themeColor="text1"/>
          </w:rPr>
          <w:t>hearing</w:t>
        </w:r>
      </w:hyperlink>
      <w:r w:rsidR="001953DB" w:rsidRPr="00B40A77">
        <w:rPr>
          <w:color w:val="000000" w:themeColor="text1"/>
        </w:rPr>
        <w:t xml:space="preserve"> </w:t>
      </w:r>
      <w:r w:rsidRPr="00B40A77">
        <w:rPr>
          <w:color w:val="000000" w:themeColor="text1"/>
        </w:rPr>
        <w:t>must be in the prescribed form.</w:t>
      </w:r>
    </w:p>
    <w:p w14:paraId="3B2F4097" w14:textId="51A2D104" w:rsidR="008725A5" w:rsidRPr="00B40A77" w:rsidRDefault="008725A5" w:rsidP="00B90C7E">
      <w:pPr>
        <w:pStyle w:val="NoteHeader"/>
        <w:keepNext/>
        <w:rPr>
          <w:color w:val="000000" w:themeColor="text1"/>
        </w:rPr>
      </w:pPr>
      <w:r w:rsidRPr="00B40A77">
        <w:rPr>
          <w:color w:val="000000" w:themeColor="text1"/>
        </w:rPr>
        <w:t>Prescribed form—</w:t>
      </w:r>
    </w:p>
    <w:p w14:paraId="1ECDA378" w14:textId="4DD22842" w:rsidR="008725A5" w:rsidRPr="00B40A77" w:rsidRDefault="00CE14A9" w:rsidP="008725A5">
      <w:pPr>
        <w:pStyle w:val="NoteText"/>
        <w:rPr>
          <w:color w:val="000000" w:themeColor="text1"/>
          <w:u w:val="single"/>
        </w:rPr>
      </w:pPr>
      <w:r w:rsidRPr="00B40A77">
        <w:rPr>
          <w:color w:val="000000" w:themeColor="text1"/>
        </w:rPr>
        <w:t xml:space="preserve">Form </w:t>
      </w:r>
      <w:r w:rsidR="00A32223" w:rsidRPr="00B40A77">
        <w:rPr>
          <w:color w:val="000000" w:themeColor="text1"/>
        </w:rPr>
        <w:t>19</w:t>
      </w:r>
      <w:r w:rsidR="00D72220" w:rsidRPr="00B40A77">
        <w:rPr>
          <w:color w:val="000000" w:themeColor="text1"/>
        </w:rPr>
        <w:t>8</w:t>
      </w:r>
      <w:r w:rsidR="008725A5" w:rsidRPr="00B40A77">
        <w:rPr>
          <w:color w:val="000000" w:themeColor="text1"/>
        </w:rPr>
        <w:t xml:space="preserve"> </w:t>
      </w:r>
      <w:hyperlink r:id="rId376" w:history="1">
        <w:r w:rsidR="008725A5" w:rsidRPr="00B40A77">
          <w:rPr>
            <w:rStyle w:val="Hyperlink"/>
            <w:color w:val="000000" w:themeColor="text1"/>
          </w:rPr>
          <w:t>Record of Outcome</w:t>
        </w:r>
      </w:hyperlink>
    </w:p>
    <w:p w14:paraId="60AB9CEF" w14:textId="125F5B66" w:rsidR="008725A5" w:rsidRPr="00B40A77" w:rsidRDefault="008725A5" w:rsidP="00B90C7E">
      <w:pPr>
        <w:pStyle w:val="Hangindent"/>
        <w:keepNext/>
        <w:rPr>
          <w:color w:val="000000" w:themeColor="text1"/>
        </w:rPr>
      </w:pPr>
      <w:r w:rsidRPr="00B40A77">
        <w:rPr>
          <w:color w:val="000000" w:themeColor="text1"/>
        </w:rPr>
        <w:t>(2)</w:t>
      </w:r>
      <w:r w:rsidRPr="00B40A77">
        <w:rPr>
          <w:color w:val="000000" w:themeColor="text1"/>
        </w:rPr>
        <w:tab/>
        <w:t xml:space="preserve">A formal order in respect of an </w:t>
      </w:r>
      <w:hyperlink w:anchor="_211.1—Definitions" w:history="1">
        <w:r w:rsidR="001953DB" w:rsidRPr="00B40A77">
          <w:rPr>
            <w:rStyle w:val="Hyperlink"/>
            <w:color w:val="000000" w:themeColor="text1"/>
          </w:rPr>
          <w:t>appellate hearing</w:t>
        </w:r>
      </w:hyperlink>
      <w:r w:rsidR="001953DB" w:rsidRPr="00B40A77">
        <w:rPr>
          <w:color w:val="000000" w:themeColor="text1"/>
        </w:rPr>
        <w:t xml:space="preserve"> </w:t>
      </w:r>
      <w:r w:rsidRPr="00B40A77">
        <w:rPr>
          <w:color w:val="000000" w:themeColor="text1"/>
        </w:rPr>
        <w:t>must be in the prescribed form.</w:t>
      </w:r>
    </w:p>
    <w:p w14:paraId="2D5A44C9" w14:textId="6E3958DF" w:rsidR="008725A5" w:rsidRPr="00B40A77" w:rsidRDefault="008725A5" w:rsidP="00B90C7E">
      <w:pPr>
        <w:pStyle w:val="NoteHeader"/>
        <w:keepNext/>
        <w:rPr>
          <w:color w:val="000000" w:themeColor="text1"/>
        </w:rPr>
      </w:pPr>
      <w:r w:rsidRPr="00B40A77">
        <w:rPr>
          <w:color w:val="000000" w:themeColor="text1"/>
        </w:rPr>
        <w:t>Prescribed form—</w:t>
      </w:r>
    </w:p>
    <w:p w14:paraId="535D4BBE" w14:textId="6F420F59" w:rsidR="008725A5" w:rsidRPr="00B40A77" w:rsidRDefault="00CE14A9" w:rsidP="00B90C7E">
      <w:pPr>
        <w:pStyle w:val="NoteText"/>
        <w:keepNext/>
        <w:rPr>
          <w:color w:val="000000" w:themeColor="text1"/>
        </w:rPr>
      </w:pPr>
      <w:r w:rsidRPr="00B40A77">
        <w:rPr>
          <w:color w:val="000000" w:themeColor="text1"/>
        </w:rPr>
        <w:t xml:space="preserve">Form </w:t>
      </w:r>
      <w:r w:rsidR="00A32223" w:rsidRPr="00B40A77">
        <w:rPr>
          <w:color w:val="000000" w:themeColor="text1"/>
        </w:rPr>
        <w:t>19</w:t>
      </w:r>
      <w:r w:rsidR="00D72220" w:rsidRPr="00B40A77">
        <w:rPr>
          <w:color w:val="000000" w:themeColor="text1"/>
        </w:rPr>
        <w:t>9</w:t>
      </w:r>
      <w:r w:rsidR="008725A5" w:rsidRPr="00B40A77">
        <w:rPr>
          <w:color w:val="000000" w:themeColor="text1"/>
        </w:rPr>
        <w:t xml:space="preserve"> </w:t>
      </w:r>
      <w:hyperlink r:id="rId377" w:history="1">
        <w:r w:rsidR="008725A5" w:rsidRPr="00B40A77">
          <w:rPr>
            <w:rStyle w:val="Hyperlink"/>
            <w:color w:val="000000" w:themeColor="text1"/>
          </w:rPr>
          <w:t>Order</w:t>
        </w:r>
      </w:hyperlink>
    </w:p>
    <w:p w14:paraId="4654D920" w14:textId="5453CB7B" w:rsidR="00D90A72" w:rsidRPr="00B40A77" w:rsidRDefault="00CE14A9" w:rsidP="00CE14A9">
      <w:pPr>
        <w:pStyle w:val="NoteText"/>
        <w:rPr>
          <w:color w:val="000000" w:themeColor="text1"/>
        </w:rPr>
      </w:pPr>
      <w:r w:rsidRPr="00B40A77">
        <w:rPr>
          <w:color w:val="000000" w:themeColor="text1"/>
        </w:rPr>
        <w:t>Form 19</w:t>
      </w:r>
      <w:r w:rsidR="00D72220" w:rsidRPr="00B40A77">
        <w:rPr>
          <w:color w:val="000000" w:themeColor="text1"/>
        </w:rPr>
        <w:t>9</w:t>
      </w:r>
      <w:r w:rsidRPr="00B40A77">
        <w:rPr>
          <w:color w:val="000000" w:themeColor="text1"/>
        </w:rPr>
        <w:t xml:space="preserve">Y </w:t>
      </w:r>
      <w:hyperlink r:id="rId378" w:history="1">
        <w:r w:rsidR="006A01D7" w:rsidRPr="00B40A77">
          <w:rPr>
            <w:rStyle w:val="Hyperlink"/>
            <w:color w:val="000000" w:themeColor="text1"/>
          </w:rPr>
          <w:t>Or</w:t>
        </w:r>
        <w:r w:rsidRPr="00B40A77">
          <w:rPr>
            <w:rStyle w:val="Hyperlink"/>
            <w:color w:val="000000" w:themeColor="text1"/>
          </w:rPr>
          <w:t xml:space="preserve">der </w:t>
        </w:r>
        <w:r w:rsidR="00D72220" w:rsidRPr="00B40A77">
          <w:rPr>
            <w:rStyle w:val="Hyperlink"/>
            <w:color w:val="000000" w:themeColor="text1"/>
          </w:rPr>
          <w:t xml:space="preserve">– </w:t>
        </w:r>
        <w:r w:rsidRPr="00B40A77">
          <w:rPr>
            <w:rStyle w:val="Hyperlink"/>
            <w:color w:val="000000" w:themeColor="text1"/>
          </w:rPr>
          <w:t>Youth Court Interlocutory Appeal</w:t>
        </w:r>
      </w:hyperlink>
    </w:p>
    <w:p w14:paraId="37E161C9" w14:textId="3944CCA5" w:rsidR="00FA064C" w:rsidRPr="00B40A77" w:rsidRDefault="00FA064C" w:rsidP="00D45D85">
      <w:pPr>
        <w:pStyle w:val="Heading2"/>
        <w:keepNext/>
        <w:rPr>
          <w:color w:val="000000" w:themeColor="text1"/>
        </w:rPr>
      </w:pPr>
      <w:bookmarkStart w:id="1025" w:name="_Part_3—Bail_reviews:"/>
      <w:bookmarkStart w:id="1026" w:name="_Part_23—Bail_reviews:"/>
      <w:bookmarkStart w:id="1027" w:name="_Toc60133616"/>
      <w:bookmarkStart w:id="1028" w:name="_Toc175239320"/>
      <w:bookmarkStart w:id="1029" w:name="_Toc25920228"/>
      <w:bookmarkEnd w:id="1025"/>
      <w:bookmarkEnd w:id="1026"/>
      <w:r w:rsidRPr="00B40A77">
        <w:rPr>
          <w:color w:val="000000" w:themeColor="text1"/>
        </w:rPr>
        <w:t xml:space="preserve">Part </w:t>
      </w:r>
      <w:r w:rsidR="001345DA" w:rsidRPr="00B40A77">
        <w:rPr>
          <w:color w:val="000000" w:themeColor="text1"/>
        </w:rPr>
        <w:t>2</w:t>
      </w:r>
      <w:r w:rsidRPr="00B40A77">
        <w:rPr>
          <w:color w:val="000000" w:themeColor="text1"/>
        </w:rPr>
        <w:t>—Bail reviews</w:t>
      </w:r>
      <w:bookmarkEnd w:id="1027"/>
      <w:r w:rsidRPr="00B40A77">
        <w:rPr>
          <w:color w:val="000000" w:themeColor="text1"/>
        </w:rPr>
        <w:t>: Supreme Court</w:t>
      </w:r>
      <w:bookmarkEnd w:id="1028"/>
    </w:p>
    <w:p w14:paraId="5C713183" w14:textId="71DE44F3" w:rsidR="00FA064C" w:rsidRPr="00B40A77" w:rsidRDefault="00203DE4" w:rsidP="00775C7D">
      <w:pPr>
        <w:pStyle w:val="Heading4"/>
        <w:rPr>
          <w:color w:val="000000" w:themeColor="text1"/>
        </w:rPr>
      </w:pPr>
      <w:bookmarkStart w:id="1030" w:name="_Toc60133617"/>
      <w:bookmarkStart w:id="1031" w:name="_Toc175239321"/>
      <w:r w:rsidRPr="00B40A77">
        <w:rPr>
          <w:color w:val="000000" w:themeColor="text1"/>
        </w:rPr>
        <w:t>18</w:t>
      </w:r>
      <w:r w:rsidR="00770BCD" w:rsidRPr="00B40A77">
        <w:rPr>
          <w:color w:val="000000" w:themeColor="text1"/>
        </w:rPr>
        <w:t>3</w:t>
      </w:r>
      <w:r w:rsidR="00B245DE" w:rsidRPr="00B40A77">
        <w:rPr>
          <w:color w:val="000000" w:themeColor="text1"/>
        </w:rPr>
        <w:t>.1</w:t>
      </w:r>
      <w:r w:rsidR="00FA064C" w:rsidRPr="00B40A77">
        <w:rPr>
          <w:color w:val="000000" w:themeColor="text1"/>
        </w:rPr>
        <w:t xml:space="preserve">—Application of </w:t>
      </w:r>
      <w:bookmarkEnd w:id="1030"/>
      <w:r w:rsidR="00FA064C" w:rsidRPr="00B40A77">
        <w:rPr>
          <w:color w:val="000000" w:themeColor="text1"/>
        </w:rPr>
        <w:t>Part</w:t>
      </w:r>
      <w:bookmarkEnd w:id="1031"/>
    </w:p>
    <w:p w14:paraId="7D855217" w14:textId="425AB672" w:rsidR="00FA064C" w:rsidRPr="00B40A77" w:rsidRDefault="00FA064C" w:rsidP="00FA064C">
      <w:pPr>
        <w:pStyle w:val="IndentedPara"/>
        <w:rPr>
          <w:color w:val="000000" w:themeColor="text1"/>
        </w:rPr>
      </w:pPr>
      <w:r w:rsidRPr="00B40A77">
        <w:rPr>
          <w:color w:val="000000" w:themeColor="text1"/>
        </w:rPr>
        <w:t xml:space="preserve">This Part applies to the review </w:t>
      </w:r>
      <w:r w:rsidR="00FF3FC7" w:rsidRPr="00B40A77">
        <w:rPr>
          <w:color w:val="000000" w:themeColor="text1"/>
        </w:rPr>
        <w:t xml:space="preserve">of bail decisions </w:t>
      </w:r>
      <w:r w:rsidRPr="00B40A77">
        <w:rPr>
          <w:color w:val="000000" w:themeColor="text1"/>
        </w:rPr>
        <w:t>by the Supreme Court under Part</w:t>
      </w:r>
      <w:r w:rsidR="00FF3FC7" w:rsidRPr="00B40A77">
        <w:rPr>
          <w:color w:val="000000" w:themeColor="text1"/>
        </w:rPr>
        <w:t> </w:t>
      </w:r>
      <w:r w:rsidRPr="00B40A77">
        <w:rPr>
          <w:color w:val="000000" w:themeColor="text1"/>
        </w:rPr>
        <w:t xml:space="preserve">4 of the </w:t>
      </w:r>
      <w:r w:rsidR="00D62524" w:rsidRPr="00B40A77">
        <w:rPr>
          <w:color w:val="000000" w:themeColor="text1"/>
        </w:rPr>
        <w:t xml:space="preserve">Bail Act </w:t>
      </w:r>
      <w:r w:rsidRPr="00B40A77">
        <w:rPr>
          <w:color w:val="000000" w:themeColor="text1"/>
        </w:rPr>
        <w:t>or under Part</w:t>
      </w:r>
      <w:r w:rsidR="00FF3FC7" w:rsidRPr="00B40A77">
        <w:rPr>
          <w:color w:val="000000" w:themeColor="text1"/>
        </w:rPr>
        <w:t> </w:t>
      </w:r>
      <w:r w:rsidRPr="00B40A77">
        <w:rPr>
          <w:color w:val="000000" w:themeColor="text1"/>
        </w:rPr>
        <w:t>5 of the Service and Execution of Process Act.</w:t>
      </w:r>
    </w:p>
    <w:p w14:paraId="7EAB44F2" w14:textId="6E4CB44C" w:rsidR="00FA064C" w:rsidRPr="00B40A77" w:rsidRDefault="00203DE4" w:rsidP="00775C7D">
      <w:pPr>
        <w:pStyle w:val="Heading4"/>
        <w:rPr>
          <w:color w:val="000000" w:themeColor="text1"/>
        </w:rPr>
      </w:pPr>
      <w:bookmarkStart w:id="1032" w:name="_Toc60133618"/>
      <w:bookmarkStart w:id="1033" w:name="_Toc175239322"/>
      <w:r w:rsidRPr="00B40A77">
        <w:rPr>
          <w:color w:val="000000" w:themeColor="text1"/>
        </w:rPr>
        <w:t>18</w:t>
      </w:r>
      <w:r w:rsidR="00770BCD" w:rsidRPr="00B40A77">
        <w:rPr>
          <w:color w:val="000000" w:themeColor="text1"/>
        </w:rPr>
        <w:t>3</w:t>
      </w:r>
      <w:r w:rsidR="00B245DE" w:rsidRPr="00B40A77">
        <w:rPr>
          <w:color w:val="000000" w:themeColor="text1"/>
        </w:rPr>
        <w:t>.2</w:t>
      </w:r>
      <w:r w:rsidR="00D31BA3" w:rsidRPr="00B40A77">
        <w:rPr>
          <w:color w:val="000000" w:themeColor="text1"/>
        </w:rPr>
        <w:t>—Notice of</w:t>
      </w:r>
      <w:r w:rsidR="00FA064C" w:rsidRPr="00B40A77">
        <w:rPr>
          <w:color w:val="000000" w:themeColor="text1"/>
        </w:rPr>
        <w:t xml:space="preserve"> review</w:t>
      </w:r>
      <w:bookmarkEnd w:id="1032"/>
      <w:bookmarkEnd w:id="1033"/>
    </w:p>
    <w:p w14:paraId="0B80FD37" w14:textId="2DB21B28" w:rsidR="00FA064C" w:rsidRPr="00B40A77" w:rsidRDefault="00FA064C" w:rsidP="00B90C7E">
      <w:pPr>
        <w:pStyle w:val="Hangindent"/>
        <w:keepNext/>
        <w:rPr>
          <w:color w:val="000000" w:themeColor="text1"/>
        </w:rPr>
      </w:pPr>
      <w:r w:rsidRPr="00B40A77">
        <w:rPr>
          <w:color w:val="000000" w:themeColor="text1"/>
        </w:rPr>
        <w:t>(1)</w:t>
      </w:r>
      <w:r w:rsidRPr="00B40A77">
        <w:rPr>
          <w:color w:val="000000" w:themeColor="text1"/>
        </w:rPr>
        <w:tab/>
        <w:t xml:space="preserve">An application for review </w:t>
      </w:r>
      <w:r w:rsidRPr="00B40A77">
        <w:rPr>
          <w:color w:val="000000" w:themeColor="text1"/>
          <w:szCs w:val="24"/>
        </w:rPr>
        <w:t xml:space="preserve">of a decision of a </w:t>
      </w:r>
      <w:hyperlink w:anchor="_2.1—Definitions" w:history="1">
        <w:r w:rsidRPr="00B40A77">
          <w:rPr>
            <w:rStyle w:val="Hyperlink"/>
            <w:color w:val="000000" w:themeColor="text1"/>
            <w:szCs w:val="24"/>
          </w:rPr>
          <w:t>bail authority</w:t>
        </w:r>
      </w:hyperlink>
      <w:r w:rsidRPr="00B40A77">
        <w:rPr>
          <w:color w:val="000000" w:themeColor="text1"/>
          <w:szCs w:val="24"/>
        </w:rPr>
        <w:t xml:space="preserve"> </w:t>
      </w:r>
      <w:r w:rsidRPr="00B40A77">
        <w:rPr>
          <w:color w:val="000000" w:themeColor="text1"/>
        </w:rPr>
        <w:t>under section</w:t>
      </w:r>
      <w:r w:rsidR="00FF3FC7" w:rsidRPr="00B40A77">
        <w:rPr>
          <w:color w:val="000000" w:themeColor="text1"/>
        </w:rPr>
        <w:t> </w:t>
      </w:r>
      <w:r w:rsidRPr="00B40A77">
        <w:rPr>
          <w:color w:val="000000" w:themeColor="text1"/>
        </w:rPr>
        <w:t xml:space="preserve">14(2)(a) of the </w:t>
      </w:r>
      <w:r w:rsidR="00D62524" w:rsidRPr="00B40A77">
        <w:rPr>
          <w:color w:val="000000" w:themeColor="text1"/>
        </w:rPr>
        <w:t xml:space="preserve">Bail Act </w:t>
      </w:r>
      <w:r w:rsidR="00A57D5D" w:rsidRPr="00B40A77">
        <w:rPr>
          <w:color w:val="000000" w:themeColor="text1"/>
        </w:rPr>
        <w:t>must</w:t>
      </w:r>
      <w:r w:rsidRPr="00B40A77">
        <w:rPr>
          <w:color w:val="000000" w:themeColor="text1"/>
        </w:rPr>
        <w:t xml:space="preserve"> be made by </w:t>
      </w:r>
      <w:r w:rsidR="007E048F" w:rsidRPr="00B40A77">
        <w:rPr>
          <w:color w:val="000000" w:themeColor="text1"/>
        </w:rPr>
        <w:t>a notice of review in the prescrib</w:t>
      </w:r>
      <w:r w:rsidRPr="00B40A77">
        <w:rPr>
          <w:color w:val="000000" w:themeColor="text1"/>
        </w:rPr>
        <w:t>ed form.</w:t>
      </w:r>
    </w:p>
    <w:p w14:paraId="1EF3EC60" w14:textId="77777777" w:rsidR="00E960DF" w:rsidRPr="00B40A77" w:rsidRDefault="00E960DF" w:rsidP="00B90C7E">
      <w:pPr>
        <w:pStyle w:val="NoteHeader"/>
        <w:keepNext/>
        <w:rPr>
          <w:color w:val="000000" w:themeColor="text1"/>
        </w:rPr>
      </w:pPr>
      <w:r w:rsidRPr="00B40A77">
        <w:rPr>
          <w:color w:val="000000" w:themeColor="text1"/>
        </w:rPr>
        <w:t>Prescribed form—</w:t>
      </w:r>
    </w:p>
    <w:p w14:paraId="0EBFF2B9" w14:textId="24C88F78" w:rsidR="00E960DF" w:rsidRPr="00B40A77" w:rsidRDefault="00E960DF" w:rsidP="003412A9">
      <w:pPr>
        <w:pStyle w:val="NoteText"/>
        <w:rPr>
          <w:color w:val="000000" w:themeColor="text1"/>
          <w:lang w:val="en-US"/>
        </w:rPr>
      </w:pPr>
      <w:r w:rsidRPr="00B40A77">
        <w:rPr>
          <w:color w:val="000000" w:themeColor="text1"/>
        </w:rPr>
        <w:t xml:space="preserve">Form 181 </w:t>
      </w:r>
      <w:hyperlink r:id="rId379" w:history="1">
        <w:r w:rsidRPr="00B40A77">
          <w:rPr>
            <w:rStyle w:val="Hyperlink"/>
            <w:color w:val="000000" w:themeColor="text1"/>
            <w:lang w:val="en-US"/>
          </w:rPr>
          <w:t xml:space="preserve">Notice of </w:t>
        </w:r>
        <w:r w:rsidR="00D72220" w:rsidRPr="00B40A77">
          <w:rPr>
            <w:rStyle w:val="Hyperlink"/>
            <w:color w:val="000000" w:themeColor="text1"/>
            <w:lang w:val="en-US"/>
          </w:rPr>
          <w:t>R</w:t>
        </w:r>
        <w:r w:rsidRPr="00B40A77">
          <w:rPr>
            <w:rStyle w:val="Hyperlink"/>
            <w:color w:val="000000" w:themeColor="text1"/>
            <w:lang w:val="en-US"/>
          </w:rPr>
          <w:t xml:space="preserve">eview – </w:t>
        </w:r>
        <w:r w:rsidR="00D72220" w:rsidRPr="00B40A77">
          <w:rPr>
            <w:rStyle w:val="Hyperlink"/>
            <w:color w:val="000000" w:themeColor="text1"/>
            <w:lang w:val="en-US"/>
          </w:rPr>
          <w:t>B</w:t>
        </w:r>
        <w:r w:rsidRPr="00B40A77">
          <w:rPr>
            <w:rStyle w:val="Hyperlink"/>
            <w:color w:val="000000" w:themeColor="text1"/>
            <w:lang w:val="en-US"/>
          </w:rPr>
          <w:t xml:space="preserve">ail </w:t>
        </w:r>
        <w:r w:rsidR="00D72220" w:rsidRPr="00B40A77">
          <w:rPr>
            <w:rStyle w:val="Hyperlink"/>
            <w:color w:val="000000" w:themeColor="text1"/>
            <w:lang w:val="en-US"/>
          </w:rPr>
          <w:t>Review</w:t>
        </w:r>
      </w:hyperlink>
    </w:p>
    <w:p w14:paraId="145E82DE" w14:textId="1D031D59" w:rsidR="00FA064C" w:rsidRPr="00B40A77" w:rsidRDefault="00E960DF" w:rsidP="00B90C7E">
      <w:pPr>
        <w:pStyle w:val="Hangindent"/>
        <w:keepNext/>
        <w:rPr>
          <w:color w:val="000000" w:themeColor="text1"/>
        </w:rPr>
      </w:pPr>
      <w:r w:rsidRPr="00B40A77">
        <w:rPr>
          <w:color w:val="000000" w:themeColor="text1"/>
        </w:rPr>
        <w:lastRenderedPageBreak/>
        <w:t>(2</w:t>
      </w:r>
      <w:r w:rsidR="00FA064C" w:rsidRPr="00B40A77">
        <w:rPr>
          <w:color w:val="000000" w:themeColor="text1"/>
        </w:rPr>
        <w:t>)</w:t>
      </w:r>
      <w:r w:rsidR="00FA064C" w:rsidRPr="00B40A77">
        <w:rPr>
          <w:color w:val="000000" w:themeColor="text1"/>
        </w:rPr>
        <w:tab/>
        <w:t xml:space="preserve">An application for review </w:t>
      </w:r>
      <w:r w:rsidR="00FA064C" w:rsidRPr="00B40A77">
        <w:rPr>
          <w:color w:val="000000" w:themeColor="text1"/>
          <w:szCs w:val="24"/>
        </w:rPr>
        <w:t xml:space="preserve">of a decision of a Magistrate </w:t>
      </w:r>
      <w:r w:rsidR="00FA064C" w:rsidRPr="00B40A77">
        <w:rPr>
          <w:color w:val="000000" w:themeColor="text1"/>
        </w:rPr>
        <w:t>under section</w:t>
      </w:r>
      <w:r w:rsidR="00FF3FC7" w:rsidRPr="00B40A77">
        <w:rPr>
          <w:color w:val="000000" w:themeColor="text1"/>
        </w:rPr>
        <w:t> </w:t>
      </w:r>
      <w:r w:rsidR="00FA064C" w:rsidRPr="00B40A77">
        <w:rPr>
          <w:color w:val="000000" w:themeColor="text1"/>
        </w:rPr>
        <w:t>86 of the Service a</w:t>
      </w:r>
      <w:r w:rsidR="007E048F" w:rsidRPr="00B40A77">
        <w:rPr>
          <w:color w:val="000000" w:themeColor="text1"/>
        </w:rPr>
        <w:t>nd Execution of Process Act must</w:t>
      </w:r>
      <w:r w:rsidR="00FA064C" w:rsidRPr="00B40A77">
        <w:rPr>
          <w:color w:val="000000" w:themeColor="text1"/>
        </w:rPr>
        <w:t xml:space="preserve"> be made by </w:t>
      </w:r>
      <w:r w:rsidR="007E048F" w:rsidRPr="00B40A77">
        <w:rPr>
          <w:color w:val="000000" w:themeColor="text1"/>
        </w:rPr>
        <w:t>a notice of review in the prescribed form</w:t>
      </w:r>
      <w:r w:rsidR="00FA064C" w:rsidRPr="00B40A77">
        <w:rPr>
          <w:color w:val="000000" w:themeColor="text1"/>
        </w:rPr>
        <w:t>.</w:t>
      </w:r>
    </w:p>
    <w:p w14:paraId="569E8692" w14:textId="77777777" w:rsidR="00E960DF" w:rsidRPr="00B40A77" w:rsidRDefault="00E960DF" w:rsidP="00FF3FC7">
      <w:pPr>
        <w:pStyle w:val="NoteHeader"/>
        <w:keepNext/>
        <w:rPr>
          <w:color w:val="000000" w:themeColor="text1"/>
        </w:rPr>
      </w:pPr>
      <w:r w:rsidRPr="00B40A77">
        <w:rPr>
          <w:color w:val="000000" w:themeColor="text1"/>
        </w:rPr>
        <w:t>Prescribed form—</w:t>
      </w:r>
    </w:p>
    <w:p w14:paraId="1A9D7FBC" w14:textId="3D34C270" w:rsidR="00E960DF" w:rsidRPr="00B40A77" w:rsidRDefault="00E960DF" w:rsidP="00211EE4">
      <w:pPr>
        <w:pStyle w:val="NoteText"/>
        <w:keepNext/>
        <w:rPr>
          <w:color w:val="000000" w:themeColor="text1"/>
          <w:lang w:val="en-US"/>
        </w:rPr>
      </w:pPr>
      <w:r w:rsidRPr="00B40A77">
        <w:rPr>
          <w:color w:val="000000" w:themeColor="text1"/>
        </w:rPr>
        <w:t xml:space="preserve">Form 181 </w:t>
      </w:r>
      <w:hyperlink r:id="rId380" w:history="1">
        <w:r w:rsidRPr="00B40A77">
          <w:rPr>
            <w:rStyle w:val="Hyperlink"/>
            <w:color w:val="000000" w:themeColor="text1"/>
            <w:lang w:val="en-US"/>
          </w:rPr>
          <w:t xml:space="preserve">Notice of </w:t>
        </w:r>
        <w:r w:rsidR="00D72220" w:rsidRPr="00B40A77">
          <w:rPr>
            <w:rStyle w:val="Hyperlink"/>
            <w:color w:val="000000" w:themeColor="text1"/>
            <w:lang w:val="en-US"/>
          </w:rPr>
          <w:t>R</w:t>
        </w:r>
        <w:r w:rsidRPr="00B40A77">
          <w:rPr>
            <w:rStyle w:val="Hyperlink"/>
            <w:color w:val="000000" w:themeColor="text1"/>
            <w:lang w:val="en-US"/>
          </w:rPr>
          <w:t xml:space="preserve">eview – </w:t>
        </w:r>
        <w:r w:rsidR="00D72220" w:rsidRPr="00B40A77">
          <w:rPr>
            <w:rStyle w:val="Hyperlink"/>
            <w:color w:val="000000" w:themeColor="text1"/>
            <w:lang w:val="en-US"/>
          </w:rPr>
          <w:t>B</w:t>
        </w:r>
        <w:r w:rsidRPr="00B40A77">
          <w:rPr>
            <w:rStyle w:val="Hyperlink"/>
            <w:color w:val="000000" w:themeColor="text1"/>
            <w:lang w:val="en-US"/>
          </w:rPr>
          <w:t xml:space="preserve">ail </w:t>
        </w:r>
        <w:r w:rsidR="00D72220" w:rsidRPr="00B40A77">
          <w:rPr>
            <w:rStyle w:val="Hyperlink"/>
            <w:color w:val="000000" w:themeColor="text1"/>
            <w:lang w:val="en-US"/>
          </w:rPr>
          <w:t>Review</w:t>
        </w:r>
      </w:hyperlink>
    </w:p>
    <w:p w14:paraId="08CF3C05" w14:textId="77777777" w:rsidR="00FA064C" w:rsidRPr="00B40A77" w:rsidRDefault="00FA064C" w:rsidP="00FF3FC7">
      <w:pPr>
        <w:pStyle w:val="NoteHeader"/>
        <w:keepNext/>
        <w:rPr>
          <w:color w:val="000000" w:themeColor="text1"/>
          <w:lang w:val="en-US"/>
        </w:rPr>
      </w:pPr>
      <w:r w:rsidRPr="00B40A77">
        <w:rPr>
          <w:color w:val="000000" w:themeColor="text1"/>
          <w:lang w:val="en-US"/>
        </w:rPr>
        <w:t>Note—</w:t>
      </w:r>
    </w:p>
    <w:p w14:paraId="113E363B" w14:textId="7DDF4462" w:rsidR="00FA064C" w:rsidRPr="00B40A77" w:rsidRDefault="00FA064C" w:rsidP="00C352AB">
      <w:pPr>
        <w:pStyle w:val="NoteText"/>
        <w:rPr>
          <w:color w:val="000000" w:themeColor="text1"/>
          <w:lang w:val="en-US"/>
        </w:rPr>
      </w:pPr>
      <w:r w:rsidRPr="00B40A77">
        <w:rPr>
          <w:color w:val="000000" w:themeColor="text1"/>
          <w:lang w:val="en-US"/>
        </w:rPr>
        <w:t>Section</w:t>
      </w:r>
      <w:r w:rsidR="00FF3FC7" w:rsidRPr="00B40A77">
        <w:rPr>
          <w:color w:val="000000" w:themeColor="text1"/>
          <w:lang w:val="en-US"/>
        </w:rPr>
        <w:t> </w:t>
      </w:r>
      <w:r w:rsidRPr="00B40A77">
        <w:rPr>
          <w:color w:val="000000" w:themeColor="text1"/>
          <w:lang w:val="en-US"/>
        </w:rPr>
        <w:t xml:space="preserve">86(2) of the </w:t>
      </w:r>
      <w:bookmarkStart w:id="1034" w:name="_Hlk98494999"/>
      <w:r w:rsidRPr="00B40A77">
        <w:rPr>
          <w:iCs/>
          <w:color w:val="000000" w:themeColor="text1"/>
          <w:lang w:val="en-US"/>
        </w:rPr>
        <w:t>Service and Execution of Process Act</w:t>
      </w:r>
      <w:r w:rsidRPr="00B40A77">
        <w:rPr>
          <w:color w:val="000000" w:themeColor="text1"/>
          <w:lang w:val="en-US"/>
        </w:rPr>
        <w:t xml:space="preserve"> </w:t>
      </w:r>
      <w:bookmarkEnd w:id="1034"/>
      <w:r w:rsidRPr="00B40A77">
        <w:rPr>
          <w:color w:val="000000" w:themeColor="text1"/>
          <w:lang w:val="en-US"/>
        </w:rPr>
        <w:t>requires th</w:t>
      </w:r>
      <w:r w:rsidR="00FF3FC7" w:rsidRPr="00B40A77">
        <w:rPr>
          <w:color w:val="000000" w:themeColor="text1"/>
          <w:lang w:val="en-US"/>
        </w:rPr>
        <w:t>at an</w:t>
      </w:r>
      <w:r w:rsidRPr="00B40A77">
        <w:rPr>
          <w:color w:val="000000" w:themeColor="text1"/>
          <w:lang w:val="en-US"/>
        </w:rPr>
        <w:t xml:space="preserve"> application for review</w:t>
      </w:r>
      <w:r w:rsidR="00FF3FC7" w:rsidRPr="00B40A77">
        <w:rPr>
          <w:color w:val="000000" w:themeColor="text1"/>
          <w:lang w:val="en-US"/>
        </w:rPr>
        <w:t xml:space="preserve"> is</w:t>
      </w:r>
      <w:r w:rsidRPr="00B40A77">
        <w:rPr>
          <w:color w:val="000000" w:themeColor="text1"/>
          <w:lang w:val="en-US"/>
        </w:rPr>
        <w:t xml:space="preserve"> to be </w:t>
      </w:r>
      <w:r w:rsidR="00AC4602" w:rsidRPr="00B40A77">
        <w:rPr>
          <w:color w:val="000000" w:themeColor="text1"/>
          <w:lang w:val="en-US"/>
        </w:rPr>
        <w:t>made</w:t>
      </w:r>
      <w:r w:rsidRPr="00B40A77">
        <w:rPr>
          <w:color w:val="000000" w:themeColor="text1"/>
          <w:lang w:val="en-US"/>
        </w:rPr>
        <w:t xml:space="preserve"> within 7</w:t>
      </w:r>
      <w:r w:rsidR="00FF3FC7" w:rsidRPr="00B40A77">
        <w:rPr>
          <w:color w:val="000000" w:themeColor="text1"/>
          <w:lang w:val="en-US"/>
        </w:rPr>
        <w:t> </w:t>
      </w:r>
      <w:r w:rsidRPr="00B40A77">
        <w:rPr>
          <w:color w:val="000000" w:themeColor="text1"/>
          <w:lang w:val="en-US"/>
        </w:rPr>
        <w:t>days after the making of the order.</w:t>
      </w:r>
    </w:p>
    <w:p w14:paraId="1AB32192" w14:textId="49BF401D" w:rsidR="00FA064C" w:rsidRPr="00B40A77" w:rsidRDefault="00E960DF" w:rsidP="00FA064C">
      <w:pPr>
        <w:pStyle w:val="Hangindent"/>
        <w:rPr>
          <w:color w:val="000000" w:themeColor="text1"/>
        </w:rPr>
      </w:pPr>
      <w:r w:rsidRPr="00B40A77">
        <w:rPr>
          <w:color w:val="000000" w:themeColor="text1"/>
        </w:rPr>
        <w:t>(3</w:t>
      </w:r>
      <w:r w:rsidR="00FA064C" w:rsidRPr="00B40A77">
        <w:rPr>
          <w:color w:val="000000" w:themeColor="text1"/>
        </w:rPr>
        <w:t>)</w:t>
      </w:r>
      <w:r w:rsidR="00FA064C" w:rsidRPr="00B40A77">
        <w:rPr>
          <w:color w:val="000000" w:themeColor="text1"/>
        </w:rPr>
        <w:tab/>
        <w:t xml:space="preserve">The </w:t>
      </w:r>
      <w:r w:rsidR="00D31BA3" w:rsidRPr="00B40A77">
        <w:rPr>
          <w:color w:val="000000" w:themeColor="text1"/>
        </w:rPr>
        <w:t>notice of review</w:t>
      </w:r>
      <w:r w:rsidR="00FA064C" w:rsidRPr="00B40A77">
        <w:rPr>
          <w:color w:val="000000" w:themeColor="text1"/>
        </w:rPr>
        <w:t xml:space="preserve"> </w:t>
      </w:r>
      <w:r w:rsidRPr="00B40A77">
        <w:rPr>
          <w:color w:val="000000" w:themeColor="text1"/>
        </w:rPr>
        <w:t>must</w:t>
      </w:r>
      <w:r w:rsidR="00FA064C" w:rsidRPr="00B40A77">
        <w:rPr>
          <w:color w:val="000000" w:themeColor="text1"/>
        </w:rPr>
        <w:t xml:space="preserve"> be supported by an affidavit</w:t>
      </w:r>
      <w:r w:rsidR="00FA064C" w:rsidRPr="00B40A77">
        <w:rPr>
          <w:color w:val="000000" w:themeColor="text1"/>
          <w:lang w:val="en-US"/>
        </w:rPr>
        <w:t>—</w:t>
      </w:r>
    </w:p>
    <w:p w14:paraId="651B90FD" w14:textId="591DB94C" w:rsidR="00FA064C" w:rsidRPr="00B40A77" w:rsidRDefault="00FA064C" w:rsidP="00E960DF">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E960DF" w:rsidRPr="00B40A77">
        <w:rPr>
          <w:color w:val="000000" w:themeColor="text1"/>
        </w:rPr>
        <w:t>setting out or exhibiting</w:t>
      </w:r>
      <w:r w:rsidR="00E960DF" w:rsidRPr="00B40A77">
        <w:rPr>
          <w:color w:val="000000" w:themeColor="text1"/>
          <w:lang w:val="en-US"/>
        </w:rPr>
        <w:t xml:space="preserve"> </w:t>
      </w:r>
      <w:r w:rsidRPr="00B40A77">
        <w:rPr>
          <w:color w:val="000000" w:themeColor="text1"/>
          <w:lang w:val="en-US"/>
        </w:rPr>
        <w:t>the decision subject to the review;</w:t>
      </w:r>
    </w:p>
    <w:p w14:paraId="6D962787" w14:textId="2C142658" w:rsidR="00FA064C" w:rsidRPr="00B40A77" w:rsidRDefault="00FA064C" w:rsidP="00E960DF">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E960DF" w:rsidRPr="00B40A77">
        <w:rPr>
          <w:color w:val="000000" w:themeColor="text1"/>
        </w:rPr>
        <w:t>setting out or exhibiting</w:t>
      </w:r>
      <w:r w:rsidR="00E960DF" w:rsidRPr="00B40A77">
        <w:rPr>
          <w:color w:val="000000" w:themeColor="text1"/>
          <w:lang w:val="en-US"/>
        </w:rPr>
        <w:t xml:space="preserve"> </w:t>
      </w:r>
      <w:r w:rsidRPr="00B40A77">
        <w:rPr>
          <w:color w:val="000000" w:themeColor="text1"/>
          <w:lang w:val="en-US"/>
        </w:rPr>
        <w:t xml:space="preserve">the reasons given by the </w:t>
      </w:r>
      <w:hyperlink w:anchor="_2.1—Definitions" w:history="1">
        <w:r w:rsidRPr="00B40A77">
          <w:rPr>
            <w:rStyle w:val="Hyperlink"/>
            <w:color w:val="000000" w:themeColor="text1"/>
            <w:lang w:val="en-US"/>
          </w:rPr>
          <w:t>b</w:t>
        </w:r>
        <w:r w:rsidR="00E960DF" w:rsidRPr="00B40A77">
          <w:rPr>
            <w:rStyle w:val="Hyperlink"/>
            <w:color w:val="000000" w:themeColor="text1"/>
            <w:lang w:val="en-US"/>
          </w:rPr>
          <w:t>ail authority</w:t>
        </w:r>
      </w:hyperlink>
      <w:r w:rsidRPr="00B40A77">
        <w:rPr>
          <w:color w:val="000000" w:themeColor="text1"/>
          <w:lang w:val="en-US"/>
        </w:rPr>
        <w:t>;</w:t>
      </w:r>
    </w:p>
    <w:p w14:paraId="34775C48" w14:textId="39EEF1D8" w:rsidR="00FA064C" w:rsidRPr="00B40A77" w:rsidRDefault="00FA064C" w:rsidP="00E960DF">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283A1C" w:rsidRPr="00B40A77">
        <w:rPr>
          <w:color w:val="000000" w:themeColor="text1"/>
        </w:rPr>
        <w:t>setting out the grounds</w:t>
      </w:r>
      <w:r w:rsidR="00E960DF" w:rsidRPr="00B40A77">
        <w:rPr>
          <w:color w:val="000000" w:themeColor="text1"/>
        </w:rPr>
        <w:t xml:space="preserve"> </w:t>
      </w:r>
      <w:r w:rsidR="00C917DA" w:rsidRPr="00B40A77">
        <w:rPr>
          <w:color w:val="000000" w:themeColor="text1"/>
        </w:rPr>
        <w:t>for</w:t>
      </w:r>
      <w:r w:rsidR="00C917DA" w:rsidRPr="00B40A77">
        <w:rPr>
          <w:color w:val="000000" w:themeColor="text1"/>
          <w:lang w:val="en-US"/>
        </w:rPr>
        <w:t xml:space="preserve"> the review; </w:t>
      </w:r>
    </w:p>
    <w:p w14:paraId="04379BA6" w14:textId="1C0FC7C7" w:rsidR="00FA064C" w:rsidRPr="00B40A77" w:rsidRDefault="00C917DA" w:rsidP="00C917DA">
      <w:pPr>
        <w:pStyle w:val="Doublehangindent"/>
        <w:rPr>
          <w:color w:val="000000" w:themeColor="text1"/>
          <w:lang w:val="en-US"/>
        </w:rPr>
      </w:pPr>
      <w:r w:rsidRPr="00B40A77">
        <w:rPr>
          <w:color w:val="000000" w:themeColor="text1"/>
          <w:lang w:val="en-US"/>
        </w:rPr>
        <w:t>(d)</w:t>
      </w:r>
      <w:r w:rsidRPr="00B40A77">
        <w:rPr>
          <w:color w:val="000000" w:themeColor="text1"/>
          <w:lang w:val="en-US"/>
        </w:rPr>
        <w:tab/>
      </w:r>
      <w:r w:rsidR="00FA064C" w:rsidRPr="00B40A77">
        <w:rPr>
          <w:color w:val="000000" w:themeColor="text1"/>
          <w:lang w:val="en-US"/>
        </w:rPr>
        <w:t xml:space="preserve">stating that the substance of the material on which the applicant relies was put before the </w:t>
      </w:r>
      <w:hyperlink w:anchor="_2.1—Definitions" w:history="1">
        <w:r w:rsidR="00FA064C" w:rsidRPr="00B40A77">
          <w:rPr>
            <w:rStyle w:val="Hyperlink"/>
            <w:color w:val="000000" w:themeColor="text1"/>
            <w:lang w:val="en-US"/>
          </w:rPr>
          <w:t>bail authority</w:t>
        </w:r>
      </w:hyperlink>
      <w:r w:rsidR="00FA064C" w:rsidRPr="00B40A77">
        <w:rPr>
          <w:color w:val="000000" w:themeColor="text1"/>
          <w:lang w:val="en-US"/>
        </w:rPr>
        <w:t xml:space="preserve"> whose decision is sought to be reviewed; and</w:t>
      </w:r>
    </w:p>
    <w:p w14:paraId="645ADD75" w14:textId="246FCD8C" w:rsidR="00FA064C" w:rsidRPr="00B40A77" w:rsidRDefault="00C917DA" w:rsidP="00C917DA">
      <w:pPr>
        <w:pStyle w:val="Doublehangindent"/>
        <w:rPr>
          <w:color w:val="000000" w:themeColor="text1"/>
          <w:lang w:val="en-US"/>
        </w:rPr>
      </w:pPr>
      <w:r w:rsidRPr="00B40A77">
        <w:rPr>
          <w:color w:val="000000" w:themeColor="text1"/>
          <w:lang w:val="en-US"/>
        </w:rPr>
        <w:t>(e</w:t>
      </w:r>
      <w:r w:rsidR="00FA064C" w:rsidRPr="00B40A77">
        <w:rPr>
          <w:color w:val="000000" w:themeColor="text1"/>
          <w:lang w:val="en-US"/>
        </w:rPr>
        <w:t>)</w:t>
      </w:r>
      <w:r w:rsidR="00FA064C" w:rsidRPr="00B40A77">
        <w:rPr>
          <w:color w:val="000000" w:themeColor="text1"/>
          <w:lang w:val="en-US"/>
        </w:rPr>
        <w:tab/>
        <w:t xml:space="preserve">stating that there has been no material change of circumstances that would warrant making a fresh application for bail to the </w:t>
      </w:r>
      <w:hyperlink w:anchor="_2.1—Definitions" w:history="1">
        <w:r w:rsidR="00FA064C" w:rsidRPr="00B40A77">
          <w:rPr>
            <w:rStyle w:val="Hyperlink"/>
            <w:color w:val="000000" w:themeColor="text1"/>
            <w:lang w:val="en-US"/>
          </w:rPr>
          <w:t>bail authority</w:t>
        </w:r>
      </w:hyperlink>
      <w:r w:rsidR="00FA064C" w:rsidRPr="00B40A77">
        <w:rPr>
          <w:color w:val="000000" w:themeColor="text1"/>
          <w:lang w:val="en-US"/>
        </w:rPr>
        <w:t xml:space="preserve"> whose decision is sought to be reviewed.</w:t>
      </w:r>
    </w:p>
    <w:p w14:paraId="0CEECD83" w14:textId="4A1E9438" w:rsidR="00FA064C" w:rsidRPr="00B40A77" w:rsidRDefault="00C917DA" w:rsidP="00FA064C">
      <w:pPr>
        <w:pStyle w:val="Hangindent"/>
        <w:rPr>
          <w:color w:val="000000" w:themeColor="text1"/>
        </w:rPr>
      </w:pPr>
      <w:r w:rsidRPr="00B40A77">
        <w:rPr>
          <w:color w:val="000000" w:themeColor="text1"/>
        </w:rPr>
        <w:t>(4)</w:t>
      </w:r>
      <w:r w:rsidRPr="00B40A77">
        <w:rPr>
          <w:color w:val="000000" w:themeColor="text1"/>
        </w:rPr>
        <w:tab/>
      </w:r>
      <w:r w:rsidR="00F20AB3" w:rsidRPr="00B40A77">
        <w:rPr>
          <w:color w:val="000000" w:themeColor="text1"/>
        </w:rPr>
        <w:t>In cases of urgency, the notice of review may be filed without a supporting affidavit, but in that event the applicant must file and serve a supporting affidavit as soon as practicable after filing the notice of review.</w:t>
      </w:r>
    </w:p>
    <w:p w14:paraId="2DCDAB1D" w14:textId="558449A8" w:rsidR="00FA064C" w:rsidRPr="00B40A77" w:rsidRDefault="00D31BA3" w:rsidP="00FA064C">
      <w:pPr>
        <w:pStyle w:val="Hangindent"/>
        <w:keepNext/>
        <w:keepLines/>
        <w:rPr>
          <w:color w:val="000000" w:themeColor="text1"/>
        </w:rPr>
      </w:pPr>
      <w:r w:rsidRPr="00B40A77">
        <w:rPr>
          <w:color w:val="000000" w:themeColor="text1"/>
        </w:rPr>
        <w:t>(5</w:t>
      </w:r>
      <w:r w:rsidR="00FA064C" w:rsidRPr="00B40A77">
        <w:rPr>
          <w:color w:val="000000" w:themeColor="text1"/>
        </w:rPr>
        <w:t>)</w:t>
      </w:r>
      <w:r w:rsidR="00FA064C" w:rsidRPr="00B40A77">
        <w:rPr>
          <w:color w:val="000000" w:themeColor="text1"/>
        </w:rPr>
        <w:tab/>
        <w:t>Subject to section</w:t>
      </w:r>
      <w:r w:rsidR="007939E7" w:rsidRPr="00B40A77">
        <w:rPr>
          <w:color w:val="000000" w:themeColor="text1"/>
        </w:rPr>
        <w:t> </w:t>
      </w:r>
      <w:r w:rsidR="00FA064C" w:rsidRPr="00B40A77">
        <w:rPr>
          <w:color w:val="000000" w:themeColor="text1"/>
        </w:rPr>
        <w:t xml:space="preserve">16 of the </w:t>
      </w:r>
      <w:r w:rsidRPr="00B40A77">
        <w:rPr>
          <w:color w:val="000000" w:themeColor="text1"/>
        </w:rPr>
        <w:t>Bail Act, a notice of</w:t>
      </w:r>
      <w:r w:rsidR="00FA064C" w:rsidRPr="00B40A77">
        <w:rPr>
          <w:color w:val="000000" w:themeColor="text1"/>
        </w:rPr>
        <w:t xml:space="preserve"> review does not operate as a stay of the orders made under the decision subject to review unless the Court so orders.</w:t>
      </w:r>
    </w:p>
    <w:p w14:paraId="741295BF" w14:textId="25C95AFF" w:rsidR="00606AFE" w:rsidRPr="00B40A77" w:rsidRDefault="00606AFE" w:rsidP="00606AFE">
      <w:pPr>
        <w:keepNext/>
        <w:keepLines/>
        <w:tabs>
          <w:tab w:val="left" w:pos="1418"/>
        </w:tabs>
        <w:ind w:left="2268" w:hanging="1134"/>
        <w:rPr>
          <w:color w:val="000000" w:themeColor="text1"/>
          <w:sz w:val="20"/>
        </w:rPr>
      </w:pPr>
      <w:r w:rsidRPr="00B40A77">
        <w:rPr>
          <w:b/>
          <w:color w:val="000000" w:themeColor="text1"/>
          <w:sz w:val="20"/>
        </w:rPr>
        <w:t>Note</w:t>
      </w:r>
      <w:r w:rsidRPr="00B40A77">
        <w:rPr>
          <w:b/>
          <w:bCs/>
          <w:color w:val="000000" w:themeColor="text1"/>
          <w:sz w:val="20"/>
          <w:lang w:val="en-US"/>
        </w:rPr>
        <w:t>—</w:t>
      </w:r>
    </w:p>
    <w:p w14:paraId="3A54BA2A" w14:textId="2F00698F" w:rsidR="004030F5" w:rsidRPr="00B40A77" w:rsidRDefault="00606AFE" w:rsidP="00C352AB">
      <w:pPr>
        <w:pStyle w:val="NoteText"/>
        <w:rPr>
          <w:color w:val="000000" w:themeColor="text1"/>
          <w:lang w:val="en-US"/>
        </w:rPr>
      </w:pPr>
      <w:r w:rsidRPr="00B40A77">
        <w:rPr>
          <w:color w:val="000000" w:themeColor="text1"/>
          <w:lang w:val="en-US"/>
        </w:rPr>
        <w:t>Section</w:t>
      </w:r>
      <w:r w:rsidR="00AE01CF" w:rsidRPr="00B40A77">
        <w:rPr>
          <w:color w:val="000000" w:themeColor="text1"/>
          <w:lang w:val="en-US"/>
        </w:rPr>
        <w:t> </w:t>
      </w:r>
      <w:r w:rsidRPr="00B40A77">
        <w:rPr>
          <w:color w:val="000000" w:themeColor="text1"/>
          <w:lang w:val="en-US"/>
        </w:rPr>
        <w:t xml:space="preserve">16 of the </w:t>
      </w:r>
      <w:r w:rsidR="00D62524" w:rsidRPr="00B40A77">
        <w:rPr>
          <w:color w:val="000000" w:themeColor="text1"/>
        </w:rPr>
        <w:t xml:space="preserve">Bail Act </w:t>
      </w:r>
      <w:r w:rsidRPr="00B40A77">
        <w:rPr>
          <w:color w:val="000000" w:themeColor="text1"/>
          <w:lang w:val="en-US"/>
        </w:rPr>
        <w:t xml:space="preserve">provides that, </w:t>
      </w:r>
      <w:r w:rsidR="00437302" w:rsidRPr="00B40A77">
        <w:rPr>
          <w:color w:val="000000" w:themeColor="text1"/>
          <w:lang w:val="en-US"/>
        </w:rPr>
        <w:t xml:space="preserve">if a person it to be released on bail and </w:t>
      </w:r>
      <w:r w:rsidR="00277634" w:rsidRPr="00B40A77">
        <w:rPr>
          <w:color w:val="000000" w:themeColor="text1"/>
          <w:lang w:val="en-US"/>
        </w:rPr>
        <w:t>a</w:t>
      </w:r>
      <w:r w:rsidR="00437302" w:rsidRPr="00B40A77">
        <w:rPr>
          <w:color w:val="000000" w:themeColor="text1"/>
          <w:lang w:val="en-US"/>
        </w:rPr>
        <w:t> police officer or counsel on behalf of the Crown immediately indicates that an application for review of the decision will be made</w:t>
      </w:r>
      <w:r w:rsidR="00277634" w:rsidRPr="00B40A77">
        <w:rPr>
          <w:color w:val="000000" w:themeColor="text1"/>
          <w:lang w:val="en-US"/>
        </w:rPr>
        <w:t>, the release must be deferred pending the review for 72 hours or a longer period fixed by the Court.</w:t>
      </w:r>
      <w:bookmarkStart w:id="1035" w:name="_Toc60133619"/>
    </w:p>
    <w:p w14:paraId="4D8A0159" w14:textId="725ECFBF" w:rsidR="00D31BA3" w:rsidRPr="00B40A77" w:rsidRDefault="001A5381" w:rsidP="00972BD7">
      <w:pPr>
        <w:pStyle w:val="Heading4"/>
        <w:rPr>
          <w:color w:val="000000" w:themeColor="text1"/>
        </w:rPr>
      </w:pPr>
      <w:bookmarkStart w:id="1036" w:name="_Toc175239323"/>
      <w:r w:rsidRPr="00B40A77">
        <w:rPr>
          <w:color w:val="000000" w:themeColor="text1"/>
        </w:rPr>
        <w:t>18</w:t>
      </w:r>
      <w:r w:rsidR="000D6E6F" w:rsidRPr="00B40A77">
        <w:rPr>
          <w:color w:val="000000" w:themeColor="text1"/>
        </w:rPr>
        <w:t>3.3</w:t>
      </w:r>
      <w:r w:rsidR="00D31BA3" w:rsidRPr="00B40A77">
        <w:rPr>
          <w:color w:val="000000" w:themeColor="text1"/>
        </w:rPr>
        <w:t>—Ancillary applications</w:t>
      </w:r>
      <w:bookmarkEnd w:id="1036"/>
    </w:p>
    <w:p w14:paraId="0A4481B4" w14:textId="702D4CCC" w:rsidR="00D31BA3" w:rsidRPr="00B40A77" w:rsidRDefault="00D31BA3" w:rsidP="00D31BA3">
      <w:pPr>
        <w:pStyle w:val="Hangindent"/>
        <w:rPr>
          <w:color w:val="000000" w:themeColor="text1"/>
        </w:rPr>
      </w:pPr>
      <w:r w:rsidRPr="00B40A77">
        <w:rPr>
          <w:color w:val="000000" w:themeColor="text1"/>
        </w:rPr>
        <w:t>(</w:t>
      </w:r>
      <w:r w:rsidR="00EE1AA8" w:rsidRPr="00B40A77">
        <w:rPr>
          <w:color w:val="000000" w:themeColor="text1"/>
        </w:rPr>
        <w:t>1</w:t>
      </w:r>
      <w:r w:rsidRPr="00B40A77">
        <w:rPr>
          <w:color w:val="000000" w:themeColor="text1"/>
        </w:rPr>
        <w:t>)</w:t>
      </w:r>
      <w:r w:rsidRPr="00B40A77">
        <w:rPr>
          <w:color w:val="000000" w:themeColor="text1"/>
        </w:rPr>
        <w:tab/>
      </w:r>
      <w:r w:rsidR="00EE1AA8" w:rsidRPr="00B40A77">
        <w:rPr>
          <w:color w:val="000000" w:themeColor="text1"/>
        </w:rPr>
        <w:t>Unless the Court otherwise orders, a</w:t>
      </w:r>
      <w:r w:rsidRPr="00B40A77">
        <w:rPr>
          <w:color w:val="000000" w:themeColor="text1"/>
        </w:rPr>
        <w:t>n application for extension of the period of deferral under section</w:t>
      </w:r>
      <w:r w:rsidR="00AE01CF" w:rsidRPr="00B40A77">
        <w:rPr>
          <w:color w:val="000000" w:themeColor="text1"/>
        </w:rPr>
        <w:t> </w:t>
      </w:r>
      <w:r w:rsidRPr="00B40A77">
        <w:rPr>
          <w:color w:val="000000" w:themeColor="text1"/>
        </w:rPr>
        <w:t xml:space="preserve">16(2)(a) of the </w:t>
      </w:r>
      <w:r w:rsidR="00D62524" w:rsidRPr="00B40A77">
        <w:rPr>
          <w:color w:val="000000" w:themeColor="text1"/>
        </w:rPr>
        <w:t xml:space="preserve">Bail Act </w:t>
      </w:r>
      <w:r w:rsidR="00EE1AA8" w:rsidRPr="00B40A77">
        <w:rPr>
          <w:color w:val="000000" w:themeColor="text1"/>
        </w:rPr>
        <w:t>must</w:t>
      </w:r>
      <w:r w:rsidRPr="00B40A77">
        <w:rPr>
          <w:color w:val="000000" w:themeColor="text1"/>
        </w:rPr>
        <w:t xml:space="preserve"> be made</w:t>
      </w:r>
      <w:r w:rsidR="00EE1AA8" w:rsidRPr="00B40A77">
        <w:rPr>
          <w:color w:val="000000" w:themeColor="text1"/>
        </w:rPr>
        <w:t xml:space="preserve"> </w:t>
      </w:r>
      <w:r w:rsidR="00E0646C" w:rsidRPr="00B40A77">
        <w:rPr>
          <w:color w:val="000000" w:themeColor="text1"/>
          <w:lang w:val="en-US"/>
        </w:rPr>
        <w:t xml:space="preserve">by an </w:t>
      </w:r>
      <w:r w:rsidR="00FA4048" w:rsidRPr="00B40A77">
        <w:rPr>
          <w:color w:val="000000" w:themeColor="text1"/>
          <w:lang w:val="en-US"/>
        </w:rPr>
        <w:t xml:space="preserve">interlocutory application </w:t>
      </w:r>
      <w:r w:rsidR="00E0646C" w:rsidRPr="00B40A77">
        <w:rPr>
          <w:color w:val="000000" w:themeColor="text1"/>
          <w:lang w:val="en-US"/>
        </w:rPr>
        <w:t xml:space="preserve">in accordance with </w:t>
      </w:r>
      <w:hyperlink w:anchor="_39.1—Written_application" w:history="1">
        <w:r w:rsidR="00E0646C" w:rsidRPr="00B40A77">
          <w:rPr>
            <w:rStyle w:val="Hyperlink"/>
            <w:color w:val="000000" w:themeColor="text1"/>
            <w:lang w:val="en-US"/>
          </w:rPr>
          <w:t>rule</w:t>
        </w:r>
        <w:r w:rsidR="00AE01CF" w:rsidRPr="00B40A77">
          <w:rPr>
            <w:rStyle w:val="Hyperlink"/>
            <w:color w:val="000000" w:themeColor="text1"/>
            <w:lang w:val="en-US"/>
          </w:rPr>
          <w:t> </w:t>
        </w:r>
        <w:r w:rsidR="00E0646C" w:rsidRPr="00B40A77">
          <w:rPr>
            <w:rStyle w:val="Hyperlink"/>
            <w:color w:val="000000" w:themeColor="text1"/>
            <w:lang w:val="en-US"/>
          </w:rPr>
          <w:t>39.1</w:t>
        </w:r>
      </w:hyperlink>
      <w:r w:rsidRPr="00B40A77">
        <w:rPr>
          <w:color w:val="000000" w:themeColor="text1"/>
        </w:rPr>
        <w:t>.</w:t>
      </w:r>
    </w:p>
    <w:p w14:paraId="0130952F" w14:textId="14E81F41" w:rsidR="00D31BA3" w:rsidRPr="00B40A77" w:rsidRDefault="00EE1AA8" w:rsidP="00173536">
      <w:pPr>
        <w:pStyle w:val="Hangindent"/>
        <w:keepNext/>
        <w:rPr>
          <w:color w:val="000000" w:themeColor="text1"/>
        </w:rPr>
      </w:pPr>
      <w:r w:rsidRPr="00B40A77">
        <w:rPr>
          <w:color w:val="000000" w:themeColor="text1"/>
        </w:rPr>
        <w:t>(2</w:t>
      </w:r>
      <w:r w:rsidR="00D31BA3" w:rsidRPr="00B40A77">
        <w:rPr>
          <w:color w:val="000000" w:themeColor="text1"/>
        </w:rPr>
        <w:t>)</w:t>
      </w:r>
      <w:r w:rsidR="00D31BA3" w:rsidRPr="00B40A77">
        <w:rPr>
          <w:color w:val="000000" w:themeColor="text1"/>
        </w:rPr>
        <w:tab/>
      </w:r>
      <w:r w:rsidR="00FD3B9B" w:rsidRPr="00B40A77">
        <w:rPr>
          <w:color w:val="000000" w:themeColor="text1"/>
        </w:rPr>
        <w:t>Unless the Court otherwise orders, a</w:t>
      </w:r>
      <w:r w:rsidR="00D31BA3" w:rsidRPr="00B40A77">
        <w:rPr>
          <w:color w:val="000000" w:themeColor="text1"/>
        </w:rPr>
        <w:t>n application for a suppression order under section</w:t>
      </w:r>
      <w:r w:rsidR="00FA1B2C" w:rsidRPr="00B40A77">
        <w:rPr>
          <w:color w:val="000000" w:themeColor="text1"/>
        </w:rPr>
        <w:t> </w:t>
      </w:r>
      <w:r w:rsidR="00D31BA3" w:rsidRPr="00B40A77">
        <w:rPr>
          <w:color w:val="000000" w:themeColor="text1"/>
        </w:rPr>
        <w:t xml:space="preserve">96 of the Service and Execution of Process Act </w:t>
      </w:r>
      <w:r w:rsidRPr="00B40A77">
        <w:rPr>
          <w:color w:val="000000" w:themeColor="text1"/>
        </w:rPr>
        <w:t>must</w:t>
      </w:r>
      <w:r w:rsidR="00D31BA3" w:rsidRPr="00B40A77">
        <w:rPr>
          <w:color w:val="000000" w:themeColor="text1"/>
        </w:rPr>
        <w:t xml:space="preserve"> be </w:t>
      </w:r>
      <w:r w:rsidR="005A5793" w:rsidRPr="00B40A77">
        <w:rPr>
          <w:color w:val="000000" w:themeColor="text1"/>
          <w:lang w:val="en-US"/>
        </w:rPr>
        <w:t xml:space="preserve">made by an </w:t>
      </w:r>
      <w:r w:rsidR="00FA4048" w:rsidRPr="00B40A77">
        <w:rPr>
          <w:color w:val="000000" w:themeColor="text1"/>
          <w:lang w:val="en-US"/>
        </w:rPr>
        <w:t xml:space="preserve">interlocutory application </w:t>
      </w:r>
      <w:r w:rsidR="005A5793" w:rsidRPr="00B40A77">
        <w:rPr>
          <w:color w:val="000000" w:themeColor="text1"/>
          <w:lang w:val="en-US"/>
        </w:rPr>
        <w:t xml:space="preserve">in accordance with </w:t>
      </w:r>
      <w:hyperlink w:anchor="_39.1—Written_application" w:history="1">
        <w:r w:rsidR="00A64E9E" w:rsidRPr="00B40A77">
          <w:rPr>
            <w:rStyle w:val="Hyperlink"/>
            <w:color w:val="000000" w:themeColor="text1"/>
            <w:lang w:val="en-US"/>
          </w:rPr>
          <w:t>rule</w:t>
        </w:r>
        <w:r w:rsidR="00AE01CF" w:rsidRPr="00B40A77">
          <w:rPr>
            <w:rStyle w:val="Hyperlink"/>
            <w:color w:val="000000" w:themeColor="text1"/>
            <w:lang w:val="en-US"/>
          </w:rPr>
          <w:t> </w:t>
        </w:r>
        <w:r w:rsidR="00A64E9E" w:rsidRPr="00B40A77">
          <w:rPr>
            <w:rStyle w:val="Hyperlink"/>
            <w:color w:val="000000" w:themeColor="text1"/>
            <w:lang w:val="en-US"/>
          </w:rPr>
          <w:t>39.1</w:t>
        </w:r>
      </w:hyperlink>
      <w:r w:rsidR="00D31BA3" w:rsidRPr="00B40A77">
        <w:rPr>
          <w:color w:val="000000" w:themeColor="text1"/>
        </w:rPr>
        <w:t>.</w:t>
      </w:r>
    </w:p>
    <w:p w14:paraId="3FD7E7CB" w14:textId="5A9EA781" w:rsidR="00D31BA3" w:rsidRPr="00B40A77" w:rsidRDefault="00D31BA3" w:rsidP="00F815AA">
      <w:pPr>
        <w:pStyle w:val="NoteHeader"/>
        <w:keepNext/>
        <w:rPr>
          <w:color w:val="000000" w:themeColor="text1"/>
        </w:rPr>
      </w:pPr>
      <w:r w:rsidRPr="00B40A77">
        <w:rPr>
          <w:color w:val="000000" w:themeColor="text1"/>
        </w:rPr>
        <w:t>Note</w:t>
      </w:r>
      <w:r w:rsidRPr="00B40A77">
        <w:rPr>
          <w:color w:val="000000" w:themeColor="text1"/>
          <w:lang w:val="en-US"/>
        </w:rPr>
        <w:t>—</w:t>
      </w:r>
    </w:p>
    <w:p w14:paraId="6A91DEFB" w14:textId="50BAED40" w:rsidR="00D31BA3" w:rsidRPr="00B40A77" w:rsidRDefault="00AE01CF" w:rsidP="00C352AB">
      <w:pPr>
        <w:pStyle w:val="NoteText"/>
        <w:rPr>
          <w:color w:val="000000" w:themeColor="text1"/>
        </w:rPr>
      </w:pPr>
      <w:r w:rsidRPr="00B40A77">
        <w:rPr>
          <w:color w:val="000000" w:themeColor="text1"/>
        </w:rPr>
        <w:t xml:space="preserve">Subject to the </w:t>
      </w:r>
      <w:r w:rsidRPr="00B40A77">
        <w:rPr>
          <w:i/>
          <w:iCs/>
          <w:color w:val="000000" w:themeColor="text1"/>
        </w:rPr>
        <w:t xml:space="preserve">Judiciary Act 1903 </w:t>
      </w:r>
      <w:r w:rsidRPr="00B40A77">
        <w:rPr>
          <w:color w:val="000000" w:themeColor="text1"/>
        </w:rPr>
        <w:t>(Cth), a</w:t>
      </w:r>
      <w:r w:rsidR="00D31BA3" w:rsidRPr="00B40A77">
        <w:rPr>
          <w:color w:val="000000" w:themeColor="text1"/>
        </w:rPr>
        <w:t xml:space="preserve">n appeal against a decision in relation to a suppression order under the </w:t>
      </w:r>
      <w:r w:rsidR="00D31BA3" w:rsidRPr="00B40A77">
        <w:rPr>
          <w:iCs/>
          <w:color w:val="000000" w:themeColor="text1"/>
        </w:rPr>
        <w:t>Service and Execution of Process Act</w:t>
      </w:r>
      <w:r w:rsidR="00D31BA3" w:rsidRPr="00B40A77">
        <w:rPr>
          <w:color w:val="000000" w:themeColor="text1"/>
        </w:rPr>
        <w:t xml:space="preserve"> lies as of right under section</w:t>
      </w:r>
      <w:r w:rsidRPr="00B40A77">
        <w:rPr>
          <w:color w:val="000000" w:themeColor="text1"/>
        </w:rPr>
        <w:t> </w:t>
      </w:r>
      <w:r w:rsidR="00D31BA3" w:rsidRPr="00B40A77">
        <w:rPr>
          <w:color w:val="000000" w:themeColor="text1"/>
        </w:rPr>
        <w:t>101 of that Act</w:t>
      </w:r>
      <w:r w:rsidRPr="00B40A77">
        <w:rPr>
          <w:color w:val="000000" w:themeColor="text1"/>
        </w:rPr>
        <w:t>.</w:t>
      </w:r>
    </w:p>
    <w:p w14:paraId="08506890" w14:textId="5674438F" w:rsidR="00FA064C" w:rsidRPr="00B40A77" w:rsidRDefault="001A5381" w:rsidP="009924DC">
      <w:pPr>
        <w:pStyle w:val="Heading4"/>
        <w:rPr>
          <w:color w:val="000000" w:themeColor="text1"/>
        </w:rPr>
      </w:pPr>
      <w:bookmarkStart w:id="1037" w:name="_Toc175239324"/>
      <w:r w:rsidRPr="00B40A77">
        <w:rPr>
          <w:color w:val="000000" w:themeColor="text1"/>
        </w:rPr>
        <w:t>18</w:t>
      </w:r>
      <w:r w:rsidR="000D6E6F" w:rsidRPr="00B40A77">
        <w:rPr>
          <w:color w:val="000000" w:themeColor="text1"/>
        </w:rPr>
        <w:t>3.4</w:t>
      </w:r>
      <w:r w:rsidR="00FA064C" w:rsidRPr="00B40A77">
        <w:rPr>
          <w:color w:val="000000" w:themeColor="text1"/>
        </w:rPr>
        <w:t xml:space="preserve">—Service of </w:t>
      </w:r>
      <w:bookmarkEnd w:id="1035"/>
      <w:r w:rsidR="00FD3B9B" w:rsidRPr="00B40A77">
        <w:rPr>
          <w:color w:val="000000" w:themeColor="text1"/>
        </w:rPr>
        <w:t>notice of review</w:t>
      </w:r>
      <w:bookmarkEnd w:id="1037"/>
    </w:p>
    <w:p w14:paraId="0FC81A95" w14:textId="309BDDF6" w:rsidR="00FA064C" w:rsidRPr="00B40A77" w:rsidRDefault="00FA064C" w:rsidP="00FA064C">
      <w:pPr>
        <w:pStyle w:val="Hangindent"/>
        <w:rPr>
          <w:color w:val="000000" w:themeColor="text1"/>
        </w:rPr>
      </w:pPr>
      <w:r w:rsidRPr="00B40A77">
        <w:rPr>
          <w:color w:val="000000" w:themeColor="text1"/>
        </w:rPr>
        <w:t>(1)</w:t>
      </w:r>
      <w:r w:rsidRPr="00B40A77">
        <w:rPr>
          <w:color w:val="000000" w:themeColor="text1"/>
        </w:rPr>
        <w:tab/>
        <w:t xml:space="preserve">The </w:t>
      </w:r>
      <w:r w:rsidR="00FD3B9B" w:rsidRPr="00B40A77">
        <w:rPr>
          <w:color w:val="000000" w:themeColor="text1"/>
        </w:rPr>
        <w:t xml:space="preserve">notice of review </w:t>
      </w:r>
      <w:r w:rsidRPr="00B40A77">
        <w:rPr>
          <w:color w:val="000000" w:themeColor="text1"/>
        </w:rPr>
        <w:t xml:space="preserve">and </w:t>
      </w:r>
      <w:r w:rsidR="00FD3B9B" w:rsidRPr="00B40A77">
        <w:rPr>
          <w:color w:val="000000" w:themeColor="text1"/>
        </w:rPr>
        <w:t xml:space="preserve">supporting </w:t>
      </w:r>
      <w:r w:rsidRPr="00B40A77">
        <w:rPr>
          <w:color w:val="000000" w:themeColor="text1"/>
        </w:rPr>
        <w:t xml:space="preserve">affidavit </w:t>
      </w:r>
      <w:r w:rsidR="00FD3B9B" w:rsidRPr="00B40A77">
        <w:rPr>
          <w:color w:val="000000" w:themeColor="text1"/>
        </w:rPr>
        <w:t>must</w:t>
      </w:r>
      <w:r w:rsidRPr="00B40A77">
        <w:rPr>
          <w:color w:val="000000" w:themeColor="text1"/>
        </w:rPr>
        <w:t xml:space="preserve"> be served as soon as practicable on</w:t>
      </w:r>
      <w:r w:rsidRPr="00B40A77">
        <w:rPr>
          <w:color w:val="000000" w:themeColor="text1"/>
          <w:lang w:val="en-US"/>
        </w:rPr>
        <w:t>—</w:t>
      </w:r>
    </w:p>
    <w:p w14:paraId="0AB0776F" w14:textId="77777777" w:rsidR="00FA064C" w:rsidRPr="00B40A77" w:rsidRDefault="00FA064C" w:rsidP="00FD3B9B">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other parties to the proceeding in which the bail decision was made;</w:t>
      </w:r>
    </w:p>
    <w:p w14:paraId="2EE2A4BB" w14:textId="2803BEE1" w:rsidR="00FA064C" w:rsidRPr="00B40A77" w:rsidRDefault="00FA064C" w:rsidP="00FD3B9B">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 xml:space="preserve">the </w:t>
      </w:r>
      <w:r w:rsidR="005257B7" w:rsidRPr="00B40A77">
        <w:rPr>
          <w:color w:val="000000" w:themeColor="text1"/>
          <w:u w:val="single"/>
          <w:lang w:val="en-US"/>
        </w:rPr>
        <w:t>R</w:t>
      </w:r>
      <w:r w:rsidRPr="00B40A77">
        <w:rPr>
          <w:color w:val="000000" w:themeColor="text1"/>
          <w:u w:val="single"/>
          <w:lang w:val="en-US"/>
        </w:rPr>
        <w:t>egistrar</w:t>
      </w:r>
      <w:r w:rsidRPr="00B40A77">
        <w:rPr>
          <w:color w:val="000000" w:themeColor="text1"/>
          <w:lang w:val="en-US"/>
        </w:rPr>
        <w:t xml:space="preserve"> of the c</w:t>
      </w:r>
      <w:r w:rsidR="00FD3B9B" w:rsidRPr="00B40A77">
        <w:rPr>
          <w:color w:val="000000" w:themeColor="text1"/>
          <w:lang w:val="en-US"/>
        </w:rPr>
        <w:t xml:space="preserve">ourt or other </w:t>
      </w:r>
      <w:hyperlink w:anchor="_2.1—Definitions" w:history="1">
        <w:r w:rsidR="00FD3B9B" w:rsidRPr="00B40A77">
          <w:rPr>
            <w:rStyle w:val="Hyperlink"/>
            <w:color w:val="000000" w:themeColor="text1"/>
            <w:lang w:val="en-US"/>
          </w:rPr>
          <w:t>bail authority</w:t>
        </w:r>
      </w:hyperlink>
      <w:r w:rsidR="00FD3B9B" w:rsidRPr="00B40A77">
        <w:rPr>
          <w:color w:val="000000" w:themeColor="text1"/>
          <w:lang w:val="en-US"/>
        </w:rPr>
        <w:t xml:space="preserve"> </w:t>
      </w:r>
      <w:r w:rsidR="007D2614" w:rsidRPr="00B40A77">
        <w:rPr>
          <w:color w:val="000000" w:themeColor="text1"/>
          <w:lang w:val="en-US"/>
        </w:rPr>
        <w:t xml:space="preserve">that </w:t>
      </w:r>
      <w:r w:rsidRPr="00B40A77">
        <w:rPr>
          <w:color w:val="000000" w:themeColor="text1"/>
          <w:lang w:val="en-US"/>
        </w:rPr>
        <w:t>made the original bail decision;</w:t>
      </w:r>
      <w:r w:rsidR="00F36E78" w:rsidRPr="00B40A77">
        <w:rPr>
          <w:color w:val="000000" w:themeColor="text1"/>
          <w:lang w:val="en-US"/>
        </w:rPr>
        <w:t xml:space="preserve"> and</w:t>
      </w:r>
    </w:p>
    <w:p w14:paraId="09BC9DC0" w14:textId="32BE9568" w:rsidR="00FA064C" w:rsidRPr="00B40A77" w:rsidRDefault="00FD3B9B" w:rsidP="00FD3B9B">
      <w:pPr>
        <w:pStyle w:val="Doublehangindent"/>
        <w:rPr>
          <w:color w:val="000000" w:themeColor="text1"/>
          <w:lang w:val="en-US"/>
        </w:rPr>
      </w:pPr>
      <w:r w:rsidRPr="00B40A77">
        <w:rPr>
          <w:color w:val="000000" w:themeColor="text1"/>
          <w:lang w:val="en-US"/>
        </w:rPr>
        <w:t>(c</w:t>
      </w:r>
      <w:r w:rsidR="00FA064C" w:rsidRPr="00B40A77">
        <w:rPr>
          <w:color w:val="000000" w:themeColor="text1"/>
          <w:lang w:val="en-US"/>
        </w:rPr>
        <w:t>)</w:t>
      </w:r>
      <w:r w:rsidR="00FA064C" w:rsidRPr="00B40A77">
        <w:rPr>
          <w:color w:val="000000" w:themeColor="text1"/>
          <w:lang w:val="en-US"/>
        </w:rPr>
        <w:tab/>
        <w:t>any other person who</w:t>
      </w:r>
      <w:r w:rsidR="00F36E78" w:rsidRPr="00B40A77">
        <w:rPr>
          <w:color w:val="000000" w:themeColor="text1"/>
          <w:lang w:val="en-US"/>
        </w:rPr>
        <w:t xml:space="preserve"> has an interest in the bail decision or </w:t>
      </w:r>
      <w:hyperlink w:anchor="_211.1—Definitions" w:history="1">
        <w:r w:rsidR="00F36E78" w:rsidRPr="00B40A77">
          <w:rPr>
            <w:rStyle w:val="Hyperlink"/>
            <w:color w:val="000000" w:themeColor="text1"/>
            <w:lang w:val="en-US"/>
          </w:rPr>
          <w:t>bail review</w:t>
        </w:r>
      </w:hyperlink>
      <w:r w:rsidR="00FA064C" w:rsidRPr="00B40A77">
        <w:rPr>
          <w:color w:val="000000" w:themeColor="text1"/>
          <w:lang w:val="en-US"/>
        </w:rPr>
        <w:t>.</w:t>
      </w:r>
    </w:p>
    <w:p w14:paraId="2ACEC937" w14:textId="54767E30" w:rsidR="00FA064C" w:rsidRPr="00B40A77" w:rsidRDefault="00FD3B9B" w:rsidP="00FA064C">
      <w:pPr>
        <w:pStyle w:val="Hangindent"/>
        <w:rPr>
          <w:color w:val="000000" w:themeColor="text1"/>
        </w:rPr>
      </w:pPr>
      <w:r w:rsidRPr="00B40A77">
        <w:rPr>
          <w:color w:val="000000" w:themeColor="text1"/>
        </w:rPr>
        <w:t>(2</w:t>
      </w:r>
      <w:r w:rsidR="00FA064C" w:rsidRPr="00B40A77">
        <w:rPr>
          <w:color w:val="000000" w:themeColor="text1"/>
        </w:rPr>
        <w:t>)</w:t>
      </w:r>
      <w:r w:rsidR="00FA064C" w:rsidRPr="00B40A77">
        <w:rPr>
          <w:color w:val="000000" w:themeColor="text1"/>
        </w:rPr>
        <w:tab/>
      </w:r>
      <w:r w:rsidR="00FA064C" w:rsidRPr="00B40A77">
        <w:rPr>
          <w:color w:val="000000" w:themeColor="text1"/>
          <w:lang w:val="en-US"/>
        </w:rPr>
        <w:t xml:space="preserve">If the respondent decides to take an attitude </w:t>
      </w:r>
      <w:r w:rsidRPr="00B40A77">
        <w:rPr>
          <w:color w:val="000000" w:themeColor="text1"/>
          <w:lang w:val="en-US"/>
        </w:rPr>
        <w:t>on review</w:t>
      </w:r>
      <w:r w:rsidR="00FA064C" w:rsidRPr="00B40A77">
        <w:rPr>
          <w:color w:val="000000" w:themeColor="text1"/>
          <w:lang w:val="en-US"/>
        </w:rPr>
        <w:t xml:space="preserve"> </w:t>
      </w:r>
      <w:r w:rsidR="007D2614" w:rsidRPr="00B40A77">
        <w:rPr>
          <w:color w:val="000000" w:themeColor="text1"/>
          <w:lang w:val="en-US"/>
        </w:rPr>
        <w:t xml:space="preserve">which is </w:t>
      </w:r>
      <w:r w:rsidR="00FA064C" w:rsidRPr="00B40A77">
        <w:rPr>
          <w:color w:val="000000" w:themeColor="text1"/>
          <w:lang w:val="en-US"/>
        </w:rPr>
        <w:t xml:space="preserve">different from that taken before the </w:t>
      </w:r>
      <w:hyperlink w:anchor="_2.1—Definitions" w:history="1">
        <w:r w:rsidR="00FA064C" w:rsidRPr="00B40A77">
          <w:rPr>
            <w:rStyle w:val="Hyperlink"/>
            <w:color w:val="000000" w:themeColor="text1"/>
            <w:lang w:val="en-US"/>
          </w:rPr>
          <w:t>bail authority</w:t>
        </w:r>
      </w:hyperlink>
      <w:r w:rsidR="00FA064C" w:rsidRPr="00B40A77">
        <w:rPr>
          <w:color w:val="000000" w:themeColor="text1"/>
          <w:lang w:val="en-US"/>
        </w:rPr>
        <w:t xml:space="preserve"> whose decision is sought to be reviewed, the respondent must inform the Court in writing </w:t>
      </w:r>
      <w:r w:rsidR="00A44F71" w:rsidRPr="00B40A77">
        <w:rPr>
          <w:color w:val="000000" w:themeColor="text1"/>
          <w:lang w:val="en-US"/>
        </w:rPr>
        <w:t>as soon as practicable</w:t>
      </w:r>
      <w:r w:rsidR="00FA064C" w:rsidRPr="00B40A77">
        <w:rPr>
          <w:color w:val="000000" w:themeColor="text1"/>
          <w:lang w:val="en-US"/>
        </w:rPr>
        <w:t>.</w:t>
      </w:r>
    </w:p>
    <w:p w14:paraId="5A0A13E7" w14:textId="4F0DC175" w:rsidR="00FA064C" w:rsidRPr="00B40A77" w:rsidRDefault="001A5381" w:rsidP="003E7032">
      <w:pPr>
        <w:pStyle w:val="Heading4"/>
        <w:rPr>
          <w:color w:val="000000" w:themeColor="text1"/>
        </w:rPr>
      </w:pPr>
      <w:bookmarkStart w:id="1038" w:name="_183.5—Transmission_of_bail"/>
      <w:bookmarkStart w:id="1039" w:name="_Toc60133620"/>
      <w:bookmarkStart w:id="1040" w:name="_Toc175239325"/>
      <w:bookmarkEnd w:id="1038"/>
      <w:r w:rsidRPr="00B40A77">
        <w:rPr>
          <w:color w:val="000000" w:themeColor="text1"/>
        </w:rPr>
        <w:t>18</w:t>
      </w:r>
      <w:r w:rsidR="00264B48" w:rsidRPr="00B40A77">
        <w:rPr>
          <w:color w:val="000000" w:themeColor="text1"/>
        </w:rPr>
        <w:t>3.5</w:t>
      </w:r>
      <w:r w:rsidR="00FA064C" w:rsidRPr="00B40A77">
        <w:rPr>
          <w:color w:val="000000" w:themeColor="text1"/>
        </w:rPr>
        <w:t>—Transmission of bail authority file</w:t>
      </w:r>
      <w:bookmarkEnd w:id="1039"/>
      <w:bookmarkEnd w:id="1040"/>
    </w:p>
    <w:p w14:paraId="4FAA655A" w14:textId="193234D4" w:rsidR="00FA064C" w:rsidRPr="00B40A77" w:rsidRDefault="00FA064C" w:rsidP="00FA064C">
      <w:pPr>
        <w:pStyle w:val="IndentedPara"/>
        <w:rPr>
          <w:color w:val="000000" w:themeColor="text1"/>
        </w:rPr>
      </w:pPr>
      <w:r w:rsidRPr="00B40A77">
        <w:rPr>
          <w:color w:val="000000" w:themeColor="text1"/>
        </w:rPr>
        <w:t xml:space="preserve">If an application for review is made and the </w:t>
      </w:r>
      <w:r w:rsidRPr="00B40A77">
        <w:rPr>
          <w:color w:val="000000" w:themeColor="text1"/>
          <w:u w:val="single"/>
        </w:rPr>
        <w:t>Registrar</w:t>
      </w:r>
      <w:r w:rsidRPr="00B40A77">
        <w:rPr>
          <w:color w:val="000000" w:themeColor="text1"/>
        </w:rPr>
        <w:t xml:space="preserve"> makes a written request to the </w:t>
      </w:r>
      <w:hyperlink w:anchor="_2.1—Definitions" w:history="1">
        <w:r w:rsidRPr="00B40A77">
          <w:rPr>
            <w:rStyle w:val="Hyperlink"/>
            <w:color w:val="000000" w:themeColor="text1"/>
          </w:rPr>
          <w:t>bail</w:t>
        </w:r>
        <w:r w:rsidR="00F36E78" w:rsidRPr="00B40A77">
          <w:rPr>
            <w:rStyle w:val="Hyperlink"/>
            <w:color w:val="000000" w:themeColor="text1"/>
          </w:rPr>
          <w:t xml:space="preserve"> authority</w:t>
        </w:r>
      </w:hyperlink>
      <w:r w:rsidR="00F36E78" w:rsidRPr="00B40A77">
        <w:rPr>
          <w:color w:val="000000" w:themeColor="text1"/>
        </w:rPr>
        <w:t xml:space="preserve">, the </w:t>
      </w:r>
      <w:hyperlink w:anchor="_2.1—Definitions" w:history="1">
        <w:r w:rsidR="007F0A38" w:rsidRPr="00B40A77">
          <w:rPr>
            <w:rStyle w:val="Hyperlink"/>
            <w:color w:val="000000" w:themeColor="text1"/>
            <w:szCs w:val="24"/>
          </w:rPr>
          <w:t>bail authority</w:t>
        </w:r>
      </w:hyperlink>
      <w:r w:rsidR="007F0A38" w:rsidRPr="00B40A77">
        <w:rPr>
          <w:rStyle w:val="Hyperlink"/>
          <w:color w:val="000000" w:themeColor="text1"/>
          <w:szCs w:val="24"/>
          <w:u w:val="none"/>
        </w:rPr>
        <w:t xml:space="preserve"> </w:t>
      </w:r>
      <w:r w:rsidR="00631F5D" w:rsidRPr="00B40A77">
        <w:rPr>
          <w:color w:val="000000" w:themeColor="text1"/>
        </w:rPr>
        <w:t>must</w:t>
      </w:r>
      <w:r w:rsidRPr="00B40A77">
        <w:rPr>
          <w:color w:val="000000" w:themeColor="text1"/>
        </w:rPr>
        <w:t xml:space="preserve"> </w:t>
      </w:r>
      <w:r w:rsidR="007D2614" w:rsidRPr="00B40A77">
        <w:rPr>
          <w:color w:val="000000" w:themeColor="text1"/>
        </w:rPr>
        <w:t xml:space="preserve">immediately </w:t>
      </w:r>
      <w:r w:rsidRPr="00B40A77">
        <w:rPr>
          <w:color w:val="000000" w:themeColor="text1"/>
        </w:rPr>
        <w:t xml:space="preserve">send to the </w:t>
      </w:r>
      <w:r w:rsidRPr="00B40A77">
        <w:rPr>
          <w:color w:val="000000" w:themeColor="text1"/>
          <w:u w:val="single"/>
        </w:rPr>
        <w:t>Registrar</w:t>
      </w:r>
      <w:r w:rsidRPr="00B40A77">
        <w:rPr>
          <w:color w:val="000000" w:themeColor="text1"/>
        </w:rPr>
        <w:t xml:space="preserve"> the file and all other documents relevant to the review, including any reasons under section</w:t>
      </w:r>
      <w:r w:rsidR="007D2614" w:rsidRPr="00B40A77">
        <w:rPr>
          <w:color w:val="000000" w:themeColor="text1"/>
        </w:rPr>
        <w:t> </w:t>
      </w:r>
      <w:r w:rsidRPr="00B40A77">
        <w:rPr>
          <w:color w:val="000000" w:themeColor="text1"/>
        </w:rPr>
        <w:t>12(</w:t>
      </w:r>
      <w:r w:rsidR="00631F5D" w:rsidRPr="00B40A77">
        <w:rPr>
          <w:color w:val="000000" w:themeColor="text1"/>
        </w:rPr>
        <w:t>1)</w:t>
      </w:r>
      <w:r w:rsidRPr="00B40A77">
        <w:rPr>
          <w:color w:val="000000" w:themeColor="text1"/>
        </w:rPr>
        <w:t xml:space="preserve"> or</w:t>
      </w:r>
      <w:r w:rsidR="007D2614" w:rsidRPr="00B40A77">
        <w:rPr>
          <w:color w:val="000000" w:themeColor="text1"/>
        </w:rPr>
        <w:t> </w:t>
      </w:r>
      <w:r w:rsidRPr="00B40A77">
        <w:rPr>
          <w:color w:val="000000" w:themeColor="text1"/>
        </w:rPr>
        <w:t xml:space="preserve">15(1) of the </w:t>
      </w:r>
      <w:hyperlink w:anchor="_2.1—Definitions" w:history="1">
        <w:r w:rsidR="00D62524" w:rsidRPr="00B40A77">
          <w:rPr>
            <w:rStyle w:val="Hyperlink"/>
            <w:color w:val="000000" w:themeColor="text1"/>
            <w:u w:val="none"/>
          </w:rPr>
          <w:t xml:space="preserve">Bail </w:t>
        </w:r>
        <w:r w:rsidR="00D62524" w:rsidRPr="00B40A77">
          <w:rPr>
            <w:color w:val="000000" w:themeColor="text1"/>
          </w:rPr>
          <w:t>Act</w:t>
        </w:r>
      </w:hyperlink>
      <w:r w:rsidR="00D62524" w:rsidRPr="00B40A77">
        <w:rPr>
          <w:color w:val="000000" w:themeColor="text1"/>
        </w:rPr>
        <w:t xml:space="preserve"> </w:t>
      </w:r>
      <w:r w:rsidRPr="00B40A77">
        <w:rPr>
          <w:color w:val="000000" w:themeColor="text1"/>
        </w:rPr>
        <w:t>or section</w:t>
      </w:r>
      <w:r w:rsidR="007D2614" w:rsidRPr="00B40A77">
        <w:rPr>
          <w:color w:val="000000" w:themeColor="text1"/>
        </w:rPr>
        <w:t> </w:t>
      </w:r>
      <w:r w:rsidRPr="00B40A77">
        <w:rPr>
          <w:color w:val="000000" w:themeColor="text1"/>
        </w:rPr>
        <w:t xml:space="preserve">83 of the </w:t>
      </w:r>
      <w:r w:rsidRPr="00B40A77">
        <w:rPr>
          <w:color w:val="000000" w:themeColor="text1"/>
          <w:spacing w:val="-3"/>
        </w:rPr>
        <w:t>Service a</w:t>
      </w:r>
      <w:r w:rsidR="00631F5D" w:rsidRPr="00B40A77">
        <w:rPr>
          <w:color w:val="000000" w:themeColor="text1"/>
          <w:spacing w:val="-3"/>
        </w:rPr>
        <w:t>nd Execution of Process Act</w:t>
      </w:r>
      <w:r w:rsidRPr="00B40A77">
        <w:rPr>
          <w:color w:val="000000" w:themeColor="text1"/>
          <w:spacing w:val="-3"/>
        </w:rPr>
        <w:t xml:space="preserve"> </w:t>
      </w:r>
      <w:r w:rsidRPr="00B40A77">
        <w:rPr>
          <w:color w:val="000000" w:themeColor="text1"/>
        </w:rPr>
        <w:t>(as the case may be),</w:t>
      </w:r>
      <w:r w:rsidR="00631F5D" w:rsidRPr="00B40A77">
        <w:rPr>
          <w:color w:val="000000" w:themeColor="text1"/>
        </w:rPr>
        <w:t xml:space="preserve"> together with </w:t>
      </w:r>
      <w:r w:rsidR="007D2614" w:rsidRPr="00B40A77">
        <w:rPr>
          <w:color w:val="000000" w:themeColor="text1"/>
        </w:rPr>
        <w:t xml:space="preserve">a </w:t>
      </w:r>
      <w:r w:rsidR="00631F5D" w:rsidRPr="00B40A77">
        <w:rPr>
          <w:color w:val="000000" w:themeColor="text1"/>
        </w:rPr>
        <w:t>certification</w:t>
      </w:r>
      <w:r w:rsidRPr="00B40A77">
        <w:rPr>
          <w:color w:val="000000" w:themeColor="text1"/>
        </w:rPr>
        <w:t xml:space="preserve"> that such file and other documents are those relevant to the review.</w:t>
      </w:r>
    </w:p>
    <w:p w14:paraId="5738FFED" w14:textId="3EFBBBE3" w:rsidR="008E2A5C" w:rsidRPr="00B40A77" w:rsidRDefault="008E2A5C" w:rsidP="008E2A5C">
      <w:pPr>
        <w:pStyle w:val="Heading4"/>
        <w:rPr>
          <w:color w:val="000000" w:themeColor="text1"/>
        </w:rPr>
      </w:pPr>
      <w:bookmarkStart w:id="1041" w:name="_Toc175239326"/>
      <w:bookmarkStart w:id="1042" w:name="_Toc60133621"/>
      <w:r w:rsidRPr="00B40A77">
        <w:rPr>
          <w:color w:val="000000" w:themeColor="text1"/>
        </w:rPr>
        <w:t>183.6—Notice of acting</w:t>
      </w:r>
      <w:bookmarkEnd w:id="1041"/>
      <w:r w:rsidRPr="00B40A77">
        <w:rPr>
          <w:color w:val="000000" w:themeColor="text1"/>
        </w:rPr>
        <w:t xml:space="preserve"> </w:t>
      </w:r>
    </w:p>
    <w:p w14:paraId="40BEFB64" w14:textId="362164BC" w:rsidR="008E2A5C" w:rsidRPr="00B40A77" w:rsidRDefault="008E2A5C" w:rsidP="008E2A5C">
      <w:pPr>
        <w:pStyle w:val="IndentedPara"/>
        <w:keepNext/>
        <w:rPr>
          <w:color w:val="000000" w:themeColor="text1"/>
          <w:lang w:val="en-AU"/>
        </w:rPr>
      </w:pPr>
      <w:r w:rsidRPr="00B40A77">
        <w:rPr>
          <w:color w:val="000000" w:themeColor="text1"/>
          <w:lang w:val="en-AU"/>
        </w:rPr>
        <w:t xml:space="preserve">Unless the respondent is the </w:t>
      </w:r>
      <w:r w:rsidR="001E2199" w:rsidRPr="00B40A77">
        <w:rPr>
          <w:color w:val="000000" w:themeColor="text1"/>
        </w:rPr>
        <w:t xml:space="preserve">Commissioner of Police </w:t>
      </w:r>
      <w:r w:rsidRPr="00B40A77">
        <w:rPr>
          <w:color w:val="000000" w:themeColor="text1"/>
          <w:lang w:val="en-AU"/>
        </w:rPr>
        <w:t xml:space="preserve">or the Director, a respondent to a </w:t>
      </w:r>
      <w:hyperlink w:anchor="_211.1—Definitions" w:history="1">
        <w:r w:rsidR="000D2BEB" w:rsidRPr="00B40A77">
          <w:rPr>
            <w:rStyle w:val="Hyperlink"/>
            <w:color w:val="000000" w:themeColor="text1"/>
          </w:rPr>
          <w:t>bail review</w:t>
        </w:r>
      </w:hyperlink>
      <w:r w:rsidRPr="00B40A77">
        <w:rPr>
          <w:color w:val="000000" w:themeColor="text1"/>
          <w:lang w:val="en-AU"/>
        </w:rPr>
        <w:t xml:space="preserve"> must file a notice of acting in the prescribed form within 7 days of service of the notice of appeal.</w:t>
      </w:r>
    </w:p>
    <w:p w14:paraId="79BF126D" w14:textId="77777777" w:rsidR="008E2A5C" w:rsidRPr="00B40A77" w:rsidRDefault="008E2A5C" w:rsidP="008E2A5C">
      <w:pPr>
        <w:pStyle w:val="NoteHeader"/>
        <w:keepNext/>
        <w:ind w:left="567"/>
        <w:rPr>
          <w:color w:val="000000" w:themeColor="text1"/>
        </w:rPr>
      </w:pPr>
      <w:r w:rsidRPr="00B40A77">
        <w:rPr>
          <w:color w:val="000000" w:themeColor="text1"/>
        </w:rPr>
        <w:t>Note—</w:t>
      </w:r>
    </w:p>
    <w:p w14:paraId="3232DD67" w14:textId="35A40E28" w:rsidR="008E2A5C" w:rsidRPr="00B40A77" w:rsidRDefault="008E2A5C" w:rsidP="008E2A5C">
      <w:pPr>
        <w:pStyle w:val="NoteText"/>
        <w:ind w:left="851"/>
        <w:rPr>
          <w:color w:val="000000" w:themeColor="text1"/>
        </w:rPr>
      </w:pPr>
      <w:hyperlink w:anchor="_25.2—Law_firm_acting" w:history="1">
        <w:r w:rsidRPr="00B40A77">
          <w:rPr>
            <w:rStyle w:val="Hyperlink"/>
            <w:color w:val="000000" w:themeColor="text1"/>
          </w:rPr>
          <w:t>Rule 24.2</w:t>
        </w:r>
      </w:hyperlink>
      <w:r w:rsidRPr="00B40A77">
        <w:rPr>
          <w:color w:val="000000" w:themeColor="text1"/>
        </w:rPr>
        <w:t xml:space="preserve"> and </w:t>
      </w:r>
      <w:hyperlink w:anchor="_Subdivision_1—Obligation_to" w:history="1">
        <w:r w:rsidRPr="00B40A77">
          <w:rPr>
            <w:rStyle w:val="Hyperlink"/>
            <w:color w:val="000000" w:themeColor="text1"/>
          </w:rPr>
          <w:t>Chapter 2 Part 6 Division 4, Subdivision 1</w:t>
        </w:r>
      </w:hyperlink>
      <w:hyperlink w:anchor="_Subdivision_1—Obligation_to" w:history="1">
        <w:r w:rsidR="00854678" w:rsidRPr="00B40A77">
          <w:rPr>
            <w:rStyle w:val="Hyperlink"/>
            <w:rFonts w:cstheme="minorBidi"/>
            <w:color w:val="000000" w:themeColor="text1"/>
            <w:sz w:val="23"/>
            <w:szCs w:val="22"/>
          </w:rPr>
          <w:t>_Subdivision_1—Obligation_to</w:t>
        </w:r>
      </w:hyperlink>
      <w:r w:rsidRPr="00B40A77">
        <w:rPr>
          <w:color w:val="000000" w:themeColor="text1"/>
        </w:rPr>
        <w:t xml:space="preserve"> in relation to legal representation and </w:t>
      </w:r>
      <w:hyperlink w:anchor="_2.1—Definitions" w:history="1">
        <w:r w:rsidR="00531F32" w:rsidRPr="00B40A77">
          <w:rPr>
            <w:rStyle w:val="Hyperlink"/>
            <w:color w:val="000000" w:themeColor="text1"/>
            <w:lang w:val="en-US"/>
          </w:rPr>
          <w:t>address for service</w:t>
        </w:r>
      </w:hyperlink>
      <w:r w:rsidRPr="00B40A77">
        <w:rPr>
          <w:color w:val="000000" w:themeColor="text1"/>
        </w:rPr>
        <w:t xml:space="preserve"> apply to appellate proceedings.</w:t>
      </w:r>
    </w:p>
    <w:p w14:paraId="56FEFEC4" w14:textId="32B4D9D6" w:rsidR="00FA064C" w:rsidRPr="00B40A77" w:rsidRDefault="001A5381" w:rsidP="003E7032">
      <w:pPr>
        <w:pStyle w:val="Heading4"/>
        <w:rPr>
          <w:color w:val="000000" w:themeColor="text1"/>
        </w:rPr>
      </w:pPr>
      <w:bookmarkStart w:id="1043" w:name="_Toc175239327"/>
      <w:r w:rsidRPr="00B40A77">
        <w:rPr>
          <w:color w:val="000000" w:themeColor="text1"/>
        </w:rPr>
        <w:t>18</w:t>
      </w:r>
      <w:r w:rsidR="00264B48" w:rsidRPr="00B40A77">
        <w:rPr>
          <w:color w:val="000000" w:themeColor="text1"/>
        </w:rPr>
        <w:t>3.</w:t>
      </w:r>
      <w:r w:rsidR="008E2A5C" w:rsidRPr="00B40A77">
        <w:rPr>
          <w:color w:val="000000" w:themeColor="text1"/>
        </w:rPr>
        <w:t>7</w:t>
      </w:r>
      <w:r w:rsidR="00FA064C" w:rsidRPr="00B40A77">
        <w:rPr>
          <w:color w:val="000000" w:themeColor="text1"/>
        </w:rPr>
        <w:t>—</w:t>
      </w:r>
      <w:r w:rsidR="004B0423">
        <w:rPr>
          <w:color w:val="000000" w:themeColor="text1"/>
        </w:rPr>
        <w:t xml:space="preserve">Notice of intention not to proceed with </w:t>
      </w:r>
      <w:r w:rsidR="00FA064C" w:rsidRPr="00B40A77">
        <w:rPr>
          <w:color w:val="000000" w:themeColor="text1"/>
        </w:rPr>
        <w:t>review</w:t>
      </w:r>
      <w:bookmarkEnd w:id="1042"/>
      <w:bookmarkEnd w:id="1043"/>
    </w:p>
    <w:p w14:paraId="0F809393" w14:textId="1A1F39D4" w:rsidR="00FA064C" w:rsidRPr="00B40A77" w:rsidRDefault="00FA064C" w:rsidP="00B90C7E">
      <w:pPr>
        <w:pStyle w:val="Hangindent"/>
        <w:keepNext/>
        <w:rPr>
          <w:color w:val="000000" w:themeColor="text1"/>
        </w:rPr>
      </w:pPr>
      <w:r w:rsidRPr="00B40A77">
        <w:rPr>
          <w:color w:val="000000" w:themeColor="text1"/>
        </w:rPr>
        <w:t>(1)</w:t>
      </w:r>
      <w:r w:rsidRPr="00B40A77">
        <w:rPr>
          <w:color w:val="000000" w:themeColor="text1"/>
        </w:rPr>
        <w:tab/>
      </w:r>
      <w:r w:rsidR="006C5617" w:rsidRPr="00B40A77">
        <w:rPr>
          <w:color w:val="000000" w:themeColor="text1"/>
        </w:rPr>
        <w:t xml:space="preserve">If an applicant wishes to </w:t>
      </w:r>
      <w:r w:rsidR="004B0423">
        <w:rPr>
          <w:color w:val="000000" w:themeColor="text1"/>
        </w:rPr>
        <w:t xml:space="preserve">notify that they do not intend to proceed with a bail review, </w:t>
      </w:r>
      <w:r w:rsidR="006C5617" w:rsidRPr="00B40A77">
        <w:rPr>
          <w:color w:val="000000" w:themeColor="text1"/>
        </w:rPr>
        <w:t xml:space="preserve">the applicant must file and serve a </w:t>
      </w:r>
      <w:r w:rsidRPr="00B40A77">
        <w:rPr>
          <w:color w:val="000000" w:themeColor="text1"/>
        </w:rPr>
        <w:t xml:space="preserve">notice of </w:t>
      </w:r>
      <w:r w:rsidR="004B0423">
        <w:rPr>
          <w:color w:val="000000" w:themeColor="text1"/>
        </w:rPr>
        <w:t>intention not to proceed</w:t>
      </w:r>
      <w:r w:rsidR="006C5617" w:rsidRPr="00B40A77">
        <w:rPr>
          <w:color w:val="000000" w:themeColor="text1"/>
        </w:rPr>
        <w:t xml:space="preserve"> in the prescribed</w:t>
      </w:r>
      <w:r w:rsidRPr="00B40A77">
        <w:rPr>
          <w:color w:val="000000" w:themeColor="text1"/>
        </w:rPr>
        <w:t xml:space="preserve"> form.</w:t>
      </w:r>
    </w:p>
    <w:p w14:paraId="39A6163B" w14:textId="77777777" w:rsidR="006C5617" w:rsidRPr="00B40A77" w:rsidRDefault="006C5617" w:rsidP="00A17201">
      <w:pPr>
        <w:pStyle w:val="NoteHeader"/>
        <w:keepNext/>
        <w:rPr>
          <w:color w:val="000000" w:themeColor="text1"/>
        </w:rPr>
      </w:pPr>
      <w:r w:rsidRPr="00B40A77">
        <w:rPr>
          <w:color w:val="000000" w:themeColor="text1"/>
        </w:rPr>
        <w:t>Prescribed form—</w:t>
      </w:r>
    </w:p>
    <w:p w14:paraId="33AFB305" w14:textId="423A8996" w:rsidR="006C5617" w:rsidRPr="00B40A77" w:rsidRDefault="00EA039F" w:rsidP="003412A9">
      <w:pPr>
        <w:pStyle w:val="NoteText"/>
        <w:rPr>
          <w:color w:val="000000" w:themeColor="text1"/>
          <w:lang w:val="en-US"/>
        </w:rPr>
      </w:pPr>
      <w:r w:rsidRPr="00B40A77">
        <w:rPr>
          <w:color w:val="000000" w:themeColor="text1"/>
        </w:rPr>
        <w:t xml:space="preserve">Form 182 </w:t>
      </w:r>
      <w:hyperlink r:id="rId381" w:history="1">
        <w:r w:rsidRPr="00B40A77">
          <w:rPr>
            <w:rStyle w:val="Hyperlink"/>
            <w:color w:val="000000" w:themeColor="text1"/>
          </w:rPr>
          <w:t xml:space="preserve">Notice of </w:t>
        </w:r>
        <w:r w:rsidR="003C17F1">
          <w:rPr>
            <w:rStyle w:val="Hyperlink"/>
            <w:color w:val="000000" w:themeColor="text1"/>
          </w:rPr>
          <w:t xml:space="preserve">Intention Not to Proceed with </w:t>
        </w:r>
        <w:r w:rsidRPr="00B40A77">
          <w:rPr>
            <w:rStyle w:val="Hyperlink"/>
            <w:color w:val="000000" w:themeColor="text1"/>
          </w:rPr>
          <w:t>Bail Review</w:t>
        </w:r>
      </w:hyperlink>
    </w:p>
    <w:p w14:paraId="52AA373B" w14:textId="3FDDB896" w:rsidR="00FA064C" w:rsidRPr="00B40A77" w:rsidRDefault="00FA064C" w:rsidP="00FA064C">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w:t>
      </w:r>
      <w:r w:rsidR="006C5617" w:rsidRPr="00B40A77">
        <w:rPr>
          <w:color w:val="000000" w:themeColor="text1"/>
          <w:lang w:val="en-US"/>
        </w:rPr>
        <w:t>applicant must also serve</w:t>
      </w:r>
      <w:r w:rsidRPr="00B40A77">
        <w:rPr>
          <w:color w:val="000000" w:themeColor="text1"/>
          <w:lang w:val="en-US"/>
        </w:rPr>
        <w:t xml:space="preserve"> the </w:t>
      </w:r>
      <w:r w:rsidR="006C5617" w:rsidRPr="00B40A77">
        <w:rPr>
          <w:color w:val="000000" w:themeColor="text1"/>
        </w:rPr>
        <w:t xml:space="preserve">notice of </w:t>
      </w:r>
      <w:r w:rsidR="004B0423">
        <w:rPr>
          <w:color w:val="000000" w:themeColor="text1"/>
        </w:rPr>
        <w:t xml:space="preserve">intention not to proceed on the </w:t>
      </w:r>
      <w:hyperlink w:anchor="_2.1—Definitions" w:history="1">
        <w:r w:rsidR="00F36E78" w:rsidRPr="00B40A77">
          <w:rPr>
            <w:rStyle w:val="Hyperlink"/>
            <w:color w:val="000000" w:themeColor="text1"/>
            <w:lang w:val="en-US"/>
          </w:rPr>
          <w:t>bail authority</w:t>
        </w:r>
      </w:hyperlink>
      <w:r w:rsidR="00F36E78" w:rsidRPr="00B40A77">
        <w:rPr>
          <w:color w:val="000000" w:themeColor="text1"/>
          <w:lang w:val="en-US"/>
        </w:rPr>
        <w:t xml:space="preserve"> </w:t>
      </w:r>
      <w:r w:rsidR="003B3F59" w:rsidRPr="00B40A77">
        <w:rPr>
          <w:color w:val="000000" w:themeColor="text1"/>
          <w:lang w:val="en-US"/>
        </w:rPr>
        <w:t xml:space="preserve">that </w:t>
      </w:r>
      <w:r w:rsidRPr="00B40A77">
        <w:rPr>
          <w:color w:val="000000" w:themeColor="text1"/>
          <w:lang w:val="en-US"/>
        </w:rPr>
        <w:t xml:space="preserve">made the bail decision </w:t>
      </w:r>
      <w:r w:rsidR="003B3F59" w:rsidRPr="00B40A77">
        <w:rPr>
          <w:color w:val="000000" w:themeColor="text1"/>
          <w:lang w:val="en-US"/>
        </w:rPr>
        <w:t xml:space="preserve">the </w:t>
      </w:r>
      <w:r w:rsidRPr="00B40A77">
        <w:rPr>
          <w:color w:val="000000" w:themeColor="text1"/>
          <w:lang w:val="en-US"/>
        </w:rPr>
        <w:t xml:space="preserve">subject </w:t>
      </w:r>
      <w:r w:rsidR="003B3F59" w:rsidRPr="00B40A77">
        <w:rPr>
          <w:color w:val="000000" w:themeColor="text1"/>
          <w:lang w:val="en-US"/>
        </w:rPr>
        <w:t>of</w:t>
      </w:r>
      <w:r w:rsidRPr="00B40A77">
        <w:rPr>
          <w:color w:val="000000" w:themeColor="text1"/>
          <w:lang w:val="en-US"/>
        </w:rPr>
        <w:t xml:space="preserve"> the application for review</w:t>
      </w:r>
      <w:r w:rsidR="006C5617" w:rsidRPr="00B40A77">
        <w:rPr>
          <w:color w:val="000000" w:themeColor="text1"/>
          <w:lang w:val="en-US"/>
        </w:rPr>
        <w:t xml:space="preserve"> as soon as practicable</w:t>
      </w:r>
      <w:r w:rsidRPr="00B40A77">
        <w:rPr>
          <w:color w:val="000000" w:themeColor="text1"/>
          <w:lang w:val="en-US"/>
        </w:rPr>
        <w:t>.</w:t>
      </w:r>
    </w:p>
    <w:p w14:paraId="6715C18D" w14:textId="52054E39" w:rsidR="00FA064C" w:rsidRPr="00B40A77" w:rsidRDefault="001A5381" w:rsidP="00E60106">
      <w:pPr>
        <w:pStyle w:val="Heading4"/>
        <w:rPr>
          <w:color w:val="000000" w:themeColor="text1"/>
        </w:rPr>
      </w:pPr>
      <w:bookmarkStart w:id="1044" w:name="_Toc60133622"/>
      <w:bookmarkStart w:id="1045" w:name="_Toc175239328"/>
      <w:r w:rsidRPr="00B40A77">
        <w:rPr>
          <w:color w:val="000000" w:themeColor="text1"/>
        </w:rPr>
        <w:t>18</w:t>
      </w:r>
      <w:r w:rsidR="00623AE8" w:rsidRPr="00B40A77">
        <w:rPr>
          <w:color w:val="000000" w:themeColor="text1"/>
        </w:rPr>
        <w:t>3.</w:t>
      </w:r>
      <w:r w:rsidR="008E2A5C" w:rsidRPr="00B40A77">
        <w:rPr>
          <w:color w:val="000000" w:themeColor="text1"/>
        </w:rPr>
        <w:t>8</w:t>
      </w:r>
      <w:r w:rsidR="00FA064C" w:rsidRPr="00B40A77">
        <w:rPr>
          <w:color w:val="000000" w:themeColor="text1"/>
        </w:rPr>
        <w:t>—Hearing of application for review</w:t>
      </w:r>
      <w:bookmarkEnd w:id="1044"/>
      <w:bookmarkEnd w:id="1045"/>
    </w:p>
    <w:p w14:paraId="48AF265F" w14:textId="251A5416" w:rsidR="00FA064C" w:rsidRPr="00B40A77" w:rsidRDefault="00FA064C" w:rsidP="00FA064C">
      <w:pPr>
        <w:pStyle w:val="Hangindent"/>
        <w:rPr>
          <w:color w:val="000000" w:themeColor="text1"/>
        </w:rPr>
      </w:pPr>
      <w:r w:rsidRPr="00B40A77">
        <w:rPr>
          <w:color w:val="000000" w:themeColor="text1"/>
        </w:rPr>
        <w:t>(1)</w:t>
      </w:r>
      <w:r w:rsidRPr="00B40A77">
        <w:rPr>
          <w:color w:val="000000" w:themeColor="text1"/>
        </w:rPr>
        <w:tab/>
        <w:t>U</w:t>
      </w:r>
      <w:r w:rsidR="006C5617" w:rsidRPr="00B40A77">
        <w:rPr>
          <w:color w:val="000000" w:themeColor="text1"/>
        </w:rPr>
        <w:t>nless the Court otherwise order</w:t>
      </w:r>
      <w:r w:rsidRPr="00B40A77">
        <w:rPr>
          <w:color w:val="000000" w:themeColor="text1"/>
        </w:rPr>
        <w:t>s</w:t>
      </w:r>
      <w:r w:rsidRPr="00B40A77">
        <w:rPr>
          <w:color w:val="000000" w:themeColor="text1"/>
          <w:lang w:val="en-US"/>
        </w:rPr>
        <w:t>—</w:t>
      </w:r>
    </w:p>
    <w:p w14:paraId="025FF6CA" w14:textId="1A7B0B4B" w:rsidR="00FA064C" w:rsidRPr="00B40A77" w:rsidRDefault="00FA064C" w:rsidP="006C5617">
      <w:pPr>
        <w:pStyle w:val="Doublehangindent"/>
        <w:rPr>
          <w:color w:val="000000" w:themeColor="text1"/>
          <w:lang w:val="en-US"/>
        </w:rPr>
      </w:pPr>
      <w:r w:rsidRPr="00B40A77">
        <w:rPr>
          <w:color w:val="000000" w:themeColor="text1"/>
        </w:rPr>
        <w:t>(</w:t>
      </w:r>
      <w:r w:rsidR="006C5617" w:rsidRPr="00B40A77">
        <w:rPr>
          <w:color w:val="000000" w:themeColor="text1"/>
          <w:lang w:val="en-US"/>
        </w:rPr>
        <w:t>a)</w:t>
      </w:r>
      <w:r w:rsidR="006C5617" w:rsidRPr="00B40A77">
        <w:rPr>
          <w:color w:val="000000" w:themeColor="text1"/>
          <w:lang w:val="en-US"/>
        </w:rPr>
        <w:tab/>
        <w:t>the application will</w:t>
      </w:r>
      <w:r w:rsidRPr="00B40A77">
        <w:rPr>
          <w:color w:val="000000" w:themeColor="text1"/>
          <w:lang w:val="en-US"/>
        </w:rPr>
        <w:t xml:space="preserve"> be heard in open court;</w:t>
      </w:r>
    </w:p>
    <w:p w14:paraId="368B428E" w14:textId="43F3F35C" w:rsidR="00FA064C" w:rsidRPr="00B40A77" w:rsidRDefault="006C5617" w:rsidP="006C5617">
      <w:pPr>
        <w:pStyle w:val="Doublehangindent"/>
        <w:rPr>
          <w:color w:val="000000" w:themeColor="text1"/>
          <w:lang w:val="en-US"/>
        </w:rPr>
      </w:pPr>
      <w:r w:rsidRPr="00B40A77">
        <w:rPr>
          <w:color w:val="000000" w:themeColor="text1"/>
          <w:lang w:val="en-US"/>
        </w:rPr>
        <w:t>(b)</w:t>
      </w:r>
      <w:r w:rsidRPr="00B40A77">
        <w:rPr>
          <w:color w:val="000000" w:themeColor="text1"/>
          <w:lang w:val="en-US"/>
        </w:rPr>
        <w:tab/>
        <w:t>a person in custody will</w:t>
      </w:r>
      <w:r w:rsidR="00FA064C" w:rsidRPr="00B40A77">
        <w:rPr>
          <w:color w:val="000000" w:themeColor="text1"/>
          <w:lang w:val="en-US"/>
        </w:rPr>
        <w:t xml:space="preserve"> appear by </w:t>
      </w:r>
      <w:hyperlink w:anchor="_2.1—Definitions" w:history="1">
        <w:r w:rsidR="00DF68A6" w:rsidRPr="00B40A77">
          <w:rPr>
            <w:rStyle w:val="Hyperlink"/>
            <w:color w:val="000000" w:themeColor="text1"/>
            <w:lang w:val="en-US"/>
          </w:rPr>
          <w:t xml:space="preserve">audio </w:t>
        </w:r>
        <w:r w:rsidR="005E278A" w:rsidRPr="00B40A77">
          <w:rPr>
            <w:rStyle w:val="Hyperlink"/>
            <w:color w:val="000000" w:themeColor="text1"/>
            <w:lang w:val="en-US"/>
          </w:rPr>
          <w:t>visual link</w:t>
        </w:r>
      </w:hyperlink>
      <w:r w:rsidR="00FA064C" w:rsidRPr="00B40A77">
        <w:rPr>
          <w:color w:val="000000" w:themeColor="text1"/>
          <w:lang w:val="en-US"/>
        </w:rPr>
        <w:t>; and</w:t>
      </w:r>
    </w:p>
    <w:p w14:paraId="17850AA5" w14:textId="0251807A" w:rsidR="00FA064C" w:rsidRPr="00B40A77" w:rsidRDefault="00FA064C" w:rsidP="006C5617">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all evidence </w:t>
      </w:r>
      <w:r w:rsidR="006C5617" w:rsidRPr="00B40A77">
        <w:rPr>
          <w:color w:val="000000" w:themeColor="text1"/>
          <w:lang w:val="en-US"/>
        </w:rPr>
        <w:t>must</w:t>
      </w:r>
      <w:r w:rsidRPr="00B40A77">
        <w:rPr>
          <w:color w:val="000000" w:themeColor="text1"/>
          <w:lang w:val="en-US"/>
        </w:rPr>
        <w:t xml:space="preserve"> be given by affidavit.</w:t>
      </w:r>
    </w:p>
    <w:p w14:paraId="1B63225B" w14:textId="00CBDD4D" w:rsidR="00D22E38" w:rsidRPr="00B40A77" w:rsidRDefault="00FA064C" w:rsidP="00D22E38">
      <w:pPr>
        <w:pStyle w:val="Hangindent"/>
        <w:rPr>
          <w:color w:val="000000" w:themeColor="text1"/>
        </w:rPr>
      </w:pPr>
      <w:r w:rsidRPr="00B40A77">
        <w:rPr>
          <w:color w:val="000000" w:themeColor="text1"/>
        </w:rPr>
        <w:t>(2)</w:t>
      </w:r>
      <w:r w:rsidRPr="00B40A77">
        <w:rPr>
          <w:color w:val="000000" w:themeColor="text1"/>
        </w:rPr>
        <w:tab/>
      </w:r>
      <w:r w:rsidR="00AC0074" w:rsidRPr="00B40A77">
        <w:rPr>
          <w:color w:val="000000" w:themeColor="text1"/>
        </w:rPr>
        <w:t xml:space="preserve">If the applicant is in custody and </w:t>
      </w:r>
      <w:r w:rsidR="00D22E38" w:rsidRPr="00B40A77">
        <w:rPr>
          <w:color w:val="000000" w:themeColor="text1"/>
        </w:rPr>
        <w:t>wishes to appear in person at</w:t>
      </w:r>
      <w:r w:rsidR="00AC0074" w:rsidRPr="00B40A77">
        <w:rPr>
          <w:color w:val="000000" w:themeColor="text1"/>
        </w:rPr>
        <w:t xml:space="preserve"> the </w:t>
      </w:r>
      <w:hyperlink w:anchor="_2.1—Definitions" w:history="1">
        <w:r w:rsidR="00907BD7" w:rsidRPr="00B40A77">
          <w:rPr>
            <w:rStyle w:val="Hyperlink"/>
            <w:color w:val="000000" w:themeColor="text1"/>
          </w:rPr>
          <w:t>hearing</w:t>
        </w:r>
      </w:hyperlink>
      <w:r w:rsidR="00AC0074" w:rsidRPr="00B40A77">
        <w:rPr>
          <w:color w:val="000000" w:themeColor="text1"/>
        </w:rPr>
        <w:t xml:space="preserve">, the Notice of Review must so indicate and </w:t>
      </w:r>
      <w:r w:rsidR="00C52F81" w:rsidRPr="00B40A77">
        <w:rPr>
          <w:color w:val="000000" w:themeColor="text1"/>
        </w:rPr>
        <w:t xml:space="preserve">set out </w:t>
      </w:r>
      <w:r w:rsidR="00AC0074" w:rsidRPr="00B40A77">
        <w:rPr>
          <w:color w:val="000000" w:themeColor="text1"/>
        </w:rPr>
        <w:t>the grounds for seeking to appear in person.</w:t>
      </w:r>
    </w:p>
    <w:p w14:paraId="72FD089D" w14:textId="134A6366" w:rsidR="00D22E38" w:rsidRPr="00B40A77" w:rsidRDefault="00D22E38" w:rsidP="00B90C7E">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A respondent who is in custody may object to the use of an </w:t>
      </w:r>
      <w:hyperlink w:anchor="_2.1—Definitions" w:history="1">
        <w:r w:rsidR="001D63F7" w:rsidRPr="00B40A77">
          <w:rPr>
            <w:rStyle w:val="Hyperlink"/>
            <w:color w:val="000000" w:themeColor="text1"/>
            <w:lang w:val="en-US"/>
          </w:rPr>
          <w:t>audio visual link</w:t>
        </w:r>
      </w:hyperlink>
      <w:r w:rsidRPr="00B40A77">
        <w:rPr>
          <w:color w:val="000000" w:themeColor="text1"/>
          <w:lang w:val="en-US"/>
        </w:rPr>
        <w:t xml:space="preserve"> in respect of a </w:t>
      </w:r>
      <w:hyperlink w:anchor="_2.1—Definitions" w:history="1">
        <w:r w:rsidR="00907BD7" w:rsidRPr="00B40A77">
          <w:rPr>
            <w:rStyle w:val="Hyperlink"/>
            <w:color w:val="000000" w:themeColor="text1"/>
          </w:rPr>
          <w:t>hearing</w:t>
        </w:r>
      </w:hyperlink>
      <w:r w:rsidRPr="00B40A77">
        <w:rPr>
          <w:color w:val="000000" w:themeColor="text1"/>
          <w:lang w:val="en-US"/>
        </w:rPr>
        <w:t xml:space="preserve"> by filing a notice of objection in the prescribed form as soon as practicable after being served with the </w:t>
      </w:r>
      <w:r w:rsidRPr="00B40A77">
        <w:rPr>
          <w:color w:val="000000" w:themeColor="text1"/>
        </w:rPr>
        <w:t>Notice of Review</w:t>
      </w:r>
      <w:r w:rsidRPr="00B40A77">
        <w:rPr>
          <w:color w:val="000000" w:themeColor="text1"/>
          <w:lang w:val="en-US"/>
        </w:rPr>
        <w:t>.</w:t>
      </w:r>
    </w:p>
    <w:p w14:paraId="704060A0" w14:textId="77777777" w:rsidR="00D22E38" w:rsidRPr="00B40A77" w:rsidRDefault="00D22E38" w:rsidP="00A17201">
      <w:pPr>
        <w:pStyle w:val="NoteHeader"/>
        <w:keepNext/>
        <w:rPr>
          <w:color w:val="000000" w:themeColor="text1"/>
        </w:rPr>
      </w:pPr>
      <w:r w:rsidRPr="00B40A77">
        <w:rPr>
          <w:color w:val="000000" w:themeColor="text1"/>
        </w:rPr>
        <w:t>Prescribed form—</w:t>
      </w:r>
    </w:p>
    <w:p w14:paraId="70C7C20C" w14:textId="27D3FF55" w:rsidR="00D22E38" w:rsidRPr="00B40A77" w:rsidRDefault="00D22E38" w:rsidP="003412A9">
      <w:pPr>
        <w:pStyle w:val="NoteText"/>
        <w:rPr>
          <w:color w:val="000000" w:themeColor="text1"/>
        </w:rPr>
      </w:pPr>
      <w:r w:rsidRPr="00B40A77">
        <w:rPr>
          <w:color w:val="000000" w:themeColor="text1"/>
        </w:rPr>
        <w:t xml:space="preserve">Form 95 </w:t>
      </w:r>
      <w:hyperlink r:id="rId382" w:history="1">
        <w:r w:rsidRPr="00B40A77">
          <w:rPr>
            <w:rStyle w:val="Hyperlink"/>
            <w:color w:val="000000" w:themeColor="text1"/>
            <w:lang w:val="en-US"/>
          </w:rPr>
          <w:t xml:space="preserve">Notice of </w:t>
        </w:r>
        <w:r w:rsidR="007F6982" w:rsidRPr="00B40A77">
          <w:rPr>
            <w:rStyle w:val="Hyperlink"/>
            <w:color w:val="000000" w:themeColor="text1"/>
            <w:lang w:val="en-US"/>
          </w:rPr>
          <w:t>O</w:t>
        </w:r>
        <w:r w:rsidRPr="00B40A77">
          <w:rPr>
            <w:rStyle w:val="Hyperlink"/>
            <w:color w:val="000000" w:themeColor="text1"/>
            <w:lang w:val="en-US"/>
          </w:rPr>
          <w:t>bjection</w:t>
        </w:r>
      </w:hyperlink>
    </w:p>
    <w:p w14:paraId="2FBF5F3F" w14:textId="0AF735B6" w:rsidR="00FA064C" w:rsidRPr="00B40A77" w:rsidRDefault="00B34298" w:rsidP="00FA064C">
      <w:pPr>
        <w:pStyle w:val="Hangindent"/>
        <w:rPr>
          <w:color w:val="000000" w:themeColor="text1"/>
        </w:rPr>
      </w:pPr>
      <w:r w:rsidRPr="00B40A77">
        <w:rPr>
          <w:color w:val="000000" w:themeColor="text1"/>
        </w:rPr>
        <w:lastRenderedPageBreak/>
        <w:t>(</w:t>
      </w:r>
      <w:r w:rsidR="00B76701" w:rsidRPr="00B40A77">
        <w:rPr>
          <w:color w:val="000000" w:themeColor="text1"/>
        </w:rPr>
        <w:t>4</w:t>
      </w:r>
      <w:r w:rsidRPr="00B40A77">
        <w:rPr>
          <w:color w:val="000000" w:themeColor="text1"/>
        </w:rPr>
        <w:t>)</w:t>
      </w:r>
      <w:r w:rsidRPr="00B40A77">
        <w:rPr>
          <w:color w:val="000000" w:themeColor="text1"/>
        </w:rPr>
        <w:tab/>
      </w:r>
      <w:hyperlink w:anchor="_15.3—Hearings_ordinarily_in" w:history="1">
        <w:r w:rsidRPr="00B40A77">
          <w:rPr>
            <w:rStyle w:val="Hyperlink"/>
            <w:color w:val="000000" w:themeColor="text1"/>
          </w:rPr>
          <w:t>Rule 3</w:t>
        </w:r>
        <w:r w:rsidR="00D97E8E" w:rsidRPr="00B40A77">
          <w:rPr>
            <w:rStyle w:val="Hyperlink"/>
            <w:color w:val="000000" w:themeColor="text1"/>
          </w:rPr>
          <w:t>8</w:t>
        </w:r>
        <w:r w:rsidR="00B76701" w:rsidRPr="00B40A77">
          <w:rPr>
            <w:rStyle w:val="Hyperlink"/>
            <w:color w:val="000000" w:themeColor="text1"/>
          </w:rPr>
          <w:t>.3</w:t>
        </w:r>
      </w:hyperlink>
      <w:r w:rsidR="008E636D" w:rsidRPr="00B40A77">
        <w:rPr>
          <w:color w:val="000000" w:themeColor="text1"/>
        </w:rPr>
        <w:t xml:space="preserve"> applies</w:t>
      </w:r>
      <w:r w:rsidR="00FA064C" w:rsidRPr="00B40A77">
        <w:rPr>
          <w:color w:val="000000" w:themeColor="text1"/>
        </w:rPr>
        <w:t xml:space="preserve"> to the hearing and determination of a notice of objection.</w:t>
      </w:r>
    </w:p>
    <w:p w14:paraId="5BB5BBBE" w14:textId="247EDC01" w:rsidR="00FA064C" w:rsidRPr="00B40A77" w:rsidRDefault="001A5381" w:rsidP="00E60106">
      <w:pPr>
        <w:pStyle w:val="Heading4"/>
        <w:rPr>
          <w:color w:val="000000" w:themeColor="text1"/>
        </w:rPr>
      </w:pPr>
      <w:bookmarkStart w:id="1046" w:name="_Toc60133623"/>
      <w:bookmarkStart w:id="1047" w:name="_Toc175239329"/>
      <w:r w:rsidRPr="00B40A77">
        <w:rPr>
          <w:color w:val="000000" w:themeColor="text1"/>
        </w:rPr>
        <w:t>18</w:t>
      </w:r>
      <w:r w:rsidR="00412757" w:rsidRPr="00B40A77">
        <w:rPr>
          <w:color w:val="000000" w:themeColor="text1"/>
        </w:rPr>
        <w:t>3.</w:t>
      </w:r>
      <w:r w:rsidR="008E2A5C" w:rsidRPr="00B40A77">
        <w:rPr>
          <w:color w:val="000000" w:themeColor="text1"/>
        </w:rPr>
        <w:t>9</w:t>
      </w:r>
      <w:r w:rsidR="00FA064C" w:rsidRPr="00B40A77">
        <w:rPr>
          <w:color w:val="000000" w:themeColor="text1"/>
        </w:rPr>
        <w:t>—Determination of application for review</w:t>
      </w:r>
      <w:bookmarkEnd w:id="1046"/>
      <w:bookmarkEnd w:id="1047"/>
    </w:p>
    <w:p w14:paraId="65F04947" w14:textId="48D4506F" w:rsidR="00FA064C" w:rsidRPr="00B40A77" w:rsidRDefault="008E636D" w:rsidP="00FA064C">
      <w:pPr>
        <w:pStyle w:val="Hangindent"/>
        <w:rPr>
          <w:color w:val="000000" w:themeColor="text1"/>
        </w:rPr>
      </w:pPr>
      <w:r w:rsidRPr="00B40A77">
        <w:rPr>
          <w:color w:val="000000" w:themeColor="text1"/>
        </w:rPr>
        <w:t>(1)</w:t>
      </w:r>
      <w:r w:rsidRPr="00B40A77">
        <w:rPr>
          <w:color w:val="000000" w:themeColor="text1"/>
        </w:rPr>
        <w:tab/>
        <w:t>If</w:t>
      </w:r>
      <w:r w:rsidR="00FA064C" w:rsidRPr="00B40A77">
        <w:rPr>
          <w:color w:val="000000" w:themeColor="text1"/>
        </w:rPr>
        <w:t xml:space="preserve"> upon review the Court releases a person on bail, the Court may </w:t>
      </w:r>
      <w:r w:rsidR="00B34298" w:rsidRPr="00B40A77">
        <w:rPr>
          <w:color w:val="000000" w:themeColor="text1"/>
        </w:rPr>
        <w:t>ord</w:t>
      </w:r>
      <w:r w:rsidRPr="00B40A77">
        <w:rPr>
          <w:color w:val="000000" w:themeColor="text1"/>
        </w:rPr>
        <w:t>er</w:t>
      </w:r>
      <w:r w:rsidR="00FA064C" w:rsidRPr="00B40A77">
        <w:rPr>
          <w:color w:val="000000" w:themeColor="text1"/>
        </w:rPr>
        <w:t xml:space="preserve"> </w:t>
      </w:r>
      <w:r w:rsidR="00DE5F3D" w:rsidRPr="00B40A77">
        <w:rPr>
          <w:color w:val="000000" w:themeColor="text1"/>
        </w:rPr>
        <w:t>a</w:t>
      </w:r>
      <w:r w:rsidR="00FA064C" w:rsidRPr="00B40A77">
        <w:rPr>
          <w:color w:val="000000" w:themeColor="text1"/>
        </w:rPr>
        <w:t xml:space="preserve"> </w:t>
      </w:r>
      <w:hyperlink w:anchor="_2.1—Definitions" w:history="1">
        <w:r w:rsidR="00C737E1" w:rsidRPr="00B40A77">
          <w:rPr>
            <w:rStyle w:val="Hyperlink"/>
            <w:color w:val="000000" w:themeColor="text1"/>
            <w:lang w:val="en-US"/>
          </w:rPr>
          <w:t>court officer</w:t>
        </w:r>
      </w:hyperlink>
      <w:r w:rsidR="00FA064C" w:rsidRPr="00B40A77">
        <w:rPr>
          <w:color w:val="000000" w:themeColor="text1"/>
        </w:rPr>
        <w:t xml:space="preserve"> </w:t>
      </w:r>
      <w:r w:rsidR="00EA0D16" w:rsidRPr="00B40A77">
        <w:rPr>
          <w:color w:val="000000" w:themeColor="text1"/>
        </w:rPr>
        <w:t xml:space="preserve">to </w:t>
      </w:r>
      <w:r w:rsidR="00FA064C" w:rsidRPr="00B40A77">
        <w:rPr>
          <w:color w:val="000000" w:themeColor="text1"/>
        </w:rPr>
        <w:t>take the bail agreement in the terms ordered and</w:t>
      </w:r>
      <w:r w:rsidRPr="00B40A77">
        <w:rPr>
          <w:color w:val="000000" w:themeColor="text1"/>
        </w:rPr>
        <w:t xml:space="preserve"> thereupon release the person</w:t>
      </w:r>
      <w:r w:rsidR="00FA064C" w:rsidRPr="00B40A77">
        <w:rPr>
          <w:color w:val="000000" w:themeColor="text1"/>
        </w:rPr>
        <w:t xml:space="preserve"> on bail.</w:t>
      </w:r>
    </w:p>
    <w:p w14:paraId="4E382027" w14:textId="141E9532" w:rsidR="00FA064C" w:rsidRPr="00B40A77" w:rsidRDefault="00FA064C" w:rsidP="00FA064C">
      <w:pPr>
        <w:pStyle w:val="Hangindent"/>
        <w:rPr>
          <w:color w:val="000000" w:themeColor="text1"/>
        </w:rPr>
      </w:pPr>
      <w:r w:rsidRPr="00B40A77">
        <w:rPr>
          <w:color w:val="000000" w:themeColor="text1"/>
        </w:rPr>
        <w:t>(2)</w:t>
      </w:r>
      <w:r w:rsidRPr="00B40A77">
        <w:rPr>
          <w:color w:val="000000" w:themeColor="text1"/>
        </w:rPr>
        <w:tab/>
        <w:t xml:space="preserve">Upon completion of a review, the </w:t>
      </w:r>
      <w:r w:rsidRPr="00B40A77">
        <w:rPr>
          <w:color w:val="000000" w:themeColor="text1"/>
          <w:u w:val="single"/>
        </w:rPr>
        <w:t>Registrar</w:t>
      </w:r>
      <w:r w:rsidRPr="00B40A77">
        <w:rPr>
          <w:color w:val="000000" w:themeColor="text1"/>
        </w:rPr>
        <w:t xml:space="preserve"> may </w:t>
      </w:r>
      <w:r w:rsidR="00D441A0" w:rsidRPr="00B40A77">
        <w:rPr>
          <w:color w:val="000000" w:themeColor="text1"/>
        </w:rPr>
        <w:t xml:space="preserve">cause </w:t>
      </w:r>
      <w:r w:rsidRPr="00B40A77">
        <w:rPr>
          <w:color w:val="000000" w:themeColor="text1"/>
        </w:rPr>
        <w:t>the file and any d</w:t>
      </w:r>
      <w:r w:rsidR="008E636D" w:rsidRPr="00B40A77">
        <w:rPr>
          <w:color w:val="000000" w:themeColor="text1"/>
        </w:rPr>
        <w:t xml:space="preserve">ocuments received under </w:t>
      </w:r>
      <w:hyperlink w:anchor="_183.5—Transmission_of_bail" w:history="1">
        <w:r w:rsidR="00B34298" w:rsidRPr="00B40A77">
          <w:rPr>
            <w:rStyle w:val="Hyperlink"/>
            <w:color w:val="000000" w:themeColor="text1"/>
          </w:rPr>
          <w:t>rule 183.5</w:t>
        </w:r>
      </w:hyperlink>
      <w:r w:rsidRPr="00B40A77">
        <w:rPr>
          <w:color w:val="000000" w:themeColor="text1"/>
        </w:rPr>
        <w:t xml:space="preserve"> </w:t>
      </w:r>
      <w:r w:rsidR="00D441A0" w:rsidRPr="00B40A77">
        <w:rPr>
          <w:color w:val="000000" w:themeColor="text1"/>
        </w:rPr>
        <w:t xml:space="preserve">to be returned </w:t>
      </w:r>
      <w:r w:rsidRPr="00B40A77">
        <w:rPr>
          <w:color w:val="000000" w:themeColor="text1"/>
        </w:rPr>
        <w:t>to the person who transmitted them</w:t>
      </w:r>
      <w:r w:rsidR="00EA0D16" w:rsidRPr="00B40A77">
        <w:rPr>
          <w:color w:val="000000" w:themeColor="text1"/>
        </w:rPr>
        <w:t>,</w:t>
      </w:r>
      <w:r w:rsidRPr="00B40A77">
        <w:rPr>
          <w:color w:val="000000" w:themeColor="text1"/>
        </w:rPr>
        <w:t xml:space="preserve"> except documents required as court records.</w:t>
      </w:r>
    </w:p>
    <w:p w14:paraId="04847646" w14:textId="65428430" w:rsidR="00372C09" w:rsidRPr="00B40A77" w:rsidRDefault="005E4623" w:rsidP="00D45D85">
      <w:pPr>
        <w:pStyle w:val="Heading2"/>
        <w:keepNext/>
        <w:rPr>
          <w:color w:val="000000" w:themeColor="text1"/>
        </w:rPr>
      </w:pPr>
      <w:bookmarkStart w:id="1048" w:name="_Part_34—Appeals_and"/>
      <w:bookmarkStart w:id="1049" w:name="_Toc175239330"/>
      <w:bookmarkEnd w:id="1048"/>
      <w:r w:rsidRPr="00B40A77">
        <w:rPr>
          <w:color w:val="000000" w:themeColor="text1"/>
        </w:rPr>
        <w:t xml:space="preserve">Part </w:t>
      </w:r>
      <w:r w:rsidR="001345DA" w:rsidRPr="00B40A77">
        <w:rPr>
          <w:color w:val="000000" w:themeColor="text1"/>
        </w:rPr>
        <w:t>3</w:t>
      </w:r>
      <w:r w:rsidR="00372C09" w:rsidRPr="00B40A77">
        <w:rPr>
          <w:color w:val="000000" w:themeColor="text1"/>
        </w:rPr>
        <w:t>—</w:t>
      </w:r>
      <w:bookmarkEnd w:id="1029"/>
      <w:r w:rsidR="00A04A8A" w:rsidRPr="00B40A77">
        <w:rPr>
          <w:color w:val="000000" w:themeColor="text1"/>
        </w:rPr>
        <w:t xml:space="preserve">Appeals </w:t>
      </w:r>
      <w:r w:rsidR="00A32333" w:rsidRPr="00B40A77">
        <w:rPr>
          <w:color w:val="000000" w:themeColor="text1"/>
        </w:rPr>
        <w:t xml:space="preserve">and cases stated </w:t>
      </w:r>
      <w:r w:rsidR="00076C4E" w:rsidRPr="00B40A77">
        <w:rPr>
          <w:color w:val="000000" w:themeColor="text1"/>
        </w:rPr>
        <w:t xml:space="preserve">to </w:t>
      </w:r>
      <w:r w:rsidR="00A04A8A" w:rsidRPr="00B40A77">
        <w:rPr>
          <w:color w:val="000000" w:themeColor="text1"/>
        </w:rPr>
        <w:t>Judge</w:t>
      </w:r>
      <w:r w:rsidR="00247AEA" w:rsidRPr="00B40A77">
        <w:rPr>
          <w:color w:val="000000" w:themeColor="text1"/>
        </w:rPr>
        <w:t xml:space="preserve">: </w:t>
      </w:r>
      <w:r w:rsidR="00A04A8A" w:rsidRPr="00B40A77">
        <w:rPr>
          <w:color w:val="000000" w:themeColor="text1"/>
        </w:rPr>
        <w:t>Supreme Court</w:t>
      </w:r>
      <w:r w:rsidR="001F3228" w:rsidRPr="00B40A77">
        <w:rPr>
          <w:color w:val="000000" w:themeColor="text1"/>
        </w:rPr>
        <w:t xml:space="preserve"> and Youth Court</w:t>
      </w:r>
      <w:bookmarkEnd w:id="1049"/>
    </w:p>
    <w:p w14:paraId="15278793" w14:textId="74239A41" w:rsidR="00076C4E" w:rsidRPr="00B40A77" w:rsidRDefault="00372C09" w:rsidP="00076C4E">
      <w:pPr>
        <w:pStyle w:val="Heading3"/>
        <w:rPr>
          <w:color w:val="000000" w:themeColor="text1"/>
        </w:rPr>
      </w:pPr>
      <w:bookmarkStart w:id="1050" w:name="_Toc25920229"/>
      <w:bookmarkStart w:id="1051" w:name="_Toc175239331"/>
      <w:r w:rsidRPr="00B40A77">
        <w:rPr>
          <w:color w:val="000000" w:themeColor="text1"/>
        </w:rPr>
        <w:t>Division 1—</w:t>
      </w:r>
      <w:bookmarkEnd w:id="1050"/>
      <w:r w:rsidR="00076C4E" w:rsidRPr="00B40A77">
        <w:rPr>
          <w:color w:val="000000" w:themeColor="text1"/>
        </w:rPr>
        <w:t>General</w:t>
      </w:r>
      <w:bookmarkStart w:id="1052" w:name="_212.1—Jurisdiction_of_Master"/>
      <w:bookmarkStart w:id="1053" w:name="_Toc25920231"/>
      <w:bookmarkEnd w:id="1052"/>
      <w:bookmarkEnd w:id="1051"/>
    </w:p>
    <w:p w14:paraId="6FED0BBB" w14:textId="22BD400D" w:rsidR="00076C4E" w:rsidRPr="00B40A77" w:rsidRDefault="0053605E" w:rsidP="00076C4E">
      <w:pPr>
        <w:pStyle w:val="Heading4"/>
        <w:rPr>
          <w:color w:val="000000" w:themeColor="text1"/>
        </w:rPr>
      </w:pPr>
      <w:bookmarkStart w:id="1054" w:name="_Toc25920279"/>
      <w:bookmarkStart w:id="1055" w:name="_Toc175239332"/>
      <w:bookmarkStart w:id="1056" w:name="_Hlk31704216"/>
      <w:r w:rsidRPr="00B40A77">
        <w:rPr>
          <w:color w:val="000000" w:themeColor="text1"/>
        </w:rPr>
        <w:t>18</w:t>
      </w:r>
      <w:r w:rsidR="00DE7AC0" w:rsidRPr="00B40A77">
        <w:rPr>
          <w:color w:val="000000" w:themeColor="text1"/>
        </w:rPr>
        <w:t>4</w:t>
      </w:r>
      <w:r w:rsidR="00076C4E" w:rsidRPr="00B40A77">
        <w:rPr>
          <w:color w:val="000000" w:themeColor="text1"/>
        </w:rPr>
        <w:t>.1—Application of Part</w:t>
      </w:r>
      <w:bookmarkEnd w:id="1054"/>
      <w:bookmarkEnd w:id="1055"/>
    </w:p>
    <w:p w14:paraId="54AB86E8" w14:textId="745C4B6B" w:rsidR="001F3228" w:rsidRPr="00B40A77" w:rsidRDefault="00076C4E" w:rsidP="00076C4E">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This Part applies to</w:t>
      </w:r>
      <w:r w:rsidR="001F3228" w:rsidRPr="00B40A77">
        <w:rPr>
          <w:color w:val="000000" w:themeColor="text1"/>
          <w:lang w:val="en-US"/>
        </w:rPr>
        <w:t>—</w:t>
      </w:r>
      <w:r w:rsidRPr="00B40A77">
        <w:rPr>
          <w:rFonts w:cs="Times New Roman"/>
          <w:color w:val="000000" w:themeColor="text1"/>
        </w:rPr>
        <w:t xml:space="preserve"> </w:t>
      </w:r>
    </w:p>
    <w:p w14:paraId="5DD44EBA" w14:textId="438AE939" w:rsidR="001F3228" w:rsidRPr="00B40A77" w:rsidRDefault="001F3228" w:rsidP="001F3228">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rFonts w:cs="Times New Roman"/>
          <w:color w:val="000000" w:themeColor="text1"/>
        </w:rPr>
        <w:t>appellate proceedings to be heard by</w:t>
      </w:r>
      <w:r w:rsidRPr="00B40A77">
        <w:rPr>
          <w:color w:val="000000" w:themeColor="text1"/>
          <w:lang w:val="en-US"/>
        </w:rPr>
        <w:t xml:space="preserve"> </w:t>
      </w:r>
      <w:r w:rsidR="00076C4E" w:rsidRPr="00B40A77">
        <w:rPr>
          <w:color w:val="000000" w:themeColor="text1"/>
          <w:lang w:val="en-US"/>
        </w:rPr>
        <w:t>a Judge</w:t>
      </w:r>
      <w:r w:rsidRPr="00B40A77">
        <w:rPr>
          <w:color w:val="000000" w:themeColor="text1"/>
          <w:lang w:val="en-US"/>
        </w:rPr>
        <w:t xml:space="preserve"> of the Supreme Court; and</w:t>
      </w:r>
    </w:p>
    <w:p w14:paraId="73E802CF" w14:textId="00E492DE" w:rsidR="00076C4E" w:rsidRPr="00B40A77" w:rsidRDefault="001F3228" w:rsidP="001F3228">
      <w:pPr>
        <w:pStyle w:val="Doublehangindent"/>
        <w:rPr>
          <w:color w:val="000000" w:themeColor="text1"/>
          <w:lang w:val="en-US"/>
        </w:rPr>
      </w:pPr>
      <w:r w:rsidRPr="00B40A77">
        <w:rPr>
          <w:color w:val="000000" w:themeColor="text1"/>
          <w:lang w:val="en-US"/>
        </w:rPr>
        <w:t>(b)</w:t>
      </w:r>
      <w:r w:rsidRPr="00B40A77">
        <w:rPr>
          <w:color w:val="000000" w:themeColor="text1"/>
          <w:lang w:val="en-US"/>
        </w:rPr>
        <w:tab/>
        <w:t>appeals to the Judge of the Youth Court against an interlocutory judgment given by a Magistrate of the Youth Court under section</w:t>
      </w:r>
      <w:r w:rsidR="00CC7C23" w:rsidRPr="00B40A77">
        <w:rPr>
          <w:color w:val="000000" w:themeColor="text1"/>
          <w:lang w:val="en-US"/>
        </w:rPr>
        <w:t> </w:t>
      </w:r>
      <w:r w:rsidRPr="00B40A77">
        <w:rPr>
          <w:color w:val="000000" w:themeColor="text1"/>
          <w:lang w:val="en-US"/>
        </w:rPr>
        <w:t>22(2)</w:t>
      </w:r>
      <w:r w:rsidR="009522DD" w:rsidRPr="00B40A77">
        <w:rPr>
          <w:color w:val="000000" w:themeColor="text1"/>
          <w:lang w:val="en-US"/>
        </w:rPr>
        <w:t>(b)</w:t>
      </w:r>
      <w:r w:rsidRPr="00B40A77">
        <w:rPr>
          <w:color w:val="000000" w:themeColor="text1"/>
          <w:lang w:val="en-US"/>
        </w:rPr>
        <w:t xml:space="preserve">(i) of the </w:t>
      </w:r>
      <w:r w:rsidRPr="00B40A77">
        <w:rPr>
          <w:i/>
          <w:iCs/>
          <w:color w:val="000000" w:themeColor="text1"/>
          <w:lang w:val="en-US"/>
        </w:rPr>
        <w:t>Youth Court Act 1993</w:t>
      </w:r>
      <w:r w:rsidR="00076C4E" w:rsidRPr="00B40A77">
        <w:rPr>
          <w:color w:val="000000" w:themeColor="text1"/>
          <w:lang w:val="en-US"/>
        </w:rPr>
        <w:t>.</w:t>
      </w:r>
    </w:p>
    <w:p w14:paraId="79FFBCE6" w14:textId="121D2357" w:rsidR="001F3228" w:rsidRPr="00B40A77" w:rsidRDefault="001F3228" w:rsidP="00EA0D16">
      <w:pPr>
        <w:pStyle w:val="Hangindent"/>
        <w:keepNext/>
        <w:rPr>
          <w:i/>
          <w:iCs/>
          <w:color w:val="000000" w:themeColor="text1"/>
        </w:rPr>
      </w:pPr>
      <w:r w:rsidRPr="00B40A77">
        <w:rPr>
          <w:i/>
          <w:iCs/>
          <w:color w:val="000000" w:themeColor="text1"/>
        </w:rPr>
        <w:t>Supreme Court</w:t>
      </w:r>
    </w:p>
    <w:p w14:paraId="4C6199D1" w14:textId="7CC503BD" w:rsidR="00076C4E" w:rsidRPr="00B40A77" w:rsidRDefault="00A61F3B" w:rsidP="00A61F3B">
      <w:pPr>
        <w:pStyle w:val="Hangindent"/>
        <w:rPr>
          <w:color w:val="000000" w:themeColor="text1"/>
        </w:rPr>
      </w:pPr>
      <w:r w:rsidRPr="00B40A77">
        <w:rPr>
          <w:color w:val="000000" w:themeColor="text1"/>
        </w:rPr>
        <w:t>(2)</w:t>
      </w:r>
      <w:r w:rsidRPr="00B40A77">
        <w:rPr>
          <w:color w:val="000000" w:themeColor="text1"/>
        </w:rPr>
        <w:tab/>
      </w:r>
      <w:r w:rsidR="00076C4E" w:rsidRPr="00B40A77">
        <w:rPr>
          <w:color w:val="000000" w:themeColor="text1"/>
        </w:rPr>
        <w:t xml:space="preserve">If a Judge refers an appeal to the </w:t>
      </w:r>
      <w:hyperlink w:anchor="_2.1—Definitions" w:history="1">
        <w:r w:rsidR="00350C21" w:rsidRPr="00B40A77">
          <w:rPr>
            <w:rStyle w:val="Hyperlink"/>
            <w:color w:val="000000" w:themeColor="text1"/>
            <w:lang w:val="en-US"/>
          </w:rPr>
          <w:t>Court of Appeal</w:t>
        </w:r>
      </w:hyperlink>
      <w:r w:rsidR="00076C4E" w:rsidRPr="00B40A77">
        <w:rPr>
          <w:color w:val="000000" w:themeColor="text1"/>
        </w:rPr>
        <w:t xml:space="preserve">, </w:t>
      </w:r>
      <w:r w:rsidR="00B34298" w:rsidRPr="00B40A77">
        <w:rPr>
          <w:color w:val="000000" w:themeColor="text1"/>
        </w:rPr>
        <w:t xml:space="preserve">it is governed instead by </w:t>
      </w:r>
      <w:hyperlink w:anchor="_Part_5—Appeals_and" w:history="1">
        <w:r w:rsidR="00B34298" w:rsidRPr="00B40A77">
          <w:rPr>
            <w:rStyle w:val="Hyperlink"/>
            <w:color w:val="000000" w:themeColor="text1"/>
          </w:rPr>
          <w:t>Part</w:t>
        </w:r>
        <w:r w:rsidR="00BA2D1F" w:rsidRPr="00B40A77">
          <w:rPr>
            <w:rStyle w:val="Hyperlink"/>
            <w:color w:val="000000" w:themeColor="text1"/>
          </w:rPr>
          <w:t> </w:t>
        </w:r>
        <w:r w:rsidR="004A0458" w:rsidRPr="00B40A77">
          <w:rPr>
            <w:rStyle w:val="Hyperlink"/>
            <w:color w:val="000000" w:themeColor="text1"/>
          </w:rPr>
          <w:t>4</w:t>
        </w:r>
      </w:hyperlink>
      <w:r w:rsidR="00076C4E" w:rsidRPr="00B40A77">
        <w:rPr>
          <w:color w:val="000000" w:themeColor="text1"/>
        </w:rPr>
        <w:t>.</w:t>
      </w:r>
    </w:p>
    <w:p w14:paraId="1F898A27" w14:textId="1C58495E" w:rsidR="00372C09" w:rsidRPr="00B40A77" w:rsidRDefault="0053605E" w:rsidP="00372C09">
      <w:pPr>
        <w:pStyle w:val="Heading4"/>
        <w:rPr>
          <w:color w:val="000000" w:themeColor="text1"/>
        </w:rPr>
      </w:pPr>
      <w:bookmarkStart w:id="1057" w:name="_Toc175239333"/>
      <w:bookmarkEnd w:id="1056"/>
      <w:r w:rsidRPr="00B40A77">
        <w:rPr>
          <w:color w:val="000000" w:themeColor="text1"/>
        </w:rPr>
        <w:t>18</w:t>
      </w:r>
      <w:r w:rsidR="00DE7AC0" w:rsidRPr="00B40A77">
        <w:rPr>
          <w:color w:val="000000" w:themeColor="text1"/>
        </w:rPr>
        <w:t>4</w:t>
      </w:r>
      <w:r w:rsidR="00627E56" w:rsidRPr="00B40A77">
        <w:rPr>
          <w:color w:val="000000" w:themeColor="text1"/>
        </w:rPr>
        <w:t xml:space="preserve">.2—Jurisdiction of </w:t>
      </w:r>
      <w:r w:rsidR="00372C09" w:rsidRPr="00B40A77">
        <w:rPr>
          <w:color w:val="000000" w:themeColor="text1"/>
        </w:rPr>
        <w:t>Judge</w:t>
      </w:r>
      <w:bookmarkEnd w:id="1053"/>
      <w:r w:rsidR="001F3228" w:rsidRPr="00B40A77">
        <w:rPr>
          <w:color w:val="000000" w:themeColor="text1"/>
        </w:rPr>
        <w:t>: Supreme Court</w:t>
      </w:r>
      <w:bookmarkEnd w:id="1057"/>
    </w:p>
    <w:p w14:paraId="7A85B92E" w14:textId="69417C67" w:rsidR="00372C09" w:rsidRPr="00B40A77" w:rsidRDefault="00372C09" w:rsidP="00372C09">
      <w:pPr>
        <w:pStyle w:val="Hangindent"/>
        <w:rPr>
          <w:color w:val="000000" w:themeColor="text1"/>
          <w:lang w:val="en-US"/>
        </w:rPr>
      </w:pPr>
      <w:r w:rsidRPr="00B40A77">
        <w:rPr>
          <w:color w:val="000000" w:themeColor="text1"/>
          <w:lang w:val="en-US"/>
        </w:rPr>
        <w:t>(1)</w:t>
      </w:r>
      <w:r w:rsidRPr="00B40A77">
        <w:rPr>
          <w:color w:val="000000" w:themeColor="text1"/>
          <w:lang w:val="en-US"/>
        </w:rPr>
        <w:tab/>
        <w:t>Subjec</w:t>
      </w:r>
      <w:r w:rsidR="00A04A8A" w:rsidRPr="00B40A77">
        <w:rPr>
          <w:color w:val="000000" w:themeColor="text1"/>
          <w:lang w:val="en-US"/>
        </w:rPr>
        <w:t>t to subrule</w:t>
      </w:r>
      <w:r w:rsidR="00A17201" w:rsidRPr="00B40A77">
        <w:rPr>
          <w:color w:val="000000" w:themeColor="text1"/>
          <w:lang w:val="en-US"/>
        </w:rPr>
        <w:t> </w:t>
      </w:r>
      <w:r w:rsidR="00A04A8A" w:rsidRPr="00B40A77">
        <w:rPr>
          <w:color w:val="000000" w:themeColor="text1"/>
          <w:lang w:val="en-US"/>
        </w:rPr>
        <w:t>(2)</w:t>
      </w:r>
      <w:r w:rsidRPr="00B40A77">
        <w:rPr>
          <w:color w:val="000000" w:themeColor="text1"/>
          <w:lang w:val="en-US"/>
        </w:rPr>
        <w:t>, the appellate jurisdiction of the Supreme Court</w:t>
      </w:r>
      <w:r w:rsidR="00627E56" w:rsidRPr="00B40A77">
        <w:rPr>
          <w:color w:val="000000" w:themeColor="text1"/>
          <w:lang w:val="en-US"/>
        </w:rPr>
        <w:t xml:space="preserve"> is to be exercised by a </w:t>
      </w:r>
      <w:r w:rsidRPr="00B40A77">
        <w:rPr>
          <w:color w:val="000000" w:themeColor="text1"/>
          <w:lang w:val="en-US"/>
        </w:rPr>
        <w:t>Judge if—</w:t>
      </w:r>
    </w:p>
    <w:p w14:paraId="184893A4" w14:textId="6D0AD0C9" w:rsidR="00E90C41" w:rsidRPr="00B40A77" w:rsidRDefault="00A04A8A" w:rsidP="00372C09">
      <w:pPr>
        <w:pStyle w:val="Doublehangindent"/>
        <w:rPr>
          <w:color w:val="000000" w:themeColor="text1"/>
          <w:lang w:val="en-US"/>
        </w:rPr>
      </w:pPr>
      <w:r w:rsidRPr="00B40A77">
        <w:rPr>
          <w:color w:val="000000" w:themeColor="text1"/>
          <w:lang w:val="en-US"/>
        </w:rPr>
        <w:t>(a</w:t>
      </w:r>
      <w:r w:rsidR="00372C09" w:rsidRPr="00B40A77">
        <w:rPr>
          <w:color w:val="000000" w:themeColor="text1"/>
          <w:lang w:val="en-US"/>
        </w:rPr>
        <w:t>)</w:t>
      </w:r>
      <w:r w:rsidR="00372C09" w:rsidRPr="00B40A77">
        <w:rPr>
          <w:color w:val="000000" w:themeColor="text1"/>
          <w:lang w:val="en-US"/>
        </w:rPr>
        <w:tab/>
        <w:t xml:space="preserve">a </w:t>
      </w:r>
      <w:r w:rsidR="00532AD4" w:rsidRPr="00B40A77">
        <w:rPr>
          <w:color w:val="000000" w:themeColor="text1"/>
          <w:lang w:val="en-US"/>
        </w:rPr>
        <w:t>statutory provision</w:t>
      </w:r>
      <w:r w:rsidR="00372C09" w:rsidRPr="00B40A77">
        <w:rPr>
          <w:color w:val="000000" w:themeColor="text1"/>
          <w:lang w:val="en-US"/>
        </w:rPr>
        <w:t xml:space="preserve"> so provides;</w:t>
      </w:r>
    </w:p>
    <w:p w14:paraId="16C9C06D" w14:textId="390B8F4B" w:rsidR="00372C09" w:rsidRPr="00B40A77" w:rsidRDefault="00E90C41" w:rsidP="00372C09">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582AF0" w:rsidRPr="00B40A77">
        <w:rPr>
          <w:color w:val="000000" w:themeColor="text1"/>
          <w:lang w:val="en-US"/>
        </w:rPr>
        <w:t>a question of law is reserved by a Magistrate of the Youth Court; or</w:t>
      </w:r>
    </w:p>
    <w:p w14:paraId="7351FCAF" w14:textId="2D2D53FC" w:rsidR="00372C09" w:rsidRPr="00B40A77" w:rsidRDefault="006939FD" w:rsidP="00211EE4">
      <w:pPr>
        <w:pStyle w:val="Doublehangindent"/>
        <w:keepNext/>
        <w:rPr>
          <w:color w:val="000000" w:themeColor="text1"/>
          <w:lang w:val="en-US"/>
        </w:rPr>
      </w:pPr>
      <w:r w:rsidRPr="00B40A77">
        <w:rPr>
          <w:color w:val="000000" w:themeColor="text1"/>
          <w:lang w:val="en-US"/>
        </w:rPr>
        <w:t>(</w:t>
      </w:r>
      <w:r w:rsidR="006D6740" w:rsidRPr="00B40A77">
        <w:rPr>
          <w:color w:val="000000" w:themeColor="text1"/>
          <w:lang w:val="en-US"/>
        </w:rPr>
        <w:t>c</w:t>
      </w:r>
      <w:r w:rsidR="00372C09" w:rsidRPr="00B40A77">
        <w:rPr>
          <w:color w:val="000000" w:themeColor="text1"/>
          <w:lang w:val="en-US"/>
        </w:rPr>
        <w:t>)</w:t>
      </w:r>
      <w:r w:rsidR="00372C09" w:rsidRPr="00B40A77">
        <w:rPr>
          <w:color w:val="000000" w:themeColor="text1"/>
          <w:lang w:val="en-US"/>
        </w:rPr>
        <w:tab/>
        <w:t xml:space="preserve">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remits an</w:t>
      </w:r>
      <w:r w:rsidR="00EE6785" w:rsidRPr="00B40A77">
        <w:rPr>
          <w:color w:val="000000" w:themeColor="text1"/>
          <w:lang w:val="en-US"/>
        </w:rPr>
        <w:t xml:space="preserve"> appellate procee</w:t>
      </w:r>
      <w:r w:rsidR="00582AF0" w:rsidRPr="00B40A77">
        <w:rPr>
          <w:color w:val="000000" w:themeColor="text1"/>
          <w:lang w:val="en-US"/>
        </w:rPr>
        <w:t>d</w:t>
      </w:r>
      <w:r w:rsidR="00EE6785" w:rsidRPr="00B40A77">
        <w:rPr>
          <w:color w:val="000000" w:themeColor="text1"/>
          <w:lang w:val="en-US"/>
        </w:rPr>
        <w:t>ing</w:t>
      </w:r>
      <w:r w:rsidR="00372C09" w:rsidRPr="00B40A77">
        <w:rPr>
          <w:color w:val="000000" w:themeColor="text1"/>
          <w:lang w:val="en-US"/>
        </w:rPr>
        <w:t xml:space="preserve"> </w:t>
      </w:r>
      <w:r w:rsidR="006D6740" w:rsidRPr="00B40A77">
        <w:rPr>
          <w:color w:val="000000" w:themeColor="text1"/>
          <w:lang w:val="en-US"/>
        </w:rPr>
        <w:t xml:space="preserve">that is the </w:t>
      </w:r>
      <w:r w:rsidRPr="00B40A77">
        <w:rPr>
          <w:color w:val="000000" w:themeColor="text1"/>
          <w:lang w:val="en-US"/>
        </w:rPr>
        <w:t>subject of an order made under subrule</w:t>
      </w:r>
      <w:r w:rsidR="00A17201" w:rsidRPr="00B40A77">
        <w:rPr>
          <w:color w:val="000000" w:themeColor="text1"/>
          <w:lang w:val="en-US"/>
        </w:rPr>
        <w:t> </w:t>
      </w:r>
      <w:r w:rsidRPr="00B40A77">
        <w:rPr>
          <w:color w:val="000000" w:themeColor="text1"/>
          <w:lang w:val="en-US"/>
        </w:rPr>
        <w:t xml:space="preserve">(2) </w:t>
      </w:r>
      <w:r w:rsidR="00372C09" w:rsidRPr="00B40A77">
        <w:rPr>
          <w:color w:val="000000" w:themeColor="text1"/>
          <w:lang w:val="en-US"/>
        </w:rPr>
        <w:t>to a single Judge for hearing and determination.</w:t>
      </w:r>
    </w:p>
    <w:p w14:paraId="2B57BCA3" w14:textId="77777777" w:rsidR="00372C09" w:rsidRPr="00B40A77" w:rsidRDefault="00372C09" w:rsidP="00F815AA">
      <w:pPr>
        <w:pStyle w:val="NoteHeader"/>
        <w:keepNext/>
        <w:ind w:left="1701"/>
        <w:rPr>
          <w:color w:val="000000" w:themeColor="text1"/>
        </w:rPr>
      </w:pPr>
      <w:r w:rsidRPr="00B40A77">
        <w:rPr>
          <w:color w:val="000000" w:themeColor="text1"/>
        </w:rPr>
        <w:t>Notes—</w:t>
      </w:r>
    </w:p>
    <w:p w14:paraId="6D03272A" w14:textId="5BAA4030" w:rsidR="00372C09" w:rsidRPr="00B40A77" w:rsidRDefault="006D6BC8" w:rsidP="00C352AB">
      <w:pPr>
        <w:pStyle w:val="NoteText"/>
        <w:ind w:left="1985"/>
        <w:rPr>
          <w:color w:val="000000" w:themeColor="text1"/>
        </w:rPr>
      </w:pPr>
      <w:r w:rsidRPr="00B40A77">
        <w:rPr>
          <w:color w:val="000000" w:themeColor="text1"/>
        </w:rPr>
        <w:t>Section 42(2)(b)</w:t>
      </w:r>
      <w:r w:rsidR="00372C09" w:rsidRPr="00B40A77">
        <w:rPr>
          <w:color w:val="000000" w:themeColor="text1"/>
        </w:rPr>
        <w:t xml:space="preserve"> of the </w:t>
      </w:r>
      <w:r w:rsidR="00372C09" w:rsidRPr="00B40A77">
        <w:rPr>
          <w:i/>
          <w:color w:val="000000" w:themeColor="text1"/>
        </w:rPr>
        <w:t>Magistrates Court Act 1991</w:t>
      </w:r>
      <w:r w:rsidR="00372C09" w:rsidRPr="00B40A77">
        <w:rPr>
          <w:color w:val="000000" w:themeColor="text1"/>
        </w:rPr>
        <w:t xml:space="preserve"> provides that an appeal against a judgment by the Magistrates Court, except </w:t>
      </w:r>
      <w:r w:rsidRPr="00B40A77">
        <w:rPr>
          <w:color w:val="000000" w:themeColor="text1"/>
        </w:rPr>
        <w:t>in the case of a sentence passed on the conviction of a person of an offence that is, or offences that include, a major indictable offence</w:t>
      </w:r>
      <w:r w:rsidR="00372C09" w:rsidRPr="00B40A77">
        <w:rPr>
          <w:color w:val="000000" w:themeColor="text1"/>
        </w:rPr>
        <w:t>, lies to a single Judge of the Supreme Court.</w:t>
      </w:r>
    </w:p>
    <w:p w14:paraId="4E17F0A7" w14:textId="2EF797B7" w:rsidR="004A6D98" w:rsidRPr="00B40A77" w:rsidRDefault="00E90C41" w:rsidP="00C352AB">
      <w:pPr>
        <w:pStyle w:val="NoteText"/>
        <w:ind w:left="1985"/>
        <w:rPr>
          <w:color w:val="000000" w:themeColor="text1"/>
        </w:rPr>
      </w:pPr>
      <w:r w:rsidRPr="00B40A77">
        <w:rPr>
          <w:color w:val="000000" w:themeColor="text1"/>
        </w:rPr>
        <w:t xml:space="preserve">Section 43 of the </w:t>
      </w:r>
      <w:r w:rsidRPr="00B40A77">
        <w:rPr>
          <w:i/>
          <w:color w:val="000000" w:themeColor="text1"/>
        </w:rPr>
        <w:t>Magistrates Court Act 1991</w:t>
      </w:r>
      <w:r w:rsidRPr="00B40A77">
        <w:rPr>
          <w:color w:val="000000" w:themeColor="text1"/>
        </w:rPr>
        <w:t xml:space="preserve"> provides that t</w:t>
      </w:r>
      <w:r w:rsidR="004A6D98" w:rsidRPr="00B40A77">
        <w:rPr>
          <w:color w:val="000000" w:themeColor="text1"/>
        </w:rPr>
        <w:t>he Court may reserve any question of law arising in a</w:t>
      </w:r>
      <w:r w:rsidR="00350C21" w:rsidRPr="00B40A77">
        <w:rPr>
          <w:color w:val="000000" w:themeColor="text1"/>
        </w:rPr>
        <w:t xml:space="preserve"> </w:t>
      </w:r>
      <w:r w:rsidR="004A6D98" w:rsidRPr="00B40A77">
        <w:rPr>
          <w:color w:val="000000" w:themeColor="text1"/>
        </w:rPr>
        <w:t>criminal action</w:t>
      </w:r>
      <w:r w:rsidR="00350C21" w:rsidRPr="00B40A77">
        <w:rPr>
          <w:color w:val="000000" w:themeColor="text1"/>
        </w:rPr>
        <w:t xml:space="preserve"> </w:t>
      </w:r>
      <w:r w:rsidR="004A6D98" w:rsidRPr="00B40A77">
        <w:rPr>
          <w:color w:val="000000" w:themeColor="text1"/>
        </w:rPr>
        <w:t>for determination by the Supreme</w:t>
      </w:r>
      <w:r w:rsidR="009B3AAB" w:rsidRPr="00B40A77">
        <w:rPr>
          <w:color w:val="000000" w:themeColor="text1"/>
        </w:rPr>
        <w:t xml:space="preserve"> </w:t>
      </w:r>
      <w:r w:rsidR="004A6D98" w:rsidRPr="00B40A77">
        <w:rPr>
          <w:color w:val="000000" w:themeColor="text1"/>
        </w:rPr>
        <w:t>Court</w:t>
      </w:r>
      <w:r w:rsidR="009B3AAB" w:rsidRPr="00B40A77">
        <w:rPr>
          <w:color w:val="000000" w:themeColor="text1"/>
        </w:rPr>
        <w:t xml:space="preserve"> </w:t>
      </w:r>
      <w:r w:rsidR="004A6D98" w:rsidRPr="00B40A77">
        <w:rPr>
          <w:color w:val="000000" w:themeColor="text1"/>
        </w:rPr>
        <w:t>constituted of a single Judge (but the Judge may, if he or she thinks fit, refer the matter for determination by the</w:t>
      </w:r>
      <w:r w:rsidR="00350C21" w:rsidRPr="00B40A77">
        <w:rPr>
          <w:color w:val="000000" w:themeColor="text1"/>
        </w:rPr>
        <w:t xml:space="preserve"> </w:t>
      </w:r>
      <w:r w:rsidR="00350C21" w:rsidRPr="00B40A77">
        <w:rPr>
          <w:color w:val="000000" w:themeColor="text1"/>
          <w:lang w:val="en-US"/>
        </w:rPr>
        <w:t>Court of Appeal</w:t>
      </w:r>
      <w:r w:rsidR="004A6D98" w:rsidRPr="00B40A77">
        <w:rPr>
          <w:color w:val="000000" w:themeColor="text1"/>
        </w:rPr>
        <w:t>).</w:t>
      </w:r>
    </w:p>
    <w:p w14:paraId="1C2F3595" w14:textId="330978D5" w:rsidR="006D6BC8" w:rsidRPr="00B40A77" w:rsidRDefault="006D6BC8" w:rsidP="00C352AB">
      <w:pPr>
        <w:pStyle w:val="NoteText"/>
        <w:ind w:left="1985"/>
        <w:rPr>
          <w:color w:val="000000" w:themeColor="text1"/>
        </w:rPr>
      </w:pPr>
      <w:r w:rsidRPr="00B40A77">
        <w:rPr>
          <w:color w:val="000000" w:themeColor="text1"/>
        </w:rPr>
        <w:t xml:space="preserve">Section 30(4) of the </w:t>
      </w:r>
      <w:r w:rsidRPr="00B40A77">
        <w:rPr>
          <w:i/>
          <w:color w:val="000000" w:themeColor="text1"/>
        </w:rPr>
        <w:t>Environment, Resources and Development Court Act 1993</w:t>
      </w:r>
      <w:r w:rsidRPr="00B40A77">
        <w:rPr>
          <w:color w:val="000000" w:themeColor="text1"/>
        </w:rPr>
        <w:t xml:space="preserve"> provides that </w:t>
      </w:r>
      <w:r w:rsidR="005E4623" w:rsidRPr="00B40A77">
        <w:rPr>
          <w:color w:val="000000" w:themeColor="text1"/>
        </w:rPr>
        <w:t>a</w:t>
      </w:r>
      <w:r w:rsidRPr="00B40A77">
        <w:rPr>
          <w:color w:val="000000" w:themeColor="text1"/>
        </w:rPr>
        <w:t xml:space="preserve"> party to any criminal proceedings </w:t>
      </w:r>
      <w:r w:rsidR="00D7171B" w:rsidRPr="00B40A77">
        <w:rPr>
          <w:color w:val="000000" w:themeColor="text1"/>
        </w:rPr>
        <w:t xml:space="preserve">before the Environment, Resources and Development Court </w:t>
      </w:r>
      <w:r w:rsidRPr="00B40A77">
        <w:rPr>
          <w:color w:val="000000" w:themeColor="text1"/>
        </w:rPr>
        <w:t xml:space="preserve">may appeal against any judgment given in those proceedings in the same way, and to the same extent, as an appeal may be instituted against a judgment given in a criminal action under the </w:t>
      </w:r>
      <w:r w:rsidRPr="00B40A77">
        <w:rPr>
          <w:i/>
          <w:color w:val="000000" w:themeColor="text1"/>
        </w:rPr>
        <w:t>Magistrates Court Act 1991</w:t>
      </w:r>
      <w:r w:rsidRPr="00B40A77">
        <w:rPr>
          <w:color w:val="000000" w:themeColor="text1"/>
        </w:rPr>
        <w:t>.</w:t>
      </w:r>
    </w:p>
    <w:p w14:paraId="368F7290" w14:textId="643AA732" w:rsidR="006D6BC8" w:rsidRPr="00B40A77" w:rsidRDefault="006D6BC8" w:rsidP="00C352AB">
      <w:pPr>
        <w:pStyle w:val="NoteText"/>
        <w:ind w:left="1985"/>
        <w:rPr>
          <w:color w:val="000000" w:themeColor="text1"/>
        </w:rPr>
      </w:pPr>
      <w:r w:rsidRPr="00B40A77">
        <w:rPr>
          <w:color w:val="000000" w:themeColor="text1"/>
        </w:rPr>
        <w:lastRenderedPageBreak/>
        <w:t xml:space="preserve">Section 22(2) of the </w:t>
      </w:r>
      <w:r w:rsidRPr="00B40A77">
        <w:rPr>
          <w:i/>
          <w:color w:val="000000" w:themeColor="text1"/>
        </w:rPr>
        <w:t>Youth Court Act 1993</w:t>
      </w:r>
      <w:r w:rsidRPr="00B40A77">
        <w:rPr>
          <w:color w:val="000000" w:themeColor="text1"/>
        </w:rPr>
        <w:t xml:space="preserve"> provides that an appeal against an interlocutory order by </w:t>
      </w:r>
      <w:r w:rsidR="00F16592" w:rsidRPr="00B40A77">
        <w:rPr>
          <w:color w:val="000000" w:themeColor="text1"/>
        </w:rPr>
        <w:t xml:space="preserve">a Judge of </w:t>
      </w:r>
      <w:r w:rsidRPr="00B40A77">
        <w:rPr>
          <w:color w:val="000000" w:themeColor="text1"/>
        </w:rPr>
        <w:t>the Youth Court or against a judgment by a magistrate lies to a single Judge of the Supreme Court.</w:t>
      </w:r>
    </w:p>
    <w:p w14:paraId="392D0913" w14:textId="0192B27A" w:rsidR="00E90C41" w:rsidRPr="00B40A77" w:rsidRDefault="00E90C41" w:rsidP="00C352AB">
      <w:pPr>
        <w:pStyle w:val="NoteText"/>
        <w:ind w:left="1985"/>
        <w:rPr>
          <w:color w:val="000000" w:themeColor="text1"/>
        </w:rPr>
      </w:pPr>
      <w:r w:rsidRPr="00B40A77">
        <w:rPr>
          <w:color w:val="000000" w:themeColor="text1"/>
        </w:rPr>
        <w:t xml:space="preserve">Section 23 of the </w:t>
      </w:r>
      <w:r w:rsidRPr="00B40A77">
        <w:rPr>
          <w:i/>
          <w:color w:val="000000" w:themeColor="text1"/>
        </w:rPr>
        <w:t>Youth Court Act 1993</w:t>
      </w:r>
      <w:r w:rsidRPr="00B40A77">
        <w:rPr>
          <w:color w:val="000000" w:themeColor="text1"/>
        </w:rPr>
        <w:t xml:space="preserve"> provides that the </w:t>
      </w:r>
      <w:r w:rsidR="005A0EFF" w:rsidRPr="00B40A77">
        <w:rPr>
          <w:color w:val="000000" w:themeColor="text1"/>
        </w:rPr>
        <w:t xml:space="preserve">Youth </w:t>
      </w:r>
      <w:r w:rsidRPr="00B40A77">
        <w:rPr>
          <w:color w:val="000000" w:themeColor="text1"/>
        </w:rPr>
        <w:t>Court may reserve any question of law arising in proceedings for determination by the Supreme Court.</w:t>
      </w:r>
    </w:p>
    <w:p w14:paraId="3DF92255" w14:textId="3EFBBACC" w:rsidR="00372C09" w:rsidRPr="00B40A77" w:rsidRDefault="00372C09" w:rsidP="00372C09">
      <w:pPr>
        <w:pStyle w:val="Hangindent"/>
        <w:rPr>
          <w:color w:val="000000" w:themeColor="text1"/>
        </w:rPr>
      </w:pPr>
      <w:r w:rsidRPr="00B40A77">
        <w:rPr>
          <w:color w:val="000000" w:themeColor="text1"/>
          <w:lang w:val="en-US"/>
        </w:rPr>
        <w:t>(2)</w:t>
      </w:r>
      <w:r w:rsidRPr="00B40A77">
        <w:rPr>
          <w:color w:val="000000" w:themeColor="text1"/>
          <w:lang w:val="en-US"/>
        </w:rPr>
        <w:tab/>
        <w:t xml:space="preserve">Subject to a </w:t>
      </w:r>
      <w:r w:rsidR="00532AD4" w:rsidRPr="00B40A77">
        <w:rPr>
          <w:color w:val="000000" w:themeColor="text1"/>
          <w:lang w:val="en-US"/>
        </w:rPr>
        <w:t>statutory provision</w:t>
      </w:r>
      <w:r w:rsidRPr="00B40A77">
        <w:rPr>
          <w:color w:val="000000" w:themeColor="text1"/>
          <w:lang w:val="en-US"/>
        </w:rPr>
        <w:t xml:space="preserve"> conf</w:t>
      </w:r>
      <w:r w:rsidR="00627E56" w:rsidRPr="00B40A77">
        <w:rPr>
          <w:color w:val="000000" w:themeColor="text1"/>
          <w:lang w:val="en-US"/>
        </w:rPr>
        <w:t xml:space="preserve">erring jurisdiction on a </w:t>
      </w:r>
      <w:r w:rsidRPr="00B40A77">
        <w:rPr>
          <w:color w:val="000000" w:themeColor="text1"/>
          <w:lang w:val="en-US"/>
        </w:rPr>
        <w:t>Judge in absolute terms, a Judge may order that the appellate jurisdiction of the Supreme Court that would oth</w:t>
      </w:r>
      <w:r w:rsidR="00627E56" w:rsidRPr="00B40A77">
        <w:rPr>
          <w:color w:val="000000" w:themeColor="text1"/>
          <w:lang w:val="en-US"/>
        </w:rPr>
        <w:t xml:space="preserve">erwise be exercised by a </w:t>
      </w:r>
      <w:r w:rsidRPr="00B40A77">
        <w:rPr>
          <w:color w:val="000000" w:themeColor="text1"/>
          <w:lang w:val="en-US"/>
        </w:rPr>
        <w:t xml:space="preserve">Judge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14570CA2" w14:textId="0025D8F3" w:rsidR="00372C09" w:rsidRPr="00B40A77" w:rsidRDefault="00582AF0" w:rsidP="00582AF0">
      <w:pPr>
        <w:pStyle w:val="Heading3"/>
        <w:rPr>
          <w:color w:val="000000" w:themeColor="text1"/>
        </w:rPr>
      </w:pPr>
      <w:bookmarkStart w:id="1058" w:name="_212.3—Jurisdiction_of_Full"/>
      <w:bookmarkStart w:id="1059" w:name="_Toc25920252"/>
      <w:bookmarkStart w:id="1060" w:name="_Toc175239334"/>
      <w:bookmarkEnd w:id="1058"/>
      <w:r w:rsidRPr="00B40A77">
        <w:rPr>
          <w:color w:val="000000" w:themeColor="text1"/>
        </w:rPr>
        <w:t>Division</w:t>
      </w:r>
      <w:r w:rsidR="00FB3C6A" w:rsidRPr="00B40A77">
        <w:rPr>
          <w:color w:val="000000" w:themeColor="text1"/>
        </w:rPr>
        <w:t xml:space="preserve"> 2</w:t>
      </w:r>
      <w:r w:rsidR="00372C09" w:rsidRPr="00B40A77">
        <w:rPr>
          <w:color w:val="000000" w:themeColor="text1"/>
        </w:rPr>
        <w:t>—Institution of appe</w:t>
      </w:r>
      <w:bookmarkEnd w:id="1059"/>
      <w:r w:rsidRPr="00B40A77">
        <w:rPr>
          <w:color w:val="000000" w:themeColor="text1"/>
        </w:rPr>
        <w:t>al</w:t>
      </w:r>
      <w:bookmarkEnd w:id="1060"/>
    </w:p>
    <w:p w14:paraId="2725EBAD" w14:textId="5CBA35FC" w:rsidR="00372C09" w:rsidRPr="00B40A77" w:rsidRDefault="004534CB" w:rsidP="00372C09">
      <w:pPr>
        <w:pStyle w:val="Heading4"/>
        <w:rPr>
          <w:color w:val="000000" w:themeColor="text1"/>
        </w:rPr>
      </w:pPr>
      <w:bookmarkStart w:id="1061" w:name="_185.1—Time_to_appeal"/>
      <w:bookmarkStart w:id="1062" w:name="_Toc25920254"/>
      <w:bookmarkStart w:id="1063" w:name="_Toc175239335"/>
      <w:bookmarkEnd w:id="1061"/>
      <w:r w:rsidRPr="00B40A77">
        <w:rPr>
          <w:color w:val="000000" w:themeColor="text1"/>
        </w:rPr>
        <w:t>185</w:t>
      </w:r>
      <w:r w:rsidR="00CA2D93" w:rsidRPr="00B40A77">
        <w:rPr>
          <w:color w:val="000000" w:themeColor="text1"/>
        </w:rPr>
        <w:t>.1</w:t>
      </w:r>
      <w:r w:rsidR="00372C09" w:rsidRPr="00B40A77">
        <w:rPr>
          <w:color w:val="000000" w:themeColor="text1"/>
        </w:rPr>
        <w:t>—Time to appeal</w:t>
      </w:r>
      <w:bookmarkEnd w:id="1062"/>
      <w:bookmarkEnd w:id="1063"/>
    </w:p>
    <w:p w14:paraId="74CF2469" w14:textId="40F82C9C" w:rsidR="00372C09" w:rsidRPr="00B40A77" w:rsidRDefault="005A50EB" w:rsidP="00372C09">
      <w:pPr>
        <w:pStyle w:val="Hangindent"/>
        <w:rPr>
          <w:color w:val="000000" w:themeColor="text1"/>
          <w:lang w:val="en-US"/>
        </w:rPr>
      </w:pPr>
      <w:bookmarkStart w:id="1064" w:name="_Hlk35860379"/>
      <w:r w:rsidRPr="00B40A77">
        <w:rPr>
          <w:color w:val="000000" w:themeColor="text1"/>
          <w:lang w:val="en-US"/>
        </w:rPr>
        <w:t>(1)</w:t>
      </w:r>
      <w:r w:rsidRPr="00B40A77">
        <w:rPr>
          <w:color w:val="000000" w:themeColor="text1"/>
          <w:lang w:val="en-US"/>
        </w:rPr>
        <w:tab/>
        <w:t>A</w:t>
      </w:r>
      <w:r w:rsidR="00372C09" w:rsidRPr="00B40A77">
        <w:rPr>
          <w:color w:val="000000" w:themeColor="text1"/>
          <w:lang w:val="en-US"/>
        </w:rPr>
        <w:t>n appeal must be instituted within 21 days after the date of the judgment</w:t>
      </w:r>
      <w:r w:rsidR="005A4A60" w:rsidRPr="00B40A77">
        <w:rPr>
          <w:color w:val="000000" w:themeColor="text1"/>
          <w:lang w:val="en-US"/>
        </w:rPr>
        <w:t>, decision</w:t>
      </w:r>
      <w:r w:rsidR="00372C09" w:rsidRPr="00B40A77">
        <w:rPr>
          <w:color w:val="000000" w:themeColor="text1"/>
          <w:lang w:val="en-US"/>
        </w:rPr>
        <w:t xml:space="preserve"> or order the subject of the appeal.</w:t>
      </w:r>
    </w:p>
    <w:p w14:paraId="333BCA99" w14:textId="71DA9368" w:rsidR="00A44F71" w:rsidRPr="00B40A77" w:rsidRDefault="005A50EB" w:rsidP="00A44F71">
      <w:pPr>
        <w:pStyle w:val="Hangindent"/>
        <w:rPr>
          <w:color w:val="000000" w:themeColor="text1"/>
          <w:lang w:val="en-US"/>
        </w:rPr>
      </w:pPr>
      <w:bookmarkStart w:id="1065" w:name="_Hlk35860356"/>
      <w:bookmarkEnd w:id="1064"/>
      <w:r w:rsidRPr="00B40A77">
        <w:rPr>
          <w:color w:val="000000" w:themeColor="text1"/>
          <w:lang w:val="en-US"/>
        </w:rPr>
        <w:t>(2</w:t>
      </w:r>
      <w:r w:rsidR="00372C09" w:rsidRPr="00B40A77">
        <w:rPr>
          <w:color w:val="000000" w:themeColor="text1"/>
          <w:lang w:val="en-US"/>
        </w:rPr>
        <w:t>)</w:t>
      </w:r>
      <w:r w:rsidR="00372C09" w:rsidRPr="00B40A77">
        <w:rPr>
          <w:color w:val="000000" w:themeColor="text1"/>
          <w:lang w:val="en-US"/>
        </w:rPr>
        <w:tab/>
        <w:t>If an extension of time to appeal is required</w:t>
      </w:r>
      <w:r w:rsidR="00A44F71" w:rsidRPr="00B40A77">
        <w:rPr>
          <w:color w:val="000000" w:themeColor="text1"/>
          <w:lang w:val="en-US"/>
        </w:rPr>
        <w:t>—</w:t>
      </w:r>
    </w:p>
    <w:p w14:paraId="44235141" w14:textId="5A39EC30" w:rsidR="00A44F71" w:rsidRPr="00B40A77" w:rsidRDefault="00A44F71" w:rsidP="00A44F71">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372C09" w:rsidRPr="00B40A77">
        <w:rPr>
          <w:color w:val="000000" w:themeColor="text1"/>
          <w:lang w:val="en-US"/>
        </w:rPr>
        <w:t xml:space="preserve">the appeal must be instituted in the ordinary way in accordance with </w:t>
      </w:r>
      <w:hyperlink w:anchor="_185.3—Institution_of_appeal" w:history="1">
        <w:r w:rsidR="004534CB" w:rsidRPr="00B40A77">
          <w:rPr>
            <w:rStyle w:val="Hyperlink"/>
            <w:color w:val="000000" w:themeColor="text1"/>
            <w:lang w:val="en-US"/>
          </w:rPr>
          <w:t>rule</w:t>
        </w:r>
        <w:r w:rsidR="008F6B4D" w:rsidRPr="00B40A77">
          <w:rPr>
            <w:rStyle w:val="Hyperlink"/>
            <w:color w:val="000000" w:themeColor="text1"/>
            <w:lang w:val="en-US"/>
          </w:rPr>
          <w:t> </w:t>
        </w:r>
        <w:r w:rsidR="004534CB" w:rsidRPr="00B40A77">
          <w:rPr>
            <w:rStyle w:val="Hyperlink"/>
            <w:color w:val="000000" w:themeColor="text1"/>
            <w:lang w:val="en-US"/>
          </w:rPr>
          <w:t>185</w:t>
        </w:r>
        <w:r w:rsidR="00372C09" w:rsidRPr="00B40A77">
          <w:rPr>
            <w:rStyle w:val="Hyperlink"/>
            <w:color w:val="000000" w:themeColor="text1"/>
            <w:lang w:val="en-US"/>
          </w:rPr>
          <w:t>.</w:t>
        </w:r>
        <w:r w:rsidR="008048E4" w:rsidRPr="00B40A77">
          <w:rPr>
            <w:rStyle w:val="Hyperlink"/>
            <w:color w:val="000000" w:themeColor="text1"/>
            <w:lang w:val="en-US"/>
          </w:rPr>
          <w:t>3</w:t>
        </w:r>
      </w:hyperlink>
      <w:r w:rsidRPr="00B40A77">
        <w:rPr>
          <w:color w:val="000000" w:themeColor="text1"/>
          <w:lang w:val="en-US"/>
        </w:rPr>
        <w:t>;</w:t>
      </w:r>
    </w:p>
    <w:p w14:paraId="08F407E4" w14:textId="1226DEF8" w:rsidR="00A44F71" w:rsidRPr="00B40A77" w:rsidRDefault="00A44F71" w:rsidP="00A44F71">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372C09" w:rsidRPr="00B40A77">
        <w:rPr>
          <w:color w:val="000000" w:themeColor="text1"/>
          <w:lang w:val="en-US"/>
        </w:rPr>
        <w:t>the notice of appeal must seek the necessary extension of time</w:t>
      </w:r>
      <w:r w:rsidRPr="00B40A77">
        <w:rPr>
          <w:color w:val="000000" w:themeColor="text1"/>
          <w:lang w:val="en-US"/>
        </w:rPr>
        <w:t>; and</w:t>
      </w:r>
    </w:p>
    <w:p w14:paraId="61340000" w14:textId="151B99CB" w:rsidR="00372C09" w:rsidRPr="00B40A77" w:rsidRDefault="00A44F71" w:rsidP="00A44F71">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application for an extension of time must be supported by an affidavit explaining why the appeal was not instituted earlier </w:t>
      </w:r>
      <w:r w:rsidR="005A0EFF" w:rsidRPr="00B40A77">
        <w:rPr>
          <w:color w:val="000000" w:themeColor="text1"/>
          <w:lang w:val="en-US"/>
        </w:rPr>
        <w:t>and</w:t>
      </w:r>
      <w:r w:rsidRPr="00B40A77">
        <w:rPr>
          <w:color w:val="000000" w:themeColor="text1"/>
          <w:lang w:val="en-US"/>
        </w:rPr>
        <w:t xml:space="preserve"> within time</w:t>
      </w:r>
      <w:r w:rsidR="00372C09" w:rsidRPr="00B40A77">
        <w:rPr>
          <w:color w:val="000000" w:themeColor="text1"/>
          <w:lang w:val="en-US"/>
        </w:rPr>
        <w:t>.</w:t>
      </w:r>
    </w:p>
    <w:p w14:paraId="22F0F7BD" w14:textId="56497FF4" w:rsidR="00372C09" w:rsidRPr="00B40A77" w:rsidRDefault="005A50EB" w:rsidP="00372C09">
      <w:pPr>
        <w:pStyle w:val="Hangindent"/>
        <w:rPr>
          <w:color w:val="000000" w:themeColor="text1"/>
          <w:lang w:val="en-US"/>
        </w:rPr>
      </w:pPr>
      <w:r w:rsidRPr="00B40A77">
        <w:rPr>
          <w:color w:val="000000" w:themeColor="text1"/>
          <w:lang w:val="en-US"/>
        </w:rPr>
        <w:t>(3</w:t>
      </w:r>
      <w:r w:rsidR="00372C09" w:rsidRPr="00B40A77">
        <w:rPr>
          <w:color w:val="000000" w:themeColor="text1"/>
          <w:lang w:val="en-US"/>
        </w:rPr>
        <w:t>)</w:t>
      </w:r>
      <w:r w:rsidR="00372C09" w:rsidRPr="00B40A77">
        <w:rPr>
          <w:color w:val="000000" w:themeColor="text1"/>
          <w:lang w:val="en-US"/>
        </w:rPr>
        <w:tab/>
        <w:t>The Court may order that the question of an extension of time to appeal be heard before the hearing of the appeal.</w:t>
      </w:r>
    </w:p>
    <w:p w14:paraId="115CCB2E" w14:textId="2D1D3D9E" w:rsidR="00372C09" w:rsidRPr="00B40A77" w:rsidRDefault="005A50EB" w:rsidP="00372C09">
      <w:pPr>
        <w:pStyle w:val="Hangindent"/>
        <w:rPr>
          <w:color w:val="000000" w:themeColor="text1"/>
          <w:lang w:val="en-US"/>
        </w:rPr>
      </w:pPr>
      <w:r w:rsidRPr="00B40A77">
        <w:rPr>
          <w:color w:val="000000" w:themeColor="text1"/>
          <w:lang w:val="en-US"/>
        </w:rPr>
        <w:t>(4</w:t>
      </w:r>
      <w:r w:rsidR="00372C09" w:rsidRPr="00B40A77">
        <w:rPr>
          <w:color w:val="000000" w:themeColor="text1"/>
          <w:lang w:val="en-US"/>
        </w:rPr>
        <w:t>)</w:t>
      </w:r>
      <w:r w:rsidR="00372C09" w:rsidRPr="00B40A77">
        <w:rPr>
          <w:color w:val="000000" w:themeColor="text1"/>
          <w:lang w:val="en-US"/>
        </w:rPr>
        <w:tab/>
        <w:t>Unless a</w:t>
      </w:r>
      <w:r w:rsidR="004534CB" w:rsidRPr="00B40A77">
        <w:rPr>
          <w:color w:val="000000" w:themeColor="text1"/>
          <w:lang w:val="en-US"/>
        </w:rPr>
        <w:t>n order is made under subrule</w:t>
      </w:r>
      <w:r w:rsidR="00A17201" w:rsidRPr="00B40A77">
        <w:rPr>
          <w:color w:val="000000" w:themeColor="text1"/>
          <w:lang w:val="en-US"/>
        </w:rPr>
        <w:t> </w:t>
      </w:r>
      <w:r w:rsidR="004534CB" w:rsidRPr="00B40A77">
        <w:rPr>
          <w:color w:val="000000" w:themeColor="text1"/>
          <w:lang w:val="en-US"/>
        </w:rPr>
        <w:t>(3</w:t>
      </w:r>
      <w:r w:rsidR="00372C09" w:rsidRPr="00B40A77">
        <w:rPr>
          <w:color w:val="000000" w:themeColor="text1"/>
          <w:lang w:val="en-US"/>
        </w:rPr>
        <w:t>), the application for an extension of time to appeal and the appeal will be heard at the same time.</w:t>
      </w:r>
    </w:p>
    <w:p w14:paraId="430B21BE" w14:textId="5FEE9A22" w:rsidR="008048E4" w:rsidRPr="00B40A77" w:rsidRDefault="008048E4" w:rsidP="008048E4">
      <w:pPr>
        <w:pStyle w:val="Heading4"/>
        <w:rPr>
          <w:color w:val="000000" w:themeColor="text1"/>
        </w:rPr>
      </w:pPr>
      <w:bookmarkStart w:id="1066" w:name="_185.2—Leave_to_appeal"/>
      <w:bookmarkStart w:id="1067" w:name="_Toc175239336"/>
      <w:bookmarkEnd w:id="1066"/>
      <w:r w:rsidRPr="00B40A77">
        <w:rPr>
          <w:color w:val="000000" w:themeColor="text1"/>
        </w:rPr>
        <w:t>185</w:t>
      </w:r>
      <w:r w:rsidR="000C4723" w:rsidRPr="00B40A77">
        <w:rPr>
          <w:color w:val="000000" w:themeColor="text1"/>
        </w:rPr>
        <w:t>.2</w:t>
      </w:r>
      <w:r w:rsidRPr="00B40A77">
        <w:rPr>
          <w:color w:val="000000" w:themeColor="text1"/>
        </w:rPr>
        <w:t>—Leave to appeal</w:t>
      </w:r>
      <w:r w:rsidR="00516420" w:rsidRPr="00B40A77">
        <w:rPr>
          <w:color w:val="000000" w:themeColor="text1"/>
        </w:rPr>
        <w:t>: Supreme Court</w:t>
      </w:r>
      <w:bookmarkEnd w:id="1067"/>
    </w:p>
    <w:p w14:paraId="5410E207" w14:textId="2D505428" w:rsidR="008048E4" w:rsidRPr="00B40A77" w:rsidRDefault="000C4723" w:rsidP="00211EE4">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L</w:t>
      </w:r>
      <w:r w:rsidR="008048E4" w:rsidRPr="00B40A77">
        <w:rPr>
          <w:color w:val="000000" w:themeColor="text1"/>
          <w:lang w:val="en-US"/>
        </w:rPr>
        <w:t>eave to appeal is required</w:t>
      </w:r>
      <w:r w:rsidRPr="00B40A77">
        <w:rPr>
          <w:color w:val="000000" w:themeColor="text1"/>
          <w:lang w:val="en-US"/>
        </w:rPr>
        <w:t xml:space="preserve"> </w:t>
      </w:r>
      <w:r w:rsidR="008048E4" w:rsidRPr="00B40A77">
        <w:rPr>
          <w:color w:val="000000" w:themeColor="text1"/>
          <w:lang w:val="en-US"/>
        </w:rPr>
        <w:t xml:space="preserve">if a </w:t>
      </w:r>
      <w:r w:rsidR="00532AD4" w:rsidRPr="00B40A77">
        <w:rPr>
          <w:color w:val="000000" w:themeColor="text1"/>
          <w:lang w:val="en-US"/>
        </w:rPr>
        <w:t>statutory provision</w:t>
      </w:r>
      <w:r w:rsidR="008048E4" w:rsidRPr="00B40A77">
        <w:rPr>
          <w:color w:val="000000" w:themeColor="text1"/>
          <w:lang w:val="en-US"/>
        </w:rPr>
        <w:t xml:space="preserve"> so provides</w:t>
      </w:r>
      <w:r w:rsidRPr="00B40A77">
        <w:rPr>
          <w:color w:val="000000" w:themeColor="text1"/>
          <w:lang w:val="en-US"/>
        </w:rPr>
        <w:t>.</w:t>
      </w:r>
    </w:p>
    <w:p w14:paraId="683D4671" w14:textId="77777777" w:rsidR="008048E4" w:rsidRPr="00B40A77" w:rsidRDefault="008048E4" w:rsidP="00F815AA">
      <w:pPr>
        <w:pStyle w:val="NoteHeader"/>
        <w:keepNext/>
        <w:rPr>
          <w:color w:val="000000" w:themeColor="text1"/>
        </w:rPr>
      </w:pPr>
      <w:r w:rsidRPr="00B40A77">
        <w:rPr>
          <w:color w:val="000000" w:themeColor="text1"/>
        </w:rPr>
        <w:t>Notes—</w:t>
      </w:r>
    </w:p>
    <w:p w14:paraId="11C448A7" w14:textId="32D9515F" w:rsidR="008048E4" w:rsidRPr="00B40A77" w:rsidRDefault="008048E4" w:rsidP="008048E4">
      <w:pPr>
        <w:pStyle w:val="NoteText"/>
        <w:rPr>
          <w:color w:val="000000" w:themeColor="text1"/>
        </w:rPr>
      </w:pPr>
      <w:r w:rsidRPr="00B40A77">
        <w:rPr>
          <w:color w:val="000000" w:themeColor="text1"/>
        </w:rPr>
        <w:t>Section</w:t>
      </w:r>
      <w:r w:rsidR="008F6B4D" w:rsidRPr="00B40A77">
        <w:rPr>
          <w:color w:val="000000" w:themeColor="text1"/>
        </w:rPr>
        <w:t> </w:t>
      </w:r>
      <w:r w:rsidR="00D7171B" w:rsidRPr="00B40A77">
        <w:rPr>
          <w:color w:val="000000" w:themeColor="text1"/>
        </w:rPr>
        <w:t>42(1a)</w:t>
      </w:r>
      <w:r w:rsidRPr="00B40A77">
        <w:rPr>
          <w:color w:val="000000" w:themeColor="text1"/>
        </w:rPr>
        <w:t xml:space="preserve"> of the </w:t>
      </w:r>
      <w:r w:rsidRPr="00B40A77">
        <w:rPr>
          <w:i/>
          <w:iCs/>
          <w:color w:val="000000" w:themeColor="text1"/>
        </w:rPr>
        <w:t>Magistrates Court Act 1991</w:t>
      </w:r>
      <w:r w:rsidRPr="00B40A77">
        <w:rPr>
          <w:color w:val="000000" w:themeColor="text1"/>
        </w:rPr>
        <w:t xml:space="preserve"> provides that an appeal does not lie against an interlocutory judgment (other than a judgment staying the proceeding or destroying or substantially weakening the basis of the prosecution case likely to lead to abandonment of the prosecution) unless the Court or the appellate court is satisfied that there are special reasons why it would be in the interests of the administration of justice to have the appeal determined before commencement or completion of the trial and grants its permission for an appeal.</w:t>
      </w:r>
    </w:p>
    <w:p w14:paraId="3223DBDA" w14:textId="64A87541" w:rsidR="008048E4" w:rsidRPr="00B40A77" w:rsidRDefault="008048E4" w:rsidP="008048E4">
      <w:pPr>
        <w:pStyle w:val="NoteText"/>
        <w:rPr>
          <w:color w:val="000000" w:themeColor="text1"/>
        </w:rPr>
      </w:pPr>
      <w:r w:rsidRPr="00B40A77">
        <w:rPr>
          <w:color w:val="000000" w:themeColor="text1"/>
        </w:rPr>
        <w:t>Section</w:t>
      </w:r>
      <w:r w:rsidR="008F6B4D" w:rsidRPr="00B40A77">
        <w:rPr>
          <w:color w:val="000000" w:themeColor="text1"/>
        </w:rPr>
        <w:t> </w:t>
      </w:r>
      <w:r w:rsidRPr="00B40A77">
        <w:rPr>
          <w:color w:val="000000" w:themeColor="text1"/>
        </w:rPr>
        <w:t xml:space="preserve">30(4) of the </w:t>
      </w:r>
      <w:r w:rsidRPr="00B40A77">
        <w:rPr>
          <w:i/>
          <w:color w:val="000000" w:themeColor="text1"/>
        </w:rPr>
        <w:t>Environment, Resources and Development Court Act 1993</w:t>
      </w:r>
      <w:r w:rsidRPr="00B40A77">
        <w:rPr>
          <w:color w:val="000000" w:themeColor="text1"/>
        </w:rPr>
        <w:t xml:space="preserve"> provides that a party to any criminal proceedings may appeal against any judgment given in those proceedings in the same way, and to the same extent, as an appeal may be instituted against a judgment given in a criminal action under the </w:t>
      </w:r>
      <w:r w:rsidRPr="00B40A77">
        <w:rPr>
          <w:i/>
          <w:color w:val="000000" w:themeColor="text1"/>
        </w:rPr>
        <w:t>Magistrates Court Act 1991</w:t>
      </w:r>
      <w:r w:rsidRPr="00B40A77">
        <w:rPr>
          <w:color w:val="000000" w:themeColor="text1"/>
        </w:rPr>
        <w:t>.</w:t>
      </w:r>
    </w:p>
    <w:p w14:paraId="54F47B50" w14:textId="7B26E399" w:rsidR="000C4723" w:rsidRPr="00B40A77" w:rsidRDefault="000C4723" w:rsidP="000C4723">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leave to appeal is required, the appeal must be instituted in the ordinary way in accordance with </w:t>
      </w:r>
      <w:hyperlink w:anchor="_185.3—Institution_of_appeal" w:history="1">
        <w:r w:rsidR="001A7442" w:rsidRPr="00B40A77">
          <w:rPr>
            <w:rStyle w:val="Hyperlink"/>
            <w:color w:val="000000" w:themeColor="text1"/>
            <w:lang w:val="en-US"/>
          </w:rPr>
          <w:t>rule</w:t>
        </w:r>
        <w:r w:rsidR="008F6B4D" w:rsidRPr="00B40A77">
          <w:rPr>
            <w:rStyle w:val="Hyperlink"/>
            <w:color w:val="000000" w:themeColor="text1"/>
            <w:lang w:val="en-US"/>
          </w:rPr>
          <w:t> </w:t>
        </w:r>
        <w:r w:rsidR="001A7442" w:rsidRPr="00B40A77">
          <w:rPr>
            <w:rStyle w:val="Hyperlink"/>
            <w:color w:val="000000" w:themeColor="text1"/>
            <w:lang w:val="en-US"/>
          </w:rPr>
          <w:t>185.3</w:t>
        </w:r>
      </w:hyperlink>
      <w:r w:rsidRPr="00B40A77">
        <w:rPr>
          <w:color w:val="000000" w:themeColor="text1"/>
          <w:lang w:val="en-US"/>
        </w:rPr>
        <w:t xml:space="preserve"> and the notice of appeal must seek the necessary leave.</w:t>
      </w:r>
    </w:p>
    <w:p w14:paraId="3D6492A4" w14:textId="1452245A" w:rsidR="000C4723" w:rsidRPr="00B40A77" w:rsidRDefault="000C4723" w:rsidP="000C4723">
      <w:pPr>
        <w:pStyle w:val="Hangindent"/>
        <w:rPr>
          <w:color w:val="000000" w:themeColor="text1"/>
          <w:lang w:val="en-US"/>
        </w:rPr>
      </w:pPr>
      <w:r w:rsidRPr="00B40A77">
        <w:rPr>
          <w:color w:val="000000" w:themeColor="text1"/>
          <w:lang w:val="en-US"/>
        </w:rPr>
        <w:t>(3)</w:t>
      </w:r>
      <w:r w:rsidRPr="00B40A77">
        <w:rPr>
          <w:color w:val="000000" w:themeColor="text1"/>
          <w:lang w:val="en-US"/>
        </w:rPr>
        <w:tab/>
        <w:t>The Court may order that the question of leave to appeal be heard before the hearing of the appeal.</w:t>
      </w:r>
    </w:p>
    <w:p w14:paraId="565A7B9D" w14:textId="662C9F4F" w:rsidR="000C4723" w:rsidRPr="00B40A77" w:rsidRDefault="000C4723" w:rsidP="000C4723">
      <w:pPr>
        <w:pStyle w:val="Hangindent"/>
        <w:rPr>
          <w:color w:val="000000" w:themeColor="text1"/>
          <w:lang w:val="en-US"/>
        </w:rPr>
      </w:pPr>
      <w:r w:rsidRPr="00B40A77">
        <w:rPr>
          <w:color w:val="000000" w:themeColor="text1"/>
          <w:lang w:val="en-US"/>
        </w:rPr>
        <w:t>(4)</w:t>
      </w:r>
      <w:r w:rsidRPr="00B40A77">
        <w:rPr>
          <w:color w:val="000000" w:themeColor="text1"/>
          <w:lang w:val="en-US"/>
        </w:rPr>
        <w:tab/>
        <w:t>Unless an order is made under subrule</w:t>
      </w:r>
      <w:r w:rsidR="00A17201" w:rsidRPr="00B40A77">
        <w:rPr>
          <w:color w:val="000000" w:themeColor="text1"/>
          <w:lang w:val="en-US"/>
        </w:rPr>
        <w:t> </w:t>
      </w:r>
      <w:r w:rsidRPr="00B40A77">
        <w:rPr>
          <w:color w:val="000000" w:themeColor="text1"/>
          <w:lang w:val="en-US"/>
        </w:rPr>
        <w:t xml:space="preserve">(3), the application for leave to appeal and the appeal will be heard at the same time. </w:t>
      </w:r>
    </w:p>
    <w:p w14:paraId="54AA065A" w14:textId="4E71D4A9" w:rsidR="004534CB" w:rsidRPr="00B40A77" w:rsidRDefault="000C4723" w:rsidP="00372C09">
      <w:pPr>
        <w:pStyle w:val="Hangindent"/>
        <w:rPr>
          <w:color w:val="000000" w:themeColor="text1"/>
          <w:lang w:val="en-US"/>
        </w:rPr>
      </w:pPr>
      <w:r w:rsidRPr="00B40A77">
        <w:rPr>
          <w:color w:val="000000" w:themeColor="text1"/>
          <w:lang w:val="en-US"/>
        </w:rPr>
        <w:t>(5)</w:t>
      </w:r>
      <w:r w:rsidRPr="00B40A77">
        <w:rPr>
          <w:color w:val="000000" w:themeColor="text1"/>
          <w:lang w:val="en-US"/>
        </w:rPr>
        <w:tab/>
        <w:t>If leave to appeal is granted, but it later becomes evident that it ought not to have been granted, the Court may revoke the grant of leave.</w:t>
      </w:r>
    </w:p>
    <w:p w14:paraId="733775B3" w14:textId="37AD3230" w:rsidR="00372C09" w:rsidRPr="00B40A77" w:rsidRDefault="000C4723" w:rsidP="00372C09">
      <w:pPr>
        <w:pStyle w:val="Heading4"/>
        <w:rPr>
          <w:color w:val="000000" w:themeColor="text1"/>
        </w:rPr>
      </w:pPr>
      <w:bookmarkStart w:id="1068" w:name="_214.2—Institution_of_appeal"/>
      <w:bookmarkStart w:id="1069" w:name="_185.3—Institution_of_appeal"/>
      <w:bookmarkStart w:id="1070" w:name="_Toc25920256"/>
      <w:bookmarkStart w:id="1071" w:name="_Toc175239337"/>
      <w:bookmarkEnd w:id="1065"/>
      <w:bookmarkEnd w:id="1068"/>
      <w:bookmarkEnd w:id="1069"/>
      <w:r w:rsidRPr="00B40A77">
        <w:rPr>
          <w:color w:val="000000" w:themeColor="text1"/>
        </w:rPr>
        <w:lastRenderedPageBreak/>
        <w:t>185.3</w:t>
      </w:r>
      <w:r w:rsidR="00372C09" w:rsidRPr="00B40A77">
        <w:rPr>
          <w:color w:val="000000" w:themeColor="text1"/>
        </w:rPr>
        <w:t>—Institution</w:t>
      </w:r>
      <w:bookmarkEnd w:id="1070"/>
      <w:r w:rsidR="00372C09" w:rsidRPr="00B40A77">
        <w:rPr>
          <w:color w:val="000000" w:themeColor="text1"/>
        </w:rPr>
        <w:t xml:space="preserve"> of appeal</w:t>
      </w:r>
      <w:bookmarkEnd w:id="1071"/>
    </w:p>
    <w:p w14:paraId="31AB5475" w14:textId="58257E91" w:rsidR="00372C09" w:rsidRPr="00B40A77" w:rsidRDefault="00372C09" w:rsidP="00372C09">
      <w:pPr>
        <w:pStyle w:val="Hangindent"/>
        <w:rPr>
          <w:color w:val="000000" w:themeColor="text1"/>
          <w:lang w:val="en-US"/>
        </w:rPr>
      </w:pPr>
      <w:r w:rsidRPr="00B40A77">
        <w:rPr>
          <w:color w:val="000000" w:themeColor="text1"/>
          <w:lang w:val="en-US"/>
        </w:rPr>
        <w:t>(1)</w:t>
      </w:r>
      <w:r w:rsidRPr="00B40A77">
        <w:rPr>
          <w:color w:val="000000" w:themeColor="text1"/>
          <w:lang w:val="en-US"/>
        </w:rPr>
        <w:tab/>
        <w:t>An appeal must be instituted by filing a notice of appeal in the prescribed form setting out (in accordance with the prescribed form)—</w:t>
      </w:r>
    </w:p>
    <w:p w14:paraId="14D3CCDF" w14:textId="77777777" w:rsidR="00372C09" w:rsidRPr="00B40A77" w:rsidRDefault="00372C09" w:rsidP="00372C0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forum of the appellate Court; </w:t>
      </w:r>
    </w:p>
    <w:p w14:paraId="1C673B9D" w14:textId="77777777" w:rsidR="00372C09" w:rsidRPr="00B40A77" w:rsidRDefault="00372C09" w:rsidP="00372C09">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statutory provision under which the appeal is brought;</w:t>
      </w:r>
    </w:p>
    <w:p w14:paraId="3F66BD24" w14:textId="77777777" w:rsidR="00372C09" w:rsidRPr="00B40A77" w:rsidRDefault="00372C09" w:rsidP="00372C09">
      <w:pPr>
        <w:pStyle w:val="Doublehangindent"/>
        <w:rPr>
          <w:color w:val="000000" w:themeColor="text1"/>
          <w:lang w:val="en-US"/>
        </w:rPr>
      </w:pPr>
      <w:r w:rsidRPr="00B40A77">
        <w:rPr>
          <w:color w:val="000000" w:themeColor="text1"/>
          <w:lang w:val="en-US"/>
        </w:rPr>
        <w:t>(c)</w:t>
      </w:r>
      <w:r w:rsidRPr="00B40A77">
        <w:rPr>
          <w:color w:val="000000" w:themeColor="text1"/>
          <w:lang w:val="en-US"/>
        </w:rPr>
        <w:tab/>
        <w:t>details of the judgment or order the subject of the appeal;</w:t>
      </w:r>
    </w:p>
    <w:p w14:paraId="6372F660" w14:textId="77777777" w:rsidR="00372C09" w:rsidRPr="00B40A77" w:rsidRDefault="00372C09" w:rsidP="00372C09">
      <w:pPr>
        <w:pStyle w:val="Doublehangindent"/>
        <w:rPr>
          <w:color w:val="000000" w:themeColor="text1"/>
          <w:lang w:val="en-US"/>
        </w:rPr>
      </w:pPr>
      <w:r w:rsidRPr="00B40A77">
        <w:rPr>
          <w:color w:val="000000" w:themeColor="text1"/>
          <w:lang w:val="en-US"/>
        </w:rPr>
        <w:t>(d)</w:t>
      </w:r>
      <w:r w:rsidRPr="00B40A77">
        <w:rPr>
          <w:color w:val="000000" w:themeColor="text1"/>
          <w:lang w:val="en-US"/>
        </w:rPr>
        <w:tab/>
        <w:t>the grounds of appeal;</w:t>
      </w:r>
    </w:p>
    <w:p w14:paraId="4C62BB15" w14:textId="77777777" w:rsidR="00372C09" w:rsidRPr="00B40A77" w:rsidRDefault="00372C09" w:rsidP="00372C09">
      <w:pPr>
        <w:pStyle w:val="Doublehangindent"/>
        <w:rPr>
          <w:color w:val="000000" w:themeColor="text1"/>
          <w:lang w:val="en-US"/>
        </w:rPr>
      </w:pPr>
      <w:r w:rsidRPr="00B40A77">
        <w:rPr>
          <w:color w:val="000000" w:themeColor="text1"/>
          <w:lang w:val="en-US"/>
        </w:rPr>
        <w:t>(e)</w:t>
      </w:r>
      <w:r w:rsidRPr="00B40A77">
        <w:rPr>
          <w:color w:val="000000" w:themeColor="text1"/>
          <w:lang w:val="en-US"/>
        </w:rPr>
        <w:tab/>
        <w:t>the orders sought on appeal;</w:t>
      </w:r>
    </w:p>
    <w:p w14:paraId="02AFF84A" w14:textId="1164E4B2" w:rsidR="00372C09" w:rsidRPr="00B40A77" w:rsidRDefault="00372C09" w:rsidP="00372C09">
      <w:pPr>
        <w:pStyle w:val="Doublehangindent"/>
        <w:rPr>
          <w:color w:val="000000" w:themeColor="text1"/>
          <w:lang w:val="en-US"/>
        </w:rPr>
      </w:pPr>
      <w:r w:rsidRPr="00B40A77">
        <w:rPr>
          <w:color w:val="000000" w:themeColor="text1"/>
          <w:lang w:val="en-US"/>
        </w:rPr>
        <w:t>(f)</w:t>
      </w:r>
      <w:r w:rsidRPr="00B40A77">
        <w:rPr>
          <w:color w:val="000000" w:themeColor="text1"/>
          <w:lang w:val="en-US"/>
        </w:rPr>
        <w:tab/>
        <w:t>if leave to appeal is sought—the grounds on which it is sought;</w:t>
      </w:r>
    </w:p>
    <w:p w14:paraId="030CFB43" w14:textId="66A641DA" w:rsidR="002D6EA5" w:rsidRPr="00B40A77" w:rsidRDefault="00372C09" w:rsidP="00372C09">
      <w:pPr>
        <w:pStyle w:val="Doublehangindent"/>
        <w:rPr>
          <w:color w:val="000000" w:themeColor="text1"/>
          <w:lang w:val="en-US"/>
        </w:rPr>
      </w:pPr>
      <w:r w:rsidRPr="00B40A77">
        <w:rPr>
          <w:color w:val="000000" w:themeColor="text1"/>
          <w:lang w:val="en-US"/>
        </w:rPr>
        <w:t>(g)</w:t>
      </w:r>
      <w:r w:rsidRPr="00B40A77">
        <w:rPr>
          <w:color w:val="000000" w:themeColor="text1"/>
          <w:lang w:val="en-US"/>
        </w:rPr>
        <w:tab/>
        <w:t>if an extension of time is sought—the grounds on which it is sought</w:t>
      </w:r>
      <w:r w:rsidR="002D6EA5" w:rsidRPr="00B40A77">
        <w:rPr>
          <w:color w:val="000000" w:themeColor="text1"/>
          <w:lang w:val="en-US"/>
        </w:rPr>
        <w:t>; and</w:t>
      </w:r>
    </w:p>
    <w:p w14:paraId="33D4D253" w14:textId="343DD4C7" w:rsidR="00372C09" w:rsidRPr="00B40A77" w:rsidRDefault="002D6EA5" w:rsidP="00B90C7E">
      <w:pPr>
        <w:pStyle w:val="Doublehangindent"/>
        <w:keepNext/>
        <w:rPr>
          <w:color w:val="000000" w:themeColor="text1"/>
          <w:lang w:val="en-US"/>
        </w:rPr>
      </w:pPr>
      <w:r w:rsidRPr="00B40A77">
        <w:rPr>
          <w:color w:val="000000" w:themeColor="text1"/>
          <w:lang w:val="en-US"/>
        </w:rPr>
        <w:t>(h)</w:t>
      </w:r>
      <w:r w:rsidRPr="00B40A77">
        <w:rPr>
          <w:color w:val="000000" w:themeColor="text1"/>
          <w:lang w:val="en-US"/>
        </w:rPr>
        <w:tab/>
      </w:r>
      <w:r w:rsidRPr="00B40A77">
        <w:rPr>
          <w:rFonts w:cs="Times New Roman"/>
          <w:color w:val="000000" w:themeColor="text1"/>
        </w:rPr>
        <w:t>whether the appellant requests that a transcript of the evidence of any witness be produced and if so</w:t>
      </w:r>
      <w:r w:rsidR="00D81711" w:rsidRPr="00B40A77">
        <w:rPr>
          <w:rFonts w:cs="Times New Roman"/>
          <w:color w:val="000000" w:themeColor="text1"/>
        </w:rPr>
        <w:t>,</w:t>
      </w:r>
      <w:r w:rsidRPr="00B40A77">
        <w:rPr>
          <w:rFonts w:cs="Times New Roman"/>
          <w:color w:val="000000" w:themeColor="text1"/>
        </w:rPr>
        <w:t xml:space="preserve"> identifying </w:t>
      </w:r>
      <w:r w:rsidR="00D81711" w:rsidRPr="00B40A77">
        <w:rPr>
          <w:rFonts w:cs="Times New Roman"/>
          <w:color w:val="000000" w:themeColor="text1"/>
        </w:rPr>
        <w:t xml:space="preserve">the </w:t>
      </w:r>
      <w:r w:rsidRPr="00B40A77">
        <w:rPr>
          <w:rFonts w:cs="Times New Roman"/>
          <w:color w:val="000000" w:themeColor="text1"/>
        </w:rPr>
        <w:t xml:space="preserve">passages of evidence </w:t>
      </w:r>
      <w:r w:rsidR="00D81711" w:rsidRPr="00B40A77">
        <w:rPr>
          <w:rFonts w:cs="Times New Roman"/>
          <w:color w:val="000000" w:themeColor="text1"/>
        </w:rPr>
        <w:t xml:space="preserve">that </w:t>
      </w:r>
      <w:r w:rsidRPr="00B40A77">
        <w:rPr>
          <w:rFonts w:cs="Times New Roman"/>
          <w:color w:val="000000" w:themeColor="text1"/>
        </w:rPr>
        <w:t>are requested</w:t>
      </w:r>
      <w:r w:rsidR="00372C09" w:rsidRPr="00B40A77">
        <w:rPr>
          <w:color w:val="000000" w:themeColor="text1"/>
          <w:lang w:val="en-US"/>
        </w:rPr>
        <w:t>.</w:t>
      </w:r>
    </w:p>
    <w:p w14:paraId="069590C7" w14:textId="77777777" w:rsidR="00372C09" w:rsidRPr="00B40A77" w:rsidRDefault="00372C09" w:rsidP="00A17201">
      <w:pPr>
        <w:pStyle w:val="NoteHeader"/>
        <w:keepNext/>
        <w:ind w:left="1701"/>
        <w:rPr>
          <w:color w:val="000000" w:themeColor="text1"/>
        </w:rPr>
      </w:pPr>
      <w:r w:rsidRPr="00B40A77">
        <w:rPr>
          <w:color w:val="000000" w:themeColor="text1"/>
        </w:rPr>
        <w:t>Prescribed forms—</w:t>
      </w:r>
    </w:p>
    <w:p w14:paraId="1A7D98AD" w14:textId="1AF52AF6" w:rsidR="00BF3CF2" w:rsidRPr="00B40A77" w:rsidRDefault="00BF3CF2" w:rsidP="00A17201">
      <w:pPr>
        <w:pStyle w:val="NoteText"/>
        <w:keepNext/>
        <w:ind w:left="1984"/>
        <w:rPr>
          <w:b/>
          <w:bCs/>
          <w:color w:val="000000" w:themeColor="text1"/>
        </w:rPr>
      </w:pPr>
      <w:r w:rsidRPr="00B40A77">
        <w:rPr>
          <w:b/>
          <w:bCs/>
          <w:color w:val="000000" w:themeColor="text1"/>
        </w:rPr>
        <w:t>Conviction appeal</w:t>
      </w:r>
    </w:p>
    <w:p w14:paraId="70B9EEE1" w14:textId="1DF64F95" w:rsidR="00140E21" w:rsidRPr="00B40A77" w:rsidRDefault="006D7BD6" w:rsidP="00140E21">
      <w:pPr>
        <w:pStyle w:val="NoteText"/>
        <w:ind w:left="2268"/>
        <w:rPr>
          <w:rStyle w:val="Hyperlink"/>
          <w:color w:val="000000" w:themeColor="text1"/>
        </w:rPr>
      </w:pPr>
      <w:r w:rsidRPr="00B40A77">
        <w:rPr>
          <w:color w:val="000000" w:themeColor="text1"/>
        </w:rPr>
        <w:t>Form 183A</w:t>
      </w:r>
      <w:r w:rsidR="00372C09" w:rsidRPr="00B40A77">
        <w:rPr>
          <w:color w:val="000000" w:themeColor="text1"/>
        </w:rPr>
        <w:t xml:space="preserve"> </w:t>
      </w:r>
      <w:hyperlink r:id="rId383" w:history="1">
        <w:r w:rsidR="00372C09" w:rsidRPr="00B40A77">
          <w:rPr>
            <w:rStyle w:val="Hyperlink"/>
            <w:color w:val="000000" w:themeColor="text1"/>
          </w:rPr>
          <w:t>Notice of Appeal</w:t>
        </w:r>
        <w:r w:rsidRPr="00B40A77">
          <w:rPr>
            <w:rStyle w:val="Hyperlink"/>
            <w:color w:val="000000" w:themeColor="text1"/>
          </w:rPr>
          <w:t xml:space="preserve"> against </w:t>
        </w:r>
        <w:r w:rsidR="005D6EDF" w:rsidRPr="00B40A77">
          <w:rPr>
            <w:rStyle w:val="Hyperlink"/>
            <w:color w:val="000000" w:themeColor="text1"/>
          </w:rPr>
          <w:t xml:space="preserve">Conviction, </w:t>
        </w:r>
        <w:r w:rsidRPr="00B40A77">
          <w:rPr>
            <w:rStyle w:val="Hyperlink"/>
            <w:color w:val="000000" w:themeColor="text1"/>
          </w:rPr>
          <w:t xml:space="preserve">Acquittal, </w:t>
        </w:r>
        <w:r w:rsidR="005D6EDF" w:rsidRPr="00B40A77">
          <w:rPr>
            <w:rStyle w:val="Hyperlink"/>
            <w:color w:val="000000" w:themeColor="text1"/>
          </w:rPr>
          <w:t xml:space="preserve">Antecedent Decision or Mental Impairment </w:t>
        </w:r>
        <w:r w:rsidRPr="00B40A77">
          <w:rPr>
            <w:rStyle w:val="Hyperlink"/>
            <w:color w:val="000000" w:themeColor="text1"/>
          </w:rPr>
          <w:t>Judgment</w:t>
        </w:r>
      </w:hyperlink>
    </w:p>
    <w:p w14:paraId="4DA8F44D" w14:textId="0D57C94B" w:rsidR="00372C09" w:rsidRPr="00B40A77" w:rsidRDefault="00112562" w:rsidP="00140E21">
      <w:pPr>
        <w:pStyle w:val="NoteText"/>
        <w:ind w:left="2268"/>
        <w:rPr>
          <w:rStyle w:val="Hyperlink"/>
          <w:color w:val="000000" w:themeColor="text1"/>
        </w:rPr>
      </w:pPr>
      <w:r w:rsidRPr="00B40A77">
        <w:rPr>
          <w:color w:val="000000" w:themeColor="text1"/>
        </w:rPr>
        <w:t>Form 183</w:t>
      </w:r>
      <w:r w:rsidR="00372C09" w:rsidRPr="00B40A77">
        <w:rPr>
          <w:color w:val="000000" w:themeColor="text1"/>
        </w:rPr>
        <w:t xml:space="preserve">S </w:t>
      </w:r>
      <w:hyperlink r:id="rId384" w:history="1">
        <w:r w:rsidR="00372C09" w:rsidRPr="00B40A77">
          <w:rPr>
            <w:rStyle w:val="Hyperlink"/>
            <w:color w:val="000000" w:themeColor="text1"/>
          </w:rPr>
          <w:t>Appeal Grounds</w:t>
        </w:r>
        <w:r w:rsidR="00966E39" w:rsidRPr="00B40A77">
          <w:rPr>
            <w:rStyle w:val="Hyperlink"/>
            <w:color w:val="000000" w:themeColor="text1"/>
          </w:rPr>
          <w:t xml:space="preserve"> (part of Notice of Appeal)</w:t>
        </w:r>
      </w:hyperlink>
    </w:p>
    <w:p w14:paraId="58DE6687" w14:textId="1455D571" w:rsidR="00BF3CF2" w:rsidRPr="00B40A77" w:rsidRDefault="00BF3CF2" w:rsidP="00A17201">
      <w:pPr>
        <w:pStyle w:val="NoteText"/>
        <w:keepNext/>
        <w:ind w:left="1984"/>
        <w:rPr>
          <w:rStyle w:val="Hyperlink"/>
          <w:b/>
          <w:bCs/>
          <w:color w:val="000000" w:themeColor="text1"/>
          <w:u w:val="none"/>
        </w:rPr>
      </w:pPr>
      <w:r w:rsidRPr="00B40A77">
        <w:rPr>
          <w:rStyle w:val="Hyperlink"/>
          <w:b/>
          <w:bCs/>
          <w:color w:val="000000" w:themeColor="text1"/>
          <w:u w:val="none"/>
        </w:rPr>
        <w:t>Sentence appeal</w:t>
      </w:r>
    </w:p>
    <w:p w14:paraId="03075851" w14:textId="7BD204A1" w:rsidR="00140E21" w:rsidRPr="00B40A77" w:rsidRDefault="007039CD" w:rsidP="00140E21">
      <w:pPr>
        <w:pStyle w:val="NoteText"/>
        <w:ind w:left="2268" w:firstLine="22"/>
        <w:rPr>
          <w:color w:val="000000" w:themeColor="text1"/>
        </w:rPr>
      </w:pPr>
      <w:r w:rsidRPr="00B40A77">
        <w:rPr>
          <w:color w:val="000000" w:themeColor="text1"/>
        </w:rPr>
        <w:t>Form 183</w:t>
      </w:r>
      <w:r w:rsidR="00966E39" w:rsidRPr="00B40A77">
        <w:rPr>
          <w:color w:val="000000" w:themeColor="text1"/>
        </w:rPr>
        <w:t>C</w:t>
      </w:r>
      <w:r w:rsidRPr="00B40A77">
        <w:rPr>
          <w:color w:val="000000" w:themeColor="text1"/>
        </w:rPr>
        <w:t xml:space="preserve"> </w:t>
      </w:r>
      <w:hyperlink r:id="rId385" w:history="1">
        <w:r w:rsidRPr="00B40A77">
          <w:rPr>
            <w:rStyle w:val="Hyperlink"/>
            <w:color w:val="000000" w:themeColor="text1"/>
          </w:rPr>
          <w:t xml:space="preserve">Notice of Appeal against Sentence or </w:t>
        </w:r>
        <w:r w:rsidR="00966E39" w:rsidRPr="00B40A77">
          <w:rPr>
            <w:rStyle w:val="Hyperlink"/>
            <w:color w:val="000000" w:themeColor="text1"/>
          </w:rPr>
          <w:t>Mental Impairment</w:t>
        </w:r>
        <w:r w:rsidRPr="00B40A77">
          <w:rPr>
            <w:rStyle w:val="Hyperlink"/>
            <w:color w:val="000000" w:themeColor="text1"/>
          </w:rPr>
          <w:t xml:space="preserve"> Disposition</w:t>
        </w:r>
      </w:hyperlink>
    </w:p>
    <w:p w14:paraId="334E2D3C" w14:textId="43089225" w:rsidR="007039CD" w:rsidRPr="00B40A77" w:rsidRDefault="007039CD" w:rsidP="00140E21">
      <w:pPr>
        <w:pStyle w:val="NoteText"/>
        <w:ind w:left="2268" w:firstLine="22"/>
        <w:rPr>
          <w:color w:val="000000" w:themeColor="text1"/>
        </w:rPr>
      </w:pPr>
      <w:r w:rsidRPr="00B40A77">
        <w:rPr>
          <w:color w:val="000000" w:themeColor="text1"/>
        </w:rPr>
        <w:t xml:space="preserve">Form 183S </w:t>
      </w:r>
      <w:hyperlink r:id="rId386" w:history="1">
        <w:r w:rsidRPr="00B40A77">
          <w:rPr>
            <w:rStyle w:val="Hyperlink"/>
            <w:color w:val="000000" w:themeColor="text1"/>
          </w:rPr>
          <w:t>Appeal Grounds</w:t>
        </w:r>
        <w:r w:rsidR="00966E39" w:rsidRPr="00B40A77">
          <w:rPr>
            <w:rStyle w:val="Hyperlink"/>
            <w:color w:val="000000" w:themeColor="text1"/>
          </w:rPr>
          <w:t xml:space="preserve"> (part of Notice of Appeal)</w:t>
        </w:r>
      </w:hyperlink>
    </w:p>
    <w:p w14:paraId="1FF37BCF" w14:textId="3BE9FF55" w:rsidR="00BF3CF2" w:rsidRPr="00B40A77" w:rsidRDefault="00BF3CF2" w:rsidP="00A17201">
      <w:pPr>
        <w:pStyle w:val="NoteText"/>
        <w:keepNext/>
        <w:ind w:left="1984"/>
        <w:rPr>
          <w:b/>
          <w:bCs/>
          <w:color w:val="000000" w:themeColor="text1"/>
        </w:rPr>
      </w:pPr>
      <w:r w:rsidRPr="00B40A77">
        <w:rPr>
          <w:b/>
          <w:bCs/>
          <w:color w:val="000000" w:themeColor="text1"/>
        </w:rPr>
        <w:t>Miscellaneous appeal</w:t>
      </w:r>
    </w:p>
    <w:p w14:paraId="377B3434" w14:textId="3ADB6072" w:rsidR="00140E21" w:rsidRPr="00B40A77" w:rsidRDefault="00BF3CF2" w:rsidP="00140E21">
      <w:pPr>
        <w:pStyle w:val="NoteText"/>
        <w:ind w:left="2268" w:firstLine="22"/>
        <w:rPr>
          <w:rStyle w:val="Hyperlink"/>
          <w:color w:val="000000" w:themeColor="text1"/>
        </w:rPr>
      </w:pPr>
      <w:r w:rsidRPr="00B40A77">
        <w:rPr>
          <w:color w:val="000000" w:themeColor="text1"/>
        </w:rPr>
        <w:t>Form 183</w:t>
      </w:r>
      <w:r w:rsidR="00966E39" w:rsidRPr="00B40A77">
        <w:rPr>
          <w:color w:val="000000" w:themeColor="text1"/>
        </w:rPr>
        <w:t>D</w:t>
      </w:r>
      <w:r w:rsidR="007039CD" w:rsidRPr="00B40A77">
        <w:rPr>
          <w:color w:val="000000" w:themeColor="text1"/>
        </w:rPr>
        <w:t xml:space="preserve"> </w:t>
      </w:r>
      <w:hyperlink r:id="rId387" w:history="1">
        <w:r w:rsidR="007039CD" w:rsidRPr="00B40A77">
          <w:rPr>
            <w:rStyle w:val="Hyperlink"/>
            <w:color w:val="000000" w:themeColor="text1"/>
          </w:rPr>
          <w:t xml:space="preserve">Notice of Appeal against </w:t>
        </w:r>
        <w:r w:rsidR="00B76044" w:rsidRPr="00B40A77">
          <w:rPr>
            <w:rStyle w:val="Hyperlink"/>
            <w:color w:val="000000" w:themeColor="text1"/>
          </w:rPr>
          <w:t>Other</w:t>
        </w:r>
        <w:r w:rsidR="007039CD" w:rsidRPr="00B40A77">
          <w:rPr>
            <w:rStyle w:val="Hyperlink"/>
            <w:color w:val="000000" w:themeColor="text1"/>
          </w:rPr>
          <w:t xml:space="preserve"> Decision</w:t>
        </w:r>
      </w:hyperlink>
    </w:p>
    <w:p w14:paraId="3AA822EB" w14:textId="0D0FC870" w:rsidR="00140E21" w:rsidRPr="00B40A77" w:rsidRDefault="00BF02D2" w:rsidP="00140E21">
      <w:pPr>
        <w:pStyle w:val="NoteText"/>
        <w:ind w:left="2268" w:firstLine="22"/>
        <w:rPr>
          <w:rStyle w:val="Hyperlink"/>
          <w:color w:val="000000" w:themeColor="text1"/>
        </w:rPr>
      </w:pPr>
      <w:r w:rsidRPr="00B40A77">
        <w:rPr>
          <w:color w:val="000000" w:themeColor="text1"/>
        </w:rPr>
        <w:t xml:space="preserve">Form 183Y </w:t>
      </w:r>
      <w:hyperlink r:id="rId388" w:history="1">
        <w:r w:rsidRPr="00B40A77">
          <w:rPr>
            <w:rStyle w:val="Hyperlink"/>
            <w:color w:val="000000" w:themeColor="text1"/>
          </w:rPr>
          <w:t xml:space="preserve">Notice of Appeal </w:t>
        </w:r>
        <w:r w:rsidR="00966E39" w:rsidRPr="00B40A77">
          <w:rPr>
            <w:rStyle w:val="Hyperlink"/>
            <w:color w:val="000000" w:themeColor="text1"/>
          </w:rPr>
          <w:t>from</w:t>
        </w:r>
        <w:r w:rsidRPr="00B40A77">
          <w:rPr>
            <w:rStyle w:val="Hyperlink"/>
            <w:color w:val="000000" w:themeColor="text1"/>
          </w:rPr>
          <w:t xml:space="preserve"> Interlocutory Judgment of Magistrate</w:t>
        </w:r>
      </w:hyperlink>
    </w:p>
    <w:p w14:paraId="714466B4" w14:textId="31892E0E" w:rsidR="007039CD" w:rsidRPr="00B40A77" w:rsidRDefault="007039CD" w:rsidP="00140E21">
      <w:pPr>
        <w:pStyle w:val="NoteText"/>
        <w:ind w:left="2268" w:firstLine="22"/>
        <w:rPr>
          <w:color w:val="000000" w:themeColor="text1"/>
          <w:u w:val="single"/>
        </w:rPr>
      </w:pPr>
      <w:r w:rsidRPr="00B40A77">
        <w:rPr>
          <w:color w:val="000000" w:themeColor="text1"/>
        </w:rPr>
        <w:t xml:space="preserve">Form 183S </w:t>
      </w:r>
      <w:hyperlink r:id="rId389" w:history="1">
        <w:r w:rsidRPr="00B40A77">
          <w:rPr>
            <w:rStyle w:val="Hyperlink"/>
            <w:color w:val="000000" w:themeColor="text1"/>
          </w:rPr>
          <w:t>Appeal Grounds</w:t>
        </w:r>
        <w:r w:rsidR="00966E39" w:rsidRPr="00B40A77">
          <w:rPr>
            <w:rStyle w:val="Hyperlink"/>
            <w:color w:val="000000" w:themeColor="text1"/>
          </w:rPr>
          <w:t xml:space="preserve"> (part of Notice of Appeal)</w:t>
        </w:r>
      </w:hyperlink>
    </w:p>
    <w:p w14:paraId="613836F5" w14:textId="76B89FDB" w:rsidR="00372C09" w:rsidRPr="00B40A77" w:rsidRDefault="000C4723" w:rsidP="00973CBE">
      <w:pPr>
        <w:pStyle w:val="Hangindent"/>
        <w:rPr>
          <w:color w:val="000000" w:themeColor="text1"/>
          <w:lang w:val="en-US"/>
        </w:rPr>
      </w:pPr>
      <w:r w:rsidRPr="00B40A77">
        <w:rPr>
          <w:color w:val="000000" w:themeColor="text1"/>
          <w:lang w:val="en-US"/>
        </w:rPr>
        <w:t>(2</w:t>
      </w:r>
      <w:r w:rsidR="00372C09" w:rsidRPr="00B40A77">
        <w:rPr>
          <w:color w:val="000000" w:themeColor="text1"/>
          <w:lang w:val="en-US"/>
        </w:rPr>
        <w:t>)</w:t>
      </w:r>
      <w:r w:rsidR="00372C09" w:rsidRPr="00B40A77">
        <w:rPr>
          <w:color w:val="000000" w:themeColor="text1"/>
          <w:lang w:val="en-US"/>
        </w:rPr>
        <w:tab/>
        <w:t xml:space="preserve">The appellant must join as a </w:t>
      </w:r>
      <w:hyperlink w:anchor="_211.1—Definitions" w:history="1">
        <w:r w:rsidR="00372C09" w:rsidRPr="00B40A77">
          <w:rPr>
            <w:rStyle w:val="Hyperlink"/>
            <w:color w:val="000000" w:themeColor="text1"/>
            <w:u w:val="none"/>
            <w:lang w:val="en-US"/>
          </w:rPr>
          <w:t>respondent</w:t>
        </w:r>
      </w:hyperlink>
      <w:r w:rsidR="00372C09" w:rsidRPr="00B40A77">
        <w:rPr>
          <w:color w:val="000000" w:themeColor="text1"/>
          <w:lang w:val="en-US"/>
        </w:rPr>
        <w:t xml:space="preserve"> in the appellate proceeding</w:t>
      </w:r>
      <w:r w:rsidR="00973CBE" w:rsidRPr="00B40A77">
        <w:rPr>
          <w:color w:val="000000" w:themeColor="text1"/>
          <w:lang w:val="en-US"/>
        </w:rPr>
        <w:t xml:space="preserve"> </w:t>
      </w:r>
      <w:r w:rsidR="00372C09" w:rsidRPr="00B40A77">
        <w:rPr>
          <w:color w:val="000000" w:themeColor="text1"/>
          <w:lang w:val="en-US"/>
        </w:rPr>
        <w:t>any party to the first instance proceeding unless that party ha</w:t>
      </w:r>
      <w:r w:rsidR="00973CBE" w:rsidRPr="00B40A77">
        <w:rPr>
          <w:color w:val="000000" w:themeColor="text1"/>
          <w:lang w:val="en-US"/>
        </w:rPr>
        <w:t xml:space="preserve">s no interest in the </w:t>
      </w:r>
      <w:r w:rsidR="001422F2" w:rsidRPr="00B40A77">
        <w:rPr>
          <w:color w:val="000000" w:themeColor="text1"/>
          <w:lang w:val="en-US"/>
        </w:rPr>
        <w:t>appellate proceeding</w:t>
      </w:r>
      <w:r w:rsidR="00973CBE" w:rsidRPr="00B40A77">
        <w:rPr>
          <w:color w:val="000000" w:themeColor="text1"/>
          <w:lang w:val="en-US"/>
        </w:rPr>
        <w:t>.</w:t>
      </w:r>
    </w:p>
    <w:p w14:paraId="7AA53710" w14:textId="7D64DA20" w:rsidR="00372C09" w:rsidRPr="00B40A77" w:rsidRDefault="00D400C5" w:rsidP="00372C09">
      <w:pPr>
        <w:pStyle w:val="Hangindent"/>
        <w:rPr>
          <w:color w:val="000000" w:themeColor="text1"/>
          <w:lang w:val="en-US"/>
        </w:rPr>
      </w:pPr>
      <w:r w:rsidRPr="00B40A77">
        <w:rPr>
          <w:color w:val="000000" w:themeColor="text1"/>
          <w:lang w:val="en-US"/>
        </w:rPr>
        <w:t>(3</w:t>
      </w:r>
      <w:r w:rsidR="00372C09" w:rsidRPr="00B40A77">
        <w:rPr>
          <w:color w:val="000000" w:themeColor="text1"/>
          <w:lang w:val="en-US"/>
        </w:rPr>
        <w:t>)</w:t>
      </w:r>
      <w:r w:rsidR="00372C09" w:rsidRPr="00B40A77">
        <w:rPr>
          <w:color w:val="000000" w:themeColor="text1"/>
          <w:lang w:val="en-US"/>
        </w:rPr>
        <w:tab/>
        <w:t>The Court may order the addition or removal of a person as a party to an app</w:t>
      </w:r>
      <w:r w:rsidR="001422F2" w:rsidRPr="00B40A77">
        <w:rPr>
          <w:color w:val="000000" w:themeColor="text1"/>
          <w:lang w:val="en-US"/>
        </w:rPr>
        <w:t>ellate proceeding</w:t>
      </w:r>
      <w:r w:rsidR="00372C09" w:rsidRPr="00B40A77">
        <w:rPr>
          <w:color w:val="000000" w:themeColor="text1"/>
          <w:lang w:val="en-US"/>
        </w:rPr>
        <w:t>.</w:t>
      </w:r>
    </w:p>
    <w:p w14:paraId="53787ECF" w14:textId="73B8352A" w:rsidR="00372C09" w:rsidRPr="00B40A77" w:rsidRDefault="00D400C5" w:rsidP="00372C09">
      <w:pPr>
        <w:pStyle w:val="Hangindent"/>
        <w:rPr>
          <w:color w:val="000000" w:themeColor="text1"/>
          <w:lang w:val="en-US"/>
        </w:rPr>
      </w:pPr>
      <w:r w:rsidRPr="00B40A77">
        <w:rPr>
          <w:color w:val="000000" w:themeColor="text1"/>
          <w:lang w:val="en-US"/>
        </w:rPr>
        <w:t>(4</w:t>
      </w:r>
      <w:r w:rsidR="00372C09" w:rsidRPr="00B40A77">
        <w:rPr>
          <w:color w:val="000000" w:themeColor="text1"/>
          <w:lang w:val="en-US"/>
        </w:rPr>
        <w:t>)</w:t>
      </w:r>
      <w:r w:rsidR="00372C09" w:rsidRPr="00B40A77">
        <w:rPr>
          <w:color w:val="000000" w:themeColor="text1"/>
          <w:lang w:val="en-US"/>
        </w:rPr>
        <w:tab/>
        <w:t>Unless the Court otherwise orders, an appellant may not rely on grounds that are not stated in the notice of appeal.</w:t>
      </w:r>
    </w:p>
    <w:p w14:paraId="7E5FF7CB" w14:textId="44ED3F9B" w:rsidR="000C4723" w:rsidRPr="00B40A77" w:rsidRDefault="000C4723" w:rsidP="000C4723">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a notice of appeal seeking leave to appeal </w:t>
      </w:r>
      <w:r w:rsidR="00D400C5" w:rsidRPr="00B40A77">
        <w:rPr>
          <w:color w:val="000000" w:themeColor="text1"/>
          <w:lang w:val="en-US"/>
        </w:rPr>
        <w:t xml:space="preserve">or an extension of time to appeal </w:t>
      </w:r>
      <w:r w:rsidRPr="00B40A77">
        <w:rPr>
          <w:color w:val="000000" w:themeColor="text1"/>
          <w:lang w:val="en-US"/>
        </w:rPr>
        <w:t>is filed under this Part—</w:t>
      </w:r>
    </w:p>
    <w:p w14:paraId="42B2102C" w14:textId="3BCB441C" w:rsidR="000C4723" w:rsidRPr="00B40A77" w:rsidRDefault="000C4723" w:rsidP="000C4723">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institution of the appeal is conditional on leave to appeal </w:t>
      </w:r>
      <w:r w:rsidR="00D400C5" w:rsidRPr="00B40A77">
        <w:rPr>
          <w:color w:val="000000" w:themeColor="text1"/>
          <w:lang w:val="en-US"/>
        </w:rPr>
        <w:t xml:space="preserve">or an extension of time to appeal </w:t>
      </w:r>
      <w:r w:rsidRPr="00B40A77">
        <w:rPr>
          <w:color w:val="000000" w:themeColor="text1"/>
          <w:lang w:val="en-US"/>
        </w:rPr>
        <w:t>being granted; and</w:t>
      </w:r>
    </w:p>
    <w:p w14:paraId="44233157" w14:textId="4318ABC9" w:rsidR="000C4723" w:rsidRPr="00B40A77" w:rsidRDefault="00D400C5" w:rsidP="000C4723">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D81711" w:rsidRPr="00B40A77">
        <w:rPr>
          <w:color w:val="000000" w:themeColor="text1"/>
          <w:lang w:val="en-US"/>
        </w:rPr>
        <w:t xml:space="preserve">the appeal will lapse </w:t>
      </w:r>
      <w:r w:rsidRPr="00B40A77">
        <w:rPr>
          <w:color w:val="000000" w:themeColor="text1"/>
          <w:lang w:val="en-US"/>
        </w:rPr>
        <w:t>if leave to appeal or an extension of time to appeal i</w:t>
      </w:r>
      <w:r w:rsidR="000C4723" w:rsidRPr="00B40A77">
        <w:rPr>
          <w:color w:val="000000" w:themeColor="text1"/>
          <w:lang w:val="en-US"/>
        </w:rPr>
        <w:t>s refused.</w:t>
      </w:r>
    </w:p>
    <w:p w14:paraId="6097A429" w14:textId="1F739A7B" w:rsidR="00D400C5" w:rsidRPr="00B40A77" w:rsidRDefault="00D400C5" w:rsidP="00D400C5">
      <w:pPr>
        <w:pStyle w:val="Heading4"/>
        <w:rPr>
          <w:color w:val="000000" w:themeColor="text1"/>
        </w:rPr>
      </w:pPr>
      <w:bookmarkStart w:id="1072" w:name="_185.4—Service_of_notice"/>
      <w:bookmarkStart w:id="1073" w:name="_Toc175239338"/>
      <w:bookmarkStart w:id="1074" w:name="_Hlk71051711"/>
      <w:bookmarkEnd w:id="1072"/>
      <w:r w:rsidRPr="00B40A77">
        <w:rPr>
          <w:color w:val="000000" w:themeColor="text1"/>
        </w:rPr>
        <w:t>18</w:t>
      </w:r>
      <w:r w:rsidR="00FC4906" w:rsidRPr="00B40A77">
        <w:rPr>
          <w:color w:val="000000" w:themeColor="text1"/>
        </w:rPr>
        <w:t>5.4—Service of notice of appeal</w:t>
      </w:r>
      <w:bookmarkEnd w:id="1073"/>
    </w:p>
    <w:p w14:paraId="6D66FEFC" w14:textId="7AB4CAEB" w:rsidR="00D400C5" w:rsidRPr="00B40A77" w:rsidRDefault="00D400C5" w:rsidP="00D400C5">
      <w:pPr>
        <w:pStyle w:val="Hangindent"/>
        <w:rPr>
          <w:color w:val="000000" w:themeColor="text1"/>
          <w:lang w:val="en-US"/>
        </w:rPr>
      </w:pPr>
      <w:r w:rsidRPr="00B40A77">
        <w:rPr>
          <w:color w:val="000000" w:themeColor="text1"/>
          <w:lang w:val="en-US"/>
        </w:rPr>
        <w:t>(1)</w:t>
      </w:r>
      <w:r w:rsidRPr="00B40A77">
        <w:rPr>
          <w:color w:val="000000" w:themeColor="text1"/>
          <w:lang w:val="en-US"/>
        </w:rPr>
        <w:tab/>
        <w:t>The appellant must serve the notice of appeal on each other party to the appellate proceeding as soon as practicable.</w:t>
      </w:r>
    </w:p>
    <w:p w14:paraId="50A5A3D7" w14:textId="1CF56BA5" w:rsidR="00372C09" w:rsidRPr="00B40A77" w:rsidRDefault="00372C09" w:rsidP="00D400C5">
      <w:pPr>
        <w:pStyle w:val="Hangindent"/>
        <w:rPr>
          <w:color w:val="000000" w:themeColor="text1"/>
          <w:lang w:val="en-US"/>
        </w:rPr>
      </w:pPr>
      <w:r w:rsidRPr="00B40A77">
        <w:rPr>
          <w:color w:val="000000" w:themeColor="text1"/>
          <w:lang w:val="en-US"/>
        </w:rPr>
        <w:lastRenderedPageBreak/>
        <w:t>(</w:t>
      </w:r>
      <w:r w:rsidR="00D400C5" w:rsidRPr="00B40A77">
        <w:rPr>
          <w:color w:val="000000" w:themeColor="text1"/>
          <w:lang w:val="en-US"/>
        </w:rPr>
        <w:t>2</w:t>
      </w:r>
      <w:r w:rsidR="00973CBE" w:rsidRPr="00B40A77">
        <w:rPr>
          <w:color w:val="000000" w:themeColor="text1"/>
          <w:lang w:val="en-US"/>
        </w:rPr>
        <w:t>)</w:t>
      </w:r>
      <w:r w:rsidR="00973CBE" w:rsidRPr="00B40A77">
        <w:rPr>
          <w:color w:val="000000" w:themeColor="text1"/>
          <w:lang w:val="en-US"/>
        </w:rPr>
        <w:tab/>
        <w:t>T</w:t>
      </w:r>
      <w:r w:rsidRPr="00B40A77">
        <w:rPr>
          <w:color w:val="000000" w:themeColor="text1"/>
          <w:lang w:val="en-US"/>
        </w:rPr>
        <w:t xml:space="preserve">he appellant must serve a copy of the notice of appeal on </w:t>
      </w:r>
      <w:r w:rsidR="00D400C5" w:rsidRPr="00B40A77">
        <w:rPr>
          <w:color w:val="000000" w:themeColor="text1"/>
          <w:lang w:val="en-US"/>
        </w:rPr>
        <w:t>the r</w:t>
      </w:r>
      <w:r w:rsidRPr="00B40A77">
        <w:rPr>
          <w:color w:val="000000" w:themeColor="text1"/>
          <w:lang w:val="en-US"/>
        </w:rPr>
        <w:t>egistrar</w:t>
      </w:r>
      <w:r w:rsidR="00973CBE" w:rsidRPr="00B40A77">
        <w:rPr>
          <w:color w:val="000000" w:themeColor="text1"/>
          <w:lang w:val="en-US"/>
        </w:rPr>
        <w:t xml:space="preserve"> or other proper officer of the</w:t>
      </w:r>
      <w:r w:rsidRPr="00B40A77">
        <w:rPr>
          <w:color w:val="000000" w:themeColor="text1"/>
          <w:lang w:val="en-US"/>
        </w:rPr>
        <w:t xml:space="preserve"> court </w:t>
      </w:r>
      <w:r w:rsidR="00973CBE" w:rsidRPr="00B40A77">
        <w:rPr>
          <w:color w:val="000000" w:themeColor="text1"/>
          <w:lang w:val="en-US"/>
        </w:rPr>
        <w:t>of first instance</w:t>
      </w:r>
      <w:r w:rsidRPr="00B40A77">
        <w:rPr>
          <w:color w:val="000000" w:themeColor="text1"/>
          <w:lang w:val="en-US"/>
        </w:rPr>
        <w:t xml:space="preserve"> as soon as practicable.</w:t>
      </w:r>
    </w:p>
    <w:p w14:paraId="785A8950" w14:textId="24832187" w:rsidR="00D400C5" w:rsidRPr="00B40A77" w:rsidRDefault="00D400C5" w:rsidP="00D400C5">
      <w:pPr>
        <w:pStyle w:val="Heading4"/>
        <w:rPr>
          <w:color w:val="000000" w:themeColor="text1"/>
        </w:rPr>
      </w:pPr>
      <w:bookmarkStart w:id="1075" w:name="_Toc175239339"/>
      <w:bookmarkStart w:id="1076" w:name="_Toc25920257"/>
      <w:bookmarkEnd w:id="1074"/>
      <w:r w:rsidRPr="00B40A77">
        <w:rPr>
          <w:color w:val="000000" w:themeColor="text1"/>
        </w:rPr>
        <w:t>185.5—Documents and information from court of first instance</w:t>
      </w:r>
      <w:r w:rsidR="00BF02D2" w:rsidRPr="00B40A77">
        <w:rPr>
          <w:color w:val="000000" w:themeColor="text1"/>
        </w:rPr>
        <w:t>: Supreme Court</w:t>
      </w:r>
      <w:bookmarkEnd w:id="1075"/>
    </w:p>
    <w:p w14:paraId="4452B6F3" w14:textId="6C131B42" w:rsidR="00D400C5" w:rsidRPr="00B40A77" w:rsidRDefault="00D400C5" w:rsidP="00D400C5">
      <w:pPr>
        <w:pStyle w:val="Hangindent"/>
        <w:rPr>
          <w:color w:val="000000" w:themeColor="text1"/>
          <w:lang w:val="en-US"/>
        </w:rPr>
      </w:pPr>
      <w:r w:rsidRPr="00B40A77">
        <w:rPr>
          <w:rFonts w:cs="Times New Roman"/>
          <w:color w:val="000000" w:themeColor="text1"/>
        </w:rPr>
        <w:t>(1)</w:t>
      </w:r>
      <w:r w:rsidRPr="00B40A77">
        <w:rPr>
          <w:rFonts w:cs="Times New Roman"/>
          <w:color w:val="000000" w:themeColor="text1"/>
        </w:rPr>
        <w:tab/>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may, and when directed by the Court must, request the </w:t>
      </w:r>
      <w:r w:rsidRPr="00B40A77">
        <w:rPr>
          <w:color w:val="000000" w:themeColor="text1"/>
          <w:lang w:val="en-US"/>
        </w:rPr>
        <w:t xml:space="preserve">court </w:t>
      </w:r>
      <w:r w:rsidRPr="00B40A77">
        <w:rPr>
          <w:rFonts w:cs="Times New Roman"/>
          <w:color w:val="000000" w:themeColor="text1"/>
        </w:rPr>
        <w:t xml:space="preserve">of first instance to transmit to the Court </w:t>
      </w:r>
      <w:r w:rsidR="009448B4" w:rsidRPr="00B40A77">
        <w:rPr>
          <w:rFonts w:cs="Times New Roman"/>
          <w:color w:val="000000" w:themeColor="text1"/>
        </w:rPr>
        <w:t xml:space="preserve">any </w:t>
      </w:r>
      <w:r w:rsidR="00E1119E" w:rsidRPr="00B40A77">
        <w:rPr>
          <w:rFonts w:cs="Times New Roman"/>
          <w:color w:val="000000" w:themeColor="text1"/>
        </w:rPr>
        <w:t xml:space="preserve">documents relevant to the appeal </w:t>
      </w:r>
      <w:r w:rsidRPr="00B40A77">
        <w:rPr>
          <w:rFonts w:cs="Times New Roman"/>
          <w:color w:val="000000" w:themeColor="text1"/>
        </w:rPr>
        <w:t>by physical or electronic means (as specified)</w:t>
      </w:r>
      <w:r w:rsidRPr="00B40A77">
        <w:rPr>
          <w:color w:val="000000" w:themeColor="text1"/>
          <w:lang w:val="en-US"/>
        </w:rPr>
        <w:t>.</w:t>
      </w:r>
    </w:p>
    <w:p w14:paraId="34416FE7" w14:textId="716E316D" w:rsidR="00D400C5" w:rsidRPr="00B40A77" w:rsidRDefault="00D400C5" w:rsidP="00D400C5">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Unless </w:t>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otherwise specifies, documents relevant to the appeal the subject of a request comprise—</w:t>
      </w:r>
    </w:p>
    <w:p w14:paraId="4D6ED2C6" w14:textId="5AC5D997" w:rsidR="00D400C5" w:rsidRPr="00B40A77" w:rsidRDefault="00D400C5" w:rsidP="00D400C5">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all documents </w:t>
      </w:r>
      <w:r w:rsidR="0009610D" w:rsidRPr="00B40A77">
        <w:rPr>
          <w:color w:val="000000" w:themeColor="text1"/>
          <w:lang w:val="en-US"/>
        </w:rPr>
        <w:t>fil</w:t>
      </w:r>
      <w:r w:rsidRPr="00B40A77">
        <w:rPr>
          <w:color w:val="000000" w:themeColor="text1"/>
          <w:lang w:val="en-US"/>
        </w:rPr>
        <w:t>ed with the court</w:t>
      </w:r>
      <w:r w:rsidR="008153E8" w:rsidRPr="00B40A77">
        <w:rPr>
          <w:color w:val="000000" w:themeColor="text1"/>
          <w:lang w:val="en-US"/>
        </w:rPr>
        <w:t xml:space="preserve"> of first instance</w:t>
      </w:r>
      <w:r w:rsidRPr="00B40A77">
        <w:rPr>
          <w:color w:val="000000" w:themeColor="text1"/>
          <w:lang w:val="en-US"/>
        </w:rPr>
        <w:t>;</w:t>
      </w:r>
    </w:p>
    <w:p w14:paraId="2F98D850" w14:textId="2B6B14F1" w:rsidR="00D400C5" w:rsidRPr="00B40A77" w:rsidRDefault="00D400C5" w:rsidP="00D400C5">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any transcript of evidence or </w:t>
      </w:r>
      <w:r w:rsidR="00495012" w:rsidRPr="00B40A77">
        <w:rPr>
          <w:color w:val="000000" w:themeColor="text1"/>
          <w:lang w:val="en-US"/>
        </w:rPr>
        <w:t xml:space="preserve">a </w:t>
      </w:r>
      <w:hyperlink w:anchor="_2.1—Definitions" w:history="1">
        <w:r w:rsidR="00907BD7" w:rsidRPr="00B40A77">
          <w:rPr>
            <w:rStyle w:val="Hyperlink"/>
            <w:color w:val="000000" w:themeColor="text1"/>
          </w:rPr>
          <w:t>hearing</w:t>
        </w:r>
      </w:hyperlink>
      <w:r w:rsidRPr="00B40A77">
        <w:rPr>
          <w:color w:val="000000" w:themeColor="text1"/>
          <w:lang w:val="en-US"/>
        </w:rPr>
        <w:t>;</w:t>
      </w:r>
    </w:p>
    <w:p w14:paraId="15AF3B7F" w14:textId="460F1C38" w:rsidR="00D400C5" w:rsidRPr="00B40A77" w:rsidRDefault="00D400C5" w:rsidP="00D400C5">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any other </w:t>
      </w:r>
      <w:hyperlink w:anchor="_2.1—Definitions" w:history="1">
        <w:r w:rsidRPr="00B40A77">
          <w:rPr>
            <w:rStyle w:val="Hyperlink"/>
            <w:color w:val="000000" w:themeColor="text1"/>
            <w:lang w:val="en-US"/>
          </w:rPr>
          <w:t>evidentiary material</w:t>
        </w:r>
      </w:hyperlink>
      <w:r w:rsidRPr="00B40A77">
        <w:rPr>
          <w:color w:val="000000" w:themeColor="text1"/>
          <w:lang w:val="en-US"/>
        </w:rPr>
        <w:t>; and</w:t>
      </w:r>
    </w:p>
    <w:p w14:paraId="7E8A4715" w14:textId="77777777" w:rsidR="00D400C5" w:rsidRPr="00B40A77" w:rsidRDefault="00D400C5" w:rsidP="00D400C5">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w:t>
      </w:r>
      <w:r w:rsidRPr="00B40A77">
        <w:rPr>
          <w:rFonts w:cs="Times New Roman"/>
          <w:color w:val="000000" w:themeColor="text1"/>
        </w:rPr>
        <w:t xml:space="preserve">judgment, order or decision </w:t>
      </w:r>
      <w:r w:rsidRPr="00B40A77">
        <w:rPr>
          <w:color w:val="000000" w:themeColor="text1"/>
          <w:lang w:val="en-US"/>
        </w:rPr>
        <w:t>subject of the appeal and any reasons given for it.</w:t>
      </w:r>
    </w:p>
    <w:p w14:paraId="19D5E991" w14:textId="35EA4535" w:rsidR="00D400C5" w:rsidRPr="00B40A77" w:rsidRDefault="00D400C5" w:rsidP="00D400C5">
      <w:pPr>
        <w:pStyle w:val="Hangindent"/>
        <w:rPr>
          <w:color w:val="000000" w:themeColor="text1"/>
        </w:rPr>
      </w:pPr>
      <w:r w:rsidRPr="00B40A77">
        <w:rPr>
          <w:rFonts w:cs="Times New Roman"/>
          <w:color w:val="000000" w:themeColor="text1"/>
        </w:rPr>
        <w:t>(3)</w:t>
      </w:r>
      <w:r w:rsidRPr="00B40A77">
        <w:rPr>
          <w:rFonts w:cs="Times New Roman"/>
          <w:color w:val="000000" w:themeColor="text1"/>
        </w:rPr>
        <w:tab/>
        <w:t>The registrar or other proper officer of the court of first instance must comply with the request as soon as practicable.</w:t>
      </w:r>
    </w:p>
    <w:p w14:paraId="7324C9A2" w14:textId="25F8BF0C" w:rsidR="00D400C5" w:rsidRPr="00B40A77" w:rsidRDefault="00D400C5" w:rsidP="00D400C5">
      <w:pPr>
        <w:pStyle w:val="Heading3"/>
        <w:rPr>
          <w:color w:val="000000" w:themeColor="text1"/>
        </w:rPr>
      </w:pPr>
      <w:bookmarkStart w:id="1077" w:name="_Toc175239340"/>
      <w:r w:rsidRPr="00B40A77">
        <w:rPr>
          <w:color w:val="000000" w:themeColor="text1"/>
        </w:rPr>
        <w:t>Division</w:t>
      </w:r>
      <w:r w:rsidR="00FB3C6A" w:rsidRPr="00B40A77">
        <w:rPr>
          <w:color w:val="000000" w:themeColor="text1"/>
        </w:rPr>
        <w:t xml:space="preserve"> 3</w:t>
      </w:r>
      <w:r w:rsidRPr="00B40A77">
        <w:rPr>
          <w:color w:val="000000" w:themeColor="text1"/>
        </w:rPr>
        <w:t>—Response to appeal</w:t>
      </w:r>
      <w:r w:rsidR="00516420" w:rsidRPr="00B40A77">
        <w:rPr>
          <w:color w:val="000000" w:themeColor="text1"/>
        </w:rPr>
        <w:t>: Supreme Court</w:t>
      </w:r>
      <w:bookmarkEnd w:id="1077"/>
    </w:p>
    <w:p w14:paraId="38871FE9" w14:textId="29DDCFF1" w:rsidR="00C97C56" w:rsidRPr="00B40A77" w:rsidRDefault="00D400C5" w:rsidP="00C97C56">
      <w:pPr>
        <w:pStyle w:val="Heading4"/>
        <w:rPr>
          <w:color w:val="000000" w:themeColor="text1"/>
        </w:rPr>
      </w:pPr>
      <w:bookmarkStart w:id="1078" w:name="_Toc175239341"/>
      <w:r w:rsidRPr="00B40A77">
        <w:rPr>
          <w:color w:val="000000" w:themeColor="text1"/>
        </w:rPr>
        <w:t>186.1</w:t>
      </w:r>
      <w:r w:rsidR="00C97C56" w:rsidRPr="00B40A77">
        <w:rPr>
          <w:color w:val="000000" w:themeColor="text1"/>
        </w:rPr>
        <w:t>—Notice of acting</w:t>
      </w:r>
      <w:bookmarkEnd w:id="1078"/>
      <w:r w:rsidR="00C97C56" w:rsidRPr="00B40A77">
        <w:rPr>
          <w:color w:val="000000" w:themeColor="text1"/>
        </w:rPr>
        <w:t xml:space="preserve"> </w:t>
      </w:r>
    </w:p>
    <w:p w14:paraId="3FF496B2" w14:textId="28A615BF" w:rsidR="00C97C56" w:rsidRPr="00B40A77" w:rsidRDefault="005F1EFB" w:rsidP="00211EE4">
      <w:pPr>
        <w:pStyle w:val="IndentedPara"/>
        <w:keepNext/>
        <w:rPr>
          <w:color w:val="000000" w:themeColor="text1"/>
          <w:lang w:val="en-AU"/>
        </w:rPr>
      </w:pPr>
      <w:r w:rsidRPr="00B40A77">
        <w:rPr>
          <w:color w:val="000000" w:themeColor="text1"/>
          <w:lang w:val="en-AU"/>
        </w:rPr>
        <w:t xml:space="preserve">Unless the respondent is the </w:t>
      </w:r>
      <w:r w:rsidR="003A2F8B" w:rsidRPr="00B40A77">
        <w:rPr>
          <w:color w:val="000000" w:themeColor="text1"/>
        </w:rPr>
        <w:t xml:space="preserve">Commissioner of Police </w:t>
      </w:r>
      <w:r w:rsidRPr="00B40A77">
        <w:rPr>
          <w:color w:val="000000" w:themeColor="text1"/>
          <w:lang w:val="en-AU"/>
        </w:rPr>
        <w:t xml:space="preserve">or the Director, a respondent to an appeal must file </w:t>
      </w:r>
      <w:r w:rsidR="004161DB" w:rsidRPr="00B40A77">
        <w:rPr>
          <w:color w:val="000000" w:themeColor="text1"/>
          <w:lang w:val="en-AU"/>
        </w:rPr>
        <w:t xml:space="preserve">a notice of </w:t>
      </w:r>
      <w:r w:rsidRPr="00B40A77">
        <w:rPr>
          <w:color w:val="000000" w:themeColor="text1"/>
          <w:lang w:val="en-AU"/>
        </w:rPr>
        <w:t>a</w:t>
      </w:r>
      <w:r w:rsidR="00EB4471" w:rsidRPr="00B40A77">
        <w:rPr>
          <w:color w:val="000000" w:themeColor="text1"/>
          <w:lang w:val="en-AU"/>
        </w:rPr>
        <w:t>cting in the prescribed form within 7 days of service of the notice of appeal.</w:t>
      </w:r>
    </w:p>
    <w:p w14:paraId="15A128D9" w14:textId="0AB2029A" w:rsidR="00EB4471" w:rsidRPr="00B40A77" w:rsidRDefault="00EB4471" w:rsidP="00F815AA">
      <w:pPr>
        <w:pStyle w:val="NoteHeader"/>
        <w:keepNext/>
        <w:ind w:left="567"/>
        <w:rPr>
          <w:color w:val="000000" w:themeColor="text1"/>
        </w:rPr>
      </w:pPr>
      <w:r w:rsidRPr="00B40A77">
        <w:rPr>
          <w:color w:val="000000" w:themeColor="text1"/>
        </w:rPr>
        <w:t>Note—</w:t>
      </w:r>
    </w:p>
    <w:p w14:paraId="05C52AC0" w14:textId="62493033" w:rsidR="00EB4471" w:rsidRPr="00B40A77" w:rsidRDefault="00EB4471" w:rsidP="00C352AB">
      <w:pPr>
        <w:pStyle w:val="NoteText"/>
        <w:ind w:left="851"/>
        <w:rPr>
          <w:color w:val="000000" w:themeColor="text1"/>
        </w:rPr>
      </w:pPr>
      <w:hyperlink w:anchor="_25.2—Law_firm_acting" w:history="1">
        <w:r w:rsidRPr="00B40A77">
          <w:rPr>
            <w:rStyle w:val="Hyperlink"/>
            <w:color w:val="000000" w:themeColor="text1"/>
          </w:rPr>
          <w:t>Rule</w:t>
        </w:r>
        <w:r w:rsidR="00395644" w:rsidRPr="00B40A77">
          <w:rPr>
            <w:rStyle w:val="Hyperlink"/>
            <w:color w:val="000000" w:themeColor="text1"/>
          </w:rPr>
          <w:t> </w:t>
        </w:r>
        <w:r w:rsidR="004161DB" w:rsidRPr="00B40A77">
          <w:rPr>
            <w:rStyle w:val="Hyperlink"/>
            <w:color w:val="000000" w:themeColor="text1"/>
          </w:rPr>
          <w:t>24.2</w:t>
        </w:r>
      </w:hyperlink>
      <w:r w:rsidR="004161DB" w:rsidRPr="00B40A77">
        <w:rPr>
          <w:color w:val="000000" w:themeColor="text1"/>
        </w:rPr>
        <w:t xml:space="preserve"> and </w:t>
      </w:r>
      <w:hyperlink w:anchor="_Subdivision_1—Obligation_to" w:history="1">
        <w:r w:rsidR="00BE2B8E" w:rsidRPr="00B40A77">
          <w:rPr>
            <w:rStyle w:val="Hyperlink"/>
            <w:color w:val="000000" w:themeColor="text1"/>
          </w:rPr>
          <w:t>Chapter 2 Part 6 Division 4, Subdivision 1</w:t>
        </w:r>
      </w:hyperlink>
      <w:r w:rsidR="00FE195E" w:rsidRPr="00B40A77">
        <w:rPr>
          <w:color w:val="000000" w:themeColor="text1"/>
        </w:rPr>
        <w:t xml:space="preserve"> </w:t>
      </w:r>
      <w:r w:rsidR="0077751A" w:rsidRPr="00B40A77">
        <w:rPr>
          <w:color w:val="000000" w:themeColor="text1"/>
        </w:rPr>
        <w:t xml:space="preserve">in relation to legal representation and </w:t>
      </w:r>
      <w:hyperlink w:anchor="_2.1—Definitions" w:history="1">
        <w:r w:rsidR="00531F32" w:rsidRPr="00B40A77">
          <w:rPr>
            <w:rStyle w:val="Hyperlink"/>
            <w:color w:val="000000" w:themeColor="text1"/>
            <w:lang w:val="en-US"/>
          </w:rPr>
          <w:t>address for service</w:t>
        </w:r>
      </w:hyperlink>
      <w:r w:rsidR="00531F32" w:rsidRPr="00B40A77">
        <w:rPr>
          <w:rStyle w:val="Hyperlink"/>
          <w:color w:val="000000" w:themeColor="text1"/>
          <w:u w:val="none"/>
          <w:lang w:val="en-US"/>
        </w:rPr>
        <w:t xml:space="preserve"> </w:t>
      </w:r>
      <w:r w:rsidR="00FE195E" w:rsidRPr="00B40A77">
        <w:rPr>
          <w:color w:val="000000" w:themeColor="text1"/>
        </w:rPr>
        <w:t>apply to appellate proceedings</w:t>
      </w:r>
      <w:r w:rsidRPr="00B40A77">
        <w:rPr>
          <w:color w:val="000000" w:themeColor="text1"/>
        </w:rPr>
        <w:t>.</w:t>
      </w:r>
    </w:p>
    <w:p w14:paraId="6A364950" w14:textId="365D9C07" w:rsidR="00540A34" w:rsidRPr="00B40A77" w:rsidRDefault="004161DB" w:rsidP="00540A34">
      <w:pPr>
        <w:pStyle w:val="Heading4"/>
        <w:rPr>
          <w:color w:val="000000" w:themeColor="text1"/>
        </w:rPr>
      </w:pPr>
      <w:bookmarkStart w:id="1079" w:name="_214.4—Institution_of_cross"/>
      <w:bookmarkStart w:id="1080" w:name="_186.2—Institution_of_cross"/>
      <w:bookmarkStart w:id="1081" w:name="_Toc25920258"/>
      <w:bookmarkStart w:id="1082" w:name="_Toc65163060"/>
      <w:bookmarkStart w:id="1083" w:name="_Toc175239342"/>
      <w:bookmarkStart w:id="1084" w:name="_Hlk30068538"/>
      <w:bookmarkStart w:id="1085" w:name="_Toc25920259"/>
      <w:bookmarkEnd w:id="1076"/>
      <w:bookmarkEnd w:id="1079"/>
      <w:bookmarkEnd w:id="1080"/>
      <w:r w:rsidRPr="00B40A77">
        <w:rPr>
          <w:color w:val="000000" w:themeColor="text1"/>
        </w:rPr>
        <w:t>186.2</w:t>
      </w:r>
      <w:r w:rsidR="00540A34" w:rsidRPr="00B40A77">
        <w:rPr>
          <w:color w:val="000000" w:themeColor="text1"/>
        </w:rPr>
        <w:t>—Institution of cross appeal</w:t>
      </w:r>
      <w:bookmarkEnd w:id="1081"/>
      <w:bookmarkEnd w:id="1082"/>
      <w:bookmarkEnd w:id="1083"/>
    </w:p>
    <w:p w14:paraId="3FA780FE" w14:textId="2CCB0DD6" w:rsidR="00540A34" w:rsidRPr="00B40A77" w:rsidRDefault="00540A34" w:rsidP="00211EE4">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Another party to the </w:t>
      </w:r>
      <w:r w:rsidR="001422F2" w:rsidRPr="00B40A77">
        <w:rPr>
          <w:color w:val="000000" w:themeColor="text1"/>
          <w:lang w:val="en-US"/>
        </w:rPr>
        <w:t>appeal</w:t>
      </w:r>
      <w:r w:rsidRPr="00B40A77">
        <w:rPr>
          <w:color w:val="000000" w:themeColor="text1"/>
          <w:lang w:val="en-US"/>
        </w:rPr>
        <w:t xml:space="preserve"> may institute an appeal against the same judgment or order by filing a notice of </w:t>
      </w:r>
      <w:hyperlink w:anchor="_211.1—Definitions" w:history="1">
        <w:r w:rsidRPr="00B40A77">
          <w:rPr>
            <w:rStyle w:val="Hyperlink"/>
            <w:color w:val="000000" w:themeColor="text1"/>
            <w:lang w:val="en-US"/>
          </w:rPr>
          <w:t>cross appeal</w:t>
        </w:r>
      </w:hyperlink>
      <w:r w:rsidRPr="00B40A77">
        <w:rPr>
          <w:color w:val="000000" w:themeColor="text1"/>
          <w:lang w:val="en-US"/>
        </w:rPr>
        <w:t xml:space="preserve"> in the prescribed form</w:t>
      </w:r>
      <w:r w:rsidR="000169FE" w:rsidRPr="00B40A77">
        <w:rPr>
          <w:color w:val="000000" w:themeColor="text1"/>
          <w:lang w:val="en-US"/>
        </w:rPr>
        <w:t>,</w:t>
      </w:r>
      <w:r w:rsidRPr="00B40A77">
        <w:rPr>
          <w:color w:val="000000" w:themeColor="text1"/>
          <w:lang w:val="en-US"/>
        </w:rPr>
        <w:t xml:space="preserve"> within 14 days after </w:t>
      </w:r>
      <w:r w:rsidR="001A0BEA" w:rsidRPr="00B40A77">
        <w:rPr>
          <w:color w:val="000000" w:themeColor="text1"/>
          <w:lang w:val="en-US"/>
        </w:rPr>
        <w:t xml:space="preserve">being </w:t>
      </w:r>
      <w:r w:rsidRPr="00B40A77">
        <w:rPr>
          <w:color w:val="000000" w:themeColor="text1"/>
          <w:lang w:val="en-US"/>
        </w:rPr>
        <w:t>serv</w:t>
      </w:r>
      <w:r w:rsidR="001A0BEA" w:rsidRPr="00B40A77">
        <w:rPr>
          <w:color w:val="000000" w:themeColor="text1"/>
          <w:lang w:val="en-US"/>
        </w:rPr>
        <w:t>ed with</w:t>
      </w:r>
      <w:r w:rsidRPr="00B40A77">
        <w:rPr>
          <w:color w:val="000000" w:themeColor="text1"/>
          <w:lang w:val="en-US"/>
        </w:rPr>
        <w:t xml:space="preserve"> the notice of appeal</w:t>
      </w:r>
      <w:r w:rsidR="001A0BEA" w:rsidRPr="00B40A77">
        <w:rPr>
          <w:color w:val="000000" w:themeColor="text1"/>
          <w:lang w:val="en-US"/>
        </w:rPr>
        <w:t>.</w:t>
      </w:r>
    </w:p>
    <w:p w14:paraId="5B622307" w14:textId="77777777" w:rsidR="0004450F" w:rsidRPr="00B40A77" w:rsidRDefault="0004450F" w:rsidP="00211EE4">
      <w:pPr>
        <w:pStyle w:val="NoteHeader"/>
        <w:keepNext/>
        <w:rPr>
          <w:color w:val="000000" w:themeColor="text1"/>
        </w:rPr>
      </w:pPr>
      <w:r w:rsidRPr="00B40A77">
        <w:rPr>
          <w:color w:val="000000" w:themeColor="text1"/>
        </w:rPr>
        <w:t>Prescribed forms—</w:t>
      </w:r>
    </w:p>
    <w:p w14:paraId="5EEC032D" w14:textId="77777777" w:rsidR="00BB0659" w:rsidRPr="00B40A77" w:rsidRDefault="0004450F" w:rsidP="00F815AA">
      <w:pPr>
        <w:pStyle w:val="NoteHeader"/>
        <w:keepNext/>
        <w:ind w:left="1440"/>
        <w:rPr>
          <w:color w:val="000000" w:themeColor="text1"/>
        </w:rPr>
      </w:pPr>
      <w:r w:rsidRPr="00B40A77">
        <w:rPr>
          <w:color w:val="000000" w:themeColor="text1"/>
        </w:rPr>
        <w:t>Conviction cross appeal</w:t>
      </w:r>
    </w:p>
    <w:p w14:paraId="4EE50039" w14:textId="04DEA782" w:rsidR="00BB0659" w:rsidRPr="00B40A77" w:rsidRDefault="0004450F" w:rsidP="00BB0659">
      <w:pPr>
        <w:pStyle w:val="NoteText"/>
        <w:ind w:left="1701"/>
        <w:rPr>
          <w:rStyle w:val="Hyperlink"/>
          <w:color w:val="000000" w:themeColor="text1"/>
          <w:u w:val="none"/>
        </w:rPr>
      </w:pPr>
      <w:r w:rsidRPr="00B40A77">
        <w:rPr>
          <w:color w:val="000000" w:themeColor="text1"/>
        </w:rPr>
        <w:t xml:space="preserve">Form 184A </w:t>
      </w:r>
      <w:hyperlink r:id="rId390" w:history="1">
        <w:r w:rsidRPr="00B40A77">
          <w:rPr>
            <w:rStyle w:val="Hyperlink"/>
            <w:color w:val="000000" w:themeColor="text1"/>
          </w:rPr>
          <w:t>Notice of Cross Appeal against</w:t>
        </w:r>
        <w:r w:rsidR="00381D77" w:rsidRPr="00B40A77">
          <w:rPr>
            <w:rStyle w:val="Hyperlink"/>
            <w:color w:val="000000" w:themeColor="text1"/>
          </w:rPr>
          <w:t xml:space="preserve"> Conviction, Acquittal, Antecedent Decision or Mental Impairment Judgment</w:t>
        </w:r>
      </w:hyperlink>
    </w:p>
    <w:p w14:paraId="30FD16EE" w14:textId="6CCCD4C1" w:rsidR="0004450F" w:rsidRPr="00B40A77" w:rsidRDefault="0004450F" w:rsidP="00BB0659">
      <w:pPr>
        <w:pStyle w:val="NoteText"/>
        <w:ind w:left="1701"/>
        <w:rPr>
          <w:rStyle w:val="Hyperlink"/>
          <w:color w:val="000000" w:themeColor="text1"/>
          <w:u w:val="none"/>
        </w:rPr>
      </w:pPr>
      <w:r w:rsidRPr="00B40A77">
        <w:rPr>
          <w:color w:val="000000" w:themeColor="text1"/>
        </w:rPr>
        <w:t xml:space="preserve">Form 184S </w:t>
      </w:r>
      <w:hyperlink r:id="rId391" w:history="1">
        <w:r w:rsidR="0084485A" w:rsidRPr="00B40A77">
          <w:rPr>
            <w:rStyle w:val="Hyperlink"/>
            <w:color w:val="000000" w:themeColor="text1"/>
          </w:rPr>
          <w:t xml:space="preserve">Cross </w:t>
        </w:r>
        <w:r w:rsidRPr="00B40A77">
          <w:rPr>
            <w:rStyle w:val="Hyperlink"/>
            <w:color w:val="000000" w:themeColor="text1"/>
          </w:rPr>
          <w:t>Appeal Grounds</w:t>
        </w:r>
        <w:r w:rsidR="00381D77" w:rsidRPr="00B40A77">
          <w:rPr>
            <w:rStyle w:val="Hyperlink"/>
            <w:color w:val="000000" w:themeColor="text1"/>
          </w:rPr>
          <w:t xml:space="preserve"> (Part of Notice of Cross Appeal)</w:t>
        </w:r>
      </w:hyperlink>
    </w:p>
    <w:p w14:paraId="3B81D11D" w14:textId="6107D9DE" w:rsidR="00BB0659" w:rsidRPr="00B40A77" w:rsidRDefault="00BB0659" w:rsidP="00F815AA">
      <w:pPr>
        <w:pStyle w:val="NoteHeader"/>
        <w:keepNext/>
        <w:ind w:left="1418"/>
        <w:rPr>
          <w:color w:val="000000" w:themeColor="text1"/>
        </w:rPr>
      </w:pPr>
      <w:r w:rsidRPr="00B40A77">
        <w:rPr>
          <w:color w:val="000000" w:themeColor="text1"/>
        </w:rPr>
        <w:t>Sentence cross appeal</w:t>
      </w:r>
    </w:p>
    <w:p w14:paraId="786580E0" w14:textId="090AE89A" w:rsidR="0004450F" w:rsidRPr="00B40A77" w:rsidRDefault="0004450F" w:rsidP="00BB0659">
      <w:pPr>
        <w:pStyle w:val="NoteText"/>
        <w:ind w:left="1701"/>
        <w:rPr>
          <w:color w:val="000000" w:themeColor="text1"/>
        </w:rPr>
      </w:pPr>
      <w:r w:rsidRPr="00B40A77">
        <w:rPr>
          <w:color w:val="000000" w:themeColor="text1"/>
        </w:rPr>
        <w:t xml:space="preserve">Form 184B </w:t>
      </w:r>
      <w:hyperlink r:id="rId392" w:history="1">
        <w:r w:rsidRPr="00B40A77">
          <w:rPr>
            <w:rStyle w:val="Hyperlink"/>
            <w:color w:val="000000" w:themeColor="text1"/>
          </w:rPr>
          <w:t xml:space="preserve">Notice of </w:t>
        </w:r>
        <w:r w:rsidR="00BF02D2" w:rsidRPr="00B40A77">
          <w:rPr>
            <w:rStyle w:val="Hyperlink"/>
            <w:color w:val="000000" w:themeColor="text1"/>
          </w:rPr>
          <w:t xml:space="preserve">Cross </w:t>
        </w:r>
        <w:r w:rsidRPr="00B40A77">
          <w:rPr>
            <w:rStyle w:val="Hyperlink"/>
            <w:color w:val="000000" w:themeColor="text1"/>
          </w:rPr>
          <w:t xml:space="preserve">Appeal against Sentence or </w:t>
        </w:r>
        <w:r w:rsidR="00381D77" w:rsidRPr="00B40A77">
          <w:rPr>
            <w:rStyle w:val="Hyperlink"/>
            <w:color w:val="000000" w:themeColor="text1"/>
          </w:rPr>
          <w:t>Mental Impairment</w:t>
        </w:r>
        <w:r w:rsidRPr="00B40A77">
          <w:rPr>
            <w:rStyle w:val="Hyperlink"/>
            <w:color w:val="000000" w:themeColor="text1"/>
          </w:rPr>
          <w:t xml:space="preserve"> Disposition</w:t>
        </w:r>
      </w:hyperlink>
    </w:p>
    <w:p w14:paraId="690DF819" w14:textId="028A126C" w:rsidR="0004450F" w:rsidRPr="00B40A77" w:rsidRDefault="0004450F" w:rsidP="00BB0659">
      <w:pPr>
        <w:pStyle w:val="NoteText"/>
        <w:ind w:left="1701"/>
        <w:rPr>
          <w:color w:val="000000" w:themeColor="text1"/>
        </w:rPr>
      </w:pPr>
      <w:r w:rsidRPr="00B40A77">
        <w:rPr>
          <w:color w:val="000000" w:themeColor="text1"/>
        </w:rPr>
        <w:t xml:space="preserve">Form 184S </w:t>
      </w:r>
      <w:hyperlink r:id="rId393" w:history="1">
        <w:r w:rsidR="0084485A" w:rsidRPr="00B40A77">
          <w:rPr>
            <w:rStyle w:val="Hyperlink"/>
            <w:color w:val="000000" w:themeColor="text1"/>
          </w:rPr>
          <w:t xml:space="preserve">Cross </w:t>
        </w:r>
        <w:r w:rsidRPr="00B40A77">
          <w:rPr>
            <w:rStyle w:val="Hyperlink"/>
            <w:color w:val="000000" w:themeColor="text1"/>
          </w:rPr>
          <w:t>Appeal Grounds</w:t>
        </w:r>
        <w:r w:rsidR="00381D77" w:rsidRPr="00B40A77">
          <w:rPr>
            <w:rStyle w:val="Hyperlink"/>
            <w:color w:val="000000" w:themeColor="text1"/>
          </w:rPr>
          <w:t xml:space="preserve"> (Part of Notice of Cross Appeal)</w:t>
        </w:r>
      </w:hyperlink>
    </w:p>
    <w:p w14:paraId="57F3D87B" w14:textId="1A5E872A" w:rsidR="0004450F" w:rsidRPr="00B40A77" w:rsidRDefault="0004450F" w:rsidP="00F815AA">
      <w:pPr>
        <w:pStyle w:val="NoteHeader"/>
        <w:keepNext/>
        <w:ind w:left="1440"/>
        <w:rPr>
          <w:color w:val="000000" w:themeColor="text1"/>
        </w:rPr>
      </w:pPr>
      <w:r w:rsidRPr="00B40A77">
        <w:rPr>
          <w:color w:val="000000" w:themeColor="text1"/>
        </w:rPr>
        <w:t>Miscellaneous cro</w:t>
      </w:r>
      <w:r w:rsidR="00C73103" w:rsidRPr="00B40A77">
        <w:rPr>
          <w:color w:val="000000" w:themeColor="text1"/>
        </w:rPr>
        <w:t>ss</w:t>
      </w:r>
      <w:r w:rsidRPr="00B40A77">
        <w:rPr>
          <w:color w:val="000000" w:themeColor="text1"/>
        </w:rPr>
        <w:t xml:space="preserve"> appea</w:t>
      </w:r>
      <w:r w:rsidR="00BB0659" w:rsidRPr="00B40A77">
        <w:rPr>
          <w:color w:val="000000" w:themeColor="text1"/>
        </w:rPr>
        <w:t>l</w:t>
      </w:r>
    </w:p>
    <w:p w14:paraId="40E488BD" w14:textId="05F16EBD" w:rsidR="00BB0659" w:rsidRPr="00B40A77" w:rsidRDefault="0004450F" w:rsidP="00BB0659">
      <w:pPr>
        <w:pStyle w:val="NoteText"/>
        <w:ind w:left="1701" w:firstLine="22"/>
        <w:rPr>
          <w:color w:val="000000" w:themeColor="text1"/>
        </w:rPr>
      </w:pPr>
      <w:r w:rsidRPr="00B40A77">
        <w:rPr>
          <w:color w:val="000000" w:themeColor="text1"/>
        </w:rPr>
        <w:t xml:space="preserve">Form 184C </w:t>
      </w:r>
      <w:hyperlink r:id="rId394" w:history="1">
        <w:r w:rsidRPr="00B40A77">
          <w:rPr>
            <w:rStyle w:val="Hyperlink"/>
            <w:color w:val="000000" w:themeColor="text1"/>
          </w:rPr>
          <w:t xml:space="preserve">Notice of Cross </w:t>
        </w:r>
        <w:r w:rsidR="00BF02D2" w:rsidRPr="00B40A77">
          <w:rPr>
            <w:rStyle w:val="Hyperlink"/>
            <w:color w:val="000000" w:themeColor="text1"/>
          </w:rPr>
          <w:t>Appeal</w:t>
        </w:r>
        <w:r w:rsidRPr="00B40A77">
          <w:rPr>
            <w:rStyle w:val="Hyperlink"/>
            <w:color w:val="000000" w:themeColor="text1"/>
          </w:rPr>
          <w:t xml:space="preserve"> against Other Decision</w:t>
        </w:r>
      </w:hyperlink>
    </w:p>
    <w:p w14:paraId="5B171871" w14:textId="1A31F04D" w:rsidR="0004450F" w:rsidRPr="00B40A77" w:rsidRDefault="0004450F" w:rsidP="00BB0659">
      <w:pPr>
        <w:pStyle w:val="NoteText"/>
        <w:ind w:left="1701" w:firstLine="22"/>
        <w:rPr>
          <w:color w:val="000000" w:themeColor="text1"/>
        </w:rPr>
      </w:pPr>
      <w:r w:rsidRPr="00B40A77">
        <w:rPr>
          <w:color w:val="000000" w:themeColor="text1"/>
        </w:rPr>
        <w:t xml:space="preserve">Form 184S </w:t>
      </w:r>
      <w:hyperlink r:id="rId395" w:history="1">
        <w:r w:rsidR="0084485A" w:rsidRPr="00B40A77">
          <w:rPr>
            <w:rStyle w:val="Hyperlink"/>
            <w:color w:val="000000" w:themeColor="text1"/>
          </w:rPr>
          <w:t xml:space="preserve">Cross </w:t>
        </w:r>
        <w:r w:rsidRPr="00B40A77">
          <w:rPr>
            <w:rStyle w:val="Hyperlink"/>
            <w:color w:val="000000" w:themeColor="text1"/>
          </w:rPr>
          <w:t>Appeal Grounds</w:t>
        </w:r>
        <w:r w:rsidR="00381D77" w:rsidRPr="00B40A77">
          <w:rPr>
            <w:rStyle w:val="Hyperlink"/>
            <w:color w:val="000000" w:themeColor="text1"/>
          </w:rPr>
          <w:t xml:space="preserve"> (Part of Notice of Cross Appeal)</w:t>
        </w:r>
      </w:hyperlink>
    </w:p>
    <w:p w14:paraId="1BFDAC2C" w14:textId="028A8B6F" w:rsidR="00540A34" w:rsidRPr="00B40A77" w:rsidRDefault="004161DB" w:rsidP="0004450F">
      <w:pPr>
        <w:pStyle w:val="Hangindent"/>
        <w:rPr>
          <w:color w:val="000000" w:themeColor="text1"/>
          <w:lang w:val="en-US"/>
        </w:rPr>
      </w:pPr>
      <w:r w:rsidRPr="00B40A77">
        <w:rPr>
          <w:color w:val="000000" w:themeColor="text1"/>
          <w:lang w:val="en-US"/>
        </w:rPr>
        <w:t>(2</w:t>
      </w:r>
      <w:r w:rsidR="002C3214" w:rsidRPr="00B40A77">
        <w:rPr>
          <w:color w:val="000000" w:themeColor="text1"/>
          <w:lang w:val="en-US"/>
        </w:rPr>
        <w:t>)</w:t>
      </w:r>
      <w:r w:rsidR="002C3214" w:rsidRPr="00B40A77">
        <w:rPr>
          <w:color w:val="000000" w:themeColor="text1"/>
          <w:lang w:val="en-US"/>
        </w:rPr>
        <w:tab/>
      </w:r>
      <w:hyperlink w:anchor="_214.2—Institution_of_appeal" w:history="1">
        <w:r w:rsidR="009B0792" w:rsidRPr="00B40A77">
          <w:rPr>
            <w:rStyle w:val="Hyperlink"/>
            <w:color w:val="000000" w:themeColor="text1"/>
            <w:lang w:val="en-US"/>
          </w:rPr>
          <w:t>Rule</w:t>
        </w:r>
        <w:r w:rsidR="00395644" w:rsidRPr="00B40A77">
          <w:rPr>
            <w:rStyle w:val="Hyperlink"/>
            <w:color w:val="000000" w:themeColor="text1"/>
            <w:lang w:val="en-US"/>
          </w:rPr>
          <w:t> </w:t>
        </w:r>
        <w:r w:rsidRPr="00B40A77">
          <w:rPr>
            <w:rStyle w:val="Hyperlink"/>
            <w:color w:val="000000" w:themeColor="text1"/>
            <w:lang w:val="en-US"/>
          </w:rPr>
          <w:t>185.3</w:t>
        </w:r>
      </w:hyperlink>
      <w:r w:rsidRPr="00B40A77">
        <w:rPr>
          <w:color w:val="000000" w:themeColor="text1"/>
          <w:lang w:val="en-US"/>
        </w:rPr>
        <w:t>(3) to (5</w:t>
      </w:r>
      <w:r w:rsidR="00540A34" w:rsidRPr="00B40A77">
        <w:rPr>
          <w:color w:val="000000" w:themeColor="text1"/>
          <w:lang w:val="en-US"/>
        </w:rPr>
        <w:t xml:space="preserve">) </w:t>
      </w:r>
      <w:r w:rsidR="007C73DB" w:rsidRPr="00B40A77">
        <w:rPr>
          <w:color w:val="000000" w:themeColor="text1"/>
          <w:lang w:val="en-US"/>
        </w:rPr>
        <w:t>and</w:t>
      </w:r>
      <w:r w:rsidR="00395644" w:rsidRPr="00B40A77">
        <w:rPr>
          <w:color w:val="000000" w:themeColor="text1"/>
          <w:lang w:val="en-US"/>
        </w:rPr>
        <w:t xml:space="preserve"> </w:t>
      </w:r>
      <w:hyperlink w:anchor="_185.4—Service_of_notice" w:history="1">
        <w:r w:rsidR="00155F75" w:rsidRPr="00B40A77">
          <w:rPr>
            <w:rStyle w:val="Hyperlink"/>
            <w:color w:val="000000" w:themeColor="text1"/>
            <w:lang w:val="en-US"/>
          </w:rPr>
          <w:t xml:space="preserve">rule </w:t>
        </w:r>
        <w:r w:rsidR="00395644" w:rsidRPr="00B40A77">
          <w:rPr>
            <w:rStyle w:val="Hyperlink"/>
            <w:color w:val="000000" w:themeColor="text1"/>
            <w:lang w:val="en-US"/>
          </w:rPr>
          <w:t>1</w:t>
        </w:r>
        <w:r w:rsidR="007C73DB" w:rsidRPr="00B40A77">
          <w:rPr>
            <w:rStyle w:val="Hyperlink"/>
            <w:color w:val="000000" w:themeColor="text1"/>
            <w:lang w:val="en-US"/>
          </w:rPr>
          <w:t>85.4</w:t>
        </w:r>
      </w:hyperlink>
      <w:r w:rsidR="007C73DB" w:rsidRPr="00B40A77">
        <w:rPr>
          <w:color w:val="000000" w:themeColor="text1"/>
          <w:lang w:val="en-US"/>
        </w:rPr>
        <w:t xml:space="preserve"> apply</w:t>
      </w:r>
      <w:r w:rsidR="00540A34" w:rsidRPr="00B40A77">
        <w:rPr>
          <w:color w:val="000000" w:themeColor="text1"/>
          <w:lang w:val="en-US"/>
        </w:rPr>
        <w:t xml:space="preserve">, with any necessary changes, in respect of a </w:t>
      </w:r>
      <w:hyperlink w:anchor="_211.1—Definitions" w:history="1">
        <w:r w:rsidR="0082271A" w:rsidRPr="00B40A77">
          <w:rPr>
            <w:rStyle w:val="Hyperlink"/>
            <w:color w:val="000000" w:themeColor="text1"/>
            <w:lang w:val="en-US"/>
          </w:rPr>
          <w:t>cross appeal</w:t>
        </w:r>
      </w:hyperlink>
      <w:r w:rsidR="00540A34" w:rsidRPr="00B40A77">
        <w:rPr>
          <w:color w:val="000000" w:themeColor="text1"/>
          <w:lang w:val="en-US"/>
        </w:rPr>
        <w:t>.</w:t>
      </w:r>
    </w:p>
    <w:bookmarkEnd w:id="1084"/>
    <w:p w14:paraId="4FEB677E" w14:textId="48F07F94" w:rsidR="00851534" w:rsidRPr="00B40A77" w:rsidRDefault="00540C38" w:rsidP="00A57AAE">
      <w:pPr>
        <w:pStyle w:val="Hangindent"/>
        <w:rPr>
          <w:color w:val="000000" w:themeColor="text1"/>
          <w:lang w:val="en-US"/>
        </w:rPr>
      </w:pPr>
      <w:r w:rsidRPr="00B40A77">
        <w:rPr>
          <w:color w:val="000000" w:themeColor="text1"/>
          <w:lang w:val="en-US"/>
        </w:rPr>
        <w:lastRenderedPageBreak/>
        <w:t>(</w:t>
      </w:r>
      <w:r w:rsidR="000169FE" w:rsidRPr="00B40A77">
        <w:rPr>
          <w:color w:val="000000" w:themeColor="text1"/>
          <w:lang w:val="en-US"/>
        </w:rPr>
        <w:t>3</w:t>
      </w:r>
      <w:r w:rsidR="0059351F" w:rsidRPr="00B40A77">
        <w:rPr>
          <w:color w:val="000000" w:themeColor="text1"/>
          <w:lang w:val="en-US"/>
        </w:rPr>
        <w:t>)</w:t>
      </w:r>
      <w:r w:rsidR="0059351F" w:rsidRPr="00B40A77">
        <w:rPr>
          <w:color w:val="000000" w:themeColor="text1"/>
          <w:lang w:val="en-US"/>
        </w:rPr>
        <w:tab/>
        <w:t>If leave</w:t>
      </w:r>
      <w:r w:rsidR="00851534" w:rsidRPr="00B40A77">
        <w:rPr>
          <w:color w:val="000000" w:themeColor="text1"/>
          <w:lang w:val="en-US"/>
        </w:rPr>
        <w:t xml:space="preserve"> </w:t>
      </w:r>
      <w:r w:rsidR="004161DB" w:rsidRPr="00B40A77">
        <w:rPr>
          <w:color w:val="000000" w:themeColor="text1"/>
          <w:lang w:val="en-US"/>
        </w:rPr>
        <w:t xml:space="preserve">to appeal is required, </w:t>
      </w:r>
      <w:hyperlink w:anchor="_185.2—Leave_to_appeal" w:history="1">
        <w:r w:rsidR="004161DB" w:rsidRPr="00B40A77">
          <w:rPr>
            <w:rStyle w:val="Hyperlink"/>
            <w:color w:val="000000" w:themeColor="text1"/>
            <w:lang w:val="en-US"/>
          </w:rPr>
          <w:t>rule</w:t>
        </w:r>
        <w:r w:rsidR="00395644" w:rsidRPr="00B40A77">
          <w:rPr>
            <w:rStyle w:val="Hyperlink"/>
            <w:color w:val="000000" w:themeColor="text1"/>
            <w:lang w:val="en-US"/>
          </w:rPr>
          <w:t> </w:t>
        </w:r>
        <w:r w:rsidR="004161DB" w:rsidRPr="00B40A77">
          <w:rPr>
            <w:rStyle w:val="Hyperlink"/>
            <w:color w:val="000000" w:themeColor="text1"/>
            <w:lang w:val="en-US"/>
          </w:rPr>
          <w:t>185</w:t>
        </w:r>
        <w:r w:rsidR="00851534" w:rsidRPr="00B40A77">
          <w:rPr>
            <w:rStyle w:val="Hyperlink"/>
            <w:color w:val="000000" w:themeColor="text1"/>
            <w:lang w:val="en-US"/>
          </w:rPr>
          <w:t>.2</w:t>
        </w:r>
      </w:hyperlink>
      <w:r w:rsidR="00851534" w:rsidRPr="00B40A77">
        <w:rPr>
          <w:color w:val="000000" w:themeColor="text1"/>
          <w:lang w:val="en-US"/>
        </w:rPr>
        <w:t xml:space="preserve"> </w:t>
      </w:r>
      <w:r w:rsidR="004161DB" w:rsidRPr="00B40A77">
        <w:rPr>
          <w:color w:val="000000" w:themeColor="text1"/>
          <w:lang w:val="en-US"/>
        </w:rPr>
        <w:t>applies</w:t>
      </w:r>
      <w:r w:rsidR="00851534" w:rsidRPr="00B40A77">
        <w:rPr>
          <w:color w:val="000000" w:themeColor="text1"/>
          <w:lang w:val="en-US"/>
        </w:rPr>
        <w:t xml:space="preserve">, with any necessary changes, in respect of a </w:t>
      </w:r>
      <w:hyperlink w:anchor="_211.1—Definitions" w:history="1">
        <w:r w:rsidR="0082271A" w:rsidRPr="00B40A77">
          <w:rPr>
            <w:rStyle w:val="Hyperlink"/>
            <w:color w:val="000000" w:themeColor="text1"/>
            <w:lang w:val="en-US"/>
          </w:rPr>
          <w:t>cross appeal</w:t>
        </w:r>
      </w:hyperlink>
      <w:r w:rsidR="00851534" w:rsidRPr="00B40A77">
        <w:rPr>
          <w:color w:val="000000" w:themeColor="text1"/>
          <w:lang w:val="en-US"/>
        </w:rPr>
        <w:t>.</w:t>
      </w:r>
    </w:p>
    <w:p w14:paraId="14EE3587" w14:textId="3CAB0773" w:rsidR="00851534" w:rsidRPr="00B40A77" w:rsidRDefault="00540C38" w:rsidP="00851534">
      <w:pPr>
        <w:pStyle w:val="Hangindent"/>
        <w:rPr>
          <w:color w:val="000000" w:themeColor="text1"/>
          <w:lang w:val="en-US"/>
        </w:rPr>
      </w:pPr>
      <w:r w:rsidRPr="00B40A77">
        <w:rPr>
          <w:color w:val="000000" w:themeColor="text1"/>
          <w:lang w:val="en-US"/>
        </w:rPr>
        <w:t>(</w:t>
      </w:r>
      <w:r w:rsidR="000169FE" w:rsidRPr="00B40A77">
        <w:rPr>
          <w:color w:val="000000" w:themeColor="text1"/>
          <w:lang w:val="en-US"/>
        </w:rPr>
        <w:t>4</w:t>
      </w:r>
      <w:r w:rsidR="00851534" w:rsidRPr="00B40A77">
        <w:rPr>
          <w:color w:val="000000" w:themeColor="text1"/>
          <w:lang w:val="en-US"/>
        </w:rPr>
        <w:t>)</w:t>
      </w:r>
      <w:r w:rsidR="00851534" w:rsidRPr="00B40A77">
        <w:rPr>
          <w:color w:val="000000" w:themeColor="text1"/>
          <w:lang w:val="en-US"/>
        </w:rPr>
        <w:tab/>
        <w:t xml:space="preserve">If an extension of time </w:t>
      </w:r>
      <w:r w:rsidR="004161DB" w:rsidRPr="00B40A77">
        <w:rPr>
          <w:color w:val="000000" w:themeColor="text1"/>
          <w:lang w:val="en-US"/>
        </w:rPr>
        <w:t xml:space="preserve">to appeal is required, </w:t>
      </w:r>
      <w:hyperlink w:anchor="_185.1—Time_to_appeal" w:history="1">
        <w:r w:rsidR="004161DB" w:rsidRPr="00B40A77">
          <w:rPr>
            <w:rStyle w:val="Hyperlink"/>
            <w:color w:val="000000" w:themeColor="text1"/>
            <w:lang w:val="en-US"/>
          </w:rPr>
          <w:t>rule</w:t>
        </w:r>
        <w:r w:rsidR="00395644" w:rsidRPr="00B40A77">
          <w:rPr>
            <w:rStyle w:val="Hyperlink"/>
            <w:color w:val="000000" w:themeColor="text1"/>
            <w:lang w:val="en-US"/>
          </w:rPr>
          <w:t> </w:t>
        </w:r>
        <w:r w:rsidR="004161DB" w:rsidRPr="00B40A77">
          <w:rPr>
            <w:rStyle w:val="Hyperlink"/>
            <w:color w:val="000000" w:themeColor="text1"/>
            <w:lang w:val="en-US"/>
          </w:rPr>
          <w:t>185</w:t>
        </w:r>
        <w:r w:rsidR="00A57AAE" w:rsidRPr="00B40A77">
          <w:rPr>
            <w:rStyle w:val="Hyperlink"/>
            <w:color w:val="000000" w:themeColor="text1"/>
            <w:lang w:val="en-US"/>
          </w:rPr>
          <w:t>.1</w:t>
        </w:r>
      </w:hyperlink>
      <w:r w:rsidR="004161DB" w:rsidRPr="00B40A77">
        <w:rPr>
          <w:color w:val="000000" w:themeColor="text1"/>
          <w:lang w:val="en-US"/>
        </w:rPr>
        <w:t>(2) to</w:t>
      </w:r>
      <w:r w:rsidR="00E71FFA" w:rsidRPr="00B40A77">
        <w:rPr>
          <w:color w:val="000000" w:themeColor="text1"/>
          <w:lang w:val="en-US"/>
        </w:rPr>
        <w:t> </w:t>
      </w:r>
      <w:r w:rsidR="004161DB" w:rsidRPr="00B40A77">
        <w:rPr>
          <w:color w:val="000000" w:themeColor="text1"/>
          <w:lang w:val="en-US"/>
        </w:rPr>
        <w:t>(4)</w:t>
      </w:r>
      <w:r w:rsidR="00851534" w:rsidRPr="00B40A77">
        <w:rPr>
          <w:color w:val="000000" w:themeColor="text1"/>
          <w:lang w:val="en-US"/>
        </w:rPr>
        <w:t xml:space="preserve"> applies, with any necessary changes, in respect of a </w:t>
      </w:r>
      <w:hyperlink w:anchor="_211.1—Definitions" w:history="1">
        <w:r w:rsidR="0082271A" w:rsidRPr="00B40A77">
          <w:rPr>
            <w:rStyle w:val="Hyperlink"/>
            <w:color w:val="000000" w:themeColor="text1"/>
            <w:lang w:val="en-US"/>
          </w:rPr>
          <w:t>cross appeal</w:t>
        </w:r>
      </w:hyperlink>
      <w:r w:rsidR="00851534" w:rsidRPr="00B40A77">
        <w:rPr>
          <w:color w:val="000000" w:themeColor="text1"/>
          <w:lang w:val="en-US"/>
        </w:rPr>
        <w:t>.</w:t>
      </w:r>
    </w:p>
    <w:p w14:paraId="7824DEEA" w14:textId="277E2296" w:rsidR="00372C09" w:rsidRPr="00B40A77" w:rsidRDefault="00A8790C" w:rsidP="00372C09">
      <w:pPr>
        <w:pStyle w:val="Heading4"/>
        <w:rPr>
          <w:color w:val="000000" w:themeColor="text1"/>
        </w:rPr>
      </w:pPr>
      <w:bookmarkStart w:id="1086" w:name="_Toc175239343"/>
      <w:r w:rsidRPr="00B40A77">
        <w:rPr>
          <w:color w:val="000000" w:themeColor="text1"/>
        </w:rPr>
        <w:t>186.3</w:t>
      </w:r>
      <w:r w:rsidR="00372C09" w:rsidRPr="00B40A77">
        <w:rPr>
          <w:color w:val="000000" w:themeColor="text1"/>
        </w:rPr>
        <w:t>—Notice of alternative contention</w:t>
      </w:r>
      <w:bookmarkEnd w:id="1085"/>
      <w:bookmarkEnd w:id="1086"/>
    </w:p>
    <w:p w14:paraId="3988BBA2" w14:textId="0A72ECC8" w:rsidR="00372C09" w:rsidRPr="00B40A77" w:rsidRDefault="009B0792" w:rsidP="001103F0">
      <w:pPr>
        <w:pStyle w:val="Hangindent"/>
        <w:keepNext/>
        <w:keepLines/>
        <w:rPr>
          <w:color w:val="000000" w:themeColor="text1"/>
          <w:lang w:val="en-US"/>
        </w:rPr>
      </w:pPr>
      <w:bookmarkStart w:id="1087" w:name="_Hlk31810092"/>
      <w:r w:rsidRPr="00B40A77">
        <w:rPr>
          <w:color w:val="000000" w:themeColor="text1"/>
          <w:lang w:val="en-US"/>
        </w:rPr>
        <w:t>(1)</w:t>
      </w:r>
      <w:r w:rsidRPr="00B40A77">
        <w:rPr>
          <w:color w:val="000000" w:themeColor="text1"/>
          <w:lang w:val="en-US"/>
        </w:rPr>
        <w:tab/>
        <w:t>If a</w:t>
      </w:r>
      <w:r w:rsidR="00372C09" w:rsidRPr="00B40A77">
        <w:rPr>
          <w:color w:val="000000" w:themeColor="text1"/>
          <w:lang w:val="en-US"/>
        </w:rPr>
        <w:t xml:space="preserve"> party wishes to contend that a decision subject to appeal or </w:t>
      </w:r>
      <w:hyperlink w:anchor="_211.1—Definitions" w:history="1">
        <w:r w:rsidR="0082271A" w:rsidRPr="00B40A77">
          <w:rPr>
            <w:rStyle w:val="Hyperlink"/>
            <w:color w:val="000000" w:themeColor="text1"/>
            <w:lang w:val="en-US"/>
          </w:rPr>
          <w:t>cross appeal</w:t>
        </w:r>
      </w:hyperlink>
      <w:r w:rsidR="00372C09" w:rsidRPr="00B40A77">
        <w:rPr>
          <w:color w:val="000000" w:themeColor="text1"/>
          <w:lang w:val="en-US"/>
        </w:rPr>
        <w:t xml:space="preserve"> should be upheld for reasons other than those given by the court </w:t>
      </w:r>
      <w:r w:rsidR="00A57AAE" w:rsidRPr="00B40A77">
        <w:rPr>
          <w:color w:val="000000" w:themeColor="text1"/>
          <w:lang w:val="en-US"/>
        </w:rPr>
        <w:t>of first instance</w:t>
      </w:r>
      <w:r w:rsidR="00372C09" w:rsidRPr="00B40A77">
        <w:rPr>
          <w:color w:val="000000" w:themeColor="text1"/>
          <w:lang w:val="en-US"/>
        </w:rPr>
        <w:t>, that party must file a notice of alternative contention in the prescribed form setting out the grounds on which the party asserts that the decision should be upheld</w:t>
      </w:r>
      <w:r w:rsidR="000169FE" w:rsidRPr="00B40A77">
        <w:rPr>
          <w:color w:val="000000" w:themeColor="text1"/>
          <w:lang w:val="en-US"/>
        </w:rPr>
        <w:t>,</w:t>
      </w:r>
      <w:r w:rsidR="00372C09" w:rsidRPr="00B40A77">
        <w:rPr>
          <w:color w:val="000000" w:themeColor="text1"/>
          <w:lang w:val="en-US"/>
        </w:rPr>
        <w:t xml:space="preserve"> within 14 days after service of the notice of ap</w:t>
      </w:r>
      <w:r w:rsidR="00873E6B" w:rsidRPr="00B40A77">
        <w:rPr>
          <w:color w:val="000000" w:themeColor="text1"/>
          <w:lang w:val="en-US"/>
        </w:rPr>
        <w:t xml:space="preserve">peal or notice of </w:t>
      </w:r>
      <w:hyperlink w:anchor="_211.1—Definitions" w:history="1">
        <w:r w:rsidR="0082271A" w:rsidRPr="00B40A77">
          <w:rPr>
            <w:rStyle w:val="Hyperlink"/>
            <w:color w:val="000000" w:themeColor="text1"/>
            <w:lang w:val="en-US"/>
          </w:rPr>
          <w:t>cross appeal</w:t>
        </w:r>
      </w:hyperlink>
      <w:r w:rsidR="00372C09" w:rsidRPr="00B40A77">
        <w:rPr>
          <w:color w:val="000000" w:themeColor="text1"/>
          <w:lang w:val="en-US"/>
        </w:rPr>
        <w:t xml:space="preserve"> </w:t>
      </w:r>
      <w:r w:rsidR="00873E6B" w:rsidRPr="00B40A77">
        <w:rPr>
          <w:color w:val="000000" w:themeColor="text1"/>
          <w:lang w:val="en-US"/>
        </w:rPr>
        <w:t xml:space="preserve">(as the case may be) </w:t>
      </w:r>
      <w:r w:rsidR="00372C09" w:rsidRPr="00B40A77">
        <w:rPr>
          <w:color w:val="000000" w:themeColor="text1"/>
          <w:lang w:val="en-US"/>
        </w:rPr>
        <w:t>on that party.</w:t>
      </w:r>
    </w:p>
    <w:bookmarkEnd w:id="1087"/>
    <w:p w14:paraId="4D92FCCF" w14:textId="77777777" w:rsidR="00372C09" w:rsidRPr="00B40A77" w:rsidRDefault="00372C09" w:rsidP="000169FE">
      <w:pPr>
        <w:pStyle w:val="NoteHeader"/>
        <w:keepNext/>
        <w:rPr>
          <w:color w:val="000000" w:themeColor="text1"/>
        </w:rPr>
      </w:pPr>
      <w:r w:rsidRPr="00B40A77">
        <w:rPr>
          <w:color w:val="000000" w:themeColor="text1"/>
        </w:rPr>
        <w:t>Prescribed form—</w:t>
      </w:r>
    </w:p>
    <w:p w14:paraId="1AF96B91" w14:textId="75F27684" w:rsidR="00372C09" w:rsidRPr="00B40A77" w:rsidRDefault="0070732E" w:rsidP="00372C09">
      <w:pPr>
        <w:pStyle w:val="NoteText"/>
        <w:rPr>
          <w:color w:val="000000" w:themeColor="text1"/>
        </w:rPr>
      </w:pPr>
      <w:r w:rsidRPr="00B40A77">
        <w:rPr>
          <w:color w:val="000000" w:themeColor="text1"/>
        </w:rPr>
        <w:t>Form 185</w:t>
      </w:r>
      <w:r w:rsidR="00372C09" w:rsidRPr="00B40A77">
        <w:rPr>
          <w:color w:val="000000" w:themeColor="text1"/>
        </w:rPr>
        <w:t xml:space="preserve"> </w:t>
      </w:r>
      <w:hyperlink r:id="rId396" w:history="1">
        <w:r w:rsidR="00372C09" w:rsidRPr="00B40A77">
          <w:rPr>
            <w:rStyle w:val="Hyperlink"/>
            <w:color w:val="000000" w:themeColor="text1"/>
          </w:rPr>
          <w:t>Notice of Alternative Contention</w:t>
        </w:r>
      </w:hyperlink>
    </w:p>
    <w:p w14:paraId="47690330" w14:textId="551A07D3" w:rsidR="009B0792" w:rsidRPr="00B40A77" w:rsidRDefault="009B0792" w:rsidP="009B0792">
      <w:pPr>
        <w:pStyle w:val="Hangindent"/>
        <w:rPr>
          <w:color w:val="000000" w:themeColor="text1"/>
          <w:lang w:val="en-US"/>
        </w:rPr>
      </w:pPr>
      <w:r w:rsidRPr="00B40A77">
        <w:rPr>
          <w:color w:val="000000" w:themeColor="text1"/>
          <w:lang w:val="en-US"/>
        </w:rPr>
        <w:t>(2)</w:t>
      </w:r>
      <w:r w:rsidRPr="00B40A77">
        <w:rPr>
          <w:color w:val="000000" w:themeColor="text1"/>
          <w:lang w:val="en-US"/>
        </w:rPr>
        <w:tab/>
        <w:t>Unless the Court otherwise orders, a party may not rely on grounds on which the party asserts that a decision should be upheld for reasons other than those given by the court of first instance that are not stated in a notice of alternative contention.</w:t>
      </w:r>
    </w:p>
    <w:p w14:paraId="062E20F2" w14:textId="71B99931" w:rsidR="00540A34" w:rsidRPr="00B40A77" w:rsidRDefault="00540A34" w:rsidP="009B0792">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If an extension of time to file </w:t>
      </w:r>
      <w:r w:rsidR="00C52F81" w:rsidRPr="00B40A77">
        <w:rPr>
          <w:color w:val="000000" w:themeColor="text1"/>
          <w:lang w:val="en-US"/>
        </w:rPr>
        <w:t xml:space="preserve">a </w:t>
      </w:r>
      <w:r w:rsidRPr="00B40A77">
        <w:rPr>
          <w:color w:val="000000" w:themeColor="text1"/>
          <w:lang w:val="en-US"/>
        </w:rPr>
        <w:t>notice of alternative c</w:t>
      </w:r>
      <w:r w:rsidR="00A57AAE" w:rsidRPr="00B40A77">
        <w:rPr>
          <w:color w:val="000000" w:themeColor="text1"/>
          <w:lang w:val="en-US"/>
        </w:rPr>
        <w:t xml:space="preserve">ontention is required, </w:t>
      </w:r>
      <w:hyperlink w:anchor="_185.1—Time_to_appeal" w:history="1">
        <w:r w:rsidR="00946A51" w:rsidRPr="00B40A77">
          <w:rPr>
            <w:rStyle w:val="Hyperlink"/>
            <w:color w:val="000000" w:themeColor="text1"/>
            <w:lang w:val="en-US"/>
          </w:rPr>
          <w:t>rule 185.1</w:t>
        </w:r>
      </w:hyperlink>
      <w:r w:rsidR="009B0792" w:rsidRPr="00B40A77">
        <w:rPr>
          <w:color w:val="000000" w:themeColor="text1"/>
          <w:lang w:val="en-US"/>
        </w:rPr>
        <w:t>(2) to</w:t>
      </w:r>
      <w:r w:rsidR="00A36189" w:rsidRPr="00B40A77">
        <w:rPr>
          <w:color w:val="000000" w:themeColor="text1"/>
          <w:lang w:val="en-US"/>
        </w:rPr>
        <w:t> </w:t>
      </w:r>
      <w:r w:rsidR="009B0792" w:rsidRPr="00B40A77">
        <w:rPr>
          <w:color w:val="000000" w:themeColor="text1"/>
          <w:lang w:val="en-US"/>
        </w:rPr>
        <w:t xml:space="preserve">(4) </w:t>
      </w:r>
      <w:r w:rsidRPr="00B40A77">
        <w:rPr>
          <w:color w:val="000000" w:themeColor="text1"/>
          <w:lang w:val="en-US"/>
        </w:rPr>
        <w:t>applies, with any necessary changes, in respect of a notice of alternative contention.</w:t>
      </w:r>
    </w:p>
    <w:p w14:paraId="00E21477" w14:textId="411CC2B5" w:rsidR="007C73DB" w:rsidRPr="00B40A77" w:rsidRDefault="007C73DB" w:rsidP="007C73DB">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A party who files a notice of alternative contention must serve </w:t>
      </w:r>
      <w:r w:rsidR="0009610D" w:rsidRPr="00B40A77">
        <w:rPr>
          <w:color w:val="000000" w:themeColor="text1"/>
          <w:lang w:val="en-US"/>
        </w:rPr>
        <w:t xml:space="preserve">it </w:t>
      </w:r>
      <w:r w:rsidRPr="00B40A77">
        <w:rPr>
          <w:color w:val="000000" w:themeColor="text1"/>
          <w:lang w:val="en-US"/>
        </w:rPr>
        <w:t>on each other party to the appellate proceeding as soon as practicable.</w:t>
      </w:r>
    </w:p>
    <w:p w14:paraId="3A12DEF6" w14:textId="6720F0F0" w:rsidR="00372C09" w:rsidRPr="00B40A77" w:rsidRDefault="00FB3C6A" w:rsidP="00372C09">
      <w:pPr>
        <w:pStyle w:val="Heading3"/>
        <w:rPr>
          <w:color w:val="000000" w:themeColor="text1"/>
        </w:rPr>
      </w:pPr>
      <w:bookmarkStart w:id="1088" w:name="_Toc25920260"/>
      <w:bookmarkStart w:id="1089" w:name="_Toc175239344"/>
      <w:r w:rsidRPr="00B40A77">
        <w:rPr>
          <w:color w:val="000000" w:themeColor="text1"/>
        </w:rPr>
        <w:t>Division 4</w:t>
      </w:r>
      <w:r w:rsidR="00372C09" w:rsidRPr="00B40A77">
        <w:rPr>
          <w:color w:val="000000" w:themeColor="text1"/>
        </w:rPr>
        <w:t>—</w:t>
      </w:r>
      <w:r w:rsidR="004E70A4" w:rsidRPr="00B40A77">
        <w:rPr>
          <w:color w:val="000000" w:themeColor="text1"/>
        </w:rPr>
        <w:t>Institution of c</w:t>
      </w:r>
      <w:r w:rsidR="00372C09" w:rsidRPr="00B40A77">
        <w:rPr>
          <w:color w:val="000000" w:themeColor="text1"/>
        </w:rPr>
        <w:t>ase state</w:t>
      </w:r>
      <w:bookmarkEnd w:id="1088"/>
      <w:r w:rsidR="004E70A4" w:rsidRPr="00B40A77">
        <w:rPr>
          <w:color w:val="000000" w:themeColor="text1"/>
        </w:rPr>
        <w:t>d</w:t>
      </w:r>
      <w:r w:rsidR="000F7AEF" w:rsidRPr="00B40A77">
        <w:rPr>
          <w:color w:val="000000" w:themeColor="text1"/>
        </w:rPr>
        <w:t>: Supreme Court</w:t>
      </w:r>
      <w:bookmarkEnd w:id="1089"/>
    </w:p>
    <w:p w14:paraId="01005438" w14:textId="2FEF2737" w:rsidR="00372C09" w:rsidRPr="00B40A77" w:rsidRDefault="009B0792" w:rsidP="00372C09">
      <w:pPr>
        <w:pStyle w:val="Heading4"/>
        <w:rPr>
          <w:color w:val="000000" w:themeColor="text1"/>
        </w:rPr>
      </w:pPr>
      <w:bookmarkStart w:id="1090" w:name="_214.6—Case_stated_by"/>
      <w:bookmarkStart w:id="1091" w:name="_187.1—Case_stated_by"/>
      <w:bookmarkStart w:id="1092" w:name="_Toc175239345"/>
      <w:bookmarkStart w:id="1093" w:name="_Toc25920262"/>
      <w:bookmarkEnd w:id="1090"/>
      <w:bookmarkEnd w:id="1091"/>
      <w:r w:rsidRPr="00B40A77">
        <w:rPr>
          <w:color w:val="000000" w:themeColor="text1"/>
        </w:rPr>
        <w:t>18</w:t>
      </w:r>
      <w:r w:rsidR="007479CC" w:rsidRPr="00B40A77">
        <w:rPr>
          <w:color w:val="000000" w:themeColor="text1"/>
        </w:rPr>
        <w:t>7</w:t>
      </w:r>
      <w:r w:rsidR="00A57AAE" w:rsidRPr="00B40A77">
        <w:rPr>
          <w:color w:val="000000" w:themeColor="text1"/>
        </w:rPr>
        <w:t>.1</w:t>
      </w:r>
      <w:r w:rsidR="00372C09" w:rsidRPr="00B40A77">
        <w:rPr>
          <w:color w:val="000000" w:themeColor="text1"/>
        </w:rPr>
        <w:t>—Case stated by court</w:t>
      </w:r>
      <w:bookmarkEnd w:id="1092"/>
      <w:r w:rsidR="00372C09" w:rsidRPr="00B40A77">
        <w:rPr>
          <w:color w:val="000000" w:themeColor="text1"/>
        </w:rPr>
        <w:t xml:space="preserve"> </w:t>
      </w:r>
      <w:bookmarkEnd w:id="1093"/>
    </w:p>
    <w:p w14:paraId="04AB9B73" w14:textId="4C7DF97D" w:rsidR="00372C09" w:rsidRPr="00B40A77" w:rsidRDefault="00372C09" w:rsidP="00372C0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court </w:t>
      </w:r>
      <w:r w:rsidR="000E2185" w:rsidRPr="00B40A77">
        <w:rPr>
          <w:color w:val="000000" w:themeColor="text1"/>
          <w:lang w:val="en-US"/>
        </w:rPr>
        <w:t xml:space="preserve">of first instance </w:t>
      </w:r>
      <w:r w:rsidRPr="00B40A77">
        <w:rPr>
          <w:color w:val="000000" w:themeColor="text1"/>
          <w:lang w:val="en-US"/>
        </w:rPr>
        <w:t xml:space="preserve">which reserves a question of law for the consideration of </w:t>
      </w:r>
      <w:r w:rsidR="009B0792" w:rsidRPr="00B40A77">
        <w:rPr>
          <w:color w:val="000000" w:themeColor="text1"/>
          <w:lang w:val="en-US"/>
        </w:rPr>
        <w:t>the Court</w:t>
      </w:r>
      <w:r w:rsidR="003B004D" w:rsidRPr="00B40A77">
        <w:rPr>
          <w:color w:val="000000" w:themeColor="text1"/>
          <w:lang w:val="en-US"/>
        </w:rPr>
        <w:t xml:space="preserve"> </w:t>
      </w:r>
      <w:r w:rsidRPr="00B40A77">
        <w:rPr>
          <w:color w:val="000000" w:themeColor="text1"/>
          <w:lang w:val="en-US"/>
        </w:rPr>
        <w:t>must—</w:t>
      </w:r>
    </w:p>
    <w:p w14:paraId="4677399C" w14:textId="0E7FA822" w:rsidR="00372C09" w:rsidRPr="00B40A77" w:rsidRDefault="00372C09" w:rsidP="001103F0">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prepare a document </w:t>
      </w:r>
      <w:r w:rsidR="001B541A" w:rsidRPr="00B40A77">
        <w:rPr>
          <w:color w:val="000000" w:themeColor="text1"/>
          <w:lang w:val="en-US"/>
        </w:rPr>
        <w:t xml:space="preserve">in the prescribed form </w:t>
      </w:r>
      <w:r w:rsidRPr="00B40A77">
        <w:rPr>
          <w:color w:val="000000" w:themeColor="text1"/>
          <w:lang w:val="en-US"/>
        </w:rPr>
        <w:t>containing a statement of the background and relevant facts on the basis of which the question of law is to be determined and a statement of the question to be determined;</w:t>
      </w:r>
    </w:p>
    <w:p w14:paraId="51D85294" w14:textId="77777777" w:rsidR="001B541A" w:rsidRPr="00B40A77" w:rsidRDefault="001B541A" w:rsidP="00A17201">
      <w:pPr>
        <w:pStyle w:val="NoteHeader"/>
        <w:keepNext/>
        <w:ind w:left="1701"/>
        <w:rPr>
          <w:color w:val="000000" w:themeColor="text1"/>
        </w:rPr>
      </w:pPr>
      <w:r w:rsidRPr="00B40A77">
        <w:rPr>
          <w:color w:val="000000" w:themeColor="text1"/>
        </w:rPr>
        <w:t>Prescribed form—</w:t>
      </w:r>
    </w:p>
    <w:p w14:paraId="3D9D2D1C" w14:textId="7836D4B9" w:rsidR="001B541A" w:rsidRPr="00B40A77" w:rsidRDefault="001B541A" w:rsidP="003412A9">
      <w:pPr>
        <w:pStyle w:val="NoteText"/>
        <w:ind w:left="1985"/>
        <w:rPr>
          <w:color w:val="000000" w:themeColor="text1"/>
          <w:lang w:val="en-US"/>
        </w:rPr>
      </w:pPr>
      <w:r w:rsidRPr="00B40A77">
        <w:rPr>
          <w:color w:val="000000" w:themeColor="text1"/>
        </w:rPr>
        <w:t>Form 15</w:t>
      </w:r>
      <w:r w:rsidR="00381D77" w:rsidRPr="00B40A77">
        <w:rPr>
          <w:color w:val="000000" w:themeColor="text1"/>
        </w:rPr>
        <w:t>9</w:t>
      </w:r>
      <w:r w:rsidRPr="00B40A77">
        <w:rPr>
          <w:color w:val="000000" w:themeColor="text1"/>
        </w:rPr>
        <w:t xml:space="preserve"> </w:t>
      </w:r>
      <w:hyperlink r:id="rId397" w:history="1">
        <w:r w:rsidRPr="00B40A77">
          <w:rPr>
            <w:rStyle w:val="Hyperlink"/>
            <w:color w:val="000000" w:themeColor="text1"/>
          </w:rPr>
          <w:t>Case Stated</w:t>
        </w:r>
      </w:hyperlink>
    </w:p>
    <w:p w14:paraId="66E9E8CC" w14:textId="6A8BBB02" w:rsidR="00372C09" w:rsidRPr="00B40A77" w:rsidRDefault="00372C09" w:rsidP="00372C09">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designate a party to the proceeding who is to be regarded as the appellant on the </w:t>
      </w:r>
      <w:hyperlink w:anchor="_211.1—Definitions" w:history="1">
        <w:r w:rsidRPr="00B40A77">
          <w:rPr>
            <w:rStyle w:val="Hyperlink"/>
            <w:color w:val="000000" w:themeColor="text1"/>
            <w:lang w:val="en-US"/>
          </w:rPr>
          <w:t>case stated</w:t>
        </w:r>
      </w:hyperlink>
      <w:r w:rsidRPr="00B40A77">
        <w:rPr>
          <w:color w:val="000000" w:themeColor="text1"/>
          <w:lang w:val="en-US"/>
        </w:rPr>
        <w:t xml:space="preserve"> and have carriage of </w:t>
      </w:r>
      <w:r w:rsidR="00A36189" w:rsidRPr="00B40A77">
        <w:rPr>
          <w:color w:val="000000" w:themeColor="text1"/>
          <w:lang w:val="en-US"/>
        </w:rPr>
        <w:t>the proceeding</w:t>
      </w:r>
      <w:r w:rsidRPr="00B40A77">
        <w:rPr>
          <w:color w:val="000000" w:themeColor="text1"/>
          <w:lang w:val="en-US"/>
        </w:rPr>
        <w:t>; and</w:t>
      </w:r>
    </w:p>
    <w:p w14:paraId="3694D3DE" w14:textId="3F9A53C1" w:rsidR="00372C09" w:rsidRPr="00B40A77" w:rsidRDefault="00372C09" w:rsidP="00372C09">
      <w:pPr>
        <w:pStyle w:val="Doublehangindent"/>
        <w:rPr>
          <w:color w:val="000000" w:themeColor="text1"/>
          <w:lang w:val="en-US"/>
        </w:rPr>
      </w:pPr>
      <w:r w:rsidRPr="00B40A77">
        <w:rPr>
          <w:color w:val="000000" w:themeColor="text1"/>
          <w:lang w:val="en-US"/>
        </w:rPr>
        <w:t>(c)</w:t>
      </w:r>
      <w:r w:rsidRPr="00B40A77">
        <w:rPr>
          <w:color w:val="000000" w:themeColor="text1"/>
          <w:lang w:val="en-US"/>
        </w:rPr>
        <w:tab/>
        <w:t>designate wh</w:t>
      </w:r>
      <w:r w:rsidR="00A36189" w:rsidRPr="00B40A77">
        <w:rPr>
          <w:color w:val="000000" w:themeColor="text1"/>
          <w:lang w:val="en-US"/>
        </w:rPr>
        <w:t>ich</w:t>
      </w:r>
      <w:r w:rsidRPr="00B40A77">
        <w:rPr>
          <w:color w:val="000000" w:themeColor="text1"/>
          <w:lang w:val="en-US"/>
        </w:rPr>
        <w:t xml:space="preserve"> </w:t>
      </w:r>
      <w:r w:rsidR="00A36189" w:rsidRPr="00B40A77">
        <w:rPr>
          <w:color w:val="000000" w:themeColor="text1"/>
          <w:lang w:val="en-US"/>
        </w:rPr>
        <w:t xml:space="preserve">parties </w:t>
      </w:r>
      <w:r w:rsidRPr="00B40A77">
        <w:rPr>
          <w:color w:val="000000" w:themeColor="text1"/>
          <w:lang w:val="en-US"/>
        </w:rPr>
        <w:t xml:space="preserve">are to be the </w:t>
      </w:r>
      <w:r w:rsidR="003B004D" w:rsidRPr="00B40A77">
        <w:rPr>
          <w:color w:val="000000" w:themeColor="text1"/>
          <w:lang w:val="en-US"/>
        </w:rPr>
        <w:t xml:space="preserve">respondents </w:t>
      </w:r>
      <w:r w:rsidRPr="00B40A77">
        <w:rPr>
          <w:color w:val="000000" w:themeColor="text1"/>
          <w:lang w:val="en-US"/>
        </w:rPr>
        <w:t>to the appellate proceeding.</w:t>
      </w:r>
    </w:p>
    <w:p w14:paraId="0690CBDC" w14:textId="0D923B08" w:rsidR="00372C09" w:rsidRPr="00B40A77" w:rsidRDefault="003B004D" w:rsidP="00372C09">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 request the</w:t>
      </w:r>
      <w:r w:rsidR="00372C09" w:rsidRPr="00B40A77">
        <w:rPr>
          <w:color w:val="000000" w:themeColor="text1"/>
          <w:lang w:val="en-US"/>
        </w:rPr>
        <w:t xml:space="preserve"> court </w:t>
      </w:r>
      <w:r w:rsidRPr="00B40A77">
        <w:rPr>
          <w:color w:val="000000" w:themeColor="text1"/>
          <w:lang w:val="en-US"/>
        </w:rPr>
        <w:t>of first instance</w:t>
      </w:r>
      <w:r w:rsidR="00372C09" w:rsidRPr="00B40A77">
        <w:rPr>
          <w:color w:val="000000" w:themeColor="text1"/>
          <w:lang w:val="en-US"/>
        </w:rPr>
        <w:t xml:space="preserve"> to forward to</w:t>
      </w:r>
      <w:r w:rsidR="00DE5F3D" w:rsidRPr="00B40A77">
        <w:rPr>
          <w:color w:val="000000" w:themeColor="text1"/>
          <w:lang w:val="en-US"/>
        </w:rPr>
        <w:t xml:space="preserve"> the Court </w:t>
      </w:r>
      <w:r w:rsidR="00372C09" w:rsidRPr="00B40A77">
        <w:rPr>
          <w:color w:val="000000" w:themeColor="text1"/>
          <w:lang w:val="en-US"/>
        </w:rPr>
        <w:t xml:space="preserve">the whole or part of the file for the proceeding including any transcript of </w:t>
      </w:r>
      <w:hyperlink w:anchor="_2.1—Definitions" w:history="1">
        <w:r w:rsidR="00907BD7" w:rsidRPr="00B40A77">
          <w:rPr>
            <w:rStyle w:val="Hyperlink"/>
            <w:color w:val="000000" w:themeColor="text1"/>
          </w:rPr>
          <w:t>hearing</w:t>
        </w:r>
      </w:hyperlink>
      <w:r w:rsidR="00372C09" w:rsidRPr="00B40A77">
        <w:rPr>
          <w:color w:val="000000" w:themeColor="text1"/>
          <w:u w:val="single"/>
          <w:lang w:val="en-US"/>
        </w:rPr>
        <w:t>s</w:t>
      </w:r>
      <w:r w:rsidR="00372C09" w:rsidRPr="00B40A77">
        <w:rPr>
          <w:color w:val="000000" w:themeColor="text1"/>
          <w:lang w:val="en-US"/>
        </w:rPr>
        <w:t xml:space="preserve"> and evidence in the custody of that court.</w:t>
      </w:r>
    </w:p>
    <w:p w14:paraId="7BE97316" w14:textId="75D77698" w:rsidR="00372C09" w:rsidRPr="00B40A77" w:rsidRDefault="009B0792" w:rsidP="00372C09">
      <w:pPr>
        <w:pStyle w:val="Heading4"/>
        <w:rPr>
          <w:color w:val="000000" w:themeColor="text1"/>
        </w:rPr>
      </w:pPr>
      <w:bookmarkStart w:id="1094" w:name="_Toc25920263"/>
      <w:bookmarkStart w:id="1095" w:name="_Toc175239346"/>
      <w:r w:rsidRPr="00B40A77">
        <w:rPr>
          <w:color w:val="000000" w:themeColor="text1"/>
        </w:rPr>
        <w:t>18</w:t>
      </w:r>
      <w:r w:rsidR="00FC74B5" w:rsidRPr="00B40A77">
        <w:rPr>
          <w:color w:val="000000" w:themeColor="text1"/>
        </w:rPr>
        <w:t>7</w:t>
      </w:r>
      <w:r w:rsidR="00601180" w:rsidRPr="00B40A77">
        <w:rPr>
          <w:color w:val="000000" w:themeColor="text1"/>
        </w:rPr>
        <w:t>.2</w:t>
      </w:r>
      <w:r w:rsidR="00372C09" w:rsidRPr="00B40A77">
        <w:rPr>
          <w:color w:val="000000" w:themeColor="text1"/>
        </w:rPr>
        <w:t>—Institution of case stated</w:t>
      </w:r>
      <w:bookmarkEnd w:id="1094"/>
      <w:bookmarkEnd w:id="1095"/>
    </w:p>
    <w:p w14:paraId="45F10DBA" w14:textId="25295A0E" w:rsidR="00372C09" w:rsidRPr="00B40A77" w:rsidRDefault="00372C09"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The party designated as the appellant under </w:t>
      </w:r>
      <w:hyperlink w:anchor="_187.1—Case_stated_by" w:history="1">
        <w:r w:rsidR="003B004D" w:rsidRPr="00B40A77">
          <w:rPr>
            <w:rStyle w:val="Hyperlink"/>
            <w:color w:val="000000" w:themeColor="text1"/>
            <w:lang w:val="en-US"/>
          </w:rPr>
          <w:t xml:space="preserve">rule </w:t>
        </w:r>
        <w:r w:rsidR="009B0792" w:rsidRPr="00B40A77">
          <w:rPr>
            <w:rStyle w:val="Hyperlink"/>
            <w:color w:val="000000" w:themeColor="text1"/>
            <w:lang w:val="en-US"/>
          </w:rPr>
          <w:t>187</w:t>
        </w:r>
        <w:r w:rsidR="003B004D" w:rsidRPr="00B40A77">
          <w:rPr>
            <w:rStyle w:val="Hyperlink"/>
            <w:color w:val="000000" w:themeColor="text1"/>
            <w:lang w:val="en-US"/>
          </w:rPr>
          <w:t>.1</w:t>
        </w:r>
      </w:hyperlink>
      <w:r w:rsidRPr="00B40A77">
        <w:rPr>
          <w:color w:val="000000" w:themeColor="text1"/>
          <w:lang w:val="en-US"/>
        </w:rPr>
        <w:t xml:space="preserve"> must file </w:t>
      </w:r>
      <w:r w:rsidR="008D34E4" w:rsidRPr="00B40A77">
        <w:rPr>
          <w:color w:val="000000" w:themeColor="text1"/>
          <w:lang w:val="en-US"/>
        </w:rPr>
        <w:t>with</w:t>
      </w:r>
      <w:r w:rsidRPr="00B40A77">
        <w:rPr>
          <w:color w:val="000000" w:themeColor="text1"/>
          <w:lang w:val="en-US"/>
        </w:rPr>
        <w:t xml:space="preserve"> the Court a notice of </w:t>
      </w:r>
      <w:hyperlink w:anchor="_211.1—Definitions" w:history="1">
        <w:r w:rsidRPr="00B40A77">
          <w:rPr>
            <w:rStyle w:val="Hyperlink"/>
            <w:color w:val="000000" w:themeColor="text1"/>
            <w:u w:val="none"/>
            <w:lang w:val="en-US"/>
          </w:rPr>
          <w:t>case stated</w:t>
        </w:r>
      </w:hyperlink>
      <w:r w:rsidRPr="00B40A77">
        <w:rPr>
          <w:color w:val="000000" w:themeColor="text1"/>
          <w:lang w:val="en-US"/>
        </w:rPr>
        <w:t xml:space="preserve"> in the prescribed form.</w:t>
      </w:r>
    </w:p>
    <w:p w14:paraId="4BA8606D" w14:textId="77777777" w:rsidR="00372C09" w:rsidRPr="00B40A77" w:rsidRDefault="00372C09" w:rsidP="00A17201">
      <w:pPr>
        <w:pStyle w:val="NoteHeader"/>
        <w:keepNext/>
        <w:rPr>
          <w:color w:val="000000" w:themeColor="text1"/>
        </w:rPr>
      </w:pPr>
      <w:r w:rsidRPr="00B40A77">
        <w:rPr>
          <w:color w:val="000000" w:themeColor="text1"/>
        </w:rPr>
        <w:t>Prescribed form—</w:t>
      </w:r>
    </w:p>
    <w:p w14:paraId="158816DC" w14:textId="3E7094D1" w:rsidR="00372C09" w:rsidRPr="00B40A77" w:rsidRDefault="0070732E" w:rsidP="00372C09">
      <w:pPr>
        <w:pStyle w:val="NoteText"/>
        <w:rPr>
          <w:color w:val="000000" w:themeColor="text1"/>
          <w:lang w:val="en-US"/>
        </w:rPr>
      </w:pPr>
      <w:r w:rsidRPr="00B40A77">
        <w:rPr>
          <w:color w:val="000000" w:themeColor="text1"/>
        </w:rPr>
        <w:t>Form 19</w:t>
      </w:r>
      <w:r w:rsidR="00381D77" w:rsidRPr="00B40A77">
        <w:rPr>
          <w:color w:val="000000" w:themeColor="text1"/>
        </w:rPr>
        <w:t>2</w:t>
      </w:r>
      <w:r w:rsidR="00372C09" w:rsidRPr="00B40A77">
        <w:rPr>
          <w:color w:val="000000" w:themeColor="text1"/>
        </w:rPr>
        <w:t xml:space="preserve"> </w:t>
      </w:r>
      <w:hyperlink r:id="rId398" w:history="1">
        <w:r w:rsidR="00372C09" w:rsidRPr="00B40A77">
          <w:rPr>
            <w:rStyle w:val="Hyperlink"/>
            <w:color w:val="000000" w:themeColor="text1"/>
          </w:rPr>
          <w:t>Notice of Case Stated</w:t>
        </w:r>
      </w:hyperlink>
    </w:p>
    <w:p w14:paraId="20E1A08F" w14:textId="0009E594" w:rsidR="00372C09" w:rsidRPr="00B40A77" w:rsidRDefault="00386A24" w:rsidP="00372C09">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 order the addition or removal of a person as a party to a</w:t>
      </w:r>
      <w:r w:rsidR="001B541A" w:rsidRPr="00B40A77">
        <w:rPr>
          <w:color w:val="000000" w:themeColor="text1"/>
          <w:lang w:val="en-US"/>
        </w:rPr>
        <w:t xml:space="preserve"> </w:t>
      </w:r>
      <w:hyperlink w:anchor="_211.1—Definitions" w:history="1">
        <w:r w:rsidR="00E630D0" w:rsidRPr="00B40A77">
          <w:rPr>
            <w:rStyle w:val="Hyperlink"/>
            <w:color w:val="000000" w:themeColor="text1"/>
            <w:lang w:val="en-US"/>
          </w:rPr>
          <w:t>case stated</w:t>
        </w:r>
      </w:hyperlink>
      <w:r w:rsidR="001B541A" w:rsidRPr="00B40A77">
        <w:rPr>
          <w:color w:val="000000" w:themeColor="text1"/>
          <w:lang w:val="en-US"/>
        </w:rPr>
        <w:t>.</w:t>
      </w:r>
    </w:p>
    <w:p w14:paraId="0AD94EFE" w14:textId="375496A8" w:rsidR="00372C09" w:rsidRPr="00B40A77" w:rsidRDefault="003B004D" w:rsidP="003B004D">
      <w:pPr>
        <w:pStyle w:val="Heading3"/>
        <w:rPr>
          <w:color w:val="000000" w:themeColor="text1"/>
        </w:rPr>
      </w:pPr>
      <w:bookmarkStart w:id="1096" w:name="_Toc25920264"/>
      <w:bookmarkStart w:id="1097" w:name="_Toc175239347"/>
      <w:r w:rsidRPr="00B40A77">
        <w:rPr>
          <w:color w:val="000000" w:themeColor="text1"/>
        </w:rPr>
        <w:lastRenderedPageBreak/>
        <w:t>Division</w:t>
      </w:r>
      <w:r w:rsidR="00FB3C6A" w:rsidRPr="00B40A77">
        <w:rPr>
          <w:color w:val="000000" w:themeColor="text1"/>
        </w:rPr>
        <w:t xml:space="preserve"> 5</w:t>
      </w:r>
      <w:r w:rsidR="00372C09" w:rsidRPr="00B40A77">
        <w:rPr>
          <w:color w:val="000000" w:themeColor="text1"/>
        </w:rPr>
        <w:t>—Interlocutory steps</w:t>
      </w:r>
      <w:bookmarkEnd w:id="1096"/>
      <w:bookmarkEnd w:id="1097"/>
    </w:p>
    <w:p w14:paraId="4DB80CDC" w14:textId="6DD03639" w:rsidR="00372C09" w:rsidRPr="00B40A77" w:rsidRDefault="00386A24" w:rsidP="00372C09">
      <w:pPr>
        <w:pStyle w:val="Heading4"/>
        <w:rPr>
          <w:color w:val="000000" w:themeColor="text1"/>
        </w:rPr>
      </w:pPr>
      <w:bookmarkStart w:id="1098" w:name="_Toc25920269"/>
      <w:bookmarkStart w:id="1099" w:name="_Toc175239348"/>
      <w:bookmarkStart w:id="1100" w:name="_Toc25920265"/>
      <w:r w:rsidRPr="00B40A77">
        <w:rPr>
          <w:color w:val="000000" w:themeColor="text1"/>
        </w:rPr>
        <w:t>18</w:t>
      </w:r>
      <w:r w:rsidR="00FC74B5" w:rsidRPr="00B40A77">
        <w:rPr>
          <w:color w:val="000000" w:themeColor="text1"/>
        </w:rPr>
        <w:t>8</w:t>
      </w:r>
      <w:r w:rsidR="00372C09" w:rsidRPr="00B40A77">
        <w:rPr>
          <w:color w:val="000000" w:themeColor="text1"/>
        </w:rPr>
        <w:t>.1—Interlocutory orders</w:t>
      </w:r>
      <w:bookmarkEnd w:id="1098"/>
      <w:bookmarkEnd w:id="1099"/>
    </w:p>
    <w:p w14:paraId="28D242AB" w14:textId="79277CC9" w:rsidR="00372C09" w:rsidRPr="00B40A77" w:rsidRDefault="00372C09" w:rsidP="00372C0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may, at a </w:t>
      </w:r>
      <w:hyperlink w:anchor="_2.1—Definitions" w:history="1">
        <w:hyperlink w:anchor="_2.1—Definitions" w:history="1">
          <w:r w:rsidR="00BF56DC" w:rsidRPr="00B40A77">
            <w:rPr>
              <w:rStyle w:val="Hyperlink"/>
              <w:color w:val="000000" w:themeColor="text1"/>
            </w:rPr>
            <w:t>directions hearing</w:t>
          </w:r>
        </w:hyperlink>
      </w:hyperlink>
      <w:r w:rsidRPr="00B40A77">
        <w:rPr>
          <w:color w:val="000000" w:themeColor="text1"/>
          <w:lang w:val="en-US"/>
        </w:rPr>
        <w:t xml:space="preserve"> </w:t>
      </w:r>
      <w:hyperlink w:anchor="_2.1—Definitions" w:history="1">
        <w:r w:rsidR="00307014" w:rsidRPr="00B40A77">
          <w:rPr>
            <w:rStyle w:val="Hyperlink"/>
            <w:color w:val="000000" w:themeColor="text1"/>
            <w:lang w:val="en-US"/>
          </w:rPr>
          <w:t>in court</w:t>
        </w:r>
      </w:hyperlink>
      <w:r w:rsidR="00386A24" w:rsidRPr="00B40A77">
        <w:rPr>
          <w:color w:val="000000" w:themeColor="text1"/>
          <w:lang w:val="en-US"/>
        </w:rPr>
        <w:t xml:space="preserve"> or </w:t>
      </w:r>
      <w:hyperlink w:anchor="_2.1—Definitions" w:history="1">
        <w:hyperlink w:anchor="_2.1—Definitions" w:history="1">
          <w:r w:rsidR="00307014" w:rsidRPr="00B40A77">
            <w:rPr>
              <w:rStyle w:val="Hyperlink"/>
              <w:color w:val="000000" w:themeColor="text1"/>
              <w:lang w:val="en-US"/>
            </w:rPr>
            <w:t>in chambers</w:t>
          </w:r>
        </w:hyperlink>
      </w:hyperlink>
      <w:r w:rsidR="00D96FE6" w:rsidRPr="00B40A77">
        <w:rPr>
          <w:rStyle w:val="Hyperlink"/>
          <w:color w:val="000000" w:themeColor="text1"/>
          <w:u w:val="none"/>
          <w:lang w:val="en-US"/>
        </w:rPr>
        <w:t>,</w:t>
      </w:r>
      <w:r w:rsidRPr="00B40A77">
        <w:rPr>
          <w:color w:val="000000" w:themeColor="text1"/>
          <w:lang w:val="en-US"/>
        </w:rPr>
        <w:t xml:space="preserve"> make orders on its own initiative or on the application of any person in relation to an appellate proceeding.</w:t>
      </w:r>
    </w:p>
    <w:p w14:paraId="25545F6F" w14:textId="77777777" w:rsidR="00372C09" w:rsidRPr="00B40A77" w:rsidRDefault="00372C09" w:rsidP="00372C09">
      <w:pPr>
        <w:pStyle w:val="Hangindent"/>
        <w:rPr>
          <w:color w:val="000000" w:themeColor="text1"/>
          <w:lang w:val="en-US"/>
        </w:rPr>
      </w:pPr>
      <w:r w:rsidRPr="00B40A77">
        <w:rPr>
          <w:color w:val="000000" w:themeColor="text1"/>
          <w:lang w:val="en-US"/>
        </w:rPr>
        <w:t>(2)</w:t>
      </w:r>
      <w:r w:rsidRPr="00B40A77">
        <w:rPr>
          <w:color w:val="000000" w:themeColor="text1"/>
          <w:lang w:val="en-US"/>
        </w:rPr>
        <w:tab/>
        <w:t>For example, the Court may make orders</w:t>
      </w:r>
      <w:r w:rsidRPr="00B40A77">
        <w:rPr>
          <w:b/>
          <w:color w:val="000000" w:themeColor="text1"/>
          <w:sz w:val="20"/>
          <w:szCs w:val="20"/>
        </w:rPr>
        <w:t>—</w:t>
      </w:r>
    </w:p>
    <w:p w14:paraId="30DDD97A" w14:textId="4A85F525" w:rsidR="00372C09" w:rsidRPr="00B40A77" w:rsidRDefault="00372C09" w:rsidP="00CD564D">
      <w:pPr>
        <w:pStyle w:val="Doublehangindent"/>
        <w:rPr>
          <w:color w:val="000000" w:themeColor="text1"/>
          <w:lang w:val="en-US"/>
        </w:rPr>
      </w:pPr>
      <w:r w:rsidRPr="00B40A77">
        <w:rPr>
          <w:color w:val="000000" w:themeColor="text1"/>
          <w:lang w:val="en-US"/>
        </w:rPr>
        <w:t>(a)</w:t>
      </w:r>
      <w:r w:rsidRPr="00B40A77">
        <w:rPr>
          <w:color w:val="000000" w:themeColor="text1"/>
          <w:lang w:val="en-US"/>
        </w:rPr>
        <w:tab/>
        <w:t>concerning the constitution of the appellate proceeding;</w:t>
      </w:r>
    </w:p>
    <w:p w14:paraId="5DB06055" w14:textId="7AEB1BDC" w:rsidR="00CD564D" w:rsidRPr="00B40A77" w:rsidRDefault="00CD564D" w:rsidP="00CD564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relating to the filing, service or amendment of an </w:t>
      </w:r>
      <w:hyperlink w:anchor="_211.1—Definitions" w:history="1">
        <w:r w:rsidRPr="00B40A77">
          <w:rPr>
            <w:rStyle w:val="Hyperlink"/>
            <w:color w:val="000000" w:themeColor="text1"/>
            <w:lang w:val="en-US"/>
          </w:rPr>
          <w:t>appellate document</w:t>
        </w:r>
      </w:hyperlink>
      <w:r w:rsidRPr="00B40A77">
        <w:rPr>
          <w:color w:val="000000" w:themeColor="text1"/>
          <w:lang w:val="en-US"/>
        </w:rPr>
        <w:t>;</w:t>
      </w:r>
    </w:p>
    <w:p w14:paraId="0688716F" w14:textId="02413CA1" w:rsidR="00372C09" w:rsidRPr="00B40A77" w:rsidRDefault="00CD564D" w:rsidP="00CD564D">
      <w:pPr>
        <w:pStyle w:val="Doublehangindent"/>
        <w:rPr>
          <w:color w:val="000000" w:themeColor="text1"/>
          <w:lang w:val="en-US"/>
        </w:rPr>
      </w:pPr>
      <w:r w:rsidRPr="00B40A77">
        <w:rPr>
          <w:color w:val="000000" w:themeColor="text1"/>
          <w:lang w:val="en-US"/>
        </w:rPr>
        <w:t>(c</w:t>
      </w:r>
      <w:r w:rsidR="00372C09" w:rsidRPr="00B40A77">
        <w:rPr>
          <w:color w:val="000000" w:themeColor="text1"/>
          <w:lang w:val="en-US"/>
        </w:rPr>
        <w:t>)</w:t>
      </w:r>
      <w:r w:rsidR="00372C09" w:rsidRPr="00B40A77">
        <w:rPr>
          <w:color w:val="000000" w:themeColor="text1"/>
          <w:lang w:val="en-US"/>
        </w:rPr>
        <w:tab/>
        <w:t>for the identification of issues in the appellate proceeding;</w:t>
      </w:r>
    </w:p>
    <w:p w14:paraId="3B745B62" w14:textId="33FED0B2" w:rsidR="00372C09" w:rsidRPr="00B40A77" w:rsidRDefault="00CD564D" w:rsidP="00372C09">
      <w:pPr>
        <w:pStyle w:val="Doublehangindent"/>
        <w:rPr>
          <w:color w:val="000000" w:themeColor="text1"/>
          <w:lang w:val="en-US"/>
        </w:rPr>
      </w:pPr>
      <w:r w:rsidRPr="00B40A77">
        <w:rPr>
          <w:color w:val="000000" w:themeColor="text1"/>
          <w:lang w:val="en-US"/>
        </w:rPr>
        <w:t>(d</w:t>
      </w:r>
      <w:r w:rsidR="00372C09" w:rsidRPr="00B40A77">
        <w:rPr>
          <w:color w:val="000000" w:themeColor="text1"/>
          <w:lang w:val="en-US"/>
        </w:rPr>
        <w:t>)</w:t>
      </w:r>
      <w:r w:rsidR="00372C09" w:rsidRPr="00B40A77">
        <w:rPr>
          <w:color w:val="000000" w:themeColor="text1"/>
          <w:lang w:val="en-US"/>
        </w:rPr>
        <w:tab/>
        <w:t>for a report to be prepared by the judicial officer who made the judgment</w:t>
      </w:r>
      <w:r w:rsidR="00B607CE" w:rsidRPr="00B40A77">
        <w:rPr>
          <w:color w:val="000000" w:themeColor="text1"/>
          <w:lang w:val="en-US"/>
        </w:rPr>
        <w:t>,</w:t>
      </w:r>
      <w:r w:rsidR="00372C09" w:rsidRPr="00B40A77">
        <w:rPr>
          <w:color w:val="000000" w:themeColor="text1"/>
          <w:lang w:val="en-US"/>
        </w:rPr>
        <w:t xml:space="preserve"> order </w:t>
      </w:r>
      <w:r w:rsidR="00B607CE" w:rsidRPr="00B40A77">
        <w:rPr>
          <w:color w:val="000000" w:themeColor="text1"/>
          <w:lang w:val="en-US"/>
        </w:rPr>
        <w:t xml:space="preserve">or decision </w:t>
      </w:r>
      <w:r w:rsidR="00372C09" w:rsidRPr="00B40A77">
        <w:rPr>
          <w:color w:val="000000" w:themeColor="text1"/>
          <w:lang w:val="en-US"/>
        </w:rPr>
        <w:t>the subject of the appellate proceeding concerning any matter relevant to the appellate proceeding;</w:t>
      </w:r>
    </w:p>
    <w:p w14:paraId="09FAAC9B" w14:textId="6836E843" w:rsidR="00CD564D" w:rsidRPr="00B40A77" w:rsidRDefault="00CD564D" w:rsidP="00CD564D">
      <w:pPr>
        <w:pStyle w:val="Doublehangindent"/>
        <w:rPr>
          <w:color w:val="000000" w:themeColor="text1"/>
          <w:lang w:val="en-US"/>
        </w:rPr>
      </w:pPr>
      <w:r w:rsidRPr="00B40A77">
        <w:rPr>
          <w:color w:val="000000" w:themeColor="text1"/>
          <w:lang w:val="en-US"/>
        </w:rPr>
        <w:t>(e)</w:t>
      </w:r>
      <w:r w:rsidRPr="00B40A77">
        <w:rPr>
          <w:color w:val="000000" w:themeColor="text1"/>
          <w:lang w:val="en-US"/>
        </w:rPr>
        <w:tab/>
        <w:t>relating to bail;</w:t>
      </w:r>
    </w:p>
    <w:p w14:paraId="70BC6F1A" w14:textId="096DD9D0" w:rsidR="00CD564D" w:rsidRPr="00B40A77" w:rsidRDefault="00CD564D" w:rsidP="00CD564D">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f</w:t>
      </w:r>
      <w:r w:rsidRPr="00B40A77">
        <w:rPr>
          <w:color w:val="000000" w:themeColor="text1"/>
          <w:lang w:val="en-US"/>
        </w:rPr>
        <w:t>)</w:t>
      </w:r>
      <w:r w:rsidRPr="00B40A77">
        <w:rPr>
          <w:color w:val="000000" w:themeColor="text1"/>
          <w:lang w:val="en-US"/>
        </w:rPr>
        <w:tab/>
        <w:t>relating to the mode of appearance of a defendant at hearings;</w:t>
      </w:r>
    </w:p>
    <w:p w14:paraId="5A88EFA6" w14:textId="5649C8DE" w:rsidR="00CD564D" w:rsidRPr="00B40A77" w:rsidRDefault="00CD564D" w:rsidP="00CD564D">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g</w:t>
      </w:r>
      <w:r w:rsidRPr="00B40A77">
        <w:rPr>
          <w:color w:val="000000" w:themeColor="text1"/>
          <w:lang w:val="en-US"/>
        </w:rPr>
        <w:t>)</w:t>
      </w:r>
      <w:r w:rsidRPr="00B40A77">
        <w:rPr>
          <w:color w:val="000000" w:themeColor="text1"/>
          <w:lang w:val="en-US"/>
        </w:rPr>
        <w:tab/>
        <w:t>relating to evidence that may be adduced on the appellate proceeding;</w:t>
      </w:r>
    </w:p>
    <w:p w14:paraId="7200ECD5" w14:textId="524E63C9" w:rsidR="00372C09" w:rsidRPr="00B40A77" w:rsidRDefault="00441D96" w:rsidP="00372C09">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h</w:t>
      </w:r>
      <w:r w:rsidR="00372C09" w:rsidRPr="00B40A77">
        <w:rPr>
          <w:color w:val="000000" w:themeColor="text1"/>
          <w:lang w:val="en-US"/>
        </w:rPr>
        <w:t>)</w:t>
      </w:r>
      <w:r w:rsidR="00372C09" w:rsidRPr="00B40A77">
        <w:rPr>
          <w:color w:val="000000" w:themeColor="text1"/>
          <w:lang w:val="en-US"/>
        </w:rPr>
        <w:tab/>
        <w:t>for the conduct of and preparation for</w:t>
      </w:r>
      <w:r w:rsidR="00D96FE6" w:rsidRPr="00B40A77">
        <w:rPr>
          <w:color w:val="000000" w:themeColor="text1"/>
          <w:lang w:val="en-US"/>
        </w:rPr>
        <w:t xml:space="preserve"> the</w:t>
      </w:r>
      <w:r w:rsidR="00372C09" w:rsidRPr="00B40A77">
        <w:rPr>
          <w:color w:val="000000" w:themeColor="text1"/>
          <w:lang w:val="en-US"/>
        </w:rPr>
        <w:t xml:space="preserve"> hearing of the appellate proceeding;</w:t>
      </w:r>
    </w:p>
    <w:p w14:paraId="1672F0EE" w14:textId="2898B60B" w:rsidR="00CD564D" w:rsidRPr="00B40A77" w:rsidRDefault="00CD564D" w:rsidP="00CD564D">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i</w:t>
      </w:r>
      <w:r w:rsidRPr="00B40A77">
        <w:rPr>
          <w:color w:val="000000" w:themeColor="text1"/>
          <w:lang w:val="en-US"/>
        </w:rPr>
        <w:t>)</w:t>
      </w:r>
      <w:r w:rsidRPr="00B40A77">
        <w:rPr>
          <w:color w:val="000000" w:themeColor="text1"/>
          <w:lang w:val="en-US"/>
        </w:rPr>
        <w:tab/>
        <w:t xml:space="preserve">fixing or modifying the time for parties to take </w:t>
      </w:r>
      <w:hyperlink w:anchor="_2.1—Definitions" w:history="1">
        <w:r w:rsidRPr="00B40A77">
          <w:rPr>
            <w:rStyle w:val="Hyperlink"/>
            <w:color w:val="000000" w:themeColor="text1"/>
            <w:lang w:val="en-US"/>
          </w:rPr>
          <w:t>steps</w:t>
        </w:r>
      </w:hyperlink>
      <w:r w:rsidRPr="00B40A77">
        <w:rPr>
          <w:color w:val="000000" w:themeColor="text1"/>
          <w:lang w:val="en-US"/>
        </w:rPr>
        <w:t xml:space="preserve"> in the appellate proceeding;</w:t>
      </w:r>
    </w:p>
    <w:p w14:paraId="5291A071" w14:textId="0B62A82B" w:rsidR="00CD564D" w:rsidRPr="00B40A77" w:rsidRDefault="00CD564D" w:rsidP="00CD564D">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j</w:t>
      </w:r>
      <w:r w:rsidRPr="00B40A77">
        <w:rPr>
          <w:color w:val="000000" w:themeColor="text1"/>
          <w:lang w:val="en-US"/>
        </w:rPr>
        <w:t>)</w:t>
      </w:r>
      <w:r w:rsidRPr="00B40A77">
        <w:rPr>
          <w:color w:val="000000" w:themeColor="text1"/>
          <w:lang w:val="en-US"/>
        </w:rPr>
        <w:tab/>
        <w:t xml:space="preserve">modifying or enforcing compliance with these Rules; </w:t>
      </w:r>
      <w:r w:rsidR="00441D96" w:rsidRPr="00B40A77">
        <w:rPr>
          <w:color w:val="000000" w:themeColor="text1"/>
          <w:lang w:val="en-US"/>
        </w:rPr>
        <w:t>or</w:t>
      </w:r>
    </w:p>
    <w:p w14:paraId="66AB5A92" w14:textId="62DA3171" w:rsidR="00372C09" w:rsidRPr="00B40A77" w:rsidRDefault="00441D96" w:rsidP="00CD564D">
      <w:pPr>
        <w:pStyle w:val="Doublehangindent"/>
        <w:rPr>
          <w:color w:val="000000" w:themeColor="text1"/>
          <w:lang w:val="en-US"/>
        </w:rPr>
      </w:pPr>
      <w:r w:rsidRPr="00B40A77">
        <w:rPr>
          <w:color w:val="000000" w:themeColor="text1"/>
          <w:lang w:val="en-US"/>
        </w:rPr>
        <w:t>(</w:t>
      </w:r>
      <w:r w:rsidR="008E34FA" w:rsidRPr="00B40A77">
        <w:rPr>
          <w:color w:val="000000" w:themeColor="text1"/>
          <w:lang w:val="en-US"/>
        </w:rPr>
        <w:t>k</w:t>
      </w:r>
      <w:r w:rsidR="00372C09" w:rsidRPr="00B40A77">
        <w:rPr>
          <w:color w:val="000000" w:themeColor="text1"/>
          <w:lang w:val="en-US"/>
        </w:rPr>
        <w:t>)</w:t>
      </w:r>
      <w:r w:rsidR="00372C09" w:rsidRPr="00B40A77">
        <w:rPr>
          <w:color w:val="000000" w:themeColor="text1"/>
          <w:lang w:val="en-US"/>
        </w:rPr>
        <w:tab/>
        <w:t>concerning costs.</w:t>
      </w:r>
    </w:p>
    <w:p w14:paraId="6654B804" w14:textId="34EA8F07" w:rsidR="00372C09" w:rsidRPr="00B40A77" w:rsidRDefault="00386A24" w:rsidP="00372C09">
      <w:pPr>
        <w:pStyle w:val="Heading4"/>
        <w:rPr>
          <w:color w:val="000000" w:themeColor="text1"/>
        </w:rPr>
      </w:pPr>
      <w:bookmarkStart w:id="1101" w:name="_215.2—Amendment_of_appellate"/>
      <w:bookmarkStart w:id="1102" w:name="_188.2—Amendment_of_appellate"/>
      <w:bookmarkStart w:id="1103" w:name="_Toc175239349"/>
      <w:bookmarkEnd w:id="1101"/>
      <w:bookmarkEnd w:id="1102"/>
      <w:r w:rsidRPr="00B40A77">
        <w:rPr>
          <w:color w:val="000000" w:themeColor="text1"/>
        </w:rPr>
        <w:t>18</w:t>
      </w:r>
      <w:r w:rsidR="00DC7645" w:rsidRPr="00B40A77">
        <w:rPr>
          <w:color w:val="000000" w:themeColor="text1"/>
        </w:rPr>
        <w:t>8</w:t>
      </w:r>
      <w:r w:rsidR="00372C09" w:rsidRPr="00B40A77">
        <w:rPr>
          <w:color w:val="000000" w:themeColor="text1"/>
        </w:rPr>
        <w:t>.2—Amendment of appellate document</w:t>
      </w:r>
      <w:bookmarkEnd w:id="1100"/>
      <w:bookmarkEnd w:id="1103"/>
    </w:p>
    <w:p w14:paraId="5B245628" w14:textId="058C85DD" w:rsidR="00372C09"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A party may, without leave of the Court, amend an </w:t>
      </w:r>
      <w:hyperlink w:anchor="_211.1—Definitions" w:history="1">
        <w:r w:rsidRPr="00B40A77">
          <w:rPr>
            <w:rStyle w:val="Hyperlink"/>
            <w:rFonts w:cs="Times New Roman"/>
            <w:color w:val="000000" w:themeColor="text1"/>
          </w:rPr>
          <w:t>appellate document</w:t>
        </w:r>
      </w:hyperlink>
      <w:r w:rsidRPr="00B40A77">
        <w:rPr>
          <w:rFonts w:cs="Times New Roman"/>
          <w:color w:val="000000" w:themeColor="text1"/>
        </w:rPr>
        <w:t xml:space="preserve"> (except to introduce an additional party to an appellate proceeding) at any time up to the date on which the Court lists the appellate proceeding for hearing.</w:t>
      </w:r>
    </w:p>
    <w:p w14:paraId="1C0A1B2B" w14:textId="5CC87B44" w:rsidR="00372C09" w:rsidRPr="00B40A77" w:rsidRDefault="00372C09" w:rsidP="00372C09">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If a party makes an amendment under this rule, another party may apply for an order disallowing the amendment in whole or part, on the ground that, if leave had been sought to make the amendment it would have been refused.</w:t>
      </w:r>
    </w:p>
    <w:p w14:paraId="4AC103E8" w14:textId="7AF815CC" w:rsidR="00372C09" w:rsidRPr="00B40A77" w:rsidRDefault="00372C09" w:rsidP="00372C09">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 xml:space="preserve">A party may amend an </w:t>
      </w:r>
      <w:hyperlink w:anchor="_211.1—Definitions" w:history="1">
        <w:r w:rsidRPr="00B40A77">
          <w:rPr>
            <w:rStyle w:val="Hyperlink"/>
            <w:rFonts w:cs="Times New Roman"/>
            <w:color w:val="000000" w:themeColor="text1"/>
          </w:rPr>
          <w:t>appellate document</w:t>
        </w:r>
      </w:hyperlink>
      <w:r w:rsidRPr="00B40A77">
        <w:rPr>
          <w:rFonts w:cs="Times New Roman"/>
          <w:color w:val="000000" w:themeColor="text1"/>
        </w:rPr>
        <w:t xml:space="preserve"> (including to introduce an additional party into an appellate proceeding)—</w:t>
      </w:r>
    </w:p>
    <w:p w14:paraId="69BFB977" w14:textId="4F15B17B" w:rsidR="00372C09" w:rsidRPr="00B40A77" w:rsidRDefault="00372C09" w:rsidP="00372C09">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with the written consent of each other party to the appellate proceeding; or</w:t>
      </w:r>
    </w:p>
    <w:p w14:paraId="7B3AF06E" w14:textId="77777777" w:rsidR="00372C09" w:rsidRPr="00B40A77" w:rsidRDefault="00372C09" w:rsidP="00372C09">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with leave of the Court.</w:t>
      </w:r>
    </w:p>
    <w:p w14:paraId="6F72339A" w14:textId="18012731" w:rsidR="00372C09" w:rsidRPr="00B40A77" w:rsidRDefault="00386A24" w:rsidP="00372C09">
      <w:pPr>
        <w:pStyle w:val="Heading4"/>
        <w:rPr>
          <w:color w:val="000000" w:themeColor="text1"/>
        </w:rPr>
      </w:pPr>
      <w:bookmarkStart w:id="1104" w:name="_215.3—Security_for_costs"/>
      <w:bookmarkStart w:id="1105" w:name="_215.4—Stay_of_execution"/>
      <w:bookmarkStart w:id="1106" w:name="_Toc175239350"/>
      <w:bookmarkStart w:id="1107" w:name="_Toc25920280"/>
      <w:bookmarkEnd w:id="1104"/>
      <w:bookmarkEnd w:id="1105"/>
      <w:r w:rsidRPr="00B40A77">
        <w:rPr>
          <w:color w:val="000000" w:themeColor="text1"/>
        </w:rPr>
        <w:t>18</w:t>
      </w:r>
      <w:r w:rsidR="005423C6" w:rsidRPr="00B40A77">
        <w:rPr>
          <w:color w:val="000000" w:themeColor="text1"/>
        </w:rPr>
        <w:t>8</w:t>
      </w:r>
      <w:r w:rsidR="000C53A1" w:rsidRPr="00B40A77">
        <w:rPr>
          <w:color w:val="000000" w:themeColor="text1"/>
        </w:rPr>
        <w:t>.3</w:t>
      </w:r>
      <w:r w:rsidR="00372C09" w:rsidRPr="00B40A77">
        <w:rPr>
          <w:color w:val="000000" w:themeColor="text1"/>
        </w:rPr>
        <w:t>—Transcript</w:t>
      </w:r>
      <w:bookmarkEnd w:id="1106"/>
    </w:p>
    <w:p w14:paraId="0B329754" w14:textId="6F99F245" w:rsidR="00372C09"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Th</w:t>
      </w:r>
      <w:r w:rsidR="00386A24" w:rsidRPr="00B40A77">
        <w:rPr>
          <w:rFonts w:cs="Times New Roman"/>
          <w:color w:val="000000" w:themeColor="text1"/>
        </w:rPr>
        <w:t>is rule applies to appeals when</w:t>
      </w:r>
      <w:r w:rsidRPr="00B40A77">
        <w:rPr>
          <w:rFonts w:cs="Times New Roman"/>
          <w:color w:val="000000" w:themeColor="text1"/>
        </w:rPr>
        <w:t xml:space="preserve"> a transcript of evidence was not produced for the proceeding in the court of first instance.</w:t>
      </w:r>
    </w:p>
    <w:p w14:paraId="2EE43913" w14:textId="023078C5" w:rsidR="00372C09" w:rsidRPr="00B40A77" w:rsidRDefault="00372C09" w:rsidP="00372C09">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The appellant must</w:t>
      </w:r>
      <w:r w:rsidR="00D96FE6" w:rsidRPr="00B40A77">
        <w:rPr>
          <w:rFonts w:cs="Times New Roman"/>
          <w:color w:val="000000" w:themeColor="text1"/>
        </w:rPr>
        <w:t>,</w:t>
      </w:r>
      <w:r w:rsidRPr="00B40A77">
        <w:rPr>
          <w:rFonts w:cs="Times New Roman"/>
          <w:color w:val="000000" w:themeColor="text1"/>
        </w:rPr>
        <w:t xml:space="preserve"> </w:t>
      </w:r>
      <w:r w:rsidR="00D50DB4" w:rsidRPr="00B40A77">
        <w:rPr>
          <w:rFonts w:cs="Times New Roman"/>
          <w:color w:val="000000" w:themeColor="text1"/>
        </w:rPr>
        <w:t>in</w:t>
      </w:r>
      <w:r w:rsidRPr="00B40A77">
        <w:rPr>
          <w:rFonts w:cs="Times New Roman"/>
          <w:color w:val="000000" w:themeColor="text1"/>
        </w:rPr>
        <w:t xml:space="preserve"> the notice of appeal</w:t>
      </w:r>
      <w:r w:rsidR="00D96FE6" w:rsidRPr="00B40A77">
        <w:rPr>
          <w:rFonts w:cs="Times New Roman"/>
          <w:color w:val="000000" w:themeColor="text1"/>
        </w:rPr>
        <w:t>,</w:t>
      </w:r>
      <w:r w:rsidRPr="00B40A77">
        <w:rPr>
          <w:rFonts w:cs="Times New Roman"/>
          <w:color w:val="000000" w:themeColor="text1"/>
        </w:rPr>
        <w:t xml:space="preserve"> identify whether the appellant requests that a transcript of the evidence of any witness be produced and if so</w:t>
      </w:r>
      <w:r w:rsidR="00D96FE6" w:rsidRPr="00B40A77">
        <w:rPr>
          <w:rFonts w:cs="Times New Roman"/>
          <w:color w:val="000000" w:themeColor="text1"/>
        </w:rPr>
        <w:t>,</w:t>
      </w:r>
      <w:r w:rsidRPr="00B40A77">
        <w:rPr>
          <w:rFonts w:cs="Times New Roman"/>
          <w:color w:val="000000" w:themeColor="text1"/>
        </w:rPr>
        <w:t xml:space="preserve"> identify </w:t>
      </w:r>
      <w:r w:rsidR="003E4B5E" w:rsidRPr="00B40A77">
        <w:rPr>
          <w:rFonts w:cs="Times New Roman"/>
          <w:color w:val="000000" w:themeColor="text1"/>
        </w:rPr>
        <w:t xml:space="preserve">the </w:t>
      </w:r>
      <w:r w:rsidRPr="00B40A77">
        <w:rPr>
          <w:rFonts w:cs="Times New Roman"/>
          <w:color w:val="000000" w:themeColor="text1"/>
        </w:rPr>
        <w:t xml:space="preserve">passages of evidence </w:t>
      </w:r>
      <w:r w:rsidR="003E4B5E" w:rsidRPr="00B40A77">
        <w:rPr>
          <w:rFonts w:cs="Times New Roman"/>
          <w:color w:val="000000" w:themeColor="text1"/>
        </w:rPr>
        <w:t xml:space="preserve">that </w:t>
      </w:r>
      <w:r w:rsidRPr="00B40A77">
        <w:rPr>
          <w:rFonts w:cs="Times New Roman"/>
          <w:color w:val="000000" w:themeColor="text1"/>
        </w:rPr>
        <w:t>are requested.</w:t>
      </w:r>
    </w:p>
    <w:p w14:paraId="046E534A" w14:textId="48E2C941" w:rsidR="00372C09" w:rsidRPr="00B40A77" w:rsidRDefault="00372C09" w:rsidP="00372C09">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 xml:space="preserve">Each other party to the appeal must, within 7 days after service of the </w:t>
      </w:r>
      <w:r w:rsidR="00386A24" w:rsidRPr="00B40A77">
        <w:rPr>
          <w:rFonts w:cs="Times New Roman"/>
          <w:color w:val="000000" w:themeColor="text1"/>
        </w:rPr>
        <w:t xml:space="preserve">notice of </w:t>
      </w:r>
      <w:r w:rsidRPr="00B40A77">
        <w:rPr>
          <w:rFonts w:cs="Times New Roman"/>
          <w:color w:val="000000" w:themeColor="text1"/>
        </w:rPr>
        <w:t>appeal on the party, file and serve a document identifying whether they request that a transcript of the evidence of any witness be produced and if so</w:t>
      </w:r>
      <w:r w:rsidR="003E4B5E" w:rsidRPr="00B40A77">
        <w:rPr>
          <w:rFonts w:cs="Times New Roman"/>
          <w:color w:val="000000" w:themeColor="text1"/>
        </w:rPr>
        <w:t>,</w:t>
      </w:r>
      <w:r w:rsidRPr="00B40A77">
        <w:rPr>
          <w:rFonts w:cs="Times New Roman"/>
          <w:color w:val="000000" w:themeColor="text1"/>
        </w:rPr>
        <w:t xml:space="preserve"> identifying </w:t>
      </w:r>
      <w:r w:rsidR="003E4B5E" w:rsidRPr="00B40A77">
        <w:rPr>
          <w:rFonts w:cs="Times New Roman"/>
          <w:color w:val="000000" w:themeColor="text1"/>
        </w:rPr>
        <w:t xml:space="preserve">the </w:t>
      </w:r>
      <w:r w:rsidRPr="00B40A77">
        <w:rPr>
          <w:rFonts w:cs="Times New Roman"/>
          <w:color w:val="000000" w:themeColor="text1"/>
        </w:rPr>
        <w:t>passages of evidence are requested.</w:t>
      </w:r>
    </w:p>
    <w:p w14:paraId="177DF901" w14:textId="1A691AE3" w:rsidR="00372C09" w:rsidRPr="00B40A77" w:rsidRDefault="00627E56" w:rsidP="00372C09">
      <w:pPr>
        <w:pStyle w:val="Hangindent"/>
        <w:rPr>
          <w:rFonts w:cs="Times New Roman"/>
          <w:color w:val="000000" w:themeColor="text1"/>
        </w:rPr>
      </w:pPr>
      <w:r w:rsidRPr="00B40A77">
        <w:rPr>
          <w:rFonts w:cs="Times New Roman"/>
          <w:color w:val="000000" w:themeColor="text1"/>
        </w:rPr>
        <w:lastRenderedPageBreak/>
        <w:t>(4)</w:t>
      </w:r>
      <w:r w:rsidRPr="00B40A77">
        <w:rPr>
          <w:rFonts w:cs="Times New Roman"/>
          <w:color w:val="000000" w:themeColor="text1"/>
        </w:rPr>
        <w:tab/>
        <w:t xml:space="preserve">Unless the Court otherwise orders, the </w:t>
      </w:r>
      <w:hyperlink w:anchor="_2.1—Definitions" w:history="1">
        <w:r w:rsidR="00D61876" w:rsidRPr="00B40A77">
          <w:rPr>
            <w:rStyle w:val="Hyperlink"/>
            <w:color w:val="000000" w:themeColor="text1"/>
            <w:lang w:val="en-US"/>
          </w:rPr>
          <w:t>Principal Registrar</w:t>
        </w:r>
      </w:hyperlink>
      <w:r w:rsidR="00372C09" w:rsidRPr="00B40A77">
        <w:rPr>
          <w:rFonts w:cs="Times New Roman"/>
          <w:color w:val="000000" w:themeColor="text1"/>
          <w:u w:val="single"/>
        </w:rPr>
        <w:t xml:space="preserve"> </w:t>
      </w:r>
      <w:r w:rsidR="00372C09" w:rsidRPr="00B40A77">
        <w:rPr>
          <w:rFonts w:cs="Times New Roman"/>
          <w:color w:val="000000" w:themeColor="text1"/>
        </w:rPr>
        <w:t>will request the court of first instance to produce transcript in accordance with any request made under subrules</w:t>
      </w:r>
      <w:r w:rsidR="00C42A0C" w:rsidRPr="00B40A77">
        <w:rPr>
          <w:rFonts w:cs="Times New Roman"/>
          <w:color w:val="000000" w:themeColor="text1"/>
        </w:rPr>
        <w:t> </w:t>
      </w:r>
      <w:r w:rsidR="00372C09" w:rsidRPr="00B40A77">
        <w:rPr>
          <w:rFonts w:cs="Times New Roman"/>
          <w:color w:val="000000" w:themeColor="text1"/>
        </w:rPr>
        <w:t>(2) and</w:t>
      </w:r>
      <w:r w:rsidR="00C42A0C" w:rsidRPr="00B40A77">
        <w:rPr>
          <w:rFonts w:cs="Times New Roman"/>
          <w:color w:val="000000" w:themeColor="text1"/>
        </w:rPr>
        <w:t> </w:t>
      </w:r>
      <w:r w:rsidR="00372C09" w:rsidRPr="00B40A77">
        <w:rPr>
          <w:rFonts w:cs="Times New Roman"/>
          <w:color w:val="000000" w:themeColor="text1"/>
        </w:rPr>
        <w:t>(3).</w:t>
      </w:r>
    </w:p>
    <w:p w14:paraId="28021233" w14:textId="7CBACA7B" w:rsidR="009B72B9" w:rsidRPr="00B40A77" w:rsidRDefault="00386A24" w:rsidP="007E7075">
      <w:pPr>
        <w:pStyle w:val="Heading4"/>
        <w:rPr>
          <w:color w:val="000000" w:themeColor="text1"/>
        </w:rPr>
      </w:pPr>
      <w:bookmarkStart w:id="1108" w:name="_Toc175239351"/>
      <w:bookmarkStart w:id="1109" w:name="_Toc60133654"/>
      <w:r w:rsidRPr="00B40A77">
        <w:rPr>
          <w:color w:val="000000" w:themeColor="text1"/>
        </w:rPr>
        <w:t>18</w:t>
      </w:r>
      <w:r w:rsidR="000F47F9" w:rsidRPr="00B40A77">
        <w:rPr>
          <w:color w:val="000000" w:themeColor="text1"/>
        </w:rPr>
        <w:t>8</w:t>
      </w:r>
      <w:r w:rsidR="009B72B9" w:rsidRPr="00B40A77">
        <w:rPr>
          <w:color w:val="000000" w:themeColor="text1"/>
        </w:rPr>
        <w:t>.4</w:t>
      </w:r>
      <w:r w:rsidR="00EA7613" w:rsidRPr="00B40A77">
        <w:rPr>
          <w:color w:val="000000" w:themeColor="text1"/>
        </w:rPr>
        <w:t xml:space="preserve">—Report of </w:t>
      </w:r>
      <w:r w:rsidR="009B72B9" w:rsidRPr="00B40A77">
        <w:rPr>
          <w:color w:val="000000" w:themeColor="text1"/>
        </w:rPr>
        <w:t>Judge</w:t>
      </w:r>
      <w:r w:rsidR="00EA7613" w:rsidRPr="00B40A77">
        <w:rPr>
          <w:color w:val="000000" w:themeColor="text1"/>
        </w:rPr>
        <w:t xml:space="preserve"> or Magistrate</w:t>
      </w:r>
      <w:bookmarkEnd w:id="1108"/>
    </w:p>
    <w:p w14:paraId="72810657" w14:textId="4D393FF8" w:rsidR="009B72B9" w:rsidRPr="00B40A77" w:rsidRDefault="009B72B9" w:rsidP="009B72B9">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When a notice of appeal is filed,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will </w:t>
      </w:r>
      <w:r w:rsidR="00D441A0" w:rsidRPr="00B40A77">
        <w:rPr>
          <w:color w:val="000000" w:themeColor="text1"/>
          <w:lang w:val="en-US"/>
        </w:rPr>
        <w:t xml:space="preserve">cause an </w:t>
      </w:r>
      <w:r w:rsidRPr="00B40A77">
        <w:rPr>
          <w:color w:val="000000" w:themeColor="text1"/>
          <w:lang w:val="en-US"/>
        </w:rPr>
        <w:t>enquir</w:t>
      </w:r>
      <w:r w:rsidR="00D441A0" w:rsidRPr="00B40A77">
        <w:rPr>
          <w:color w:val="000000" w:themeColor="text1"/>
          <w:lang w:val="en-US"/>
        </w:rPr>
        <w:t>y to be made</w:t>
      </w:r>
      <w:r w:rsidRPr="00B40A77">
        <w:rPr>
          <w:color w:val="000000" w:themeColor="text1"/>
          <w:lang w:val="en-US"/>
        </w:rPr>
        <w:t xml:space="preserve"> of the Judge or Magistrate </w:t>
      </w:r>
      <w:r w:rsidR="003174BF" w:rsidRPr="00B40A77">
        <w:rPr>
          <w:color w:val="000000" w:themeColor="text1"/>
          <w:lang w:val="en-US"/>
        </w:rPr>
        <w:t>at first instance</w:t>
      </w:r>
      <w:r w:rsidR="00CF7B59" w:rsidRPr="00B40A77">
        <w:rPr>
          <w:color w:val="000000" w:themeColor="text1"/>
          <w:lang w:val="en-US"/>
        </w:rPr>
        <w:t xml:space="preserve"> as to</w:t>
      </w:r>
      <w:r w:rsidR="003174BF" w:rsidRPr="00B40A77">
        <w:rPr>
          <w:color w:val="000000" w:themeColor="text1"/>
          <w:lang w:val="en-US"/>
        </w:rPr>
        <w:t xml:space="preserve"> </w:t>
      </w:r>
      <w:r w:rsidRPr="00B40A77">
        <w:rPr>
          <w:color w:val="000000" w:themeColor="text1"/>
          <w:lang w:val="en-US"/>
        </w:rPr>
        <w:t xml:space="preserve">whether they wish to provide a written report </w:t>
      </w:r>
      <w:r w:rsidR="00416F3F" w:rsidRPr="00B40A77">
        <w:rPr>
          <w:color w:val="000000" w:themeColor="text1"/>
          <w:lang w:val="en-US"/>
        </w:rPr>
        <w:t>concerning any matter relevant to the appellate proceeding</w:t>
      </w:r>
      <w:r w:rsidRPr="00B40A77">
        <w:rPr>
          <w:color w:val="000000" w:themeColor="text1"/>
          <w:lang w:val="en-US"/>
        </w:rPr>
        <w:t>.</w:t>
      </w:r>
    </w:p>
    <w:p w14:paraId="730659B4" w14:textId="2857EE34" w:rsidR="009B72B9" w:rsidRPr="00B40A77" w:rsidRDefault="009B72B9" w:rsidP="009B72B9">
      <w:pPr>
        <w:pStyle w:val="Hangindent"/>
        <w:rPr>
          <w:color w:val="000000" w:themeColor="text1"/>
          <w:lang w:val="en-US"/>
        </w:rPr>
      </w:pPr>
      <w:r w:rsidRPr="00B40A77">
        <w:rPr>
          <w:color w:val="000000" w:themeColor="text1"/>
          <w:lang w:val="en-US"/>
        </w:rPr>
        <w:t>(</w:t>
      </w:r>
      <w:r w:rsidR="00A96554" w:rsidRPr="00B40A77">
        <w:rPr>
          <w:color w:val="000000" w:themeColor="text1"/>
          <w:lang w:val="en-US"/>
        </w:rPr>
        <w:t>2</w:t>
      </w:r>
      <w:r w:rsidRPr="00B40A77">
        <w:rPr>
          <w:color w:val="000000" w:themeColor="text1"/>
          <w:lang w:val="en-US"/>
        </w:rPr>
        <w:t>)</w:t>
      </w:r>
      <w:r w:rsidRPr="00B40A77">
        <w:rPr>
          <w:color w:val="000000" w:themeColor="text1"/>
          <w:lang w:val="en-US"/>
        </w:rPr>
        <w:tab/>
      </w:r>
      <w:r w:rsidR="00DE5F3D"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DE5F3D" w:rsidRPr="00B40A77">
        <w:rPr>
          <w:color w:val="000000" w:themeColor="text1"/>
          <w:lang w:val="en-US"/>
        </w:rPr>
        <w:t xml:space="preserve"> </w:t>
      </w:r>
      <w:r w:rsidRPr="00B40A77">
        <w:rPr>
          <w:color w:val="000000" w:themeColor="text1"/>
          <w:lang w:val="en-US"/>
        </w:rPr>
        <w:t>will</w:t>
      </w:r>
      <w:r w:rsidR="00CF7B59" w:rsidRPr="00B40A77">
        <w:rPr>
          <w:color w:val="000000" w:themeColor="text1"/>
          <w:lang w:val="en-US"/>
        </w:rPr>
        <w:t>,</w:t>
      </w:r>
      <w:r w:rsidRPr="00B40A77">
        <w:rPr>
          <w:color w:val="000000" w:themeColor="text1"/>
          <w:lang w:val="en-US"/>
        </w:rPr>
        <w:t xml:space="preserve"> </w:t>
      </w:r>
      <w:r w:rsidR="00A96554" w:rsidRPr="00B40A77">
        <w:rPr>
          <w:color w:val="000000" w:themeColor="text1"/>
          <w:lang w:val="en-US"/>
        </w:rPr>
        <w:t>for th</w:t>
      </w:r>
      <w:r w:rsidR="00CF7B59" w:rsidRPr="00B40A77">
        <w:rPr>
          <w:color w:val="000000" w:themeColor="text1"/>
          <w:lang w:val="en-US"/>
        </w:rPr>
        <w:t>e</w:t>
      </w:r>
      <w:r w:rsidR="00A96554" w:rsidRPr="00B40A77">
        <w:rPr>
          <w:color w:val="000000" w:themeColor="text1"/>
          <w:lang w:val="en-US"/>
        </w:rPr>
        <w:t xml:space="preserve"> purpose</w:t>
      </w:r>
      <w:r w:rsidR="00CF7B59" w:rsidRPr="00B40A77">
        <w:rPr>
          <w:color w:val="000000" w:themeColor="text1"/>
          <w:lang w:val="en-US"/>
        </w:rPr>
        <w:t xml:space="preserve"> of providing a written report,</w:t>
      </w:r>
      <w:r w:rsidRPr="00B40A77">
        <w:rPr>
          <w:color w:val="000000" w:themeColor="text1"/>
          <w:lang w:val="en-US"/>
        </w:rPr>
        <w:t xml:space="preserve"> </w:t>
      </w:r>
      <w:r w:rsidR="00D441A0" w:rsidRPr="00B40A77">
        <w:rPr>
          <w:color w:val="000000" w:themeColor="text1"/>
          <w:lang w:val="en-US"/>
        </w:rPr>
        <w:t xml:space="preserve">cause </w:t>
      </w:r>
      <w:r w:rsidRPr="00B40A77">
        <w:rPr>
          <w:color w:val="000000" w:themeColor="text1"/>
          <w:lang w:val="en-US"/>
        </w:rPr>
        <w:t xml:space="preserve">the Judge or Magistrate </w:t>
      </w:r>
      <w:r w:rsidR="003174BF" w:rsidRPr="00B40A77">
        <w:rPr>
          <w:color w:val="000000" w:themeColor="text1"/>
          <w:lang w:val="en-US"/>
        </w:rPr>
        <w:t xml:space="preserve">at first instance </w:t>
      </w:r>
      <w:r w:rsidR="00D441A0" w:rsidRPr="00B40A77">
        <w:rPr>
          <w:color w:val="000000" w:themeColor="text1"/>
          <w:lang w:val="en-US"/>
        </w:rPr>
        <w:t xml:space="preserve">to be provided </w:t>
      </w:r>
      <w:r w:rsidRPr="00B40A77">
        <w:rPr>
          <w:color w:val="000000" w:themeColor="text1"/>
          <w:lang w:val="en-US"/>
        </w:rPr>
        <w:t xml:space="preserve">with a copy of </w:t>
      </w:r>
      <w:r w:rsidR="001A5D41" w:rsidRPr="00B40A77">
        <w:rPr>
          <w:color w:val="000000" w:themeColor="text1"/>
          <w:lang w:val="en-US"/>
        </w:rPr>
        <w:t xml:space="preserve">or link or reference to </w:t>
      </w:r>
      <w:r w:rsidRPr="00B40A77">
        <w:rPr>
          <w:color w:val="000000" w:themeColor="text1"/>
          <w:lang w:val="en-US"/>
        </w:rPr>
        <w:t>the not</w:t>
      </w:r>
      <w:r w:rsidR="00303898" w:rsidRPr="00B40A77">
        <w:rPr>
          <w:color w:val="000000" w:themeColor="text1"/>
          <w:lang w:val="en-US"/>
        </w:rPr>
        <w:t xml:space="preserve">ice of appeal together with </w:t>
      </w:r>
      <w:r w:rsidRPr="00B40A77">
        <w:rPr>
          <w:color w:val="000000" w:themeColor="text1"/>
          <w:lang w:val="en-US"/>
        </w:rPr>
        <w:t>such documents and information as they may require.</w:t>
      </w:r>
    </w:p>
    <w:p w14:paraId="55AC3FD5" w14:textId="2BBB7E64" w:rsidR="009B72B9" w:rsidRPr="00B40A77" w:rsidRDefault="009B72B9" w:rsidP="009B72B9">
      <w:pPr>
        <w:pStyle w:val="Hangindent"/>
        <w:rPr>
          <w:color w:val="000000" w:themeColor="text1"/>
        </w:rPr>
      </w:pPr>
      <w:r w:rsidRPr="00B40A77">
        <w:rPr>
          <w:color w:val="000000" w:themeColor="text1"/>
        </w:rPr>
        <w:t>(</w:t>
      </w:r>
      <w:r w:rsidR="00A96554" w:rsidRPr="00B40A77">
        <w:rPr>
          <w:color w:val="000000" w:themeColor="text1"/>
        </w:rPr>
        <w:t>3</w:t>
      </w:r>
      <w:r w:rsidRPr="00B40A77">
        <w:rPr>
          <w:color w:val="000000" w:themeColor="text1"/>
        </w:rPr>
        <w:t>)</w:t>
      </w:r>
      <w:r w:rsidRPr="00B40A77">
        <w:rPr>
          <w:color w:val="000000" w:themeColor="text1"/>
        </w:rPr>
        <w:tab/>
        <w:t xml:space="preserve">The </w:t>
      </w:r>
      <w:r w:rsidRPr="00B40A77">
        <w:rPr>
          <w:color w:val="000000" w:themeColor="text1"/>
          <w:lang w:val="en-US"/>
        </w:rPr>
        <w:t>Judge or Magistrate</w:t>
      </w:r>
      <w:r w:rsidRPr="00B40A77">
        <w:rPr>
          <w:color w:val="000000" w:themeColor="text1"/>
        </w:rPr>
        <w:t xml:space="preserve"> </w:t>
      </w:r>
      <w:r w:rsidR="003174BF" w:rsidRPr="00B40A77">
        <w:rPr>
          <w:color w:val="000000" w:themeColor="text1"/>
          <w:lang w:val="en-US"/>
        </w:rPr>
        <w:t xml:space="preserve">at first instance </w:t>
      </w:r>
      <w:r w:rsidRPr="00B40A77">
        <w:rPr>
          <w:color w:val="000000" w:themeColor="text1"/>
        </w:rPr>
        <w:t>may, and if requested by the Court shall, provide a report to the Court.</w:t>
      </w:r>
    </w:p>
    <w:p w14:paraId="4C19A884" w14:textId="505A03F3" w:rsidR="009B72B9" w:rsidRPr="00B40A77" w:rsidRDefault="009B72B9" w:rsidP="009B72B9">
      <w:pPr>
        <w:pStyle w:val="Hangindent"/>
        <w:rPr>
          <w:color w:val="000000" w:themeColor="text1"/>
          <w:lang w:val="en-US"/>
        </w:rPr>
      </w:pPr>
      <w:r w:rsidRPr="00B40A77">
        <w:rPr>
          <w:color w:val="000000" w:themeColor="text1"/>
          <w:lang w:val="en-US"/>
        </w:rPr>
        <w:t>(</w:t>
      </w:r>
      <w:r w:rsidR="00A96554" w:rsidRPr="00B40A77">
        <w:rPr>
          <w:color w:val="000000" w:themeColor="text1"/>
          <w:lang w:val="en-US"/>
        </w:rPr>
        <w:t>4</w:t>
      </w:r>
      <w:r w:rsidRPr="00B40A77">
        <w:rPr>
          <w:color w:val="000000" w:themeColor="text1"/>
          <w:lang w:val="en-US"/>
        </w:rPr>
        <w:t>)</w:t>
      </w:r>
      <w:r w:rsidRPr="00B40A77">
        <w:rPr>
          <w:color w:val="000000" w:themeColor="text1"/>
          <w:lang w:val="en-US"/>
        </w:rPr>
        <w:tab/>
        <w:t xml:space="preserve">Upon receipt of a report from the </w:t>
      </w:r>
      <w:r w:rsidR="00303898" w:rsidRPr="00B40A77">
        <w:rPr>
          <w:color w:val="000000" w:themeColor="text1"/>
          <w:lang w:val="en-US"/>
        </w:rPr>
        <w:t>Judge or Magistrate</w:t>
      </w:r>
      <w:r w:rsidR="003174BF" w:rsidRPr="00B40A77">
        <w:rPr>
          <w:color w:val="000000" w:themeColor="text1"/>
          <w:lang w:val="en-US"/>
        </w:rPr>
        <w:t xml:space="preserve"> at first instance</w:t>
      </w:r>
      <w:r w:rsidRPr="00B40A77">
        <w:rPr>
          <w:color w:val="000000" w:themeColor="text1"/>
          <w:lang w:val="en-US"/>
        </w:rPr>
        <w:t xml:space="preserve">,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will </w:t>
      </w:r>
      <w:r w:rsidR="00CE7020" w:rsidRPr="00B40A77">
        <w:rPr>
          <w:color w:val="000000" w:themeColor="text1"/>
          <w:lang w:val="en-US"/>
        </w:rPr>
        <w:t xml:space="preserve">cause </w:t>
      </w:r>
      <w:r w:rsidRPr="00B40A77">
        <w:rPr>
          <w:color w:val="000000" w:themeColor="text1"/>
          <w:lang w:val="en-US"/>
        </w:rPr>
        <w:t xml:space="preserve">a copy of the report </w:t>
      </w:r>
      <w:r w:rsidR="00CE7020" w:rsidRPr="00B40A77">
        <w:rPr>
          <w:color w:val="000000" w:themeColor="text1"/>
          <w:lang w:val="en-US"/>
        </w:rPr>
        <w:t xml:space="preserve">to be provided </w:t>
      </w:r>
      <w:r w:rsidRPr="00B40A77">
        <w:rPr>
          <w:color w:val="000000" w:themeColor="text1"/>
          <w:lang w:val="en-US"/>
        </w:rPr>
        <w:t>to the parties to the appeal.</w:t>
      </w:r>
    </w:p>
    <w:p w14:paraId="3DAB6E91" w14:textId="5D30E69A" w:rsidR="000C53A1" w:rsidRPr="00B40A77" w:rsidRDefault="0066175A" w:rsidP="00713F20">
      <w:pPr>
        <w:pStyle w:val="Heading4"/>
        <w:rPr>
          <w:color w:val="000000" w:themeColor="text1"/>
        </w:rPr>
      </w:pPr>
      <w:bookmarkStart w:id="1110" w:name="_Toc175239352"/>
      <w:r w:rsidRPr="00B40A77">
        <w:rPr>
          <w:color w:val="000000" w:themeColor="text1"/>
        </w:rPr>
        <w:t>18</w:t>
      </w:r>
      <w:r w:rsidR="009C3C63" w:rsidRPr="00B40A77">
        <w:rPr>
          <w:color w:val="000000" w:themeColor="text1"/>
        </w:rPr>
        <w:t>8</w:t>
      </w:r>
      <w:r w:rsidR="009B72B9" w:rsidRPr="00B40A77">
        <w:rPr>
          <w:color w:val="000000" w:themeColor="text1"/>
        </w:rPr>
        <w:t>.5</w:t>
      </w:r>
      <w:r w:rsidR="000C53A1" w:rsidRPr="00B40A77">
        <w:rPr>
          <w:color w:val="000000" w:themeColor="text1"/>
        </w:rPr>
        <w:t>—Discontinuance of appeal</w:t>
      </w:r>
      <w:bookmarkEnd w:id="1109"/>
      <w:bookmarkEnd w:id="1110"/>
    </w:p>
    <w:p w14:paraId="74BD851E" w14:textId="0F89A13E" w:rsidR="000C53A1" w:rsidRPr="00B40A77" w:rsidRDefault="000C53A1"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An appellant may discontinue an appeal by filing a notice of discontinuance in the prescribed form.</w:t>
      </w:r>
    </w:p>
    <w:p w14:paraId="3D94F7F2" w14:textId="77777777" w:rsidR="00677DEB" w:rsidRPr="00B40A77" w:rsidRDefault="00677DEB" w:rsidP="001103F0">
      <w:pPr>
        <w:pStyle w:val="NoteHeader"/>
        <w:keepNext/>
        <w:rPr>
          <w:color w:val="000000" w:themeColor="text1"/>
        </w:rPr>
      </w:pPr>
      <w:r w:rsidRPr="00B40A77">
        <w:rPr>
          <w:color w:val="000000" w:themeColor="text1"/>
        </w:rPr>
        <w:t>Prescribed form—</w:t>
      </w:r>
    </w:p>
    <w:p w14:paraId="16F8DE73" w14:textId="285670EC" w:rsidR="00677DEB" w:rsidRPr="00B40A77" w:rsidRDefault="00677DEB" w:rsidP="00677DEB">
      <w:pPr>
        <w:pStyle w:val="NoteText"/>
        <w:rPr>
          <w:color w:val="000000" w:themeColor="text1"/>
        </w:rPr>
      </w:pPr>
      <w:r w:rsidRPr="00B40A77">
        <w:rPr>
          <w:color w:val="000000" w:themeColor="text1"/>
        </w:rPr>
        <w:t>Form</w:t>
      </w:r>
      <w:r w:rsidR="00286A80" w:rsidRPr="00B40A77">
        <w:rPr>
          <w:color w:val="000000" w:themeColor="text1"/>
        </w:rPr>
        <w:t xml:space="preserve"> 19</w:t>
      </w:r>
      <w:r w:rsidR="00381D77" w:rsidRPr="00B40A77">
        <w:rPr>
          <w:color w:val="000000" w:themeColor="text1"/>
        </w:rPr>
        <w:t>1</w:t>
      </w:r>
      <w:r w:rsidRPr="00B40A77">
        <w:rPr>
          <w:color w:val="000000" w:themeColor="text1"/>
        </w:rPr>
        <w:t xml:space="preserve"> </w:t>
      </w:r>
      <w:hyperlink r:id="rId399" w:history="1">
        <w:r w:rsidRPr="00B40A77">
          <w:rPr>
            <w:rStyle w:val="Hyperlink"/>
            <w:color w:val="000000" w:themeColor="text1"/>
          </w:rPr>
          <w:t xml:space="preserve">Notice of </w:t>
        </w:r>
        <w:r w:rsidR="00286A80" w:rsidRPr="00B40A77">
          <w:rPr>
            <w:rStyle w:val="Hyperlink"/>
            <w:color w:val="000000" w:themeColor="text1"/>
          </w:rPr>
          <w:t>D</w:t>
        </w:r>
        <w:r w:rsidRPr="00B40A77">
          <w:rPr>
            <w:rStyle w:val="Hyperlink"/>
            <w:color w:val="000000" w:themeColor="text1"/>
          </w:rPr>
          <w:t>iscontinuance of Appeal</w:t>
        </w:r>
      </w:hyperlink>
    </w:p>
    <w:p w14:paraId="25A8C4F0" w14:textId="77777777" w:rsidR="000C53A1" w:rsidRPr="00B40A77" w:rsidRDefault="000C53A1" w:rsidP="000C53A1">
      <w:pPr>
        <w:pStyle w:val="Hangindent"/>
        <w:rPr>
          <w:color w:val="000000" w:themeColor="text1"/>
          <w:lang w:val="en-US"/>
        </w:rPr>
      </w:pPr>
      <w:r w:rsidRPr="00B40A77">
        <w:rPr>
          <w:color w:val="000000" w:themeColor="text1"/>
          <w:lang w:val="en-US"/>
        </w:rPr>
        <w:t>(2)</w:t>
      </w:r>
      <w:r w:rsidRPr="00B40A77">
        <w:rPr>
          <w:color w:val="000000" w:themeColor="text1"/>
          <w:lang w:val="en-US"/>
        </w:rPr>
        <w:tab/>
        <w:t>Upon a notice of discontinuance being filed, the appeal will be deemed to have been dismissed by the Court.</w:t>
      </w:r>
    </w:p>
    <w:p w14:paraId="7F1B8C96" w14:textId="685DE8CD" w:rsidR="000C53A1" w:rsidRPr="00B40A77" w:rsidRDefault="000C53A1" w:rsidP="00372C09">
      <w:pPr>
        <w:pStyle w:val="Hangindent"/>
        <w:rPr>
          <w:rFonts w:cs="Times New Roman"/>
          <w:color w:val="000000" w:themeColor="text1"/>
          <w:sz w:val="20"/>
          <w:szCs w:val="20"/>
        </w:rPr>
      </w:pPr>
      <w:r w:rsidRPr="00B40A77">
        <w:rPr>
          <w:color w:val="000000" w:themeColor="text1"/>
          <w:lang w:val="en-US"/>
        </w:rPr>
        <w:t>(3)</w:t>
      </w:r>
      <w:r w:rsidRPr="00B40A77">
        <w:rPr>
          <w:color w:val="000000" w:themeColor="text1"/>
          <w:lang w:val="en-US"/>
        </w:rPr>
        <w:tab/>
        <w:t xml:space="preserve">A notice of discontinuance may be withdrawn </w:t>
      </w:r>
      <w:r w:rsidR="0005490B" w:rsidRPr="00B40A77">
        <w:rPr>
          <w:color w:val="000000" w:themeColor="text1"/>
          <w:lang w:val="en-US"/>
        </w:rPr>
        <w:t xml:space="preserve">with </w:t>
      </w:r>
      <w:r w:rsidRPr="00B40A77">
        <w:rPr>
          <w:color w:val="000000" w:themeColor="text1"/>
          <w:lang w:val="en-US"/>
        </w:rPr>
        <w:t>leave of the Court.</w:t>
      </w:r>
    </w:p>
    <w:p w14:paraId="56C65AE7" w14:textId="6FAF140F" w:rsidR="00372C09" w:rsidRPr="00B40A77" w:rsidRDefault="00627E56" w:rsidP="00372C09">
      <w:pPr>
        <w:pStyle w:val="Heading3"/>
        <w:rPr>
          <w:color w:val="000000" w:themeColor="text1"/>
        </w:rPr>
      </w:pPr>
      <w:bookmarkStart w:id="1111" w:name="_Toc175239353"/>
      <w:r w:rsidRPr="00B40A77">
        <w:rPr>
          <w:color w:val="000000" w:themeColor="text1"/>
        </w:rPr>
        <w:t xml:space="preserve">Division </w:t>
      </w:r>
      <w:r w:rsidR="00FB3C6A" w:rsidRPr="00B40A77">
        <w:rPr>
          <w:color w:val="000000" w:themeColor="text1"/>
        </w:rPr>
        <w:t>6</w:t>
      </w:r>
      <w:r w:rsidR="00372C09" w:rsidRPr="00B40A77">
        <w:rPr>
          <w:color w:val="000000" w:themeColor="text1"/>
        </w:rPr>
        <w:t>—Listing for hearing</w:t>
      </w:r>
      <w:bookmarkEnd w:id="1107"/>
      <w:bookmarkEnd w:id="1111"/>
    </w:p>
    <w:p w14:paraId="129A2AF5" w14:textId="0E28D594" w:rsidR="00372C09" w:rsidRPr="00B40A77" w:rsidRDefault="002524DF" w:rsidP="00372C09">
      <w:pPr>
        <w:pStyle w:val="Heading4"/>
        <w:rPr>
          <w:color w:val="000000" w:themeColor="text1"/>
        </w:rPr>
      </w:pPr>
      <w:bookmarkStart w:id="1112" w:name="_217.3—Listing_for_hearing"/>
      <w:bookmarkStart w:id="1113" w:name="_189.1—Listing_for_hearing"/>
      <w:bookmarkStart w:id="1114" w:name="_Toc25920281"/>
      <w:bookmarkStart w:id="1115" w:name="_Toc175239354"/>
      <w:bookmarkEnd w:id="1112"/>
      <w:bookmarkEnd w:id="1113"/>
      <w:r w:rsidRPr="00B40A77">
        <w:rPr>
          <w:color w:val="000000" w:themeColor="text1"/>
        </w:rPr>
        <w:t>189.1</w:t>
      </w:r>
      <w:r w:rsidR="00372C09" w:rsidRPr="00B40A77">
        <w:rPr>
          <w:color w:val="000000" w:themeColor="text1"/>
        </w:rPr>
        <w:t>—Listing for hearing</w:t>
      </w:r>
      <w:bookmarkEnd w:id="1114"/>
      <w:bookmarkEnd w:id="1115"/>
    </w:p>
    <w:p w14:paraId="3F6EC714" w14:textId="6B3A20CE" w:rsidR="00372C09"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r>
      <w:r w:rsidR="00193173" w:rsidRPr="00B40A77">
        <w:rPr>
          <w:rFonts w:cs="Times New Roman"/>
          <w:color w:val="000000" w:themeColor="text1"/>
        </w:rPr>
        <w:t xml:space="preserve">An appellate proceeding </w:t>
      </w:r>
      <w:r w:rsidRPr="00B40A77">
        <w:rPr>
          <w:rFonts w:cs="Times New Roman"/>
          <w:color w:val="000000" w:themeColor="text1"/>
        </w:rPr>
        <w:t>will be listed for hearing before a Judge on a fixed date in a given month.</w:t>
      </w:r>
    </w:p>
    <w:p w14:paraId="17D82E73" w14:textId="1736D9F0" w:rsidR="00372C09" w:rsidRPr="00B40A77" w:rsidRDefault="00372C09" w:rsidP="001103F0">
      <w:pPr>
        <w:pStyle w:val="Hangindent"/>
        <w:keepNex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Court will give notice of the </w:t>
      </w:r>
      <w:hyperlink w:anchor="_211.1—Definitions" w:history="1">
        <w:r w:rsidRPr="00B40A77">
          <w:rPr>
            <w:rStyle w:val="Hyperlink"/>
            <w:rFonts w:cs="Times New Roman"/>
            <w:color w:val="000000" w:themeColor="text1"/>
          </w:rPr>
          <w:t>listed hearing date</w:t>
        </w:r>
      </w:hyperlink>
      <w:r w:rsidRPr="00B40A77">
        <w:rPr>
          <w:rFonts w:cs="Times New Roman"/>
          <w:color w:val="000000" w:themeColor="text1"/>
        </w:rPr>
        <w:t xml:space="preserve"> in the prescribed form to the parties.</w:t>
      </w:r>
    </w:p>
    <w:p w14:paraId="5B7A9FA2" w14:textId="77777777" w:rsidR="00372C09" w:rsidRPr="00B40A77" w:rsidRDefault="00372C09" w:rsidP="001103F0">
      <w:pPr>
        <w:pStyle w:val="NoteHeader"/>
        <w:keepNext/>
        <w:rPr>
          <w:color w:val="000000" w:themeColor="text1"/>
        </w:rPr>
      </w:pPr>
      <w:r w:rsidRPr="00B40A77">
        <w:rPr>
          <w:color w:val="000000" w:themeColor="text1"/>
        </w:rPr>
        <w:t>Prescribed form—</w:t>
      </w:r>
    </w:p>
    <w:p w14:paraId="0A4AE9FD" w14:textId="2E539B9D" w:rsidR="00372C09" w:rsidRPr="00B40A77" w:rsidRDefault="00372C09" w:rsidP="00372C09">
      <w:pPr>
        <w:pStyle w:val="NoteText"/>
        <w:rPr>
          <w:rStyle w:val="Hyperlink"/>
          <w:color w:val="000000" w:themeColor="text1"/>
        </w:rPr>
      </w:pPr>
      <w:r w:rsidRPr="00B40A77">
        <w:rPr>
          <w:color w:val="000000" w:themeColor="text1"/>
        </w:rPr>
        <w:t>Form</w:t>
      </w:r>
      <w:r w:rsidR="009570B1" w:rsidRPr="00B40A77">
        <w:rPr>
          <w:color w:val="000000" w:themeColor="text1"/>
        </w:rPr>
        <w:t xml:space="preserve"> </w:t>
      </w:r>
      <w:r w:rsidR="00A021EF" w:rsidRPr="00B40A77">
        <w:rPr>
          <w:color w:val="000000" w:themeColor="text1"/>
        </w:rPr>
        <w:t>19</w:t>
      </w:r>
      <w:r w:rsidR="00381D77" w:rsidRPr="00B40A77">
        <w:rPr>
          <w:color w:val="000000" w:themeColor="text1"/>
        </w:rPr>
        <w:t>6</w:t>
      </w:r>
      <w:r w:rsidRPr="00B40A77">
        <w:rPr>
          <w:color w:val="000000" w:themeColor="text1"/>
        </w:rPr>
        <w:t xml:space="preserve"> </w:t>
      </w:r>
      <w:hyperlink r:id="rId400" w:history="1">
        <w:r w:rsidRPr="00B40A77">
          <w:rPr>
            <w:rStyle w:val="Hyperlink"/>
            <w:color w:val="000000" w:themeColor="text1"/>
          </w:rPr>
          <w:t xml:space="preserve">Notice of </w:t>
        </w:r>
        <w:r w:rsidR="00627E56" w:rsidRPr="00B40A77">
          <w:rPr>
            <w:rStyle w:val="Hyperlink"/>
            <w:color w:val="000000" w:themeColor="text1"/>
          </w:rPr>
          <w:t xml:space="preserve">Appeal </w:t>
        </w:r>
        <w:r w:rsidRPr="00B40A77">
          <w:rPr>
            <w:rStyle w:val="Hyperlink"/>
            <w:color w:val="000000" w:themeColor="text1"/>
          </w:rPr>
          <w:t>Hearing</w:t>
        </w:r>
      </w:hyperlink>
    </w:p>
    <w:p w14:paraId="2FDA21D2" w14:textId="58859E31" w:rsidR="00872E8E" w:rsidRPr="00B40A77" w:rsidRDefault="00872E8E" w:rsidP="00372C09">
      <w:pPr>
        <w:pStyle w:val="NoteText"/>
        <w:rPr>
          <w:color w:val="000000" w:themeColor="text1"/>
        </w:rPr>
      </w:pPr>
      <w:r w:rsidRPr="00B40A77">
        <w:rPr>
          <w:rStyle w:val="Hyperlink"/>
          <w:color w:val="000000" w:themeColor="text1"/>
          <w:u w:val="none"/>
        </w:rPr>
        <w:t xml:space="preserve">Form 196Y </w:t>
      </w:r>
      <w:hyperlink r:id="rId401" w:history="1">
        <w:r w:rsidRPr="00B40A77">
          <w:rPr>
            <w:rStyle w:val="Hyperlink"/>
            <w:color w:val="000000" w:themeColor="text1"/>
          </w:rPr>
          <w:t>Notice of Appeal Hearing (Youth Court)</w:t>
        </w:r>
      </w:hyperlink>
    </w:p>
    <w:p w14:paraId="76FF441B" w14:textId="78DA658D" w:rsidR="00372C09" w:rsidRPr="00B40A77" w:rsidRDefault="00372C09" w:rsidP="00372C09">
      <w:pPr>
        <w:pStyle w:val="Hangindent"/>
        <w:rPr>
          <w:color w:val="000000" w:themeColor="text1"/>
        </w:rPr>
      </w:pPr>
      <w:r w:rsidRPr="00B40A77">
        <w:rPr>
          <w:color w:val="000000" w:themeColor="text1"/>
        </w:rPr>
        <w:t>(3)</w:t>
      </w:r>
      <w:r w:rsidRPr="00B40A77">
        <w:rPr>
          <w:color w:val="000000" w:themeColor="text1"/>
        </w:rPr>
        <w:tab/>
        <w:t xml:space="preserve">If a party seeks a change from the </w:t>
      </w:r>
      <w:hyperlink w:anchor="_211.1—Definitions" w:history="1">
        <w:r w:rsidRPr="00B40A77">
          <w:rPr>
            <w:rStyle w:val="Hyperlink"/>
            <w:color w:val="000000" w:themeColor="text1"/>
          </w:rPr>
          <w:t>listed hearing date</w:t>
        </w:r>
      </w:hyperlink>
      <w:r w:rsidRPr="00B40A77">
        <w:rPr>
          <w:color w:val="000000" w:themeColor="text1"/>
        </w:rPr>
        <w:t xml:space="preserve">, the party must, within 7 days of being notified of the </w:t>
      </w:r>
      <w:hyperlink w:anchor="_211.1—Definitions" w:history="1">
        <w:r w:rsidR="00D10A8F" w:rsidRPr="00B40A77">
          <w:rPr>
            <w:rStyle w:val="Hyperlink"/>
            <w:color w:val="000000" w:themeColor="text1"/>
          </w:rPr>
          <w:t>listed hearing date</w:t>
        </w:r>
      </w:hyperlink>
      <w:r w:rsidRPr="00B40A77">
        <w:rPr>
          <w:color w:val="000000" w:themeColor="text1"/>
        </w:rPr>
        <w:t xml:space="preserve">, contact the Judge’s chambers </w:t>
      </w:r>
      <w:r w:rsidR="00D273AC" w:rsidRPr="00B40A77">
        <w:rPr>
          <w:color w:val="000000" w:themeColor="text1"/>
        </w:rPr>
        <w:t xml:space="preserve">to </w:t>
      </w:r>
      <w:r w:rsidRPr="00B40A77">
        <w:rPr>
          <w:color w:val="000000" w:themeColor="text1"/>
        </w:rPr>
        <w:t xml:space="preserve">make </w:t>
      </w:r>
      <w:r w:rsidR="00D273AC" w:rsidRPr="00B40A77">
        <w:rPr>
          <w:color w:val="000000" w:themeColor="text1"/>
        </w:rPr>
        <w:t>the</w:t>
      </w:r>
      <w:r w:rsidRPr="00B40A77">
        <w:rPr>
          <w:color w:val="000000" w:themeColor="text1"/>
        </w:rPr>
        <w:t xml:space="preserve"> request </w:t>
      </w:r>
      <w:r w:rsidR="00D273AC" w:rsidRPr="00B40A77">
        <w:rPr>
          <w:color w:val="000000" w:themeColor="text1"/>
        </w:rPr>
        <w:t xml:space="preserve">and provide </w:t>
      </w:r>
      <w:r w:rsidRPr="00B40A77">
        <w:rPr>
          <w:color w:val="000000" w:themeColor="text1"/>
        </w:rPr>
        <w:t>details of alternative hearing dates.</w:t>
      </w:r>
    </w:p>
    <w:p w14:paraId="39E4BEAA" w14:textId="30D4D13B" w:rsidR="00372C09" w:rsidRPr="00B40A77" w:rsidRDefault="00627E56" w:rsidP="00372C09">
      <w:pPr>
        <w:pStyle w:val="Heading3"/>
        <w:rPr>
          <w:color w:val="000000" w:themeColor="text1"/>
        </w:rPr>
      </w:pPr>
      <w:bookmarkStart w:id="1116" w:name="_Toc25920282"/>
      <w:bookmarkStart w:id="1117" w:name="_Toc175239355"/>
      <w:r w:rsidRPr="00B40A77">
        <w:rPr>
          <w:color w:val="000000" w:themeColor="text1"/>
        </w:rPr>
        <w:t xml:space="preserve">Division </w:t>
      </w:r>
      <w:r w:rsidR="00FB3C6A" w:rsidRPr="00B40A77">
        <w:rPr>
          <w:color w:val="000000" w:themeColor="text1"/>
        </w:rPr>
        <w:t>7</w:t>
      </w:r>
      <w:r w:rsidR="00372C09" w:rsidRPr="00B40A77">
        <w:rPr>
          <w:color w:val="000000" w:themeColor="text1"/>
        </w:rPr>
        <w:t>—</w:t>
      </w:r>
      <w:r w:rsidR="000C53A1" w:rsidRPr="00B40A77">
        <w:rPr>
          <w:color w:val="000000" w:themeColor="text1"/>
        </w:rPr>
        <w:t>Preparation for hearing</w:t>
      </w:r>
      <w:bookmarkEnd w:id="1116"/>
      <w:bookmarkEnd w:id="1117"/>
    </w:p>
    <w:p w14:paraId="1773472B" w14:textId="1FE4A730" w:rsidR="00372C09" w:rsidRPr="00B40A77" w:rsidRDefault="00EA5989" w:rsidP="00372C09">
      <w:pPr>
        <w:pStyle w:val="Heading4"/>
        <w:rPr>
          <w:color w:val="000000" w:themeColor="text1"/>
        </w:rPr>
      </w:pPr>
      <w:bookmarkStart w:id="1118" w:name="_Toc25920283"/>
      <w:bookmarkStart w:id="1119" w:name="_Toc175239356"/>
      <w:r w:rsidRPr="00B40A77">
        <w:rPr>
          <w:color w:val="000000" w:themeColor="text1"/>
        </w:rPr>
        <w:t>19</w:t>
      </w:r>
      <w:r w:rsidR="00AD4B5A" w:rsidRPr="00B40A77">
        <w:rPr>
          <w:color w:val="000000" w:themeColor="text1"/>
        </w:rPr>
        <w:t>0.1</w:t>
      </w:r>
      <w:r w:rsidR="000C53A1" w:rsidRPr="00B40A77">
        <w:rPr>
          <w:color w:val="000000" w:themeColor="text1"/>
        </w:rPr>
        <w:t>—A</w:t>
      </w:r>
      <w:r w:rsidR="00372C09" w:rsidRPr="00B40A77">
        <w:rPr>
          <w:color w:val="000000" w:themeColor="text1"/>
        </w:rPr>
        <w:t>ppeal book</w:t>
      </w:r>
      <w:bookmarkEnd w:id="1118"/>
      <w:r w:rsidR="00516420" w:rsidRPr="00B40A77">
        <w:rPr>
          <w:color w:val="000000" w:themeColor="text1"/>
        </w:rPr>
        <w:t>: Supreme Court</w:t>
      </w:r>
      <w:bookmarkEnd w:id="1119"/>
    </w:p>
    <w:p w14:paraId="3C7DF412" w14:textId="7493A1C7" w:rsidR="00372C09"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The appellant must prepare an appeal book in accordance with </w:t>
      </w:r>
      <w:r w:rsidR="000C53A1" w:rsidRPr="00B40A77">
        <w:rPr>
          <w:rFonts w:cs="Times New Roman"/>
          <w:color w:val="000000" w:themeColor="text1"/>
        </w:rPr>
        <w:t>this rule.</w:t>
      </w:r>
    </w:p>
    <w:p w14:paraId="470919E6" w14:textId="6D76BB1F" w:rsidR="00372C09" w:rsidRPr="00B40A77" w:rsidRDefault="00372C09" w:rsidP="00372C09">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appellant must file a physical copy of the appeal book 7 days before the </w:t>
      </w:r>
      <w:hyperlink w:anchor="_211.1—Definitions" w:history="1">
        <w:r w:rsidRPr="00B40A77">
          <w:rPr>
            <w:rStyle w:val="Hyperlink"/>
            <w:rFonts w:cs="Times New Roman"/>
            <w:color w:val="000000" w:themeColor="text1"/>
          </w:rPr>
          <w:t>listed hearing date</w:t>
        </w:r>
      </w:hyperlink>
      <w:r w:rsidRPr="00B40A77">
        <w:rPr>
          <w:rFonts w:cs="Times New Roman"/>
          <w:color w:val="000000" w:themeColor="text1"/>
        </w:rPr>
        <w:t>.</w:t>
      </w:r>
    </w:p>
    <w:p w14:paraId="634D77D3" w14:textId="7EF5797D" w:rsidR="00A96554" w:rsidRPr="00B40A77" w:rsidRDefault="00A96554" w:rsidP="00A96554">
      <w:pPr>
        <w:pStyle w:val="Hangindent"/>
        <w:rPr>
          <w:rFonts w:cs="Times New Roman"/>
          <w:color w:val="000000" w:themeColor="text1"/>
        </w:rPr>
      </w:pPr>
      <w:bookmarkStart w:id="1120" w:name="_217.5—Content_of_appeal"/>
      <w:bookmarkEnd w:id="1120"/>
      <w:r w:rsidRPr="00B40A77">
        <w:rPr>
          <w:rFonts w:cs="Times New Roman"/>
          <w:color w:val="000000" w:themeColor="text1"/>
        </w:rPr>
        <w:lastRenderedPageBreak/>
        <w:t>(3)</w:t>
      </w:r>
      <w:r w:rsidRPr="00B40A77">
        <w:rPr>
          <w:rFonts w:cs="Times New Roman"/>
          <w:color w:val="000000" w:themeColor="text1"/>
        </w:rPr>
        <w:tab/>
        <w:t xml:space="preserve">The appellant must serve an electronic or physical copy of the appeal book on the other parties 7 days before the </w:t>
      </w:r>
      <w:hyperlink w:anchor="_211.1—Definitions" w:history="1">
        <w:r w:rsidRPr="00B40A77">
          <w:rPr>
            <w:rStyle w:val="Hyperlink"/>
            <w:rFonts w:cs="Times New Roman"/>
            <w:color w:val="000000" w:themeColor="text1"/>
          </w:rPr>
          <w:t>listed hearing date</w:t>
        </w:r>
      </w:hyperlink>
      <w:r w:rsidRPr="00B40A77">
        <w:rPr>
          <w:rFonts w:cs="Times New Roman"/>
          <w:color w:val="000000" w:themeColor="text1"/>
        </w:rPr>
        <w:t>.</w:t>
      </w:r>
    </w:p>
    <w:p w14:paraId="279E0ED6" w14:textId="265C7AF6" w:rsidR="00372C09" w:rsidRPr="00B40A77" w:rsidRDefault="000C53A1" w:rsidP="00372C09">
      <w:pPr>
        <w:pStyle w:val="Hangindent"/>
        <w:rPr>
          <w:rFonts w:cs="Times New Roman"/>
          <w:color w:val="000000" w:themeColor="text1"/>
          <w:lang w:val="en-US"/>
        </w:rPr>
      </w:pPr>
      <w:r w:rsidRPr="00B40A77">
        <w:rPr>
          <w:rFonts w:cs="Times New Roman"/>
          <w:color w:val="000000" w:themeColor="text1"/>
        </w:rPr>
        <w:t>(</w:t>
      </w:r>
      <w:r w:rsidR="00A96554" w:rsidRPr="00B40A77">
        <w:rPr>
          <w:rFonts w:cs="Times New Roman"/>
          <w:color w:val="000000" w:themeColor="text1"/>
        </w:rPr>
        <w:t>4</w:t>
      </w:r>
      <w:r w:rsidR="00372C09" w:rsidRPr="00B40A77">
        <w:rPr>
          <w:rFonts w:cs="Times New Roman"/>
          <w:color w:val="000000" w:themeColor="text1"/>
        </w:rPr>
        <w:t>)</w:t>
      </w:r>
      <w:r w:rsidR="00372C09" w:rsidRPr="00B40A77">
        <w:rPr>
          <w:rFonts w:cs="Times New Roman"/>
          <w:color w:val="000000" w:themeColor="text1"/>
        </w:rPr>
        <w:tab/>
        <w:t>An appeal book must</w:t>
      </w:r>
      <w:r w:rsidR="00FD4E3B" w:rsidRPr="00B40A77">
        <w:rPr>
          <w:rFonts w:cs="Times New Roman"/>
          <w:color w:val="000000" w:themeColor="text1"/>
        </w:rPr>
        <w:t xml:space="preserve"> be paginated and must</w:t>
      </w:r>
      <w:r w:rsidR="00372C09" w:rsidRPr="00B40A77">
        <w:rPr>
          <w:rFonts w:cs="Times New Roman"/>
          <w:color w:val="000000" w:themeColor="text1"/>
        </w:rPr>
        <w:t xml:space="preserve"> contain</w:t>
      </w:r>
      <w:r w:rsidR="00372C09" w:rsidRPr="00B40A77">
        <w:rPr>
          <w:b/>
          <w:color w:val="000000" w:themeColor="text1"/>
          <w:sz w:val="20"/>
          <w:szCs w:val="20"/>
        </w:rPr>
        <w:t>—</w:t>
      </w:r>
    </w:p>
    <w:p w14:paraId="5D883824" w14:textId="2A429989" w:rsidR="00A96554" w:rsidRPr="00B40A77" w:rsidRDefault="005103E4" w:rsidP="005103E4">
      <w:pPr>
        <w:pStyle w:val="Doublehangindent"/>
        <w:rPr>
          <w:rStyle w:val="Hyperlink"/>
          <w:rFonts w:cs="Times New Roman"/>
          <w:color w:val="000000" w:themeColor="text1"/>
          <w:u w:val="none"/>
        </w:rPr>
      </w:pPr>
      <w:r w:rsidRPr="00B40A77">
        <w:rPr>
          <w:color w:val="000000" w:themeColor="text1"/>
          <w:lang w:val="en-US"/>
        </w:rPr>
        <w:t>(a)</w:t>
      </w:r>
      <w:r w:rsidRPr="00B40A77">
        <w:rPr>
          <w:color w:val="000000" w:themeColor="text1"/>
          <w:lang w:val="en-US"/>
        </w:rPr>
        <w:tab/>
      </w:r>
      <w:r w:rsidR="00A96554" w:rsidRPr="00B40A77">
        <w:rPr>
          <w:rFonts w:cs="Times New Roman"/>
          <w:color w:val="000000" w:themeColor="text1"/>
        </w:rPr>
        <w:t xml:space="preserve">a </w:t>
      </w:r>
      <w:hyperlink w:anchor="_211.1—Definitions" w:history="1">
        <w:r w:rsidR="00A96554" w:rsidRPr="00B40A77">
          <w:rPr>
            <w:rStyle w:val="Hyperlink"/>
            <w:rFonts w:cs="Times New Roman"/>
            <w:color w:val="000000" w:themeColor="text1"/>
          </w:rPr>
          <w:t>filing page</w:t>
        </w:r>
      </w:hyperlink>
      <w:r w:rsidR="00A96554" w:rsidRPr="00B40A77">
        <w:rPr>
          <w:rStyle w:val="Hyperlink"/>
          <w:rFonts w:cs="Times New Roman"/>
          <w:color w:val="000000" w:themeColor="text1"/>
          <w:u w:val="none"/>
        </w:rPr>
        <w:t>;</w:t>
      </w:r>
    </w:p>
    <w:p w14:paraId="13BE03E9" w14:textId="1765E019" w:rsidR="00A96554" w:rsidRPr="00B40A77" w:rsidRDefault="00A96554" w:rsidP="005103E4">
      <w:pPr>
        <w:pStyle w:val="Doublehangindent"/>
        <w:rPr>
          <w:color w:val="000000" w:themeColor="text1"/>
          <w:lang w:val="en-US"/>
        </w:rPr>
      </w:pPr>
      <w:r w:rsidRPr="00B40A77">
        <w:rPr>
          <w:rStyle w:val="Hyperlink"/>
          <w:rFonts w:cs="Times New Roman"/>
          <w:color w:val="000000" w:themeColor="text1"/>
          <w:u w:val="none"/>
        </w:rPr>
        <w:t>(b)</w:t>
      </w:r>
      <w:r w:rsidRPr="00B40A77">
        <w:rPr>
          <w:rStyle w:val="Hyperlink"/>
          <w:rFonts w:cs="Times New Roman"/>
          <w:color w:val="000000" w:themeColor="text1"/>
          <w:u w:val="none"/>
        </w:rPr>
        <w:tab/>
      </w:r>
      <w:r w:rsidRPr="00B40A77">
        <w:rPr>
          <w:rFonts w:cs="Times New Roman"/>
          <w:color w:val="000000" w:themeColor="text1"/>
        </w:rPr>
        <w:t>a table of contents showing each document and its page number;</w:t>
      </w:r>
    </w:p>
    <w:p w14:paraId="342FFCFB" w14:textId="5EB24142" w:rsidR="005103E4" w:rsidRPr="00B40A77" w:rsidRDefault="00A96554" w:rsidP="005103E4">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5103E4" w:rsidRPr="00B40A77">
        <w:rPr>
          <w:color w:val="000000" w:themeColor="text1"/>
          <w:lang w:val="en-US"/>
        </w:rPr>
        <w:t xml:space="preserve">the current version of the </w:t>
      </w:r>
      <w:r w:rsidR="00DC1CCC" w:rsidRPr="00B40A77">
        <w:rPr>
          <w:color w:val="000000" w:themeColor="text1"/>
          <w:lang w:val="en-US"/>
        </w:rPr>
        <w:t>I</w:t>
      </w:r>
      <w:r w:rsidR="005103E4" w:rsidRPr="00B40A77">
        <w:rPr>
          <w:color w:val="000000" w:themeColor="text1"/>
          <w:lang w:val="en-US"/>
        </w:rPr>
        <w:t xml:space="preserve">nformation </w:t>
      </w:r>
      <w:r w:rsidRPr="00B40A77">
        <w:rPr>
          <w:color w:val="000000" w:themeColor="text1"/>
          <w:lang w:val="en-US"/>
        </w:rPr>
        <w:t xml:space="preserve">(or other initiating document) </w:t>
      </w:r>
      <w:r w:rsidR="005103E4" w:rsidRPr="00B40A77">
        <w:rPr>
          <w:color w:val="000000" w:themeColor="text1"/>
          <w:lang w:val="en-US"/>
        </w:rPr>
        <w:t>in the court of first instance;</w:t>
      </w:r>
    </w:p>
    <w:p w14:paraId="3009029D" w14:textId="289D1335" w:rsidR="005103E4" w:rsidRPr="00B40A77" w:rsidRDefault="005103E4" w:rsidP="005103E4">
      <w:pPr>
        <w:pStyle w:val="Doublehangindent"/>
        <w:rPr>
          <w:color w:val="000000" w:themeColor="text1"/>
          <w:lang w:val="en-US"/>
        </w:rPr>
      </w:pPr>
      <w:r w:rsidRPr="00B40A77">
        <w:rPr>
          <w:color w:val="000000" w:themeColor="text1"/>
          <w:lang w:val="en-US"/>
        </w:rPr>
        <w:t>(</w:t>
      </w:r>
      <w:r w:rsidR="00A96554" w:rsidRPr="00B40A77">
        <w:rPr>
          <w:color w:val="000000" w:themeColor="text1"/>
          <w:lang w:val="en-US"/>
        </w:rPr>
        <w:t>d</w:t>
      </w:r>
      <w:r w:rsidRPr="00B40A77">
        <w:rPr>
          <w:color w:val="000000" w:themeColor="text1"/>
          <w:lang w:val="en-US"/>
        </w:rPr>
        <w:t>)</w:t>
      </w:r>
      <w:r w:rsidRPr="00B40A77">
        <w:rPr>
          <w:color w:val="000000" w:themeColor="text1"/>
          <w:lang w:val="en-US"/>
        </w:rPr>
        <w:tab/>
        <w:t>the judgment or order the subject of the appeal;</w:t>
      </w:r>
    </w:p>
    <w:p w14:paraId="64B5FF90" w14:textId="512347DD" w:rsidR="005103E4" w:rsidRPr="00B40A77" w:rsidRDefault="005103E4" w:rsidP="005103E4">
      <w:pPr>
        <w:pStyle w:val="Doublehangindent"/>
        <w:rPr>
          <w:color w:val="000000" w:themeColor="text1"/>
          <w:lang w:val="en-US"/>
        </w:rPr>
      </w:pPr>
      <w:r w:rsidRPr="00B40A77">
        <w:rPr>
          <w:color w:val="000000" w:themeColor="text1"/>
          <w:lang w:val="en-US"/>
        </w:rPr>
        <w:t>(</w:t>
      </w:r>
      <w:r w:rsidR="00A96554" w:rsidRPr="00B40A77">
        <w:rPr>
          <w:color w:val="000000" w:themeColor="text1"/>
          <w:lang w:val="en-US"/>
        </w:rPr>
        <w:t>e</w:t>
      </w:r>
      <w:r w:rsidRPr="00B40A77">
        <w:rPr>
          <w:color w:val="000000" w:themeColor="text1"/>
          <w:lang w:val="en-US"/>
        </w:rPr>
        <w:t>)</w:t>
      </w:r>
      <w:r w:rsidRPr="00B40A77">
        <w:rPr>
          <w:color w:val="000000" w:themeColor="text1"/>
          <w:lang w:val="en-US"/>
        </w:rPr>
        <w:tab/>
        <w:t>the reasons for judgment or sentencing remarks given in respect of that judgment or order;</w:t>
      </w:r>
      <w:r w:rsidR="00FD4E3B" w:rsidRPr="00B40A77">
        <w:rPr>
          <w:color w:val="000000" w:themeColor="text1"/>
          <w:lang w:val="en-US"/>
        </w:rPr>
        <w:t xml:space="preserve"> and</w:t>
      </w:r>
    </w:p>
    <w:p w14:paraId="351A1430" w14:textId="5808F09D" w:rsidR="005103E4" w:rsidRPr="00B40A77" w:rsidRDefault="005103E4" w:rsidP="005103E4">
      <w:pPr>
        <w:pStyle w:val="Doublehangindent"/>
        <w:rPr>
          <w:color w:val="000000" w:themeColor="text1"/>
          <w:lang w:val="en-US"/>
        </w:rPr>
      </w:pPr>
      <w:r w:rsidRPr="00B40A77">
        <w:rPr>
          <w:color w:val="000000" w:themeColor="text1"/>
          <w:lang w:val="en-US"/>
        </w:rPr>
        <w:t>(</w:t>
      </w:r>
      <w:r w:rsidR="00A96554" w:rsidRPr="00B40A77">
        <w:rPr>
          <w:color w:val="000000" w:themeColor="text1"/>
          <w:lang w:val="en-US"/>
        </w:rPr>
        <w:t>f</w:t>
      </w:r>
      <w:r w:rsidRPr="00B40A77">
        <w:rPr>
          <w:color w:val="000000" w:themeColor="text1"/>
          <w:lang w:val="en-US"/>
        </w:rPr>
        <w:t>)</w:t>
      </w:r>
      <w:r w:rsidRPr="00B40A77">
        <w:rPr>
          <w:color w:val="000000" w:themeColor="text1"/>
          <w:lang w:val="en-US"/>
        </w:rPr>
        <w:tab/>
        <w:t>the notice of appeal</w:t>
      </w:r>
      <w:r w:rsidR="004C3256" w:rsidRPr="00B40A77">
        <w:rPr>
          <w:color w:val="000000" w:themeColor="text1"/>
          <w:lang w:val="en-US"/>
        </w:rPr>
        <w:t xml:space="preserve"> or notice of case stated</w:t>
      </w:r>
      <w:r w:rsidRPr="00B40A77">
        <w:rPr>
          <w:color w:val="000000" w:themeColor="text1"/>
          <w:lang w:val="en-US"/>
        </w:rPr>
        <w:t xml:space="preserve">, any notice of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 xml:space="preserve"> and any notice of </w:t>
      </w:r>
      <w:bookmarkStart w:id="1121" w:name="_Hlk35862706"/>
      <w:r w:rsidRPr="00B40A77">
        <w:rPr>
          <w:color w:val="000000" w:themeColor="text1"/>
          <w:lang w:val="en-US"/>
        </w:rPr>
        <w:t>alternative</w:t>
      </w:r>
      <w:bookmarkEnd w:id="1121"/>
      <w:r w:rsidRPr="00B40A77">
        <w:rPr>
          <w:color w:val="000000" w:themeColor="text1"/>
          <w:lang w:val="en-US"/>
        </w:rPr>
        <w:t xml:space="preserve"> contention</w:t>
      </w:r>
      <w:r w:rsidR="00FD4E3B" w:rsidRPr="00B40A77">
        <w:rPr>
          <w:color w:val="000000" w:themeColor="text1"/>
          <w:lang w:val="en-US"/>
        </w:rPr>
        <w:t>.</w:t>
      </w:r>
    </w:p>
    <w:p w14:paraId="472F1BB9" w14:textId="23BEF20B" w:rsidR="00C52F81" w:rsidRPr="00B40A77" w:rsidRDefault="00C52F81" w:rsidP="00110EA9">
      <w:pPr>
        <w:pStyle w:val="Hangindent"/>
        <w:rPr>
          <w:color w:val="000000" w:themeColor="text1"/>
          <w:lang w:val="en-US"/>
        </w:rPr>
      </w:pPr>
      <w:r w:rsidRPr="00B40A77">
        <w:rPr>
          <w:color w:val="000000" w:themeColor="text1"/>
          <w:lang w:val="en-US"/>
        </w:rPr>
        <w:t>(5)</w:t>
      </w:r>
      <w:r w:rsidRPr="00B40A77">
        <w:rPr>
          <w:color w:val="000000" w:themeColor="text1"/>
          <w:lang w:val="en-US"/>
        </w:rPr>
        <w:tab/>
        <w:t>An appeal book may, but is not required to, contain one or more exhibits and one or more pages of transcript.</w:t>
      </w:r>
    </w:p>
    <w:p w14:paraId="21262AB0" w14:textId="1BA04364" w:rsidR="00372C09" w:rsidRPr="00B40A77" w:rsidRDefault="00A04883" w:rsidP="00372C09">
      <w:pPr>
        <w:pStyle w:val="Heading4"/>
        <w:rPr>
          <w:color w:val="000000" w:themeColor="text1"/>
        </w:rPr>
      </w:pPr>
      <w:bookmarkStart w:id="1122" w:name="_Toc175239357"/>
      <w:bookmarkStart w:id="1123" w:name="_Toc25920286"/>
      <w:bookmarkStart w:id="1124" w:name="_Hlk35683827"/>
      <w:r w:rsidRPr="00B40A77">
        <w:rPr>
          <w:color w:val="000000" w:themeColor="text1"/>
        </w:rPr>
        <w:t>19</w:t>
      </w:r>
      <w:r w:rsidR="00D61E59" w:rsidRPr="00B40A77">
        <w:rPr>
          <w:color w:val="000000" w:themeColor="text1"/>
        </w:rPr>
        <w:t>0.2</w:t>
      </w:r>
      <w:r w:rsidR="00372C09" w:rsidRPr="00B40A77">
        <w:rPr>
          <w:color w:val="000000" w:themeColor="text1"/>
        </w:rPr>
        <w:t>—</w:t>
      </w:r>
      <w:r w:rsidR="000C53A1" w:rsidRPr="00B40A77">
        <w:rPr>
          <w:color w:val="000000" w:themeColor="text1"/>
        </w:rPr>
        <w:t>Written submissions, chronologies and lists of authorities</w:t>
      </w:r>
      <w:bookmarkEnd w:id="1122"/>
    </w:p>
    <w:p w14:paraId="110B4651" w14:textId="67C30F7E" w:rsidR="00044363"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Each party who intends to make submissions </w:t>
      </w:r>
      <w:r w:rsidR="00044363" w:rsidRPr="00B40A77">
        <w:rPr>
          <w:rFonts w:cs="Times New Roman"/>
          <w:color w:val="000000" w:themeColor="text1"/>
        </w:rPr>
        <w:t>at</w:t>
      </w:r>
      <w:r w:rsidRPr="00B40A77">
        <w:rPr>
          <w:rFonts w:cs="Times New Roman"/>
          <w:color w:val="000000" w:themeColor="text1"/>
        </w:rPr>
        <w:t xml:space="preserve"> the </w:t>
      </w:r>
      <w:r w:rsidR="004C3256" w:rsidRPr="00B40A77">
        <w:rPr>
          <w:rFonts w:cs="Times New Roman"/>
          <w:color w:val="000000" w:themeColor="text1"/>
        </w:rPr>
        <w:t>hearing of an</w:t>
      </w:r>
      <w:r w:rsidR="00BE2CF7" w:rsidRPr="00B40A77">
        <w:rPr>
          <w:rFonts w:cs="Times New Roman"/>
          <w:color w:val="000000" w:themeColor="text1"/>
        </w:rPr>
        <w:t xml:space="preserve"> appellate proceeding</w:t>
      </w:r>
      <w:r w:rsidR="004C3256" w:rsidRPr="00B40A77">
        <w:rPr>
          <w:rFonts w:cs="Times New Roman"/>
          <w:color w:val="000000" w:themeColor="text1"/>
        </w:rPr>
        <w:t xml:space="preserve"> </w:t>
      </w:r>
      <w:r w:rsidR="00044363" w:rsidRPr="00B40A77">
        <w:rPr>
          <w:rFonts w:cs="Times New Roman"/>
          <w:color w:val="000000" w:themeColor="text1"/>
        </w:rPr>
        <w:t>—</w:t>
      </w:r>
    </w:p>
    <w:p w14:paraId="1129B133" w14:textId="7B8A0B01" w:rsidR="00044363" w:rsidRPr="00B40A77" w:rsidRDefault="00044363" w:rsidP="00044363">
      <w:pPr>
        <w:pStyle w:val="Doublehangindent"/>
        <w:rPr>
          <w:color w:val="000000" w:themeColor="text1"/>
        </w:rPr>
      </w:pPr>
      <w:r w:rsidRPr="00B40A77">
        <w:rPr>
          <w:color w:val="000000" w:themeColor="text1"/>
        </w:rPr>
        <w:t>(a)</w:t>
      </w:r>
      <w:r w:rsidRPr="00B40A77">
        <w:rPr>
          <w:color w:val="000000" w:themeColor="text1"/>
        </w:rPr>
        <w:tab/>
      </w:r>
      <w:r w:rsidR="00372C09" w:rsidRPr="00B40A77">
        <w:rPr>
          <w:color w:val="000000" w:themeColor="text1"/>
        </w:rPr>
        <w:t>must prepare</w:t>
      </w:r>
      <w:r w:rsidRPr="00B40A77">
        <w:rPr>
          <w:color w:val="000000" w:themeColor="text1"/>
        </w:rPr>
        <w:t xml:space="preserve"> </w:t>
      </w:r>
      <w:r w:rsidR="008A7530" w:rsidRPr="00B40A77">
        <w:rPr>
          <w:color w:val="000000" w:themeColor="text1"/>
        </w:rPr>
        <w:t>written submissions in the prescribed form</w:t>
      </w:r>
      <w:r w:rsidRPr="00B40A77">
        <w:rPr>
          <w:color w:val="000000" w:themeColor="text1"/>
        </w:rPr>
        <w:t>;</w:t>
      </w:r>
    </w:p>
    <w:p w14:paraId="4DD3980B" w14:textId="77777777" w:rsidR="00044363" w:rsidRPr="00B40A77" w:rsidRDefault="00044363" w:rsidP="00044363">
      <w:pPr>
        <w:pStyle w:val="Doublehangindent"/>
        <w:rPr>
          <w:color w:val="000000" w:themeColor="text1"/>
        </w:rPr>
      </w:pPr>
      <w:r w:rsidRPr="00B40A77">
        <w:rPr>
          <w:color w:val="000000" w:themeColor="text1"/>
        </w:rPr>
        <w:t>(b)</w:t>
      </w:r>
      <w:r w:rsidRPr="00B40A77">
        <w:rPr>
          <w:color w:val="000000" w:themeColor="text1"/>
        </w:rPr>
        <w:tab/>
        <w:t xml:space="preserve">must prepare </w:t>
      </w:r>
      <w:r w:rsidR="008A7530" w:rsidRPr="00B40A77">
        <w:rPr>
          <w:color w:val="000000" w:themeColor="text1"/>
        </w:rPr>
        <w:t xml:space="preserve">a list of authorities </w:t>
      </w:r>
      <w:r w:rsidR="005F4065" w:rsidRPr="00B40A77">
        <w:rPr>
          <w:color w:val="000000" w:themeColor="text1"/>
        </w:rPr>
        <w:t>in the prescribed form</w:t>
      </w:r>
      <w:r w:rsidRPr="00B40A77">
        <w:rPr>
          <w:color w:val="000000" w:themeColor="text1"/>
        </w:rPr>
        <w:t>;</w:t>
      </w:r>
      <w:r w:rsidR="008A7530" w:rsidRPr="00B40A77">
        <w:rPr>
          <w:color w:val="000000" w:themeColor="text1"/>
        </w:rPr>
        <w:t xml:space="preserve"> </w:t>
      </w:r>
      <w:r w:rsidR="00372C09" w:rsidRPr="00B40A77">
        <w:rPr>
          <w:color w:val="000000" w:themeColor="text1"/>
        </w:rPr>
        <w:t>and</w:t>
      </w:r>
    </w:p>
    <w:p w14:paraId="50406958" w14:textId="621D3D4C" w:rsidR="00372C09" w:rsidRPr="00B40A77" w:rsidRDefault="00044363" w:rsidP="001103F0">
      <w:pPr>
        <w:pStyle w:val="Doublehangindent"/>
        <w:keepNext/>
        <w:rPr>
          <w:color w:val="000000" w:themeColor="text1"/>
        </w:rPr>
      </w:pPr>
      <w:r w:rsidRPr="00B40A77">
        <w:rPr>
          <w:color w:val="000000" w:themeColor="text1"/>
        </w:rPr>
        <w:t>(c)</w:t>
      </w:r>
      <w:r w:rsidRPr="00B40A77">
        <w:rPr>
          <w:color w:val="000000" w:themeColor="text1"/>
        </w:rPr>
        <w:tab/>
      </w:r>
      <w:r w:rsidR="00372C09" w:rsidRPr="00B40A77">
        <w:rPr>
          <w:color w:val="000000" w:themeColor="text1"/>
        </w:rPr>
        <w:t>may prepare a chronology.</w:t>
      </w:r>
    </w:p>
    <w:p w14:paraId="45311BBD" w14:textId="4E5C77B5" w:rsidR="005F4065" w:rsidRPr="00B40A77" w:rsidRDefault="005F4065" w:rsidP="001103F0">
      <w:pPr>
        <w:pStyle w:val="NoteHeader"/>
        <w:keepNext/>
        <w:ind w:left="1701"/>
        <w:rPr>
          <w:color w:val="000000" w:themeColor="text1"/>
        </w:rPr>
      </w:pPr>
      <w:r w:rsidRPr="00B40A77">
        <w:rPr>
          <w:color w:val="000000" w:themeColor="text1"/>
        </w:rPr>
        <w:t>Prescribed forms—</w:t>
      </w:r>
    </w:p>
    <w:p w14:paraId="0801F68F" w14:textId="6A039AB0" w:rsidR="005F4065" w:rsidRPr="00B40A77" w:rsidRDefault="005F4065" w:rsidP="000648DA">
      <w:pPr>
        <w:pStyle w:val="NoteText"/>
        <w:ind w:left="1985"/>
        <w:rPr>
          <w:color w:val="000000" w:themeColor="text1"/>
        </w:rPr>
      </w:pPr>
      <w:r w:rsidRPr="00B40A77">
        <w:rPr>
          <w:color w:val="000000" w:themeColor="text1"/>
        </w:rPr>
        <w:t>Form 1</w:t>
      </w:r>
      <w:r w:rsidR="002F46BE" w:rsidRPr="00B40A77">
        <w:rPr>
          <w:color w:val="000000" w:themeColor="text1"/>
        </w:rPr>
        <w:t>87</w:t>
      </w:r>
      <w:r w:rsidRPr="00B40A77">
        <w:rPr>
          <w:color w:val="000000" w:themeColor="text1"/>
        </w:rPr>
        <w:t xml:space="preserve"> </w:t>
      </w:r>
      <w:hyperlink r:id="rId402" w:history="1">
        <w:r w:rsidRPr="00B40A77">
          <w:rPr>
            <w:rStyle w:val="Hyperlink"/>
            <w:color w:val="000000" w:themeColor="text1"/>
          </w:rPr>
          <w:t>Written submissions</w:t>
        </w:r>
      </w:hyperlink>
    </w:p>
    <w:p w14:paraId="06C81743" w14:textId="2752421B" w:rsidR="005F4065" w:rsidRPr="00B40A77" w:rsidRDefault="005F4065" w:rsidP="000648DA">
      <w:pPr>
        <w:pStyle w:val="NoteText"/>
        <w:ind w:left="1985"/>
        <w:rPr>
          <w:color w:val="000000" w:themeColor="text1"/>
        </w:rPr>
      </w:pPr>
      <w:r w:rsidRPr="00B40A77">
        <w:rPr>
          <w:color w:val="000000" w:themeColor="text1"/>
        </w:rPr>
        <w:t>Form 1</w:t>
      </w:r>
      <w:r w:rsidR="002F46BE" w:rsidRPr="00B40A77">
        <w:rPr>
          <w:color w:val="000000" w:themeColor="text1"/>
        </w:rPr>
        <w:t>88</w:t>
      </w:r>
      <w:r w:rsidRPr="00B40A77">
        <w:rPr>
          <w:color w:val="000000" w:themeColor="text1"/>
        </w:rPr>
        <w:t xml:space="preserve"> </w:t>
      </w:r>
      <w:hyperlink r:id="rId403" w:history="1">
        <w:r w:rsidRPr="00B40A77">
          <w:rPr>
            <w:rStyle w:val="Hyperlink"/>
            <w:color w:val="000000" w:themeColor="text1"/>
          </w:rPr>
          <w:t>List of Authorities</w:t>
        </w:r>
      </w:hyperlink>
    </w:p>
    <w:p w14:paraId="521632C7" w14:textId="19BEDC6E" w:rsidR="00372C09" w:rsidRPr="00B40A77" w:rsidRDefault="00372C09" w:rsidP="00372C09">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r>
      <w:r w:rsidR="00606155" w:rsidRPr="00B40A77">
        <w:rPr>
          <w:rFonts w:cs="Times New Roman"/>
          <w:color w:val="000000" w:themeColor="text1"/>
        </w:rPr>
        <w:t xml:space="preserve">Unless the Court otherwise orders, the appellant must file and serve on each other party to the appellate proceeding written submissions, a list of authorities and any chronology at least 14 days before the </w:t>
      </w:r>
      <w:hyperlink w:anchor="_211.1—Definitions" w:history="1">
        <w:r w:rsidR="00606155" w:rsidRPr="00B40A77">
          <w:rPr>
            <w:rStyle w:val="Hyperlink"/>
            <w:rFonts w:cs="Times New Roman"/>
            <w:color w:val="000000" w:themeColor="text1"/>
          </w:rPr>
          <w:t>listed hearing date</w:t>
        </w:r>
      </w:hyperlink>
      <w:r w:rsidR="00606155" w:rsidRPr="00B40A77">
        <w:rPr>
          <w:rFonts w:cs="Times New Roman"/>
          <w:color w:val="000000" w:themeColor="text1"/>
        </w:rPr>
        <w:t>.</w:t>
      </w:r>
    </w:p>
    <w:p w14:paraId="38A6E604" w14:textId="4A1B1A8A" w:rsidR="00372C09" w:rsidRPr="00B40A77" w:rsidRDefault="00372C09" w:rsidP="00372C09">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r>
      <w:r w:rsidR="00606155" w:rsidRPr="00B40A77">
        <w:rPr>
          <w:rFonts w:cs="Times New Roman"/>
          <w:color w:val="000000" w:themeColor="text1"/>
        </w:rPr>
        <w:t xml:space="preserve">Unless the Court otherwise orders, each other party must file and serve on each other party to the appellate proceeding written submissions, a list of authorities and any chronology at least 7 days before the </w:t>
      </w:r>
      <w:hyperlink w:anchor="_211.1—Definitions" w:history="1">
        <w:r w:rsidR="00606155" w:rsidRPr="00B40A77">
          <w:rPr>
            <w:rStyle w:val="Hyperlink"/>
            <w:rFonts w:cs="Times New Roman"/>
            <w:color w:val="000000" w:themeColor="text1"/>
          </w:rPr>
          <w:t>listed hearing date</w:t>
        </w:r>
      </w:hyperlink>
      <w:r w:rsidR="00606155" w:rsidRPr="00B40A77">
        <w:rPr>
          <w:rFonts w:cs="Times New Roman"/>
          <w:color w:val="000000" w:themeColor="text1"/>
        </w:rPr>
        <w:t>.</w:t>
      </w:r>
    </w:p>
    <w:p w14:paraId="75D30C9A" w14:textId="0CD5EAEA" w:rsidR="00372C09" w:rsidRPr="00B40A77" w:rsidRDefault="00372C09" w:rsidP="00372C09">
      <w:pPr>
        <w:pStyle w:val="Hangindent"/>
        <w:rPr>
          <w:rFonts w:cs="Times New Roman"/>
          <w:color w:val="000000" w:themeColor="text1"/>
        </w:rPr>
      </w:pPr>
      <w:r w:rsidRPr="00B40A77">
        <w:rPr>
          <w:rFonts w:cs="Times New Roman"/>
          <w:color w:val="000000" w:themeColor="text1"/>
        </w:rPr>
        <w:t>(4)</w:t>
      </w:r>
      <w:r w:rsidRPr="00B40A77">
        <w:rPr>
          <w:rFonts w:cs="Times New Roman"/>
          <w:color w:val="000000" w:themeColor="text1"/>
        </w:rPr>
        <w:tab/>
      </w:r>
      <w:r w:rsidR="00606155" w:rsidRPr="00B40A77">
        <w:rPr>
          <w:rFonts w:cs="Times New Roman"/>
          <w:color w:val="000000" w:themeColor="text1"/>
        </w:rPr>
        <w:t xml:space="preserve">The appellant may file and serve on each other party to the appellate proceeding written submissions in reply at least 3 days before the </w:t>
      </w:r>
      <w:hyperlink w:anchor="_211.1—Definitions" w:history="1">
        <w:r w:rsidR="00606155" w:rsidRPr="00B40A77">
          <w:rPr>
            <w:rStyle w:val="Hyperlink"/>
            <w:rFonts w:cs="Times New Roman"/>
            <w:color w:val="000000" w:themeColor="text1"/>
          </w:rPr>
          <w:t>listed hearing date</w:t>
        </w:r>
      </w:hyperlink>
      <w:r w:rsidR="00606155" w:rsidRPr="00B40A77">
        <w:rPr>
          <w:rFonts w:cs="Times New Roman"/>
          <w:color w:val="000000" w:themeColor="text1"/>
        </w:rPr>
        <w:t>.</w:t>
      </w:r>
    </w:p>
    <w:p w14:paraId="0C7A7A59" w14:textId="11EF78D1" w:rsidR="00A412AF" w:rsidRPr="00B40A77" w:rsidRDefault="00A412AF" w:rsidP="00A412AF">
      <w:pPr>
        <w:pStyle w:val="Hangindent"/>
        <w:rPr>
          <w:rFonts w:cs="Times New Roman"/>
          <w:color w:val="000000" w:themeColor="text1"/>
        </w:rPr>
      </w:pPr>
      <w:r w:rsidRPr="00B40A77">
        <w:rPr>
          <w:rFonts w:cs="Times New Roman"/>
          <w:color w:val="000000" w:themeColor="text1"/>
        </w:rPr>
        <w:t>(5)</w:t>
      </w:r>
      <w:r w:rsidRPr="00B40A77">
        <w:rPr>
          <w:rFonts w:cs="Times New Roman"/>
          <w:color w:val="000000" w:themeColor="text1"/>
        </w:rPr>
        <w:tab/>
        <w:t xml:space="preserve">Written submissions must not, without the leave of </w:t>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or the Court, exceed</w:t>
      </w:r>
      <w:r w:rsidR="00A16C3A" w:rsidRPr="00B40A77">
        <w:rPr>
          <w:rFonts w:cs="Times New Roman"/>
          <w:color w:val="000000" w:themeColor="text1"/>
        </w:rPr>
        <w:t> </w:t>
      </w:r>
      <w:r w:rsidRPr="00B40A77">
        <w:rPr>
          <w:rFonts w:cs="Times New Roman"/>
          <w:color w:val="000000" w:themeColor="text1"/>
        </w:rPr>
        <w:t xml:space="preserve">20 pages for submissions in chief, or 10 pages for submissions in reply, and must comply with </w:t>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’s prescribed format requirements.</w:t>
      </w:r>
    </w:p>
    <w:p w14:paraId="76C222DB" w14:textId="5DD2C049" w:rsidR="00A412AF" w:rsidRPr="00B40A77" w:rsidRDefault="00A412AF" w:rsidP="00372C09">
      <w:pPr>
        <w:pStyle w:val="Hangindent"/>
        <w:rPr>
          <w:rFonts w:cs="Times New Roman"/>
          <w:color w:val="000000" w:themeColor="text1"/>
        </w:rPr>
      </w:pPr>
      <w:r w:rsidRPr="00B40A77">
        <w:rPr>
          <w:rFonts w:cs="Times New Roman"/>
          <w:color w:val="000000" w:themeColor="text1"/>
        </w:rPr>
        <w:t>(6)</w:t>
      </w:r>
      <w:r w:rsidRPr="00B40A77">
        <w:rPr>
          <w:rFonts w:cs="Times New Roman"/>
          <w:color w:val="000000" w:themeColor="text1"/>
        </w:rPr>
        <w:tab/>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may, on application by a party in accordance with </w:t>
      </w:r>
      <w:hyperlink w:anchor="_13.2—Registrar" w:history="1">
        <w:r w:rsidRPr="00B40A77">
          <w:rPr>
            <w:rStyle w:val="Hyperlink"/>
            <w:rFonts w:cs="Times New Roman"/>
            <w:color w:val="000000" w:themeColor="text1"/>
          </w:rPr>
          <w:t>rule 16.2</w:t>
        </w:r>
      </w:hyperlink>
      <w:r w:rsidR="00712433" w:rsidRPr="00B40A77">
        <w:rPr>
          <w:rStyle w:val="Hyperlink"/>
          <w:rFonts w:cs="Times New Roman"/>
          <w:color w:val="000000" w:themeColor="text1"/>
          <w:u w:val="none"/>
        </w:rPr>
        <w:t>(5)</w:t>
      </w:r>
      <w:r w:rsidRPr="00B40A77">
        <w:rPr>
          <w:rFonts w:cs="Times New Roman"/>
          <w:color w:val="000000" w:themeColor="text1"/>
        </w:rPr>
        <w:t>, vary the page limit for written submissions.</w:t>
      </w:r>
    </w:p>
    <w:p w14:paraId="419058D0" w14:textId="57AF7C41" w:rsidR="00372C09" w:rsidRPr="00B40A77" w:rsidRDefault="00E44539" w:rsidP="00372C09">
      <w:pPr>
        <w:pStyle w:val="Heading3"/>
        <w:rPr>
          <w:color w:val="000000" w:themeColor="text1"/>
        </w:rPr>
      </w:pPr>
      <w:bookmarkStart w:id="1125" w:name="_217.7—Written_submissions"/>
      <w:bookmarkStart w:id="1126" w:name="_Toc25920289"/>
      <w:bookmarkStart w:id="1127" w:name="_Toc175239358"/>
      <w:bookmarkEnd w:id="1123"/>
      <w:bookmarkEnd w:id="1124"/>
      <w:bookmarkEnd w:id="1125"/>
      <w:r w:rsidRPr="00B40A77">
        <w:rPr>
          <w:color w:val="000000" w:themeColor="text1"/>
        </w:rPr>
        <w:t xml:space="preserve">Division </w:t>
      </w:r>
      <w:r w:rsidR="000C53A1" w:rsidRPr="00B40A77">
        <w:rPr>
          <w:color w:val="000000" w:themeColor="text1"/>
        </w:rPr>
        <w:t>8</w:t>
      </w:r>
      <w:r w:rsidR="00372C09" w:rsidRPr="00B40A77">
        <w:rPr>
          <w:color w:val="000000" w:themeColor="text1"/>
        </w:rPr>
        <w:t>—Hearing and determination</w:t>
      </w:r>
      <w:bookmarkEnd w:id="1126"/>
      <w:bookmarkEnd w:id="1127"/>
      <w:r w:rsidR="00372C09" w:rsidRPr="00B40A77">
        <w:rPr>
          <w:color w:val="000000" w:themeColor="text1"/>
        </w:rPr>
        <w:t xml:space="preserve"> </w:t>
      </w:r>
    </w:p>
    <w:p w14:paraId="17487545" w14:textId="04FFF205" w:rsidR="00372C09" w:rsidRPr="00B40A77" w:rsidRDefault="00061CD0" w:rsidP="00372C09">
      <w:pPr>
        <w:pStyle w:val="Heading4"/>
        <w:rPr>
          <w:color w:val="000000" w:themeColor="text1"/>
        </w:rPr>
      </w:pPr>
      <w:bookmarkStart w:id="1128" w:name="_Toc25920290"/>
      <w:bookmarkStart w:id="1129" w:name="_Toc175239359"/>
      <w:r w:rsidRPr="00B40A77">
        <w:rPr>
          <w:color w:val="000000" w:themeColor="text1"/>
        </w:rPr>
        <w:t>19</w:t>
      </w:r>
      <w:r w:rsidR="00C47928" w:rsidRPr="00B40A77">
        <w:rPr>
          <w:color w:val="000000" w:themeColor="text1"/>
        </w:rPr>
        <w:t>1</w:t>
      </w:r>
      <w:r w:rsidR="00372C09" w:rsidRPr="00B40A77">
        <w:rPr>
          <w:color w:val="000000" w:themeColor="text1"/>
        </w:rPr>
        <w:t>.1—Hearing</w:t>
      </w:r>
      <w:bookmarkEnd w:id="1128"/>
      <w:bookmarkEnd w:id="1129"/>
      <w:r w:rsidR="001D7ED1" w:rsidRPr="00B40A77">
        <w:rPr>
          <w:color w:val="000000" w:themeColor="text1"/>
        </w:rPr>
        <w:t xml:space="preserve"> </w:t>
      </w:r>
    </w:p>
    <w:p w14:paraId="51C798E1" w14:textId="58624801" w:rsidR="00372C09" w:rsidRPr="00B40A77" w:rsidRDefault="00372C09" w:rsidP="00372C09">
      <w:pPr>
        <w:pStyle w:val="Hangindent"/>
        <w:rPr>
          <w:rFonts w:cs="Times New Roman"/>
          <w:color w:val="000000" w:themeColor="text1"/>
          <w:lang w:val="en-US"/>
        </w:rPr>
      </w:pPr>
      <w:r w:rsidRPr="00B40A77">
        <w:rPr>
          <w:rFonts w:cs="Times New Roman"/>
          <w:color w:val="000000" w:themeColor="text1"/>
        </w:rPr>
        <w:t>(1)</w:t>
      </w:r>
      <w:r w:rsidRPr="00B40A77">
        <w:rPr>
          <w:rFonts w:cs="Times New Roman"/>
          <w:color w:val="000000" w:themeColor="text1"/>
        </w:rPr>
        <w:tab/>
        <w:t xml:space="preserve">Subject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w:t>
      </w:r>
    </w:p>
    <w:p w14:paraId="7140CE25" w14:textId="5A9A6051" w:rsidR="00372C09" w:rsidRPr="00B40A77" w:rsidRDefault="00372C09" w:rsidP="00372C09">
      <w:pPr>
        <w:pStyle w:val="Doublehangindent"/>
        <w:rPr>
          <w:color w:val="000000" w:themeColor="text1"/>
          <w:lang w:val="en-US"/>
        </w:rPr>
      </w:pPr>
      <w:r w:rsidRPr="00B40A77">
        <w:rPr>
          <w:color w:val="000000" w:themeColor="text1"/>
          <w:lang w:val="en-US"/>
        </w:rPr>
        <w:t>(a)</w:t>
      </w:r>
      <w:r w:rsidRPr="00B40A77">
        <w:rPr>
          <w:color w:val="000000" w:themeColor="text1"/>
          <w:lang w:val="en-US"/>
        </w:rPr>
        <w:tab/>
        <w:t>an appeal is to be by way of rehearing;</w:t>
      </w:r>
    </w:p>
    <w:p w14:paraId="5E315C8C" w14:textId="0CDE00E1" w:rsidR="00372C09" w:rsidRPr="00B40A77" w:rsidRDefault="00372C09" w:rsidP="00372C09">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the Court may draw inferences from evidence adduced in the proceeding at first instance; and</w:t>
      </w:r>
    </w:p>
    <w:p w14:paraId="26B8517C" w14:textId="3BD460F3" w:rsidR="00372C09" w:rsidRPr="00B40A77" w:rsidRDefault="00372C09" w:rsidP="00372C09">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Court may hear further evidence in its discretion.</w:t>
      </w:r>
    </w:p>
    <w:p w14:paraId="081AC7BC" w14:textId="7927A4BB" w:rsidR="00372C09" w:rsidRPr="00B40A77" w:rsidRDefault="00372C09" w:rsidP="00372C09">
      <w:pPr>
        <w:pStyle w:val="Hangindent"/>
        <w:rPr>
          <w:rFonts w:cs="Times New Roman"/>
          <w:color w:val="000000" w:themeColor="text1"/>
        </w:rPr>
      </w:pPr>
      <w:bookmarkStart w:id="1130" w:name="_Hlk36560414"/>
      <w:r w:rsidRPr="00B40A77">
        <w:rPr>
          <w:rFonts w:cs="Times New Roman"/>
          <w:color w:val="000000" w:themeColor="text1"/>
        </w:rPr>
        <w:t>(2)</w:t>
      </w:r>
      <w:r w:rsidRPr="00B40A77">
        <w:rPr>
          <w:rFonts w:cs="Times New Roman"/>
          <w:color w:val="000000" w:themeColor="text1"/>
        </w:rPr>
        <w:tab/>
      </w:r>
      <w:r w:rsidR="00BD283A" w:rsidRPr="00B40A77">
        <w:rPr>
          <w:rFonts w:cs="Times New Roman"/>
          <w:color w:val="000000" w:themeColor="text1"/>
        </w:rPr>
        <w:t>T</w:t>
      </w:r>
      <w:r w:rsidRPr="00B40A77">
        <w:rPr>
          <w:rFonts w:cs="Times New Roman"/>
          <w:color w:val="000000" w:themeColor="text1"/>
        </w:rPr>
        <w:t xml:space="preserve">he Court may, if it considers that it is in the interests of justice to do so, determine </w:t>
      </w:r>
      <w:r w:rsidR="00BD283A" w:rsidRPr="00B40A77">
        <w:rPr>
          <w:color w:val="000000" w:themeColor="text1"/>
          <w:lang w:val="en-US"/>
        </w:rPr>
        <w:t>an appellate proceeding</w:t>
      </w:r>
      <w:r w:rsidRPr="00B40A77">
        <w:rPr>
          <w:rFonts w:cs="Times New Roman"/>
          <w:color w:val="000000" w:themeColor="text1"/>
        </w:rPr>
        <w:t xml:space="preserve"> on the merits notwithstanding a failure of a party to raise or </w:t>
      </w:r>
      <w:r w:rsidR="00652AC7" w:rsidRPr="00B40A77">
        <w:rPr>
          <w:rFonts w:cs="Times New Roman"/>
          <w:color w:val="000000" w:themeColor="text1"/>
        </w:rPr>
        <w:t xml:space="preserve">properly </w:t>
      </w:r>
      <w:r w:rsidRPr="00B40A77">
        <w:rPr>
          <w:rFonts w:cs="Times New Roman"/>
          <w:color w:val="000000" w:themeColor="text1"/>
        </w:rPr>
        <w:t xml:space="preserve">state a </w:t>
      </w:r>
      <w:r w:rsidR="007E5891" w:rsidRPr="00B40A77">
        <w:rPr>
          <w:rFonts w:cs="Times New Roman"/>
          <w:color w:val="000000" w:themeColor="text1"/>
        </w:rPr>
        <w:t>contention in a</w:t>
      </w:r>
      <w:r w:rsidR="00BD283A" w:rsidRPr="00B40A77">
        <w:rPr>
          <w:rFonts w:cs="Times New Roman"/>
          <w:color w:val="000000" w:themeColor="text1"/>
        </w:rPr>
        <w:t xml:space="preserve">n </w:t>
      </w:r>
      <w:hyperlink w:anchor="_211.1—Definitions" w:history="1">
        <w:r w:rsidR="000D2BEB" w:rsidRPr="00B40A77">
          <w:rPr>
            <w:rStyle w:val="Hyperlink"/>
            <w:color w:val="000000" w:themeColor="text1"/>
            <w:lang w:val="en-US"/>
          </w:rPr>
          <w:t>appellate document</w:t>
        </w:r>
      </w:hyperlink>
      <w:r w:rsidRPr="00B40A77">
        <w:rPr>
          <w:rFonts w:cs="Times New Roman"/>
          <w:color w:val="000000" w:themeColor="text1"/>
        </w:rPr>
        <w:t xml:space="preserve"> </w:t>
      </w:r>
      <w:r w:rsidR="00BD283A" w:rsidRPr="00B40A77">
        <w:rPr>
          <w:rFonts w:cs="Times New Roman"/>
          <w:color w:val="000000" w:themeColor="text1"/>
        </w:rPr>
        <w:t>or written submissions</w:t>
      </w:r>
      <w:r w:rsidRPr="00B40A77">
        <w:rPr>
          <w:rFonts w:cs="Times New Roman"/>
          <w:color w:val="000000" w:themeColor="text1"/>
        </w:rPr>
        <w:t>.</w:t>
      </w:r>
    </w:p>
    <w:p w14:paraId="3E620E0E" w14:textId="4E7BB4C5" w:rsidR="00440211" w:rsidRPr="00B40A77" w:rsidRDefault="00440211" w:rsidP="00372C09">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r>
      <w:r w:rsidR="005B1F24" w:rsidRPr="00B40A77">
        <w:rPr>
          <w:rFonts w:cs="Times New Roman"/>
          <w:color w:val="000000" w:themeColor="text1"/>
        </w:rPr>
        <w:t>The Court may, if it thinks fit and s</w:t>
      </w:r>
      <w:r w:rsidRPr="00B40A77">
        <w:rPr>
          <w:rFonts w:cs="Times New Roman"/>
          <w:color w:val="000000" w:themeColor="text1"/>
        </w:rPr>
        <w:t xml:space="preserve">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w:t>
      </w:r>
      <w:r w:rsidR="00E534B7" w:rsidRPr="00B40A77">
        <w:rPr>
          <w:rFonts w:cs="Times New Roman"/>
          <w:color w:val="000000" w:themeColor="text1"/>
        </w:rPr>
        <w:t xml:space="preserve"> </w:t>
      </w:r>
      <w:r w:rsidRPr="00B40A77">
        <w:rPr>
          <w:rFonts w:cs="Times New Roman"/>
          <w:color w:val="000000" w:themeColor="text1"/>
        </w:rPr>
        <w:t xml:space="preserve">reformulate the question reserved </w:t>
      </w:r>
      <w:r w:rsidR="00652AC7" w:rsidRPr="00B40A77">
        <w:rPr>
          <w:rFonts w:cs="Times New Roman"/>
          <w:color w:val="000000" w:themeColor="text1"/>
        </w:rPr>
        <w:t xml:space="preserve">on a </w:t>
      </w:r>
      <w:hyperlink w:anchor="_211.1—Definitions" w:history="1">
        <w:r w:rsidR="00E630D0" w:rsidRPr="00B40A77">
          <w:rPr>
            <w:rStyle w:val="Hyperlink"/>
            <w:color w:val="000000" w:themeColor="text1"/>
            <w:lang w:val="en-US"/>
          </w:rPr>
          <w:t>case stated</w:t>
        </w:r>
      </w:hyperlink>
      <w:r w:rsidR="00652AC7" w:rsidRPr="00B40A77">
        <w:rPr>
          <w:rFonts w:cs="Times New Roman"/>
          <w:color w:val="000000" w:themeColor="text1"/>
        </w:rPr>
        <w:t xml:space="preserve"> </w:t>
      </w:r>
      <w:r w:rsidRPr="00B40A77">
        <w:rPr>
          <w:rFonts w:cs="Times New Roman"/>
          <w:color w:val="000000" w:themeColor="text1"/>
        </w:rPr>
        <w:t xml:space="preserve">to better reflect the question of law arising on the </w:t>
      </w:r>
      <w:hyperlink w:anchor="_211.1—Definitions" w:history="1">
        <w:r w:rsidR="00E630D0" w:rsidRPr="00B40A77">
          <w:rPr>
            <w:rStyle w:val="Hyperlink"/>
            <w:color w:val="000000" w:themeColor="text1"/>
            <w:lang w:val="en-US"/>
          </w:rPr>
          <w:t>case stated</w:t>
        </w:r>
      </w:hyperlink>
      <w:r w:rsidRPr="00B40A77">
        <w:rPr>
          <w:rFonts w:cs="Times New Roman"/>
          <w:color w:val="000000" w:themeColor="text1"/>
        </w:rPr>
        <w:t>.</w:t>
      </w:r>
    </w:p>
    <w:p w14:paraId="066D27EE" w14:textId="7C874C05" w:rsidR="00372C09" w:rsidRPr="00B40A77" w:rsidRDefault="00061CD0" w:rsidP="00372C09">
      <w:pPr>
        <w:pStyle w:val="Heading4"/>
        <w:rPr>
          <w:color w:val="000000" w:themeColor="text1"/>
        </w:rPr>
      </w:pPr>
      <w:bookmarkStart w:id="1131" w:name="_Toc25920291"/>
      <w:bookmarkStart w:id="1132" w:name="_Toc175239360"/>
      <w:bookmarkEnd w:id="1130"/>
      <w:r w:rsidRPr="00B40A77">
        <w:rPr>
          <w:color w:val="000000" w:themeColor="text1"/>
        </w:rPr>
        <w:t>19</w:t>
      </w:r>
      <w:r w:rsidR="00044BDB" w:rsidRPr="00B40A77">
        <w:rPr>
          <w:color w:val="000000" w:themeColor="text1"/>
        </w:rPr>
        <w:t>1.2</w:t>
      </w:r>
      <w:r w:rsidR="00372C09" w:rsidRPr="00B40A77">
        <w:rPr>
          <w:color w:val="000000" w:themeColor="text1"/>
        </w:rPr>
        <w:t>—Determination</w:t>
      </w:r>
      <w:bookmarkEnd w:id="1131"/>
      <w:bookmarkEnd w:id="1132"/>
      <w:r w:rsidR="00372C09" w:rsidRPr="00B40A77">
        <w:rPr>
          <w:color w:val="000000" w:themeColor="text1"/>
        </w:rPr>
        <w:t xml:space="preserve"> </w:t>
      </w:r>
    </w:p>
    <w:p w14:paraId="24A18485" w14:textId="42B6561C" w:rsidR="00372C09" w:rsidRPr="00B40A77" w:rsidRDefault="00372C09" w:rsidP="00372C09">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Subject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 </w:t>
      </w:r>
      <w:r w:rsidR="00440211" w:rsidRPr="00B40A77">
        <w:rPr>
          <w:rFonts w:cs="Times New Roman"/>
          <w:color w:val="000000" w:themeColor="text1"/>
        </w:rPr>
        <w:t xml:space="preserve">on an appeal </w:t>
      </w:r>
      <w:r w:rsidRPr="00B40A77">
        <w:rPr>
          <w:rFonts w:cs="Times New Roman"/>
          <w:color w:val="000000" w:themeColor="text1"/>
        </w:rPr>
        <w:t>the Court may</w:t>
      </w:r>
      <w:r w:rsidRPr="00B40A77">
        <w:rPr>
          <w:b/>
          <w:color w:val="000000" w:themeColor="text1"/>
          <w:sz w:val="20"/>
          <w:szCs w:val="20"/>
        </w:rPr>
        <w:t>—</w:t>
      </w:r>
    </w:p>
    <w:p w14:paraId="6365987D" w14:textId="53F41461" w:rsidR="00372C09" w:rsidRPr="00B40A77" w:rsidRDefault="00372C09" w:rsidP="00372C09">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set aside or amend the judgment or order the subject of </w:t>
      </w:r>
      <w:r w:rsidR="00BD283A" w:rsidRPr="00B40A77">
        <w:rPr>
          <w:color w:val="000000" w:themeColor="text1"/>
          <w:lang w:val="en-US"/>
        </w:rPr>
        <w:t>an</w:t>
      </w:r>
      <w:r w:rsidRPr="00B40A77">
        <w:rPr>
          <w:color w:val="000000" w:themeColor="text1"/>
          <w:lang w:val="en-US"/>
        </w:rPr>
        <w:t xml:space="preserve"> appeal;</w:t>
      </w:r>
    </w:p>
    <w:p w14:paraId="4B97D9C3" w14:textId="5E2DC705" w:rsidR="00372C09" w:rsidRPr="00B40A77" w:rsidRDefault="00372C09" w:rsidP="00372C09">
      <w:pPr>
        <w:pStyle w:val="Doublehangindent"/>
        <w:rPr>
          <w:color w:val="000000" w:themeColor="text1"/>
          <w:lang w:val="en-US"/>
        </w:rPr>
      </w:pPr>
      <w:r w:rsidRPr="00B40A77">
        <w:rPr>
          <w:color w:val="000000" w:themeColor="text1"/>
          <w:lang w:val="en-US"/>
        </w:rPr>
        <w:t>(b)</w:t>
      </w:r>
      <w:r w:rsidRPr="00B40A77">
        <w:rPr>
          <w:color w:val="000000" w:themeColor="text1"/>
          <w:lang w:val="en-US"/>
        </w:rPr>
        <w:tab/>
        <w:t>substitute the Court’s own judgment or order;</w:t>
      </w:r>
    </w:p>
    <w:p w14:paraId="1B89EC54" w14:textId="77777777" w:rsidR="00372C09" w:rsidRPr="00B40A77" w:rsidRDefault="00372C09" w:rsidP="00372C09">
      <w:pPr>
        <w:pStyle w:val="Doublehangindent"/>
        <w:rPr>
          <w:color w:val="000000" w:themeColor="text1"/>
          <w:lang w:val="en-US"/>
        </w:rPr>
      </w:pPr>
      <w:r w:rsidRPr="00B40A77">
        <w:rPr>
          <w:color w:val="000000" w:themeColor="text1"/>
          <w:lang w:val="en-US"/>
        </w:rPr>
        <w:t>(c)</w:t>
      </w:r>
      <w:r w:rsidRPr="00B40A77">
        <w:rPr>
          <w:color w:val="000000" w:themeColor="text1"/>
          <w:lang w:val="en-US"/>
        </w:rPr>
        <w:tab/>
        <w:t>remit the matter for rehearing or reconsideration;</w:t>
      </w:r>
    </w:p>
    <w:p w14:paraId="153C07DE" w14:textId="2AA33D73" w:rsidR="00372C09" w:rsidRPr="00B40A77" w:rsidRDefault="00372C09" w:rsidP="00372C09">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dismiss </w:t>
      </w:r>
      <w:r w:rsidR="00652AC7" w:rsidRPr="00B40A77">
        <w:rPr>
          <w:color w:val="000000" w:themeColor="text1"/>
          <w:lang w:val="en-US"/>
        </w:rPr>
        <w:t>the</w:t>
      </w:r>
      <w:r w:rsidR="00BD283A" w:rsidRPr="00B40A77">
        <w:rPr>
          <w:color w:val="000000" w:themeColor="text1"/>
          <w:lang w:val="en-US"/>
        </w:rPr>
        <w:t xml:space="preserve"> appeal</w:t>
      </w:r>
      <w:r w:rsidRPr="00B40A77">
        <w:rPr>
          <w:color w:val="000000" w:themeColor="text1"/>
          <w:lang w:val="en-US"/>
        </w:rPr>
        <w:t>;</w:t>
      </w:r>
    </w:p>
    <w:p w14:paraId="3B068FB6" w14:textId="67D71F1E" w:rsidR="00372C09" w:rsidRPr="00B40A77" w:rsidRDefault="00372C09" w:rsidP="00372C09">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make orders for the costs of </w:t>
      </w:r>
      <w:r w:rsidR="00C52F81" w:rsidRPr="00B40A77">
        <w:rPr>
          <w:color w:val="000000" w:themeColor="text1"/>
          <w:lang w:val="en-US"/>
        </w:rPr>
        <w:t xml:space="preserve">the </w:t>
      </w:r>
      <w:r w:rsidR="00BD283A" w:rsidRPr="00B40A77">
        <w:rPr>
          <w:color w:val="000000" w:themeColor="text1"/>
          <w:lang w:val="en-US"/>
        </w:rPr>
        <w:t xml:space="preserve">appellate proceeding </w:t>
      </w:r>
      <w:r w:rsidRPr="00B40A77">
        <w:rPr>
          <w:color w:val="000000" w:themeColor="text1"/>
          <w:lang w:val="en-US"/>
        </w:rPr>
        <w:t>or costs at first instance; or</w:t>
      </w:r>
    </w:p>
    <w:p w14:paraId="05C41E93" w14:textId="1DC4C8E5" w:rsidR="00372C09" w:rsidRPr="00B40A77" w:rsidRDefault="00372C09" w:rsidP="00372C09">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make such other or further order for the disposition of the </w:t>
      </w:r>
      <w:r w:rsidR="00BD283A" w:rsidRPr="00B40A77">
        <w:rPr>
          <w:color w:val="000000" w:themeColor="text1"/>
          <w:lang w:val="en-US"/>
        </w:rPr>
        <w:t>appellate proceeding</w:t>
      </w:r>
      <w:r w:rsidRPr="00B40A77">
        <w:rPr>
          <w:color w:val="000000" w:themeColor="text1"/>
          <w:lang w:val="en-US"/>
        </w:rPr>
        <w:t xml:space="preserve"> as it thinks fit.</w:t>
      </w:r>
    </w:p>
    <w:p w14:paraId="7D67AE57" w14:textId="7AD2D683" w:rsidR="00440211" w:rsidRPr="00B40A77" w:rsidRDefault="00440211" w:rsidP="00440211">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Subject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 the Court may, in addition to answering the question of law reserved</w:t>
      </w:r>
      <w:r w:rsidR="00652AC7" w:rsidRPr="00B40A77">
        <w:rPr>
          <w:rFonts w:cs="Times New Roman"/>
          <w:color w:val="000000" w:themeColor="text1"/>
        </w:rPr>
        <w:t xml:space="preserve"> on a </w:t>
      </w:r>
      <w:hyperlink w:anchor="_211.1—Definitions" w:history="1">
        <w:r w:rsidR="00E630D0" w:rsidRPr="00B40A77">
          <w:rPr>
            <w:rStyle w:val="Hyperlink"/>
            <w:color w:val="000000" w:themeColor="text1"/>
            <w:lang w:val="en-US"/>
          </w:rPr>
          <w:t>case stated</w:t>
        </w:r>
      </w:hyperlink>
      <w:r w:rsidRPr="00B40A77">
        <w:rPr>
          <w:b/>
          <w:color w:val="000000" w:themeColor="text1"/>
          <w:sz w:val="20"/>
          <w:szCs w:val="20"/>
        </w:rPr>
        <w:t>—</w:t>
      </w:r>
    </w:p>
    <w:p w14:paraId="083F44A1" w14:textId="3C3C6D91" w:rsidR="00440211" w:rsidRPr="00B40A77" w:rsidRDefault="00440211" w:rsidP="00440211">
      <w:pPr>
        <w:pStyle w:val="Doublehangindent"/>
        <w:rPr>
          <w:color w:val="000000" w:themeColor="text1"/>
          <w:lang w:val="en-US"/>
        </w:rPr>
      </w:pPr>
      <w:r w:rsidRPr="00B40A77">
        <w:rPr>
          <w:color w:val="000000" w:themeColor="text1"/>
          <w:lang w:val="en-US"/>
        </w:rPr>
        <w:t>(a)</w:t>
      </w:r>
      <w:r w:rsidRPr="00B40A77">
        <w:rPr>
          <w:color w:val="000000" w:themeColor="text1"/>
          <w:lang w:val="en-US"/>
        </w:rPr>
        <w:tab/>
        <w:t>make orders for the costs of the appellate proceeding or costs at first instance; or</w:t>
      </w:r>
    </w:p>
    <w:p w14:paraId="7E388E41" w14:textId="023692C3" w:rsidR="00440211" w:rsidRPr="00B40A77" w:rsidRDefault="00440211" w:rsidP="00440211">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make such other or further order for the disposition of the </w:t>
      </w:r>
      <w:r w:rsidR="00973BEF" w:rsidRPr="00B40A77">
        <w:rPr>
          <w:color w:val="000000" w:themeColor="text1"/>
          <w:lang w:val="en-US"/>
        </w:rPr>
        <w:t xml:space="preserve">appellate proceeding </w:t>
      </w:r>
      <w:r w:rsidRPr="00B40A77">
        <w:rPr>
          <w:color w:val="000000" w:themeColor="text1"/>
          <w:lang w:val="en-US"/>
        </w:rPr>
        <w:t>as it thinks fit.</w:t>
      </w:r>
    </w:p>
    <w:p w14:paraId="5B78ED56" w14:textId="6F99893D" w:rsidR="003174BF" w:rsidRPr="00B40A77" w:rsidRDefault="003174BF" w:rsidP="00440211">
      <w:pPr>
        <w:pStyle w:val="Hangindent"/>
        <w:rPr>
          <w:rFonts w:cs="Times New Roman"/>
          <w:color w:val="000000" w:themeColor="text1"/>
        </w:rPr>
      </w:pPr>
      <w:r w:rsidRPr="00B40A77">
        <w:rPr>
          <w:rFonts w:cs="Times New Roman"/>
          <w:i/>
          <w:iCs/>
          <w:color w:val="000000" w:themeColor="text1"/>
        </w:rPr>
        <w:t>Supreme Court</w:t>
      </w:r>
    </w:p>
    <w:p w14:paraId="4FD59EA1" w14:textId="0C070804" w:rsidR="00372C09" w:rsidRPr="00B40A77" w:rsidRDefault="00652AC7" w:rsidP="00652AC7">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r>
      <w:r w:rsidR="00372C09" w:rsidRPr="00B40A77">
        <w:rPr>
          <w:rFonts w:cs="Times New Roman"/>
          <w:color w:val="000000" w:themeColor="text1"/>
        </w:rPr>
        <w:t xml:space="preserve">When the Court determines an </w:t>
      </w:r>
      <w:r w:rsidR="00E44539" w:rsidRPr="00B40A77">
        <w:rPr>
          <w:rFonts w:cs="Times New Roman"/>
          <w:color w:val="000000" w:themeColor="text1"/>
        </w:rPr>
        <w:t xml:space="preserve">appellate proceeding </w:t>
      </w:r>
      <w:r w:rsidR="00372C09" w:rsidRPr="00B40A77">
        <w:rPr>
          <w:rFonts w:cs="Times New Roman"/>
          <w:color w:val="000000" w:themeColor="text1"/>
        </w:rPr>
        <w:t xml:space="preserve">(including refusing leave to appeal), </w:t>
      </w:r>
      <w:hyperlink w:anchor="_2.1—Definitions" w:history="1">
        <w:r w:rsidR="00372C09"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00372C09" w:rsidRPr="00B40A77">
        <w:rPr>
          <w:rFonts w:cs="Times New Roman"/>
          <w:color w:val="000000" w:themeColor="text1"/>
        </w:rPr>
        <w:t xml:space="preserve"> must—</w:t>
      </w:r>
    </w:p>
    <w:p w14:paraId="51336D4A" w14:textId="7F6CF111" w:rsidR="00372C09" w:rsidRPr="00B40A77" w:rsidRDefault="00372C09" w:rsidP="00372C0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CE7020" w:rsidRPr="00B40A77">
        <w:rPr>
          <w:color w:val="000000" w:themeColor="text1"/>
          <w:lang w:val="en-US"/>
        </w:rPr>
        <w:t>cause</w:t>
      </w:r>
      <w:r w:rsidRPr="00B40A77">
        <w:rPr>
          <w:color w:val="000000" w:themeColor="text1"/>
          <w:lang w:val="en-US"/>
        </w:rPr>
        <w:t xml:space="preserve"> </w:t>
      </w:r>
      <w:r w:rsidR="00F60B43" w:rsidRPr="00B40A77">
        <w:rPr>
          <w:color w:val="000000" w:themeColor="text1"/>
          <w:lang w:val="en-US"/>
        </w:rPr>
        <w:t>the r</w:t>
      </w:r>
      <w:r w:rsidRPr="00B40A77">
        <w:rPr>
          <w:color w:val="000000" w:themeColor="text1"/>
          <w:lang w:val="en-US"/>
        </w:rPr>
        <w:t xml:space="preserve">egistrar or </w:t>
      </w:r>
      <w:r w:rsidR="00F60B43" w:rsidRPr="00B40A77">
        <w:rPr>
          <w:color w:val="000000" w:themeColor="text1"/>
          <w:lang w:val="en-US"/>
        </w:rPr>
        <w:t xml:space="preserve">other </w:t>
      </w:r>
      <w:r w:rsidRPr="00B40A77">
        <w:rPr>
          <w:color w:val="000000" w:themeColor="text1"/>
          <w:lang w:val="en-US"/>
        </w:rPr>
        <w:t xml:space="preserve">proper officer of the court </w:t>
      </w:r>
      <w:r w:rsidR="00E44539" w:rsidRPr="00B40A77">
        <w:rPr>
          <w:color w:val="000000" w:themeColor="text1"/>
          <w:lang w:val="en-US"/>
        </w:rPr>
        <w:t xml:space="preserve">of first instance </w:t>
      </w:r>
      <w:r w:rsidR="00CE7020" w:rsidRPr="00B40A77">
        <w:rPr>
          <w:color w:val="000000" w:themeColor="text1"/>
          <w:lang w:val="en-US"/>
        </w:rPr>
        <w:t xml:space="preserve">to be given </w:t>
      </w:r>
      <w:r w:rsidRPr="00B40A77">
        <w:rPr>
          <w:color w:val="000000" w:themeColor="text1"/>
          <w:lang w:val="en-US"/>
        </w:rPr>
        <w:t>written notice of the Court’s decision together with any written reasons given by the Court; and</w:t>
      </w:r>
    </w:p>
    <w:p w14:paraId="3CF491D1" w14:textId="04CB395B" w:rsidR="00372C09" w:rsidRPr="00B40A77" w:rsidRDefault="00372C09" w:rsidP="00372C09">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E7020" w:rsidRPr="00B40A77">
        <w:rPr>
          <w:color w:val="000000" w:themeColor="text1"/>
          <w:lang w:val="en-US"/>
        </w:rPr>
        <w:t xml:space="preserve">cause </w:t>
      </w:r>
      <w:r w:rsidRPr="00B40A77">
        <w:rPr>
          <w:color w:val="000000" w:themeColor="text1"/>
          <w:lang w:val="en-US"/>
        </w:rPr>
        <w:t xml:space="preserve">any documents or materials transmitted to the Court by </w:t>
      </w:r>
      <w:hyperlink w:anchor="_2.1—Definitions" w:history="1">
        <w:r w:rsidR="00F60B43" w:rsidRPr="00B40A77">
          <w:rPr>
            <w:rStyle w:val="Hyperlink"/>
            <w:color w:val="000000" w:themeColor="text1"/>
            <w:u w:val="none"/>
            <w:lang w:val="en-US"/>
          </w:rPr>
          <w:t>the r</w:t>
        </w:r>
        <w:r w:rsidRPr="00B40A77">
          <w:rPr>
            <w:rStyle w:val="Hyperlink"/>
            <w:color w:val="000000" w:themeColor="text1"/>
            <w:u w:val="none"/>
            <w:lang w:val="en-US"/>
          </w:rPr>
          <w:t>egistrar</w:t>
        </w:r>
      </w:hyperlink>
      <w:r w:rsidRPr="00B40A77">
        <w:rPr>
          <w:color w:val="000000" w:themeColor="text1"/>
          <w:lang w:val="en-US"/>
        </w:rPr>
        <w:t xml:space="preserve"> or proper officer of the court </w:t>
      </w:r>
      <w:r w:rsidR="00E44539" w:rsidRPr="00B40A77">
        <w:rPr>
          <w:color w:val="000000" w:themeColor="text1"/>
          <w:lang w:val="en-US"/>
        </w:rPr>
        <w:t>of first instance</w:t>
      </w:r>
      <w:r w:rsidRPr="00B40A77">
        <w:rPr>
          <w:color w:val="000000" w:themeColor="text1"/>
          <w:lang w:val="en-US"/>
        </w:rPr>
        <w:t xml:space="preserve"> (other than documents and materials forwarded in electronic form) for the purpose of the appellate proceeding</w:t>
      </w:r>
      <w:r w:rsidR="006B4059" w:rsidRPr="00B40A77">
        <w:rPr>
          <w:color w:val="000000" w:themeColor="text1"/>
          <w:lang w:val="en-US"/>
        </w:rPr>
        <w:t>,</w:t>
      </w:r>
      <w:r w:rsidR="00CE7020" w:rsidRPr="00B40A77">
        <w:rPr>
          <w:color w:val="000000" w:themeColor="text1"/>
          <w:lang w:val="en-US"/>
        </w:rPr>
        <w:t xml:space="preserve"> to be returned</w:t>
      </w:r>
      <w:r w:rsidRPr="00B40A77">
        <w:rPr>
          <w:color w:val="000000" w:themeColor="text1"/>
          <w:lang w:val="en-US"/>
        </w:rPr>
        <w:t>.</w:t>
      </w:r>
    </w:p>
    <w:p w14:paraId="6055114C" w14:textId="0817779F" w:rsidR="00CD77A5" w:rsidRPr="00B40A77" w:rsidRDefault="00061CD0" w:rsidP="006A6104">
      <w:pPr>
        <w:pStyle w:val="Heading4"/>
        <w:rPr>
          <w:color w:val="000000" w:themeColor="text1"/>
        </w:rPr>
      </w:pPr>
      <w:bookmarkStart w:id="1133" w:name="_Toc60133653"/>
      <w:bookmarkStart w:id="1134" w:name="_Toc175239361"/>
      <w:bookmarkStart w:id="1135" w:name="_Toc25920295"/>
      <w:r w:rsidRPr="00B40A77">
        <w:rPr>
          <w:color w:val="000000" w:themeColor="text1"/>
        </w:rPr>
        <w:t>19</w:t>
      </w:r>
      <w:r w:rsidR="00A37AFB" w:rsidRPr="00B40A77">
        <w:rPr>
          <w:color w:val="000000" w:themeColor="text1"/>
        </w:rPr>
        <w:t>1.3</w:t>
      </w:r>
      <w:r w:rsidR="00CD77A5" w:rsidRPr="00B40A77">
        <w:rPr>
          <w:color w:val="000000" w:themeColor="text1"/>
        </w:rPr>
        <w:t>—Costs of appeals</w:t>
      </w:r>
      <w:bookmarkEnd w:id="1133"/>
      <w:r w:rsidR="003174BF" w:rsidRPr="00B40A77">
        <w:rPr>
          <w:color w:val="000000" w:themeColor="text1"/>
        </w:rPr>
        <w:t>: Supreme Court</w:t>
      </w:r>
      <w:bookmarkEnd w:id="1134"/>
    </w:p>
    <w:p w14:paraId="3A8585F3" w14:textId="47915985" w:rsidR="00CD77A5" w:rsidRPr="00B40A77" w:rsidRDefault="00CD77A5" w:rsidP="00CD77A5">
      <w:pPr>
        <w:pStyle w:val="Hangindent"/>
        <w:rPr>
          <w:color w:val="000000" w:themeColor="text1"/>
          <w:lang w:val="en-US"/>
        </w:rPr>
      </w:pPr>
      <w:r w:rsidRPr="00B40A77">
        <w:rPr>
          <w:color w:val="000000" w:themeColor="text1"/>
          <w:lang w:val="en-US"/>
        </w:rPr>
        <w:t>(1)</w:t>
      </w:r>
      <w:r w:rsidRPr="00B40A77">
        <w:rPr>
          <w:color w:val="000000" w:themeColor="text1"/>
          <w:lang w:val="en-US"/>
        </w:rPr>
        <w:tab/>
        <w:t>Costs in a</w:t>
      </w:r>
      <w:r w:rsidR="00F60B43" w:rsidRPr="00B40A77">
        <w:rPr>
          <w:color w:val="000000" w:themeColor="text1"/>
          <w:lang w:val="en-US"/>
        </w:rPr>
        <w:t>n appellate proceeding</w:t>
      </w:r>
      <w:r w:rsidR="001D7ED1" w:rsidRPr="00B40A77">
        <w:rPr>
          <w:color w:val="000000" w:themeColor="text1"/>
          <w:lang w:val="en-US"/>
        </w:rPr>
        <w:t xml:space="preserve"> governed by this Part</w:t>
      </w:r>
      <w:r w:rsidRPr="00B40A77">
        <w:rPr>
          <w:color w:val="000000" w:themeColor="text1"/>
          <w:lang w:val="en-US"/>
        </w:rPr>
        <w:t xml:space="preserve"> are in the discretion of the Court.</w:t>
      </w:r>
    </w:p>
    <w:p w14:paraId="1C492F2D" w14:textId="7032DF18" w:rsidR="006B4059" w:rsidRPr="00B40A77" w:rsidRDefault="00CD77A5" w:rsidP="00CD77A5">
      <w:pPr>
        <w:pStyle w:val="Hangindent"/>
        <w:keepLines/>
        <w:rPr>
          <w:color w:val="000000" w:themeColor="text1"/>
          <w:lang w:val="en-US"/>
        </w:rPr>
      </w:pPr>
      <w:r w:rsidRPr="00B40A77">
        <w:rPr>
          <w:color w:val="000000" w:themeColor="text1"/>
          <w:lang w:val="en-US"/>
        </w:rPr>
        <w:t>(2)</w:t>
      </w:r>
      <w:r w:rsidRPr="00B40A77">
        <w:rPr>
          <w:color w:val="000000" w:themeColor="text1"/>
          <w:lang w:val="en-US"/>
        </w:rPr>
        <w:tab/>
        <w:t>The general rule is that costs follow the event and in the ordinary case</w:t>
      </w:r>
      <w:r w:rsidR="006B4059" w:rsidRPr="00B40A77">
        <w:rPr>
          <w:color w:val="000000" w:themeColor="text1"/>
        </w:rPr>
        <w:t>—</w:t>
      </w:r>
    </w:p>
    <w:p w14:paraId="5442ED31" w14:textId="6AA59852" w:rsidR="006B4059" w:rsidRPr="00B40A77" w:rsidRDefault="006B4059" w:rsidP="006B405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CD77A5" w:rsidRPr="00B40A77">
        <w:rPr>
          <w:color w:val="000000" w:themeColor="text1"/>
          <w:lang w:val="en-US"/>
        </w:rPr>
        <w:t>costs fixed at</w:t>
      </w:r>
      <w:r w:rsidRPr="00B40A77">
        <w:rPr>
          <w:color w:val="000000" w:themeColor="text1"/>
          <w:lang w:val="en-US"/>
        </w:rPr>
        <w:t> </w:t>
      </w:r>
      <w:r w:rsidR="00CD77A5" w:rsidRPr="00B40A77">
        <w:rPr>
          <w:color w:val="000000" w:themeColor="text1"/>
          <w:lang w:val="en-US"/>
        </w:rPr>
        <w:t>$</w:t>
      </w:r>
      <w:r w:rsidR="00065475" w:rsidRPr="00B40A77">
        <w:rPr>
          <w:color w:val="000000" w:themeColor="text1"/>
          <w:lang w:val="en-US"/>
        </w:rPr>
        <w:t>75</w:t>
      </w:r>
      <w:r w:rsidR="00CD77A5" w:rsidRPr="00B40A77">
        <w:rPr>
          <w:color w:val="000000" w:themeColor="text1"/>
          <w:lang w:val="en-US"/>
        </w:rPr>
        <w:t>0 plus the appeal filing fee will be awarded in favour of a successful appellant</w:t>
      </w:r>
      <w:r w:rsidRPr="00B40A77">
        <w:rPr>
          <w:color w:val="000000" w:themeColor="text1"/>
          <w:lang w:val="en-US"/>
        </w:rPr>
        <w:t>;</w:t>
      </w:r>
      <w:r w:rsidR="00CD77A5" w:rsidRPr="00B40A77">
        <w:rPr>
          <w:color w:val="000000" w:themeColor="text1"/>
          <w:lang w:val="en-US"/>
        </w:rPr>
        <w:t xml:space="preserve"> and</w:t>
      </w:r>
    </w:p>
    <w:p w14:paraId="2F707FFD" w14:textId="062CF991" w:rsidR="00CD77A5" w:rsidRPr="00B40A77" w:rsidRDefault="006B4059" w:rsidP="006B4059">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D77A5" w:rsidRPr="00B40A77">
        <w:rPr>
          <w:color w:val="000000" w:themeColor="text1"/>
          <w:lang w:val="en-US"/>
        </w:rPr>
        <w:t>costs fixed at $</w:t>
      </w:r>
      <w:r w:rsidR="00065475" w:rsidRPr="00B40A77">
        <w:rPr>
          <w:color w:val="000000" w:themeColor="text1"/>
          <w:lang w:val="en-US"/>
        </w:rPr>
        <w:t>75</w:t>
      </w:r>
      <w:r w:rsidR="00CD77A5" w:rsidRPr="00B40A77">
        <w:rPr>
          <w:color w:val="000000" w:themeColor="text1"/>
          <w:lang w:val="en-US"/>
        </w:rPr>
        <w:t>0 will be awarded in favour of a successful respondent.</w:t>
      </w:r>
    </w:p>
    <w:p w14:paraId="09EAD60B" w14:textId="2BA9F666" w:rsidR="00CD77A5" w:rsidRPr="00B40A77" w:rsidRDefault="00CD77A5" w:rsidP="006B4059">
      <w:pPr>
        <w:pStyle w:val="Hangindent"/>
        <w:keepNext/>
        <w:rPr>
          <w:color w:val="000000" w:themeColor="text1"/>
          <w:lang w:val="en-US"/>
        </w:rPr>
      </w:pPr>
      <w:r w:rsidRPr="00B40A77">
        <w:rPr>
          <w:color w:val="000000" w:themeColor="text1"/>
          <w:lang w:val="en-US"/>
        </w:rPr>
        <w:lastRenderedPageBreak/>
        <w:t>(3)</w:t>
      </w:r>
      <w:r w:rsidRPr="00B40A77">
        <w:rPr>
          <w:color w:val="000000" w:themeColor="text1"/>
          <w:lang w:val="en-US"/>
        </w:rPr>
        <w:tab/>
        <w:t>The general rule that costs follow the event is subject to the discretion of the Court.</w:t>
      </w:r>
    </w:p>
    <w:p w14:paraId="11222244" w14:textId="77777777" w:rsidR="00CD77A5" w:rsidRPr="00B40A77" w:rsidRDefault="00CD77A5" w:rsidP="006B4059">
      <w:pPr>
        <w:pStyle w:val="NoteHeader"/>
        <w:keepNext/>
        <w:rPr>
          <w:color w:val="000000" w:themeColor="text1"/>
        </w:rPr>
      </w:pPr>
      <w:r w:rsidRPr="00B40A77">
        <w:rPr>
          <w:color w:val="000000" w:themeColor="text1"/>
        </w:rPr>
        <w:t>Examples—</w:t>
      </w:r>
    </w:p>
    <w:p w14:paraId="65893C01" w14:textId="07B58917" w:rsidR="00CD77A5" w:rsidRPr="00B40A77" w:rsidRDefault="00726E1A" w:rsidP="004C2422">
      <w:pPr>
        <w:pStyle w:val="NoteText"/>
        <w:ind w:left="1843" w:hanging="403"/>
        <w:rPr>
          <w:color w:val="000000" w:themeColor="text1"/>
        </w:rPr>
      </w:pPr>
      <w:r w:rsidRPr="00B40A77">
        <w:rPr>
          <w:color w:val="000000" w:themeColor="text1"/>
        </w:rPr>
        <w:t>1.</w:t>
      </w:r>
      <w:r w:rsidRPr="00B40A77">
        <w:rPr>
          <w:color w:val="000000" w:themeColor="text1"/>
        </w:rPr>
        <w:tab/>
      </w:r>
      <w:r w:rsidR="00CD77A5" w:rsidRPr="00B40A77">
        <w:rPr>
          <w:color w:val="000000" w:themeColor="text1"/>
        </w:rPr>
        <w:t>When the appellant succeeds on part of, or an issue on,</w:t>
      </w:r>
      <w:r w:rsidR="00F60B43" w:rsidRPr="00B40A77">
        <w:rPr>
          <w:color w:val="000000" w:themeColor="text1"/>
        </w:rPr>
        <w:t xml:space="preserve"> the appellate proceeding</w:t>
      </w:r>
      <w:r w:rsidR="00CD77A5" w:rsidRPr="00B40A77">
        <w:rPr>
          <w:color w:val="000000" w:themeColor="text1"/>
        </w:rPr>
        <w:t xml:space="preserve"> but fails on another.</w:t>
      </w:r>
    </w:p>
    <w:p w14:paraId="5CCFE022" w14:textId="6B315820" w:rsidR="00CD77A5" w:rsidRPr="00B40A77" w:rsidRDefault="00CD77A5" w:rsidP="004C2422">
      <w:pPr>
        <w:pStyle w:val="NoteText"/>
        <w:ind w:left="1843" w:hanging="403"/>
        <w:rPr>
          <w:color w:val="000000" w:themeColor="text1"/>
        </w:rPr>
      </w:pPr>
      <w:r w:rsidRPr="00B40A77">
        <w:rPr>
          <w:color w:val="000000" w:themeColor="text1"/>
        </w:rPr>
        <w:t>2.</w:t>
      </w:r>
      <w:r w:rsidRPr="00B40A77">
        <w:rPr>
          <w:color w:val="000000" w:themeColor="text1"/>
        </w:rPr>
        <w:tab/>
        <w:t>When a party is guilty of misconduct in relation to the proceeding</w:t>
      </w:r>
      <w:r w:rsidR="00F60B43" w:rsidRPr="00B40A77">
        <w:rPr>
          <w:color w:val="000000" w:themeColor="text1"/>
        </w:rPr>
        <w:t xml:space="preserve"> at first instance</w:t>
      </w:r>
      <w:r w:rsidRPr="00B40A77">
        <w:rPr>
          <w:color w:val="000000" w:themeColor="text1"/>
        </w:rPr>
        <w:t xml:space="preserve"> or the </w:t>
      </w:r>
      <w:r w:rsidR="00F60B43" w:rsidRPr="00B40A77">
        <w:rPr>
          <w:color w:val="000000" w:themeColor="text1"/>
        </w:rPr>
        <w:t>appellate proceeding</w:t>
      </w:r>
      <w:r w:rsidRPr="00B40A77">
        <w:rPr>
          <w:color w:val="000000" w:themeColor="text1"/>
        </w:rPr>
        <w:t>.</w:t>
      </w:r>
    </w:p>
    <w:p w14:paraId="2DD6562A" w14:textId="361C9FB8" w:rsidR="00CD77A5" w:rsidRPr="00B40A77" w:rsidRDefault="001D7ED1" w:rsidP="00726E1A">
      <w:pPr>
        <w:pStyle w:val="NoteText"/>
        <w:tabs>
          <w:tab w:val="left" w:pos="1843"/>
        </w:tabs>
        <w:ind w:left="1440"/>
        <w:rPr>
          <w:color w:val="000000" w:themeColor="text1"/>
        </w:rPr>
      </w:pPr>
      <w:r w:rsidRPr="00B40A77">
        <w:rPr>
          <w:color w:val="000000" w:themeColor="text1"/>
        </w:rPr>
        <w:t>3.</w:t>
      </w:r>
      <w:r w:rsidR="00726E1A" w:rsidRPr="00B40A77">
        <w:rPr>
          <w:color w:val="000000" w:themeColor="text1"/>
        </w:rPr>
        <w:tab/>
      </w:r>
      <w:r w:rsidRPr="00B40A77">
        <w:rPr>
          <w:color w:val="000000" w:themeColor="text1"/>
        </w:rPr>
        <w:t>When a</w:t>
      </w:r>
      <w:r w:rsidR="00CD77A5" w:rsidRPr="00B40A77">
        <w:rPr>
          <w:color w:val="000000" w:themeColor="text1"/>
        </w:rPr>
        <w:t xml:space="preserve"> party adopts an unreasonable position on </w:t>
      </w:r>
      <w:r w:rsidR="00F60B43" w:rsidRPr="00B40A77">
        <w:rPr>
          <w:color w:val="000000" w:themeColor="text1"/>
        </w:rPr>
        <w:t>the appellate proceeding</w:t>
      </w:r>
      <w:r w:rsidR="00CD77A5" w:rsidRPr="00B40A77">
        <w:rPr>
          <w:color w:val="000000" w:themeColor="text1"/>
        </w:rPr>
        <w:t>.</w:t>
      </w:r>
    </w:p>
    <w:p w14:paraId="3CA27BF9" w14:textId="183090E2" w:rsidR="001D7ED1" w:rsidRPr="00B40A77" w:rsidRDefault="00770CF6" w:rsidP="00CD77A5">
      <w:pPr>
        <w:pStyle w:val="Hangindent"/>
        <w:rPr>
          <w:color w:val="000000" w:themeColor="text1"/>
          <w:lang w:val="en-US"/>
        </w:rPr>
      </w:pPr>
      <w:r w:rsidRPr="00B40A77">
        <w:rPr>
          <w:color w:val="000000" w:themeColor="text1"/>
          <w:lang w:val="en-US"/>
        </w:rPr>
        <w:t>(4)</w:t>
      </w:r>
      <w:r w:rsidRPr="00B40A77">
        <w:rPr>
          <w:color w:val="000000" w:themeColor="text1"/>
          <w:lang w:val="en-US"/>
        </w:rPr>
        <w:tab/>
        <w:t>If a</w:t>
      </w:r>
      <w:r w:rsidR="00CD77A5" w:rsidRPr="00B40A77">
        <w:rPr>
          <w:color w:val="000000" w:themeColor="text1"/>
          <w:lang w:val="en-US"/>
        </w:rPr>
        <w:t xml:space="preserve"> party intends to apply for costs in an amount other than that </w:t>
      </w:r>
      <w:r w:rsidR="00170732" w:rsidRPr="00B40A77">
        <w:rPr>
          <w:color w:val="000000" w:themeColor="text1"/>
          <w:lang w:val="en-US"/>
        </w:rPr>
        <w:t xml:space="preserve">set out </w:t>
      </w:r>
      <w:r w:rsidR="00CD77A5" w:rsidRPr="00B40A77">
        <w:rPr>
          <w:color w:val="000000" w:themeColor="text1"/>
          <w:lang w:val="en-US"/>
        </w:rPr>
        <w:t>in subrule</w:t>
      </w:r>
      <w:r w:rsidR="00170732" w:rsidRPr="00B40A77">
        <w:rPr>
          <w:color w:val="000000" w:themeColor="text1"/>
          <w:lang w:val="en-US"/>
        </w:rPr>
        <w:t> </w:t>
      </w:r>
      <w:r w:rsidR="00CD77A5" w:rsidRPr="00B40A77">
        <w:rPr>
          <w:color w:val="000000" w:themeColor="text1"/>
          <w:lang w:val="en-US"/>
        </w:rPr>
        <w:t xml:space="preserve">(2), that party must make an application </w:t>
      </w:r>
      <w:r w:rsidR="00BD283A" w:rsidRPr="00B40A77">
        <w:rPr>
          <w:color w:val="000000" w:themeColor="text1"/>
          <w:lang w:val="en-US"/>
        </w:rPr>
        <w:t>by</w:t>
      </w:r>
      <w:r w:rsidR="00CD77A5" w:rsidRPr="00B40A77">
        <w:rPr>
          <w:color w:val="000000" w:themeColor="text1"/>
          <w:lang w:val="en-US"/>
        </w:rPr>
        <w:t xml:space="preserve"> the </w:t>
      </w:r>
      <w:r w:rsidR="00170732" w:rsidRPr="00B40A77">
        <w:rPr>
          <w:color w:val="000000" w:themeColor="text1"/>
          <w:lang w:val="en-US"/>
        </w:rPr>
        <w:t xml:space="preserve">commencement </w:t>
      </w:r>
      <w:r w:rsidR="00CD77A5" w:rsidRPr="00B40A77">
        <w:rPr>
          <w:color w:val="000000" w:themeColor="text1"/>
          <w:lang w:val="en-US"/>
        </w:rPr>
        <w:t>of the hearing of the appeal</w:t>
      </w:r>
      <w:r w:rsidR="001D7ED1" w:rsidRPr="00B40A77">
        <w:rPr>
          <w:color w:val="000000" w:themeColor="text1"/>
          <w:lang w:val="en-US"/>
        </w:rPr>
        <w:t>.</w:t>
      </w:r>
    </w:p>
    <w:p w14:paraId="12B44C9F" w14:textId="16C6348C" w:rsidR="00CD77A5" w:rsidRPr="00B40A77" w:rsidRDefault="001D7ED1" w:rsidP="00174664">
      <w:pPr>
        <w:pStyle w:val="Hangindent"/>
        <w:keepNext/>
        <w:rPr>
          <w:color w:val="000000" w:themeColor="text1"/>
          <w:lang w:val="en-US"/>
        </w:rPr>
      </w:pPr>
      <w:r w:rsidRPr="00B40A77">
        <w:rPr>
          <w:color w:val="000000" w:themeColor="text1"/>
          <w:lang w:val="en-US"/>
        </w:rPr>
        <w:t>(5)</w:t>
      </w:r>
      <w:r w:rsidRPr="00B40A77">
        <w:rPr>
          <w:color w:val="000000" w:themeColor="text1"/>
          <w:lang w:val="en-US"/>
        </w:rPr>
        <w:tab/>
        <w:t>On an application under subrule</w:t>
      </w:r>
      <w:r w:rsidR="00C42A0C" w:rsidRPr="00B40A77">
        <w:rPr>
          <w:color w:val="000000" w:themeColor="text1"/>
          <w:lang w:val="en-US"/>
        </w:rPr>
        <w:t> </w:t>
      </w:r>
      <w:r w:rsidRPr="00B40A77">
        <w:rPr>
          <w:color w:val="000000" w:themeColor="text1"/>
          <w:lang w:val="en-US"/>
        </w:rPr>
        <w:t xml:space="preserve">(4), </w:t>
      </w:r>
      <w:r w:rsidR="00CD77A5" w:rsidRPr="00B40A77">
        <w:rPr>
          <w:color w:val="000000" w:themeColor="text1"/>
          <w:lang w:val="en-US"/>
        </w:rPr>
        <w:t>the Court may fix a different amount</w:t>
      </w:r>
      <w:r w:rsidR="0072269B" w:rsidRPr="00B40A77">
        <w:rPr>
          <w:color w:val="000000" w:themeColor="text1"/>
          <w:lang w:val="en-US"/>
        </w:rPr>
        <w:t>, or order that the costs will be payable on a scale specified by the Court,</w:t>
      </w:r>
      <w:r w:rsidR="00CD77A5" w:rsidRPr="00B40A77">
        <w:rPr>
          <w:color w:val="000000" w:themeColor="text1"/>
          <w:lang w:val="en-US"/>
        </w:rPr>
        <w:t xml:space="preserve"> that will generally apply </w:t>
      </w:r>
      <w:r w:rsidR="00416F3F" w:rsidRPr="00B40A77">
        <w:rPr>
          <w:color w:val="000000" w:themeColor="text1"/>
          <w:lang w:val="en-US"/>
        </w:rPr>
        <w:t>instead of</w:t>
      </w:r>
      <w:r w:rsidR="007E09E2" w:rsidRPr="00B40A77">
        <w:rPr>
          <w:color w:val="000000" w:themeColor="text1"/>
          <w:lang w:val="en-US"/>
        </w:rPr>
        <w:t xml:space="preserve"> subrule </w:t>
      </w:r>
      <w:r w:rsidR="00416F3F" w:rsidRPr="00B40A77">
        <w:rPr>
          <w:color w:val="000000" w:themeColor="text1"/>
          <w:lang w:val="en-US"/>
        </w:rPr>
        <w:t>(2)</w:t>
      </w:r>
      <w:r w:rsidR="007E09E2" w:rsidRPr="00B40A77">
        <w:rPr>
          <w:color w:val="000000" w:themeColor="text1"/>
          <w:lang w:val="en-US"/>
        </w:rPr>
        <w:t xml:space="preserve"> and </w:t>
      </w:r>
      <w:r w:rsidR="00CD77A5" w:rsidRPr="00B40A77">
        <w:rPr>
          <w:color w:val="000000" w:themeColor="text1"/>
          <w:lang w:val="en-US"/>
        </w:rPr>
        <w:t>regardless of which party is successful or may make any other order that the Court thinks fit.</w:t>
      </w:r>
    </w:p>
    <w:p w14:paraId="29EC2E8E" w14:textId="77777777" w:rsidR="00CD77A5" w:rsidRPr="00B40A77" w:rsidRDefault="00CD77A5" w:rsidP="004C2422">
      <w:pPr>
        <w:pStyle w:val="NoteHeader"/>
        <w:keepNext/>
        <w:rPr>
          <w:color w:val="000000" w:themeColor="text1"/>
        </w:rPr>
      </w:pPr>
      <w:r w:rsidRPr="00B40A77">
        <w:rPr>
          <w:color w:val="000000" w:themeColor="text1"/>
        </w:rPr>
        <w:t>Examples—</w:t>
      </w:r>
    </w:p>
    <w:p w14:paraId="64C2B94D" w14:textId="6C76D9D0" w:rsidR="00CD77A5" w:rsidRPr="00B40A77" w:rsidRDefault="00CD77A5" w:rsidP="00726E1A">
      <w:pPr>
        <w:pStyle w:val="NoteText"/>
        <w:ind w:left="1843" w:hanging="425"/>
        <w:rPr>
          <w:color w:val="000000" w:themeColor="text1"/>
        </w:rPr>
      </w:pPr>
      <w:bookmarkStart w:id="1136" w:name="Elkera_Print_TOC18"/>
      <w:r w:rsidRPr="00B40A77">
        <w:rPr>
          <w:color w:val="000000" w:themeColor="text1"/>
        </w:rPr>
        <w:t>1.</w:t>
      </w:r>
      <w:r w:rsidRPr="00B40A77">
        <w:rPr>
          <w:color w:val="000000" w:themeColor="text1"/>
        </w:rPr>
        <w:tab/>
        <w:t xml:space="preserve">An application might be based on the complexity of the </w:t>
      </w:r>
      <w:r w:rsidR="00770CF6" w:rsidRPr="00B40A77">
        <w:rPr>
          <w:color w:val="000000" w:themeColor="text1"/>
        </w:rPr>
        <w:t>appellate proceeding</w:t>
      </w:r>
      <w:r w:rsidRPr="00B40A77">
        <w:rPr>
          <w:color w:val="000000" w:themeColor="text1"/>
        </w:rPr>
        <w:t xml:space="preserve"> requiring especially extensive preparation for the hearing</w:t>
      </w:r>
      <w:bookmarkEnd w:id="1136"/>
      <w:r w:rsidRPr="00B40A77">
        <w:rPr>
          <w:color w:val="000000" w:themeColor="text1"/>
        </w:rPr>
        <w:t>.</w:t>
      </w:r>
    </w:p>
    <w:p w14:paraId="1D4BB643" w14:textId="22325B75" w:rsidR="00CD77A5" w:rsidRPr="00B40A77" w:rsidRDefault="00CD77A5" w:rsidP="00726E1A">
      <w:pPr>
        <w:pStyle w:val="NoteText"/>
        <w:ind w:left="1843" w:hanging="425"/>
        <w:rPr>
          <w:color w:val="000000" w:themeColor="text1"/>
        </w:rPr>
      </w:pPr>
      <w:r w:rsidRPr="00B40A77">
        <w:rPr>
          <w:color w:val="000000" w:themeColor="text1"/>
        </w:rPr>
        <w:t>2.</w:t>
      </w:r>
      <w:r w:rsidRPr="00B40A77">
        <w:rPr>
          <w:color w:val="000000" w:themeColor="text1"/>
        </w:rPr>
        <w:tab/>
        <w:t xml:space="preserve">An application might be based on the </w:t>
      </w:r>
      <w:r w:rsidR="00770CF6" w:rsidRPr="00B40A77">
        <w:rPr>
          <w:color w:val="000000" w:themeColor="text1"/>
        </w:rPr>
        <w:t>appellate proceeding</w:t>
      </w:r>
      <w:r w:rsidRPr="00B40A77">
        <w:rPr>
          <w:color w:val="000000" w:themeColor="text1"/>
        </w:rPr>
        <w:t xml:space="preserve"> being listed for an especially lengthy hearing.</w:t>
      </w:r>
    </w:p>
    <w:p w14:paraId="7C9BE268" w14:textId="60765E35" w:rsidR="00CD77A5" w:rsidRPr="00B40A77" w:rsidRDefault="00CD77A5" w:rsidP="00726E1A">
      <w:pPr>
        <w:pStyle w:val="NoteText"/>
        <w:ind w:left="1843" w:hanging="425"/>
        <w:rPr>
          <w:color w:val="000000" w:themeColor="text1"/>
        </w:rPr>
      </w:pPr>
      <w:r w:rsidRPr="00B40A77">
        <w:rPr>
          <w:color w:val="000000" w:themeColor="text1"/>
        </w:rPr>
        <w:t>3.</w:t>
      </w:r>
      <w:r w:rsidRPr="00B40A77">
        <w:rPr>
          <w:color w:val="000000" w:themeColor="text1"/>
        </w:rPr>
        <w:tab/>
        <w:t xml:space="preserve">An application might be based on the reasonable retention of senior counsel to argue </w:t>
      </w:r>
      <w:r w:rsidR="00770CF6" w:rsidRPr="00B40A77">
        <w:rPr>
          <w:color w:val="000000" w:themeColor="text1"/>
        </w:rPr>
        <w:t>the appellate proceeding</w:t>
      </w:r>
      <w:r w:rsidRPr="00B40A77">
        <w:rPr>
          <w:color w:val="000000" w:themeColor="text1"/>
        </w:rPr>
        <w:t>.</w:t>
      </w:r>
    </w:p>
    <w:p w14:paraId="0349A739" w14:textId="059DDCD0" w:rsidR="00CD77A5" w:rsidRPr="00B40A77" w:rsidRDefault="00B120BF" w:rsidP="00CD77A5">
      <w:pPr>
        <w:pStyle w:val="Hangindent"/>
        <w:rPr>
          <w:color w:val="000000" w:themeColor="text1"/>
          <w:lang w:val="en-US"/>
        </w:rPr>
      </w:pPr>
      <w:r w:rsidRPr="00B40A77">
        <w:rPr>
          <w:color w:val="000000" w:themeColor="text1"/>
          <w:lang w:val="en-US"/>
        </w:rPr>
        <w:t>(6</w:t>
      </w:r>
      <w:r w:rsidR="00CD77A5" w:rsidRPr="00B40A77">
        <w:rPr>
          <w:color w:val="000000" w:themeColor="text1"/>
          <w:lang w:val="en-US"/>
        </w:rPr>
        <w:t>)</w:t>
      </w:r>
      <w:r w:rsidR="00CD77A5" w:rsidRPr="00B40A77">
        <w:rPr>
          <w:color w:val="000000" w:themeColor="text1"/>
          <w:lang w:val="en-US"/>
        </w:rPr>
        <w:tab/>
        <w:t>The Court may, if it thinks fit, dispense with the requirement in subrule</w:t>
      </w:r>
      <w:r w:rsidR="00C42A0C" w:rsidRPr="00B40A77">
        <w:rPr>
          <w:color w:val="000000" w:themeColor="text1"/>
          <w:lang w:val="en-US"/>
        </w:rPr>
        <w:t> </w:t>
      </w:r>
      <w:r w:rsidR="00CD77A5" w:rsidRPr="00B40A77">
        <w:rPr>
          <w:color w:val="000000" w:themeColor="text1"/>
          <w:lang w:val="en-US"/>
        </w:rPr>
        <w:t>(4) that an application for costs in an amount other than that reflected in subrule</w:t>
      </w:r>
      <w:r w:rsidR="00C42A0C" w:rsidRPr="00B40A77">
        <w:rPr>
          <w:color w:val="000000" w:themeColor="text1"/>
          <w:lang w:val="en-US"/>
        </w:rPr>
        <w:t> </w:t>
      </w:r>
      <w:r w:rsidR="00CD77A5" w:rsidRPr="00B40A77">
        <w:rPr>
          <w:color w:val="000000" w:themeColor="text1"/>
          <w:lang w:val="en-US"/>
        </w:rPr>
        <w:t xml:space="preserve">(2) must be made </w:t>
      </w:r>
      <w:r w:rsidR="00D94DD7" w:rsidRPr="00B40A77">
        <w:rPr>
          <w:color w:val="000000" w:themeColor="text1"/>
          <w:lang w:val="en-US"/>
        </w:rPr>
        <w:t>by</w:t>
      </w:r>
      <w:r w:rsidR="00CD77A5" w:rsidRPr="00B40A77">
        <w:rPr>
          <w:color w:val="000000" w:themeColor="text1"/>
          <w:lang w:val="en-US"/>
        </w:rPr>
        <w:t xml:space="preserve"> the </w:t>
      </w:r>
      <w:r w:rsidR="00170732" w:rsidRPr="00B40A77">
        <w:rPr>
          <w:color w:val="000000" w:themeColor="text1"/>
          <w:lang w:val="en-US"/>
        </w:rPr>
        <w:t xml:space="preserve">commencement </w:t>
      </w:r>
      <w:r w:rsidR="00CD77A5" w:rsidRPr="00B40A77">
        <w:rPr>
          <w:color w:val="000000" w:themeColor="text1"/>
          <w:lang w:val="en-US"/>
        </w:rPr>
        <w:t>of the hearing of the appeal.</w:t>
      </w:r>
    </w:p>
    <w:p w14:paraId="3D1526F9" w14:textId="781E5F8F" w:rsidR="00AF56BF" w:rsidRPr="00B40A77" w:rsidRDefault="0081567C" w:rsidP="00D45D85">
      <w:pPr>
        <w:pStyle w:val="Heading2"/>
        <w:keepNext/>
        <w:rPr>
          <w:color w:val="000000" w:themeColor="text1"/>
        </w:rPr>
      </w:pPr>
      <w:bookmarkStart w:id="1137" w:name="_Part_5—Appeals_and"/>
      <w:bookmarkStart w:id="1138" w:name="_Part_45—Appeals_and"/>
      <w:bookmarkStart w:id="1139" w:name="_Toc175239362"/>
      <w:bookmarkEnd w:id="1137"/>
      <w:bookmarkEnd w:id="1138"/>
      <w:r w:rsidRPr="00B40A77">
        <w:rPr>
          <w:color w:val="000000" w:themeColor="text1"/>
        </w:rPr>
        <w:t xml:space="preserve">Part </w:t>
      </w:r>
      <w:r w:rsidR="001345DA" w:rsidRPr="00B40A77">
        <w:rPr>
          <w:color w:val="000000" w:themeColor="text1"/>
        </w:rPr>
        <w:t>4</w:t>
      </w:r>
      <w:r w:rsidR="00AF56BF" w:rsidRPr="00B40A77">
        <w:rPr>
          <w:color w:val="000000" w:themeColor="text1"/>
        </w:rPr>
        <w:t xml:space="preserve">—Appeals and </w:t>
      </w:r>
      <w:r w:rsidR="0066190F" w:rsidRPr="00B40A77">
        <w:rPr>
          <w:color w:val="000000" w:themeColor="text1"/>
        </w:rPr>
        <w:t>cases stated to the</w:t>
      </w:r>
      <w:r w:rsidR="00AF56BF" w:rsidRPr="00B40A77">
        <w:rPr>
          <w:color w:val="000000" w:themeColor="text1"/>
        </w:rPr>
        <w:t xml:space="preserve"> Court</w:t>
      </w:r>
      <w:r w:rsidR="0066190F" w:rsidRPr="00B40A77">
        <w:rPr>
          <w:color w:val="000000" w:themeColor="text1"/>
        </w:rPr>
        <w:t xml:space="preserve"> of Appeal</w:t>
      </w:r>
      <w:r w:rsidR="00A33ABB" w:rsidRPr="00B40A77">
        <w:rPr>
          <w:color w:val="000000" w:themeColor="text1"/>
        </w:rPr>
        <w:t>: Supreme Court</w:t>
      </w:r>
      <w:bookmarkEnd w:id="1139"/>
    </w:p>
    <w:p w14:paraId="6F84EBA1" w14:textId="77777777" w:rsidR="00AF56BF" w:rsidRPr="00B40A77" w:rsidRDefault="00AF56BF" w:rsidP="00AF56BF">
      <w:pPr>
        <w:pStyle w:val="Heading3"/>
        <w:rPr>
          <w:color w:val="000000" w:themeColor="text1"/>
        </w:rPr>
      </w:pPr>
      <w:bookmarkStart w:id="1140" w:name="_Toc175239363"/>
      <w:r w:rsidRPr="00B40A77">
        <w:rPr>
          <w:color w:val="000000" w:themeColor="text1"/>
        </w:rPr>
        <w:t>Division 1—General</w:t>
      </w:r>
      <w:bookmarkEnd w:id="1140"/>
    </w:p>
    <w:p w14:paraId="34472A29" w14:textId="0B9EFE46" w:rsidR="00372C09" w:rsidRPr="00B40A77" w:rsidRDefault="006A4F88" w:rsidP="00372C09">
      <w:pPr>
        <w:pStyle w:val="Heading4"/>
        <w:rPr>
          <w:color w:val="000000" w:themeColor="text1"/>
        </w:rPr>
      </w:pPr>
      <w:bookmarkStart w:id="1141" w:name="_Toc25920298"/>
      <w:bookmarkStart w:id="1142" w:name="_Toc175239364"/>
      <w:bookmarkEnd w:id="1135"/>
      <w:r w:rsidRPr="00B40A77">
        <w:rPr>
          <w:color w:val="000000" w:themeColor="text1"/>
        </w:rPr>
        <w:t>19</w:t>
      </w:r>
      <w:r w:rsidR="00196AA0" w:rsidRPr="00B40A77">
        <w:rPr>
          <w:color w:val="000000" w:themeColor="text1"/>
        </w:rPr>
        <w:t>2</w:t>
      </w:r>
      <w:r w:rsidR="00372C09" w:rsidRPr="00B40A77">
        <w:rPr>
          <w:color w:val="000000" w:themeColor="text1"/>
        </w:rPr>
        <w:t>.1—Application of Part</w:t>
      </w:r>
      <w:bookmarkEnd w:id="1141"/>
      <w:bookmarkEnd w:id="1142"/>
    </w:p>
    <w:p w14:paraId="2929283C" w14:textId="0363F882" w:rsidR="00372C09" w:rsidRPr="00B40A77" w:rsidRDefault="001A0FE2" w:rsidP="001A0FE2">
      <w:pPr>
        <w:pStyle w:val="Hangindent"/>
        <w:rPr>
          <w:color w:val="000000" w:themeColor="text1"/>
        </w:rPr>
      </w:pPr>
      <w:r w:rsidRPr="00B40A77">
        <w:rPr>
          <w:color w:val="000000" w:themeColor="text1"/>
        </w:rPr>
        <w:t>(1)</w:t>
      </w:r>
      <w:r w:rsidRPr="00B40A77">
        <w:rPr>
          <w:color w:val="000000" w:themeColor="text1"/>
        </w:rPr>
        <w:tab/>
      </w:r>
      <w:r w:rsidR="00213F0B" w:rsidRPr="00B40A77">
        <w:rPr>
          <w:color w:val="000000" w:themeColor="text1"/>
        </w:rPr>
        <w:t>T</w:t>
      </w:r>
      <w:r w:rsidR="00372C09" w:rsidRPr="00B40A77">
        <w:rPr>
          <w:color w:val="000000" w:themeColor="text1"/>
        </w:rPr>
        <w:t xml:space="preserve">his Part applies to </w:t>
      </w:r>
      <w:r w:rsidR="00D94DD7" w:rsidRPr="00B40A77">
        <w:rPr>
          <w:color w:val="000000" w:themeColor="text1"/>
        </w:rPr>
        <w:t>appellate proceedings</w:t>
      </w:r>
      <w:r w:rsidR="00372C09" w:rsidRPr="00B40A77">
        <w:rPr>
          <w:color w:val="000000" w:themeColor="text1"/>
        </w:rPr>
        <w:t xml:space="preserve"> to be heard by the </w:t>
      </w:r>
      <w:hyperlink w:anchor="_2.1—Definitions" w:history="1">
        <w:r w:rsidR="00350C21" w:rsidRPr="00B40A77">
          <w:rPr>
            <w:rStyle w:val="Hyperlink"/>
            <w:color w:val="000000" w:themeColor="text1"/>
            <w:lang w:val="en-US"/>
          </w:rPr>
          <w:t>Court of Appeal</w:t>
        </w:r>
      </w:hyperlink>
      <w:r w:rsidR="00372C09" w:rsidRPr="00B40A77">
        <w:rPr>
          <w:color w:val="000000" w:themeColor="text1"/>
        </w:rPr>
        <w:t>.</w:t>
      </w:r>
    </w:p>
    <w:p w14:paraId="4B76FDC5" w14:textId="3A3FB036" w:rsidR="001A0FE2" w:rsidRPr="00B40A77" w:rsidRDefault="001A0FE2" w:rsidP="001A0FE2">
      <w:pPr>
        <w:pStyle w:val="Hangindent"/>
        <w:rPr>
          <w:color w:val="000000" w:themeColor="text1"/>
        </w:rPr>
      </w:pPr>
      <w:r w:rsidRPr="00B40A77">
        <w:rPr>
          <w:color w:val="000000" w:themeColor="text1"/>
        </w:rPr>
        <w:t>(2)</w:t>
      </w:r>
      <w:r w:rsidRPr="00B40A77">
        <w:rPr>
          <w:color w:val="000000" w:themeColor="text1"/>
        </w:rPr>
        <w:tab/>
        <w:t xml:space="preserve">If the </w:t>
      </w:r>
      <w:hyperlink w:anchor="_2.1—Definitions" w:history="1">
        <w:r w:rsidR="00350C21" w:rsidRPr="00B40A77">
          <w:rPr>
            <w:rStyle w:val="Hyperlink"/>
            <w:color w:val="000000" w:themeColor="text1"/>
            <w:lang w:val="en-US"/>
          </w:rPr>
          <w:t>Court of Appeal</w:t>
        </w:r>
      </w:hyperlink>
      <w:r w:rsidRPr="00B40A77">
        <w:rPr>
          <w:color w:val="000000" w:themeColor="text1"/>
        </w:rPr>
        <w:t xml:space="preserve"> remits an appeal to a Judge, it is governed instead by </w:t>
      </w:r>
      <w:hyperlink w:anchor="_Part_34—Appeals_and" w:history="1">
        <w:r w:rsidRPr="00B40A77">
          <w:rPr>
            <w:rStyle w:val="Hyperlink"/>
            <w:color w:val="000000" w:themeColor="text1"/>
          </w:rPr>
          <w:t xml:space="preserve">Part </w:t>
        </w:r>
        <w:r w:rsidR="006978ED" w:rsidRPr="00B40A77">
          <w:rPr>
            <w:rStyle w:val="Hyperlink"/>
            <w:color w:val="000000" w:themeColor="text1"/>
          </w:rPr>
          <w:t>3</w:t>
        </w:r>
      </w:hyperlink>
      <w:r w:rsidRPr="00B40A77">
        <w:rPr>
          <w:color w:val="000000" w:themeColor="text1"/>
        </w:rPr>
        <w:t>.</w:t>
      </w:r>
    </w:p>
    <w:p w14:paraId="18A2AF78" w14:textId="39C866AA" w:rsidR="005A4A60" w:rsidRPr="00B40A77" w:rsidRDefault="006A4F88" w:rsidP="005A4A60">
      <w:pPr>
        <w:pStyle w:val="Heading4"/>
        <w:rPr>
          <w:color w:val="000000" w:themeColor="text1"/>
        </w:rPr>
      </w:pPr>
      <w:bookmarkStart w:id="1143" w:name="_Toc25920232"/>
      <w:bookmarkStart w:id="1144" w:name="_Toc175239365"/>
      <w:r w:rsidRPr="00B40A77">
        <w:rPr>
          <w:color w:val="000000" w:themeColor="text1"/>
        </w:rPr>
        <w:t>19</w:t>
      </w:r>
      <w:r w:rsidR="00196AA0" w:rsidRPr="00B40A77">
        <w:rPr>
          <w:color w:val="000000" w:themeColor="text1"/>
        </w:rPr>
        <w:t>2</w:t>
      </w:r>
      <w:r w:rsidR="00382921" w:rsidRPr="00B40A77">
        <w:rPr>
          <w:color w:val="000000" w:themeColor="text1"/>
        </w:rPr>
        <w:t>.2</w:t>
      </w:r>
      <w:r w:rsidR="005A4A60" w:rsidRPr="00B40A77">
        <w:rPr>
          <w:color w:val="000000" w:themeColor="text1"/>
        </w:rPr>
        <w:t xml:space="preserve">—Jurisdiction of </w:t>
      </w:r>
      <w:bookmarkEnd w:id="1143"/>
      <w:r w:rsidR="005A4A60" w:rsidRPr="00B40A77">
        <w:rPr>
          <w:color w:val="000000" w:themeColor="text1"/>
        </w:rPr>
        <w:t>Court of Appeal</w:t>
      </w:r>
      <w:bookmarkEnd w:id="1144"/>
    </w:p>
    <w:p w14:paraId="343257F3" w14:textId="3857E9C6" w:rsidR="005A4A60" w:rsidRPr="00B40A77" w:rsidRDefault="005A4A60" w:rsidP="005A4A60">
      <w:pPr>
        <w:pStyle w:val="Hangindent"/>
        <w:rPr>
          <w:color w:val="000000" w:themeColor="text1"/>
          <w:lang w:val="en-US"/>
        </w:rPr>
      </w:pPr>
      <w:r w:rsidRPr="00B40A77">
        <w:rPr>
          <w:color w:val="000000" w:themeColor="text1"/>
          <w:lang w:val="en-US"/>
        </w:rPr>
        <w:t>(1)</w:t>
      </w:r>
      <w:r w:rsidRPr="00B40A77">
        <w:rPr>
          <w:color w:val="000000" w:themeColor="text1"/>
          <w:lang w:val="en-US"/>
        </w:rPr>
        <w:tab/>
        <w:t>Subject to subrule</w:t>
      </w:r>
      <w:r w:rsidR="00C42A0C" w:rsidRPr="00B40A77">
        <w:rPr>
          <w:color w:val="000000" w:themeColor="text1"/>
          <w:lang w:val="en-US"/>
        </w:rPr>
        <w:t> </w:t>
      </w:r>
      <w:r w:rsidRPr="00B40A77">
        <w:rPr>
          <w:color w:val="000000" w:themeColor="text1"/>
          <w:lang w:val="en-US"/>
        </w:rPr>
        <w:t xml:space="preserve">(2), the appellate jurisdiction of the Supreme Court is to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if—</w:t>
      </w:r>
    </w:p>
    <w:p w14:paraId="296F491C" w14:textId="69E29F93" w:rsidR="005A4A60" w:rsidRPr="00B40A77" w:rsidRDefault="005A4A60" w:rsidP="005A4A60">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 </w:t>
      </w:r>
      <w:r w:rsidR="00532AD4" w:rsidRPr="00B40A77">
        <w:rPr>
          <w:color w:val="000000" w:themeColor="text1"/>
          <w:lang w:val="en-US"/>
        </w:rPr>
        <w:t>statutory provision</w:t>
      </w:r>
      <w:r w:rsidR="001E008D" w:rsidRPr="00B40A77">
        <w:rPr>
          <w:color w:val="000000" w:themeColor="text1"/>
          <w:lang w:val="en-US"/>
        </w:rPr>
        <w:t xml:space="preserve"> so provides</w:t>
      </w:r>
      <w:r w:rsidRPr="00B40A77">
        <w:rPr>
          <w:color w:val="000000" w:themeColor="text1"/>
          <w:lang w:val="en-US"/>
        </w:rPr>
        <w:t>;</w:t>
      </w:r>
      <w:r w:rsidR="001E008D" w:rsidRPr="00B40A77">
        <w:rPr>
          <w:color w:val="000000" w:themeColor="text1"/>
          <w:lang w:val="en-US"/>
        </w:rPr>
        <w:t xml:space="preserve"> or</w:t>
      </w:r>
    </w:p>
    <w:p w14:paraId="6E170080" w14:textId="4A1B9D7A" w:rsidR="005A4A60" w:rsidRPr="00B40A77" w:rsidRDefault="001E008D" w:rsidP="00211EE4">
      <w:pPr>
        <w:pStyle w:val="Doublehangindent"/>
        <w:keepNext/>
        <w:rPr>
          <w:color w:val="000000" w:themeColor="text1"/>
          <w:lang w:val="en-US"/>
        </w:rPr>
      </w:pPr>
      <w:r w:rsidRPr="00B40A77">
        <w:rPr>
          <w:color w:val="000000" w:themeColor="text1"/>
          <w:lang w:val="en-US"/>
        </w:rPr>
        <w:t>(b</w:t>
      </w:r>
      <w:r w:rsidR="005A4A60" w:rsidRPr="00B40A77">
        <w:rPr>
          <w:color w:val="000000" w:themeColor="text1"/>
          <w:lang w:val="en-US"/>
        </w:rPr>
        <w:t>)</w:t>
      </w:r>
      <w:r w:rsidR="005A4A60" w:rsidRPr="00B40A77">
        <w:rPr>
          <w:color w:val="000000" w:themeColor="text1"/>
          <w:lang w:val="en-US"/>
        </w:rPr>
        <w:tab/>
        <w:t>a Judge so orders.</w:t>
      </w:r>
    </w:p>
    <w:p w14:paraId="037B1724" w14:textId="77777777" w:rsidR="005A4A60" w:rsidRPr="00B40A77" w:rsidRDefault="005A4A60" w:rsidP="00F815AA">
      <w:pPr>
        <w:pStyle w:val="NoteHeader"/>
        <w:keepNext/>
        <w:ind w:left="1701"/>
        <w:rPr>
          <w:color w:val="000000" w:themeColor="text1"/>
        </w:rPr>
      </w:pPr>
      <w:r w:rsidRPr="00B40A77">
        <w:rPr>
          <w:color w:val="000000" w:themeColor="text1"/>
        </w:rPr>
        <w:t>Notes—</w:t>
      </w:r>
    </w:p>
    <w:p w14:paraId="634BB2B7" w14:textId="20DA5261" w:rsidR="00936653" w:rsidRPr="00B40A77" w:rsidRDefault="00936653" w:rsidP="00C352AB">
      <w:pPr>
        <w:pStyle w:val="NoteText"/>
        <w:ind w:left="1985"/>
        <w:rPr>
          <w:color w:val="000000" w:themeColor="text1"/>
        </w:rPr>
      </w:pPr>
      <w:r w:rsidRPr="00B40A77">
        <w:rPr>
          <w:color w:val="000000" w:themeColor="text1"/>
        </w:rPr>
        <w:t xml:space="preserve">Section 42(2)(ab) of the </w:t>
      </w:r>
      <w:r w:rsidRPr="00B40A77">
        <w:rPr>
          <w:i/>
          <w:color w:val="000000" w:themeColor="text1"/>
        </w:rPr>
        <w:t>Magistrates Court Act 1991</w:t>
      </w:r>
      <w:r w:rsidRPr="00B40A77">
        <w:rPr>
          <w:color w:val="000000" w:themeColor="text1"/>
        </w:rPr>
        <w:t xml:space="preserve"> provides that an appeal against a judgment by the Magistrates Court in the case of a sentence passed on the conviction of a person of an offence that is, or offences that include, a major indictable offence, lies to the Court of Appeal</w:t>
      </w:r>
      <w:r w:rsidR="006A6B98" w:rsidRPr="00B40A77">
        <w:rPr>
          <w:color w:val="000000" w:themeColor="text1"/>
        </w:rPr>
        <w:t xml:space="preserve"> with the permission of the Court of Appeal</w:t>
      </w:r>
      <w:r w:rsidRPr="00B40A77">
        <w:rPr>
          <w:color w:val="000000" w:themeColor="text1"/>
        </w:rPr>
        <w:t>.</w:t>
      </w:r>
    </w:p>
    <w:p w14:paraId="1C642F87" w14:textId="69687A55" w:rsidR="00936653" w:rsidRPr="00B40A77" w:rsidRDefault="00936653" w:rsidP="00C352AB">
      <w:pPr>
        <w:pStyle w:val="NoteText"/>
        <w:ind w:left="1985"/>
        <w:rPr>
          <w:color w:val="000000" w:themeColor="text1"/>
        </w:rPr>
      </w:pPr>
      <w:r w:rsidRPr="00B40A77">
        <w:rPr>
          <w:color w:val="000000" w:themeColor="text1"/>
        </w:rPr>
        <w:t xml:space="preserve">Section 30(4) of the </w:t>
      </w:r>
      <w:r w:rsidRPr="00B40A77">
        <w:rPr>
          <w:i/>
          <w:color w:val="000000" w:themeColor="text1"/>
        </w:rPr>
        <w:t>Environment, Resources and Development Court Act 1993</w:t>
      </w:r>
      <w:r w:rsidRPr="00B40A77">
        <w:rPr>
          <w:color w:val="000000" w:themeColor="text1"/>
        </w:rPr>
        <w:t xml:space="preserve"> provides that a party to any criminal proceeding </w:t>
      </w:r>
      <w:r w:rsidR="006A6B98" w:rsidRPr="00B40A77">
        <w:rPr>
          <w:color w:val="000000" w:themeColor="text1"/>
        </w:rPr>
        <w:t xml:space="preserve">before the Environment, Resources and Development Court </w:t>
      </w:r>
      <w:r w:rsidRPr="00B40A77">
        <w:rPr>
          <w:color w:val="000000" w:themeColor="text1"/>
        </w:rPr>
        <w:t>may appeal against any judgment given in th</w:t>
      </w:r>
      <w:r w:rsidR="00155895" w:rsidRPr="00B40A77">
        <w:rPr>
          <w:color w:val="000000" w:themeColor="text1"/>
        </w:rPr>
        <w:t>e</w:t>
      </w:r>
      <w:r w:rsidRPr="00B40A77">
        <w:rPr>
          <w:color w:val="000000" w:themeColor="text1"/>
        </w:rPr>
        <w:t xml:space="preserve"> proceeding in the </w:t>
      </w:r>
      <w:r w:rsidRPr="00B40A77">
        <w:rPr>
          <w:color w:val="000000" w:themeColor="text1"/>
        </w:rPr>
        <w:lastRenderedPageBreak/>
        <w:t xml:space="preserve">same way, and to the same extent, as an appeal may be instituted against a judgment given in a criminal action under the </w:t>
      </w:r>
      <w:r w:rsidRPr="00B40A77">
        <w:rPr>
          <w:i/>
          <w:color w:val="000000" w:themeColor="text1"/>
        </w:rPr>
        <w:t>Magistrates Court Act 1991</w:t>
      </w:r>
      <w:r w:rsidRPr="00B40A77">
        <w:rPr>
          <w:color w:val="000000" w:themeColor="text1"/>
        </w:rPr>
        <w:t>.</w:t>
      </w:r>
    </w:p>
    <w:p w14:paraId="41E26F6B" w14:textId="737E5588" w:rsidR="00936653" w:rsidRPr="00B40A77" w:rsidRDefault="00FD2CDC" w:rsidP="00C352AB">
      <w:pPr>
        <w:pStyle w:val="NoteText"/>
        <w:ind w:left="1985"/>
        <w:rPr>
          <w:color w:val="000000" w:themeColor="text1"/>
        </w:rPr>
      </w:pPr>
      <w:r w:rsidRPr="00B40A77">
        <w:rPr>
          <w:color w:val="000000" w:themeColor="text1"/>
        </w:rPr>
        <w:t>Section 31</w:t>
      </w:r>
      <w:r w:rsidR="00936653" w:rsidRPr="00B40A77">
        <w:rPr>
          <w:color w:val="000000" w:themeColor="text1"/>
        </w:rPr>
        <w:t xml:space="preserve"> of the </w:t>
      </w:r>
      <w:r w:rsidR="00936653" w:rsidRPr="00B40A77">
        <w:rPr>
          <w:i/>
          <w:color w:val="000000" w:themeColor="text1"/>
        </w:rPr>
        <w:t>Environment, Resources and Development Court Act 1993</w:t>
      </w:r>
      <w:r w:rsidR="00936653" w:rsidRPr="00B40A77">
        <w:rPr>
          <w:color w:val="000000" w:themeColor="text1"/>
        </w:rPr>
        <w:t xml:space="preserve"> provides that a Judge may reserve any question of law arising in a proceeding for determination by the Court of Appeal</w:t>
      </w:r>
      <w:r w:rsidR="00FF6E80" w:rsidRPr="00B40A77">
        <w:rPr>
          <w:color w:val="000000" w:themeColor="text1"/>
        </w:rPr>
        <w:t>.</w:t>
      </w:r>
    </w:p>
    <w:p w14:paraId="4A801FA4" w14:textId="49C15F3A" w:rsidR="00936653" w:rsidRPr="00B40A77" w:rsidRDefault="00936653" w:rsidP="00C352AB">
      <w:pPr>
        <w:pStyle w:val="NoteText"/>
        <w:ind w:left="1985"/>
        <w:rPr>
          <w:color w:val="000000" w:themeColor="text1"/>
        </w:rPr>
      </w:pPr>
      <w:r w:rsidRPr="00B40A77">
        <w:rPr>
          <w:color w:val="000000" w:themeColor="text1"/>
        </w:rPr>
        <w:t>Section 22(2)</w:t>
      </w:r>
      <w:r w:rsidR="00FF6E80" w:rsidRPr="00B40A77">
        <w:rPr>
          <w:color w:val="000000" w:themeColor="text1"/>
        </w:rPr>
        <w:t>(a)(ii)</w:t>
      </w:r>
      <w:r w:rsidRPr="00B40A77">
        <w:rPr>
          <w:color w:val="000000" w:themeColor="text1"/>
        </w:rPr>
        <w:t xml:space="preserve"> </w:t>
      </w:r>
      <w:r w:rsidR="00CD78A8" w:rsidRPr="00B40A77">
        <w:rPr>
          <w:color w:val="000000" w:themeColor="text1"/>
        </w:rPr>
        <w:t xml:space="preserve">and (b)(ii) </w:t>
      </w:r>
      <w:r w:rsidRPr="00B40A77">
        <w:rPr>
          <w:color w:val="000000" w:themeColor="text1"/>
        </w:rPr>
        <w:t xml:space="preserve">of the </w:t>
      </w:r>
      <w:r w:rsidRPr="00B40A77">
        <w:rPr>
          <w:i/>
          <w:color w:val="000000" w:themeColor="text1"/>
        </w:rPr>
        <w:t>Youth Court Act 1993</w:t>
      </w:r>
      <w:r w:rsidR="00CD78A8" w:rsidRPr="00B40A77">
        <w:rPr>
          <w:color w:val="000000" w:themeColor="text1"/>
        </w:rPr>
        <w:t xml:space="preserve"> provide</w:t>
      </w:r>
      <w:r w:rsidRPr="00B40A77">
        <w:rPr>
          <w:color w:val="000000" w:themeColor="text1"/>
        </w:rPr>
        <w:t xml:space="preserve"> that an appeal against a</w:t>
      </w:r>
      <w:r w:rsidR="00FF6E80" w:rsidRPr="00B40A77">
        <w:rPr>
          <w:color w:val="000000" w:themeColor="text1"/>
        </w:rPr>
        <w:t xml:space="preserve"> judgment </w:t>
      </w:r>
      <w:r w:rsidR="00CD78A8" w:rsidRPr="00B40A77">
        <w:rPr>
          <w:color w:val="000000" w:themeColor="text1"/>
        </w:rPr>
        <w:t>by the Judge</w:t>
      </w:r>
      <w:r w:rsidR="00155895" w:rsidRPr="00B40A77">
        <w:rPr>
          <w:color w:val="000000" w:themeColor="text1"/>
        </w:rPr>
        <w:t>,</w:t>
      </w:r>
      <w:r w:rsidR="00CD78A8" w:rsidRPr="00B40A77">
        <w:rPr>
          <w:color w:val="000000" w:themeColor="text1"/>
        </w:rPr>
        <w:t xml:space="preserve"> </w:t>
      </w:r>
      <w:r w:rsidR="00FF6E80" w:rsidRPr="00B40A77">
        <w:rPr>
          <w:color w:val="000000" w:themeColor="text1"/>
        </w:rPr>
        <w:t>other than an interlocutory judgment</w:t>
      </w:r>
      <w:r w:rsidR="00155895" w:rsidRPr="00B40A77">
        <w:rPr>
          <w:color w:val="000000" w:themeColor="text1"/>
        </w:rPr>
        <w:t>,</w:t>
      </w:r>
      <w:r w:rsidRPr="00B40A77">
        <w:rPr>
          <w:color w:val="000000" w:themeColor="text1"/>
        </w:rPr>
        <w:t xml:space="preserve"> </w:t>
      </w:r>
      <w:r w:rsidR="00CD78A8" w:rsidRPr="00B40A77">
        <w:rPr>
          <w:color w:val="000000" w:themeColor="text1"/>
        </w:rPr>
        <w:t>and a judgment by</w:t>
      </w:r>
      <w:r w:rsidR="00D65C4B" w:rsidRPr="00B40A77">
        <w:rPr>
          <w:color w:val="000000" w:themeColor="text1"/>
        </w:rPr>
        <w:t xml:space="preserve"> </w:t>
      </w:r>
      <w:r w:rsidR="00CD78A8" w:rsidRPr="00B40A77">
        <w:rPr>
          <w:color w:val="000000" w:themeColor="text1"/>
        </w:rPr>
        <w:t>a Magistrate in the case of an action relating to a major indictable offence</w:t>
      </w:r>
      <w:r w:rsidR="00D65C4B" w:rsidRPr="00B40A77">
        <w:rPr>
          <w:color w:val="000000" w:themeColor="text1"/>
        </w:rPr>
        <w:t xml:space="preserve"> </w:t>
      </w:r>
      <w:r w:rsidRPr="00B40A77">
        <w:rPr>
          <w:color w:val="000000" w:themeColor="text1"/>
        </w:rPr>
        <w:t xml:space="preserve">of the Youth Court lies to </w:t>
      </w:r>
      <w:r w:rsidR="00FF6E80" w:rsidRPr="00B40A77">
        <w:rPr>
          <w:color w:val="000000" w:themeColor="text1"/>
        </w:rPr>
        <w:t>the Court of Appeal</w:t>
      </w:r>
      <w:r w:rsidRPr="00B40A77">
        <w:rPr>
          <w:color w:val="000000" w:themeColor="text1"/>
        </w:rPr>
        <w:t>.</w:t>
      </w:r>
    </w:p>
    <w:p w14:paraId="243379DA" w14:textId="4A1CEF90" w:rsidR="005A4A60" w:rsidRPr="00B40A77" w:rsidRDefault="00FF6E80" w:rsidP="00C352AB">
      <w:pPr>
        <w:pStyle w:val="NoteText"/>
        <w:ind w:left="1985"/>
        <w:rPr>
          <w:color w:val="000000" w:themeColor="text1"/>
        </w:rPr>
      </w:pPr>
      <w:r w:rsidRPr="00B40A77">
        <w:rPr>
          <w:color w:val="000000" w:themeColor="text1"/>
        </w:rPr>
        <w:t>Section 157 of the Procedure Act</w:t>
      </w:r>
      <w:r w:rsidR="005A4A60" w:rsidRPr="00B40A77">
        <w:rPr>
          <w:color w:val="000000" w:themeColor="text1"/>
        </w:rPr>
        <w:t xml:space="preserve"> provides that an appeal against judgment</w:t>
      </w:r>
      <w:r w:rsidRPr="00B40A77">
        <w:rPr>
          <w:color w:val="000000" w:themeColor="text1"/>
        </w:rPr>
        <w:t>s identified therein</w:t>
      </w:r>
      <w:r w:rsidR="005A4A60" w:rsidRPr="00B40A77">
        <w:rPr>
          <w:color w:val="000000" w:themeColor="text1"/>
        </w:rPr>
        <w:t xml:space="preserve"> lies to the Court of Appeal.</w:t>
      </w:r>
    </w:p>
    <w:p w14:paraId="78C009F5" w14:textId="359BE901" w:rsidR="001E008D" w:rsidRPr="00B40A77" w:rsidRDefault="001E008D" w:rsidP="00C352AB">
      <w:pPr>
        <w:pStyle w:val="NoteText"/>
        <w:ind w:left="1985"/>
        <w:rPr>
          <w:color w:val="000000" w:themeColor="text1"/>
        </w:rPr>
      </w:pPr>
      <w:r w:rsidRPr="00B40A77">
        <w:rPr>
          <w:color w:val="000000" w:themeColor="text1"/>
        </w:rPr>
        <w:t>Section 153 of the Procedure Act provides that</w:t>
      </w:r>
      <w:r w:rsidR="00FD2CDC" w:rsidRPr="00B40A77">
        <w:rPr>
          <w:color w:val="000000" w:themeColor="text1"/>
        </w:rPr>
        <w:t xml:space="preserve"> a</w:t>
      </w:r>
      <w:r w:rsidRPr="00B40A77">
        <w:rPr>
          <w:color w:val="000000" w:themeColor="text1"/>
        </w:rPr>
        <w:t xml:space="preserve"> court by which a person has been, is being or is to be tried or sentenced for an indictable offence may reserve for consideration and determination by the Court of Appeal a relevant question.</w:t>
      </w:r>
    </w:p>
    <w:p w14:paraId="54AE06ED" w14:textId="666D8951" w:rsidR="00FD2CDC" w:rsidRPr="00B40A77" w:rsidRDefault="00FD2CDC" w:rsidP="00C352AB">
      <w:pPr>
        <w:pStyle w:val="NoteText"/>
        <w:ind w:left="1985"/>
        <w:rPr>
          <w:color w:val="000000" w:themeColor="text1"/>
        </w:rPr>
      </w:pPr>
      <w:r w:rsidRPr="00B40A77">
        <w:rPr>
          <w:color w:val="000000" w:themeColor="text1"/>
        </w:rPr>
        <w:t>Section 173 of the Procedure Act provides that the Attorney-General, on receipt of a petition of mercy, may refer the whole case or a point</w:t>
      </w:r>
      <w:r w:rsidR="00450BCD" w:rsidRPr="00B40A77">
        <w:rPr>
          <w:color w:val="000000" w:themeColor="text1"/>
        </w:rPr>
        <w:t xml:space="preserve"> ar</w:t>
      </w:r>
      <w:r w:rsidR="004D1770" w:rsidRPr="00B40A77">
        <w:rPr>
          <w:color w:val="000000" w:themeColor="text1"/>
        </w:rPr>
        <w:t>i</w:t>
      </w:r>
      <w:r w:rsidR="00450BCD" w:rsidRPr="00B40A77">
        <w:rPr>
          <w:color w:val="000000" w:themeColor="text1"/>
        </w:rPr>
        <w:t>sing to Court of Appeal.</w:t>
      </w:r>
    </w:p>
    <w:p w14:paraId="6A96DC2E" w14:textId="0F3A8FDF" w:rsidR="005A4A60" w:rsidRPr="00B40A77" w:rsidRDefault="005A4A60" w:rsidP="00C352AB">
      <w:pPr>
        <w:pStyle w:val="NoteText"/>
        <w:ind w:left="1985"/>
        <w:rPr>
          <w:color w:val="000000" w:themeColor="text1"/>
        </w:rPr>
      </w:pPr>
      <w:r w:rsidRPr="00B40A77">
        <w:rPr>
          <w:color w:val="000000" w:themeColor="text1"/>
        </w:rPr>
        <w:t xml:space="preserve">Section 68 of </w:t>
      </w:r>
      <w:r w:rsidRPr="00B40A77">
        <w:rPr>
          <w:i/>
          <w:color w:val="000000" w:themeColor="text1"/>
        </w:rPr>
        <w:t>South Australian Employment Tribunal Act 2014</w:t>
      </w:r>
      <w:r w:rsidRPr="00B40A77">
        <w:rPr>
          <w:color w:val="000000" w:themeColor="text1"/>
        </w:rPr>
        <w:t xml:space="preserve"> provides that an appeal against a decision of the Full Bench of the South Australian Employment Court lies to the Court of Appeal.</w:t>
      </w:r>
    </w:p>
    <w:p w14:paraId="7690CD83" w14:textId="761D93E5" w:rsidR="00FD2CDC" w:rsidRPr="00B40A77" w:rsidRDefault="00FD2CDC" w:rsidP="00C352AB">
      <w:pPr>
        <w:pStyle w:val="NoteText"/>
        <w:ind w:left="1985"/>
        <w:rPr>
          <w:color w:val="000000" w:themeColor="text1"/>
        </w:rPr>
      </w:pPr>
      <w:r w:rsidRPr="00B40A77">
        <w:rPr>
          <w:color w:val="000000" w:themeColor="text1"/>
        </w:rPr>
        <w:t xml:space="preserve">Section 70 of </w:t>
      </w:r>
      <w:r w:rsidRPr="00B40A77">
        <w:rPr>
          <w:i/>
          <w:color w:val="000000" w:themeColor="text1"/>
        </w:rPr>
        <w:t>South Australian Employment Tribunal Act 2014</w:t>
      </w:r>
      <w:r w:rsidRPr="00B40A77">
        <w:rPr>
          <w:color w:val="000000" w:themeColor="text1"/>
        </w:rPr>
        <w:t xml:space="preserve"> provides that the Full Bench of the South Australian Employment Court may reserve any question of law arising in a proceeding for determination by the Court of Appeal.</w:t>
      </w:r>
    </w:p>
    <w:p w14:paraId="58F63798" w14:textId="4C858DA3" w:rsidR="005A4A60" w:rsidRPr="00B40A77" w:rsidRDefault="005A4A60" w:rsidP="00C352AB">
      <w:pPr>
        <w:pStyle w:val="ListParagraph"/>
        <w:ind w:left="2007"/>
        <w:contextualSpacing w:val="0"/>
        <w:rPr>
          <w:color w:val="000000" w:themeColor="text1"/>
          <w:sz w:val="20"/>
          <w:szCs w:val="24"/>
        </w:rPr>
      </w:pPr>
      <w:r w:rsidRPr="00B40A77">
        <w:rPr>
          <w:color w:val="000000" w:themeColor="text1"/>
          <w:sz w:val="20"/>
          <w:szCs w:val="24"/>
        </w:rPr>
        <w:t xml:space="preserve">Section 19B of the </w:t>
      </w:r>
      <w:r w:rsidRPr="00B40A77">
        <w:rPr>
          <w:i/>
          <w:color w:val="000000" w:themeColor="text1"/>
          <w:sz w:val="20"/>
          <w:szCs w:val="24"/>
        </w:rPr>
        <w:t>Supreme Court Act 1935</w:t>
      </w:r>
      <w:r w:rsidRPr="00B40A77">
        <w:rPr>
          <w:color w:val="000000" w:themeColor="text1"/>
          <w:sz w:val="20"/>
          <w:szCs w:val="24"/>
        </w:rPr>
        <w:t xml:space="preserve"> provides that the Court of Appeal has jurisdiction to hear and determine </w:t>
      </w:r>
      <w:r w:rsidR="001E008D" w:rsidRPr="00B40A77">
        <w:rPr>
          <w:color w:val="000000" w:themeColor="text1"/>
          <w:sz w:val="20"/>
          <w:szCs w:val="24"/>
        </w:rPr>
        <w:t>amongst other things</w:t>
      </w:r>
      <w:r w:rsidRPr="00B40A77">
        <w:rPr>
          <w:color w:val="000000" w:themeColor="text1"/>
          <w:sz w:val="20"/>
          <w:szCs w:val="24"/>
        </w:rPr>
        <w:t xml:space="preserve"> all </w:t>
      </w:r>
      <w:r w:rsidR="00AC45ED" w:rsidRPr="00B40A77">
        <w:rPr>
          <w:color w:val="000000" w:themeColor="text1"/>
          <w:sz w:val="20"/>
          <w:szCs w:val="24"/>
        </w:rPr>
        <w:t xml:space="preserve">appeals from a single Judge and </w:t>
      </w:r>
      <w:r w:rsidRPr="00B40A77">
        <w:rPr>
          <w:color w:val="000000" w:themeColor="text1"/>
          <w:sz w:val="20"/>
          <w:szCs w:val="24"/>
        </w:rPr>
        <w:t>causes and matters which are required by the rules of court, or by the express provision of any other Act, to be heard or determined by the Court of Appeal.</w:t>
      </w:r>
    </w:p>
    <w:p w14:paraId="78BFA7BE" w14:textId="441ADC9A" w:rsidR="005A4A60" w:rsidRPr="00B40A77" w:rsidRDefault="0037679C" w:rsidP="005A4A60">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a Judge orders that the appellate jurisdiction of the Supreme Court is to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pursuant to subrule</w:t>
      </w:r>
      <w:r w:rsidR="006978ED" w:rsidRPr="00B40A77">
        <w:rPr>
          <w:color w:val="000000" w:themeColor="text1"/>
          <w:lang w:val="en-US"/>
        </w:rPr>
        <w:t> </w:t>
      </w:r>
      <w:r w:rsidRPr="00B40A77">
        <w:rPr>
          <w:color w:val="000000" w:themeColor="text1"/>
          <w:lang w:val="en-US"/>
        </w:rPr>
        <w:t>(1)(</w:t>
      </w:r>
      <w:r w:rsidR="00155895" w:rsidRPr="00B40A77">
        <w:rPr>
          <w:color w:val="000000" w:themeColor="text1"/>
          <w:lang w:val="en-US"/>
        </w:rPr>
        <w:t>b</w:t>
      </w:r>
      <w:r w:rsidRPr="00B40A77">
        <w:rPr>
          <w:color w:val="000000" w:themeColor="text1"/>
          <w:lang w:val="en-US"/>
        </w:rPr>
        <w:t xml:space="preserve">),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may</w:t>
      </w:r>
      <w:r w:rsidR="00697A9D" w:rsidRPr="00B40A77">
        <w:rPr>
          <w:color w:val="000000" w:themeColor="text1"/>
          <w:lang w:val="en-US"/>
        </w:rPr>
        <w:t>,</w:t>
      </w:r>
      <w:r w:rsidRPr="00B40A77">
        <w:rPr>
          <w:color w:val="000000" w:themeColor="text1"/>
          <w:lang w:val="en-US"/>
        </w:rPr>
        <w:t xml:space="preserve"> if it thinks fit</w:t>
      </w:r>
      <w:r w:rsidR="00697A9D" w:rsidRPr="00B40A77">
        <w:rPr>
          <w:color w:val="000000" w:themeColor="text1"/>
          <w:lang w:val="en-US"/>
        </w:rPr>
        <w:t>,</w:t>
      </w:r>
      <w:r w:rsidRPr="00B40A77">
        <w:rPr>
          <w:color w:val="000000" w:themeColor="text1"/>
          <w:lang w:val="en-US"/>
        </w:rPr>
        <w:t xml:space="preserve"> remit the whole or part of the appellate proceeding to </w:t>
      </w:r>
      <w:r w:rsidR="005A4A60" w:rsidRPr="00B40A77">
        <w:rPr>
          <w:color w:val="000000" w:themeColor="text1"/>
          <w:lang w:val="en-US"/>
        </w:rPr>
        <w:t xml:space="preserve">a Judge </w:t>
      </w:r>
      <w:r w:rsidR="001E13FD" w:rsidRPr="00B40A77">
        <w:rPr>
          <w:color w:val="000000" w:themeColor="text1"/>
          <w:lang w:val="en-US"/>
        </w:rPr>
        <w:t>for hearing and determination</w:t>
      </w:r>
      <w:r w:rsidR="005A4A60" w:rsidRPr="00B40A77">
        <w:rPr>
          <w:color w:val="000000" w:themeColor="text1"/>
          <w:lang w:val="en-US"/>
        </w:rPr>
        <w:t>.</w:t>
      </w:r>
    </w:p>
    <w:p w14:paraId="6B9328F2" w14:textId="42B43F6C" w:rsidR="005A4A60" w:rsidRPr="00B40A77" w:rsidRDefault="006A4F88" w:rsidP="005A4A60">
      <w:pPr>
        <w:pStyle w:val="Heading4"/>
        <w:rPr>
          <w:color w:val="000000" w:themeColor="text1"/>
        </w:rPr>
      </w:pPr>
      <w:bookmarkStart w:id="1145" w:name="_212.4—Constitution_of_Full"/>
      <w:bookmarkStart w:id="1146" w:name="_192.3—Constitution_of_Court"/>
      <w:bookmarkStart w:id="1147" w:name="_Toc175239366"/>
      <w:bookmarkStart w:id="1148" w:name="_Toc25920233"/>
      <w:bookmarkEnd w:id="1145"/>
      <w:bookmarkEnd w:id="1146"/>
      <w:r w:rsidRPr="00B40A77">
        <w:rPr>
          <w:color w:val="000000" w:themeColor="text1"/>
        </w:rPr>
        <w:t>19</w:t>
      </w:r>
      <w:r w:rsidR="00DE18EA" w:rsidRPr="00B40A77">
        <w:rPr>
          <w:color w:val="000000" w:themeColor="text1"/>
        </w:rPr>
        <w:t>2</w:t>
      </w:r>
      <w:r w:rsidR="001E008D" w:rsidRPr="00B40A77">
        <w:rPr>
          <w:color w:val="000000" w:themeColor="text1"/>
        </w:rPr>
        <w:t>.3</w:t>
      </w:r>
      <w:r w:rsidR="005A4A60" w:rsidRPr="00B40A77">
        <w:rPr>
          <w:color w:val="000000" w:themeColor="text1"/>
        </w:rPr>
        <w:t>—Constitution of Court of Appeal</w:t>
      </w:r>
      <w:bookmarkEnd w:id="1147"/>
    </w:p>
    <w:p w14:paraId="0796AEC0" w14:textId="67269CEF" w:rsidR="005A4A60" w:rsidRPr="00B40A77" w:rsidRDefault="005A4A60" w:rsidP="005A4A60">
      <w:pPr>
        <w:pStyle w:val="Hangindent"/>
        <w:ind w:left="567" w:firstLine="0"/>
        <w:rPr>
          <w:color w:val="000000" w:themeColor="text1"/>
        </w:rPr>
      </w:pPr>
      <w:r w:rsidRPr="00B40A77">
        <w:rPr>
          <w:color w:val="000000" w:themeColor="text1"/>
          <w:lang w:val="en-US"/>
        </w:rPr>
        <w:t xml:space="preserve">Subject to </w:t>
      </w:r>
      <w:hyperlink w:anchor="_192.4—Interlocutory_and_ancillary" w:history="1">
        <w:r w:rsidR="006A4F88" w:rsidRPr="00B40A77">
          <w:rPr>
            <w:rStyle w:val="Hyperlink"/>
            <w:color w:val="000000" w:themeColor="text1"/>
            <w:lang w:val="en-US"/>
          </w:rPr>
          <w:t>rule 192</w:t>
        </w:r>
        <w:r w:rsidR="00170065" w:rsidRPr="00B40A77">
          <w:rPr>
            <w:rStyle w:val="Hyperlink"/>
            <w:color w:val="000000" w:themeColor="text1"/>
            <w:lang w:val="en-US"/>
          </w:rPr>
          <w:t>.4</w:t>
        </w:r>
      </w:hyperlink>
      <w:r w:rsidRPr="00B40A77">
        <w:rPr>
          <w:color w:val="000000" w:themeColor="text1"/>
          <w:lang w:val="en-US"/>
        </w:rPr>
        <w:t xml:space="preserve">, when the jurisdiction to hear and determine an appellate proceeding is vested in or to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the </w:t>
      </w:r>
      <w:hyperlink w:anchor="_2.1—Definitions" w:history="1">
        <w:r w:rsidR="00350C21" w:rsidRPr="00B40A77">
          <w:rPr>
            <w:rStyle w:val="Hyperlink"/>
            <w:color w:val="000000" w:themeColor="text1"/>
            <w:lang w:val="en-US"/>
          </w:rPr>
          <w:t>Court of Appeal</w:t>
        </w:r>
      </w:hyperlink>
      <w:r w:rsidRPr="00B40A77">
        <w:rPr>
          <w:color w:val="000000" w:themeColor="text1"/>
        </w:rPr>
        <w:t>—</w:t>
      </w:r>
    </w:p>
    <w:p w14:paraId="3ABA9F57" w14:textId="3025E31A" w:rsidR="005A4A60" w:rsidRPr="00B40A77" w:rsidRDefault="005A4A60" w:rsidP="005A4A60">
      <w:pPr>
        <w:pStyle w:val="Hangindent"/>
        <w:rPr>
          <w:color w:val="000000" w:themeColor="text1"/>
          <w:lang w:val="en-US"/>
        </w:rPr>
      </w:pPr>
      <w:r w:rsidRPr="00B40A77">
        <w:rPr>
          <w:color w:val="000000" w:themeColor="text1"/>
          <w:lang w:val="en-US"/>
        </w:rPr>
        <w:t>(a)</w:t>
      </w:r>
      <w:r w:rsidRPr="00B40A77">
        <w:rPr>
          <w:color w:val="000000" w:themeColor="text1"/>
          <w:lang w:val="en-US"/>
        </w:rPr>
        <w:tab/>
        <w:t>will ordinarily be comprised of 3 Judges;</w:t>
      </w:r>
    </w:p>
    <w:p w14:paraId="247FB129" w14:textId="1B04C178" w:rsidR="005A4A60" w:rsidRPr="00B40A77" w:rsidRDefault="005A4A60" w:rsidP="005A4A60">
      <w:pPr>
        <w:pStyle w:val="Hangindent"/>
        <w:rPr>
          <w:color w:val="000000" w:themeColor="text1"/>
          <w:lang w:val="en-US"/>
        </w:rPr>
      </w:pPr>
      <w:r w:rsidRPr="00B40A77">
        <w:rPr>
          <w:color w:val="000000" w:themeColor="text1"/>
          <w:lang w:val="en-US"/>
        </w:rPr>
        <w:t>(b)</w:t>
      </w:r>
      <w:r w:rsidRPr="00B40A77">
        <w:rPr>
          <w:color w:val="000000" w:themeColor="text1"/>
          <w:lang w:val="en-US"/>
        </w:rPr>
        <w:tab/>
        <w:t xml:space="preserve">may, if the </w:t>
      </w:r>
      <w:hyperlink w:anchor="_2.1—Definitions" w:history="1">
        <w:r w:rsidRPr="00B40A77">
          <w:rPr>
            <w:rStyle w:val="Hyperlink"/>
            <w:color w:val="000000" w:themeColor="text1"/>
            <w:lang w:val="en-US"/>
          </w:rPr>
          <w:t>Chief Justice</w:t>
        </w:r>
      </w:hyperlink>
      <w:r w:rsidRPr="00B40A77">
        <w:rPr>
          <w:color w:val="000000" w:themeColor="text1"/>
          <w:lang w:val="en-US"/>
        </w:rPr>
        <w:t xml:space="preserve"> </w:t>
      </w:r>
      <w:r w:rsidRPr="00B40A77">
        <w:rPr>
          <w:color w:val="000000" w:themeColor="text1"/>
        </w:rPr>
        <w:t xml:space="preserve">or President of the </w:t>
      </w:r>
      <w:hyperlink w:anchor="_2.1—Definitions" w:history="1">
        <w:r w:rsidR="00350C21" w:rsidRPr="00B40A77">
          <w:rPr>
            <w:rStyle w:val="Hyperlink"/>
            <w:color w:val="000000" w:themeColor="text1"/>
            <w:lang w:val="en-US"/>
          </w:rPr>
          <w:t>Court of Appeal</w:t>
        </w:r>
      </w:hyperlink>
      <w:r w:rsidR="006A4F88" w:rsidRPr="00B40A77">
        <w:rPr>
          <w:color w:val="000000" w:themeColor="text1"/>
          <w:lang w:val="en-US"/>
        </w:rPr>
        <w:t xml:space="preserve"> so determines</w:t>
      </w:r>
      <w:r w:rsidRPr="00B40A77">
        <w:rPr>
          <w:color w:val="000000" w:themeColor="text1"/>
          <w:lang w:val="en-US"/>
        </w:rPr>
        <w:t>, be comprised of 5 Judges; or</w:t>
      </w:r>
    </w:p>
    <w:p w14:paraId="51BC4297" w14:textId="3FF98B93" w:rsidR="005A4A60" w:rsidRPr="00B40A77" w:rsidRDefault="005A4A60" w:rsidP="005A4A60">
      <w:pPr>
        <w:pStyle w:val="Hangindent"/>
        <w:rPr>
          <w:color w:val="000000" w:themeColor="text1"/>
          <w:lang w:val="en-US"/>
        </w:rPr>
      </w:pPr>
      <w:r w:rsidRPr="00B40A77">
        <w:rPr>
          <w:color w:val="000000" w:themeColor="text1"/>
          <w:lang w:val="en-US"/>
        </w:rPr>
        <w:t>(c)</w:t>
      </w:r>
      <w:r w:rsidR="00151851" w:rsidRPr="00B40A77">
        <w:rPr>
          <w:color w:val="000000" w:themeColor="text1"/>
          <w:lang w:val="en-US"/>
        </w:rPr>
        <w:tab/>
        <w:t xml:space="preserve">may, </w:t>
      </w:r>
      <w:r w:rsidRPr="00B40A77">
        <w:rPr>
          <w:color w:val="000000" w:themeColor="text1"/>
          <w:lang w:val="en-US"/>
        </w:rPr>
        <w:t xml:space="preserve">if the </w:t>
      </w:r>
      <w:hyperlink w:anchor="_2.1—Definitions" w:history="1">
        <w:r w:rsidRPr="00B40A77">
          <w:rPr>
            <w:rStyle w:val="Hyperlink"/>
            <w:color w:val="000000" w:themeColor="text1"/>
            <w:lang w:val="en-US"/>
          </w:rPr>
          <w:t>Chief Justice</w:t>
        </w:r>
      </w:hyperlink>
      <w:r w:rsidRPr="00B40A77">
        <w:rPr>
          <w:color w:val="000000" w:themeColor="text1"/>
          <w:lang w:val="en-US"/>
        </w:rPr>
        <w:t xml:space="preserve"> </w:t>
      </w:r>
      <w:r w:rsidRPr="00B40A77">
        <w:rPr>
          <w:color w:val="000000" w:themeColor="text1"/>
        </w:rPr>
        <w:t xml:space="preserve">or President of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so determines, be comprised of 2 Judges.</w:t>
      </w:r>
    </w:p>
    <w:p w14:paraId="3E538CBF" w14:textId="2F38142D" w:rsidR="005A4A60" w:rsidRPr="00B40A77" w:rsidRDefault="006A4F88" w:rsidP="005A4A60">
      <w:pPr>
        <w:pStyle w:val="Heading4"/>
        <w:rPr>
          <w:color w:val="000000" w:themeColor="text1"/>
        </w:rPr>
      </w:pPr>
      <w:bookmarkStart w:id="1149" w:name="_212.5—Interlocutory_and_ancillary"/>
      <w:bookmarkStart w:id="1150" w:name="_192.4—Interlocutory_and_ancillary"/>
      <w:bookmarkStart w:id="1151" w:name="_Toc175239367"/>
      <w:bookmarkEnd w:id="1149"/>
      <w:bookmarkEnd w:id="1150"/>
      <w:r w:rsidRPr="00B40A77">
        <w:rPr>
          <w:color w:val="000000" w:themeColor="text1"/>
        </w:rPr>
        <w:t>19</w:t>
      </w:r>
      <w:r w:rsidR="00F10EC8" w:rsidRPr="00B40A77">
        <w:rPr>
          <w:color w:val="000000" w:themeColor="text1"/>
        </w:rPr>
        <w:t>2</w:t>
      </w:r>
      <w:r w:rsidR="00170065" w:rsidRPr="00B40A77">
        <w:rPr>
          <w:color w:val="000000" w:themeColor="text1"/>
        </w:rPr>
        <w:t>.4</w:t>
      </w:r>
      <w:r w:rsidR="005A4A60" w:rsidRPr="00B40A77">
        <w:rPr>
          <w:color w:val="000000" w:themeColor="text1"/>
        </w:rPr>
        <w:t>—Interlocutory and ancillary orders</w:t>
      </w:r>
      <w:bookmarkEnd w:id="1151"/>
      <w:r w:rsidR="005A4A60" w:rsidRPr="00B40A77">
        <w:rPr>
          <w:color w:val="000000" w:themeColor="text1"/>
        </w:rPr>
        <w:t xml:space="preserve"> </w:t>
      </w:r>
      <w:bookmarkEnd w:id="1148"/>
    </w:p>
    <w:p w14:paraId="264B58D3" w14:textId="513ECA7A" w:rsidR="005A4A60" w:rsidRPr="00B40A77" w:rsidRDefault="005A4A60" w:rsidP="005A4A60">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Subject to any </w:t>
      </w:r>
      <w:r w:rsidR="00532AD4" w:rsidRPr="00B40A77">
        <w:rPr>
          <w:color w:val="000000" w:themeColor="text1"/>
          <w:lang w:val="en-US"/>
        </w:rPr>
        <w:t>statutory provision</w:t>
      </w:r>
      <w:r w:rsidR="003850E0" w:rsidRPr="00B40A77">
        <w:rPr>
          <w:color w:val="000000" w:themeColor="text1"/>
          <w:lang w:val="en-US"/>
        </w:rPr>
        <w:t xml:space="preserve"> to the contrary and subrule</w:t>
      </w:r>
      <w:r w:rsidR="00EF2B06" w:rsidRPr="00B40A77">
        <w:rPr>
          <w:color w:val="000000" w:themeColor="text1"/>
          <w:lang w:val="en-US"/>
        </w:rPr>
        <w:t> </w:t>
      </w:r>
      <w:r w:rsidR="003850E0" w:rsidRPr="00B40A77">
        <w:rPr>
          <w:color w:val="000000" w:themeColor="text1"/>
          <w:lang w:val="en-US"/>
        </w:rPr>
        <w:t>(2</w:t>
      </w:r>
      <w:r w:rsidRPr="00B40A77">
        <w:rPr>
          <w:color w:val="000000" w:themeColor="text1"/>
          <w:lang w:val="en-US"/>
        </w:rPr>
        <w:t xml:space="preserve">), when the jurisdiction to hear and determine an appellate proceeding is vested in, or to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a single Judge may make interlocutory orders and other orders ancillary to the hearing and determination of the appellate proceeding</w:t>
      </w:r>
      <w:r w:rsidR="00521BEE" w:rsidRPr="00B40A77">
        <w:rPr>
          <w:color w:val="000000" w:themeColor="text1"/>
          <w:lang w:val="en-US"/>
        </w:rPr>
        <w:t xml:space="preserve"> under </w:t>
      </w:r>
      <w:hyperlink w:anchor="_Division_10—Interlocutory_steps" w:history="1">
        <w:r w:rsidR="00521BEE" w:rsidRPr="00B40A77">
          <w:rPr>
            <w:rStyle w:val="Hyperlink"/>
            <w:color w:val="000000" w:themeColor="text1"/>
            <w:lang w:val="en-US"/>
          </w:rPr>
          <w:t>Division</w:t>
        </w:r>
        <w:r w:rsidR="00187EC1" w:rsidRPr="00B40A77">
          <w:rPr>
            <w:rStyle w:val="Hyperlink"/>
            <w:color w:val="000000" w:themeColor="text1"/>
            <w:lang w:val="en-US"/>
          </w:rPr>
          <w:t> </w:t>
        </w:r>
        <w:r w:rsidR="007A405C" w:rsidRPr="00B40A77">
          <w:rPr>
            <w:rStyle w:val="Hyperlink"/>
            <w:color w:val="000000" w:themeColor="text1"/>
            <w:lang w:val="en-US"/>
          </w:rPr>
          <w:t>10</w:t>
        </w:r>
      </w:hyperlink>
      <w:r w:rsidRPr="00B40A77">
        <w:rPr>
          <w:color w:val="000000" w:themeColor="text1"/>
          <w:lang w:val="en-US"/>
        </w:rPr>
        <w:t>.</w:t>
      </w:r>
    </w:p>
    <w:p w14:paraId="7D7FFDEB" w14:textId="716C7896" w:rsidR="005A4A60" w:rsidRPr="00B40A77" w:rsidRDefault="0081567C" w:rsidP="005A4A60">
      <w:pPr>
        <w:pStyle w:val="Hangindent"/>
        <w:rPr>
          <w:color w:val="000000" w:themeColor="text1"/>
          <w:lang w:val="en-US"/>
        </w:rPr>
      </w:pPr>
      <w:r w:rsidRPr="00B40A77">
        <w:rPr>
          <w:color w:val="000000" w:themeColor="text1"/>
          <w:lang w:val="en-US"/>
        </w:rPr>
        <w:t>(2</w:t>
      </w:r>
      <w:r w:rsidR="005A4A60" w:rsidRPr="00B40A77">
        <w:rPr>
          <w:color w:val="000000" w:themeColor="text1"/>
          <w:lang w:val="en-US"/>
        </w:rPr>
        <w:t>)</w:t>
      </w:r>
      <w:r w:rsidR="005A4A60" w:rsidRPr="00B40A77">
        <w:rPr>
          <w:color w:val="000000" w:themeColor="text1"/>
          <w:lang w:val="en-US"/>
        </w:rPr>
        <w:tab/>
        <w:t xml:space="preserve">This rule does not derogate from the power of the </w:t>
      </w:r>
      <w:hyperlink w:anchor="_2.1—Definitions" w:history="1">
        <w:r w:rsidR="00350C21" w:rsidRPr="00B40A77">
          <w:rPr>
            <w:rStyle w:val="Hyperlink"/>
            <w:color w:val="000000" w:themeColor="text1"/>
            <w:lang w:val="en-US"/>
          </w:rPr>
          <w:t>Court of Appeal</w:t>
        </w:r>
      </w:hyperlink>
      <w:r w:rsidR="005A4A60" w:rsidRPr="00B40A77">
        <w:rPr>
          <w:color w:val="000000" w:themeColor="text1"/>
          <w:lang w:val="en-US"/>
        </w:rPr>
        <w:t xml:space="preserve"> constituted under </w:t>
      </w:r>
      <w:hyperlink w:anchor="_192.3—Constitution_of_Court" w:history="1">
        <w:r w:rsidR="00CF14A0" w:rsidRPr="00B40A77">
          <w:rPr>
            <w:rStyle w:val="Hyperlink"/>
            <w:color w:val="000000" w:themeColor="text1"/>
            <w:lang w:val="en-US"/>
          </w:rPr>
          <w:t>rule 192</w:t>
        </w:r>
        <w:r w:rsidR="00170065" w:rsidRPr="00B40A77">
          <w:rPr>
            <w:rStyle w:val="Hyperlink"/>
            <w:color w:val="000000" w:themeColor="text1"/>
            <w:lang w:val="en-US"/>
          </w:rPr>
          <w:t>.3</w:t>
        </w:r>
      </w:hyperlink>
      <w:r w:rsidR="005A4A60" w:rsidRPr="00B40A77">
        <w:rPr>
          <w:color w:val="000000" w:themeColor="text1"/>
          <w:lang w:val="en-US"/>
        </w:rPr>
        <w:t xml:space="preserve"> to make interlocutory orders and other orders ancillary to the hearing and determination of the appellate proceeding.</w:t>
      </w:r>
    </w:p>
    <w:p w14:paraId="2AF94843" w14:textId="47C3FB21" w:rsidR="00372C09" w:rsidRPr="00B40A77" w:rsidRDefault="006A4F88" w:rsidP="00372C09">
      <w:pPr>
        <w:pStyle w:val="Heading4"/>
        <w:rPr>
          <w:color w:val="000000" w:themeColor="text1"/>
        </w:rPr>
      </w:pPr>
      <w:bookmarkStart w:id="1152" w:name="_218.2—Variation_of_times"/>
      <w:bookmarkStart w:id="1153" w:name="_Toc25920299"/>
      <w:bookmarkStart w:id="1154" w:name="_Toc175239368"/>
      <w:bookmarkEnd w:id="1152"/>
      <w:r w:rsidRPr="00B40A77">
        <w:rPr>
          <w:color w:val="000000" w:themeColor="text1"/>
        </w:rPr>
        <w:lastRenderedPageBreak/>
        <w:t>19</w:t>
      </w:r>
      <w:r w:rsidR="00F10EC8" w:rsidRPr="00B40A77">
        <w:rPr>
          <w:color w:val="000000" w:themeColor="text1"/>
        </w:rPr>
        <w:t>2</w:t>
      </w:r>
      <w:r w:rsidR="00AF3BB2" w:rsidRPr="00B40A77">
        <w:rPr>
          <w:color w:val="000000" w:themeColor="text1"/>
        </w:rPr>
        <w:t>.5</w:t>
      </w:r>
      <w:r w:rsidR="00372C09" w:rsidRPr="00B40A77">
        <w:rPr>
          <w:color w:val="000000" w:themeColor="text1"/>
        </w:rPr>
        <w:t>—Variation of times</w:t>
      </w:r>
      <w:bookmarkEnd w:id="1153"/>
      <w:bookmarkEnd w:id="1154"/>
    </w:p>
    <w:p w14:paraId="3855EA3D" w14:textId="1D7D790E" w:rsidR="00372C09" w:rsidRPr="00B40A77" w:rsidRDefault="00372C09" w:rsidP="00372C09">
      <w:pPr>
        <w:pStyle w:val="Hangindent"/>
        <w:ind w:left="567" w:firstLine="0"/>
        <w:rPr>
          <w:rFonts w:cs="Times New Roman"/>
          <w:color w:val="000000" w:themeColor="text1"/>
        </w:rPr>
      </w:pP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on an application to Registrar in accordance with </w:t>
      </w:r>
      <w:hyperlink w:anchor="_16.2—Registrar" w:history="1">
        <w:r w:rsidR="006A4F88" w:rsidRPr="00B40A77">
          <w:rPr>
            <w:rStyle w:val="Hyperlink"/>
            <w:rFonts w:cs="Times New Roman"/>
            <w:color w:val="000000" w:themeColor="text1"/>
          </w:rPr>
          <w:t>rule 16.2</w:t>
        </w:r>
      </w:hyperlink>
      <w:r w:rsidR="00712433" w:rsidRPr="00B40A77">
        <w:rPr>
          <w:rStyle w:val="Hyperlink"/>
          <w:rFonts w:cs="Times New Roman"/>
          <w:color w:val="000000" w:themeColor="text1"/>
          <w:u w:val="none"/>
        </w:rPr>
        <w:t>(5)</w:t>
      </w:r>
      <w:r w:rsidRPr="00B40A77">
        <w:rPr>
          <w:rFonts w:cs="Times New Roman"/>
          <w:color w:val="000000" w:themeColor="text1"/>
        </w:rPr>
        <w:t xml:space="preserve">, or the Court on </w:t>
      </w:r>
      <w:r w:rsidR="005A5793" w:rsidRPr="00B40A77">
        <w:rPr>
          <w:color w:val="000000" w:themeColor="text1"/>
          <w:lang w:val="en-US"/>
        </w:rPr>
        <w:t xml:space="preserve">an </w:t>
      </w:r>
      <w:r w:rsidR="00FA4048" w:rsidRPr="00B40A77">
        <w:rPr>
          <w:color w:val="000000" w:themeColor="text1"/>
          <w:lang w:val="en-US"/>
        </w:rPr>
        <w:t xml:space="preserve">interlocutory application </w:t>
      </w:r>
      <w:r w:rsidR="005A5793" w:rsidRPr="00B40A77">
        <w:rPr>
          <w:color w:val="000000" w:themeColor="text1"/>
          <w:lang w:val="en-US"/>
        </w:rPr>
        <w:t xml:space="preserve">in accordance with </w:t>
      </w:r>
      <w:hyperlink w:anchor="_39.1—Written_application" w:history="1">
        <w:r w:rsidR="005A5793" w:rsidRPr="00B40A77">
          <w:rPr>
            <w:rStyle w:val="Hyperlink"/>
            <w:color w:val="000000" w:themeColor="text1"/>
            <w:lang w:val="en-US"/>
          </w:rPr>
          <w:t>rule 39.1</w:t>
        </w:r>
      </w:hyperlink>
      <w:r w:rsidRPr="00B40A77">
        <w:rPr>
          <w:rFonts w:cs="Times New Roman"/>
          <w:color w:val="000000" w:themeColor="text1"/>
        </w:rPr>
        <w:t>, may vary a time limit prescribed in this Part.</w:t>
      </w:r>
    </w:p>
    <w:p w14:paraId="5C061D84" w14:textId="188FB240" w:rsidR="00111A5D" w:rsidRPr="00B40A77" w:rsidRDefault="00111A5D" w:rsidP="00111A5D">
      <w:pPr>
        <w:pStyle w:val="Heading3"/>
        <w:rPr>
          <w:color w:val="000000" w:themeColor="text1"/>
        </w:rPr>
      </w:pPr>
      <w:bookmarkStart w:id="1155" w:name="_Toc175239369"/>
      <w:bookmarkStart w:id="1156" w:name="_Toc60133682"/>
      <w:bookmarkStart w:id="1157" w:name="_Toc25920300"/>
      <w:r w:rsidRPr="00B40A77">
        <w:rPr>
          <w:color w:val="000000" w:themeColor="text1"/>
        </w:rPr>
        <w:t>Division 2—Institution of appeal</w:t>
      </w:r>
      <w:bookmarkEnd w:id="1155"/>
    </w:p>
    <w:p w14:paraId="71A732CF" w14:textId="2E08070E" w:rsidR="00111A5D" w:rsidRPr="00B40A77" w:rsidRDefault="00612935" w:rsidP="00111A5D">
      <w:pPr>
        <w:pStyle w:val="Heading4"/>
        <w:rPr>
          <w:color w:val="000000" w:themeColor="text1"/>
        </w:rPr>
      </w:pPr>
      <w:bookmarkStart w:id="1158" w:name="_193.1—Time_to_appeal"/>
      <w:bookmarkStart w:id="1159" w:name="_Toc175239370"/>
      <w:bookmarkEnd w:id="1158"/>
      <w:r w:rsidRPr="00B40A77">
        <w:rPr>
          <w:color w:val="000000" w:themeColor="text1"/>
        </w:rPr>
        <w:t>19</w:t>
      </w:r>
      <w:r w:rsidR="005A260F" w:rsidRPr="00B40A77">
        <w:rPr>
          <w:color w:val="000000" w:themeColor="text1"/>
        </w:rPr>
        <w:t>3</w:t>
      </w:r>
      <w:r w:rsidR="00111A5D" w:rsidRPr="00B40A77">
        <w:rPr>
          <w:color w:val="000000" w:themeColor="text1"/>
        </w:rPr>
        <w:t>.1—Time to appeal</w:t>
      </w:r>
      <w:bookmarkEnd w:id="1159"/>
    </w:p>
    <w:p w14:paraId="36551195" w14:textId="0E200E9B" w:rsidR="00111A5D" w:rsidRDefault="00111A5D" w:rsidP="00111A5D">
      <w:pPr>
        <w:pStyle w:val="Hangindent"/>
        <w:rPr>
          <w:color w:val="000000" w:themeColor="text1"/>
          <w:lang w:val="en-US"/>
        </w:rPr>
      </w:pPr>
      <w:r w:rsidRPr="00B40A77">
        <w:rPr>
          <w:color w:val="000000" w:themeColor="text1"/>
          <w:lang w:val="en-US"/>
        </w:rPr>
        <w:t>(1)</w:t>
      </w:r>
      <w:r w:rsidRPr="00B40A77">
        <w:rPr>
          <w:color w:val="000000" w:themeColor="text1"/>
          <w:lang w:val="en-US"/>
        </w:rPr>
        <w:tab/>
        <w:t>Subject to su</w:t>
      </w:r>
      <w:r w:rsidR="00900D48" w:rsidRPr="00B40A77">
        <w:rPr>
          <w:color w:val="000000" w:themeColor="text1"/>
          <w:lang w:val="en-US"/>
        </w:rPr>
        <w:t>b</w:t>
      </w:r>
      <w:r w:rsidRPr="00B40A77">
        <w:rPr>
          <w:color w:val="000000" w:themeColor="text1"/>
          <w:lang w:val="en-US"/>
        </w:rPr>
        <w:t>rule</w:t>
      </w:r>
      <w:r w:rsidR="00C42A0C" w:rsidRPr="00B40A77">
        <w:rPr>
          <w:color w:val="000000" w:themeColor="text1"/>
          <w:lang w:val="en-US"/>
        </w:rPr>
        <w:t> </w:t>
      </w:r>
      <w:r w:rsidRPr="00B40A77">
        <w:rPr>
          <w:color w:val="000000" w:themeColor="text1"/>
          <w:lang w:val="en-US"/>
        </w:rPr>
        <w:t>(2), an appeal must be instituted within</w:t>
      </w:r>
      <w:r w:rsidR="000648DA" w:rsidRPr="00B40A77">
        <w:rPr>
          <w:color w:val="000000" w:themeColor="text1"/>
          <w:lang w:val="en-US"/>
        </w:rPr>
        <w:t> </w:t>
      </w:r>
      <w:r w:rsidRPr="00B40A77">
        <w:rPr>
          <w:color w:val="000000" w:themeColor="text1"/>
          <w:lang w:val="en-US"/>
        </w:rPr>
        <w:t>21</w:t>
      </w:r>
      <w:r w:rsidR="000648DA" w:rsidRPr="00B40A77">
        <w:rPr>
          <w:color w:val="000000" w:themeColor="text1"/>
          <w:lang w:val="en-US"/>
        </w:rPr>
        <w:t> </w:t>
      </w:r>
      <w:r w:rsidRPr="00B40A77">
        <w:rPr>
          <w:color w:val="000000" w:themeColor="text1"/>
          <w:lang w:val="en-US"/>
        </w:rPr>
        <w:t>days after the date of the judgment, decision or order the subject of the appeal.</w:t>
      </w:r>
    </w:p>
    <w:p w14:paraId="612A23A7" w14:textId="77777777" w:rsidR="00AA4007" w:rsidRPr="00923803" w:rsidRDefault="00AA4007" w:rsidP="00AA4007">
      <w:pPr>
        <w:pStyle w:val="NoteHeader"/>
      </w:pPr>
      <w:r w:rsidRPr="00923803">
        <w:t>Note—</w:t>
      </w:r>
    </w:p>
    <w:p w14:paraId="7EDD0BF3" w14:textId="7199BD4A" w:rsidR="00AA4007" w:rsidRPr="00AA4007" w:rsidRDefault="00AA4007" w:rsidP="00AA4007">
      <w:pPr>
        <w:pStyle w:val="Hangindent"/>
        <w:ind w:left="1418" w:firstLine="0"/>
        <w:rPr>
          <w:color w:val="000000" w:themeColor="text1"/>
          <w:sz w:val="20"/>
          <w:szCs w:val="20"/>
          <w:lang w:val="en-US"/>
        </w:rPr>
      </w:pPr>
      <w:r w:rsidRPr="00AA4007">
        <w:rPr>
          <w:sz w:val="20"/>
          <w:szCs w:val="20"/>
        </w:rPr>
        <w:t xml:space="preserve">Under rule 40.2, unless the Court orders otherwise, an order or judgment takes effect, when the Court pronounces it orally </w:t>
      </w:r>
      <w:hyperlink w:anchor="_2.1—Definitions" w:history="1">
        <w:r w:rsidRPr="00AA4007">
          <w:rPr>
            <w:sz w:val="20"/>
            <w:szCs w:val="20"/>
          </w:rPr>
          <w:t>in court</w:t>
        </w:r>
      </w:hyperlink>
      <w:r w:rsidRPr="00AA4007">
        <w:rPr>
          <w:sz w:val="20"/>
          <w:szCs w:val="20"/>
        </w:rPr>
        <w:t>, at the end of the hearing when the pronouncement is made or, if the Court pronounces it other than at a hearing, when the Court communicates its terms to the parties. Time to appeal begins to run when the order or judgment takes effect under those rules. Time does not begin to run if the Court merely delivers reasons for judgment but does not yet make orders.</w:t>
      </w:r>
    </w:p>
    <w:p w14:paraId="789047A2" w14:textId="31FFAA5B" w:rsidR="00111A5D" w:rsidRPr="00B40A77" w:rsidRDefault="00111A5D" w:rsidP="00111A5D">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If leave to appeal is sought under </w:t>
      </w:r>
      <w:hyperlink w:anchor="_196.3—Leave_sought_from" w:history="1">
        <w:r w:rsidR="00EE522C" w:rsidRPr="00B40A77">
          <w:rPr>
            <w:rStyle w:val="Hyperlink"/>
            <w:color w:val="000000" w:themeColor="text1"/>
            <w:lang w:val="en-US"/>
          </w:rPr>
          <w:t>rule 196.3</w:t>
        </w:r>
      </w:hyperlink>
      <w:r w:rsidRPr="00B40A77">
        <w:rPr>
          <w:color w:val="000000" w:themeColor="text1"/>
          <w:lang w:val="en-US"/>
        </w:rPr>
        <w:t>, an appeal must be instituted within the later of</w:t>
      </w:r>
      <w:r w:rsidR="007A405C" w:rsidRPr="00B40A77">
        <w:rPr>
          <w:color w:val="000000" w:themeColor="text1"/>
          <w:lang w:val="en-US"/>
        </w:rPr>
        <w:t xml:space="preserve"> the following</w:t>
      </w:r>
      <w:r w:rsidRPr="00B40A77">
        <w:rPr>
          <w:color w:val="000000" w:themeColor="text1"/>
          <w:lang w:val="en-US"/>
        </w:rPr>
        <w:t>—</w:t>
      </w:r>
    </w:p>
    <w:p w14:paraId="52190F22" w14:textId="73645ECD" w:rsidR="00111A5D" w:rsidRPr="00B40A77" w:rsidRDefault="00111A5D" w:rsidP="00111A5D">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21 days after the making of the judgment, order or decision </w:t>
      </w:r>
      <w:r w:rsidR="000D5E6C" w:rsidRPr="00B40A77">
        <w:rPr>
          <w:color w:val="000000" w:themeColor="text1"/>
          <w:lang w:val="en-US"/>
        </w:rPr>
        <w:t xml:space="preserve">the </w:t>
      </w:r>
      <w:r w:rsidRPr="00B40A77">
        <w:rPr>
          <w:color w:val="000000" w:themeColor="text1"/>
          <w:lang w:val="en-US"/>
        </w:rPr>
        <w:t>subject of the appeal; or</w:t>
      </w:r>
    </w:p>
    <w:p w14:paraId="266659CE" w14:textId="0663AD8A" w:rsidR="00111A5D" w:rsidRPr="00B40A77" w:rsidRDefault="00111A5D" w:rsidP="00111A5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7 days after the grant or refusal </w:t>
      </w:r>
      <w:r w:rsidR="007B3F5F" w:rsidRPr="00B40A77">
        <w:rPr>
          <w:color w:val="000000" w:themeColor="text1"/>
          <w:lang w:val="en-US"/>
        </w:rPr>
        <w:t xml:space="preserve">(as the case may be) </w:t>
      </w:r>
      <w:r w:rsidRPr="00B40A77">
        <w:rPr>
          <w:color w:val="000000" w:themeColor="text1"/>
          <w:lang w:val="en-US"/>
        </w:rPr>
        <w:t xml:space="preserve">of leave </w:t>
      </w:r>
      <w:r w:rsidR="00612935" w:rsidRPr="00B40A77">
        <w:rPr>
          <w:color w:val="000000" w:themeColor="text1"/>
          <w:lang w:val="en-US"/>
        </w:rPr>
        <w:t>by the Judge whose decision is subject to the application for leave to appeal</w:t>
      </w:r>
      <w:r w:rsidRPr="00B40A77">
        <w:rPr>
          <w:color w:val="000000" w:themeColor="text1"/>
          <w:lang w:val="en-US"/>
        </w:rPr>
        <w:t>.</w:t>
      </w:r>
    </w:p>
    <w:p w14:paraId="75A6E95E" w14:textId="6DAD2A18" w:rsidR="0050751A" w:rsidRPr="00B40A77" w:rsidRDefault="0050751A" w:rsidP="0050751A">
      <w:pPr>
        <w:pStyle w:val="Hangindent"/>
        <w:rPr>
          <w:color w:val="000000" w:themeColor="text1"/>
          <w:lang w:val="en-US"/>
        </w:rPr>
      </w:pPr>
      <w:r w:rsidRPr="00B40A77">
        <w:rPr>
          <w:color w:val="000000" w:themeColor="text1"/>
          <w:lang w:val="en-US"/>
        </w:rPr>
        <w:t>(3)</w:t>
      </w:r>
      <w:r w:rsidRPr="00B40A77">
        <w:rPr>
          <w:color w:val="000000" w:themeColor="text1"/>
          <w:lang w:val="en-US"/>
        </w:rPr>
        <w:tab/>
        <w:t>If an extension of time to appeal is required—</w:t>
      </w:r>
    </w:p>
    <w:p w14:paraId="1F53BBF4" w14:textId="3837433F" w:rsidR="0050751A" w:rsidRPr="00B40A77" w:rsidRDefault="0050751A" w:rsidP="0050751A">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the appeal must be instituted in the ordinary way in accordance with </w:t>
      </w:r>
      <w:hyperlink w:anchor="_193.2—Institution_of_appeal" w:history="1">
        <w:r w:rsidRPr="00B40A77">
          <w:rPr>
            <w:rStyle w:val="Hyperlink"/>
            <w:color w:val="000000" w:themeColor="text1"/>
            <w:lang w:val="en-US"/>
          </w:rPr>
          <w:t>rule 193.2</w:t>
        </w:r>
      </w:hyperlink>
      <w:r w:rsidRPr="00B40A77">
        <w:rPr>
          <w:color w:val="000000" w:themeColor="text1"/>
          <w:lang w:val="en-US"/>
        </w:rPr>
        <w:t>;</w:t>
      </w:r>
    </w:p>
    <w:p w14:paraId="6A5E3C68" w14:textId="77777777" w:rsidR="0050751A" w:rsidRPr="00B40A77" w:rsidRDefault="0050751A" w:rsidP="0050751A">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notice of appeal must seek the necessary extension of time; and</w:t>
      </w:r>
    </w:p>
    <w:p w14:paraId="3C404789" w14:textId="4FA59253" w:rsidR="0050751A" w:rsidRPr="00B40A77" w:rsidRDefault="0050751A" w:rsidP="0050751A">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the application for an extension of time must be supported by an affidavit explaining why the appeal was not instituted earlier </w:t>
      </w:r>
      <w:r w:rsidR="007B3F5F" w:rsidRPr="00B40A77">
        <w:rPr>
          <w:color w:val="000000" w:themeColor="text1"/>
          <w:lang w:val="en-US"/>
        </w:rPr>
        <w:t>and</w:t>
      </w:r>
      <w:r w:rsidRPr="00B40A77">
        <w:rPr>
          <w:color w:val="000000" w:themeColor="text1"/>
          <w:lang w:val="en-US"/>
        </w:rPr>
        <w:t xml:space="preserve"> within time.</w:t>
      </w:r>
    </w:p>
    <w:p w14:paraId="0FAF4DF8" w14:textId="2219D750" w:rsidR="00111A5D" w:rsidRPr="00B40A77" w:rsidRDefault="00111A5D" w:rsidP="00111A5D">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The Court may order that the question of an extension of time to appeal be heard before the hearing of the appeal. </w:t>
      </w:r>
    </w:p>
    <w:p w14:paraId="534EDEBC" w14:textId="0E86DB4F" w:rsidR="00111A5D" w:rsidRPr="00B40A77" w:rsidRDefault="00111A5D" w:rsidP="00111A5D">
      <w:pPr>
        <w:pStyle w:val="Hangindent"/>
        <w:rPr>
          <w:color w:val="000000" w:themeColor="text1"/>
          <w:lang w:val="en-US"/>
        </w:rPr>
      </w:pPr>
      <w:r w:rsidRPr="00B40A77">
        <w:rPr>
          <w:color w:val="000000" w:themeColor="text1"/>
          <w:lang w:val="en-US"/>
        </w:rPr>
        <w:t>(5)</w:t>
      </w:r>
      <w:r w:rsidRPr="00B40A77">
        <w:rPr>
          <w:color w:val="000000" w:themeColor="text1"/>
          <w:lang w:val="en-US"/>
        </w:rPr>
        <w:tab/>
        <w:t>Unless an orde</w:t>
      </w:r>
      <w:r w:rsidR="00612935" w:rsidRPr="00B40A77">
        <w:rPr>
          <w:color w:val="000000" w:themeColor="text1"/>
          <w:lang w:val="en-US"/>
        </w:rPr>
        <w:t>r is made under subrule</w:t>
      </w:r>
      <w:r w:rsidR="000D5E6C" w:rsidRPr="00B40A77">
        <w:rPr>
          <w:color w:val="000000" w:themeColor="text1"/>
          <w:lang w:val="en-US"/>
        </w:rPr>
        <w:t> </w:t>
      </w:r>
      <w:r w:rsidR="00612935" w:rsidRPr="00B40A77">
        <w:rPr>
          <w:color w:val="000000" w:themeColor="text1"/>
          <w:lang w:val="en-US"/>
        </w:rPr>
        <w:t>(4), an</w:t>
      </w:r>
      <w:r w:rsidRPr="00B40A77">
        <w:rPr>
          <w:color w:val="000000" w:themeColor="text1"/>
          <w:lang w:val="en-US"/>
        </w:rPr>
        <w:t xml:space="preserve"> application for an extension of time to appeal and the appeal will be heard at the same time. </w:t>
      </w:r>
    </w:p>
    <w:p w14:paraId="13C3C29E" w14:textId="2DB9FC8D" w:rsidR="00111A5D" w:rsidRPr="00B40A77" w:rsidRDefault="00612935" w:rsidP="00111A5D">
      <w:pPr>
        <w:pStyle w:val="Heading4"/>
        <w:rPr>
          <w:color w:val="000000" w:themeColor="text1"/>
        </w:rPr>
      </w:pPr>
      <w:bookmarkStart w:id="1160" w:name="_193.2—Institution_of_appeal"/>
      <w:bookmarkStart w:id="1161" w:name="_Toc175239371"/>
      <w:bookmarkEnd w:id="1160"/>
      <w:r w:rsidRPr="00B40A77">
        <w:rPr>
          <w:color w:val="000000" w:themeColor="text1"/>
        </w:rPr>
        <w:t>19</w:t>
      </w:r>
      <w:r w:rsidR="009414B2" w:rsidRPr="00B40A77">
        <w:rPr>
          <w:color w:val="000000" w:themeColor="text1"/>
        </w:rPr>
        <w:t>3</w:t>
      </w:r>
      <w:r w:rsidR="00111A5D" w:rsidRPr="00B40A77">
        <w:rPr>
          <w:color w:val="000000" w:themeColor="text1"/>
        </w:rPr>
        <w:t>.2</w:t>
      </w:r>
      <w:bookmarkStart w:id="1162" w:name="_Hlk152920516"/>
      <w:r w:rsidR="00111A5D" w:rsidRPr="00B40A77">
        <w:rPr>
          <w:color w:val="000000" w:themeColor="text1"/>
        </w:rPr>
        <w:t>—</w:t>
      </w:r>
      <w:bookmarkEnd w:id="1162"/>
      <w:r w:rsidR="00111A5D" w:rsidRPr="00B40A77">
        <w:rPr>
          <w:color w:val="000000" w:themeColor="text1"/>
        </w:rPr>
        <w:t>Institution of appeal</w:t>
      </w:r>
      <w:bookmarkEnd w:id="1161"/>
    </w:p>
    <w:p w14:paraId="580DE596" w14:textId="77777777" w:rsidR="00111A5D" w:rsidRPr="00B40A77" w:rsidRDefault="00111A5D" w:rsidP="00111A5D">
      <w:pPr>
        <w:pStyle w:val="Hangindent"/>
        <w:rPr>
          <w:color w:val="000000" w:themeColor="text1"/>
          <w:lang w:val="en-US"/>
        </w:rPr>
      </w:pPr>
      <w:r w:rsidRPr="00B40A77">
        <w:rPr>
          <w:color w:val="000000" w:themeColor="text1"/>
          <w:lang w:val="en-US"/>
        </w:rPr>
        <w:t>(1)</w:t>
      </w:r>
      <w:r w:rsidRPr="00B40A77">
        <w:rPr>
          <w:color w:val="000000" w:themeColor="text1"/>
          <w:lang w:val="en-US"/>
        </w:rPr>
        <w:tab/>
        <w:t>An appeal must be instituted by filing a notice of appeal in the prescribed form setting out (in accordance with the prescribed form)—</w:t>
      </w:r>
    </w:p>
    <w:p w14:paraId="282DA28E" w14:textId="4317278D" w:rsidR="00111A5D" w:rsidRPr="00B40A77" w:rsidRDefault="00111A5D" w:rsidP="00111A5D">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forum of the appellate Court;</w:t>
      </w:r>
    </w:p>
    <w:p w14:paraId="79C1ED1C" w14:textId="77777777" w:rsidR="00111A5D" w:rsidRPr="00B40A77" w:rsidRDefault="00111A5D" w:rsidP="00111A5D">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statutory provision under which the appeal is brought;</w:t>
      </w:r>
    </w:p>
    <w:p w14:paraId="1FB24EF9" w14:textId="77777777" w:rsidR="00111A5D" w:rsidRPr="00B40A77" w:rsidRDefault="00111A5D" w:rsidP="00111A5D">
      <w:pPr>
        <w:pStyle w:val="Doublehangindent"/>
        <w:rPr>
          <w:color w:val="000000" w:themeColor="text1"/>
          <w:lang w:val="en-US"/>
        </w:rPr>
      </w:pPr>
      <w:r w:rsidRPr="00B40A77">
        <w:rPr>
          <w:color w:val="000000" w:themeColor="text1"/>
          <w:lang w:val="en-US"/>
        </w:rPr>
        <w:t>(c)</w:t>
      </w:r>
      <w:r w:rsidRPr="00B40A77">
        <w:rPr>
          <w:color w:val="000000" w:themeColor="text1"/>
          <w:lang w:val="en-US"/>
        </w:rPr>
        <w:tab/>
        <w:t>details of the judgment or order the subject of the appeal;</w:t>
      </w:r>
    </w:p>
    <w:p w14:paraId="168C6D6B" w14:textId="77777777" w:rsidR="00111A5D" w:rsidRPr="00B40A77" w:rsidRDefault="00111A5D" w:rsidP="00111A5D">
      <w:pPr>
        <w:pStyle w:val="Doublehangindent"/>
        <w:rPr>
          <w:color w:val="000000" w:themeColor="text1"/>
          <w:lang w:val="en-US"/>
        </w:rPr>
      </w:pPr>
      <w:r w:rsidRPr="00B40A77">
        <w:rPr>
          <w:color w:val="000000" w:themeColor="text1"/>
          <w:lang w:val="en-US"/>
        </w:rPr>
        <w:t>(d)</w:t>
      </w:r>
      <w:r w:rsidRPr="00B40A77">
        <w:rPr>
          <w:color w:val="000000" w:themeColor="text1"/>
          <w:lang w:val="en-US"/>
        </w:rPr>
        <w:tab/>
        <w:t>the grounds of appeal;</w:t>
      </w:r>
    </w:p>
    <w:p w14:paraId="244E55E0" w14:textId="77777777" w:rsidR="00111A5D" w:rsidRPr="00B40A77" w:rsidRDefault="00111A5D" w:rsidP="00111A5D">
      <w:pPr>
        <w:pStyle w:val="Doublehangindent"/>
        <w:rPr>
          <w:color w:val="000000" w:themeColor="text1"/>
          <w:lang w:val="en-US"/>
        </w:rPr>
      </w:pPr>
      <w:r w:rsidRPr="00B40A77">
        <w:rPr>
          <w:color w:val="000000" w:themeColor="text1"/>
          <w:lang w:val="en-US"/>
        </w:rPr>
        <w:t>(e)</w:t>
      </w:r>
      <w:r w:rsidRPr="00B40A77">
        <w:rPr>
          <w:color w:val="000000" w:themeColor="text1"/>
          <w:lang w:val="en-US"/>
        </w:rPr>
        <w:tab/>
        <w:t>the orders sought on appeal;</w:t>
      </w:r>
    </w:p>
    <w:p w14:paraId="6C412819" w14:textId="77777777" w:rsidR="00111A5D" w:rsidRPr="00B40A77" w:rsidRDefault="00111A5D" w:rsidP="00111A5D">
      <w:pPr>
        <w:pStyle w:val="Doublehangindent"/>
        <w:rPr>
          <w:color w:val="000000" w:themeColor="text1"/>
          <w:lang w:val="en-US"/>
        </w:rPr>
      </w:pPr>
      <w:r w:rsidRPr="00B40A77">
        <w:rPr>
          <w:color w:val="000000" w:themeColor="text1"/>
          <w:lang w:val="en-US"/>
        </w:rPr>
        <w:t>(f)</w:t>
      </w:r>
      <w:r w:rsidRPr="00B40A77">
        <w:rPr>
          <w:color w:val="000000" w:themeColor="text1"/>
          <w:lang w:val="en-US"/>
        </w:rPr>
        <w:tab/>
        <w:t>if leave to appeal is sought—the grounds on which it is sought; and</w:t>
      </w:r>
    </w:p>
    <w:p w14:paraId="1AAC29FD" w14:textId="77777777" w:rsidR="00111A5D" w:rsidRPr="00B40A77" w:rsidRDefault="00111A5D" w:rsidP="001103F0">
      <w:pPr>
        <w:pStyle w:val="Doublehangindent"/>
        <w:keepNext/>
        <w:rPr>
          <w:color w:val="000000" w:themeColor="text1"/>
          <w:lang w:val="en-US"/>
        </w:rPr>
      </w:pPr>
      <w:r w:rsidRPr="00B40A77">
        <w:rPr>
          <w:color w:val="000000" w:themeColor="text1"/>
          <w:lang w:val="en-US"/>
        </w:rPr>
        <w:lastRenderedPageBreak/>
        <w:t>(g)</w:t>
      </w:r>
      <w:r w:rsidRPr="00B40A77">
        <w:rPr>
          <w:color w:val="000000" w:themeColor="text1"/>
          <w:lang w:val="en-US"/>
        </w:rPr>
        <w:tab/>
        <w:t>if an extension of time is sought—the grounds on which it is sought.</w:t>
      </w:r>
    </w:p>
    <w:p w14:paraId="6D1F3595" w14:textId="77777777" w:rsidR="003E76DB" w:rsidRPr="00B40A77" w:rsidRDefault="003E76DB" w:rsidP="001103F0">
      <w:pPr>
        <w:pStyle w:val="NoteHeader"/>
        <w:keepNext/>
        <w:ind w:left="1701"/>
        <w:rPr>
          <w:color w:val="000000" w:themeColor="text1"/>
        </w:rPr>
      </w:pPr>
      <w:r w:rsidRPr="00B40A77">
        <w:rPr>
          <w:color w:val="000000" w:themeColor="text1"/>
        </w:rPr>
        <w:t>Prescribed forms—</w:t>
      </w:r>
    </w:p>
    <w:p w14:paraId="59D39FC2" w14:textId="1AF1B031" w:rsidR="00111A5D" w:rsidRPr="00B40A77" w:rsidRDefault="00111A5D" w:rsidP="001103F0">
      <w:pPr>
        <w:pStyle w:val="NoteText"/>
        <w:keepNext/>
        <w:ind w:left="1985"/>
        <w:rPr>
          <w:b/>
          <w:bCs/>
          <w:color w:val="000000" w:themeColor="text1"/>
        </w:rPr>
      </w:pPr>
      <w:r w:rsidRPr="00B40A77">
        <w:rPr>
          <w:b/>
          <w:bCs/>
          <w:color w:val="000000" w:themeColor="text1"/>
        </w:rPr>
        <w:t>Conviction appeal</w:t>
      </w:r>
    </w:p>
    <w:p w14:paraId="3C19B937" w14:textId="3B1B87BA" w:rsidR="00C302C9" w:rsidRPr="00B40A77" w:rsidRDefault="00111A5D" w:rsidP="000648DA">
      <w:pPr>
        <w:pStyle w:val="NoteText"/>
        <w:ind w:left="2268"/>
        <w:rPr>
          <w:rStyle w:val="Hyperlink"/>
          <w:color w:val="000000" w:themeColor="text1"/>
        </w:rPr>
      </w:pPr>
      <w:r w:rsidRPr="00B40A77">
        <w:rPr>
          <w:color w:val="000000" w:themeColor="text1"/>
        </w:rPr>
        <w:t xml:space="preserve">Form 183A </w:t>
      </w:r>
      <w:hyperlink r:id="rId404" w:history="1">
        <w:r w:rsidRPr="00B40A77">
          <w:rPr>
            <w:rStyle w:val="Hyperlink"/>
            <w:color w:val="000000" w:themeColor="text1"/>
          </w:rPr>
          <w:t xml:space="preserve">Notice of Appeal against </w:t>
        </w:r>
        <w:r w:rsidR="00381D77" w:rsidRPr="00B40A77">
          <w:rPr>
            <w:rStyle w:val="Hyperlink"/>
            <w:color w:val="000000" w:themeColor="text1"/>
          </w:rPr>
          <w:t>Conviction, Acquittal, Antecedent Decision or Mental Impairment Judgment</w:t>
        </w:r>
      </w:hyperlink>
    </w:p>
    <w:p w14:paraId="0582735D" w14:textId="2A32BB1F" w:rsidR="00FF6484" w:rsidRPr="00B40A77" w:rsidRDefault="00FF6484" w:rsidP="000648DA">
      <w:pPr>
        <w:pStyle w:val="NoteText"/>
        <w:ind w:left="2268"/>
        <w:rPr>
          <w:rStyle w:val="Hyperlink"/>
          <w:color w:val="000000" w:themeColor="text1"/>
        </w:rPr>
      </w:pPr>
      <w:r w:rsidRPr="00B40A77">
        <w:rPr>
          <w:color w:val="000000" w:themeColor="text1"/>
        </w:rPr>
        <w:t xml:space="preserve">Form 183B </w:t>
      </w:r>
      <w:hyperlink r:id="rId405" w:history="1">
        <w:r w:rsidRPr="00B40A77">
          <w:rPr>
            <w:rStyle w:val="Hyperlink"/>
            <w:color w:val="000000" w:themeColor="text1"/>
          </w:rPr>
          <w:t>Notice of Second or Subsequent Appeal against Conviction</w:t>
        </w:r>
      </w:hyperlink>
    </w:p>
    <w:p w14:paraId="16D828BF" w14:textId="774151DA" w:rsidR="00111A5D" w:rsidRPr="00B40A77" w:rsidRDefault="00111A5D" w:rsidP="001103F0">
      <w:pPr>
        <w:pStyle w:val="NoteText"/>
        <w:ind w:left="2268"/>
        <w:rPr>
          <w:rStyle w:val="Hyperlink"/>
          <w:color w:val="000000" w:themeColor="text1"/>
        </w:rPr>
      </w:pPr>
      <w:r w:rsidRPr="00B40A77">
        <w:rPr>
          <w:color w:val="000000" w:themeColor="text1"/>
        </w:rPr>
        <w:t xml:space="preserve">Form 183S </w:t>
      </w:r>
      <w:hyperlink r:id="rId406" w:history="1">
        <w:r w:rsidRPr="00B40A77">
          <w:rPr>
            <w:rStyle w:val="Hyperlink"/>
            <w:color w:val="000000" w:themeColor="text1"/>
          </w:rPr>
          <w:t>Appeal Grounds</w:t>
        </w:r>
        <w:r w:rsidR="002E12BE" w:rsidRPr="00B40A77">
          <w:rPr>
            <w:rStyle w:val="Hyperlink"/>
            <w:color w:val="000000" w:themeColor="text1"/>
          </w:rPr>
          <w:t xml:space="preserve"> (part of Notice of Appeal)</w:t>
        </w:r>
      </w:hyperlink>
    </w:p>
    <w:p w14:paraId="7D9FEF04" w14:textId="51417021" w:rsidR="00111A5D" w:rsidRPr="00B40A77" w:rsidRDefault="00111A5D" w:rsidP="001103F0">
      <w:pPr>
        <w:pStyle w:val="NoteText"/>
        <w:keepNext/>
        <w:ind w:left="1985"/>
        <w:rPr>
          <w:rStyle w:val="Hyperlink"/>
          <w:b/>
          <w:bCs/>
          <w:color w:val="000000" w:themeColor="text1"/>
          <w:u w:val="none"/>
        </w:rPr>
      </w:pPr>
      <w:r w:rsidRPr="00B40A77">
        <w:rPr>
          <w:rStyle w:val="Hyperlink"/>
          <w:b/>
          <w:bCs/>
          <w:color w:val="000000" w:themeColor="text1"/>
          <w:u w:val="none"/>
        </w:rPr>
        <w:t>Sentence appeal</w:t>
      </w:r>
    </w:p>
    <w:p w14:paraId="3667C3BC" w14:textId="1FEDFDE0" w:rsidR="00C302C9" w:rsidRPr="00B40A77" w:rsidRDefault="00111A5D" w:rsidP="001103F0">
      <w:pPr>
        <w:pStyle w:val="NoteText"/>
        <w:ind w:left="2268"/>
        <w:rPr>
          <w:color w:val="000000" w:themeColor="text1"/>
        </w:rPr>
      </w:pPr>
      <w:r w:rsidRPr="00B40A77">
        <w:rPr>
          <w:color w:val="000000" w:themeColor="text1"/>
        </w:rPr>
        <w:t>Form 183</w:t>
      </w:r>
      <w:r w:rsidR="00FF6484" w:rsidRPr="00B40A77">
        <w:rPr>
          <w:color w:val="000000" w:themeColor="text1"/>
        </w:rPr>
        <w:t>C</w:t>
      </w:r>
      <w:r w:rsidRPr="00B40A77">
        <w:rPr>
          <w:color w:val="000000" w:themeColor="text1"/>
        </w:rPr>
        <w:t xml:space="preserve"> </w:t>
      </w:r>
      <w:hyperlink r:id="rId407" w:history="1">
        <w:r w:rsidRPr="00B40A77">
          <w:rPr>
            <w:rStyle w:val="Hyperlink"/>
            <w:color w:val="000000" w:themeColor="text1"/>
          </w:rPr>
          <w:t xml:space="preserve">Notice of Appeal against Sentence or </w:t>
        </w:r>
        <w:r w:rsidR="002E12BE" w:rsidRPr="00B40A77">
          <w:rPr>
            <w:rStyle w:val="Hyperlink"/>
            <w:color w:val="000000" w:themeColor="text1"/>
          </w:rPr>
          <w:t>Mental Impairment</w:t>
        </w:r>
        <w:r w:rsidRPr="00B40A77">
          <w:rPr>
            <w:rStyle w:val="Hyperlink"/>
            <w:color w:val="000000" w:themeColor="text1"/>
          </w:rPr>
          <w:t xml:space="preserve"> Disposition</w:t>
        </w:r>
      </w:hyperlink>
    </w:p>
    <w:p w14:paraId="78CCD20E" w14:textId="08314096" w:rsidR="00111A5D" w:rsidRPr="00B40A77" w:rsidRDefault="00111A5D" w:rsidP="001103F0">
      <w:pPr>
        <w:pStyle w:val="NoteText"/>
        <w:ind w:left="2268"/>
        <w:rPr>
          <w:color w:val="000000" w:themeColor="text1"/>
        </w:rPr>
      </w:pPr>
      <w:r w:rsidRPr="00B40A77">
        <w:rPr>
          <w:color w:val="000000" w:themeColor="text1"/>
        </w:rPr>
        <w:t xml:space="preserve">Form 183S </w:t>
      </w:r>
      <w:hyperlink r:id="rId408" w:history="1">
        <w:r w:rsidRPr="00B40A77">
          <w:rPr>
            <w:rStyle w:val="Hyperlink"/>
            <w:color w:val="000000" w:themeColor="text1"/>
          </w:rPr>
          <w:t>Appeal Grounds</w:t>
        </w:r>
        <w:r w:rsidR="002E12BE" w:rsidRPr="00B40A77">
          <w:rPr>
            <w:rStyle w:val="Hyperlink"/>
            <w:color w:val="000000" w:themeColor="text1"/>
          </w:rPr>
          <w:t xml:space="preserve"> (part of Notice of Appeal)</w:t>
        </w:r>
      </w:hyperlink>
    </w:p>
    <w:p w14:paraId="64A35068" w14:textId="1A521F3A" w:rsidR="00111A5D" w:rsidRPr="00B40A77" w:rsidRDefault="00111A5D" w:rsidP="001103F0">
      <w:pPr>
        <w:pStyle w:val="NoteText"/>
        <w:keepNext/>
        <w:ind w:left="1985"/>
        <w:rPr>
          <w:b/>
          <w:bCs/>
          <w:color w:val="000000" w:themeColor="text1"/>
        </w:rPr>
      </w:pPr>
      <w:r w:rsidRPr="00B40A77">
        <w:rPr>
          <w:b/>
          <w:bCs/>
          <w:color w:val="000000" w:themeColor="text1"/>
        </w:rPr>
        <w:t>Miscellaneous appeal</w:t>
      </w:r>
    </w:p>
    <w:p w14:paraId="79A5C339" w14:textId="64877589" w:rsidR="00C302C9" w:rsidRPr="00B40A77" w:rsidRDefault="00111A5D" w:rsidP="001103F0">
      <w:pPr>
        <w:pStyle w:val="NoteText"/>
        <w:ind w:left="2268"/>
        <w:rPr>
          <w:color w:val="000000" w:themeColor="text1"/>
        </w:rPr>
      </w:pPr>
      <w:r w:rsidRPr="00B40A77">
        <w:rPr>
          <w:color w:val="000000" w:themeColor="text1"/>
        </w:rPr>
        <w:t>Form 183</w:t>
      </w:r>
      <w:r w:rsidR="00FF6484" w:rsidRPr="00B40A77">
        <w:rPr>
          <w:color w:val="000000" w:themeColor="text1"/>
        </w:rPr>
        <w:t>D</w:t>
      </w:r>
      <w:r w:rsidRPr="00B40A77">
        <w:rPr>
          <w:color w:val="000000" w:themeColor="text1"/>
        </w:rPr>
        <w:t xml:space="preserve"> </w:t>
      </w:r>
      <w:hyperlink r:id="rId409" w:history="1">
        <w:r w:rsidRPr="00B40A77">
          <w:rPr>
            <w:rStyle w:val="Hyperlink"/>
            <w:color w:val="000000" w:themeColor="text1"/>
          </w:rPr>
          <w:t>Notice of Appeal against Other Decision</w:t>
        </w:r>
      </w:hyperlink>
    </w:p>
    <w:p w14:paraId="7353C765" w14:textId="3BB4E7B4" w:rsidR="00111A5D" w:rsidRPr="00B40A77" w:rsidRDefault="00111A5D" w:rsidP="001103F0">
      <w:pPr>
        <w:pStyle w:val="NoteText"/>
        <w:ind w:left="2268"/>
        <w:rPr>
          <w:color w:val="000000" w:themeColor="text1"/>
        </w:rPr>
      </w:pPr>
      <w:r w:rsidRPr="00B40A77">
        <w:rPr>
          <w:color w:val="000000" w:themeColor="text1"/>
        </w:rPr>
        <w:t xml:space="preserve">Form 183S </w:t>
      </w:r>
      <w:hyperlink r:id="rId410" w:history="1">
        <w:r w:rsidRPr="00B40A77">
          <w:rPr>
            <w:rStyle w:val="Hyperlink"/>
            <w:color w:val="000000" w:themeColor="text1"/>
          </w:rPr>
          <w:t>Appeal Grounds</w:t>
        </w:r>
        <w:r w:rsidR="002E12BE" w:rsidRPr="00B40A77">
          <w:rPr>
            <w:rStyle w:val="Hyperlink"/>
            <w:color w:val="000000" w:themeColor="text1"/>
          </w:rPr>
          <w:t xml:space="preserve"> (part of Notice of Appeal)</w:t>
        </w:r>
      </w:hyperlink>
    </w:p>
    <w:p w14:paraId="701572D6" w14:textId="42D1AD0C" w:rsidR="00111A5D" w:rsidRPr="00B40A77" w:rsidRDefault="00612935" w:rsidP="00111A5D">
      <w:pPr>
        <w:pStyle w:val="Hangindent"/>
        <w:rPr>
          <w:color w:val="000000" w:themeColor="text1"/>
          <w:lang w:val="en-US"/>
        </w:rPr>
      </w:pPr>
      <w:r w:rsidRPr="00B40A77">
        <w:rPr>
          <w:color w:val="000000" w:themeColor="text1"/>
          <w:lang w:val="en-US"/>
        </w:rPr>
        <w:t>(2</w:t>
      </w:r>
      <w:r w:rsidR="00111A5D" w:rsidRPr="00B40A77">
        <w:rPr>
          <w:color w:val="000000" w:themeColor="text1"/>
          <w:lang w:val="en-US"/>
        </w:rPr>
        <w:t>)</w:t>
      </w:r>
      <w:r w:rsidR="00111A5D" w:rsidRPr="00B40A77">
        <w:rPr>
          <w:color w:val="000000" w:themeColor="text1"/>
          <w:lang w:val="en-US"/>
        </w:rPr>
        <w:tab/>
        <w:t xml:space="preserve">The appellant must join as a </w:t>
      </w:r>
      <w:r w:rsidR="008A792E" w:rsidRPr="00B40A77">
        <w:rPr>
          <w:color w:val="000000" w:themeColor="text1"/>
        </w:rPr>
        <w:t>respondent</w:t>
      </w:r>
      <w:r w:rsidR="00111A5D" w:rsidRPr="00B40A77">
        <w:rPr>
          <w:color w:val="000000" w:themeColor="text1"/>
          <w:lang w:val="en-US"/>
        </w:rPr>
        <w:t xml:space="preserve"> in the appellate proceeding any party to the proceeding in which the judgment </w:t>
      </w:r>
      <w:r w:rsidR="009448B4" w:rsidRPr="00B40A77">
        <w:rPr>
          <w:color w:val="000000" w:themeColor="text1"/>
          <w:lang w:val="en-US"/>
        </w:rPr>
        <w:t xml:space="preserve">the </w:t>
      </w:r>
      <w:r w:rsidR="00111A5D" w:rsidRPr="00B40A77">
        <w:rPr>
          <w:color w:val="000000" w:themeColor="text1"/>
          <w:lang w:val="en-US"/>
        </w:rPr>
        <w:t>subject of the appeal was made</w:t>
      </w:r>
      <w:r w:rsidR="009448B4" w:rsidRPr="00B40A77">
        <w:rPr>
          <w:color w:val="000000" w:themeColor="text1"/>
          <w:lang w:val="en-US"/>
        </w:rPr>
        <w:t>,</w:t>
      </w:r>
      <w:r w:rsidR="00111A5D" w:rsidRPr="00B40A77">
        <w:rPr>
          <w:color w:val="000000" w:themeColor="text1"/>
          <w:lang w:val="en-US"/>
        </w:rPr>
        <w:t xml:space="preserve"> unless that party has no interest in the appellate proceeding.</w:t>
      </w:r>
    </w:p>
    <w:p w14:paraId="01E37368" w14:textId="5BB2CBBE" w:rsidR="00111A5D" w:rsidRPr="00B40A77" w:rsidRDefault="00612935" w:rsidP="00111A5D">
      <w:pPr>
        <w:pStyle w:val="Hangindent"/>
        <w:rPr>
          <w:color w:val="000000" w:themeColor="text1"/>
          <w:lang w:val="en-US"/>
        </w:rPr>
      </w:pPr>
      <w:r w:rsidRPr="00B40A77">
        <w:rPr>
          <w:color w:val="000000" w:themeColor="text1"/>
          <w:lang w:val="en-US"/>
        </w:rPr>
        <w:t>(3</w:t>
      </w:r>
      <w:r w:rsidR="00111A5D" w:rsidRPr="00B40A77">
        <w:rPr>
          <w:color w:val="000000" w:themeColor="text1"/>
          <w:lang w:val="en-US"/>
        </w:rPr>
        <w:t>)</w:t>
      </w:r>
      <w:r w:rsidR="00111A5D" w:rsidRPr="00B40A77">
        <w:rPr>
          <w:color w:val="000000" w:themeColor="text1"/>
          <w:lang w:val="en-US"/>
        </w:rPr>
        <w:tab/>
        <w:t>The Court may order the addition or removal of a person as a party to an appellate proceeding.</w:t>
      </w:r>
    </w:p>
    <w:p w14:paraId="0874778C" w14:textId="63DC9C47" w:rsidR="007C73DB" w:rsidRPr="00B40A77" w:rsidRDefault="007C73DB" w:rsidP="007C73DB">
      <w:pPr>
        <w:pStyle w:val="Hangindent"/>
        <w:rPr>
          <w:color w:val="000000" w:themeColor="text1"/>
          <w:lang w:val="en-US"/>
        </w:rPr>
      </w:pPr>
      <w:r w:rsidRPr="00B40A77">
        <w:rPr>
          <w:color w:val="000000" w:themeColor="text1"/>
          <w:lang w:val="en-US"/>
        </w:rPr>
        <w:t>(4)</w:t>
      </w:r>
      <w:r w:rsidRPr="00B40A77">
        <w:rPr>
          <w:color w:val="000000" w:themeColor="text1"/>
          <w:lang w:val="en-US"/>
        </w:rPr>
        <w:tab/>
        <w:t>Unless the Court otherwise orders, an appellant may not rely on grounds that are not stated in the notice of appeal.</w:t>
      </w:r>
    </w:p>
    <w:p w14:paraId="1529CA9E" w14:textId="2629C38D" w:rsidR="00165F56" w:rsidRPr="00B40A77" w:rsidRDefault="00165F56" w:rsidP="00165F56">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leave to appeal is required, </w:t>
      </w:r>
      <w:r w:rsidR="00E51222" w:rsidRPr="00B40A77">
        <w:rPr>
          <w:color w:val="000000" w:themeColor="text1"/>
          <w:lang w:val="en-US"/>
        </w:rPr>
        <w:t xml:space="preserve">subject to </w:t>
      </w:r>
      <w:hyperlink w:anchor="_196.3—Leave_sought_from" w:history="1">
        <w:r w:rsidR="00E51222" w:rsidRPr="00B40A77">
          <w:rPr>
            <w:rStyle w:val="Hyperlink"/>
            <w:color w:val="000000" w:themeColor="text1"/>
            <w:lang w:val="en-US"/>
          </w:rPr>
          <w:t>rule</w:t>
        </w:r>
        <w:r w:rsidR="00E200BE" w:rsidRPr="00B40A77">
          <w:rPr>
            <w:rStyle w:val="Hyperlink"/>
            <w:color w:val="000000" w:themeColor="text1"/>
            <w:lang w:val="en-US"/>
          </w:rPr>
          <w:t> </w:t>
        </w:r>
        <w:r w:rsidR="00E51222" w:rsidRPr="00B40A77">
          <w:rPr>
            <w:rStyle w:val="Hyperlink"/>
            <w:color w:val="000000" w:themeColor="text1"/>
            <w:lang w:val="en-US"/>
          </w:rPr>
          <w:t>196.3</w:t>
        </w:r>
      </w:hyperlink>
      <w:r w:rsidRPr="00B40A77">
        <w:rPr>
          <w:color w:val="000000" w:themeColor="text1"/>
          <w:lang w:val="en-US"/>
        </w:rPr>
        <w:t>, the appeal must be instituted in the ordinary way in accordance with this rule and the notice of appeal must seek the necessary leave.</w:t>
      </w:r>
    </w:p>
    <w:p w14:paraId="5DBD967A" w14:textId="71C740E9" w:rsidR="00B729DE" w:rsidRPr="00B40A77" w:rsidRDefault="00B729DE" w:rsidP="00165F56">
      <w:pPr>
        <w:pStyle w:val="Hangindent"/>
        <w:rPr>
          <w:color w:val="000000" w:themeColor="text1"/>
          <w:lang w:val="en-US"/>
        </w:rPr>
      </w:pPr>
      <w:r w:rsidRPr="00B40A77">
        <w:rPr>
          <w:color w:val="000000" w:themeColor="text1"/>
          <w:lang w:val="en-US"/>
        </w:rPr>
        <w:t>(</w:t>
      </w:r>
      <w:r w:rsidR="00165F56" w:rsidRPr="00B40A77">
        <w:rPr>
          <w:color w:val="000000" w:themeColor="text1"/>
          <w:lang w:val="en-US"/>
        </w:rPr>
        <w:t>6</w:t>
      </w:r>
      <w:r w:rsidRPr="00B40A77">
        <w:rPr>
          <w:color w:val="000000" w:themeColor="text1"/>
          <w:lang w:val="en-US"/>
        </w:rPr>
        <w:t>)</w:t>
      </w:r>
      <w:r w:rsidRPr="00B40A77">
        <w:rPr>
          <w:color w:val="000000" w:themeColor="text1"/>
          <w:lang w:val="en-US"/>
        </w:rPr>
        <w:tab/>
        <w:t>If a notice of appeal seeking leave to appeal is filed—</w:t>
      </w:r>
    </w:p>
    <w:p w14:paraId="4D42A315" w14:textId="77777777" w:rsidR="00B729DE" w:rsidRPr="00B40A77" w:rsidRDefault="00B729DE" w:rsidP="00B729DE">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institution of the appeal is conditional on leave to appeal being granted; and</w:t>
      </w:r>
    </w:p>
    <w:p w14:paraId="21642AE8" w14:textId="2620CD17" w:rsidR="00B729DE" w:rsidRDefault="00B729DE" w:rsidP="00165F56">
      <w:pPr>
        <w:pStyle w:val="Doublehangindent"/>
        <w:rPr>
          <w:color w:val="000000" w:themeColor="text1"/>
          <w:lang w:val="en-US"/>
        </w:rPr>
      </w:pPr>
      <w:r w:rsidRPr="00B40A77">
        <w:rPr>
          <w:color w:val="000000" w:themeColor="text1"/>
          <w:lang w:val="en-US"/>
        </w:rPr>
        <w:t>(b)</w:t>
      </w:r>
      <w:r w:rsidRPr="00B40A77">
        <w:rPr>
          <w:color w:val="000000" w:themeColor="text1"/>
          <w:lang w:val="en-US"/>
        </w:rPr>
        <w:tab/>
        <w:t>if leave to appeal is refused, the appeal lapses.</w:t>
      </w:r>
    </w:p>
    <w:p w14:paraId="084337E7" w14:textId="126CC4DD" w:rsidR="00AA4007" w:rsidRPr="00AA4007" w:rsidRDefault="00AA4007" w:rsidP="00AA4007">
      <w:pPr>
        <w:pStyle w:val="Heading4"/>
        <w:rPr>
          <w:color w:val="000000" w:themeColor="text1"/>
        </w:rPr>
      </w:pPr>
      <w:bookmarkStart w:id="1163" w:name="_Toc175239372"/>
      <w:r w:rsidRPr="00AA4007">
        <w:rPr>
          <w:color w:val="000000" w:themeColor="text1"/>
        </w:rPr>
        <w:t>193.2A</w:t>
      </w:r>
      <w:r w:rsidRPr="00B40A77">
        <w:rPr>
          <w:color w:val="000000" w:themeColor="text1"/>
        </w:rPr>
        <w:t>—</w:t>
      </w:r>
      <w:r w:rsidRPr="00AA4007">
        <w:rPr>
          <w:color w:val="000000" w:themeColor="text1"/>
        </w:rPr>
        <w:t>Information Sheet</w:t>
      </w:r>
      <w:bookmarkEnd w:id="1163"/>
      <w:r w:rsidRPr="00AA4007">
        <w:rPr>
          <w:color w:val="000000" w:themeColor="text1"/>
        </w:rPr>
        <w:t xml:space="preserve"> </w:t>
      </w:r>
    </w:p>
    <w:p w14:paraId="15C44BB9" w14:textId="77777777" w:rsidR="00AA4007" w:rsidRDefault="00AA4007" w:rsidP="00AA4007">
      <w:pPr>
        <w:pStyle w:val="Hangindent"/>
        <w:rPr>
          <w:lang w:val="en-US"/>
        </w:rPr>
      </w:pPr>
      <w:r w:rsidRPr="00923803">
        <w:rPr>
          <w:lang w:val="en-US"/>
        </w:rPr>
        <w:t>(1)</w:t>
      </w:r>
      <w:r w:rsidRPr="00923803">
        <w:rPr>
          <w:lang w:val="en-US"/>
        </w:rPr>
        <w:tab/>
      </w:r>
      <w:r>
        <w:rPr>
          <w:lang w:val="en-US"/>
        </w:rPr>
        <w:t>The appellant must serve on each other party a draft information sheet in the prescribed form at the same time as filing a notice of appeal under rule 193.2.</w:t>
      </w:r>
    </w:p>
    <w:p w14:paraId="2699B187" w14:textId="77777777" w:rsidR="00AA4007" w:rsidRPr="00201D0C" w:rsidRDefault="00AA4007" w:rsidP="00AA4007">
      <w:pPr>
        <w:pStyle w:val="NoteHeader"/>
        <w:rPr>
          <w:color w:val="000000" w:themeColor="text1"/>
        </w:rPr>
      </w:pPr>
      <w:r w:rsidRPr="00201D0C">
        <w:rPr>
          <w:color w:val="000000" w:themeColor="text1"/>
        </w:rPr>
        <w:t>Prescribed forms—</w:t>
      </w:r>
    </w:p>
    <w:p w14:paraId="713C6028" w14:textId="77777777" w:rsidR="00AA4007" w:rsidRPr="00F22875" w:rsidRDefault="00AA4007" w:rsidP="00AA4007">
      <w:pPr>
        <w:pStyle w:val="NoteText"/>
        <w:rPr>
          <w:color w:val="000000" w:themeColor="text1"/>
        </w:rPr>
      </w:pPr>
      <w:r w:rsidRPr="00B40A77">
        <w:rPr>
          <w:color w:val="000000" w:themeColor="text1"/>
        </w:rPr>
        <w:t xml:space="preserve">Form </w:t>
      </w:r>
      <w:r>
        <w:rPr>
          <w:color w:val="000000" w:themeColor="text1"/>
        </w:rPr>
        <w:t xml:space="preserve">182A </w:t>
      </w:r>
      <w:r w:rsidRPr="00F22875">
        <w:rPr>
          <w:color w:val="000000" w:themeColor="text1"/>
          <w:u w:val="single"/>
        </w:rPr>
        <w:t>Information Sheet</w:t>
      </w:r>
      <w:r>
        <w:rPr>
          <w:color w:val="000000" w:themeColor="text1"/>
          <w:u w:val="single"/>
        </w:rPr>
        <w:t xml:space="preserve"> </w:t>
      </w:r>
    </w:p>
    <w:p w14:paraId="3441CFC0" w14:textId="3BAE2F65" w:rsidR="00AA4007" w:rsidRDefault="00AA4007" w:rsidP="00AA4007">
      <w:pPr>
        <w:pStyle w:val="Hangindent"/>
        <w:rPr>
          <w:lang w:val="en-US"/>
        </w:rPr>
      </w:pPr>
      <w:r>
        <w:t>(2)</w:t>
      </w:r>
      <w:r>
        <w:tab/>
      </w:r>
      <w:r>
        <w:rPr>
          <w:lang w:val="en-US"/>
        </w:rPr>
        <w:t>The respondent must serve on the appellant any changes or additions it seeks to be added to the information sheet not more than 7 days after the draft information sheet has been served under subrule (1).</w:t>
      </w:r>
    </w:p>
    <w:p w14:paraId="5BCBBDE8" w14:textId="1914DF0C" w:rsidR="00AA4007" w:rsidRPr="00F22875" w:rsidRDefault="00AA4007" w:rsidP="00AA4007">
      <w:pPr>
        <w:pStyle w:val="Hangindent"/>
        <w:rPr>
          <w:lang w:val="en-US"/>
        </w:rPr>
      </w:pPr>
      <w:r>
        <w:rPr>
          <w:lang w:val="en-US"/>
        </w:rPr>
        <w:t>(3)</w:t>
      </w:r>
      <w:r>
        <w:rPr>
          <w:lang w:val="en-US"/>
        </w:rPr>
        <w:tab/>
        <w:t>The appellant must file and serve on each party a completed information sheet not more than 14 days after the draft information sheet has been served under subrule (1).</w:t>
      </w:r>
    </w:p>
    <w:p w14:paraId="5E5D8297" w14:textId="2415D122" w:rsidR="007C73DB" w:rsidRPr="00B40A77" w:rsidRDefault="007C73DB" w:rsidP="007C73DB">
      <w:pPr>
        <w:pStyle w:val="Heading4"/>
        <w:rPr>
          <w:color w:val="000000" w:themeColor="text1"/>
        </w:rPr>
      </w:pPr>
      <w:bookmarkStart w:id="1164" w:name="_193.3—Service_of_notice"/>
      <w:bookmarkStart w:id="1165" w:name="_Toc175239373"/>
      <w:bookmarkEnd w:id="1164"/>
      <w:r w:rsidRPr="00B40A77">
        <w:rPr>
          <w:color w:val="000000" w:themeColor="text1"/>
        </w:rPr>
        <w:t>193.3—Service of notice of appeal</w:t>
      </w:r>
      <w:bookmarkEnd w:id="1165"/>
    </w:p>
    <w:p w14:paraId="0DCF1368" w14:textId="7E226985" w:rsidR="00111A5D" w:rsidRPr="00B40A77" w:rsidRDefault="007C73DB" w:rsidP="007C73DB">
      <w:pPr>
        <w:pStyle w:val="Hangindent"/>
        <w:rPr>
          <w:color w:val="000000" w:themeColor="text1"/>
          <w:lang w:val="en-US"/>
        </w:rPr>
      </w:pPr>
      <w:r w:rsidRPr="00B40A77">
        <w:rPr>
          <w:color w:val="000000" w:themeColor="text1"/>
          <w:lang w:val="en-US"/>
        </w:rPr>
        <w:t>(1</w:t>
      </w:r>
      <w:r w:rsidR="00111A5D" w:rsidRPr="00B40A77">
        <w:rPr>
          <w:color w:val="000000" w:themeColor="text1"/>
          <w:lang w:val="en-US"/>
        </w:rPr>
        <w:t>)</w:t>
      </w:r>
      <w:r w:rsidR="00111A5D" w:rsidRPr="00B40A77">
        <w:rPr>
          <w:color w:val="000000" w:themeColor="text1"/>
          <w:lang w:val="en-US"/>
        </w:rPr>
        <w:tab/>
        <w:t>The appellant must serve the notice of appeal on each other party to the appellate proceeding as soon as practicable.</w:t>
      </w:r>
    </w:p>
    <w:p w14:paraId="0F34811C" w14:textId="428D3A3F" w:rsidR="00111A5D" w:rsidRPr="00B40A77" w:rsidRDefault="00111A5D" w:rsidP="00111A5D">
      <w:pPr>
        <w:pStyle w:val="Hangindent"/>
        <w:rPr>
          <w:color w:val="000000" w:themeColor="text1"/>
          <w:lang w:val="en-US"/>
        </w:rPr>
      </w:pPr>
      <w:r w:rsidRPr="00B40A77">
        <w:rPr>
          <w:color w:val="000000" w:themeColor="text1"/>
          <w:lang w:val="en-US"/>
        </w:rPr>
        <w:t>(</w:t>
      </w:r>
      <w:r w:rsidR="007C73DB" w:rsidRPr="00B40A77">
        <w:rPr>
          <w:color w:val="000000" w:themeColor="text1"/>
          <w:lang w:val="en-US"/>
        </w:rPr>
        <w:t>2</w:t>
      </w:r>
      <w:r w:rsidRPr="00B40A77">
        <w:rPr>
          <w:color w:val="000000" w:themeColor="text1"/>
          <w:lang w:val="en-US"/>
        </w:rPr>
        <w:t>)</w:t>
      </w:r>
      <w:r w:rsidRPr="00B40A77">
        <w:rPr>
          <w:color w:val="000000" w:themeColor="text1"/>
          <w:lang w:val="en-US"/>
        </w:rPr>
        <w:tab/>
        <w:t xml:space="preserve">The appellant must serve a copy of the notice of appeal on </w:t>
      </w:r>
      <w:r w:rsidR="007C73DB" w:rsidRPr="00B40A77">
        <w:rPr>
          <w:color w:val="000000" w:themeColor="text1"/>
          <w:lang w:val="en-US"/>
        </w:rPr>
        <w:t>the r</w:t>
      </w:r>
      <w:r w:rsidRPr="00B40A77">
        <w:rPr>
          <w:color w:val="000000" w:themeColor="text1"/>
          <w:lang w:val="en-US"/>
        </w:rPr>
        <w:t>egistrar or other proper officer of the court whose judgment is subject to the appeal as soon as practicable.</w:t>
      </w:r>
    </w:p>
    <w:p w14:paraId="38257BDE" w14:textId="5E149AA9" w:rsidR="00111A5D" w:rsidRPr="00B40A77" w:rsidRDefault="007C73DB" w:rsidP="00111A5D">
      <w:pPr>
        <w:pStyle w:val="Heading4"/>
        <w:rPr>
          <w:color w:val="000000" w:themeColor="text1"/>
        </w:rPr>
      </w:pPr>
      <w:bookmarkStart w:id="1166" w:name="_Toc175239374"/>
      <w:r w:rsidRPr="00B40A77">
        <w:rPr>
          <w:color w:val="000000" w:themeColor="text1"/>
        </w:rPr>
        <w:lastRenderedPageBreak/>
        <w:t>19</w:t>
      </w:r>
      <w:r w:rsidR="00463269" w:rsidRPr="00B40A77">
        <w:rPr>
          <w:color w:val="000000" w:themeColor="text1"/>
        </w:rPr>
        <w:t>3.4</w:t>
      </w:r>
      <w:r w:rsidR="00111A5D" w:rsidRPr="00B40A77">
        <w:rPr>
          <w:color w:val="000000" w:themeColor="text1"/>
        </w:rPr>
        <w:t>—Documents and information from court below</w:t>
      </w:r>
      <w:bookmarkEnd w:id="1166"/>
    </w:p>
    <w:p w14:paraId="110DD0F0" w14:textId="4898D66F" w:rsidR="00111A5D" w:rsidRPr="00B40A77" w:rsidRDefault="00111A5D" w:rsidP="00111A5D">
      <w:pPr>
        <w:pStyle w:val="Hangindent"/>
        <w:rPr>
          <w:color w:val="000000" w:themeColor="text1"/>
          <w:lang w:val="en-US"/>
        </w:rPr>
      </w:pPr>
      <w:r w:rsidRPr="00B40A77">
        <w:rPr>
          <w:rFonts w:cs="Times New Roman"/>
          <w:color w:val="000000" w:themeColor="text1"/>
        </w:rPr>
        <w:t>(1)</w:t>
      </w:r>
      <w:r w:rsidRPr="00B40A77">
        <w:rPr>
          <w:rFonts w:cs="Times New Roman"/>
          <w:color w:val="000000" w:themeColor="text1"/>
        </w:rPr>
        <w:tab/>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may, and when directed by the Court must, request the </w:t>
      </w:r>
      <w:r w:rsidRPr="00B40A77">
        <w:rPr>
          <w:color w:val="000000" w:themeColor="text1"/>
          <w:lang w:val="en-US"/>
        </w:rPr>
        <w:t>court whose judgment is subject to the appeal</w:t>
      </w:r>
      <w:r w:rsidRPr="00B40A77">
        <w:rPr>
          <w:rFonts w:cs="Times New Roman"/>
          <w:color w:val="000000" w:themeColor="text1"/>
        </w:rPr>
        <w:t xml:space="preserve"> to transmit to the Court </w:t>
      </w:r>
      <w:r w:rsidR="009448B4" w:rsidRPr="00B40A77">
        <w:rPr>
          <w:rFonts w:cs="Times New Roman"/>
          <w:color w:val="000000" w:themeColor="text1"/>
        </w:rPr>
        <w:t xml:space="preserve">any documents relevant to the appeal </w:t>
      </w:r>
      <w:r w:rsidRPr="00B40A77">
        <w:rPr>
          <w:rFonts w:cs="Times New Roman"/>
          <w:color w:val="000000" w:themeColor="text1"/>
        </w:rPr>
        <w:t>by physical or electronic means (as specified)</w:t>
      </w:r>
      <w:r w:rsidRPr="00B40A77">
        <w:rPr>
          <w:color w:val="000000" w:themeColor="text1"/>
          <w:lang w:val="en-US"/>
        </w:rPr>
        <w:t>.</w:t>
      </w:r>
    </w:p>
    <w:p w14:paraId="5A154022" w14:textId="576E1510" w:rsidR="00111A5D" w:rsidRPr="00B40A77" w:rsidRDefault="00111A5D" w:rsidP="00111A5D">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Unless </w:t>
      </w:r>
      <w:hyperlink w:anchor="_2.1—Definitions" w:history="1">
        <w:r w:rsidRPr="00B40A77">
          <w:rPr>
            <w:rStyle w:val="Hyperlink"/>
            <w:rFonts w:cs="Times New Roman"/>
            <w:color w:val="000000" w:themeColor="text1"/>
            <w:u w:val="none"/>
          </w:rPr>
          <w:t xml:space="preserve">the </w:t>
        </w:r>
        <w:hyperlink w:anchor="_2.1—Definitions" w:history="1">
          <w:r w:rsidR="00D61876" w:rsidRPr="00B40A77">
            <w:rPr>
              <w:rStyle w:val="Hyperlink"/>
              <w:color w:val="000000" w:themeColor="text1"/>
              <w:lang w:val="en-US"/>
            </w:rPr>
            <w:t>Principal Registrar</w:t>
          </w:r>
        </w:hyperlink>
      </w:hyperlink>
      <w:r w:rsidRPr="00B40A77">
        <w:rPr>
          <w:rFonts w:cs="Times New Roman"/>
          <w:color w:val="000000" w:themeColor="text1"/>
        </w:rPr>
        <w:t xml:space="preserve"> otherwise specifies, documents relevant to the appeal the subject of a request comprise—</w:t>
      </w:r>
    </w:p>
    <w:p w14:paraId="7C4A33FC" w14:textId="797BD431" w:rsidR="00111A5D" w:rsidRPr="00B40A77" w:rsidRDefault="00111A5D" w:rsidP="00111A5D">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all documents </w:t>
      </w:r>
      <w:r w:rsidR="007B3F5F" w:rsidRPr="00B40A77">
        <w:rPr>
          <w:color w:val="000000" w:themeColor="text1"/>
          <w:lang w:val="en-US"/>
        </w:rPr>
        <w:t>fil</w:t>
      </w:r>
      <w:r w:rsidRPr="00B40A77">
        <w:rPr>
          <w:color w:val="000000" w:themeColor="text1"/>
          <w:lang w:val="en-US"/>
        </w:rPr>
        <w:t>ed with the court</w:t>
      </w:r>
      <w:r w:rsidR="00482D77" w:rsidRPr="00B40A77">
        <w:rPr>
          <w:color w:val="000000" w:themeColor="text1"/>
          <w:lang w:val="en-US"/>
        </w:rPr>
        <w:t xml:space="preserve"> below</w:t>
      </w:r>
      <w:r w:rsidRPr="00B40A77">
        <w:rPr>
          <w:color w:val="000000" w:themeColor="text1"/>
          <w:lang w:val="en-US"/>
        </w:rPr>
        <w:t>;</w:t>
      </w:r>
    </w:p>
    <w:p w14:paraId="45B9505E" w14:textId="352AF3FC" w:rsidR="00111A5D" w:rsidRPr="00B40A77" w:rsidRDefault="00111A5D" w:rsidP="00111A5D">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any transcript of evidence or </w:t>
      </w:r>
      <w:hyperlink w:anchor="_2.1—Definitions" w:history="1">
        <w:r w:rsidRPr="00B40A77">
          <w:rPr>
            <w:rStyle w:val="Hyperlink"/>
            <w:color w:val="000000" w:themeColor="text1"/>
            <w:lang w:val="en-US"/>
          </w:rPr>
          <w:t>hearing</w:t>
        </w:r>
      </w:hyperlink>
      <w:r w:rsidRPr="00B40A77">
        <w:rPr>
          <w:color w:val="000000" w:themeColor="text1"/>
          <w:lang w:val="en-US"/>
        </w:rPr>
        <w:t>;</w:t>
      </w:r>
    </w:p>
    <w:p w14:paraId="714D0FDF" w14:textId="4BDED6F9" w:rsidR="00111A5D" w:rsidRPr="00B40A77" w:rsidRDefault="00111A5D" w:rsidP="00111A5D">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any other </w:t>
      </w:r>
      <w:hyperlink w:anchor="_2.1—Definitions" w:history="1">
        <w:r w:rsidRPr="00B40A77">
          <w:rPr>
            <w:rStyle w:val="Hyperlink"/>
            <w:color w:val="000000" w:themeColor="text1"/>
            <w:lang w:val="en-US"/>
          </w:rPr>
          <w:t>evidentiary material</w:t>
        </w:r>
      </w:hyperlink>
      <w:r w:rsidRPr="00B40A77">
        <w:rPr>
          <w:color w:val="000000" w:themeColor="text1"/>
          <w:lang w:val="en-US"/>
        </w:rPr>
        <w:t>; and</w:t>
      </w:r>
    </w:p>
    <w:p w14:paraId="3466C32A" w14:textId="77777777" w:rsidR="00111A5D" w:rsidRPr="00B40A77" w:rsidRDefault="00111A5D" w:rsidP="00111A5D">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the </w:t>
      </w:r>
      <w:r w:rsidRPr="00B40A77">
        <w:rPr>
          <w:rFonts w:cs="Times New Roman"/>
          <w:color w:val="000000" w:themeColor="text1"/>
        </w:rPr>
        <w:t xml:space="preserve">judgment, order or decision </w:t>
      </w:r>
      <w:r w:rsidRPr="00B40A77">
        <w:rPr>
          <w:color w:val="000000" w:themeColor="text1"/>
          <w:lang w:val="en-US"/>
        </w:rPr>
        <w:t>subject of the appeal and any reasons given for it.</w:t>
      </w:r>
    </w:p>
    <w:p w14:paraId="655A047D" w14:textId="3EE9F2C9" w:rsidR="00111A5D" w:rsidRPr="00B40A77" w:rsidRDefault="00111A5D" w:rsidP="00111A5D">
      <w:pPr>
        <w:pStyle w:val="Hangindent"/>
        <w:rPr>
          <w:color w:val="000000" w:themeColor="text1"/>
        </w:rPr>
      </w:pPr>
      <w:r w:rsidRPr="00B40A77">
        <w:rPr>
          <w:rFonts w:cs="Times New Roman"/>
          <w:color w:val="000000" w:themeColor="text1"/>
        </w:rPr>
        <w:t>(3)</w:t>
      </w:r>
      <w:r w:rsidRPr="00B40A77">
        <w:rPr>
          <w:rFonts w:cs="Times New Roman"/>
          <w:color w:val="000000" w:themeColor="text1"/>
        </w:rPr>
        <w:tab/>
      </w:r>
      <w:hyperlink w:anchor="_2.1—Definitions" w:history="1">
        <w:r w:rsidRPr="00B40A77">
          <w:rPr>
            <w:rStyle w:val="Hyperlink"/>
            <w:rFonts w:cs="Times New Roman"/>
            <w:color w:val="000000" w:themeColor="text1"/>
            <w:u w:val="none"/>
          </w:rPr>
          <w:t xml:space="preserve">The </w:t>
        </w:r>
        <w:r w:rsidR="00CE7020" w:rsidRPr="00B40A77">
          <w:rPr>
            <w:rStyle w:val="Hyperlink"/>
            <w:rFonts w:cs="Times New Roman"/>
            <w:color w:val="000000" w:themeColor="text1"/>
            <w:u w:val="none"/>
          </w:rPr>
          <w:t>r</w:t>
        </w:r>
        <w:r w:rsidRPr="00B40A77">
          <w:rPr>
            <w:rStyle w:val="Hyperlink"/>
            <w:rFonts w:cs="Times New Roman"/>
            <w:color w:val="000000" w:themeColor="text1"/>
            <w:u w:val="none"/>
          </w:rPr>
          <w:t>egistrar</w:t>
        </w:r>
      </w:hyperlink>
      <w:r w:rsidRPr="00B40A77">
        <w:rPr>
          <w:rFonts w:cs="Times New Roman"/>
          <w:color w:val="000000" w:themeColor="text1"/>
        </w:rPr>
        <w:t xml:space="preserve"> or proper officer of the court </w:t>
      </w:r>
      <w:r w:rsidR="00482D77" w:rsidRPr="00B40A77">
        <w:rPr>
          <w:color w:val="000000" w:themeColor="text1"/>
          <w:lang w:val="en-US"/>
        </w:rPr>
        <w:t xml:space="preserve">below </w:t>
      </w:r>
      <w:r w:rsidRPr="00B40A77">
        <w:rPr>
          <w:rFonts w:cs="Times New Roman"/>
          <w:color w:val="000000" w:themeColor="text1"/>
        </w:rPr>
        <w:t xml:space="preserve">must comply with the request as soon as practicable. </w:t>
      </w:r>
    </w:p>
    <w:p w14:paraId="3ED643F3" w14:textId="78B3E7B8" w:rsidR="007C73DB" w:rsidRPr="00B40A77" w:rsidRDefault="007C73DB" w:rsidP="007C73DB">
      <w:pPr>
        <w:pStyle w:val="Heading3"/>
        <w:rPr>
          <w:color w:val="000000" w:themeColor="text1"/>
        </w:rPr>
      </w:pPr>
      <w:bookmarkStart w:id="1167" w:name="_Toc175239375"/>
      <w:r w:rsidRPr="00B40A77">
        <w:rPr>
          <w:color w:val="000000" w:themeColor="text1"/>
        </w:rPr>
        <w:t>Division 3—Response to appeal</w:t>
      </w:r>
      <w:bookmarkEnd w:id="1167"/>
    </w:p>
    <w:p w14:paraId="3A061765" w14:textId="51E1C41E" w:rsidR="007C73DB" w:rsidRPr="00B40A77" w:rsidRDefault="007C73DB" w:rsidP="007C73DB">
      <w:pPr>
        <w:pStyle w:val="Heading4"/>
        <w:rPr>
          <w:color w:val="000000" w:themeColor="text1"/>
        </w:rPr>
      </w:pPr>
      <w:bookmarkStart w:id="1168" w:name="_Toc175239376"/>
      <w:r w:rsidRPr="00B40A77">
        <w:rPr>
          <w:color w:val="000000" w:themeColor="text1"/>
        </w:rPr>
        <w:t>194.1—Notice of acting</w:t>
      </w:r>
      <w:bookmarkEnd w:id="1168"/>
      <w:r w:rsidRPr="00B40A77">
        <w:rPr>
          <w:color w:val="000000" w:themeColor="text1"/>
        </w:rPr>
        <w:t xml:space="preserve"> </w:t>
      </w:r>
    </w:p>
    <w:p w14:paraId="16BC4673" w14:textId="5409B47C" w:rsidR="007C73DB" w:rsidRPr="00B40A77" w:rsidRDefault="007C73DB" w:rsidP="00A60865">
      <w:pPr>
        <w:pStyle w:val="IndentedPara"/>
        <w:keepNext/>
        <w:rPr>
          <w:color w:val="000000" w:themeColor="text1"/>
          <w:lang w:val="en-AU"/>
        </w:rPr>
      </w:pPr>
      <w:r w:rsidRPr="00B40A77">
        <w:rPr>
          <w:color w:val="000000" w:themeColor="text1"/>
          <w:lang w:val="en-AU"/>
        </w:rPr>
        <w:t xml:space="preserve">Unless the respondent is the </w:t>
      </w:r>
      <w:r w:rsidR="003A2F8B" w:rsidRPr="00B40A77">
        <w:rPr>
          <w:color w:val="000000" w:themeColor="text1"/>
        </w:rPr>
        <w:t xml:space="preserve">Commissioner of Police </w:t>
      </w:r>
      <w:r w:rsidRPr="00B40A77">
        <w:rPr>
          <w:color w:val="000000" w:themeColor="text1"/>
          <w:lang w:val="en-AU"/>
        </w:rPr>
        <w:t xml:space="preserve">or the Director, a respondent to an appeal must file </w:t>
      </w:r>
      <w:r w:rsidR="00E1037C" w:rsidRPr="00B40A77">
        <w:rPr>
          <w:color w:val="000000" w:themeColor="text1"/>
          <w:lang w:val="en-AU"/>
        </w:rPr>
        <w:t xml:space="preserve">a notice of </w:t>
      </w:r>
      <w:r w:rsidRPr="00B40A77">
        <w:rPr>
          <w:color w:val="000000" w:themeColor="text1"/>
          <w:lang w:val="en-AU"/>
        </w:rPr>
        <w:t>acting in the prescribed form within 7 days of service of the notice of appeal.</w:t>
      </w:r>
    </w:p>
    <w:p w14:paraId="4FE76B90" w14:textId="77777777" w:rsidR="007C73DB" w:rsidRPr="00B40A77" w:rsidRDefault="007C73DB" w:rsidP="00A60865">
      <w:pPr>
        <w:pStyle w:val="NoteHeader"/>
        <w:keepNext/>
        <w:ind w:left="567"/>
        <w:rPr>
          <w:color w:val="000000" w:themeColor="text1"/>
        </w:rPr>
      </w:pPr>
      <w:r w:rsidRPr="00B40A77">
        <w:rPr>
          <w:color w:val="000000" w:themeColor="text1"/>
        </w:rPr>
        <w:t>Note—</w:t>
      </w:r>
    </w:p>
    <w:p w14:paraId="2E3E2A57" w14:textId="09375068" w:rsidR="00E1037C" w:rsidRPr="00B40A77" w:rsidRDefault="00572B1D" w:rsidP="00A75CA8">
      <w:pPr>
        <w:pStyle w:val="NoteText"/>
        <w:ind w:left="851"/>
        <w:rPr>
          <w:color w:val="000000" w:themeColor="text1"/>
        </w:rPr>
      </w:pPr>
      <w:hyperlink w:anchor="_25.2—Law_firm_acting" w:history="1">
        <w:r w:rsidRPr="00B40A77">
          <w:rPr>
            <w:rStyle w:val="Hyperlink"/>
            <w:color w:val="000000" w:themeColor="text1"/>
          </w:rPr>
          <w:t>Rule 24.2</w:t>
        </w:r>
      </w:hyperlink>
      <w:r w:rsidRPr="00B40A77">
        <w:rPr>
          <w:color w:val="000000" w:themeColor="text1"/>
        </w:rPr>
        <w:t xml:space="preserve"> and </w:t>
      </w:r>
      <w:hyperlink w:anchor="_Subdivision_1—Obligation_to" w:history="1">
        <w:r w:rsidR="00BE2B8E" w:rsidRPr="00B40A77">
          <w:rPr>
            <w:rStyle w:val="Hyperlink"/>
            <w:color w:val="000000" w:themeColor="text1"/>
          </w:rPr>
          <w:t>Chapter 2 Part 6 Division 4, Subdivision 1</w:t>
        </w:r>
      </w:hyperlink>
      <w:hyperlink w:anchor="_Subdivision_1—Obligation_to" w:history="1">
        <w:r w:rsidR="00854678" w:rsidRPr="00B40A77">
          <w:rPr>
            <w:rStyle w:val="Hyperlink"/>
            <w:rFonts w:cstheme="minorBidi"/>
            <w:color w:val="000000" w:themeColor="text1"/>
            <w:sz w:val="23"/>
            <w:szCs w:val="22"/>
          </w:rPr>
          <w:t>_Subdivision_1—Obligation_to</w:t>
        </w:r>
      </w:hyperlink>
      <w:r w:rsidRPr="00B40A77">
        <w:rPr>
          <w:color w:val="000000" w:themeColor="text1"/>
        </w:rPr>
        <w:t xml:space="preserve"> </w:t>
      </w:r>
      <w:r w:rsidR="00E1037C" w:rsidRPr="00B40A77">
        <w:rPr>
          <w:color w:val="000000" w:themeColor="text1"/>
        </w:rPr>
        <w:t xml:space="preserve">in relation to legal representation and </w:t>
      </w:r>
      <w:hyperlink w:anchor="_2.1—Definitions" w:history="1">
        <w:r w:rsidR="00531F32" w:rsidRPr="00B40A77">
          <w:rPr>
            <w:rStyle w:val="Hyperlink"/>
            <w:color w:val="000000" w:themeColor="text1"/>
            <w:lang w:val="en-US"/>
          </w:rPr>
          <w:t>address for service</w:t>
        </w:r>
      </w:hyperlink>
      <w:r w:rsidR="00E1037C" w:rsidRPr="00B40A77">
        <w:rPr>
          <w:color w:val="000000" w:themeColor="text1"/>
        </w:rPr>
        <w:t xml:space="preserve"> apply to appellate proceedings.</w:t>
      </w:r>
    </w:p>
    <w:p w14:paraId="496B0E45" w14:textId="529CE7B4" w:rsidR="00111A5D" w:rsidRPr="00B40A77" w:rsidRDefault="00E1037C" w:rsidP="00111A5D">
      <w:pPr>
        <w:pStyle w:val="Heading4"/>
        <w:rPr>
          <w:color w:val="000000" w:themeColor="text1"/>
        </w:rPr>
      </w:pPr>
      <w:bookmarkStart w:id="1169" w:name="_194.2—Institution_of_cross"/>
      <w:bookmarkStart w:id="1170" w:name="_Toc175239377"/>
      <w:bookmarkEnd w:id="1169"/>
      <w:r w:rsidRPr="00B40A77">
        <w:rPr>
          <w:color w:val="000000" w:themeColor="text1"/>
        </w:rPr>
        <w:t>194.2</w:t>
      </w:r>
      <w:r w:rsidR="00111A5D" w:rsidRPr="00B40A77">
        <w:rPr>
          <w:color w:val="000000" w:themeColor="text1"/>
        </w:rPr>
        <w:t>—Institution of cross appeal</w:t>
      </w:r>
      <w:bookmarkEnd w:id="1170"/>
    </w:p>
    <w:p w14:paraId="2B0F4542" w14:textId="2A146A44" w:rsidR="00111A5D" w:rsidRPr="00B40A77" w:rsidRDefault="00111A5D"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Another party to the appeal may institute an appeal against the same judgment, order or decision by filing a notice of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 xml:space="preserve"> in the prescribed form</w:t>
      </w:r>
      <w:r w:rsidR="008C0908" w:rsidRPr="00B40A77">
        <w:rPr>
          <w:color w:val="000000" w:themeColor="text1"/>
          <w:lang w:val="en-US"/>
        </w:rPr>
        <w:t>,</w:t>
      </w:r>
      <w:r w:rsidRPr="00B40A77">
        <w:rPr>
          <w:color w:val="000000" w:themeColor="text1"/>
          <w:lang w:val="en-US"/>
        </w:rPr>
        <w:t xml:space="preserve"> within 14 days after service of the notice of appeal on that party.</w:t>
      </w:r>
    </w:p>
    <w:p w14:paraId="03E0C6CD" w14:textId="77777777" w:rsidR="00111A5D" w:rsidRPr="00B40A77" w:rsidRDefault="00111A5D" w:rsidP="008C0908">
      <w:pPr>
        <w:pStyle w:val="NoteHeader"/>
        <w:keepNext/>
        <w:rPr>
          <w:color w:val="000000" w:themeColor="text1"/>
        </w:rPr>
      </w:pPr>
      <w:r w:rsidRPr="00B40A77">
        <w:rPr>
          <w:color w:val="000000" w:themeColor="text1"/>
        </w:rPr>
        <w:t>Prescribed forms—</w:t>
      </w:r>
    </w:p>
    <w:p w14:paraId="6137676F" w14:textId="01FB8318" w:rsidR="00111A5D" w:rsidRPr="00B40A77" w:rsidRDefault="00111A5D" w:rsidP="000648DA">
      <w:pPr>
        <w:pStyle w:val="NoteText"/>
        <w:keepNext/>
        <w:ind w:left="1440"/>
        <w:rPr>
          <w:b/>
          <w:bCs/>
          <w:color w:val="000000" w:themeColor="text1"/>
        </w:rPr>
      </w:pPr>
      <w:r w:rsidRPr="00B40A77">
        <w:rPr>
          <w:b/>
          <w:bCs/>
          <w:color w:val="000000" w:themeColor="text1"/>
        </w:rPr>
        <w:t>Conviction cross appeal</w:t>
      </w:r>
    </w:p>
    <w:p w14:paraId="5345BA2A" w14:textId="6C3D8D4A" w:rsidR="00C302C9" w:rsidRPr="00B40A77" w:rsidRDefault="00111A5D" w:rsidP="00C302C9">
      <w:pPr>
        <w:pStyle w:val="NoteText"/>
        <w:ind w:left="1701"/>
        <w:rPr>
          <w:rStyle w:val="Hyperlink"/>
          <w:color w:val="000000" w:themeColor="text1"/>
        </w:rPr>
      </w:pPr>
      <w:r w:rsidRPr="00B40A77">
        <w:rPr>
          <w:color w:val="000000" w:themeColor="text1"/>
        </w:rPr>
        <w:t xml:space="preserve">Form 184A </w:t>
      </w:r>
      <w:hyperlink r:id="rId411" w:history="1">
        <w:r w:rsidRPr="00B40A77">
          <w:rPr>
            <w:rStyle w:val="Hyperlink"/>
            <w:color w:val="000000" w:themeColor="text1"/>
          </w:rPr>
          <w:t xml:space="preserve">Notice of Cross Appeal against </w:t>
        </w:r>
        <w:r w:rsidR="002E12BE" w:rsidRPr="00B40A77">
          <w:rPr>
            <w:rStyle w:val="Hyperlink"/>
            <w:color w:val="000000" w:themeColor="text1"/>
          </w:rPr>
          <w:t>Conviction, Acquittal, Antecedent Decision or Mental Impairment Judgment</w:t>
        </w:r>
      </w:hyperlink>
    </w:p>
    <w:p w14:paraId="6C8207FC" w14:textId="106240E1" w:rsidR="00111A5D" w:rsidRPr="00B40A77" w:rsidRDefault="00111A5D" w:rsidP="00C302C9">
      <w:pPr>
        <w:pStyle w:val="NoteText"/>
        <w:ind w:left="1701"/>
        <w:rPr>
          <w:rStyle w:val="Hyperlink"/>
          <w:color w:val="000000" w:themeColor="text1"/>
        </w:rPr>
      </w:pPr>
      <w:r w:rsidRPr="00B40A77">
        <w:rPr>
          <w:color w:val="000000" w:themeColor="text1"/>
        </w:rPr>
        <w:t xml:space="preserve">Form 184S </w:t>
      </w:r>
      <w:hyperlink r:id="rId412" w:history="1">
        <w:r w:rsidR="00FE42F4" w:rsidRPr="00B40A77">
          <w:rPr>
            <w:rStyle w:val="Hyperlink"/>
            <w:color w:val="000000" w:themeColor="text1"/>
          </w:rPr>
          <w:t xml:space="preserve">Cross </w:t>
        </w:r>
        <w:r w:rsidRPr="00B40A77">
          <w:rPr>
            <w:rStyle w:val="Hyperlink"/>
            <w:color w:val="000000" w:themeColor="text1"/>
          </w:rPr>
          <w:t>Appeal Grounds</w:t>
        </w:r>
        <w:r w:rsidR="002E12BE" w:rsidRPr="00B40A77">
          <w:rPr>
            <w:rStyle w:val="Hyperlink"/>
            <w:color w:val="000000" w:themeColor="text1"/>
          </w:rPr>
          <w:t xml:space="preserve"> (part of Notice of Cross Appeal)</w:t>
        </w:r>
      </w:hyperlink>
    </w:p>
    <w:p w14:paraId="537939D8" w14:textId="54A9FBA9" w:rsidR="00111A5D" w:rsidRPr="00B40A77" w:rsidRDefault="00111A5D" w:rsidP="000648DA">
      <w:pPr>
        <w:pStyle w:val="NoteText"/>
        <w:keepNext/>
        <w:rPr>
          <w:rStyle w:val="Hyperlink"/>
          <w:b/>
          <w:bCs/>
          <w:color w:val="000000" w:themeColor="text1"/>
          <w:u w:val="none"/>
        </w:rPr>
      </w:pPr>
      <w:r w:rsidRPr="00B40A77">
        <w:rPr>
          <w:rStyle w:val="Hyperlink"/>
          <w:b/>
          <w:bCs/>
          <w:color w:val="000000" w:themeColor="text1"/>
          <w:u w:val="none"/>
        </w:rPr>
        <w:t>Sentence cross appeal</w:t>
      </w:r>
    </w:p>
    <w:p w14:paraId="4C558A4A" w14:textId="245FA7EB" w:rsidR="00C302C9" w:rsidRPr="00B40A77" w:rsidRDefault="00111A5D" w:rsidP="00C302C9">
      <w:pPr>
        <w:pStyle w:val="NoteText"/>
        <w:ind w:left="1701" w:firstLine="22"/>
        <w:rPr>
          <w:color w:val="000000" w:themeColor="text1"/>
        </w:rPr>
      </w:pPr>
      <w:r w:rsidRPr="00B40A77">
        <w:rPr>
          <w:color w:val="000000" w:themeColor="text1"/>
        </w:rPr>
        <w:t xml:space="preserve">Form 184B </w:t>
      </w:r>
      <w:hyperlink r:id="rId413" w:history="1">
        <w:r w:rsidRPr="00B40A77">
          <w:rPr>
            <w:rStyle w:val="Hyperlink"/>
            <w:color w:val="000000" w:themeColor="text1"/>
          </w:rPr>
          <w:t xml:space="preserve">Notice of </w:t>
        </w:r>
        <w:r w:rsidR="00E51222" w:rsidRPr="00B40A77">
          <w:rPr>
            <w:rStyle w:val="Hyperlink"/>
            <w:color w:val="000000" w:themeColor="text1"/>
          </w:rPr>
          <w:t xml:space="preserve">Cross </w:t>
        </w:r>
        <w:r w:rsidRPr="00B40A77">
          <w:rPr>
            <w:rStyle w:val="Hyperlink"/>
            <w:color w:val="000000" w:themeColor="text1"/>
          </w:rPr>
          <w:t xml:space="preserve">Appeal against Sentence or </w:t>
        </w:r>
        <w:r w:rsidR="002E12BE" w:rsidRPr="00B40A77">
          <w:rPr>
            <w:rStyle w:val="Hyperlink"/>
            <w:color w:val="000000" w:themeColor="text1"/>
          </w:rPr>
          <w:t xml:space="preserve">Mental Impairment </w:t>
        </w:r>
        <w:r w:rsidRPr="00B40A77">
          <w:rPr>
            <w:rStyle w:val="Hyperlink"/>
            <w:color w:val="000000" w:themeColor="text1"/>
          </w:rPr>
          <w:t>Disposition</w:t>
        </w:r>
      </w:hyperlink>
    </w:p>
    <w:p w14:paraId="41B9BA21" w14:textId="04B9B459" w:rsidR="00111A5D" w:rsidRPr="00B40A77" w:rsidRDefault="00111A5D" w:rsidP="00C302C9">
      <w:pPr>
        <w:pStyle w:val="NoteText"/>
        <w:ind w:left="1701" w:firstLine="22"/>
        <w:rPr>
          <w:color w:val="000000" w:themeColor="text1"/>
        </w:rPr>
      </w:pPr>
      <w:r w:rsidRPr="00B40A77">
        <w:rPr>
          <w:color w:val="000000" w:themeColor="text1"/>
        </w:rPr>
        <w:t xml:space="preserve">Form 184S </w:t>
      </w:r>
      <w:hyperlink r:id="rId414" w:history="1">
        <w:r w:rsidR="00FE42F4" w:rsidRPr="00B40A77">
          <w:rPr>
            <w:rStyle w:val="Hyperlink"/>
            <w:color w:val="000000" w:themeColor="text1"/>
          </w:rPr>
          <w:t xml:space="preserve">Cross </w:t>
        </w:r>
        <w:r w:rsidRPr="00B40A77">
          <w:rPr>
            <w:rStyle w:val="Hyperlink"/>
            <w:color w:val="000000" w:themeColor="text1"/>
          </w:rPr>
          <w:t>Appeal Grounds</w:t>
        </w:r>
        <w:r w:rsidR="002E12BE" w:rsidRPr="00B40A77">
          <w:rPr>
            <w:rStyle w:val="Hyperlink"/>
            <w:color w:val="000000" w:themeColor="text1"/>
          </w:rPr>
          <w:t xml:space="preserve"> (part of Notice of Cross Appeal)</w:t>
        </w:r>
      </w:hyperlink>
    </w:p>
    <w:p w14:paraId="0D265CEE" w14:textId="3DE0728B" w:rsidR="00111A5D" w:rsidRPr="00B40A77" w:rsidRDefault="00111A5D" w:rsidP="000648DA">
      <w:pPr>
        <w:pStyle w:val="NoteText"/>
        <w:keepNext/>
        <w:rPr>
          <w:b/>
          <w:bCs/>
          <w:color w:val="000000" w:themeColor="text1"/>
        </w:rPr>
      </w:pPr>
      <w:r w:rsidRPr="00B40A77">
        <w:rPr>
          <w:b/>
          <w:bCs/>
          <w:color w:val="000000" w:themeColor="text1"/>
        </w:rPr>
        <w:t>Miscellane</w:t>
      </w:r>
      <w:r w:rsidR="00416604" w:rsidRPr="00B40A77">
        <w:rPr>
          <w:b/>
          <w:bCs/>
          <w:color w:val="000000" w:themeColor="text1"/>
        </w:rPr>
        <w:t>ous cross</w:t>
      </w:r>
      <w:r w:rsidRPr="00B40A77">
        <w:rPr>
          <w:b/>
          <w:bCs/>
          <w:color w:val="000000" w:themeColor="text1"/>
        </w:rPr>
        <w:t xml:space="preserve"> appea</w:t>
      </w:r>
      <w:r w:rsidR="00C302C9" w:rsidRPr="00B40A77">
        <w:rPr>
          <w:b/>
          <w:bCs/>
          <w:color w:val="000000" w:themeColor="text1"/>
        </w:rPr>
        <w:t>l</w:t>
      </w:r>
    </w:p>
    <w:p w14:paraId="2A7536E1" w14:textId="634862DE" w:rsidR="00C302C9" w:rsidRPr="00B40A77" w:rsidRDefault="00111A5D" w:rsidP="00C302C9">
      <w:pPr>
        <w:pStyle w:val="NoteText"/>
        <w:ind w:left="1701" w:firstLine="22"/>
        <w:rPr>
          <w:color w:val="000000" w:themeColor="text1"/>
        </w:rPr>
      </w:pPr>
      <w:r w:rsidRPr="00B40A77">
        <w:rPr>
          <w:color w:val="000000" w:themeColor="text1"/>
        </w:rPr>
        <w:t xml:space="preserve">Form 184C </w:t>
      </w:r>
      <w:bookmarkStart w:id="1171" w:name="_Hlk67582588"/>
      <w:r w:rsidR="008855F9" w:rsidRPr="00B40A77">
        <w:rPr>
          <w:color w:val="000000" w:themeColor="text1"/>
          <w:u w:val="single"/>
        </w:rPr>
        <w:fldChar w:fldCharType="begin"/>
      </w:r>
      <w:r w:rsidR="008855F9" w:rsidRPr="00B40A77">
        <w:rPr>
          <w:color w:val="000000" w:themeColor="text1"/>
          <w:u w:val="single"/>
        </w:rPr>
        <w:instrText xml:space="preserve"> HYPERLINK "https://www.courts.sa.gov.au/rules-forms-fees/jcr2022/" </w:instrText>
      </w:r>
      <w:r w:rsidR="008855F9" w:rsidRPr="00B40A77">
        <w:rPr>
          <w:color w:val="000000" w:themeColor="text1"/>
          <w:u w:val="single"/>
        </w:rPr>
      </w:r>
      <w:r w:rsidR="008855F9" w:rsidRPr="00B40A77">
        <w:rPr>
          <w:color w:val="000000" w:themeColor="text1"/>
          <w:u w:val="single"/>
        </w:rPr>
        <w:fldChar w:fldCharType="separate"/>
      </w:r>
      <w:r w:rsidR="00BA7F0A" w:rsidRPr="00B40A77">
        <w:rPr>
          <w:rStyle w:val="Hyperlink"/>
          <w:color w:val="000000" w:themeColor="text1"/>
        </w:rPr>
        <w:t>Notice of Cross</w:t>
      </w:r>
      <w:r w:rsidRPr="00B40A77">
        <w:rPr>
          <w:rStyle w:val="Hyperlink"/>
          <w:color w:val="000000" w:themeColor="text1"/>
        </w:rPr>
        <w:t xml:space="preserve"> </w:t>
      </w:r>
      <w:r w:rsidR="00220BAD" w:rsidRPr="00B40A77">
        <w:rPr>
          <w:rStyle w:val="Hyperlink"/>
          <w:color w:val="000000" w:themeColor="text1"/>
        </w:rPr>
        <w:t xml:space="preserve">Appeal </w:t>
      </w:r>
      <w:r w:rsidRPr="00B40A77">
        <w:rPr>
          <w:rStyle w:val="Hyperlink"/>
          <w:color w:val="000000" w:themeColor="text1"/>
        </w:rPr>
        <w:t>against Other Decision</w:t>
      </w:r>
      <w:bookmarkEnd w:id="1171"/>
      <w:r w:rsidR="008855F9" w:rsidRPr="00B40A77">
        <w:rPr>
          <w:color w:val="000000" w:themeColor="text1"/>
          <w:u w:val="single"/>
        </w:rPr>
        <w:fldChar w:fldCharType="end"/>
      </w:r>
    </w:p>
    <w:p w14:paraId="7618C5A3" w14:textId="6B05C2C0" w:rsidR="00111A5D" w:rsidRPr="00B40A77" w:rsidRDefault="00111A5D" w:rsidP="00C302C9">
      <w:pPr>
        <w:pStyle w:val="NoteText"/>
        <w:ind w:left="1701" w:firstLine="22"/>
        <w:rPr>
          <w:color w:val="000000" w:themeColor="text1"/>
        </w:rPr>
      </w:pPr>
      <w:r w:rsidRPr="00B40A77">
        <w:rPr>
          <w:color w:val="000000" w:themeColor="text1"/>
        </w:rPr>
        <w:t xml:space="preserve">Form 184S </w:t>
      </w:r>
      <w:hyperlink r:id="rId415" w:history="1">
        <w:r w:rsidR="00FE42F4" w:rsidRPr="00B40A77">
          <w:rPr>
            <w:rStyle w:val="Hyperlink"/>
            <w:color w:val="000000" w:themeColor="text1"/>
          </w:rPr>
          <w:t xml:space="preserve">Cross </w:t>
        </w:r>
        <w:r w:rsidRPr="00B40A77">
          <w:rPr>
            <w:rStyle w:val="Hyperlink"/>
            <w:color w:val="000000" w:themeColor="text1"/>
          </w:rPr>
          <w:t>Appeal Grounds</w:t>
        </w:r>
        <w:r w:rsidR="002E12BE" w:rsidRPr="00B40A77">
          <w:rPr>
            <w:rStyle w:val="Hyperlink"/>
            <w:color w:val="000000" w:themeColor="text1"/>
          </w:rPr>
          <w:t xml:space="preserve"> (part of Notice of Cross Appeal)</w:t>
        </w:r>
      </w:hyperlink>
    </w:p>
    <w:p w14:paraId="63DAEC24" w14:textId="144C49B2" w:rsidR="00D54B10" w:rsidRPr="00B40A77" w:rsidRDefault="00E1037C" w:rsidP="005C06C9">
      <w:pPr>
        <w:pStyle w:val="Hangindent"/>
        <w:rPr>
          <w:color w:val="000000" w:themeColor="text1"/>
          <w:lang w:val="en-US"/>
        </w:rPr>
      </w:pPr>
      <w:r w:rsidRPr="00B40A77">
        <w:rPr>
          <w:color w:val="000000" w:themeColor="text1"/>
          <w:lang w:val="en-US"/>
        </w:rPr>
        <w:t>(2)</w:t>
      </w:r>
      <w:r w:rsidRPr="00B40A77">
        <w:rPr>
          <w:color w:val="000000" w:themeColor="text1"/>
          <w:lang w:val="en-US"/>
        </w:rPr>
        <w:tab/>
      </w:r>
      <w:r w:rsidR="00D54B10" w:rsidRPr="00B40A77">
        <w:rPr>
          <w:color w:val="000000" w:themeColor="text1"/>
          <w:lang w:val="en-US"/>
        </w:rPr>
        <w:t xml:space="preserve">If leave to appeal against </w:t>
      </w:r>
      <w:hyperlink w:anchor="_2.1—Definitions" w:history="1">
        <w:r w:rsidR="00340620" w:rsidRPr="00B40A77">
          <w:rPr>
            <w:rStyle w:val="Hyperlink"/>
            <w:color w:val="000000" w:themeColor="text1"/>
          </w:rPr>
          <w:t>sentence</w:t>
        </w:r>
      </w:hyperlink>
      <w:r w:rsidR="00D54B10" w:rsidRPr="00B40A77">
        <w:rPr>
          <w:color w:val="000000" w:themeColor="text1"/>
          <w:lang w:val="en-US"/>
        </w:rPr>
        <w:t xml:space="preserve"> or a decision to defer sentencing is granted on an appeal by a defendant or youth and the Director </w:t>
      </w:r>
      <w:r w:rsidR="00FE7354" w:rsidRPr="00B40A77">
        <w:rPr>
          <w:color w:val="000000" w:themeColor="text1"/>
          <w:lang w:val="en-US"/>
        </w:rPr>
        <w:t xml:space="preserve">wishes to appeal as of right against the </w:t>
      </w:r>
      <w:hyperlink w:anchor="_2.1—Definitions" w:history="1">
        <w:r w:rsidR="00340620" w:rsidRPr="00B40A77">
          <w:rPr>
            <w:rStyle w:val="Hyperlink"/>
            <w:color w:val="000000" w:themeColor="text1"/>
          </w:rPr>
          <w:t>sentence</w:t>
        </w:r>
      </w:hyperlink>
      <w:r w:rsidR="00FE7354" w:rsidRPr="00B40A77">
        <w:rPr>
          <w:color w:val="000000" w:themeColor="text1"/>
          <w:lang w:val="en-US"/>
        </w:rPr>
        <w:t xml:space="preserve"> or decision under section</w:t>
      </w:r>
      <w:r w:rsidR="00CC7C23" w:rsidRPr="00B40A77">
        <w:rPr>
          <w:color w:val="000000" w:themeColor="text1"/>
          <w:lang w:val="en-US"/>
        </w:rPr>
        <w:t> </w:t>
      </w:r>
      <w:r w:rsidR="00FE7354" w:rsidRPr="00B40A77">
        <w:rPr>
          <w:color w:val="000000" w:themeColor="text1"/>
          <w:lang w:val="en-US"/>
        </w:rPr>
        <w:t xml:space="preserve">157(2) of the Procedure Act, the Director must file a notice of </w:t>
      </w:r>
      <w:hyperlink w:anchor="_211.1—Definitions" w:history="1">
        <w:r w:rsidR="0082271A" w:rsidRPr="00B40A77">
          <w:rPr>
            <w:rStyle w:val="Hyperlink"/>
            <w:color w:val="000000" w:themeColor="text1"/>
            <w:lang w:val="en-US"/>
          </w:rPr>
          <w:t>cross appeal</w:t>
        </w:r>
      </w:hyperlink>
      <w:r w:rsidR="00FE7354" w:rsidRPr="00B40A77">
        <w:rPr>
          <w:color w:val="000000" w:themeColor="text1"/>
          <w:lang w:val="en-US"/>
        </w:rPr>
        <w:t xml:space="preserve"> in the prescribed form within 7 days after the grant of leave.</w:t>
      </w:r>
    </w:p>
    <w:p w14:paraId="1A9B070D" w14:textId="1EF448FC" w:rsidR="00E1037C" w:rsidRPr="00B40A77" w:rsidRDefault="00D54B10" w:rsidP="00E1037C">
      <w:pPr>
        <w:pStyle w:val="Hangindent"/>
        <w:rPr>
          <w:color w:val="000000" w:themeColor="text1"/>
          <w:lang w:val="en-US"/>
        </w:rPr>
      </w:pPr>
      <w:r w:rsidRPr="00B40A77">
        <w:rPr>
          <w:color w:val="000000" w:themeColor="text1"/>
          <w:lang w:val="en-US"/>
        </w:rPr>
        <w:lastRenderedPageBreak/>
        <w:t>(3)</w:t>
      </w:r>
      <w:r w:rsidRPr="00B40A77">
        <w:rPr>
          <w:color w:val="000000" w:themeColor="text1"/>
          <w:lang w:val="en-US"/>
        </w:rPr>
        <w:tab/>
      </w:r>
      <w:hyperlink w:anchor="_193.2—Institution_of_appeal" w:history="1">
        <w:r w:rsidR="00E1037C" w:rsidRPr="00B40A77">
          <w:rPr>
            <w:rStyle w:val="Hyperlink"/>
            <w:color w:val="000000" w:themeColor="text1"/>
            <w:lang w:val="en-US"/>
          </w:rPr>
          <w:t>Rule 193.2</w:t>
        </w:r>
      </w:hyperlink>
      <w:r w:rsidR="00E1037C" w:rsidRPr="00B40A77">
        <w:rPr>
          <w:color w:val="000000" w:themeColor="text1"/>
          <w:lang w:val="en-US"/>
        </w:rPr>
        <w:t xml:space="preserve">(3) </w:t>
      </w:r>
      <w:r w:rsidR="005C06C9" w:rsidRPr="00B40A77">
        <w:rPr>
          <w:color w:val="000000" w:themeColor="text1"/>
          <w:lang w:val="en-US"/>
        </w:rPr>
        <w:t>to</w:t>
      </w:r>
      <w:r w:rsidR="000648DA" w:rsidRPr="00B40A77">
        <w:rPr>
          <w:color w:val="000000" w:themeColor="text1"/>
          <w:lang w:val="en-US"/>
        </w:rPr>
        <w:t> </w:t>
      </w:r>
      <w:r w:rsidR="00E1037C" w:rsidRPr="00B40A77">
        <w:rPr>
          <w:color w:val="000000" w:themeColor="text1"/>
          <w:lang w:val="en-US"/>
        </w:rPr>
        <w:t>(</w:t>
      </w:r>
      <w:r w:rsidR="005C06C9" w:rsidRPr="00B40A77">
        <w:rPr>
          <w:color w:val="000000" w:themeColor="text1"/>
          <w:lang w:val="en-US"/>
        </w:rPr>
        <w:t>6</w:t>
      </w:r>
      <w:r w:rsidR="00E1037C" w:rsidRPr="00B40A77">
        <w:rPr>
          <w:color w:val="000000" w:themeColor="text1"/>
          <w:lang w:val="en-US"/>
        </w:rPr>
        <w:t xml:space="preserve">) and </w:t>
      </w:r>
      <w:hyperlink w:anchor="_193.3—Service_of_notice" w:history="1">
        <w:r w:rsidR="00780735" w:rsidRPr="00B40A77">
          <w:rPr>
            <w:rStyle w:val="Hyperlink"/>
            <w:color w:val="000000" w:themeColor="text1"/>
          </w:rPr>
          <w:t xml:space="preserve">rule </w:t>
        </w:r>
        <w:r w:rsidR="00E1037C" w:rsidRPr="00B40A77">
          <w:rPr>
            <w:rStyle w:val="Hyperlink"/>
            <w:color w:val="000000" w:themeColor="text1"/>
            <w:lang w:val="en-US"/>
          </w:rPr>
          <w:t>193.3</w:t>
        </w:r>
      </w:hyperlink>
      <w:r w:rsidR="00E1037C" w:rsidRPr="00B40A77">
        <w:rPr>
          <w:color w:val="000000" w:themeColor="text1"/>
          <w:lang w:val="en-US"/>
        </w:rPr>
        <w:t xml:space="preserve"> apply, with any necessary changes, in respect of a </w:t>
      </w:r>
      <w:hyperlink w:anchor="_211.1—Definitions" w:history="1">
        <w:r w:rsidR="0082271A" w:rsidRPr="00B40A77">
          <w:rPr>
            <w:rStyle w:val="Hyperlink"/>
            <w:color w:val="000000" w:themeColor="text1"/>
            <w:lang w:val="en-US"/>
          </w:rPr>
          <w:t>cross appeal</w:t>
        </w:r>
      </w:hyperlink>
      <w:r w:rsidR="00E1037C" w:rsidRPr="00B40A77">
        <w:rPr>
          <w:color w:val="000000" w:themeColor="text1"/>
          <w:lang w:val="en-US"/>
        </w:rPr>
        <w:t>.</w:t>
      </w:r>
    </w:p>
    <w:p w14:paraId="486A49C6" w14:textId="7142BBC3" w:rsidR="00E1037C" w:rsidRPr="00B40A77" w:rsidRDefault="00E1037C" w:rsidP="00E1037C">
      <w:pPr>
        <w:pStyle w:val="Hangindent"/>
        <w:rPr>
          <w:color w:val="000000" w:themeColor="text1"/>
          <w:lang w:val="en-US"/>
        </w:rPr>
      </w:pPr>
      <w:r w:rsidRPr="00B40A77">
        <w:rPr>
          <w:color w:val="000000" w:themeColor="text1"/>
          <w:lang w:val="en-US"/>
        </w:rPr>
        <w:t>(4)</w:t>
      </w:r>
      <w:r w:rsidRPr="00B40A77">
        <w:rPr>
          <w:color w:val="000000" w:themeColor="text1"/>
          <w:lang w:val="en-US"/>
        </w:rPr>
        <w:tab/>
        <w:t xml:space="preserve">If leave to appeal is required, </w:t>
      </w:r>
      <w:hyperlink w:anchor="_Division_4—Leave_to" w:history="1">
        <w:r w:rsidRPr="00B40A77">
          <w:rPr>
            <w:rStyle w:val="Hyperlink"/>
            <w:color w:val="000000" w:themeColor="text1"/>
            <w:lang w:val="en-US"/>
          </w:rPr>
          <w:t>Division 4</w:t>
        </w:r>
      </w:hyperlink>
      <w:r w:rsidR="00446E12" w:rsidRPr="00B40A77">
        <w:rPr>
          <w:color w:val="000000" w:themeColor="text1"/>
          <w:lang w:val="en-US"/>
        </w:rPr>
        <w:t xml:space="preserve"> or </w:t>
      </w:r>
      <w:hyperlink w:anchor="_Division_5—Leave_to" w:history="1">
        <w:r w:rsidR="00446E12" w:rsidRPr="00B40A77">
          <w:rPr>
            <w:rStyle w:val="Hyperlink"/>
            <w:color w:val="000000" w:themeColor="text1"/>
            <w:lang w:val="en-US"/>
          </w:rPr>
          <w:t>Division 5</w:t>
        </w:r>
      </w:hyperlink>
      <w:r w:rsidRPr="00B40A77">
        <w:rPr>
          <w:color w:val="000000" w:themeColor="text1"/>
          <w:lang w:val="en-US"/>
        </w:rPr>
        <w:t xml:space="preserve"> (as the case may be) applies, with any necessary changes, in respect of a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w:t>
      </w:r>
    </w:p>
    <w:p w14:paraId="6C155F64" w14:textId="73D0856E" w:rsidR="00111A5D" w:rsidRPr="00B40A77" w:rsidRDefault="00E1037C" w:rsidP="00873E6B">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If an extension of time </w:t>
      </w:r>
      <w:r w:rsidR="00873E6B" w:rsidRPr="00B40A77">
        <w:rPr>
          <w:color w:val="000000" w:themeColor="text1"/>
          <w:lang w:val="en-US"/>
        </w:rPr>
        <w:t xml:space="preserve">to appeal is required, </w:t>
      </w:r>
      <w:hyperlink w:anchor="_193.1—Time_to_appeal" w:history="1">
        <w:r w:rsidR="00873E6B" w:rsidRPr="00B40A77">
          <w:rPr>
            <w:rStyle w:val="Hyperlink"/>
            <w:color w:val="000000" w:themeColor="text1"/>
            <w:lang w:val="en-US"/>
          </w:rPr>
          <w:t>rule</w:t>
        </w:r>
        <w:r w:rsidR="0079266F" w:rsidRPr="00B40A77">
          <w:rPr>
            <w:rStyle w:val="Hyperlink"/>
            <w:color w:val="000000" w:themeColor="text1"/>
            <w:lang w:val="en-US"/>
          </w:rPr>
          <w:t> </w:t>
        </w:r>
        <w:r w:rsidR="00873E6B" w:rsidRPr="00B40A77">
          <w:rPr>
            <w:rStyle w:val="Hyperlink"/>
            <w:color w:val="000000" w:themeColor="text1"/>
            <w:lang w:val="en-US"/>
          </w:rPr>
          <w:t>193</w:t>
        </w:r>
        <w:r w:rsidRPr="00B40A77">
          <w:rPr>
            <w:rStyle w:val="Hyperlink"/>
            <w:color w:val="000000" w:themeColor="text1"/>
            <w:lang w:val="en-US"/>
          </w:rPr>
          <w:t>.1</w:t>
        </w:r>
      </w:hyperlink>
      <w:r w:rsidR="00873E6B" w:rsidRPr="00B40A77">
        <w:rPr>
          <w:color w:val="000000" w:themeColor="text1"/>
          <w:lang w:val="en-US"/>
        </w:rPr>
        <w:t>(3) to</w:t>
      </w:r>
      <w:r w:rsidR="0079266F" w:rsidRPr="00B40A77">
        <w:rPr>
          <w:color w:val="000000" w:themeColor="text1"/>
          <w:lang w:val="en-US"/>
        </w:rPr>
        <w:t> </w:t>
      </w:r>
      <w:r w:rsidR="00873E6B" w:rsidRPr="00B40A77">
        <w:rPr>
          <w:color w:val="000000" w:themeColor="text1"/>
          <w:lang w:val="en-US"/>
        </w:rPr>
        <w:t>(5</w:t>
      </w:r>
      <w:r w:rsidRPr="00B40A77">
        <w:rPr>
          <w:color w:val="000000" w:themeColor="text1"/>
          <w:lang w:val="en-US"/>
        </w:rPr>
        <w:t xml:space="preserve">) </w:t>
      </w:r>
      <w:r w:rsidR="007B3F5F" w:rsidRPr="00B40A77">
        <w:rPr>
          <w:color w:val="000000" w:themeColor="text1"/>
          <w:lang w:val="en-US"/>
        </w:rPr>
        <w:t xml:space="preserve">applies, with any necessary changes, in respect of a </w:t>
      </w:r>
      <w:hyperlink w:anchor="_211.1—Definitions" w:history="1">
        <w:r w:rsidR="0082271A" w:rsidRPr="00B40A77">
          <w:rPr>
            <w:rStyle w:val="Hyperlink"/>
            <w:color w:val="000000" w:themeColor="text1"/>
            <w:lang w:val="en-US"/>
          </w:rPr>
          <w:t>cross appeal</w:t>
        </w:r>
      </w:hyperlink>
      <w:r w:rsidR="007B3F5F" w:rsidRPr="00B40A77">
        <w:rPr>
          <w:color w:val="000000" w:themeColor="text1"/>
          <w:lang w:val="en-US"/>
        </w:rPr>
        <w:t>.</w:t>
      </w:r>
    </w:p>
    <w:p w14:paraId="0AF9701A" w14:textId="52C21E18" w:rsidR="00111A5D" w:rsidRPr="00B40A77" w:rsidRDefault="00660C13" w:rsidP="00111A5D">
      <w:pPr>
        <w:pStyle w:val="Heading4"/>
        <w:rPr>
          <w:color w:val="000000" w:themeColor="text1"/>
        </w:rPr>
      </w:pPr>
      <w:bookmarkStart w:id="1172" w:name="_Toc175239378"/>
      <w:r w:rsidRPr="00B40A77">
        <w:rPr>
          <w:color w:val="000000" w:themeColor="text1"/>
        </w:rPr>
        <w:t>1</w:t>
      </w:r>
      <w:r w:rsidR="00873E6B" w:rsidRPr="00B40A77">
        <w:rPr>
          <w:color w:val="000000" w:themeColor="text1"/>
        </w:rPr>
        <w:t>94.3</w:t>
      </w:r>
      <w:r w:rsidR="00111A5D" w:rsidRPr="00B40A77">
        <w:rPr>
          <w:color w:val="000000" w:themeColor="text1"/>
        </w:rPr>
        <w:t>—Notice of alternative contention</w:t>
      </w:r>
      <w:bookmarkEnd w:id="1172"/>
    </w:p>
    <w:p w14:paraId="1E4E3C56" w14:textId="70823CEE" w:rsidR="00111A5D" w:rsidRPr="00B40A77" w:rsidRDefault="00873E6B" w:rsidP="002B7732">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If a </w:t>
      </w:r>
      <w:r w:rsidR="00111A5D" w:rsidRPr="00B40A77">
        <w:rPr>
          <w:color w:val="000000" w:themeColor="text1"/>
          <w:lang w:val="en-US"/>
        </w:rPr>
        <w:t xml:space="preserve">party wishes to contend that a decision subject to appeal or </w:t>
      </w:r>
      <w:hyperlink w:anchor="_211.1—Definitions" w:history="1">
        <w:r w:rsidR="0082271A" w:rsidRPr="00B40A77">
          <w:rPr>
            <w:rStyle w:val="Hyperlink"/>
            <w:color w:val="000000" w:themeColor="text1"/>
            <w:lang w:val="en-US"/>
          </w:rPr>
          <w:t>cross appeal</w:t>
        </w:r>
      </w:hyperlink>
      <w:r w:rsidR="00111A5D" w:rsidRPr="00B40A77">
        <w:rPr>
          <w:color w:val="000000" w:themeColor="text1"/>
          <w:lang w:val="en-US"/>
        </w:rPr>
        <w:t xml:space="preserve"> should be upheld for reasons other than those given by the court </w:t>
      </w:r>
      <w:r w:rsidRPr="00B40A77">
        <w:rPr>
          <w:color w:val="000000" w:themeColor="text1"/>
          <w:lang w:val="en-US"/>
        </w:rPr>
        <w:t>below</w:t>
      </w:r>
      <w:r w:rsidR="00111A5D" w:rsidRPr="00B40A77">
        <w:rPr>
          <w:color w:val="000000" w:themeColor="text1"/>
          <w:lang w:val="en-US"/>
        </w:rPr>
        <w:t>, that party must file a notice of alternative contention in the prescribed form setting out the grounds on which the party asserts that the decision should be upheld</w:t>
      </w:r>
      <w:r w:rsidR="00967962" w:rsidRPr="00B40A77">
        <w:rPr>
          <w:color w:val="000000" w:themeColor="text1"/>
          <w:lang w:val="en-US"/>
        </w:rPr>
        <w:t>,</w:t>
      </w:r>
      <w:r w:rsidR="00111A5D" w:rsidRPr="00B40A77">
        <w:rPr>
          <w:color w:val="000000" w:themeColor="text1"/>
          <w:lang w:val="en-US"/>
        </w:rPr>
        <w:t xml:space="preserve"> within 14 days after </w:t>
      </w:r>
      <w:r w:rsidRPr="00B40A77">
        <w:rPr>
          <w:color w:val="000000" w:themeColor="text1"/>
          <w:lang w:val="en-US"/>
        </w:rPr>
        <w:t xml:space="preserve">service of the notice of appeal or notice of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 xml:space="preserve"> (as the case may be)</w:t>
      </w:r>
      <w:r w:rsidR="00111A5D" w:rsidRPr="00B40A77">
        <w:rPr>
          <w:color w:val="000000" w:themeColor="text1"/>
          <w:lang w:val="en-US"/>
        </w:rPr>
        <w:t xml:space="preserve"> on that party.</w:t>
      </w:r>
    </w:p>
    <w:p w14:paraId="3A6D6D22" w14:textId="77777777" w:rsidR="00111A5D" w:rsidRPr="00B40A77" w:rsidRDefault="00111A5D" w:rsidP="002B7732">
      <w:pPr>
        <w:pStyle w:val="NoteHeader"/>
        <w:keepNext/>
        <w:rPr>
          <w:color w:val="000000" w:themeColor="text1"/>
        </w:rPr>
      </w:pPr>
      <w:r w:rsidRPr="00B40A77">
        <w:rPr>
          <w:color w:val="000000" w:themeColor="text1"/>
        </w:rPr>
        <w:t>Prescribed form—</w:t>
      </w:r>
    </w:p>
    <w:p w14:paraId="13008C8B" w14:textId="4F687863" w:rsidR="00111A5D" w:rsidRPr="00B40A77" w:rsidRDefault="00111A5D" w:rsidP="00111A5D">
      <w:pPr>
        <w:pStyle w:val="NoteText"/>
        <w:rPr>
          <w:color w:val="000000" w:themeColor="text1"/>
        </w:rPr>
      </w:pPr>
      <w:r w:rsidRPr="00B40A77">
        <w:rPr>
          <w:color w:val="000000" w:themeColor="text1"/>
        </w:rPr>
        <w:t xml:space="preserve">Form 185 </w:t>
      </w:r>
      <w:hyperlink r:id="rId416" w:history="1">
        <w:r w:rsidRPr="00B40A77">
          <w:rPr>
            <w:rStyle w:val="Hyperlink"/>
            <w:color w:val="000000" w:themeColor="text1"/>
          </w:rPr>
          <w:t>Notice of Alternative Contention</w:t>
        </w:r>
      </w:hyperlink>
    </w:p>
    <w:p w14:paraId="21AFE918" w14:textId="26AD9BA7" w:rsidR="00873E6B" w:rsidRPr="00B40A77" w:rsidRDefault="00873E6B" w:rsidP="00873E6B">
      <w:pPr>
        <w:pStyle w:val="Hangindent"/>
        <w:rPr>
          <w:color w:val="000000" w:themeColor="text1"/>
          <w:lang w:val="en-US"/>
        </w:rPr>
      </w:pPr>
      <w:r w:rsidRPr="00B40A77">
        <w:rPr>
          <w:color w:val="000000" w:themeColor="text1"/>
          <w:lang w:val="en-US"/>
        </w:rPr>
        <w:t>(2)</w:t>
      </w:r>
      <w:r w:rsidRPr="00B40A77">
        <w:rPr>
          <w:color w:val="000000" w:themeColor="text1"/>
          <w:lang w:val="en-US"/>
        </w:rPr>
        <w:tab/>
        <w:t>Unless the Court otherwise orders, a party may not rely on grounds on which the party asserts that a decision should be upheld for reasons other than those given by the court below that are not stated in a notice of alternative contention.</w:t>
      </w:r>
    </w:p>
    <w:p w14:paraId="748DFD2E" w14:textId="75DF469A" w:rsidR="00873E6B" w:rsidRPr="00B40A77" w:rsidRDefault="00873E6B" w:rsidP="00873E6B">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If an extension of time to file </w:t>
      </w:r>
      <w:r w:rsidR="008A792E" w:rsidRPr="00B40A77">
        <w:rPr>
          <w:color w:val="000000" w:themeColor="text1"/>
          <w:lang w:val="en-US"/>
        </w:rPr>
        <w:t xml:space="preserve">a </w:t>
      </w:r>
      <w:r w:rsidRPr="00B40A77">
        <w:rPr>
          <w:color w:val="000000" w:themeColor="text1"/>
          <w:lang w:val="en-US"/>
        </w:rPr>
        <w:t xml:space="preserve">notice of alternative contention is required, </w:t>
      </w:r>
      <w:hyperlink w:anchor="_193.1—Time_to_appeal" w:history="1">
        <w:r w:rsidR="00780735" w:rsidRPr="00B40A77">
          <w:rPr>
            <w:rStyle w:val="Hyperlink"/>
            <w:color w:val="000000" w:themeColor="text1"/>
            <w:lang w:val="en-US"/>
          </w:rPr>
          <w:t>rule 193.1</w:t>
        </w:r>
      </w:hyperlink>
      <w:r w:rsidRPr="00B40A77">
        <w:rPr>
          <w:color w:val="000000" w:themeColor="text1"/>
          <w:lang w:val="en-US"/>
        </w:rPr>
        <w:t>(3) to</w:t>
      </w:r>
      <w:r w:rsidR="000648DA" w:rsidRPr="00B40A77">
        <w:rPr>
          <w:color w:val="000000" w:themeColor="text1"/>
          <w:lang w:val="en-US"/>
        </w:rPr>
        <w:t> </w:t>
      </w:r>
      <w:r w:rsidRPr="00B40A77">
        <w:rPr>
          <w:color w:val="000000" w:themeColor="text1"/>
          <w:lang w:val="en-US"/>
        </w:rPr>
        <w:t>(5) applies, with any necessary changes, in respect of a notice of alternative contention.</w:t>
      </w:r>
    </w:p>
    <w:p w14:paraId="0636C826" w14:textId="77777777" w:rsidR="00873E6B" w:rsidRPr="00B40A77" w:rsidRDefault="00873E6B" w:rsidP="00873E6B">
      <w:pPr>
        <w:pStyle w:val="Hangindent"/>
        <w:rPr>
          <w:color w:val="000000" w:themeColor="text1"/>
          <w:lang w:val="en-US"/>
        </w:rPr>
      </w:pPr>
      <w:r w:rsidRPr="00B40A77">
        <w:rPr>
          <w:color w:val="000000" w:themeColor="text1"/>
          <w:lang w:val="en-US"/>
        </w:rPr>
        <w:t>(4)</w:t>
      </w:r>
      <w:r w:rsidRPr="00B40A77">
        <w:rPr>
          <w:color w:val="000000" w:themeColor="text1"/>
          <w:lang w:val="en-US"/>
        </w:rPr>
        <w:tab/>
        <w:t>A party who files a notice of alternative contention must serve the notice of alternative contention on each other party to the appellate proceeding as soon as practicable.</w:t>
      </w:r>
    </w:p>
    <w:p w14:paraId="4B644590" w14:textId="53542F12" w:rsidR="00ED4FFF" w:rsidRPr="00B40A77" w:rsidRDefault="00ED4FFF" w:rsidP="00ED4FFF">
      <w:pPr>
        <w:pStyle w:val="Heading3"/>
        <w:rPr>
          <w:color w:val="000000" w:themeColor="text1"/>
        </w:rPr>
      </w:pPr>
      <w:bookmarkStart w:id="1173" w:name="_Division_4—Leave_to"/>
      <w:bookmarkStart w:id="1174" w:name="_Toc175239379"/>
      <w:bookmarkEnd w:id="1173"/>
      <w:r w:rsidRPr="00B40A77">
        <w:rPr>
          <w:color w:val="000000" w:themeColor="text1"/>
        </w:rPr>
        <w:t xml:space="preserve">Division </w:t>
      </w:r>
      <w:r w:rsidR="00E1037C" w:rsidRPr="00B40A77">
        <w:rPr>
          <w:color w:val="000000" w:themeColor="text1"/>
        </w:rPr>
        <w:t>4</w:t>
      </w:r>
      <w:r w:rsidRPr="00B40A77">
        <w:rPr>
          <w:color w:val="000000" w:themeColor="text1"/>
        </w:rPr>
        <w:t>—Leave to appeal from judgment at first instance</w:t>
      </w:r>
      <w:bookmarkEnd w:id="1174"/>
    </w:p>
    <w:p w14:paraId="380AA5A3" w14:textId="6D3F3660" w:rsidR="00873E6B" w:rsidRPr="00B40A77" w:rsidRDefault="00873E6B" w:rsidP="00873E6B">
      <w:pPr>
        <w:pStyle w:val="Heading3"/>
        <w:rPr>
          <w:color w:val="000000" w:themeColor="text1"/>
        </w:rPr>
      </w:pPr>
      <w:bookmarkStart w:id="1175" w:name="_Toc175239380"/>
      <w:bookmarkStart w:id="1176" w:name="_Toc60133683"/>
      <w:bookmarkEnd w:id="1156"/>
      <w:r w:rsidRPr="00B40A77">
        <w:rPr>
          <w:color w:val="000000" w:themeColor="text1"/>
        </w:rPr>
        <w:t>Subdivision 1—General</w:t>
      </w:r>
      <w:bookmarkEnd w:id="1175"/>
    </w:p>
    <w:p w14:paraId="2879C2F5" w14:textId="5BBD84AF" w:rsidR="00380146" w:rsidRPr="00B40A77" w:rsidRDefault="00873E6B" w:rsidP="00380146">
      <w:pPr>
        <w:pStyle w:val="Heading4"/>
        <w:rPr>
          <w:color w:val="000000" w:themeColor="text1"/>
        </w:rPr>
      </w:pPr>
      <w:bookmarkStart w:id="1177" w:name="_Toc175239381"/>
      <w:r w:rsidRPr="00B40A77">
        <w:rPr>
          <w:color w:val="000000" w:themeColor="text1"/>
        </w:rPr>
        <w:t>195</w:t>
      </w:r>
      <w:r w:rsidR="00380146" w:rsidRPr="00B40A77">
        <w:rPr>
          <w:color w:val="000000" w:themeColor="text1"/>
        </w:rPr>
        <w:t>.1—Application of Division</w:t>
      </w:r>
      <w:bookmarkEnd w:id="1177"/>
    </w:p>
    <w:p w14:paraId="6238F2F0" w14:textId="6099EF26" w:rsidR="00380146" w:rsidRPr="00B40A77" w:rsidRDefault="00380146" w:rsidP="00380146">
      <w:pPr>
        <w:pStyle w:val="Hangindent"/>
        <w:ind w:left="567" w:firstLine="0"/>
        <w:rPr>
          <w:rFonts w:cs="Times New Roman"/>
          <w:color w:val="000000" w:themeColor="text1"/>
        </w:rPr>
      </w:pPr>
      <w:r w:rsidRPr="00B40A77">
        <w:rPr>
          <w:rFonts w:cs="Times New Roman"/>
          <w:color w:val="000000" w:themeColor="text1"/>
        </w:rPr>
        <w:t xml:space="preserve">This Division applies to </w:t>
      </w:r>
      <w:r w:rsidRPr="00B40A77">
        <w:rPr>
          <w:color w:val="000000" w:themeColor="text1"/>
          <w:szCs w:val="24"/>
          <w:lang w:val="en-GB"/>
        </w:rPr>
        <w:t>appeal</w:t>
      </w:r>
      <w:r w:rsidR="000C5D73" w:rsidRPr="00B40A77">
        <w:rPr>
          <w:color w:val="000000" w:themeColor="text1"/>
          <w:szCs w:val="24"/>
          <w:lang w:val="en-GB"/>
        </w:rPr>
        <w:t>s</w:t>
      </w:r>
      <w:r w:rsidRPr="00B40A77">
        <w:rPr>
          <w:color w:val="000000" w:themeColor="text1"/>
          <w:szCs w:val="24"/>
          <w:lang w:val="en-GB"/>
        </w:rPr>
        <w:t xml:space="preserve"> against a judgment</w:t>
      </w:r>
      <w:r w:rsidR="005F40E2" w:rsidRPr="00B40A77">
        <w:rPr>
          <w:color w:val="000000" w:themeColor="text1"/>
          <w:szCs w:val="24"/>
          <w:lang w:val="en-GB"/>
        </w:rPr>
        <w:t>, order or decision</w:t>
      </w:r>
      <w:r w:rsidRPr="00B40A77">
        <w:rPr>
          <w:color w:val="000000" w:themeColor="text1"/>
          <w:szCs w:val="24"/>
          <w:lang w:val="en-GB"/>
        </w:rPr>
        <w:t xml:space="preserve"> at first instance</w:t>
      </w:r>
      <w:r w:rsidRPr="00B40A77">
        <w:rPr>
          <w:rFonts w:cs="Times New Roman"/>
          <w:color w:val="000000" w:themeColor="text1"/>
        </w:rPr>
        <w:t>.</w:t>
      </w:r>
    </w:p>
    <w:p w14:paraId="0F982CBA" w14:textId="0333EB34" w:rsidR="00AC45ED" w:rsidRPr="00B40A77" w:rsidRDefault="00873E6B" w:rsidP="00AC45ED">
      <w:pPr>
        <w:pStyle w:val="Heading4"/>
        <w:rPr>
          <w:color w:val="000000" w:themeColor="text1"/>
        </w:rPr>
      </w:pPr>
      <w:bookmarkStart w:id="1178" w:name="_Toc175239382"/>
      <w:r w:rsidRPr="00B40A77">
        <w:rPr>
          <w:color w:val="000000" w:themeColor="text1"/>
        </w:rPr>
        <w:t>195</w:t>
      </w:r>
      <w:r w:rsidR="00380146" w:rsidRPr="00B40A77">
        <w:rPr>
          <w:color w:val="000000" w:themeColor="text1"/>
        </w:rPr>
        <w:t>.2</w:t>
      </w:r>
      <w:r w:rsidR="00AC45ED" w:rsidRPr="00B40A77">
        <w:rPr>
          <w:color w:val="000000" w:themeColor="text1"/>
        </w:rPr>
        <w:t>—When required</w:t>
      </w:r>
      <w:bookmarkEnd w:id="1178"/>
    </w:p>
    <w:p w14:paraId="436C2C44" w14:textId="38F0E8F6" w:rsidR="00BC12C0" w:rsidRPr="00B40A77" w:rsidRDefault="00BC12C0" w:rsidP="00BC12C0">
      <w:pPr>
        <w:pStyle w:val="Hangindent"/>
        <w:rPr>
          <w:color w:val="000000" w:themeColor="text1"/>
          <w:lang w:val="en-US"/>
        </w:rPr>
      </w:pPr>
      <w:bookmarkStart w:id="1179" w:name="_Hlk121213117"/>
      <w:r w:rsidRPr="00B40A77">
        <w:rPr>
          <w:color w:val="000000" w:themeColor="text1"/>
          <w:lang w:val="en-US"/>
        </w:rPr>
        <w:t>(1)</w:t>
      </w:r>
      <w:r w:rsidRPr="00B40A77">
        <w:rPr>
          <w:color w:val="000000" w:themeColor="text1"/>
          <w:lang w:val="en-US"/>
        </w:rPr>
        <w:tab/>
        <w:t xml:space="preserve">Subject to any </w:t>
      </w:r>
      <w:r w:rsidR="00532AD4" w:rsidRPr="00B40A77">
        <w:rPr>
          <w:color w:val="000000" w:themeColor="text1"/>
          <w:lang w:val="en-US"/>
        </w:rPr>
        <w:t>statutory provision</w:t>
      </w:r>
      <w:r w:rsidRPr="00B40A77">
        <w:rPr>
          <w:color w:val="000000" w:themeColor="text1"/>
          <w:lang w:val="en-US"/>
        </w:rPr>
        <w:t xml:space="preserve"> to the contrary, leave to appeal is required</w:t>
      </w:r>
      <w:r w:rsidR="00873E6B" w:rsidRPr="00B40A77">
        <w:rPr>
          <w:rFonts w:cs="Times New Roman"/>
          <w:color w:val="000000" w:themeColor="text1"/>
        </w:rPr>
        <w:t>—</w:t>
      </w:r>
    </w:p>
    <w:bookmarkEnd w:id="1179"/>
    <w:p w14:paraId="27EAFEFA" w14:textId="029D49E2" w:rsidR="00BC12C0" w:rsidRPr="00B40A77" w:rsidRDefault="00BC12C0" w:rsidP="00BC12C0">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a </w:t>
      </w:r>
      <w:r w:rsidR="00532AD4" w:rsidRPr="00B40A77">
        <w:rPr>
          <w:color w:val="000000" w:themeColor="text1"/>
          <w:lang w:val="en-US"/>
        </w:rPr>
        <w:t>statutory provision</w:t>
      </w:r>
      <w:r w:rsidRPr="00B40A77">
        <w:rPr>
          <w:color w:val="000000" w:themeColor="text1"/>
          <w:lang w:val="en-US"/>
        </w:rPr>
        <w:t xml:space="preserve"> so provides; or</w:t>
      </w:r>
    </w:p>
    <w:p w14:paraId="7D44813A" w14:textId="11A47D95" w:rsidR="00BC12C0" w:rsidRPr="00B40A77" w:rsidRDefault="00BC12C0" w:rsidP="00211EE4">
      <w:pPr>
        <w:pStyle w:val="Doublehangindent"/>
        <w:keepNext/>
        <w:rPr>
          <w:color w:val="000000" w:themeColor="text1"/>
          <w:lang w:val="en-US"/>
        </w:rPr>
      </w:pPr>
      <w:r w:rsidRPr="00B40A77">
        <w:rPr>
          <w:color w:val="000000" w:themeColor="text1"/>
          <w:lang w:val="en-US"/>
        </w:rPr>
        <w:t>(b)</w:t>
      </w:r>
      <w:r w:rsidRPr="00B40A77">
        <w:rPr>
          <w:color w:val="000000" w:themeColor="text1"/>
          <w:lang w:val="en-US"/>
        </w:rPr>
        <w:tab/>
        <w:t xml:space="preserve">against an </w:t>
      </w:r>
      <w:hyperlink w:anchor="_211.1—Definitions" w:history="1">
        <w:r w:rsidRPr="00B40A77">
          <w:rPr>
            <w:rStyle w:val="Hyperlink"/>
            <w:color w:val="000000" w:themeColor="text1"/>
            <w:lang w:val="en-US"/>
          </w:rPr>
          <w:t>ancillary order</w:t>
        </w:r>
      </w:hyperlink>
      <w:r w:rsidRPr="00B40A77">
        <w:rPr>
          <w:color w:val="000000" w:themeColor="text1"/>
          <w:lang w:val="en-US"/>
        </w:rPr>
        <w:t>.</w:t>
      </w:r>
    </w:p>
    <w:p w14:paraId="56564FD6" w14:textId="77777777" w:rsidR="00BC12C0" w:rsidRPr="00B40A77" w:rsidRDefault="00BC12C0" w:rsidP="00F815AA">
      <w:pPr>
        <w:pStyle w:val="NoteHeader"/>
        <w:keepNext/>
        <w:ind w:left="1701"/>
        <w:rPr>
          <w:color w:val="000000" w:themeColor="text1"/>
        </w:rPr>
      </w:pPr>
      <w:r w:rsidRPr="00B40A77">
        <w:rPr>
          <w:color w:val="000000" w:themeColor="text1"/>
        </w:rPr>
        <w:t>Notes—</w:t>
      </w:r>
    </w:p>
    <w:p w14:paraId="7256ACE4" w14:textId="342738BC" w:rsidR="005273C4" w:rsidRPr="00B40A77" w:rsidRDefault="008C77D5" w:rsidP="00A75CA8">
      <w:pPr>
        <w:pStyle w:val="NoteText"/>
        <w:ind w:left="1985"/>
        <w:rPr>
          <w:color w:val="000000" w:themeColor="text1"/>
        </w:rPr>
      </w:pPr>
      <w:r w:rsidRPr="00B40A77">
        <w:rPr>
          <w:color w:val="000000" w:themeColor="text1"/>
        </w:rPr>
        <w:t xml:space="preserve">Section 157 of the Procedure Act provides that </w:t>
      </w:r>
      <w:r w:rsidR="00E712D2" w:rsidRPr="00B40A77">
        <w:rPr>
          <w:color w:val="000000" w:themeColor="text1"/>
        </w:rPr>
        <w:t xml:space="preserve">permission </w:t>
      </w:r>
      <w:r w:rsidRPr="00B40A77">
        <w:rPr>
          <w:color w:val="000000" w:themeColor="text1"/>
        </w:rPr>
        <w:t>is required to appeal</w:t>
      </w:r>
      <w:r w:rsidR="005273C4" w:rsidRPr="00B40A77">
        <w:rPr>
          <w:color w:val="000000" w:themeColor="text1"/>
          <w:lang w:val="en-US"/>
        </w:rPr>
        <w:t>—</w:t>
      </w:r>
    </w:p>
    <w:p w14:paraId="35818D2E" w14:textId="118BE668" w:rsidR="005273C4" w:rsidRPr="00B40A77" w:rsidRDefault="005273C4" w:rsidP="000648DA">
      <w:pPr>
        <w:pStyle w:val="NoteText"/>
        <w:ind w:left="2410" w:hanging="425"/>
        <w:rPr>
          <w:color w:val="000000" w:themeColor="text1"/>
        </w:rPr>
      </w:pPr>
      <w:r w:rsidRPr="00B40A77">
        <w:rPr>
          <w:color w:val="000000" w:themeColor="text1"/>
        </w:rPr>
        <w:t>(a)</w:t>
      </w:r>
      <w:r w:rsidRPr="00B40A77">
        <w:rPr>
          <w:color w:val="000000" w:themeColor="text1"/>
        </w:rPr>
        <w:tab/>
      </w:r>
      <w:r w:rsidR="0007288B" w:rsidRPr="00B40A77">
        <w:rPr>
          <w:color w:val="000000" w:themeColor="text1"/>
        </w:rPr>
        <w:t xml:space="preserve">against </w:t>
      </w:r>
      <w:r w:rsidR="008C77D5" w:rsidRPr="00B40A77">
        <w:rPr>
          <w:color w:val="000000" w:themeColor="text1"/>
        </w:rPr>
        <w:t xml:space="preserve">a conviction on a ground other than a ground of law (unless a certificate of the trial Judge is obtained); </w:t>
      </w:r>
    </w:p>
    <w:p w14:paraId="2677591B" w14:textId="3AE5F6FD" w:rsidR="008C77D5" w:rsidRPr="00B40A77" w:rsidRDefault="005273C4" w:rsidP="000648DA">
      <w:pPr>
        <w:pStyle w:val="NoteText"/>
        <w:ind w:left="2410" w:hanging="425"/>
        <w:rPr>
          <w:color w:val="000000" w:themeColor="text1"/>
        </w:rPr>
      </w:pPr>
      <w:r w:rsidRPr="00B40A77">
        <w:rPr>
          <w:color w:val="000000" w:themeColor="text1"/>
        </w:rPr>
        <w:t>(b)</w:t>
      </w:r>
      <w:r w:rsidRPr="00B40A77">
        <w:rPr>
          <w:color w:val="000000" w:themeColor="text1"/>
        </w:rPr>
        <w:tab/>
      </w:r>
      <w:r w:rsidR="0007288B" w:rsidRPr="00B40A77">
        <w:rPr>
          <w:color w:val="000000" w:themeColor="text1"/>
        </w:rPr>
        <w:t xml:space="preserve">against </w:t>
      </w:r>
      <w:r w:rsidRPr="00B40A77">
        <w:rPr>
          <w:color w:val="000000" w:themeColor="text1"/>
        </w:rPr>
        <w:t>sentence or a decision to defer sentencing;</w:t>
      </w:r>
    </w:p>
    <w:p w14:paraId="6C2CD2D2" w14:textId="18944D22" w:rsidR="005273C4" w:rsidRPr="00B40A77" w:rsidRDefault="005273C4" w:rsidP="000648DA">
      <w:pPr>
        <w:pStyle w:val="NoteText"/>
        <w:ind w:left="2410" w:hanging="425"/>
        <w:rPr>
          <w:color w:val="000000" w:themeColor="text1"/>
        </w:rPr>
      </w:pPr>
      <w:r w:rsidRPr="00B40A77">
        <w:rPr>
          <w:color w:val="000000" w:themeColor="text1"/>
        </w:rPr>
        <w:t>(c)</w:t>
      </w:r>
      <w:r w:rsidRPr="00B40A77">
        <w:rPr>
          <w:color w:val="000000" w:themeColor="text1"/>
        </w:rPr>
        <w:tab/>
      </w:r>
      <w:r w:rsidR="0007288B" w:rsidRPr="00B40A77">
        <w:rPr>
          <w:color w:val="000000" w:themeColor="text1"/>
        </w:rPr>
        <w:t xml:space="preserve">against an </w:t>
      </w:r>
      <w:r w:rsidR="008B2AF4" w:rsidRPr="00B40A77">
        <w:rPr>
          <w:color w:val="000000" w:themeColor="text1"/>
        </w:rPr>
        <w:t xml:space="preserve">acquittal </w:t>
      </w:r>
      <w:r w:rsidR="0007288B" w:rsidRPr="00B40A77">
        <w:rPr>
          <w:color w:val="000000" w:themeColor="text1"/>
        </w:rPr>
        <w:t xml:space="preserve">by a </w:t>
      </w:r>
      <w:r w:rsidR="00710C38" w:rsidRPr="00B40A77">
        <w:rPr>
          <w:color w:val="000000" w:themeColor="text1"/>
        </w:rPr>
        <w:t>J</w:t>
      </w:r>
      <w:r w:rsidR="0007288B" w:rsidRPr="00B40A77">
        <w:rPr>
          <w:color w:val="000000" w:themeColor="text1"/>
        </w:rPr>
        <w:t xml:space="preserve">udge alone or by direction of the </w:t>
      </w:r>
      <w:r w:rsidR="00710C38" w:rsidRPr="00B40A77">
        <w:rPr>
          <w:color w:val="000000" w:themeColor="text1"/>
        </w:rPr>
        <w:t>J</w:t>
      </w:r>
      <w:r w:rsidR="0007288B" w:rsidRPr="00B40A77">
        <w:rPr>
          <w:color w:val="000000" w:themeColor="text1"/>
        </w:rPr>
        <w:t>udge;</w:t>
      </w:r>
    </w:p>
    <w:p w14:paraId="73704A40" w14:textId="04F442EC" w:rsidR="0007288B" w:rsidRPr="00B40A77" w:rsidRDefault="0007288B" w:rsidP="000648DA">
      <w:pPr>
        <w:pStyle w:val="NoteText"/>
        <w:ind w:left="2410" w:hanging="425"/>
        <w:rPr>
          <w:color w:val="000000" w:themeColor="text1"/>
        </w:rPr>
      </w:pPr>
      <w:r w:rsidRPr="00B40A77">
        <w:rPr>
          <w:color w:val="000000" w:themeColor="text1"/>
        </w:rPr>
        <w:t>(d)</w:t>
      </w:r>
      <w:r w:rsidRPr="00B40A77">
        <w:rPr>
          <w:color w:val="000000" w:themeColor="text1"/>
        </w:rPr>
        <w:tab/>
        <w:t>by the Director against an antecedent decision on a ground other than a ground of law; or</w:t>
      </w:r>
    </w:p>
    <w:p w14:paraId="20AB6C04" w14:textId="00C1C29B" w:rsidR="0007288B" w:rsidRPr="00B40A77" w:rsidRDefault="0007288B" w:rsidP="000648DA">
      <w:pPr>
        <w:pStyle w:val="NoteText"/>
        <w:ind w:left="2410" w:hanging="425"/>
        <w:rPr>
          <w:color w:val="000000" w:themeColor="text1"/>
        </w:rPr>
      </w:pPr>
      <w:r w:rsidRPr="00B40A77">
        <w:rPr>
          <w:color w:val="000000" w:themeColor="text1"/>
        </w:rPr>
        <w:t>(e)</w:t>
      </w:r>
      <w:r w:rsidRPr="00B40A77">
        <w:rPr>
          <w:color w:val="000000" w:themeColor="text1"/>
        </w:rPr>
        <w:tab/>
        <w:t>by a defendant against an antecedent decision.</w:t>
      </w:r>
    </w:p>
    <w:p w14:paraId="58397FDA" w14:textId="25A663A9" w:rsidR="00BC12C0" w:rsidRPr="00B40A77" w:rsidRDefault="00BC12C0" w:rsidP="00A75CA8">
      <w:pPr>
        <w:pStyle w:val="NoteText"/>
        <w:ind w:left="1985"/>
        <w:rPr>
          <w:color w:val="000000" w:themeColor="text1"/>
        </w:rPr>
      </w:pPr>
      <w:r w:rsidRPr="00B40A77">
        <w:rPr>
          <w:color w:val="000000" w:themeColor="text1"/>
        </w:rPr>
        <w:t>Section 161(1) and (2) of the Procedure Act provide that a person against whom an ancillary order has been made may, in accordance with rules of court, appeal to the Court of</w:t>
      </w:r>
      <w:r w:rsidR="0024508A" w:rsidRPr="00B40A77">
        <w:rPr>
          <w:color w:val="000000" w:themeColor="text1"/>
        </w:rPr>
        <w:t xml:space="preserve"> Appeal against that order and t</w:t>
      </w:r>
      <w:r w:rsidRPr="00B40A77">
        <w:rPr>
          <w:color w:val="000000" w:themeColor="text1"/>
        </w:rPr>
        <w:t xml:space="preserve">he Attorney-General may, in accordance with rules of </w:t>
      </w:r>
      <w:r w:rsidRPr="00B40A77">
        <w:rPr>
          <w:color w:val="000000" w:themeColor="text1"/>
        </w:rPr>
        <w:lastRenderedPageBreak/>
        <w:t>court, appeal to the Court of Appeal against an ancillary order or a decision not to make an ancillary order</w:t>
      </w:r>
      <w:r w:rsidR="0024508A" w:rsidRPr="00B40A77">
        <w:rPr>
          <w:color w:val="000000" w:themeColor="text1"/>
        </w:rPr>
        <w:t>.</w:t>
      </w:r>
    </w:p>
    <w:p w14:paraId="11BEF832" w14:textId="43587FC0" w:rsidR="00CE4F25" w:rsidRPr="00B40A77" w:rsidRDefault="00CE4F25" w:rsidP="00A75CA8">
      <w:pPr>
        <w:pStyle w:val="NoteText"/>
        <w:ind w:left="1985"/>
        <w:rPr>
          <w:color w:val="000000" w:themeColor="text1"/>
        </w:rPr>
      </w:pPr>
      <w:r w:rsidRPr="00B40A77">
        <w:rPr>
          <w:color w:val="000000" w:themeColor="text1"/>
        </w:rPr>
        <w:t xml:space="preserve">Section 42(2)(ab) of the </w:t>
      </w:r>
      <w:r w:rsidRPr="00B40A77">
        <w:rPr>
          <w:i/>
          <w:color w:val="000000" w:themeColor="text1"/>
        </w:rPr>
        <w:t>Magistrates Court Act 1991</w:t>
      </w:r>
      <w:r w:rsidRPr="00B40A77">
        <w:rPr>
          <w:color w:val="000000" w:themeColor="text1"/>
        </w:rPr>
        <w:t xml:space="preserve"> provides that an appeal against a judgment by the Magistrates Court in the case of a sentence passed on the conviction of a person of an offence that is, or offences that include, a major indictable offence, lies to the Court of Appeal</w:t>
      </w:r>
      <w:r w:rsidR="00E712D2" w:rsidRPr="00B40A77">
        <w:rPr>
          <w:color w:val="000000" w:themeColor="text1"/>
        </w:rPr>
        <w:t xml:space="preserve"> with the permission of the Court of Appeal</w:t>
      </w:r>
      <w:r w:rsidRPr="00B40A77">
        <w:rPr>
          <w:color w:val="000000" w:themeColor="text1"/>
        </w:rPr>
        <w:t>.</w:t>
      </w:r>
    </w:p>
    <w:p w14:paraId="34D5354E" w14:textId="1D8B32FF" w:rsidR="00E712D2" w:rsidRPr="00B40A77" w:rsidRDefault="00652E18" w:rsidP="00A75CA8">
      <w:pPr>
        <w:pStyle w:val="NoteText"/>
        <w:ind w:left="1985"/>
        <w:rPr>
          <w:color w:val="000000" w:themeColor="text1"/>
        </w:rPr>
      </w:pPr>
      <w:r w:rsidRPr="00B40A77">
        <w:rPr>
          <w:color w:val="000000" w:themeColor="text1"/>
        </w:rPr>
        <w:t xml:space="preserve">Section 68 of </w:t>
      </w:r>
      <w:r w:rsidRPr="00B40A77">
        <w:rPr>
          <w:i/>
          <w:color w:val="000000" w:themeColor="text1"/>
        </w:rPr>
        <w:t>South Australian Employment Tribunal Act 2014</w:t>
      </w:r>
      <w:r w:rsidRPr="00B40A77">
        <w:rPr>
          <w:color w:val="000000" w:themeColor="text1"/>
        </w:rPr>
        <w:t xml:space="preserve"> provides that an appeal against a decision of the Full Bench of the South Australian Employment Court lies to the Court of Appeal with the permission of the Court of Appeal.</w:t>
      </w:r>
    </w:p>
    <w:p w14:paraId="7FB6FB29" w14:textId="77777777" w:rsidR="00873E6B" w:rsidRPr="00B40A77" w:rsidRDefault="00873E6B" w:rsidP="00873E6B">
      <w:pPr>
        <w:pStyle w:val="Hangindent"/>
        <w:rPr>
          <w:color w:val="000000" w:themeColor="text1"/>
          <w:lang w:val="en-US"/>
        </w:rPr>
      </w:pPr>
      <w:r w:rsidRPr="00B40A77">
        <w:rPr>
          <w:color w:val="000000" w:themeColor="text1"/>
          <w:lang w:val="en-US"/>
        </w:rPr>
        <w:t>(2)</w:t>
      </w:r>
      <w:r w:rsidRPr="00B40A77">
        <w:rPr>
          <w:color w:val="000000" w:themeColor="text1"/>
          <w:lang w:val="en-US"/>
        </w:rPr>
        <w:tab/>
        <w:t>If leave to appeal is granted, but it later becomes evident that it ought not to have been granted, the Court may revoke the grant of leave.</w:t>
      </w:r>
    </w:p>
    <w:p w14:paraId="7A170621" w14:textId="285FCA4C" w:rsidR="00EF1ABB" w:rsidRPr="00B40A77" w:rsidRDefault="00873E6B" w:rsidP="00EF1ABB">
      <w:pPr>
        <w:pStyle w:val="Heading3"/>
        <w:rPr>
          <w:color w:val="000000" w:themeColor="text1"/>
        </w:rPr>
      </w:pPr>
      <w:bookmarkStart w:id="1180" w:name="_Toc175239383"/>
      <w:r w:rsidRPr="00B40A77">
        <w:rPr>
          <w:color w:val="000000" w:themeColor="text1"/>
        </w:rPr>
        <w:t>Subdivision 2</w:t>
      </w:r>
      <w:r w:rsidR="00EF1ABB" w:rsidRPr="00B40A77">
        <w:rPr>
          <w:color w:val="000000" w:themeColor="text1"/>
        </w:rPr>
        <w:t>—Defence appeals</w:t>
      </w:r>
      <w:bookmarkEnd w:id="1180"/>
    </w:p>
    <w:p w14:paraId="47E6ECBA" w14:textId="28E9C68B" w:rsidR="00ED4FFF" w:rsidRPr="00B40A77" w:rsidRDefault="00D738EC" w:rsidP="00DE16D2">
      <w:pPr>
        <w:pStyle w:val="Heading4"/>
        <w:rPr>
          <w:color w:val="000000" w:themeColor="text1"/>
        </w:rPr>
      </w:pPr>
      <w:bookmarkStart w:id="1181" w:name="_195.3—Certificate_of_trial"/>
      <w:bookmarkStart w:id="1182" w:name="_Toc175239384"/>
      <w:bookmarkEnd w:id="1181"/>
      <w:r w:rsidRPr="00B40A77">
        <w:rPr>
          <w:color w:val="000000" w:themeColor="text1"/>
        </w:rPr>
        <w:t>195</w:t>
      </w:r>
      <w:r w:rsidR="00754287" w:rsidRPr="00B40A77">
        <w:rPr>
          <w:color w:val="000000" w:themeColor="text1"/>
        </w:rPr>
        <w:t>.3</w:t>
      </w:r>
      <w:r w:rsidRPr="00B40A77">
        <w:rPr>
          <w:color w:val="000000" w:themeColor="text1"/>
        </w:rPr>
        <w:t>—Certificate of trial j</w:t>
      </w:r>
      <w:r w:rsidR="00ED4FFF" w:rsidRPr="00B40A77">
        <w:rPr>
          <w:color w:val="000000" w:themeColor="text1"/>
        </w:rPr>
        <w:t>udge</w:t>
      </w:r>
      <w:bookmarkEnd w:id="1176"/>
      <w:bookmarkEnd w:id="1182"/>
    </w:p>
    <w:p w14:paraId="0114835A" w14:textId="0C5FE0DB" w:rsidR="00ED4FFF" w:rsidRPr="00B40A77" w:rsidRDefault="00D738EC" w:rsidP="002B7732">
      <w:pPr>
        <w:pStyle w:val="Hangindent"/>
        <w:keepNext/>
        <w:ind w:left="567" w:firstLine="0"/>
        <w:rPr>
          <w:color w:val="000000" w:themeColor="text1"/>
          <w:lang w:val="en-US"/>
        </w:rPr>
      </w:pPr>
      <w:r w:rsidRPr="00B40A77">
        <w:rPr>
          <w:color w:val="000000" w:themeColor="text1"/>
          <w:lang w:val="en-US"/>
        </w:rPr>
        <w:t xml:space="preserve">A certificate of the trial </w:t>
      </w:r>
      <w:r w:rsidR="00710C38" w:rsidRPr="00B40A77">
        <w:rPr>
          <w:color w:val="000000" w:themeColor="text1"/>
          <w:lang w:val="en-US"/>
        </w:rPr>
        <w:t>J</w:t>
      </w:r>
      <w:r w:rsidR="00ED4FFF" w:rsidRPr="00B40A77">
        <w:rPr>
          <w:color w:val="000000" w:themeColor="text1"/>
          <w:lang w:val="en-US"/>
        </w:rPr>
        <w:t>udge under section</w:t>
      </w:r>
      <w:r w:rsidR="00967962" w:rsidRPr="00B40A77">
        <w:rPr>
          <w:color w:val="000000" w:themeColor="text1"/>
          <w:lang w:val="en-US"/>
        </w:rPr>
        <w:t> </w:t>
      </w:r>
      <w:r w:rsidR="00ED4FFF" w:rsidRPr="00B40A77">
        <w:rPr>
          <w:color w:val="000000" w:themeColor="text1"/>
          <w:lang w:val="en-US"/>
        </w:rPr>
        <w:t>157(1)(a)(ii) of the Procedure Act must be in the prescribed form and be filed with the notice of appeal.</w:t>
      </w:r>
    </w:p>
    <w:p w14:paraId="60A59D22" w14:textId="77777777" w:rsidR="00560F5A" w:rsidRPr="00B40A77" w:rsidRDefault="00560F5A" w:rsidP="002B7732">
      <w:pPr>
        <w:pStyle w:val="NoteHeader"/>
        <w:keepNext/>
        <w:ind w:left="567"/>
        <w:rPr>
          <w:color w:val="000000" w:themeColor="text1"/>
        </w:rPr>
      </w:pPr>
      <w:r w:rsidRPr="00B40A77">
        <w:rPr>
          <w:color w:val="000000" w:themeColor="text1"/>
        </w:rPr>
        <w:t>Prescribed form—</w:t>
      </w:r>
    </w:p>
    <w:p w14:paraId="54DBD416" w14:textId="6E726583" w:rsidR="00560F5A" w:rsidRPr="00B40A77" w:rsidRDefault="00560F5A" w:rsidP="00211EE4">
      <w:pPr>
        <w:pStyle w:val="NoteText"/>
        <w:keepNext/>
        <w:ind w:left="851"/>
        <w:rPr>
          <w:color w:val="000000" w:themeColor="text1"/>
          <w:lang w:val="en-US"/>
        </w:rPr>
      </w:pPr>
      <w:r w:rsidRPr="00B40A77">
        <w:rPr>
          <w:color w:val="000000" w:themeColor="text1"/>
        </w:rPr>
        <w:t>Form 1</w:t>
      </w:r>
      <w:r w:rsidR="002A68D0" w:rsidRPr="00B40A77">
        <w:rPr>
          <w:color w:val="000000" w:themeColor="text1"/>
        </w:rPr>
        <w:t>5</w:t>
      </w:r>
      <w:r w:rsidR="00FF2A97" w:rsidRPr="00B40A77">
        <w:rPr>
          <w:color w:val="000000" w:themeColor="text1"/>
        </w:rPr>
        <w:t>5</w:t>
      </w:r>
      <w:r w:rsidRPr="00B40A77">
        <w:rPr>
          <w:color w:val="000000" w:themeColor="text1"/>
        </w:rPr>
        <w:t xml:space="preserve"> </w:t>
      </w:r>
      <w:hyperlink r:id="rId417" w:history="1">
        <w:r w:rsidR="00C50654" w:rsidRPr="00B40A77">
          <w:rPr>
            <w:rStyle w:val="Hyperlink"/>
            <w:color w:val="000000" w:themeColor="text1"/>
          </w:rPr>
          <w:t xml:space="preserve">Certificate </w:t>
        </w:r>
        <w:r w:rsidR="002A68D0" w:rsidRPr="00B40A77">
          <w:rPr>
            <w:rStyle w:val="Hyperlink"/>
            <w:color w:val="000000" w:themeColor="text1"/>
          </w:rPr>
          <w:t xml:space="preserve">of </w:t>
        </w:r>
        <w:r w:rsidR="00FF2A97" w:rsidRPr="00B40A77">
          <w:rPr>
            <w:rStyle w:val="Hyperlink"/>
            <w:color w:val="000000" w:themeColor="text1"/>
          </w:rPr>
          <w:t>T</w:t>
        </w:r>
        <w:r w:rsidR="002A68D0" w:rsidRPr="00B40A77">
          <w:rPr>
            <w:rStyle w:val="Hyperlink"/>
            <w:color w:val="000000" w:themeColor="text1"/>
          </w:rPr>
          <w:t xml:space="preserve">rial </w:t>
        </w:r>
        <w:r w:rsidR="00FF2A97" w:rsidRPr="00B40A77">
          <w:rPr>
            <w:rStyle w:val="Hyperlink"/>
            <w:color w:val="000000" w:themeColor="text1"/>
          </w:rPr>
          <w:t>J</w:t>
        </w:r>
        <w:r w:rsidR="002A68D0" w:rsidRPr="00B40A77">
          <w:rPr>
            <w:rStyle w:val="Hyperlink"/>
            <w:color w:val="000000" w:themeColor="text1"/>
          </w:rPr>
          <w:t>udge</w:t>
        </w:r>
      </w:hyperlink>
    </w:p>
    <w:p w14:paraId="00B76919" w14:textId="77777777" w:rsidR="00B34EEB" w:rsidRPr="00B40A77" w:rsidRDefault="00B34EEB" w:rsidP="002B7732">
      <w:pPr>
        <w:pStyle w:val="NoteHeader"/>
        <w:keepNext/>
        <w:ind w:left="568"/>
        <w:rPr>
          <w:color w:val="000000" w:themeColor="text1"/>
        </w:rPr>
      </w:pPr>
      <w:r w:rsidRPr="00B40A77">
        <w:rPr>
          <w:color w:val="000000" w:themeColor="text1"/>
        </w:rPr>
        <w:t>Note—</w:t>
      </w:r>
    </w:p>
    <w:p w14:paraId="174797C9" w14:textId="35AD4F1F" w:rsidR="00B34EEB" w:rsidRPr="00B40A77" w:rsidRDefault="003260E7" w:rsidP="003412A9">
      <w:pPr>
        <w:pStyle w:val="NoteText"/>
        <w:ind w:left="852"/>
        <w:rPr>
          <w:color w:val="000000" w:themeColor="text1"/>
        </w:rPr>
      </w:pPr>
      <w:r w:rsidRPr="00B40A77">
        <w:rPr>
          <w:color w:val="000000" w:themeColor="text1"/>
        </w:rPr>
        <w:t>If a certificate is issued</w:t>
      </w:r>
      <w:r w:rsidR="00B34EEB" w:rsidRPr="00B40A77">
        <w:rPr>
          <w:color w:val="000000" w:themeColor="text1"/>
        </w:rPr>
        <w:t xml:space="preserve"> in respect of </w:t>
      </w:r>
      <w:r w:rsidR="00B34EEB" w:rsidRPr="00B40A77">
        <w:rPr>
          <w:color w:val="000000" w:themeColor="text1"/>
          <w:lang w:val="en-US"/>
        </w:rPr>
        <w:t xml:space="preserve">all grounds of appeal, the proceeding will </w:t>
      </w:r>
      <w:r w:rsidR="00E816DF" w:rsidRPr="00B40A77">
        <w:rPr>
          <w:color w:val="000000" w:themeColor="text1"/>
          <w:lang w:val="en-US"/>
        </w:rPr>
        <w:t xml:space="preserve">generally </w:t>
      </w:r>
      <w:r w:rsidR="00B34EEB" w:rsidRPr="00B40A77">
        <w:rPr>
          <w:color w:val="000000" w:themeColor="text1"/>
          <w:lang w:val="en-US"/>
        </w:rPr>
        <w:t>be listed for the next available callover</w:t>
      </w:r>
      <w:r w:rsidR="001650BF" w:rsidRPr="00B40A77">
        <w:rPr>
          <w:color w:val="000000" w:themeColor="text1"/>
          <w:lang w:val="en-US"/>
        </w:rPr>
        <w:t xml:space="preserve"> under </w:t>
      </w:r>
      <w:hyperlink w:anchor="_200.1—Convening_callover" w:history="1">
        <w:r w:rsidR="001650BF" w:rsidRPr="00B40A77">
          <w:rPr>
            <w:rStyle w:val="Hyperlink"/>
            <w:color w:val="000000" w:themeColor="text1"/>
            <w:lang w:val="en-US"/>
          </w:rPr>
          <w:t xml:space="preserve">rule </w:t>
        </w:r>
        <w:r w:rsidR="003D4776" w:rsidRPr="00B40A77">
          <w:rPr>
            <w:rStyle w:val="Hyperlink"/>
            <w:color w:val="000000" w:themeColor="text1"/>
            <w:lang w:val="en-US"/>
          </w:rPr>
          <w:t>20</w:t>
        </w:r>
        <w:r w:rsidR="00252407" w:rsidRPr="00B40A77">
          <w:rPr>
            <w:rStyle w:val="Hyperlink"/>
            <w:color w:val="000000" w:themeColor="text1"/>
            <w:lang w:val="en-US"/>
          </w:rPr>
          <w:t>0</w:t>
        </w:r>
        <w:r w:rsidR="009E0914" w:rsidRPr="00B40A77">
          <w:rPr>
            <w:rStyle w:val="Hyperlink"/>
            <w:color w:val="000000" w:themeColor="text1"/>
            <w:lang w:val="en-US"/>
          </w:rPr>
          <w:t>.1</w:t>
        </w:r>
      </w:hyperlink>
      <w:r w:rsidR="00B34EEB" w:rsidRPr="00B40A77">
        <w:rPr>
          <w:color w:val="000000" w:themeColor="text1"/>
          <w:lang w:val="en-US"/>
        </w:rPr>
        <w:t>.</w:t>
      </w:r>
    </w:p>
    <w:p w14:paraId="655A29A5" w14:textId="664FC24B" w:rsidR="009B55F0" w:rsidRPr="00B40A77" w:rsidRDefault="00D738EC" w:rsidP="004A64A2">
      <w:pPr>
        <w:pStyle w:val="Heading4"/>
        <w:rPr>
          <w:color w:val="000000" w:themeColor="text1"/>
        </w:rPr>
      </w:pPr>
      <w:bookmarkStart w:id="1183" w:name="_Toc175239385"/>
      <w:bookmarkStart w:id="1184" w:name="_Toc60133684"/>
      <w:r w:rsidRPr="00B40A77">
        <w:rPr>
          <w:color w:val="000000" w:themeColor="text1"/>
        </w:rPr>
        <w:t>195</w:t>
      </w:r>
      <w:r w:rsidR="00754287" w:rsidRPr="00B40A77">
        <w:rPr>
          <w:color w:val="000000" w:themeColor="text1"/>
        </w:rPr>
        <w:t>.4</w:t>
      </w:r>
      <w:r w:rsidR="009B55F0" w:rsidRPr="00B40A77">
        <w:rPr>
          <w:color w:val="000000" w:themeColor="text1"/>
        </w:rPr>
        <w:t>—Response to leave application</w:t>
      </w:r>
      <w:bookmarkEnd w:id="1183"/>
    </w:p>
    <w:p w14:paraId="071B0807" w14:textId="77777777" w:rsidR="00C40CCD" w:rsidRPr="00B40A77" w:rsidRDefault="00C40CCD" w:rsidP="001103F0">
      <w:pPr>
        <w:pStyle w:val="Hangindent"/>
        <w:keepNext/>
        <w:rPr>
          <w:bCs/>
          <w:color w:val="000000" w:themeColor="text1"/>
          <w:lang w:val="en-US"/>
        </w:rPr>
      </w:pPr>
      <w:r w:rsidRPr="00B40A77">
        <w:rPr>
          <w:bCs/>
          <w:color w:val="000000" w:themeColor="text1"/>
          <w:lang w:val="en-US"/>
        </w:rPr>
        <w:t>(1)</w:t>
      </w:r>
      <w:r w:rsidRPr="00B40A77">
        <w:rPr>
          <w:bCs/>
          <w:color w:val="000000" w:themeColor="text1"/>
          <w:lang w:val="en-US"/>
        </w:rPr>
        <w:tab/>
        <w:t xml:space="preserve">Unless the Court otherwise orders, the respondent must, within 14 days of filing of the notice of appeal, file and serve on the other parties to the appeal a response to the application for leave to appeal </w:t>
      </w:r>
      <w:r w:rsidRPr="00B40A77">
        <w:rPr>
          <w:color w:val="000000" w:themeColor="text1"/>
          <w:lang w:val="en-US"/>
        </w:rPr>
        <w:t>in the prescribed form.</w:t>
      </w:r>
    </w:p>
    <w:p w14:paraId="330FAE64" w14:textId="77777777" w:rsidR="00C40CCD" w:rsidRPr="00B40A77" w:rsidRDefault="00C40CCD" w:rsidP="003B64D7">
      <w:pPr>
        <w:pStyle w:val="NoteHeader"/>
        <w:keepNext/>
        <w:rPr>
          <w:color w:val="000000" w:themeColor="text1"/>
        </w:rPr>
      </w:pPr>
      <w:r w:rsidRPr="00B40A77">
        <w:rPr>
          <w:color w:val="000000" w:themeColor="text1"/>
        </w:rPr>
        <w:t>Prescribed form—</w:t>
      </w:r>
    </w:p>
    <w:p w14:paraId="7BA1EE7E" w14:textId="54C12DE7" w:rsidR="00C40CCD" w:rsidRPr="00B40A77" w:rsidRDefault="00C40CCD" w:rsidP="003412A9">
      <w:pPr>
        <w:pStyle w:val="NoteText"/>
        <w:rPr>
          <w:color w:val="000000" w:themeColor="text1"/>
          <w:lang w:val="en-US"/>
        </w:rPr>
      </w:pPr>
      <w:r w:rsidRPr="00B40A77">
        <w:rPr>
          <w:color w:val="000000" w:themeColor="text1"/>
        </w:rPr>
        <w:t xml:space="preserve">Form </w:t>
      </w:r>
      <w:r w:rsidR="0072394C" w:rsidRPr="00B40A77">
        <w:rPr>
          <w:color w:val="000000" w:themeColor="text1"/>
        </w:rPr>
        <w:t>18</w:t>
      </w:r>
      <w:r w:rsidR="00FF2A97" w:rsidRPr="00B40A77">
        <w:rPr>
          <w:color w:val="000000" w:themeColor="text1"/>
        </w:rPr>
        <w:t>6</w:t>
      </w:r>
      <w:r w:rsidRPr="00B40A77">
        <w:rPr>
          <w:color w:val="000000" w:themeColor="text1"/>
        </w:rPr>
        <w:t xml:space="preserve"> </w:t>
      </w:r>
      <w:hyperlink r:id="rId418" w:history="1">
        <w:r w:rsidR="007B5452" w:rsidRPr="00B40A77">
          <w:rPr>
            <w:rStyle w:val="Hyperlink"/>
            <w:color w:val="000000" w:themeColor="text1"/>
          </w:rPr>
          <w:t xml:space="preserve">Prosecution </w:t>
        </w:r>
        <w:r w:rsidR="00FF2A97" w:rsidRPr="00B40A77">
          <w:rPr>
            <w:rStyle w:val="Hyperlink"/>
            <w:color w:val="000000" w:themeColor="text1"/>
          </w:rPr>
          <w:t>R</w:t>
        </w:r>
        <w:r w:rsidRPr="00B40A77">
          <w:rPr>
            <w:rStyle w:val="Hyperlink"/>
            <w:color w:val="000000" w:themeColor="text1"/>
          </w:rPr>
          <w:t xml:space="preserve">esponse to </w:t>
        </w:r>
        <w:r w:rsidR="00FF2A97" w:rsidRPr="00B40A77">
          <w:rPr>
            <w:rStyle w:val="Hyperlink"/>
            <w:color w:val="000000" w:themeColor="text1"/>
          </w:rPr>
          <w:t>A</w:t>
        </w:r>
        <w:r w:rsidRPr="00B40A77">
          <w:rPr>
            <w:rStyle w:val="Hyperlink"/>
            <w:color w:val="000000" w:themeColor="text1"/>
          </w:rPr>
          <w:t xml:space="preserve">pplication for </w:t>
        </w:r>
        <w:r w:rsidR="00FF2A97" w:rsidRPr="00B40A77">
          <w:rPr>
            <w:rStyle w:val="Hyperlink"/>
            <w:color w:val="000000" w:themeColor="text1"/>
          </w:rPr>
          <w:t>L</w:t>
        </w:r>
        <w:r w:rsidRPr="00B40A77">
          <w:rPr>
            <w:rStyle w:val="Hyperlink"/>
            <w:color w:val="000000" w:themeColor="text1"/>
          </w:rPr>
          <w:t xml:space="preserve">eave to </w:t>
        </w:r>
        <w:r w:rsidR="00FF2A97" w:rsidRPr="00B40A77">
          <w:rPr>
            <w:rStyle w:val="Hyperlink"/>
            <w:color w:val="000000" w:themeColor="text1"/>
          </w:rPr>
          <w:t>A</w:t>
        </w:r>
        <w:r w:rsidRPr="00B40A77">
          <w:rPr>
            <w:rStyle w:val="Hyperlink"/>
            <w:color w:val="000000" w:themeColor="text1"/>
          </w:rPr>
          <w:t>ppeal</w:t>
        </w:r>
      </w:hyperlink>
    </w:p>
    <w:p w14:paraId="3EF59578" w14:textId="7D4E8C9A" w:rsidR="009B55F0" w:rsidRPr="00B40A77" w:rsidRDefault="00E46B51" w:rsidP="00C40CCD">
      <w:pPr>
        <w:pStyle w:val="Hangindent"/>
        <w:rPr>
          <w:color w:val="000000" w:themeColor="text1"/>
          <w:lang w:val="en-US"/>
        </w:rPr>
      </w:pPr>
      <w:bookmarkStart w:id="1185" w:name="_Hlk80712373"/>
      <w:r w:rsidRPr="00B40A77">
        <w:rPr>
          <w:bCs/>
          <w:color w:val="000000" w:themeColor="text1"/>
          <w:lang w:val="en-US"/>
        </w:rPr>
        <w:t>(2)</w:t>
      </w:r>
      <w:r w:rsidRPr="00B40A77">
        <w:rPr>
          <w:bCs/>
          <w:color w:val="000000" w:themeColor="text1"/>
          <w:lang w:val="en-US"/>
        </w:rPr>
        <w:tab/>
        <w:t>A</w:t>
      </w:r>
      <w:r w:rsidR="009B55F0" w:rsidRPr="00B40A77">
        <w:rPr>
          <w:bCs/>
          <w:color w:val="000000" w:themeColor="text1"/>
          <w:lang w:val="en-US"/>
        </w:rPr>
        <w:t xml:space="preserve"> response </w:t>
      </w:r>
      <w:r w:rsidRPr="00B40A77">
        <w:rPr>
          <w:bCs/>
          <w:color w:val="000000" w:themeColor="text1"/>
          <w:lang w:val="en-US"/>
        </w:rPr>
        <w:t xml:space="preserve">to an application for leave to appeal </w:t>
      </w:r>
      <w:r w:rsidR="009B55F0" w:rsidRPr="00B40A77">
        <w:rPr>
          <w:bCs/>
          <w:color w:val="000000" w:themeColor="text1"/>
          <w:lang w:val="en-US"/>
        </w:rPr>
        <w:t>must</w:t>
      </w:r>
      <w:r w:rsidR="009B55F0" w:rsidRPr="00B40A77">
        <w:rPr>
          <w:color w:val="000000" w:themeColor="text1"/>
          <w:lang w:val="en-US"/>
        </w:rPr>
        <w:t>—</w:t>
      </w:r>
    </w:p>
    <w:p w14:paraId="22076654" w14:textId="120AE85D" w:rsidR="00C63333" w:rsidRPr="00B40A77" w:rsidRDefault="009B55F0" w:rsidP="009B55F0">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identify </w:t>
      </w:r>
      <w:r w:rsidR="00B34EEB" w:rsidRPr="00B40A77">
        <w:rPr>
          <w:color w:val="000000" w:themeColor="text1"/>
          <w:lang w:val="en-US"/>
        </w:rPr>
        <w:t>in respec</w:t>
      </w:r>
      <w:r w:rsidR="00E46B51" w:rsidRPr="00B40A77">
        <w:rPr>
          <w:color w:val="000000" w:themeColor="text1"/>
          <w:lang w:val="en-US"/>
        </w:rPr>
        <w:t>t of each</w:t>
      </w:r>
      <w:r w:rsidR="00E51222" w:rsidRPr="00B40A77">
        <w:rPr>
          <w:color w:val="000000" w:themeColor="text1"/>
          <w:lang w:val="en-US"/>
        </w:rPr>
        <w:t xml:space="preserve"> ground</w:t>
      </w:r>
      <w:r w:rsidR="00C63333" w:rsidRPr="00B40A77">
        <w:rPr>
          <w:color w:val="000000" w:themeColor="text1"/>
          <w:lang w:val="en-US"/>
        </w:rPr>
        <w:t>, other than a ground</w:t>
      </w:r>
      <w:r w:rsidR="00B34EEB" w:rsidRPr="00B40A77">
        <w:rPr>
          <w:color w:val="000000" w:themeColor="text1"/>
          <w:lang w:val="en-US"/>
        </w:rPr>
        <w:t xml:space="preserve"> the subject o</w:t>
      </w:r>
      <w:r w:rsidR="00E46B51" w:rsidRPr="00B40A77">
        <w:rPr>
          <w:color w:val="000000" w:themeColor="text1"/>
          <w:lang w:val="en-US"/>
        </w:rPr>
        <w:t xml:space="preserve">f a certificate under </w:t>
      </w:r>
      <w:hyperlink w:anchor="_195.3—Certificate_of_trial" w:history="1">
        <w:r w:rsidR="00E46B51" w:rsidRPr="00B40A77">
          <w:rPr>
            <w:rStyle w:val="Hyperlink"/>
            <w:color w:val="000000" w:themeColor="text1"/>
            <w:lang w:val="en-US"/>
          </w:rPr>
          <w:t>rule 195.</w:t>
        </w:r>
        <w:r w:rsidR="00754287" w:rsidRPr="00B40A77">
          <w:rPr>
            <w:rStyle w:val="Hyperlink"/>
            <w:color w:val="000000" w:themeColor="text1"/>
            <w:lang w:val="en-US"/>
          </w:rPr>
          <w:t>3</w:t>
        </w:r>
      </w:hyperlink>
      <w:r w:rsidR="00C63333" w:rsidRPr="00B40A77">
        <w:rPr>
          <w:color w:val="000000" w:themeColor="text1"/>
          <w:lang w:val="en-US"/>
        </w:rPr>
        <w:t xml:space="preserve">, </w:t>
      </w:r>
      <w:r w:rsidR="00E46B51" w:rsidRPr="00B40A77">
        <w:rPr>
          <w:color w:val="000000" w:themeColor="text1"/>
          <w:lang w:val="en-US"/>
        </w:rPr>
        <w:t>whether</w:t>
      </w:r>
      <w:r w:rsidR="00C63333" w:rsidRPr="00B40A77">
        <w:rPr>
          <w:color w:val="000000" w:themeColor="text1"/>
          <w:lang w:val="en-US"/>
        </w:rPr>
        <w:t xml:space="preserve"> the Director—</w:t>
      </w:r>
    </w:p>
    <w:p w14:paraId="42F778C3" w14:textId="4974F432" w:rsidR="00C63333" w:rsidRPr="00B40A77" w:rsidRDefault="00C63333" w:rsidP="00E46B51">
      <w:pPr>
        <w:pStyle w:val="Doublehangindent"/>
        <w:ind w:left="2157" w:hanging="456"/>
        <w:rPr>
          <w:color w:val="000000" w:themeColor="text1"/>
          <w:lang w:val="en-US"/>
        </w:rPr>
      </w:pPr>
      <w:r w:rsidRPr="00B40A77">
        <w:rPr>
          <w:color w:val="000000" w:themeColor="text1"/>
          <w:lang w:val="en-US"/>
        </w:rPr>
        <w:t>(i)</w:t>
      </w:r>
      <w:r w:rsidRPr="00B40A77">
        <w:rPr>
          <w:color w:val="000000" w:themeColor="text1"/>
          <w:lang w:val="en-US"/>
        </w:rPr>
        <w:tab/>
      </w:r>
      <w:r w:rsidR="009B55F0" w:rsidRPr="00B40A77">
        <w:rPr>
          <w:color w:val="000000" w:themeColor="text1"/>
          <w:lang w:val="en-US"/>
        </w:rPr>
        <w:t xml:space="preserve">concedes </w:t>
      </w:r>
      <w:r w:rsidR="00331472" w:rsidRPr="00B40A77">
        <w:rPr>
          <w:color w:val="000000" w:themeColor="text1"/>
          <w:lang w:val="en-US"/>
        </w:rPr>
        <w:t xml:space="preserve">that </w:t>
      </w:r>
      <w:r w:rsidR="00E46B51" w:rsidRPr="00B40A77">
        <w:rPr>
          <w:color w:val="000000" w:themeColor="text1"/>
          <w:lang w:val="en-US"/>
        </w:rPr>
        <w:t>the ground is</w:t>
      </w:r>
      <w:r w:rsidR="009B55F0" w:rsidRPr="00B40A77">
        <w:rPr>
          <w:color w:val="000000" w:themeColor="text1"/>
          <w:lang w:val="en-US"/>
        </w:rPr>
        <w:t xml:space="preserve"> reasonably arguable so as to justify a grant of leave</w:t>
      </w:r>
      <w:r w:rsidRPr="00B40A77">
        <w:rPr>
          <w:color w:val="000000" w:themeColor="text1"/>
          <w:lang w:val="en-US"/>
        </w:rPr>
        <w:t>;</w:t>
      </w:r>
    </w:p>
    <w:p w14:paraId="366DC152" w14:textId="22600FAB" w:rsidR="00576AC3" w:rsidRPr="00B40A77" w:rsidRDefault="00576AC3" w:rsidP="00576AC3">
      <w:pPr>
        <w:pStyle w:val="Doublehangindent"/>
        <w:ind w:firstLine="0"/>
        <w:rPr>
          <w:color w:val="000000" w:themeColor="text1"/>
          <w:lang w:val="en-US"/>
        </w:rPr>
      </w:pPr>
      <w:r w:rsidRPr="00B40A77">
        <w:rPr>
          <w:color w:val="000000" w:themeColor="text1"/>
          <w:lang w:val="en-US"/>
        </w:rPr>
        <w:t>(ii)</w:t>
      </w:r>
      <w:r w:rsidRPr="00B40A77">
        <w:rPr>
          <w:color w:val="000000" w:themeColor="text1"/>
          <w:lang w:val="en-US"/>
        </w:rPr>
        <w:tab/>
        <w:t>concedes that the ground does not require leave;</w:t>
      </w:r>
    </w:p>
    <w:p w14:paraId="6E145556" w14:textId="4780EB69" w:rsidR="00576AC3" w:rsidRPr="00B40A77" w:rsidRDefault="00576AC3" w:rsidP="00576AC3">
      <w:pPr>
        <w:pStyle w:val="Doublehangindent"/>
        <w:ind w:left="2157" w:hanging="456"/>
        <w:rPr>
          <w:color w:val="000000" w:themeColor="text1"/>
          <w:lang w:val="en-US"/>
        </w:rPr>
      </w:pPr>
      <w:r w:rsidRPr="00B40A77">
        <w:rPr>
          <w:color w:val="000000" w:themeColor="text1"/>
          <w:lang w:val="en-US"/>
        </w:rPr>
        <w:t>(iii)</w:t>
      </w:r>
      <w:r w:rsidRPr="00B40A77">
        <w:rPr>
          <w:color w:val="000000" w:themeColor="text1"/>
          <w:lang w:val="en-US"/>
        </w:rPr>
        <w:tab/>
        <w:t xml:space="preserve">accepts that the leave to appeal on that ground should be referred to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given a concession made as to leave to appeal in respect of another ground; or</w:t>
      </w:r>
    </w:p>
    <w:p w14:paraId="6E73E9B2" w14:textId="1E7572CC" w:rsidR="009B55F0" w:rsidRPr="00B40A77" w:rsidRDefault="00C63333" w:rsidP="00E46B51">
      <w:pPr>
        <w:pStyle w:val="Doublehangindent"/>
        <w:ind w:left="2157" w:hanging="456"/>
        <w:rPr>
          <w:color w:val="000000" w:themeColor="text1"/>
          <w:lang w:val="en-US"/>
        </w:rPr>
      </w:pPr>
      <w:r w:rsidRPr="00B40A77">
        <w:rPr>
          <w:color w:val="000000" w:themeColor="text1"/>
          <w:lang w:val="en-US"/>
        </w:rPr>
        <w:t>(i</w:t>
      </w:r>
      <w:r w:rsidR="00576AC3" w:rsidRPr="00B40A77">
        <w:rPr>
          <w:color w:val="000000" w:themeColor="text1"/>
          <w:lang w:val="en-US"/>
        </w:rPr>
        <w:t>v</w:t>
      </w:r>
      <w:r w:rsidRPr="00B40A77">
        <w:rPr>
          <w:color w:val="000000" w:themeColor="text1"/>
          <w:lang w:val="en-US"/>
        </w:rPr>
        <w:t>)</w:t>
      </w:r>
      <w:r w:rsidRPr="00B40A77">
        <w:rPr>
          <w:color w:val="000000" w:themeColor="text1"/>
          <w:lang w:val="en-US"/>
        </w:rPr>
        <w:tab/>
      </w:r>
      <w:r w:rsidR="009B55F0" w:rsidRPr="00B40A77">
        <w:rPr>
          <w:color w:val="000000" w:themeColor="text1"/>
          <w:lang w:val="en-US"/>
        </w:rPr>
        <w:t xml:space="preserve">contends </w:t>
      </w:r>
      <w:r w:rsidR="00331472" w:rsidRPr="00B40A77">
        <w:rPr>
          <w:color w:val="000000" w:themeColor="text1"/>
          <w:lang w:val="en-US"/>
        </w:rPr>
        <w:t xml:space="preserve">that </w:t>
      </w:r>
      <w:r w:rsidR="00E46B51" w:rsidRPr="00B40A77">
        <w:rPr>
          <w:color w:val="000000" w:themeColor="text1"/>
          <w:lang w:val="en-US"/>
        </w:rPr>
        <w:t>the ground is</w:t>
      </w:r>
      <w:r w:rsidR="009B55F0" w:rsidRPr="00B40A77">
        <w:rPr>
          <w:color w:val="000000" w:themeColor="text1"/>
          <w:lang w:val="en-US"/>
        </w:rPr>
        <w:t xml:space="preserve"> not reasonably arguable </w:t>
      </w:r>
      <w:r w:rsidR="00331472" w:rsidRPr="00B40A77">
        <w:rPr>
          <w:color w:val="000000" w:themeColor="text1"/>
          <w:lang w:val="en-US"/>
        </w:rPr>
        <w:t>and</w:t>
      </w:r>
      <w:r w:rsidR="009B55F0" w:rsidRPr="00B40A77">
        <w:rPr>
          <w:color w:val="000000" w:themeColor="text1"/>
          <w:lang w:val="en-US"/>
        </w:rPr>
        <w:t xml:space="preserve"> leave</w:t>
      </w:r>
      <w:r w:rsidR="00331472" w:rsidRPr="00B40A77">
        <w:rPr>
          <w:color w:val="000000" w:themeColor="text1"/>
          <w:lang w:val="en-US"/>
        </w:rPr>
        <w:t xml:space="preserve"> should be refused</w:t>
      </w:r>
      <w:r w:rsidR="00576AC3" w:rsidRPr="00B40A77">
        <w:rPr>
          <w:color w:val="000000" w:themeColor="text1"/>
          <w:lang w:val="en-US"/>
        </w:rPr>
        <w:t>;</w:t>
      </w:r>
    </w:p>
    <w:bookmarkEnd w:id="1185"/>
    <w:p w14:paraId="1E3A31ED" w14:textId="0F4F4B0B" w:rsidR="009B55F0" w:rsidRPr="00B40A77" w:rsidRDefault="0057390E" w:rsidP="009B55F0">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A56169" w:rsidRPr="00B40A77">
        <w:rPr>
          <w:color w:val="000000" w:themeColor="text1"/>
          <w:lang w:val="en-US"/>
        </w:rPr>
        <w:t>provide (after consultation with t</w:t>
      </w:r>
      <w:r w:rsidR="00C63333" w:rsidRPr="00B40A77">
        <w:rPr>
          <w:color w:val="000000" w:themeColor="text1"/>
          <w:lang w:val="en-US"/>
        </w:rPr>
        <w:t>he lawyer for the appellant</w:t>
      </w:r>
      <w:r w:rsidR="00A56169" w:rsidRPr="00B40A77">
        <w:rPr>
          <w:color w:val="000000" w:themeColor="text1"/>
          <w:lang w:val="en-US"/>
        </w:rPr>
        <w:t>) a</w:t>
      </w:r>
      <w:r w:rsidR="00331472" w:rsidRPr="00B40A77">
        <w:rPr>
          <w:color w:val="000000" w:themeColor="text1"/>
          <w:lang w:val="en-US"/>
        </w:rPr>
        <w:t xml:space="preserve"> joint </w:t>
      </w:r>
      <w:r w:rsidR="00A56169" w:rsidRPr="00B40A77">
        <w:rPr>
          <w:color w:val="000000" w:themeColor="text1"/>
          <w:lang w:val="en-US"/>
        </w:rPr>
        <w:t xml:space="preserve">estimate of the time required for </w:t>
      </w:r>
      <w:r w:rsidR="00D46BB3" w:rsidRPr="00B40A77">
        <w:rPr>
          <w:color w:val="000000" w:themeColor="text1"/>
          <w:lang w:val="en-US"/>
        </w:rPr>
        <w:t xml:space="preserve">the </w:t>
      </w:r>
      <w:r w:rsidR="00A56169" w:rsidRPr="00B40A77">
        <w:rPr>
          <w:color w:val="000000" w:themeColor="text1"/>
          <w:lang w:val="en-US"/>
        </w:rPr>
        <w:t xml:space="preserve">hearing </w:t>
      </w:r>
      <w:r w:rsidR="00D46BB3" w:rsidRPr="00B40A77">
        <w:rPr>
          <w:color w:val="000000" w:themeColor="text1"/>
          <w:lang w:val="en-US"/>
        </w:rPr>
        <w:t xml:space="preserve">of </w:t>
      </w:r>
      <w:r w:rsidR="00A56169" w:rsidRPr="00B40A77">
        <w:rPr>
          <w:color w:val="000000" w:themeColor="text1"/>
          <w:lang w:val="en-US"/>
        </w:rPr>
        <w:t>the appeal;</w:t>
      </w:r>
    </w:p>
    <w:p w14:paraId="64FD7DB4" w14:textId="5A49FD68" w:rsidR="00A56169" w:rsidRPr="00B40A77" w:rsidRDefault="00A56169" w:rsidP="00A56169">
      <w:pPr>
        <w:pStyle w:val="Doublehangindent"/>
        <w:rPr>
          <w:color w:val="000000" w:themeColor="text1"/>
          <w:lang w:val="en-US"/>
        </w:rPr>
      </w:pPr>
      <w:r w:rsidRPr="00B40A77">
        <w:rPr>
          <w:color w:val="000000" w:themeColor="text1"/>
          <w:lang w:val="en-US"/>
        </w:rPr>
        <w:t>(c)</w:t>
      </w:r>
      <w:r w:rsidRPr="00B40A77">
        <w:rPr>
          <w:color w:val="000000" w:themeColor="text1"/>
          <w:lang w:val="en-US"/>
        </w:rPr>
        <w:tab/>
        <w:t>provide (aft</w:t>
      </w:r>
      <w:r w:rsidR="00C63333" w:rsidRPr="00B40A77">
        <w:rPr>
          <w:color w:val="000000" w:themeColor="text1"/>
          <w:lang w:val="en-US"/>
        </w:rPr>
        <w:t>er consultation with the lawyer</w:t>
      </w:r>
      <w:r w:rsidRPr="00B40A77">
        <w:rPr>
          <w:color w:val="000000" w:themeColor="text1"/>
          <w:lang w:val="en-US"/>
        </w:rPr>
        <w:t xml:space="preserve"> for the </w:t>
      </w:r>
      <w:r w:rsidR="00C63333" w:rsidRPr="00B40A77">
        <w:rPr>
          <w:color w:val="000000" w:themeColor="text1"/>
          <w:lang w:val="en-US"/>
        </w:rPr>
        <w:t>appellant</w:t>
      </w:r>
      <w:r w:rsidRPr="00B40A77">
        <w:rPr>
          <w:color w:val="000000" w:themeColor="text1"/>
          <w:lang w:val="en-US"/>
        </w:rPr>
        <w:t xml:space="preserve">) dates </w:t>
      </w:r>
      <w:r w:rsidR="00331472" w:rsidRPr="00B40A77">
        <w:rPr>
          <w:color w:val="000000" w:themeColor="text1"/>
          <w:lang w:val="en-US"/>
        </w:rPr>
        <w:t xml:space="preserve">jointly </w:t>
      </w:r>
      <w:r w:rsidRPr="00B40A77">
        <w:rPr>
          <w:color w:val="000000" w:themeColor="text1"/>
          <w:lang w:val="en-US"/>
        </w:rPr>
        <w:t xml:space="preserve">preferred by counsel for </w:t>
      </w:r>
      <w:r w:rsidR="00D46BB3" w:rsidRPr="00B40A77">
        <w:rPr>
          <w:color w:val="000000" w:themeColor="text1"/>
          <w:lang w:val="en-US"/>
        </w:rPr>
        <w:t xml:space="preserve">the </w:t>
      </w:r>
      <w:r w:rsidRPr="00B40A77">
        <w:rPr>
          <w:color w:val="000000" w:themeColor="text1"/>
          <w:lang w:val="en-US"/>
        </w:rPr>
        <w:t xml:space="preserve">hearing </w:t>
      </w:r>
      <w:r w:rsidR="00D46BB3" w:rsidRPr="00B40A77">
        <w:rPr>
          <w:color w:val="000000" w:themeColor="text1"/>
          <w:lang w:val="en-US"/>
        </w:rPr>
        <w:t xml:space="preserve">of </w:t>
      </w:r>
      <w:r w:rsidRPr="00B40A77">
        <w:rPr>
          <w:color w:val="000000" w:themeColor="text1"/>
          <w:lang w:val="en-US"/>
        </w:rPr>
        <w:t>the appeal; and</w:t>
      </w:r>
    </w:p>
    <w:p w14:paraId="5F52F6F4" w14:textId="0E1351EF" w:rsidR="00A56169" w:rsidRPr="00B40A77" w:rsidRDefault="00A56169" w:rsidP="001103F0">
      <w:pPr>
        <w:pStyle w:val="Doublehangindent"/>
        <w:keepNext/>
        <w:rPr>
          <w:color w:val="000000" w:themeColor="text1"/>
          <w:lang w:val="en-US"/>
        </w:rPr>
      </w:pPr>
      <w:r w:rsidRPr="00B40A77">
        <w:rPr>
          <w:color w:val="000000" w:themeColor="text1"/>
          <w:lang w:val="en-US"/>
        </w:rPr>
        <w:lastRenderedPageBreak/>
        <w:t>(d)</w:t>
      </w:r>
      <w:r w:rsidRPr="00B40A77">
        <w:rPr>
          <w:color w:val="000000" w:themeColor="text1"/>
          <w:lang w:val="en-US"/>
        </w:rPr>
        <w:tab/>
        <w:t>identify any documents sought to be added to the standard documents contained in the appeal book.</w:t>
      </w:r>
    </w:p>
    <w:p w14:paraId="4BD70D2D" w14:textId="04282773" w:rsidR="00C643A5" w:rsidRPr="00B40A77" w:rsidRDefault="00C643A5" w:rsidP="00F815AA">
      <w:pPr>
        <w:pStyle w:val="NoteHeader"/>
        <w:keepNext/>
        <w:ind w:left="1701"/>
        <w:rPr>
          <w:color w:val="000000" w:themeColor="text1"/>
        </w:rPr>
      </w:pPr>
      <w:r w:rsidRPr="00B40A77">
        <w:rPr>
          <w:color w:val="000000" w:themeColor="text1"/>
        </w:rPr>
        <w:t>Note</w:t>
      </w:r>
      <w:r w:rsidR="00E46B51" w:rsidRPr="00B40A77">
        <w:rPr>
          <w:color w:val="000000" w:themeColor="text1"/>
        </w:rPr>
        <w:t>s</w:t>
      </w:r>
      <w:r w:rsidRPr="00B40A77">
        <w:rPr>
          <w:color w:val="000000" w:themeColor="text1"/>
        </w:rPr>
        <w:t>—</w:t>
      </w:r>
    </w:p>
    <w:p w14:paraId="142150AA" w14:textId="064FCC51" w:rsidR="00C643A5" w:rsidRPr="00B40A77" w:rsidRDefault="00C643A5" w:rsidP="003412A9">
      <w:pPr>
        <w:pStyle w:val="NoteText"/>
        <w:ind w:left="1985"/>
        <w:rPr>
          <w:color w:val="000000" w:themeColor="text1"/>
          <w:lang w:val="en-US"/>
        </w:rPr>
      </w:pPr>
      <w:r w:rsidRPr="00B40A77">
        <w:rPr>
          <w:color w:val="000000" w:themeColor="text1"/>
        </w:rPr>
        <w:t xml:space="preserve">If the </w:t>
      </w:r>
      <w:r w:rsidR="00C63333" w:rsidRPr="00B40A77">
        <w:rPr>
          <w:bCs/>
          <w:color w:val="000000" w:themeColor="text1"/>
          <w:lang w:val="en-US"/>
        </w:rPr>
        <w:t>respondent</w:t>
      </w:r>
      <w:r w:rsidRPr="00B40A77">
        <w:rPr>
          <w:color w:val="000000" w:themeColor="text1"/>
          <w:lang w:val="en-US"/>
        </w:rPr>
        <w:t xml:space="preserve"> concedes that all grounds of appeal are reasonably arguable</w:t>
      </w:r>
      <w:r w:rsidR="00CE0F36" w:rsidRPr="00B40A77">
        <w:rPr>
          <w:color w:val="000000" w:themeColor="text1"/>
          <w:lang w:val="en-US"/>
        </w:rPr>
        <w:t xml:space="preserve"> or leave is not required</w:t>
      </w:r>
      <w:r w:rsidRPr="00B40A77">
        <w:rPr>
          <w:color w:val="000000" w:themeColor="text1"/>
          <w:lang w:val="en-US"/>
        </w:rPr>
        <w:t xml:space="preserve">, the </w:t>
      </w:r>
      <w:r w:rsidR="00C11480" w:rsidRPr="00B40A77">
        <w:rPr>
          <w:color w:val="000000" w:themeColor="text1"/>
          <w:lang w:val="en-US"/>
        </w:rPr>
        <w:t xml:space="preserve">proceeding will </w:t>
      </w:r>
      <w:r w:rsidR="00E816DF" w:rsidRPr="00B40A77">
        <w:rPr>
          <w:color w:val="000000" w:themeColor="text1"/>
          <w:lang w:val="en-US"/>
        </w:rPr>
        <w:t xml:space="preserve">generally </w:t>
      </w:r>
      <w:r w:rsidR="00C11480" w:rsidRPr="00B40A77">
        <w:rPr>
          <w:color w:val="000000" w:themeColor="text1"/>
          <w:lang w:val="en-US"/>
        </w:rPr>
        <w:t xml:space="preserve">be listed for the next available callover </w:t>
      </w:r>
      <w:r w:rsidR="00E51222" w:rsidRPr="00B40A77">
        <w:rPr>
          <w:color w:val="000000" w:themeColor="text1"/>
          <w:lang w:val="en-US"/>
        </w:rPr>
        <w:t xml:space="preserve">under </w:t>
      </w:r>
      <w:hyperlink w:anchor="_200.1—Convening_callover" w:history="1">
        <w:r w:rsidR="009E0914" w:rsidRPr="00B40A77">
          <w:rPr>
            <w:rStyle w:val="Hyperlink"/>
            <w:color w:val="000000" w:themeColor="text1"/>
            <w:lang w:val="en-US"/>
          </w:rPr>
          <w:t>rule 200.1</w:t>
        </w:r>
      </w:hyperlink>
      <w:r w:rsidR="00967962" w:rsidRPr="00B40A77">
        <w:rPr>
          <w:rStyle w:val="Hyperlink"/>
          <w:color w:val="000000" w:themeColor="text1"/>
          <w:u w:val="none"/>
          <w:lang w:val="en-US"/>
        </w:rPr>
        <w:t>,</w:t>
      </w:r>
      <w:r w:rsidR="009E0914" w:rsidRPr="00B40A77">
        <w:rPr>
          <w:color w:val="000000" w:themeColor="text1"/>
          <w:lang w:val="en-US"/>
        </w:rPr>
        <w:t xml:space="preserve"> </w:t>
      </w:r>
      <w:r w:rsidR="00C11480" w:rsidRPr="00B40A77">
        <w:rPr>
          <w:color w:val="000000" w:themeColor="text1"/>
          <w:lang w:val="en-US"/>
        </w:rPr>
        <w:t xml:space="preserve">but the Court retains a discretion to </w:t>
      </w:r>
      <w:r w:rsidR="00CE0F36" w:rsidRPr="00B40A77">
        <w:rPr>
          <w:color w:val="000000" w:themeColor="text1"/>
          <w:lang w:val="en-US"/>
        </w:rPr>
        <w:t xml:space="preserve">make an </w:t>
      </w:r>
      <w:r w:rsidR="00C11480" w:rsidRPr="00B40A77">
        <w:rPr>
          <w:color w:val="000000" w:themeColor="text1"/>
          <w:lang w:val="en-US"/>
        </w:rPr>
        <w:t xml:space="preserve">order </w:t>
      </w:r>
      <w:hyperlink w:anchor="_2.1—Definitions" w:history="1">
        <w:r w:rsidR="00307014" w:rsidRPr="00B40A77">
          <w:rPr>
            <w:rStyle w:val="Hyperlink"/>
            <w:color w:val="000000" w:themeColor="text1"/>
            <w:lang w:val="en-US"/>
          </w:rPr>
          <w:t>in chambers</w:t>
        </w:r>
      </w:hyperlink>
      <w:r w:rsidR="00CE0F36" w:rsidRPr="00B40A77">
        <w:rPr>
          <w:color w:val="000000" w:themeColor="text1"/>
          <w:lang w:val="en-US"/>
        </w:rPr>
        <w:t xml:space="preserve"> </w:t>
      </w:r>
      <w:r w:rsidR="00E46B51" w:rsidRPr="00B40A77">
        <w:rPr>
          <w:color w:val="000000" w:themeColor="text1"/>
          <w:lang w:val="en-US"/>
        </w:rPr>
        <w:t xml:space="preserve">that </w:t>
      </w:r>
      <w:hyperlink w:anchor="_195.5—Written_submissions_on" w:history="1">
        <w:r w:rsidR="00E46B51" w:rsidRPr="00B40A77">
          <w:rPr>
            <w:rStyle w:val="Hyperlink"/>
            <w:color w:val="000000" w:themeColor="text1"/>
            <w:lang w:val="en-US"/>
          </w:rPr>
          <w:t>rule</w:t>
        </w:r>
        <w:r w:rsidR="00773E33" w:rsidRPr="00B40A77">
          <w:rPr>
            <w:rStyle w:val="Hyperlink"/>
            <w:color w:val="000000" w:themeColor="text1"/>
            <w:lang w:val="en-US"/>
          </w:rPr>
          <w:t> </w:t>
        </w:r>
        <w:r w:rsidR="00E46B51" w:rsidRPr="00B40A77">
          <w:rPr>
            <w:rStyle w:val="Hyperlink"/>
            <w:color w:val="000000" w:themeColor="text1"/>
            <w:lang w:val="en-US"/>
          </w:rPr>
          <w:t>195.</w:t>
        </w:r>
        <w:r w:rsidR="00331472" w:rsidRPr="00B40A77">
          <w:rPr>
            <w:rStyle w:val="Hyperlink"/>
            <w:color w:val="000000" w:themeColor="text1"/>
            <w:lang w:val="en-US"/>
          </w:rPr>
          <w:t>5</w:t>
        </w:r>
      </w:hyperlink>
      <w:r w:rsidR="00C11480" w:rsidRPr="00B40A77">
        <w:rPr>
          <w:color w:val="000000" w:themeColor="text1"/>
          <w:lang w:val="en-US"/>
        </w:rPr>
        <w:t xml:space="preserve"> </w:t>
      </w:r>
      <w:r w:rsidR="00773E33" w:rsidRPr="00B40A77">
        <w:rPr>
          <w:color w:val="000000" w:themeColor="text1"/>
          <w:lang w:val="en-US"/>
        </w:rPr>
        <w:t xml:space="preserve">still </w:t>
      </w:r>
      <w:r w:rsidR="00C11480" w:rsidRPr="00B40A77">
        <w:rPr>
          <w:color w:val="000000" w:themeColor="text1"/>
          <w:lang w:val="en-US"/>
        </w:rPr>
        <w:t>appl</w:t>
      </w:r>
      <w:r w:rsidR="00773E33" w:rsidRPr="00B40A77">
        <w:rPr>
          <w:color w:val="000000" w:themeColor="text1"/>
          <w:lang w:val="en-US"/>
        </w:rPr>
        <w:t>ies</w:t>
      </w:r>
      <w:r w:rsidR="00C11480" w:rsidRPr="00B40A77">
        <w:rPr>
          <w:color w:val="000000" w:themeColor="text1"/>
          <w:lang w:val="en-US"/>
        </w:rPr>
        <w:t>.</w:t>
      </w:r>
    </w:p>
    <w:p w14:paraId="721499C3" w14:textId="0A6C7134" w:rsidR="003622EA" w:rsidRPr="00B40A77" w:rsidRDefault="003622EA" w:rsidP="003412A9">
      <w:pPr>
        <w:pStyle w:val="NoteText"/>
        <w:ind w:left="1985"/>
        <w:rPr>
          <w:color w:val="000000" w:themeColor="text1"/>
        </w:rPr>
      </w:pPr>
      <w:r w:rsidRPr="00B40A77">
        <w:rPr>
          <w:color w:val="000000" w:themeColor="text1"/>
          <w:lang w:val="en-US"/>
        </w:rPr>
        <w:t>An example of an additional document would be an exhibit of which a physical copy is required.</w:t>
      </w:r>
    </w:p>
    <w:p w14:paraId="4DEC2EF7" w14:textId="37BFD2A1" w:rsidR="00EA69FB" w:rsidRPr="00B40A77" w:rsidRDefault="004F12DF" w:rsidP="00EA69FB">
      <w:pPr>
        <w:pStyle w:val="Hangindent"/>
        <w:rPr>
          <w:color w:val="000000" w:themeColor="text1"/>
          <w:lang w:val="en-US"/>
        </w:rPr>
      </w:pPr>
      <w:r w:rsidRPr="00B40A77">
        <w:rPr>
          <w:bCs/>
          <w:color w:val="000000" w:themeColor="text1"/>
          <w:lang w:val="en-US"/>
        </w:rPr>
        <w:t>(3</w:t>
      </w:r>
      <w:r w:rsidR="00CE0F36" w:rsidRPr="00B40A77">
        <w:rPr>
          <w:bCs/>
          <w:color w:val="000000" w:themeColor="text1"/>
          <w:lang w:val="en-US"/>
        </w:rPr>
        <w:t>)</w:t>
      </w:r>
      <w:r w:rsidR="00CE0F36" w:rsidRPr="00B40A77">
        <w:rPr>
          <w:bCs/>
          <w:color w:val="000000" w:themeColor="text1"/>
          <w:lang w:val="en-US"/>
        </w:rPr>
        <w:tab/>
      </w:r>
      <w:r w:rsidR="00EA69FB" w:rsidRPr="00B40A77">
        <w:rPr>
          <w:bCs/>
          <w:color w:val="000000" w:themeColor="text1"/>
          <w:lang w:val="en-US"/>
        </w:rPr>
        <w:t xml:space="preserve">After </w:t>
      </w:r>
      <w:r w:rsidR="00773E33" w:rsidRPr="00B40A77">
        <w:rPr>
          <w:bCs/>
          <w:color w:val="000000" w:themeColor="text1"/>
          <w:lang w:val="en-US"/>
        </w:rPr>
        <w:t xml:space="preserve">the </w:t>
      </w:r>
      <w:r w:rsidR="00EA69FB" w:rsidRPr="00B40A77">
        <w:rPr>
          <w:bCs/>
          <w:color w:val="000000" w:themeColor="text1"/>
          <w:lang w:val="en-US"/>
        </w:rPr>
        <w:t>filing of the response</w:t>
      </w:r>
      <w:r w:rsidR="003622EA" w:rsidRPr="00B40A77">
        <w:rPr>
          <w:bCs/>
          <w:color w:val="000000" w:themeColor="text1"/>
          <w:lang w:val="en-US"/>
        </w:rPr>
        <w:t xml:space="preserve"> to the application for leave to appeal</w:t>
      </w:r>
      <w:r w:rsidR="00EA69FB" w:rsidRPr="00B40A77">
        <w:rPr>
          <w:bCs/>
          <w:color w:val="000000" w:themeColor="text1"/>
          <w:lang w:val="en-US"/>
        </w:rPr>
        <w:t>, the Court may</w:t>
      </w:r>
      <w:r w:rsidR="00A0377D" w:rsidRPr="00B40A77">
        <w:rPr>
          <w:color w:val="000000" w:themeColor="text1"/>
          <w:lang w:val="en-US"/>
        </w:rPr>
        <w:t>—</w:t>
      </w:r>
    </w:p>
    <w:p w14:paraId="78D2985D" w14:textId="3E5E0423" w:rsidR="00EA69FB" w:rsidRPr="00B40A77" w:rsidRDefault="00EA69FB" w:rsidP="00EA69FB">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396506" w:rsidRPr="00B40A77">
        <w:rPr>
          <w:color w:val="000000" w:themeColor="text1"/>
          <w:lang w:val="en-US"/>
        </w:rPr>
        <w:t>list the matter for the next available callover und</w:t>
      </w:r>
      <w:r w:rsidR="004F12DF" w:rsidRPr="00B40A77">
        <w:rPr>
          <w:color w:val="000000" w:themeColor="text1"/>
          <w:lang w:val="en-US"/>
        </w:rPr>
        <w:t>e</w:t>
      </w:r>
      <w:r w:rsidR="00754287" w:rsidRPr="00B40A77">
        <w:rPr>
          <w:color w:val="000000" w:themeColor="text1"/>
          <w:lang w:val="en-US"/>
        </w:rPr>
        <w:t xml:space="preserve">r </w:t>
      </w:r>
      <w:hyperlink w:anchor="_200.1—Convening_callover" w:history="1">
        <w:r w:rsidR="009E0914" w:rsidRPr="00B40A77">
          <w:rPr>
            <w:rStyle w:val="Hyperlink"/>
            <w:color w:val="000000" w:themeColor="text1"/>
            <w:lang w:val="en-US"/>
          </w:rPr>
          <w:t>rule 200.1</w:t>
        </w:r>
      </w:hyperlink>
      <w:r w:rsidR="00396506" w:rsidRPr="00B40A77">
        <w:rPr>
          <w:color w:val="000000" w:themeColor="text1"/>
          <w:lang w:val="en-US"/>
        </w:rPr>
        <w:t>;</w:t>
      </w:r>
    </w:p>
    <w:p w14:paraId="2289E1EE" w14:textId="37D17BD8" w:rsidR="00396506" w:rsidRPr="00B40A77" w:rsidRDefault="00396506" w:rsidP="00396506">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order written submissions on </w:t>
      </w:r>
      <w:r w:rsidR="00E51222" w:rsidRPr="00B40A77">
        <w:rPr>
          <w:color w:val="000000" w:themeColor="text1"/>
          <w:lang w:val="en-US"/>
        </w:rPr>
        <w:t xml:space="preserve">leave to appeal under </w:t>
      </w:r>
      <w:hyperlink w:anchor="_195.5—Written_submissions_on" w:history="1">
        <w:r w:rsidR="009E0914" w:rsidRPr="00B40A77">
          <w:rPr>
            <w:rStyle w:val="Hyperlink"/>
            <w:color w:val="000000" w:themeColor="text1"/>
            <w:lang w:val="en-US"/>
          </w:rPr>
          <w:t>rule 195.5</w:t>
        </w:r>
      </w:hyperlink>
      <w:r w:rsidRPr="00B40A77">
        <w:rPr>
          <w:color w:val="000000" w:themeColor="text1"/>
          <w:lang w:val="en-US"/>
        </w:rPr>
        <w:t>;</w:t>
      </w:r>
    </w:p>
    <w:p w14:paraId="0216B22B" w14:textId="01E7B3BF" w:rsidR="00396506" w:rsidRPr="00B40A77" w:rsidRDefault="00396506" w:rsidP="00396506">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order that the application for leave to appeal on </w:t>
      </w:r>
      <w:r w:rsidR="008E31D7" w:rsidRPr="00B40A77">
        <w:rPr>
          <w:color w:val="000000" w:themeColor="text1"/>
          <w:lang w:val="en-US"/>
        </w:rPr>
        <w:t xml:space="preserve">one or more grounds </w:t>
      </w:r>
      <w:r w:rsidRPr="00B40A77">
        <w:rPr>
          <w:color w:val="000000" w:themeColor="text1"/>
          <w:lang w:val="en-US"/>
        </w:rPr>
        <w:t>be listed for separate hearing and determination;</w:t>
      </w:r>
      <w:r w:rsidR="00F61AE2" w:rsidRPr="00B40A77">
        <w:rPr>
          <w:color w:val="000000" w:themeColor="text1"/>
          <w:lang w:val="en-US"/>
        </w:rPr>
        <w:t xml:space="preserve"> </w:t>
      </w:r>
    </w:p>
    <w:p w14:paraId="3BBDC4C2" w14:textId="17519261" w:rsidR="00396506" w:rsidRPr="00B40A77" w:rsidRDefault="00396506" w:rsidP="00396506">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order that the application for leave to appeal </w:t>
      </w:r>
      <w:r w:rsidR="008E31D7" w:rsidRPr="00B40A77">
        <w:rPr>
          <w:color w:val="000000" w:themeColor="text1"/>
          <w:lang w:val="en-US"/>
        </w:rPr>
        <w:t xml:space="preserve">on one or more grounds </w:t>
      </w:r>
      <w:r w:rsidRPr="00B40A77">
        <w:rPr>
          <w:color w:val="000000" w:themeColor="text1"/>
          <w:lang w:val="en-US"/>
        </w:rPr>
        <w:t>be heard at the same time as the appeal; or</w:t>
      </w:r>
    </w:p>
    <w:p w14:paraId="7A32159A" w14:textId="1FDBF766" w:rsidR="00396506" w:rsidRPr="00B40A77" w:rsidRDefault="00396506" w:rsidP="00396506">
      <w:pPr>
        <w:pStyle w:val="Doublehangindent"/>
        <w:rPr>
          <w:color w:val="000000" w:themeColor="text1"/>
          <w:lang w:val="en-US"/>
        </w:rPr>
      </w:pPr>
      <w:r w:rsidRPr="00B40A77">
        <w:rPr>
          <w:color w:val="000000" w:themeColor="text1"/>
          <w:lang w:val="en-US"/>
        </w:rPr>
        <w:t>(</w:t>
      </w:r>
      <w:r w:rsidR="00CA4BE7" w:rsidRPr="00B40A77">
        <w:rPr>
          <w:color w:val="000000" w:themeColor="text1"/>
          <w:lang w:val="en-US"/>
        </w:rPr>
        <w:t>e</w:t>
      </w:r>
      <w:r w:rsidRPr="00B40A77">
        <w:rPr>
          <w:color w:val="000000" w:themeColor="text1"/>
          <w:lang w:val="en-US"/>
        </w:rPr>
        <w:t>)</w:t>
      </w:r>
      <w:r w:rsidRPr="00B40A77">
        <w:rPr>
          <w:color w:val="000000" w:themeColor="text1"/>
          <w:lang w:val="en-US"/>
        </w:rPr>
        <w:tab/>
      </w:r>
      <w:r w:rsidR="00F61AE2" w:rsidRPr="00B40A77">
        <w:rPr>
          <w:color w:val="000000" w:themeColor="text1"/>
          <w:lang w:val="en-US"/>
        </w:rPr>
        <w:t xml:space="preserve">make other orders in relation to the hearing or determination of leave to appeal. </w:t>
      </w:r>
    </w:p>
    <w:p w14:paraId="7A6D8F4B" w14:textId="002ADD36" w:rsidR="00A56169" w:rsidRPr="00B40A77" w:rsidRDefault="00D738EC" w:rsidP="00B27231">
      <w:pPr>
        <w:pStyle w:val="Heading4"/>
        <w:rPr>
          <w:color w:val="000000" w:themeColor="text1"/>
        </w:rPr>
      </w:pPr>
      <w:bookmarkStart w:id="1186" w:name="_195.5—Written_submissions_on"/>
      <w:bookmarkStart w:id="1187" w:name="_Toc175239386"/>
      <w:bookmarkEnd w:id="1186"/>
      <w:r w:rsidRPr="00B40A77">
        <w:rPr>
          <w:color w:val="000000" w:themeColor="text1"/>
        </w:rPr>
        <w:t>195</w:t>
      </w:r>
      <w:r w:rsidR="00754287" w:rsidRPr="00B40A77">
        <w:rPr>
          <w:color w:val="000000" w:themeColor="text1"/>
        </w:rPr>
        <w:t>.5</w:t>
      </w:r>
      <w:r w:rsidR="00546844" w:rsidRPr="00B40A77">
        <w:rPr>
          <w:color w:val="000000" w:themeColor="text1"/>
        </w:rPr>
        <w:t>—Written submissi</w:t>
      </w:r>
      <w:r w:rsidR="00EF1ABB" w:rsidRPr="00B40A77">
        <w:rPr>
          <w:color w:val="000000" w:themeColor="text1"/>
        </w:rPr>
        <w:t>o</w:t>
      </w:r>
      <w:r w:rsidR="00546844" w:rsidRPr="00B40A77">
        <w:rPr>
          <w:color w:val="000000" w:themeColor="text1"/>
        </w:rPr>
        <w:t>ns</w:t>
      </w:r>
      <w:r w:rsidR="00A56169" w:rsidRPr="00B40A77">
        <w:rPr>
          <w:color w:val="000000" w:themeColor="text1"/>
        </w:rPr>
        <w:t xml:space="preserve"> on </w:t>
      </w:r>
      <w:r w:rsidR="00C643A5" w:rsidRPr="00B40A77">
        <w:rPr>
          <w:color w:val="000000" w:themeColor="text1"/>
        </w:rPr>
        <w:t>leave to appeal</w:t>
      </w:r>
      <w:bookmarkEnd w:id="1187"/>
    </w:p>
    <w:p w14:paraId="7586F355" w14:textId="49F5AE51" w:rsidR="00C643A5" w:rsidRPr="00B40A77" w:rsidRDefault="00F61AE2" w:rsidP="00C643A5">
      <w:pPr>
        <w:pStyle w:val="Hangindent"/>
        <w:rPr>
          <w:color w:val="000000" w:themeColor="text1"/>
          <w:lang w:val="en-US"/>
        </w:rPr>
      </w:pPr>
      <w:r w:rsidRPr="00B40A77">
        <w:rPr>
          <w:bCs/>
          <w:color w:val="000000" w:themeColor="text1"/>
          <w:lang w:val="en-US"/>
        </w:rPr>
        <w:t>(1)</w:t>
      </w:r>
      <w:r w:rsidRPr="00B40A77">
        <w:rPr>
          <w:bCs/>
          <w:color w:val="000000" w:themeColor="text1"/>
          <w:lang w:val="en-US"/>
        </w:rPr>
        <w:tab/>
        <w:t>T</w:t>
      </w:r>
      <w:r w:rsidR="00C643A5" w:rsidRPr="00B40A77">
        <w:rPr>
          <w:bCs/>
          <w:color w:val="000000" w:themeColor="text1"/>
          <w:lang w:val="en-US"/>
        </w:rPr>
        <w:t>his rule apples if</w:t>
      </w:r>
      <w:r w:rsidRPr="00B40A77">
        <w:rPr>
          <w:bCs/>
          <w:color w:val="000000" w:themeColor="text1"/>
          <w:lang w:val="en-US"/>
        </w:rPr>
        <w:t xml:space="preserve"> the Court orders that written submissions on leave to appeal be filed.</w:t>
      </w:r>
    </w:p>
    <w:p w14:paraId="78ECABDA" w14:textId="712D3EF3" w:rsidR="00A56169" w:rsidRPr="00B40A77" w:rsidRDefault="00F61AE2" w:rsidP="00773E33">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The appellant</w:t>
      </w:r>
      <w:r w:rsidR="00A56169" w:rsidRPr="00B40A77">
        <w:rPr>
          <w:color w:val="000000" w:themeColor="text1"/>
          <w:lang w:val="en-US"/>
        </w:rPr>
        <w:t xml:space="preserve"> </w:t>
      </w:r>
      <w:r w:rsidR="00BA2FB7" w:rsidRPr="00B40A77">
        <w:rPr>
          <w:color w:val="000000" w:themeColor="text1"/>
          <w:lang w:val="en-US"/>
        </w:rPr>
        <w:t>must, within 7</w:t>
      </w:r>
      <w:r w:rsidRPr="00B40A77">
        <w:rPr>
          <w:color w:val="000000" w:themeColor="text1"/>
          <w:lang w:val="en-US"/>
        </w:rPr>
        <w:t xml:space="preserve"> days of an order that written submissions be filed, </w:t>
      </w:r>
      <w:r w:rsidR="00A56169" w:rsidRPr="00B40A77">
        <w:rPr>
          <w:color w:val="000000" w:themeColor="text1"/>
          <w:lang w:val="en-US"/>
        </w:rPr>
        <w:t xml:space="preserve">file </w:t>
      </w:r>
      <w:r w:rsidRPr="00B40A77">
        <w:rPr>
          <w:bCs/>
          <w:color w:val="000000" w:themeColor="text1"/>
          <w:lang w:val="en-US"/>
        </w:rPr>
        <w:t xml:space="preserve">written submissions </w:t>
      </w:r>
      <w:r w:rsidR="00A56169" w:rsidRPr="00B40A77">
        <w:rPr>
          <w:color w:val="000000" w:themeColor="text1"/>
          <w:lang w:val="en-US"/>
        </w:rPr>
        <w:t xml:space="preserve">in </w:t>
      </w:r>
      <w:r w:rsidR="00D15FF1" w:rsidRPr="00B40A77">
        <w:rPr>
          <w:color w:val="000000" w:themeColor="text1"/>
          <w:lang w:val="en-US"/>
        </w:rPr>
        <w:t>the prescribed form</w:t>
      </w:r>
      <w:r w:rsidR="00754287" w:rsidRPr="00B40A77">
        <w:rPr>
          <w:color w:val="000000" w:themeColor="text1"/>
          <w:lang w:val="en-US"/>
        </w:rPr>
        <w:t xml:space="preserve"> </w:t>
      </w:r>
      <w:r w:rsidR="00A56169" w:rsidRPr="00B40A77">
        <w:rPr>
          <w:color w:val="000000" w:themeColor="text1"/>
          <w:lang w:val="en-US"/>
        </w:rPr>
        <w:t>identifying why the grounds of appeal are reasonably arguable and why leave to appeal should be granted</w:t>
      </w:r>
      <w:r w:rsidR="00213F0B" w:rsidRPr="00B40A77">
        <w:rPr>
          <w:color w:val="000000" w:themeColor="text1"/>
          <w:lang w:val="en-US"/>
        </w:rPr>
        <w:t>.</w:t>
      </w:r>
    </w:p>
    <w:p w14:paraId="2A89B7BE" w14:textId="77777777" w:rsidR="00A56169" w:rsidRPr="00B40A77" w:rsidRDefault="00A56169" w:rsidP="00773E33">
      <w:pPr>
        <w:pStyle w:val="NoteHeader"/>
        <w:keepNext/>
        <w:rPr>
          <w:color w:val="000000" w:themeColor="text1"/>
        </w:rPr>
      </w:pPr>
      <w:r w:rsidRPr="00B40A77">
        <w:rPr>
          <w:color w:val="000000" w:themeColor="text1"/>
        </w:rPr>
        <w:t>Prescribed form—</w:t>
      </w:r>
    </w:p>
    <w:p w14:paraId="005ABD15" w14:textId="7A88F218" w:rsidR="00A56169" w:rsidRPr="00B40A77" w:rsidRDefault="00A56169" w:rsidP="003412A9">
      <w:pPr>
        <w:pStyle w:val="NoteText"/>
        <w:rPr>
          <w:color w:val="000000" w:themeColor="text1"/>
          <w:lang w:val="en-US"/>
        </w:rPr>
      </w:pPr>
      <w:r w:rsidRPr="00B40A77">
        <w:rPr>
          <w:color w:val="000000" w:themeColor="text1"/>
        </w:rPr>
        <w:t xml:space="preserve">Form </w:t>
      </w:r>
      <w:r w:rsidR="00D3383E" w:rsidRPr="00B40A77">
        <w:rPr>
          <w:color w:val="000000" w:themeColor="text1"/>
        </w:rPr>
        <w:t>1</w:t>
      </w:r>
      <w:r w:rsidR="002F46BE" w:rsidRPr="00B40A77">
        <w:rPr>
          <w:color w:val="000000" w:themeColor="text1"/>
        </w:rPr>
        <w:t>87</w:t>
      </w:r>
      <w:r w:rsidRPr="00B40A77">
        <w:rPr>
          <w:color w:val="000000" w:themeColor="text1"/>
        </w:rPr>
        <w:t xml:space="preserve"> </w:t>
      </w:r>
      <w:hyperlink r:id="rId419" w:history="1">
        <w:r w:rsidR="00F61AE2" w:rsidRPr="00B40A77">
          <w:rPr>
            <w:rStyle w:val="Hyperlink"/>
            <w:color w:val="000000" w:themeColor="text1"/>
          </w:rPr>
          <w:t>Written submissions</w:t>
        </w:r>
      </w:hyperlink>
    </w:p>
    <w:p w14:paraId="25BB66D5" w14:textId="6FD4F533" w:rsidR="0089690E" w:rsidRPr="00B40A77" w:rsidRDefault="004F12DF" w:rsidP="00773E33">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The respondent</w:t>
      </w:r>
      <w:r w:rsidR="0089690E" w:rsidRPr="00B40A77">
        <w:rPr>
          <w:color w:val="000000" w:themeColor="text1"/>
          <w:lang w:val="en-US"/>
        </w:rPr>
        <w:t xml:space="preserve"> must, within 7 days of the filing of the appellant’s </w:t>
      </w:r>
      <w:r w:rsidRPr="00B40A77">
        <w:rPr>
          <w:color w:val="000000" w:themeColor="text1"/>
          <w:lang w:val="en-US"/>
        </w:rPr>
        <w:t>written submissions</w:t>
      </w:r>
      <w:r w:rsidR="0089690E" w:rsidRPr="00B40A77">
        <w:rPr>
          <w:color w:val="000000" w:themeColor="text1"/>
          <w:lang w:val="en-US"/>
        </w:rPr>
        <w:t xml:space="preserve">, file </w:t>
      </w:r>
      <w:r w:rsidRPr="00B40A77">
        <w:rPr>
          <w:color w:val="000000" w:themeColor="text1"/>
          <w:lang w:val="en-US"/>
        </w:rPr>
        <w:t xml:space="preserve">written submissions </w:t>
      </w:r>
      <w:r w:rsidR="00754287" w:rsidRPr="00B40A77">
        <w:rPr>
          <w:color w:val="000000" w:themeColor="text1"/>
          <w:lang w:val="en-US"/>
        </w:rPr>
        <w:t xml:space="preserve">in </w:t>
      </w:r>
      <w:r w:rsidR="00D15FF1" w:rsidRPr="00B40A77">
        <w:rPr>
          <w:color w:val="000000" w:themeColor="text1"/>
          <w:lang w:val="en-US"/>
        </w:rPr>
        <w:t>the prescribed form</w:t>
      </w:r>
      <w:r w:rsidR="00754287" w:rsidRPr="00B40A77">
        <w:rPr>
          <w:color w:val="000000" w:themeColor="text1"/>
          <w:lang w:val="en-US"/>
        </w:rPr>
        <w:t xml:space="preserve"> </w:t>
      </w:r>
      <w:r w:rsidR="003260E7" w:rsidRPr="00B40A77">
        <w:rPr>
          <w:color w:val="000000" w:themeColor="text1"/>
          <w:lang w:val="en-US"/>
        </w:rPr>
        <w:t xml:space="preserve">in response to the appellant’s </w:t>
      </w:r>
      <w:r w:rsidRPr="00B40A77">
        <w:rPr>
          <w:color w:val="000000" w:themeColor="text1"/>
          <w:lang w:val="en-US"/>
        </w:rPr>
        <w:t>written submissions</w:t>
      </w:r>
      <w:r w:rsidR="003260E7" w:rsidRPr="00B40A77">
        <w:rPr>
          <w:color w:val="000000" w:themeColor="text1"/>
          <w:lang w:val="en-US"/>
        </w:rPr>
        <w:t>.</w:t>
      </w:r>
    </w:p>
    <w:p w14:paraId="2164D22C" w14:textId="77777777" w:rsidR="0089690E" w:rsidRPr="00B40A77" w:rsidRDefault="0089690E" w:rsidP="00773E33">
      <w:pPr>
        <w:pStyle w:val="NoteHeader"/>
        <w:keepNext/>
        <w:rPr>
          <w:color w:val="000000" w:themeColor="text1"/>
        </w:rPr>
      </w:pPr>
      <w:r w:rsidRPr="00B40A77">
        <w:rPr>
          <w:color w:val="000000" w:themeColor="text1"/>
        </w:rPr>
        <w:t>Prescribed form—</w:t>
      </w:r>
    </w:p>
    <w:p w14:paraId="3AC79C9A" w14:textId="72BC80BF" w:rsidR="00F61AE2" w:rsidRPr="00B40A77" w:rsidRDefault="00F61AE2" w:rsidP="003412A9">
      <w:pPr>
        <w:pStyle w:val="NoteText"/>
        <w:rPr>
          <w:color w:val="000000" w:themeColor="text1"/>
          <w:lang w:val="en-US"/>
        </w:rPr>
      </w:pPr>
      <w:r w:rsidRPr="00B40A77">
        <w:rPr>
          <w:color w:val="000000" w:themeColor="text1"/>
        </w:rPr>
        <w:t>Form 1</w:t>
      </w:r>
      <w:r w:rsidR="002F46BE" w:rsidRPr="00B40A77">
        <w:rPr>
          <w:color w:val="000000" w:themeColor="text1"/>
        </w:rPr>
        <w:t>87</w:t>
      </w:r>
      <w:r w:rsidRPr="00B40A77">
        <w:rPr>
          <w:color w:val="000000" w:themeColor="text1"/>
        </w:rPr>
        <w:t xml:space="preserve"> </w:t>
      </w:r>
      <w:hyperlink r:id="rId420" w:history="1">
        <w:r w:rsidRPr="00B40A77">
          <w:rPr>
            <w:rStyle w:val="Hyperlink"/>
            <w:color w:val="000000" w:themeColor="text1"/>
          </w:rPr>
          <w:t>Written submissions</w:t>
        </w:r>
      </w:hyperlink>
    </w:p>
    <w:p w14:paraId="5A8504E4" w14:textId="1E47DF85" w:rsidR="004F12DF" w:rsidRPr="00B40A77" w:rsidRDefault="004F12DF" w:rsidP="004F12DF">
      <w:pPr>
        <w:pStyle w:val="Hangindent"/>
        <w:rPr>
          <w:color w:val="000000" w:themeColor="text1"/>
          <w:lang w:val="en-US"/>
        </w:rPr>
      </w:pPr>
      <w:r w:rsidRPr="00B40A77">
        <w:rPr>
          <w:color w:val="000000" w:themeColor="text1"/>
          <w:lang w:val="en-US"/>
        </w:rPr>
        <w:t>(4)</w:t>
      </w:r>
      <w:r w:rsidRPr="00B40A77">
        <w:rPr>
          <w:color w:val="000000" w:themeColor="text1"/>
          <w:lang w:val="en-US"/>
        </w:rPr>
        <w:tab/>
        <w:t>Written submissions should not exceed 5 pages unless the issues relevant to leave to appeal are particularly lengthy or complex.</w:t>
      </w:r>
    </w:p>
    <w:p w14:paraId="5086560E" w14:textId="46F23F0F" w:rsidR="004F12DF" w:rsidRPr="00B40A77" w:rsidRDefault="004F12DF" w:rsidP="004F12DF">
      <w:pPr>
        <w:pStyle w:val="Hangindent"/>
        <w:rPr>
          <w:color w:val="000000" w:themeColor="text1"/>
          <w:lang w:val="en-US"/>
        </w:rPr>
      </w:pPr>
      <w:r w:rsidRPr="00B40A77">
        <w:rPr>
          <w:bCs/>
          <w:color w:val="000000" w:themeColor="text1"/>
          <w:lang w:val="en-US"/>
        </w:rPr>
        <w:t>(5)</w:t>
      </w:r>
      <w:r w:rsidRPr="00B40A77">
        <w:rPr>
          <w:bCs/>
          <w:color w:val="000000" w:themeColor="text1"/>
          <w:lang w:val="en-US"/>
        </w:rPr>
        <w:tab/>
        <w:t xml:space="preserve">After filing of the </w:t>
      </w:r>
      <w:r w:rsidRPr="00B40A77">
        <w:rPr>
          <w:color w:val="000000" w:themeColor="text1"/>
          <w:lang w:val="en-US"/>
        </w:rPr>
        <w:t>written submissions</w:t>
      </w:r>
      <w:r w:rsidRPr="00B40A77">
        <w:rPr>
          <w:bCs/>
          <w:color w:val="000000" w:themeColor="text1"/>
          <w:lang w:val="en-US"/>
        </w:rPr>
        <w:t>, the Court may</w:t>
      </w:r>
      <w:r w:rsidR="00A0377D" w:rsidRPr="00B40A77">
        <w:rPr>
          <w:color w:val="000000" w:themeColor="text1"/>
          <w:lang w:val="en-US"/>
        </w:rPr>
        <w:t>—</w:t>
      </w:r>
    </w:p>
    <w:p w14:paraId="4CA03040" w14:textId="44A40D4E" w:rsidR="004F12DF" w:rsidRPr="00B40A77" w:rsidRDefault="004F12DF" w:rsidP="004F12DF">
      <w:pPr>
        <w:pStyle w:val="Doublehangindent"/>
        <w:rPr>
          <w:color w:val="000000" w:themeColor="text1"/>
          <w:lang w:val="en-US"/>
        </w:rPr>
      </w:pPr>
      <w:r w:rsidRPr="00B40A77">
        <w:rPr>
          <w:color w:val="000000" w:themeColor="text1"/>
          <w:lang w:val="en-US"/>
        </w:rPr>
        <w:t>(a)</w:t>
      </w:r>
      <w:r w:rsidRPr="00B40A77">
        <w:rPr>
          <w:color w:val="000000" w:themeColor="text1"/>
          <w:lang w:val="en-US"/>
        </w:rPr>
        <w:tab/>
        <w:t>list the matter for the next av</w:t>
      </w:r>
      <w:r w:rsidR="00B729DE" w:rsidRPr="00B40A77">
        <w:rPr>
          <w:color w:val="000000" w:themeColor="text1"/>
          <w:lang w:val="en-US"/>
        </w:rPr>
        <w:t xml:space="preserve">ailable callover under </w:t>
      </w:r>
      <w:hyperlink w:anchor="_200.1—Convening_callover" w:history="1">
        <w:r w:rsidR="009E0914" w:rsidRPr="00B40A77">
          <w:rPr>
            <w:rStyle w:val="Hyperlink"/>
            <w:color w:val="000000" w:themeColor="text1"/>
            <w:lang w:val="en-US"/>
          </w:rPr>
          <w:t>rule</w:t>
        </w:r>
        <w:r w:rsidR="007A5250" w:rsidRPr="00B40A77">
          <w:rPr>
            <w:rStyle w:val="Hyperlink"/>
            <w:color w:val="000000" w:themeColor="text1"/>
            <w:lang w:val="en-US"/>
          </w:rPr>
          <w:t> </w:t>
        </w:r>
        <w:r w:rsidR="009E0914" w:rsidRPr="00B40A77">
          <w:rPr>
            <w:rStyle w:val="Hyperlink"/>
            <w:color w:val="000000" w:themeColor="text1"/>
            <w:lang w:val="en-US"/>
          </w:rPr>
          <w:t>200.1</w:t>
        </w:r>
      </w:hyperlink>
      <w:r w:rsidRPr="00B40A77">
        <w:rPr>
          <w:color w:val="000000" w:themeColor="text1"/>
          <w:lang w:val="en-US"/>
        </w:rPr>
        <w:t>;</w:t>
      </w:r>
    </w:p>
    <w:p w14:paraId="051336F2" w14:textId="3E9F61F1" w:rsidR="004F12DF" w:rsidRPr="00B40A77" w:rsidRDefault="004F12DF" w:rsidP="004F12DF">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order that the application for leave to appeal </w:t>
      </w:r>
      <w:r w:rsidR="008E31D7" w:rsidRPr="00B40A77">
        <w:rPr>
          <w:color w:val="000000" w:themeColor="text1"/>
          <w:lang w:val="en-US"/>
        </w:rPr>
        <w:t>on one or more</w:t>
      </w:r>
      <w:r w:rsidRPr="00B40A77">
        <w:rPr>
          <w:color w:val="000000" w:themeColor="text1"/>
          <w:lang w:val="en-US"/>
        </w:rPr>
        <w:t xml:space="preserve"> grounds be listed for separate hearing and determination;</w:t>
      </w:r>
    </w:p>
    <w:p w14:paraId="4D2F8667" w14:textId="037D2F86" w:rsidR="004F12DF" w:rsidRPr="00B40A77" w:rsidRDefault="004F12DF" w:rsidP="004F12DF">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order that the application for leave to appeal </w:t>
      </w:r>
      <w:r w:rsidR="005363FB" w:rsidRPr="00B40A77">
        <w:rPr>
          <w:color w:val="000000" w:themeColor="text1"/>
          <w:lang w:val="en-US"/>
        </w:rPr>
        <w:t xml:space="preserve">on one or more grounds </w:t>
      </w:r>
      <w:r w:rsidRPr="00B40A77">
        <w:rPr>
          <w:color w:val="000000" w:themeColor="text1"/>
          <w:lang w:val="en-US"/>
        </w:rPr>
        <w:t>be heard at the same time as the appeal;</w:t>
      </w:r>
    </w:p>
    <w:p w14:paraId="75669A03" w14:textId="7487D399" w:rsidR="005363FB" w:rsidRPr="00B40A77" w:rsidRDefault="008E31D7" w:rsidP="00754287">
      <w:pPr>
        <w:pStyle w:val="Doublehangindent"/>
        <w:rPr>
          <w:color w:val="000000" w:themeColor="text1"/>
          <w:lang w:val="en-US"/>
        </w:rPr>
      </w:pPr>
      <w:r w:rsidRPr="00B40A77">
        <w:rPr>
          <w:color w:val="000000" w:themeColor="text1"/>
          <w:lang w:val="en-US"/>
        </w:rPr>
        <w:t>(d)</w:t>
      </w:r>
      <w:r w:rsidRPr="00B40A77">
        <w:rPr>
          <w:color w:val="000000" w:themeColor="text1"/>
          <w:lang w:val="en-US"/>
        </w:rPr>
        <w:tab/>
      </w:r>
      <w:r w:rsidR="005363FB" w:rsidRPr="00B40A77">
        <w:rPr>
          <w:color w:val="000000" w:themeColor="text1"/>
          <w:lang w:val="en-US"/>
        </w:rPr>
        <w:t>grant</w:t>
      </w:r>
      <w:r w:rsidRPr="00B40A77">
        <w:rPr>
          <w:color w:val="000000" w:themeColor="text1"/>
          <w:lang w:val="en-US"/>
        </w:rPr>
        <w:t xml:space="preserve"> </w:t>
      </w:r>
      <w:r w:rsidR="00754287" w:rsidRPr="00B40A77">
        <w:rPr>
          <w:color w:val="000000" w:themeColor="text1"/>
          <w:lang w:val="en-US"/>
        </w:rPr>
        <w:t xml:space="preserve">or refuse </w:t>
      </w:r>
      <w:r w:rsidRPr="00B40A77">
        <w:rPr>
          <w:color w:val="000000" w:themeColor="text1"/>
          <w:lang w:val="en-US"/>
        </w:rPr>
        <w:t>leave to appeal on some or all grounds</w:t>
      </w:r>
      <w:r w:rsidR="005363FB" w:rsidRPr="00B40A77">
        <w:rPr>
          <w:color w:val="000000" w:themeColor="text1"/>
          <w:lang w:val="en-US"/>
        </w:rPr>
        <w:t>;</w:t>
      </w:r>
      <w:r w:rsidR="00754287" w:rsidRPr="00B40A77">
        <w:rPr>
          <w:color w:val="000000" w:themeColor="text1"/>
          <w:lang w:val="en-US"/>
        </w:rPr>
        <w:t xml:space="preserve"> </w:t>
      </w:r>
      <w:r w:rsidR="005363FB" w:rsidRPr="00B40A77">
        <w:rPr>
          <w:color w:val="000000" w:themeColor="text1"/>
          <w:lang w:val="en-US"/>
        </w:rPr>
        <w:t>or</w:t>
      </w:r>
    </w:p>
    <w:p w14:paraId="334408DE" w14:textId="1445F5FC" w:rsidR="004F12DF" w:rsidRPr="00B40A77" w:rsidRDefault="00754287" w:rsidP="004F12DF">
      <w:pPr>
        <w:pStyle w:val="Doublehangindent"/>
        <w:rPr>
          <w:color w:val="000000" w:themeColor="text1"/>
          <w:lang w:val="en-US"/>
        </w:rPr>
      </w:pPr>
      <w:r w:rsidRPr="00B40A77">
        <w:rPr>
          <w:color w:val="000000" w:themeColor="text1"/>
          <w:lang w:val="en-US"/>
        </w:rPr>
        <w:t>(e</w:t>
      </w:r>
      <w:r w:rsidR="004F12DF" w:rsidRPr="00B40A77">
        <w:rPr>
          <w:color w:val="000000" w:themeColor="text1"/>
          <w:lang w:val="en-US"/>
        </w:rPr>
        <w:t>)</w:t>
      </w:r>
      <w:r w:rsidR="004F12DF" w:rsidRPr="00B40A77">
        <w:rPr>
          <w:color w:val="000000" w:themeColor="text1"/>
          <w:lang w:val="en-US"/>
        </w:rPr>
        <w:tab/>
        <w:t>make other orders in relation to the hearing or determination of leave to appeal</w:t>
      </w:r>
      <w:r w:rsidR="00576AC3" w:rsidRPr="00B40A77">
        <w:rPr>
          <w:color w:val="000000" w:themeColor="text1"/>
          <w:lang w:val="en-US"/>
        </w:rPr>
        <w:t>.</w:t>
      </w:r>
    </w:p>
    <w:p w14:paraId="61C98CBF" w14:textId="17B2D648" w:rsidR="000C5D73" w:rsidRPr="00B40A77" w:rsidRDefault="00FB3C6A" w:rsidP="000C5D73">
      <w:pPr>
        <w:pStyle w:val="Heading3"/>
        <w:rPr>
          <w:color w:val="000000" w:themeColor="text1"/>
        </w:rPr>
      </w:pPr>
      <w:bookmarkStart w:id="1188" w:name="_Toc175239387"/>
      <w:bookmarkEnd w:id="1184"/>
      <w:r w:rsidRPr="00B40A77">
        <w:rPr>
          <w:color w:val="000000" w:themeColor="text1"/>
        </w:rPr>
        <w:lastRenderedPageBreak/>
        <w:t>Subdivision 3</w:t>
      </w:r>
      <w:r w:rsidR="000C5D73" w:rsidRPr="00B40A77">
        <w:rPr>
          <w:color w:val="000000" w:themeColor="text1"/>
        </w:rPr>
        <w:t>—Prosecution appeals</w:t>
      </w:r>
      <w:bookmarkEnd w:id="1188"/>
    </w:p>
    <w:p w14:paraId="1D53D70E" w14:textId="2052F849" w:rsidR="005363FB" w:rsidRPr="00B40A77" w:rsidRDefault="00D738EC" w:rsidP="00E95AD5">
      <w:pPr>
        <w:pStyle w:val="Heading4"/>
        <w:rPr>
          <w:color w:val="000000" w:themeColor="text1"/>
        </w:rPr>
      </w:pPr>
      <w:bookmarkStart w:id="1189" w:name="_Toc175239388"/>
      <w:r w:rsidRPr="00B40A77">
        <w:rPr>
          <w:color w:val="000000" w:themeColor="text1"/>
        </w:rPr>
        <w:t>195</w:t>
      </w:r>
      <w:r w:rsidR="00754287" w:rsidRPr="00B40A77">
        <w:rPr>
          <w:color w:val="000000" w:themeColor="text1"/>
        </w:rPr>
        <w:t>.6</w:t>
      </w:r>
      <w:r w:rsidR="005363FB" w:rsidRPr="00B40A77">
        <w:rPr>
          <w:color w:val="000000" w:themeColor="text1"/>
        </w:rPr>
        <w:t>—Hearing and determination of leave to appeal</w:t>
      </w:r>
      <w:bookmarkEnd w:id="1189"/>
    </w:p>
    <w:p w14:paraId="1220EF50" w14:textId="649F5528" w:rsidR="005363FB" w:rsidRPr="00B40A77" w:rsidRDefault="00F37260" w:rsidP="00165F56">
      <w:pPr>
        <w:pStyle w:val="Hangindent"/>
        <w:ind w:left="567" w:firstLine="0"/>
        <w:rPr>
          <w:color w:val="000000" w:themeColor="text1"/>
          <w:lang w:val="en-US"/>
        </w:rPr>
      </w:pPr>
      <w:r w:rsidRPr="00B40A77">
        <w:rPr>
          <w:bCs/>
          <w:color w:val="000000" w:themeColor="text1"/>
          <w:lang w:val="en-US"/>
        </w:rPr>
        <w:t xml:space="preserve">After </w:t>
      </w:r>
      <w:r w:rsidR="00773E33" w:rsidRPr="00B40A77">
        <w:rPr>
          <w:bCs/>
          <w:color w:val="000000" w:themeColor="text1"/>
          <w:lang w:val="en-US"/>
        </w:rPr>
        <w:t xml:space="preserve">the </w:t>
      </w:r>
      <w:r w:rsidRPr="00B40A77">
        <w:rPr>
          <w:bCs/>
          <w:color w:val="000000" w:themeColor="text1"/>
          <w:lang w:val="en-US"/>
        </w:rPr>
        <w:t>filing of a notice of appeal, unless the Court otherwise orders, t</w:t>
      </w:r>
      <w:r w:rsidR="005363FB" w:rsidRPr="00B40A77">
        <w:rPr>
          <w:bCs/>
          <w:color w:val="000000" w:themeColor="text1"/>
          <w:lang w:val="en-US"/>
        </w:rPr>
        <w:t xml:space="preserve">he Court </w:t>
      </w:r>
      <w:r w:rsidRPr="00B40A77">
        <w:rPr>
          <w:bCs/>
          <w:color w:val="000000" w:themeColor="text1"/>
          <w:lang w:val="en-US"/>
        </w:rPr>
        <w:t xml:space="preserve">will </w:t>
      </w:r>
      <w:r w:rsidR="005363FB" w:rsidRPr="00B40A77">
        <w:rPr>
          <w:color w:val="000000" w:themeColor="text1"/>
          <w:lang w:val="en-US"/>
        </w:rPr>
        <w:t>list the matter for the next a</w:t>
      </w:r>
      <w:r w:rsidR="00B729DE" w:rsidRPr="00B40A77">
        <w:rPr>
          <w:color w:val="000000" w:themeColor="text1"/>
          <w:lang w:val="en-US"/>
        </w:rPr>
        <w:t xml:space="preserve">vailable callover under </w:t>
      </w:r>
      <w:hyperlink w:anchor="_200.1—Convening_callover" w:history="1">
        <w:r w:rsidR="009E0914" w:rsidRPr="00B40A77">
          <w:rPr>
            <w:rStyle w:val="Hyperlink"/>
            <w:color w:val="000000" w:themeColor="text1"/>
            <w:lang w:val="en-US"/>
          </w:rPr>
          <w:t>rule</w:t>
        </w:r>
        <w:r w:rsidR="007A5250" w:rsidRPr="00B40A77">
          <w:rPr>
            <w:rStyle w:val="Hyperlink"/>
            <w:color w:val="000000" w:themeColor="text1"/>
            <w:lang w:val="en-US"/>
          </w:rPr>
          <w:t> </w:t>
        </w:r>
        <w:r w:rsidR="009E0914" w:rsidRPr="00B40A77">
          <w:rPr>
            <w:rStyle w:val="Hyperlink"/>
            <w:color w:val="000000" w:themeColor="text1"/>
            <w:lang w:val="en-US"/>
          </w:rPr>
          <w:t>200.1</w:t>
        </w:r>
      </w:hyperlink>
      <w:r w:rsidRPr="00B40A77">
        <w:rPr>
          <w:color w:val="000000" w:themeColor="text1"/>
          <w:lang w:val="en-US"/>
        </w:rPr>
        <w:t>.</w:t>
      </w:r>
    </w:p>
    <w:p w14:paraId="79271905" w14:textId="321E98B7" w:rsidR="00564083" w:rsidRPr="00B40A77" w:rsidRDefault="00564083" w:rsidP="00564083">
      <w:pPr>
        <w:pStyle w:val="Heading3"/>
        <w:rPr>
          <w:color w:val="000000" w:themeColor="text1"/>
        </w:rPr>
      </w:pPr>
      <w:bookmarkStart w:id="1190" w:name="_Toc175239389"/>
      <w:bookmarkStart w:id="1191" w:name="_Hlk71798422"/>
      <w:r w:rsidRPr="00B40A77">
        <w:rPr>
          <w:color w:val="000000" w:themeColor="text1"/>
        </w:rPr>
        <w:t>Subdivision 4—Second or subsequent appeals</w:t>
      </w:r>
      <w:bookmarkEnd w:id="1190"/>
    </w:p>
    <w:p w14:paraId="7C69A3F9" w14:textId="2DB04959" w:rsidR="00B26D6D" w:rsidRPr="00B40A77" w:rsidRDefault="00B26D6D" w:rsidP="00B26D6D">
      <w:pPr>
        <w:pStyle w:val="Heading4"/>
        <w:rPr>
          <w:color w:val="000000" w:themeColor="text1"/>
        </w:rPr>
      </w:pPr>
      <w:bookmarkStart w:id="1192" w:name="_Toc175239390"/>
      <w:r w:rsidRPr="00B40A77">
        <w:rPr>
          <w:color w:val="000000" w:themeColor="text1"/>
        </w:rPr>
        <w:t>195.</w:t>
      </w:r>
      <w:r w:rsidR="00C069DC" w:rsidRPr="00B40A77">
        <w:rPr>
          <w:color w:val="000000" w:themeColor="text1"/>
        </w:rPr>
        <w:t>7</w:t>
      </w:r>
      <w:r w:rsidRPr="00B40A77">
        <w:rPr>
          <w:color w:val="000000" w:themeColor="text1"/>
        </w:rPr>
        <w:t>—Hearing and determination of leave to appeal</w:t>
      </w:r>
      <w:bookmarkEnd w:id="1192"/>
    </w:p>
    <w:p w14:paraId="7BC490A6" w14:textId="4F92C7FB" w:rsidR="00B26D6D" w:rsidRPr="00B40A77" w:rsidRDefault="00B26D6D" w:rsidP="00B26D6D">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After </w:t>
      </w:r>
      <w:r w:rsidR="00773E33" w:rsidRPr="00B40A77">
        <w:rPr>
          <w:color w:val="000000" w:themeColor="text1"/>
          <w:lang w:val="en-US"/>
        </w:rPr>
        <w:t xml:space="preserve">the </w:t>
      </w:r>
      <w:r w:rsidRPr="00B40A77">
        <w:rPr>
          <w:color w:val="000000" w:themeColor="text1"/>
          <w:lang w:val="en-US"/>
        </w:rPr>
        <w:t xml:space="preserve">filing of a notice of appeal, unless the Court otherwise orders, the Court will list the matter for the next available callover under </w:t>
      </w:r>
      <w:hyperlink w:anchor="_200.1—Convening_callover" w:history="1">
        <w:r w:rsidR="009E0914" w:rsidRPr="00B40A77">
          <w:rPr>
            <w:rStyle w:val="Hyperlink"/>
            <w:color w:val="000000" w:themeColor="text1"/>
            <w:lang w:val="en-US"/>
          </w:rPr>
          <w:t>rule 200.1</w:t>
        </w:r>
      </w:hyperlink>
      <w:r w:rsidRPr="00B40A77">
        <w:rPr>
          <w:color w:val="000000" w:themeColor="text1"/>
          <w:lang w:val="en-US"/>
        </w:rPr>
        <w:t>.</w:t>
      </w:r>
    </w:p>
    <w:p w14:paraId="48083620" w14:textId="4B66E425" w:rsidR="00B26D6D" w:rsidRPr="00B40A77" w:rsidRDefault="00B26D6D" w:rsidP="00B26D6D">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application for leave to appeal will be heard and determined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constituted under </w:t>
      </w:r>
      <w:hyperlink w:anchor="_212.4—Constitution_of_Full" w:history="1">
        <w:r w:rsidRPr="00B40A77">
          <w:rPr>
            <w:rStyle w:val="Hyperlink"/>
            <w:color w:val="000000" w:themeColor="text1"/>
            <w:lang w:val="en-US"/>
          </w:rPr>
          <w:t>rule 192.3</w:t>
        </w:r>
      </w:hyperlink>
      <w:r w:rsidRPr="00B40A77">
        <w:rPr>
          <w:color w:val="000000" w:themeColor="text1"/>
          <w:lang w:val="en-US"/>
        </w:rPr>
        <w:t>.</w:t>
      </w:r>
    </w:p>
    <w:p w14:paraId="038BD5D0" w14:textId="32BE9A2D" w:rsidR="00652E18" w:rsidRPr="00B40A77" w:rsidRDefault="00754287" w:rsidP="00652E18">
      <w:pPr>
        <w:pStyle w:val="Heading3"/>
        <w:rPr>
          <w:color w:val="000000" w:themeColor="text1"/>
        </w:rPr>
      </w:pPr>
      <w:bookmarkStart w:id="1193" w:name="_Division_5—Leave_to"/>
      <w:bookmarkStart w:id="1194" w:name="_Toc175239391"/>
      <w:bookmarkEnd w:id="1193"/>
      <w:r w:rsidRPr="00B40A77">
        <w:rPr>
          <w:color w:val="000000" w:themeColor="text1"/>
        </w:rPr>
        <w:t>Division 5</w:t>
      </w:r>
      <w:r w:rsidR="00652E18" w:rsidRPr="00B40A77">
        <w:rPr>
          <w:color w:val="000000" w:themeColor="text1"/>
        </w:rPr>
        <w:t>—Leave to appeal from judgment on appeal</w:t>
      </w:r>
      <w:bookmarkEnd w:id="1194"/>
    </w:p>
    <w:p w14:paraId="26963061" w14:textId="2E921A23" w:rsidR="00652E18" w:rsidRPr="00B40A77" w:rsidRDefault="00D738EC" w:rsidP="00652E18">
      <w:pPr>
        <w:pStyle w:val="Heading4"/>
        <w:rPr>
          <w:color w:val="000000" w:themeColor="text1"/>
        </w:rPr>
      </w:pPr>
      <w:bookmarkStart w:id="1195" w:name="_Toc175239392"/>
      <w:bookmarkStart w:id="1196" w:name="_Hlk71797558"/>
      <w:r w:rsidRPr="00B40A77">
        <w:rPr>
          <w:color w:val="000000" w:themeColor="text1"/>
        </w:rPr>
        <w:t>196</w:t>
      </w:r>
      <w:r w:rsidR="00652E18" w:rsidRPr="00B40A77">
        <w:rPr>
          <w:color w:val="000000" w:themeColor="text1"/>
        </w:rPr>
        <w:t>.1—Application of Division</w:t>
      </w:r>
      <w:bookmarkEnd w:id="1195"/>
    </w:p>
    <w:p w14:paraId="6ACACC55" w14:textId="454B29FF" w:rsidR="00652E18" w:rsidRPr="00B40A77" w:rsidRDefault="00652E18" w:rsidP="00652E18">
      <w:pPr>
        <w:pStyle w:val="Hangindent"/>
        <w:ind w:left="567" w:firstLine="0"/>
        <w:rPr>
          <w:rFonts w:cs="Times New Roman"/>
          <w:color w:val="000000" w:themeColor="text1"/>
        </w:rPr>
      </w:pPr>
      <w:r w:rsidRPr="00B40A77">
        <w:rPr>
          <w:rFonts w:cs="Times New Roman"/>
          <w:color w:val="000000" w:themeColor="text1"/>
        </w:rPr>
        <w:t xml:space="preserve">This Division applies to </w:t>
      </w:r>
      <w:r w:rsidRPr="00B40A77">
        <w:rPr>
          <w:color w:val="000000" w:themeColor="text1"/>
          <w:szCs w:val="24"/>
          <w:lang w:val="en-GB"/>
        </w:rPr>
        <w:t xml:space="preserve">all </w:t>
      </w:r>
      <w:r w:rsidR="000C5D73" w:rsidRPr="00B40A77">
        <w:rPr>
          <w:color w:val="000000" w:themeColor="text1"/>
          <w:szCs w:val="24"/>
          <w:lang w:val="en-GB"/>
        </w:rPr>
        <w:t>appeals</w:t>
      </w:r>
      <w:r w:rsidRPr="00B40A77">
        <w:rPr>
          <w:color w:val="000000" w:themeColor="text1"/>
          <w:szCs w:val="24"/>
          <w:lang w:val="en-GB"/>
        </w:rPr>
        <w:t xml:space="preserve"> against a judgment</w:t>
      </w:r>
      <w:r w:rsidR="004C2D3F" w:rsidRPr="00B40A77">
        <w:rPr>
          <w:color w:val="000000" w:themeColor="text1"/>
          <w:szCs w:val="24"/>
          <w:lang w:val="en-GB"/>
        </w:rPr>
        <w:t>, order or direction</w:t>
      </w:r>
      <w:r w:rsidRPr="00B40A77">
        <w:rPr>
          <w:color w:val="000000" w:themeColor="text1"/>
          <w:szCs w:val="24"/>
          <w:lang w:val="en-GB"/>
        </w:rPr>
        <w:t xml:space="preserve"> of a Judge</w:t>
      </w:r>
      <w:r w:rsidR="00842152" w:rsidRPr="00B40A77">
        <w:rPr>
          <w:color w:val="000000" w:themeColor="text1"/>
          <w:szCs w:val="24"/>
          <w:lang w:val="en-GB"/>
        </w:rPr>
        <w:t xml:space="preserve"> of the Supreme Court except those governed by </w:t>
      </w:r>
      <w:hyperlink w:anchor="_Division_4—Leave_to" w:history="1">
        <w:r w:rsidR="00842152" w:rsidRPr="00B40A77">
          <w:rPr>
            <w:rStyle w:val="Hyperlink"/>
            <w:color w:val="000000" w:themeColor="text1"/>
            <w:szCs w:val="24"/>
            <w:lang w:val="en-GB"/>
          </w:rPr>
          <w:t>Division 4</w:t>
        </w:r>
      </w:hyperlink>
      <w:r w:rsidRPr="00B40A77">
        <w:rPr>
          <w:rFonts w:cs="Times New Roman"/>
          <w:color w:val="000000" w:themeColor="text1"/>
        </w:rPr>
        <w:t>.</w:t>
      </w:r>
    </w:p>
    <w:p w14:paraId="631079CF" w14:textId="6AD0B6C1" w:rsidR="00A73ED4" w:rsidRPr="00B40A77" w:rsidRDefault="00A73ED4" w:rsidP="00A73ED4">
      <w:pPr>
        <w:pStyle w:val="Heading4"/>
        <w:rPr>
          <w:color w:val="000000" w:themeColor="text1"/>
        </w:rPr>
      </w:pPr>
      <w:bookmarkStart w:id="1197" w:name="_Toc175239393"/>
      <w:r w:rsidRPr="00B40A77">
        <w:rPr>
          <w:color w:val="000000" w:themeColor="text1"/>
        </w:rPr>
        <w:t>196.2—When required</w:t>
      </w:r>
      <w:bookmarkEnd w:id="1197"/>
    </w:p>
    <w:bookmarkEnd w:id="1196"/>
    <w:p w14:paraId="0A1DEAF8" w14:textId="77EA33E9" w:rsidR="00A73ED4" w:rsidRPr="00B40A77" w:rsidRDefault="00A73ED4" w:rsidP="00A73ED4">
      <w:pPr>
        <w:pStyle w:val="Hangindent"/>
        <w:rPr>
          <w:color w:val="000000" w:themeColor="text1"/>
          <w:lang w:val="en-US"/>
        </w:rPr>
      </w:pPr>
      <w:r w:rsidRPr="00B40A77">
        <w:rPr>
          <w:color w:val="000000" w:themeColor="text1"/>
          <w:lang w:val="en-US"/>
        </w:rPr>
        <w:t xml:space="preserve">Subject to any </w:t>
      </w:r>
      <w:r w:rsidR="00532AD4" w:rsidRPr="00B40A77">
        <w:rPr>
          <w:color w:val="000000" w:themeColor="text1"/>
          <w:lang w:val="en-US"/>
        </w:rPr>
        <w:t>statutory provision</w:t>
      </w:r>
      <w:r w:rsidRPr="00B40A77">
        <w:rPr>
          <w:color w:val="000000" w:themeColor="text1"/>
          <w:lang w:val="en-US"/>
        </w:rPr>
        <w:t xml:space="preserve"> to the contrary, leave to appeal is required</w:t>
      </w:r>
      <w:r w:rsidRPr="00B40A77">
        <w:rPr>
          <w:rFonts w:cs="Times New Roman"/>
          <w:color w:val="000000" w:themeColor="text1"/>
        </w:rPr>
        <w:t>—</w:t>
      </w:r>
    </w:p>
    <w:p w14:paraId="38CBEDBB" w14:textId="342727A1" w:rsidR="00A73ED4" w:rsidRPr="00B40A77" w:rsidRDefault="00A73ED4" w:rsidP="0058749D">
      <w:pPr>
        <w:pStyle w:val="Doublehangindent"/>
        <w:ind w:left="1134"/>
        <w:rPr>
          <w:color w:val="000000" w:themeColor="text1"/>
          <w:lang w:val="en-US"/>
        </w:rPr>
      </w:pPr>
      <w:r w:rsidRPr="00B40A77">
        <w:rPr>
          <w:color w:val="000000" w:themeColor="text1"/>
          <w:lang w:val="en-US"/>
        </w:rPr>
        <w:t>(a)</w:t>
      </w:r>
      <w:r w:rsidRPr="00B40A77">
        <w:rPr>
          <w:color w:val="000000" w:themeColor="text1"/>
          <w:lang w:val="en-US"/>
        </w:rPr>
        <w:tab/>
        <w:t xml:space="preserve">if a </w:t>
      </w:r>
      <w:r w:rsidR="00532AD4" w:rsidRPr="00B40A77">
        <w:rPr>
          <w:color w:val="000000" w:themeColor="text1"/>
          <w:lang w:val="en-US"/>
        </w:rPr>
        <w:t>statutory provision</w:t>
      </w:r>
      <w:r w:rsidRPr="00B40A77">
        <w:rPr>
          <w:color w:val="000000" w:themeColor="text1"/>
          <w:lang w:val="en-US"/>
        </w:rPr>
        <w:t xml:space="preserve"> so provides;</w:t>
      </w:r>
    </w:p>
    <w:p w14:paraId="026BFD46" w14:textId="1A844D9D" w:rsidR="00A73ED4" w:rsidRPr="00B40A77" w:rsidRDefault="00A73ED4" w:rsidP="0058749D">
      <w:pPr>
        <w:pStyle w:val="Doublehangindent"/>
        <w:ind w:left="1134"/>
        <w:rPr>
          <w:color w:val="000000" w:themeColor="text1"/>
          <w:lang w:val="en-US"/>
        </w:rPr>
      </w:pPr>
      <w:r w:rsidRPr="00B40A77">
        <w:rPr>
          <w:color w:val="000000" w:themeColor="text1"/>
          <w:lang w:val="en-US"/>
        </w:rPr>
        <w:t>(b)</w:t>
      </w:r>
      <w:r w:rsidRPr="00B40A77">
        <w:rPr>
          <w:color w:val="000000" w:themeColor="text1"/>
          <w:lang w:val="en-US"/>
        </w:rPr>
        <w:tab/>
        <w:t xml:space="preserve">against </w:t>
      </w:r>
      <w:r w:rsidRPr="00B40A77">
        <w:rPr>
          <w:color w:val="000000" w:themeColor="text1"/>
          <w:szCs w:val="24"/>
          <w:lang w:val="en-GB"/>
        </w:rPr>
        <w:t>a judgment on appeal against a judgment of a court of first instance</w:t>
      </w:r>
      <w:r w:rsidR="004C2D3F" w:rsidRPr="00B40A77">
        <w:rPr>
          <w:color w:val="000000" w:themeColor="text1"/>
          <w:lang w:val="en-US"/>
        </w:rPr>
        <w:t>; or</w:t>
      </w:r>
    </w:p>
    <w:p w14:paraId="339733B3" w14:textId="4B3E5F05" w:rsidR="004C2D3F" w:rsidRPr="00B40A77" w:rsidRDefault="004C2D3F" w:rsidP="00A37E9E">
      <w:pPr>
        <w:pStyle w:val="Doublehangindent"/>
        <w:keepNext/>
        <w:ind w:left="1134"/>
        <w:rPr>
          <w:color w:val="000000" w:themeColor="text1"/>
          <w:lang w:val="en-US"/>
        </w:rPr>
      </w:pPr>
      <w:r w:rsidRPr="00B40A77">
        <w:rPr>
          <w:color w:val="000000" w:themeColor="text1"/>
          <w:lang w:val="en-US"/>
        </w:rPr>
        <w:t>(c)</w:t>
      </w:r>
      <w:r w:rsidRPr="00B40A77">
        <w:rPr>
          <w:color w:val="000000" w:themeColor="text1"/>
          <w:lang w:val="en-US"/>
        </w:rPr>
        <w:tab/>
        <w:t>against an interlocutory order or direction.</w:t>
      </w:r>
    </w:p>
    <w:p w14:paraId="0F7D6738" w14:textId="4A40687A" w:rsidR="008A6601" w:rsidRPr="00B40A77" w:rsidRDefault="008A6601" w:rsidP="00F815AA">
      <w:pPr>
        <w:pStyle w:val="NoteHeader"/>
        <w:keepNext/>
        <w:rPr>
          <w:color w:val="000000" w:themeColor="text1"/>
        </w:rPr>
      </w:pPr>
      <w:r w:rsidRPr="00B40A77">
        <w:rPr>
          <w:color w:val="000000" w:themeColor="text1"/>
        </w:rPr>
        <w:t>Note</w:t>
      </w:r>
      <w:r w:rsidR="00A73ED4" w:rsidRPr="00B40A77">
        <w:rPr>
          <w:color w:val="000000" w:themeColor="text1"/>
        </w:rPr>
        <w:t>s</w:t>
      </w:r>
      <w:r w:rsidRPr="00B40A77">
        <w:rPr>
          <w:color w:val="000000" w:themeColor="text1"/>
        </w:rPr>
        <w:t>—</w:t>
      </w:r>
    </w:p>
    <w:p w14:paraId="108AA34D" w14:textId="25C69DD9" w:rsidR="008A6601" w:rsidRPr="00B40A77" w:rsidRDefault="008A6601" w:rsidP="003412A9">
      <w:pPr>
        <w:pStyle w:val="NoteText"/>
        <w:rPr>
          <w:color w:val="000000" w:themeColor="text1"/>
        </w:rPr>
      </w:pPr>
      <w:r w:rsidRPr="00B40A77">
        <w:rPr>
          <w:color w:val="000000" w:themeColor="text1"/>
        </w:rPr>
        <w:t>Section</w:t>
      </w:r>
      <w:r w:rsidR="00872A4E" w:rsidRPr="00B40A77">
        <w:rPr>
          <w:color w:val="000000" w:themeColor="text1"/>
        </w:rPr>
        <w:t> </w:t>
      </w:r>
      <w:r w:rsidRPr="00B40A77">
        <w:rPr>
          <w:color w:val="000000" w:themeColor="text1"/>
        </w:rPr>
        <w:t>50</w:t>
      </w:r>
      <w:r w:rsidR="00A73ED4" w:rsidRPr="00B40A77">
        <w:rPr>
          <w:color w:val="000000" w:themeColor="text1"/>
        </w:rPr>
        <w:t>(4)(a)(ii)</w:t>
      </w:r>
      <w:r w:rsidRPr="00B40A77">
        <w:rPr>
          <w:color w:val="000000" w:themeColor="text1"/>
        </w:rPr>
        <w:t xml:space="preserve"> of the </w:t>
      </w:r>
      <w:r w:rsidRPr="00B40A77">
        <w:rPr>
          <w:i/>
          <w:color w:val="000000" w:themeColor="text1"/>
        </w:rPr>
        <w:t>Supreme Court Act 1935</w:t>
      </w:r>
      <w:r w:rsidRPr="00B40A77">
        <w:rPr>
          <w:color w:val="000000" w:themeColor="text1"/>
        </w:rPr>
        <w:t xml:space="preserve"> provides that an appeal lies only with the permission of the</w:t>
      </w:r>
      <w:r w:rsidR="00710C38" w:rsidRPr="00B40A77">
        <w:rPr>
          <w:color w:val="000000" w:themeColor="text1"/>
        </w:rPr>
        <w:t xml:space="preserve"> </w:t>
      </w:r>
      <w:r w:rsidRPr="00B40A77">
        <w:rPr>
          <w:color w:val="000000" w:themeColor="text1"/>
        </w:rPr>
        <w:t>court</w:t>
      </w:r>
      <w:r w:rsidR="00A73ED4" w:rsidRPr="00B40A77">
        <w:rPr>
          <w:color w:val="000000" w:themeColor="text1"/>
        </w:rPr>
        <w:t xml:space="preserve"> </w:t>
      </w:r>
      <w:r w:rsidRPr="00B40A77">
        <w:rPr>
          <w:color w:val="000000" w:themeColor="text1"/>
        </w:rPr>
        <w:t>from a</w:t>
      </w:r>
      <w:r w:rsidR="00710C38" w:rsidRPr="00B40A77">
        <w:rPr>
          <w:color w:val="000000" w:themeColor="text1"/>
        </w:rPr>
        <w:t xml:space="preserve"> </w:t>
      </w:r>
      <w:r w:rsidRPr="00B40A77">
        <w:rPr>
          <w:color w:val="000000" w:themeColor="text1"/>
        </w:rPr>
        <w:t>judgment</w:t>
      </w:r>
      <w:r w:rsidR="00710C38" w:rsidRPr="00B40A77">
        <w:rPr>
          <w:color w:val="000000" w:themeColor="text1"/>
        </w:rPr>
        <w:t xml:space="preserve"> </w:t>
      </w:r>
      <w:r w:rsidRPr="00B40A77">
        <w:rPr>
          <w:color w:val="000000" w:themeColor="text1"/>
        </w:rPr>
        <w:t>given by a single</w:t>
      </w:r>
      <w:r w:rsidR="00710C38" w:rsidRPr="00B40A77">
        <w:rPr>
          <w:color w:val="000000" w:themeColor="text1"/>
        </w:rPr>
        <w:t xml:space="preserve"> J</w:t>
      </w:r>
      <w:r w:rsidRPr="00B40A77">
        <w:rPr>
          <w:color w:val="000000" w:themeColor="text1"/>
        </w:rPr>
        <w:t>udge</w:t>
      </w:r>
      <w:r w:rsidR="00710C38" w:rsidRPr="00B40A77">
        <w:rPr>
          <w:color w:val="000000" w:themeColor="text1"/>
        </w:rPr>
        <w:t xml:space="preserve"> </w:t>
      </w:r>
      <w:r w:rsidRPr="00B40A77">
        <w:rPr>
          <w:color w:val="000000" w:themeColor="text1"/>
        </w:rPr>
        <w:t>on appeal from a</w:t>
      </w:r>
      <w:r w:rsidR="00710C38" w:rsidRPr="00B40A77">
        <w:rPr>
          <w:color w:val="000000" w:themeColor="text1"/>
        </w:rPr>
        <w:t xml:space="preserve"> </w:t>
      </w:r>
      <w:r w:rsidRPr="00B40A77">
        <w:rPr>
          <w:color w:val="000000" w:themeColor="text1"/>
        </w:rPr>
        <w:t>judgment</w:t>
      </w:r>
      <w:r w:rsidR="00710C38" w:rsidRPr="00B40A77">
        <w:rPr>
          <w:color w:val="000000" w:themeColor="text1"/>
        </w:rPr>
        <w:t xml:space="preserve"> </w:t>
      </w:r>
      <w:r w:rsidRPr="00B40A77">
        <w:rPr>
          <w:color w:val="000000" w:themeColor="text1"/>
        </w:rPr>
        <w:t>of the Magistrates</w:t>
      </w:r>
      <w:r w:rsidR="00710C38" w:rsidRPr="00B40A77">
        <w:rPr>
          <w:color w:val="000000" w:themeColor="text1"/>
        </w:rPr>
        <w:t xml:space="preserve"> </w:t>
      </w:r>
      <w:r w:rsidRPr="00B40A77">
        <w:rPr>
          <w:color w:val="000000" w:themeColor="text1"/>
        </w:rPr>
        <w:t>Court</w:t>
      </w:r>
      <w:r w:rsidR="00A73ED4" w:rsidRPr="00B40A77">
        <w:rPr>
          <w:color w:val="000000" w:themeColor="text1"/>
        </w:rPr>
        <w:t>.</w:t>
      </w:r>
    </w:p>
    <w:p w14:paraId="722A4489" w14:textId="4F1373F7" w:rsidR="00A73ED4" w:rsidRPr="00B40A77" w:rsidRDefault="00A73ED4" w:rsidP="003412A9">
      <w:pPr>
        <w:pStyle w:val="NoteText"/>
        <w:rPr>
          <w:color w:val="000000" w:themeColor="text1"/>
        </w:rPr>
      </w:pPr>
      <w:r w:rsidRPr="00B40A77">
        <w:rPr>
          <w:color w:val="000000" w:themeColor="text1"/>
        </w:rPr>
        <w:t>Section</w:t>
      </w:r>
      <w:r w:rsidR="0058749D" w:rsidRPr="00B40A77">
        <w:rPr>
          <w:color w:val="000000" w:themeColor="text1"/>
        </w:rPr>
        <w:t> </w:t>
      </w:r>
      <w:r w:rsidRPr="00B40A77">
        <w:rPr>
          <w:color w:val="000000" w:themeColor="text1"/>
        </w:rPr>
        <w:t>50(4)</w:t>
      </w:r>
      <w:r w:rsidR="006A6B98" w:rsidRPr="00B40A77">
        <w:rPr>
          <w:color w:val="000000" w:themeColor="text1"/>
        </w:rPr>
        <w:t>(b)</w:t>
      </w:r>
      <w:r w:rsidRPr="00B40A77">
        <w:rPr>
          <w:color w:val="000000" w:themeColor="text1"/>
        </w:rPr>
        <w:t xml:space="preserve"> of the </w:t>
      </w:r>
      <w:r w:rsidRPr="00B40A77">
        <w:rPr>
          <w:i/>
          <w:color w:val="000000" w:themeColor="text1"/>
        </w:rPr>
        <w:t>Supreme Court Act 1935</w:t>
      </w:r>
      <w:r w:rsidRPr="00B40A77">
        <w:rPr>
          <w:color w:val="000000" w:themeColor="text1"/>
        </w:rPr>
        <w:t xml:space="preserve"> provides that an appeal lies only with the permission of the court </w:t>
      </w:r>
      <w:r w:rsidR="002E1CEA" w:rsidRPr="00B40A77">
        <w:rPr>
          <w:color w:val="000000" w:themeColor="text1"/>
        </w:rPr>
        <w:t>if the rules provide that the appeal lies by permission of the court.</w:t>
      </w:r>
    </w:p>
    <w:p w14:paraId="010DC395" w14:textId="5A59F9F6" w:rsidR="00652E18" w:rsidRPr="00B40A77" w:rsidRDefault="00D738EC" w:rsidP="00652E18">
      <w:pPr>
        <w:pStyle w:val="Heading4"/>
        <w:rPr>
          <w:color w:val="000000" w:themeColor="text1"/>
        </w:rPr>
      </w:pPr>
      <w:bookmarkStart w:id="1198" w:name="_196.3—Leave_sought_from"/>
      <w:bookmarkStart w:id="1199" w:name="_Toc25920245"/>
      <w:bookmarkStart w:id="1200" w:name="_Toc65163049"/>
      <w:bookmarkStart w:id="1201" w:name="_Toc175239394"/>
      <w:bookmarkStart w:id="1202" w:name="_Toc65163048"/>
      <w:bookmarkEnd w:id="1198"/>
      <w:r w:rsidRPr="00B40A77">
        <w:rPr>
          <w:color w:val="000000" w:themeColor="text1"/>
        </w:rPr>
        <w:t>196</w:t>
      </w:r>
      <w:r w:rsidR="002E1CEA" w:rsidRPr="00B40A77">
        <w:rPr>
          <w:color w:val="000000" w:themeColor="text1"/>
        </w:rPr>
        <w:t>.3</w:t>
      </w:r>
      <w:r w:rsidR="00652E18" w:rsidRPr="00B40A77">
        <w:rPr>
          <w:color w:val="000000" w:themeColor="text1"/>
        </w:rPr>
        <w:t>—Leave sought from Judge at first instance</w:t>
      </w:r>
      <w:bookmarkEnd w:id="1199"/>
      <w:bookmarkEnd w:id="1200"/>
      <w:bookmarkEnd w:id="1201"/>
    </w:p>
    <w:p w14:paraId="0814D16C" w14:textId="6CB797B6" w:rsidR="00652E18" w:rsidRPr="00B40A77" w:rsidRDefault="00652E18" w:rsidP="00652E18">
      <w:pPr>
        <w:pStyle w:val="Hangindent"/>
        <w:rPr>
          <w:color w:val="000000" w:themeColor="text1"/>
          <w:lang w:val="en-US"/>
        </w:rPr>
      </w:pPr>
      <w:r w:rsidRPr="00B40A77">
        <w:rPr>
          <w:color w:val="000000" w:themeColor="text1"/>
          <w:lang w:val="en-US"/>
        </w:rPr>
        <w:t>(1)</w:t>
      </w:r>
      <w:r w:rsidRPr="00B40A77">
        <w:rPr>
          <w:color w:val="000000" w:themeColor="text1"/>
          <w:lang w:val="en-US"/>
        </w:rPr>
        <w:tab/>
        <w:t>An application for leave to appeal against a judgment</w:t>
      </w:r>
      <w:r w:rsidR="004C2D3F" w:rsidRPr="00B40A77">
        <w:rPr>
          <w:color w:val="000000" w:themeColor="text1"/>
          <w:lang w:val="en-US"/>
        </w:rPr>
        <w:t>, order or direction</w:t>
      </w:r>
      <w:r w:rsidR="008A792E" w:rsidRPr="00B40A77">
        <w:rPr>
          <w:color w:val="000000" w:themeColor="text1"/>
          <w:lang w:val="en-US"/>
        </w:rPr>
        <w:t xml:space="preserve"> of a Judge</w:t>
      </w:r>
      <w:r w:rsidR="004C2D3F" w:rsidRPr="00B40A77">
        <w:rPr>
          <w:color w:val="000000" w:themeColor="text1"/>
          <w:lang w:val="en-US"/>
        </w:rPr>
        <w:t xml:space="preserve"> to which this Division applies</w:t>
      </w:r>
      <w:r w:rsidRPr="00B40A77">
        <w:rPr>
          <w:color w:val="000000" w:themeColor="text1"/>
          <w:lang w:val="en-US"/>
        </w:rPr>
        <w:t xml:space="preserve"> may be made in the first instance to that Judge by oral application—</w:t>
      </w:r>
    </w:p>
    <w:p w14:paraId="21B2C8BF" w14:textId="361DFCC9" w:rsidR="00652E18" w:rsidRPr="00B40A77" w:rsidRDefault="00652E18" w:rsidP="00652E18">
      <w:pPr>
        <w:pStyle w:val="Doublehangindent"/>
        <w:rPr>
          <w:color w:val="000000" w:themeColor="text1"/>
          <w:lang w:val="en-US"/>
        </w:rPr>
      </w:pPr>
      <w:r w:rsidRPr="00B40A77">
        <w:rPr>
          <w:color w:val="000000" w:themeColor="text1"/>
          <w:lang w:val="en-US"/>
        </w:rPr>
        <w:t>(a)</w:t>
      </w:r>
      <w:r w:rsidRPr="00B40A77">
        <w:rPr>
          <w:color w:val="000000" w:themeColor="text1"/>
          <w:lang w:val="en-US"/>
        </w:rPr>
        <w:tab/>
        <w:t>if the</w:t>
      </w:r>
      <w:r w:rsidR="004C2D3F" w:rsidRPr="00B40A77">
        <w:rPr>
          <w:color w:val="000000" w:themeColor="text1"/>
          <w:lang w:val="en-US"/>
        </w:rPr>
        <w:t xml:space="preserve"> judgment,</w:t>
      </w:r>
      <w:r w:rsidRPr="00B40A77">
        <w:rPr>
          <w:color w:val="000000" w:themeColor="text1"/>
          <w:lang w:val="en-US"/>
        </w:rPr>
        <w:t xml:space="preserve"> order </w:t>
      </w:r>
      <w:r w:rsidR="004C2D3F" w:rsidRPr="00B40A77">
        <w:rPr>
          <w:color w:val="000000" w:themeColor="text1"/>
          <w:lang w:val="en-US"/>
        </w:rPr>
        <w:t xml:space="preserve">or direction </w:t>
      </w:r>
      <w:r w:rsidRPr="00B40A77">
        <w:rPr>
          <w:color w:val="000000" w:themeColor="text1"/>
          <w:lang w:val="en-US"/>
        </w:rPr>
        <w:t>is made in the presence of the parties—when the order is made; or</w:t>
      </w:r>
    </w:p>
    <w:p w14:paraId="62CC0251" w14:textId="77777777" w:rsidR="00652E18" w:rsidRPr="00B40A77" w:rsidRDefault="00652E18" w:rsidP="00652E18">
      <w:pPr>
        <w:pStyle w:val="Doublehangindent"/>
        <w:rPr>
          <w:color w:val="000000" w:themeColor="text1"/>
          <w:lang w:val="en-US"/>
        </w:rPr>
      </w:pPr>
      <w:r w:rsidRPr="00B40A77">
        <w:rPr>
          <w:color w:val="000000" w:themeColor="text1"/>
          <w:lang w:val="en-US"/>
        </w:rPr>
        <w:t>(b)</w:t>
      </w:r>
      <w:r w:rsidRPr="00B40A77">
        <w:rPr>
          <w:color w:val="000000" w:themeColor="text1"/>
          <w:lang w:val="en-US"/>
        </w:rPr>
        <w:tab/>
        <w:t>in any other case—at the next hearing of the proceeding.</w:t>
      </w:r>
    </w:p>
    <w:p w14:paraId="4781C517" w14:textId="77777777" w:rsidR="00652E18" w:rsidRPr="00B40A77" w:rsidRDefault="00652E18" w:rsidP="00A37E9E">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If leave to appeal is—</w:t>
      </w:r>
    </w:p>
    <w:p w14:paraId="5872D57A" w14:textId="6F96EB35" w:rsidR="00652E18" w:rsidRPr="00B40A77" w:rsidRDefault="00B729DE" w:rsidP="00652E18">
      <w:pPr>
        <w:pStyle w:val="Doublehangindent"/>
        <w:rPr>
          <w:color w:val="000000" w:themeColor="text1"/>
          <w:lang w:val="en-US"/>
        </w:rPr>
      </w:pPr>
      <w:r w:rsidRPr="00B40A77">
        <w:rPr>
          <w:color w:val="000000" w:themeColor="text1"/>
          <w:lang w:val="en-US"/>
        </w:rPr>
        <w:t>(a)</w:t>
      </w:r>
      <w:r w:rsidRPr="00B40A77">
        <w:rPr>
          <w:color w:val="000000" w:themeColor="text1"/>
          <w:lang w:val="en-US"/>
        </w:rPr>
        <w:tab/>
        <w:t>refused—a</w:t>
      </w:r>
      <w:r w:rsidR="00652E18" w:rsidRPr="00B40A77">
        <w:rPr>
          <w:color w:val="000000" w:themeColor="text1"/>
          <w:lang w:val="en-US"/>
        </w:rPr>
        <w:t xml:space="preserve"> party may institute an appeal by filing a notice of appeal in accordance with </w:t>
      </w:r>
      <w:hyperlink w:anchor="_193.2—Institution_of_appeal" w:history="1">
        <w:r w:rsidRPr="00B40A77">
          <w:rPr>
            <w:rStyle w:val="Hyperlink"/>
            <w:color w:val="000000" w:themeColor="text1"/>
            <w:lang w:val="en-US"/>
          </w:rPr>
          <w:t>rule 193</w:t>
        </w:r>
        <w:r w:rsidR="00465AF0" w:rsidRPr="00B40A77">
          <w:rPr>
            <w:rStyle w:val="Hyperlink"/>
            <w:color w:val="000000" w:themeColor="text1"/>
            <w:lang w:val="en-US"/>
          </w:rPr>
          <w:t>.2</w:t>
        </w:r>
      </w:hyperlink>
      <w:r w:rsidR="00652E18" w:rsidRPr="00B40A77">
        <w:rPr>
          <w:color w:val="000000" w:themeColor="text1"/>
          <w:lang w:val="en-US"/>
        </w:rPr>
        <w:t>, seeking leave to appeal and setting out the grounds on which leave should be granted; or</w:t>
      </w:r>
    </w:p>
    <w:p w14:paraId="48748628" w14:textId="0BCA4CB7" w:rsidR="00652E18" w:rsidRPr="00B40A77" w:rsidRDefault="00652E18" w:rsidP="00652E18">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granted—the party may institute an appeal by filing a notice of appeal in accordance with </w:t>
      </w:r>
      <w:hyperlink w:anchor="_193.2—Institution_of_appeal" w:history="1">
        <w:r w:rsidR="00465AF0" w:rsidRPr="00B40A77">
          <w:rPr>
            <w:rStyle w:val="Hyperlink"/>
            <w:color w:val="000000" w:themeColor="text1"/>
            <w:lang w:val="en-US"/>
          </w:rPr>
          <w:t>rule 193.2</w:t>
        </w:r>
      </w:hyperlink>
      <w:r w:rsidRPr="00B40A77">
        <w:rPr>
          <w:color w:val="000000" w:themeColor="text1"/>
          <w:lang w:val="en-US"/>
        </w:rPr>
        <w:t>.</w:t>
      </w:r>
    </w:p>
    <w:p w14:paraId="394B8865" w14:textId="3BA14B13" w:rsidR="00652E18" w:rsidRPr="00B40A77" w:rsidRDefault="00652E18" w:rsidP="00652E18">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To avoid doubt, a party may elect not to seek leave to appeal under this rule and instead proceed directly under </w:t>
      </w:r>
      <w:hyperlink w:anchor="_193.2—Institution_of_appeal" w:history="1">
        <w:r w:rsidR="00465AF0" w:rsidRPr="00B40A77">
          <w:rPr>
            <w:rStyle w:val="Hyperlink"/>
            <w:color w:val="000000" w:themeColor="text1"/>
            <w:lang w:val="en-US"/>
          </w:rPr>
          <w:t>rule 193.2</w:t>
        </w:r>
      </w:hyperlink>
      <w:r w:rsidR="00465AF0" w:rsidRPr="00B40A77">
        <w:rPr>
          <w:color w:val="000000" w:themeColor="text1"/>
          <w:lang w:val="en-US"/>
        </w:rPr>
        <w:t xml:space="preserve"> </w:t>
      </w:r>
      <w:r w:rsidRPr="00B40A77">
        <w:rPr>
          <w:color w:val="000000" w:themeColor="text1"/>
          <w:lang w:val="en-US"/>
        </w:rPr>
        <w:t xml:space="preserve">and seek leave from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21BC58B2" w14:textId="01D91D6D" w:rsidR="00652E18" w:rsidRPr="00B40A77" w:rsidRDefault="00D738EC" w:rsidP="00652E18">
      <w:pPr>
        <w:pStyle w:val="Heading4"/>
        <w:rPr>
          <w:color w:val="000000" w:themeColor="text1"/>
        </w:rPr>
      </w:pPr>
      <w:bookmarkStart w:id="1203" w:name="_Toc175239395"/>
      <w:r w:rsidRPr="00B40A77">
        <w:rPr>
          <w:color w:val="000000" w:themeColor="text1"/>
        </w:rPr>
        <w:lastRenderedPageBreak/>
        <w:t>196.</w:t>
      </w:r>
      <w:r w:rsidR="002E1CEA" w:rsidRPr="00B40A77">
        <w:rPr>
          <w:color w:val="000000" w:themeColor="text1"/>
        </w:rPr>
        <w:t>4</w:t>
      </w:r>
      <w:r w:rsidR="00652E18" w:rsidRPr="00B40A77">
        <w:rPr>
          <w:color w:val="000000" w:themeColor="text1"/>
        </w:rPr>
        <w:t>—Notice of appeal seeking leave to appeal</w:t>
      </w:r>
      <w:bookmarkEnd w:id="1202"/>
      <w:bookmarkEnd w:id="1203"/>
    </w:p>
    <w:p w14:paraId="51A35B83" w14:textId="1FE150F9" w:rsidR="00652E18" w:rsidRPr="00B40A77" w:rsidRDefault="00652E18" w:rsidP="001103F0">
      <w:pPr>
        <w:pStyle w:val="Hangindent"/>
        <w:keepNext/>
        <w:ind w:left="567" w:firstLine="0"/>
        <w:rPr>
          <w:color w:val="000000" w:themeColor="text1"/>
          <w:lang w:val="en-US"/>
        </w:rPr>
      </w:pPr>
      <w:r w:rsidRPr="00B40A77">
        <w:rPr>
          <w:color w:val="000000" w:themeColor="text1"/>
          <w:lang w:val="en-US"/>
        </w:rPr>
        <w:t xml:space="preserve">Subject to </w:t>
      </w:r>
      <w:hyperlink w:anchor="_196.3—Leave_sought_from" w:history="1">
        <w:r w:rsidR="00B729DE" w:rsidRPr="00B40A77">
          <w:rPr>
            <w:rStyle w:val="Hyperlink"/>
            <w:color w:val="000000" w:themeColor="text1"/>
            <w:lang w:val="en-US"/>
          </w:rPr>
          <w:t>rule 196.</w:t>
        </w:r>
        <w:r w:rsidR="00FE4D7D" w:rsidRPr="00B40A77">
          <w:rPr>
            <w:rStyle w:val="Hyperlink"/>
            <w:color w:val="000000" w:themeColor="text1"/>
            <w:lang w:val="en-US"/>
          </w:rPr>
          <w:t>3</w:t>
        </w:r>
      </w:hyperlink>
      <w:r w:rsidRPr="00B40A77">
        <w:rPr>
          <w:color w:val="000000" w:themeColor="text1"/>
          <w:lang w:val="en-US"/>
        </w:rPr>
        <w:t xml:space="preserve">, when leave to appeal is required, the appeal must be instituted in the ordinary way in accordance with </w:t>
      </w:r>
      <w:hyperlink w:anchor="_193.2—Institution_of_appeal" w:history="1">
        <w:r w:rsidR="00465AF0" w:rsidRPr="00B40A77">
          <w:rPr>
            <w:rStyle w:val="Hyperlink"/>
            <w:color w:val="000000" w:themeColor="text1"/>
            <w:lang w:val="en-US"/>
          </w:rPr>
          <w:t>rule 193.2</w:t>
        </w:r>
      </w:hyperlink>
      <w:r w:rsidRPr="00B40A77">
        <w:rPr>
          <w:color w:val="000000" w:themeColor="text1"/>
          <w:lang w:val="en-US"/>
        </w:rPr>
        <w:t xml:space="preserve"> and the notice of appeal must seek the necessary leave.</w:t>
      </w:r>
    </w:p>
    <w:p w14:paraId="1F2CDD66" w14:textId="77777777" w:rsidR="003412A9" w:rsidRPr="00B40A77" w:rsidRDefault="003E76DB" w:rsidP="00CA4BE7">
      <w:pPr>
        <w:pStyle w:val="NoteHeader"/>
        <w:keepNext/>
        <w:ind w:left="567"/>
        <w:rPr>
          <w:color w:val="000000" w:themeColor="text1"/>
        </w:rPr>
      </w:pPr>
      <w:r w:rsidRPr="00B40A77">
        <w:rPr>
          <w:color w:val="000000" w:themeColor="text1"/>
        </w:rPr>
        <w:t>Prescribed forms—</w:t>
      </w:r>
    </w:p>
    <w:p w14:paraId="130C50D5" w14:textId="21EC235F" w:rsidR="003E76DB" w:rsidRPr="00B40A77" w:rsidRDefault="003E76DB" w:rsidP="003412A9">
      <w:pPr>
        <w:pStyle w:val="NoteText"/>
        <w:ind w:left="850"/>
        <w:rPr>
          <w:color w:val="000000" w:themeColor="text1"/>
        </w:rPr>
      </w:pPr>
      <w:r w:rsidRPr="00B40A77">
        <w:rPr>
          <w:color w:val="000000" w:themeColor="text1"/>
        </w:rPr>
        <w:t>Form 183</w:t>
      </w:r>
      <w:r w:rsidR="00FF2A97" w:rsidRPr="00B40A77">
        <w:rPr>
          <w:color w:val="000000" w:themeColor="text1"/>
        </w:rPr>
        <w:t>D</w:t>
      </w:r>
      <w:hyperlink r:id="rId421" w:history="1">
        <w:r w:rsidRPr="00B40A77">
          <w:rPr>
            <w:rStyle w:val="Hyperlink"/>
            <w:color w:val="000000" w:themeColor="text1"/>
          </w:rPr>
          <w:t xml:space="preserve"> Notice of Appeal against Other Decision</w:t>
        </w:r>
      </w:hyperlink>
    </w:p>
    <w:p w14:paraId="0138B9E9" w14:textId="7B15AEDA" w:rsidR="003E76DB" w:rsidRPr="00B40A77" w:rsidRDefault="003E76DB" w:rsidP="003412A9">
      <w:pPr>
        <w:pStyle w:val="NoteText"/>
        <w:ind w:left="850"/>
        <w:rPr>
          <w:color w:val="000000" w:themeColor="text1"/>
          <w:lang w:val="en-US"/>
        </w:rPr>
      </w:pPr>
      <w:r w:rsidRPr="00B40A77">
        <w:rPr>
          <w:color w:val="000000" w:themeColor="text1"/>
        </w:rPr>
        <w:t xml:space="preserve">Form 183S </w:t>
      </w:r>
      <w:hyperlink r:id="rId422" w:history="1">
        <w:r w:rsidRPr="00B40A77">
          <w:rPr>
            <w:rStyle w:val="Hyperlink"/>
            <w:color w:val="000000" w:themeColor="text1"/>
          </w:rPr>
          <w:t>Appeal Grounds</w:t>
        </w:r>
        <w:r w:rsidR="00FF2A97" w:rsidRPr="00B40A77">
          <w:rPr>
            <w:rStyle w:val="Hyperlink"/>
            <w:color w:val="000000" w:themeColor="text1"/>
          </w:rPr>
          <w:t xml:space="preserve"> (part of Notice of Appeal)</w:t>
        </w:r>
      </w:hyperlink>
    </w:p>
    <w:p w14:paraId="1FEBB2B3" w14:textId="11D037F0" w:rsidR="00652E18" w:rsidRPr="00B40A77" w:rsidRDefault="00D738EC" w:rsidP="00652E18">
      <w:pPr>
        <w:pStyle w:val="Heading4"/>
        <w:rPr>
          <w:color w:val="000000" w:themeColor="text1"/>
        </w:rPr>
      </w:pPr>
      <w:bookmarkStart w:id="1204" w:name="_196.5—Written_submissions_on"/>
      <w:bookmarkStart w:id="1205" w:name="_Toc65163052"/>
      <w:bookmarkStart w:id="1206" w:name="_Toc175239396"/>
      <w:bookmarkEnd w:id="1204"/>
      <w:r w:rsidRPr="00B40A77">
        <w:rPr>
          <w:color w:val="000000" w:themeColor="text1"/>
        </w:rPr>
        <w:t>196</w:t>
      </w:r>
      <w:r w:rsidR="002E1CEA" w:rsidRPr="00B40A77">
        <w:rPr>
          <w:color w:val="000000" w:themeColor="text1"/>
        </w:rPr>
        <w:t>.5</w:t>
      </w:r>
      <w:r w:rsidR="00652E18" w:rsidRPr="00B40A77">
        <w:rPr>
          <w:color w:val="000000" w:themeColor="text1"/>
        </w:rPr>
        <w:t>—</w:t>
      </w:r>
      <w:bookmarkEnd w:id="1205"/>
      <w:r w:rsidR="003260E7" w:rsidRPr="00B40A77">
        <w:rPr>
          <w:color w:val="000000" w:themeColor="text1"/>
        </w:rPr>
        <w:t>Written submissions on leave to appeal</w:t>
      </w:r>
      <w:bookmarkEnd w:id="1206"/>
    </w:p>
    <w:p w14:paraId="3033397F" w14:textId="38C1E11D" w:rsidR="00652E18" w:rsidRPr="00B40A77" w:rsidRDefault="00652E18" w:rsidP="00652E18">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This rule applies when the question of leave to appeal to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is to be determined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38318704" w14:textId="00E5EBB5" w:rsidR="00652E18" w:rsidRPr="00B40A77" w:rsidRDefault="00652E18" w:rsidP="00652E18">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A party who seeks leave to appeal </w:t>
      </w:r>
      <w:r w:rsidR="00872A4E" w:rsidRPr="00B40A77">
        <w:rPr>
          <w:color w:val="000000" w:themeColor="text1"/>
          <w:lang w:val="en-US"/>
        </w:rPr>
        <w:t xml:space="preserve">to </w:t>
      </w:r>
      <w:r w:rsidRPr="00B40A77">
        <w:rPr>
          <w:color w:val="000000" w:themeColor="text1"/>
          <w:lang w:val="en-US"/>
        </w:rPr>
        <w:t xml:space="preserve">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must, within 14</w:t>
      </w:r>
      <w:r w:rsidR="00872A4E" w:rsidRPr="00B40A77">
        <w:rPr>
          <w:color w:val="000000" w:themeColor="text1"/>
          <w:lang w:val="en-US"/>
        </w:rPr>
        <w:t> </w:t>
      </w:r>
      <w:r w:rsidRPr="00B40A77">
        <w:rPr>
          <w:color w:val="000000" w:themeColor="text1"/>
          <w:lang w:val="en-US"/>
        </w:rPr>
        <w:t>days of the filing of the notice of appeal—</w:t>
      </w:r>
    </w:p>
    <w:p w14:paraId="5F158209" w14:textId="566B60EC" w:rsidR="00652E18" w:rsidRPr="00B40A77" w:rsidRDefault="00652E18" w:rsidP="001103F0">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file written submissions </w:t>
      </w:r>
      <w:r w:rsidR="00165F56" w:rsidRPr="00B40A77">
        <w:rPr>
          <w:color w:val="000000" w:themeColor="text1"/>
          <w:lang w:val="en-US"/>
        </w:rPr>
        <w:t xml:space="preserve">in </w:t>
      </w:r>
      <w:r w:rsidR="00D15FF1" w:rsidRPr="00B40A77">
        <w:rPr>
          <w:color w:val="000000" w:themeColor="text1"/>
          <w:lang w:val="en-US"/>
        </w:rPr>
        <w:t>the prescribed form</w:t>
      </w:r>
      <w:r w:rsidR="00165F56" w:rsidRPr="00B40A77">
        <w:rPr>
          <w:color w:val="000000" w:themeColor="text1"/>
          <w:lang w:val="en-US"/>
        </w:rPr>
        <w:t xml:space="preserve"> </w:t>
      </w:r>
      <w:r w:rsidRPr="00B40A77">
        <w:rPr>
          <w:color w:val="000000" w:themeColor="text1"/>
          <w:lang w:val="en-US"/>
        </w:rPr>
        <w:t>identifying why the grounds of appeal are reasonably arguable and why leave to appeal should be granted;</w:t>
      </w:r>
    </w:p>
    <w:p w14:paraId="572A8E73" w14:textId="77777777" w:rsidR="00652E18" w:rsidRPr="00B40A77" w:rsidRDefault="00652E18" w:rsidP="00CA4BE7">
      <w:pPr>
        <w:pStyle w:val="NoteHeader"/>
        <w:keepNext/>
        <w:ind w:left="1701"/>
        <w:rPr>
          <w:color w:val="000000" w:themeColor="text1"/>
        </w:rPr>
      </w:pPr>
      <w:r w:rsidRPr="00B40A77">
        <w:rPr>
          <w:color w:val="000000" w:themeColor="text1"/>
        </w:rPr>
        <w:t>Prescribed form—</w:t>
      </w:r>
    </w:p>
    <w:p w14:paraId="16A7C34C" w14:textId="0F902DE3" w:rsidR="00652E18" w:rsidRPr="00B40A77" w:rsidRDefault="00652E18" w:rsidP="00652E18">
      <w:pPr>
        <w:pStyle w:val="NoteText"/>
        <w:ind w:left="1985"/>
        <w:rPr>
          <w:color w:val="000000" w:themeColor="text1"/>
          <w:lang w:val="en-US"/>
        </w:rPr>
      </w:pPr>
      <w:r w:rsidRPr="00B40A77">
        <w:rPr>
          <w:color w:val="000000" w:themeColor="text1"/>
        </w:rPr>
        <w:t xml:space="preserve">Form </w:t>
      </w:r>
      <w:r w:rsidR="003E73E1" w:rsidRPr="00B40A77">
        <w:rPr>
          <w:color w:val="000000" w:themeColor="text1"/>
        </w:rPr>
        <w:t>1</w:t>
      </w:r>
      <w:r w:rsidR="00D15FF1" w:rsidRPr="00B40A77">
        <w:rPr>
          <w:color w:val="000000" w:themeColor="text1"/>
        </w:rPr>
        <w:t>02</w:t>
      </w:r>
      <w:r w:rsidRPr="00B40A77">
        <w:rPr>
          <w:color w:val="000000" w:themeColor="text1"/>
        </w:rPr>
        <w:t xml:space="preserve"> </w:t>
      </w:r>
      <w:hyperlink r:id="rId423" w:history="1">
        <w:r w:rsidRPr="00B40A77">
          <w:rPr>
            <w:rStyle w:val="Hyperlink"/>
            <w:color w:val="000000" w:themeColor="text1"/>
          </w:rPr>
          <w:t>Written Submissions</w:t>
        </w:r>
      </w:hyperlink>
    </w:p>
    <w:p w14:paraId="3CFBF534" w14:textId="77777777" w:rsidR="00652E18" w:rsidRPr="00B40A77" w:rsidRDefault="00652E18" w:rsidP="00652E18">
      <w:pPr>
        <w:pStyle w:val="Doublehangindent"/>
        <w:rPr>
          <w:color w:val="000000" w:themeColor="text1"/>
          <w:lang w:val="en-US"/>
        </w:rPr>
      </w:pPr>
      <w:r w:rsidRPr="00B40A77">
        <w:rPr>
          <w:color w:val="000000" w:themeColor="text1"/>
          <w:lang w:val="en-US"/>
        </w:rPr>
        <w:t>(b)</w:t>
      </w:r>
      <w:r w:rsidRPr="00B40A77">
        <w:rPr>
          <w:color w:val="000000" w:themeColor="text1"/>
          <w:lang w:val="en-US"/>
        </w:rPr>
        <w:tab/>
        <w:t>attach to the written submissions—</w:t>
      </w:r>
    </w:p>
    <w:p w14:paraId="28FAA761" w14:textId="2712B8D3" w:rsidR="00652E18" w:rsidRPr="00B40A77" w:rsidRDefault="00165F56" w:rsidP="00652E18">
      <w:pPr>
        <w:pStyle w:val="Triplehangindent"/>
        <w:rPr>
          <w:color w:val="000000" w:themeColor="text1"/>
        </w:rPr>
      </w:pPr>
      <w:r w:rsidRPr="00B40A77">
        <w:rPr>
          <w:color w:val="000000" w:themeColor="text1"/>
        </w:rPr>
        <w:t>(i)</w:t>
      </w:r>
      <w:r w:rsidRPr="00B40A77">
        <w:rPr>
          <w:color w:val="000000" w:themeColor="text1"/>
        </w:rPr>
        <w:tab/>
      </w:r>
      <w:r w:rsidR="00652E18" w:rsidRPr="00B40A77">
        <w:rPr>
          <w:color w:val="000000" w:themeColor="text1"/>
        </w:rPr>
        <w:t>the judgment</w:t>
      </w:r>
      <w:r w:rsidR="004F525D" w:rsidRPr="00B40A77">
        <w:rPr>
          <w:color w:val="000000" w:themeColor="text1"/>
        </w:rPr>
        <w:t xml:space="preserve">, </w:t>
      </w:r>
      <w:r w:rsidR="00652E18" w:rsidRPr="00B40A77">
        <w:rPr>
          <w:color w:val="000000" w:themeColor="text1"/>
        </w:rPr>
        <w:t xml:space="preserve">order </w:t>
      </w:r>
      <w:r w:rsidR="004F525D" w:rsidRPr="00B40A77">
        <w:rPr>
          <w:color w:val="000000" w:themeColor="text1"/>
        </w:rPr>
        <w:t xml:space="preserve">or decision </w:t>
      </w:r>
      <w:r w:rsidRPr="00B40A77">
        <w:rPr>
          <w:color w:val="000000" w:themeColor="text1"/>
        </w:rPr>
        <w:t xml:space="preserve">in the court of first instance </w:t>
      </w:r>
      <w:r w:rsidR="00652E18" w:rsidRPr="00B40A77">
        <w:rPr>
          <w:color w:val="000000" w:themeColor="text1"/>
        </w:rPr>
        <w:t>the subject of the appeal;</w:t>
      </w:r>
    </w:p>
    <w:p w14:paraId="612AF5C8" w14:textId="30C2733C" w:rsidR="00165F56" w:rsidRPr="00B40A77" w:rsidRDefault="00165F56" w:rsidP="00652E18">
      <w:pPr>
        <w:pStyle w:val="Triplehangindent"/>
        <w:rPr>
          <w:color w:val="000000" w:themeColor="text1"/>
        </w:rPr>
      </w:pPr>
      <w:r w:rsidRPr="00B40A77">
        <w:rPr>
          <w:color w:val="000000" w:themeColor="text1"/>
        </w:rPr>
        <w:t>(ii)</w:t>
      </w:r>
      <w:r w:rsidRPr="00B40A77">
        <w:rPr>
          <w:color w:val="000000" w:themeColor="text1"/>
        </w:rPr>
        <w:tab/>
      </w:r>
      <w:r w:rsidR="00652E18" w:rsidRPr="00B40A77">
        <w:rPr>
          <w:color w:val="000000" w:themeColor="text1"/>
        </w:rPr>
        <w:t xml:space="preserve">the reasons for judgment given in respect of that </w:t>
      </w:r>
      <w:r w:rsidR="004F525D" w:rsidRPr="00B40A77">
        <w:rPr>
          <w:color w:val="000000" w:themeColor="text1"/>
        </w:rPr>
        <w:t>judgment, order or decision</w:t>
      </w:r>
      <w:r w:rsidR="00652E18" w:rsidRPr="00B40A77">
        <w:rPr>
          <w:color w:val="000000" w:themeColor="text1"/>
        </w:rPr>
        <w:t xml:space="preserve">; </w:t>
      </w:r>
    </w:p>
    <w:p w14:paraId="108B5B2E" w14:textId="57C120C3" w:rsidR="00165F56" w:rsidRPr="00B40A77" w:rsidRDefault="00FA5DA3" w:rsidP="00165F56">
      <w:pPr>
        <w:pStyle w:val="Triplehangindent"/>
        <w:rPr>
          <w:color w:val="000000" w:themeColor="text1"/>
        </w:rPr>
      </w:pPr>
      <w:r w:rsidRPr="00B40A77">
        <w:rPr>
          <w:color w:val="000000" w:themeColor="text1"/>
        </w:rPr>
        <w:t>(iii)</w:t>
      </w:r>
      <w:r w:rsidRPr="00B40A77">
        <w:rPr>
          <w:color w:val="000000" w:themeColor="text1"/>
        </w:rPr>
        <w:tab/>
      </w:r>
      <w:r w:rsidR="00165F56" w:rsidRPr="00B40A77">
        <w:rPr>
          <w:color w:val="000000" w:themeColor="text1"/>
        </w:rPr>
        <w:t xml:space="preserve">the judgment </w:t>
      </w:r>
      <w:r w:rsidRPr="00B40A77">
        <w:rPr>
          <w:color w:val="000000" w:themeColor="text1"/>
        </w:rPr>
        <w:t xml:space="preserve">of the Judge of the Supreme Court </w:t>
      </w:r>
      <w:r w:rsidR="00165F56" w:rsidRPr="00B40A77">
        <w:rPr>
          <w:color w:val="000000" w:themeColor="text1"/>
        </w:rPr>
        <w:t>the subject of the appeal;</w:t>
      </w:r>
      <w:r w:rsidR="00872A4E" w:rsidRPr="00B40A77">
        <w:rPr>
          <w:color w:val="000000" w:themeColor="text1"/>
        </w:rPr>
        <w:t> </w:t>
      </w:r>
      <w:r w:rsidR="00165F56" w:rsidRPr="00B40A77">
        <w:rPr>
          <w:color w:val="000000" w:themeColor="text1"/>
        </w:rPr>
        <w:t>and</w:t>
      </w:r>
    </w:p>
    <w:p w14:paraId="32F405C3" w14:textId="50C830F4" w:rsidR="00652E18" w:rsidRPr="00B40A77" w:rsidRDefault="00FA5DA3" w:rsidP="00652E18">
      <w:pPr>
        <w:pStyle w:val="Triplehangindent"/>
        <w:rPr>
          <w:color w:val="000000" w:themeColor="text1"/>
        </w:rPr>
      </w:pPr>
      <w:r w:rsidRPr="00B40A77">
        <w:rPr>
          <w:color w:val="000000" w:themeColor="text1"/>
        </w:rPr>
        <w:t>(iv)</w:t>
      </w:r>
      <w:r w:rsidRPr="00B40A77">
        <w:rPr>
          <w:color w:val="000000" w:themeColor="text1"/>
        </w:rPr>
        <w:tab/>
      </w:r>
      <w:r w:rsidR="00165F56" w:rsidRPr="00B40A77">
        <w:rPr>
          <w:color w:val="000000" w:themeColor="text1"/>
        </w:rPr>
        <w:t>the reasons for judgment gi</w:t>
      </w:r>
      <w:r w:rsidRPr="00B40A77">
        <w:rPr>
          <w:color w:val="000000" w:themeColor="text1"/>
        </w:rPr>
        <w:t>ven in respect of that judgment.</w:t>
      </w:r>
    </w:p>
    <w:p w14:paraId="1A3C74B7" w14:textId="14494448" w:rsidR="00652E18" w:rsidRPr="00B40A77" w:rsidRDefault="00652E18" w:rsidP="00652E18">
      <w:pPr>
        <w:pStyle w:val="Hangindent"/>
        <w:rPr>
          <w:color w:val="000000" w:themeColor="text1"/>
          <w:lang w:val="en-US"/>
        </w:rPr>
      </w:pPr>
      <w:r w:rsidRPr="00B40A77">
        <w:rPr>
          <w:color w:val="000000" w:themeColor="text1"/>
          <w:lang w:val="en-US"/>
        </w:rPr>
        <w:t>(3)</w:t>
      </w:r>
      <w:r w:rsidRPr="00B40A77">
        <w:rPr>
          <w:color w:val="000000" w:themeColor="text1"/>
          <w:lang w:val="en-US"/>
        </w:rPr>
        <w:tab/>
        <w:t>Unless the Court other</w:t>
      </w:r>
      <w:r w:rsidR="00FA5DA3" w:rsidRPr="00B40A77">
        <w:rPr>
          <w:color w:val="000000" w:themeColor="text1"/>
          <w:lang w:val="en-US"/>
        </w:rPr>
        <w:t>wise orders, the party must not</w:t>
      </w:r>
      <w:r w:rsidRPr="00B40A77">
        <w:rPr>
          <w:color w:val="000000" w:themeColor="text1"/>
          <w:lang w:val="en-US"/>
        </w:rPr>
        <w:t xml:space="preserve"> file an affidavit or any other evidence on the application for leave to appeal.</w:t>
      </w:r>
    </w:p>
    <w:p w14:paraId="1C565B7C" w14:textId="787AE849" w:rsidR="00652E18" w:rsidRPr="00B40A77" w:rsidRDefault="00652E18" w:rsidP="00652E18">
      <w:pPr>
        <w:pStyle w:val="Hangindent"/>
        <w:rPr>
          <w:color w:val="000000" w:themeColor="text1"/>
          <w:lang w:val="en-US"/>
        </w:rPr>
      </w:pPr>
      <w:r w:rsidRPr="00B40A77">
        <w:rPr>
          <w:color w:val="000000" w:themeColor="text1"/>
          <w:lang w:val="en-US"/>
        </w:rPr>
        <w:t>(4)</w:t>
      </w:r>
      <w:r w:rsidRPr="00B40A77">
        <w:rPr>
          <w:color w:val="000000" w:themeColor="text1"/>
          <w:lang w:val="en-US"/>
        </w:rPr>
        <w:tab/>
        <w:t>A party who files written submissions under subrule</w:t>
      </w:r>
      <w:r w:rsidR="00C42A0C" w:rsidRPr="00B40A77">
        <w:rPr>
          <w:color w:val="000000" w:themeColor="text1"/>
          <w:lang w:val="en-US"/>
        </w:rPr>
        <w:t> </w:t>
      </w:r>
      <w:r w:rsidRPr="00B40A77">
        <w:rPr>
          <w:color w:val="000000" w:themeColor="text1"/>
          <w:lang w:val="en-US"/>
        </w:rPr>
        <w:t>(2) must serve the written submissions and attachments on each other party to the appeal as soon as practicable.</w:t>
      </w:r>
    </w:p>
    <w:p w14:paraId="38007711" w14:textId="72334754" w:rsidR="00652E18" w:rsidRPr="00B40A77" w:rsidRDefault="00652E18" w:rsidP="00652E18">
      <w:pPr>
        <w:pStyle w:val="Hangindent"/>
        <w:rPr>
          <w:color w:val="000000" w:themeColor="text1"/>
          <w:lang w:val="en-US"/>
        </w:rPr>
      </w:pPr>
      <w:r w:rsidRPr="00B40A77">
        <w:rPr>
          <w:color w:val="000000" w:themeColor="text1"/>
          <w:lang w:val="en-US"/>
        </w:rPr>
        <w:t>(5)</w:t>
      </w:r>
      <w:r w:rsidRPr="00B40A77">
        <w:rPr>
          <w:color w:val="000000" w:themeColor="text1"/>
          <w:lang w:val="en-US"/>
        </w:rPr>
        <w:tab/>
        <w:t>Unless the Court otherwise orde</w:t>
      </w:r>
      <w:r w:rsidR="00FA5DA3" w:rsidRPr="00B40A77">
        <w:rPr>
          <w:color w:val="000000" w:themeColor="text1"/>
          <w:lang w:val="en-US"/>
        </w:rPr>
        <w:t>rs, the other parties must not</w:t>
      </w:r>
      <w:r w:rsidRPr="00B40A77">
        <w:rPr>
          <w:color w:val="000000" w:themeColor="text1"/>
          <w:lang w:val="en-US"/>
        </w:rPr>
        <w:t xml:space="preserve"> file any evidence or submissions on the application for leave to appeal.</w:t>
      </w:r>
    </w:p>
    <w:p w14:paraId="57733025" w14:textId="405E239D" w:rsidR="003260E7" w:rsidRPr="00B40A77" w:rsidRDefault="00D738EC" w:rsidP="003260E7">
      <w:pPr>
        <w:pStyle w:val="Heading4"/>
        <w:rPr>
          <w:color w:val="000000" w:themeColor="text1"/>
        </w:rPr>
      </w:pPr>
      <w:bookmarkStart w:id="1207" w:name="_Toc175239397"/>
      <w:r w:rsidRPr="00B40A77">
        <w:rPr>
          <w:color w:val="000000" w:themeColor="text1"/>
        </w:rPr>
        <w:t>196</w:t>
      </w:r>
      <w:r w:rsidR="003260E7" w:rsidRPr="00B40A77">
        <w:rPr>
          <w:color w:val="000000" w:themeColor="text1"/>
        </w:rPr>
        <w:t>.</w:t>
      </w:r>
      <w:r w:rsidR="002E1CEA" w:rsidRPr="00B40A77">
        <w:rPr>
          <w:color w:val="000000" w:themeColor="text1"/>
        </w:rPr>
        <w:t>6</w:t>
      </w:r>
      <w:r w:rsidR="003260E7" w:rsidRPr="00B40A77">
        <w:rPr>
          <w:color w:val="000000" w:themeColor="text1"/>
        </w:rPr>
        <w:t>—Det</w:t>
      </w:r>
      <w:r w:rsidR="002B1419" w:rsidRPr="00B40A77">
        <w:rPr>
          <w:color w:val="000000" w:themeColor="text1"/>
        </w:rPr>
        <w:t>ermination of leave to appeal</w:t>
      </w:r>
      <w:bookmarkEnd w:id="1207"/>
    </w:p>
    <w:p w14:paraId="298DDAFF" w14:textId="293D1A9C" w:rsidR="002B1419" w:rsidRPr="00B40A77" w:rsidRDefault="002B1419" w:rsidP="002B1419">
      <w:pPr>
        <w:pStyle w:val="Hangindent"/>
        <w:rPr>
          <w:color w:val="000000" w:themeColor="text1"/>
          <w:lang w:val="en-US"/>
        </w:rPr>
      </w:pPr>
      <w:r w:rsidRPr="00B40A77">
        <w:rPr>
          <w:color w:val="000000" w:themeColor="text1"/>
          <w:lang w:val="en-US"/>
        </w:rPr>
        <w:t>(1)</w:t>
      </w:r>
      <w:r w:rsidRPr="00B40A77">
        <w:rPr>
          <w:color w:val="000000" w:themeColor="text1"/>
          <w:lang w:val="en-US"/>
        </w:rPr>
        <w:tab/>
        <w:t>This rule applies when written submission</w:t>
      </w:r>
      <w:r w:rsidR="00FA5DA3" w:rsidRPr="00B40A77">
        <w:rPr>
          <w:color w:val="000000" w:themeColor="text1"/>
          <w:lang w:val="en-US"/>
        </w:rPr>
        <w:t xml:space="preserve">s have been filed under </w:t>
      </w:r>
      <w:hyperlink w:anchor="_196.5—Written_submissions_on" w:history="1">
        <w:r w:rsidR="00FA5DA3" w:rsidRPr="00B40A77">
          <w:rPr>
            <w:rStyle w:val="Hyperlink"/>
            <w:color w:val="000000" w:themeColor="text1"/>
            <w:lang w:val="en-US"/>
          </w:rPr>
          <w:t>rule 196</w:t>
        </w:r>
        <w:r w:rsidR="00FE4D7D" w:rsidRPr="00B40A77">
          <w:rPr>
            <w:rStyle w:val="Hyperlink"/>
            <w:color w:val="000000" w:themeColor="text1"/>
            <w:lang w:val="en-US"/>
          </w:rPr>
          <w:t>.5</w:t>
        </w:r>
      </w:hyperlink>
      <w:r w:rsidRPr="00B40A77">
        <w:rPr>
          <w:color w:val="000000" w:themeColor="text1"/>
          <w:lang w:val="en-US"/>
        </w:rPr>
        <w:t>.</w:t>
      </w:r>
    </w:p>
    <w:p w14:paraId="04E4AAE9" w14:textId="196B1732" w:rsidR="00652E18" w:rsidRPr="00B40A77" w:rsidRDefault="002B1419" w:rsidP="002B1419">
      <w:pPr>
        <w:pStyle w:val="Hangindent"/>
        <w:rPr>
          <w:color w:val="000000" w:themeColor="text1"/>
          <w:lang w:val="en-US"/>
        </w:rPr>
      </w:pPr>
      <w:r w:rsidRPr="00B40A77">
        <w:rPr>
          <w:color w:val="000000" w:themeColor="text1"/>
          <w:lang w:val="en-US"/>
        </w:rPr>
        <w:t>(2</w:t>
      </w:r>
      <w:r w:rsidR="00652E18" w:rsidRPr="00B40A77">
        <w:rPr>
          <w:color w:val="000000" w:themeColor="text1"/>
          <w:lang w:val="en-US"/>
        </w:rPr>
        <w:t>)</w:t>
      </w:r>
      <w:r w:rsidR="00652E18" w:rsidRPr="00B40A77">
        <w:rPr>
          <w:color w:val="000000" w:themeColor="text1"/>
          <w:lang w:val="en-US"/>
        </w:rPr>
        <w:tab/>
        <w:t xml:space="preserve">The Court may obtain or refer to the file for the proceeding in the court </w:t>
      </w:r>
      <w:r w:rsidR="008D34E4" w:rsidRPr="00B40A77">
        <w:rPr>
          <w:color w:val="000000" w:themeColor="text1"/>
          <w:lang w:val="en-US"/>
        </w:rPr>
        <w:t xml:space="preserve">of </w:t>
      </w:r>
      <w:r w:rsidR="00652E18" w:rsidRPr="00B40A77">
        <w:rPr>
          <w:color w:val="000000" w:themeColor="text1"/>
          <w:lang w:val="en-US"/>
        </w:rPr>
        <w:t>first instance or the appellate proceeding</w:t>
      </w:r>
      <w:r w:rsidR="008A792E" w:rsidRPr="00B40A77">
        <w:rPr>
          <w:color w:val="000000" w:themeColor="text1"/>
          <w:lang w:val="en-US"/>
        </w:rPr>
        <w:t xml:space="preserve"> before the Judge</w:t>
      </w:r>
      <w:r w:rsidR="00652E18" w:rsidRPr="00B40A77">
        <w:rPr>
          <w:color w:val="000000" w:themeColor="text1"/>
          <w:lang w:val="en-US"/>
        </w:rPr>
        <w:t>.</w:t>
      </w:r>
    </w:p>
    <w:p w14:paraId="537D570E" w14:textId="7B6EB50F" w:rsidR="00652E18" w:rsidRPr="00B40A77" w:rsidRDefault="002B1419" w:rsidP="00652E18">
      <w:pPr>
        <w:pStyle w:val="Hangindent"/>
        <w:rPr>
          <w:color w:val="000000" w:themeColor="text1"/>
          <w:lang w:val="en-US"/>
        </w:rPr>
      </w:pPr>
      <w:r w:rsidRPr="00B40A77">
        <w:rPr>
          <w:color w:val="000000" w:themeColor="text1"/>
          <w:lang w:val="en-US"/>
        </w:rPr>
        <w:t>(3</w:t>
      </w:r>
      <w:r w:rsidR="00FA5DA3" w:rsidRPr="00B40A77">
        <w:rPr>
          <w:color w:val="000000" w:themeColor="text1"/>
          <w:lang w:val="en-US"/>
        </w:rPr>
        <w:t>)</w:t>
      </w:r>
      <w:r w:rsidR="00FA5DA3" w:rsidRPr="00B40A77">
        <w:rPr>
          <w:color w:val="000000" w:themeColor="text1"/>
          <w:lang w:val="en-US"/>
        </w:rPr>
        <w:tab/>
        <w:t xml:space="preserve">The Court will </w:t>
      </w:r>
      <w:r w:rsidR="00E816DF" w:rsidRPr="00B40A77">
        <w:rPr>
          <w:color w:val="000000" w:themeColor="text1"/>
          <w:lang w:val="en-US"/>
        </w:rPr>
        <w:t xml:space="preserve">generally </w:t>
      </w:r>
      <w:r w:rsidR="00652E18" w:rsidRPr="00B40A77">
        <w:rPr>
          <w:color w:val="000000" w:themeColor="text1"/>
          <w:lang w:val="en-US"/>
        </w:rPr>
        <w:t>determine the application for leave to appeal without hearing further from the parties and will not make an order as to costs of the application for leave to appeal.</w:t>
      </w:r>
    </w:p>
    <w:p w14:paraId="0A818696" w14:textId="58CF6743" w:rsidR="00652E18" w:rsidRPr="00B40A77" w:rsidRDefault="002B1419" w:rsidP="00652E18">
      <w:pPr>
        <w:pStyle w:val="Hangindent"/>
        <w:rPr>
          <w:color w:val="000000" w:themeColor="text1"/>
          <w:lang w:val="en-US"/>
        </w:rPr>
      </w:pPr>
      <w:r w:rsidRPr="00B40A77">
        <w:rPr>
          <w:color w:val="000000" w:themeColor="text1"/>
          <w:lang w:val="en-US"/>
        </w:rPr>
        <w:t>(4</w:t>
      </w:r>
      <w:r w:rsidR="00652E18" w:rsidRPr="00B40A77">
        <w:rPr>
          <w:color w:val="000000" w:themeColor="text1"/>
          <w:lang w:val="en-US"/>
        </w:rPr>
        <w:t>)</w:t>
      </w:r>
      <w:r w:rsidR="00652E18" w:rsidRPr="00B40A77">
        <w:rPr>
          <w:color w:val="000000" w:themeColor="text1"/>
          <w:lang w:val="en-US"/>
        </w:rPr>
        <w:tab/>
        <w:t>The Court may—</w:t>
      </w:r>
    </w:p>
    <w:p w14:paraId="2614DB72" w14:textId="77777777" w:rsidR="00652E18" w:rsidRPr="00B40A77" w:rsidRDefault="00652E18" w:rsidP="00652E18">
      <w:pPr>
        <w:pStyle w:val="Doublehangindent"/>
        <w:rPr>
          <w:color w:val="000000" w:themeColor="text1"/>
          <w:lang w:val="en-US"/>
        </w:rPr>
      </w:pPr>
      <w:r w:rsidRPr="00B40A77">
        <w:rPr>
          <w:color w:val="000000" w:themeColor="text1"/>
          <w:lang w:val="en-US"/>
        </w:rPr>
        <w:t>(a)</w:t>
      </w:r>
      <w:r w:rsidRPr="00B40A77">
        <w:rPr>
          <w:color w:val="000000" w:themeColor="text1"/>
          <w:lang w:val="en-US"/>
        </w:rPr>
        <w:tab/>
        <w:t>order that the application for leave to appeal be listed for separate hearing and determination;</w:t>
      </w:r>
    </w:p>
    <w:p w14:paraId="09336BAD" w14:textId="77777777" w:rsidR="00652E18" w:rsidRPr="00B40A77" w:rsidRDefault="00652E18" w:rsidP="00652E18">
      <w:pPr>
        <w:pStyle w:val="Doublehangindent"/>
        <w:rPr>
          <w:color w:val="000000" w:themeColor="text1"/>
          <w:lang w:val="en-US"/>
        </w:rPr>
      </w:pPr>
      <w:r w:rsidRPr="00B40A77">
        <w:rPr>
          <w:color w:val="000000" w:themeColor="text1"/>
          <w:lang w:val="en-US"/>
        </w:rPr>
        <w:lastRenderedPageBreak/>
        <w:t>(b)</w:t>
      </w:r>
      <w:r w:rsidRPr="00B40A77">
        <w:rPr>
          <w:color w:val="000000" w:themeColor="text1"/>
          <w:lang w:val="en-US"/>
        </w:rPr>
        <w:tab/>
        <w:t>order that the application for leave to appeal be heard at the same time as the appeal;</w:t>
      </w:r>
    </w:p>
    <w:p w14:paraId="14B6755C" w14:textId="77777777" w:rsidR="00652E18" w:rsidRPr="00B40A77" w:rsidRDefault="00652E18" w:rsidP="00652E18">
      <w:pPr>
        <w:pStyle w:val="Doublehangindent"/>
        <w:rPr>
          <w:color w:val="000000" w:themeColor="text1"/>
          <w:lang w:val="en-US"/>
        </w:rPr>
      </w:pPr>
      <w:r w:rsidRPr="00B40A77">
        <w:rPr>
          <w:color w:val="000000" w:themeColor="text1"/>
          <w:lang w:val="en-US"/>
        </w:rPr>
        <w:t>(c)</w:t>
      </w:r>
      <w:r w:rsidRPr="00B40A77">
        <w:rPr>
          <w:color w:val="000000" w:themeColor="text1"/>
          <w:lang w:val="en-US"/>
        </w:rPr>
        <w:tab/>
        <w:t>invite a party to produce specific documents or make submissions on a specific matter; or</w:t>
      </w:r>
    </w:p>
    <w:p w14:paraId="36C11607" w14:textId="339F85F3" w:rsidR="00652E18" w:rsidRPr="00B40A77" w:rsidRDefault="00652E18" w:rsidP="00652E18">
      <w:pPr>
        <w:pStyle w:val="Doublehangindent"/>
        <w:rPr>
          <w:color w:val="000000" w:themeColor="text1"/>
          <w:lang w:val="en-US"/>
        </w:rPr>
      </w:pPr>
      <w:r w:rsidRPr="00B40A77">
        <w:rPr>
          <w:color w:val="000000" w:themeColor="text1"/>
          <w:lang w:val="en-US"/>
        </w:rPr>
        <w:t>(d)</w:t>
      </w:r>
      <w:r w:rsidRPr="00B40A77">
        <w:rPr>
          <w:color w:val="000000" w:themeColor="text1"/>
          <w:lang w:val="en-US"/>
        </w:rPr>
        <w:tab/>
        <w:t>make any other or further order.</w:t>
      </w:r>
    </w:p>
    <w:p w14:paraId="09E27D5E" w14:textId="28329A0B" w:rsidR="00A664A0" w:rsidRPr="00B40A77" w:rsidRDefault="00A664A0" w:rsidP="00A664A0">
      <w:pPr>
        <w:pStyle w:val="Hangindent"/>
        <w:rPr>
          <w:color w:val="000000" w:themeColor="text1"/>
          <w:lang w:val="en-US"/>
        </w:rPr>
      </w:pPr>
      <w:r w:rsidRPr="00B40A77">
        <w:rPr>
          <w:bCs/>
          <w:color w:val="000000" w:themeColor="text1"/>
          <w:lang w:val="en-US"/>
        </w:rPr>
        <w:t>(5)</w:t>
      </w:r>
      <w:r w:rsidRPr="00B40A77">
        <w:rPr>
          <w:bCs/>
          <w:color w:val="000000" w:themeColor="text1"/>
          <w:lang w:val="en-US"/>
        </w:rPr>
        <w:tab/>
        <w:t>Unless the Court refuses leave to appeal under subrule</w:t>
      </w:r>
      <w:r w:rsidR="00C42A0C" w:rsidRPr="00B40A77">
        <w:rPr>
          <w:bCs/>
          <w:color w:val="000000" w:themeColor="text1"/>
          <w:lang w:val="en-US"/>
        </w:rPr>
        <w:t> </w:t>
      </w:r>
      <w:r w:rsidRPr="00B40A77">
        <w:rPr>
          <w:bCs/>
          <w:color w:val="000000" w:themeColor="text1"/>
          <w:lang w:val="en-US"/>
        </w:rPr>
        <w:t xml:space="preserve">(3), the Court will </w:t>
      </w:r>
      <w:r w:rsidR="00E816DF" w:rsidRPr="00B40A77">
        <w:rPr>
          <w:bCs/>
          <w:color w:val="000000" w:themeColor="text1"/>
          <w:lang w:val="en-US"/>
        </w:rPr>
        <w:t xml:space="preserve">generally </w:t>
      </w:r>
      <w:r w:rsidRPr="00B40A77">
        <w:rPr>
          <w:color w:val="000000" w:themeColor="text1"/>
          <w:lang w:val="en-US"/>
        </w:rPr>
        <w:t>list the matter for the next ava</w:t>
      </w:r>
      <w:r w:rsidR="00FA5DA3" w:rsidRPr="00B40A77">
        <w:rPr>
          <w:color w:val="000000" w:themeColor="text1"/>
          <w:lang w:val="en-US"/>
        </w:rPr>
        <w:t xml:space="preserve">ilable callover under </w:t>
      </w:r>
      <w:hyperlink w:anchor="_200.1—Convening_callover" w:history="1">
        <w:r w:rsidR="00F25F45" w:rsidRPr="00B40A77">
          <w:rPr>
            <w:rStyle w:val="Hyperlink"/>
            <w:color w:val="000000" w:themeColor="text1"/>
            <w:lang w:val="en-US"/>
          </w:rPr>
          <w:t xml:space="preserve">rule </w:t>
        </w:r>
        <w:r w:rsidR="003D4776" w:rsidRPr="00B40A77">
          <w:rPr>
            <w:rStyle w:val="Hyperlink"/>
            <w:color w:val="000000" w:themeColor="text1"/>
            <w:lang w:val="en-US"/>
          </w:rPr>
          <w:t>20</w:t>
        </w:r>
        <w:r w:rsidR="00911138" w:rsidRPr="00B40A77">
          <w:rPr>
            <w:rStyle w:val="Hyperlink"/>
            <w:color w:val="000000" w:themeColor="text1"/>
            <w:lang w:val="en-US"/>
          </w:rPr>
          <w:t>0</w:t>
        </w:r>
        <w:r w:rsidR="00465AF0" w:rsidRPr="00B40A77">
          <w:rPr>
            <w:rStyle w:val="Hyperlink"/>
            <w:color w:val="000000" w:themeColor="text1"/>
            <w:lang w:val="en-US"/>
          </w:rPr>
          <w:t>.1</w:t>
        </w:r>
      </w:hyperlink>
      <w:r w:rsidRPr="00B40A77">
        <w:rPr>
          <w:color w:val="000000" w:themeColor="text1"/>
          <w:lang w:val="en-US"/>
        </w:rPr>
        <w:t>.</w:t>
      </w:r>
    </w:p>
    <w:p w14:paraId="290DE488" w14:textId="5DD56762" w:rsidR="00AF3BB2" w:rsidRPr="00B40A77" w:rsidRDefault="00D738EC" w:rsidP="00AF3BB2">
      <w:pPr>
        <w:pStyle w:val="Heading3"/>
        <w:rPr>
          <w:color w:val="000000" w:themeColor="text1"/>
        </w:rPr>
      </w:pPr>
      <w:bookmarkStart w:id="1208" w:name="_Toc175239398"/>
      <w:bookmarkStart w:id="1209" w:name="_Hlk83815946"/>
      <w:bookmarkEnd w:id="1191"/>
      <w:r w:rsidRPr="00B40A77">
        <w:rPr>
          <w:color w:val="000000" w:themeColor="text1"/>
        </w:rPr>
        <w:t xml:space="preserve">Division </w:t>
      </w:r>
      <w:r w:rsidR="00521BEE" w:rsidRPr="00B40A77">
        <w:rPr>
          <w:color w:val="000000" w:themeColor="text1"/>
        </w:rPr>
        <w:t>6</w:t>
      </w:r>
      <w:r w:rsidR="00AF3BB2" w:rsidRPr="00B40A77">
        <w:rPr>
          <w:color w:val="000000" w:themeColor="text1"/>
        </w:rPr>
        <w:t>—Institution of case stated</w:t>
      </w:r>
      <w:bookmarkEnd w:id="1208"/>
    </w:p>
    <w:p w14:paraId="150506EE" w14:textId="5CBE3377" w:rsidR="00AF3BB2" w:rsidRPr="00B40A77" w:rsidRDefault="00F25F45" w:rsidP="00AF3BB2">
      <w:pPr>
        <w:pStyle w:val="Heading4"/>
        <w:rPr>
          <w:color w:val="000000" w:themeColor="text1"/>
        </w:rPr>
      </w:pPr>
      <w:bookmarkStart w:id="1210" w:name="_197.1—Case_stated_by"/>
      <w:bookmarkStart w:id="1211" w:name="_Toc175239399"/>
      <w:bookmarkEnd w:id="1210"/>
      <w:r w:rsidRPr="00B40A77">
        <w:rPr>
          <w:color w:val="000000" w:themeColor="text1"/>
        </w:rPr>
        <w:t>19</w:t>
      </w:r>
      <w:r w:rsidR="00F76788" w:rsidRPr="00B40A77">
        <w:rPr>
          <w:color w:val="000000" w:themeColor="text1"/>
        </w:rPr>
        <w:t>7</w:t>
      </w:r>
      <w:r w:rsidR="00AF3BB2" w:rsidRPr="00B40A77">
        <w:rPr>
          <w:color w:val="000000" w:themeColor="text1"/>
        </w:rPr>
        <w:t>.1—Case stated by court</w:t>
      </w:r>
      <w:bookmarkEnd w:id="1211"/>
      <w:r w:rsidR="00AF3BB2" w:rsidRPr="00B40A77">
        <w:rPr>
          <w:color w:val="000000" w:themeColor="text1"/>
        </w:rPr>
        <w:t xml:space="preserve"> </w:t>
      </w:r>
    </w:p>
    <w:p w14:paraId="7CE7A3E9" w14:textId="384C5F24" w:rsidR="00AF3BB2" w:rsidRPr="00B40A77" w:rsidRDefault="00AF3BB2" w:rsidP="00AF3BB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court which reserves a question of law for the consideration of </w:t>
      </w:r>
      <w:r w:rsidR="00557CCB" w:rsidRPr="00B40A77">
        <w:rPr>
          <w:color w:val="000000" w:themeColor="text1"/>
          <w:lang w:val="en-US"/>
        </w:rPr>
        <w:t xml:space="preserve">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must—</w:t>
      </w:r>
    </w:p>
    <w:p w14:paraId="5D881E79" w14:textId="1C45B63B" w:rsidR="00AF3BB2" w:rsidRPr="00B40A77" w:rsidRDefault="00AF3BB2" w:rsidP="001103F0">
      <w:pPr>
        <w:pStyle w:val="Doublehangindent"/>
        <w:keepNext/>
        <w:rPr>
          <w:color w:val="000000" w:themeColor="text1"/>
          <w:lang w:val="en-US"/>
        </w:rPr>
      </w:pPr>
      <w:r w:rsidRPr="00B40A77">
        <w:rPr>
          <w:color w:val="000000" w:themeColor="text1"/>
          <w:lang w:val="en-US"/>
        </w:rPr>
        <w:t>(a)</w:t>
      </w:r>
      <w:r w:rsidRPr="00B40A77">
        <w:rPr>
          <w:color w:val="000000" w:themeColor="text1"/>
          <w:lang w:val="en-US"/>
        </w:rPr>
        <w:tab/>
        <w:t xml:space="preserve">prepare a document </w:t>
      </w:r>
      <w:r w:rsidR="004F525D" w:rsidRPr="00B40A77">
        <w:rPr>
          <w:color w:val="000000" w:themeColor="text1"/>
          <w:lang w:val="en-US"/>
        </w:rPr>
        <w:t xml:space="preserve">in the prescribed form </w:t>
      </w:r>
      <w:r w:rsidRPr="00B40A77">
        <w:rPr>
          <w:color w:val="000000" w:themeColor="text1"/>
          <w:lang w:val="en-US"/>
        </w:rPr>
        <w:t>containing a statement of the background and relevant facts on the basis of which the question of law is to be determined and a statement of the question to be determined;</w:t>
      </w:r>
    </w:p>
    <w:p w14:paraId="5232CA15" w14:textId="77777777" w:rsidR="004F525D" w:rsidRPr="00B40A77" w:rsidRDefault="004F525D" w:rsidP="001103F0">
      <w:pPr>
        <w:pStyle w:val="NoteHeader"/>
        <w:keepNext/>
        <w:ind w:left="1701"/>
        <w:rPr>
          <w:color w:val="000000" w:themeColor="text1"/>
        </w:rPr>
      </w:pPr>
      <w:r w:rsidRPr="00B40A77">
        <w:rPr>
          <w:color w:val="000000" w:themeColor="text1"/>
        </w:rPr>
        <w:t>Prescribed form—</w:t>
      </w:r>
    </w:p>
    <w:p w14:paraId="017F58C8" w14:textId="64EAC0AE" w:rsidR="004F525D" w:rsidRPr="00B40A77" w:rsidRDefault="004F525D" w:rsidP="00A75CA8">
      <w:pPr>
        <w:pStyle w:val="NoteText"/>
        <w:ind w:left="1985"/>
        <w:rPr>
          <w:color w:val="000000" w:themeColor="text1"/>
          <w:lang w:val="en-US"/>
        </w:rPr>
      </w:pPr>
      <w:r w:rsidRPr="00B40A77">
        <w:rPr>
          <w:color w:val="000000" w:themeColor="text1"/>
        </w:rPr>
        <w:t>Form 15</w:t>
      </w:r>
      <w:r w:rsidR="00FF2A97" w:rsidRPr="00B40A77">
        <w:rPr>
          <w:color w:val="000000" w:themeColor="text1"/>
        </w:rPr>
        <w:t>9</w:t>
      </w:r>
      <w:r w:rsidRPr="00B40A77">
        <w:rPr>
          <w:color w:val="000000" w:themeColor="text1"/>
        </w:rPr>
        <w:t xml:space="preserve"> </w:t>
      </w:r>
      <w:hyperlink r:id="rId424" w:history="1">
        <w:r w:rsidRPr="00B40A77">
          <w:rPr>
            <w:rStyle w:val="Hyperlink"/>
            <w:color w:val="000000" w:themeColor="text1"/>
          </w:rPr>
          <w:t>Case Stated</w:t>
        </w:r>
      </w:hyperlink>
    </w:p>
    <w:p w14:paraId="4A05F979" w14:textId="1CEEB837" w:rsidR="00AF3BB2" w:rsidRPr="00B40A77" w:rsidRDefault="00AF3BB2" w:rsidP="00AF3BB2">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designate a party to the proceeding who is to be regarded as the appellant on the </w:t>
      </w:r>
      <w:hyperlink w:anchor="_211.1—Definitions" w:history="1">
        <w:r w:rsidRPr="00B40A77">
          <w:rPr>
            <w:rStyle w:val="Hyperlink"/>
            <w:color w:val="000000" w:themeColor="text1"/>
            <w:lang w:val="en-US"/>
          </w:rPr>
          <w:t>case stated</w:t>
        </w:r>
      </w:hyperlink>
      <w:r w:rsidRPr="00B40A77">
        <w:rPr>
          <w:color w:val="000000" w:themeColor="text1"/>
          <w:lang w:val="en-US"/>
        </w:rPr>
        <w:t xml:space="preserve"> and have the carriage of it; and</w:t>
      </w:r>
    </w:p>
    <w:p w14:paraId="624077EA" w14:textId="63CA9616" w:rsidR="00AF3BB2" w:rsidRPr="00B40A77" w:rsidRDefault="00AF3BB2" w:rsidP="00AF3BB2">
      <w:pPr>
        <w:pStyle w:val="Doublehangindent"/>
        <w:rPr>
          <w:color w:val="000000" w:themeColor="text1"/>
          <w:lang w:val="en-US"/>
        </w:rPr>
      </w:pPr>
      <w:r w:rsidRPr="00B40A77">
        <w:rPr>
          <w:color w:val="000000" w:themeColor="text1"/>
          <w:lang w:val="en-US"/>
        </w:rPr>
        <w:t>(c)</w:t>
      </w:r>
      <w:r w:rsidRPr="00B40A77">
        <w:rPr>
          <w:color w:val="000000" w:themeColor="text1"/>
          <w:lang w:val="en-US"/>
        </w:rPr>
        <w:tab/>
        <w:t>designate wh</w:t>
      </w:r>
      <w:r w:rsidR="00E127B2" w:rsidRPr="00B40A77">
        <w:rPr>
          <w:color w:val="000000" w:themeColor="text1"/>
          <w:lang w:val="en-US"/>
        </w:rPr>
        <w:t>ich parties</w:t>
      </w:r>
      <w:r w:rsidRPr="00B40A77">
        <w:rPr>
          <w:color w:val="000000" w:themeColor="text1"/>
          <w:lang w:val="en-US"/>
        </w:rPr>
        <w:t xml:space="preserve"> are to be the respondents to the appellate proceeding.</w:t>
      </w:r>
    </w:p>
    <w:p w14:paraId="5E45277E" w14:textId="3CB1FAD9" w:rsidR="00AF3BB2" w:rsidRPr="00B40A77" w:rsidRDefault="00AF3BB2" w:rsidP="00AF3BB2">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Court may request the court of first instance to forward to </w:t>
      </w:r>
      <w:r w:rsidR="00625790" w:rsidRPr="00B40A77">
        <w:rPr>
          <w:color w:val="000000" w:themeColor="text1"/>
        </w:rPr>
        <w:t xml:space="preserve">the Court </w:t>
      </w:r>
      <w:r w:rsidRPr="00B40A77">
        <w:rPr>
          <w:color w:val="000000" w:themeColor="text1"/>
          <w:lang w:val="en-US"/>
        </w:rPr>
        <w:t>the whole or part of the file for the proceeding including any transcript of hearings and evidence in the custody of that court.</w:t>
      </w:r>
    </w:p>
    <w:p w14:paraId="3ED197F3" w14:textId="5BDB0D11" w:rsidR="004A052B" w:rsidRPr="00B40A77" w:rsidRDefault="00F76788" w:rsidP="00845B67">
      <w:pPr>
        <w:pStyle w:val="Heading4"/>
        <w:rPr>
          <w:color w:val="000000" w:themeColor="text1"/>
        </w:rPr>
      </w:pPr>
      <w:bookmarkStart w:id="1212" w:name="_Toc175239400"/>
      <w:r w:rsidRPr="00B40A77">
        <w:rPr>
          <w:color w:val="000000" w:themeColor="text1"/>
        </w:rPr>
        <w:t>197</w:t>
      </w:r>
      <w:r w:rsidR="004A052B" w:rsidRPr="00B40A77">
        <w:rPr>
          <w:color w:val="000000" w:themeColor="text1"/>
        </w:rPr>
        <w:t xml:space="preserve">.2—Application for </w:t>
      </w:r>
      <w:r w:rsidR="004232B7" w:rsidRPr="00B40A77">
        <w:rPr>
          <w:color w:val="000000" w:themeColor="text1"/>
        </w:rPr>
        <w:t>reservation of</w:t>
      </w:r>
      <w:r w:rsidR="004A052B" w:rsidRPr="00B40A77">
        <w:rPr>
          <w:color w:val="000000" w:themeColor="text1"/>
        </w:rPr>
        <w:t xml:space="preserve"> question</w:t>
      </w:r>
      <w:bookmarkEnd w:id="1212"/>
    </w:p>
    <w:p w14:paraId="58B8B2AF" w14:textId="6A9B381F" w:rsidR="004232B7" w:rsidRPr="00B40A77" w:rsidRDefault="00E02F2B" w:rsidP="00E02F2B">
      <w:pPr>
        <w:pStyle w:val="Hangindent"/>
        <w:keepNext/>
        <w:rPr>
          <w:color w:val="000000" w:themeColor="text1"/>
          <w:lang w:val="en-US"/>
        </w:rPr>
      </w:pPr>
      <w:r w:rsidRPr="00B40A77">
        <w:rPr>
          <w:color w:val="000000" w:themeColor="text1"/>
          <w:lang w:val="en-US"/>
        </w:rPr>
        <w:t>(1)</w:t>
      </w:r>
      <w:r w:rsidRPr="00B40A77">
        <w:rPr>
          <w:color w:val="000000" w:themeColor="text1"/>
          <w:lang w:val="en-US"/>
        </w:rPr>
        <w:tab/>
      </w:r>
      <w:r w:rsidR="004A052B" w:rsidRPr="00B40A77">
        <w:rPr>
          <w:color w:val="000000" w:themeColor="text1"/>
          <w:lang w:val="en-US"/>
        </w:rPr>
        <w:t>An application</w:t>
      </w:r>
      <w:r w:rsidR="004232B7" w:rsidRPr="00B40A77">
        <w:rPr>
          <w:color w:val="000000" w:themeColor="text1"/>
          <w:lang w:val="en-US"/>
        </w:rPr>
        <w:t>—</w:t>
      </w:r>
    </w:p>
    <w:p w14:paraId="456BE5FE" w14:textId="0D1DEA21" w:rsidR="004232B7" w:rsidRPr="00B40A77" w:rsidRDefault="004232B7" w:rsidP="00E02F2B">
      <w:pPr>
        <w:pStyle w:val="Doublehangindent"/>
        <w:rPr>
          <w:color w:val="000000" w:themeColor="text1"/>
          <w:lang w:val="en-US"/>
        </w:rPr>
      </w:pPr>
      <w:r w:rsidRPr="00B40A77">
        <w:rPr>
          <w:color w:val="000000" w:themeColor="text1"/>
          <w:lang w:val="en-US"/>
        </w:rPr>
        <w:t>(</w:t>
      </w:r>
      <w:r w:rsidR="0083306F" w:rsidRPr="00B40A77">
        <w:rPr>
          <w:color w:val="000000" w:themeColor="text1"/>
          <w:lang w:val="en-US"/>
        </w:rPr>
        <w:t>a</w:t>
      </w:r>
      <w:r w:rsidRPr="00B40A77">
        <w:rPr>
          <w:color w:val="000000" w:themeColor="text1"/>
          <w:lang w:val="en-US"/>
        </w:rPr>
        <w:t>)</w:t>
      </w:r>
      <w:r w:rsidR="00E02F2B" w:rsidRPr="00B40A77">
        <w:rPr>
          <w:color w:val="000000" w:themeColor="text1"/>
          <w:lang w:val="en-US"/>
        </w:rPr>
        <w:tab/>
      </w:r>
      <w:r w:rsidRPr="00B40A77">
        <w:rPr>
          <w:color w:val="000000" w:themeColor="text1"/>
          <w:lang w:val="en-US"/>
        </w:rPr>
        <w:t>by the Attorney General or the Director</w:t>
      </w:r>
      <w:r w:rsidR="0083306F" w:rsidRPr="00B40A77">
        <w:rPr>
          <w:color w:val="000000" w:themeColor="text1"/>
          <w:lang w:val="en-US"/>
        </w:rPr>
        <w:t xml:space="preserve"> for an order that a court refer a relevant question to the </w:t>
      </w:r>
      <w:hyperlink w:anchor="_2.1—Definitions" w:history="1">
        <w:r w:rsidR="00350C21" w:rsidRPr="00B40A77">
          <w:rPr>
            <w:rStyle w:val="Hyperlink"/>
            <w:color w:val="000000" w:themeColor="text1"/>
            <w:lang w:val="en-US"/>
          </w:rPr>
          <w:t>Court of Appeal</w:t>
        </w:r>
      </w:hyperlink>
      <w:r w:rsidR="0083306F" w:rsidRPr="00B40A77">
        <w:rPr>
          <w:color w:val="000000" w:themeColor="text1"/>
          <w:lang w:val="en-US"/>
        </w:rPr>
        <w:t xml:space="preserve"> for consideration and determination</w:t>
      </w:r>
      <w:r w:rsidRPr="00B40A77">
        <w:rPr>
          <w:color w:val="000000" w:themeColor="text1"/>
          <w:lang w:val="en-US"/>
        </w:rPr>
        <w:t xml:space="preserve"> under section</w:t>
      </w:r>
      <w:r w:rsidR="008906D0" w:rsidRPr="00B40A77">
        <w:rPr>
          <w:color w:val="000000" w:themeColor="text1"/>
          <w:lang w:val="en-US"/>
        </w:rPr>
        <w:t> </w:t>
      </w:r>
      <w:r w:rsidRPr="00B40A77">
        <w:rPr>
          <w:color w:val="000000" w:themeColor="text1"/>
          <w:lang w:val="en-US"/>
        </w:rPr>
        <w:t xml:space="preserve">153(6)(a) of the </w:t>
      </w:r>
      <w:r w:rsidR="00597AD8" w:rsidRPr="00B40A77">
        <w:rPr>
          <w:color w:val="000000" w:themeColor="text1"/>
          <w:lang w:val="en-US"/>
        </w:rPr>
        <w:t xml:space="preserve">Procedure </w:t>
      </w:r>
      <w:r w:rsidRPr="00B40A77">
        <w:rPr>
          <w:color w:val="000000" w:themeColor="text1"/>
          <w:lang w:val="en-US"/>
        </w:rPr>
        <w:t>Act;</w:t>
      </w:r>
    </w:p>
    <w:p w14:paraId="008E8D00" w14:textId="4FABA6CA" w:rsidR="007846D5" w:rsidRPr="00B40A77" w:rsidRDefault="007846D5" w:rsidP="00E02F2B">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by a person who has obtained </w:t>
      </w:r>
      <w:r w:rsidR="00EC7E4D" w:rsidRPr="00B40A77">
        <w:rPr>
          <w:color w:val="000000" w:themeColor="text1"/>
          <w:lang w:val="en-US"/>
        </w:rPr>
        <w:t xml:space="preserve">permission </w:t>
      </w:r>
      <w:r w:rsidRPr="00B40A77">
        <w:rPr>
          <w:color w:val="000000" w:themeColor="text1"/>
          <w:lang w:val="en-US"/>
        </w:rPr>
        <w:t>under section</w:t>
      </w:r>
      <w:r w:rsidR="00425D16" w:rsidRPr="00B40A77">
        <w:rPr>
          <w:color w:val="000000" w:themeColor="text1"/>
          <w:lang w:val="en-US"/>
        </w:rPr>
        <w:t> </w:t>
      </w:r>
      <w:r w:rsidRPr="00B40A77">
        <w:rPr>
          <w:color w:val="000000" w:themeColor="text1"/>
          <w:lang w:val="en-US"/>
        </w:rPr>
        <w:t xml:space="preserve">153(6)(b)(ii) of the </w:t>
      </w:r>
      <w:r w:rsidR="008906D0" w:rsidRPr="00B40A77">
        <w:rPr>
          <w:color w:val="000000" w:themeColor="text1"/>
          <w:lang w:val="en-US"/>
        </w:rPr>
        <w:t>Procedure </w:t>
      </w:r>
      <w:r w:rsidRPr="00B40A77">
        <w:rPr>
          <w:color w:val="000000" w:themeColor="text1"/>
          <w:lang w:val="en-US"/>
        </w:rPr>
        <w:t xml:space="preserve">Act from the court of first instance to apply for an order that the court of first instance refer a relevant question to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for consideration and determination under section</w:t>
      </w:r>
      <w:r w:rsidR="00E127B2" w:rsidRPr="00B40A77">
        <w:rPr>
          <w:color w:val="000000" w:themeColor="text1"/>
          <w:lang w:val="en-US"/>
        </w:rPr>
        <w:t> </w:t>
      </w:r>
      <w:r w:rsidRPr="00B40A77">
        <w:rPr>
          <w:color w:val="000000" w:themeColor="text1"/>
          <w:lang w:val="en-US"/>
        </w:rPr>
        <w:t xml:space="preserve">153(6)(b) of the </w:t>
      </w:r>
      <w:r w:rsidR="008906D0" w:rsidRPr="00B40A77">
        <w:rPr>
          <w:color w:val="000000" w:themeColor="text1"/>
          <w:lang w:val="en-US"/>
        </w:rPr>
        <w:t>Procedure </w:t>
      </w:r>
      <w:r w:rsidRPr="00B40A77">
        <w:rPr>
          <w:color w:val="000000" w:themeColor="text1"/>
          <w:lang w:val="en-US"/>
        </w:rPr>
        <w:t>Act; or</w:t>
      </w:r>
    </w:p>
    <w:p w14:paraId="7C130BC0" w14:textId="028D2B4C" w:rsidR="004232B7" w:rsidRPr="00B40A77" w:rsidRDefault="007846D5" w:rsidP="00E02F2B">
      <w:pPr>
        <w:pStyle w:val="Doublehangindent"/>
        <w:rPr>
          <w:color w:val="000000" w:themeColor="text1"/>
          <w:lang w:val="en-US"/>
        </w:rPr>
      </w:pPr>
      <w:r w:rsidRPr="00B40A77">
        <w:rPr>
          <w:color w:val="000000" w:themeColor="text1"/>
          <w:lang w:val="en-US"/>
        </w:rPr>
        <w:t>(c</w:t>
      </w:r>
      <w:r w:rsidR="0083306F" w:rsidRPr="00B40A77">
        <w:rPr>
          <w:color w:val="000000" w:themeColor="text1"/>
          <w:lang w:val="en-US"/>
        </w:rPr>
        <w:t>)</w:t>
      </w:r>
      <w:r w:rsidR="0083306F" w:rsidRPr="00B40A77">
        <w:rPr>
          <w:color w:val="000000" w:themeColor="text1"/>
          <w:lang w:val="en-US"/>
        </w:rPr>
        <w:tab/>
        <w:t xml:space="preserve">by </w:t>
      </w:r>
      <w:r w:rsidR="00407861" w:rsidRPr="00B40A77">
        <w:rPr>
          <w:color w:val="000000" w:themeColor="text1"/>
          <w:lang w:val="en-US"/>
        </w:rPr>
        <w:t>any other person for leave</w:t>
      </w:r>
      <w:r w:rsidR="0083306F" w:rsidRPr="00B40A77">
        <w:rPr>
          <w:color w:val="000000" w:themeColor="text1"/>
          <w:lang w:val="en-US"/>
        </w:rPr>
        <w:t xml:space="preserve"> to make an application to the </w:t>
      </w:r>
      <w:hyperlink w:anchor="_2.1—Definitions" w:history="1">
        <w:r w:rsidR="00350C21" w:rsidRPr="00B40A77">
          <w:rPr>
            <w:rStyle w:val="Hyperlink"/>
            <w:color w:val="000000" w:themeColor="text1"/>
            <w:lang w:val="en-US"/>
          </w:rPr>
          <w:t>Court of Appeal</w:t>
        </w:r>
      </w:hyperlink>
      <w:r w:rsidR="0083306F" w:rsidRPr="00B40A77">
        <w:rPr>
          <w:color w:val="000000" w:themeColor="text1"/>
          <w:lang w:val="en-US"/>
        </w:rPr>
        <w:t xml:space="preserve"> for an order that a court refer a relevant question to the </w:t>
      </w:r>
      <w:hyperlink w:anchor="_2.1—Definitions" w:history="1">
        <w:r w:rsidR="00350C21" w:rsidRPr="00B40A77">
          <w:rPr>
            <w:rStyle w:val="Hyperlink"/>
            <w:color w:val="000000" w:themeColor="text1"/>
            <w:lang w:val="en-US"/>
          </w:rPr>
          <w:t>Court of Appeal</w:t>
        </w:r>
      </w:hyperlink>
      <w:r w:rsidR="0083306F" w:rsidRPr="00B40A77">
        <w:rPr>
          <w:color w:val="000000" w:themeColor="text1"/>
          <w:lang w:val="en-US"/>
        </w:rPr>
        <w:t xml:space="preserve"> for consideration and determination under section</w:t>
      </w:r>
      <w:r w:rsidR="00E127B2" w:rsidRPr="00B40A77">
        <w:rPr>
          <w:color w:val="000000" w:themeColor="text1"/>
          <w:lang w:val="en-US"/>
        </w:rPr>
        <w:t> </w:t>
      </w:r>
      <w:r w:rsidR="0083306F" w:rsidRPr="00B40A77">
        <w:rPr>
          <w:color w:val="000000" w:themeColor="text1"/>
          <w:lang w:val="en-US"/>
        </w:rPr>
        <w:t>153(6)(b)(ii) of the Procedure</w:t>
      </w:r>
      <w:r w:rsidR="00201B5C" w:rsidRPr="00B40A77">
        <w:rPr>
          <w:color w:val="000000" w:themeColor="text1"/>
          <w:lang w:val="en-US"/>
        </w:rPr>
        <w:t> </w:t>
      </w:r>
      <w:r w:rsidR="0083306F" w:rsidRPr="00B40A77">
        <w:rPr>
          <w:color w:val="000000" w:themeColor="text1"/>
          <w:lang w:val="en-US"/>
        </w:rPr>
        <w:t>Act</w:t>
      </w:r>
      <w:r w:rsidRPr="00B40A77">
        <w:rPr>
          <w:color w:val="000000" w:themeColor="text1"/>
          <w:lang w:val="en-US"/>
        </w:rPr>
        <w:t>,</w:t>
      </w:r>
    </w:p>
    <w:p w14:paraId="09BF1CDF" w14:textId="32C25894" w:rsidR="004A052B" w:rsidRPr="00B40A77" w:rsidRDefault="00F86D4D" w:rsidP="00E02F2B">
      <w:pPr>
        <w:pStyle w:val="Doublehangindent"/>
        <w:keepNext/>
        <w:ind w:left="1436" w:hanging="302"/>
        <w:rPr>
          <w:color w:val="000000" w:themeColor="text1"/>
          <w:lang w:val="en-US"/>
        </w:rPr>
      </w:pPr>
      <w:r w:rsidRPr="00B40A77">
        <w:rPr>
          <w:color w:val="000000" w:themeColor="text1"/>
          <w:lang w:val="en-US"/>
        </w:rPr>
        <w:t>must</w:t>
      </w:r>
      <w:r w:rsidR="004A052B" w:rsidRPr="00B40A77">
        <w:rPr>
          <w:color w:val="000000" w:themeColor="text1"/>
          <w:lang w:val="en-US"/>
        </w:rPr>
        <w:t xml:space="preserve"> be made by origin</w:t>
      </w:r>
      <w:r w:rsidRPr="00B40A77">
        <w:rPr>
          <w:color w:val="000000" w:themeColor="text1"/>
          <w:lang w:val="en-US"/>
        </w:rPr>
        <w:t>ating application in the prescribed</w:t>
      </w:r>
      <w:r w:rsidR="004A052B" w:rsidRPr="00B40A77">
        <w:rPr>
          <w:color w:val="000000" w:themeColor="text1"/>
          <w:lang w:val="en-US"/>
        </w:rPr>
        <w:t xml:space="preserve"> form.</w:t>
      </w:r>
    </w:p>
    <w:p w14:paraId="6FED6CF5" w14:textId="77777777" w:rsidR="00F86D4D" w:rsidRPr="00B40A77" w:rsidRDefault="00F86D4D" w:rsidP="003B64D7">
      <w:pPr>
        <w:pStyle w:val="NoteHeader"/>
        <w:keepNext/>
        <w:ind w:left="851"/>
        <w:rPr>
          <w:color w:val="000000" w:themeColor="text1"/>
        </w:rPr>
      </w:pPr>
      <w:r w:rsidRPr="00B40A77">
        <w:rPr>
          <w:color w:val="000000" w:themeColor="text1"/>
        </w:rPr>
        <w:t>Prescribed form—</w:t>
      </w:r>
    </w:p>
    <w:p w14:paraId="180FE598" w14:textId="309E4FB6" w:rsidR="00F86D4D" w:rsidRPr="00B40A77" w:rsidRDefault="00F86D4D" w:rsidP="00A75CA8">
      <w:pPr>
        <w:pStyle w:val="NoteText"/>
        <w:ind w:left="1135"/>
        <w:rPr>
          <w:rStyle w:val="Hyperlink"/>
          <w:color w:val="000000" w:themeColor="text1"/>
        </w:rPr>
      </w:pPr>
      <w:r w:rsidRPr="00B40A77">
        <w:rPr>
          <w:color w:val="000000" w:themeColor="text1"/>
        </w:rPr>
        <w:t>Form 19</w:t>
      </w:r>
      <w:r w:rsidR="00FF2A97" w:rsidRPr="00B40A77">
        <w:rPr>
          <w:color w:val="000000" w:themeColor="text1"/>
        </w:rPr>
        <w:t>3</w:t>
      </w:r>
      <w:r w:rsidRPr="00B40A77">
        <w:rPr>
          <w:color w:val="000000" w:themeColor="text1"/>
        </w:rPr>
        <w:t xml:space="preserve"> </w:t>
      </w:r>
      <w:r w:rsidRPr="00B40A77">
        <w:rPr>
          <w:color w:val="000000" w:themeColor="text1"/>
          <w:u w:val="single"/>
        </w:rPr>
        <w:t>O</w:t>
      </w:r>
      <w:r w:rsidRPr="00B40A77">
        <w:rPr>
          <w:rStyle w:val="Hyperlink"/>
          <w:color w:val="000000" w:themeColor="text1"/>
        </w:rPr>
        <w:t xml:space="preserve">riginating </w:t>
      </w:r>
      <w:r w:rsidR="00FF2A97" w:rsidRPr="00B40A77">
        <w:rPr>
          <w:rStyle w:val="Hyperlink"/>
          <w:color w:val="000000" w:themeColor="text1"/>
        </w:rPr>
        <w:t>A</w:t>
      </w:r>
      <w:r w:rsidRPr="00B40A77">
        <w:rPr>
          <w:rStyle w:val="Hyperlink"/>
          <w:color w:val="000000" w:themeColor="text1"/>
        </w:rPr>
        <w:t xml:space="preserve">pplication for </w:t>
      </w:r>
      <w:r w:rsidR="00FF2A97" w:rsidRPr="00B40A77">
        <w:rPr>
          <w:rStyle w:val="Hyperlink"/>
          <w:color w:val="000000" w:themeColor="text1"/>
        </w:rPr>
        <w:t>R</w:t>
      </w:r>
      <w:r w:rsidRPr="00B40A77">
        <w:rPr>
          <w:rStyle w:val="Hyperlink"/>
          <w:color w:val="000000" w:themeColor="text1"/>
        </w:rPr>
        <w:t xml:space="preserve">eservation of </w:t>
      </w:r>
      <w:r w:rsidR="00FF2A97" w:rsidRPr="00B40A77">
        <w:rPr>
          <w:rStyle w:val="Hyperlink"/>
          <w:color w:val="000000" w:themeColor="text1"/>
        </w:rPr>
        <w:t>Q</w:t>
      </w:r>
      <w:r w:rsidRPr="00B40A77">
        <w:rPr>
          <w:rStyle w:val="Hyperlink"/>
          <w:color w:val="000000" w:themeColor="text1"/>
        </w:rPr>
        <w:t xml:space="preserve">uestion to </w:t>
      </w:r>
      <w:r w:rsidR="009B5EB7" w:rsidRPr="00B40A77">
        <w:rPr>
          <w:rStyle w:val="Hyperlink"/>
          <w:color w:val="000000" w:themeColor="text1"/>
        </w:rPr>
        <w:t>Court of A</w:t>
      </w:r>
      <w:r w:rsidRPr="00B40A77">
        <w:rPr>
          <w:rStyle w:val="Hyperlink"/>
          <w:color w:val="000000" w:themeColor="text1"/>
        </w:rPr>
        <w:t>ppeal</w:t>
      </w:r>
    </w:p>
    <w:p w14:paraId="438F21A5" w14:textId="115742BE" w:rsidR="00E02F2B" w:rsidRPr="00B40A77" w:rsidRDefault="00E02F2B" w:rsidP="00E02F2B">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appellant </w:t>
      </w:r>
      <w:r w:rsidR="008A792E" w:rsidRPr="00B40A77">
        <w:rPr>
          <w:color w:val="000000" w:themeColor="text1"/>
          <w:lang w:val="en-US"/>
        </w:rPr>
        <w:t xml:space="preserve">must </w:t>
      </w:r>
      <w:r w:rsidRPr="00B40A77">
        <w:rPr>
          <w:color w:val="000000" w:themeColor="text1"/>
          <w:lang w:val="en-US"/>
        </w:rPr>
        <w:t>file with the originating application a draft case stated in the prescribed form.</w:t>
      </w:r>
    </w:p>
    <w:p w14:paraId="102E5C4A" w14:textId="77777777" w:rsidR="00E02F2B" w:rsidRPr="00B40A77" w:rsidRDefault="00E02F2B" w:rsidP="00E02F2B">
      <w:pPr>
        <w:pStyle w:val="NoteHeader"/>
        <w:keepNext/>
        <w:rPr>
          <w:color w:val="000000" w:themeColor="text1"/>
        </w:rPr>
      </w:pPr>
      <w:r w:rsidRPr="00B40A77">
        <w:rPr>
          <w:color w:val="000000" w:themeColor="text1"/>
        </w:rPr>
        <w:lastRenderedPageBreak/>
        <w:t>Prescribed form—</w:t>
      </w:r>
    </w:p>
    <w:p w14:paraId="0F96DBDF" w14:textId="7CC2A719" w:rsidR="00E02F2B" w:rsidRPr="00B40A77" w:rsidRDefault="00E02F2B" w:rsidP="00E02F2B">
      <w:pPr>
        <w:pStyle w:val="NoteText"/>
        <w:rPr>
          <w:color w:val="000000" w:themeColor="text1"/>
        </w:rPr>
      </w:pPr>
      <w:r w:rsidRPr="00B40A77">
        <w:rPr>
          <w:color w:val="000000" w:themeColor="text1"/>
        </w:rPr>
        <w:t xml:space="preserve">Form 159 </w:t>
      </w:r>
      <w:hyperlink r:id="rId425" w:history="1">
        <w:r w:rsidRPr="00B40A77">
          <w:rPr>
            <w:rStyle w:val="Hyperlink"/>
            <w:color w:val="000000" w:themeColor="text1"/>
          </w:rPr>
          <w:t>Case Stated</w:t>
        </w:r>
      </w:hyperlink>
    </w:p>
    <w:p w14:paraId="2E94B8A7" w14:textId="0E1B70B8" w:rsidR="00E02F2B" w:rsidRPr="00B40A77" w:rsidRDefault="00E02F2B" w:rsidP="00E02F2B">
      <w:pPr>
        <w:pStyle w:val="Hangindent"/>
        <w:rPr>
          <w:color w:val="000000" w:themeColor="text1"/>
          <w:lang w:val="en-US"/>
        </w:rPr>
      </w:pPr>
      <w:r w:rsidRPr="00B40A77">
        <w:rPr>
          <w:color w:val="000000" w:themeColor="text1"/>
          <w:lang w:val="en-US"/>
        </w:rPr>
        <w:t>(3)</w:t>
      </w:r>
      <w:r w:rsidRPr="00B40A77">
        <w:rPr>
          <w:color w:val="000000" w:themeColor="text1"/>
          <w:lang w:val="en-US"/>
        </w:rPr>
        <w:tab/>
        <w:t>The appellant must serve the originating application and draft case stated on each other party to the appellate proceeding as soon as practicable.</w:t>
      </w:r>
    </w:p>
    <w:p w14:paraId="1A7CBA02" w14:textId="52915588" w:rsidR="00E02F2B" w:rsidRPr="00B40A77" w:rsidRDefault="00E02F2B" w:rsidP="00E02F2B">
      <w:pPr>
        <w:pStyle w:val="Hangindent"/>
        <w:rPr>
          <w:color w:val="000000" w:themeColor="text1"/>
          <w:lang w:val="en-US"/>
        </w:rPr>
      </w:pPr>
      <w:r w:rsidRPr="00B40A77">
        <w:rPr>
          <w:color w:val="000000" w:themeColor="text1"/>
          <w:lang w:val="en-US"/>
        </w:rPr>
        <w:t>(4)</w:t>
      </w:r>
      <w:r w:rsidRPr="00B40A77">
        <w:rPr>
          <w:color w:val="000000" w:themeColor="text1"/>
          <w:lang w:val="en-US"/>
        </w:rPr>
        <w:tab/>
      </w:r>
      <w:r w:rsidRPr="00B40A77">
        <w:rPr>
          <w:bCs/>
          <w:color w:val="000000" w:themeColor="text1"/>
          <w:lang w:val="en-US"/>
        </w:rPr>
        <w:t>After filing of the originating application, the Court will generally</w:t>
      </w:r>
      <w:r w:rsidRPr="00B40A77">
        <w:rPr>
          <w:color w:val="000000" w:themeColor="text1"/>
          <w:lang w:val="en-US"/>
        </w:rPr>
        <w:t xml:space="preserve"> list the matter for the next available callover under </w:t>
      </w:r>
      <w:hyperlink w:anchor="_200.1—Convening_callover" w:history="1">
        <w:r w:rsidRPr="00B40A77">
          <w:rPr>
            <w:rStyle w:val="Hyperlink"/>
            <w:color w:val="000000" w:themeColor="text1"/>
            <w:lang w:val="en-US"/>
          </w:rPr>
          <w:t>rule 200.1</w:t>
        </w:r>
      </w:hyperlink>
      <w:r w:rsidRPr="00B40A77">
        <w:rPr>
          <w:color w:val="000000" w:themeColor="text1"/>
          <w:lang w:val="en-US"/>
        </w:rPr>
        <w:t>.</w:t>
      </w:r>
    </w:p>
    <w:p w14:paraId="1E0904A9" w14:textId="44CCBDB3" w:rsidR="00AF3BB2" w:rsidRPr="00B40A77" w:rsidRDefault="00F76788" w:rsidP="00AF3BB2">
      <w:pPr>
        <w:pStyle w:val="Heading4"/>
        <w:rPr>
          <w:color w:val="000000" w:themeColor="text1"/>
        </w:rPr>
      </w:pPr>
      <w:bookmarkStart w:id="1213" w:name="_Toc175239401"/>
      <w:r w:rsidRPr="00B40A77">
        <w:rPr>
          <w:color w:val="000000" w:themeColor="text1"/>
        </w:rPr>
        <w:t>197</w:t>
      </w:r>
      <w:r w:rsidR="0083306F" w:rsidRPr="00B40A77">
        <w:rPr>
          <w:color w:val="000000" w:themeColor="text1"/>
        </w:rPr>
        <w:t>.3</w:t>
      </w:r>
      <w:r w:rsidR="00AF3BB2" w:rsidRPr="00B40A77">
        <w:rPr>
          <w:color w:val="000000" w:themeColor="text1"/>
        </w:rPr>
        <w:t>—Institution of case</w:t>
      </w:r>
      <w:bookmarkEnd w:id="1213"/>
      <w:r w:rsidR="00AF3BB2" w:rsidRPr="00B40A77">
        <w:rPr>
          <w:color w:val="000000" w:themeColor="text1"/>
        </w:rPr>
        <w:t xml:space="preserve"> </w:t>
      </w:r>
    </w:p>
    <w:p w14:paraId="5B0492D9" w14:textId="7034A9A4" w:rsidR="00AF3BB2" w:rsidRPr="00B40A77" w:rsidRDefault="00AF3BB2"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The party designated as the appellant under </w:t>
      </w:r>
      <w:hyperlink w:anchor="_197.1—Case_stated_by" w:history="1">
        <w:r w:rsidR="007846D5" w:rsidRPr="00B40A77">
          <w:rPr>
            <w:rStyle w:val="Hyperlink"/>
            <w:color w:val="000000" w:themeColor="text1"/>
            <w:lang w:val="en-US"/>
          </w:rPr>
          <w:t>rule 19</w:t>
        </w:r>
        <w:r w:rsidR="00911138" w:rsidRPr="00B40A77">
          <w:rPr>
            <w:rStyle w:val="Hyperlink"/>
            <w:color w:val="000000" w:themeColor="text1"/>
            <w:lang w:val="en-US"/>
          </w:rPr>
          <w:t>7</w:t>
        </w:r>
        <w:r w:rsidRPr="00B40A77">
          <w:rPr>
            <w:rStyle w:val="Hyperlink"/>
            <w:color w:val="000000" w:themeColor="text1"/>
            <w:lang w:val="en-US"/>
          </w:rPr>
          <w:t>.1</w:t>
        </w:r>
      </w:hyperlink>
      <w:r w:rsidRPr="00B40A77">
        <w:rPr>
          <w:color w:val="000000" w:themeColor="text1"/>
          <w:lang w:val="en-US"/>
        </w:rPr>
        <w:t xml:space="preserve"> must file in the Court a notice of </w:t>
      </w:r>
      <w:hyperlink w:anchor="_211.1—Definitions" w:history="1">
        <w:r w:rsidRPr="00B40A77">
          <w:rPr>
            <w:rStyle w:val="Hyperlink"/>
            <w:color w:val="000000" w:themeColor="text1"/>
            <w:u w:val="none"/>
            <w:lang w:val="en-US"/>
          </w:rPr>
          <w:t>case stated</w:t>
        </w:r>
      </w:hyperlink>
      <w:r w:rsidRPr="00B40A77">
        <w:rPr>
          <w:color w:val="000000" w:themeColor="text1"/>
          <w:lang w:val="en-US"/>
        </w:rPr>
        <w:t xml:space="preserve"> in the prescribed form.</w:t>
      </w:r>
    </w:p>
    <w:p w14:paraId="5982654C" w14:textId="77777777" w:rsidR="00AF3BB2" w:rsidRPr="00B40A77" w:rsidRDefault="00AF3BB2" w:rsidP="00CA4BE7">
      <w:pPr>
        <w:pStyle w:val="NoteHeader"/>
        <w:keepNext/>
        <w:rPr>
          <w:color w:val="000000" w:themeColor="text1"/>
        </w:rPr>
      </w:pPr>
      <w:r w:rsidRPr="00B40A77">
        <w:rPr>
          <w:color w:val="000000" w:themeColor="text1"/>
        </w:rPr>
        <w:t>Prescribed form—</w:t>
      </w:r>
    </w:p>
    <w:p w14:paraId="7A7505F9" w14:textId="2F5CF52F" w:rsidR="00AF3BB2" w:rsidRPr="00B40A77" w:rsidRDefault="00AF3BB2" w:rsidP="00AF3BB2">
      <w:pPr>
        <w:pStyle w:val="NoteText"/>
        <w:rPr>
          <w:color w:val="000000" w:themeColor="text1"/>
          <w:lang w:val="en-US"/>
        </w:rPr>
      </w:pPr>
      <w:r w:rsidRPr="00B40A77">
        <w:rPr>
          <w:color w:val="000000" w:themeColor="text1"/>
        </w:rPr>
        <w:t>Form 19</w:t>
      </w:r>
      <w:r w:rsidR="00FF2A97" w:rsidRPr="00B40A77">
        <w:rPr>
          <w:color w:val="000000" w:themeColor="text1"/>
        </w:rPr>
        <w:t>2</w:t>
      </w:r>
      <w:r w:rsidRPr="00B40A77">
        <w:rPr>
          <w:color w:val="000000" w:themeColor="text1"/>
        </w:rPr>
        <w:t xml:space="preserve"> </w:t>
      </w:r>
      <w:hyperlink r:id="rId426" w:history="1">
        <w:r w:rsidRPr="00B40A77">
          <w:rPr>
            <w:rStyle w:val="Hyperlink"/>
            <w:color w:val="000000" w:themeColor="text1"/>
          </w:rPr>
          <w:t>Notice of Case Stated</w:t>
        </w:r>
      </w:hyperlink>
    </w:p>
    <w:p w14:paraId="4DAFA60B" w14:textId="1C36E89D" w:rsidR="007846D5" w:rsidRPr="00B40A77" w:rsidRDefault="00536E16" w:rsidP="007846D5">
      <w:pPr>
        <w:pStyle w:val="Hangindent"/>
        <w:rPr>
          <w:color w:val="000000" w:themeColor="text1"/>
          <w:lang w:val="en-US"/>
        </w:rPr>
      </w:pPr>
      <w:r w:rsidRPr="00B40A77">
        <w:rPr>
          <w:color w:val="000000" w:themeColor="text1"/>
          <w:lang w:val="en-US"/>
        </w:rPr>
        <w:t>(2</w:t>
      </w:r>
      <w:r w:rsidR="007846D5" w:rsidRPr="00B40A77">
        <w:rPr>
          <w:color w:val="000000" w:themeColor="text1"/>
          <w:lang w:val="en-US"/>
        </w:rPr>
        <w:t>)</w:t>
      </w:r>
      <w:r w:rsidR="007846D5" w:rsidRPr="00B40A77">
        <w:rPr>
          <w:color w:val="000000" w:themeColor="text1"/>
          <w:lang w:val="en-US"/>
        </w:rPr>
        <w:tab/>
        <w:t>The Court may order the addition or removal of a person as</w:t>
      </w:r>
      <w:r w:rsidRPr="00B40A77">
        <w:rPr>
          <w:color w:val="000000" w:themeColor="text1"/>
          <w:lang w:val="en-US"/>
        </w:rPr>
        <w:t xml:space="preserve"> a party to a </w:t>
      </w:r>
      <w:hyperlink w:anchor="_211.1—Definitions" w:history="1">
        <w:r w:rsidR="00E630D0" w:rsidRPr="00B40A77">
          <w:rPr>
            <w:rStyle w:val="Hyperlink"/>
            <w:color w:val="000000" w:themeColor="text1"/>
            <w:lang w:val="en-US"/>
          </w:rPr>
          <w:t>case stated</w:t>
        </w:r>
      </w:hyperlink>
      <w:r w:rsidR="007846D5" w:rsidRPr="00B40A77">
        <w:rPr>
          <w:color w:val="000000" w:themeColor="text1"/>
          <w:lang w:val="en-US"/>
        </w:rPr>
        <w:t>.</w:t>
      </w:r>
    </w:p>
    <w:p w14:paraId="77001371" w14:textId="01868F07" w:rsidR="007846D5" w:rsidRPr="00B40A77" w:rsidRDefault="00536E16" w:rsidP="007846D5">
      <w:pPr>
        <w:pStyle w:val="Hangindent"/>
        <w:rPr>
          <w:color w:val="000000" w:themeColor="text1"/>
          <w:lang w:val="en-US"/>
        </w:rPr>
      </w:pPr>
      <w:r w:rsidRPr="00B40A77">
        <w:rPr>
          <w:color w:val="000000" w:themeColor="text1"/>
          <w:lang w:val="en-US"/>
        </w:rPr>
        <w:t>(3</w:t>
      </w:r>
      <w:r w:rsidR="007846D5" w:rsidRPr="00B40A77">
        <w:rPr>
          <w:color w:val="000000" w:themeColor="text1"/>
          <w:lang w:val="en-US"/>
        </w:rPr>
        <w:t>)</w:t>
      </w:r>
      <w:r w:rsidR="007846D5" w:rsidRPr="00B40A77">
        <w:rPr>
          <w:color w:val="000000" w:themeColor="text1"/>
          <w:lang w:val="en-US"/>
        </w:rPr>
        <w:tab/>
        <w:t xml:space="preserve">The appellant must serve the notice of </w:t>
      </w:r>
      <w:hyperlink w:anchor="_211.1—Definitions" w:history="1">
        <w:r w:rsidR="00DF795F" w:rsidRPr="00B40A77">
          <w:rPr>
            <w:rStyle w:val="Hyperlink"/>
            <w:color w:val="000000" w:themeColor="text1"/>
            <w:u w:val="none"/>
            <w:lang w:val="en-US"/>
          </w:rPr>
          <w:t>case stated</w:t>
        </w:r>
      </w:hyperlink>
      <w:r w:rsidR="007846D5" w:rsidRPr="00B40A77">
        <w:rPr>
          <w:color w:val="000000" w:themeColor="text1"/>
          <w:lang w:val="en-US"/>
        </w:rPr>
        <w:t xml:space="preserve"> on each other party to the appellate proceeding as soon as practicable.</w:t>
      </w:r>
    </w:p>
    <w:p w14:paraId="2B87AFF5" w14:textId="2229B7AB" w:rsidR="00111A5D" w:rsidRPr="00B40A77" w:rsidRDefault="00536E16" w:rsidP="007846D5">
      <w:pPr>
        <w:pStyle w:val="Hangindent"/>
        <w:rPr>
          <w:color w:val="000000" w:themeColor="text1"/>
          <w:lang w:val="en-US"/>
        </w:rPr>
      </w:pPr>
      <w:r w:rsidRPr="00B40A77">
        <w:rPr>
          <w:color w:val="000000" w:themeColor="text1"/>
          <w:lang w:val="en-US"/>
        </w:rPr>
        <w:t>(4</w:t>
      </w:r>
      <w:r w:rsidR="00111A5D" w:rsidRPr="00B40A77">
        <w:rPr>
          <w:color w:val="000000" w:themeColor="text1"/>
          <w:lang w:val="en-US"/>
        </w:rPr>
        <w:t>)</w:t>
      </w:r>
      <w:r w:rsidR="00111A5D" w:rsidRPr="00B40A77">
        <w:rPr>
          <w:color w:val="000000" w:themeColor="text1"/>
          <w:lang w:val="en-US"/>
        </w:rPr>
        <w:tab/>
      </w:r>
      <w:r w:rsidR="00A664A0" w:rsidRPr="00B40A77">
        <w:rPr>
          <w:bCs/>
          <w:color w:val="000000" w:themeColor="text1"/>
          <w:lang w:val="en-US"/>
        </w:rPr>
        <w:t xml:space="preserve">After filing of the notice of case stated, the Court will </w:t>
      </w:r>
      <w:r w:rsidR="00E816DF" w:rsidRPr="00B40A77">
        <w:rPr>
          <w:bCs/>
          <w:color w:val="000000" w:themeColor="text1"/>
          <w:lang w:val="en-US"/>
        </w:rPr>
        <w:t>generally</w:t>
      </w:r>
      <w:r w:rsidR="00E816DF" w:rsidRPr="00B40A77">
        <w:rPr>
          <w:color w:val="000000" w:themeColor="text1"/>
          <w:lang w:val="en-US"/>
        </w:rPr>
        <w:t xml:space="preserve"> </w:t>
      </w:r>
      <w:r w:rsidR="00A664A0" w:rsidRPr="00B40A77">
        <w:rPr>
          <w:color w:val="000000" w:themeColor="text1"/>
          <w:lang w:val="en-US"/>
        </w:rPr>
        <w:t>list the matter for the next available callover u</w:t>
      </w:r>
      <w:r w:rsidR="007846D5" w:rsidRPr="00B40A77">
        <w:rPr>
          <w:color w:val="000000" w:themeColor="text1"/>
          <w:lang w:val="en-US"/>
        </w:rPr>
        <w:t xml:space="preserve">nder </w:t>
      </w:r>
      <w:hyperlink w:anchor="_200.1—Convening_callover" w:history="1">
        <w:r w:rsidR="00465AF0" w:rsidRPr="00B40A77">
          <w:rPr>
            <w:rStyle w:val="Hyperlink"/>
            <w:color w:val="000000" w:themeColor="text1"/>
            <w:lang w:val="en-US"/>
          </w:rPr>
          <w:t>rule 200.1</w:t>
        </w:r>
      </w:hyperlink>
      <w:r w:rsidR="00A664A0" w:rsidRPr="00B40A77">
        <w:rPr>
          <w:color w:val="000000" w:themeColor="text1"/>
          <w:lang w:val="en-US"/>
        </w:rPr>
        <w:t>.</w:t>
      </w:r>
    </w:p>
    <w:p w14:paraId="5C23E1D2" w14:textId="06F9BAAA" w:rsidR="000416E7" w:rsidRPr="00B40A77" w:rsidRDefault="00521BEE" w:rsidP="000416E7">
      <w:pPr>
        <w:pStyle w:val="Heading3"/>
        <w:rPr>
          <w:color w:val="000000" w:themeColor="text1"/>
        </w:rPr>
      </w:pPr>
      <w:bookmarkStart w:id="1214" w:name="_Toc175239402"/>
      <w:bookmarkEnd w:id="1209"/>
      <w:r w:rsidRPr="00B40A77">
        <w:rPr>
          <w:color w:val="000000" w:themeColor="text1"/>
        </w:rPr>
        <w:t>Division 7</w:t>
      </w:r>
      <w:r w:rsidR="000416E7" w:rsidRPr="00B40A77">
        <w:rPr>
          <w:color w:val="000000" w:themeColor="text1"/>
        </w:rPr>
        <w:t xml:space="preserve">—Institution of case on </w:t>
      </w:r>
      <w:r w:rsidR="00DF795F" w:rsidRPr="00B40A77">
        <w:rPr>
          <w:color w:val="000000" w:themeColor="text1"/>
        </w:rPr>
        <w:t xml:space="preserve">petition </w:t>
      </w:r>
      <w:r w:rsidR="000416E7" w:rsidRPr="00B40A77">
        <w:rPr>
          <w:color w:val="000000" w:themeColor="text1"/>
        </w:rPr>
        <w:t>referral</w:t>
      </w:r>
      <w:bookmarkEnd w:id="1214"/>
      <w:r w:rsidR="000416E7" w:rsidRPr="00B40A77">
        <w:rPr>
          <w:color w:val="000000" w:themeColor="text1"/>
        </w:rPr>
        <w:t xml:space="preserve"> </w:t>
      </w:r>
    </w:p>
    <w:p w14:paraId="679B0DED" w14:textId="363C1D08" w:rsidR="000416E7" w:rsidRPr="00B40A77" w:rsidRDefault="00F25F45" w:rsidP="000416E7">
      <w:pPr>
        <w:pStyle w:val="Heading4"/>
        <w:rPr>
          <w:color w:val="000000" w:themeColor="text1"/>
        </w:rPr>
      </w:pPr>
      <w:bookmarkStart w:id="1215" w:name="_Toc175239403"/>
      <w:r w:rsidRPr="00B40A77">
        <w:rPr>
          <w:color w:val="000000" w:themeColor="text1"/>
        </w:rPr>
        <w:t>19</w:t>
      </w:r>
      <w:r w:rsidR="00F76788" w:rsidRPr="00B40A77">
        <w:rPr>
          <w:color w:val="000000" w:themeColor="text1"/>
        </w:rPr>
        <w:t>8</w:t>
      </w:r>
      <w:r w:rsidR="000416E7" w:rsidRPr="00B40A77">
        <w:rPr>
          <w:color w:val="000000" w:themeColor="text1"/>
        </w:rPr>
        <w:t xml:space="preserve">.1—Case </w:t>
      </w:r>
      <w:r w:rsidR="00536E16" w:rsidRPr="00B40A77">
        <w:rPr>
          <w:color w:val="000000" w:themeColor="text1"/>
        </w:rPr>
        <w:t>on referral of petition of mercy</w:t>
      </w:r>
      <w:bookmarkEnd w:id="1215"/>
    </w:p>
    <w:p w14:paraId="01214AD3" w14:textId="3577D079" w:rsidR="007F5AB2" w:rsidRPr="00B40A77" w:rsidRDefault="000416E7" w:rsidP="001103F0">
      <w:pPr>
        <w:pStyle w:val="Hangindent"/>
        <w:keepNext/>
        <w:rPr>
          <w:color w:val="000000" w:themeColor="text1"/>
        </w:rPr>
      </w:pPr>
      <w:r w:rsidRPr="00B40A77">
        <w:rPr>
          <w:color w:val="000000" w:themeColor="text1"/>
          <w:lang w:val="en-US"/>
        </w:rPr>
        <w:t>(1)</w:t>
      </w:r>
      <w:r w:rsidRPr="00B40A77">
        <w:rPr>
          <w:color w:val="000000" w:themeColor="text1"/>
          <w:lang w:val="en-US"/>
        </w:rPr>
        <w:tab/>
      </w:r>
      <w:r w:rsidR="00A15D86" w:rsidRPr="00B40A77">
        <w:rPr>
          <w:color w:val="000000" w:themeColor="text1"/>
          <w:lang w:val="en-US"/>
        </w:rPr>
        <w:t xml:space="preserve">If the Attorney-General refers </w:t>
      </w:r>
      <w:r w:rsidR="00A15D86" w:rsidRPr="00B40A77">
        <w:rPr>
          <w:color w:val="000000" w:themeColor="text1"/>
        </w:rPr>
        <w:t>the whole case or a point ar</w:t>
      </w:r>
      <w:r w:rsidR="007F5AB2" w:rsidRPr="00B40A77">
        <w:rPr>
          <w:color w:val="000000" w:themeColor="text1"/>
        </w:rPr>
        <w:t>i</w:t>
      </w:r>
      <w:r w:rsidR="00A15D86" w:rsidRPr="00B40A77">
        <w:rPr>
          <w:color w:val="000000" w:themeColor="text1"/>
        </w:rPr>
        <w:t xml:space="preserve">sing </w:t>
      </w:r>
      <w:r w:rsidR="007F5AB2" w:rsidRPr="00B40A77">
        <w:rPr>
          <w:color w:val="000000" w:themeColor="text1"/>
        </w:rPr>
        <w:t xml:space="preserve">on a petition of mercy </w:t>
      </w:r>
      <w:r w:rsidR="00A15D86" w:rsidRPr="00B40A77">
        <w:rPr>
          <w:color w:val="000000" w:themeColor="text1"/>
        </w:rPr>
        <w:t xml:space="preserve">to </w:t>
      </w:r>
      <w:r w:rsidR="00536E16" w:rsidRPr="00B40A77">
        <w:rPr>
          <w:color w:val="000000" w:themeColor="text1"/>
        </w:rPr>
        <w:t xml:space="preserve">the </w:t>
      </w:r>
      <w:hyperlink w:anchor="_2.1—Definitions" w:history="1">
        <w:r w:rsidR="00350C21" w:rsidRPr="00B40A77">
          <w:rPr>
            <w:rStyle w:val="Hyperlink"/>
            <w:color w:val="000000" w:themeColor="text1"/>
            <w:lang w:val="en-US"/>
          </w:rPr>
          <w:t>Court of Appeal</w:t>
        </w:r>
      </w:hyperlink>
      <w:r w:rsidR="007F5AB2" w:rsidRPr="00B40A77">
        <w:rPr>
          <w:color w:val="000000" w:themeColor="text1"/>
        </w:rPr>
        <w:t xml:space="preserve">, the petitioner must </w:t>
      </w:r>
      <w:r w:rsidR="00C97792" w:rsidRPr="00B40A77">
        <w:rPr>
          <w:color w:val="000000" w:themeColor="text1"/>
        </w:rPr>
        <w:t xml:space="preserve">file and serve on the Director a notice of referral of petition of mercy in the prescribed form </w:t>
      </w:r>
      <w:r w:rsidR="007F5AB2" w:rsidRPr="00B40A77">
        <w:rPr>
          <w:color w:val="000000" w:themeColor="text1"/>
        </w:rPr>
        <w:t>within 21 days of the referral.</w:t>
      </w:r>
    </w:p>
    <w:p w14:paraId="4CC354B7" w14:textId="77777777" w:rsidR="007F5AB2" w:rsidRPr="00B40A77" w:rsidRDefault="007F5AB2" w:rsidP="00CA4BE7">
      <w:pPr>
        <w:pStyle w:val="NoteHeader"/>
        <w:keepNext/>
        <w:rPr>
          <w:color w:val="000000" w:themeColor="text1"/>
        </w:rPr>
      </w:pPr>
      <w:r w:rsidRPr="00B40A77">
        <w:rPr>
          <w:color w:val="000000" w:themeColor="text1"/>
        </w:rPr>
        <w:t>Prescribed form—</w:t>
      </w:r>
    </w:p>
    <w:p w14:paraId="7C95BC28" w14:textId="50857D86" w:rsidR="007F5AB2" w:rsidRPr="00B40A77" w:rsidRDefault="00586B4E" w:rsidP="007F5AB2">
      <w:pPr>
        <w:pStyle w:val="NoteText"/>
        <w:rPr>
          <w:color w:val="000000" w:themeColor="text1"/>
          <w:lang w:val="en-US"/>
        </w:rPr>
      </w:pPr>
      <w:r w:rsidRPr="00B40A77">
        <w:rPr>
          <w:color w:val="000000" w:themeColor="text1"/>
        </w:rPr>
        <w:t>Form 19</w:t>
      </w:r>
      <w:r w:rsidR="00FF2A97" w:rsidRPr="00B40A77">
        <w:rPr>
          <w:color w:val="000000" w:themeColor="text1"/>
        </w:rPr>
        <w:t>4</w:t>
      </w:r>
      <w:r w:rsidR="007F5AB2" w:rsidRPr="00B40A77">
        <w:rPr>
          <w:color w:val="000000" w:themeColor="text1"/>
        </w:rPr>
        <w:t xml:space="preserve"> </w:t>
      </w:r>
      <w:hyperlink r:id="rId427" w:history="1">
        <w:r w:rsidR="007F5AB2" w:rsidRPr="00B40A77">
          <w:rPr>
            <w:rStyle w:val="Hyperlink"/>
            <w:color w:val="000000" w:themeColor="text1"/>
          </w:rPr>
          <w:t>Notice of Refer</w:t>
        </w:r>
        <w:r w:rsidR="00FF2A97" w:rsidRPr="00B40A77">
          <w:rPr>
            <w:rStyle w:val="Hyperlink"/>
            <w:color w:val="000000" w:themeColor="text1"/>
          </w:rPr>
          <w:t>ence</w:t>
        </w:r>
        <w:r w:rsidR="007F5AB2" w:rsidRPr="00B40A77">
          <w:rPr>
            <w:rStyle w:val="Hyperlink"/>
            <w:color w:val="000000" w:themeColor="text1"/>
          </w:rPr>
          <w:t xml:space="preserve"> o</w:t>
        </w:r>
        <w:r w:rsidR="00F64887" w:rsidRPr="00B40A77">
          <w:rPr>
            <w:rStyle w:val="Hyperlink"/>
            <w:color w:val="000000" w:themeColor="text1"/>
          </w:rPr>
          <w:t>n</w:t>
        </w:r>
        <w:r w:rsidR="007F5AB2" w:rsidRPr="00B40A77">
          <w:rPr>
            <w:rStyle w:val="Hyperlink"/>
            <w:color w:val="000000" w:themeColor="text1"/>
          </w:rPr>
          <w:t xml:space="preserve"> Petition of Mercy</w:t>
        </w:r>
      </w:hyperlink>
    </w:p>
    <w:p w14:paraId="6EB9AEF2" w14:textId="2C2D4B75" w:rsidR="007F5AB2" w:rsidRPr="00B40A77" w:rsidRDefault="007F5AB2" w:rsidP="000416E7">
      <w:pPr>
        <w:pStyle w:val="Hangindent"/>
        <w:rPr>
          <w:color w:val="000000" w:themeColor="text1"/>
        </w:rPr>
      </w:pPr>
      <w:r w:rsidRPr="00B40A77">
        <w:rPr>
          <w:color w:val="000000" w:themeColor="text1"/>
        </w:rPr>
        <w:t>(2)</w:t>
      </w:r>
      <w:r w:rsidRPr="00B40A77">
        <w:rPr>
          <w:color w:val="000000" w:themeColor="text1"/>
        </w:rPr>
        <w:tab/>
        <w:t xml:space="preserve">On a </w:t>
      </w:r>
      <w:hyperlink w:anchor="_211.1—Definitions" w:history="1">
        <w:r w:rsidR="001A35DB" w:rsidRPr="00B40A77">
          <w:rPr>
            <w:rStyle w:val="Hyperlink"/>
            <w:color w:val="000000" w:themeColor="text1"/>
          </w:rPr>
          <w:t>petition referral</w:t>
        </w:r>
      </w:hyperlink>
      <w:r w:rsidRPr="00B40A77">
        <w:rPr>
          <w:color w:val="000000" w:themeColor="text1"/>
        </w:rPr>
        <w:t>, the petitioner is designated as the appellant and the Dire</w:t>
      </w:r>
      <w:r w:rsidR="00536E16" w:rsidRPr="00B40A77">
        <w:rPr>
          <w:color w:val="000000" w:themeColor="text1"/>
        </w:rPr>
        <w:t>ctor is designated as</w:t>
      </w:r>
      <w:r w:rsidRPr="00B40A77">
        <w:rPr>
          <w:color w:val="000000" w:themeColor="text1"/>
        </w:rPr>
        <w:t xml:space="preserve"> the respondent.</w:t>
      </w:r>
    </w:p>
    <w:p w14:paraId="1A217E2E" w14:textId="60B48FCF" w:rsidR="00536E16" w:rsidRPr="00B40A77" w:rsidRDefault="00536E16" w:rsidP="00536E16">
      <w:pPr>
        <w:pStyle w:val="Hangindent"/>
        <w:rPr>
          <w:color w:val="000000" w:themeColor="text1"/>
          <w:lang w:val="en-US"/>
        </w:rPr>
      </w:pPr>
      <w:r w:rsidRPr="00B40A77">
        <w:rPr>
          <w:color w:val="000000" w:themeColor="text1"/>
          <w:lang w:val="en-US"/>
        </w:rPr>
        <w:t>(</w:t>
      </w:r>
      <w:r w:rsidR="00DF795F" w:rsidRPr="00B40A77">
        <w:rPr>
          <w:color w:val="000000" w:themeColor="text1"/>
          <w:lang w:val="en-US"/>
        </w:rPr>
        <w:t>3</w:t>
      </w:r>
      <w:r w:rsidRPr="00B40A77">
        <w:rPr>
          <w:color w:val="000000" w:themeColor="text1"/>
          <w:lang w:val="en-US"/>
        </w:rPr>
        <w:t>)</w:t>
      </w:r>
      <w:r w:rsidRPr="00B40A77">
        <w:rPr>
          <w:color w:val="000000" w:themeColor="text1"/>
          <w:lang w:val="en-US"/>
        </w:rPr>
        <w:tab/>
        <w:t xml:space="preserve">The Court may order the addition or removal of a person as a party to a </w:t>
      </w:r>
      <w:hyperlink w:anchor="_211.1—Definitions" w:history="1">
        <w:r w:rsidR="001A35DB" w:rsidRPr="00B40A77">
          <w:rPr>
            <w:rStyle w:val="Hyperlink"/>
            <w:color w:val="000000" w:themeColor="text1"/>
          </w:rPr>
          <w:t>petition referral</w:t>
        </w:r>
      </w:hyperlink>
      <w:r w:rsidRPr="00B40A77">
        <w:rPr>
          <w:color w:val="000000" w:themeColor="text1"/>
          <w:lang w:val="en-US"/>
        </w:rPr>
        <w:t>.</w:t>
      </w:r>
    </w:p>
    <w:p w14:paraId="11F27A70" w14:textId="2CC6DB4E" w:rsidR="00536E16" w:rsidRPr="00B40A77" w:rsidRDefault="00536E16" w:rsidP="00536E16">
      <w:pPr>
        <w:pStyle w:val="Hangindent"/>
        <w:rPr>
          <w:color w:val="000000" w:themeColor="text1"/>
          <w:lang w:val="en-US"/>
        </w:rPr>
      </w:pPr>
      <w:r w:rsidRPr="00B40A77">
        <w:rPr>
          <w:color w:val="000000" w:themeColor="text1"/>
          <w:lang w:val="en-US"/>
        </w:rPr>
        <w:t>(</w:t>
      </w:r>
      <w:r w:rsidR="00DF795F" w:rsidRPr="00B40A77">
        <w:rPr>
          <w:color w:val="000000" w:themeColor="text1"/>
          <w:lang w:val="en-US"/>
        </w:rPr>
        <w:t>4</w:t>
      </w:r>
      <w:r w:rsidRPr="00B40A77">
        <w:rPr>
          <w:color w:val="000000" w:themeColor="text1"/>
          <w:lang w:val="en-US"/>
        </w:rPr>
        <w:t>)</w:t>
      </w:r>
      <w:r w:rsidRPr="00B40A77">
        <w:rPr>
          <w:color w:val="000000" w:themeColor="text1"/>
          <w:lang w:val="en-US"/>
        </w:rPr>
        <w:tab/>
        <w:t xml:space="preserve">The appellant must serve the </w:t>
      </w:r>
      <w:r w:rsidRPr="00B40A77">
        <w:rPr>
          <w:color w:val="000000" w:themeColor="text1"/>
        </w:rPr>
        <w:t xml:space="preserve">notice of referral of petition of mercy </w:t>
      </w:r>
      <w:r w:rsidRPr="00B40A77">
        <w:rPr>
          <w:color w:val="000000" w:themeColor="text1"/>
          <w:lang w:val="en-US"/>
        </w:rPr>
        <w:t>on each other party to the appellate proceeding as soon as practicable.</w:t>
      </w:r>
    </w:p>
    <w:p w14:paraId="4A0F040D" w14:textId="26CAAB0E" w:rsidR="000416E7" w:rsidRPr="00B40A77" w:rsidRDefault="00536E16" w:rsidP="00536E16">
      <w:pPr>
        <w:pStyle w:val="Hangindent"/>
        <w:rPr>
          <w:color w:val="000000" w:themeColor="text1"/>
          <w:lang w:val="en-US"/>
        </w:rPr>
      </w:pPr>
      <w:r w:rsidRPr="00B40A77">
        <w:rPr>
          <w:color w:val="000000" w:themeColor="text1"/>
          <w:lang w:val="en-US"/>
        </w:rPr>
        <w:t>(</w:t>
      </w:r>
      <w:r w:rsidR="00DF795F" w:rsidRPr="00B40A77">
        <w:rPr>
          <w:color w:val="000000" w:themeColor="text1"/>
          <w:lang w:val="en-US"/>
        </w:rPr>
        <w:t>5</w:t>
      </w:r>
      <w:r w:rsidR="000416E7" w:rsidRPr="00B40A77">
        <w:rPr>
          <w:color w:val="000000" w:themeColor="text1"/>
          <w:lang w:val="en-US"/>
        </w:rPr>
        <w:t>)</w:t>
      </w:r>
      <w:r w:rsidR="000416E7" w:rsidRPr="00B40A77">
        <w:rPr>
          <w:color w:val="000000" w:themeColor="text1"/>
          <w:lang w:val="en-US"/>
        </w:rPr>
        <w:tab/>
        <w:t>The Court may request the court of first instance to forward to</w:t>
      </w:r>
      <w:r w:rsidR="00625790" w:rsidRPr="00B40A77">
        <w:rPr>
          <w:color w:val="000000" w:themeColor="text1"/>
          <w:lang w:val="en-US"/>
        </w:rPr>
        <w:t xml:space="preserve"> the Court </w:t>
      </w:r>
      <w:r w:rsidR="000416E7" w:rsidRPr="00B40A77">
        <w:rPr>
          <w:color w:val="000000" w:themeColor="text1"/>
          <w:lang w:val="en-US"/>
        </w:rPr>
        <w:t xml:space="preserve">the whole or part of the file for the proceeding </w:t>
      </w:r>
      <w:r w:rsidR="007F5AB2" w:rsidRPr="00B40A77">
        <w:rPr>
          <w:color w:val="000000" w:themeColor="text1"/>
          <w:lang w:val="en-US"/>
        </w:rPr>
        <w:t>in which the conviction the subject of the petition was recorded</w:t>
      </w:r>
      <w:r w:rsidR="00C97792" w:rsidRPr="00B40A77">
        <w:rPr>
          <w:color w:val="000000" w:themeColor="text1"/>
          <w:lang w:val="en-US"/>
        </w:rPr>
        <w:t>,</w:t>
      </w:r>
      <w:r w:rsidR="007F5AB2" w:rsidRPr="00B40A77">
        <w:rPr>
          <w:color w:val="000000" w:themeColor="text1"/>
          <w:lang w:val="en-US"/>
        </w:rPr>
        <w:t xml:space="preserve"> </w:t>
      </w:r>
      <w:r w:rsidR="000416E7" w:rsidRPr="00B40A77">
        <w:rPr>
          <w:color w:val="000000" w:themeColor="text1"/>
          <w:lang w:val="en-US"/>
        </w:rPr>
        <w:t>including any transcript of hearings and evidence in the custody of that court.</w:t>
      </w:r>
    </w:p>
    <w:p w14:paraId="5E0954CE" w14:textId="09FDDCE8" w:rsidR="00D518E8" w:rsidRPr="00B40A77" w:rsidRDefault="00536E16" w:rsidP="000416E7">
      <w:pPr>
        <w:pStyle w:val="Hangindent"/>
        <w:rPr>
          <w:color w:val="000000" w:themeColor="text1"/>
          <w:lang w:val="en-US"/>
        </w:rPr>
      </w:pPr>
      <w:r w:rsidRPr="00B40A77">
        <w:rPr>
          <w:color w:val="000000" w:themeColor="text1"/>
          <w:lang w:val="en-US"/>
        </w:rPr>
        <w:t>(</w:t>
      </w:r>
      <w:r w:rsidR="00DF795F" w:rsidRPr="00B40A77">
        <w:rPr>
          <w:color w:val="000000" w:themeColor="text1"/>
          <w:lang w:val="en-US"/>
        </w:rPr>
        <w:t>6</w:t>
      </w:r>
      <w:r w:rsidR="00D518E8" w:rsidRPr="00B40A77">
        <w:rPr>
          <w:color w:val="000000" w:themeColor="text1"/>
          <w:lang w:val="en-US"/>
        </w:rPr>
        <w:t>)</w:t>
      </w:r>
      <w:r w:rsidR="00D518E8" w:rsidRPr="00B40A77">
        <w:rPr>
          <w:color w:val="000000" w:themeColor="text1"/>
          <w:lang w:val="en-US"/>
        </w:rPr>
        <w:tab/>
        <w:t>The provisions of these Rules that apply to an appeal, except in relation to leave to appeal, apply also w</w:t>
      </w:r>
      <w:r w:rsidRPr="00B40A77">
        <w:rPr>
          <w:color w:val="000000" w:themeColor="text1"/>
          <w:lang w:val="en-US"/>
        </w:rPr>
        <w:t>ith any necessary modifications</w:t>
      </w:r>
      <w:r w:rsidR="00D518E8" w:rsidRPr="00B40A77">
        <w:rPr>
          <w:color w:val="000000" w:themeColor="text1"/>
          <w:lang w:val="en-US"/>
        </w:rPr>
        <w:t xml:space="preserve"> to the </w:t>
      </w:r>
      <w:hyperlink w:anchor="_211.1—Definitions" w:history="1">
        <w:r w:rsidR="001A35DB" w:rsidRPr="00B40A77">
          <w:rPr>
            <w:rStyle w:val="Hyperlink"/>
            <w:color w:val="000000" w:themeColor="text1"/>
          </w:rPr>
          <w:t>petition referral</w:t>
        </w:r>
      </w:hyperlink>
      <w:r w:rsidR="00DF795F" w:rsidRPr="00B40A77">
        <w:rPr>
          <w:color w:val="000000" w:themeColor="text1"/>
          <w:lang w:val="en-US"/>
        </w:rPr>
        <w:t>.</w:t>
      </w:r>
      <w:r w:rsidR="00D518E8" w:rsidRPr="00B40A77">
        <w:rPr>
          <w:color w:val="000000" w:themeColor="text1"/>
          <w:lang w:val="en-US"/>
        </w:rPr>
        <w:t xml:space="preserve"> </w:t>
      </w:r>
    </w:p>
    <w:p w14:paraId="22CC096A" w14:textId="6B10688D" w:rsidR="00A664A0" w:rsidRPr="00B40A77" w:rsidRDefault="00536E16" w:rsidP="000416E7">
      <w:pPr>
        <w:pStyle w:val="Hangindent"/>
        <w:rPr>
          <w:color w:val="000000" w:themeColor="text1"/>
          <w:lang w:val="en-US"/>
        </w:rPr>
      </w:pPr>
      <w:r w:rsidRPr="00B40A77">
        <w:rPr>
          <w:color w:val="000000" w:themeColor="text1"/>
          <w:lang w:val="en-US"/>
        </w:rPr>
        <w:t>(</w:t>
      </w:r>
      <w:r w:rsidR="00DF795F" w:rsidRPr="00B40A77">
        <w:rPr>
          <w:color w:val="000000" w:themeColor="text1"/>
          <w:lang w:val="en-US"/>
        </w:rPr>
        <w:t>7</w:t>
      </w:r>
      <w:r w:rsidR="00A664A0" w:rsidRPr="00B40A77">
        <w:rPr>
          <w:color w:val="000000" w:themeColor="text1"/>
          <w:lang w:val="en-US"/>
        </w:rPr>
        <w:t>)</w:t>
      </w:r>
      <w:r w:rsidR="00A664A0" w:rsidRPr="00B40A77">
        <w:rPr>
          <w:color w:val="000000" w:themeColor="text1"/>
          <w:lang w:val="en-US"/>
        </w:rPr>
        <w:tab/>
      </w:r>
      <w:r w:rsidR="00A664A0" w:rsidRPr="00B40A77">
        <w:rPr>
          <w:bCs/>
          <w:color w:val="000000" w:themeColor="text1"/>
          <w:lang w:val="en-US"/>
        </w:rPr>
        <w:t xml:space="preserve">After filing of the </w:t>
      </w:r>
      <w:r w:rsidR="00A664A0" w:rsidRPr="00B40A77">
        <w:rPr>
          <w:color w:val="000000" w:themeColor="text1"/>
        </w:rPr>
        <w:t>notice of referral of petition of mercy</w:t>
      </w:r>
      <w:r w:rsidR="00A664A0" w:rsidRPr="00B40A77">
        <w:rPr>
          <w:bCs/>
          <w:color w:val="000000" w:themeColor="text1"/>
          <w:lang w:val="en-US"/>
        </w:rPr>
        <w:t xml:space="preserve">, the Court will </w:t>
      </w:r>
      <w:r w:rsidR="00E816DF" w:rsidRPr="00B40A77">
        <w:rPr>
          <w:bCs/>
          <w:color w:val="000000" w:themeColor="text1"/>
          <w:lang w:val="en-US"/>
        </w:rPr>
        <w:t>generally</w:t>
      </w:r>
      <w:r w:rsidR="00E816DF" w:rsidRPr="00B40A77">
        <w:rPr>
          <w:color w:val="000000" w:themeColor="text1"/>
          <w:lang w:val="en-US"/>
        </w:rPr>
        <w:t xml:space="preserve"> </w:t>
      </w:r>
      <w:r w:rsidR="00A664A0" w:rsidRPr="00B40A77">
        <w:rPr>
          <w:color w:val="000000" w:themeColor="text1"/>
          <w:lang w:val="en-US"/>
        </w:rPr>
        <w:t>list the matter for the next ava</w:t>
      </w:r>
      <w:r w:rsidRPr="00B40A77">
        <w:rPr>
          <w:color w:val="000000" w:themeColor="text1"/>
          <w:lang w:val="en-US"/>
        </w:rPr>
        <w:t xml:space="preserve">ilable callover under </w:t>
      </w:r>
      <w:hyperlink w:anchor="_200.1—Convening_callover" w:history="1">
        <w:r w:rsidR="00465AF0" w:rsidRPr="00B40A77">
          <w:rPr>
            <w:rStyle w:val="Hyperlink"/>
            <w:color w:val="000000" w:themeColor="text1"/>
            <w:lang w:val="en-US"/>
          </w:rPr>
          <w:t>rule 200.1</w:t>
        </w:r>
      </w:hyperlink>
      <w:r w:rsidR="00A664A0" w:rsidRPr="00B40A77">
        <w:rPr>
          <w:color w:val="000000" w:themeColor="text1"/>
          <w:lang w:val="en-US"/>
        </w:rPr>
        <w:t>.</w:t>
      </w:r>
    </w:p>
    <w:p w14:paraId="429F984F" w14:textId="18D33314" w:rsidR="006A01D7" w:rsidRPr="00B40A77" w:rsidRDefault="006A01D7" w:rsidP="006A01D7">
      <w:pPr>
        <w:pStyle w:val="Heading3"/>
        <w:rPr>
          <w:color w:val="000000" w:themeColor="text1"/>
        </w:rPr>
      </w:pPr>
      <w:bookmarkStart w:id="1216" w:name="_Toc175239404"/>
      <w:r w:rsidRPr="00B40A77">
        <w:rPr>
          <w:color w:val="000000" w:themeColor="text1"/>
        </w:rPr>
        <w:lastRenderedPageBreak/>
        <w:t>Division 8—Institution of retrial application</w:t>
      </w:r>
      <w:bookmarkEnd w:id="1216"/>
    </w:p>
    <w:p w14:paraId="7FA2F366" w14:textId="2A4284FB" w:rsidR="006A01D7" w:rsidRPr="00B40A77" w:rsidRDefault="00F76788" w:rsidP="006A01D7">
      <w:pPr>
        <w:pStyle w:val="Heading4"/>
        <w:rPr>
          <w:color w:val="000000" w:themeColor="text1"/>
        </w:rPr>
      </w:pPr>
      <w:bookmarkStart w:id="1217" w:name="_Toc175239405"/>
      <w:r w:rsidRPr="00B40A77">
        <w:rPr>
          <w:color w:val="000000" w:themeColor="text1"/>
        </w:rPr>
        <w:t>199</w:t>
      </w:r>
      <w:r w:rsidR="006A01D7" w:rsidRPr="00B40A77">
        <w:rPr>
          <w:color w:val="000000" w:themeColor="text1"/>
        </w:rPr>
        <w:t>.1—Application</w:t>
      </w:r>
      <w:bookmarkEnd w:id="1217"/>
    </w:p>
    <w:p w14:paraId="5EC94DE5" w14:textId="6F87D2DE" w:rsidR="006A01D7" w:rsidRPr="00B40A77" w:rsidRDefault="006A01D7"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 xml:space="preserve">A </w:t>
      </w:r>
      <w:hyperlink w:anchor="_181.1—Definitions" w:history="1">
        <w:r w:rsidRPr="00B40A77">
          <w:rPr>
            <w:rStyle w:val="Hyperlink"/>
            <w:color w:val="000000" w:themeColor="text1"/>
            <w:lang w:val="en-US"/>
          </w:rPr>
          <w:t>retrial application</w:t>
        </w:r>
      </w:hyperlink>
      <w:r w:rsidRPr="00B40A77">
        <w:rPr>
          <w:color w:val="000000" w:themeColor="text1"/>
          <w:lang w:val="en-US"/>
        </w:rPr>
        <w:t xml:space="preserve"> must be instituted by filing a</w:t>
      </w:r>
      <w:r w:rsidR="00C86AF4" w:rsidRPr="00B40A77">
        <w:rPr>
          <w:color w:val="000000" w:themeColor="text1"/>
          <w:lang w:val="en-US"/>
        </w:rPr>
        <w:t xml:space="preserve"> notice of</w:t>
      </w:r>
      <w:r w:rsidRPr="00B40A77">
        <w:rPr>
          <w:color w:val="000000" w:themeColor="text1"/>
          <w:lang w:val="en-US"/>
        </w:rPr>
        <w:t xml:space="preserve"> application for retrial in the prescribed form.</w:t>
      </w:r>
    </w:p>
    <w:p w14:paraId="66F5CFDC" w14:textId="4F7A2351" w:rsidR="006A01D7" w:rsidRPr="00B40A77" w:rsidRDefault="006A01D7" w:rsidP="001103F0">
      <w:pPr>
        <w:pStyle w:val="NoteHeader"/>
        <w:keepNext/>
        <w:rPr>
          <w:color w:val="000000" w:themeColor="text1"/>
        </w:rPr>
      </w:pPr>
      <w:r w:rsidRPr="00B40A77">
        <w:rPr>
          <w:color w:val="000000" w:themeColor="text1"/>
        </w:rPr>
        <w:t>Prescribed form—</w:t>
      </w:r>
    </w:p>
    <w:p w14:paraId="0D565419" w14:textId="48B19359" w:rsidR="006A01D7" w:rsidRPr="00B40A77" w:rsidRDefault="00F6143D" w:rsidP="00A75CA8">
      <w:pPr>
        <w:pStyle w:val="NoteText"/>
        <w:ind w:left="720" w:firstLine="720"/>
        <w:rPr>
          <w:rStyle w:val="Hyperlink"/>
          <w:color w:val="000000" w:themeColor="text1"/>
        </w:rPr>
      </w:pPr>
      <w:r w:rsidRPr="00B40A77">
        <w:rPr>
          <w:color w:val="000000" w:themeColor="text1"/>
        </w:rPr>
        <w:t>Form 19</w:t>
      </w:r>
      <w:r w:rsidR="00F64887" w:rsidRPr="00B40A77">
        <w:rPr>
          <w:color w:val="000000" w:themeColor="text1"/>
        </w:rPr>
        <w:t>5</w:t>
      </w:r>
      <w:r w:rsidR="006A01D7" w:rsidRPr="00B40A77">
        <w:rPr>
          <w:color w:val="000000" w:themeColor="text1"/>
        </w:rPr>
        <w:t xml:space="preserve"> </w:t>
      </w:r>
      <w:hyperlink r:id="rId428" w:history="1">
        <w:r w:rsidR="00C86AF4" w:rsidRPr="00B40A77">
          <w:rPr>
            <w:rStyle w:val="Hyperlink"/>
            <w:color w:val="000000" w:themeColor="text1"/>
          </w:rPr>
          <w:t>Notice of Application for Retrial</w:t>
        </w:r>
      </w:hyperlink>
    </w:p>
    <w:p w14:paraId="66BC8569" w14:textId="5F6E8B2E" w:rsidR="006A01D7" w:rsidRPr="00B40A77" w:rsidRDefault="006A01D7" w:rsidP="006A01D7">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The appellant must join as a </w:t>
      </w:r>
      <w:hyperlink w:anchor="_211.1—Definitions" w:history="1">
        <w:r w:rsidRPr="00B40A77">
          <w:rPr>
            <w:rStyle w:val="Hyperlink"/>
            <w:color w:val="000000" w:themeColor="text1"/>
            <w:u w:val="none"/>
            <w:lang w:val="en-US"/>
          </w:rPr>
          <w:t>respondent</w:t>
        </w:r>
      </w:hyperlink>
      <w:r w:rsidRPr="00B40A77">
        <w:rPr>
          <w:color w:val="000000" w:themeColor="text1"/>
          <w:lang w:val="en-US"/>
        </w:rPr>
        <w:t xml:space="preserve"> in the appellate proceeding </w:t>
      </w:r>
      <w:r w:rsidR="00C86AF4" w:rsidRPr="00B40A77">
        <w:rPr>
          <w:color w:val="000000" w:themeColor="text1"/>
          <w:lang w:val="en-US"/>
        </w:rPr>
        <w:t>the person who is sought to be retried</w:t>
      </w:r>
      <w:r w:rsidRPr="00B40A77">
        <w:rPr>
          <w:color w:val="000000" w:themeColor="text1"/>
          <w:lang w:val="en-US"/>
        </w:rPr>
        <w:t>.</w:t>
      </w:r>
    </w:p>
    <w:p w14:paraId="69570135" w14:textId="2EDE595A" w:rsidR="006A01D7" w:rsidRPr="00B40A77" w:rsidRDefault="006A01D7" w:rsidP="006A01D7">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Court may order the addition </w:t>
      </w:r>
      <w:r w:rsidR="008A792E" w:rsidRPr="00B40A77">
        <w:rPr>
          <w:color w:val="000000" w:themeColor="text1"/>
          <w:lang w:val="en-US"/>
        </w:rPr>
        <w:t xml:space="preserve">or removal </w:t>
      </w:r>
      <w:r w:rsidRPr="00B40A77">
        <w:rPr>
          <w:color w:val="000000" w:themeColor="text1"/>
          <w:lang w:val="en-US"/>
        </w:rPr>
        <w:t xml:space="preserve">of a person as a party to </w:t>
      </w:r>
      <w:r w:rsidR="008A792E" w:rsidRPr="00B40A77">
        <w:rPr>
          <w:color w:val="000000" w:themeColor="text1"/>
          <w:lang w:val="en-US"/>
        </w:rPr>
        <w:t xml:space="preserve">a </w:t>
      </w:r>
      <w:hyperlink w:anchor="_181.1—Definitions" w:history="1">
        <w:r w:rsidR="001A35DB" w:rsidRPr="00B40A77">
          <w:rPr>
            <w:rStyle w:val="Hyperlink"/>
            <w:color w:val="000000" w:themeColor="text1"/>
            <w:lang w:val="en-US"/>
          </w:rPr>
          <w:t>retrial application</w:t>
        </w:r>
      </w:hyperlink>
      <w:r w:rsidRPr="00B40A77">
        <w:rPr>
          <w:color w:val="000000" w:themeColor="text1"/>
          <w:lang w:val="en-US"/>
        </w:rPr>
        <w:t>.</w:t>
      </w:r>
    </w:p>
    <w:p w14:paraId="614C5F44" w14:textId="6AC8BA92" w:rsidR="006A01D7" w:rsidRPr="00B40A77" w:rsidRDefault="00C86AF4" w:rsidP="006A01D7">
      <w:pPr>
        <w:pStyle w:val="Hangindent"/>
        <w:rPr>
          <w:color w:val="000000" w:themeColor="text1"/>
          <w:lang w:val="en-US"/>
        </w:rPr>
      </w:pPr>
      <w:r w:rsidRPr="00B40A77">
        <w:rPr>
          <w:color w:val="000000" w:themeColor="text1"/>
          <w:lang w:val="en-US"/>
        </w:rPr>
        <w:t>(4</w:t>
      </w:r>
      <w:r w:rsidR="006A01D7" w:rsidRPr="00B40A77">
        <w:rPr>
          <w:color w:val="000000" w:themeColor="text1"/>
          <w:lang w:val="en-US"/>
        </w:rPr>
        <w:t>)</w:t>
      </w:r>
      <w:r w:rsidR="006A01D7" w:rsidRPr="00B40A77">
        <w:rPr>
          <w:color w:val="000000" w:themeColor="text1"/>
          <w:lang w:val="en-US"/>
        </w:rPr>
        <w:tab/>
        <w:t xml:space="preserve">The appellant must serve the </w:t>
      </w:r>
      <w:r w:rsidR="006A01D7" w:rsidRPr="00B40A77">
        <w:rPr>
          <w:color w:val="000000" w:themeColor="text1"/>
        </w:rPr>
        <w:t xml:space="preserve">notice of </w:t>
      </w:r>
      <w:r w:rsidRPr="00B40A77">
        <w:rPr>
          <w:color w:val="000000" w:themeColor="text1"/>
          <w:lang w:val="en-US"/>
        </w:rPr>
        <w:t xml:space="preserve">application for retrial </w:t>
      </w:r>
      <w:r w:rsidR="006A01D7" w:rsidRPr="00B40A77">
        <w:rPr>
          <w:color w:val="000000" w:themeColor="text1"/>
          <w:lang w:val="en-US"/>
        </w:rPr>
        <w:t>on each other party to the appellate proceeding as soon as practicable.</w:t>
      </w:r>
    </w:p>
    <w:p w14:paraId="49EFABE3" w14:textId="657A303D" w:rsidR="006A01D7" w:rsidRPr="00B40A77" w:rsidRDefault="00C86AF4" w:rsidP="006A01D7">
      <w:pPr>
        <w:pStyle w:val="Hangindent"/>
        <w:rPr>
          <w:color w:val="000000" w:themeColor="text1"/>
          <w:lang w:val="en-US"/>
        </w:rPr>
      </w:pPr>
      <w:r w:rsidRPr="00B40A77">
        <w:rPr>
          <w:color w:val="000000" w:themeColor="text1"/>
          <w:lang w:val="en-US"/>
        </w:rPr>
        <w:t>(5</w:t>
      </w:r>
      <w:r w:rsidR="006A01D7" w:rsidRPr="00B40A77">
        <w:rPr>
          <w:color w:val="000000" w:themeColor="text1"/>
          <w:lang w:val="en-US"/>
        </w:rPr>
        <w:t>)</w:t>
      </w:r>
      <w:r w:rsidR="006A01D7" w:rsidRPr="00B40A77">
        <w:rPr>
          <w:color w:val="000000" w:themeColor="text1"/>
          <w:lang w:val="en-US"/>
        </w:rPr>
        <w:tab/>
        <w:t xml:space="preserve">The Court may request the court of first instance to forward to </w:t>
      </w:r>
      <w:r w:rsidR="00625790" w:rsidRPr="00B40A77">
        <w:rPr>
          <w:color w:val="000000" w:themeColor="text1"/>
        </w:rPr>
        <w:t xml:space="preserve">the Court </w:t>
      </w:r>
      <w:r w:rsidR="006A01D7" w:rsidRPr="00B40A77">
        <w:rPr>
          <w:color w:val="000000" w:themeColor="text1"/>
          <w:lang w:val="en-US"/>
        </w:rPr>
        <w:t xml:space="preserve">the whole or part of the file for the proceeding </w:t>
      </w:r>
      <w:r w:rsidRPr="00B40A77">
        <w:rPr>
          <w:color w:val="000000" w:themeColor="text1"/>
          <w:lang w:val="en-US"/>
        </w:rPr>
        <w:t>in which the acquittal</w:t>
      </w:r>
      <w:r w:rsidR="006A01D7" w:rsidRPr="00B40A77">
        <w:rPr>
          <w:color w:val="000000" w:themeColor="text1"/>
          <w:lang w:val="en-US"/>
        </w:rPr>
        <w:t xml:space="preserve"> the subject of the </w:t>
      </w:r>
      <w:r w:rsidRPr="00B40A77">
        <w:rPr>
          <w:color w:val="000000" w:themeColor="text1"/>
          <w:lang w:val="en-US"/>
        </w:rPr>
        <w:t>application</w:t>
      </w:r>
      <w:r w:rsidR="006A01D7" w:rsidRPr="00B40A77">
        <w:rPr>
          <w:color w:val="000000" w:themeColor="text1"/>
          <w:lang w:val="en-US"/>
        </w:rPr>
        <w:t xml:space="preserve"> was recorded</w:t>
      </w:r>
      <w:r w:rsidR="00FF1FB0" w:rsidRPr="00B40A77">
        <w:rPr>
          <w:color w:val="000000" w:themeColor="text1"/>
          <w:lang w:val="en-US"/>
        </w:rPr>
        <w:t>,</w:t>
      </w:r>
      <w:r w:rsidR="006A01D7" w:rsidRPr="00B40A77">
        <w:rPr>
          <w:color w:val="000000" w:themeColor="text1"/>
          <w:lang w:val="en-US"/>
        </w:rPr>
        <w:t xml:space="preserve"> including any transcript of hearings and evidence in the custody of that court.</w:t>
      </w:r>
    </w:p>
    <w:p w14:paraId="0AA20ACB" w14:textId="23168BEB" w:rsidR="006A01D7" w:rsidRPr="00B40A77" w:rsidRDefault="00C86AF4" w:rsidP="006A01D7">
      <w:pPr>
        <w:pStyle w:val="Hangindent"/>
        <w:rPr>
          <w:color w:val="000000" w:themeColor="text1"/>
          <w:lang w:val="en-US"/>
        </w:rPr>
      </w:pPr>
      <w:r w:rsidRPr="00B40A77">
        <w:rPr>
          <w:color w:val="000000" w:themeColor="text1"/>
          <w:lang w:val="en-US"/>
        </w:rPr>
        <w:t>(6</w:t>
      </w:r>
      <w:r w:rsidR="006A01D7" w:rsidRPr="00B40A77">
        <w:rPr>
          <w:color w:val="000000" w:themeColor="text1"/>
          <w:lang w:val="en-US"/>
        </w:rPr>
        <w:t>)</w:t>
      </w:r>
      <w:r w:rsidR="006A01D7" w:rsidRPr="00B40A77">
        <w:rPr>
          <w:color w:val="000000" w:themeColor="text1"/>
          <w:lang w:val="en-US"/>
        </w:rPr>
        <w:tab/>
        <w:t>The provisions of these Rules that apply to an appeal, except in relation to leave to appeal, apply also with any necessary modifications</w:t>
      </w:r>
      <w:r w:rsidRPr="00B40A77">
        <w:rPr>
          <w:color w:val="000000" w:themeColor="text1"/>
          <w:lang w:val="en-US"/>
        </w:rPr>
        <w:t xml:space="preserve"> to a </w:t>
      </w:r>
      <w:hyperlink w:anchor="_181.1—Definitions" w:history="1">
        <w:r w:rsidR="001A35DB" w:rsidRPr="00B40A77">
          <w:rPr>
            <w:rStyle w:val="Hyperlink"/>
            <w:color w:val="000000" w:themeColor="text1"/>
            <w:lang w:val="en-US"/>
          </w:rPr>
          <w:t>retrial application</w:t>
        </w:r>
      </w:hyperlink>
      <w:r w:rsidR="00213F0B" w:rsidRPr="00B40A77">
        <w:rPr>
          <w:color w:val="000000" w:themeColor="text1"/>
          <w:lang w:val="en-US"/>
        </w:rPr>
        <w:t>.</w:t>
      </w:r>
    </w:p>
    <w:p w14:paraId="0584D3BC" w14:textId="33026F05" w:rsidR="006A01D7" w:rsidRPr="00B40A77" w:rsidRDefault="00C86AF4" w:rsidP="006A01D7">
      <w:pPr>
        <w:pStyle w:val="Hangindent"/>
        <w:rPr>
          <w:color w:val="000000" w:themeColor="text1"/>
          <w:lang w:val="en-US"/>
        </w:rPr>
      </w:pPr>
      <w:r w:rsidRPr="00B40A77">
        <w:rPr>
          <w:color w:val="000000" w:themeColor="text1"/>
          <w:lang w:val="en-US"/>
        </w:rPr>
        <w:t>(7</w:t>
      </w:r>
      <w:r w:rsidR="006A01D7" w:rsidRPr="00B40A77">
        <w:rPr>
          <w:color w:val="000000" w:themeColor="text1"/>
          <w:lang w:val="en-US"/>
        </w:rPr>
        <w:t>)</w:t>
      </w:r>
      <w:r w:rsidR="006A01D7" w:rsidRPr="00B40A77">
        <w:rPr>
          <w:color w:val="000000" w:themeColor="text1"/>
          <w:lang w:val="en-US"/>
        </w:rPr>
        <w:tab/>
      </w:r>
      <w:r w:rsidR="006A01D7" w:rsidRPr="00B40A77">
        <w:rPr>
          <w:bCs/>
          <w:color w:val="000000" w:themeColor="text1"/>
          <w:lang w:val="en-US"/>
        </w:rPr>
        <w:t xml:space="preserve">After filing of the </w:t>
      </w:r>
      <w:r w:rsidR="00241DE7" w:rsidRPr="00B40A77">
        <w:rPr>
          <w:color w:val="000000" w:themeColor="text1"/>
        </w:rPr>
        <w:t xml:space="preserve">notice of </w:t>
      </w:r>
      <w:r w:rsidR="00241DE7" w:rsidRPr="00B40A77">
        <w:rPr>
          <w:color w:val="000000" w:themeColor="text1"/>
          <w:lang w:val="en-US"/>
        </w:rPr>
        <w:t>application for retrial</w:t>
      </w:r>
      <w:r w:rsidR="006A01D7" w:rsidRPr="00B40A77">
        <w:rPr>
          <w:bCs/>
          <w:color w:val="000000" w:themeColor="text1"/>
          <w:lang w:val="en-US"/>
        </w:rPr>
        <w:t xml:space="preserve">, the Court will </w:t>
      </w:r>
      <w:r w:rsidR="00E816DF" w:rsidRPr="00B40A77">
        <w:rPr>
          <w:bCs/>
          <w:color w:val="000000" w:themeColor="text1"/>
          <w:lang w:val="en-US"/>
        </w:rPr>
        <w:t>generally</w:t>
      </w:r>
      <w:r w:rsidR="00E816DF" w:rsidRPr="00B40A77">
        <w:rPr>
          <w:color w:val="000000" w:themeColor="text1"/>
          <w:lang w:val="en-US"/>
        </w:rPr>
        <w:t xml:space="preserve"> </w:t>
      </w:r>
      <w:r w:rsidR="006A01D7" w:rsidRPr="00B40A77">
        <w:rPr>
          <w:color w:val="000000" w:themeColor="text1"/>
          <w:lang w:val="en-US"/>
        </w:rPr>
        <w:t xml:space="preserve">list the matter for the next available callover under </w:t>
      </w:r>
      <w:hyperlink w:anchor="_200.1—Convening_callover" w:history="1">
        <w:r w:rsidR="00465AF0" w:rsidRPr="00B40A77">
          <w:rPr>
            <w:rStyle w:val="Hyperlink"/>
            <w:color w:val="000000" w:themeColor="text1"/>
            <w:lang w:val="en-US"/>
          </w:rPr>
          <w:t>rule 200.1</w:t>
        </w:r>
      </w:hyperlink>
      <w:r w:rsidR="006A01D7" w:rsidRPr="00B40A77">
        <w:rPr>
          <w:color w:val="000000" w:themeColor="text1"/>
          <w:lang w:val="en-US"/>
        </w:rPr>
        <w:t>.</w:t>
      </w:r>
    </w:p>
    <w:p w14:paraId="004FB49E" w14:textId="40636891" w:rsidR="00111A5D" w:rsidRPr="00B40A77" w:rsidRDefault="001751F5" w:rsidP="00111A5D">
      <w:pPr>
        <w:pStyle w:val="Heading3"/>
        <w:rPr>
          <w:color w:val="000000" w:themeColor="text1"/>
        </w:rPr>
      </w:pPr>
      <w:bookmarkStart w:id="1218" w:name="_Toc175239406"/>
      <w:r w:rsidRPr="00B40A77">
        <w:rPr>
          <w:color w:val="000000" w:themeColor="text1"/>
        </w:rPr>
        <w:t>D</w:t>
      </w:r>
      <w:r w:rsidR="00111A5D" w:rsidRPr="00B40A77">
        <w:rPr>
          <w:color w:val="000000" w:themeColor="text1"/>
        </w:rPr>
        <w:t xml:space="preserve">ivision </w:t>
      </w:r>
      <w:r w:rsidR="00AB28CD" w:rsidRPr="00B40A77">
        <w:rPr>
          <w:color w:val="000000" w:themeColor="text1"/>
        </w:rPr>
        <w:t>9</w:t>
      </w:r>
      <w:r w:rsidR="00111A5D" w:rsidRPr="00B40A77">
        <w:rPr>
          <w:color w:val="000000" w:themeColor="text1"/>
        </w:rPr>
        <w:t>—Callover</w:t>
      </w:r>
      <w:bookmarkEnd w:id="1218"/>
    </w:p>
    <w:p w14:paraId="45A9D513" w14:textId="3D845054" w:rsidR="001751F5" w:rsidRPr="00B40A77" w:rsidRDefault="0061042B" w:rsidP="001751F5">
      <w:pPr>
        <w:pStyle w:val="Heading4"/>
        <w:rPr>
          <w:color w:val="000000" w:themeColor="text1"/>
        </w:rPr>
      </w:pPr>
      <w:bookmarkStart w:id="1219" w:name="_200.1—Convening_callover"/>
      <w:bookmarkStart w:id="1220" w:name="_Toc175239407"/>
      <w:bookmarkEnd w:id="1219"/>
      <w:r w:rsidRPr="00B40A77">
        <w:rPr>
          <w:color w:val="000000" w:themeColor="text1"/>
        </w:rPr>
        <w:t>20</w:t>
      </w:r>
      <w:r w:rsidR="00F76788" w:rsidRPr="00B40A77">
        <w:rPr>
          <w:color w:val="000000" w:themeColor="text1"/>
        </w:rPr>
        <w:t>0</w:t>
      </w:r>
      <w:r w:rsidR="001751F5" w:rsidRPr="00B40A77">
        <w:rPr>
          <w:color w:val="000000" w:themeColor="text1"/>
        </w:rPr>
        <w:t>.1—Convening callover</w:t>
      </w:r>
      <w:bookmarkEnd w:id="1220"/>
    </w:p>
    <w:p w14:paraId="2A77BCC9" w14:textId="7F69D294" w:rsidR="001751F5" w:rsidRPr="00B40A77" w:rsidRDefault="001751F5" w:rsidP="001751F5">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The Court will conduct regular general callovers of extant appellate proceedings in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for the purpose of—</w:t>
      </w:r>
    </w:p>
    <w:p w14:paraId="20943629" w14:textId="19C067B6" w:rsidR="001751F5" w:rsidRPr="00B40A77" w:rsidRDefault="001751F5" w:rsidP="001751F5">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listing appellate proceedings or applications for leave to appeal for hearing before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1F600462" w14:textId="06E2D410" w:rsidR="001751F5" w:rsidRPr="00B40A77" w:rsidRDefault="001751F5" w:rsidP="001751F5">
      <w:pPr>
        <w:pStyle w:val="Doublehangindent"/>
        <w:rPr>
          <w:color w:val="000000" w:themeColor="text1"/>
          <w:lang w:val="en-US"/>
        </w:rPr>
      </w:pPr>
      <w:r w:rsidRPr="00B40A77">
        <w:rPr>
          <w:color w:val="000000" w:themeColor="text1"/>
          <w:lang w:val="en-US"/>
        </w:rPr>
        <w:t>(</w:t>
      </w:r>
      <w:r w:rsidR="004E4C00" w:rsidRPr="00B40A77">
        <w:rPr>
          <w:color w:val="000000" w:themeColor="text1"/>
          <w:lang w:val="en-US"/>
        </w:rPr>
        <w:t>b</w:t>
      </w:r>
      <w:r w:rsidRPr="00B40A77">
        <w:rPr>
          <w:color w:val="000000" w:themeColor="text1"/>
          <w:lang w:val="en-US"/>
        </w:rPr>
        <w:t>)</w:t>
      </w:r>
      <w:r w:rsidRPr="00B40A77">
        <w:rPr>
          <w:color w:val="000000" w:themeColor="text1"/>
          <w:lang w:val="en-US"/>
        </w:rPr>
        <w:tab/>
        <w:t xml:space="preserve">hearing and determining, or making orders for hearing and determining applications for leave to appeal, applications for an </w:t>
      </w:r>
      <w:r w:rsidR="00217FD6" w:rsidRPr="00B40A77">
        <w:rPr>
          <w:color w:val="000000" w:themeColor="text1"/>
          <w:lang w:val="en-US"/>
        </w:rPr>
        <w:t xml:space="preserve">extension of time to appeal, </w:t>
      </w:r>
      <w:hyperlink w:anchor="_2.1—Definitions" w:history="1">
        <w:r w:rsidR="00217FD6" w:rsidRPr="00B40A77">
          <w:rPr>
            <w:rStyle w:val="Hyperlink"/>
            <w:color w:val="000000" w:themeColor="text1"/>
            <w:lang w:val="en-US"/>
          </w:rPr>
          <w:t>ba</w:t>
        </w:r>
        <w:r w:rsidRPr="00B40A77">
          <w:rPr>
            <w:rStyle w:val="Hyperlink"/>
            <w:color w:val="000000" w:themeColor="text1"/>
            <w:lang w:val="en-US"/>
          </w:rPr>
          <w:t>il applications</w:t>
        </w:r>
      </w:hyperlink>
      <w:r w:rsidRPr="00B40A77">
        <w:rPr>
          <w:color w:val="000000" w:themeColor="text1"/>
          <w:lang w:val="en-US"/>
        </w:rPr>
        <w:t xml:space="preserve"> or applications to attend an </w:t>
      </w:r>
      <w:hyperlink w:anchor="_211.1—Definitions" w:history="1">
        <w:r w:rsidRPr="00B40A77">
          <w:rPr>
            <w:rStyle w:val="Hyperlink"/>
            <w:color w:val="000000" w:themeColor="text1"/>
            <w:lang w:val="en-US"/>
          </w:rPr>
          <w:t>appellate hearing</w:t>
        </w:r>
      </w:hyperlink>
      <w:r w:rsidRPr="00B40A77">
        <w:rPr>
          <w:color w:val="000000" w:themeColor="text1"/>
          <w:lang w:val="en-US"/>
        </w:rPr>
        <w:t>; or</w:t>
      </w:r>
    </w:p>
    <w:p w14:paraId="3D52C7E8" w14:textId="39FD1980" w:rsidR="001751F5" w:rsidRPr="00B40A77" w:rsidRDefault="001751F5" w:rsidP="001751F5">
      <w:pPr>
        <w:pStyle w:val="Doublehangindent"/>
        <w:rPr>
          <w:color w:val="000000" w:themeColor="text1"/>
          <w:lang w:val="en-US"/>
        </w:rPr>
      </w:pPr>
      <w:r w:rsidRPr="00B40A77">
        <w:rPr>
          <w:color w:val="000000" w:themeColor="text1"/>
          <w:lang w:val="en-US"/>
        </w:rPr>
        <w:t>(</w:t>
      </w:r>
      <w:r w:rsidR="004E4C00" w:rsidRPr="00B40A77">
        <w:rPr>
          <w:color w:val="000000" w:themeColor="text1"/>
          <w:lang w:val="en-US"/>
        </w:rPr>
        <w:t>c</w:t>
      </w:r>
      <w:r w:rsidRPr="00B40A77">
        <w:rPr>
          <w:color w:val="000000" w:themeColor="text1"/>
          <w:lang w:val="en-US"/>
        </w:rPr>
        <w:t>)</w:t>
      </w:r>
      <w:r w:rsidRPr="00B40A77">
        <w:rPr>
          <w:color w:val="000000" w:themeColor="text1"/>
          <w:lang w:val="en-US"/>
        </w:rPr>
        <w:tab/>
        <w:t>making int</w:t>
      </w:r>
      <w:r w:rsidR="00F25F45" w:rsidRPr="00B40A77">
        <w:rPr>
          <w:color w:val="000000" w:themeColor="text1"/>
          <w:lang w:val="en-US"/>
        </w:rPr>
        <w:t xml:space="preserve">erlocutory orders under </w:t>
      </w:r>
      <w:hyperlink w:anchor="_201.1—Interlocutory_orders" w:history="1">
        <w:r w:rsidR="00F25F45" w:rsidRPr="00B40A77">
          <w:rPr>
            <w:rStyle w:val="Hyperlink"/>
            <w:color w:val="000000" w:themeColor="text1"/>
            <w:lang w:val="en-US"/>
          </w:rPr>
          <w:t>rule 20</w:t>
        </w:r>
        <w:r w:rsidR="00911138" w:rsidRPr="00B40A77">
          <w:rPr>
            <w:rStyle w:val="Hyperlink"/>
            <w:color w:val="000000" w:themeColor="text1"/>
            <w:lang w:val="en-US"/>
          </w:rPr>
          <w:t>1</w:t>
        </w:r>
        <w:r w:rsidR="00D63A98" w:rsidRPr="00B40A77">
          <w:rPr>
            <w:rStyle w:val="Hyperlink"/>
            <w:color w:val="000000" w:themeColor="text1"/>
            <w:lang w:val="en-US"/>
          </w:rPr>
          <w:t>.1</w:t>
        </w:r>
      </w:hyperlink>
      <w:r w:rsidR="004E4C00" w:rsidRPr="00B40A77">
        <w:rPr>
          <w:color w:val="000000" w:themeColor="text1"/>
          <w:lang w:val="en-US"/>
        </w:rPr>
        <w:t xml:space="preserve"> (including for pre-hearing </w:t>
      </w:r>
      <w:hyperlink w:anchor="_2.1—Definitions" w:history="1">
        <w:r w:rsidR="0042083D" w:rsidRPr="00B40A77">
          <w:rPr>
            <w:rStyle w:val="Hyperlink"/>
            <w:color w:val="000000" w:themeColor="text1"/>
            <w:lang w:val="en-US"/>
          </w:rPr>
          <w:t>steps</w:t>
        </w:r>
      </w:hyperlink>
      <w:r w:rsidR="004E4C00" w:rsidRPr="00B40A77">
        <w:rPr>
          <w:color w:val="000000" w:themeColor="text1"/>
          <w:lang w:val="en-US"/>
        </w:rPr>
        <w:t>).</w:t>
      </w:r>
    </w:p>
    <w:p w14:paraId="4194EC35" w14:textId="3A27A1FA" w:rsidR="001751F5" w:rsidRPr="00B40A77" w:rsidRDefault="001751F5" w:rsidP="001751F5">
      <w:pPr>
        <w:pStyle w:val="Hangindent"/>
        <w:rPr>
          <w:color w:val="000000" w:themeColor="text1"/>
          <w:lang w:val="en-US"/>
        </w:rPr>
      </w:pPr>
      <w:r w:rsidRPr="00B40A77">
        <w:rPr>
          <w:color w:val="000000" w:themeColor="text1"/>
          <w:lang w:val="en-US"/>
        </w:rPr>
        <w:t>(2)</w:t>
      </w:r>
      <w:r w:rsidRPr="00B40A77">
        <w:rPr>
          <w:color w:val="000000" w:themeColor="text1"/>
          <w:lang w:val="en-US"/>
        </w:rPr>
        <w:tab/>
        <w:t>The Court may</w:t>
      </w:r>
      <w:r w:rsidR="00697A9D" w:rsidRPr="00B40A77">
        <w:rPr>
          <w:color w:val="000000" w:themeColor="text1"/>
          <w:lang w:val="en-US"/>
        </w:rPr>
        <w:t>,</w:t>
      </w:r>
      <w:r w:rsidRPr="00B40A77">
        <w:rPr>
          <w:color w:val="000000" w:themeColor="text1"/>
          <w:lang w:val="en-US"/>
        </w:rPr>
        <w:t xml:space="preserve"> </w:t>
      </w:r>
      <w:r w:rsidR="001B7D2E" w:rsidRPr="00B40A77">
        <w:rPr>
          <w:color w:val="000000" w:themeColor="text1"/>
          <w:lang w:val="en-US"/>
        </w:rPr>
        <w:t>if it thinks fit</w:t>
      </w:r>
      <w:r w:rsidR="00697A9D" w:rsidRPr="00B40A77">
        <w:rPr>
          <w:color w:val="000000" w:themeColor="text1"/>
          <w:lang w:val="en-US"/>
        </w:rPr>
        <w:t>,</w:t>
      </w:r>
      <w:r w:rsidR="001B7D2E" w:rsidRPr="00B40A77">
        <w:rPr>
          <w:color w:val="000000" w:themeColor="text1"/>
          <w:lang w:val="en-US"/>
        </w:rPr>
        <w:t xml:space="preserve"> </w:t>
      </w:r>
      <w:r w:rsidRPr="00B40A77">
        <w:rPr>
          <w:color w:val="000000" w:themeColor="text1"/>
          <w:lang w:val="en-US"/>
        </w:rPr>
        <w:t xml:space="preserve">convene </w:t>
      </w:r>
      <w:r w:rsidR="001B7D2E" w:rsidRPr="00B40A77">
        <w:rPr>
          <w:color w:val="000000" w:themeColor="text1"/>
          <w:lang w:val="en-US"/>
        </w:rPr>
        <w:t>a special callover of one or more extant appellate proceeding for a purpose referred to in subrule</w:t>
      </w:r>
      <w:r w:rsidR="00C42A0C" w:rsidRPr="00B40A77">
        <w:rPr>
          <w:color w:val="000000" w:themeColor="text1"/>
          <w:lang w:val="en-US"/>
        </w:rPr>
        <w:t> </w:t>
      </w:r>
      <w:r w:rsidR="001B7D2E" w:rsidRPr="00B40A77">
        <w:rPr>
          <w:color w:val="000000" w:themeColor="text1"/>
          <w:lang w:val="en-US"/>
        </w:rPr>
        <w:t>(1)</w:t>
      </w:r>
      <w:r w:rsidRPr="00B40A77">
        <w:rPr>
          <w:color w:val="000000" w:themeColor="text1"/>
          <w:lang w:val="en-US"/>
        </w:rPr>
        <w:t>.</w:t>
      </w:r>
    </w:p>
    <w:p w14:paraId="2AF25689" w14:textId="7FE2AB92" w:rsidR="001B7D2E" w:rsidRPr="00B40A77" w:rsidRDefault="001B7D2E" w:rsidP="001751F5">
      <w:pPr>
        <w:pStyle w:val="Hangindent"/>
        <w:rPr>
          <w:color w:val="000000" w:themeColor="text1"/>
          <w:lang w:val="en-US"/>
        </w:rPr>
      </w:pPr>
      <w:r w:rsidRPr="00B40A77">
        <w:rPr>
          <w:color w:val="000000" w:themeColor="text1"/>
          <w:lang w:val="en-US"/>
        </w:rPr>
        <w:t>(3)</w:t>
      </w:r>
      <w:r w:rsidRPr="00B40A77">
        <w:rPr>
          <w:color w:val="000000" w:themeColor="text1"/>
          <w:lang w:val="en-US"/>
        </w:rPr>
        <w:tab/>
      </w:r>
      <w:r w:rsidR="00E816DF" w:rsidRPr="00B40A77">
        <w:rPr>
          <w:color w:val="000000" w:themeColor="text1"/>
          <w:lang w:val="en-US"/>
        </w:rPr>
        <w:t>A</w:t>
      </w:r>
      <w:r w:rsidRPr="00B40A77">
        <w:rPr>
          <w:color w:val="000000" w:themeColor="text1"/>
          <w:lang w:val="en-US"/>
        </w:rPr>
        <w:t xml:space="preserve"> callover wi</w:t>
      </w:r>
      <w:r w:rsidR="00217FD6" w:rsidRPr="00B40A77">
        <w:rPr>
          <w:color w:val="000000" w:themeColor="text1"/>
          <w:lang w:val="en-US"/>
        </w:rPr>
        <w:t>l</w:t>
      </w:r>
      <w:r w:rsidRPr="00B40A77">
        <w:rPr>
          <w:color w:val="000000" w:themeColor="text1"/>
          <w:lang w:val="en-US"/>
        </w:rPr>
        <w:t xml:space="preserve">l </w:t>
      </w:r>
      <w:r w:rsidR="00E816DF" w:rsidRPr="00B40A77">
        <w:rPr>
          <w:color w:val="000000" w:themeColor="text1"/>
          <w:lang w:val="en-US"/>
        </w:rPr>
        <w:t xml:space="preserve">generally </w:t>
      </w:r>
      <w:r w:rsidRPr="00B40A77">
        <w:rPr>
          <w:color w:val="000000" w:themeColor="text1"/>
          <w:lang w:val="en-US"/>
        </w:rPr>
        <w:t>be conducted by a Judge but may, if the Court thinks fit, be conducted by 2 or 3 Judges.</w:t>
      </w:r>
    </w:p>
    <w:p w14:paraId="0CD0C327" w14:textId="66C84AC5" w:rsidR="00111A5D" w:rsidRPr="00B40A77" w:rsidRDefault="0061042B" w:rsidP="00111A5D">
      <w:pPr>
        <w:pStyle w:val="Heading4"/>
        <w:rPr>
          <w:color w:val="000000" w:themeColor="text1"/>
        </w:rPr>
      </w:pPr>
      <w:bookmarkStart w:id="1221" w:name="_Toc175239408"/>
      <w:r w:rsidRPr="00B40A77">
        <w:rPr>
          <w:color w:val="000000" w:themeColor="text1"/>
        </w:rPr>
        <w:t>20</w:t>
      </w:r>
      <w:r w:rsidR="00F76788" w:rsidRPr="00B40A77">
        <w:rPr>
          <w:color w:val="000000" w:themeColor="text1"/>
        </w:rPr>
        <w:t>0</w:t>
      </w:r>
      <w:r w:rsidR="00754287" w:rsidRPr="00B40A77">
        <w:rPr>
          <w:color w:val="000000" w:themeColor="text1"/>
        </w:rPr>
        <w:t>.2</w:t>
      </w:r>
      <w:r w:rsidR="00111A5D" w:rsidRPr="00B40A77">
        <w:rPr>
          <w:color w:val="000000" w:themeColor="text1"/>
        </w:rPr>
        <w:t>—Conduct of callover</w:t>
      </w:r>
      <w:bookmarkEnd w:id="1221"/>
    </w:p>
    <w:p w14:paraId="3FDB7A06" w14:textId="55908B09" w:rsidR="00111A5D" w:rsidRPr="00B40A77" w:rsidRDefault="00111A5D" w:rsidP="009558DE">
      <w:pPr>
        <w:pStyle w:val="Hangindent"/>
        <w:keepNext/>
        <w:rPr>
          <w:bCs/>
          <w:color w:val="000000" w:themeColor="text1"/>
          <w:lang w:val="en-US"/>
        </w:rPr>
      </w:pPr>
      <w:r w:rsidRPr="00B40A77">
        <w:rPr>
          <w:bCs/>
          <w:color w:val="000000" w:themeColor="text1"/>
          <w:lang w:val="en-US"/>
        </w:rPr>
        <w:t>(1)</w:t>
      </w:r>
      <w:r w:rsidRPr="00B40A77">
        <w:rPr>
          <w:bCs/>
          <w:color w:val="000000" w:themeColor="text1"/>
          <w:lang w:val="en-US"/>
        </w:rPr>
        <w:tab/>
        <w:t>At a callover</w:t>
      </w:r>
      <w:r w:rsidRPr="00B40A77">
        <w:rPr>
          <w:color w:val="000000" w:themeColor="text1"/>
          <w:lang w:val="en-US"/>
        </w:rPr>
        <w:t>—</w:t>
      </w:r>
    </w:p>
    <w:p w14:paraId="61E50BA4" w14:textId="7F649791" w:rsidR="00111A5D" w:rsidRPr="00B40A77" w:rsidRDefault="00111A5D" w:rsidP="00111A5D">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if </w:t>
      </w:r>
      <w:r w:rsidR="001B7D2E" w:rsidRPr="00B40A77">
        <w:rPr>
          <w:color w:val="000000" w:themeColor="text1"/>
          <w:lang w:val="en-US"/>
        </w:rPr>
        <w:t>an</w:t>
      </w:r>
      <w:r w:rsidR="00A664A0" w:rsidRPr="00B40A77">
        <w:rPr>
          <w:color w:val="000000" w:themeColor="text1"/>
          <w:lang w:val="en-US"/>
        </w:rPr>
        <w:t xml:space="preserve"> appellate proceeding is an appeal and an issue of leave to appeal has </w:t>
      </w:r>
      <w:r w:rsidRPr="00B40A77">
        <w:rPr>
          <w:color w:val="000000" w:themeColor="text1"/>
          <w:lang w:val="en-US"/>
        </w:rPr>
        <w:t xml:space="preserve">not already </w:t>
      </w:r>
      <w:r w:rsidR="001B7D2E" w:rsidRPr="00B40A77">
        <w:rPr>
          <w:color w:val="000000" w:themeColor="text1"/>
          <w:lang w:val="en-US"/>
        </w:rPr>
        <w:t xml:space="preserve">been </w:t>
      </w:r>
      <w:r w:rsidRPr="00B40A77">
        <w:rPr>
          <w:color w:val="000000" w:themeColor="text1"/>
          <w:lang w:val="en-US"/>
        </w:rPr>
        <w:t>determined, the Court may—</w:t>
      </w:r>
    </w:p>
    <w:p w14:paraId="308D59E8" w14:textId="59A85F4D" w:rsidR="00111A5D" w:rsidRPr="00B40A77" w:rsidRDefault="00111A5D" w:rsidP="00111A5D">
      <w:pPr>
        <w:pStyle w:val="Doublehangindent"/>
        <w:ind w:left="2160" w:hanging="459"/>
        <w:rPr>
          <w:color w:val="000000" w:themeColor="text1"/>
          <w:lang w:val="en-US"/>
        </w:rPr>
      </w:pPr>
      <w:r w:rsidRPr="00B40A77">
        <w:rPr>
          <w:color w:val="000000" w:themeColor="text1"/>
          <w:lang w:val="en-US"/>
        </w:rPr>
        <w:t>(i)</w:t>
      </w:r>
      <w:r w:rsidRPr="00B40A77">
        <w:rPr>
          <w:color w:val="000000" w:themeColor="text1"/>
          <w:lang w:val="en-US"/>
        </w:rPr>
        <w:tab/>
        <w:t>order that the application for leave to appeal on one or more grounds be listed for separate hearing and determination;</w:t>
      </w:r>
    </w:p>
    <w:p w14:paraId="39BEEABB" w14:textId="2B5D04A2" w:rsidR="00111A5D" w:rsidRPr="00B40A77" w:rsidRDefault="00111A5D" w:rsidP="00111A5D">
      <w:pPr>
        <w:pStyle w:val="Doublehangindent"/>
        <w:ind w:left="2166" w:hanging="465"/>
        <w:rPr>
          <w:color w:val="000000" w:themeColor="text1"/>
          <w:lang w:val="en-US"/>
        </w:rPr>
      </w:pPr>
      <w:r w:rsidRPr="00B40A77">
        <w:rPr>
          <w:color w:val="000000" w:themeColor="text1"/>
          <w:lang w:val="en-US"/>
        </w:rPr>
        <w:lastRenderedPageBreak/>
        <w:t>(ii)</w:t>
      </w:r>
      <w:r w:rsidRPr="00B40A77">
        <w:rPr>
          <w:color w:val="000000" w:themeColor="text1"/>
          <w:lang w:val="en-US"/>
        </w:rPr>
        <w:tab/>
        <w:t>order that the application for leave to appeal on one or more grounds be heard at the same time as the appeal;</w:t>
      </w:r>
    </w:p>
    <w:p w14:paraId="6C3FCC6A" w14:textId="1C4EFF25" w:rsidR="00111A5D" w:rsidRPr="00B40A77" w:rsidRDefault="00111A5D" w:rsidP="00111A5D">
      <w:pPr>
        <w:pStyle w:val="Doublehangindent"/>
        <w:ind w:firstLine="0"/>
        <w:rPr>
          <w:color w:val="000000" w:themeColor="text1"/>
          <w:lang w:val="en-US"/>
        </w:rPr>
      </w:pPr>
      <w:r w:rsidRPr="00B40A77">
        <w:rPr>
          <w:color w:val="000000" w:themeColor="text1"/>
          <w:lang w:val="en-US"/>
        </w:rPr>
        <w:t>(i</w:t>
      </w:r>
      <w:r w:rsidR="00A664A0" w:rsidRPr="00B40A77">
        <w:rPr>
          <w:color w:val="000000" w:themeColor="text1"/>
          <w:lang w:val="en-US"/>
        </w:rPr>
        <w:t>ii</w:t>
      </w:r>
      <w:r w:rsidRPr="00B40A77">
        <w:rPr>
          <w:color w:val="000000" w:themeColor="text1"/>
          <w:lang w:val="en-US"/>
        </w:rPr>
        <w:t>)</w:t>
      </w:r>
      <w:r w:rsidRPr="00B40A77">
        <w:rPr>
          <w:color w:val="000000" w:themeColor="text1"/>
          <w:lang w:val="en-US"/>
        </w:rPr>
        <w:tab/>
        <w:t>grant leave to appeal on some or all grounds; or</w:t>
      </w:r>
    </w:p>
    <w:p w14:paraId="6691FF75" w14:textId="09506226" w:rsidR="00111A5D" w:rsidRPr="00B40A77" w:rsidRDefault="00111A5D" w:rsidP="00111A5D">
      <w:pPr>
        <w:pStyle w:val="Doublehangindent"/>
        <w:ind w:firstLine="0"/>
        <w:rPr>
          <w:color w:val="000000" w:themeColor="text1"/>
          <w:lang w:val="en-US"/>
        </w:rPr>
      </w:pPr>
      <w:r w:rsidRPr="00B40A77">
        <w:rPr>
          <w:color w:val="000000" w:themeColor="text1"/>
          <w:lang w:val="en-US"/>
        </w:rPr>
        <w:t>(</w:t>
      </w:r>
      <w:r w:rsidR="00A664A0" w:rsidRPr="00B40A77">
        <w:rPr>
          <w:color w:val="000000" w:themeColor="text1"/>
          <w:lang w:val="en-US"/>
        </w:rPr>
        <w:t>i</w:t>
      </w:r>
      <w:r w:rsidRPr="00B40A77">
        <w:rPr>
          <w:color w:val="000000" w:themeColor="text1"/>
          <w:lang w:val="en-US"/>
        </w:rPr>
        <w:t>v)</w:t>
      </w:r>
      <w:r w:rsidRPr="00B40A77">
        <w:rPr>
          <w:color w:val="000000" w:themeColor="text1"/>
          <w:lang w:val="en-US"/>
        </w:rPr>
        <w:tab/>
        <w:t>refuse leave to appeal on some or all grounds;</w:t>
      </w:r>
      <w:r w:rsidR="00647818" w:rsidRPr="00B40A77">
        <w:rPr>
          <w:color w:val="000000" w:themeColor="text1"/>
          <w:lang w:val="en-US"/>
        </w:rPr>
        <w:t xml:space="preserve"> and</w:t>
      </w:r>
    </w:p>
    <w:p w14:paraId="5D2ABDD3" w14:textId="35DCF1EE" w:rsidR="00647818" w:rsidRPr="00B40A77" w:rsidRDefault="00111A5D" w:rsidP="00111A5D">
      <w:pPr>
        <w:pStyle w:val="Doublehangindent"/>
        <w:rPr>
          <w:color w:val="000000" w:themeColor="text1"/>
          <w:lang w:val="en-US"/>
        </w:rPr>
      </w:pPr>
      <w:r w:rsidRPr="00B40A77">
        <w:rPr>
          <w:color w:val="000000" w:themeColor="text1"/>
          <w:lang w:val="en-US"/>
        </w:rPr>
        <w:t>(b)</w:t>
      </w:r>
      <w:r w:rsidRPr="00B40A77">
        <w:rPr>
          <w:color w:val="000000" w:themeColor="text1"/>
          <w:lang w:val="en-US"/>
        </w:rPr>
        <w:tab/>
        <w:t>subject to any orders previously made, the Court will generally</w:t>
      </w:r>
      <w:r w:rsidR="00647818" w:rsidRPr="00B40A77">
        <w:rPr>
          <w:color w:val="000000" w:themeColor="text1"/>
          <w:lang w:val="en-US"/>
        </w:rPr>
        <w:t>—</w:t>
      </w:r>
    </w:p>
    <w:p w14:paraId="71746BC0" w14:textId="6740826F" w:rsidR="00647818" w:rsidRPr="00B40A77" w:rsidRDefault="00647818" w:rsidP="00647818">
      <w:pPr>
        <w:pStyle w:val="Doublehangindent"/>
        <w:ind w:left="2268"/>
        <w:rPr>
          <w:color w:val="000000" w:themeColor="text1"/>
          <w:lang w:val="en-US"/>
        </w:rPr>
      </w:pPr>
      <w:r w:rsidRPr="00B40A77">
        <w:rPr>
          <w:color w:val="000000" w:themeColor="text1"/>
          <w:lang w:val="en-US"/>
        </w:rPr>
        <w:t>(i)</w:t>
      </w:r>
      <w:r w:rsidRPr="00B40A77">
        <w:rPr>
          <w:color w:val="000000" w:themeColor="text1"/>
          <w:lang w:val="en-US"/>
        </w:rPr>
        <w:tab/>
      </w:r>
      <w:r w:rsidR="00111A5D" w:rsidRPr="00B40A77">
        <w:rPr>
          <w:color w:val="000000" w:themeColor="text1"/>
          <w:lang w:val="en-US"/>
        </w:rPr>
        <w:t xml:space="preserve">list the </w:t>
      </w:r>
      <w:r w:rsidR="00AB28CD" w:rsidRPr="00B40A77">
        <w:rPr>
          <w:color w:val="000000" w:themeColor="text1"/>
          <w:lang w:val="en-US"/>
        </w:rPr>
        <w:t>appellate proceeding</w:t>
      </w:r>
      <w:r w:rsidRPr="00B40A77">
        <w:rPr>
          <w:color w:val="000000" w:themeColor="text1"/>
          <w:lang w:val="en-US"/>
        </w:rPr>
        <w:t xml:space="preserve"> for hearing;</w:t>
      </w:r>
      <w:r w:rsidR="00111A5D" w:rsidRPr="00B40A77">
        <w:rPr>
          <w:color w:val="000000" w:themeColor="text1"/>
          <w:lang w:val="en-US"/>
        </w:rPr>
        <w:t xml:space="preserve"> and</w:t>
      </w:r>
    </w:p>
    <w:p w14:paraId="0A021C93" w14:textId="099F8395" w:rsidR="00111A5D" w:rsidRPr="00B40A77" w:rsidRDefault="00647818" w:rsidP="00647818">
      <w:pPr>
        <w:pStyle w:val="Doublehangindent"/>
        <w:ind w:left="2268"/>
        <w:rPr>
          <w:color w:val="000000" w:themeColor="text1"/>
          <w:lang w:val="en-US"/>
        </w:rPr>
      </w:pPr>
      <w:r w:rsidRPr="00B40A77">
        <w:rPr>
          <w:color w:val="000000" w:themeColor="text1"/>
          <w:lang w:val="en-US"/>
        </w:rPr>
        <w:t>(ii)</w:t>
      </w:r>
      <w:r w:rsidRPr="00B40A77">
        <w:rPr>
          <w:color w:val="000000" w:themeColor="text1"/>
          <w:lang w:val="en-US"/>
        </w:rPr>
        <w:tab/>
      </w:r>
      <w:r w:rsidR="00111A5D" w:rsidRPr="00B40A77">
        <w:rPr>
          <w:color w:val="000000" w:themeColor="text1"/>
          <w:lang w:val="en-US"/>
        </w:rPr>
        <w:t>if leave to appeal is to be heard and determined at the same time</w:t>
      </w:r>
      <w:r w:rsidRPr="00B40A77">
        <w:rPr>
          <w:color w:val="000000" w:themeColor="text1"/>
          <w:lang w:val="en-US"/>
        </w:rPr>
        <w:t xml:space="preserve"> as the appellate proceeding—list the application for</w:t>
      </w:r>
      <w:r w:rsidR="00111A5D" w:rsidRPr="00B40A77">
        <w:rPr>
          <w:color w:val="000000" w:themeColor="text1"/>
          <w:lang w:val="en-US"/>
        </w:rPr>
        <w:t xml:space="preserve"> leave to appeal for hearing.</w:t>
      </w:r>
    </w:p>
    <w:p w14:paraId="0E0EEA8E" w14:textId="47879F0E" w:rsidR="00111A5D" w:rsidRPr="00B40A77" w:rsidRDefault="00111A5D" w:rsidP="00111A5D">
      <w:pPr>
        <w:pStyle w:val="Hangindent"/>
        <w:rPr>
          <w:color w:val="000000" w:themeColor="text1"/>
          <w:lang w:val="en-US"/>
        </w:rPr>
      </w:pPr>
      <w:r w:rsidRPr="00B40A77">
        <w:rPr>
          <w:color w:val="000000" w:themeColor="text1"/>
          <w:lang w:val="en-US"/>
        </w:rPr>
        <w:t>(2)</w:t>
      </w:r>
      <w:r w:rsidRPr="00B40A77">
        <w:rPr>
          <w:color w:val="000000" w:themeColor="text1"/>
          <w:lang w:val="en-US"/>
        </w:rPr>
        <w:tab/>
        <w:t>C</w:t>
      </w:r>
      <w:r w:rsidR="005A5FEC" w:rsidRPr="00B40A77">
        <w:rPr>
          <w:color w:val="000000" w:themeColor="text1"/>
          <w:lang w:val="en-US"/>
        </w:rPr>
        <w:t>ounsel briefed to appear at the hearing of the appellate proceeding</w:t>
      </w:r>
      <w:r w:rsidRPr="00B40A77">
        <w:rPr>
          <w:color w:val="000000" w:themeColor="text1"/>
          <w:lang w:val="en-US"/>
        </w:rPr>
        <w:t xml:space="preserve"> (or, if the attendance of a party's counsel is not practicable, that party's solicitor) </w:t>
      </w:r>
      <w:r w:rsidR="001B7D2E" w:rsidRPr="00B40A77">
        <w:rPr>
          <w:color w:val="000000" w:themeColor="text1"/>
          <w:lang w:val="en-US"/>
        </w:rPr>
        <w:t>must</w:t>
      </w:r>
      <w:r w:rsidRPr="00B40A77">
        <w:rPr>
          <w:color w:val="000000" w:themeColor="text1"/>
          <w:lang w:val="en-US"/>
        </w:rPr>
        <w:t xml:space="preserve"> attend at </w:t>
      </w:r>
      <w:r w:rsidR="00092663" w:rsidRPr="00B40A77">
        <w:rPr>
          <w:color w:val="000000" w:themeColor="text1"/>
          <w:lang w:val="en-US"/>
        </w:rPr>
        <w:t>the</w:t>
      </w:r>
      <w:r w:rsidRPr="00B40A77">
        <w:rPr>
          <w:color w:val="000000" w:themeColor="text1"/>
          <w:lang w:val="en-US"/>
        </w:rPr>
        <w:t xml:space="preserve"> callover.</w:t>
      </w:r>
    </w:p>
    <w:p w14:paraId="38D98DD6" w14:textId="6F222361" w:rsidR="00AF3BB2" w:rsidRPr="00B40A77" w:rsidRDefault="00AF3BB2" w:rsidP="00AF3BB2">
      <w:pPr>
        <w:pStyle w:val="Heading3"/>
        <w:rPr>
          <w:color w:val="000000" w:themeColor="text1"/>
        </w:rPr>
      </w:pPr>
      <w:bookmarkStart w:id="1222" w:name="_Division_10—Interlocutory_steps"/>
      <w:bookmarkStart w:id="1223" w:name="_Toc175239409"/>
      <w:bookmarkStart w:id="1224" w:name="_Hlk71798444"/>
      <w:bookmarkEnd w:id="1222"/>
      <w:r w:rsidRPr="00B40A77">
        <w:rPr>
          <w:color w:val="000000" w:themeColor="text1"/>
        </w:rPr>
        <w:t>Division</w:t>
      </w:r>
      <w:r w:rsidR="00AB28CD" w:rsidRPr="00B40A77">
        <w:rPr>
          <w:color w:val="000000" w:themeColor="text1"/>
        </w:rPr>
        <w:t xml:space="preserve"> 10</w:t>
      </w:r>
      <w:r w:rsidRPr="00B40A77">
        <w:rPr>
          <w:color w:val="000000" w:themeColor="text1"/>
        </w:rPr>
        <w:t>—Interlocutory steps</w:t>
      </w:r>
      <w:bookmarkEnd w:id="1223"/>
    </w:p>
    <w:p w14:paraId="3147B9DF" w14:textId="649FCD19" w:rsidR="00E67DBB" w:rsidRPr="00B40A77" w:rsidRDefault="0061042B" w:rsidP="00E67DBB">
      <w:pPr>
        <w:pStyle w:val="Heading4"/>
        <w:rPr>
          <w:color w:val="000000" w:themeColor="text1"/>
        </w:rPr>
      </w:pPr>
      <w:bookmarkStart w:id="1225" w:name="_201.1—Interlocutory_orders"/>
      <w:bookmarkStart w:id="1226" w:name="_Toc67416239"/>
      <w:bookmarkStart w:id="1227" w:name="_Toc175239410"/>
      <w:bookmarkEnd w:id="1225"/>
      <w:r w:rsidRPr="00B40A77">
        <w:rPr>
          <w:color w:val="000000" w:themeColor="text1"/>
        </w:rPr>
        <w:t>2</w:t>
      </w:r>
      <w:r w:rsidR="00F76788" w:rsidRPr="00B40A77">
        <w:rPr>
          <w:color w:val="000000" w:themeColor="text1"/>
        </w:rPr>
        <w:t>01</w:t>
      </w:r>
      <w:r w:rsidR="00E67DBB" w:rsidRPr="00B40A77">
        <w:rPr>
          <w:color w:val="000000" w:themeColor="text1"/>
        </w:rPr>
        <w:t>.1—Interlocutory orders</w:t>
      </w:r>
      <w:bookmarkEnd w:id="1226"/>
      <w:bookmarkEnd w:id="1227"/>
    </w:p>
    <w:p w14:paraId="6C2A9E8E" w14:textId="2D65A134" w:rsidR="003E3E7C" w:rsidRPr="00B40A77" w:rsidRDefault="00E67DBB" w:rsidP="00E67DBB">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A Judge may, at a </w:t>
      </w:r>
      <w:hyperlink w:anchor="_2.1—Definitions" w:history="1">
        <w:r w:rsidRPr="00B40A77">
          <w:rPr>
            <w:color w:val="000000" w:themeColor="text1"/>
            <w:u w:val="single"/>
          </w:rPr>
          <w:t>hearing</w:t>
        </w:r>
      </w:hyperlink>
      <w:r w:rsidRPr="00B40A77">
        <w:rPr>
          <w:color w:val="000000" w:themeColor="text1"/>
          <w:lang w:val="en-US"/>
        </w:rPr>
        <w:t xml:space="preserve"> </w:t>
      </w:r>
      <w:hyperlink w:anchor="_2.1—Definitions" w:history="1">
        <w:r w:rsidR="00307014" w:rsidRPr="00B40A77">
          <w:rPr>
            <w:rStyle w:val="Hyperlink"/>
            <w:color w:val="000000" w:themeColor="text1"/>
            <w:lang w:val="en-US"/>
          </w:rPr>
          <w:t>in court</w:t>
        </w:r>
      </w:hyperlink>
      <w:r w:rsidRPr="00B40A77">
        <w:rPr>
          <w:color w:val="000000" w:themeColor="text1"/>
          <w:lang w:val="en-US"/>
        </w:rPr>
        <w:t xml:space="preserve"> or </w:t>
      </w:r>
      <w:hyperlink w:anchor="_2.1—Definitions" w:history="1">
        <w:hyperlink w:anchor="_2.1—Definitions" w:history="1">
          <w:r w:rsidR="00307014" w:rsidRPr="00B40A77">
            <w:rPr>
              <w:rStyle w:val="Hyperlink"/>
              <w:color w:val="000000" w:themeColor="text1"/>
              <w:lang w:val="en-US"/>
            </w:rPr>
            <w:t>in chambers</w:t>
          </w:r>
        </w:hyperlink>
      </w:hyperlink>
      <w:r w:rsidRPr="00B40A77">
        <w:rPr>
          <w:color w:val="000000" w:themeColor="text1"/>
          <w:lang w:val="en-US"/>
        </w:rPr>
        <w:t xml:space="preserve">, make interlocutory or </w:t>
      </w:r>
      <w:hyperlink w:anchor="_211.1—Definitions" w:history="1">
        <w:r w:rsidR="000D2BEB" w:rsidRPr="00B40A77">
          <w:rPr>
            <w:rStyle w:val="Hyperlink"/>
            <w:color w:val="000000" w:themeColor="text1"/>
            <w:lang w:val="en-US"/>
          </w:rPr>
          <w:t>ancillary order</w:t>
        </w:r>
      </w:hyperlink>
      <w:r w:rsidRPr="00B40A77">
        <w:rPr>
          <w:color w:val="000000" w:themeColor="text1"/>
          <w:u w:val="single"/>
          <w:lang w:val="en-US"/>
        </w:rPr>
        <w:t>s</w:t>
      </w:r>
      <w:r w:rsidR="003E3E7C" w:rsidRPr="00B40A77">
        <w:rPr>
          <w:color w:val="000000" w:themeColor="text1"/>
          <w:lang w:val="en-US"/>
        </w:rPr>
        <w:t>—</w:t>
      </w:r>
    </w:p>
    <w:p w14:paraId="2C29C72E" w14:textId="56FC83B6" w:rsidR="003E3E7C" w:rsidRPr="00B40A77" w:rsidRDefault="003E3E7C" w:rsidP="003E3E7C">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E67DBB" w:rsidRPr="00B40A77">
        <w:rPr>
          <w:color w:val="000000" w:themeColor="text1"/>
          <w:lang w:val="en-US"/>
        </w:rPr>
        <w:t>on their own initiative</w:t>
      </w:r>
      <w:r w:rsidRPr="00B40A77">
        <w:rPr>
          <w:color w:val="000000" w:themeColor="text1"/>
          <w:lang w:val="en-US"/>
        </w:rPr>
        <w:t>;</w:t>
      </w:r>
      <w:r w:rsidR="00E67DBB" w:rsidRPr="00B40A77">
        <w:rPr>
          <w:color w:val="000000" w:themeColor="text1"/>
          <w:lang w:val="en-US"/>
        </w:rPr>
        <w:t xml:space="preserve"> or</w:t>
      </w:r>
    </w:p>
    <w:p w14:paraId="27B2622D" w14:textId="794B40A9" w:rsidR="00E67DBB" w:rsidRPr="00B40A77" w:rsidRDefault="003E3E7C" w:rsidP="003E3E7C">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E67DBB" w:rsidRPr="00B40A77">
        <w:rPr>
          <w:color w:val="000000" w:themeColor="text1"/>
          <w:lang w:val="en-US"/>
        </w:rPr>
        <w:t>on the application of any person in relation to an appellate proceeding.</w:t>
      </w:r>
    </w:p>
    <w:p w14:paraId="016D1ABD" w14:textId="77777777" w:rsidR="00E67DBB" w:rsidRPr="00B40A77" w:rsidRDefault="00E67DBB" w:rsidP="00E67DBB">
      <w:pPr>
        <w:pStyle w:val="Hangindent"/>
        <w:rPr>
          <w:color w:val="000000" w:themeColor="text1"/>
          <w:lang w:val="en-US"/>
        </w:rPr>
      </w:pPr>
      <w:r w:rsidRPr="00B40A77">
        <w:rPr>
          <w:color w:val="000000" w:themeColor="text1"/>
          <w:lang w:val="en-US"/>
        </w:rPr>
        <w:t>(2)</w:t>
      </w:r>
      <w:r w:rsidRPr="00B40A77">
        <w:rPr>
          <w:color w:val="000000" w:themeColor="text1"/>
          <w:lang w:val="en-US"/>
        </w:rPr>
        <w:tab/>
        <w:t>For example, a Judge may make orders—</w:t>
      </w:r>
    </w:p>
    <w:p w14:paraId="51A77596" w14:textId="77777777" w:rsidR="00E67DBB" w:rsidRPr="00B40A77" w:rsidRDefault="00E67DBB" w:rsidP="00E67DBB">
      <w:pPr>
        <w:pStyle w:val="Doublehangindent"/>
        <w:rPr>
          <w:color w:val="000000" w:themeColor="text1"/>
          <w:lang w:val="en-US"/>
        </w:rPr>
      </w:pPr>
      <w:r w:rsidRPr="00B40A77">
        <w:rPr>
          <w:color w:val="000000" w:themeColor="text1"/>
          <w:lang w:val="en-US"/>
        </w:rPr>
        <w:t>(a)</w:t>
      </w:r>
      <w:r w:rsidRPr="00B40A77">
        <w:rPr>
          <w:color w:val="000000" w:themeColor="text1"/>
          <w:lang w:val="en-US"/>
        </w:rPr>
        <w:tab/>
        <w:t>concerning the constitution of an appellate proceeding;</w:t>
      </w:r>
    </w:p>
    <w:p w14:paraId="2056ECCA" w14:textId="2EE60E2D" w:rsidR="00E67DBB" w:rsidRPr="00B40A77" w:rsidRDefault="00E67DBB" w:rsidP="00E67DBB">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relating to the filing, service or amendment of an </w:t>
      </w:r>
      <w:hyperlink w:anchor="_211.1—Definitions" w:history="1">
        <w:r w:rsidRPr="00B40A77">
          <w:rPr>
            <w:color w:val="000000" w:themeColor="text1"/>
            <w:u w:val="single"/>
          </w:rPr>
          <w:t>appellate document</w:t>
        </w:r>
      </w:hyperlink>
      <w:r w:rsidRPr="00B40A77">
        <w:rPr>
          <w:color w:val="000000" w:themeColor="text1"/>
          <w:lang w:val="en-US"/>
        </w:rPr>
        <w:t>;</w:t>
      </w:r>
    </w:p>
    <w:p w14:paraId="20BFCF65" w14:textId="38EDB135" w:rsidR="009961A4" w:rsidRPr="00B40A77" w:rsidRDefault="00E67DBB" w:rsidP="00E67DBB">
      <w:pPr>
        <w:pStyle w:val="Doublehangindent"/>
        <w:rPr>
          <w:color w:val="000000" w:themeColor="text1"/>
          <w:lang w:val="en-US"/>
        </w:rPr>
      </w:pPr>
      <w:r w:rsidRPr="00B40A77">
        <w:rPr>
          <w:color w:val="000000" w:themeColor="text1"/>
          <w:lang w:val="en-US"/>
        </w:rPr>
        <w:t>(c)</w:t>
      </w:r>
      <w:r w:rsidRPr="00B40A77">
        <w:rPr>
          <w:color w:val="000000" w:themeColor="text1"/>
          <w:lang w:val="en-US"/>
        </w:rPr>
        <w:tab/>
        <w:t>granting or refusing leave to appeal or an extension of time to appeal</w:t>
      </w:r>
      <w:r w:rsidR="009961A4" w:rsidRPr="00B40A77">
        <w:rPr>
          <w:color w:val="000000" w:themeColor="text1"/>
          <w:lang w:val="en-US"/>
        </w:rPr>
        <w:t>;</w:t>
      </w:r>
    </w:p>
    <w:p w14:paraId="41C6B289" w14:textId="4ABA965C" w:rsidR="00E67DBB" w:rsidRPr="00B40A77" w:rsidRDefault="009961A4" w:rsidP="00E67DBB">
      <w:pPr>
        <w:pStyle w:val="Doublehangindent"/>
        <w:rPr>
          <w:color w:val="000000" w:themeColor="text1"/>
          <w:lang w:val="en-US"/>
        </w:rPr>
      </w:pPr>
      <w:r w:rsidRPr="00B40A77">
        <w:rPr>
          <w:color w:val="000000" w:themeColor="text1"/>
          <w:lang w:val="en-US"/>
        </w:rPr>
        <w:t>(d)</w:t>
      </w:r>
      <w:r w:rsidRPr="00B40A77">
        <w:rPr>
          <w:color w:val="000000" w:themeColor="text1"/>
          <w:lang w:val="en-US"/>
        </w:rPr>
        <w:tab/>
      </w:r>
      <w:r w:rsidR="007C44EB" w:rsidRPr="00B40A77">
        <w:rPr>
          <w:color w:val="000000" w:themeColor="text1"/>
          <w:lang w:val="en-US"/>
        </w:rPr>
        <w:t>determining</w:t>
      </w:r>
      <w:r w:rsidRPr="00B40A77">
        <w:rPr>
          <w:color w:val="000000" w:themeColor="text1"/>
          <w:lang w:val="en-US"/>
        </w:rPr>
        <w:t xml:space="preserve"> </w:t>
      </w:r>
      <w:r w:rsidR="00E67DBB" w:rsidRPr="00B40A77">
        <w:rPr>
          <w:color w:val="000000" w:themeColor="text1"/>
          <w:lang w:val="en-US"/>
        </w:rPr>
        <w:t xml:space="preserve">how an application for leave to appeal or an extension of time to appeal is to be determined by the </w:t>
      </w:r>
      <w:hyperlink w:anchor="_2.1—Definitions" w:history="1">
        <w:r w:rsidR="00350C21" w:rsidRPr="00B40A77">
          <w:rPr>
            <w:rStyle w:val="Hyperlink"/>
            <w:color w:val="000000" w:themeColor="text1"/>
            <w:lang w:val="en-US"/>
          </w:rPr>
          <w:t>Court of Appeal</w:t>
        </w:r>
      </w:hyperlink>
      <w:r w:rsidR="00E67DBB" w:rsidRPr="00B40A77">
        <w:rPr>
          <w:color w:val="000000" w:themeColor="text1"/>
          <w:lang w:val="en-US"/>
        </w:rPr>
        <w:t>;</w:t>
      </w:r>
    </w:p>
    <w:p w14:paraId="7EBC1199" w14:textId="7327223B" w:rsidR="00E67DBB" w:rsidRPr="00B40A77" w:rsidRDefault="00E67DBB" w:rsidP="00E67DBB">
      <w:pPr>
        <w:pStyle w:val="Doublehangindent"/>
        <w:rPr>
          <w:color w:val="000000" w:themeColor="text1"/>
          <w:lang w:val="en-US"/>
        </w:rPr>
      </w:pPr>
      <w:bookmarkStart w:id="1228" w:name="_Hlk67490500"/>
      <w:r w:rsidRPr="00B40A77">
        <w:rPr>
          <w:color w:val="000000" w:themeColor="text1"/>
          <w:lang w:val="en-US"/>
        </w:rPr>
        <w:t>(</w:t>
      </w:r>
      <w:r w:rsidR="007C44EB" w:rsidRPr="00B40A77">
        <w:rPr>
          <w:color w:val="000000" w:themeColor="text1"/>
          <w:lang w:val="en-US"/>
        </w:rPr>
        <w:t>e</w:t>
      </w:r>
      <w:r w:rsidRPr="00B40A77">
        <w:rPr>
          <w:color w:val="000000" w:themeColor="text1"/>
          <w:lang w:val="en-US"/>
        </w:rPr>
        <w:t>)</w:t>
      </w:r>
      <w:r w:rsidRPr="00B40A77">
        <w:rPr>
          <w:color w:val="000000" w:themeColor="text1"/>
          <w:lang w:val="en-US"/>
        </w:rPr>
        <w:tab/>
        <w:t xml:space="preserve">striking out </w:t>
      </w:r>
      <w:r w:rsidR="004E4C00" w:rsidRPr="00B40A77">
        <w:rPr>
          <w:color w:val="000000" w:themeColor="text1"/>
          <w:lang w:val="en-US"/>
        </w:rPr>
        <w:t xml:space="preserve">an </w:t>
      </w:r>
      <w:hyperlink w:anchor="_211.1—Definitions" w:history="1">
        <w:r w:rsidR="000D2BEB" w:rsidRPr="00B40A77">
          <w:rPr>
            <w:rStyle w:val="Hyperlink"/>
            <w:color w:val="000000" w:themeColor="text1"/>
            <w:lang w:val="en-US"/>
          </w:rPr>
          <w:t>appellate document</w:t>
        </w:r>
      </w:hyperlink>
      <w:r w:rsidR="000D2BEB" w:rsidRPr="00B40A77">
        <w:rPr>
          <w:rStyle w:val="Hyperlink"/>
          <w:color w:val="000000" w:themeColor="text1"/>
          <w:u w:val="none"/>
          <w:lang w:val="en-US"/>
        </w:rPr>
        <w:t xml:space="preserve"> </w:t>
      </w:r>
      <w:r w:rsidR="007F72AD" w:rsidRPr="00B40A77">
        <w:rPr>
          <w:color w:val="000000" w:themeColor="text1"/>
          <w:lang w:val="en-US"/>
        </w:rPr>
        <w:t xml:space="preserve">or </w:t>
      </w:r>
      <w:r w:rsidRPr="00B40A77">
        <w:rPr>
          <w:color w:val="000000" w:themeColor="text1"/>
          <w:lang w:val="en-US"/>
        </w:rPr>
        <w:t>summarily dismissing an appellate proceeding if—</w:t>
      </w:r>
    </w:p>
    <w:p w14:paraId="0FFC2700" w14:textId="41474DD8" w:rsidR="00E67DBB" w:rsidRPr="00B40A77" w:rsidRDefault="00E67DBB" w:rsidP="00E67DBB">
      <w:pPr>
        <w:pStyle w:val="Doublehangindent"/>
        <w:ind w:left="2160" w:hanging="471"/>
        <w:rPr>
          <w:color w:val="000000" w:themeColor="text1"/>
          <w:lang w:val="en-US"/>
        </w:rPr>
      </w:pPr>
      <w:r w:rsidRPr="00B40A77">
        <w:rPr>
          <w:color w:val="000000" w:themeColor="text1"/>
          <w:lang w:val="en-US"/>
        </w:rPr>
        <w:t>(i)</w:t>
      </w:r>
      <w:r w:rsidRPr="00B40A77">
        <w:rPr>
          <w:color w:val="000000" w:themeColor="text1"/>
          <w:lang w:val="en-US"/>
        </w:rPr>
        <w:tab/>
        <w:t>the appellate proceeding is incompetent or has not been validly commenced;</w:t>
      </w:r>
    </w:p>
    <w:p w14:paraId="5770EDC3" w14:textId="1E8464DB" w:rsidR="00E67DBB" w:rsidRPr="00B40A77" w:rsidRDefault="00E67DBB" w:rsidP="009961A4">
      <w:pPr>
        <w:pStyle w:val="Doublehangindent"/>
        <w:ind w:left="2256"/>
        <w:rPr>
          <w:color w:val="000000" w:themeColor="text1"/>
          <w:lang w:val="en-US"/>
        </w:rPr>
      </w:pPr>
      <w:r w:rsidRPr="00B40A77">
        <w:rPr>
          <w:color w:val="000000" w:themeColor="text1"/>
          <w:lang w:val="en-US"/>
        </w:rPr>
        <w:t>(ii)</w:t>
      </w:r>
      <w:r w:rsidRPr="00B40A77">
        <w:rPr>
          <w:color w:val="000000" w:themeColor="text1"/>
          <w:lang w:val="en-US"/>
        </w:rPr>
        <w:tab/>
        <w:t>none of the grounds has a reasonable prospect of succeeding; or</w:t>
      </w:r>
    </w:p>
    <w:p w14:paraId="225E259D" w14:textId="581DE459" w:rsidR="00E67DBB" w:rsidRPr="00B40A77" w:rsidRDefault="00E67DBB" w:rsidP="009961A4">
      <w:pPr>
        <w:pStyle w:val="Doublehangindent"/>
        <w:ind w:left="2256"/>
        <w:rPr>
          <w:color w:val="000000" w:themeColor="text1"/>
          <w:lang w:val="en-US"/>
        </w:rPr>
      </w:pPr>
      <w:r w:rsidRPr="00B40A77">
        <w:rPr>
          <w:color w:val="000000" w:themeColor="text1"/>
          <w:lang w:val="en-US"/>
        </w:rPr>
        <w:t>(iii)</w:t>
      </w:r>
      <w:r w:rsidRPr="00B40A77">
        <w:rPr>
          <w:color w:val="000000" w:themeColor="text1"/>
          <w:lang w:val="en-US"/>
        </w:rPr>
        <w:tab/>
        <w:t>the appellant has not obeyed these Rules or any order made under them;</w:t>
      </w:r>
    </w:p>
    <w:p w14:paraId="10D5AE5D" w14:textId="69940C85"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f</w:t>
      </w:r>
      <w:r w:rsidRPr="00B40A77">
        <w:rPr>
          <w:color w:val="000000" w:themeColor="text1"/>
          <w:lang w:val="en-US"/>
        </w:rPr>
        <w:t>)</w:t>
      </w:r>
      <w:r w:rsidRPr="00B40A77">
        <w:rPr>
          <w:color w:val="000000" w:themeColor="text1"/>
          <w:lang w:val="en-US"/>
        </w:rPr>
        <w:tab/>
        <w:t xml:space="preserve">striking out any ground that does not have a reasonable prospect of succeeding or does not comply with these </w:t>
      </w:r>
      <w:r w:rsidR="001516FE" w:rsidRPr="00B40A77">
        <w:rPr>
          <w:color w:val="000000" w:themeColor="text1"/>
          <w:lang w:val="en-US"/>
        </w:rPr>
        <w:t>R</w:t>
      </w:r>
      <w:r w:rsidRPr="00B40A77">
        <w:rPr>
          <w:color w:val="000000" w:themeColor="text1"/>
          <w:lang w:val="en-US"/>
        </w:rPr>
        <w:t>ules or any order made under them;</w:t>
      </w:r>
    </w:p>
    <w:p w14:paraId="708ECD58" w14:textId="09232FF1"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g</w:t>
      </w:r>
      <w:r w:rsidRPr="00B40A77">
        <w:rPr>
          <w:color w:val="000000" w:themeColor="text1"/>
          <w:lang w:val="en-US"/>
        </w:rPr>
        <w:t>)</w:t>
      </w:r>
      <w:r w:rsidRPr="00B40A77">
        <w:rPr>
          <w:color w:val="000000" w:themeColor="text1"/>
          <w:lang w:val="en-US"/>
        </w:rPr>
        <w:tab/>
        <w:t xml:space="preserve">barring a respondent from taking part </w:t>
      </w:r>
      <w:r w:rsidR="004E4C00" w:rsidRPr="00B40A77">
        <w:rPr>
          <w:color w:val="000000" w:themeColor="text1"/>
          <w:lang w:val="en-US"/>
        </w:rPr>
        <w:t xml:space="preserve">in </w:t>
      </w:r>
      <w:r w:rsidRPr="00B40A77">
        <w:rPr>
          <w:color w:val="000000" w:themeColor="text1"/>
          <w:lang w:val="en-US"/>
        </w:rPr>
        <w:t>an appellate proceeding if they have not obeyed these Rules or any order made under them;</w:t>
      </w:r>
    </w:p>
    <w:bookmarkEnd w:id="1228"/>
    <w:p w14:paraId="3168A593" w14:textId="25F2F650"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h</w:t>
      </w:r>
      <w:r w:rsidRPr="00B40A77">
        <w:rPr>
          <w:color w:val="000000" w:themeColor="text1"/>
          <w:lang w:val="en-US"/>
        </w:rPr>
        <w:t>)</w:t>
      </w:r>
      <w:r w:rsidRPr="00B40A77">
        <w:rPr>
          <w:color w:val="000000" w:themeColor="text1"/>
          <w:lang w:val="en-US"/>
        </w:rPr>
        <w:tab/>
        <w:t>for the identification of issues in an appellate proceeding;</w:t>
      </w:r>
    </w:p>
    <w:p w14:paraId="16A4D4F1" w14:textId="74E012A8"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i</w:t>
      </w:r>
      <w:r w:rsidRPr="00B40A77">
        <w:rPr>
          <w:color w:val="000000" w:themeColor="text1"/>
          <w:lang w:val="en-US"/>
        </w:rPr>
        <w:t>)</w:t>
      </w:r>
      <w:r w:rsidRPr="00B40A77">
        <w:rPr>
          <w:color w:val="000000" w:themeColor="text1"/>
          <w:lang w:val="en-US"/>
        </w:rPr>
        <w:tab/>
        <w:t xml:space="preserve">for a report to be prepared by the judicial officer who made </w:t>
      </w:r>
      <w:r w:rsidR="00E73E2D" w:rsidRPr="00B40A77">
        <w:rPr>
          <w:color w:val="000000" w:themeColor="text1"/>
          <w:lang w:val="en-US"/>
        </w:rPr>
        <w:t>a</w:t>
      </w:r>
      <w:r w:rsidRPr="00B40A77">
        <w:rPr>
          <w:color w:val="000000" w:themeColor="text1"/>
          <w:lang w:val="en-US"/>
        </w:rPr>
        <w:t xml:space="preserve"> judgment</w:t>
      </w:r>
      <w:r w:rsidR="00E73E2D" w:rsidRPr="00B40A77">
        <w:rPr>
          <w:color w:val="000000" w:themeColor="text1"/>
          <w:lang w:val="en-US"/>
        </w:rPr>
        <w:t>,</w:t>
      </w:r>
      <w:r w:rsidRPr="00B40A77">
        <w:rPr>
          <w:color w:val="000000" w:themeColor="text1"/>
          <w:lang w:val="en-US"/>
        </w:rPr>
        <w:t xml:space="preserve"> order </w:t>
      </w:r>
      <w:r w:rsidR="00E73E2D" w:rsidRPr="00B40A77">
        <w:rPr>
          <w:color w:val="000000" w:themeColor="text1"/>
          <w:lang w:val="en-US"/>
        </w:rPr>
        <w:t xml:space="preserve">or decision </w:t>
      </w:r>
      <w:r w:rsidRPr="00B40A77">
        <w:rPr>
          <w:color w:val="000000" w:themeColor="text1"/>
          <w:lang w:val="en-US"/>
        </w:rPr>
        <w:t>the subject of the appellate proceeding concerning any matter relevant to the appellate proceeding;</w:t>
      </w:r>
    </w:p>
    <w:p w14:paraId="4C89E18A" w14:textId="5338AEB1"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j</w:t>
      </w:r>
      <w:r w:rsidRPr="00B40A77">
        <w:rPr>
          <w:color w:val="000000" w:themeColor="text1"/>
          <w:lang w:val="en-US"/>
        </w:rPr>
        <w:t>)</w:t>
      </w:r>
      <w:r w:rsidRPr="00B40A77">
        <w:rPr>
          <w:color w:val="000000" w:themeColor="text1"/>
          <w:lang w:val="en-US"/>
        </w:rPr>
        <w:tab/>
        <w:t>relating to bail;</w:t>
      </w:r>
    </w:p>
    <w:p w14:paraId="609E499E" w14:textId="3F593755" w:rsidR="00E67DBB" w:rsidRPr="00B40A77" w:rsidRDefault="00E67DBB" w:rsidP="00E67DBB">
      <w:pPr>
        <w:pStyle w:val="Doublehangindent"/>
        <w:rPr>
          <w:color w:val="000000" w:themeColor="text1"/>
          <w:lang w:val="en-US"/>
        </w:rPr>
      </w:pPr>
      <w:r w:rsidRPr="00B40A77">
        <w:rPr>
          <w:color w:val="000000" w:themeColor="text1"/>
          <w:lang w:val="en-US"/>
        </w:rPr>
        <w:lastRenderedPageBreak/>
        <w:t>(</w:t>
      </w:r>
      <w:r w:rsidR="007C44EB" w:rsidRPr="00B40A77">
        <w:rPr>
          <w:color w:val="000000" w:themeColor="text1"/>
          <w:lang w:val="en-US"/>
        </w:rPr>
        <w:t>k</w:t>
      </w:r>
      <w:r w:rsidRPr="00B40A77">
        <w:rPr>
          <w:color w:val="000000" w:themeColor="text1"/>
          <w:lang w:val="en-US"/>
        </w:rPr>
        <w:t>)</w:t>
      </w:r>
      <w:r w:rsidRPr="00B40A77">
        <w:rPr>
          <w:color w:val="000000" w:themeColor="text1"/>
          <w:lang w:val="en-US"/>
        </w:rPr>
        <w:tab/>
        <w:t>relating to the m</w:t>
      </w:r>
      <w:r w:rsidR="007F72AD" w:rsidRPr="00B40A77">
        <w:rPr>
          <w:color w:val="000000" w:themeColor="text1"/>
          <w:lang w:val="en-US"/>
        </w:rPr>
        <w:t>ode of appearance of a person in custody</w:t>
      </w:r>
      <w:r w:rsidRPr="00B40A77">
        <w:rPr>
          <w:color w:val="000000" w:themeColor="text1"/>
          <w:lang w:val="en-US"/>
        </w:rPr>
        <w:t xml:space="preserve"> </w:t>
      </w:r>
      <w:r w:rsidR="007F72AD" w:rsidRPr="00B40A77">
        <w:rPr>
          <w:color w:val="000000" w:themeColor="text1"/>
          <w:lang w:val="en-US"/>
        </w:rPr>
        <w:t xml:space="preserve">or on bail </w:t>
      </w:r>
      <w:r w:rsidRPr="00B40A77">
        <w:rPr>
          <w:color w:val="000000" w:themeColor="text1"/>
          <w:lang w:val="en-US"/>
        </w:rPr>
        <w:t xml:space="preserve">at an </w:t>
      </w:r>
      <w:hyperlink w:anchor="_211.1—Definitions" w:history="1">
        <w:r w:rsidRPr="00B40A77">
          <w:rPr>
            <w:rStyle w:val="Hyperlink"/>
            <w:color w:val="000000" w:themeColor="text1"/>
            <w:lang w:val="en-US"/>
          </w:rPr>
          <w:t>appellate hearing</w:t>
        </w:r>
      </w:hyperlink>
      <w:r w:rsidRPr="00B40A77">
        <w:rPr>
          <w:color w:val="000000" w:themeColor="text1"/>
          <w:lang w:val="en-US"/>
        </w:rPr>
        <w:t>;</w:t>
      </w:r>
    </w:p>
    <w:p w14:paraId="337B0E1D" w14:textId="530F6F51"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l</w:t>
      </w:r>
      <w:r w:rsidRPr="00B40A77">
        <w:rPr>
          <w:color w:val="000000" w:themeColor="text1"/>
          <w:lang w:val="en-US"/>
        </w:rPr>
        <w:t>)</w:t>
      </w:r>
      <w:r w:rsidRPr="00B40A77">
        <w:rPr>
          <w:color w:val="000000" w:themeColor="text1"/>
          <w:lang w:val="en-US"/>
        </w:rPr>
        <w:tab/>
        <w:t>relating to evidence that may be adduced in an appellate proceeding;</w:t>
      </w:r>
    </w:p>
    <w:p w14:paraId="12D92E9A" w14:textId="2B2DB663"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m</w:t>
      </w:r>
      <w:r w:rsidRPr="00B40A77">
        <w:rPr>
          <w:color w:val="000000" w:themeColor="text1"/>
          <w:lang w:val="en-US"/>
        </w:rPr>
        <w:t>)</w:t>
      </w:r>
      <w:r w:rsidRPr="00B40A77">
        <w:rPr>
          <w:color w:val="000000" w:themeColor="text1"/>
          <w:lang w:val="en-US"/>
        </w:rPr>
        <w:tab/>
        <w:t>for the conduct of and preparation for hearing of an appellate proceeding;</w:t>
      </w:r>
    </w:p>
    <w:p w14:paraId="30DD8909" w14:textId="5CAC8222"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n</w:t>
      </w:r>
      <w:r w:rsidRPr="00B40A77">
        <w:rPr>
          <w:color w:val="000000" w:themeColor="text1"/>
          <w:lang w:val="en-US"/>
        </w:rPr>
        <w:t>)</w:t>
      </w:r>
      <w:r w:rsidRPr="00B40A77">
        <w:rPr>
          <w:color w:val="000000" w:themeColor="text1"/>
          <w:lang w:val="en-US"/>
        </w:rPr>
        <w:tab/>
        <w:t xml:space="preserve">listing an appellate proceeding, application for leave to appeal, application for an extension of time to appeal or any other application or issue for hearing before the </w:t>
      </w:r>
      <w:hyperlink w:anchor="_2.1—Definitions" w:history="1">
        <w:r w:rsidR="00350C21" w:rsidRPr="00B40A77">
          <w:rPr>
            <w:rStyle w:val="Hyperlink"/>
            <w:color w:val="000000" w:themeColor="text1"/>
            <w:lang w:val="en-US"/>
          </w:rPr>
          <w:t>Court of Appeal</w:t>
        </w:r>
      </w:hyperlink>
      <w:r w:rsidR="007F72AD" w:rsidRPr="00B40A77">
        <w:rPr>
          <w:color w:val="000000" w:themeColor="text1"/>
          <w:lang w:val="en-US"/>
        </w:rPr>
        <w:t>;</w:t>
      </w:r>
    </w:p>
    <w:p w14:paraId="3DDEF5DC" w14:textId="61092C6A"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o</w:t>
      </w:r>
      <w:r w:rsidRPr="00B40A77">
        <w:rPr>
          <w:color w:val="000000" w:themeColor="text1"/>
          <w:lang w:val="en-US"/>
        </w:rPr>
        <w:t>)</w:t>
      </w:r>
      <w:r w:rsidRPr="00B40A77">
        <w:rPr>
          <w:color w:val="000000" w:themeColor="text1"/>
          <w:lang w:val="en-US"/>
        </w:rPr>
        <w:tab/>
        <w:t xml:space="preserve">fixing or modifying the time for parties to take a </w:t>
      </w:r>
      <w:hyperlink w:anchor="_2.1—Definitions" w:history="1">
        <w:r w:rsidRPr="00B40A77">
          <w:rPr>
            <w:rStyle w:val="Hyperlink"/>
            <w:color w:val="000000" w:themeColor="text1"/>
            <w:lang w:val="en-US"/>
          </w:rPr>
          <w:t>step</w:t>
        </w:r>
      </w:hyperlink>
      <w:r w:rsidRPr="00B40A77">
        <w:rPr>
          <w:color w:val="000000" w:themeColor="text1"/>
          <w:lang w:val="en-US"/>
        </w:rPr>
        <w:t xml:space="preserve"> in an appellate proceeding;</w:t>
      </w:r>
      <w:r w:rsidR="0093176F" w:rsidRPr="00B40A77">
        <w:rPr>
          <w:color w:val="000000" w:themeColor="text1"/>
          <w:lang w:val="en-US"/>
        </w:rPr>
        <w:t> </w:t>
      </w:r>
      <w:r w:rsidRPr="00B40A77">
        <w:rPr>
          <w:color w:val="000000" w:themeColor="text1"/>
          <w:lang w:val="en-US"/>
        </w:rPr>
        <w:t>or</w:t>
      </w:r>
    </w:p>
    <w:p w14:paraId="26085FBC" w14:textId="5C925E67" w:rsidR="00E67DBB" w:rsidRPr="00B40A77" w:rsidRDefault="00E67DBB" w:rsidP="00E67DBB">
      <w:pPr>
        <w:pStyle w:val="Doublehangindent"/>
        <w:rPr>
          <w:color w:val="000000" w:themeColor="text1"/>
          <w:lang w:val="en-US"/>
        </w:rPr>
      </w:pPr>
      <w:r w:rsidRPr="00B40A77">
        <w:rPr>
          <w:color w:val="000000" w:themeColor="text1"/>
          <w:lang w:val="en-US"/>
        </w:rPr>
        <w:t>(</w:t>
      </w:r>
      <w:r w:rsidR="007C44EB" w:rsidRPr="00B40A77">
        <w:rPr>
          <w:color w:val="000000" w:themeColor="text1"/>
          <w:lang w:val="en-US"/>
        </w:rPr>
        <w:t>p</w:t>
      </w:r>
      <w:r w:rsidRPr="00B40A77">
        <w:rPr>
          <w:color w:val="000000" w:themeColor="text1"/>
          <w:lang w:val="en-US"/>
        </w:rPr>
        <w:t>)</w:t>
      </w:r>
      <w:r w:rsidRPr="00B40A77">
        <w:rPr>
          <w:color w:val="000000" w:themeColor="text1"/>
          <w:lang w:val="en-US"/>
        </w:rPr>
        <w:tab/>
        <w:t>modifying or enforcing compliance with these Rules.</w:t>
      </w:r>
    </w:p>
    <w:p w14:paraId="2A4D7E59" w14:textId="77777777" w:rsidR="00E67DBB" w:rsidRPr="00B40A77" w:rsidRDefault="00E67DBB" w:rsidP="00E67DBB">
      <w:pPr>
        <w:pStyle w:val="Hangindent"/>
        <w:keepNext/>
        <w:keepLines/>
        <w:rPr>
          <w:color w:val="000000" w:themeColor="text1"/>
          <w:lang w:val="en-US"/>
        </w:rPr>
      </w:pPr>
      <w:r w:rsidRPr="00B40A77">
        <w:rPr>
          <w:color w:val="000000" w:themeColor="text1"/>
          <w:lang w:val="en-US"/>
        </w:rPr>
        <w:t>(3)</w:t>
      </w:r>
      <w:r w:rsidRPr="00B40A77">
        <w:rPr>
          <w:color w:val="000000" w:themeColor="text1"/>
          <w:lang w:val="en-US"/>
        </w:rPr>
        <w:tab/>
        <w:t>A Judge hearing an application under this rule may receive and hear evidence for the purpose of determining the application.</w:t>
      </w:r>
    </w:p>
    <w:p w14:paraId="79F4E802" w14:textId="2829512B" w:rsidR="00E67DBB" w:rsidRPr="00B40A77" w:rsidRDefault="00E67DBB" w:rsidP="00E67DBB">
      <w:pPr>
        <w:pStyle w:val="Hangindent"/>
        <w:keepNext/>
        <w:keepLines/>
        <w:rPr>
          <w:color w:val="000000" w:themeColor="text1"/>
          <w:lang w:val="en-US"/>
        </w:rPr>
      </w:pPr>
      <w:r w:rsidRPr="00B40A77">
        <w:rPr>
          <w:color w:val="000000" w:themeColor="text1"/>
          <w:lang w:val="en-US"/>
        </w:rPr>
        <w:t>(4)</w:t>
      </w:r>
      <w:r w:rsidRPr="00B40A77">
        <w:rPr>
          <w:color w:val="000000" w:themeColor="text1"/>
          <w:lang w:val="en-US"/>
        </w:rPr>
        <w:tab/>
        <w:t xml:space="preserve">The powers referred to in this rule may, if the </w:t>
      </w:r>
      <w:hyperlink w:anchor="_2.1—Definitions" w:history="1">
        <w:r w:rsidR="00350C21" w:rsidRPr="00B40A77">
          <w:rPr>
            <w:rStyle w:val="Hyperlink"/>
            <w:color w:val="000000" w:themeColor="text1"/>
            <w:lang w:val="en-US"/>
          </w:rPr>
          <w:t>Court of Appeal</w:t>
        </w:r>
      </w:hyperlink>
      <w:r w:rsidR="001516FE" w:rsidRPr="00B40A77">
        <w:rPr>
          <w:color w:val="000000" w:themeColor="text1"/>
          <w:lang w:val="en-US"/>
        </w:rPr>
        <w:t xml:space="preserve"> </w:t>
      </w:r>
      <w:r w:rsidRPr="00B40A77">
        <w:rPr>
          <w:color w:val="000000" w:themeColor="text1"/>
          <w:lang w:val="en-US"/>
        </w:rPr>
        <w:t xml:space="preserve">(constituted under </w:t>
      </w:r>
      <w:hyperlink w:anchor="_212.4—Constitution_of_Full" w:history="1">
        <w:r w:rsidRPr="00B40A77">
          <w:rPr>
            <w:rStyle w:val="Hyperlink"/>
            <w:color w:val="000000" w:themeColor="text1"/>
            <w:lang w:val="en-US"/>
          </w:rPr>
          <w:t>rule</w:t>
        </w:r>
        <w:r w:rsidR="0058749D" w:rsidRPr="00B40A77">
          <w:rPr>
            <w:rStyle w:val="Hyperlink"/>
            <w:color w:val="000000" w:themeColor="text1"/>
            <w:lang w:val="en-US"/>
          </w:rPr>
          <w:t> </w:t>
        </w:r>
        <w:r w:rsidRPr="00B40A77">
          <w:rPr>
            <w:rStyle w:val="Hyperlink"/>
            <w:color w:val="000000" w:themeColor="text1"/>
            <w:lang w:val="en-US"/>
          </w:rPr>
          <w:t>192.3</w:t>
        </w:r>
      </w:hyperlink>
      <w:r w:rsidRPr="00B40A77">
        <w:rPr>
          <w:color w:val="000000" w:themeColor="text1"/>
          <w:lang w:val="en-US"/>
        </w:rPr>
        <w:t xml:space="preserve">) thinks fit, be exercised by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w:t>
      </w:r>
    </w:p>
    <w:p w14:paraId="3F22A80E" w14:textId="15ACD5AC" w:rsidR="00DA2532" w:rsidRPr="00B40A77" w:rsidRDefault="00F76788" w:rsidP="00DA2532">
      <w:pPr>
        <w:pStyle w:val="Heading4"/>
        <w:rPr>
          <w:color w:val="000000" w:themeColor="text1"/>
        </w:rPr>
      </w:pPr>
      <w:bookmarkStart w:id="1229" w:name="_Toc175239411"/>
      <w:r w:rsidRPr="00B40A77">
        <w:rPr>
          <w:color w:val="000000" w:themeColor="text1"/>
        </w:rPr>
        <w:t>201</w:t>
      </w:r>
      <w:r w:rsidR="001A1DE4" w:rsidRPr="00B40A77">
        <w:rPr>
          <w:color w:val="000000" w:themeColor="text1"/>
        </w:rPr>
        <w:t>.2</w:t>
      </w:r>
      <w:r w:rsidR="00DA2532" w:rsidRPr="00B40A77">
        <w:rPr>
          <w:color w:val="000000" w:themeColor="text1"/>
        </w:rPr>
        <w:t>—Reh</w:t>
      </w:r>
      <w:r w:rsidR="001A1DE4" w:rsidRPr="00B40A77">
        <w:rPr>
          <w:color w:val="000000" w:themeColor="text1"/>
        </w:rPr>
        <w:t>earing if Judge refuses application for leave or extension of time to appeal</w:t>
      </w:r>
      <w:bookmarkEnd w:id="1229"/>
    </w:p>
    <w:p w14:paraId="2F9603C5" w14:textId="541B9FCF" w:rsidR="00DA2532" w:rsidRPr="00B40A77" w:rsidRDefault="00DA2532" w:rsidP="00DA2532">
      <w:pPr>
        <w:pStyle w:val="Hangindent"/>
        <w:rPr>
          <w:color w:val="000000" w:themeColor="text1"/>
          <w:lang w:val="en-US"/>
        </w:rPr>
      </w:pPr>
      <w:r w:rsidRPr="00B40A77">
        <w:rPr>
          <w:color w:val="000000" w:themeColor="text1"/>
          <w:lang w:val="en-US"/>
        </w:rPr>
        <w:t>(1)</w:t>
      </w:r>
      <w:r w:rsidRPr="00B40A77">
        <w:rPr>
          <w:color w:val="000000" w:themeColor="text1"/>
          <w:lang w:val="en-US"/>
        </w:rPr>
        <w:tab/>
        <w:t xml:space="preserve">This rule applies if a </w:t>
      </w:r>
      <w:r w:rsidR="00710C38" w:rsidRPr="00B40A77">
        <w:rPr>
          <w:color w:val="000000" w:themeColor="text1"/>
        </w:rPr>
        <w:t>Judge</w:t>
      </w:r>
      <w:r w:rsidRPr="00B40A77">
        <w:rPr>
          <w:color w:val="000000" w:themeColor="text1"/>
          <w:lang w:val="en-US"/>
        </w:rPr>
        <w:t xml:space="preserve"> refuses an </w:t>
      </w:r>
      <w:r w:rsidR="001A1DE4" w:rsidRPr="00B40A77">
        <w:rPr>
          <w:color w:val="000000" w:themeColor="text1"/>
          <w:lang w:val="en-US"/>
        </w:rPr>
        <w:t>application for leave to appeal or</w:t>
      </w:r>
      <w:r w:rsidRPr="00B40A77">
        <w:rPr>
          <w:color w:val="000000" w:themeColor="text1"/>
          <w:lang w:val="en-US"/>
        </w:rPr>
        <w:t xml:space="preserve"> an extension of time to appeal</w:t>
      </w:r>
      <w:r w:rsidR="001A1DE4" w:rsidRPr="00B40A77">
        <w:rPr>
          <w:color w:val="000000" w:themeColor="text1"/>
          <w:lang w:val="en-US"/>
        </w:rPr>
        <w:t xml:space="preserve"> under </w:t>
      </w:r>
      <w:hyperlink w:anchor="_201.1—Interlocutory_orders" w:history="1">
        <w:r w:rsidR="001A1DE4" w:rsidRPr="00B40A77">
          <w:rPr>
            <w:rStyle w:val="Hyperlink"/>
            <w:color w:val="000000" w:themeColor="text1"/>
            <w:lang w:val="en-US"/>
          </w:rPr>
          <w:t>rule 20</w:t>
        </w:r>
        <w:r w:rsidR="0058749D" w:rsidRPr="00B40A77">
          <w:rPr>
            <w:rStyle w:val="Hyperlink"/>
            <w:color w:val="000000" w:themeColor="text1"/>
            <w:lang w:val="en-US"/>
          </w:rPr>
          <w:t>1</w:t>
        </w:r>
        <w:r w:rsidR="001A1DE4" w:rsidRPr="00B40A77">
          <w:rPr>
            <w:rStyle w:val="Hyperlink"/>
            <w:color w:val="000000" w:themeColor="text1"/>
            <w:lang w:val="en-US"/>
          </w:rPr>
          <w:t>.1</w:t>
        </w:r>
      </w:hyperlink>
      <w:r w:rsidRPr="00B40A77">
        <w:rPr>
          <w:color w:val="000000" w:themeColor="text1"/>
          <w:lang w:val="en-US"/>
        </w:rPr>
        <w:t>.</w:t>
      </w:r>
    </w:p>
    <w:p w14:paraId="291B5883" w14:textId="763C783F" w:rsidR="00DA2532" w:rsidRPr="00B40A77" w:rsidRDefault="00DA2532" w:rsidP="001103F0">
      <w:pPr>
        <w:pStyle w:val="Hangindent"/>
        <w:keepNext/>
        <w:rPr>
          <w:color w:val="000000" w:themeColor="text1"/>
          <w:lang w:val="en-US"/>
        </w:rPr>
      </w:pPr>
      <w:r w:rsidRPr="00B40A77">
        <w:rPr>
          <w:color w:val="000000" w:themeColor="text1"/>
          <w:lang w:val="en-US"/>
        </w:rPr>
        <w:t>(2)</w:t>
      </w:r>
      <w:r w:rsidRPr="00B40A77">
        <w:rPr>
          <w:color w:val="000000" w:themeColor="text1"/>
          <w:lang w:val="en-US"/>
        </w:rPr>
        <w:tab/>
        <w:t xml:space="preserve">The </w:t>
      </w:r>
      <w:r w:rsidRPr="00B40A77">
        <w:rPr>
          <w:color w:val="000000" w:themeColor="text1"/>
          <w:u w:val="single"/>
          <w:lang w:val="en-US"/>
        </w:rPr>
        <w:t>Registrar</w:t>
      </w:r>
      <w:r w:rsidRPr="00B40A77">
        <w:rPr>
          <w:color w:val="000000" w:themeColor="text1"/>
          <w:lang w:val="en-US"/>
        </w:rPr>
        <w:t xml:space="preserve"> must </w:t>
      </w:r>
      <w:r w:rsidR="00CE7020" w:rsidRPr="00B40A77">
        <w:rPr>
          <w:color w:val="000000" w:themeColor="text1"/>
          <w:lang w:val="en-US"/>
        </w:rPr>
        <w:t xml:space="preserve">cause </w:t>
      </w:r>
      <w:r w:rsidRPr="00B40A77">
        <w:rPr>
          <w:color w:val="000000" w:themeColor="text1"/>
          <w:lang w:val="en-US"/>
        </w:rPr>
        <w:t xml:space="preserve">the applicant </w:t>
      </w:r>
      <w:r w:rsidR="00CE7020" w:rsidRPr="00B40A77">
        <w:rPr>
          <w:color w:val="000000" w:themeColor="text1"/>
          <w:lang w:val="en-US"/>
        </w:rPr>
        <w:t xml:space="preserve">to be notified </w:t>
      </w:r>
      <w:r w:rsidRPr="00B40A77">
        <w:rPr>
          <w:color w:val="000000" w:themeColor="text1"/>
          <w:lang w:val="en-US"/>
        </w:rPr>
        <w:t xml:space="preserve">of a refusal by a Judge of an application to which this rule applies in the prescribed form. </w:t>
      </w:r>
    </w:p>
    <w:p w14:paraId="191F590F" w14:textId="77777777" w:rsidR="00DA2532" w:rsidRPr="00B40A77" w:rsidRDefault="00DA2532" w:rsidP="001103F0">
      <w:pPr>
        <w:pStyle w:val="NoteHeader"/>
        <w:keepNext/>
        <w:rPr>
          <w:color w:val="000000" w:themeColor="text1"/>
        </w:rPr>
      </w:pPr>
      <w:r w:rsidRPr="00B40A77">
        <w:rPr>
          <w:color w:val="000000" w:themeColor="text1"/>
        </w:rPr>
        <w:t>Prescribed form—</w:t>
      </w:r>
    </w:p>
    <w:p w14:paraId="62A84227" w14:textId="42CEA316" w:rsidR="00DA2532" w:rsidRPr="00B40A77" w:rsidRDefault="00DA2532" w:rsidP="00DA2532">
      <w:pPr>
        <w:pStyle w:val="NoteText"/>
        <w:rPr>
          <w:color w:val="000000" w:themeColor="text1"/>
          <w:lang w:val="en-US"/>
        </w:rPr>
      </w:pPr>
      <w:r w:rsidRPr="00B40A77">
        <w:rPr>
          <w:color w:val="000000" w:themeColor="text1"/>
        </w:rPr>
        <w:t>Form 18</w:t>
      </w:r>
      <w:r w:rsidR="00F64887" w:rsidRPr="00B40A77">
        <w:rPr>
          <w:color w:val="000000" w:themeColor="text1"/>
        </w:rPr>
        <w:t>9</w:t>
      </w:r>
      <w:r w:rsidRPr="00B40A77">
        <w:rPr>
          <w:color w:val="000000" w:themeColor="text1"/>
        </w:rPr>
        <w:t xml:space="preserve"> </w:t>
      </w:r>
      <w:hyperlink r:id="rId429" w:history="1">
        <w:r w:rsidRPr="00B40A77">
          <w:rPr>
            <w:rStyle w:val="Hyperlink"/>
            <w:color w:val="000000" w:themeColor="text1"/>
          </w:rPr>
          <w:t>Notice of Judge’s Decision to Refuse Application</w:t>
        </w:r>
      </w:hyperlink>
    </w:p>
    <w:p w14:paraId="6BFECABA" w14:textId="0C53697F" w:rsidR="00DA2532" w:rsidRPr="00B40A77" w:rsidRDefault="00DA2532" w:rsidP="001103F0">
      <w:pPr>
        <w:pStyle w:val="Hangindent"/>
        <w:keepNext/>
        <w:rPr>
          <w:color w:val="000000" w:themeColor="text1"/>
          <w:lang w:val="en-US"/>
        </w:rPr>
      </w:pPr>
      <w:r w:rsidRPr="00B40A77">
        <w:rPr>
          <w:color w:val="000000" w:themeColor="text1"/>
          <w:lang w:val="en-US"/>
        </w:rPr>
        <w:t>(3)</w:t>
      </w:r>
      <w:r w:rsidRPr="00B40A77">
        <w:rPr>
          <w:color w:val="000000" w:themeColor="text1"/>
          <w:lang w:val="en-US"/>
        </w:rPr>
        <w:tab/>
        <w:t xml:space="preserve">The applicant may, within </w:t>
      </w:r>
      <w:r w:rsidR="00E617D9" w:rsidRPr="00B40A77">
        <w:rPr>
          <w:color w:val="000000" w:themeColor="text1"/>
          <w:lang w:val="en-US"/>
        </w:rPr>
        <w:t>14</w:t>
      </w:r>
      <w:r w:rsidRPr="00B40A77">
        <w:rPr>
          <w:color w:val="000000" w:themeColor="text1"/>
          <w:lang w:val="en-US"/>
        </w:rPr>
        <w:t xml:space="preserve"> days after the date of the notice referred to in subrule</w:t>
      </w:r>
      <w:r w:rsidR="00A21B36" w:rsidRPr="00B40A77">
        <w:rPr>
          <w:color w:val="000000" w:themeColor="text1"/>
          <w:lang w:val="en-US"/>
        </w:rPr>
        <w:t> </w:t>
      </w:r>
      <w:r w:rsidRPr="00B40A77">
        <w:rPr>
          <w:color w:val="000000" w:themeColor="text1"/>
          <w:lang w:val="en-US"/>
        </w:rPr>
        <w:t xml:space="preserve">(2), request that the application be referred to the </w:t>
      </w:r>
      <w:hyperlink w:anchor="_2.1—Definitions" w:history="1">
        <w:r w:rsidR="00350C21" w:rsidRPr="00B40A77">
          <w:rPr>
            <w:rStyle w:val="Hyperlink"/>
            <w:color w:val="000000" w:themeColor="text1"/>
            <w:lang w:val="en-US"/>
          </w:rPr>
          <w:t>Court of Appeal</w:t>
        </w:r>
      </w:hyperlink>
      <w:r w:rsidRPr="00B40A77">
        <w:rPr>
          <w:color w:val="000000" w:themeColor="text1"/>
          <w:lang w:val="en-US"/>
        </w:rPr>
        <w:t xml:space="preserve"> </w:t>
      </w:r>
      <w:r w:rsidR="00842152" w:rsidRPr="00B40A77">
        <w:rPr>
          <w:color w:val="000000" w:themeColor="text1"/>
          <w:lang w:val="en-US"/>
        </w:rPr>
        <w:t xml:space="preserve">constituted of two or three members </w:t>
      </w:r>
      <w:r w:rsidRPr="00B40A77">
        <w:rPr>
          <w:color w:val="000000" w:themeColor="text1"/>
          <w:lang w:val="en-US"/>
        </w:rPr>
        <w:t>by filing an application in the prescribed form.</w:t>
      </w:r>
    </w:p>
    <w:p w14:paraId="28B42560" w14:textId="77777777" w:rsidR="00DA2532" w:rsidRPr="00B40A77" w:rsidRDefault="00DA2532" w:rsidP="001103F0">
      <w:pPr>
        <w:pStyle w:val="NoteHeader"/>
        <w:keepNext/>
        <w:rPr>
          <w:color w:val="000000" w:themeColor="text1"/>
        </w:rPr>
      </w:pPr>
      <w:r w:rsidRPr="00B40A77">
        <w:rPr>
          <w:color w:val="000000" w:themeColor="text1"/>
        </w:rPr>
        <w:t>Prescribed form—</w:t>
      </w:r>
    </w:p>
    <w:p w14:paraId="220AAB9E" w14:textId="7702F331" w:rsidR="00DA2532" w:rsidRPr="00B40A77" w:rsidRDefault="00DA2532" w:rsidP="00DA2532">
      <w:pPr>
        <w:pStyle w:val="NoteText"/>
        <w:rPr>
          <w:color w:val="000000" w:themeColor="text1"/>
          <w:lang w:val="en-US"/>
        </w:rPr>
      </w:pPr>
      <w:r w:rsidRPr="00B40A77">
        <w:rPr>
          <w:color w:val="000000" w:themeColor="text1"/>
        </w:rPr>
        <w:t>Form 1</w:t>
      </w:r>
      <w:r w:rsidR="00F64887" w:rsidRPr="00B40A77">
        <w:rPr>
          <w:color w:val="000000" w:themeColor="text1"/>
        </w:rPr>
        <w:t>90</w:t>
      </w:r>
      <w:r w:rsidRPr="00B40A77">
        <w:rPr>
          <w:color w:val="000000" w:themeColor="text1"/>
        </w:rPr>
        <w:t xml:space="preserve"> </w:t>
      </w:r>
      <w:hyperlink r:id="rId430" w:history="1">
        <w:r w:rsidRPr="00B40A77">
          <w:rPr>
            <w:rStyle w:val="Hyperlink"/>
            <w:color w:val="000000" w:themeColor="text1"/>
          </w:rPr>
          <w:t xml:space="preserve">Application for </w:t>
        </w:r>
        <w:r w:rsidR="00F64887" w:rsidRPr="00B40A77">
          <w:rPr>
            <w:rStyle w:val="Hyperlink"/>
            <w:color w:val="000000" w:themeColor="text1"/>
          </w:rPr>
          <w:t>D</w:t>
        </w:r>
        <w:r w:rsidRPr="00B40A77">
          <w:rPr>
            <w:rStyle w:val="Hyperlink"/>
            <w:color w:val="000000" w:themeColor="text1"/>
          </w:rPr>
          <w:t>etermination by Court of Appeal</w:t>
        </w:r>
      </w:hyperlink>
    </w:p>
    <w:p w14:paraId="615E53FC" w14:textId="473898A2" w:rsidR="00A21B36" w:rsidRPr="00B40A77" w:rsidRDefault="00842152" w:rsidP="00842152">
      <w:pPr>
        <w:pStyle w:val="Hangindent"/>
        <w:rPr>
          <w:color w:val="000000" w:themeColor="text1"/>
          <w:lang w:val="en-US"/>
        </w:rPr>
      </w:pPr>
      <w:r w:rsidRPr="00B40A77">
        <w:rPr>
          <w:color w:val="000000" w:themeColor="text1"/>
          <w:lang w:val="en-US"/>
        </w:rPr>
        <w:t>(4</w:t>
      </w:r>
      <w:r w:rsidR="00DA2532" w:rsidRPr="00B40A77">
        <w:rPr>
          <w:color w:val="000000" w:themeColor="text1"/>
          <w:lang w:val="en-US"/>
        </w:rPr>
        <w:t>)</w:t>
      </w:r>
      <w:r w:rsidR="00DA2532" w:rsidRPr="00B40A77">
        <w:rPr>
          <w:color w:val="000000" w:themeColor="text1"/>
          <w:lang w:val="en-US"/>
        </w:rPr>
        <w:tab/>
        <w:t xml:space="preserve">The Court </w:t>
      </w:r>
      <w:r w:rsidRPr="00B40A77">
        <w:rPr>
          <w:color w:val="000000" w:themeColor="text1"/>
          <w:lang w:val="en-US"/>
        </w:rPr>
        <w:t xml:space="preserve">may make orders under </w:t>
      </w:r>
      <w:hyperlink w:anchor="_201.1—Interlocutory_orders" w:history="1">
        <w:r w:rsidR="00027777" w:rsidRPr="00B40A77">
          <w:rPr>
            <w:rStyle w:val="Hyperlink"/>
            <w:color w:val="000000" w:themeColor="text1"/>
            <w:lang w:val="en-US"/>
          </w:rPr>
          <w:t>rule 201.1</w:t>
        </w:r>
      </w:hyperlink>
      <w:r w:rsidR="00DA2532" w:rsidRPr="00B40A77">
        <w:rPr>
          <w:color w:val="000000" w:themeColor="text1"/>
          <w:lang w:val="en-US"/>
        </w:rPr>
        <w:t xml:space="preserve"> relating to the hearing and determination of an application </w:t>
      </w:r>
      <w:r w:rsidR="00A21B36" w:rsidRPr="00B40A77">
        <w:rPr>
          <w:color w:val="000000" w:themeColor="text1"/>
          <w:lang w:val="en-US"/>
        </w:rPr>
        <w:t>the subject of a request under subrule</w:t>
      </w:r>
      <w:r w:rsidR="00C42A0C" w:rsidRPr="00B40A77">
        <w:rPr>
          <w:color w:val="000000" w:themeColor="text1"/>
          <w:lang w:val="en-US"/>
        </w:rPr>
        <w:t> </w:t>
      </w:r>
      <w:r w:rsidR="00A21B36" w:rsidRPr="00B40A77">
        <w:rPr>
          <w:color w:val="000000" w:themeColor="text1"/>
          <w:lang w:val="en-US"/>
        </w:rPr>
        <w:t xml:space="preserve">(3) </w:t>
      </w:r>
      <w:r w:rsidR="00DA2532" w:rsidRPr="00B40A77">
        <w:rPr>
          <w:color w:val="000000" w:themeColor="text1"/>
          <w:lang w:val="en-US"/>
        </w:rPr>
        <w:t>for</w:t>
      </w:r>
      <w:r w:rsidR="00A21B36" w:rsidRPr="00B40A77">
        <w:rPr>
          <w:color w:val="000000" w:themeColor="text1"/>
        </w:rPr>
        <w:t>—</w:t>
      </w:r>
    </w:p>
    <w:p w14:paraId="5467589F" w14:textId="766546F6" w:rsidR="00A21B36" w:rsidRPr="00B40A77" w:rsidRDefault="00A21B36" w:rsidP="00A21B36">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DA2532" w:rsidRPr="00B40A77">
        <w:rPr>
          <w:color w:val="000000" w:themeColor="text1"/>
          <w:lang w:val="en-US"/>
        </w:rPr>
        <w:t>leave to appeal</w:t>
      </w:r>
      <w:r w:rsidRPr="00B40A77">
        <w:rPr>
          <w:color w:val="000000" w:themeColor="text1"/>
          <w:lang w:val="en-US"/>
        </w:rPr>
        <w:t>;</w:t>
      </w:r>
      <w:r w:rsidR="00DA2532" w:rsidRPr="00B40A77">
        <w:rPr>
          <w:color w:val="000000" w:themeColor="text1"/>
          <w:lang w:val="en-US"/>
        </w:rPr>
        <w:t xml:space="preserve"> or</w:t>
      </w:r>
    </w:p>
    <w:p w14:paraId="08D9A464" w14:textId="1C32CA8B" w:rsidR="00DA2532" w:rsidRPr="00B40A77" w:rsidRDefault="00A21B36" w:rsidP="00A21B36">
      <w:pPr>
        <w:pStyle w:val="Doublehangindent"/>
        <w:rPr>
          <w:color w:val="000000" w:themeColor="text1"/>
        </w:rPr>
      </w:pPr>
      <w:r w:rsidRPr="00B40A77">
        <w:rPr>
          <w:color w:val="000000" w:themeColor="text1"/>
          <w:lang w:val="en-US"/>
        </w:rPr>
        <w:t>(b)</w:t>
      </w:r>
      <w:r w:rsidRPr="00B40A77">
        <w:rPr>
          <w:color w:val="000000" w:themeColor="text1"/>
          <w:lang w:val="en-US"/>
        </w:rPr>
        <w:tab/>
      </w:r>
      <w:r w:rsidR="00DA2532" w:rsidRPr="00B40A77">
        <w:rPr>
          <w:color w:val="000000" w:themeColor="text1"/>
          <w:lang w:val="en-US"/>
        </w:rPr>
        <w:t>an extension of time to appeal.</w:t>
      </w:r>
    </w:p>
    <w:p w14:paraId="14BABDD1" w14:textId="3B125321" w:rsidR="00AF3BB2" w:rsidRPr="00B40A77" w:rsidRDefault="00F76788" w:rsidP="00AF3BB2">
      <w:pPr>
        <w:pStyle w:val="Heading4"/>
        <w:rPr>
          <w:color w:val="000000" w:themeColor="text1"/>
        </w:rPr>
      </w:pPr>
      <w:bookmarkStart w:id="1230" w:name="_201.3—Amendment_of_appellate"/>
      <w:bookmarkStart w:id="1231" w:name="_Toc175239412"/>
      <w:bookmarkEnd w:id="1230"/>
      <w:r w:rsidRPr="00B40A77">
        <w:rPr>
          <w:color w:val="000000" w:themeColor="text1"/>
        </w:rPr>
        <w:t>201</w:t>
      </w:r>
      <w:r w:rsidR="002D1A84" w:rsidRPr="00B40A77">
        <w:rPr>
          <w:color w:val="000000" w:themeColor="text1"/>
        </w:rPr>
        <w:t>.</w:t>
      </w:r>
      <w:r w:rsidR="003B575B" w:rsidRPr="00B40A77">
        <w:rPr>
          <w:color w:val="000000" w:themeColor="text1"/>
        </w:rPr>
        <w:t>3</w:t>
      </w:r>
      <w:r w:rsidR="00AF3BB2" w:rsidRPr="00B40A77">
        <w:rPr>
          <w:color w:val="000000" w:themeColor="text1"/>
        </w:rPr>
        <w:t>—Amendment of appellate document</w:t>
      </w:r>
      <w:bookmarkEnd w:id="1231"/>
    </w:p>
    <w:p w14:paraId="2C7AA467" w14:textId="6144662D" w:rsidR="00AF3BB2" w:rsidRPr="00B40A77" w:rsidRDefault="00AF3BB2" w:rsidP="00E73E2D">
      <w:pPr>
        <w:pStyle w:val="Hangindent"/>
        <w:ind w:left="567" w:firstLine="0"/>
        <w:rPr>
          <w:rFonts w:cs="Times New Roman"/>
          <w:color w:val="000000" w:themeColor="text1"/>
        </w:rPr>
      </w:pPr>
      <w:r w:rsidRPr="00B40A77">
        <w:rPr>
          <w:rFonts w:cs="Times New Roman"/>
          <w:color w:val="000000" w:themeColor="text1"/>
        </w:rPr>
        <w:t xml:space="preserve">A party may amend an </w:t>
      </w:r>
      <w:hyperlink w:anchor="_211.1—Definitions" w:history="1">
        <w:r w:rsidRPr="00B40A77">
          <w:rPr>
            <w:rStyle w:val="Hyperlink"/>
            <w:rFonts w:cs="Times New Roman"/>
            <w:color w:val="000000" w:themeColor="text1"/>
          </w:rPr>
          <w:t>appellate document</w:t>
        </w:r>
      </w:hyperlink>
      <w:r w:rsidRPr="00B40A77">
        <w:rPr>
          <w:rFonts w:cs="Times New Roman"/>
          <w:color w:val="000000" w:themeColor="text1"/>
        </w:rPr>
        <w:t xml:space="preserve"> (including to introduce an additional party</w:t>
      </w:r>
      <w:r w:rsidR="009B55F0" w:rsidRPr="00B40A77">
        <w:rPr>
          <w:rFonts w:cs="Times New Roman"/>
          <w:color w:val="000000" w:themeColor="text1"/>
        </w:rPr>
        <w:t xml:space="preserve"> into an appellate proceeding) </w:t>
      </w:r>
      <w:r w:rsidRPr="00B40A77">
        <w:rPr>
          <w:rFonts w:cs="Times New Roman"/>
          <w:color w:val="000000" w:themeColor="text1"/>
        </w:rPr>
        <w:t>with leave of the Court.</w:t>
      </w:r>
    </w:p>
    <w:p w14:paraId="11374D7A" w14:textId="6709BF3B" w:rsidR="007C1D52" w:rsidRPr="00B40A77" w:rsidRDefault="00F76788" w:rsidP="00FB1DF9">
      <w:pPr>
        <w:pStyle w:val="Heading4"/>
        <w:rPr>
          <w:color w:val="000000" w:themeColor="text1"/>
        </w:rPr>
      </w:pPr>
      <w:bookmarkStart w:id="1232" w:name="_Toc175239413"/>
      <w:bookmarkStart w:id="1233" w:name="_Hlk71052369"/>
      <w:r w:rsidRPr="00B40A77">
        <w:rPr>
          <w:color w:val="000000" w:themeColor="text1"/>
        </w:rPr>
        <w:t>201</w:t>
      </w:r>
      <w:r w:rsidR="00F25F45" w:rsidRPr="00B40A77">
        <w:rPr>
          <w:color w:val="000000" w:themeColor="text1"/>
        </w:rPr>
        <w:t>.</w:t>
      </w:r>
      <w:r w:rsidR="003B575B" w:rsidRPr="00B40A77">
        <w:rPr>
          <w:color w:val="000000" w:themeColor="text1"/>
        </w:rPr>
        <w:t>4</w:t>
      </w:r>
      <w:r w:rsidR="007C1D52" w:rsidRPr="00B40A77">
        <w:rPr>
          <w:color w:val="000000" w:themeColor="text1"/>
        </w:rPr>
        <w:t>—Report of trial Judge</w:t>
      </w:r>
      <w:bookmarkEnd w:id="1232"/>
    </w:p>
    <w:p w14:paraId="11A3FA1E" w14:textId="548A512A" w:rsidR="007C1D52" w:rsidRPr="00B40A77" w:rsidRDefault="007C1D52" w:rsidP="007C1D52">
      <w:pPr>
        <w:pStyle w:val="Hangindent"/>
        <w:rPr>
          <w:color w:val="000000" w:themeColor="text1"/>
          <w:lang w:val="en-US"/>
        </w:rPr>
      </w:pPr>
      <w:r w:rsidRPr="00B40A77">
        <w:rPr>
          <w:color w:val="000000" w:themeColor="text1"/>
          <w:lang w:val="en-US"/>
        </w:rPr>
        <w:t>(1)</w:t>
      </w:r>
      <w:r w:rsidRPr="00B40A77">
        <w:rPr>
          <w:color w:val="000000" w:themeColor="text1"/>
          <w:lang w:val="en-US"/>
        </w:rPr>
        <w:tab/>
      </w:r>
      <w:r w:rsidR="00C70002" w:rsidRPr="00B40A77">
        <w:rPr>
          <w:color w:val="000000" w:themeColor="text1"/>
          <w:lang w:val="en-US"/>
        </w:rPr>
        <w:t>When a notice of appeal</w:t>
      </w:r>
      <w:r w:rsidR="001516FE" w:rsidRPr="00B40A77">
        <w:rPr>
          <w:color w:val="000000" w:themeColor="text1"/>
          <w:lang w:val="en-US"/>
        </w:rPr>
        <w:t>,</w:t>
      </w:r>
      <w:r w:rsidR="00C70002" w:rsidRPr="00B40A77">
        <w:rPr>
          <w:color w:val="000000" w:themeColor="text1"/>
          <w:lang w:val="en-US"/>
        </w:rPr>
        <w:t xml:space="preserve"> </w:t>
      </w:r>
      <w:r w:rsidR="007F72AD" w:rsidRPr="00B40A77">
        <w:rPr>
          <w:color w:val="000000" w:themeColor="text1"/>
          <w:lang w:val="en-US"/>
        </w:rPr>
        <w:t>notice of referral of a petition of mercy</w:t>
      </w:r>
      <w:r w:rsidR="001516FE" w:rsidRPr="00B40A77">
        <w:rPr>
          <w:color w:val="000000" w:themeColor="text1"/>
          <w:lang w:val="en-US"/>
        </w:rPr>
        <w:t xml:space="preserve"> or notice of </w:t>
      </w:r>
      <w:hyperlink w:anchor="_181.1—Definitions" w:history="1">
        <w:r w:rsidR="001A35DB" w:rsidRPr="00B40A77">
          <w:rPr>
            <w:rStyle w:val="Hyperlink"/>
            <w:color w:val="000000" w:themeColor="text1"/>
            <w:lang w:val="en-US"/>
          </w:rPr>
          <w:t>retrial application</w:t>
        </w:r>
      </w:hyperlink>
      <w:r w:rsidR="007F72AD" w:rsidRPr="00B40A77">
        <w:rPr>
          <w:color w:val="000000" w:themeColor="text1"/>
          <w:lang w:val="en-US"/>
        </w:rPr>
        <w:t xml:space="preserve"> </w:t>
      </w:r>
      <w:r w:rsidR="00C70002" w:rsidRPr="00B40A77">
        <w:rPr>
          <w:color w:val="000000" w:themeColor="text1"/>
          <w:lang w:val="en-US"/>
        </w:rPr>
        <w:t>is</w:t>
      </w:r>
      <w:r w:rsidRPr="00B40A77">
        <w:rPr>
          <w:color w:val="000000" w:themeColor="text1"/>
          <w:lang w:val="en-US"/>
        </w:rPr>
        <w:t xml:space="preserve"> filed, 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will </w:t>
      </w:r>
      <w:r w:rsidR="00CE7020" w:rsidRPr="00B40A77">
        <w:rPr>
          <w:color w:val="000000" w:themeColor="text1"/>
          <w:lang w:val="en-US"/>
        </w:rPr>
        <w:t xml:space="preserve">cause an </w:t>
      </w:r>
      <w:r w:rsidRPr="00B40A77">
        <w:rPr>
          <w:color w:val="000000" w:themeColor="text1"/>
          <w:lang w:val="en-US"/>
        </w:rPr>
        <w:t>enquir</w:t>
      </w:r>
      <w:r w:rsidR="00CE7020" w:rsidRPr="00B40A77">
        <w:rPr>
          <w:color w:val="000000" w:themeColor="text1"/>
          <w:lang w:val="en-US"/>
        </w:rPr>
        <w:t>y to be made</w:t>
      </w:r>
      <w:r w:rsidRPr="00B40A77">
        <w:rPr>
          <w:color w:val="000000" w:themeColor="text1"/>
          <w:lang w:val="en-US"/>
        </w:rPr>
        <w:t xml:space="preserve"> of the trial or sentencing Judge or Magistrate</w:t>
      </w:r>
      <w:r w:rsidR="001516FE" w:rsidRPr="00B40A77">
        <w:rPr>
          <w:color w:val="000000" w:themeColor="text1"/>
          <w:lang w:val="en-US"/>
        </w:rPr>
        <w:t xml:space="preserve"> at first instance</w:t>
      </w:r>
      <w:r w:rsidRPr="00B40A77">
        <w:rPr>
          <w:color w:val="000000" w:themeColor="text1"/>
          <w:lang w:val="en-US"/>
        </w:rPr>
        <w:t xml:space="preserve"> </w:t>
      </w:r>
      <w:r w:rsidR="00DA1711" w:rsidRPr="00B40A77">
        <w:rPr>
          <w:color w:val="000000" w:themeColor="text1"/>
          <w:lang w:val="en-US"/>
        </w:rPr>
        <w:t xml:space="preserve">as to </w:t>
      </w:r>
      <w:r w:rsidRPr="00B40A77">
        <w:rPr>
          <w:color w:val="000000" w:themeColor="text1"/>
          <w:lang w:val="en-US"/>
        </w:rPr>
        <w:t xml:space="preserve">whether they wish to provide a </w:t>
      </w:r>
      <w:r w:rsidR="005E1054" w:rsidRPr="00B40A77">
        <w:rPr>
          <w:color w:val="000000" w:themeColor="text1"/>
          <w:lang w:val="en-US"/>
        </w:rPr>
        <w:t xml:space="preserve">written </w:t>
      </w:r>
      <w:r w:rsidRPr="00B40A77">
        <w:rPr>
          <w:color w:val="000000" w:themeColor="text1"/>
          <w:lang w:val="en-US"/>
        </w:rPr>
        <w:t xml:space="preserve">report </w:t>
      </w:r>
      <w:r w:rsidR="007729A0" w:rsidRPr="00B40A77">
        <w:rPr>
          <w:color w:val="000000" w:themeColor="text1"/>
          <w:lang w:val="en-US"/>
        </w:rPr>
        <w:t>concerning any matter relevant to the appellate proceeding</w:t>
      </w:r>
      <w:r w:rsidRPr="00B40A77">
        <w:rPr>
          <w:color w:val="000000" w:themeColor="text1"/>
          <w:lang w:val="en-US"/>
        </w:rPr>
        <w:t>.</w:t>
      </w:r>
    </w:p>
    <w:p w14:paraId="5ABF1E99" w14:textId="5958A38E" w:rsidR="007C1D52" w:rsidRPr="00B40A77" w:rsidRDefault="007C1D52" w:rsidP="007C1D52">
      <w:pPr>
        <w:pStyle w:val="Hangindent"/>
        <w:keepNext/>
        <w:keepLines/>
        <w:rPr>
          <w:color w:val="000000" w:themeColor="text1"/>
          <w:lang w:val="en-US"/>
        </w:rPr>
      </w:pPr>
      <w:r w:rsidRPr="00B40A77">
        <w:rPr>
          <w:color w:val="000000" w:themeColor="text1"/>
          <w:lang w:val="en-US"/>
        </w:rPr>
        <w:lastRenderedPageBreak/>
        <w:t>(2)</w:t>
      </w:r>
      <w:r w:rsidRPr="00B40A77">
        <w:rPr>
          <w:color w:val="000000" w:themeColor="text1"/>
          <w:lang w:val="en-US"/>
        </w:rPr>
        <w:tab/>
        <w:t xml:space="preserve">When the grounds of appeal have been settled, </w:t>
      </w:r>
      <w:r w:rsidR="00625790"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625790" w:rsidRPr="00B40A77">
        <w:rPr>
          <w:color w:val="000000" w:themeColor="text1"/>
          <w:lang w:val="en-US"/>
        </w:rPr>
        <w:t xml:space="preserve"> </w:t>
      </w:r>
      <w:r w:rsidRPr="00B40A77">
        <w:rPr>
          <w:color w:val="000000" w:themeColor="text1"/>
          <w:lang w:val="en-US"/>
        </w:rPr>
        <w:t xml:space="preserve">will </w:t>
      </w:r>
      <w:r w:rsidR="00CE7020" w:rsidRPr="00B40A77">
        <w:rPr>
          <w:color w:val="000000" w:themeColor="text1"/>
          <w:lang w:val="en-US"/>
        </w:rPr>
        <w:t xml:space="preserve">cause an </w:t>
      </w:r>
      <w:r w:rsidRPr="00B40A77">
        <w:rPr>
          <w:color w:val="000000" w:themeColor="text1"/>
          <w:lang w:val="en-US"/>
        </w:rPr>
        <w:t>enquir</w:t>
      </w:r>
      <w:r w:rsidR="00605DD5" w:rsidRPr="00B40A77">
        <w:rPr>
          <w:color w:val="000000" w:themeColor="text1"/>
          <w:lang w:val="en-US"/>
        </w:rPr>
        <w:t>y</w:t>
      </w:r>
      <w:r w:rsidRPr="00B40A77">
        <w:rPr>
          <w:color w:val="000000" w:themeColor="text1"/>
          <w:lang w:val="en-US"/>
        </w:rPr>
        <w:t xml:space="preserve"> </w:t>
      </w:r>
      <w:r w:rsidR="00CE7020" w:rsidRPr="00B40A77">
        <w:rPr>
          <w:color w:val="000000" w:themeColor="text1"/>
          <w:lang w:val="en-US"/>
        </w:rPr>
        <w:t xml:space="preserve">to be made </w:t>
      </w:r>
      <w:r w:rsidRPr="00B40A77">
        <w:rPr>
          <w:color w:val="000000" w:themeColor="text1"/>
          <w:lang w:val="en-US"/>
        </w:rPr>
        <w:t xml:space="preserve">of the </w:t>
      </w:r>
      <w:r w:rsidR="005E1054" w:rsidRPr="00B40A77">
        <w:rPr>
          <w:color w:val="000000" w:themeColor="text1"/>
          <w:lang w:val="en-US"/>
        </w:rPr>
        <w:t xml:space="preserve">trial or sentencing Judge or Magistrate </w:t>
      </w:r>
      <w:r w:rsidR="001516FE" w:rsidRPr="00B40A77">
        <w:rPr>
          <w:color w:val="000000" w:themeColor="text1"/>
          <w:lang w:val="en-US"/>
        </w:rPr>
        <w:t xml:space="preserve">at first instance </w:t>
      </w:r>
      <w:r w:rsidR="00605DD5" w:rsidRPr="00B40A77">
        <w:rPr>
          <w:color w:val="000000" w:themeColor="text1"/>
          <w:lang w:val="en-US"/>
        </w:rPr>
        <w:t xml:space="preserve">as to </w:t>
      </w:r>
      <w:r w:rsidR="005E1054" w:rsidRPr="00B40A77">
        <w:rPr>
          <w:color w:val="000000" w:themeColor="text1"/>
          <w:lang w:val="en-US"/>
        </w:rPr>
        <w:t xml:space="preserve">whether they wish to provide a written report </w:t>
      </w:r>
      <w:r w:rsidR="007729A0" w:rsidRPr="00B40A77">
        <w:rPr>
          <w:color w:val="000000" w:themeColor="text1"/>
          <w:lang w:val="en-US"/>
        </w:rPr>
        <w:t>concerning any matter relevant to the appellate proceeding</w:t>
      </w:r>
      <w:r w:rsidRPr="00B40A77">
        <w:rPr>
          <w:color w:val="000000" w:themeColor="text1"/>
          <w:lang w:val="en-US"/>
        </w:rPr>
        <w:t>.</w:t>
      </w:r>
    </w:p>
    <w:p w14:paraId="75A857AB" w14:textId="38875C9F" w:rsidR="00605DD5" w:rsidRPr="00B40A77" w:rsidRDefault="007C1D52" w:rsidP="007C1D52">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The </w:t>
      </w:r>
      <w:hyperlink w:anchor="_2.1—Definitions" w:history="1">
        <w:r w:rsidR="00D61876" w:rsidRPr="00B40A77">
          <w:rPr>
            <w:rStyle w:val="Hyperlink"/>
            <w:color w:val="000000" w:themeColor="text1"/>
            <w:lang w:val="en-US"/>
          </w:rPr>
          <w:t>Principal Registrar</w:t>
        </w:r>
      </w:hyperlink>
      <w:r w:rsidRPr="00B40A77">
        <w:rPr>
          <w:color w:val="000000" w:themeColor="text1"/>
          <w:lang w:val="en-US"/>
        </w:rPr>
        <w:t xml:space="preserve"> will</w:t>
      </w:r>
      <w:r w:rsidR="00605DD5" w:rsidRPr="00B40A77">
        <w:rPr>
          <w:color w:val="000000" w:themeColor="text1"/>
          <w:lang w:val="en-US"/>
        </w:rPr>
        <w:t>, for the purpose of providing a written report,</w:t>
      </w:r>
      <w:r w:rsidRPr="00B40A77">
        <w:rPr>
          <w:color w:val="000000" w:themeColor="text1"/>
          <w:lang w:val="en-US"/>
        </w:rPr>
        <w:t xml:space="preserve"> </w:t>
      </w:r>
      <w:r w:rsidR="00CE7020" w:rsidRPr="00B40A77">
        <w:rPr>
          <w:color w:val="000000" w:themeColor="text1"/>
          <w:lang w:val="en-US"/>
        </w:rPr>
        <w:t xml:space="preserve">cause </w:t>
      </w:r>
      <w:r w:rsidRPr="00B40A77">
        <w:rPr>
          <w:color w:val="000000" w:themeColor="text1"/>
          <w:lang w:val="en-US"/>
        </w:rPr>
        <w:t xml:space="preserve">the trial </w:t>
      </w:r>
      <w:r w:rsidR="00303898" w:rsidRPr="00B40A77">
        <w:rPr>
          <w:color w:val="000000" w:themeColor="text1"/>
          <w:lang w:val="en-US"/>
        </w:rPr>
        <w:t xml:space="preserve">or sentencing </w:t>
      </w:r>
      <w:r w:rsidRPr="00B40A77">
        <w:rPr>
          <w:color w:val="000000" w:themeColor="text1"/>
          <w:lang w:val="en-US"/>
        </w:rPr>
        <w:t xml:space="preserve">Judge </w:t>
      </w:r>
      <w:r w:rsidR="00DE7B31" w:rsidRPr="00B40A77">
        <w:rPr>
          <w:color w:val="000000" w:themeColor="text1"/>
          <w:lang w:val="en-US"/>
        </w:rPr>
        <w:t xml:space="preserve">or Magistrate </w:t>
      </w:r>
      <w:r w:rsidR="001516FE" w:rsidRPr="00B40A77">
        <w:rPr>
          <w:color w:val="000000" w:themeColor="text1"/>
          <w:lang w:val="en-US"/>
        </w:rPr>
        <w:t xml:space="preserve">at first instance </w:t>
      </w:r>
      <w:r w:rsidR="00CE7020" w:rsidRPr="00B40A77">
        <w:rPr>
          <w:color w:val="000000" w:themeColor="text1"/>
          <w:lang w:val="en-US"/>
        </w:rPr>
        <w:t xml:space="preserve">to be provided </w:t>
      </w:r>
      <w:r w:rsidRPr="00B40A77">
        <w:rPr>
          <w:color w:val="000000" w:themeColor="text1"/>
          <w:lang w:val="en-US"/>
        </w:rPr>
        <w:t>with a copy of</w:t>
      </w:r>
      <w:r w:rsidR="001A5D41" w:rsidRPr="00B40A77">
        <w:rPr>
          <w:color w:val="000000" w:themeColor="text1"/>
          <w:lang w:val="en-US"/>
        </w:rPr>
        <w:t xml:space="preserve"> or</w:t>
      </w:r>
      <w:r w:rsidR="00987FD0" w:rsidRPr="00B40A77">
        <w:rPr>
          <w:color w:val="000000" w:themeColor="text1"/>
          <w:lang w:val="en-US"/>
        </w:rPr>
        <w:t xml:space="preserve"> link or reference</w:t>
      </w:r>
      <w:r w:rsidRPr="00B40A77">
        <w:rPr>
          <w:color w:val="000000" w:themeColor="text1"/>
          <w:lang w:val="en-US"/>
        </w:rPr>
        <w:t xml:space="preserve"> </w:t>
      </w:r>
      <w:r w:rsidR="001A5D41" w:rsidRPr="00B40A77">
        <w:rPr>
          <w:color w:val="000000" w:themeColor="text1"/>
          <w:lang w:val="en-US"/>
        </w:rPr>
        <w:t xml:space="preserve">to </w:t>
      </w:r>
      <w:r w:rsidRPr="00B40A77">
        <w:rPr>
          <w:color w:val="000000" w:themeColor="text1"/>
          <w:lang w:val="en-US"/>
        </w:rPr>
        <w:t>the not</w:t>
      </w:r>
      <w:r w:rsidR="00303898" w:rsidRPr="00B40A77">
        <w:rPr>
          <w:color w:val="000000" w:themeColor="text1"/>
          <w:lang w:val="en-US"/>
        </w:rPr>
        <w:t xml:space="preserve">ice of appeal </w:t>
      </w:r>
      <w:r w:rsidR="009348CF" w:rsidRPr="00B40A77">
        <w:rPr>
          <w:color w:val="000000" w:themeColor="text1"/>
          <w:lang w:val="en-US"/>
        </w:rPr>
        <w:t xml:space="preserve">or </w:t>
      </w:r>
      <w:r w:rsidR="007F72AD" w:rsidRPr="00B40A77">
        <w:rPr>
          <w:color w:val="000000" w:themeColor="text1"/>
          <w:lang w:val="en-US"/>
        </w:rPr>
        <w:t>notice of referral of petition of mercy</w:t>
      </w:r>
      <w:r w:rsidR="00CE7020" w:rsidRPr="00B40A77">
        <w:rPr>
          <w:color w:val="000000" w:themeColor="text1"/>
          <w:lang w:val="en-US"/>
        </w:rPr>
        <w:t xml:space="preserve"> </w:t>
      </w:r>
      <w:r w:rsidR="00303898" w:rsidRPr="00B40A77">
        <w:rPr>
          <w:color w:val="000000" w:themeColor="text1"/>
          <w:lang w:val="en-US"/>
        </w:rPr>
        <w:t xml:space="preserve">together with </w:t>
      </w:r>
      <w:r w:rsidRPr="00B40A77">
        <w:rPr>
          <w:color w:val="000000" w:themeColor="text1"/>
          <w:lang w:val="en-US"/>
        </w:rPr>
        <w:t>such docume</w:t>
      </w:r>
      <w:r w:rsidR="00DE7B31" w:rsidRPr="00B40A77">
        <w:rPr>
          <w:color w:val="000000" w:themeColor="text1"/>
          <w:lang w:val="en-US"/>
        </w:rPr>
        <w:t>nts and information as they</w:t>
      </w:r>
      <w:r w:rsidRPr="00B40A77">
        <w:rPr>
          <w:color w:val="000000" w:themeColor="text1"/>
          <w:lang w:val="en-US"/>
        </w:rPr>
        <w:t xml:space="preserve"> may require.</w:t>
      </w:r>
    </w:p>
    <w:bookmarkEnd w:id="1233"/>
    <w:p w14:paraId="03EEA1FC" w14:textId="5E1B9D55" w:rsidR="007C1D52" w:rsidRPr="00B40A77" w:rsidRDefault="007C1D52" w:rsidP="007C1D52">
      <w:pPr>
        <w:pStyle w:val="Hangindent"/>
        <w:rPr>
          <w:color w:val="000000" w:themeColor="text1"/>
        </w:rPr>
      </w:pPr>
      <w:r w:rsidRPr="00B40A77">
        <w:rPr>
          <w:color w:val="000000" w:themeColor="text1"/>
        </w:rPr>
        <w:t>(4)</w:t>
      </w:r>
      <w:r w:rsidRPr="00B40A77">
        <w:rPr>
          <w:color w:val="000000" w:themeColor="text1"/>
        </w:rPr>
        <w:tab/>
        <w:t xml:space="preserve">The trial </w:t>
      </w:r>
      <w:r w:rsidR="00DE7B31" w:rsidRPr="00B40A77">
        <w:rPr>
          <w:color w:val="000000" w:themeColor="text1"/>
          <w:lang w:val="en-US"/>
        </w:rPr>
        <w:t>or sentencing Judge or Magistrate</w:t>
      </w:r>
      <w:r w:rsidRPr="00B40A77">
        <w:rPr>
          <w:color w:val="000000" w:themeColor="text1"/>
        </w:rPr>
        <w:t xml:space="preserve"> may, and if requested by the </w:t>
      </w:r>
      <w:hyperlink w:anchor="_2.1—Definitions" w:history="1">
        <w:r w:rsidR="00350C21" w:rsidRPr="00B40A77">
          <w:rPr>
            <w:rStyle w:val="Hyperlink"/>
            <w:color w:val="000000" w:themeColor="text1"/>
            <w:lang w:val="en-US"/>
          </w:rPr>
          <w:t>Court of Appeal</w:t>
        </w:r>
      </w:hyperlink>
      <w:r w:rsidRPr="00B40A77">
        <w:rPr>
          <w:color w:val="000000" w:themeColor="text1"/>
        </w:rPr>
        <w:t xml:space="preserve"> or a Judge shall, provide a report to the </w:t>
      </w:r>
      <w:hyperlink w:anchor="_2.1—Definitions" w:history="1">
        <w:r w:rsidR="00350C21" w:rsidRPr="00B40A77">
          <w:rPr>
            <w:rStyle w:val="Hyperlink"/>
            <w:color w:val="000000" w:themeColor="text1"/>
            <w:lang w:val="en-US"/>
          </w:rPr>
          <w:t>Court of Appeal</w:t>
        </w:r>
      </w:hyperlink>
      <w:r w:rsidRPr="00B40A77">
        <w:rPr>
          <w:color w:val="000000" w:themeColor="text1"/>
        </w:rPr>
        <w:t>.</w:t>
      </w:r>
    </w:p>
    <w:p w14:paraId="7BE239B1" w14:textId="646FA915" w:rsidR="009B72B9" w:rsidRPr="00B40A77" w:rsidRDefault="009B72B9" w:rsidP="009B72B9">
      <w:pPr>
        <w:pStyle w:val="Hangindent"/>
        <w:rPr>
          <w:color w:val="000000" w:themeColor="text1"/>
          <w:lang w:val="en-US"/>
        </w:rPr>
      </w:pPr>
      <w:r w:rsidRPr="00B40A77">
        <w:rPr>
          <w:color w:val="000000" w:themeColor="text1"/>
          <w:lang w:val="en-US"/>
        </w:rPr>
        <w:t>(5)</w:t>
      </w:r>
      <w:r w:rsidRPr="00B40A77">
        <w:rPr>
          <w:color w:val="000000" w:themeColor="text1"/>
          <w:lang w:val="en-US"/>
        </w:rPr>
        <w:tab/>
        <w:t xml:space="preserve">Upon receipt of a report from the </w:t>
      </w:r>
      <w:r w:rsidR="00303898" w:rsidRPr="00B40A77">
        <w:rPr>
          <w:color w:val="000000" w:themeColor="text1"/>
          <w:lang w:val="en-US"/>
        </w:rPr>
        <w:t>trial or sentencing Judge or Magistrate</w:t>
      </w:r>
      <w:r w:rsidRPr="00B40A77">
        <w:rPr>
          <w:color w:val="000000" w:themeColor="text1"/>
          <w:lang w:val="en-US"/>
        </w:rPr>
        <w:t xml:space="preserve">, </w:t>
      </w:r>
      <w:r w:rsidR="00625790"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625790" w:rsidRPr="00B40A77">
        <w:rPr>
          <w:color w:val="000000" w:themeColor="text1"/>
          <w:lang w:val="en-US"/>
        </w:rPr>
        <w:t xml:space="preserve"> </w:t>
      </w:r>
      <w:r w:rsidRPr="00B40A77">
        <w:rPr>
          <w:color w:val="000000" w:themeColor="text1"/>
          <w:lang w:val="en-US"/>
        </w:rPr>
        <w:t xml:space="preserve">will </w:t>
      </w:r>
      <w:r w:rsidR="00CE7020" w:rsidRPr="00B40A77">
        <w:rPr>
          <w:color w:val="000000" w:themeColor="text1"/>
          <w:lang w:val="en-US"/>
        </w:rPr>
        <w:t xml:space="preserve">cause </w:t>
      </w:r>
      <w:r w:rsidRPr="00B40A77">
        <w:rPr>
          <w:color w:val="000000" w:themeColor="text1"/>
          <w:lang w:val="en-US"/>
        </w:rPr>
        <w:t xml:space="preserve">a copy of the report </w:t>
      </w:r>
      <w:r w:rsidR="00CE7020" w:rsidRPr="00B40A77">
        <w:rPr>
          <w:color w:val="000000" w:themeColor="text1"/>
          <w:lang w:val="en-US"/>
        </w:rPr>
        <w:t xml:space="preserve">to be provided </w:t>
      </w:r>
      <w:r w:rsidRPr="00B40A77">
        <w:rPr>
          <w:color w:val="000000" w:themeColor="text1"/>
          <w:lang w:val="en-US"/>
        </w:rPr>
        <w:t xml:space="preserve">to the parties to the appeal. </w:t>
      </w:r>
    </w:p>
    <w:p w14:paraId="27CE4819" w14:textId="367F1A89" w:rsidR="00B95952" w:rsidRPr="00B40A77" w:rsidRDefault="00F76788" w:rsidP="006D7EC2">
      <w:pPr>
        <w:pStyle w:val="Heading4"/>
        <w:rPr>
          <w:color w:val="000000" w:themeColor="text1"/>
        </w:rPr>
      </w:pPr>
      <w:bookmarkStart w:id="1234" w:name="_Toc175239414"/>
      <w:r w:rsidRPr="00B40A77">
        <w:rPr>
          <w:color w:val="000000" w:themeColor="text1"/>
        </w:rPr>
        <w:t>201</w:t>
      </w:r>
      <w:r w:rsidR="00D63A98" w:rsidRPr="00B40A77">
        <w:rPr>
          <w:color w:val="000000" w:themeColor="text1"/>
        </w:rPr>
        <w:t>.</w:t>
      </w:r>
      <w:r w:rsidR="003B575B" w:rsidRPr="00B40A77">
        <w:rPr>
          <w:color w:val="000000" w:themeColor="text1"/>
        </w:rPr>
        <w:t>5</w:t>
      </w:r>
      <w:r w:rsidR="00B95952" w:rsidRPr="00B40A77">
        <w:rPr>
          <w:color w:val="000000" w:themeColor="text1"/>
        </w:rPr>
        <w:t>—Witnesses before Court of Appeal</w:t>
      </w:r>
      <w:bookmarkEnd w:id="1234"/>
    </w:p>
    <w:p w14:paraId="2FB0A56C" w14:textId="2AB6775A" w:rsidR="00B95952" w:rsidRPr="00B40A77" w:rsidRDefault="00B95952" w:rsidP="00B95952">
      <w:pPr>
        <w:pStyle w:val="Hangindent"/>
        <w:rPr>
          <w:color w:val="000000" w:themeColor="text1"/>
          <w:lang w:val="en-US"/>
        </w:rPr>
      </w:pPr>
      <w:r w:rsidRPr="00B40A77">
        <w:rPr>
          <w:bCs/>
          <w:color w:val="000000" w:themeColor="text1"/>
          <w:lang w:val="en-US"/>
        </w:rPr>
        <w:t>(1)</w:t>
      </w:r>
      <w:r w:rsidRPr="00B40A77">
        <w:rPr>
          <w:color w:val="000000" w:themeColor="text1"/>
          <w:lang w:val="en-US"/>
        </w:rPr>
        <w:tab/>
        <w:t>An application under section</w:t>
      </w:r>
      <w:r w:rsidR="00605DD5" w:rsidRPr="00B40A77">
        <w:rPr>
          <w:color w:val="000000" w:themeColor="text1"/>
          <w:lang w:val="en-US"/>
        </w:rPr>
        <w:t> </w:t>
      </w:r>
      <w:r w:rsidRPr="00B40A77">
        <w:rPr>
          <w:color w:val="000000" w:themeColor="text1"/>
          <w:lang w:val="en-US"/>
        </w:rPr>
        <w:t xml:space="preserve">166(b) of the </w:t>
      </w:r>
      <w:r w:rsidR="00DE7B31" w:rsidRPr="00B40A77">
        <w:rPr>
          <w:color w:val="000000" w:themeColor="text1"/>
          <w:lang w:val="en-US"/>
        </w:rPr>
        <w:t xml:space="preserve">Procedure </w:t>
      </w:r>
      <w:r w:rsidRPr="00B40A77">
        <w:rPr>
          <w:color w:val="000000" w:themeColor="text1"/>
          <w:lang w:val="en-US"/>
        </w:rPr>
        <w:t>Act for an order requiring a witness to be</w:t>
      </w:r>
      <w:r w:rsidR="00DE7B31" w:rsidRPr="00B40A77">
        <w:rPr>
          <w:color w:val="000000" w:themeColor="text1"/>
          <w:lang w:val="en-US"/>
        </w:rPr>
        <w:t xml:space="preserve"> exam</w:t>
      </w:r>
      <w:r w:rsidR="007F72AD" w:rsidRPr="00B40A77">
        <w:rPr>
          <w:color w:val="000000" w:themeColor="text1"/>
          <w:lang w:val="en-US"/>
        </w:rPr>
        <w:t>ined for the purpose of an appellate proceeding</w:t>
      </w:r>
      <w:r w:rsidR="00DE7B31" w:rsidRPr="00B40A77">
        <w:rPr>
          <w:color w:val="000000" w:themeColor="text1"/>
          <w:lang w:val="en-US"/>
        </w:rPr>
        <w:t xml:space="preserve"> must</w:t>
      </w:r>
      <w:r w:rsidR="00EF11D9" w:rsidRPr="00B40A77">
        <w:rPr>
          <w:color w:val="000000" w:themeColor="text1"/>
          <w:lang w:val="en-US"/>
        </w:rPr>
        <w:t xml:space="preserve"> be made by an </w:t>
      </w:r>
      <w:r w:rsidR="009348CF" w:rsidRPr="00B40A77">
        <w:rPr>
          <w:color w:val="000000" w:themeColor="text1"/>
          <w:lang w:val="en-US"/>
        </w:rPr>
        <w:t>interlocutory a</w:t>
      </w:r>
      <w:r w:rsidR="00EF11D9" w:rsidRPr="00B40A77">
        <w:rPr>
          <w:color w:val="000000" w:themeColor="text1"/>
          <w:lang w:val="en-US"/>
        </w:rPr>
        <w:t>pplication</w:t>
      </w:r>
      <w:r w:rsidR="009348CF" w:rsidRPr="00B40A77">
        <w:rPr>
          <w:color w:val="000000" w:themeColor="text1"/>
          <w:lang w:val="en-US"/>
        </w:rPr>
        <w:t xml:space="preserve"> in accordance with </w:t>
      </w:r>
      <w:hyperlink w:anchor="_39.1—Written_application" w:history="1">
        <w:r w:rsidR="009348CF" w:rsidRPr="00B40A77">
          <w:rPr>
            <w:rStyle w:val="Hyperlink"/>
            <w:color w:val="000000" w:themeColor="text1"/>
            <w:lang w:val="en-US"/>
          </w:rPr>
          <w:t>rule</w:t>
        </w:r>
        <w:r w:rsidR="00605DD5" w:rsidRPr="00B40A77">
          <w:rPr>
            <w:rStyle w:val="Hyperlink"/>
            <w:color w:val="000000" w:themeColor="text1"/>
            <w:lang w:val="en-US"/>
          </w:rPr>
          <w:t> </w:t>
        </w:r>
        <w:r w:rsidR="009348CF" w:rsidRPr="00B40A77">
          <w:rPr>
            <w:rStyle w:val="Hyperlink"/>
            <w:color w:val="000000" w:themeColor="text1"/>
            <w:lang w:val="en-US"/>
          </w:rPr>
          <w:t>3</w:t>
        </w:r>
        <w:r w:rsidR="005F5055" w:rsidRPr="00B40A77">
          <w:rPr>
            <w:rStyle w:val="Hyperlink"/>
            <w:color w:val="000000" w:themeColor="text1"/>
            <w:lang w:val="en-US"/>
          </w:rPr>
          <w:t>9</w:t>
        </w:r>
        <w:r w:rsidR="009348CF" w:rsidRPr="00B40A77">
          <w:rPr>
            <w:rStyle w:val="Hyperlink"/>
            <w:color w:val="000000" w:themeColor="text1"/>
            <w:lang w:val="en-US"/>
          </w:rPr>
          <w:t>.1</w:t>
        </w:r>
      </w:hyperlink>
      <w:r w:rsidRPr="00B40A77">
        <w:rPr>
          <w:color w:val="000000" w:themeColor="text1"/>
          <w:lang w:val="en-US"/>
        </w:rPr>
        <w:t>.</w:t>
      </w:r>
    </w:p>
    <w:p w14:paraId="26C6FEDF" w14:textId="45FECCF4" w:rsidR="00B95952" w:rsidRPr="00B40A77" w:rsidRDefault="00EF11D9" w:rsidP="00B95952">
      <w:pPr>
        <w:pStyle w:val="Hangindent"/>
        <w:rPr>
          <w:color w:val="000000" w:themeColor="text1"/>
          <w:lang w:val="en-US"/>
        </w:rPr>
      </w:pPr>
      <w:r w:rsidRPr="00B40A77">
        <w:rPr>
          <w:color w:val="000000" w:themeColor="text1"/>
          <w:lang w:val="en-US"/>
        </w:rPr>
        <w:t>(2)</w:t>
      </w:r>
      <w:r w:rsidRPr="00B40A77">
        <w:rPr>
          <w:color w:val="000000" w:themeColor="text1"/>
          <w:lang w:val="en-US"/>
        </w:rPr>
        <w:tab/>
        <w:t>The application must</w:t>
      </w:r>
      <w:r w:rsidR="00B95952" w:rsidRPr="00B40A77">
        <w:rPr>
          <w:color w:val="000000" w:themeColor="text1"/>
          <w:lang w:val="en-US"/>
        </w:rPr>
        <w:t xml:space="preserve"> identify—</w:t>
      </w:r>
    </w:p>
    <w:p w14:paraId="3B2C744C" w14:textId="77777777" w:rsidR="00B95952" w:rsidRPr="00B40A77" w:rsidRDefault="00B95952" w:rsidP="00EF11D9">
      <w:pPr>
        <w:pStyle w:val="Hangindent"/>
        <w:ind w:left="1701"/>
        <w:rPr>
          <w:rFonts w:cs="Times New Roman"/>
          <w:color w:val="000000" w:themeColor="text1"/>
        </w:rPr>
      </w:pPr>
      <w:r w:rsidRPr="00B40A77">
        <w:rPr>
          <w:rFonts w:cs="Times New Roman"/>
          <w:color w:val="000000" w:themeColor="text1"/>
        </w:rPr>
        <w:t>(a)</w:t>
      </w:r>
      <w:r w:rsidRPr="00B40A77">
        <w:rPr>
          <w:rFonts w:cs="Times New Roman"/>
          <w:color w:val="000000" w:themeColor="text1"/>
        </w:rPr>
        <w:tab/>
        <w:t>the name and address of the witness;</w:t>
      </w:r>
    </w:p>
    <w:p w14:paraId="337665CC" w14:textId="4C1D6C24" w:rsidR="00B95952" w:rsidRPr="00B40A77" w:rsidRDefault="00EF11D9" w:rsidP="00EF11D9">
      <w:pPr>
        <w:pStyle w:val="Hangindent"/>
        <w:ind w:left="1701"/>
        <w:rPr>
          <w:rFonts w:cs="Times New Roman"/>
          <w:color w:val="000000" w:themeColor="text1"/>
        </w:rPr>
      </w:pPr>
      <w:r w:rsidRPr="00B40A77">
        <w:rPr>
          <w:rFonts w:cs="Times New Roman"/>
          <w:color w:val="000000" w:themeColor="text1"/>
        </w:rPr>
        <w:t>(b)</w:t>
      </w:r>
      <w:r w:rsidRPr="00B40A77">
        <w:rPr>
          <w:rFonts w:cs="Times New Roman"/>
          <w:color w:val="000000" w:themeColor="text1"/>
        </w:rPr>
        <w:tab/>
        <w:t xml:space="preserve">the grounds </w:t>
      </w:r>
      <w:r w:rsidR="00B95952" w:rsidRPr="00B40A77">
        <w:rPr>
          <w:rFonts w:cs="Times New Roman"/>
          <w:color w:val="000000" w:themeColor="text1"/>
        </w:rPr>
        <w:t>on which it is sought to have the witness examined; and</w:t>
      </w:r>
    </w:p>
    <w:p w14:paraId="602C02F2" w14:textId="7625FFB0" w:rsidR="00B95952" w:rsidRPr="00B40A77" w:rsidRDefault="00EF11D9" w:rsidP="00EF11D9">
      <w:pPr>
        <w:pStyle w:val="Hangindent"/>
        <w:ind w:left="1701"/>
        <w:rPr>
          <w:rFonts w:cs="Times New Roman"/>
          <w:color w:val="000000" w:themeColor="text1"/>
        </w:rPr>
      </w:pPr>
      <w:r w:rsidRPr="00B40A77">
        <w:rPr>
          <w:rFonts w:cs="Times New Roman"/>
          <w:color w:val="000000" w:themeColor="text1"/>
        </w:rPr>
        <w:t>(c)</w:t>
      </w:r>
      <w:r w:rsidRPr="00B40A77">
        <w:rPr>
          <w:rFonts w:cs="Times New Roman"/>
          <w:color w:val="000000" w:themeColor="text1"/>
        </w:rPr>
        <w:tab/>
      </w:r>
      <w:r w:rsidR="00B95952" w:rsidRPr="00B40A77">
        <w:rPr>
          <w:rFonts w:cs="Times New Roman"/>
          <w:color w:val="000000" w:themeColor="text1"/>
        </w:rPr>
        <w:t>on what matters it is proposed to examine the witness.</w:t>
      </w:r>
    </w:p>
    <w:p w14:paraId="1379F4D4" w14:textId="3FD859AD" w:rsidR="00B95952" w:rsidRPr="00B40A77" w:rsidRDefault="00B95952" w:rsidP="00B95952">
      <w:pPr>
        <w:pStyle w:val="Hangindent"/>
        <w:rPr>
          <w:color w:val="000000" w:themeColor="text1"/>
          <w:lang w:val="en-US"/>
        </w:rPr>
      </w:pPr>
      <w:r w:rsidRPr="00B40A77">
        <w:rPr>
          <w:color w:val="000000" w:themeColor="text1"/>
          <w:lang w:val="en-US"/>
        </w:rPr>
        <w:t>(3)</w:t>
      </w:r>
      <w:r w:rsidRPr="00B40A77">
        <w:rPr>
          <w:color w:val="000000" w:themeColor="text1"/>
          <w:lang w:val="en-US"/>
        </w:rPr>
        <w:tab/>
        <w:t>U</w:t>
      </w:r>
      <w:r w:rsidR="00EF11D9" w:rsidRPr="00B40A77">
        <w:rPr>
          <w:color w:val="000000" w:themeColor="text1"/>
          <w:lang w:val="en-US"/>
        </w:rPr>
        <w:t>nless the Court otherwise order</w:t>
      </w:r>
      <w:r w:rsidRPr="00B40A77">
        <w:rPr>
          <w:color w:val="000000" w:themeColor="text1"/>
          <w:lang w:val="en-US"/>
        </w:rPr>
        <w:t xml:space="preserve">s, the application </w:t>
      </w:r>
      <w:r w:rsidR="00EF11D9" w:rsidRPr="00B40A77">
        <w:rPr>
          <w:color w:val="000000" w:themeColor="text1"/>
          <w:lang w:val="en-US"/>
        </w:rPr>
        <w:t>must</w:t>
      </w:r>
      <w:r w:rsidRPr="00B40A77">
        <w:rPr>
          <w:color w:val="000000" w:themeColor="text1"/>
          <w:lang w:val="en-US"/>
        </w:rPr>
        <w:t xml:space="preserve"> be filed </w:t>
      </w:r>
      <w:r w:rsidR="00EF11D9" w:rsidRPr="00B40A77">
        <w:rPr>
          <w:color w:val="000000" w:themeColor="text1"/>
          <w:lang w:val="en-US"/>
        </w:rPr>
        <w:t>at the same time as</w:t>
      </w:r>
      <w:r w:rsidR="001A6696" w:rsidRPr="00B40A77">
        <w:rPr>
          <w:color w:val="000000" w:themeColor="text1"/>
          <w:lang w:val="en-US"/>
        </w:rPr>
        <w:t xml:space="preserve"> the notice initiating the appellate proceeding</w:t>
      </w:r>
      <w:r w:rsidRPr="00B40A77">
        <w:rPr>
          <w:color w:val="000000" w:themeColor="text1"/>
          <w:lang w:val="en-US"/>
        </w:rPr>
        <w:t>.</w:t>
      </w:r>
    </w:p>
    <w:p w14:paraId="4337E9CE" w14:textId="1AD57C57" w:rsidR="004878C4" w:rsidRPr="00B40A77" w:rsidRDefault="009B72B9" w:rsidP="00B95952">
      <w:pPr>
        <w:pStyle w:val="Hangindent"/>
        <w:keepNext/>
        <w:keepLines/>
        <w:rPr>
          <w:color w:val="000000" w:themeColor="text1"/>
          <w:lang w:val="en-US"/>
        </w:rPr>
      </w:pPr>
      <w:r w:rsidRPr="00B40A77">
        <w:rPr>
          <w:color w:val="000000" w:themeColor="text1"/>
          <w:lang w:val="en-US"/>
        </w:rPr>
        <w:t>(4)</w:t>
      </w:r>
      <w:r w:rsidRPr="00B40A77">
        <w:rPr>
          <w:color w:val="000000" w:themeColor="text1"/>
          <w:lang w:val="en-US"/>
        </w:rPr>
        <w:tab/>
        <w:t>T</w:t>
      </w:r>
      <w:r w:rsidR="00B95952" w:rsidRPr="00B40A77">
        <w:rPr>
          <w:color w:val="000000" w:themeColor="text1"/>
          <w:lang w:val="en-US"/>
        </w:rPr>
        <w:t>he Court may</w:t>
      </w:r>
      <w:r w:rsidR="004878C4" w:rsidRPr="00B40A77">
        <w:rPr>
          <w:color w:val="000000" w:themeColor="text1"/>
          <w:lang w:val="en-US"/>
        </w:rPr>
        <w:t>,</w:t>
      </w:r>
      <w:r w:rsidR="00B95952" w:rsidRPr="00B40A77">
        <w:rPr>
          <w:color w:val="000000" w:themeColor="text1"/>
          <w:lang w:val="en-US"/>
        </w:rPr>
        <w:t xml:space="preserve"> </w:t>
      </w:r>
      <w:r w:rsidRPr="00B40A77">
        <w:rPr>
          <w:color w:val="000000" w:themeColor="text1"/>
          <w:lang w:val="en-US"/>
        </w:rPr>
        <w:t>at any time</w:t>
      </w:r>
      <w:r w:rsidR="004878C4" w:rsidRPr="00B40A77">
        <w:rPr>
          <w:color w:val="000000" w:themeColor="text1"/>
          <w:lang w:val="en-US"/>
        </w:rPr>
        <w:t>,</w:t>
      </w:r>
      <w:r w:rsidRPr="00B40A77">
        <w:rPr>
          <w:color w:val="000000" w:themeColor="text1"/>
          <w:lang w:val="en-US"/>
        </w:rPr>
        <w:t xml:space="preserve"> </w:t>
      </w:r>
      <w:r w:rsidR="00D63A98" w:rsidRPr="00B40A77">
        <w:rPr>
          <w:color w:val="000000" w:themeColor="text1"/>
          <w:lang w:val="en-US"/>
        </w:rPr>
        <w:t>make such order</w:t>
      </w:r>
      <w:r w:rsidR="00B95952" w:rsidRPr="00B40A77">
        <w:rPr>
          <w:color w:val="000000" w:themeColor="text1"/>
          <w:lang w:val="en-US"/>
        </w:rPr>
        <w:t xml:space="preserve">s as it thinks fit </w:t>
      </w:r>
      <w:r w:rsidR="004878C4" w:rsidRPr="00B40A77">
        <w:rPr>
          <w:color w:val="000000" w:themeColor="text1"/>
          <w:lang w:val="en-US"/>
        </w:rPr>
        <w:t>with regard to—</w:t>
      </w:r>
    </w:p>
    <w:p w14:paraId="27F92BE7" w14:textId="350D80AD" w:rsidR="004878C4" w:rsidRPr="00B40A77" w:rsidRDefault="004878C4" w:rsidP="004878C4">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B95952" w:rsidRPr="00B40A77">
        <w:rPr>
          <w:color w:val="000000" w:themeColor="text1"/>
          <w:lang w:val="en-US"/>
        </w:rPr>
        <w:t>the sealing an</w:t>
      </w:r>
      <w:r w:rsidR="009B72B9" w:rsidRPr="00B40A77">
        <w:rPr>
          <w:color w:val="000000" w:themeColor="text1"/>
          <w:lang w:val="en-US"/>
        </w:rPr>
        <w:t>d service upon any person of a</w:t>
      </w:r>
      <w:r w:rsidR="00B95952" w:rsidRPr="00B40A77">
        <w:rPr>
          <w:color w:val="000000" w:themeColor="text1"/>
          <w:lang w:val="en-US"/>
        </w:rPr>
        <w:t xml:space="preserve"> </w:t>
      </w:r>
      <w:hyperlink w:anchor="_122.1—Interpretation" w:history="1">
        <w:r w:rsidR="001F0AB4" w:rsidRPr="00B40A77">
          <w:rPr>
            <w:rStyle w:val="Hyperlink"/>
            <w:color w:val="000000" w:themeColor="text1"/>
            <w:lang w:val="en-US"/>
          </w:rPr>
          <w:t>subpoena</w:t>
        </w:r>
      </w:hyperlink>
      <w:r w:rsidR="00B95952" w:rsidRPr="00B40A77">
        <w:rPr>
          <w:color w:val="000000" w:themeColor="text1"/>
          <w:lang w:val="en-US"/>
        </w:rPr>
        <w:t xml:space="preserve"> or order made under section</w:t>
      </w:r>
      <w:r w:rsidR="00605DD5" w:rsidRPr="00B40A77">
        <w:rPr>
          <w:color w:val="000000" w:themeColor="text1"/>
          <w:lang w:val="en-US"/>
        </w:rPr>
        <w:t> </w:t>
      </w:r>
      <w:r w:rsidR="00B95952" w:rsidRPr="00B40A77">
        <w:rPr>
          <w:color w:val="000000" w:themeColor="text1"/>
          <w:lang w:val="en-US"/>
        </w:rPr>
        <w:t xml:space="preserve">166(b) of the </w:t>
      </w:r>
      <w:r w:rsidR="009B72B9" w:rsidRPr="00B40A77">
        <w:rPr>
          <w:color w:val="000000" w:themeColor="text1"/>
          <w:lang w:val="en-US"/>
        </w:rPr>
        <w:t xml:space="preserve">Procedure </w:t>
      </w:r>
      <w:r w:rsidR="00B95952" w:rsidRPr="00B40A77">
        <w:rPr>
          <w:color w:val="000000" w:themeColor="text1"/>
          <w:lang w:val="en-US"/>
        </w:rPr>
        <w:t>Act</w:t>
      </w:r>
      <w:r w:rsidRPr="00B40A77">
        <w:rPr>
          <w:color w:val="000000" w:themeColor="text1"/>
          <w:lang w:val="en-US"/>
        </w:rPr>
        <w:t>;</w:t>
      </w:r>
      <w:r w:rsidR="00B95952" w:rsidRPr="00B40A77">
        <w:rPr>
          <w:color w:val="000000" w:themeColor="text1"/>
          <w:lang w:val="en-US"/>
        </w:rPr>
        <w:t xml:space="preserve"> and</w:t>
      </w:r>
    </w:p>
    <w:p w14:paraId="48B2269B" w14:textId="6EC7BD49" w:rsidR="00B95952" w:rsidRPr="00B40A77" w:rsidRDefault="004878C4" w:rsidP="004878C4">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B95952" w:rsidRPr="00B40A77">
        <w:rPr>
          <w:color w:val="000000" w:themeColor="text1"/>
          <w:lang w:val="en-US"/>
        </w:rPr>
        <w:t>the procedure to be followed for the examination of</w:t>
      </w:r>
      <w:r w:rsidR="009B72B9" w:rsidRPr="00B40A77">
        <w:rPr>
          <w:color w:val="000000" w:themeColor="text1"/>
          <w:lang w:val="en-US"/>
        </w:rPr>
        <w:t xml:space="preserve"> a witness pursuant to </w:t>
      </w:r>
      <w:r w:rsidRPr="00B40A77">
        <w:rPr>
          <w:color w:val="000000" w:themeColor="text1"/>
          <w:lang w:val="en-US"/>
        </w:rPr>
        <w:t>section 166(b) of the Procedure Act</w:t>
      </w:r>
      <w:r w:rsidR="00B95952" w:rsidRPr="00B40A77">
        <w:rPr>
          <w:color w:val="000000" w:themeColor="text1"/>
          <w:lang w:val="en-US"/>
        </w:rPr>
        <w:t>.</w:t>
      </w:r>
    </w:p>
    <w:p w14:paraId="40546B40" w14:textId="6DE1D949" w:rsidR="009B72B9" w:rsidRPr="00B40A77" w:rsidRDefault="00F76788" w:rsidP="00E6593E">
      <w:pPr>
        <w:pStyle w:val="Heading4"/>
        <w:rPr>
          <w:color w:val="000000" w:themeColor="text1"/>
        </w:rPr>
      </w:pPr>
      <w:bookmarkStart w:id="1235" w:name="_Toc175239415"/>
      <w:r w:rsidRPr="00B40A77">
        <w:rPr>
          <w:color w:val="000000" w:themeColor="text1"/>
        </w:rPr>
        <w:t>201</w:t>
      </w:r>
      <w:r w:rsidR="00D63A98" w:rsidRPr="00B40A77">
        <w:rPr>
          <w:color w:val="000000" w:themeColor="text1"/>
        </w:rPr>
        <w:t>.</w:t>
      </w:r>
      <w:r w:rsidR="003B575B" w:rsidRPr="00B40A77">
        <w:rPr>
          <w:color w:val="000000" w:themeColor="text1"/>
        </w:rPr>
        <w:t>6</w:t>
      </w:r>
      <w:r w:rsidR="009B72B9" w:rsidRPr="00B40A77">
        <w:rPr>
          <w:color w:val="000000" w:themeColor="text1"/>
        </w:rPr>
        <w:t>—Discontinuance of appe</w:t>
      </w:r>
      <w:r w:rsidR="001A6696" w:rsidRPr="00B40A77">
        <w:rPr>
          <w:color w:val="000000" w:themeColor="text1"/>
        </w:rPr>
        <w:t>llate proceeding</w:t>
      </w:r>
      <w:bookmarkEnd w:id="1235"/>
    </w:p>
    <w:p w14:paraId="01A34142" w14:textId="620E438A" w:rsidR="009B72B9" w:rsidRPr="00B40A77" w:rsidRDefault="009B72B9" w:rsidP="001103F0">
      <w:pPr>
        <w:pStyle w:val="Hangindent"/>
        <w:keepNext/>
        <w:rPr>
          <w:color w:val="000000" w:themeColor="text1"/>
          <w:lang w:val="en-US"/>
        </w:rPr>
      </w:pPr>
      <w:r w:rsidRPr="00B40A77">
        <w:rPr>
          <w:color w:val="000000" w:themeColor="text1"/>
          <w:lang w:val="en-US"/>
        </w:rPr>
        <w:t>(1)</w:t>
      </w:r>
      <w:r w:rsidRPr="00B40A77">
        <w:rPr>
          <w:color w:val="000000" w:themeColor="text1"/>
          <w:lang w:val="en-US"/>
        </w:rPr>
        <w:tab/>
        <w:t>An app</w:t>
      </w:r>
      <w:r w:rsidR="001A6696" w:rsidRPr="00B40A77">
        <w:rPr>
          <w:color w:val="000000" w:themeColor="text1"/>
          <w:lang w:val="en-US"/>
        </w:rPr>
        <w:t>ellant may discontinue an appellate proceeding</w:t>
      </w:r>
      <w:r w:rsidRPr="00B40A77">
        <w:rPr>
          <w:color w:val="000000" w:themeColor="text1"/>
          <w:lang w:val="en-US"/>
        </w:rPr>
        <w:t xml:space="preserve"> </w:t>
      </w:r>
      <w:r w:rsidR="001A6696" w:rsidRPr="00B40A77">
        <w:rPr>
          <w:color w:val="000000" w:themeColor="text1"/>
          <w:lang w:val="en-US"/>
        </w:rPr>
        <w:t>(</w:t>
      </w:r>
      <w:r w:rsidR="0005490B" w:rsidRPr="00B40A77">
        <w:rPr>
          <w:color w:val="000000" w:themeColor="text1"/>
          <w:lang w:val="en-US"/>
        </w:rPr>
        <w:t xml:space="preserve">other than </w:t>
      </w:r>
      <w:r w:rsidR="001A6696" w:rsidRPr="00B40A77">
        <w:rPr>
          <w:color w:val="000000" w:themeColor="text1"/>
          <w:lang w:val="en-US"/>
        </w:rPr>
        <w:t xml:space="preserve">a </w:t>
      </w:r>
      <w:hyperlink w:anchor="_211.1—Definitions" w:history="1">
        <w:r w:rsidR="00E630D0" w:rsidRPr="00B40A77">
          <w:rPr>
            <w:rStyle w:val="Hyperlink"/>
            <w:color w:val="000000" w:themeColor="text1"/>
            <w:lang w:val="en-US"/>
          </w:rPr>
          <w:t>case stated</w:t>
        </w:r>
      </w:hyperlink>
      <w:r w:rsidR="001A6696" w:rsidRPr="00B40A77">
        <w:rPr>
          <w:color w:val="000000" w:themeColor="text1"/>
          <w:lang w:val="en-US"/>
        </w:rPr>
        <w:t xml:space="preserve">) </w:t>
      </w:r>
      <w:r w:rsidRPr="00B40A77">
        <w:rPr>
          <w:color w:val="000000" w:themeColor="text1"/>
          <w:lang w:val="en-US"/>
        </w:rPr>
        <w:t>by filing a notice of discontinuance in the prescribed form.</w:t>
      </w:r>
    </w:p>
    <w:p w14:paraId="6F0B2DA2" w14:textId="77777777" w:rsidR="009B72B9" w:rsidRPr="00B40A77" w:rsidRDefault="009B72B9" w:rsidP="001103F0">
      <w:pPr>
        <w:pStyle w:val="NoteHeader"/>
        <w:keepNext/>
        <w:rPr>
          <w:color w:val="000000" w:themeColor="text1"/>
        </w:rPr>
      </w:pPr>
      <w:r w:rsidRPr="00B40A77">
        <w:rPr>
          <w:color w:val="000000" w:themeColor="text1"/>
        </w:rPr>
        <w:t>Prescribed form—</w:t>
      </w:r>
    </w:p>
    <w:p w14:paraId="1AE28396" w14:textId="5841E50A" w:rsidR="009B72B9" w:rsidRPr="00B40A77" w:rsidRDefault="009B72B9" w:rsidP="009B72B9">
      <w:pPr>
        <w:pStyle w:val="NoteText"/>
        <w:rPr>
          <w:color w:val="000000" w:themeColor="text1"/>
        </w:rPr>
      </w:pPr>
      <w:r w:rsidRPr="00B40A77">
        <w:rPr>
          <w:color w:val="000000" w:themeColor="text1"/>
        </w:rPr>
        <w:t>Form 19</w:t>
      </w:r>
      <w:r w:rsidR="00F64887" w:rsidRPr="00B40A77">
        <w:rPr>
          <w:color w:val="000000" w:themeColor="text1"/>
        </w:rPr>
        <w:t>1</w:t>
      </w:r>
      <w:r w:rsidRPr="00B40A77">
        <w:rPr>
          <w:color w:val="000000" w:themeColor="text1"/>
        </w:rPr>
        <w:t xml:space="preserve"> </w:t>
      </w:r>
      <w:hyperlink r:id="rId431" w:history="1">
        <w:r w:rsidRPr="00B40A77">
          <w:rPr>
            <w:rStyle w:val="Hyperlink"/>
            <w:color w:val="000000" w:themeColor="text1"/>
          </w:rPr>
          <w:t xml:space="preserve">Notice of Discontinuance of </w:t>
        </w:r>
        <w:r w:rsidR="001A6696" w:rsidRPr="00B40A77">
          <w:rPr>
            <w:rStyle w:val="Hyperlink"/>
            <w:color w:val="000000" w:themeColor="text1"/>
          </w:rPr>
          <w:t>Appe</w:t>
        </w:r>
        <w:r w:rsidR="00F64887" w:rsidRPr="00B40A77">
          <w:rPr>
            <w:rStyle w:val="Hyperlink"/>
            <w:color w:val="000000" w:themeColor="text1"/>
          </w:rPr>
          <w:t>a</w:t>
        </w:r>
        <w:r w:rsidR="001A6696" w:rsidRPr="00B40A77">
          <w:rPr>
            <w:rStyle w:val="Hyperlink"/>
            <w:color w:val="000000" w:themeColor="text1"/>
          </w:rPr>
          <w:t>l</w:t>
        </w:r>
      </w:hyperlink>
    </w:p>
    <w:p w14:paraId="7EDEC783" w14:textId="2504343B" w:rsidR="009B72B9" w:rsidRPr="00B40A77" w:rsidRDefault="009B72B9" w:rsidP="009B72B9">
      <w:pPr>
        <w:pStyle w:val="Hangindent"/>
        <w:rPr>
          <w:color w:val="000000" w:themeColor="text1"/>
          <w:lang w:val="en-US"/>
        </w:rPr>
      </w:pPr>
      <w:r w:rsidRPr="00B40A77">
        <w:rPr>
          <w:color w:val="000000" w:themeColor="text1"/>
          <w:lang w:val="en-US"/>
        </w:rPr>
        <w:t>(2)</w:t>
      </w:r>
      <w:r w:rsidRPr="00B40A77">
        <w:rPr>
          <w:color w:val="000000" w:themeColor="text1"/>
          <w:lang w:val="en-US"/>
        </w:rPr>
        <w:tab/>
        <w:t xml:space="preserve">Upon a notice of discontinuance being filed, the </w:t>
      </w:r>
      <w:r w:rsidR="001A6696" w:rsidRPr="00B40A77">
        <w:rPr>
          <w:color w:val="000000" w:themeColor="text1"/>
          <w:lang w:val="en-US"/>
        </w:rPr>
        <w:t>appellate proceeding</w:t>
      </w:r>
      <w:r w:rsidRPr="00B40A77">
        <w:rPr>
          <w:color w:val="000000" w:themeColor="text1"/>
          <w:lang w:val="en-US"/>
        </w:rPr>
        <w:t xml:space="preserve"> will be deemed to have been dismissed by the Court.</w:t>
      </w:r>
    </w:p>
    <w:p w14:paraId="4398EB5E" w14:textId="759A9728" w:rsidR="009B72B9" w:rsidRPr="00B40A77" w:rsidRDefault="009B72B9" w:rsidP="009B72B9">
      <w:pPr>
        <w:pStyle w:val="Hangindent"/>
        <w:rPr>
          <w:color w:val="000000" w:themeColor="text1"/>
          <w:lang w:val="en-US"/>
        </w:rPr>
      </w:pPr>
      <w:r w:rsidRPr="00B40A77">
        <w:rPr>
          <w:color w:val="000000" w:themeColor="text1"/>
          <w:lang w:val="en-US"/>
        </w:rPr>
        <w:t>(3)</w:t>
      </w:r>
      <w:r w:rsidRPr="00B40A77">
        <w:rPr>
          <w:color w:val="000000" w:themeColor="text1"/>
          <w:lang w:val="en-US"/>
        </w:rPr>
        <w:tab/>
        <w:t xml:space="preserve">A notice of discontinuance may be withdrawn </w:t>
      </w:r>
      <w:r w:rsidR="0005490B" w:rsidRPr="00B40A77">
        <w:rPr>
          <w:color w:val="000000" w:themeColor="text1"/>
          <w:lang w:val="en-US"/>
        </w:rPr>
        <w:t xml:space="preserve">with </w:t>
      </w:r>
      <w:r w:rsidRPr="00B40A77">
        <w:rPr>
          <w:color w:val="000000" w:themeColor="text1"/>
          <w:lang w:val="en-US"/>
        </w:rPr>
        <w:t>leave of the Court.</w:t>
      </w:r>
    </w:p>
    <w:p w14:paraId="67032B50" w14:textId="47BA0CBC" w:rsidR="00AF3BB2" w:rsidRPr="00B40A77" w:rsidRDefault="001A6696" w:rsidP="00AF3BB2">
      <w:pPr>
        <w:pStyle w:val="Heading3"/>
        <w:rPr>
          <w:color w:val="000000" w:themeColor="text1"/>
        </w:rPr>
      </w:pPr>
      <w:bookmarkStart w:id="1236" w:name="_Toc175239416"/>
      <w:bookmarkEnd w:id="1224"/>
      <w:r w:rsidRPr="00B40A77">
        <w:rPr>
          <w:color w:val="000000" w:themeColor="text1"/>
        </w:rPr>
        <w:t>Division 11</w:t>
      </w:r>
      <w:r w:rsidR="00AF3BB2" w:rsidRPr="00B40A77">
        <w:rPr>
          <w:color w:val="000000" w:themeColor="text1"/>
        </w:rPr>
        <w:t>—Listing for hearing</w:t>
      </w:r>
      <w:bookmarkEnd w:id="1236"/>
    </w:p>
    <w:p w14:paraId="7FA1796B" w14:textId="6842DBB6" w:rsidR="00AF3BB2" w:rsidRPr="00B40A77" w:rsidRDefault="0061042B" w:rsidP="00AF3BB2">
      <w:pPr>
        <w:pStyle w:val="Heading4"/>
        <w:rPr>
          <w:color w:val="000000" w:themeColor="text1"/>
        </w:rPr>
      </w:pPr>
      <w:bookmarkStart w:id="1237" w:name="_202.1—Listing_for_hearing"/>
      <w:bookmarkStart w:id="1238" w:name="_Toc175239417"/>
      <w:bookmarkEnd w:id="1237"/>
      <w:r w:rsidRPr="00B40A77">
        <w:rPr>
          <w:color w:val="000000" w:themeColor="text1"/>
        </w:rPr>
        <w:t>20</w:t>
      </w:r>
      <w:r w:rsidR="00F76788" w:rsidRPr="00B40A77">
        <w:rPr>
          <w:color w:val="000000" w:themeColor="text1"/>
        </w:rPr>
        <w:t>2</w:t>
      </w:r>
      <w:r w:rsidR="00A701E4" w:rsidRPr="00B40A77">
        <w:rPr>
          <w:color w:val="000000" w:themeColor="text1"/>
        </w:rPr>
        <w:t>.1</w:t>
      </w:r>
      <w:r w:rsidR="00AF3BB2" w:rsidRPr="00B40A77">
        <w:rPr>
          <w:color w:val="000000" w:themeColor="text1"/>
        </w:rPr>
        <w:t>—Listing for hearing</w:t>
      </w:r>
      <w:bookmarkEnd w:id="1238"/>
    </w:p>
    <w:p w14:paraId="70BC0A82" w14:textId="120DA6D1" w:rsidR="00AF3BB2" w:rsidRPr="00B40A77" w:rsidRDefault="00AF3BB2" w:rsidP="00AF3BB2">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r>
      <w:r w:rsidR="002652F2" w:rsidRPr="00B40A77">
        <w:rPr>
          <w:rFonts w:cs="Times New Roman"/>
          <w:color w:val="000000" w:themeColor="text1"/>
        </w:rPr>
        <w:t>An appellate proceeding</w:t>
      </w:r>
      <w:r w:rsidRPr="00B40A77">
        <w:rPr>
          <w:rFonts w:cs="Times New Roman"/>
          <w:color w:val="000000" w:themeColor="text1"/>
        </w:rPr>
        <w:t xml:space="preserve"> will </w:t>
      </w:r>
      <w:r w:rsidR="002F70D3" w:rsidRPr="00B40A77">
        <w:rPr>
          <w:rFonts w:cs="Times New Roman"/>
          <w:color w:val="000000" w:themeColor="text1"/>
        </w:rPr>
        <w:t xml:space="preserve">generally </w:t>
      </w:r>
      <w:r w:rsidRPr="00B40A77">
        <w:rPr>
          <w:rFonts w:cs="Times New Roman"/>
          <w:color w:val="000000" w:themeColor="text1"/>
        </w:rPr>
        <w:t xml:space="preserve">be listed for hearing </w:t>
      </w:r>
      <w:r w:rsidR="002F70D3" w:rsidRPr="00B40A77">
        <w:rPr>
          <w:rFonts w:cs="Times New Roman"/>
          <w:color w:val="000000" w:themeColor="text1"/>
        </w:rPr>
        <w:t>at a callover but may be listed at an</w:t>
      </w:r>
      <w:r w:rsidR="002652F2" w:rsidRPr="00B40A77">
        <w:rPr>
          <w:rFonts w:cs="Times New Roman"/>
          <w:color w:val="000000" w:themeColor="text1"/>
        </w:rPr>
        <w:t>other hearing or administratively</w:t>
      </w:r>
      <w:r w:rsidRPr="00B40A77">
        <w:rPr>
          <w:rFonts w:cs="Times New Roman"/>
          <w:color w:val="000000" w:themeColor="text1"/>
        </w:rPr>
        <w:t>.</w:t>
      </w:r>
    </w:p>
    <w:p w14:paraId="78EC1B2E" w14:textId="72FC9DA7" w:rsidR="00AF3BB2" w:rsidRPr="00B40A77" w:rsidRDefault="00AF3BB2" w:rsidP="001103F0">
      <w:pPr>
        <w:pStyle w:val="Hangindent"/>
        <w:keepNext/>
        <w:rPr>
          <w:rFonts w:cs="Times New Roman"/>
          <w:color w:val="000000" w:themeColor="text1"/>
        </w:rPr>
      </w:pPr>
      <w:r w:rsidRPr="00B40A77">
        <w:rPr>
          <w:rFonts w:cs="Times New Roman"/>
          <w:color w:val="000000" w:themeColor="text1"/>
        </w:rPr>
        <w:lastRenderedPageBreak/>
        <w:t>(2)</w:t>
      </w:r>
      <w:r w:rsidRPr="00B40A77">
        <w:rPr>
          <w:rFonts w:cs="Times New Roman"/>
          <w:color w:val="000000" w:themeColor="text1"/>
        </w:rPr>
        <w:tab/>
      </w:r>
      <w:r w:rsidR="002652F2" w:rsidRPr="00B40A77">
        <w:rPr>
          <w:rFonts w:cs="Times New Roman"/>
          <w:color w:val="000000" w:themeColor="text1"/>
        </w:rPr>
        <w:t xml:space="preserve">If a party is not present when an </w:t>
      </w:r>
      <w:r w:rsidR="00193173" w:rsidRPr="00B40A77">
        <w:rPr>
          <w:rFonts w:cs="Times New Roman"/>
          <w:color w:val="000000" w:themeColor="text1"/>
        </w:rPr>
        <w:t xml:space="preserve">appellate proceeding </w:t>
      </w:r>
      <w:r w:rsidR="002652F2" w:rsidRPr="00B40A77">
        <w:rPr>
          <w:rFonts w:cs="Times New Roman"/>
          <w:color w:val="000000" w:themeColor="text1"/>
        </w:rPr>
        <w:t xml:space="preserve">is </w:t>
      </w:r>
      <w:r w:rsidR="00E90E48" w:rsidRPr="00B40A77">
        <w:rPr>
          <w:rFonts w:cs="Times New Roman"/>
          <w:color w:val="000000" w:themeColor="text1"/>
        </w:rPr>
        <w:t>listed for hearing, t</w:t>
      </w:r>
      <w:r w:rsidRPr="00B40A77">
        <w:rPr>
          <w:rFonts w:cs="Times New Roman"/>
          <w:color w:val="000000" w:themeColor="text1"/>
        </w:rPr>
        <w:t xml:space="preserve">he Court will give notice of the </w:t>
      </w:r>
      <w:hyperlink w:anchor="_211.1—Definitions" w:history="1">
        <w:r w:rsidRPr="00B40A77">
          <w:rPr>
            <w:rStyle w:val="Hyperlink"/>
            <w:rFonts w:cs="Times New Roman"/>
            <w:color w:val="000000" w:themeColor="text1"/>
          </w:rPr>
          <w:t>listed hearing date</w:t>
        </w:r>
      </w:hyperlink>
      <w:r w:rsidRPr="00B40A77">
        <w:rPr>
          <w:rFonts w:cs="Times New Roman"/>
          <w:color w:val="000000" w:themeColor="text1"/>
        </w:rPr>
        <w:t xml:space="preserve"> in the prescribed form.</w:t>
      </w:r>
    </w:p>
    <w:p w14:paraId="14DB9A97" w14:textId="77777777" w:rsidR="00AF3BB2" w:rsidRPr="00B40A77" w:rsidRDefault="00AF3BB2" w:rsidP="004878C4">
      <w:pPr>
        <w:pStyle w:val="NoteHeader"/>
        <w:keepNext/>
        <w:rPr>
          <w:color w:val="000000" w:themeColor="text1"/>
        </w:rPr>
      </w:pPr>
      <w:r w:rsidRPr="00B40A77">
        <w:rPr>
          <w:color w:val="000000" w:themeColor="text1"/>
        </w:rPr>
        <w:t>Prescribed form—</w:t>
      </w:r>
    </w:p>
    <w:p w14:paraId="47C65577" w14:textId="6038F485" w:rsidR="00AF3BB2" w:rsidRPr="00B40A77" w:rsidRDefault="00AF3BB2" w:rsidP="004878C4">
      <w:pPr>
        <w:pStyle w:val="NoteText"/>
        <w:keepNext/>
        <w:rPr>
          <w:rStyle w:val="Hyperlink"/>
          <w:color w:val="000000" w:themeColor="text1"/>
        </w:rPr>
      </w:pPr>
      <w:r w:rsidRPr="00B40A77">
        <w:rPr>
          <w:color w:val="000000" w:themeColor="text1"/>
        </w:rPr>
        <w:t xml:space="preserve">Form </w:t>
      </w:r>
      <w:r w:rsidR="00A021EF" w:rsidRPr="00B40A77">
        <w:rPr>
          <w:color w:val="000000" w:themeColor="text1"/>
        </w:rPr>
        <w:t>19</w:t>
      </w:r>
      <w:r w:rsidR="00F64887" w:rsidRPr="00B40A77">
        <w:rPr>
          <w:color w:val="000000" w:themeColor="text1"/>
        </w:rPr>
        <w:t>6</w:t>
      </w:r>
      <w:r w:rsidRPr="00B40A77">
        <w:rPr>
          <w:color w:val="000000" w:themeColor="text1"/>
        </w:rPr>
        <w:t xml:space="preserve"> </w:t>
      </w:r>
      <w:hyperlink r:id="rId432" w:history="1">
        <w:r w:rsidRPr="00B40A77">
          <w:rPr>
            <w:rStyle w:val="Hyperlink"/>
            <w:color w:val="000000" w:themeColor="text1"/>
          </w:rPr>
          <w:t>Notice of Appeal Hearing</w:t>
        </w:r>
      </w:hyperlink>
    </w:p>
    <w:p w14:paraId="050DA41B" w14:textId="04097F0B" w:rsidR="0001378B" w:rsidRPr="00B40A77" w:rsidRDefault="0001378B" w:rsidP="0001378B">
      <w:pPr>
        <w:pStyle w:val="NoteText"/>
        <w:rPr>
          <w:rStyle w:val="Hyperlink"/>
          <w:color w:val="000000" w:themeColor="text1"/>
        </w:rPr>
      </w:pPr>
      <w:r w:rsidRPr="00B40A77">
        <w:rPr>
          <w:color w:val="000000" w:themeColor="text1"/>
        </w:rPr>
        <w:t>Form</w:t>
      </w:r>
      <w:r w:rsidR="008A7530" w:rsidRPr="00B40A77">
        <w:rPr>
          <w:color w:val="000000" w:themeColor="text1"/>
        </w:rPr>
        <w:t xml:space="preserve"> </w:t>
      </w:r>
      <w:r w:rsidR="00A32223" w:rsidRPr="00B40A77">
        <w:rPr>
          <w:color w:val="000000" w:themeColor="text1"/>
        </w:rPr>
        <w:t>19</w:t>
      </w:r>
      <w:r w:rsidR="00F64887" w:rsidRPr="00B40A77">
        <w:rPr>
          <w:color w:val="000000" w:themeColor="text1"/>
        </w:rPr>
        <w:t>7</w:t>
      </w:r>
      <w:r w:rsidRPr="00B40A77">
        <w:rPr>
          <w:color w:val="000000" w:themeColor="text1"/>
        </w:rPr>
        <w:t xml:space="preserve"> </w:t>
      </w:r>
      <w:hyperlink r:id="rId433" w:history="1">
        <w:r w:rsidRPr="00B40A77">
          <w:rPr>
            <w:rStyle w:val="Hyperlink"/>
            <w:color w:val="000000" w:themeColor="text1"/>
          </w:rPr>
          <w:t>Notice of Hearing of Application for Leave to Appeal</w:t>
        </w:r>
      </w:hyperlink>
    </w:p>
    <w:p w14:paraId="57151B62" w14:textId="249D8BEF" w:rsidR="0001378B" w:rsidRPr="00B40A77" w:rsidRDefault="001A6696" w:rsidP="0001378B">
      <w:pPr>
        <w:pStyle w:val="Heading3"/>
        <w:rPr>
          <w:color w:val="000000" w:themeColor="text1"/>
        </w:rPr>
      </w:pPr>
      <w:bookmarkStart w:id="1239" w:name="_Toc175239418"/>
      <w:r w:rsidRPr="00B40A77">
        <w:rPr>
          <w:color w:val="000000" w:themeColor="text1"/>
        </w:rPr>
        <w:t>Division 12</w:t>
      </w:r>
      <w:r w:rsidR="0001378B" w:rsidRPr="00B40A77">
        <w:rPr>
          <w:color w:val="000000" w:themeColor="text1"/>
        </w:rPr>
        <w:t>—Preparation for hearing</w:t>
      </w:r>
      <w:bookmarkEnd w:id="1239"/>
    </w:p>
    <w:p w14:paraId="00129711" w14:textId="2AA5BC82" w:rsidR="000F4728" w:rsidRPr="00B40A77" w:rsidRDefault="0061042B" w:rsidP="000F4728">
      <w:pPr>
        <w:pStyle w:val="Heading4"/>
        <w:rPr>
          <w:color w:val="000000" w:themeColor="text1"/>
        </w:rPr>
      </w:pPr>
      <w:bookmarkStart w:id="1240" w:name="_Toc67416247"/>
      <w:bookmarkStart w:id="1241" w:name="_Toc175239419"/>
      <w:r w:rsidRPr="00B40A77">
        <w:rPr>
          <w:color w:val="000000" w:themeColor="text1"/>
        </w:rPr>
        <w:t>20</w:t>
      </w:r>
      <w:r w:rsidR="00E82D03" w:rsidRPr="00B40A77">
        <w:rPr>
          <w:color w:val="000000" w:themeColor="text1"/>
        </w:rPr>
        <w:t>3</w:t>
      </w:r>
      <w:r w:rsidR="000F4728" w:rsidRPr="00B40A77">
        <w:rPr>
          <w:color w:val="000000" w:themeColor="text1"/>
        </w:rPr>
        <w:t>.1—Appeal book</w:t>
      </w:r>
      <w:bookmarkEnd w:id="1240"/>
      <w:bookmarkEnd w:id="1241"/>
    </w:p>
    <w:p w14:paraId="643A1CF9" w14:textId="77777777" w:rsidR="000F4728" w:rsidRPr="00B40A77" w:rsidRDefault="000F4728" w:rsidP="000F4728">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The Court will prepare an appeal book in consultation with the parties.</w:t>
      </w:r>
    </w:p>
    <w:p w14:paraId="24766656" w14:textId="7B5B6B9C" w:rsidR="000F4728" w:rsidRPr="00B40A77" w:rsidRDefault="000F4728" w:rsidP="000F4728">
      <w:pPr>
        <w:pStyle w:val="Hangindent"/>
        <w:rPr>
          <w:rFonts w:cs="Times New Roman"/>
          <w:color w:val="000000" w:themeColor="text1"/>
          <w:lang w:val="en-US"/>
        </w:rPr>
      </w:pPr>
      <w:r w:rsidRPr="00B40A77">
        <w:rPr>
          <w:rFonts w:cs="Times New Roman"/>
          <w:color w:val="000000" w:themeColor="text1"/>
        </w:rPr>
        <w:t>(2)</w:t>
      </w:r>
      <w:r w:rsidRPr="00B40A77">
        <w:rPr>
          <w:rFonts w:cs="Times New Roman"/>
          <w:color w:val="000000" w:themeColor="text1"/>
        </w:rPr>
        <w:tab/>
        <w:t xml:space="preserve">An appeal book on a </w:t>
      </w:r>
      <w:hyperlink w:anchor="_211.1—Definitions" w:history="1">
        <w:r w:rsidRPr="00B40A77">
          <w:rPr>
            <w:rStyle w:val="Hyperlink"/>
            <w:rFonts w:cs="Times New Roman"/>
            <w:color w:val="000000" w:themeColor="text1"/>
          </w:rPr>
          <w:t>conviction appeal</w:t>
        </w:r>
      </w:hyperlink>
      <w:r w:rsidRPr="00B40A77">
        <w:rPr>
          <w:rFonts w:cs="Times New Roman"/>
          <w:color w:val="000000" w:themeColor="text1"/>
        </w:rPr>
        <w:t xml:space="preserve"> will contain</w:t>
      </w:r>
      <w:r w:rsidRPr="00B40A77">
        <w:rPr>
          <w:b/>
          <w:color w:val="000000" w:themeColor="text1"/>
          <w:sz w:val="20"/>
          <w:szCs w:val="20"/>
        </w:rPr>
        <w:t>—</w:t>
      </w:r>
    </w:p>
    <w:p w14:paraId="6D40A53D" w14:textId="77777777" w:rsidR="000F4728" w:rsidRPr="00B40A77" w:rsidRDefault="000F4728" w:rsidP="000F4728">
      <w:pPr>
        <w:pStyle w:val="Doublehangindent"/>
        <w:rPr>
          <w:color w:val="000000" w:themeColor="text1"/>
          <w:lang w:val="en-US"/>
        </w:rPr>
      </w:pPr>
      <w:bookmarkStart w:id="1242" w:name="_Hlk67491090"/>
      <w:r w:rsidRPr="00B40A77">
        <w:rPr>
          <w:color w:val="000000" w:themeColor="text1"/>
          <w:lang w:val="en-US"/>
        </w:rPr>
        <w:t>(a)</w:t>
      </w:r>
      <w:r w:rsidRPr="00B40A77">
        <w:rPr>
          <w:color w:val="000000" w:themeColor="text1"/>
          <w:lang w:val="en-US"/>
        </w:rPr>
        <w:tab/>
        <w:t>the current version of the Information;</w:t>
      </w:r>
    </w:p>
    <w:p w14:paraId="6410179C" w14:textId="53A29DBD" w:rsidR="000F4728" w:rsidRPr="00B40A77" w:rsidRDefault="000F4728" w:rsidP="000F4728">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CB50AB" w:rsidRPr="00B40A77">
        <w:rPr>
          <w:color w:val="000000" w:themeColor="text1"/>
          <w:lang w:val="en-US"/>
        </w:rPr>
        <w:t xml:space="preserve">a </w:t>
      </w:r>
      <w:r w:rsidRPr="00B40A77">
        <w:rPr>
          <w:color w:val="000000" w:themeColor="text1"/>
          <w:lang w:val="en-US"/>
        </w:rPr>
        <w:t>list of witnesses;</w:t>
      </w:r>
    </w:p>
    <w:p w14:paraId="58669EA7" w14:textId="752153E8" w:rsidR="000F4728" w:rsidRPr="00B40A77" w:rsidRDefault="000F4728" w:rsidP="000F4728">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00CB50AB" w:rsidRPr="00B40A77">
        <w:rPr>
          <w:color w:val="000000" w:themeColor="text1"/>
          <w:lang w:val="en-US"/>
        </w:rPr>
        <w:t xml:space="preserve">a </w:t>
      </w:r>
      <w:r w:rsidRPr="00B40A77">
        <w:rPr>
          <w:color w:val="000000" w:themeColor="text1"/>
          <w:lang w:val="en-US"/>
        </w:rPr>
        <w:t>list of exhibits;</w:t>
      </w:r>
    </w:p>
    <w:p w14:paraId="73E1447B" w14:textId="0AF28B8F" w:rsidR="000F4728" w:rsidRPr="00B40A77" w:rsidRDefault="000F4728" w:rsidP="000F4728">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if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transcript is not available electronically, the </w:t>
      </w:r>
      <w:hyperlink w:anchor="_2.1—Definitions" w:history="1">
        <w:r w:rsidR="002A0B8E" w:rsidRPr="00B40A77">
          <w:rPr>
            <w:rStyle w:val="Hyperlink"/>
            <w:color w:val="000000" w:themeColor="text1"/>
            <w:lang w:val="en-US"/>
          </w:rPr>
          <w:t>trial</w:t>
        </w:r>
      </w:hyperlink>
      <w:r w:rsidRPr="00B40A77">
        <w:rPr>
          <w:color w:val="000000" w:themeColor="text1"/>
          <w:lang w:val="en-US"/>
        </w:rPr>
        <w:t xml:space="preserve"> transcript;</w:t>
      </w:r>
    </w:p>
    <w:p w14:paraId="240D1E64" w14:textId="77777777" w:rsidR="000F4728" w:rsidRPr="00B40A77" w:rsidRDefault="000F4728" w:rsidP="000F4728">
      <w:pPr>
        <w:pStyle w:val="Doublehangindent"/>
        <w:rPr>
          <w:color w:val="000000" w:themeColor="text1"/>
          <w:lang w:val="en-US"/>
        </w:rPr>
      </w:pPr>
      <w:r w:rsidRPr="00B40A77">
        <w:rPr>
          <w:color w:val="000000" w:themeColor="text1"/>
          <w:lang w:val="en-US"/>
        </w:rPr>
        <w:t>(e)</w:t>
      </w:r>
      <w:r w:rsidRPr="00B40A77">
        <w:rPr>
          <w:color w:val="000000" w:themeColor="text1"/>
          <w:lang w:val="en-US"/>
        </w:rPr>
        <w:tab/>
        <w:t>any exhibits of which a physical copy is required;</w:t>
      </w:r>
    </w:p>
    <w:p w14:paraId="2653B7F9" w14:textId="63A59C38" w:rsidR="000F4728" w:rsidRPr="00B40A77" w:rsidRDefault="000F4728" w:rsidP="000F4728">
      <w:pPr>
        <w:pStyle w:val="Doublehangindent"/>
        <w:rPr>
          <w:color w:val="000000" w:themeColor="text1"/>
          <w:lang w:val="en-US"/>
        </w:rPr>
      </w:pPr>
      <w:r w:rsidRPr="00B40A77">
        <w:rPr>
          <w:color w:val="000000" w:themeColor="text1"/>
          <w:lang w:val="en-US"/>
        </w:rPr>
        <w:t>(f)</w:t>
      </w:r>
      <w:r w:rsidRPr="00B40A77">
        <w:rPr>
          <w:color w:val="000000" w:themeColor="text1"/>
          <w:lang w:val="en-US"/>
        </w:rPr>
        <w:tab/>
      </w:r>
      <w:r w:rsidR="00AE39F4" w:rsidRPr="00B40A77">
        <w:rPr>
          <w:color w:val="000000" w:themeColor="text1"/>
          <w:lang w:val="en-US"/>
        </w:rPr>
        <w:t xml:space="preserve">the </w:t>
      </w:r>
      <w:r w:rsidRPr="00B40A77">
        <w:rPr>
          <w:color w:val="000000" w:themeColor="text1"/>
          <w:lang w:val="en-US"/>
        </w:rPr>
        <w:t xml:space="preserve">summing up for </w:t>
      </w:r>
      <w:r w:rsidR="00AE39F4" w:rsidRPr="00B40A77">
        <w:rPr>
          <w:color w:val="000000" w:themeColor="text1"/>
          <w:lang w:val="en-US"/>
        </w:rPr>
        <w:t xml:space="preserve">a </w:t>
      </w:r>
      <w:r w:rsidRPr="00B40A77">
        <w:rPr>
          <w:color w:val="000000" w:themeColor="text1"/>
          <w:lang w:val="en-US"/>
        </w:rPr>
        <w:t xml:space="preserve">jury </w:t>
      </w:r>
      <w:hyperlink w:anchor="_2.1—Definitions" w:history="1">
        <w:r w:rsidR="002A0B8E" w:rsidRPr="00B40A77">
          <w:rPr>
            <w:rStyle w:val="Hyperlink"/>
            <w:color w:val="000000" w:themeColor="text1"/>
            <w:lang w:val="en-US"/>
          </w:rPr>
          <w:t>trial</w:t>
        </w:r>
      </w:hyperlink>
      <w:r w:rsidR="00AE39F4" w:rsidRPr="00B40A77">
        <w:rPr>
          <w:color w:val="000000" w:themeColor="text1"/>
          <w:lang w:val="en-US"/>
        </w:rPr>
        <w:t xml:space="preserve"> or the </w:t>
      </w:r>
      <w:r w:rsidRPr="00B40A77">
        <w:rPr>
          <w:color w:val="000000" w:themeColor="text1"/>
          <w:lang w:val="en-US"/>
        </w:rPr>
        <w:t xml:space="preserve">reasons for verdict for </w:t>
      </w:r>
      <w:r w:rsidR="00AE39F4" w:rsidRPr="00B40A77">
        <w:rPr>
          <w:color w:val="000000" w:themeColor="text1"/>
          <w:lang w:val="en-US"/>
        </w:rPr>
        <w:t xml:space="preserve">a </w:t>
      </w:r>
      <w:r w:rsidR="00710C38" w:rsidRPr="00B40A77">
        <w:rPr>
          <w:color w:val="000000" w:themeColor="text1"/>
          <w:lang w:val="en-US"/>
        </w:rPr>
        <w:t>J</w:t>
      </w:r>
      <w:r w:rsidRPr="00B40A77">
        <w:rPr>
          <w:color w:val="000000" w:themeColor="text1"/>
          <w:lang w:val="en-US"/>
        </w:rPr>
        <w:t xml:space="preserve">udge alone or magistrate </w:t>
      </w:r>
      <w:hyperlink w:anchor="_2.1—Definitions" w:history="1">
        <w:r w:rsidR="002A0B8E" w:rsidRPr="00B40A77">
          <w:rPr>
            <w:rStyle w:val="Hyperlink"/>
            <w:color w:val="000000" w:themeColor="text1"/>
            <w:lang w:val="en-US"/>
          </w:rPr>
          <w:t>trial</w:t>
        </w:r>
      </w:hyperlink>
      <w:r w:rsidRPr="00B40A77">
        <w:rPr>
          <w:color w:val="000000" w:themeColor="text1"/>
          <w:lang w:val="en-US"/>
        </w:rPr>
        <w:t>;</w:t>
      </w:r>
    </w:p>
    <w:p w14:paraId="74C59688" w14:textId="7BFA2AF9" w:rsidR="000F4728" w:rsidRPr="00B40A77" w:rsidRDefault="000F4728" w:rsidP="000F4728">
      <w:pPr>
        <w:pStyle w:val="Doublehangindent"/>
        <w:rPr>
          <w:color w:val="000000" w:themeColor="text1"/>
          <w:lang w:val="en-US"/>
        </w:rPr>
      </w:pPr>
      <w:r w:rsidRPr="00B40A77">
        <w:rPr>
          <w:color w:val="000000" w:themeColor="text1"/>
          <w:lang w:val="en-US"/>
        </w:rPr>
        <w:t>(g)</w:t>
      </w:r>
      <w:r w:rsidRPr="00B40A77">
        <w:rPr>
          <w:color w:val="000000" w:themeColor="text1"/>
          <w:lang w:val="en-US"/>
        </w:rPr>
        <w:tab/>
        <w:t xml:space="preserve">the </w:t>
      </w:r>
      <w:r w:rsidR="00853E43" w:rsidRPr="00B40A77">
        <w:rPr>
          <w:color w:val="000000" w:themeColor="text1"/>
          <w:lang w:val="en-US"/>
        </w:rPr>
        <w:t xml:space="preserve">formal order or </w:t>
      </w:r>
      <w:r w:rsidRPr="00B40A77">
        <w:rPr>
          <w:color w:val="000000" w:themeColor="text1"/>
          <w:lang w:val="en-US"/>
        </w:rPr>
        <w:t>record of outcome for the judgmen</w:t>
      </w:r>
      <w:r w:rsidR="00853E43" w:rsidRPr="00B40A77">
        <w:rPr>
          <w:color w:val="000000" w:themeColor="text1"/>
          <w:lang w:val="en-US"/>
        </w:rPr>
        <w:t xml:space="preserve">t, </w:t>
      </w:r>
      <w:r w:rsidRPr="00B40A77">
        <w:rPr>
          <w:color w:val="000000" w:themeColor="text1"/>
          <w:lang w:val="en-US"/>
        </w:rPr>
        <w:t xml:space="preserve">order </w:t>
      </w:r>
      <w:r w:rsidR="00853E43" w:rsidRPr="00B40A77">
        <w:rPr>
          <w:color w:val="000000" w:themeColor="text1"/>
          <w:lang w:val="en-US"/>
        </w:rPr>
        <w:t xml:space="preserve">or decision </w:t>
      </w:r>
      <w:r w:rsidRPr="00B40A77">
        <w:rPr>
          <w:color w:val="000000" w:themeColor="text1"/>
          <w:lang w:val="en-US"/>
        </w:rPr>
        <w:t>at first instance the subject of the appeal;</w:t>
      </w:r>
    </w:p>
    <w:p w14:paraId="010FD74B" w14:textId="62DB5BD6" w:rsidR="00AE39F4" w:rsidRPr="00B40A77" w:rsidRDefault="000F4728" w:rsidP="000F4728">
      <w:pPr>
        <w:pStyle w:val="Doublehangindent"/>
        <w:rPr>
          <w:color w:val="000000" w:themeColor="text1"/>
          <w:lang w:val="en-US"/>
        </w:rPr>
      </w:pPr>
      <w:r w:rsidRPr="00B40A77">
        <w:rPr>
          <w:color w:val="000000" w:themeColor="text1"/>
          <w:lang w:val="en-US"/>
        </w:rPr>
        <w:t>(h)</w:t>
      </w:r>
      <w:r w:rsidRPr="00B40A77">
        <w:rPr>
          <w:color w:val="000000" w:themeColor="text1"/>
          <w:lang w:val="en-US"/>
        </w:rPr>
        <w:tab/>
      </w:r>
      <w:bookmarkStart w:id="1243" w:name="_Hlk98868239"/>
      <w:r w:rsidRPr="00B40A77">
        <w:rPr>
          <w:color w:val="000000" w:themeColor="text1"/>
          <w:lang w:val="en-US"/>
        </w:rPr>
        <w:t>if the appeal is against a judgment on appeal</w:t>
      </w:r>
      <w:r w:rsidR="00AE39F4" w:rsidRPr="00B40A77">
        <w:rPr>
          <w:b/>
          <w:color w:val="000000" w:themeColor="text1"/>
          <w:sz w:val="20"/>
          <w:szCs w:val="20"/>
        </w:rPr>
        <w:t>—</w:t>
      </w:r>
    </w:p>
    <w:p w14:paraId="5B2CDFC2" w14:textId="15718664" w:rsidR="000F4728" w:rsidRPr="00B40A77" w:rsidRDefault="00AE39F4" w:rsidP="00AE39F4">
      <w:pPr>
        <w:pStyle w:val="Doublehangindent"/>
        <w:ind w:left="2268"/>
        <w:rPr>
          <w:color w:val="000000" w:themeColor="text1"/>
          <w:lang w:val="en-US"/>
        </w:rPr>
      </w:pPr>
      <w:r w:rsidRPr="00B40A77">
        <w:rPr>
          <w:color w:val="000000" w:themeColor="text1"/>
          <w:lang w:val="en-US"/>
        </w:rPr>
        <w:t>(i)</w:t>
      </w:r>
      <w:r w:rsidRPr="00B40A77">
        <w:rPr>
          <w:color w:val="000000" w:themeColor="text1"/>
          <w:lang w:val="en-US"/>
        </w:rPr>
        <w:tab/>
      </w:r>
      <w:r w:rsidR="000F4728" w:rsidRPr="00B40A77">
        <w:rPr>
          <w:color w:val="000000" w:themeColor="text1"/>
          <w:lang w:val="en-US"/>
        </w:rPr>
        <w:t>the reasons for judgment on appeal;</w:t>
      </w:r>
      <w:r w:rsidRPr="00B40A77">
        <w:rPr>
          <w:color w:val="000000" w:themeColor="text1"/>
          <w:lang w:val="en-US"/>
        </w:rPr>
        <w:t xml:space="preserve"> and</w:t>
      </w:r>
    </w:p>
    <w:p w14:paraId="46FAB1D3" w14:textId="0F5F1F78" w:rsidR="00AE39F4" w:rsidRPr="00B40A77" w:rsidRDefault="00AE39F4" w:rsidP="004D3FE2">
      <w:pPr>
        <w:pStyle w:val="Doublehangindent"/>
        <w:ind w:left="2268"/>
        <w:rPr>
          <w:color w:val="000000" w:themeColor="text1"/>
          <w:lang w:val="en-US"/>
        </w:rPr>
      </w:pPr>
      <w:r w:rsidRPr="00B40A77">
        <w:rPr>
          <w:color w:val="000000" w:themeColor="text1"/>
          <w:lang w:val="en-US"/>
        </w:rPr>
        <w:t>(ii)</w:t>
      </w:r>
      <w:r w:rsidRPr="00B40A77">
        <w:rPr>
          <w:color w:val="000000" w:themeColor="text1"/>
          <w:lang w:val="en-US"/>
        </w:rPr>
        <w:tab/>
        <w:t>the formal order or record of outcome for the judgment on appeal;</w:t>
      </w:r>
    </w:p>
    <w:bookmarkEnd w:id="1243"/>
    <w:p w14:paraId="4B19FE03" w14:textId="58A9BF15"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i</w:t>
      </w:r>
      <w:r w:rsidRPr="00B40A77">
        <w:rPr>
          <w:color w:val="000000" w:themeColor="text1"/>
          <w:lang w:val="en-US"/>
        </w:rPr>
        <w:t>)</w:t>
      </w:r>
      <w:r w:rsidRPr="00B40A77">
        <w:rPr>
          <w:color w:val="000000" w:themeColor="text1"/>
          <w:lang w:val="en-US"/>
        </w:rPr>
        <w:tab/>
        <w:t xml:space="preserve">the current </w:t>
      </w:r>
      <w:r w:rsidR="00853E43" w:rsidRPr="00B40A77">
        <w:rPr>
          <w:color w:val="000000" w:themeColor="text1"/>
          <w:lang w:val="en-US"/>
        </w:rPr>
        <w:t xml:space="preserve">version of the </w:t>
      </w:r>
      <w:r w:rsidRPr="00B40A77">
        <w:rPr>
          <w:color w:val="000000" w:themeColor="text1"/>
          <w:lang w:val="en-US"/>
        </w:rPr>
        <w:t>notice of appeal;</w:t>
      </w:r>
    </w:p>
    <w:p w14:paraId="3F3283F2" w14:textId="6366F92B"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j</w:t>
      </w:r>
      <w:r w:rsidRPr="00B40A77">
        <w:rPr>
          <w:color w:val="000000" w:themeColor="text1"/>
          <w:lang w:val="en-US"/>
        </w:rPr>
        <w:t>)</w:t>
      </w:r>
      <w:r w:rsidRPr="00B40A77">
        <w:rPr>
          <w:color w:val="000000" w:themeColor="text1"/>
          <w:lang w:val="en-US"/>
        </w:rPr>
        <w:tab/>
        <w:t xml:space="preserve">the current version of any notice of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w:t>
      </w:r>
    </w:p>
    <w:p w14:paraId="0FFCA000" w14:textId="3FBC2B25"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k</w:t>
      </w:r>
      <w:r w:rsidRPr="00B40A77">
        <w:rPr>
          <w:color w:val="000000" w:themeColor="text1"/>
          <w:lang w:val="en-US"/>
        </w:rPr>
        <w:t>)</w:t>
      </w:r>
      <w:r w:rsidRPr="00B40A77">
        <w:rPr>
          <w:color w:val="000000" w:themeColor="text1"/>
          <w:lang w:val="en-US"/>
        </w:rPr>
        <w:tab/>
        <w:t>the current version of any notice of alternative contention;</w:t>
      </w:r>
    </w:p>
    <w:p w14:paraId="6992E59B" w14:textId="387798DD"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l</w:t>
      </w:r>
      <w:r w:rsidRPr="00B40A77">
        <w:rPr>
          <w:color w:val="000000" w:themeColor="text1"/>
          <w:lang w:val="en-US"/>
        </w:rPr>
        <w:t>)</w:t>
      </w:r>
      <w:r w:rsidRPr="00B40A77">
        <w:rPr>
          <w:color w:val="000000" w:themeColor="text1"/>
          <w:lang w:val="en-US"/>
        </w:rPr>
        <w:tab/>
        <w:t>the record of outcome for any orders made in the appeal that are required (</w:t>
      </w:r>
      <w:r w:rsidR="00AE39F4" w:rsidRPr="00B40A77">
        <w:rPr>
          <w:color w:val="000000" w:themeColor="text1"/>
          <w:lang w:val="en-US"/>
        </w:rPr>
        <w:t xml:space="preserve">for example, an </w:t>
      </w:r>
      <w:r w:rsidRPr="00B40A77">
        <w:rPr>
          <w:color w:val="000000" w:themeColor="text1"/>
          <w:lang w:val="en-US"/>
        </w:rPr>
        <w:t>order granting leave to appeal);</w:t>
      </w:r>
    </w:p>
    <w:p w14:paraId="437F61B2" w14:textId="5F3035E4"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m</w:t>
      </w:r>
      <w:r w:rsidRPr="00B40A77">
        <w:rPr>
          <w:color w:val="000000" w:themeColor="text1"/>
          <w:lang w:val="en-US"/>
        </w:rPr>
        <w:t>)</w:t>
      </w:r>
      <w:r w:rsidRPr="00B40A77">
        <w:rPr>
          <w:color w:val="000000" w:themeColor="text1"/>
          <w:lang w:val="en-US"/>
        </w:rPr>
        <w:tab/>
        <w:t>any new evidence sought to be adduced on appeal;</w:t>
      </w:r>
      <w:r w:rsidR="00326D38" w:rsidRPr="00B40A77">
        <w:rPr>
          <w:color w:val="000000" w:themeColor="text1"/>
          <w:lang w:val="en-US"/>
        </w:rPr>
        <w:t xml:space="preserve"> and</w:t>
      </w:r>
    </w:p>
    <w:p w14:paraId="08D3C335" w14:textId="00F66565" w:rsidR="000F4728" w:rsidRPr="00B40A77" w:rsidRDefault="000F4728" w:rsidP="000F4728">
      <w:pPr>
        <w:pStyle w:val="Doublehangindent"/>
        <w:rPr>
          <w:color w:val="000000" w:themeColor="text1"/>
          <w:lang w:val="en-US"/>
        </w:rPr>
      </w:pPr>
      <w:r w:rsidRPr="00B40A77">
        <w:rPr>
          <w:color w:val="000000" w:themeColor="text1"/>
          <w:lang w:val="en-US"/>
        </w:rPr>
        <w:t>(</w:t>
      </w:r>
      <w:r w:rsidR="00AE39F4" w:rsidRPr="00B40A77">
        <w:rPr>
          <w:color w:val="000000" w:themeColor="text1"/>
          <w:lang w:val="en-US"/>
        </w:rPr>
        <w:t>n</w:t>
      </w:r>
      <w:r w:rsidRPr="00B40A77">
        <w:rPr>
          <w:color w:val="000000" w:themeColor="text1"/>
          <w:lang w:val="en-US"/>
        </w:rPr>
        <w:t>)</w:t>
      </w:r>
      <w:r w:rsidRPr="00B40A77">
        <w:rPr>
          <w:color w:val="000000" w:themeColor="text1"/>
          <w:lang w:val="en-US"/>
        </w:rPr>
        <w:tab/>
        <w:t>any other material</w:t>
      </w:r>
      <w:r w:rsidR="007729A0" w:rsidRPr="00B40A77">
        <w:rPr>
          <w:color w:val="000000" w:themeColor="text1"/>
          <w:lang w:val="en-US"/>
        </w:rPr>
        <w:t xml:space="preserve"> determined by the Court</w:t>
      </w:r>
      <w:r w:rsidRPr="00B40A77">
        <w:rPr>
          <w:color w:val="000000" w:themeColor="text1"/>
          <w:lang w:val="en-US"/>
        </w:rPr>
        <w:t>.</w:t>
      </w:r>
    </w:p>
    <w:p w14:paraId="3EF47E0E" w14:textId="0071C4E3" w:rsidR="000F4728" w:rsidRPr="00B40A77" w:rsidRDefault="000F4728" w:rsidP="000F4728">
      <w:pPr>
        <w:pStyle w:val="Hangindent"/>
        <w:rPr>
          <w:rFonts w:cs="Times New Roman"/>
          <w:color w:val="000000" w:themeColor="text1"/>
          <w:lang w:val="en-US"/>
        </w:rPr>
      </w:pPr>
      <w:r w:rsidRPr="00B40A77">
        <w:rPr>
          <w:rFonts w:cs="Times New Roman"/>
          <w:color w:val="000000" w:themeColor="text1"/>
        </w:rPr>
        <w:t>(3)</w:t>
      </w:r>
      <w:r w:rsidRPr="00B40A77">
        <w:rPr>
          <w:rFonts w:cs="Times New Roman"/>
          <w:color w:val="000000" w:themeColor="text1"/>
        </w:rPr>
        <w:tab/>
        <w:t xml:space="preserve">An appeal book on a </w:t>
      </w:r>
      <w:hyperlink w:anchor="_211.1—Definitions" w:history="1">
        <w:r w:rsidRPr="00B40A77">
          <w:rPr>
            <w:rStyle w:val="Hyperlink"/>
            <w:rFonts w:cs="Times New Roman"/>
            <w:color w:val="000000" w:themeColor="text1"/>
          </w:rPr>
          <w:t>sentence appeal</w:t>
        </w:r>
      </w:hyperlink>
      <w:r w:rsidRPr="00B40A77">
        <w:rPr>
          <w:rFonts w:cs="Times New Roman"/>
          <w:color w:val="000000" w:themeColor="text1"/>
        </w:rPr>
        <w:t xml:space="preserve"> will contain</w:t>
      </w:r>
      <w:r w:rsidRPr="00B40A77">
        <w:rPr>
          <w:b/>
          <w:color w:val="000000" w:themeColor="text1"/>
          <w:sz w:val="20"/>
          <w:szCs w:val="20"/>
        </w:rPr>
        <w:t>—</w:t>
      </w:r>
    </w:p>
    <w:p w14:paraId="4494A299" w14:textId="77777777" w:rsidR="000F4728" w:rsidRPr="00B40A77" w:rsidRDefault="000F4728" w:rsidP="000F4728">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current version of the Information;</w:t>
      </w:r>
    </w:p>
    <w:p w14:paraId="152E9450" w14:textId="6266AB2A" w:rsidR="000F4728" w:rsidRPr="00B40A77" w:rsidRDefault="000F4728" w:rsidP="000F4728">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4D3FE2" w:rsidRPr="00B40A77">
        <w:rPr>
          <w:color w:val="000000" w:themeColor="text1"/>
          <w:lang w:val="en-US"/>
        </w:rPr>
        <w:t xml:space="preserve">an </w:t>
      </w:r>
      <w:r w:rsidRPr="00B40A77">
        <w:rPr>
          <w:color w:val="000000" w:themeColor="text1"/>
          <w:lang w:val="en-US"/>
        </w:rPr>
        <w:t>antecedent report;</w:t>
      </w:r>
    </w:p>
    <w:p w14:paraId="36FC748A" w14:textId="79D76AFD" w:rsidR="000F4728" w:rsidRPr="00B40A77" w:rsidRDefault="000F4728" w:rsidP="000F4728">
      <w:pPr>
        <w:pStyle w:val="Doublehangindent"/>
        <w:rPr>
          <w:color w:val="000000" w:themeColor="text1"/>
          <w:lang w:val="en-US"/>
        </w:rPr>
      </w:pPr>
      <w:r w:rsidRPr="00B40A77">
        <w:rPr>
          <w:color w:val="000000" w:themeColor="text1"/>
          <w:lang w:val="en-US"/>
        </w:rPr>
        <w:t>(c)</w:t>
      </w:r>
      <w:r w:rsidRPr="00B40A77">
        <w:rPr>
          <w:color w:val="000000" w:themeColor="text1"/>
          <w:lang w:val="en-US"/>
        </w:rPr>
        <w:tab/>
        <w:t xml:space="preserve">any other material before the sentencing </w:t>
      </w:r>
      <w:r w:rsidR="00710C38" w:rsidRPr="00B40A77">
        <w:rPr>
          <w:color w:val="000000" w:themeColor="text1"/>
          <w:lang w:val="en-US"/>
        </w:rPr>
        <w:t>J</w:t>
      </w:r>
      <w:r w:rsidRPr="00B40A77">
        <w:rPr>
          <w:color w:val="000000" w:themeColor="text1"/>
          <w:lang w:val="en-US"/>
        </w:rPr>
        <w:t xml:space="preserve">udge or </w:t>
      </w:r>
      <w:r w:rsidR="00710C38" w:rsidRPr="00B40A77">
        <w:rPr>
          <w:color w:val="000000" w:themeColor="text1"/>
          <w:lang w:val="en-US"/>
        </w:rPr>
        <w:t>M</w:t>
      </w:r>
      <w:r w:rsidRPr="00B40A77">
        <w:rPr>
          <w:color w:val="000000" w:themeColor="text1"/>
          <w:lang w:val="en-US"/>
        </w:rPr>
        <w:t>agistrate</w:t>
      </w:r>
      <w:r w:rsidR="001516FE" w:rsidRPr="00B40A77">
        <w:rPr>
          <w:color w:val="000000" w:themeColor="text1"/>
          <w:lang w:val="en-US"/>
        </w:rPr>
        <w:t>;</w:t>
      </w:r>
    </w:p>
    <w:p w14:paraId="0E0FA3CF" w14:textId="279AD8E9" w:rsidR="000F4728" w:rsidRPr="00B40A77" w:rsidRDefault="000F4728" w:rsidP="000F4728">
      <w:pPr>
        <w:pStyle w:val="Doublehangindent"/>
        <w:rPr>
          <w:color w:val="000000" w:themeColor="text1"/>
          <w:lang w:val="en-US"/>
        </w:rPr>
      </w:pPr>
      <w:r w:rsidRPr="00B40A77">
        <w:rPr>
          <w:color w:val="000000" w:themeColor="text1"/>
          <w:lang w:val="en-US"/>
        </w:rPr>
        <w:t>(d)</w:t>
      </w:r>
      <w:r w:rsidRPr="00B40A77">
        <w:rPr>
          <w:color w:val="000000" w:themeColor="text1"/>
          <w:lang w:val="en-US"/>
        </w:rPr>
        <w:tab/>
      </w:r>
      <w:r w:rsidR="003E595C" w:rsidRPr="00B40A77">
        <w:rPr>
          <w:color w:val="000000" w:themeColor="text1"/>
          <w:lang w:val="en-US"/>
        </w:rPr>
        <w:t xml:space="preserve">any </w:t>
      </w:r>
      <w:r w:rsidRPr="00B40A77">
        <w:rPr>
          <w:color w:val="000000" w:themeColor="text1"/>
          <w:lang w:val="en-US"/>
        </w:rPr>
        <w:t xml:space="preserve">transcript of </w:t>
      </w:r>
      <w:hyperlink w:anchor="_2.1—Definitions" w:history="1">
        <w:r w:rsidR="006D6EB8" w:rsidRPr="00B40A77">
          <w:rPr>
            <w:rStyle w:val="Hyperlink"/>
            <w:color w:val="000000" w:themeColor="text1"/>
          </w:rPr>
          <w:t>sentencing hearing</w:t>
        </w:r>
      </w:hyperlink>
      <w:r w:rsidRPr="00B40A77">
        <w:rPr>
          <w:color w:val="000000" w:themeColor="text1"/>
          <w:u w:val="single"/>
          <w:lang w:val="en-US"/>
        </w:rPr>
        <w:t>s</w:t>
      </w:r>
      <w:r w:rsidRPr="00B40A77">
        <w:rPr>
          <w:color w:val="000000" w:themeColor="text1"/>
          <w:lang w:val="en-US"/>
        </w:rPr>
        <w:t>;</w:t>
      </w:r>
    </w:p>
    <w:p w14:paraId="090BEF3B" w14:textId="53969285" w:rsidR="000F4728" w:rsidRPr="00B40A77" w:rsidRDefault="000F4728" w:rsidP="000F4728">
      <w:pPr>
        <w:pStyle w:val="Doublehangindent"/>
        <w:rPr>
          <w:color w:val="000000" w:themeColor="text1"/>
          <w:lang w:val="en-US"/>
        </w:rPr>
      </w:pPr>
      <w:r w:rsidRPr="00B40A77">
        <w:rPr>
          <w:color w:val="000000" w:themeColor="text1"/>
          <w:lang w:val="en-US"/>
        </w:rPr>
        <w:t>(e)</w:t>
      </w:r>
      <w:r w:rsidRPr="00B40A77">
        <w:rPr>
          <w:color w:val="000000" w:themeColor="text1"/>
          <w:lang w:val="en-US"/>
        </w:rPr>
        <w:tab/>
      </w:r>
      <w:r w:rsidR="004D3FE2" w:rsidRPr="00B40A77">
        <w:rPr>
          <w:color w:val="000000" w:themeColor="text1"/>
          <w:lang w:val="en-US"/>
        </w:rPr>
        <w:t xml:space="preserve">the </w:t>
      </w:r>
      <w:r w:rsidRPr="00B40A77">
        <w:rPr>
          <w:color w:val="000000" w:themeColor="text1"/>
          <w:lang w:val="en-US"/>
        </w:rPr>
        <w:t>sentencing remarks;</w:t>
      </w:r>
    </w:p>
    <w:p w14:paraId="29E5524C" w14:textId="596C4558" w:rsidR="000F4728" w:rsidRPr="00B40A77" w:rsidRDefault="000F4728" w:rsidP="000F4728">
      <w:pPr>
        <w:pStyle w:val="Doublehangindent"/>
        <w:rPr>
          <w:color w:val="000000" w:themeColor="text1"/>
          <w:lang w:val="en-US"/>
        </w:rPr>
      </w:pPr>
      <w:r w:rsidRPr="00B40A77">
        <w:rPr>
          <w:color w:val="000000" w:themeColor="text1"/>
          <w:lang w:val="en-US"/>
        </w:rPr>
        <w:t>(f)</w:t>
      </w:r>
      <w:r w:rsidRPr="00B40A77">
        <w:rPr>
          <w:color w:val="000000" w:themeColor="text1"/>
          <w:lang w:val="en-US"/>
        </w:rPr>
        <w:tab/>
        <w:t xml:space="preserve">the </w:t>
      </w:r>
      <w:r w:rsidR="003E595C" w:rsidRPr="00B40A77">
        <w:rPr>
          <w:color w:val="000000" w:themeColor="text1"/>
          <w:lang w:val="en-US"/>
        </w:rPr>
        <w:t xml:space="preserve">formal order or </w:t>
      </w:r>
      <w:r w:rsidRPr="00B40A77">
        <w:rPr>
          <w:color w:val="000000" w:themeColor="text1"/>
          <w:lang w:val="en-US"/>
        </w:rPr>
        <w:t>record of outcome for the order at first instance the subject of the appeal;</w:t>
      </w:r>
    </w:p>
    <w:p w14:paraId="355F7B72" w14:textId="77777777" w:rsidR="004D3FE2" w:rsidRPr="00B40A77" w:rsidRDefault="004D3FE2" w:rsidP="004D3FE2">
      <w:pPr>
        <w:pStyle w:val="Doublehangindent"/>
        <w:rPr>
          <w:color w:val="000000" w:themeColor="text1"/>
          <w:lang w:val="en-US"/>
        </w:rPr>
      </w:pPr>
      <w:r w:rsidRPr="00B40A77">
        <w:rPr>
          <w:color w:val="000000" w:themeColor="text1"/>
          <w:lang w:val="en-US"/>
        </w:rPr>
        <w:t>(g)</w:t>
      </w:r>
      <w:r w:rsidRPr="00B40A77">
        <w:rPr>
          <w:color w:val="000000" w:themeColor="text1"/>
          <w:lang w:val="en-US"/>
        </w:rPr>
        <w:tab/>
        <w:t>if the appeal is against a judgment on appeal</w:t>
      </w:r>
      <w:r w:rsidRPr="00B40A77">
        <w:rPr>
          <w:b/>
          <w:color w:val="000000" w:themeColor="text1"/>
          <w:sz w:val="20"/>
          <w:szCs w:val="20"/>
        </w:rPr>
        <w:t>—</w:t>
      </w:r>
    </w:p>
    <w:p w14:paraId="2B0F9D35" w14:textId="77777777" w:rsidR="004D3FE2" w:rsidRPr="00B40A77" w:rsidRDefault="004D3FE2" w:rsidP="004D3FE2">
      <w:pPr>
        <w:pStyle w:val="Doublehangindent"/>
        <w:ind w:left="2268"/>
        <w:rPr>
          <w:color w:val="000000" w:themeColor="text1"/>
          <w:lang w:val="en-US"/>
        </w:rPr>
      </w:pPr>
      <w:r w:rsidRPr="00B40A77">
        <w:rPr>
          <w:color w:val="000000" w:themeColor="text1"/>
          <w:lang w:val="en-US"/>
        </w:rPr>
        <w:lastRenderedPageBreak/>
        <w:t>(i)</w:t>
      </w:r>
      <w:r w:rsidRPr="00B40A77">
        <w:rPr>
          <w:color w:val="000000" w:themeColor="text1"/>
          <w:lang w:val="en-US"/>
        </w:rPr>
        <w:tab/>
        <w:t>the reasons for judgment on appeal; and</w:t>
      </w:r>
    </w:p>
    <w:p w14:paraId="29AD1916" w14:textId="2E84B808" w:rsidR="004D3FE2" w:rsidRPr="00B40A77" w:rsidRDefault="004D3FE2" w:rsidP="00917E56">
      <w:pPr>
        <w:pStyle w:val="Doublehangindent"/>
        <w:ind w:left="2268"/>
        <w:rPr>
          <w:color w:val="000000" w:themeColor="text1"/>
          <w:lang w:val="en-US"/>
        </w:rPr>
      </w:pPr>
      <w:r w:rsidRPr="00B40A77">
        <w:rPr>
          <w:color w:val="000000" w:themeColor="text1"/>
          <w:lang w:val="en-US"/>
        </w:rPr>
        <w:t>(ii)</w:t>
      </w:r>
      <w:r w:rsidRPr="00B40A77">
        <w:rPr>
          <w:color w:val="000000" w:themeColor="text1"/>
          <w:lang w:val="en-US"/>
        </w:rPr>
        <w:tab/>
        <w:t>the formal order or record of outcome for the judgment on appeal;</w:t>
      </w:r>
    </w:p>
    <w:p w14:paraId="2CDC89B9" w14:textId="00189710" w:rsidR="000F4728" w:rsidRPr="00B40A77" w:rsidRDefault="000F4728" w:rsidP="000F4728">
      <w:pPr>
        <w:pStyle w:val="Doublehangindent"/>
        <w:rPr>
          <w:color w:val="000000" w:themeColor="text1"/>
          <w:lang w:val="en-US"/>
        </w:rPr>
      </w:pPr>
      <w:r w:rsidRPr="00B40A77">
        <w:rPr>
          <w:color w:val="000000" w:themeColor="text1"/>
          <w:lang w:val="en-US"/>
        </w:rPr>
        <w:t>(</w:t>
      </w:r>
      <w:r w:rsidR="004D3FE2" w:rsidRPr="00B40A77">
        <w:rPr>
          <w:color w:val="000000" w:themeColor="text1"/>
          <w:lang w:val="en-US"/>
        </w:rPr>
        <w:t>h</w:t>
      </w:r>
      <w:r w:rsidRPr="00B40A77">
        <w:rPr>
          <w:color w:val="000000" w:themeColor="text1"/>
          <w:lang w:val="en-US"/>
        </w:rPr>
        <w:t>)</w:t>
      </w:r>
      <w:r w:rsidRPr="00B40A77">
        <w:rPr>
          <w:color w:val="000000" w:themeColor="text1"/>
          <w:lang w:val="en-US"/>
        </w:rPr>
        <w:tab/>
        <w:t xml:space="preserve">the current </w:t>
      </w:r>
      <w:r w:rsidR="003E595C" w:rsidRPr="00B40A77">
        <w:rPr>
          <w:color w:val="000000" w:themeColor="text1"/>
          <w:lang w:val="en-US"/>
        </w:rPr>
        <w:t xml:space="preserve">version of the </w:t>
      </w:r>
      <w:r w:rsidRPr="00B40A77">
        <w:rPr>
          <w:color w:val="000000" w:themeColor="text1"/>
          <w:lang w:val="en-US"/>
        </w:rPr>
        <w:t>notice of appeal;</w:t>
      </w:r>
    </w:p>
    <w:p w14:paraId="239C52BA" w14:textId="7A802F12" w:rsidR="000F4728" w:rsidRPr="00B40A77" w:rsidRDefault="000F4728" w:rsidP="000F4728">
      <w:pPr>
        <w:pStyle w:val="Doublehangindent"/>
        <w:rPr>
          <w:color w:val="000000" w:themeColor="text1"/>
          <w:lang w:val="en-US"/>
        </w:rPr>
      </w:pPr>
      <w:r w:rsidRPr="00B40A77">
        <w:rPr>
          <w:color w:val="000000" w:themeColor="text1"/>
          <w:lang w:val="en-US"/>
        </w:rPr>
        <w:t>(</w:t>
      </w:r>
      <w:r w:rsidR="004D3FE2" w:rsidRPr="00B40A77">
        <w:rPr>
          <w:color w:val="000000" w:themeColor="text1"/>
          <w:lang w:val="en-US"/>
        </w:rPr>
        <w:t>i</w:t>
      </w:r>
      <w:r w:rsidRPr="00B40A77">
        <w:rPr>
          <w:color w:val="000000" w:themeColor="text1"/>
          <w:lang w:val="en-US"/>
        </w:rPr>
        <w:t>)</w:t>
      </w:r>
      <w:r w:rsidRPr="00B40A77">
        <w:rPr>
          <w:color w:val="000000" w:themeColor="text1"/>
          <w:lang w:val="en-US"/>
        </w:rPr>
        <w:tab/>
        <w:t xml:space="preserve">the current version of any notice of </w:t>
      </w:r>
      <w:hyperlink w:anchor="_211.1—Definitions" w:history="1">
        <w:r w:rsidR="0082271A" w:rsidRPr="00B40A77">
          <w:rPr>
            <w:rStyle w:val="Hyperlink"/>
            <w:color w:val="000000" w:themeColor="text1"/>
            <w:lang w:val="en-US"/>
          </w:rPr>
          <w:t>cross appeal</w:t>
        </w:r>
      </w:hyperlink>
      <w:r w:rsidRPr="00B40A77">
        <w:rPr>
          <w:color w:val="000000" w:themeColor="text1"/>
          <w:lang w:val="en-US"/>
        </w:rPr>
        <w:t>;</w:t>
      </w:r>
    </w:p>
    <w:p w14:paraId="3F1E7F37" w14:textId="10615494" w:rsidR="000F4728" w:rsidRPr="00B40A77" w:rsidRDefault="000F4728" w:rsidP="000F4728">
      <w:pPr>
        <w:pStyle w:val="Doublehangindent"/>
        <w:rPr>
          <w:color w:val="000000" w:themeColor="text1"/>
          <w:lang w:val="en-US"/>
        </w:rPr>
      </w:pPr>
      <w:r w:rsidRPr="00B40A77">
        <w:rPr>
          <w:color w:val="000000" w:themeColor="text1"/>
          <w:lang w:val="en-US"/>
        </w:rPr>
        <w:t>(</w:t>
      </w:r>
      <w:r w:rsidR="004D3FE2" w:rsidRPr="00B40A77">
        <w:rPr>
          <w:color w:val="000000" w:themeColor="text1"/>
          <w:lang w:val="en-US"/>
        </w:rPr>
        <w:t>j</w:t>
      </w:r>
      <w:r w:rsidRPr="00B40A77">
        <w:rPr>
          <w:color w:val="000000" w:themeColor="text1"/>
          <w:lang w:val="en-US"/>
        </w:rPr>
        <w:t>)</w:t>
      </w:r>
      <w:r w:rsidRPr="00B40A77">
        <w:rPr>
          <w:color w:val="000000" w:themeColor="text1"/>
          <w:lang w:val="en-US"/>
        </w:rPr>
        <w:tab/>
        <w:t>the current version of any notice of alternative contention;</w:t>
      </w:r>
    </w:p>
    <w:p w14:paraId="10032C10" w14:textId="1BD7A457" w:rsidR="000F4728" w:rsidRPr="00B40A77" w:rsidRDefault="000F4728" w:rsidP="000F4728">
      <w:pPr>
        <w:pStyle w:val="Doublehangindent"/>
        <w:rPr>
          <w:color w:val="000000" w:themeColor="text1"/>
          <w:lang w:val="en-US"/>
        </w:rPr>
      </w:pPr>
      <w:r w:rsidRPr="00B40A77">
        <w:rPr>
          <w:color w:val="000000" w:themeColor="text1"/>
          <w:lang w:val="en-US"/>
        </w:rPr>
        <w:t>(</w:t>
      </w:r>
      <w:r w:rsidR="004D3FE2" w:rsidRPr="00B40A77">
        <w:rPr>
          <w:color w:val="000000" w:themeColor="text1"/>
          <w:lang w:val="en-US"/>
        </w:rPr>
        <w:t>k</w:t>
      </w:r>
      <w:r w:rsidRPr="00B40A77">
        <w:rPr>
          <w:color w:val="000000" w:themeColor="text1"/>
          <w:lang w:val="en-US"/>
        </w:rPr>
        <w:t>)</w:t>
      </w:r>
      <w:r w:rsidRPr="00B40A77">
        <w:rPr>
          <w:color w:val="000000" w:themeColor="text1"/>
          <w:lang w:val="en-US"/>
        </w:rPr>
        <w:tab/>
        <w:t>the record of outcome for any orders made in the appeal that are required (</w:t>
      </w:r>
      <w:r w:rsidR="004D3FE2" w:rsidRPr="00B40A77">
        <w:rPr>
          <w:color w:val="000000" w:themeColor="text1"/>
          <w:lang w:val="en-US"/>
        </w:rPr>
        <w:t xml:space="preserve">for example, an </w:t>
      </w:r>
      <w:r w:rsidRPr="00B40A77">
        <w:rPr>
          <w:color w:val="000000" w:themeColor="text1"/>
          <w:lang w:val="en-US"/>
        </w:rPr>
        <w:t>order granting leave to appeal);</w:t>
      </w:r>
      <w:r w:rsidR="00326D38" w:rsidRPr="00B40A77">
        <w:rPr>
          <w:color w:val="000000" w:themeColor="text1"/>
          <w:lang w:val="en-US"/>
        </w:rPr>
        <w:t xml:space="preserve"> and</w:t>
      </w:r>
    </w:p>
    <w:p w14:paraId="64BE1570" w14:textId="3AC851B8" w:rsidR="000F4728" w:rsidRPr="00B40A77" w:rsidRDefault="000F4728" w:rsidP="000F4728">
      <w:pPr>
        <w:pStyle w:val="Doublehangindent"/>
        <w:rPr>
          <w:color w:val="000000" w:themeColor="text1"/>
          <w:lang w:val="en-US"/>
        </w:rPr>
      </w:pPr>
      <w:r w:rsidRPr="00B40A77">
        <w:rPr>
          <w:color w:val="000000" w:themeColor="text1"/>
          <w:lang w:val="en-US"/>
        </w:rPr>
        <w:t>(</w:t>
      </w:r>
      <w:r w:rsidR="004D3FE2" w:rsidRPr="00B40A77">
        <w:rPr>
          <w:color w:val="000000" w:themeColor="text1"/>
          <w:lang w:val="en-US"/>
        </w:rPr>
        <w:t>l</w:t>
      </w:r>
      <w:r w:rsidRPr="00B40A77">
        <w:rPr>
          <w:color w:val="000000" w:themeColor="text1"/>
          <w:lang w:val="en-US"/>
        </w:rPr>
        <w:t>)</w:t>
      </w:r>
      <w:r w:rsidRPr="00B40A77">
        <w:rPr>
          <w:color w:val="000000" w:themeColor="text1"/>
          <w:lang w:val="en-US"/>
        </w:rPr>
        <w:tab/>
        <w:t>any other material</w:t>
      </w:r>
      <w:r w:rsidR="007729A0" w:rsidRPr="00B40A77">
        <w:rPr>
          <w:color w:val="000000" w:themeColor="text1"/>
          <w:lang w:val="en-US"/>
        </w:rPr>
        <w:t xml:space="preserve"> determined by the Court</w:t>
      </w:r>
      <w:r w:rsidRPr="00B40A77">
        <w:rPr>
          <w:color w:val="000000" w:themeColor="text1"/>
          <w:lang w:val="en-US"/>
        </w:rPr>
        <w:t>.</w:t>
      </w:r>
    </w:p>
    <w:p w14:paraId="6B49494B" w14:textId="229AB55F" w:rsidR="000F4728" w:rsidRPr="00B40A77" w:rsidRDefault="000F4728" w:rsidP="000F4728">
      <w:pPr>
        <w:pStyle w:val="Hangindent"/>
        <w:rPr>
          <w:rFonts w:cs="Times New Roman"/>
          <w:color w:val="000000" w:themeColor="text1"/>
          <w:lang w:val="en-US"/>
        </w:rPr>
      </w:pPr>
      <w:r w:rsidRPr="00B40A77">
        <w:rPr>
          <w:rFonts w:cs="Times New Roman"/>
          <w:color w:val="000000" w:themeColor="text1"/>
        </w:rPr>
        <w:t>(4)</w:t>
      </w:r>
      <w:r w:rsidRPr="00B40A77">
        <w:rPr>
          <w:rFonts w:cs="Times New Roman"/>
          <w:color w:val="000000" w:themeColor="text1"/>
        </w:rPr>
        <w:tab/>
        <w:t xml:space="preserve">An appeal book for a </w:t>
      </w:r>
      <w:hyperlink w:anchor="_211.1—Definitions" w:history="1">
        <w:r w:rsidR="00E630D0" w:rsidRPr="00B40A77">
          <w:rPr>
            <w:rStyle w:val="Hyperlink"/>
            <w:color w:val="000000" w:themeColor="text1"/>
            <w:lang w:val="en-US"/>
          </w:rPr>
          <w:t>case stated</w:t>
        </w:r>
      </w:hyperlink>
      <w:r w:rsidRPr="00B40A77">
        <w:rPr>
          <w:rFonts w:cs="Times New Roman"/>
          <w:color w:val="000000" w:themeColor="text1"/>
        </w:rPr>
        <w:t xml:space="preserve"> will contain</w:t>
      </w:r>
      <w:r w:rsidRPr="00B40A77">
        <w:rPr>
          <w:b/>
          <w:color w:val="000000" w:themeColor="text1"/>
          <w:sz w:val="20"/>
          <w:szCs w:val="20"/>
        </w:rPr>
        <w:t>—</w:t>
      </w:r>
    </w:p>
    <w:bookmarkEnd w:id="1242"/>
    <w:p w14:paraId="758DB9C1" w14:textId="77777777" w:rsidR="000F4728" w:rsidRPr="00B40A77" w:rsidRDefault="000F4728" w:rsidP="000F4728">
      <w:pPr>
        <w:pStyle w:val="Doublehangindent"/>
        <w:rPr>
          <w:color w:val="000000" w:themeColor="text1"/>
          <w:lang w:val="en-US"/>
        </w:rPr>
      </w:pPr>
      <w:r w:rsidRPr="00B40A77">
        <w:rPr>
          <w:color w:val="000000" w:themeColor="text1"/>
          <w:lang w:val="en-US"/>
        </w:rPr>
        <w:t>(a)</w:t>
      </w:r>
      <w:r w:rsidRPr="00B40A77">
        <w:rPr>
          <w:color w:val="000000" w:themeColor="text1"/>
          <w:lang w:val="en-US"/>
        </w:rPr>
        <w:tab/>
        <w:t>the current version of the Information;</w:t>
      </w:r>
    </w:p>
    <w:p w14:paraId="591C1686" w14:textId="5A7C51E3" w:rsidR="000F4728" w:rsidRPr="00B40A77" w:rsidRDefault="000F4728" w:rsidP="000F4728">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case stated;</w:t>
      </w:r>
      <w:r w:rsidR="00326D38" w:rsidRPr="00B40A77">
        <w:rPr>
          <w:color w:val="000000" w:themeColor="text1"/>
          <w:lang w:val="en-US"/>
        </w:rPr>
        <w:t xml:space="preserve"> and</w:t>
      </w:r>
    </w:p>
    <w:p w14:paraId="259904CC" w14:textId="0EF43A30" w:rsidR="000F4728" w:rsidRPr="00B40A77" w:rsidRDefault="000F4728" w:rsidP="000F4728">
      <w:pPr>
        <w:pStyle w:val="Doublehangindent"/>
        <w:rPr>
          <w:color w:val="000000" w:themeColor="text1"/>
          <w:lang w:val="en-US"/>
        </w:rPr>
      </w:pPr>
      <w:r w:rsidRPr="00B40A77">
        <w:rPr>
          <w:color w:val="000000" w:themeColor="text1"/>
          <w:lang w:val="en-US"/>
        </w:rPr>
        <w:t>(c)</w:t>
      </w:r>
      <w:r w:rsidRPr="00B40A77">
        <w:rPr>
          <w:color w:val="000000" w:themeColor="text1"/>
          <w:lang w:val="en-US"/>
        </w:rPr>
        <w:tab/>
        <w:t>any other material</w:t>
      </w:r>
      <w:r w:rsidR="007729A0" w:rsidRPr="00B40A77">
        <w:rPr>
          <w:color w:val="000000" w:themeColor="text1"/>
          <w:lang w:val="en-US"/>
        </w:rPr>
        <w:t xml:space="preserve"> determined by the Court</w:t>
      </w:r>
      <w:r w:rsidRPr="00B40A77">
        <w:rPr>
          <w:color w:val="000000" w:themeColor="text1"/>
          <w:lang w:val="en-US"/>
        </w:rPr>
        <w:t>.</w:t>
      </w:r>
    </w:p>
    <w:p w14:paraId="4362568A" w14:textId="242CC811" w:rsidR="00FD4E3B" w:rsidRPr="00B40A77" w:rsidRDefault="000F4728" w:rsidP="000F4728">
      <w:pPr>
        <w:pStyle w:val="Hangindent"/>
        <w:rPr>
          <w:rFonts w:cs="Times New Roman"/>
          <w:color w:val="000000" w:themeColor="text1"/>
          <w:lang w:val="en-US"/>
        </w:rPr>
      </w:pPr>
      <w:r w:rsidRPr="00B40A77">
        <w:rPr>
          <w:rFonts w:cs="Times New Roman"/>
          <w:color w:val="000000" w:themeColor="text1"/>
        </w:rPr>
        <w:t>(5)</w:t>
      </w:r>
      <w:r w:rsidRPr="00B40A77">
        <w:rPr>
          <w:rFonts w:cs="Times New Roman"/>
          <w:color w:val="000000" w:themeColor="text1"/>
        </w:rPr>
        <w:tab/>
        <w:t xml:space="preserve">An appeal book must </w:t>
      </w:r>
      <w:r w:rsidR="00FD4E3B" w:rsidRPr="00B40A77">
        <w:rPr>
          <w:rFonts w:cs="Times New Roman"/>
          <w:color w:val="000000" w:themeColor="text1"/>
        </w:rPr>
        <w:t xml:space="preserve">be paginated and must </w:t>
      </w:r>
      <w:r w:rsidRPr="00B40A77">
        <w:rPr>
          <w:rFonts w:cs="Times New Roman"/>
          <w:color w:val="000000" w:themeColor="text1"/>
        </w:rPr>
        <w:t xml:space="preserve">contain a </w:t>
      </w:r>
      <w:hyperlink w:anchor="_211.1—Definitions" w:history="1">
        <w:r w:rsidRPr="00B40A77">
          <w:rPr>
            <w:rFonts w:cs="Times New Roman"/>
            <w:color w:val="000000" w:themeColor="text1"/>
            <w:u w:val="single"/>
          </w:rPr>
          <w:t>filing pag</w:t>
        </w:r>
        <w:r w:rsidRPr="00B40A77">
          <w:rPr>
            <w:color w:val="000000" w:themeColor="text1"/>
            <w:u w:val="single"/>
          </w:rPr>
          <w:t>e</w:t>
        </w:r>
      </w:hyperlink>
      <w:r w:rsidR="00FD4E3B" w:rsidRPr="00B40A77">
        <w:rPr>
          <w:rFonts w:cs="Times New Roman"/>
          <w:color w:val="000000" w:themeColor="text1"/>
        </w:rPr>
        <w:t xml:space="preserve"> </w:t>
      </w:r>
      <w:r w:rsidRPr="00B40A77">
        <w:rPr>
          <w:rFonts w:cs="Times New Roman"/>
          <w:color w:val="000000" w:themeColor="text1"/>
        </w:rPr>
        <w:t xml:space="preserve">and a table of contents </w:t>
      </w:r>
      <w:r w:rsidR="00FD4E3B" w:rsidRPr="00B40A77">
        <w:rPr>
          <w:rFonts w:cs="Times New Roman"/>
          <w:color w:val="000000" w:themeColor="text1"/>
        </w:rPr>
        <w:t xml:space="preserve">showing each document and its page number </w:t>
      </w:r>
      <w:r w:rsidRPr="00B40A77">
        <w:rPr>
          <w:rFonts w:cs="Times New Roman"/>
          <w:color w:val="000000" w:themeColor="text1"/>
        </w:rPr>
        <w:t>.</w:t>
      </w:r>
    </w:p>
    <w:p w14:paraId="069973C0" w14:textId="5C6D50F6" w:rsidR="000608A8" w:rsidRPr="00B40A77" w:rsidRDefault="0061042B" w:rsidP="000608A8">
      <w:pPr>
        <w:pStyle w:val="Heading4"/>
        <w:rPr>
          <w:color w:val="000000" w:themeColor="text1"/>
        </w:rPr>
      </w:pPr>
      <w:bookmarkStart w:id="1244" w:name="_Toc67416248"/>
      <w:bookmarkStart w:id="1245" w:name="_Toc175239420"/>
      <w:r w:rsidRPr="00B40A77">
        <w:rPr>
          <w:color w:val="000000" w:themeColor="text1"/>
        </w:rPr>
        <w:t>20</w:t>
      </w:r>
      <w:r w:rsidR="00E82D03" w:rsidRPr="00B40A77">
        <w:rPr>
          <w:color w:val="000000" w:themeColor="text1"/>
        </w:rPr>
        <w:t>3</w:t>
      </w:r>
      <w:r w:rsidR="000608A8" w:rsidRPr="00B40A77">
        <w:rPr>
          <w:color w:val="000000" w:themeColor="text1"/>
        </w:rPr>
        <w:t>.2—Written submissions, summaries of evidence, chronologies and lists of authorities</w:t>
      </w:r>
      <w:bookmarkEnd w:id="1244"/>
      <w:bookmarkEnd w:id="1245"/>
    </w:p>
    <w:p w14:paraId="58180F7C" w14:textId="650403BF" w:rsidR="00527D2B" w:rsidRPr="00B40A77" w:rsidRDefault="00527D2B" w:rsidP="00527D2B">
      <w:pPr>
        <w:pStyle w:val="Hangindent"/>
        <w:rPr>
          <w:rFonts w:cs="Times New Roman"/>
          <w:color w:val="000000" w:themeColor="text1"/>
        </w:rPr>
      </w:pPr>
      <w:r w:rsidRPr="00B40A77">
        <w:rPr>
          <w:rFonts w:cs="Times New Roman"/>
          <w:color w:val="000000" w:themeColor="text1"/>
        </w:rPr>
        <w:t>(1)</w:t>
      </w:r>
      <w:r w:rsidRPr="00B40A77">
        <w:rPr>
          <w:rFonts w:cs="Times New Roman"/>
          <w:color w:val="000000" w:themeColor="text1"/>
        </w:rPr>
        <w:tab/>
        <w:t xml:space="preserve">Each party who intends to make submissions at the hearing of an </w:t>
      </w:r>
      <w:hyperlink w:anchor="_211.1—Definitions" w:history="1">
        <w:r w:rsidRPr="00B40A77">
          <w:rPr>
            <w:rFonts w:cs="Times New Roman"/>
            <w:color w:val="000000" w:themeColor="text1"/>
          </w:rPr>
          <w:t>appellate proceeding</w:t>
        </w:r>
      </w:hyperlink>
      <w:r w:rsidRPr="00B40A77">
        <w:rPr>
          <w:rFonts w:cs="Times New Roman"/>
          <w:color w:val="000000" w:themeColor="text1"/>
        </w:rPr>
        <w:t>—</w:t>
      </w:r>
    </w:p>
    <w:p w14:paraId="2E16DF7D" w14:textId="77777777" w:rsidR="00527D2B" w:rsidRPr="00B40A77" w:rsidRDefault="00527D2B" w:rsidP="00527D2B">
      <w:pPr>
        <w:pStyle w:val="Doublehangindent"/>
        <w:rPr>
          <w:color w:val="000000" w:themeColor="text1"/>
        </w:rPr>
      </w:pPr>
      <w:r w:rsidRPr="00B40A77">
        <w:rPr>
          <w:color w:val="000000" w:themeColor="text1"/>
        </w:rPr>
        <w:t>(a)</w:t>
      </w:r>
      <w:r w:rsidRPr="00B40A77">
        <w:rPr>
          <w:color w:val="000000" w:themeColor="text1"/>
        </w:rPr>
        <w:tab/>
        <w:t>must prepare written submissions in the prescribed form;</w:t>
      </w:r>
    </w:p>
    <w:p w14:paraId="3E889747" w14:textId="77777777" w:rsidR="00527D2B" w:rsidRPr="00B40A77" w:rsidRDefault="00527D2B" w:rsidP="00527D2B">
      <w:pPr>
        <w:pStyle w:val="Doublehangindent"/>
        <w:rPr>
          <w:color w:val="000000" w:themeColor="text1"/>
        </w:rPr>
      </w:pPr>
      <w:r w:rsidRPr="00B40A77">
        <w:rPr>
          <w:color w:val="000000" w:themeColor="text1"/>
        </w:rPr>
        <w:t>(b)</w:t>
      </w:r>
      <w:r w:rsidRPr="00B40A77">
        <w:rPr>
          <w:color w:val="000000" w:themeColor="text1"/>
        </w:rPr>
        <w:tab/>
        <w:t>must prepare a list of authorities in the prescribed form; and</w:t>
      </w:r>
    </w:p>
    <w:p w14:paraId="1F2BA3ED" w14:textId="6AEF675C" w:rsidR="00527D2B" w:rsidRPr="00B40A77" w:rsidRDefault="00527D2B" w:rsidP="001103F0">
      <w:pPr>
        <w:pStyle w:val="Doublehangindent"/>
        <w:keepNext/>
        <w:rPr>
          <w:color w:val="000000" w:themeColor="text1"/>
        </w:rPr>
      </w:pPr>
      <w:r w:rsidRPr="00B40A77">
        <w:rPr>
          <w:color w:val="000000" w:themeColor="text1"/>
        </w:rPr>
        <w:t>(c)</w:t>
      </w:r>
      <w:r w:rsidRPr="00B40A77">
        <w:rPr>
          <w:color w:val="000000" w:themeColor="text1"/>
        </w:rPr>
        <w:tab/>
        <w:t>may prepare a summary of evidence or chronology or both.</w:t>
      </w:r>
    </w:p>
    <w:p w14:paraId="690585A4" w14:textId="77777777" w:rsidR="000608A8" w:rsidRPr="00B40A77" w:rsidRDefault="000608A8" w:rsidP="001103F0">
      <w:pPr>
        <w:pStyle w:val="NoteHeader"/>
        <w:keepNext/>
        <w:rPr>
          <w:color w:val="000000" w:themeColor="text1"/>
        </w:rPr>
      </w:pPr>
      <w:r w:rsidRPr="00B40A77">
        <w:rPr>
          <w:color w:val="000000" w:themeColor="text1"/>
        </w:rPr>
        <w:t>Prescribed forms—</w:t>
      </w:r>
    </w:p>
    <w:p w14:paraId="13E4DDD1" w14:textId="6610B2D7" w:rsidR="000608A8" w:rsidRPr="00B40A77" w:rsidRDefault="000608A8" w:rsidP="000608A8">
      <w:pPr>
        <w:pStyle w:val="NoteText"/>
        <w:rPr>
          <w:color w:val="000000" w:themeColor="text1"/>
        </w:rPr>
      </w:pPr>
      <w:r w:rsidRPr="00B40A77">
        <w:rPr>
          <w:color w:val="000000" w:themeColor="text1"/>
        </w:rPr>
        <w:t>Form 18</w:t>
      </w:r>
      <w:r w:rsidR="00F64887" w:rsidRPr="00B40A77">
        <w:rPr>
          <w:color w:val="000000" w:themeColor="text1"/>
        </w:rPr>
        <w:t>7</w:t>
      </w:r>
      <w:r w:rsidRPr="00B40A77">
        <w:rPr>
          <w:color w:val="000000" w:themeColor="text1"/>
        </w:rPr>
        <w:t xml:space="preserve"> </w:t>
      </w:r>
      <w:hyperlink r:id="rId434" w:history="1">
        <w:r w:rsidRPr="00B40A77">
          <w:rPr>
            <w:rStyle w:val="Hyperlink"/>
            <w:color w:val="000000" w:themeColor="text1"/>
          </w:rPr>
          <w:t>Written Submissions</w:t>
        </w:r>
      </w:hyperlink>
    </w:p>
    <w:p w14:paraId="4E1E4A5B" w14:textId="29A9D6FF" w:rsidR="000608A8" w:rsidRPr="00B40A77" w:rsidRDefault="000608A8" w:rsidP="000608A8">
      <w:pPr>
        <w:pStyle w:val="NoteText"/>
        <w:rPr>
          <w:color w:val="000000" w:themeColor="text1"/>
        </w:rPr>
      </w:pPr>
      <w:r w:rsidRPr="00B40A77">
        <w:rPr>
          <w:color w:val="000000" w:themeColor="text1"/>
        </w:rPr>
        <w:t>Form 18</w:t>
      </w:r>
      <w:r w:rsidR="00F64887" w:rsidRPr="00B40A77">
        <w:rPr>
          <w:color w:val="000000" w:themeColor="text1"/>
        </w:rPr>
        <w:t>7</w:t>
      </w:r>
      <w:r w:rsidRPr="00B40A77">
        <w:rPr>
          <w:color w:val="000000" w:themeColor="text1"/>
        </w:rPr>
        <w:t xml:space="preserve">A </w:t>
      </w:r>
      <w:hyperlink r:id="rId435" w:history="1">
        <w:r w:rsidRPr="00B40A77">
          <w:rPr>
            <w:rStyle w:val="Hyperlink"/>
            <w:color w:val="000000" w:themeColor="text1"/>
          </w:rPr>
          <w:t xml:space="preserve">Written Submissions </w:t>
        </w:r>
        <w:r w:rsidR="00F64887" w:rsidRPr="00B40A77">
          <w:rPr>
            <w:rStyle w:val="Hyperlink"/>
            <w:color w:val="000000" w:themeColor="text1"/>
          </w:rPr>
          <w:t>of</w:t>
        </w:r>
        <w:r w:rsidRPr="00B40A77">
          <w:rPr>
            <w:rStyle w:val="Hyperlink"/>
            <w:color w:val="000000" w:themeColor="text1"/>
          </w:rPr>
          <w:t xml:space="preserve"> Appellant (sentence)</w:t>
        </w:r>
      </w:hyperlink>
    </w:p>
    <w:p w14:paraId="7B175E12" w14:textId="73A9B5E5" w:rsidR="000608A8" w:rsidRPr="00B40A77" w:rsidRDefault="000608A8" w:rsidP="000608A8">
      <w:pPr>
        <w:pStyle w:val="NoteText"/>
        <w:rPr>
          <w:color w:val="000000" w:themeColor="text1"/>
        </w:rPr>
      </w:pPr>
      <w:r w:rsidRPr="00B40A77">
        <w:rPr>
          <w:color w:val="000000" w:themeColor="text1"/>
        </w:rPr>
        <w:t>Form 18</w:t>
      </w:r>
      <w:r w:rsidR="00F64887" w:rsidRPr="00B40A77">
        <w:rPr>
          <w:color w:val="000000" w:themeColor="text1"/>
        </w:rPr>
        <w:t>7</w:t>
      </w:r>
      <w:r w:rsidRPr="00B40A77">
        <w:rPr>
          <w:color w:val="000000" w:themeColor="text1"/>
        </w:rPr>
        <w:t xml:space="preserve">B </w:t>
      </w:r>
      <w:hyperlink r:id="rId436" w:history="1">
        <w:r w:rsidRPr="00B40A77">
          <w:rPr>
            <w:rStyle w:val="Hyperlink"/>
            <w:color w:val="000000" w:themeColor="text1"/>
          </w:rPr>
          <w:t xml:space="preserve">Written Submissions </w:t>
        </w:r>
        <w:r w:rsidR="00F64887" w:rsidRPr="00B40A77">
          <w:rPr>
            <w:rStyle w:val="Hyperlink"/>
            <w:color w:val="000000" w:themeColor="text1"/>
          </w:rPr>
          <w:t>of</w:t>
        </w:r>
        <w:r w:rsidRPr="00B40A77">
          <w:rPr>
            <w:rStyle w:val="Hyperlink"/>
            <w:color w:val="000000" w:themeColor="text1"/>
          </w:rPr>
          <w:t xml:space="preserve"> </w:t>
        </w:r>
        <w:r w:rsidR="00F64887" w:rsidRPr="00B40A77">
          <w:rPr>
            <w:rStyle w:val="Hyperlink"/>
            <w:color w:val="000000" w:themeColor="text1"/>
          </w:rPr>
          <w:t>Appellant</w:t>
        </w:r>
        <w:r w:rsidRPr="00B40A77">
          <w:rPr>
            <w:rStyle w:val="Hyperlink"/>
            <w:color w:val="000000" w:themeColor="text1"/>
          </w:rPr>
          <w:t xml:space="preserve"> DPP (sentence)</w:t>
        </w:r>
      </w:hyperlink>
    </w:p>
    <w:p w14:paraId="4A80D0A6" w14:textId="50B41A69" w:rsidR="000608A8" w:rsidRPr="00B40A77" w:rsidRDefault="000608A8" w:rsidP="000608A8">
      <w:pPr>
        <w:pStyle w:val="NoteText"/>
        <w:rPr>
          <w:color w:val="000000" w:themeColor="text1"/>
        </w:rPr>
      </w:pPr>
      <w:r w:rsidRPr="00B40A77">
        <w:rPr>
          <w:color w:val="000000" w:themeColor="text1"/>
        </w:rPr>
        <w:t>Form 18</w:t>
      </w:r>
      <w:r w:rsidR="00F64887" w:rsidRPr="00B40A77">
        <w:rPr>
          <w:color w:val="000000" w:themeColor="text1"/>
        </w:rPr>
        <w:t>7</w:t>
      </w:r>
      <w:r w:rsidRPr="00B40A77">
        <w:rPr>
          <w:color w:val="000000" w:themeColor="text1"/>
        </w:rPr>
        <w:t xml:space="preserve">C </w:t>
      </w:r>
      <w:hyperlink r:id="rId437" w:history="1">
        <w:r w:rsidRPr="00B40A77">
          <w:rPr>
            <w:rStyle w:val="Hyperlink"/>
            <w:color w:val="000000" w:themeColor="text1"/>
          </w:rPr>
          <w:t xml:space="preserve">Written Submissions </w:t>
        </w:r>
        <w:r w:rsidR="00F64887" w:rsidRPr="00B40A77">
          <w:rPr>
            <w:rStyle w:val="Hyperlink"/>
            <w:color w:val="000000" w:themeColor="text1"/>
          </w:rPr>
          <w:t>of</w:t>
        </w:r>
        <w:r w:rsidRPr="00B40A77">
          <w:rPr>
            <w:rStyle w:val="Hyperlink"/>
            <w:color w:val="000000" w:themeColor="text1"/>
          </w:rPr>
          <w:t xml:space="preserve"> Respondent (sentence)</w:t>
        </w:r>
      </w:hyperlink>
    </w:p>
    <w:p w14:paraId="5C9760CF" w14:textId="286610AD" w:rsidR="00D15FF1" w:rsidRPr="00B40A77" w:rsidRDefault="00D15FF1" w:rsidP="00D15FF1">
      <w:pPr>
        <w:pStyle w:val="NoteText"/>
        <w:rPr>
          <w:color w:val="000000" w:themeColor="text1"/>
        </w:rPr>
      </w:pPr>
      <w:r w:rsidRPr="00B40A77">
        <w:rPr>
          <w:color w:val="000000" w:themeColor="text1"/>
        </w:rPr>
        <w:t>Form 1</w:t>
      </w:r>
      <w:r w:rsidR="00016689" w:rsidRPr="00B40A77">
        <w:rPr>
          <w:color w:val="000000" w:themeColor="text1"/>
        </w:rPr>
        <w:t>88</w:t>
      </w:r>
      <w:r w:rsidRPr="00B40A77">
        <w:rPr>
          <w:color w:val="000000" w:themeColor="text1"/>
        </w:rPr>
        <w:t xml:space="preserve"> </w:t>
      </w:r>
      <w:hyperlink r:id="rId438" w:history="1">
        <w:r w:rsidRPr="00B40A77">
          <w:rPr>
            <w:rStyle w:val="Hyperlink"/>
            <w:color w:val="000000" w:themeColor="text1"/>
          </w:rPr>
          <w:t>List of Authorities</w:t>
        </w:r>
      </w:hyperlink>
    </w:p>
    <w:p w14:paraId="4AD150BD" w14:textId="1646DA67" w:rsidR="000608A8" w:rsidRPr="00B40A77" w:rsidRDefault="000608A8" w:rsidP="000608A8">
      <w:pPr>
        <w:pStyle w:val="Hangindent"/>
        <w:rPr>
          <w:rFonts w:cs="Times New Roman"/>
          <w:color w:val="000000" w:themeColor="text1"/>
          <w:lang w:val="en-US"/>
        </w:rPr>
      </w:pPr>
      <w:r w:rsidRPr="00B40A77">
        <w:rPr>
          <w:rFonts w:cs="Times New Roman"/>
          <w:color w:val="000000" w:themeColor="text1"/>
        </w:rPr>
        <w:t>(2)</w:t>
      </w:r>
      <w:r w:rsidRPr="00B40A77">
        <w:rPr>
          <w:rFonts w:cs="Times New Roman"/>
          <w:color w:val="000000" w:themeColor="text1"/>
        </w:rPr>
        <w:tab/>
        <w:t>Written submissions must</w:t>
      </w:r>
      <w:r w:rsidRPr="00B40A77">
        <w:rPr>
          <w:b/>
          <w:color w:val="000000" w:themeColor="text1"/>
          <w:sz w:val="20"/>
          <w:szCs w:val="20"/>
        </w:rPr>
        <w:t>—</w:t>
      </w:r>
    </w:p>
    <w:p w14:paraId="5B1333BB" w14:textId="77777777" w:rsidR="000608A8" w:rsidRPr="00B40A77" w:rsidRDefault="000608A8" w:rsidP="000608A8">
      <w:pPr>
        <w:pStyle w:val="Doublehangindent"/>
        <w:rPr>
          <w:color w:val="000000" w:themeColor="text1"/>
          <w:lang w:val="en-US"/>
        </w:rPr>
      </w:pPr>
      <w:r w:rsidRPr="00B40A77">
        <w:rPr>
          <w:color w:val="000000" w:themeColor="text1"/>
          <w:lang w:val="en-US"/>
        </w:rPr>
        <w:t>(a)</w:t>
      </w:r>
      <w:r w:rsidRPr="00B40A77">
        <w:rPr>
          <w:color w:val="000000" w:themeColor="text1"/>
          <w:lang w:val="en-US"/>
        </w:rPr>
        <w:tab/>
        <w:t>in respect of each ground of appeal or issue</w:t>
      </w:r>
      <w:r w:rsidRPr="00B40A77">
        <w:rPr>
          <w:b/>
          <w:color w:val="000000" w:themeColor="text1"/>
          <w:sz w:val="20"/>
          <w:szCs w:val="20"/>
        </w:rPr>
        <w:t>—</w:t>
      </w:r>
      <w:r w:rsidRPr="00B40A77">
        <w:rPr>
          <w:color w:val="000000" w:themeColor="text1"/>
          <w:lang w:val="en-US"/>
        </w:rPr>
        <w:t>set out succinctly each proposition advanced by the party together with supporting references to the reasons for judgment or sentencing remarks, evidence, legislation or authorities;</w:t>
      </w:r>
    </w:p>
    <w:p w14:paraId="0AB47B4E" w14:textId="77777777" w:rsidR="000608A8" w:rsidRPr="00B40A77" w:rsidRDefault="000608A8" w:rsidP="000608A8">
      <w:pPr>
        <w:pStyle w:val="Doublehangindent"/>
        <w:rPr>
          <w:color w:val="000000" w:themeColor="text1"/>
          <w:lang w:val="en-US"/>
        </w:rPr>
      </w:pPr>
      <w:r w:rsidRPr="00B40A77">
        <w:rPr>
          <w:color w:val="000000" w:themeColor="text1"/>
          <w:lang w:val="en-US"/>
        </w:rPr>
        <w:t>(b)</w:t>
      </w:r>
      <w:r w:rsidRPr="00B40A77">
        <w:rPr>
          <w:color w:val="000000" w:themeColor="text1"/>
          <w:lang w:val="en-US"/>
        </w:rPr>
        <w:tab/>
        <w:t>to the extent that a party challenges a factual finding</w:t>
      </w:r>
      <w:r w:rsidRPr="00B40A77">
        <w:rPr>
          <w:b/>
          <w:color w:val="000000" w:themeColor="text1"/>
          <w:sz w:val="20"/>
          <w:szCs w:val="20"/>
        </w:rPr>
        <w:t>—</w:t>
      </w:r>
      <w:r w:rsidRPr="00B40A77">
        <w:rPr>
          <w:color w:val="000000" w:themeColor="text1"/>
          <w:lang w:val="en-US"/>
        </w:rPr>
        <w:t>identify the finding that was or was not made, why it is erroneous, the finding that should have been made and the evidence relied on in support of the challenge;</w:t>
      </w:r>
    </w:p>
    <w:p w14:paraId="48EB282B" w14:textId="761B0B7E" w:rsidR="000608A8" w:rsidRPr="00B40A77" w:rsidRDefault="000608A8" w:rsidP="000608A8">
      <w:pPr>
        <w:pStyle w:val="Doublehangindent"/>
        <w:rPr>
          <w:color w:val="000000" w:themeColor="text1"/>
          <w:lang w:val="en-US"/>
        </w:rPr>
      </w:pPr>
      <w:r w:rsidRPr="00B40A77">
        <w:rPr>
          <w:color w:val="000000" w:themeColor="text1"/>
          <w:lang w:val="en-US"/>
        </w:rPr>
        <w:t>(c)</w:t>
      </w:r>
      <w:r w:rsidRPr="00B40A77">
        <w:rPr>
          <w:color w:val="000000" w:themeColor="text1"/>
          <w:lang w:val="en-US"/>
        </w:rPr>
        <w:tab/>
        <w:t>to the extent that a party challenges a statement of law</w:t>
      </w:r>
      <w:r w:rsidRPr="00B40A77">
        <w:rPr>
          <w:b/>
          <w:color w:val="000000" w:themeColor="text1"/>
          <w:sz w:val="20"/>
          <w:szCs w:val="20"/>
        </w:rPr>
        <w:t>—</w:t>
      </w:r>
      <w:r w:rsidRPr="00B40A77">
        <w:rPr>
          <w:color w:val="000000" w:themeColor="text1"/>
          <w:lang w:val="en-US"/>
        </w:rPr>
        <w:t>identify the statement of law, why it is erroneous, the correct statement of law and any authorities relied on in support of the challenge;</w:t>
      </w:r>
    </w:p>
    <w:p w14:paraId="0070C261" w14:textId="37355DA9" w:rsidR="000608A8" w:rsidRPr="00B40A77" w:rsidRDefault="000608A8" w:rsidP="000608A8">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to the extent that a party challenges the reasoning of </w:t>
      </w:r>
      <w:r w:rsidR="003E595C" w:rsidRPr="00B40A77">
        <w:rPr>
          <w:color w:val="000000" w:themeColor="text1"/>
          <w:lang w:val="en-US"/>
        </w:rPr>
        <w:t>a</w:t>
      </w:r>
      <w:r w:rsidRPr="00B40A77">
        <w:rPr>
          <w:color w:val="000000" w:themeColor="text1"/>
          <w:lang w:val="en-US"/>
        </w:rPr>
        <w:t xml:space="preserve"> judicial officer</w:t>
      </w:r>
      <w:r w:rsidRPr="00B40A77">
        <w:rPr>
          <w:b/>
          <w:color w:val="000000" w:themeColor="text1"/>
          <w:sz w:val="20"/>
          <w:szCs w:val="20"/>
        </w:rPr>
        <w:t>—</w:t>
      </w:r>
      <w:r w:rsidRPr="00B40A77">
        <w:rPr>
          <w:rFonts w:cs="Times New Roman"/>
          <w:color w:val="000000" w:themeColor="text1"/>
          <w:lang w:val="en-US"/>
        </w:rPr>
        <w:t>identify the reasoning, why it is erroneous and the correct reasoning.</w:t>
      </w:r>
    </w:p>
    <w:p w14:paraId="00DDC508" w14:textId="13764D11" w:rsidR="000608A8" w:rsidRPr="00B40A77" w:rsidRDefault="000608A8" w:rsidP="000608A8">
      <w:pPr>
        <w:pStyle w:val="Hangindent"/>
        <w:rPr>
          <w:rFonts w:cs="Times New Roman"/>
          <w:color w:val="000000" w:themeColor="text1"/>
          <w:lang w:val="en-US"/>
        </w:rPr>
      </w:pPr>
      <w:r w:rsidRPr="00B40A77">
        <w:rPr>
          <w:rFonts w:cs="Times New Roman"/>
          <w:color w:val="000000" w:themeColor="text1"/>
        </w:rPr>
        <w:lastRenderedPageBreak/>
        <w:t>(3)</w:t>
      </w:r>
      <w:r w:rsidRPr="00B40A77">
        <w:rPr>
          <w:rFonts w:cs="Times New Roman"/>
          <w:color w:val="000000" w:themeColor="text1"/>
        </w:rPr>
        <w:tab/>
        <w:t>Written submissions should not, other than in exceptional circumstances, set out passages from the reasons for judgment</w:t>
      </w:r>
      <w:r w:rsidRPr="00B40A77">
        <w:rPr>
          <w:color w:val="000000" w:themeColor="text1"/>
          <w:lang w:val="en-US"/>
        </w:rPr>
        <w:t xml:space="preserve"> or sentencing remarks</w:t>
      </w:r>
      <w:r w:rsidRPr="00B40A77">
        <w:rPr>
          <w:rFonts w:cs="Times New Roman"/>
          <w:color w:val="000000" w:themeColor="text1"/>
        </w:rPr>
        <w:t>, evidence, legislation or authorities</w:t>
      </w:r>
      <w:r w:rsidR="002936A8" w:rsidRPr="00B40A77">
        <w:rPr>
          <w:rFonts w:cs="Times New Roman"/>
          <w:color w:val="000000" w:themeColor="text1"/>
        </w:rPr>
        <w:t>,</w:t>
      </w:r>
      <w:r w:rsidRPr="00B40A77">
        <w:rPr>
          <w:rFonts w:cs="Times New Roman"/>
          <w:color w:val="000000" w:themeColor="text1"/>
        </w:rPr>
        <w:t xml:space="preserve"> but should merely identify them.</w:t>
      </w:r>
    </w:p>
    <w:p w14:paraId="56DC6373" w14:textId="78B15528" w:rsidR="000608A8" w:rsidRPr="00B40A77" w:rsidRDefault="000608A8" w:rsidP="000608A8">
      <w:pPr>
        <w:pStyle w:val="IndentedPara"/>
        <w:ind w:left="1134" w:hanging="567"/>
        <w:rPr>
          <w:color w:val="000000" w:themeColor="text1"/>
        </w:rPr>
      </w:pPr>
      <w:r w:rsidRPr="00B40A77">
        <w:rPr>
          <w:color w:val="000000" w:themeColor="text1"/>
        </w:rPr>
        <w:t>(4)</w:t>
      </w:r>
      <w:r w:rsidRPr="00B40A77">
        <w:rPr>
          <w:color w:val="000000" w:themeColor="text1"/>
        </w:rPr>
        <w:tab/>
      </w:r>
      <w:r w:rsidRPr="00B40A77">
        <w:rPr>
          <w:color w:val="000000" w:themeColor="text1"/>
        </w:rPr>
        <w:tab/>
        <w:t xml:space="preserve">If a notice of appeal includes a ground of appeal that the verdict is unreasonable or cannot be supported having regard to the evidence, the appellant must file and serve a written summary of the relevant evidence and a chronology (including references to transcript pages and exhibits) at the same time as </w:t>
      </w:r>
      <w:r w:rsidR="002936A8" w:rsidRPr="00B40A77">
        <w:rPr>
          <w:color w:val="000000" w:themeColor="text1"/>
        </w:rPr>
        <w:t xml:space="preserve">filing </w:t>
      </w:r>
      <w:r w:rsidRPr="00B40A77">
        <w:rPr>
          <w:color w:val="000000" w:themeColor="text1"/>
        </w:rPr>
        <w:t>the written submissions.</w:t>
      </w:r>
    </w:p>
    <w:p w14:paraId="5FE02A2C" w14:textId="3AC1D90D" w:rsidR="000608A8" w:rsidRPr="00B40A77" w:rsidRDefault="000608A8" w:rsidP="000608A8">
      <w:pPr>
        <w:pStyle w:val="Hangindent"/>
        <w:rPr>
          <w:rFonts w:eastAsia="Times New Roman" w:cs="Times New Roman"/>
          <w:color w:val="000000" w:themeColor="text1"/>
          <w:lang w:val="en-US"/>
        </w:rPr>
      </w:pPr>
      <w:r w:rsidRPr="00B40A77">
        <w:rPr>
          <w:rFonts w:cs="Times New Roman"/>
          <w:color w:val="000000" w:themeColor="text1"/>
        </w:rPr>
        <w:t>(5)</w:t>
      </w:r>
      <w:r w:rsidRPr="00B40A77">
        <w:rPr>
          <w:rFonts w:cs="Times New Roman"/>
          <w:color w:val="000000" w:themeColor="text1"/>
        </w:rPr>
        <w:tab/>
        <w:t xml:space="preserve">Unless the Court otherwise orders, the appellant must file and serve on each other party to the appellate proceeding written submissions, a list of authorities and any summary of evidence or chronology at least </w:t>
      </w:r>
      <w:r w:rsidR="00446532" w:rsidRPr="00B40A77">
        <w:rPr>
          <w:rFonts w:cs="Times New Roman"/>
          <w:color w:val="000000" w:themeColor="text1"/>
        </w:rPr>
        <w:t xml:space="preserve">6 </w:t>
      </w:r>
      <w:hyperlink w:anchor="_2.1—Definitions" w:history="1">
        <w:r w:rsidR="00446532" w:rsidRPr="00B40A77">
          <w:rPr>
            <w:rStyle w:val="Hyperlink"/>
            <w:rFonts w:cs="Times New Roman"/>
            <w:color w:val="000000" w:themeColor="text1"/>
          </w:rPr>
          <w:t>business</w:t>
        </w:r>
        <w:r w:rsidRPr="00B40A77">
          <w:rPr>
            <w:rStyle w:val="Hyperlink"/>
            <w:rFonts w:cs="Times New Roman"/>
            <w:color w:val="000000" w:themeColor="text1"/>
          </w:rPr>
          <w:t xml:space="preserve"> days</w:t>
        </w:r>
      </w:hyperlink>
      <w:r w:rsidRPr="00B40A77">
        <w:rPr>
          <w:rFonts w:cs="Times New Roman"/>
          <w:color w:val="000000" w:themeColor="text1"/>
        </w:rPr>
        <w:t xml:space="preserve"> before </w:t>
      </w:r>
      <w:r w:rsidRPr="00B40A77">
        <w:rPr>
          <w:rFonts w:eastAsia="Times New Roman" w:cs="Times New Roman"/>
          <w:color w:val="000000" w:themeColor="text1"/>
          <w:lang w:val="en-US"/>
        </w:rPr>
        <w:t xml:space="preserve">the </w:t>
      </w:r>
      <w:hyperlink w:anchor="_211.1—Definitions" w:history="1">
        <w:r w:rsidRPr="00B40A77">
          <w:rPr>
            <w:rFonts w:eastAsia="Times New Roman"/>
            <w:color w:val="000000" w:themeColor="text1"/>
            <w:u w:val="single"/>
            <w:lang w:val="en-US"/>
          </w:rPr>
          <w:t>listed hearing date</w:t>
        </w:r>
      </w:hyperlink>
      <w:r w:rsidRPr="00B40A77">
        <w:rPr>
          <w:rFonts w:eastAsia="Times New Roman" w:cs="Times New Roman"/>
          <w:color w:val="000000" w:themeColor="text1"/>
          <w:lang w:val="en-US"/>
        </w:rPr>
        <w:t>.</w:t>
      </w:r>
    </w:p>
    <w:p w14:paraId="35BEC116" w14:textId="473BAE1B" w:rsidR="000608A8" w:rsidRPr="00B40A77" w:rsidRDefault="000608A8" w:rsidP="000608A8">
      <w:pPr>
        <w:pStyle w:val="Hangindent"/>
        <w:rPr>
          <w:rFonts w:eastAsia="Times New Roman" w:cs="Times New Roman"/>
          <w:color w:val="000000" w:themeColor="text1"/>
          <w:lang w:val="en-US"/>
        </w:rPr>
      </w:pPr>
      <w:r w:rsidRPr="00B40A77">
        <w:rPr>
          <w:rFonts w:eastAsia="Times New Roman" w:cs="Times New Roman"/>
          <w:color w:val="000000" w:themeColor="text1"/>
          <w:lang w:val="en-US"/>
        </w:rPr>
        <w:t>(6)</w:t>
      </w:r>
      <w:r w:rsidRPr="00B40A77">
        <w:rPr>
          <w:rFonts w:eastAsia="Times New Roman" w:cs="Times New Roman"/>
          <w:color w:val="000000" w:themeColor="text1"/>
          <w:lang w:val="en-US"/>
        </w:rPr>
        <w:tab/>
        <w:t xml:space="preserve">Unless the Court otherwise orders, each other party must file and serve on each other party to the appellate proceeding written submissions, a list of authorities and any summary of evidence or chronology at least </w:t>
      </w:r>
      <w:r w:rsidR="00446532" w:rsidRPr="00B40A77">
        <w:rPr>
          <w:rFonts w:eastAsia="Times New Roman" w:cs="Times New Roman"/>
          <w:color w:val="000000" w:themeColor="text1"/>
          <w:lang w:val="en-US"/>
        </w:rPr>
        <w:t xml:space="preserve">4 </w:t>
      </w:r>
      <w:hyperlink w:anchor="_2.1—Definitions" w:history="1">
        <w:r w:rsidR="00446532" w:rsidRPr="00B40A77">
          <w:rPr>
            <w:rStyle w:val="Hyperlink"/>
            <w:rFonts w:eastAsia="Times New Roman" w:cs="Times New Roman"/>
            <w:color w:val="000000" w:themeColor="text1"/>
            <w:lang w:val="en-US"/>
          </w:rPr>
          <w:t>business</w:t>
        </w:r>
        <w:r w:rsidRPr="00B40A77">
          <w:rPr>
            <w:rStyle w:val="Hyperlink"/>
            <w:rFonts w:eastAsia="Times New Roman" w:cs="Times New Roman"/>
            <w:color w:val="000000" w:themeColor="text1"/>
            <w:lang w:val="en-US"/>
          </w:rPr>
          <w:t xml:space="preserve"> days</w:t>
        </w:r>
      </w:hyperlink>
      <w:r w:rsidRPr="00B40A77">
        <w:rPr>
          <w:rFonts w:eastAsia="Times New Roman" w:cs="Times New Roman"/>
          <w:color w:val="000000" w:themeColor="text1"/>
          <w:lang w:val="en-US"/>
        </w:rPr>
        <w:t xml:space="preserve"> before the </w:t>
      </w:r>
      <w:hyperlink w:anchor="_211.1—Definitions" w:history="1">
        <w:r w:rsidRPr="00B40A77">
          <w:rPr>
            <w:rFonts w:eastAsia="Times New Roman"/>
            <w:color w:val="000000" w:themeColor="text1"/>
            <w:u w:val="single"/>
            <w:lang w:val="en-US"/>
          </w:rPr>
          <w:t>listed hearing date</w:t>
        </w:r>
      </w:hyperlink>
      <w:r w:rsidRPr="00B40A77">
        <w:rPr>
          <w:rFonts w:eastAsia="Times New Roman" w:cs="Times New Roman"/>
          <w:color w:val="000000" w:themeColor="text1"/>
          <w:lang w:val="en-US"/>
        </w:rPr>
        <w:t>.</w:t>
      </w:r>
    </w:p>
    <w:p w14:paraId="7202406E" w14:textId="42E5F1FA" w:rsidR="000608A8" w:rsidRPr="00B40A77" w:rsidRDefault="000608A8" w:rsidP="000608A8">
      <w:pPr>
        <w:pStyle w:val="Hangindent"/>
        <w:rPr>
          <w:rFonts w:eastAsia="Times New Roman" w:cs="Times New Roman"/>
          <w:color w:val="000000" w:themeColor="text1"/>
          <w:lang w:val="en-US"/>
        </w:rPr>
      </w:pPr>
      <w:r w:rsidRPr="00B40A77">
        <w:rPr>
          <w:rFonts w:eastAsia="Times New Roman" w:cs="Times New Roman"/>
          <w:color w:val="000000" w:themeColor="text1"/>
          <w:lang w:val="en-US"/>
        </w:rPr>
        <w:t>(7)</w:t>
      </w:r>
      <w:r w:rsidRPr="00B40A77">
        <w:rPr>
          <w:rFonts w:eastAsia="Times New Roman" w:cs="Times New Roman"/>
          <w:color w:val="000000" w:themeColor="text1"/>
          <w:lang w:val="en-US"/>
        </w:rPr>
        <w:tab/>
        <w:t xml:space="preserve">The appellant may file and serve on each other party to the appellate proceeding written submissions in reply at least </w:t>
      </w:r>
      <w:r w:rsidR="00446532" w:rsidRPr="00B40A77">
        <w:rPr>
          <w:rFonts w:eastAsia="Times New Roman" w:cs="Times New Roman"/>
          <w:color w:val="000000" w:themeColor="text1"/>
          <w:lang w:val="en-US"/>
        </w:rPr>
        <w:t xml:space="preserve">2 </w:t>
      </w:r>
      <w:hyperlink w:anchor="_2.1—Definitions" w:history="1">
        <w:r w:rsidR="00446532" w:rsidRPr="00B40A77">
          <w:rPr>
            <w:rStyle w:val="Hyperlink"/>
            <w:rFonts w:eastAsia="Times New Roman" w:cs="Times New Roman"/>
            <w:color w:val="000000" w:themeColor="text1"/>
            <w:lang w:val="en-US"/>
          </w:rPr>
          <w:t>business</w:t>
        </w:r>
        <w:r w:rsidRPr="00B40A77">
          <w:rPr>
            <w:rStyle w:val="Hyperlink"/>
            <w:rFonts w:eastAsia="Times New Roman" w:cs="Times New Roman"/>
            <w:color w:val="000000" w:themeColor="text1"/>
            <w:lang w:val="en-US"/>
          </w:rPr>
          <w:t xml:space="preserve"> day</w:t>
        </w:r>
        <w:r w:rsidR="009452CE" w:rsidRPr="00B40A77">
          <w:rPr>
            <w:rStyle w:val="Hyperlink"/>
            <w:rFonts w:eastAsia="Times New Roman" w:cs="Times New Roman"/>
            <w:color w:val="000000" w:themeColor="text1"/>
            <w:lang w:val="en-US"/>
          </w:rPr>
          <w:t>s</w:t>
        </w:r>
      </w:hyperlink>
      <w:r w:rsidRPr="00B40A77">
        <w:rPr>
          <w:rFonts w:eastAsia="Times New Roman" w:cs="Times New Roman"/>
          <w:color w:val="000000" w:themeColor="text1"/>
          <w:lang w:val="en-US"/>
        </w:rPr>
        <w:t xml:space="preserve"> before the </w:t>
      </w:r>
      <w:hyperlink w:anchor="_211.1—Definitions" w:history="1">
        <w:r w:rsidRPr="00B40A77">
          <w:rPr>
            <w:rFonts w:eastAsia="Times New Roman"/>
            <w:color w:val="000000" w:themeColor="text1"/>
            <w:u w:val="single"/>
            <w:lang w:val="en-US"/>
          </w:rPr>
          <w:t>listed hearing date</w:t>
        </w:r>
      </w:hyperlink>
      <w:r w:rsidRPr="00B40A77">
        <w:rPr>
          <w:rFonts w:eastAsia="Times New Roman" w:cs="Times New Roman"/>
          <w:color w:val="000000" w:themeColor="text1"/>
          <w:lang w:val="en-US"/>
        </w:rPr>
        <w:t>.</w:t>
      </w:r>
    </w:p>
    <w:p w14:paraId="5B6EBB30" w14:textId="282F4207" w:rsidR="000608A8" w:rsidRPr="00B40A77" w:rsidRDefault="000608A8" w:rsidP="000608A8">
      <w:pPr>
        <w:pStyle w:val="Hangindent"/>
        <w:rPr>
          <w:rFonts w:eastAsia="Times New Roman" w:cs="Times New Roman"/>
          <w:color w:val="000000" w:themeColor="text1"/>
          <w:lang w:val="en-US"/>
        </w:rPr>
      </w:pPr>
      <w:r w:rsidRPr="00B40A77">
        <w:rPr>
          <w:rFonts w:eastAsia="Times New Roman" w:cs="Times New Roman"/>
          <w:color w:val="000000" w:themeColor="text1"/>
          <w:lang w:val="en-US"/>
        </w:rPr>
        <w:t>(8)</w:t>
      </w:r>
      <w:r w:rsidRPr="00B40A77">
        <w:rPr>
          <w:rFonts w:eastAsia="Times New Roman" w:cs="Times New Roman"/>
          <w:color w:val="000000" w:themeColor="text1"/>
          <w:lang w:val="en-US"/>
        </w:rPr>
        <w:tab/>
        <w:t xml:space="preserve">Written submissions must not, without the leave of </w:t>
      </w:r>
      <w:hyperlink w:anchor="_2.1—Definitions" w:history="1">
        <w:r w:rsidRPr="00B40A77">
          <w:rPr>
            <w:rFonts w:eastAsia="Times New Roman"/>
            <w:color w:val="000000" w:themeColor="text1"/>
            <w:lang w:val="en-US"/>
          </w:rPr>
          <w:t xml:space="preserve">the </w:t>
        </w:r>
        <w:r w:rsidRPr="00B40A77">
          <w:rPr>
            <w:rFonts w:eastAsia="Times New Roman"/>
            <w:color w:val="000000" w:themeColor="text1"/>
            <w:u w:val="single"/>
            <w:lang w:val="en-US"/>
          </w:rPr>
          <w:t>Registrar</w:t>
        </w:r>
      </w:hyperlink>
      <w:r w:rsidRPr="00B40A77">
        <w:rPr>
          <w:rFonts w:eastAsia="Times New Roman" w:cs="Times New Roman"/>
          <w:color w:val="000000" w:themeColor="text1"/>
          <w:lang w:val="en-US"/>
        </w:rPr>
        <w:t xml:space="preserve"> or the Court, exceed 20</w:t>
      </w:r>
      <w:r w:rsidR="00E040A6" w:rsidRPr="00B40A77">
        <w:rPr>
          <w:rFonts w:eastAsia="Times New Roman" w:cs="Times New Roman"/>
          <w:color w:val="000000" w:themeColor="text1"/>
          <w:lang w:val="en-US"/>
        </w:rPr>
        <w:t> </w:t>
      </w:r>
      <w:r w:rsidRPr="00B40A77">
        <w:rPr>
          <w:rFonts w:eastAsia="Times New Roman" w:cs="Times New Roman"/>
          <w:color w:val="000000" w:themeColor="text1"/>
          <w:lang w:val="en-US"/>
        </w:rPr>
        <w:t>pages for submissions in chief, or 10</w:t>
      </w:r>
      <w:r w:rsidR="00E040A6" w:rsidRPr="00B40A77">
        <w:rPr>
          <w:rFonts w:eastAsia="Times New Roman" w:cs="Times New Roman"/>
          <w:color w:val="000000" w:themeColor="text1"/>
          <w:lang w:val="en-US"/>
        </w:rPr>
        <w:t> </w:t>
      </w:r>
      <w:r w:rsidRPr="00B40A77">
        <w:rPr>
          <w:rFonts w:eastAsia="Times New Roman" w:cs="Times New Roman"/>
          <w:color w:val="000000" w:themeColor="text1"/>
          <w:lang w:val="en-US"/>
        </w:rPr>
        <w:t xml:space="preserve">pages for submissions in reply, and must comply with </w:t>
      </w:r>
      <w:hyperlink w:anchor="_2.1—Definitions" w:history="1">
        <w:r w:rsidR="00625790"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625790" w:rsidRPr="00B40A77">
          <w:rPr>
            <w:color w:val="000000" w:themeColor="text1"/>
            <w:lang w:val="en-US"/>
          </w:rPr>
          <w:t>’</w:t>
        </w:r>
      </w:hyperlink>
      <w:r w:rsidRPr="00B40A77">
        <w:rPr>
          <w:rFonts w:eastAsia="Times New Roman" w:cs="Times New Roman"/>
          <w:color w:val="000000" w:themeColor="text1"/>
          <w:lang w:val="en-US"/>
        </w:rPr>
        <w:t>s prescribed format requirements.</w:t>
      </w:r>
    </w:p>
    <w:p w14:paraId="42100AC3" w14:textId="2A4CAD60" w:rsidR="000608A8" w:rsidRPr="00B40A77" w:rsidRDefault="000608A8" w:rsidP="000608A8">
      <w:pPr>
        <w:pStyle w:val="Hangindent"/>
        <w:rPr>
          <w:rFonts w:cs="Times New Roman"/>
          <w:color w:val="000000" w:themeColor="text1"/>
        </w:rPr>
      </w:pPr>
      <w:r w:rsidRPr="00B40A77">
        <w:rPr>
          <w:rFonts w:eastAsia="Times New Roman" w:cs="Times New Roman"/>
          <w:color w:val="000000" w:themeColor="text1"/>
          <w:lang w:val="en-US"/>
        </w:rPr>
        <w:t>(9)</w:t>
      </w:r>
      <w:r w:rsidRPr="00B40A77">
        <w:rPr>
          <w:rFonts w:eastAsia="Times New Roman" w:cs="Times New Roman"/>
          <w:color w:val="000000" w:themeColor="text1"/>
          <w:lang w:val="en-US"/>
        </w:rPr>
        <w:tab/>
      </w:r>
      <w:r w:rsidR="00A16E0F" w:rsidRPr="00B40A77">
        <w:rPr>
          <w:rFonts w:eastAsia="Times New Roman" w:cs="Times New Roman"/>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00A16E0F" w:rsidRPr="00B40A77">
        <w:rPr>
          <w:rFonts w:eastAsia="Times New Roman" w:cs="Times New Roman"/>
          <w:color w:val="000000" w:themeColor="text1"/>
          <w:lang w:val="en-US"/>
        </w:rPr>
        <w:t xml:space="preserve"> </w:t>
      </w:r>
      <w:r w:rsidRPr="00B40A77">
        <w:rPr>
          <w:rFonts w:eastAsia="Times New Roman" w:cs="Times New Roman"/>
          <w:color w:val="000000" w:themeColor="text1"/>
          <w:lang w:val="en-US"/>
        </w:rPr>
        <w:t xml:space="preserve">may, on application by a party in accordance with </w:t>
      </w:r>
      <w:hyperlink w:anchor="_13.2—Registrar" w:history="1">
        <w:r w:rsidRPr="00B40A77">
          <w:rPr>
            <w:rFonts w:eastAsia="Times New Roman"/>
            <w:color w:val="000000" w:themeColor="text1"/>
            <w:u w:val="single"/>
            <w:lang w:val="en-US"/>
          </w:rPr>
          <w:t>rule</w:t>
        </w:r>
        <w:r w:rsidR="00E040A6" w:rsidRPr="00B40A77">
          <w:rPr>
            <w:rFonts w:eastAsia="Times New Roman"/>
            <w:color w:val="000000" w:themeColor="text1"/>
            <w:u w:val="single"/>
            <w:lang w:val="en-US"/>
          </w:rPr>
          <w:t> </w:t>
        </w:r>
        <w:r w:rsidRPr="00B40A77">
          <w:rPr>
            <w:rFonts w:eastAsia="Times New Roman"/>
            <w:color w:val="000000" w:themeColor="text1"/>
            <w:u w:val="single"/>
            <w:lang w:val="en-US"/>
          </w:rPr>
          <w:t>16.2</w:t>
        </w:r>
      </w:hyperlink>
      <w:r w:rsidR="00027777" w:rsidRPr="00B40A77">
        <w:rPr>
          <w:rFonts w:eastAsia="Times New Roman"/>
          <w:color w:val="000000" w:themeColor="text1"/>
          <w:lang w:val="en-US"/>
        </w:rPr>
        <w:t>(5)</w:t>
      </w:r>
      <w:r w:rsidRPr="00B40A77">
        <w:rPr>
          <w:rFonts w:eastAsia="Times New Roman" w:cs="Times New Roman"/>
          <w:color w:val="000000" w:themeColor="text1"/>
          <w:lang w:val="en-US"/>
        </w:rPr>
        <w:t>, vary the</w:t>
      </w:r>
      <w:r w:rsidRPr="00B40A77">
        <w:rPr>
          <w:rFonts w:cs="Times New Roman"/>
          <w:color w:val="000000" w:themeColor="text1"/>
        </w:rPr>
        <w:t xml:space="preserve"> page limit for written submissions.</w:t>
      </w:r>
    </w:p>
    <w:p w14:paraId="5FD8B4D9" w14:textId="1DE4FF1A" w:rsidR="0001378B" w:rsidRPr="00B40A77" w:rsidRDefault="0088002B" w:rsidP="0001378B">
      <w:pPr>
        <w:pStyle w:val="Heading3"/>
        <w:rPr>
          <w:color w:val="000000" w:themeColor="text1"/>
        </w:rPr>
      </w:pPr>
      <w:bookmarkStart w:id="1246" w:name="_Toc175239421"/>
      <w:r w:rsidRPr="00B40A77">
        <w:rPr>
          <w:color w:val="000000" w:themeColor="text1"/>
        </w:rPr>
        <w:t>Division 1</w:t>
      </w:r>
      <w:r w:rsidR="00011AD9" w:rsidRPr="00B40A77">
        <w:rPr>
          <w:color w:val="000000" w:themeColor="text1"/>
        </w:rPr>
        <w:t>3</w:t>
      </w:r>
      <w:r w:rsidR="0001378B" w:rsidRPr="00B40A77">
        <w:rPr>
          <w:color w:val="000000" w:themeColor="text1"/>
        </w:rPr>
        <w:t>—Hearing and determination of appellate proceedings</w:t>
      </w:r>
      <w:bookmarkEnd w:id="1246"/>
      <w:r w:rsidR="0001378B" w:rsidRPr="00B40A77">
        <w:rPr>
          <w:color w:val="000000" w:themeColor="text1"/>
        </w:rPr>
        <w:t xml:space="preserve"> </w:t>
      </w:r>
    </w:p>
    <w:p w14:paraId="3F8F3BD3" w14:textId="55401642" w:rsidR="009725C9" w:rsidRPr="00B40A77" w:rsidRDefault="0061042B" w:rsidP="009725C9">
      <w:pPr>
        <w:pStyle w:val="Heading4"/>
        <w:rPr>
          <w:color w:val="000000" w:themeColor="text1"/>
        </w:rPr>
      </w:pPr>
      <w:bookmarkStart w:id="1247" w:name="_Toc385334957"/>
      <w:bookmarkStart w:id="1248" w:name="_Toc5282090"/>
      <w:bookmarkStart w:id="1249" w:name="_Toc25920319"/>
      <w:bookmarkStart w:id="1250" w:name="_Toc175239422"/>
      <w:r w:rsidRPr="00B40A77">
        <w:rPr>
          <w:color w:val="000000" w:themeColor="text1"/>
        </w:rPr>
        <w:t>20</w:t>
      </w:r>
      <w:r w:rsidR="00E82D03" w:rsidRPr="00B40A77">
        <w:rPr>
          <w:color w:val="000000" w:themeColor="text1"/>
        </w:rPr>
        <w:t>4</w:t>
      </w:r>
      <w:r w:rsidR="008F1244" w:rsidRPr="00B40A77">
        <w:rPr>
          <w:color w:val="000000" w:themeColor="text1"/>
        </w:rPr>
        <w:t>.1</w:t>
      </w:r>
      <w:r w:rsidR="009725C9" w:rsidRPr="00B40A77">
        <w:rPr>
          <w:color w:val="000000" w:themeColor="text1"/>
        </w:rPr>
        <w:t>—</w:t>
      </w:r>
      <w:bookmarkEnd w:id="1247"/>
      <w:r w:rsidR="009725C9" w:rsidRPr="00B40A77">
        <w:rPr>
          <w:color w:val="000000" w:themeColor="text1"/>
        </w:rPr>
        <w:t>Skeleton of oral argument</w:t>
      </w:r>
      <w:bookmarkEnd w:id="1248"/>
      <w:bookmarkEnd w:id="1249"/>
      <w:bookmarkEnd w:id="1250"/>
    </w:p>
    <w:p w14:paraId="74F6E757" w14:textId="77777777" w:rsidR="009725C9" w:rsidRPr="00B40A77" w:rsidRDefault="009725C9" w:rsidP="009725C9">
      <w:pPr>
        <w:pStyle w:val="Hangindent"/>
        <w:rPr>
          <w:color w:val="000000" w:themeColor="text1"/>
        </w:rPr>
      </w:pPr>
      <w:r w:rsidRPr="00B40A77">
        <w:rPr>
          <w:color w:val="000000" w:themeColor="text1"/>
          <w:lang w:val="en-GB"/>
        </w:rPr>
        <w:t>(1)</w:t>
      </w:r>
      <w:r w:rsidRPr="00B40A77">
        <w:rPr>
          <w:color w:val="000000" w:themeColor="text1"/>
          <w:lang w:val="en-GB"/>
        </w:rPr>
        <w:tab/>
        <w:t>A party may, and if the Court orders must, lodge with the Court</w:t>
      </w:r>
      <w:r w:rsidRPr="00B40A77">
        <w:rPr>
          <w:color w:val="000000" w:themeColor="text1"/>
        </w:rPr>
        <w:t xml:space="preserve"> a skeleton outline of the propositions that the party intends to advance in oral argument.</w:t>
      </w:r>
    </w:p>
    <w:p w14:paraId="3F15DEB4" w14:textId="77777777" w:rsidR="009725C9" w:rsidRPr="00B40A77" w:rsidRDefault="009725C9" w:rsidP="009725C9">
      <w:pPr>
        <w:pStyle w:val="Hangindent"/>
        <w:rPr>
          <w:color w:val="000000" w:themeColor="text1"/>
          <w:lang w:val="en-GB"/>
        </w:rPr>
      </w:pPr>
      <w:r w:rsidRPr="00B40A77">
        <w:rPr>
          <w:color w:val="000000" w:themeColor="text1"/>
          <w:lang w:val="en-GB"/>
        </w:rPr>
        <w:t>(2)</w:t>
      </w:r>
      <w:r w:rsidRPr="00B40A77">
        <w:rPr>
          <w:color w:val="000000" w:themeColor="text1"/>
          <w:lang w:val="en-GB"/>
        </w:rPr>
        <w:tab/>
        <w:t>A skeleton outline must—</w:t>
      </w:r>
    </w:p>
    <w:p w14:paraId="450D8106" w14:textId="4D242A6D" w:rsidR="009725C9" w:rsidRPr="00B40A77" w:rsidRDefault="009725C9" w:rsidP="009725C9">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Pr="00B40A77">
        <w:rPr>
          <w:color w:val="000000" w:themeColor="text1"/>
          <w:lang w:val="en-GB"/>
        </w:rPr>
        <w:t>be</w:t>
      </w:r>
      <w:r w:rsidRPr="00B40A77">
        <w:rPr>
          <w:color w:val="000000" w:themeColor="text1"/>
          <w:lang w:val="en-US"/>
        </w:rPr>
        <w:t xml:space="preserve"> filed or given to the Court no later than the commencement of the hearing</w:t>
      </w:r>
      <w:r w:rsidR="00AA77CF" w:rsidRPr="00B40A77">
        <w:rPr>
          <w:color w:val="000000" w:themeColor="text1"/>
          <w:lang w:val="en-US"/>
        </w:rPr>
        <w:t xml:space="preserve"> of the appe</w:t>
      </w:r>
      <w:r w:rsidR="00C24F77" w:rsidRPr="00B40A77">
        <w:rPr>
          <w:color w:val="000000" w:themeColor="text1"/>
          <w:lang w:val="en-US"/>
        </w:rPr>
        <w:t>llate proceeding</w:t>
      </w:r>
      <w:r w:rsidRPr="00B40A77">
        <w:rPr>
          <w:color w:val="000000" w:themeColor="text1"/>
          <w:lang w:val="en-US"/>
        </w:rPr>
        <w:t>;</w:t>
      </w:r>
    </w:p>
    <w:p w14:paraId="321B90A8" w14:textId="77777777" w:rsidR="009725C9" w:rsidRPr="00B40A77" w:rsidRDefault="009725C9" w:rsidP="009725C9">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Pr="00B40A77">
        <w:rPr>
          <w:color w:val="000000" w:themeColor="text1"/>
          <w:lang w:val="en-GB"/>
        </w:rPr>
        <w:t>be</w:t>
      </w:r>
      <w:r w:rsidRPr="00B40A77">
        <w:rPr>
          <w:color w:val="000000" w:themeColor="text1"/>
          <w:lang w:val="en-US"/>
        </w:rPr>
        <w:t xml:space="preserve"> given to each other party at the same time as it is given to the Court;</w:t>
      </w:r>
    </w:p>
    <w:p w14:paraId="66894FD3" w14:textId="1B4789EF" w:rsidR="009725C9" w:rsidRPr="00B40A77" w:rsidRDefault="009725C9" w:rsidP="009725C9">
      <w:pPr>
        <w:pStyle w:val="Doublehangindent"/>
        <w:rPr>
          <w:color w:val="000000" w:themeColor="text1"/>
          <w:lang w:val="en-US"/>
        </w:rPr>
      </w:pPr>
      <w:r w:rsidRPr="00B40A77">
        <w:rPr>
          <w:color w:val="000000" w:themeColor="text1"/>
          <w:lang w:val="en-US"/>
        </w:rPr>
        <w:t>(c)</w:t>
      </w:r>
      <w:r w:rsidRPr="00B40A77">
        <w:rPr>
          <w:color w:val="000000" w:themeColor="text1"/>
          <w:lang w:val="en-US"/>
        </w:rPr>
        <w:tab/>
      </w:r>
      <w:r w:rsidRPr="00B40A77">
        <w:rPr>
          <w:color w:val="000000" w:themeColor="text1"/>
          <w:lang w:val="en-GB"/>
        </w:rPr>
        <w:t>be</w:t>
      </w:r>
      <w:r w:rsidRPr="00B40A77">
        <w:rPr>
          <w:color w:val="000000" w:themeColor="text1"/>
          <w:lang w:val="en-US"/>
        </w:rPr>
        <w:t xml:space="preserve"> no longer than 3</w:t>
      </w:r>
      <w:r w:rsidR="00E040A6" w:rsidRPr="00B40A77">
        <w:rPr>
          <w:color w:val="000000" w:themeColor="text1"/>
          <w:lang w:val="en-US"/>
        </w:rPr>
        <w:t> </w:t>
      </w:r>
      <w:r w:rsidRPr="00B40A77">
        <w:rPr>
          <w:color w:val="000000" w:themeColor="text1"/>
          <w:lang w:val="en-US"/>
        </w:rPr>
        <w:t>pages;</w:t>
      </w:r>
    </w:p>
    <w:p w14:paraId="3CC846D7" w14:textId="77777777" w:rsidR="009725C9" w:rsidRPr="00B40A77" w:rsidRDefault="009725C9" w:rsidP="009725C9">
      <w:pPr>
        <w:pStyle w:val="Doublehangindent"/>
        <w:rPr>
          <w:color w:val="000000" w:themeColor="text1"/>
          <w:lang w:val="en-US"/>
        </w:rPr>
      </w:pPr>
      <w:r w:rsidRPr="00B40A77">
        <w:rPr>
          <w:color w:val="000000" w:themeColor="text1"/>
          <w:lang w:val="en-US"/>
        </w:rPr>
        <w:t>(d)</w:t>
      </w:r>
      <w:r w:rsidRPr="00B40A77">
        <w:rPr>
          <w:color w:val="000000" w:themeColor="text1"/>
          <w:lang w:val="en-US"/>
        </w:rPr>
        <w:tab/>
        <w:t>state propositions sequentially in the order to be addressed in oral argument; and</w:t>
      </w:r>
    </w:p>
    <w:p w14:paraId="6A52833D" w14:textId="436F918C" w:rsidR="009725C9" w:rsidRPr="00B40A77" w:rsidRDefault="009725C9" w:rsidP="009725C9">
      <w:pPr>
        <w:pStyle w:val="Doublehangindent"/>
        <w:rPr>
          <w:color w:val="000000" w:themeColor="text1"/>
          <w:lang w:val="en-US"/>
        </w:rPr>
      </w:pPr>
      <w:r w:rsidRPr="00B40A77">
        <w:rPr>
          <w:color w:val="000000" w:themeColor="text1"/>
          <w:lang w:val="en-US"/>
        </w:rPr>
        <w:t>(e)</w:t>
      </w:r>
      <w:r w:rsidRPr="00B40A77">
        <w:rPr>
          <w:color w:val="000000" w:themeColor="text1"/>
          <w:lang w:val="en-US"/>
        </w:rPr>
        <w:tab/>
        <w:t>cross</w:t>
      </w:r>
      <w:r w:rsidR="00E05716" w:rsidRPr="00B40A77">
        <w:rPr>
          <w:color w:val="000000" w:themeColor="text1"/>
          <w:lang w:val="en-US"/>
        </w:rPr>
        <w:t>-</w:t>
      </w:r>
      <w:r w:rsidRPr="00B40A77">
        <w:rPr>
          <w:color w:val="000000" w:themeColor="text1"/>
          <w:lang w:val="en-US"/>
        </w:rPr>
        <w:t>refer</w:t>
      </w:r>
      <w:r w:rsidR="00E05716" w:rsidRPr="00B40A77">
        <w:rPr>
          <w:color w:val="000000" w:themeColor="text1"/>
          <w:lang w:val="en-US"/>
        </w:rPr>
        <w:t>ence</w:t>
      </w:r>
      <w:r w:rsidRPr="00B40A77">
        <w:rPr>
          <w:color w:val="000000" w:themeColor="text1"/>
          <w:lang w:val="en-US"/>
        </w:rPr>
        <w:t xml:space="preserve"> the party’s written submissions</w:t>
      </w:r>
      <w:r w:rsidR="00E05716" w:rsidRPr="00B40A77">
        <w:rPr>
          <w:color w:val="000000" w:themeColor="text1"/>
          <w:lang w:val="en-US"/>
        </w:rPr>
        <w:t xml:space="preserve"> where applicable</w:t>
      </w:r>
      <w:r w:rsidRPr="00B40A77">
        <w:rPr>
          <w:color w:val="000000" w:themeColor="text1"/>
          <w:lang w:val="en-US"/>
        </w:rPr>
        <w:t>.</w:t>
      </w:r>
    </w:p>
    <w:p w14:paraId="179EC359" w14:textId="7DF1DCBD" w:rsidR="0001378B" w:rsidRPr="00B40A77" w:rsidRDefault="0061042B" w:rsidP="0001378B">
      <w:pPr>
        <w:pStyle w:val="Heading4"/>
        <w:rPr>
          <w:color w:val="000000" w:themeColor="text1"/>
        </w:rPr>
      </w:pPr>
      <w:bookmarkStart w:id="1251" w:name="_Toc175239423"/>
      <w:r w:rsidRPr="00B40A77">
        <w:rPr>
          <w:color w:val="000000" w:themeColor="text1"/>
        </w:rPr>
        <w:t>20</w:t>
      </w:r>
      <w:r w:rsidR="00E82D03" w:rsidRPr="00B40A77">
        <w:rPr>
          <w:color w:val="000000" w:themeColor="text1"/>
        </w:rPr>
        <w:t>4</w:t>
      </w:r>
      <w:r w:rsidR="008F1244" w:rsidRPr="00B40A77">
        <w:rPr>
          <w:color w:val="000000" w:themeColor="text1"/>
        </w:rPr>
        <w:t>.2</w:t>
      </w:r>
      <w:r w:rsidR="0001378B" w:rsidRPr="00B40A77">
        <w:rPr>
          <w:color w:val="000000" w:themeColor="text1"/>
        </w:rPr>
        <w:t>—Hearing</w:t>
      </w:r>
      <w:bookmarkEnd w:id="1251"/>
      <w:r w:rsidR="0001378B" w:rsidRPr="00B40A77">
        <w:rPr>
          <w:color w:val="000000" w:themeColor="text1"/>
        </w:rPr>
        <w:t xml:space="preserve"> </w:t>
      </w:r>
    </w:p>
    <w:p w14:paraId="40B8F0FE" w14:textId="30D0BD41" w:rsidR="0001378B" w:rsidRPr="00B40A77" w:rsidRDefault="0001378B" w:rsidP="0001378B">
      <w:pPr>
        <w:pStyle w:val="Hangindent"/>
        <w:rPr>
          <w:rFonts w:cs="Times New Roman"/>
          <w:color w:val="000000" w:themeColor="text1"/>
          <w:lang w:val="en-US"/>
        </w:rPr>
      </w:pPr>
      <w:r w:rsidRPr="00B40A77">
        <w:rPr>
          <w:rFonts w:cs="Times New Roman"/>
          <w:color w:val="000000" w:themeColor="text1"/>
        </w:rPr>
        <w:t>(1)</w:t>
      </w:r>
      <w:r w:rsidRPr="00B40A77">
        <w:rPr>
          <w:rFonts w:cs="Times New Roman"/>
          <w:color w:val="000000" w:themeColor="text1"/>
        </w:rPr>
        <w:tab/>
        <w:t xml:space="preserve">Subject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w:t>
      </w:r>
    </w:p>
    <w:p w14:paraId="12021AF1" w14:textId="16A06C65" w:rsidR="0001378B" w:rsidRPr="00B40A77" w:rsidRDefault="0001378B" w:rsidP="0001378B">
      <w:pPr>
        <w:pStyle w:val="Doublehangindent"/>
        <w:rPr>
          <w:color w:val="000000" w:themeColor="text1"/>
          <w:lang w:val="en-US"/>
        </w:rPr>
      </w:pPr>
      <w:r w:rsidRPr="00B40A77">
        <w:rPr>
          <w:color w:val="000000" w:themeColor="text1"/>
          <w:lang w:val="en-US"/>
        </w:rPr>
        <w:t>(a)</w:t>
      </w:r>
      <w:r w:rsidRPr="00B40A77">
        <w:rPr>
          <w:color w:val="000000" w:themeColor="text1"/>
          <w:lang w:val="en-US"/>
        </w:rPr>
        <w:tab/>
        <w:t>an appea</w:t>
      </w:r>
      <w:r w:rsidR="001A6696" w:rsidRPr="00B40A77">
        <w:rPr>
          <w:color w:val="000000" w:themeColor="text1"/>
          <w:lang w:val="en-US"/>
        </w:rPr>
        <w:t>l</w:t>
      </w:r>
      <w:r w:rsidRPr="00B40A77">
        <w:rPr>
          <w:color w:val="000000" w:themeColor="text1"/>
          <w:lang w:val="en-US"/>
        </w:rPr>
        <w:t xml:space="preserve"> is to be by way of rehearing; </w:t>
      </w:r>
    </w:p>
    <w:p w14:paraId="75D03AC8" w14:textId="2A2F71BE" w:rsidR="0001378B" w:rsidRPr="00B40A77" w:rsidRDefault="0001378B" w:rsidP="0001378B">
      <w:pPr>
        <w:pStyle w:val="Doublehangindent"/>
        <w:rPr>
          <w:color w:val="000000" w:themeColor="text1"/>
          <w:lang w:val="en-US"/>
        </w:rPr>
      </w:pPr>
      <w:r w:rsidRPr="00B40A77">
        <w:rPr>
          <w:color w:val="000000" w:themeColor="text1"/>
          <w:lang w:val="en-US"/>
        </w:rPr>
        <w:t>(b)</w:t>
      </w:r>
      <w:r w:rsidRPr="00B40A77">
        <w:rPr>
          <w:color w:val="000000" w:themeColor="text1"/>
          <w:lang w:val="en-US"/>
        </w:rPr>
        <w:tab/>
        <w:t>the Court may draw inferences from evidence adduced in the proceeding at first instance; and</w:t>
      </w:r>
    </w:p>
    <w:p w14:paraId="506C0371" w14:textId="0AD96EB6" w:rsidR="0001378B" w:rsidRPr="00B40A77" w:rsidRDefault="0001378B" w:rsidP="0001378B">
      <w:pPr>
        <w:pStyle w:val="Doublehangindent"/>
        <w:rPr>
          <w:color w:val="000000" w:themeColor="text1"/>
          <w:lang w:val="en-US"/>
        </w:rPr>
      </w:pPr>
      <w:r w:rsidRPr="00B40A77">
        <w:rPr>
          <w:color w:val="000000" w:themeColor="text1"/>
          <w:lang w:val="en-US"/>
        </w:rPr>
        <w:t>(c)</w:t>
      </w:r>
      <w:r w:rsidRPr="00B40A77">
        <w:rPr>
          <w:color w:val="000000" w:themeColor="text1"/>
          <w:lang w:val="en-US"/>
        </w:rPr>
        <w:tab/>
        <w:t>the Court may hear further evidence in its discretion.</w:t>
      </w:r>
    </w:p>
    <w:p w14:paraId="113908D3" w14:textId="5AA4071A" w:rsidR="00D21B55" w:rsidRPr="00B40A77" w:rsidRDefault="00D21B55" w:rsidP="00D21B55">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The Court may, if it considers that it is in the interests of justice to do so, determine </w:t>
      </w:r>
      <w:r w:rsidRPr="00B40A77">
        <w:rPr>
          <w:color w:val="000000" w:themeColor="text1"/>
          <w:lang w:val="en-US"/>
        </w:rPr>
        <w:t>an appellate proceeding</w:t>
      </w:r>
      <w:r w:rsidRPr="00B40A77">
        <w:rPr>
          <w:rFonts w:cs="Times New Roman"/>
          <w:color w:val="000000" w:themeColor="text1"/>
        </w:rPr>
        <w:t xml:space="preserve"> on the merits notwithstanding a failure of a party to raise or </w:t>
      </w:r>
      <w:r w:rsidR="005B1F24" w:rsidRPr="00B40A77">
        <w:rPr>
          <w:rFonts w:cs="Times New Roman"/>
          <w:color w:val="000000" w:themeColor="text1"/>
        </w:rPr>
        <w:t xml:space="preserve">properly </w:t>
      </w:r>
      <w:r w:rsidRPr="00B40A77">
        <w:rPr>
          <w:rFonts w:cs="Times New Roman"/>
          <w:color w:val="000000" w:themeColor="text1"/>
        </w:rPr>
        <w:t xml:space="preserve">state a contention in an </w:t>
      </w:r>
      <w:hyperlink w:anchor="_211.1—Definitions" w:history="1">
        <w:r w:rsidR="000D2BEB" w:rsidRPr="00B40A77">
          <w:rPr>
            <w:rStyle w:val="Hyperlink"/>
            <w:color w:val="000000" w:themeColor="text1"/>
            <w:lang w:val="en-US"/>
          </w:rPr>
          <w:t>appellate document</w:t>
        </w:r>
      </w:hyperlink>
      <w:r w:rsidRPr="00B40A77">
        <w:rPr>
          <w:rFonts w:cs="Times New Roman"/>
          <w:color w:val="000000" w:themeColor="text1"/>
        </w:rPr>
        <w:t xml:space="preserve"> or written submissions.</w:t>
      </w:r>
    </w:p>
    <w:p w14:paraId="54143C60" w14:textId="6B980BE0" w:rsidR="00D21B55" w:rsidRPr="00B40A77" w:rsidRDefault="00D21B55" w:rsidP="00D21B55">
      <w:pPr>
        <w:pStyle w:val="Hangindent"/>
        <w:rPr>
          <w:rFonts w:cs="Times New Roman"/>
          <w:color w:val="000000" w:themeColor="text1"/>
        </w:rPr>
      </w:pPr>
      <w:r w:rsidRPr="00B40A77">
        <w:rPr>
          <w:rFonts w:cs="Times New Roman"/>
          <w:color w:val="000000" w:themeColor="text1"/>
        </w:rPr>
        <w:lastRenderedPageBreak/>
        <w:t>(3)</w:t>
      </w:r>
      <w:r w:rsidRPr="00B40A77">
        <w:rPr>
          <w:rFonts w:cs="Times New Roman"/>
          <w:color w:val="000000" w:themeColor="text1"/>
        </w:rPr>
        <w:tab/>
      </w:r>
      <w:r w:rsidR="0053237C" w:rsidRPr="00B40A77">
        <w:rPr>
          <w:rFonts w:cs="Times New Roman"/>
          <w:color w:val="000000" w:themeColor="text1"/>
        </w:rPr>
        <w:t>The Court may, if it thinks fit and s</w:t>
      </w:r>
      <w:r w:rsidRPr="00B40A77">
        <w:rPr>
          <w:rFonts w:cs="Times New Roman"/>
          <w:color w:val="000000" w:themeColor="text1"/>
        </w:rPr>
        <w:t xml:space="preserve">ubject to any statutory provision to the contrary, reformulate the question reserved </w:t>
      </w:r>
      <w:r w:rsidR="0053237C" w:rsidRPr="00B40A77">
        <w:rPr>
          <w:rFonts w:cs="Times New Roman"/>
          <w:color w:val="000000" w:themeColor="text1"/>
        </w:rPr>
        <w:t xml:space="preserve">on a </w:t>
      </w:r>
      <w:hyperlink w:anchor="_211.1—Definitions" w:history="1">
        <w:r w:rsidR="00E630D0" w:rsidRPr="00B40A77">
          <w:rPr>
            <w:rStyle w:val="Hyperlink"/>
            <w:color w:val="000000" w:themeColor="text1"/>
            <w:lang w:val="en-US"/>
          </w:rPr>
          <w:t>case stated</w:t>
        </w:r>
      </w:hyperlink>
      <w:r w:rsidR="0053237C" w:rsidRPr="00B40A77">
        <w:rPr>
          <w:rFonts w:cs="Times New Roman"/>
          <w:color w:val="000000" w:themeColor="text1"/>
        </w:rPr>
        <w:t xml:space="preserve"> </w:t>
      </w:r>
      <w:r w:rsidRPr="00B40A77">
        <w:rPr>
          <w:rFonts w:cs="Times New Roman"/>
          <w:color w:val="000000" w:themeColor="text1"/>
        </w:rPr>
        <w:t xml:space="preserve">to better reflect the question of law arising on the </w:t>
      </w:r>
      <w:hyperlink w:anchor="_211.1—Definitions" w:history="1">
        <w:r w:rsidR="00E630D0" w:rsidRPr="00B40A77">
          <w:rPr>
            <w:rStyle w:val="Hyperlink"/>
            <w:color w:val="000000" w:themeColor="text1"/>
            <w:lang w:val="en-US"/>
          </w:rPr>
          <w:t>case stated</w:t>
        </w:r>
      </w:hyperlink>
      <w:r w:rsidRPr="00B40A77">
        <w:rPr>
          <w:rFonts w:cs="Times New Roman"/>
          <w:color w:val="000000" w:themeColor="text1"/>
        </w:rPr>
        <w:t>.</w:t>
      </w:r>
    </w:p>
    <w:p w14:paraId="7F968C6E" w14:textId="30BA211A" w:rsidR="0001378B" w:rsidRPr="00B40A77" w:rsidRDefault="0061042B" w:rsidP="0001378B">
      <w:pPr>
        <w:pStyle w:val="Heading4"/>
        <w:rPr>
          <w:color w:val="000000" w:themeColor="text1"/>
        </w:rPr>
      </w:pPr>
      <w:bookmarkStart w:id="1252" w:name="_Toc175239424"/>
      <w:r w:rsidRPr="00B40A77">
        <w:rPr>
          <w:color w:val="000000" w:themeColor="text1"/>
        </w:rPr>
        <w:t>20</w:t>
      </w:r>
      <w:r w:rsidR="00E82D03" w:rsidRPr="00B40A77">
        <w:rPr>
          <w:color w:val="000000" w:themeColor="text1"/>
        </w:rPr>
        <w:t>4</w:t>
      </w:r>
      <w:r w:rsidR="009308FE" w:rsidRPr="00B40A77">
        <w:rPr>
          <w:color w:val="000000" w:themeColor="text1"/>
        </w:rPr>
        <w:t>.3</w:t>
      </w:r>
      <w:r w:rsidR="0001378B" w:rsidRPr="00B40A77">
        <w:rPr>
          <w:color w:val="000000" w:themeColor="text1"/>
        </w:rPr>
        <w:t>—Determination</w:t>
      </w:r>
      <w:bookmarkEnd w:id="1252"/>
      <w:r w:rsidR="0001378B" w:rsidRPr="00B40A77">
        <w:rPr>
          <w:color w:val="000000" w:themeColor="text1"/>
        </w:rPr>
        <w:t xml:space="preserve"> </w:t>
      </w:r>
    </w:p>
    <w:p w14:paraId="0A2A86AD" w14:textId="7949DC2D" w:rsidR="0013339E" w:rsidRPr="00B40A77" w:rsidRDefault="00D21B55" w:rsidP="0013339E">
      <w:pPr>
        <w:pStyle w:val="Hangindent"/>
        <w:rPr>
          <w:rFonts w:cs="Times New Roman"/>
          <w:color w:val="000000" w:themeColor="text1"/>
        </w:rPr>
      </w:pPr>
      <w:r w:rsidRPr="00B40A77">
        <w:rPr>
          <w:rFonts w:cs="Times New Roman"/>
          <w:color w:val="000000" w:themeColor="text1"/>
        </w:rPr>
        <w:t>(</w:t>
      </w:r>
      <w:r w:rsidR="0013339E" w:rsidRPr="00B40A77">
        <w:rPr>
          <w:rFonts w:cs="Times New Roman"/>
          <w:color w:val="000000" w:themeColor="text1"/>
        </w:rPr>
        <w:t>1)</w:t>
      </w:r>
      <w:r w:rsidR="0013339E" w:rsidRPr="00B40A77">
        <w:rPr>
          <w:rFonts w:cs="Times New Roman"/>
          <w:color w:val="000000" w:themeColor="text1"/>
        </w:rPr>
        <w:tab/>
        <w:t xml:space="preserve">Subject to any </w:t>
      </w:r>
      <w:r w:rsidR="00532AD4" w:rsidRPr="00B40A77">
        <w:rPr>
          <w:rFonts w:cs="Times New Roman"/>
          <w:color w:val="000000" w:themeColor="text1"/>
        </w:rPr>
        <w:t>statutory provision</w:t>
      </w:r>
      <w:r w:rsidR="0013339E" w:rsidRPr="00B40A77">
        <w:rPr>
          <w:rFonts w:cs="Times New Roman"/>
          <w:color w:val="000000" w:themeColor="text1"/>
        </w:rPr>
        <w:t xml:space="preserve"> to the contrary, </w:t>
      </w:r>
      <w:r w:rsidR="001A6696" w:rsidRPr="00B40A77">
        <w:rPr>
          <w:rFonts w:cs="Times New Roman"/>
          <w:color w:val="000000" w:themeColor="text1"/>
        </w:rPr>
        <w:t xml:space="preserve">on an </w:t>
      </w:r>
      <w:r w:rsidRPr="00B40A77">
        <w:rPr>
          <w:rFonts w:cs="Times New Roman"/>
          <w:color w:val="000000" w:themeColor="text1"/>
        </w:rPr>
        <w:t>appeal</w:t>
      </w:r>
      <w:r w:rsidR="0013339E" w:rsidRPr="00B40A77">
        <w:rPr>
          <w:rFonts w:cs="Times New Roman"/>
          <w:color w:val="000000" w:themeColor="text1"/>
        </w:rPr>
        <w:t xml:space="preserve"> the Court may</w:t>
      </w:r>
      <w:r w:rsidR="0013339E" w:rsidRPr="00B40A77">
        <w:rPr>
          <w:b/>
          <w:color w:val="000000" w:themeColor="text1"/>
          <w:sz w:val="20"/>
          <w:szCs w:val="20"/>
        </w:rPr>
        <w:t>—</w:t>
      </w:r>
    </w:p>
    <w:p w14:paraId="1C7D561E" w14:textId="75E715C3" w:rsidR="0013339E" w:rsidRPr="00B40A77" w:rsidRDefault="0013339E" w:rsidP="0013339E">
      <w:pPr>
        <w:pStyle w:val="Doublehangindent"/>
        <w:rPr>
          <w:color w:val="000000" w:themeColor="text1"/>
          <w:lang w:val="en-US"/>
        </w:rPr>
      </w:pPr>
      <w:r w:rsidRPr="00B40A77">
        <w:rPr>
          <w:color w:val="000000" w:themeColor="text1"/>
          <w:lang w:val="en-US"/>
        </w:rPr>
        <w:t>(a)</w:t>
      </w:r>
      <w:r w:rsidRPr="00B40A77">
        <w:rPr>
          <w:color w:val="000000" w:themeColor="text1"/>
          <w:lang w:val="en-US"/>
        </w:rPr>
        <w:tab/>
        <w:t xml:space="preserve">set aside or amend the judgment or order the subject of </w:t>
      </w:r>
      <w:r w:rsidR="001A6696" w:rsidRPr="00B40A77">
        <w:rPr>
          <w:color w:val="000000" w:themeColor="text1"/>
          <w:lang w:val="en-US"/>
        </w:rPr>
        <w:t>the appellate proceeding</w:t>
      </w:r>
      <w:r w:rsidRPr="00B40A77">
        <w:rPr>
          <w:color w:val="000000" w:themeColor="text1"/>
          <w:lang w:val="en-US"/>
        </w:rPr>
        <w:t>;</w:t>
      </w:r>
    </w:p>
    <w:p w14:paraId="0F5D8A61" w14:textId="77777777" w:rsidR="0013339E" w:rsidRPr="00B40A77" w:rsidRDefault="0013339E" w:rsidP="0013339E">
      <w:pPr>
        <w:pStyle w:val="Doublehangindent"/>
        <w:rPr>
          <w:color w:val="000000" w:themeColor="text1"/>
          <w:lang w:val="en-US"/>
        </w:rPr>
      </w:pPr>
      <w:r w:rsidRPr="00B40A77">
        <w:rPr>
          <w:color w:val="000000" w:themeColor="text1"/>
          <w:lang w:val="en-US"/>
        </w:rPr>
        <w:t>(b)</w:t>
      </w:r>
      <w:r w:rsidRPr="00B40A77">
        <w:rPr>
          <w:color w:val="000000" w:themeColor="text1"/>
          <w:lang w:val="en-US"/>
        </w:rPr>
        <w:tab/>
        <w:t xml:space="preserve">substitute the Court’s own judgment or order; </w:t>
      </w:r>
    </w:p>
    <w:p w14:paraId="129257AD" w14:textId="77777777" w:rsidR="0013339E" w:rsidRPr="00B40A77" w:rsidRDefault="0013339E" w:rsidP="0013339E">
      <w:pPr>
        <w:pStyle w:val="Doublehangindent"/>
        <w:rPr>
          <w:color w:val="000000" w:themeColor="text1"/>
          <w:lang w:val="en-US"/>
        </w:rPr>
      </w:pPr>
      <w:r w:rsidRPr="00B40A77">
        <w:rPr>
          <w:color w:val="000000" w:themeColor="text1"/>
          <w:lang w:val="en-US"/>
        </w:rPr>
        <w:t>(c)</w:t>
      </w:r>
      <w:r w:rsidRPr="00B40A77">
        <w:rPr>
          <w:color w:val="000000" w:themeColor="text1"/>
          <w:lang w:val="en-US"/>
        </w:rPr>
        <w:tab/>
        <w:t>remit the matter for rehearing or reconsideration;</w:t>
      </w:r>
    </w:p>
    <w:p w14:paraId="133A3050" w14:textId="63745986" w:rsidR="0013339E" w:rsidRPr="00B40A77" w:rsidRDefault="001A6696" w:rsidP="0013339E">
      <w:pPr>
        <w:pStyle w:val="Doublehangindent"/>
        <w:rPr>
          <w:color w:val="000000" w:themeColor="text1"/>
          <w:lang w:val="en-US"/>
        </w:rPr>
      </w:pPr>
      <w:r w:rsidRPr="00B40A77">
        <w:rPr>
          <w:color w:val="000000" w:themeColor="text1"/>
          <w:lang w:val="en-US"/>
        </w:rPr>
        <w:t>(d)</w:t>
      </w:r>
      <w:r w:rsidRPr="00B40A77">
        <w:rPr>
          <w:color w:val="000000" w:themeColor="text1"/>
          <w:lang w:val="en-US"/>
        </w:rPr>
        <w:tab/>
        <w:t xml:space="preserve">dismiss the </w:t>
      </w:r>
      <w:r w:rsidR="00D21B55" w:rsidRPr="00B40A77">
        <w:rPr>
          <w:color w:val="000000" w:themeColor="text1"/>
          <w:lang w:val="en-US"/>
        </w:rPr>
        <w:t>appeal</w:t>
      </w:r>
      <w:r w:rsidR="0013339E" w:rsidRPr="00B40A77">
        <w:rPr>
          <w:color w:val="000000" w:themeColor="text1"/>
          <w:lang w:val="en-US"/>
        </w:rPr>
        <w:t xml:space="preserve">; </w:t>
      </w:r>
    </w:p>
    <w:p w14:paraId="3A5C23D6" w14:textId="7BA667D9" w:rsidR="0013339E" w:rsidRPr="00B40A77" w:rsidRDefault="0013339E" w:rsidP="0013339E">
      <w:pPr>
        <w:pStyle w:val="Doublehangindent"/>
        <w:rPr>
          <w:color w:val="000000" w:themeColor="text1"/>
          <w:lang w:val="en-US"/>
        </w:rPr>
      </w:pPr>
      <w:r w:rsidRPr="00B40A77">
        <w:rPr>
          <w:color w:val="000000" w:themeColor="text1"/>
          <w:lang w:val="en-US"/>
        </w:rPr>
        <w:t>(e)</w:t>
      </w:r>
      <w:r w:rsidRPr="00B40A77">
        <w:rPr>
          <w:color w:val="000000" w:themeColor="text1"/>
          <w:lang w:val="en-US"/>
        </w:rPr>
        <w:tab/>
        <w:t xml:space="preserve">make orders for the costs of the </w:t>
      </w:r>
      <w:r w:rsidR="00D21B55" w:rsidRPr="00B40A77">
        <w:rPr>
          <w:color w:val="000000" w:themeColor="text1"/>
          <w:lang w:val="en-US"/>
        </w:rPr>
        <w:t>appeal</w:t>
      </w:r>
      <w:r w:rsidRPr="00B40A77">
        <w:rPr>
          <w:color w:val="000000" w:themeColor="text1"/>
          <w:lang w:val="en-US"/>
        </w:rPr>
        <w:t xml:space="preserve"> or costs at first instance; or</w:t>
      </w:r>
    </w:p>
    <w:p w14:paraId="7BD79A1C" w14:textId="73C31371" w:rsidR="0013339E" w:rsidRPr="00B40A77" w:rsidRDefault="0013339E" w:rsidP="0013339E">
      <w:pPr>
        <w:pStyle w:val="Doublehangindent"/>
        <w:rPr>
          <w:color w:val="000000" w:themeColor="text1"/>
          <w:lang w:val="en-US"/>
        </w:rPr>
      </w:pPr>
      <w:r w:rsidRPr="00B40A77">
        <w:rPr>
          <w:color w:val="000000" w:themeColor="text1"/>
          <w:lang w:val="en-US"/>
        </w:rPr>
        <w:t>(f)</w:t>
      </w:r>
      <w:r w:rsidRPr="00B40A77">
        <w:rPr>
          <w:color w:val="000000" w:themeColor="text1"/>
          <w:lang w:val="en-US"/>
        </w:rPr>
        <w:tab/>
        <w:t>make such other or further order for the disposition of the</w:t>
      </w:r>
      <w:r w:rsidR="001A6696" w:rsidRPr="00B40A77">
        <w:rPr>
          <w:color w:val="000000" w:themeColor="text1"/>
          <w:lang w:val="en-US"/>
        </w:rPr>
        <w:t xml:space="preserve"> </w:t>
      </w:r>
      <w:r w:rsidR="00D21B55" w:rsidRPr="00B40A77">
        <w:rPr>
          <w:color w:val="000000" w:themeColor="text1"/>
          <w:lang w:val="en-US"/>
        </w:rPr>
        <w:t>appeal</w:t>
      </w:r>
      <w:r w:rsidR="001A6696" w:rsidRPr="00B40A77">
        <w:rPr>
          <w:color w:val="000000" w:themeColor="text1"/>
          <w:lang w:val="en-US"/>
        </w:rPr>
        <w:t xml:space="preserve"> </w:t>
      </w:r>
      <w:r w:rsidRPr="00B40A77">
        <w:rPr>
          <w:color w:val="000000" w:themeColor="text1"/>
          <w:lang w:val="en-US"/>
        </w:rPr>
        <w:t>as it thinks fit.</w:t>
      </w:r>
    </w:p>
    <w:p w14:paraId="19402E6B" w14:textId="430C88A3" w:rsidR="0013339E" w:rsidRPr="00B40A77" w:rsidRDefault="0013339E" w:rsidP="0013339E">
      <w:pPr>
        <w:pStyle w:val="Hangindent"/>
        <w:rPr>
          <w:rFonts w:cs="Times New Roman"/>
          <w:color w:val="000000" w:themeColor="text1"/>
        </w:rPr>
      </w:pPr>
      <w:r w:rsidRPr="00B40A77">
        <w:rPr>
          <w:rFonts w:cs="Times New Roman"/>
          <w:color w:val="000000" w:themeColor="text1"/>
        </w:rPr>
        <w:t>(2)</w:t>
      </w:r>
      <w:r w:rsidRPr="00B40A77">
        <w:rPr>
          <w:rFonts w:cs="Times New Roman"/>
          <w:color w:val="000000" w:themeColor="text1"/>
        </w:rPr>
        <w:tab/>
        <w:t xml:space="preserve">Subject to any </w:t>
      </w:r>
      <w:r w:rsidR="00532AD4" w:rsidRPr="00B40A77">
        <w:rPr>
          <w:rFonts w:cs="Times New Roman"/>
          <w:color w:val="000000" w:themeColor="text1"/>
        </w:rPr>
        <w:t>statutory provision</w:t>
      </w:r>
      <w:r w:rsidRPr="00B40A77">
        <w:rPr>
          <w:rFonts w:cs="Times New Roman"/>
          <w:color w:val="000000" w:themeColor="text1"/>
        </w:rPr>
        <w:t xml:space="preserve"> to the contrary, the Court may, in addition to answering the question of law reserved</w:t>
      </w:r>
      <w:r w:rsidR="005B1F24" w:rsidRPr="00B40A77">
        <w:rPr>
          <w:rFonts w:cs="Times New Roman"/>
          <w:color w:val="000000" w:themeColor="text1"/>
        </w:rPr>
        <w:t xml:space="preserve"> on a </w:t>
      </w:r>
      <w:hyperlink w:anchor="_211.1—Definitions" w:history="1">
        <w:r w:rsidR="00E630D0" w:rsidRPr="00B40A77">
          <w:rPr>
            <w:rStyle w:val="Hyperlink"/>
            <w:color w:val="000000" w:themeColor="text1"/>
            <w:lang w:val="en-US"/>
          </w:rPr>
          <w:t>case stated</w:t>
        </w:r>
      </w:hyperlink>
      <w:r w:rsidRPr="00B40A77">
        <w:rPr>
          <w:b/>
          <w:color w:val="000000" w:themeColor="text1"/>
          <w:sz w:val="20"/>
          <w:szCs w:val="20"/>
        </w:rPr>
        <w:t>—</w:t>
      </w:r>
    </w:p>
    <w:p w14:paraId="4E41774B" w14:textId="77777777" w:rsidR="0013339E" w:rsidRPr="00B40A77" w:rsidRDefault="0013339E" w:rsidP="0013339E">
      <w:pPr>
        <w:pStyle w:val="Doublehangindent"/>
        <w:rPr>
          <w:color w:val="000000" w:themeColor="text1"/>
          <w:lang w:val="en-US"/>
        </w:rPr>
      </w:pPr>
      <w:r w:rsidRPr="00B40A77">
        <w:rPr>
          <w:color w:val="000000" w:themeColor="text1"/>
          <w:lang w:val="en-US"/>
        </w:rPr>
        <w:t>(a)</w:t>
      </w:r>
      <w:r w:rsidRPr="00B40A77">
        <w:rPr>
          <w:color w:val="000000" w:themeColor="text1"/>
          <w:lang w:val="en-US"/>
        </w:rPr>
        <w:tab/>
        <w:t>make orders for the costs of the appellate proceeding or costs at first instance; or</w:t>
      </w:r>
    </w:p>
    <w:p w14:paraId="408A4978" w14:textId="77777777" w:rsidR="0013339E" w:rsidRPr="00B40A77" w:rsidRDefault="0013339E" w:rsidP="0013339E">
      <w:pPr>
        <w:pStyle w:val="Doublehangindent"/>
        <w:rPr>
          <w:color w:val="000000" w:themeColor="text1"/>
          <w:lang w:val="en-US"/>
        </w:rPr>
      </w:pPr>
      <w:r w:rsidRPr="00B40A77">
        <w:rPr>
          <w:color w:val="000000" w:themeColor="text1"/>
          <w:lang w:val="en-US"/>
        </w:rPr>
        <w:t>(b)</w:t>
      </w:r>
      <w:r w:rsidRPr="00B40A77">
        <w:rPr>
          <w:color w:val="000000" w:themeColor="text1"/>
          <w:lang w:val="en-US"/>
        </w:rPr>
        <w:tab/>
        <w:t>make such other or further order for the disposition of the appellate proceeding as it thinks fit.</w:t>
      </w:r>
    </w:p>
    <w:p w14:paraId="1431568A" w14:textId="52E29D38" w:rsidR="0013339E" w:rsidRPr="00B40A77" w:rsidRDefault="0013339E" w:rsidP="0013339E">
      <w:pPr>
        <w:pStyle w:val="Hangindent"/>
        <w:rPr>
          <w:rFonts w:cs="Times New Roman"/>
          <w:color w:val="000000" w:themeColor="text1"/>
        </w:rPr>
      </w:pPr>
      <w:r w:rsidRPr="00B40A77">
        <w:rPr>
          <w:rFonts w:cs="Times New Roman"/>
          <w:color w:val="000000" w:themeColor="text1"/>
        </w:rPr>
        <w:t>(3)</w:t>
      </w:r>
      <w:r w:rsidRPr="00B40A77">
        <w:rPr>
          <w:rFonts w:cs="Times New Roman"/>
          <w:color w:val="000000" w:themeColor="text1"/>
        </w:rPr>
        <w:tab/>
        <w:t xml:space="preserve">When the Court determines an appellate proceeding (including refusing leave to appeal), </w:t>
      </w:r>
      <w:r w:rsidR="00D52484" w:rsidRPr="00B40A77">
        <w:rPr>
          <w:color w:val="000000" w:themeColor="text1"/>
          <w:lang w:val="en-US"/>
        </w:rPr>
        <w:t xml:space="preserve">the </w:t>
      </w:r>
      <w:hyperlink w:anchor="_2.1—Definitions" w:history="1">
        <w:r w:rsidR="00D61876" w:rsidRPr="00B40A77">
          <w:rPr>
            <w:rStyle w:val="Hyperlink"/>
            <w:color w:val="000000" w:themeColor="text1"/>
            <w:lang w:val="en-US"/>
          </w:rPr>
          <w:t>Principal Registrar</w:t>
        </w:r>
      </w:hyperlink>
      <w:r w:rsidRPr="00B40A77">
        <w:rPr>
          <w:rFonts w:cs="Times New Roman"/>
          <w:color w:val="000000" w:themeColor="text1"/>
        </w:rPr>
        <w:t xml:space="preserve"> must—</w:t>
      </w:r>
    </w:p>
    <w:p w14:paraId="43D1ACB9" w14:textId="555DB91E" w:rsidR="0013339E" w:rsidRPr="00B40A77" w:rsidRDefault="0013339E" w:rsidP="00571053">
      <w:pPr>
        <w:pStyle w:val="Doublehangindent"/>
        <w:rPr>
          <w:color w:val="000000" w:themeColor="text1"/>
          <w:lang w:val="en-US"/>
        </w:rPr>
      </w:pPr>
      <w:r w:rsidRPr="00B40A77">
        <w:rPr>
          <w:color w:val="000000" w:themeColor="text1"/>
          <w:lang w:val="en-US"/>
        </w:rPr>
        <w:t>(a)</w:t>
      </w:r>
      <w:r w:rsidRPr="00B40A77">
        <w:rPr>
          <w:color w:val="000000" w:themeColor="text1"/>
          <w:lang w:val="en-US"/>
        </w:rPr>
        <w:tab/>
      </w:r>
      <w:r w:rsidR="000F3695" w:rsidRPr="00B40A77">
        <w:rPr>
          <w:color w:val="000000" w:themeColor="text1"/>
          <w:lang w:val="en-US"/>
        </w:rPr>
        <w:t>cause</w:t>
      </w:r>
      <w:r w:rsidRPr="00B40A77">
        <w:rPr>
          <w:color w:val="000000" w:themeColor="text1"/>
          <w:lang w:val="en-US"/>
        </w:rPr>
        <w:t xml:space="preserve"> the registrar or other proper officer of the court of first instance </w:t>
      </w:r>
      <w:r w:rsidR="000F3695" w:rsidRPr="00B40A77">
        <w:rPr>
          <w:color w:val="000000" w:themeColor="text1"/>
          <w:lang w:val="en-US"/>
        </w:rPr>
        <w:t xml:space="preserve">to be given </w:t>
      </w:r>
      <w:r w:rsidRPr="00B40A77">
        <w:rPr>
          <w:color w:val="000000" w:themeColor="text1"/>
          <w:lang w:val="en-US"/>
        </w:rPr>
        <w:t>written notice of the Court’s decision together with any written reasons given by the Court; and</w:t>
      </w:r>
    </w:p>
    <w:p w14:paraId="5DDBFEB6" w14:textId="5AB65C89" w:rsidR="0013339E" w:rsidRPr="00B40A77" w:rsidRDefault="0013339E" w:rsidP="0013339E">
      <w:pPr>
        <w:pStyle w:val="Doublehangindent"/>
        <w:rPr>
          <w:color w:val="000000" w:themeColor="text1"/>
          <w:lang w:val="en-US"/>
        </w:rPr>
      </w:pPr>
      <w:r w:rsidRPr="00B40A77">
        <w:rPr>
          <w:color w:val="000000" w:themeColor="text1"/>
          <w:lang w:val="en-US"/>
        </w:rPr>
        <w:t>(b)</w:t>
      </w:r>
      <w:r w:rsidRPr="00B40A77">
        <w:rPr>
          <w:color w:val="000000" w:themeColor="text1"/>
          <w:lang w:val="en-US"/>
        </w:rPr>
        <w:tab/>
      </w:r>
      <w:r w:rsidR="000F3695" w:rsidRPr="00B40A77">
        <w:rPr>
          <w:color w:val="000000" w:themeColor="text1"/>
          <w:lang w:val="en-US"/>
        </w:rPr>
        <w:t xml:space="preserve">cause </w:t>
      </w:r>
      <w:r w:rsidRPr="00B40A77">
        <w:rPr>
          <w:color w:val="000000" w:themeColor="text1"/>
          <w:lang w:val="en-US"/>
        </w:rPr>
        <w:t xml:space="preserve">any documents or materials transmitted to the Court by </w:t>
      </w:r>
      <w:hyperlink w:anchor="_2.1—Definitions" w:history="1">
        <w:r w:rsidRPr="00B40A77">
          <w:rPr>
            <w:rStyle w:val="Hyperlink"/>
            <w:color w:val="000000" w:themeColor="text1"/>
            <w:u w:val="none"/>
            <w:lang w:val="en-US"/>
          </w:rPr>
          <w:t>the registrar</w:t>
        </w:r>
      </w:hyperlink>
      <w:r w:rsidRPr="00B40A77">
        <w:rPr>
          <w:color w:val="000000" w:themeColor="text1"/>
          <w:lang w:val="en-US"/>
        </w:rPr>
        <w:t xml:space="preserve"> or proper officer of the court of first instance (other than documents and materials forwarded in electronic form) for the purpose of the appellate proceeding</w:t>
      </w:r>
      <w:r w:rsidR="00416C6A" w:rsidRPr="00B40A77">
        <w:rPr>
          <w:color w:val="000000" w:themeColor="text1"/>
          <w:lang w:val="en-US"/>
        </w:rPr>
        <w:t>,</w:t>
      </w:r>
      <w:r w:rsidR="000F3695" w:rsidRPr="00B40A77">
        <w:rPr>
          <w:color w:val="000000" w:themeColor="text1"/>
          <w:lang w:val="en-US"/>
        </w:rPr>
        <w:t xml:space="preserve"> to be returned</w:t>
      </w:r>
      <w:r w:rsidRPr="00B40A77">
        <w:rPr>
          <w:color w:val="000000" w:themeColor="text1"/>
          <w:lang w:val="en-US"/>
        </w:rPr>
        <w:t>.</w:t>
      </w:r>
    </w:p>
    <w:bookmarkEnd w:id="1015"/>
    <w:p w14:paraId="77B3A594" w14:textId="22C52AD2" w:rsidR="0013339E" w:rsidRPr="00B40A77" w:rsidRDefault="0013339E">
      <w:pPr>
        <w:spacing w:before="0" w:after="160" w:line="259" w:lineRule="auto"/>
        <w:rPr>
          <w:color w:val="000000" w:themeColor="text1"/>
          <w:szCs w:val="23"/>
          <w:lang w:val="en-US"/>
        </w:rPr>
      </w:pPr>
      <w:r w:rsidRPr="00B40A77">
        <w:rPr>
          <w:color w:val="000000" w:themeColor="text1"/>
          <w:lang w:val="en-US"/>
        </w:rPr>
        <w:br w:type="page"/>
      </w:r>
    </w:p>
    <w:p w14:paraId="61D5EB29" w14:textId="442217DB" w:rsidR="004C4480" w:rsidRPr="00B40A77" w:rsidRDefault="004C4480" w:rsidP="00D45D85">
      <w:pPr>
        <w:pStyle w:val="Heading1"/>
        <w:rPr>
          <w:color w:val="000000" w:themeColor="text1"/>
        </w:rPr>
      </w:pPr>
      <w:bookmarkStart w:id="1253" w:name="_218.13—Default_by_appellant"/>
      <w:bookmarkStart w:id="1254" w:name="_Schedule_1—Lower_Courts"/>
      <w:bookmarkStart w:id="1255" w:name="_Toc175239425"/>
      <w:bookmarkEnd w:id="1157"/>
      <w:bookmarkEnd w:id="1253"/>
      <w:bookmarkEnd w:id="1254"/>
      <w:r w:rsidRPr="00B40A77">
        <w:rPr>
          <w:color w:val="000000" w:themeColor="text1"/>
        </w:rPr>
        <w:lastRenderedPageBreak/>
        <w:t>Schedule 1—</w:t>
      </w:r>
      <w:r w:rsidR="00202DE3" w:rsidRPr="00B40A77">
        <w:rPr>
          <w:color w:val="000000" w:themeColor="text1"/>
        </w:rPr>
        <w:t>Lower Courts Criminal Scale of Costs</w:t>
      </w:r>
      <w:bookmarkEnd w:id="1255"/>
    </w:p>
    <w:p w14:paraId="6A18A9E5" w14:textId="7E163307" w:rsidR="00E55410" w:rsidRPr="00B40A77" w:rsidRDefault="00E55410" w:rsidP="00113A70">
      <w:pPr>
        <w:pStyle w:val="ListParagraph"/>
        <w:numPr>
          <w:ilvl w:val="0"/>
          <w:numId w:val="20"/>
        </w:numPr>
        <w:spacing w:after="0"/>
        <w:jc w:val="both"/>
        <w:rPr>
          <w:color w:val="000000" w:themeColor="text1"/>
          <w:szCs w:val="23"/>
        </w:rPr>
      </w:pPr>
      <w:r w:rsidRPr="00B40A77">
        <w:rPr>
          <w:color w:val="000000" w:themeColor="text1"/>
          <w:szCs w:val="23"/>
        </w:rPr>
        <w:t>The Lower Courts Criminal costs scale in respect of work done from the commencement date to 31 December 2022 is set out in the following tables.</w:t>
      </w:r>
    </w:p>
    <w:p w14:paraId="69DDD3E0" w14:textId="77777777" w:rsidR="00113A70" w:rsidRPr="00B40A77" w:rsidRDefault="00113A70" w:rsidP="00113A70">
      <w:pPr>
        <w:pStyle w:val="ListParagraph"/>
        <w:spacing w:after="0"/>
        <w:ind w:left="930"/>
        <w:jc w:val="both"/>
        <w:rPr>
          <w:color w:val="000000" w:themeColor="text1"/>
          <w:szCs w:val="23"/>
        </w:rPr>
      </w:pPr>
    </w:p>
    <w:tbl>
      <w:tblPr>
        <w:tblW w:w="9214" w:type="dxa"/>
        <w:tblInd w:w="715" w:type="dxa"/>
        <w:tblLayout w:type="fixed"/>
        <w:tblCellMar>
          <w:left w:w="0" w:type="dxa"/>
          <w:right w:w="0" w:type="dxa"/>
        </w:tblCellMar>
        <w:tblLook w:val="04A0" w:firstRow="1" w:lastRow="0" w:firstColumn="1" w:lastColumn="0" w:noHBand="0" w:noVBand="1"/>
      </w:tblPr>
      <w:tblGrid>
        <w:gridCol w:w="709"/>
        <w:gridCol w:w="4819"/>
        <w:gridCol w:w="1701"/>
        <w:gridCol w:w="1985"/>
      </w:tblGrid>
      <w:tr w:rsidR="00B40A77" w:rsidRPr="00B40A77" w14:paraId="289E9790" w14:textId="77777777" w:rsidTr="00BB7238">
        <w:trPr>
          <w:trHeight w:hRule="exact" w:val="326"/>
        </w:trPr>
        <w:tc>
          <w:tcPr>
            <w:tcW w:w="9214" w:type="dxa"/>
            <w:gridSpan w:val="4"/>
            <w:tcBorders>
              <w:top w:val="single" w:sz="4" w:space="0" w:color="000000"/>
              <w:left w:val="single" w:sz="4" w:space="0" w:color="000000"/>
              <w:bottom w:val="single" w:sz="4" w:space="0" w:color="000000"/>
              <w:right w:val="single" w:sz="4" w:space="0" w:color="000000"/>
            </w:tcBorders>
          </w:tcPr>
          <w:p w14:paraId="173A0A01" w14:textId="77777777" w:rsidR="00BB7238" w:rsidRPr="00B40A77" w:rsidRDefault="00BB7238" w:rsidP="00B85DCA">
            <w:pPr>
              <w:kinsoku w:val="0"/>
              <w:overflowPunct w:val="0"/>
              <w:autoSpaceDE w:val="0"/>
              <w:autoSpaceDN w:val="0"/>
              <w:adjustRightInd w:val="0"/>
              <w:spacing w:before="5" w:line="244" w:lineRule="auto"/>
              <w:ind w:right="135"/>
              <w:rPr>
                <w:rFonts w:cs="Times New Roman"/>
                <w:b/>
                <w:bCs/>
                <w:color w:val="000000" w:themeColor="text1"/>
                <w:w w:val="105"/>
                <w:sz w:val="20"/>
                <w:szCs w:val="20"/>
              </w:rPr>
            </w:pPr>
            <w:r w:rsidRPr="00B40A77">
              <w:rPr>
                <w:rFonts w:cs="Times New Roman"/>
                <w:b/>
                <w:bCs/>
                <w:color w:val="000000" w:themeColor="text1"/>
                <w:w w:val="105"/>
                <w:sz w:val="20"/>
                <w:szCs w:val="20"/>
              </w:rPr>
              <w:t xml:space="preserve">Table 1 – Professional Fees </w:t>
            </w:r>
          </w:p>
        </w:tc>
      </w:tr>
      <w:tr w:rsidR="00B40A77" w:rsidRPr="00B40A77" w14:paraId="6E4F9C97" w14:textId="77777777" w:rsidTr="00BB7238">
        <w:trPr>
          <w:trHeight w:hRule="exact" w:val="1280"/>
        </w:trPr>
        <w:tc>
          <w:tcPr>
            <w:tcW w:w="709" w:type="dxa"/>
            <w:tcBorders>
              <w:top w:val="single" w:sz="4" w:space="0" w:color="000000"/>
              <w:left w:val="single" w:sz="4" w:space="0" w:color="000000"/>
              <w:bottom w:val="single" w:sz="4" w:space="0" w:color="000000"/>
              <w:right w:val="single" w:sz="4" w:space="0" w:color="000000"/>
            </w:tcBorders>
          </w:tcPr>
          <w:p w14:paraId="672948ED"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35DF8F3B" w14:textId="77777777" w:rsidR="00BB7238" w:rsidRPr="00B40A77" w:rsidRDefault="00BB7238" w:rsidP="00B85DCA">
            <w:pPr>
              <w:kinsoku w:val="0"/>
              <w:overflowPunct w:val="0"/>
              <w:autoSpaceDE w:val="0"/>
              <w:autoSpaceDN w:val="0"/>
              <w:adjustRightInd w:val="0"/>
              <w:spacing w:before="141" w:line="256" w:lineRule="auto"/>
              <w:ind w:left="97"/>
              <w:rPr>
                <w:rFonts w:cs="Times New Roman"/>
                <w:color w:val="000000" w:themeColor="text1"/>
                <w:sz w:val="20"/>
                <w:szCs w:val="20"/>
              </w:rPr>
            </w:pPr>
            <w:r w:rsidRPr="00B40A77">
              <w:rPr>
                <w:rFonts w:cs="Times New Roman"/>
                <w:b/>
                <w:bCs/>
                <w:color w:val="000000" w:themeColor="text1"/>
                <w:w w:val="105"/>
                <w:sz w:val="20"/>
                <w:szCs w:val="20"/>
              </w:rPr>
              <w:t>Item</w:t>
            </w:r>
          </w:p>
        </w:tc>
        <w:tc>
          <w:tcPr>
            <w:tcW w:w="4819" w:type="dxa"/>
            <w:tcBorders>
              <w:top w:val="single" w:sz="4" w:space="0" w:color="000000"/>
              <w:left w:val="single" w:sz="4" w:space="0" w:color="000000"/>
              <w:bottom w:val="single" w:sz="4" w:space="0" w:color="000000"/>
              <w:right w:val="single" w:sz="4" w:space="0" w:color="000000"/>
            </w:tcBorders>
          </w:tcPr>
          <w:p w14:paraId="5C8689D2"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306230C1" w14:textId="77777777" w:rsidR="00BB7238" w:rsidRPr="00B40A77" w:rsidRDefault="00BB7238" w:rsidP="00B85DCA">
            <w:pPr>
              <w:kinsoku w:val="0"/>
              <w:overflowPunct w:val="0"/>
              <w:autoSpaceDE w:val="0"/>
              <w:autoSpaceDN w:val="0"/>
              <w:adjustRightInd w:val="0"/>
              <w:spacing w:before="141" w:line="256" w:lineRule="auto"/>
              <w:jc w:val="center"/>
              <w:rPr>
                <w:rFonts w:cs="Times New Roman"/>
                <w:color w:val="000000" w:themeColor="text1"/>
                <w:sz w:val="20"/>
                <w:szCs w:val="20"/>
              </w:rPr>
            </w:pPr>
            <w:r w:rsidRPr="00B40A77">
              <w:rPr>
                <w:rFonts w:cs="Times New Roman"/>
                <w:b/>
                <w:bCs/>
                <w:color w:val="000000" w:themeColor="text1"/>
                <w:w w:val="105"/>
                <w:sz w:val="20"/>
                <w:szCs w:val="20"/>
              </w:rPr>
              <w:t>Description</w:t>
            </w:r>
          </w:p>
        </w:tc>
        <w:tc>
          <w:tcPr>
            <w:tcW w:w="1701" w:type="dxa"/>
            <w:tcBorders>
              <w:top w:val="single" w:sz="4" w:space="0" w:color="000000"/>
              <w:left w:val="single" w:sz="4" w:space="0" w:color="000000"/>
              <w:bottom w:val="single" w:sz="4" w:space="0" w:color="000000"/>
              <w:right w:val="single" w:sz="4" w:space="0" w:color="000000"/>
            </w:tcBorders>
          </w:tcPr>
          <w:p w14:paraId="41F5326E" w14:textId="77777777" w:rsidR="00BB7238" w:rsidRPr="00B40A77" w:rsidRDefault="00BB7238" w:rsidP="00B85DCA">
            <w:pPr>
              <w:kinsoku w:val="0"/>
              <w:overflowPunct w:val="0"/>
              <w:autoSpaceDE w:val="0"/>
              <w:autoSpaceDN w:val="0"/>
              <w:adjustRightInd w:val="0"/>
              <w:spacing w:line="244" w:lineRule="auto"/>
              <w:ind w:right="227"/>
              <w:jc w:val="center"/>
              <w:rPr>
                <w:rFonts w:cs="Times New Roman"/>
                <w:color w:val="000000" w:themeColor="text1"/>
                <w:sz w:val="20"/>
                <w:szCs w:val="20"/>
              </w:rPr>
            </w:pPr>
            <w:r w:rsidRPr="00B40A77">
              <w:rPr>
                <w:rFonts w:cs="Times New Roman"/>
                <w:b/>
                <w:bCs/>
                <w:color w:val="000000" w:themeColor="text1"/>
                <w:sz w:val="20"/>
                <w:szCs w:val="20"/>
              </w:rPr>
              <w:t>Amount if represented</w:t>
            </w:r>
            <w:r w:rsidRPr="00B40A77">
              <w:rPr>
                <w:rFonts w:cs="Times New Roman"/>
                <w:b/>
                <w:bCs/>
                <w:color w:val="000000" w:themeColor="text1"/>
                <w:spacing w:val="-33"/>
                <w:sz w:val="20"/>
                <w:szCs w:val="20"/>
              </w:rPr>
              <w:t xml:space="preserve">        </w:t>
            </w:r>
            <w:r w:rsidRPr="00B40A77">
              <w:rPr>
                <w:rFonts w:cs="Times New Roman"/>
                <w:b/>
                <w:bCs/>
                <w:color w:val="000000" w:themeColor="text1"/>
                <w:w w:val="105"/>
                <w:sz w:val="20"/>
                <w:szCs w:val="20"/>
              </w:rPr>
              <w:t>by</w:t>
            </w:r>
            <w:r w:rsidRPr="00B40A77">
              <w:rPr>
                <w:rFonts w:cs="Times New Roman"/>
                <w:b/>
                <w:bCs/>
                <w:color w:val="000000" w:themeColor="text1"/>
                <w:spacing w:val="-14"/>
                <w:w w:val="105"/>
                <w:sz w:val="20"/>
                <w:szCs w:val="20"/>
              </w:rPr>
              <w:t xml:space="preserve"> </w:t>
            </w:r>
            <w:r w:rsidRPr="00B40A77">
              <w:rPr>
                <w:rFonts w:cs="Times New Roman"/>
                <w:b/>
                <w:bCs/>
                <w:color w:val="000000" w:themeColor="text1"/>
                <w:w w:val="105"/>
                <w:sz w:val="20"/>
                <w:szCs w:val="20"/>
              </w:rPr>
              <w:t>solicitor</w:t>
            </w:r>
          </w:p>
        </w:tc>
        <w:tc>
          <w:tcPr>
            <w:tcW w:w="1985" w:type="dxa"/>
            <w:tcBorders>
              <w:top w:val="single" w:sz="4" w:space="0" w:color="000000"/>
              <w:left w:val="single" w:sz="4" w:space="0" w:color="000000"/>
              <w:bottom w:val="single" w:sz="4" w:space="0" w:color="000000"/>
              <w:right w:val="single" w:sz="4" w:space="0" w:color="000000"/>
            </w:tcBorders>
            <w:hideMark/>
          </w:tcPr>
          <w:p w14:paraId="769C8963" w14:textId="77777777" w:rsidR="00BB7238" w:rsidRPr="00B40A77" w:rsidRDefault="00BB7238" w:rsidP="00B85DCA">
            <w:pPr>
              <w:kinsoku w:val="0"/>
              <w:overflowPunct w:val="0"/>
              <w:autoSpaceDE w:val="0"/>
              <w:autoSpaceDN w:val="0"/>
              <w:adjustRightInd w:val="0"/>
              <w:spacing w:before="5" w:line="244" w:lineRule="auto"/>
              <w:ind w:right="135"/>
              <w:jc w:val="center"/>
              <w:rPr>
                <w:rFonts w:cs="Times New Roman"/>
                <w:color w:val="000000" w:themeColor="text1"/>
                <w:sz w:val="20"/>
                <w:szCs w:val="20"/>
              </w:rPr>
            </w:pPr>
            <w:r w:rsidRPr="00B40A77">
              <w:rPr>
                <w:rFonts w:cs="Times New Roman"/>
                <w:b/>
                <w:bCs/>
                <w:color w:val="000000" w:themeColor="text1"/>
                <w:w w:val="105"/>
                <w:sz w:val="20"/>
                <w:szCs w:val="20"/>
              </w:rPr>
              <w:t>Amount if represented</w:t>
            </w:r>
            <w:r w:rsidRPr="00B40A77">
              <w:rPr>
                <w:rFonts w:cs="Times New Roman"/>
                <w:b/>
                <w:bCs/>
                <w:color w:val="000000" w:themeColor="text1"/>
                <w:w w:val="102"/>
                <w:sz w:val="20"/>
                <w:szCs w:val="20"/>
              </w:rPr>
              <w:t xml:space="preserve"> </w:t>
            </w:r>
            <w:r w:rsidRPr="00B40A77">
              <w:rPr>
                <w:rFonts w:cs="Times New Roman"/>
                <w:b/>
                <w:bCs/>
                <w:color w:val="000000" w:themeColor="text1"/>
                <w:w w:val="105"/>
                <w:sz w:val="20"/>
                <w:szCs w:val="20"/>
              </w:rPr>
              <w:t>by</w:t>
            </w:r>
            <w:r w:rsidRPr="00B40A77">
              <w:rPr>
                <w:rFonts w:cs="Times New Roman"/>
                <w:b/>
                <w:bCs/>
                <w:color w:val="000000" w:themeColor="text1"/>
                <w:spacing w:val="-35"/>
                <w:w w:val="105"/>
                <w:sz w:val="20"/>
                <w:szCs w:val="20"/>
              </w:rPr>
              <w:t xml:space="preserve"> </w:t>
            </w:r>
            <w:r w:rsidRPr="00B40A77">
              <w:rPr>
                <w:rFonts w:cs="Times New Roman"/>
                <w:b/>
                <w:bCs/>
                <w:color w:val="000000" w:themeColor="text1"/>
                <w:w w:val="105"/>
                <w:sz w:val="20"/>
                <w:szCs w:val="20"/>
              </w:rPr>
              <w:t>non-legally</w:t>
            </w:r>
            <w:r w:rsidRPr="00B40A77">
              <w:rPr>
                <w:rFonts w:cs="Times New Roman"/>
                <w:b/>
                <w:bCs/>
                <w:color w:val="000000" w:themeColor="text1"/>
                <w:spacing w:val="-1"/>
                <w:w w:val="102"/>
                <w:sz w:val="20"/>
                <w:szCs w:val="20"/>
              </w:rPr>
              <w:t xml:space="preserve"> </w:t>
            </w:r>
            <w:r w:rsidRPr="00B40A77">
              <w:rPr>
                <w:rFonts w:cs="Times New Roman"/>
                <w:b/>
                <w:bCs/>
                <w:color w:val="000000" w:themeColor="text1"/>
                <w:w w:val="105"/>
                <w:sz w:val="20"/>
                <w:szCs w:val="20"/>
              </w:rPr>
              <w:t>qualified</w:t>
            </w:r>
            <w:r w:rsidRPr="00B40A77">
              <w:rPr>
                <w:rFonts w:cs="Times New Roman"/>
                <w:b/>
                <w:bCs/>
                <w:color w:val="000000" w:themeColor="text1"/>
                <w:w w:val="102"/>
                <w:sz w:val="20"/>
                <w:szCs w:val="20"/>
              </w:rPr>
              <w:t xml:space="preserve"> </w:t>
            </w:r>
            <w:r w:rsidRPr="00B40A77">
              <w:rPr>
                <w:rFonts w:cs="Times New Roman"/>
                <w:b/>
                <w:bCs/>
                <w:color w:val="000000" w:themeColor="text1"/>
                <w:w w:val="105"/>
                <w:sz w:val="20"/>
                <w:szCs w:val="20"/>
              </w:rPr>
              <w:t>person</w:t>
            </w:r>
          </w:p>
        </w:tc>
      </w:tr>
      <w:tr w:rsidR="00B40A77" w:rsidRPr="00B40A77" w14:paraId="05A5997E" w14:textId="77777777" w:rsidTr="00BB7238">
        <w:trPr>
          <w:trHeight w:hRule="exact" w:val="1000"/>
        </w:trPr>
        <w:tc>
          <w:tcPr>
            <w:tcW w:w="709" w:type="dxa"/>
            <w:tcBorders>
              <w:top w:val="single" w:sz="4" w:space="0" w:color="000000"/>
              <w:left w:val="single" w:sz="4" w:space="0" w:color="000000"/>
              <w:bottom w:val="single" w:sz="4" w:space="0" w:color="000000"/>
              <w:right w:val="single" w:sz="4" w:space="0" w:color="000000"/>
            </w:tcBorders>
            <w:hideMark/>
          </w:tcPr>
          <w:p w14:paraId="7F372FFB"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2"/>
                <w:sz w:val="20"/>
                <w:szCs w:val="20"/>
              </w:rPr>
              <w:t>1</w:t>
            </w:r>
          </w:p>
        </w:tc>
        <w:tc>
          <w:tcPr>
            <w:tcW w:w="4819" w:type="dxa"/>
            <w:tcBorders>
              <w:top w:val="single" w:sz="4" w:space="0" w:color="000000"/>
              <w:left w:val="single" w:sz="4" w:space="0" w:color="000000"/>
              <w:bottom w:val="single" w:sz="4" w:space="0" w:color="000000"/>
              <w:right w:val="single" w:sz="4" w:space="0" w:color="000000"/>
            </w:tcBorders>
            <w:hideMark/>
          </w:tcPr>
          <w:p w14:paraId="0338BC61" w14:textId="77777777" w:rsidR="00BB7238" w:rsidRPr="00B40A77" w:rsidRDefault="00BB7238" w:rsidP="00B85DCA">
            <w:pPr>
              <w:kinsoku w:val="0"/>
              <w:overflowPunct w:val="0"/>
              <w:autoSpaceDE w:val="0"/>
              <w:autoSpaceDN w:val="0"/>
              <w:adjustRightInd w:val="0"/>
              <w:spacing w:before="6" w:line="244" w:lineRule="auto"/>
              <w:ind w:left="97" w:right="339"/>
              <w:rPr>
                <w:rFonts w:cs="Times New Roman"/>
                <w:color w:val="000000" w:themeColor="text1"/>
                <w:sz w:val="20"/>
                <w:szCs w:val="20"/>
              </w:rPr>
            </w:pPr>
            <w:r w:rsidRPr="00B40A77">
              <w:rPr>
                <w:rFonts w:cs="Times New Roman"/>
                <w:color w:val="000000" w:themeColor="text1"/>
                <w:w w:val="105"/>
                <w:sz w:val="20"/>
                <w:szCs w:val="20"/>
              </w:rPr>
              <w:t>Instructions,</w:t>
            </w:r>
            <w:r w:rsidRPr="00B40A77">
              <w:rPr>
                <w:rFonts w:cs="Times New Roman"/>
                <w:color w:val="000000" w:themeColor="text1"/>
                <w:spacing w:val="-25"/>
                <w:w w:val="105"/>
                <w:sz w:val="20"/>
                <w:szCs w:val="20"/>
              </w:rPr>
              <w:t xml:space="preserve"> </w:t>
            </w:r>
            <w:r w:rsidRPr="00B40A77">
              <w:rPr>
                <w:rFonts w:cs="Times New Roman"/>
                <w:color w:val="000000" w:themeColor="text1"/>
                <w:w w:val="105"/>
                <w:sz w:val="20"/>
                <w:szCs w:val="20"/>
              </w:rPr>
              <w:t>including</w:t>
            </w:r>
            <w:r w:rsidRPr="00B40A77">
              <w:rPr>
                <w:rFonts w:cs="Times New Roman"/>
                <w:color w:val="000000" w:themeColor="text1"/>
                <w:spacing w:val="-25"/>
                <w:w w:val="105"/>
                <w:sz w:val="20"/>
                <w:szCs w:val="20"/>
              </w:rPr>
              <w:t xml:space="preserve"> </w:t>
            </w:r>
            <w:r w:rsidRPr="00B40A77">
              <w:rPr>
                <w:rFonts w:cs="Times New Roman"/>
                <w:color w:val="000000" w:themeColor="text1"/>
                <w:w w:val="105"/>
                <w:sz w:val="20"/>
                <w:szCs w:val="20"/>
              </w:rPr>
              <w:t>all</w:t>
            </w:r>
            <w:r w:rsidRPr="00B40A77">
              <w:rPr>
                <w:rFonts w:cs="Times New Roman"/>
                <w:color w:val="000000" w:themeColor="text1"/>
                <w:spacing w:val="-26"/>
                <w:w w:val="105"/>
                <w:sz w:val="20"/>
                <w:szCs w:val="20"/>
              </w:rPr>
              <w:t xml:space="preserve"> </w:t>
            </w:r>
            <w:r w:rsidRPr="00B40A77">
              <w:rPr>
                <w:rFonts w:cs="Times New Roman"/>
                <w:color w:val="000000" w:themeColor="text1"/>
                <w:w w:val="105"/>
                <w:sz w:val="20"/>
                <w:szCs w:val="20"/>
              </w:rPr>
              <w:t>preparation</w:t>
            </w:r>
            <w:r w:rsidRPr="00B40A77">
              <w:rPr>
                <w:rFonts w:cs="Times New Roman"/>
                <w:color w:val="000000" w:themeColor="text1"/>
                <w:spacing w:val="-25"/>
                <w:w w:val="105"/>
                <w:sz w:val="20"/>
                <w:szCs w:val="20"/>
              </w:rPr>
              <w:t xml:space="preserve"> </w:t>
            </w:r>
            <w:r w:rsidRPr="00B40A77">
              <w:rPr>
                <w:rFonts w:cs="Times New Roman"/>
                <w:color w:val="000000" w:themeColor="text1"/>
                <w:w w:val="105"/>
                <w:sz w:val="20"/>
                <w:szCs w:val="20"/>
              </w:rPr>
              <w:t>for</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trial and attendances up to, but</w:t>
            </w:r>
            <w:r w:rsidRPr="00B40A77">
              <w:rPr>
                <w:rFonts w:cs="Times New Roman"/>
                <w:color w:val="000000" w:themeColor="text1"/>
                <w:spacing w:val="-38"/>
                <w:w w:val="105"/>
                <w:sz w:val="20"/>
                <w:szCs w:val="20"/>
              </w:rPr>
              <w:t xml:space="preserve"> </w:t>
            </w:r>
            <w:r w:rsidRPr="00B40A77">
              <w:rPr>
                <w:rFonts w:cs="Times New Roman"/>
                <w:color w:val="000000" w:themeColor="text1"/>
                <w:w w:val="105"/>
                <w:sz w:val="20"/>
                <w:szCs w:val="20"/>
              </w:rPr>
              <w:t>not</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including attendance at a Pre</w:t>
            </w:r>
            <w:r w:rsidRPr="00B40A77">
              <w:rPr>
                <w:rFonts w:cs="Times New Roman"/>
                <w:color w:val="000000" w:themeColor="text1"/>
                <w:spacing w:val="-32"/>
                <w:w w:val="105"/>
                <w:sz w:val="20"/>
                <w:szCs w:val="20"/>
              </w:rPr>
              <w:t>-</w:t>
            </w:r>
            <w:r w:rsidRPr="00B40A77">
              <w:rPr>
                <w:rFonts w:cs="Times New Roman"/>
                <w:color w:val="000000" w:themeColor="text1"/>
                <w:w w:val="105"/>
                <w:sz w:val="20"/>
                <w:szCs w:val="20"/>
              </w:rPr>
              <w:t>Trial</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Conference</w:t>
            </w:r>
          </w:p>
        </w:tc>
        <w:tc>
          <w:tcPr>
            <w:tcW w:w="1701" w:type="dxa"/>
            <w:tcBorders>
              <w:top w:val="single" w:sz="4" w:space="0" w:color="000000"/>
              <w:left w:val="single" w:sz="4" w:space="0" w:color="000000"/>
              <w:bottom w:val="single" w:sz="4" w:space="0" w:color="000000"/>
              <w:right w:val="single" w:sz="4" w:space="0" w:color="000000"/>
            </w:tcBorders>
          </w:tcPr>
          <w:p w14:paraId="329F8305"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2C722FFC" w14:textId="77777777" w:rsidR="00BB7238" w:rsidRPr="00B40A77" w:rsidRDefault="00BB7238" w:rsidP="00B85DCA">
            <w:pPr>
              <w:kinsoku w:val="0"/>
              <w:overflowPunct w:val="0"/>
              <w:autoSpaceDE w:val="0"/>
              <w:autoSpaceDN w:val="0"/>
              <w:adjustRightInd w:val="0"/>
              <w:spacing w:before="141"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$1,160</w:t>
            </w:r>
          </w:p>
        </w:tc>
        <w:tc>
          <w:tcPr>
            <w:tcW w:w="1985" w:type="dxa"/>
            <w:tcBorders>
              <w:top w:val="single" w:sz="4" w:space="0" w:color="000000"/>
              <w:left w:val="single" w:sz="4" w:space="0" w:color="000000"/>
              <w:bottom w:val="single" w:sz="4" w:space="0" w:color="000000"/>
              <w:right w:val="single" w:sz="4" w:space="0" w:color="000000"/>
            </w:tcBorders>
          </w:tcPr>
          <w:p w14:paraId="33A7A6DF"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41B98810" w14:textId="77777777" w:rsidR="00BB7238" w:rsidRPr="00B40A77" w:rsidRDefault="00BB7238" w:rsidP="00B85DCA">
            <w:pPr>
              <w:kinsoku w:val="0"/>
              <w:overflowPunct w:val="0"/>
              <w:autoSpaceDE w:val="0"/>
              <w:autoSpaceDN w:val="0"/>
              <w:adjustRightInd w:val="0"/>
              <w:spacing w:before="141"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$290</w:t>
            </w:r>
          </w:p>
        </w:tc>
      </w:tr>
      <w:tr w:rsidR="00B40A77" w:rsidRPr="00B40A77" w14:paraId="4C031784" w14:textId="77777777" w:rsidTr="00BB7238">
        <w:trPr>
          <w:trHeight w:hRule="exact" w:val="1269"/>
        </w:trPr>
        <w:tc>
          <w:tcPr>
            <w:tcW w:w="709" w:type="dxa"/>
            <w:tcBorders>
              <w:top w:val="single" w:sz="4" w:space="0" w:color="000000"/>
              <w:left w:val="single" w:sz="4" w:space="0" w:color="000000"/>
              <w:bottom w:val="single" w:sz="4" w:space="0" w:color="000000"/>
              <w:right w:val="single" w:sz="4" w:space="0" w:color="000000"/>
            </w:tcBorders>
            <w:hideMark/>
          </w:tcPr>
          <w:p w14:paraId="3CFE3BC8" w14:textId="77777777" w:rsidR="00BB7238" w:rsidRPr="00B40A77" w:rsidRDefault="00BB7238" w:rsidP="00B85DCA">
            <w:pPr>
              <w:kinsoku w:val="0"/>
              <w:overflowPunct w:val="0"/>
              <w:autoSpaceDE w:val="0"/>
              <w:autoSpaceDN w:val="0"/>
              <w:adjustRightInd w:val="0"/>
              <w:spacing w:before="7" w:line="256" w:lineRule="auto"/>
              <w:jc w:val="center"/>
              <w:rPr>
                <w:rFonts w:cs="Times New Roman"/>
                <w:color w:val="000000" w:themeColor="text1"/>
                <w:sz w:val="20"/>
                <w:szCs w:val="20"/>
              </w:rPr>
            </w:pPr>
            <w:r w:rsidRPr="00B40A77">
              <w:rPr>
                <w:rFonts w:cs="Times New Roman"/>
                <w:color w:val="000000" w:themeColor="text1"/>
                <w:w w:val="102"/>
                <w:sz w:val="20"/>
                <w:szCs w:val="20"/>
              </w:rPr>
              <w:t>2</w:t>
            </w:r>
          </w:p>
        </w:tc>
        <w:tc>
          <w:tcPr>
            <w:tcW w:w="4819" w:type="dxa"/>
            <w:tcBorders>
              <w:top w:val="single" w:sz="4" w:space="0" w:color="000000"/>
              <w:left w:val="single" w:sz="4" w:space="0" w:color="000000"/>
              <w:bottom w:val="single" w:sz="4" w:space="0" w:color="000000"/>
              <w:right w:val="single" w:sz="4" w:space="0" w:color="000000"/>
            </w:tcBorders>
            <w:hideMark/>
          </w:tcPr>
          <w:p w14:paraId="00484CAA" w14:textId="77777777" w:rsidR="00BB7238" w:rsidRPr="00B40A77" w:rsidRDefault="00BB7238" w:rsidP="00B85DCA">
            <w:pPr>
              <w:kinsoku w:val="0"/>
              <w:overflowPunct w:val="0"/>
              <w:autoSpaceDE w:val="0"/>
              <w:autoSpaceDN w:val="0"/>
              <w:adjustRightInd w:val="0"/>
              <w:spacing w:before="7" w:line="244" w:lineRule="auto"/>
              <w:ind w:left="97" w:right="175" w:hanging="1"/>
              <w:rPr>
                <w:rFonts w:cs="Times New Roman"/>
                <w:color w:val="000000" w:themeColor="text1"/>
                <w:sz w:val="20"/>
                <w:szCs w:val="20"/>
              </w:rPr>
            </w:pPr>
            <w:r w:rsidRPr="00B40A77">
              <w:rPr>
                <w:rFonts w:cs="Times New Roman"/>
                <w:color w:val="000000" w:themeColor="text1"/>
                <w:w w:val="105"/>
                <w:sz w:val="20"/>
                <w:szCs w:val="20"/>
              </w:rPr>
              <w:t>All</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aspects</w:t>
            </w:r>
            <w:r w:rsidRPr="00B40A77">
              <w:rPr>
                <w:rFonts w:cs="Times New Roman"/>
                <w:color w:val="000000" w:themeColor="text1"/>
                <w:spacing w:val="-11"/>
                <w:w w:val="105"/>
                <w:sz w:val="20"/>
                <w:szCs w:val="20"/>
              </w:rPr>
              <w:t xml:space="preserve"> </w:t>
            </w:r>
            <w:r w:rsidRPr="00B40A77">
              <w:rPr>
                <w:rFonts w:cs="Times New Roman"/>
                <w:color w:val="000000" w:themeColor="text1"/>
                <w:w w:val="105"/>
                <w:sz w:val="20"/>
                <w:szCs w:val="20"/>
              </w:rPr>
              <w:t>not</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otherwise</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specified</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from</w:t>
            </w:r>
            <w:r w:rsidRPr="00B40A77">
              <w:rPr>
                <w:rFonts w:cs="Times New Roman"/>
                <w:color w:val="000000" w:themeColor="text1"/>
                <w:w w:val="102"/>
                <w:sz w:val="20"/>
                <w:szCs w:val="20"/>
              </w:rPr>
              <w:t xml:space="preserve"> </w:t>
            </w:r>
            <w:r w:rsidRPr="00B40A77">
              <w:rPr>
                <w:rFonts w:cs="Times New Roman"/>
                <w:color w:val="000000" w:themeColor="text1"/>
                <w:w w:val="105"/>
                <w:sz w:val="20"/>
                <w:szCs w:val="20"/>
              </w:rPr>
              <w:t>Pre-Trial</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Conference</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to</w:t>
            </w:r>
            <w:r w:rsidRPr="00B40A77">
              <w:rPr>
                <w:rFonts w:cs="Times New Roman"/>
                <w:color w:val="000000" w:themeColor="text1"/>
                <w:spacing w:val="-12"/>
                <w:w w:val="105"/>
                <w:sz w:val="20"/>
                <w:szCs w:val="20"/>
              </w:rPr>
              <w:t xml:space="preserve"> </w:t>
            </w:r>
            <w:r w:rsidRPr="00B40A77">
              <w:rPr>
                <w:rFonts w:cs="Times New Roman"/>
                <w:color w:val="000000" w:themeColor="text1"/>
                <w:w w:val="105"/>
                <w:sz w:val="20"/>
                <w:szCs w:val="20"/>
              </w:rPr>
              <w:t>Trial,</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including</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proofing</w:t>
            </w:r>
            <w:r w:rsidRPr="00B40A77">
              <w:rPr>
                <w:rFonts w:cs="Times New Roman"/>
                <w:color w:val="000000" w:themeColor="text1"/>
                <w:spacing w:val="-22"/>
                <w:w w:val="105"/>
                <w:sz w:val="20"/>
                <w:szCs w:val="20"/>
              </w:rPr>
              <w:t xml:space="preserve"> </w:t>
            </w:r>
            <w:r w:rsidRPr="00B40A77">
              <w:rPr>
                <w:rFonts w:cs="Times New Roman"/>
                <w:color w:val="000000" w:themeColor="text1"/>
                <w:w w:val="105"/>
                <w:sz w:val="20"/>
                <w:szCs w:val="20"/>
              </w:rPr>
              <w:t>witnesses,</w:t>
            </w:r>
            <w:r w:rsidRPr="00B40A77">
              <w:rPr>
                <w:rFonts w:cs="Times New Roman"/>
                <w:color w:val="000000" w:themeColor="text1"/>
                <w:spacing w:val="-21"/>
                <w:w w:val="105"/>
                <w:sz w:val="20"/>
                <w:szCs w:val="20"/>
              </w:rPr>
              <w:t xml:space="preserve"> </w:t>
            </w:r>
            <w:r w:rsidRPr="00B40A77">
              <w:rPr>
                <w:rFonts w:cs="Times New Roman"/>
                <w:color w:val="000000" w:themeColor="text1"/>
                <w:w w:val="105"/>
                <w:sz w:val="20"/>
                <w:szCs w:val="20"/>
              </w:rPr>
              <w:t>advice</w:t>
            </w:r>
            <w:r w:rsidRPr="00B40A77">
              <w:rPr>
                <w:rFonts w:cs="Times New Roman"/>
                <w:color w:val="000000" w:themeColor="text1"/>
                <w:spacing w:val="-23"/>
                <w:w w:val="105"/>
                <w:sz w:val="20"/>
                <w:szCs w:val="20"/>
              </w:rPr>
              <w:t xml:space="preserve"> </w:t>
            </w:r>
            <w:r w:rsidRPr="00B40A77">
              <w:rPr>
                <w:rFonts w:cs="Times New Roman"/>
                <w:color w:val="000000" w:themeColor="text1"/>
                <w:w w:val="105"/>
                <w:sz w:val="20"/>
                <w:szCs w:val="20"/>
              </w:rPr>
              <w:t>or</w:t>
            </w:r>
            <w:r w:rsidRPr="00B40A77">
              <w:rPr>
                <w:rFonts w:cs="Times New Roman"/>
                <w:color w:val="000000" w:themeColor="text1"/>
                <w:spacing w:val="-21"/>
                <w:w w:val="105"/>
                <w:sz w:val="20"/>
                <w:szCs w:val="20"/>
              </w:rPr>
              <w:t xml:space="preserve"> </w:t>
            </w:r>
            <w:r w:rsidRPr="00B40A77">
              <w:rPr>
                <w:rFonts w:cs="Times New Roman"/>
                <w:color w:val="000000" w:themeColor="text1"/>
                <w:w w:val="105"/>
                <w:sz w:val="20"/>
                <w:szCs w:val="20"/>
              </w:rPr>
              <w:t>evidence</w:t>
            </w:r>
            <w:r w:rsidRPr="00B40A77">
              <w:rPr>
                <w:rFonts w:cs="Times New Roman"/>
                <w:color w:val="000000" w:themeColor="text1"/>
                <w:spacing w:val="-22"/>
                <w:w w:val="105"/>
                <w:sz w:val="20"/>
                <w:szCs w:val="20"/>
              </w:rPr>
              <w:t xml:space="preserve"> </w:t>
            </w:r>
            <w:r w:rsidRPr="00B40A77">
              <w:rPr>
                <w:rFonts w:cs="Times New Roman"/>
                <w:color w:val="000000" w:themeColor="text1"/>
                <w:w w:val="105"/>
                <w:sz w:val="20"/>
                <w:szCs w:val="20"/>
              </w:rPr>
              <w:t>and</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law</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(solicitor</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and</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counsel)</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and</w:t>
            </w:r>
            <w:r w:rsidRPr="00B40A77">
              <w:rPr>
                <w:rFonts w:cs="Times New Roman"/>
                <w:color w:val="000000" w:themeColor="text1"/>
                <w:spacing w:val="-13"/>
                <w:w w:val="105"/>
                <w:sz w:val="20"/>
                <w:szCs w:val="20"/>
              </w:rPr>
              <w:t xml:space="preserve"> </w:t>
            </w:r>
            <w:r w:rsidRPr="00B40A77">
              <w:rPr>
                <w:rFonts w:cs="Times New Roman"/>
                <w:color w:val="000000" w:themeColor="text1"/>
                <w:w w:val="105"/>
                <w:sz w:val="20"/>
                <w:szCs w:val="20"/>
              </w:rPr>
              <w:t>delivering</w:t>
            </w:r>
            <w:r w:rsidRPr="00B40A77">
              <w:rPr>
                <w:rFonts w:cs="Times New Roman"/>
                <w:color w:val="000000" w:themeColor="text1"/>
                <w:w w:val="102"/>
                <w:sz w:val="20"/>
                <w:szCs w:val="20"/>
              </w:rPr>
              <w:t xml:space="preserve"> </w:t>
            </w:r>
            <w:r w:rsidRPr="00B40A77">
              <w:rPr>
                <w:rFonts w:cs="Times New Roman"/>
                <w:color w:val="000000" w:themeColor="text1"/>
                <w:w w:val="105"/>
                <w:sz w:val="20"/>
                <w:szCs w:val="20"/>
              </w:rPr>
              <w:t>brief to</w:t>
            </w:r>
            <w:r w:rsidRPr="00B40A77">
              <w:rPr>
                <w:rFonts w:cs="Times New Roman"/>
                <w:color w:val="000000" w:themeColor="text1"/>
                <w:spacing w:val="-5"/>
                <w:w w:val="105"/>
                <w:sz w:val="20"/>
                <w:szCs w:val="20"/>
              </w:rPr>
              <w:t xml:space="preserve"> </w:t>
            </w:r>
            <w:r w:rsidRPr="00B40A77">
              <w:rPr>
                <w:rFonts w:cs="Times New Roman"/>
                <w:color w:val="000000" w:themeColor="text1"/>
                <w:w w:val="105"/>
                <w:sz w:val="20"/>
                <w:szCs w:val="20"/>
              </w:rPr>
              <w:t>counsel.</w:t>
            </w:r>
          </w:p>
        </w:tc>
        <w:tc>
          <w:tcPr>
            <w:tcW w:w="1701" w:type="dxa"/>
            <w:tcBorders>
              <w:top w:val="single" w:sz="4" w:space="0" w:color="000000"/>
              <w:left w:val="single" w:sz="4" w:space="0" w:color="000000"/>
              <w:bottom w:val="single" w:sz="4" w:space="0" w:color="000000"/>
              <w:right w:val="single" w:sz="4" w:space="0" w:color="000000"/>
            </w:tcBorders>
          </w:tcPr>
          <w:p w14:paraId="70B1C389"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6EA75E4C" w14:textId="77777777" w:rsidR="00BB7238" w:rsidRPr="00B40A77" w:rsidRDefault="00BB7238" w:rsidP="00B85DCA">
            <w:pPr>
              <w:kinsoku w:val="0"/>
              <w:overflowPunct w:val="0"/>
              <w:autoSpaceDE w:val="0"/>
              <w:autoSpaceDN w:val="0"/>
              <w:adjustRightInd w:val="0"/>
              <w:spacing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$1,160</w:t>
            </w:r>
          </w:p>
        </w:tc>
        <w:tc>
          <w:tcPr>
            <w:tcW w:w="1985" w:type="dxa"/>
            <w:tcBorders>
              <w:top w:val="single" w:sz="4" w:space="0" w:color="000000"/>
              <w:left w:val="single" w:sz="4" w:space="0" w:color="000000"/>
              <w:bottom w:val="single" w:sz="4" w:space="0" w:color="000000"/>
              <w:right w:val="single" w:sz="4" w:space="0" w:color="000000"/>
            </w:tcBorders>
          </w:tcPr>
          <w:p w14:paraId="25D977AE" w14:textId="77777777" w:rsidR="00BB7238" w:rsidRPr="00B40A77" w:rsidRDefault="00BB7238" w:rsidP="00B85DCA">
            <w:pPr>
              <w:kinsoku w:val="0"/>
              <w:overflowPunct w:val="0"/>
              <w:autoSpaceDE w:val="0"/>
              <w:autoSpaceDN w:val="0"/>
              <w:adjustRightInd w:val="0"/>
              <w:spacing w:line="256" w:lineRule="auto"/>
              <w:rPr>
                <w:rFonts w:cs="Times New Roman"/>
                <w:color w:val="000000" w:themeColor="text1"/>
                <w:sz w:val="20"/>
                <w:szCs w:val="20"/>
              </w:rPr>
            </w:pPr>
          </w:p>
          <w:p w14:paraId="22D1219C" w14:textId="77777777" w:rsidR="00BB7238" w:rsidRPr="00B40A77" w:rsidRDefault="00BB7238" w:rsidP="00B85DCA">
            <w:pPr>
              <w:kinsoku w:val="0"/>
              <w:overflowPunct w:val="0"/>
              <w:autoSpaceDE w:val="0"/>
              <w:autoSpaceDN w:val="0"/>
              <w:adjustRightInd w:val="0"/>
              <w:spacing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$210</w:t>
            </w:r>
          </w:p>
        </w:tc>
      </w:tr>
      <w:tr w:rsidR="00B40A77" w:rsidRPr="00B40A77" w14:paraId="20FC0A31" w14:textId="77777777" w:rsidTr="00BB7238">
        <w:trPr>
          <w:trHeight w:hRule="exact" w:val="418"/>
        </w:trPr>
        <w:tc>
          <w:tcPr>
            <w:tcW w:w="709" w:type="dxa"/>
            <w:tcBorders>
              <w:top w:val="single" w:sz="4" w:space="0" w:color="000000"/>
              <w:left w:val="single" w:sz="4" w:space="0" w:color="000000"/>
              <w:bottom w:val="single" w:sz="4" w:space="0" w:color="000000"/>
              <w:right w:val="single" w:sz="4" w:space="0" w:color="000000"/>
            </w:tcBorders>
            <w:hideMark/>
          </w:tcPr>
          <w:p w14:paraId="2DAA057C" w14:textId="77777777" w:rsidR="00BB7238" w:rsidRPr="00B40A77" w:rsidRDefault="00BB7238" w:rsidP="00B85DCA">
            <w:pPr>
              <w:kinsoku w:val="0"/>
              <w:overflowPunct w:val="0"/>
              <w:autoSpaceDE w:val="0"/>
              <w:autoSpaceDN w:val="0"/>
              <w:adjustRightInd w:val="0"/>
              <w:spacing w:before="7" w:line="256" w:lineRule="auto"/>
              <w:jc w:val="center"/>
              <w:rPr>
                <w:rFonts w:cs="Times New Roman"/>
                <w:color w:val="000000" w:themeColor="text1"/>
                <w:sz w:val="20"/>
                <w:szCs w:val="20"/>
              </w:rPr>
            </w:pPr>
            <w:r w:rsidRPr="00B40A77">
              <w:rPr>
                <w:rFonts w:cs="Times New Roman"/>
                <w:color w:val="000000" w:themeColor="text1"/>
                <w:w w:val="102"/>
                <w:sz w:val="20"/>
                <w:szCs w:val="20"/>
              </w:rPr>
              <w:t>3</w:t>
            </w:r>
          </w:p>
        </w:tc>
        <w:tc>
          <w:tcPr>
            <w:tcW w:w="4819" w:type="dxa"/>
            <w:tcBorders>
              <w:top w:val="single" w:sz="4" w:space="0" w:color="000000"/>
              <w:left w:val="single" w:sz="4" w:space="0" w:color="000000"/>
              <w:bottom w:val="single" w:sz="4" w:space="0" w:color="000000"/>
              <w:right w:val="single" w:sz="4" w:space="0" w:color="000000"/>
            </w:tcBorders>
          </w:tcPr>
          <w:p w14:paraId="6EA13A6A" w14:textId="77777777" w:rsidR="00BB7238" w:rsidRPr="00B40A77" w:rsidRDefault="00BB7238" w:rsidP="00B85DCA">
            <w:pPr>
              <w:kinsoku w:val="0"/>
              <w:overflowPunct w:val="0"/>
              <w:autoSpaceDE w:val="0"/>
              <w:autoSpaceDN w:val="0"/>
              <w:adjustRightInd w:val="0"/>
              <w:spacing w:before="7" w:line="256" w:lineRule="auto"/>
              <w:ind w:left="97"/>
              <w:rPr>
                <w:rFonts w:cs="Times New Roman"/>
                <w:color w:val="000000" w:themeColor="text1"/>
                <w:w w:val="105"/>
                <w:sz w:val="20"/>
                <w:szCs w:val="20"/>
              </w:rPr>
            </w:pPr>
            <w:r w:rsidRPr="00B40A77">
              <w:rPr>
                <w:rFonts w:cs="Times New Roman"/>
                <w:color w:val="000000" w:themeColor="text1"/>
                <w:w w:val="105"/>
                <w:sz w:val="20"/>
                <w:szCs w:val="20"/>
              </w:rPr>
              <w:t>Attendance at pre-trial</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conference</w:t>
            </w:r>
          </w:p>
          <w:p w14:paraId="3A4AE294" w14:textId="77777777" w:rsidR="00BB7238" w:rsidRPr="00B40A77" w:rsidRDefault="00BB7238" w:rsidP="00B85DCA">
            <w:pPr>
              <w:kinsoku w:val="0"/>
              <w:overflowPunct w:val="0"/>
              <w:autoSpaceDE w:val="0"/>
              <w:autoSpaceDN w:val="0"/>
              <w:adjustRightInd w:val="0"/>
              <w:spacing w:before="7" w:line="256" w:lineRule="auto"/>
              <w:ind w:left="97"/>
              <w:rPr>
                <w:rFonts w:cs="Times New Roman"/>
                <w:color w:val="000000" w:themeColor="text1"/>
                <w:w w:val="105"/>
                <w:sz w:val="20"/>
                <w:szCs w:val="20"/>
              </w:rPr>
            </w:pPr>
          </w:p>
          <w:p w14:paraId="65E31B29" w14:textId="77777777" w:rsidR="00BB7238" w:rsidRPr="00B40A77" w:rsidRDefault="00BB7238" w:rsidP="00B85DCA">
            <w:pPr>
              <w:kinsoku w:val="0"/>
              <w:overflowPunct w:val="0"/>
              <w:autoSpaceDE w:val="0"/>
              <w:autoSpaceDN w:val="0"/>
              <w:adjustRightInd w:val="0"/>
              <w:spacing w:before="7" w:line="256" w:lineRule="auto"/>
              <w:ind w:left="97"/>
              <w:rPr>
                <w:rFonts w:cs="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14:paraId="5495D41A" w14:textId="77777777" w:rsidR="00BB7238" w:rsidRPr="00B40A77" w:rsidRDefault="00BB7238" w:rsidP="00B85DCA">
            <w:pPr>
              <w:kinsoku w:val="0"/>
              <w:overflowPunct w:val="0"/>
              <w:autoSpaceDE w:val="0"/>
              <w:autoSpaceDN w:val="0"/>
              <w:adjustRightInd w:val="0"/>
              <w:spacing w:before="7" w:line="256" w:lineRule="auto"/>
              <w:jc w:val="center"/>
              <w:rPr>
                <w:rFonts w:cs="Times New Roman"/>
                <w:color w:val="000000" w:themeColor="text1"/>
                <w:sz w:val="20"/>
                <w:szCs w:val="20"/>
              </w:rPr>
            </w:pPr>
            <w:r w:rsidRPr="00B40A77">
              <w:rPr>
                <w:rFonts w:cs="Times New Roman"/>
                <w:color w:val="000000" w:themeColor="text1"/>
                <w:w w:val="105"/>
                <w:sz w:val="20"/>
                <w:szCs w:val="20"/>
              </w:rPr>
              <w:t>$320</w:t>
            </w:r>
          </w:p>
        </w:tc>
        <w:tc>
          <w:tcPr>
            <w:tcW w:w="1985" w:type="dxa"/>
            <w:tcBorders>
              <w:top w:val="single" w:sz="4" w:space="0" w:color="000000"/>
              <w:left w:val="single" w:sz="4" w:space="0" w:color="000000"/>
              <w:bottom w:val="single" w:sz="4" w:space="0" w:color="000000"/>
              <w:right w:val="single" w:sz="4" w:space="0" w:color="000000"/>
            </w:tcBorders>
            <w:hideMark/>
          </w:tcPr>
          <w:p w14:paraId="12F6CBFB" w14:textId="77777777" w:rsidR="00BB7238" w:rsidRPr="00B40A77" w:rsidRDefault="00BB7238" w:rsidP="00B85DCA">
            <w:pPr>
              <w:kinsoku w:val="0"/>
              <w:overflowPunct w:val="0"/>
              <w:autoSpaceDE w:val="0"/>
              <w:autoSpaceDN w:val="0"/>
              <w:adjustRightInd w:val="0"/>
              <w:spacing w:before="7" w:line="256" w:lineRule="auto"/>
              <w:jc w:val="center"/>
              <w:rPr>
                <w:rFonts w:cs="Times New Roman"/>
                <w:color w:val="000000" w:themeColor="text1"/>
                <w:sz w:val="20"/>
                <w:szCs w:val="20"/>
              </w:rPr>
            </w:pPr>
            <w:r w:rsidRPr="00B40A77">
              <w:rPr>
                <w:rFonts w:cs="Times New Roman"/>
                <w:color w:val="000000" w:themeColor="text1"/>
                <w:w w:val="105"/>
                <w:sz w:val="20"/>
                <w:szCs w:val="20"/>
              </w:rPr>
              <w:t>$80</w:t>
            </w:r>
          </w:p>
        </w:tc>
      </w:tr>
      <w:tr w:rsidR="00B40A77" w:rsidRPr="00B40A77" w14:paraId="6D136375" w14:textId="77777777" w:rsidTr="00BB7238">
        <w:trPr>
          <w:trHeight w:hRule="exact" w:val="427"/>
        </w:trPr>
        <w:tc>
          <w:tcPr>
            <w:tcW w:w="709" w:type="dxa"/>
            <w:tcBorders>
              <w:top w:val="single" w:sz="4" w:space="0" w:color="000000"/>
              <w:left w:val="single" w:sz="4" w:space="0" w:color="000000"/>
              <w:bottom w:val="single" w:sz="4" w:space="0" w:color="000000"/>
              <w:right w:val="single" w:sz="4" w:space="0" w:color="000000"/>
            </w:tcBorders>
            <w:hideMark/>
          </w:tcPr>
          <w:p w14:paraId="001FC183"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2"/>
                <w:sz w:val="20"/>
                <w:szCs w:val="20"/>
              </w:rPr>
              <w:t>4</w:t>
            </w:r>
          </w:p>
        </w:tc>
        <w:tc>
          <w:tcPr>
            <w:tcW w:w="4819" w:type="dxa"/>
            <w:tcBorders>
              <w:top w:val="single" w:sz="4" w:space="0" w:color="000000"/>
              <w:left w:val="single" w:sz="4" w:space="0" w:color="000000"/>
              <w:bottom w:val="single" w:sz="4" w:space="0" w:color="000000"/>
              <w:right w:val="single" w:sz="4" w:space="0" w:color="000000"/>
            </w:tcBorders>
            <w:hideMark/>
          </w:tcPr>
          <w:p w14:paraId="5D4F6B8C" w14:textId="77777777" w:rsidR="00BB7238" w:rsidRPr="00B40A77" w:rsidRDefault="00BB7238" w:rsidP="00B85DCA">
            <w:pPr>
              <w:kinsoku w:val="0"/>
              <w:overflowPunct w:val="0"/>
              <w:autoSpaceDE w:val="0"/>
              <w:autoSpaceDN w:val="0"/>
              <w:adjustRightInd w:val="0"/>
              <w:spacing w:before="6" w:line="256" w:lineRule="auto"/>
              <w:ind w:left="97"/>
              <w:rPr>
                <w:rFonts w:cs="Times New Roman"/>
                <w:color w:val="000000" w:themeColor="text1"/>
                <w:sz w:val="20"/>
                <w:szCs w:val="20"/>
              </w:rPr>
            </w:pPr>
            <w:r w:rsidRPr="00B40A77">
              <w:rPr>
                <w:rFonts w:cs="Times New Roman"/>
                <w:color w:val="000000" w:themeColor="text1"/>
                <w:w w:val="105"/>
                <w:sz w:val="20"/>
                <w:szCs w:val="20"/>
              </w:rPr>
              <w:t>Attendance</w:t>
            </w:r>
            <w:r w:rsidRPr="00B40A77">
              <w:rPr>
                <w:rFonts w:cs="Times New Roman"/>
                <w:color w:val="000000" w:themeColor="text1"/>
                <w:spacing w:val="-10"/>
                <w:w w:val="105"/>
                <w:sz w:val="20"/>
                <w:szCs w:val="20"/>
              </w:rPr>
              <w:t xml:space="preserve"> </w:t>
            </w:r>
            <w:r w:rsidRPr="00B40A77">
              <w:rPr>
                <w:rFonts w:cs="Times New Roman"/>
                <w:color w:val="000000" w:themeColor="text1"/>
                <w:w w:val="105"/>
                <w:sz w:val="20"/>
                <w:szCs w:val="20"/>
              </w:rPr>
              <w:t>at</w:t>
            </w:r>
            <w:r w:rsidRPr="00B40A77">
              <w:rPr>
                <w:rFonts w:cs="Times New Roman"/>
                <w:color w:val="000000" w:themeColor="text1"/>
                <w:spacing w:val="-9"/>
                <w:w w:val="105"/>
                <w:sz w:val="20"/>
                <w:szCs w:val="20"/>
              </w:rPr>
              <w:t xml:space="preserve"> </w:t>
            </w:r>
            <w:r w:rsidRPr="00B40A77">
              <w:rPr>
                <w:rFonts w:cs="Times New Roman"/>
                <w:color w:val="000000" w:themeColor="text1"/>
                <w:w w:val="105"/>
                <w:sz w:val="20"/>
                <w:szCs w:val="20"/>
              </w:rPr>
              <w:t>hearing</w:t>
            </w:r>
            <w:r w:rsidRPr="00B40A77">
              <w:rPr>
                <w:rFonts w:cs="Times New Roman"/>
                <w:color w:val="000000" w:themeColor="text1"/>
                <w:spacing w:val="-9"/>
                <w:w w:val="105"/>
                <w:sz w:val="20"/>
                <w:szCs w:val="20"/>
              </w:rPr>
              <w:t xml:space="preserve"> </w:t>
            </w:r>
            <w:r w:rsidRPr="00B40A77">
              <w:rPr>
                <w:rFonts w:cs="Times New Roman"/>
                <w:color w:val="000000" w:themeColor="text1"/>
                <w:w w:val="105"/>
                <w:sz w:val="20"/>
                <w:szCs w:val="20"/>
              </w:rPr>
              <w:t>(see</w:t>
            </w:r>
            <w:r w:rsidRPr="00B40A77">
              <w:rPr>
                <w:rFonts w:cs="Times New Roman"/>
                <w:color w:val="000000" w:themeColor="text1"/>
                <w:spacing w:val="-11"/>
                <w:w w:val="105"/>
                <w:sz w:val="20"/>
                <w:szCs w:val="20"/>
              </w:rPr>
              <w:t xml:space="preserve"> </w:t>
            </w:r>
            <w:r w:rsidRPr="00B40A77">
              <w:rPr>
                <w:rFonts w:cs="Times New Roman"/>
                <w:color w:val="000000" w:themeColor="text1"/>
                <w:w w:val="105"/>
                <w:sz w:val="20"/>
                <w:szCs w:val="20"/>
              </w:rPr>
              <w:t>note</w:t>
            </w:r>
            <w:r w:rsidRPr="00B40A77">
              <w:rPr>
                <w:rFonts w:cs="Times New Roman"/>
                <w:color w:val="000000" w:themeColor="text1"/>
                <w:spacing w:val="-9"/>
                <w:w w:val="105"/>
                <w:sz w:val="20"/>
                <w:szCs w:val="20"/>
              </w:rPr>
              <w:t xml:space="preserve"> 2 </w:t>
            </w:r>
            <w:r w:rsidRPr="00B40A77">
              <w:rPr>
                <w:rFonts w:cs="Times New Roman"/>
                <w:color w:val="000000" w:themeColor="text1"/>
                <w:w w:val="105"/>
                <w:sz w:val="20"/>
                <w:szCs w:val="20"/>
              </w:rPr>
              <w:t>below)</w:t>
            </w:r>
          </w:p>
        </w:tc>
        <w:tc>
          <w:tcPr>
            <w:tcW w:w="1701" w:type="dxa"/>
            <w:tcBorders>
              <w:top w:val="single" w:sz="4" w:space="0" w:color="000000"/>
              <w:left w:val="single" w:sz="4" w:space="0" w:color="000000"/>
              <w:bottom w:val="single" w:sz="4" w:space="0" w:color="000000"/>
              <w:right w:val="single" w:sz="4" w:space="0" w:color="000000"/>
            </w:tcBorders>
            <w:hideMark/>
          </w:tcPr>
          <w:p w14:paraId="4ADDB31A"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5"/>
                <w:sz w:val="20"/>
                <w:szCs w:val="20"/>
              </w:rPr>
              <w:t>$120</w:t>
            </w:r>
          </w:p>
        </w:tc>
        <w:tc>
          <w:tcPr>
            <w:tcW w:w="1985" w:type="dxa"/>
            <w:tcBorders>
              <w:top w:val="single" w:sz="4" w:space="0" w:color="000000"/>
              <w:left w:val="single" w:sz="4" w:space="0" w:color="000000"/>
              <w:bottom w:val="single" w:sz="4" w:space="0" w:color="000000"/>
              <w:right w:val="single" w:sz="4" w:space="0" w:color="000000"/>
            </w:tcBorders>
            <w:hideMark/>
          </w:tcPr>
          <w:p w14:paraId="362CBB1F" w14:textId="77777777" w:rsidR="00BB7238" w:rsidRPr="00B40A77" w:rsidRDefault="00BB7238" w:rsidP="00B85DCA">
            <w:pPr>
              <w:kinsoku w:val="0"/>
              <w:overflowPunct w:val="0"/>
              <w:autoSpaceDE w:val="0"/>
              <w:autoSpaceDN w:val="0"/>
              <w:adjustRightInd w:val="0"/>
              <w:spacing w:before="6" w:line="256" w:lineRule="auto"/>
              <w:ind w:left="1"/>
              <w:jc w:val="center"/>
              <w:rPr>
                <w:rFonts w:cs="Times New Roman"/>
                <w:color w:val="000000" w:themeColor="text1"/>
                <w:sz w:val="20"/>
                <w:szCs w:val="20"/>
              </w:rPr>
            </w:pPr>
            <w:r w:rsidRPr="00B40A77">
              <w:rPr>
                <w:rFonts w:cs="Times New Roman"/>
                <w:color w:val="000000" w:themeColor="text1"/>
                <w:w w:val="105"/>
                <w:sz w:val="20"/>
                <w:szCs w:val="20"/>
              </w:rPr>
              <w:t>$35</w:t>
            </w:r>
          </w:p>
        </w:tc>
      </w:tr>
      <w:tr w:rsidR="00B40A77" w:rsidRPr="00B40A77" w14:paraId="6426DE5C" w14:textId="77777777" w:rsidTr="00BB7238">
        <w:trPr>
          <w:trHeight w:hRule="exact" w:val="571"/>
        </w:trPr>
        <w:tc>
          <w:tcPr>
            <w:tcW w:w="709" w:type="dxa"/>
            <w:tcBorders>
              <w:top w:val="single" w:sz="4" w:space="0" w:color="000000"/>
              <w:left w:val="single" w:sz="4" w:space="0" w:color="000000"/>
              <w:bottom w:val="single" w:sz="4" w:space="0" w:color="000000"/>
              <w:right w:val="single" w:sz="4" w:space="0" w:color="000000"/>
            </w:tcBorders>
            <w:hideMark/>
          </w:tcPr>
          <w:p w14:paraId="1BDB7F7C"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2"/>
                <w:sz w:val="20"/>
                <w:szCs w:val="20"/>
              </w:rPr>
              <w:t>5</w:t>
            </w:r>
          </w:p>
        </w:tc>
        <w:tc>
          <w:tcPr>
            <w:tcW w:w="4819" w:type="dxa"/>
            <w:tcBorders>
              <w:top w:val="single" w:sz="4" w:space="0" w:color="000000"/>
              <w:left w:val="single" w:sz="4" w:space="0" w:color="000000"/>
              <w:bottom w:val="single" w:sz="4" w:space="0" w:color="000000"/>
              <w:right w:val="single" w:sz="4" w:space="0" w:color="000000"/>
            </w:tcBorders>
            <w:hideMark/>
          </w:tcPr>
          <w:p w14:paraId="4EB674D0" w14:textId="77777777" w:rsidR="00BB7238" w:rsidRPr="00B40A77" w:rsidRDefault="00BB7238" w:rsidP="00B85DCA">
            <w:pPr>
              <w:kinsoku w:val="0"/>
              <w:overflowPunct w:val="0"/>
              <w:autoSpaceDE w:val="0"/>
              <w:autoSpaceDN w:val="0"/>
              <w:adjustRightInd w:val="0"/>
              <w:spacing w:before="6" w:line="244" w:lineRule="auto"/>
              <w:ind w:left="97" w:right="535" w:hanging="1"/>
              <w:rPr>
                <w:rFonts w:cs="Times New Roman"/>
                <w:color w:val="000000" w:themeColor="text1"/>
                <w:sz w:val="20"/>
                <w:szCs w:val="20"/>
              </w:rPr>
            </w:pPr>
            <w:r w:rsidRPr="00B40A77">
              <w:rPr>
                <w:rFonts w:cs="Times New Roman"/>
                <w:color w:val="000000" w:themeColor="text1"/>
                <w:w w:val="105"/>
                <w:sz w:val="20"/>
                <w:szCs w:val="20"/>
              </w:rPr>
              <w:t>Attendance</w:t>
            </w:r>
            <w:r w:rsidRPr="00B40A77">
              <w:rPr>
                <w:rFonts w:cs="Times New Roman"/>
                <w:color w:val="000000" w:themeColor="text1"/>
                <w:spacing w:val="-23"/>
                <w:w w:val="105"/>
                <w:sz w:val="20"/>
                <w:szCs w:val="20"/>
              </w:rPr>
              <w:t xml:space="preserve"> </w:t>
            </w:r>
            <w:r w:rsidRPr="00B40A77">
              <w:rPr>
                <w:rFonts w:cs="Times New Roman"/>
                <w:color w:val="000000" w:themeColor="text1"/>
                <w:w w:val="105"/>
                <w:sz w:val="20"/>
                <w:szCs w:val="20"/>
              </w:rPr>
              <w:t>where</w:t>
            </w:r>
            <w:r w:rsidRPr="00B40A77">
              <w:rPr>
                <w:rFonts w:cs="Times New Roman"/>
                <w:color w:val="000000" w:themeColor="text1"/>
                <w:spacing w:val="-24"/>
                <w:w w:val="105"/>
                <w:sz w:val="20"/>
                <w:szCs w:val="20"/>
              </w:rPr>
              <w:t xml:space="preserve"> </w:t>
            </w:r>
            <w:r w:rsidRPr="00B40A77">
              <w:rPr>
                <w:rFonts w:cs="Times New Roman"/>
                <w:color w:val="000000" w:themeColor="text1"/>
                <w:w w:val="105"/>
                <w:sz w:val="20"/>
                <w:szCs w:val="20"/>
              </w:rPr>
              <w:t>detailed</w:t>
            </w:r>
            <w:r w:rsidRPr="00B40A77">
              <w:rPr>
                <w:rFonts w:cs="Times New Roman"/>
                <w:color w:val="000000" w:themeColor="text1"/>
                <w:spacing w:val="-22"/>
                <w:w w:val="105"/>
                <w:sz w:val="20"/>
                <w:szCs w:val="20"/>
              </w:rPr>
              <w:t xml:space="preserve"> </w:t>
            </w:r>
            <w:r w:rsidRPr="00B40A77">
              <w:rPr>
                <w:rFonts w:cs="Times New Roman"/>
                <w:color w:val="000000" w:themeColor="text1"/>
                <w:w w:val="105"/>
                <w:sz w:val="20"/>
                <w:szCs w:val="20"/>
              </w:rPr>
              <w:t>argument</w:t>
            </w:r>
            <w:r w:rsidRPr="00B40A77">
              <w:rPr>
                <w:rFonts w:cs="Times New Roman"/>
                <w:color w:val="000000" w:themeColor="text1"/>
                <w:spacing w:val="-23"/>
                <w:w w:val="105"/>
                <w:sz w:val="20"/>
                <w:szCs w:val="20"/>
              </w:rPr>
              <w:t xml:space="preserve"> </w:t>
            </w:r>
            <w:r w:rsidRPr="00B40A77">
              <w:rPr>
                <w:rFonts w:cs="Times New Roman"/>
                <w:color w:val="000000" w:themeColor="text1"/>
                <w:w w:val="105"/>
                <w:sz w:val="20"/>
                <w:szCs w:val="20"/>
              </w:rPr>
              <w:t>is</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 xml:space="preserve">necessary </w:t>
            </w:r>
          </w:p>
        </w:tc>
        <w:tc>
          <w:tcPr>
            <w:tcW w:w="1701" w:type="dxa"/>
            <w:tcBorders>
              <w:top w:val="single" w:sz="4" w:space="0" w:color="000000"/>
              <w:left w:val="single" w:sz="4" w:space="0" w:color="000000"/>
              <w:bottom w:val="single" w:sz="4" w:space="0" w:color="000000"/>
              <w:right w:val="single" w:sz="4" w:space="0" w:color="000000"/>
            </w:tcBorders>
            <w:hideMark/>
          </w:tcPr>
          <w:p w14:paraId="48AC3551" w14:textId="77777777" w:rsidR="00BB7238" w:rsidRPr="00B40A77" w:rsidRDefault="00BB7238" w:rsidP="00B85DCA">
            <w:pPr>
              <w:kinsoku w:val="0"/>
              <w:overflowPunct w:val="0"/>
              <w:autoSpaceDE w:val="0"/>
              <w:autoSpaceDN w:val="0"/>
              <w:adjustRightInd w:val="0"/>
              <w:spacing w:before="135"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$210</w:t>
            </w:r>
          </w:p>
        </w:tc>
        <w:tc>
          <w:tcPr>
            <w:tcW w:w="1985" w:type="dxa"/>
            <w:tcBorders>
              <w:top w:val="single" w:sz="4" w:space="0" w:color="000000"/>
              <w:left w:val="single" w:sz="4" w:space="0" w:color="000000"/>
              <w:bottom w:val="single" w:sz="4" w:space="0" w:color="000000"/>
              <w:right w:val="single" w:sz="4" w:space="0" w:color="000000"/>
            </w:tcBorders>
            <w:hideMark/>
          </w:tcPr>
          <w:p w14:paraId="11863188" w14:textId="77777777" w:rsidR="00BB7238" w:rsidRPr="00B40A77" w:rsidRDefault="00BB7238" w:rsidP="00B85DCA">
            <w:pPr>
              <w:kinsoku w:val="0"/>
              <w:overflowPunct w:val="0"/>
              <w:autoSpaceDE w:val="0"/>
              <w:autoSpaceDN w:val="0"/>
              <w:adjustRightInd w:val="0"/>
              <w:spacing w:before="135"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$45</w:t>
            </w:r>
          </w:p>
        </w:tc>
      </w:tr>
      <w:tr w:rsidR="00B40A77" w:rsidRPr="00B40A77" w14:paraId="4212C2A1" w14:textId="77777777" w:rsidTr="00BB7238">
        <w:trPr>
          <w:trHeight w:hRule="exact" w:val="993"/>
        </w:trPr>
        <w:tc>
          <w:tcPr>
            <w:tcW w:w="709" w:type="dxa"/>
            <w:tcBorders>
              <w:top w:val="single" w:sz="4" w:space="0" w:color="000000"/>
              <w:left w:val="single" w:sz="4" w:space="0" w:color="000000"/>
              <w:bottom w:val="single" w:sz="4" w:space="0" w:color="000000"/>
              <w:right w:val="single" w:sz="4" w:space="0" w:color="000000"/>
            </w:tcBorders>
            <w:hideMark/>
          </w:tcPr>
          <w:p w14:paraId="422D52DA"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2"/>
                <w:sz w:val="20"/>
                <w:szCs w:val="20"/>
              </w:rPr>
              <w:t>6</w:t>
            </w:r>
          </w:p>
        </w:tc>
        <w:tc>
          <w:tcPr>
            <w:tcW w:w="4819" w:type="dxa"/>
            <w:tcBorders>
              <w:top w:val="single" w:sz="4" w:space="0" w:color="000000"/>
              <w:left w:val="single" w:sz="4" w:space="0" w:color="000000"/>
              <w:bottom w:val="single" w:sz="4" w:space="0" w:color="000000"/>
              <w:right w:val="single" w:sz="4" w:space="0" w:color="000000"/>
            </w:tcBorders>
            <w:hideMark/>
          </w:tcPr>
          <w:p w14:paraId="5FD05075" w14:textId="77777777" w:rsidR="00BB7238" w:rsidRPr="00B40A77" w:rsidRDefault="00BB7238" w:rsidP="00B85DCA">
            <w:pPr>
              <w:kinsoku w:val="0"/>
              <w:overflowPunct w:val="0"/>
              <w:autoSpaceDE w:val="0"/>
              <w:autoSpaceDN w:val="0"/>
              <w:adjustRightInd w:val="0"/>
              <w:spacing w:before="6" w:line="244" w:lineRule="auto"/>
              <w:ind w:left="97" w:right="182" w:hanging="1"/>
              <w:rPr>
                <w:rFonts w:cs="Times New Roman"/>
                <w:color w:val="000000" w:themeColor="text1"/>
                <w:sz w:val="20"/>
                <w:szCs w:val="20"/>
              </w:rPr>
            </w:pPr>
            <w:r w:rsidRPr="00B40A77">
              <w:rPr>
                <w:rFonts w:cs="Times New Roman"/>
                <w:color w:val="000000" w:themeColor="text1"/>
                <w:w w:val="105"/>
                <w:sz w:val="20"/>
                <w:szCs w:val="20"/>
              </w:rPr>
              <w:t>Arranging attendance of</w:t>
            </w:r>
            <w:r w:rsidRPr="00B40A77">
              <w:rPr>
                <w:rFonts w:cs="Times New Roman"/>
                <w:color w:val="000000" w:themeColor="text1"/>
                <w:spacing w:val="-20"/>
                <w:w w:val="105"/>
                <w:sz w:val="20"/>
                <w:szCs w:val="20"/>
              </w:rPr>
              <w:t xml:space="preserve"> </w:t>
            </w:r>
            <w:r w:rsidRPr="00B40A77">
              <w:rPr>
                <w:rFonts w:cs="Times New Roman"/>
                <w:color w:val="000000" w:themeColor="text1"/>
                <w:w w:val="105"/>
                <w:sz w:val="20"/>
                <w:szCs w:val="20"/>
              </w:rPr>
              <w:t>witnesses</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(including</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issue</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and</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service</w:t>
            </w:r>
            <w:r w:rsidRPr="00B40A77">
              <w:rPr>
                <w:rFonts w:cs="Times New Roman"/>
                <w:color w:val="000000" w:themeColor="text1"/>
                <w:spacing w:val="-19"/>
                <w:w w:val="105"/>
                <w:sz w:val="20"/>
                <w:szCs w:val="20"/>
              </w:rPr>
              <w:t xml:space="preserve"> </w:t>
            </w:r>
            <w:r w:rsidRPr="00B40A77">
              <w:rPr>
                <w:rFonts w:cs="Times New Roman"/>
                <w:color w:val="000000" w:themeColor="text1"/>
                <w:w w:val="105"/>
                <w:sz w:val="20"/>
                <w:szCs w:val="20"/>
              </w:rPr>
              <w:t>of</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summons</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if</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necessary) - per</w:t>
            </w:r>
            <w:r w:rsidRPr="00B40A77">
              <w:rPr>
                <w:rFonts w:cs="Times New Roman"/>
                <w:color w:val="000000" w:themeColor="text1"/>
                <w:spacing w:val="-11"/>
                <w:w w:val="105"/>
                <w:sz w:val="20"/>
                <w:szCs w:val="20"/>
              </w:rPr>
              <w:t xml:space="preserve"> </w:t>
            </w:r>
            <w:r w:rsidRPr="00B40A77">
              <w:rPr>
                <w:rFonts w:cs="Times New Roman"/>
                <w:color w:val="000000" w:themeColor="text1"/>
                <w:w w:val="105"/>
                <w:sz w:val="20"/>
                <w:szCs w:val="20"/>
              </w:rPr>
              <w:t>witness</w:t>
            </w:r>
          </w:p>
        </w:tc>
        <w:tc>
          <w:tcPr>
            <w:tcW w:w="1701" w:type="dxa"/>
            <w:tcBorders>
              <w:top w:val="single" w:sz="4" w:space="0" w:color="000000"/>
              <w:left w:val="single" w:sz="4" w:space="0" w:color="000000"/>
              <w:bottom w:val="single" w:sz="4" w:space="0" w:color="000000"/>
              <w:right w:val="single" w:sz="4" w:space="0" w:color="000000"/>
            </w:tcBorders>
            <w:vAlign w:val="center"/>
          </w:tcPr>
          <w:p w14:paraId="55AB7B7C" w14:textId="77777777" w:rsidR="00BB7238" w:rsidRPr="00B40A77" w:rsidRDefault="00BB7238" w:rsidP="00B85DCA">
            <w:pPr>
              <w:kinsoku w:val="0"/>
              <w:overflowPunct w:val="0"/>
              <w:autoSpaceDE w:val="0"/>
              <w:autoSpaceDN w:val="0"/>
              <w:adjustRightInd w:val="0"/>
              <w:spacing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$110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EAD1BDD" w14:textId="77777777" w:rsidR="00BB7238" w:rsidRPr="00B40A77" w:rsidRDefault="00BB7238" w:rsidP="00B85DCA">
            <w:pPr>
              <w:autoSpaceDE w:val="0"/>
              <w:autoSpaceDN w:val="0"/>
              <w:adjustRightInd w:val="0"/>
              <w:spacing w:line="256" w:lineRule="auto"/>
              <w:jc w:val="center"/>
              <w:rPr>
                <w:rFonts w:cs="Times New Roman"/>
                <w:color w:val="000000" w:themeColor="text1"/>
                <w:sz w:val="20"/>
                <w:szCs w:val="20"/>
              </w:rPr>
            </w:pPr>
            <w:r w:rsidRPr="00B40A77">
              <w:rPr>
                <w:rFonts w:cs="Times New Roman"/>
                <w:color w:val="000000" w:themeColor="text1"/>
                <w:sz w:val="20"/>
                <w:szCs w:val="20"/>
              </w:rPr>
              <w:t>Nil</w:t>
            </w:r>
          </w:p>
        </w:tc>
      </w:tr>
      <w:tr w:rsidR="00B40A77" w:rsidRPr="00B40A77" w14:paraId="25995310" w14:textId="77777777" w:rsidTr="00BB7238">
        <w:trPr>
          <w:trHeight w:hRule="exact" w:val="542"/>
        </w:trPr>
        <w:tc>
          <w:tcPr>
            <w:tcW w:w="709" w:type="dxa"/>
            <w:tcBorders>
              <w:top w:val="single" w:sz="4" w:space="0" w:color="000000"/>
              <w:left w:val="single" w:sz="4" w:space="0" w:color="000000"/>
              <w:bottom w:val="single" w:sz="4" w:space="0" w:color="000000"/>
              <w:right w:val="single" w:sz="4" w:space="0" w:color="000000"/>
            </w:tcBorders>
          </w:tcPr>
          <w:p w14:paraId="64C1700E" w14:textId="77777777" w:rsidR="00BB7238" w:rsidRPr="00B40A77" w:rsidRDefault="00BB7238" w:rsidP="00B85DCA">
            <w:pPr>
              <w:autoSpaceDE w:val="0"/>
              <w:autoSpaceDN w:val="0"/>
              <w:adjustRightInd w:val="0"/>
              <w:spacing w:line="256" w:lineRule="auto"/>
              <w:rPr>
                <w:rFonts w:cs="Times New Roman"/>
                <w:color w:val="000000" w:themeColor="text1"/>
                <w:sz w:val="20"/>
                <w:szCs w:val="20"/>
              </w:rPr>
            </w:pPr>
          </w:p>
        </w:tc>
        <w:tc>
          <w:tcPr>
            <w:tcW w:w="8505" w:type="dxa"/>
            <w:gridSpan w:val="3"/>
            <w:tcBorders>
              <w:top w:val="single" w:sz="4" w:space="0" w:color="000000"/>
              <w:left w:val="single" w:sz="4" w:space="0" w:color="000000"/>
              <w:bottom w:val="single" w:sz="4" w:space="0" w:color="000000"/>
              <w:right w:val="single" w:sz="4" w:space="0" w:color="000000"/>
            </w:tcBorders>
            <w:hideMark/>
          </w:tcPr>
          <w:p w14:paraId="6BF4B38F" w14:textId="77777777" w:rsidR="00BB7238" w:rsidRPr="00B40A77" w:rsidRDefault="00BB7238" w:rsidP="00B85DCA">
            <w:pPr>
              <w:kinsoku w:val="0"/>
              <w:overflowPunct w:val="0"/>
              <w:autoSpaceDE w:val="0"/>
              <w:autoSpaceDN w:val="0"/>
              <w:adjustRightInd w:val="0"/>
              <w:spacing w:before="142" w:line="256" w:lineRule="auto"/>
              <w:ind w:left="153"/>
              <w:rPr>
                <w:rFonts w:cs="Times New Roman"/>
                <w:color w:val="000000" w:themeColor="text1"/>
                <w:sz w:val="20"/>
                <w:szCs w:val="20"/>
              </w:rPr>
            </w:pPr>
            <w:r w:rsidRPr="00B40A77">
              <w:rPr>
                <w:rFonts w:cs="Times New Roman"/>
                <w:b/>
                <w:bCs/>
                <w:color w:val="000000" w:themeColor="text1"/>
                <w:w w:val="105"/>
                <w:sz w:val="20"/>
                <w:szCs w:val="20"/>
              </w:rPr>
              <w:t>Counsel</w:t>
            </w:r>
            <w:r w:rsidRPr="00B40A77">
              <w:rPr>
                <w:rFonts w:cs="Times New Roman"/>
                <w:b/>
                <w:bCs/>
                <w:color w:val="000000" w:themeColor="text1"/>
                <w:spacing w:val="-4"/>
                <w:w w:val="105"/>
                <w:sz w:val="20"/>
                <w:szCs w:val="20"/>
              </w:rPr>
              <w:t xml:space="preserve"> </w:t>
            </w:r>
            <w:r w:rsidRPr="00B40A77">
              <w:rPr>
                <w:rFonts w:cs="Times New Roman"/>
                <w:b/>
                <w:bCs/>
                <w:color w:val="000000" w:themeColor="text1"/>
                <w:w w:val="105"/>
                <w:sz w:val="20"/>
                <w:szCs w:val="20"/>
              </w:rPr>
              <w:t>fees</w:t>
            </w:r>
          </w:p>
        </w:tc>
      </w:tr>
      <w:tr w:rsidR="00B40A77" w:rsidRPr="00B40A77" w14:paraId="383723AE" w14:textId="77777777" w:rsidTr="00BB7238">
        <w:trPr>
          <w:trHeight w:hRule="exact" w:val="592"/>
        </w:trPr>
        <w:tc>
          <w:tcPr>
            <w:tcW w:w="709" w:type="dxa"/>
            <w:tcBorders>
              <w:top w:val="single" w:sz="4" w:space="0" w:color="000000"/>
              <w:left w:val="single" w:sz="4" w:space="0" w:color="000000"/>
              <w:bottom w:val="single" w:sz="4" w:space="0" w:color="000000"/>
              <w:right w:val="single" w:sz="4" w:space="0" w:color="000000"/>
            </w:tcBorders>
            <w:hideMark/>
          </w:tcPr>
          <w:p w14:paraId="061445B0" w14:textId="77777777" w:rsidR="00BB7238" w:rsidRPr="00B40A77" w:rsidRDefault="00BB7238" w:rsidP="00B85DCA">
            <w:pPr>
              <w:kinsoku w:val="0"/>
              <w:overflowPunct w:val="0"/>
              <w:autoSpaceDE w:val="0"/>
              <w:autoSpaceDN w:val="0"/>
              <w:adjustRightInd w:val="0"/>
              <w:spacing w:before="7" w:line="256" w:lineRule="auto"/>
              <w:jc w:val="center"/>
              <w:rPr>
                <w:rFonts w:cs="Times New Roman"/>
                <w:color w:val="000000" w:themeColor="text1"/>
                <w:sz w:val="20"/>
                <w:szCs w:val="20"/>
              </w:rPr>
            </w:pPr>
            <w:r w:rsidRPr="00B40A77">
              <w:rPr>
                <w:rFonts w:cs="Times New Roman"/>
                <w:color w:val="000000" w:themeColor="text1"/>
                <w:w w:val="102"/>
                <w:sz w:val="20"/>
                <w:szCs w:val="20"/>
              </w:rPr>
              <w:t>7</w:t>
            </w:r>
          </w:p>
        </w:tc>
        <w:tc>
          <w:tcPr>
            <w:tcW w:w="4819" w:type="dxa"/>
            <w:tcBorders>
              <w:top w:val="single" w:sz="4" w:space="0" w:color="000000"/>
              <w:left w:val="single" w:sz="4" w:space="0" w:color="000000"/>
              <w:bottom w:val="single" w:sz="4" w:space="0" w:color="000000"/>
              <w:right w:val="single" w:sz="4" w:space="0" w:color="000000"/>
            </w:tcBorders>
            <w:hideMark/>
          </w:tcPr>
          <w:p w14:paraId="52C21F3E" w14:textId="77777777" w:rsidR="00BB7238" w:rsidRPr="00B40A77" w:rsidRDefault="00BB7238" w:rsidP="00B85DCA">
            <w:pPr>
              <w:kinsoku w:val="0"/>
              <w:overflowPunct w:val="0"/>
              <w:autoSpaceDE w:val="0"/>
              <w:autoSpaceDN w:val="0"/>
              <w:adjustRightInd w:val="0"/>
              <w:spacing w:before="7" w:line="242" w:lineRule="auto"/>
              <w:ind w:left="97" w:right="187" w:hanging="1"/>
              <w:rPr>
                <w:rFonts w:cs="Times New Roman"/>
                <w:color w:val="000000" w:themeColor="text1"/>
                <w:sz w:val="20"/>
                <w:szCs w:val="20"/>
              </w:rPr>
            </w:pPr>
            <w:r w:rsidRPr="00B40A77">
              <w:rPr>
                <w:rFonts w:cs="Times New Roman"/>
                <w:color w:val="000000" w:themeColor="text1"/>
                <w:w w:val="105"/>
                <w:sz w:val="20"/>
                <w:szCs w:val="20"/>
              </w:rPr>
              <w:t>Fee</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on</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brief,</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to</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include</w:t>
            </w:r>
            <w:r w:rsidRPr="00B40A77">
              <w:rPr>
                <w:rFonts w:cs="Times New Roman"/>
                <w:color w:val="000000" w:themeColor="text1"/>
                <w:spacing w:val="-15"/>
                <w:w w:val="105"/>
                <w:sz w:val="20"/>
                <w:szCs w:val="20"/>
              </w:rPr>
              <w:t xml:space="preserve"> </w:t>
            </w:r>
            <w:r w:rsidRPr="00B40A77">
              <w:rPr>
                <w:rFonts w:cs="Times New Roman"/>
                <w:color w:val="000000" w:themeColor="text1"/>
                <w:w w:val="105"/>
                <w:sz w:val="20"/>
                <w:szCs w:val="20"/>
              </w:rPr>
              <w:t>attendance</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for</w:t>
            </w:r>
            <w:r w:rsidRPr="00B40A77">
              <w:rPr>
                <w:rFonts w:cs="Times New Roman"/>
                <w:color w:val="000000" w:themeColor="text1"/>
                <w:spacing w:val="-16"/>
                <w:w w:val="105"/>
                <w:sz w:val="20"/>
                <w:szCs w:val="20"/>
              </w:rPr>
              <w:t xml:space="preserve"> </w:t>
            </w:r>
            <w:r w:rsidRPr="00B40A77">
              <w:rPr>
                <w:rFonts w:cs="Times New Roman"/>
                <w:color w:val="000000" w:themeColor="text1"/>
                <w:w w:val="105"/>
                <w:sz w:val="20"/>
                <w:szCs w:val="20"/>
              </w:rPr>
              <w:t>plea</w:t>
            </w:r>
            <w:r w:rsidRPr="00B40A77">
              <w:rPr>
                <w:rFonts w:cs="Times New Roman"/>
                <w:color w:val="000000" w:themeColor="text1"/>
                <w:spacing w:val="-1"/>
                <w:w w:val="102"/>
                <w:sz w:val="20"/>
                <w:szCs w:val="20"/>
              </w:rPr>
              <w:t xml:space="preserve"> </w:t>
            </w:r>
            <w:r w:rsidRPr="00B40A77">
              <w:rPr>
                <w:rFonts w:cs="Times New Roman"/>
                <w:color w:val="000000" w:themeColor="text1"/>
                <w:w w:val="105"/>
                <w:sz w:val="20"/>
                <w:szCs w:val="20"/>
              </w:rPr>
              <w:t>or</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withdrawal</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(if</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separate</w:t>
            </w:r>
            <w:r w:rsidRPr="00B40A77">
              <w:rPr>
                <w:rFonts w:cs="Times New Roman"/>
                <w:color w:val="000000" w:themeColor="text1"/>
                <w:spacing w:val="-19"/>
                <w:w w:val="105"/>
                <w:sz w:val="20"/>
                <w:szCs w:val="20"/>
              </w:rPr>
              <w:t xml:space="preserve"> </w:t>
            </w:r>
            <w:r w:rsidRPr="00B40A77">
              <w:rPr>
                <w:rFonts w:cs="Times New Roman"/>
                <w:color w:val="000000" w:themeColor="text1"/>
                <w:w w:val="105"/>
                <w:sz w:val="20"/>
                <w:szCs w:val="20"/>
              </w:rPr>
              <w:t>counsel</w:t>
            </w:r>
            <w:r w:rsidRPr="00B40A77">
              <w:rPr>
                <w:rFonts w:cs="Times New Roman"/>
                <w:color w:val="000000" w:themeColor="text1"/>
                <w:spacing w:val="-18"/>
                <w:w w:val="105"/>
                <w:sz w:val="20"/>
                <w:szCs w:val="20"/>
              </w:rPr>
              <w:t xml:space="preserve"> </w:t>
            </w:r>
            <w:r w:rsidRPr="00B40A77">
              <w:rPr>
                <w:rFonts w:cs="Times New Roman"/>
                <w:color w:val="000000" w:themeColor="text1"/>
                <w:w w:val="105"/>
                <w:sz w:val="20"/>
                <w:szCs w:val="20"/>
              </w:rPr>
              <w:t>briefed)</w:t>
            </w:r>
          </w:p>
        </w:tc>
        <w:tc>
          <w:tcPr>
            <w:tcW w:w="1701" w:type="dxa"/>
            <w:tcBorders>
              <w:top w:val="single" w:sz="4" w:space="0" w:color="000000"/>
              <w:left w:val="single" w:sz="4" w:space="0" w:color="000000"/>
              <w:bottom w:val="single" w:sz="4" w:space="0" w:color="000000"/>
              <w:right w:val="single" w:sz="4" w:space="0" w:color="000000"/>
            </w:tcBorders>
            <w:hideMark/>
          </w:tcPr>
          <w:p w14:paraId="7C35711A" w14:textId="77777777" w:rsidR="00BB7238" w:rsidRPr="00B40A77" w:rsidRDefault="00BB7238" w:rsidP="00B85DCA">
            <w:pPr>
              <w:kinsoku w:val="0"/>
              <w:overflowPunct w:val="0"/>
              <w:autoSpaceDE w:val="0"/>
              <w:autoSpaceDN w:val="0"/>
              <w:adjustRightInd w:val="0"/>
              <w:spacing w:before="136"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$1,050</w:t>
            </w:r>
          </w:p>
        </w:tc>
        <w:tc>
          <w:tcPr>
            <w:tcW w:w="1985" w:type="dxa"/>
            <w:tcBorders>
              <w:top w:val="single" w:sz="4" w:space="0" w:color="000000"/>
              <w:left w:val="single" w:sz="4" w:space="0" w:color="000000"/>
              <w:bottom w:val="single" w:sz="4" w:space="0" w:color="000000"/>
              <w:right w:val="single" w:sz="4" w:space="0" w:color="000000"/>
            </w:tcBorders>
            <w:hideMark/>
          </w:tcPr>
          <w:p w14:paraId="2940DBA5" w14:textId="77777777" w:rsidR="00BB7238" w:rsidRPr="00B40A77" w:rsidRDefault="00BB7238" w:rsidP="00B85DCA">
            <w:pPr>
              <w:kinsoku w:val="0"/>
              <w:overflowPunct w:val="0"/>
              <w:autoSpaceDE w:val="0"/>
              <w:autoSpaceDN w:val="0"/>
              <w:adjustRightInd w:val="0"/>
              <w:spacing w:before="136"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$260</w:t>
            </w:r>
          </w:p>
        </w:tc>
      </w:tr>
      <w:tr w:rsidR="00B40A77" w:rsidRPr="00B40A77" w14:paraId="36AD2B0A" w14:textId="77777777" w:rsidTr="00BB7238">
        <w:trPr>
          <w:trHeight w:hRule="exact" w:val="432"/>
        </w:trPr>
        <w:tc>
          <w:tcPr>
            <w:tcW w:w="709" w:type="dxa"/>
            <w:tcBorders>
              <w:top w:val="single" w:sz="4" w:space="0" w:color="000000"/>
              <w:left w:val="single" w:sz="4" w:space="0" w:color="000000"/>
              <w:bottom w:val="single" w:sz="4" w:space="0" w:color="000000"/>
              <w:right w:val="single" w:sz="4" w:space="0" w:color="000000"/>
            </w:tcBorders>
            <w:hideMark/>
          </w:tcPr>
          <w:p w14:paraId="3660A2C7" w14:textId="77777777" w:rsidR="00BB7238" w:rsidRPr="00B40A77" w:rsidRDefault="00BB7238" w:rsidP="00B85DCA">
            <w:pPr>
              <w:kinsoku w:val="0"/>
              <w:overflowPunct w:val="0"/>
              <w:autoSpaceDE w:val="0"/>
              <w:autoSpaceDN w:val="0"/>
              <w:adjustRightInd w:val="0"/>
              <w:spacing w:before="6" w:line="256" w:lineRule="auto"/>
              <w:jc w:val="center"/>
              <w:rPr>
                <w:rFonts w:cs="Times New Roman"/>
                <w:color w:val="000000" w:themeColor="text1"/>
                <w:sz w:val="20"/>
                <w:szCs w:val="20"/>
              </w:rPr>
            </w:pPr>
            <w:r w:rsidRPr="00B40A77">
              <w:rPr>
                <w:rFonts w:cs="Times New Roman"/>
                <w:color w:val="000000" w:themeColor="text1"/>
                <w:w w:val="102"/>
                <w:sz w:val="20"/>
                <w:szCs w:val="20"/>
              </w:rPr>
              <w:t>8</w:t>
            </w:r>
          </w:p>
        </w:tc>
        <w:tc>
          <w:tcPr>
            <w:tcW w:w="4819" w:type="dxa"/>
            <w:tcBorders>
              <w:top w:val="single" w:sz="4" w:space="0" w:color="000000"/>
              <w:left w:val="single" w:sz="4" w:space="0" w:color="000000"/>
              <w:bottom w:val="single" w:sz="4" w:space="0" w:color="000000"/>
              <w:right w:val="single" w:sz="4" w:space="0" w:color="000000"/>
            </w:tcBorders>
            <w:hideMark/>
          </w:tcPr>
          <w:p w14:paraId="34517A98" w14:textId="77777777" w:rsidR="00BB7238" w:rsidRPr="00B40A77" w:rsidRDefault="00BB7238" w:rsidP="00B85DCA">
            <w:pPr>
              <w:kinsoku w:val="0"/>
              <w:overflowPunct w:val="0"/>
              <w:autoSpaceDE w:val="0"/>
              <w:autoSpaceDN w:val="0"/>
              <w:adjustRightInd w:val="0"/>
              <w:spacing w:before="6" w:line="256" w:lineRule="auto"/>
              <w:ind w:left="97"/>
              <w:rPr>
                <w:rFonts w:cs="Times New Roman"/>
                <w:color w:val="000000" w:themeColor="text1"/>
                <w:sz w:val="20"/>
                <w:szCs w:val="20"/>
              </w:rPr>
            </w:pPr>
            <w:r w:rsidRPr="00B40A77">
              <w:rPr>
                <w:rFonts w:cs="Times New Roman"/>
                <w:color w:val="000000" w:themeColor="text1"/>
                <w:w w:val="105"/>
                <w:sz w:val="20"/>
                <w:szCs w:val="20"/>
              </w:rPr>
              <w:t>Each</w:t>
            </w:r>
            <w:r w:rsidRPr="00B40A77">
              <w:rPr>
                <w:rFonts w:cs="Times New Roman"/>
                <w:color w:val="000000" w:themeColor="text1"/>
                <w:spacing w:val="-2"/>
                <w:w w:val="105"/>
                <w:sz w:val="20"/>
                <w:szCs w:val="20"/>
              </w:rPr>
              <w:t xml:space="preserve"> </w:t>
            </w:r>
            <w:r w:rsidRPr="00B40A77">
              <w:rPr>
                <w:rFonts w:cs="Times New Roman"/>
                <w:color w:val="000000" w:themeColor="text1"/>
                <w:w w:val="105"/>
                <w:sz w:val="20"/>
                <w:szCs w:val="20"/>
              </w:rPr>
              <w:t>day</w:t>
            </w:r>
          </w:p>
        </w:tc>
        <w:tc>
          <w:tcPr>
            <w:tcW w:w="1701" w:type="dxa"/>
            <w:tcBorders>
              <w:top w:val="single" w:sz="4" w:space="0" w:color="000000"/>
              <w:left w:val="single" w:sz="4" w:space="0" w:color="000000"/>
              <w:bottom w:val="single" w:sz="4" w:space="0" w:color="000000"/>
              <w:right w:val="single" w:sz="4" w:space="0" w:color="000000"/>
            </w:tcBorders>
            <w:hideMark/>
          </w:tcPr>
          <w:p w14:paraId="34D8EBF1" w14:textId="77777777" w:rsidR="00BB7238" w:rsidRPr="00B40A77" w:rsidRDefault="00BB7238" w:rsidP="00B85DCA">
            <w:pPr>
              <w:kinsoku w:val="0"/>
              <w:overflowPunct w:val="0"/>
              <w:autoSpaceDE w:val="0"/>
              <w:autoSpaceDN w:val="0"/>
              <w:adjustRightInd w:val="0"/>
              <w:spacing w:before="6" w:line="256" w:lineRule="auto"/>
              <w:ind w:left="547"/>
              <w:rPr>
                <w:rFonts w:cs="Times New Roman"/>
                <w:color w:val="000000" w:themeColor="text1"/>
                <w:sz w:val="20"/>
                <w:szCs w:val="20"/>
              </w:rPr>
            </w:pPr>
            <w:r w:rsidRPr="00B40A77">
              <w:rPr>
                <w:rFonts w:cs="Times New Roman"/>
                <w:color w:val="000000" w:themeColor="text1"/>
                <w:w w:val="105"/>
                <w:sz w:val="20"/>
                <w:szCs w:val="20"/>
              </w:rPr>
              <w:t>$1,580</w:t>
            </w:r>
          </w:p>
        </w:tc>
        <w:tc>
          <w:tcPr>
            <w:tcW w:w="1985" w:type="dxa"/>
            <w:tcBorders>
              <w:top w:val="single" w:sz="4" w:space="0" w:color="000000"/>
              <w:left w:val="single" w:sz="4" w:space="0" w:color="000000"/>
              <w:bottom w:val="single" w:sz="4" w:space="0" w:color="000000"/>
              <w:right w:val="single" w:sz="4" w:space="0" w:color="000000"/>
            </w:tcBorders>
            <w:hideMark/>
          </w:tcPr>
          <w:p w14:paraId="00E04469" w14:textId="77777777" w:rsidR="00BB7238" w:rsidRPr="00B40A77" w:rsidRDefault="00BB7238" w:rsidP="00B85DCA">
            <w:pPr>
              <w:kinsoku w:val="0"/>
              <w:overflowPunct w:val="0"/>
              <w:autoSpaceDE w:val="0"/>
              <w:autoSpaceDN w:val="0"/>
              <w:adjustRightInd w:val="0"/>
              <w:spacing w:before="6" w:line="256" w:lineRule="auto"/>
              <w:ind w:right="1"/>
              <w:jc w:val="center"/>
              <w:rPr>
                <w:rFonts w:cs="Times New Roman"/>
                <w:color w:val="000000" w:themeColor="text1"/>
                <w:sz w:val="20"/>
                <w:szCs w:val="20"/>
              </w:rPr>
            </w:pPr>
            <w:r w:rsidRPr="00B40A77">
              <w:rPr>
                <w:rFonts w:cs="Times New Roman"/>
                <w:color w:val="000000" w:themeColor="text1"/>
                <w:w w:val="105"/>
                <w:sz w:val="20"/>
                <w:szCs w:val="20"/>
              </w:rPr>
              <w:t>$390</w:t>
            </w:r>
          </w:p>
        </w:tc>
      </w:tr>
    </w:tbl>
    <w:p w14:paraId="54BFA2F7" w14:textId="7905E7EC" w:rsidR="00BB7238" w:rsidRPr="00B40A77" w:rsidRDefault="00BB7238" w:rsidP="00BB7238">
      <w:pPr>
        <w:kinsoku w:val="0"/>
        <w:overflowPunct w:val="0"/>
        <w:autoSpaceDE w:val="0"/>
        <w:autoSpaceDN w:val="0"/>
        <w:adjustRightInd w:val="0"/>
        <w:spacing w:before="69"/>
        <w:ind w:left="851"/>
        <w:rPr>
          <w:rFonts w:cs="Times New Roman"/>
          <w:color w:val="000000" w:themeColor="text1"/>
          <w:szCs w:val="23"/>
        </w:rPr>
      </w:pPr>
      <w:r w:rsidRPr="00B40A77">
        <w:rPr>
          <w:rFonts w:cs="Times New Roman"/>
          <w:color w:val="000000" w:themeColor="text1"/>
          <w:w w:val="105"/>
          <w:szCs w:val="23"/>
        </w:rPr>
        <w:t>Notes to Table 1:</w:t>
      </w:r>
    </w:p>
    <w:p w14:paraId="56DBB086" w14:textId="77777777" w:rsidR="00BB7238" w:rsidRPr="00B40A77" w:rsidRDefault="00BB7238" w:rsidP="00BB7238">
      <w:pPr>
        <w:numPr>
          <w:ilvl w:val="0"/>
          <w:numId w:val="2"/>
        </w:numPr>
        <w:tabs>
          <w:tab w:val="left" w:pos="689"/>
        </w:tabs>
        <w:kinsoku w:val="0"/>
        <w:overflowPunct w:val="0"/>
        <w:autoSpaceDE w:val="0"/>
        <w:autoSpaceDN w:val="0"/>
        <w:adjustRightInd w:val="0"/>
        <w:spacing w:before="0" w:after="160" w:line="244" w:lineRule="auto"/>
        <w:ind w:left="1499" w:right="152"/>
        <w:rPr>
          <w:rFonts w:cs="Times New Roman"/>
          <w:color w:val="000000" w:themeColor="text1"/>
          <w:szCs w:val="23"/>
        </w:rPr>
      </w:pPr>
      <w:bookmarkStart w:id="1256" w:name="_Hlk135131044"/>
      <w:r w:rsidRPr="00B40A77">
        <w:rPr>
          <w:rFonts w:cs="Times New Roman"/>
          <w:color w:val="000000" w:themeColor="text1"/>
          <w:w w:val="105"/>
          <w:szCs w:val="23"/>
        </w:rPr>
        <w:t>The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fees</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set</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out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items</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1</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2</w:t>
      </w:r>
      <w:r w:rsidRPr="00B40A77">
        <w:rPr>
          <w:rFonts w:cs="Times New Roman"/>
          <w:color w:val="000000" w:themeColor="text1"/>
          <w:spacing w:val="-12"/>
          <w:w w:val="105"/>
          <w:szCs w:val="23"/>
        </w:rPr>
        <w:t xml:space="preserve"> of Table 1 </w:t>
      </w:r>
      <w:r w:rsidRPr="00B40A77">
        <w:rPr>
          <w:rFonts w:cs="Times New Roman"/>
          <w:color w:val="000000" w:themeColor="text1"/>
          <w:w w:val="105"/>
          <w:szCs w:val="23"/>
        </w:rPr>
        <w:t>cover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all</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necessary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attendances</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preparatory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work</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for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trial</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(other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than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attendance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at</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pre-trial</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conference).</w:t>
      </w:r>
      <w:r w:rsidRPr="00B40A77">
        <w:rPr>
          <w:rFonts w:cs="Times New Roman"/>
          <w:color w:val="000000" w:themeColor="text1"/>
          <w:spacing w:val="33"/>
          <w:w w:val="105"/>
          <w:szCs w:val="23"/>
        </w:rPr>
        <w:t xml:space="preserve"> </w:t>
      </w:r>
      <w:r w:rsidRPr="00B40A77">
        <w:rPr>
          <w:rFonts w:cs="Times New Roman"/>
          <w:color w:val="000000" w:themeColor="text1"/>
          <w:w w:val="105"/>
          <w:szCs w:val="23"/>
        </w:rPr>
        <w:t>Where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an</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attendance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is</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wasted</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because of</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default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one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other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party,</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order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should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sought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made</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that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hearing.</w:t>
      </w:r>
      <w:r w:rsidRPr="00B40A77">
        <w:rPr>
          <w:rFonts w:cs="Times New Roman"/>
          <w:color w:val="000000" w:themeColor="text1"/>
          <w:spacing w:val="33"/>
          <w:w w:val="105"/>
          <w:szCs w:val="23"/>
        </w:rPr>
        <w:t xml:space="preserve"> </w:t>
      </w:r>
    </w:p>
    <w:p w14:paraId="450FF9DE" w14:textId="78CED1D6" w:rsidR="00BB7238" w:rsidRPr="00B40A77" w:rsidRDefault="00BB7238" w:rsidP="00BB7238">
      <w:pPr>
        <w:numPr>
          <w:ilvl w:val="0"/>
          <w:numId w:val="2"/>
        </w:numPr>
        <w:tabs>
          <w:tab w:val="left" w:pos="689"/>
        </w:tabs>
        <w:kinsoku w:val="0"/>
        <w:overflowPunct w:val="0"/>
        <w:autoSpaceDE w:val="0"/>
        <w:autoSpaceDN w:val="0"/>
        <w:adjustRightInd w:val="0"/>
        <w:spacing w:before="0" w:after="160" w:line="244" w:lineRule="auto"/>
        <w:ind w:left="1499" w:right="152"/>
        <w:rPr>
          <w:rFonts w:cs="Times New Roman"/>
          <w:color w:val="000000" w:themeColor="text1"/>
          <w:szCs w:val="23"/>
        </w:rPr>
      </w:pPr>
      <w:r w:rsidRPr="00B40A77">
        <w:rPr>
          <w:rFonts w:cs="Times New Roman"/>
          <w:color w:val="000000" w:themeColor="text1"/>
          <w:w w:val="105"/>
          <w:szCs w:val="23"/>
        </w:rPr>
        <w:t>The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fee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set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out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item</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4</w:t>
      </w:r>
      <w:r w:rsidRPr="00B40A77">
        <w:rPr>
          <w:rFonts w:cs="Times New Roman"/>
          <w:color w:val="000000" w:themeColor="text1"/>
          <w:spacing w:val="-13"/>
          <w:w w:val="105"/>
          <w:szCs w:val="23"/>
        </w:rPr>
        <w:t xml:space="preserve"> of Table 1 </w:t>
      </w:r>
      <w:r w:rsidRPr="00B40A77">
        <w:rPr>
          <w:rFonts w:cs="Times New Roman"/>
          <w:color w:val="000000" w:themeColor="text1"/>
          <w:w w:val="105"/>
          <w:szCs w:val="23"/>
        </w:rPr>
        <w:t>should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be</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used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 case of default by one or other party.</w:t>
      </w:r>
      <w:bookmarkEnd w:id="1256"/>
    </w:p>
    <w:p w14:paraId="3154FBF3" w14:textId="0191D7DE" w:rsidR="00F04F92" w:rsidRPr="00B40A77" w:rsidRDefault="00F04F92">
      <w:pPr>
        <w:spacing w:before="0" w:after="160" w:line="259" w:lineRule="auto"/>
        <w:rPr>
          <w:rFonts w:cs="Times New Roman"/>
          <w:color w:val="000000" w:themeColor="text1"/>
          <w:szCs w:val="23"/>
        </w:rPr>
      </w:pPr>
      <w:r w:rsidRPr="00B40A77">
        <w:rPr>
          <w:rFonts w:cs="Times New Roman"/>
          <w:color w:val="000000" w:themeColor="text1"/>
          <w:szCs w:val="23"/>
        </w:rPr>
        <w:br w:type="page"/>
      </w:r>
    </w:p>
    <w:tbl>
      <w:tblPr>
        <w:tblW w:w="9072" w:type="dxa"/>
        <w:tblInd w:w="715" w:type="dxa"/>
        <w:tblLayout w:type="fixed"/>
        <w:tblCellMar>
          <w:left w:w="0" w:type="dxa"/>
          <w:right w:w="0" w:type="dxa"/>
        </w:tblCellMar>
        <w:tblLook w:val="04A0" w:firstRow="1" w:lastRow="0" w:firstColumn="1" w:lastColumn="0" w:noHBand="0" w:noVBand="1"/>
      </w:tblPr>
      <w:tblGrid>
        <w:gridCol w:w="850"/>
        <w:gridCol w:w="3969"/>
        <w:gridCol w:w="4253"/>
      </w:tblGrid>
      <w:tr w:rsidR="00B40A77" w:rsidRPr="00B40A77" w14:paraId="22D9CA62" w14:textId="77777777" w:rsidTr="00113A70">
        <w:trPr>
          <w:trHeight w:val="433"/>
        </w:trPr>
        <w:tc>
          <w:tcPr>
            <w:tcW w:w="9072" w:type="dxa"/>
            <w:gridSpan w:val="3"/>
            <w:tcBorders>
              <w:top w:val="single" w:sz="4" w:space="0" w:color="000000"/>
              <w:left w:val="single" w:sz="4" w:space="0" w:color="000000"/>
              <w:bottom w:val="single" w:sz="4" w:space="0" w:color="000000"/>
              <w:right w:val="single" w:sz="4" w:space="0" w:color="auto"/>
            </w:tcBorders>
          </w:tcPr>
          <w:p w14:paraId="29FB257C" w14:textId="77777777" w:rsidR="00BB7238" w:rsidRPr="00B40A77" w:rsidRDefault="00BB7238" w:rsidP="00B85DCA">
            <w:pPr>
              <w:kinsoku w:val="0"/>
              <w:overflowPunct w:val="0"/>
              <w:autoSpaceDE w:val="0"/>
              <w:autoSpaceDN w:val="0"/>
              <w:adjustRightInd w:val="0"/>
              <w:spacing w:before="118" w:line="244" w:lineRule="auto"/>
              <w:ind w:left="97" w:right="257" w:firstLine="20"/>
              <w:rPr>
                <w:rFonts w:cs="Times New Roman"/>
                <w:color w:val="000000" w:themeColor="text1"/>
                <w:w w:val="105"/>
              </w:rPr>
            </w:pPr>
            <w:bookmarkStart w:id="1257" w:name="_Hlk136253152"/>
            <w:bookmarkStart w:id="1258" w:name="_Hlk196570237"/>
            <w:r w:rsidRPr="00B40A77">
              <w:rPr>
                <w:rFonts w:cs="Times New Roman"/>
                <w:b/>
                <w:bCs/>
                <w:color w:val="000000" w:themeColor="text1"/>
                <w:w w:val="105"/>
              </w:rPr>
              <w:lastRenderedPageBreak/>
              <w:t>Table 2 - Witness</w:t>
            </w:r>
            <w:r w:rsidRPr="00B40A77">
              <w:rPr>
                <w:rFonts w:cs="Times New Roman"/>
                <w:b/>
                <w:bCs/>
                <w:color w:val="000000" w:themeColor="text1"/>
                <w:spacing w:val="-2"/>
                <w:w w:val="105"/>
              </w:rPr>
              <w:t xml:space="preserve"> </w:t>
            </w:r>
            <w:r w:rsidRPr="00B40A77">
              <w:rPr>
                <w:rFonts w:cs="Times New Roman"/>
                <w:b/>
                <w:bCs/>
                <w:color w:val="000000" w:themeColor="text1"/>
                <w:w w:val="105"/>
              </w:rPr>
              <w:t xml:space="preserve">fees and disbursements </w:t>
            </w:r>
          </w:p>
        </w:tc>
      </w:tr>
      <w:tr w:rsidR="00B40A77" w:rsidRPr="00B40A77" w14:paraId="04D6F920" w14:textId="77777777" w:rsidTr="00113A70">
        <w:trPr>
          <w:trHeight w:hRule="exact" w:val="448"/>
        </w:trPr>
        <w:tc>
          <w:tcPr>
            <w:tcW w:w="850" w:type="dxa"/>
            <w:tcBorders>
              <w:top w:val="single" w:sz="4" w:space="0" w:color="000000"/>
              <w:left w:val="single" w:sz="4" w:space="0" w:color="000000"/>
              <w:bottom w:val="single" w:sz="4" w:space="0" w:color="000000"/>
              <w:right w:val="single" w:sz="4" w:space="0" w:color="000000"/>
            </w:tcBorders>
          </w:tcPr>
          <w:p w14:paraId="1835DE42" w14:textId="77777777" w:rsidR="00BB7238" w:rsidRPr="00B40A77" w:rsidRDefault="00BB7238" w:rsidP="00B85DCA">
            <w:pPr>
              <w:kinsoku w:val="0"/>
              <w:overflowPunct w:val="0"/>
              <w:autoSpaceDE w:val="0"/>
              <w:autoSpaceDN w:val="0"/>
              <w:adjustRightInd w:val="0"/>
              <w:spacing w:before="118" w:line="244" w:lineRule="auto"/>
              <w:ind w:right="-11"/>
              <w:jc w:val="center"/>
              <w:rPr>
                <w:rFonts w:cs="Times New Roman"/>
                <w:b/>
                <w:bCs/>
                <w:color w:val="000000" w:themeColor="text1"/>
                <w:w w:val="105"/>
              </w:rPr>
            </w:pPr>
            <w:r w:rsidRPr="00B40A77">
              <w:rPr>
                <w:rFonts w:cs="Times New Roman"/>
                <w:b/>
                <w:bCs/>
                <w:color w:val="000000" w:themeColor="text1"/>
                <w:w w:val="105"/>
              </w:rPr>
              <w:t>Item</w:t>
            </w:r>
          </w:p>
        </w:tc>
        <w:tc>
          <w:tcPr>
            <w:tcW w:w="3969" w:type="dxa"/>
            <w:tcBorders>
              <w:top w:val="single" w:sz="4" w:space="0" w:color="000000"/>
              <w:left w:val="single" w:sz="4" w:space="0" w:color="000000"/>
              <w:bottom w:val="single" w:sz="4" w:space="0" w:color="000000"/>
              <w:right w:val="single" w:sz="4" w:space="0" w:color="000000"/>
            </w:tcBorders>
          </w:tcPr>
          <w:p w14:paraId="659C367B" w14:textId="77777777" w:rsidR="00BB7238" w:rsidRPr="00B40A77" w:rsidRDefault="00BB7238" w:rsidP="00B85DCA">
            <w:pPr>
              <w:kinsoku w:val="0"/>
              <w:overflowPunct w:val="0"/>
              <w:autoSpaceDE w:val="0"/>
              <w:autoSpaceDN w:val="0"/>
              <w:adjustRightInd w:val="0"/>
              <w:spacing w:before="118" w:line="244" w:lineRule="auto"/>
              <w:ind w:left="97" w:right="650" w:firstLine="20"/>
              <w:rPr>
                <w:rFonts w:cs="Times New Roman"/>
                <w:b/>
                <w:bCs/>
                <w:color w:val="000000" w:themeColor="text1"/>
                <w:w w:val="105"/>
              </w:rPr>
            </w:pPr>
            <w:r w:rsidRPr="00B40A77">
              <w:rPr>
                <w:rFonts w:cs="Times New Roman"/>
                <w:b/>
                <w:bCs/>
                <w:color w:val="000000" w:themeColor="text1"/>
                <w:w w:val="105"/>
              </w:rPr>
              <w:t xml:space="preserve">Description </w:t>
            </w:r>
          </w:p>
        </w:tc>
        <w:tc>
          <w:tcPr>
            <w:tcW w:w="4253" w:type="dxa"/>
            <w:tcBorders>
              <w:top w:val="single" w:sz="4" w:space="0" w:color="000000"/>
              <w:left w:val="single" w:sz="4" w:space="0" w:color="000000"/>
              <w:bottom w:val="single" w:sz="4" w:space="0" w:color="000000"/>
              <w:right w:val="single" w:sz="4" w:space="0" w:color="auto"/>
            </w:tcBorders>
          </w:tcPr>
          <w:p w14:paraId="34E308D7" w14:textId="77777777" w:rsidR="00BB7238" w:rsidRPr="00B40A77" w:rsidRDefault="00BB7238" w:rsidP="00B85DCA">
            <w:pPr>
              <w:kinsoku w:val="0"/>
              <w:overflowPunct w:val="0"/>
              <w:autoSpaceDE w:val="0"/>
              <w:autoSpaceDN w:val="0"/>
              <w:adjustRightInd w:val="0"/>
              <w:spacing w:before="118" w:line="244" w:lineRule="auto"/>
              <w:ind w:left="97" w:right="257" w:firstLine="20"/>
              <w:rPr>
                <w:rFonts w:cs="Times New Roman"/>
                <w:b/>
                <w:bCs/>
                <w:color w:val="000000" w:themeColor="text1"/>
                <w:w w:val="105"/>
              </w:rPr>
            </w:pPr>
            <w:r w:rsidRPr="00B40A77">
              <w:rPr>
                <w:rFonts w:cs="Times New Roman"/>
                <w:b/>
                <w:bCs/>
                <w:color w:val="000000" w:themeColor="text1"/>
                <w:w w:val="105"/>
              </w:rPr>
              <w:t xml:space="preserve">Amount </w:t>
            </w:r>
          </w:p>
        </w:tc>
      </w:tr>
      <w:bookmarkEnd w:id="1257"/>
      <w:tr w:rsidR="00B40A77" w:rsidRPr="00B40A77" w14:paraId="17D3BB19" w14:textId="77777777" w:rsidTr="00113A70">
        <w:trPr>
          <w:trHeight w:hRule="exact" w:val="448"/>
        </w:trPr>
        <w:tc>
          <w:tcPr>
            <w:tcW w:w="850" w:type="dxa"/>
            <w:tcBorders>
              <w:top w:val="single" w:sz="4" w:space="0" w:color="000000"/>
              <w:left w:val="single" w:sz="4" w:space="0" w:color="000000"/>
              <w:bottom w:val="single" w:sz="4" w:space="0" w:color="000000"/>
              <w:right w:val="single" w:sz="4" w:space="0" w:color="000000"/>
            </w:tcBorders>
          </w:tcPr>
          <w:p w14:paraId="461FEC02" w14:textId="77777777" w:rsidR="00BB7238" w:rsidRPr="00B40A77" w:rsidRDefault="00BB7238" w:rsidP="00B85DCA">
            <w:pPr>
              <w:kinsoku w:val="0"/>
              <w:overflowPunct w:val="0"/>
              <w:autoSpaceDE w:val="0"/>
              <w:autoSpaceDN w:val="0"/>
              <w:adjustRightInd w:val="0"/>
              <w:spacing w:before="118" w:line="244" w:lineRule="auto"/>
              <w:ind w:right="-11"/>
              <w:jc w:val="center"/>
              <w:rPr>
                <w:rFonts w:cs="Times New Roman"/>
                <w:b/>
                <w:bCs/>
                <w:color w:val="000000" w:themeColor="text1"/>
                <w:w w:val="105"/>
              </w:rPr>
            </w:pPr>
          </w:p>
        </w:tc>
        <w:tc>
          <w:tcPr>
            <w:tcW w:w="8222" w:type="dxa"/>
            <w:gridSpan w:val="2"/>
            <w:tcBorders>
              <w:top w:val="single" w:sz="4" w:space="0" w:color="000000"/>
              <w:left w:val="single" w:sz="4" w:space="0" w:color="000000"/>
              <w:bottom w:val="single" w:sz="4" w:space="0" w:color="000000"/>
              <w:right w:val="single" w:sz="4" w:space="0" w:color="auto"/>
            </w:tcBorders>
          </w:tcPr>
          <w:p w14:paraId="51ADE915" w14:textId="77777777" w:rsidR="00BB7238" w:rsidRPr="00B40A77" w:rsidRDefault="00BB7238" w:rsidP="00B85DCA">
            <w:pPr>
              <w:kinsoku w:val="0"/>
              <w:overflowPunct w:val="0"/>
              <w:autoSpaceDE w:val="0"/>
              <w:autoSpaceDN w:val="0"/>
              <w:adjustRightInd w:val="0"/>
              <w:spacing w:before="118" w:line="244" w:lineRule="auto"/>
              <w:ind w:left="97" w:right="257" w:firstLine="20"/>
              <w:rPr>
                <w:rFonts w:cs="Times New Roman"/>
                <w:b/>
                <w:bCs/>
                <w:color w:val="000000" w:themeColor="text1"/>
                <w:w w:val="105"/>
              </w:rPr>
            </w:pPr>
            <w:r w:rsidRPr="00B40A77">
              <w:rPr>
                <w:rFonts w:cs="Times New Roman"/>
                <w:b/>
                <w:bCs/>
                <w:color w:val="000000" w:themeColor="text1"/>
                <w:w w:val="105"/>
              </w:rPr>
              <w:t xml:space="preserve">Witness Fees </w:t>
            </w:r>
          </w:p>
        </w:tc>
      </w:tr>
      <w:tr w:rsidR="00B40A77" w:rsidRPr="00B40A77" w14:paraId="1807EE42" w14:textId="77777777" w:rsidTr="00113A70">
        <w:trPr>
          <w:trHeight w:hRule="exact" w:val="956"/>
        </w:trPr>
        <w:tc>
          <w:tcPr>
            <w:tcW w:w="850" w:type="dxa"/>
            <w:tcBorders>
              <w:top w:val="single" w:sz="4" w:space="0" w:color="000000"/>
              <w:left w:val="single" w:sz="4" w:space="0" w:color="000000"/>
              <w:bottom w:val="single" w:sz="4" w:space="0" w:color="000000"/>
              <w:right w:val="single" w:sz="4" w:space="0" w:color="000000"/>
            </w:tcBorders>
          </w:tcPr>
          <w:p w14:paraId="30BD7A36" w14:textId="77777777" w:rsidR="00BB7238" w:rsidRPr="00B40A77" w:rsidRDefault="00BB7238" w:rsidP="00B85DCA">
            <w:pPr>
              <w:kinsoku w:val="0"/>
              <w:overflowPunct w:val="0"/>
              <w:autoSpaceDE w:val="0"/>
              <w:autoSpaceDN w:val="0"/>
              <w:adjustRightInd w:val="0"/>
              <w:spacing w:before="118" w:line="244" w:lineRule="auto"/>
              <w:ind w:left="97" w:right="650" w:firstLine="20"/>
              <w:rPr>
                <w:rFonts w:cs="Times New Roman"/>
                <w:color w:val="000000" w:themeColor="text1"/>
                <w:w w:val="105"/>
              </w:rPr>
            </w:pPr>
            <w:r w:rsidRPr="00B40A77">
              <w:rPr>
                <w:rFonts w:cs="Times New Roman"/>
                <w:color w:val="000000" w:themeColor="text1"/>
                <w:w w:val="105"/>
              </w:rPr>
              <w:t>1</w:t>
            </w:r>
          </w:p>
        </w:tc>
        <w:tc>
          <w:tcPr>
            <w:tcW w:w="3969" w:type="dxa"/>
            <w:tcBorders>
              <w:top w:val="single" w:sz="4" w:space="0" w:color="000000"/>
              <w:left w:val="single" w:sz="4" w:space="0" w:color="000000"/>
              <w:bottom w:val="single" w:sz="4" w:space="0" w:color="000000"/>
              <w:right w:val="single" w:sz="4" w:space="0" w:color="000000"/>
            </w:tcBorders>
            <w:hideMark/>
          </w:tcPr>
          <w:p w14:paraId="70063212" w14:textId="77777777" w:rsidR="00BB7238" w:rsidRPr="00B40A77" w:rsidRDefault="00BB7238" w:rsidP="00B85DCA">
            <w:pPr>
              <w:kinsoku w:val="0"/>
              <w:overflowPunct w:val="0"/>
              <w:autoSpaceDE w:val="0"/>
              <w:autoSpaceDN w:val="0"/>
              <w:adjustRightInd w:val="0"/>
              <w:spacing w:before="118" w:line="244" w:lineRule="auto"/>
              <w:ind w:left="97" w:right="650" w:firstLine="20"/>
              <w:rPr>
                <w:rFonts w:cs="Times New Roman"/>
                <w:color w:val="000000" w:themeColor="text1"/>
              </w:rPr>
            </w:pPr>
            <w:r w:rsidRPr="00B40A77">
              <w:rPr>
                <w:rFonts w:cs="Times New Roman"/>
                <w:color w:val="000000" w:themeColor="text1"/>
                <w:w w:val="105"/>
              </w:rPr>
              <w:t>Professional</w:t>
            </w:r>
            <w:r w:rsidRPr="00B40A77">
              <w:rPr>
                <w:rFonts w:cs="Times New Roman"/>
                <w:color w:val="000000" w:themeColor="text1"/>
                <w:spacing w:val="-20"/>
                <w:w w:val="105"/>
              </w:rPr>
              <w:t xml:space="preserve"> </w:t>
            </w:r>
            <w:r w:rsidRPr="00B40A77">
              <w:rPr>
                <w:rFonts w:cs="Times New Roman"/>
                <w:color w:val="000000" w:themeColor="text1"/>
                <w:w w:val="105"/>
              </w:rPr>
              <w:t>scientific</w:t>
            </w:r>
            <w:r w:rsidRPr="00B40A77">
              <w:rPr>
                <w:rFonts w:cs="Times New Roman"/>
                <w:color w:val="000000" w:themeColor="text1"/>
                <w:spacing w:val="-21"/>
                <w:w w:val="105"/>
              </w:rPr>
              <w:t xml:space="preserve"> </w:t>
            </w:r>
            <w:r w:rsidRPr="00B40A77">
              <w:rPr>
                <w:rFonts w:cs="Times New Roman"/>
                <w:color w:val="000000" w:themeColor="text1"/>
                <w:w w:val="105"/>
              </w:rPr>
              <w:t>or</w:t>
            </w:r>
            <w:r w:rsidRPr="00B40A77">
              <w:rPr>
                <w:rFonts w:cs="Times New Roman"/>
                <w:color w:val="000000" w:themeColor="text1"/>
                <w:spacing w:val="-18"/>
                <w:w w:val="105"/>
              </w:rPr>
              <w:t xml:space="preserve"> </w:t>
            </w:r>
            <w:r w:rsidRPr="00B40A77">
              <w:rPr>
                <w:rFonts w:cs="Times New Roman"/>
                <w:color w:val="000000" w:themeColor="text1"/>
                <w:w w:val="105"/>
              </w:rPr>
              <w:t>other</w:t>
            </w:r>
            <w:r w:rsidRPr="00B40A77">
              <w:rPr>
                <w:rFonts w:cs="Times New Roman"/>
                <w:color w:val="000000" w:themeColor="text1"/>
                <w:spacing w:val="-19"/>
                <w:w w:val="105"/>
              </w:rPr>
              <w:t xml:space="preserve"> </w:t>
            </w:r>
            <w:r w:rsidRPr="00B40A77">
              <w:rPr>
                <w:rFonts w:cs="Times New Roman"/>
                <w:color w:val="000000" w:themeColor="text1"/>
                <w:w w:val="105"/>
              </w:rPr>
              <w:t>expert</w:t>
            </w:r>
            <w:r w:rsidRPr="00B40A77">
              <w:rPr>
                <w:rFonts w:cs="Times New Roman"/>
                <w:color w:val="000000" w:themeColor="text1"/>
                <w:w w:val="102"/>
              </w:rPr>
              <w:t xml:space="preserve"> </w:t>
            </w:r>
            <w:r w:rsidRPr="00B40A77">
              <w:rPr>
                <w:rFonts w:cs="Times New Roman"/>
                <w:color w:val="000000" w:themeColor="text1"/>
                <w:w w:val="105"/>
              </w:rPr>
              <w:t>witnesses per</w:t>
            </w:r>
            <w:r w:rsidRPr="00B40A77">
              <w:rPr>
                <w:rFonts w:cs="Times New Roman"/>
                <w:color w:val="000000" w:themeColor="text1"/>
                <w:spacing w:val="-6"/>
                <w:w w:val="105"/>
              </w:rPr>
              <w:t xml:space="preserve"> </w:t>
            </w:r>
            <w:r w:rsidRPr="00B40A77">
              <w:rPr>
                <w:rFonts w:cs="Times New Roman"/>
                <w:color w:val="000000" w:themeColor="text1"/>
                <w:w w:val="105"/>
              </w:rPr>
              <w:t>day</w:t>
            </w:r>
          </w:p>
        </w:tc>
        <w:tc>
          <w:tcPr>
            <w:tcW w:w="4253" w:type="dxa"/>
            <w:tcBorders>
              <w:top w:val="single" w:sz="4" w:space="0" w:color="000000"/>
              <w:left w:val="single" w:sz="4" w:space="0" w:color="000000"/>
              <w:bottom w:val="single" w:sz="4" w:space="0" w:color="000000"/>
              <w:right w:val="single" w:sz="4" w:space="0" w:color="auto"/>
            </w:tcBorders>
            <w:hideMark/>
          </w:tcPr>
          <w:p w14:paraId="38BBCF2E" w14:textId="77777777" w:rsidR="00BB7238" w:rsidRPr="00B40A77" w:rsidRDefault="00BB7238" w:rsidP="00B85DCA">
            <w:pPr>
              <w:kinsoku w:val="0"/>
              <w:overflowPunct w:val="0"/>
              <w:autoSpaceDE w:val="0"/>
              <w:autoSpaceDN w:val="0"/>
              <w:adjustRightInd w:val="0"/>
              <w:spacing w:before="118" w:line="244" w:lineRule="auto"/>
              <w:ind w:left="97" w:right="257" w:firstLine="20"/>
              <w:rPr>
                <w:rFonts w:cs="Times New Roman"/>
                <w:color w:val="000000" w:themeColor="text1"/>
              </w:rPr>
            </w:pPr>
            <w:r w:rsidRPr="00B40A77">
              <w:rPr>
                <w:rFonts w:cs="Times New Roman"/>
                <w:color w:val="000000" w:themeColor="text1"/>
                <w:w w:val="105"/>
              </w:rPr>
              <w:t>$1,050 or</w:t>
            </w:r>
            <w:r w:rsidRPr="00B40A77">
              <w:rPr>
                <w:rFonts w:cs="Times New Roman"/>
                <w:color w:val="000000" w:themeColor="text1"/>
                <w:spacing w:val="-15"/>
                <w:w w:val="105"/>
              </w:rPr>
              <w:t xml:space="preserve"> </w:t>
            </w:r>
            <w:r w:rsidRPr="00B40A77">
              <w:rPr>
                <w:rFonts w:cs="Times New Roman"/>
                <w:color w:val="000000" w:themeColor="text1"/>
                <w:w w:val="105"/>
              </w:rPr>
              <w:t>such</w:t>
            </w:r>
            <w:r w:rsidRPr="00B40A77">
              <w:rPr>
                <w:rFonts w:cs="Times New Roman"/>
                <w:color w:val="000000" w:themeColor="text1"/>
                <w:spacing w:val="-14"/>
                <w:w w:val="105"/>
              </w:rPr>
              <w:t xml:space="preserve"> </w:t>
            </w:r>
            <w:r w:rsidRPr="00B40A77">
              <w:rPr>
                <w:rFonts w:cs="Times New Roman"/>
                <w:color w:val="000000" w:themeColor="text1"/>
                <w:w w:val="105"/>
              </w:rPr>
              <w:t>amount</w:t>
            </w:r>
            <w:r w:rsidRPr="00B40A77">
              <w:rPr>
                <w:rFonts w:cs="Times New Roman"/>
                <w:color w:val="000000" w:themeColor="text1"/>
                <w:spacing w:val="-15"/>
                <w:w w:val="105"/>
              </w:rPr>
              <w:t xml:space="preserve"> </w:t>
            </w:r>
            <w:r w:rsidRPr="00B40A77">
              <w:rPr>
                <w:rFonts w:cs="Times New Roman"/>
                <w:color w:val="000000" w:themeColor="text1"/>
                <w:w w:val="105"/>
              </w:rPr>
              <w:t>ordered</w:t>
            </w:r>
            <w:r w:rsidRPr="00B40A77">
              <w:rPr>
                <w:rFonts w:cs="Times New Roman"/>
                <w:color w:val="000000" w:themeColor="text1"/>
                <w:spacing w:val="-15"/>
                <w:w w:val="105"/>
              </w:rPr>
              <w:t xml:space="preserve"> </w:t>
            </w:r>
            <w:r w:rsidRPr="00B40A77">
              <w:rPr>
                <w:rFonts w:cs="Times New Roman"/>
                <w:color w:val="000000" w:themeColor="text1"/>
                <w:w w:val="105"/>
              </w:rPr>
              <w:t>by</w:t>
            </w:r>
            <w:r w:rsidRPr="00B40A77">
              <w:rPr>
                <w:rFonts w:cs="Times New Roman"/>
                <w:color w:val="000000" w:themeColor="text1"/>
                <w:w w:val="102"/>
              </w:rPr>
              <w:t xml:space="preserve"> </w:t>
            </w:r>
            <w:r w:rsidRPr="00B40A77">
              <w:rPr>
                <w:rFonts w:cs="Times New Roman"/>
                <w:color w:val="000000" w:themeColor="text1"/>
                <w:w w:val="105"/>
              </w:rPr>
              <w:t>the</w:t>
            </w:r>
            <w:r w:rsidRPr="00B40A77">
              <w:rPr>
                <w:rFonts w:cs="Times New Roman"/>
                <w:color w:val="000000" w:themeColor="text1"/>
                <w:spacing w:val="-3"/>
                <w:w w:val="105"/>
              </w:rPr>
              <w:t xml:space="preserve"> </w:t>
            </w:r>
            <w:r w:rsidRPr="00B40A77">
              <w:rPr>
                <w:rFonts w:cs="Times New Roman"/>
                <w:color w:val="000000" w:themeColor="text1"/>
                <w:w w:val="105"/>
              </w:rPr>
              <w:t xml:space="preserve">Court </w:t>
            </w:r>
          </w:p>
        </w:tc>
      </w:tr>
      <w:tr w:rsidR="00B40A77" w:rsidRPr="00B40A77" w14:paraId="7D7B5093" w14:textId="77777777" w:rsidTr="00113A70">
        <w:trPr>
          <w:trHeight w:hRule="exact" w:val="516"/>
        </w:trPr>
        <w:tc>
          <w:tcPr>
            <w:tcW w:w="850" w:type="dxa"/>
            <w:tcBorders>
              <w:top w:val="single" w:sz="4" w:space="0" w:color="000000"/>
              <w:left w:val="single" w:sz="4" w:space="0" w:color="000000"/>
              <w:bottom w:val="single" w:sz="4" w:space="0" w:color="000000"/>
              <w:right w:val="single" w:sz="4" w:space="0" w:color="000000"/>
            </w:tcBorders>
          </w:tcPr>
          <w:p w14:paraId="034C0597"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w w:val="105"/>
              </w:rPr>
            </w:pPr>
            <w:r w:rsidRPr="00B40A77">
              <w:rPr>
                <w:rFonts w:cs="Times New Roman"/>
                <w:color w:val="000000" w:themeColor="text1"/>
                <w:w w:val="105"/>
              </w:rPr>
              <w:t>2</w:t>
            </w:r>
          </w:p>
        </w:tc>
        <w:tc>
          <w:tcPr>
            <w:tcW w:w="3969" w:type="dxa"/>
            <w:tcBorders>
              <w:top w:val="single" w:sz="4" w:space="0" w:color="000000"/>
              <w:left w:val="single" w:sz="4" w:space="0" w:color="000000"/>
              <w:bottom w:val="single" w:sz="4" w:space="0" w:color="000000"/>
              <w:right w:val="single" w:sz="4" w:space="0" w:color="000000"/>
            </w:tcBorders>
            <w:hideMark/>
          </w:tcPr>
          <w:p w14:paraId="167F1A65"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Other adult person per</w:t>
            </w:r>
            <w:r w:rsidRPr="00B40A77">
              <w:rPr>
                <w:rFonts w:cs="Times New Roman"/>
                <w:color w:val="000000" w:themeColor="text1"/>
                <w:spacing w:val="-14"/>
                <w:w w:val="105"/>
              </w:rPr>
              <w:t xml:space="preserve"> </w:t>
            </w:r>
            <w:r w:rsidRPr="00B40A77">
              <w:rPr>
                <w:rFonts w:cs="Times New Roman"/>
                <w:color w:val="000000" w:themeColor="text1"/>
                <w:w w:val="105"/>
              </w:rPr>
              <w:t>day</w:t>
            </w:r>
          </w:p>
        </w:tc>
        <w:tc>
          <w:tcPr>
            <w:tcW w:w="4253" w:type="dxa"/>
            <w:tcBorders>
              <w:top w:val="single" w:sz="4" w:space="0" w:color="000000"/>
              <w:left w:val="single" w:sz="4" w:space="0" w:color="000000"/>
              <w:bottom w:val="single" w:sz="4" w:space="0" w:color="000000"/>
              <w:right w:val="single" w:sz="4" w:space="0" w:color="auto"/>
            </w:tcBorders>
            <w:hideMark/>
          </w:tcPr>
          <w:p w14:paraId="25245270" w14:textId="77777777" w:rsidR="00BB7238" w:rsidRPr="00B40A77" w:rsidRDefault="00BB7238" w:rsidP="00B85DCA">
            <w:pPr>
              <w:kinsoku w:val="0"/>
              <w:overflowPunct w:val="0"/>
              <w:autoSpaceDE w:val="0"/>
              <w:autoSpaceDN w:val="0"/>
              <w:adjustRightInd w:val="0"/>
              <w:spacing w:before="118" w:line="256" w:lineRule="auto"/>
              <w:ind w:left="118"/>
              <w:rPr>
                <w:rFonts w:cs="Times New Roman"/>
                <w:color w:val="000000" w:themeColor="text1"/>
              </w:rPr>
            </w:pPr>
            <w:r w:rsidRPr="00B40A77">
              <w:rPr>
                <w:rFonts w:cs="Times New Roman"/>
                <w:color w:val="000000" w:themeColor="text1"/>
                <w:w w:val="105"/>
              </w:rPr>
              <w:t>$380</w:t>
            </w:r>
          </w:p>
        </w:tc>
      </w:tr>
      <w:tr w:rsidR="00B40A77" w:rsidRPr="00B40A77" w14:paraId="7D11B709" w14:textId="77777777" w:rsidTr="00113A70">
        <w:trPr>
          <w:trHeight w:hRule="exact" w:val="518"/>
        </w:trPr>
        <w:tc>
          <w:tcPr>
            <w:tcW w:w="850" w:type="dxa"/>
            <w:tcBorders>
              <w:top w:val="single" w:sz="4" w:space="0" w:color="000000"/>
              <w:left w:val="single" w:sz="4" w:space="0" w:color="000000"/>
              <w:bottom w:val="single" w:sz="4" w:space="0" w:color="000000"/>
              <w:right w:val="single" w:sz="4" w:space="0" w:color="000000"/>
            </w:tcBorders>
          </w:tcPr>
          <w:p w14:paraId="7ECF18F3" w14:textId="77777777" w:rsidR="00BB7238" w:rsidRPr="00B40A77" w:rsidRDefault="00BB7238" w:rsidP="00B85DCA">
            <w:pPr>
              <w:kinsoku w:val="0"/>
              <w:overflowPunct w:val="0"/>
              <w:autoSpaceDE w:val="0"/>
              <w:autoSpaceDN w:val="0"/>
              <w:adjustRightInd w:val="0"/>
              <w:spacing w:line="256" w:lineRule="auto"/>
              <w:ind w:left="117"/>
              <w:rPr>
                <w:rFonts w:cs="Times New Roman"/>
                <w:color w:val="000000" w:themeColor="text1"/>
                <w:w w:val="105"/>
              </w:rPr>
            </w:pPr>
            <w:r w:rsidRPr="00B40A77">
              <w:rPr>
                <w:rFonts w:cs="Times New Roman"/>
                <w:color w:val="000000" w:themeColor="text1"/>
                <w:w w:val="105"/>
              </w:rPr>
              <w:t>3</w:t>
            </w:r>
          </w:p>
        </w:tc>
        <w:tc>
          <w:tcPr>
            <w:tcW w:w="3969" w:type="dxa"/>
            <w:tcBorders>
              <w:top w:val="single" w:sz="4" w:space="0" w:color="000000"/>
              <w:left w:val="single" w:sz="4" w:space="0" w:color="000000"/>
              <w:bottom w:val="single" w:sz="4" w:space="0" w:color="000000"/>
              <w:right w:val="single" w:sz="4" w:space="0" w:color="000000"/>
            </w:tcBorders>
            <w:hideMark/>
          </w:tcPr>
          <w:p w14:paraId="69FD24BA" w14:textId="77777777" w:rsidR="00BB7238" w:rsidRPr="00B40A77" w:rsidRDefault="00BB7238" w:rsidP="00B85DCA">
            <w:pPr>
              <w:kinsoku w:val="0"/>
              <w:overflowPunct w:val="0"/>
              <w:autoSpaceDE w:val="0"/>
              <w:autoSpaceDN w:val="0"/>
              <w:adjustRightInd w:val="0"/>
              <w:spacing w:line="256" w:lineRule="auto"/>
              <w:ind w:left="117"/>
              <w:rPr>
                <w:rFonts w:cs="Times New Roman"/>
                <w:color w:val="000000" w:themeColor="text1"/>
              </w:rPr>
            </w:pPr>
            <w:r w:rsidRPr="00B40A77">
              <w:rPr>
                <w:rFonts w:cs="Times New Roman"/>
                <w:color w:val="000000" w:themeColor="text1"/>
                <w:w w:val="105"/>
              </w:rPr>
              <w:t>Persons</w:t>
            </w:r>
            <w:r w:rsidRPr="00B40A77">
              <w:rPr>
                <w:rFonts w:cs="Times New Roman"/>
                <w:color w:val="000000" w:themeColor="text1"/>
                <w:spacing w:val="-6"/>
                <w:w w:val="105"/>
              </w:rPr>
              <w:t xml:space="preserve"> </w:t>
            </w:r>
            <w:r w:rsidRPr="00B40A77">
              <w:rPr>
                <w:rFonts w:cs="Times New Roman"/>
                <w:color w:val="000000" w:themeColor="text1"/>
                <w:w w:val="105"/>
              </w:rPr>
              <w:t>under</w:t>
            </w:r>
            <w:r w:rsidRPr="00B40A77">
              <w:rPr>
                <w:rFonts w:cs="Times New Roman"/>
                <w:color w:val="000000" w:themeColor="text1"/>
                <w:spacing w:val="-6"/>
                <w:w w:val="105"/>
              </w:rPr>
              <w:t xml:space="preserve"> </w:t>
            </w:r>
            <w:r w:rsidRPr="00B40A77">
              <w:rPr>
                <w:rFonts w:cs="Times New Roman"/>
                <w:color w:val="000000" w:themeColor="text1"/>
                <w:w w:val="105"/>
              </w:rPr>
              <w:t>18</w:t>
            </w:r>
            <w:r w:rsidRPr="00B40A77">
              <w:rPr>
                <w:rFonts w:cs="Times New Roman"/>
                <w:color w:val="000000" w:themeColor="text1"/>
                <w:spacing w:val="-7"/>
                <w:w w:val="105"/>
              </w:rPr>
              <w:t xml:space="preserve"> </w:t>
            </w:r>
            <w:r w:rsidRPr="00B40A77">
              <w:rPr>
                <w:rFonts w:cs="Times New Roman"/>
                <w:color w:val="000000" w:themeColor="text1"/>
                <w:w w:val="105"/>
              </w:rPr>
              <w:t>years</w:t>
            </w:r>
            <w:r w:rsidRPr="00B40A77">
              <w:rPr>
                <w:rFonts w:cs="Times New Roman"/>
                <w:color w:val="000000" w:themeColor="text1"/>
                <w:spacing w:val="-6"/>
                <w:w w:val="105"/>
              </w:rPr>
              <w:t xml:space="preserve"> </w:t>
            </w:r>
            <w:r w:rsidRPr="00B40A77">
              <w:rPr>
                <w:rFonts w:cs="Times New Roman"/>
                <w:color w:val="000000" w:themeColor="text1"/>
                <w:w w:val="105"/>
              </w:rPr>
              <w:t>of</w:t>
            </w:r>
            <w:r w:rsidRPr="00B40A77">
              <w:rPr>
                <w:rFonts w:cs="Times New Roman"/>
                <w:color w:val="000000" w:themeColor="text1"/>
                <w:spacing w:val="-6"/>
                <w:w w:val="105"/>
              </w:rPr>
              <w:t xml:space="preserve"> </w:t>
            </w:r>
            <w:r w:rsidRPr="00B40A77">
              <w:rPr>
                <w:rFonts w:cs="Times New Roman"/>
                <w:color w:val="000000" w:themeColor="text1"/>
                <w:w w:val="105"/>
              </w:rPr>
              <w:t>age</w:t>
            </w:r>
            <w:r w:rsidRPr="00B40A77">
              <w:rPr>
                <w:rFonts w:cs="Times New Roman"/>
                <w:color w:val="000000" w:themeColor="text1"/>
                <w:spacing w:val="-6"/>
                <w:w w:val="105"/>
              </w:rPr>
              <w:t xml:space="preserve"> </w:t>
            </w:r>
            <w:r w:rsidRPr="00B40A77">
              <w:rPr>
                <w:rFonts w:cs="Times New Roman"/>
                <w:color w:val="000000" w:themeColor="text1"/>
                <w:w w:val="105"/>
              </w:rPr>
              <w:t>per</w:t>
            </w:r>
            <w:r w:rsidRPr="00B40A77">
              <w:rPr>
                <w:rFonts w:cs="Times New Roman"/>
                <w:color w:val="000000" w:themeColor="text1"/>
                <w:spacing w:val="-5"/>
                <w:w w:val="105"/>
              </w:rPr>
              <w:t xml:space="preserve"> </w:t>
            </w:r>
            <w:r w:rsidRPr="00B40A77">
              <w:rPr>
                <w:rFonts w:cs="Times New Roman"/>
                <w:color w:val="000000" w:themeColor="text1"/>
                <w:w w:val="105"/>
              </w:rPr>
              <w:t>day</w:t>
            </w:r>
          </w:p>
        </w:tc>
        <w:tc>
          <w:tcPr>
            <w:tcW w:w="4253" w:type="dxa"/>
            <w:tcBorders>
              <w:top w:val="single" w:sz="4" w:space="0" w:color="000000"/>
              <w:left w:val="single" w:sz="4" w:space="0" w:color="000000"/>
              <w:bottom w:val="single" w:sz="4" w:space="0" w:color="000000"/>
              <w:right w:val="single" w:sz="4" w:space="0" w:color="auto"/>
            </w:tcBorders>
            <w:hideMark/>
          </w:tcPr>
          <w:p w14:paraId="2F76D68D" w14:textId="77777777" w:rsidR="00BB7238" w:rsidRPr="00B40A77" w:rsidRDefault="00BB7238" w:rsidP="00B85DCA">
            <w:pPr>
              <w:kinsoku w:val="0"/>
              <w:overflowPunct w:val="0"/>
              <w:autoSpaceDE w:val="0"/>
              <w:autoSpaceDN w:val="0"/>
              <w:adjustRightInd w:val="0"/>
              <w:spacing w:line="256" w:lineRule="auto"/>
              <w:ind w:left="117"/>
              <w:rPr>
                <w:rFonts w:cs="Times New Roman"/>
                <w:color w:val="000000" w:themeColor="text1"/>
              </w:rPr>
            </w:pPr>
            <w:r w:rsidRPr="00B40A77">
              <w:rPr>
                <w:rFonts w:cs="Times New Roman"/>
                <w:color w:val="000000" w:themeColor="text1"/>
                <w:w w:val="105"/>
              </w:rPr>
              <w:t>$160</w:t>
            </w:r>
          </w:p>
        </w:tc>
      </w:tr>
      <w:tr w:rsidR="00B40A77" w:rsidRPr="00B40A77" w14:paraId="0A3F51B4" w14:textId="77777777" w:rsidTr="00113A70">
        <w:trPr>
          <w:trHeight w:hRule="exact" w:val="2515"/>
        </w:trPr>
        <w:tc>
          <w:tcPr>
            <w:tcW w:w="850" w:type="dxa"/>
            <w:tcBorders>
              <w:top w:val="single" w:sz="4" w:space="0" w:color="000000"/>
              <w:left w:val="single" w:sz="4" w:space="0" w:color="000000"/>
              <w:bottom w:val="single" w:sz="4" w:space="0" w:color="000000"/>
              <w:right w:val="single" w:sz="4" w:space="0" w:color="000000"/>
            </w:tcBorders>
          </w:tcPr>
          <w:p w14:paraId="2BA7CFFA" w14:textId="77777777" w:rsidR="00BB7238" w:rsidRPr="00B40A77" w:rsidRDefault="00BB7238" w:rsidP="00113A70">
            <w:pPr>
              <w:kinsoku w:val="0"/>
              <w:overflowPunct w:val="0"/>
              <w:autoSpaceDE w:val="0"/>
              <w:autoSpaceDN w:val="0"/>
              <w:adjustRightInd w:val="0"/>
              <w:spacing w:before="118" w:line="256" w:lineRule="auto"/>
              <w:rPr>
                <w:rFonts w:cs="Times New Roman"/>
                <w:color w:val="000000" w:themeColor="text1"/>
                <w:w w:val="105"/>
              </w:rPr>
            </w:pPr>
            <w:r w:rsidRPr="00B40A77">
              <w:rPr>
                <w:rFonts w:cs="Times New Roman"/>
                <w:color w:val="000000" w:themeColor="text1"/>
                <w:w w:val="105"/>
              </w:rPr>
              <w:t>4</w:t>
            </w:r>
          </w:p>
        </w:tc>
        <w:tc>
          <w:tcPr>
            <w:tcW w:w="3969" w:type="dxa"/>
            <w:tcBorders>
              <w:top w:val="single" w:sz="4" w:space="0" w:color="000000"/>
              <w:left w:val="single" w:sz="4" w:space="0" w:color="000000"/>
              <w:bottom w:val="single" w:sz="4" w:space="0" w:color="000000"/>
              <w:right w:val="single" w:sz="4" w:space="0" w:color="000000"/>
            </w:tcBorders>
            <w:hideMark/>
          </w:tcPr>
          <w:p w14:paraId="5FE27F76"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Travel</w:t>
            </w:r>
            <w:r w:rsidRPr="00B40A77">
              <w:rPr>
                <w:rFonts w:cs="Times New Roman"/>
                <w:color w:val="000000" w:themeColor="text1"/>
                <w:spacing w:val="-3"/>
                <w:w w:val="105"/>
              </w:rPr>
              <w:t xml:space="preserve"> </w:t>
            </w:r>
            <w:r w:rsidRPr="00B40A77">
              <w:rPr>
                <w:rFonts w:cs="Times New Roman"/>
                <w:color w:val="000000" w:themeColor="text1"/>
                <w:w w:val="105"/>
              </w:rPr>
              <w:t>expenses</w:t>
            </w:r>
          </w:p>
        </w:tc>
        <w:tc>
          <w:tcPr>
            <w:tcW w:w="4253" w:type="dxa"/>
            <w:tcBorders>
              <w:top w:val="single" w:sz="4" w:space="0" w:color="000000"/>
              <w:left w:val="single" w:sz="4" w:space="0" w:color="000000"/>
              <w:bottom w:val="single" w:sz="4" w:space="0" w:color="000000"/>
              <w:right w:val="single" w:sz="4" w:space="0" w:color="auto"/>
            </w:tcBorders>
            <w:hideMark/>
          </w:tcPr>
          <w:p w14:paraId="0F40C350" w14:textId="77777777" w:rsidR="00BB7238" w:rsidRPr="00B40A77" w:rsidRDefault="00BB7238" w:rsidP="00B85DCA">
            <w:pPr>
              <w:kinsoku w:val="0"/>
              <w:overflowPunct w:val="0"/>
              <w:autoSpaceDE w:val="0"/>
              <w:autoSpaceDN w:val="0"/>
              <w:adjustRightInd w:val="0"/>
              <w:spacing w:before="118" w:line="244" w:lineRule="auto"/>
              <w:ind w:left="97" w:right="399" w:firstLine="19"/>
              <w:rPr>
                <w:rFonts w:cs="Times New Roman"/>
                <w:color w:val="000000" w:themeColor="text1"/>
                <w:w w:val="105"/>
              </w:rPr>
            </w:pPr>
            <w:r w:rsidRPr="00B40A77">
              <w:rPr>
                <w:rFonts w:cs="Times New Roman"/>
                <w:color w:val="000000" w:themeColor="text1"/>
                <w:w w:val="105"/>
              </w:rPr>
              <w:t>Where</w:t>
            </w:r>
            <w:r w:rsidRPr="00B40A77">
              <w:rPr>
                <w:rFonts w:cs="Times New Roman"/>
                <w:color w:val="000000" w:themeColor="text1"/>
                <w:spacing w:val="-16"/>
                <w:w w:val="105"/>
              </w:rPr>
              <w:t xml:space="preserve"> </w:t>
            </w:r>
            <w:r w:rsidRPr="00B40A77">
              <w:rPr>
                <w:rFonts w:cs="Times New Roman"/>
                <w:color w:val="000000" w:themeColor="text1"/>
                <w:w w:val="105"/>
              </w:rPr>
              <w:t>the</w:t>
            </w:r>
            <w:r w:rsidRPr="00B40A77">
              <w:rPr>
                <w:rFonts w:cs="Times New Roman"/>
                <w:color w:val="000000" w:themeColor="text1"/>
                <w:spacing w:val="-16"/>
                <w:w w:val="105"/>
              </w:rPr>
              <w:t xml:space="preserve"> </w:t>
            </w:r>
            <w:r w:rsidRPr="00B40A77">
              <w:rPr>
                <w:rFonts w:cs="Times New Roman"/>
                <w:color w:val="000000" w:themeColor="text1"/>
                <w:w w:val="105"/>
              </w:rPr>
              <w:t>witness</w:t>
            </w:r>
            <w:r w:rsidRPr="00B40A77">
              <w:rPr>
                <w:rFonts w:cs="Times New Roman"/>
                <w:color w:val="000000" w:themeColor="text1"/>
                <w:spacing w:val="-16"/>
                <w:w w:val="105"/>
              </w:rPr>
              <w:t xml:space="preserve"> </w:t>
            </w:r>
            <w:r w:rsidRPr="00B40A77">
              <w:rPr>
                <w:rFonts w:cs="Times New Roman"/>
                <w:color w:val="000000" w:themeColor="text1"/>
                <w:w w:val="105"/>
              </w:rPr>
              <w:t>is</w:t>
            </w:r>
            <w:r w:rsidRPr="00B40A77">
              <w:rPr>
                <w:rFonts w:cs="Times New Roman"/>
                <w:color w:val="000000" w:themeColor="text1"/>
                <w:spacing w:val="-16"/>
                <w:w w:val="105"/>
              </w:rPr>
              <w:t xml:space="preserve"> </w:t>
            </w:r>
            <w:r w:rsidRPr="00B40A77">
              <w:rPr>
                <w:rFonts w:cs="Times New Roman"/>
                <w:color w:val="000000" w:themeColor="text1"/>
                <w:w w:val="105"/>
              </w:rPr>
              <w:t>normally</w:t>
            </w:r>
            <w:r w:rsidRPr="00B40A77">
              <w:rPr>
                <w:rFonts w:cs="Times New Roman"/>
                <w:color w:val="000000" w:themeColor="text1"/>
                <w:w w:val="102"/>
              </w:rPr>
              <w:t xml:space="preserve"> </w:t>
            </w:r>
            <w:r w:rsidRPr="00B40A77">
              <w:rPr>
                <w:rFonts w:cs="Times New Roman"/>
                <w:color w:val="000000" w:themeColor="text1"/>
                <w:w w:val="105"/>
              </w:rPr>
              <w:t>resident</w:t>
            </w:r>
            <w:r w:rsidRPr="00B40A77">
              <w:rPr>
                <w:rFonts w:cs="Times New Roman"/>
                <w:color w:val="000000" w:themeColor="text1"/>
                <w:spacing w:val="-14"/>
                <w:w w:val="105"/>
              </w:rPr>
              <w:t xml:space="preserve"> </w:t>
            </w:r>
            <w:r w:rsidRPr="00B40A77">
              <w:rPr>
                <w:rFonts w:cs="Times New Roman"/>
                <w:color w:val="000000" w:themeColor="text1"/>
                <w:w w:val="105"/>
              </w:rPr>
              <w:t>more</w:t>
            </w:r>
            <w:r w:rsidRPr="00B40A77">
              <w:rPr>
                <w:rFonts w:cs="Times New Roman"/>
                <w:color w:val="000000" w:themeColor="text1"/>
                <w:spacing w:val="-15"/>
                <w:w w:val="105"/>
              </w:rPr>
              <w:t xml:space="preserve"> </w:t>
            </w:r>
            <w:r w:rsidRPr="00B40A77">
              <w:rPr>
                <w:rFonts w:cs="Times New Roman"/>
                <w:color w:val="000000" w:themeColor="text1"/>
                <w:w w:val="105"/>
              </w:rPr>
              <w:t>than</w:t>
            </w:r>
            <w:r w:rsidRPr="00B40A77">
              <w:rPr>
                <w:rFonts w:cs="Times New Roman"/>
                <w:color w:val="000000" w:themeColor="text1"/>
                <w:spacing w:val="-15"/>
                <w:w w:val="105"/>
              </w:rPr>
              <w:t xml:space="preserve"> </w:t>
            </w:r>
            <w:r w:rsidRPr="00B40A77">
              <w:rPr>
                <w:rFonts w:cs="Times New Roman"/>
                <w:color w:val="000000" w:themeColor="text1"/>
                <w:w w:val="105"/>
              </w:rPr>
              <w:t>50</w:t>
            </w:r>
            <w:r w:rsidRPr="00B40A77">
              <w:rPr>
                <w:rFonts w:cs="Times New Roman"/>
                <w:color w:val="000000" w:themeColor="text1"/>
                <w:spacing w:val="-15"/>
                <w:w w:val="105"/>
              </w:rPr>
              <w:t xml:space="preserve"> </w:t>
            </w:r>
            <w:r w:rsidRPr="00B40A77">
              <w:rPr>
                <w:rFonts w:cs="Times New Roman"/>
                <w:color w:val="000000" w:themeColor="text1"/>
                <w:w w:val="105"/>
              </w:rPr>
              <w:t>km</w:t>
            </w:r>
            <w:r w:rsidRPr="00B40A77">
              <w:rPr>
                <w:rFonts w:cs="Times New Roman"/>
                <w:color w:val="000000" w:themeColor="text1"/>
                <w:spacing w:val="-16"/>
                <w:w w:val="105"/>
              </w:rPr>
              <w:t xml:space="preserve"> </w:t>
            </w:r>
            <w:r w:rsidRPr="00B40A77">
              <w:rPr>
                <w:rFonts w:cs="Times New Roman"/>
                <w:color w:val="000000" w:themeColor="text1"/>
                <w:w w:val="105"/>
              </w:rPr>
              <w:t>from</w:t>
            </w:r>
            <w:r w:rsidRPr="00B40A77">
              <w:rPr>
                <w:rFonts w:cs="Times New Roman"/>
                <w:color w:val="000000" w:themeColor="text1"/>
                <w:w w:val="102"/>
              </w:rPr>
              <w:t xml:space="preserve"> </w:t>
            </w:r>
            <w:r w:rsidRPr="00B40A77">
              <w:rPr>
                <w:rFonts w:cs="Times New Roman"/>
                <w:color w:val="000000" w:themeColor="text1"/>
                <w:w w:val="105"/>
              </w:rPr>
              <w:t>the</w:t>
            </w:r>
            <w:r w:rsidRPr="00B40A77">
              <w:rPr>
                <w:rFonts w:cs="Times New Roman"/>
                <w:color w:val="000000" w:themeColor="text1"/>
                <w:spacing w:val="-10"/>
                <w:w w:val="105"/>
              </w:rPr>
              <w:t xml:space="preserve"> </w:t>
            </w:r>
            <w:r w:rsidRPr="00B40A77">
              <w:rPr>
                <w:rFonts w:cs="Times New Roman"/>
                <w:color w:val="000000" w:themeColor="text1"/>
                <w:w w:val="105"/>
              </w:rPr>
              <w:t>trial</w:t>
            </w:r>
            <w:r w:rsidRPr="00B40A77">
              <w:rPr>
                <w:rFonts w:cs="Times New Roman"/>
                <w:color w:val="000000" w:themeColor="text1"/>
                <w:spacing w:val="-9"/>
                <w:w w:val="105"/>
              </w:rPr>
              <w:t xml:space="preserve"> </w:t>
            </w:r>
            <w:r w:rsidRPr="00B40A77">
              <w:rPr>
                <w:rFonts w:cs="Times New Roman"/>
                <w:color w:val="000000" w:themeColor="text1"/>
                <w:w w:val="105"/>
              </w:rPr>
              <w:t>Court:</w:t>
            </w:r>
          </w:p>
          <w:p w14:paraId="429187B0" w14:textId="77777777" w:rsidR="00BB7238" w:rsidRPr="00B40A77" w:rsidRDefault="00BB7238" w:rsidP="00BB7238">
            <w:pPr>
              <w:pStyle w:val="ListParagraph"/>
              <w:numPr>
                <w:ilvl w:val="0"/>
                <w:numId w:val="18"/>
              </w:numPr>
              <w:kinsoku w:val="0"/>
              <w:overflowPunct w:val="0"/>
              <w:autoSpaceDE w:val="0"/>
              <w:autoSpaceDN w:val="0"/>
              <w:adjustRightInd w:val="0"/>
              <w:spacing w:before="118" w:after="200" w:line="244" w:lineRule="auto"/>
              <w:ind w:right="399"/>
              <w:rPr>
                <w:color w:val="000000" w:themeColor="text1"/>
                <w:w w:val="105"/>
              </w:rPr>
            </w:pPr>
            <w:r w:rsidRPr="00B40A77">
              <w:rPr>
                <w:color w:val="000000" w:themeColor="text1"/>
                <w:w w:val="105"/>
              </w:rPr>
              <w:t>at</w:t>
            </w:r>
            <w:r w:rsidRPr="00B40A77">
              <w:rPr>
                <w:color w:val="000000" w:themeColor="text1"/>
                <w:spacing w:val="-9"/>
                <w:w w:val="105"/>
              </w:rPr>
              <w:t xml:space="preserve"> </w:t>
            </w:r>
            <w:r w:rsidRPr="00B40A77">
              <w:rPr>
                <w:color w:val="000000" w:themeColor="text1"/>
                <w:w w:val="105"/>
              </w:rPr>
              <w:t>the</w:t>
            </w:r>
            <w:r w:rsidRPr="00B40A77">
              <w:rPr>
                <w:color w:val="000000" w:themeColor="text1"/>
                <w:spacing w:val="-10"/>
                <w:w w:val="105"/>
              </w:rPr>
              <w:t xml:space="preserve"> </w:t>
            </w:r>
            <w:r w:rsidRPr="00B40A77">
              <w:rPr>
                <w:color w:val="000000" w:themeColor="text1"/>
                <w:w w:val="105"/>
              </w:rPr>
              <w:t>rate</w:t>
            </w:r>
            <w:r w:rsidRPr="00B40A77">
              <w:rPr>
                <w:color w:val="000000" w:themeColor="text1"/>
                <w:spacing w:val="-9"/>
                <w:w w:val="105"/>
              </w:rPr>
              <w:t xml:space="preserve"> </w:t>
            </w:r>
            <w:r w:rsidRPr="00B40A77">
              <w:rPr>
                <w:color w:val="000000" w:themeColor="text1"/>
                <w:w w:val="105"/>
              </w:rPr>
              <w:t>of</w:t>
            </w:r>
            <w:r w:rsidRPr="00B40A77">
              <w:rPr>
                <w:color w:val="000000" w:themeColor="text1"/>
                <w:spacing w:val="-10"/>
                <w:w w:val="105"/>
              </w:rPr>
              <w:t xml:space="preserve"> </w:t>
            </w:r>
            <w:r w:rsidRPr="00B40A77">
              <w:rPr>
                <w:color w:val="000000" w:themeColor="text1"/>
                <w:w w:val="105"/>
              </w:rPr>
              <w:t>90</w:t>
            </w:r>
            <w:r w:rsidRPr="00B40A77">
              <w:rPr>
                <w:color w:val="000000" w:themeColor="text1"/>
                <w:spacing w:val="-1"/>
                <w:w w:val="102"/>
              </w:rPr>
              <w:t xml:space="preserve"> </w:t>
            </w:r>
            <w:r w:rsidRPr="00B40A77">
              <w:rPr>
                <w:color w:val="000000" w:themeColor="text1"/>
                <w:w w:val="105"/>
              </w:rPr>
              <w:t>cents per km; or</w:t>
            </w:r>
          </w:p>
          <w:p w14:paraId="640F4A8B" w14:textId="77777777" w:rsidR="00BB7238" w:rsidRPr="00B40A77" w:rsidRDefault="00BB7238" w:rsidP="00BB7238">
            <w:pPr>
              <w:pStyle w:val="ListParagraph"/>
              <w:numPr>
                <w:ilvl w:val="0"/>
                <w:numId w:val="18"/>
              </w:numPr>
              <w:kinsoku w:val="0"/>
              <w:overflowPunct w:val="0"/>
              <w:autoSpaceDE w:val="0"/>
              <w:autoSpaceDN w:val="0"/>
              <w:adjustRightInd w:val="0"/>
              <w:spacing w:before="118" w:after="200" w:line="244" w:lineRule="auto"/>
              <w:ind w:right="399"/>
              <w:rPr>
                <w:color w:val="000000" w:themeColor="text1"/>
              </w:rPr>
            </w:pPr>
            <w:r w:rsidRPr="00B40A77">
              <w:rPr>
                <w:color w:val="000000" w:themeColor="text1"/>
                <w:w w:val="105"/>
              </w:rPr>
              <w:t>the</w:t>
            </w:r>
            <w:r w:rsidRPr="00B40A77">
              <w:rPr>
                <w:color w:val="000000" w:themeColor="text1"/>
                <w:spacing w:val="-24"/>
                <w:w w:val="105"/>
              </w:rPr>
              <w:t xml:space="preserve"> </w:t>
            </w:r>
            <w:r w:rsidRPr="00B40A77">
              <w:rPr>
                <w:color w:val="000000" w:themeColor="text1"/>
                <w:w w:val="105"/>
              </w:rPr>
              <w:t>least</w:t>
            </w:r>
            <w:r w:rsidRPr="00B40A77">
              <w:rPr>
                <w:color w:val="000000" w:themeColor="text1"/>
                <w:w w:val="102"/>
              </w:rPr>
              <w:t xml:space="preserve"> </w:t>
            </w:r>
            <w:r w:rsidRPr="00B40A77">
              <w:rPr>
                <w:color w:val="000000" w:themeColor="text1"/>
                <w:w w:val="105"/>
              </w:rPr>
              <w:t>expensive return air</w:t>
            </w:r>
            <w:r w:rsidRPr="00B40A77">
              <w:rPr>
                <w:color w:val="000000" w:themeColor="text1"/>
                <w:spacing w:val="-20"/>
                <w:w w:val="105"/>
              </w:rPr>
              <w:t xml:space="preserve"> </w:t>
            </w:r>
            <w:r w:rsidRPr="00B40A77">
              <w:rPr>
                <w:color w:val="000000" w:themeColor="text1"/>
                <w:w w:val="105"/>
              </w:rPr>
              <w:t>fare; or</w:t>
            </w:r>
          </w:p>
          <w:p w14:paraId="39ABAE02" w14:textId="77777777" w:rsidR="00BB7238" w:rsidRPr="00B40A77" w:rsidRDefault="00BB7238" w:rsidP="00BB7238">
            <w:pPr>
              <w:pStyle w:val="ListParagraph"/>
              <w:numPr>
                <w:ilvl w:val="0"/>
                <w:numId w:val="18"/>
              </w:numPr>
              <w:kinsoku w:val="0"/>
              <w:overflowPunct w:val="0"/>
              <w:autoSpaceDE w:val="0"/>
              <w:autoSpaceDN w:val="0"/>
              <w:adjustRightInd w:val="0"/>
              <w:spacing w:before="118" w:after="200" w:line="244" w:lineRule="auto"/>
              <w:ind w:right="399"/>
              <w:rPr>
                <w:color w:val="000000" w:themeColor="text1"/>
              </w:rPr>
            </w:pPr>
            <w:r w:rsidRPr="00B40A77">
              <w:rPr>
                <w:color w:val="000000" w:themeColor="text1"/>
                <w:w w:val="105"/>
              </w:rPr>
              <w:t>whichever</w:t>
            </w:r>
            <w:r w:rsidRPr="00B40A77">
              <w:rPr>
                <w:color w:val="000000" w:themeColor="text1"/>
                <w:spacing w:val="-9"/>
                <w:w w:val="105"/>
              </w:rPr>
              <w:t xml:space="preserve"> </w:t>
            </w:r>
            <w:r w:rsidRPr="00B40A77">
              <w:rPr>
                <w:color w:val="000000" w:themeColor="text1"/>
                <w:w w:val="105"/>
              </w:rPr>
              <w:t>is</w:t>
            </w:r>
            <w:r w:rsidRPr="00B40A77">
              <w:rPr>
                <w:color w:val="000000" w:themeColor="text1"/>
                <w:spacing w:val="-8"/>
                <w:w w:val="105"/>
              </w:rPr>
              <w:t xml:space="preserve"> </w:t>
            </w:r>
            <w:r w:rsidRPr="00B40A77">
              <w:rPr>
                <w:color w:val="000000" w:themeColor="text1"/>
                <w:w w:val="105"/>
              </w:rPr>
              <w:t>the</w:t>
            </w:r>
            <w:r w:rsidRPr="00B40A77">
              <w:rPr>
                <w:color w:val="000000" w:themeColor="text1"/>
                <w:spacing w:val="-9"/>
                <w:w w:val="105"/>
              </w:rPr>
              <w:t xml:space="preserve"> </w:t>
            </w:r>
            <w:r w:rsidRPr="00B40A77">
              <w:rPr>
                <w:color w:val="000000" w:themeColor="text1"/>
                <w:w w:val="105"/>
              </w:rPr>
              <w:t>lesser</w:t>
            </w:r>
            <w:r w:rsidRPr="00B40A77">
              <w:rPr>
                <w:color w:val="000000" w:themeColor="text1"/>
                <w:spacing w:val="-10"/>
                <w:w w:val="105"/>
              </w:rPr>
              <w:t xml:space="preserve"> </w:t>
            </w:r>
            <w:r w:rsidRPr="00B40A77">
              <w:rPr>
                <w:color w:val="000000" w:themeColor="text1"/>
                <w:w w:val="105"/>
              </w:rPr>
              <w:t>or</w:t>
            </w:r>
            <w:r w:rsidRPr="00B40A77">
              <w:rPr>
                <w:color w:val="000000" w:themeColor="text1"/>
                <w:spacing w:val="-9"/>
                <w:w w:val="105"/>
              </w:rPr>
              <w:t xml:space="preserve"> </w:t>
            </w:r>
            <w:r w:rsidRPr="00B40A77">
              <w:rPr>
                <w:color w:val="000000" w:themeColor="text1"/>
                <w:w w:val="105"/>
              </w:rPr>
              <w:t>the</w:t>
            </w:r>
            <w:r w:rsidRPr="00B40A77">
              <w:rPr>
                <w:color w:val="000000" w:themeColor="text1"/>
                <w:w w:val="102"/>
              </w:rPr>
              <w:t xml:space="preserve"> </w:t>
            </w:r>
            <w:r w:rsidRPr="00B40A77">
              <w:rPr>
                <w:color w:val="000000" w:themeColor="text1"/>
                <w:w w:val="105"/>
              </w:rPr>
              <w:t>cheapest</w:t>
            </w:r>
            <w:r w:rsidRPr="00B40A77">
              <w:rPr>
                <w:color w:val="000000" w:themeColor="text1"/>
                <w:spacing w:val="-16"/>
                <w:w w:val="105"/>
              </w:rPr>
              <w:t xml:space="preserve"> </w:t>
            </w:r>
            <w:r w:rsidRPr="00B40A77">
              <w:rPr>
                <w:color w:val="000000" w:themeColor="text1"/>
                <w:w w:val="105"/>
              </w:rPr>
              <w:t>combination</w:t>
            </w:r>
            <w:r w:rsidRPr="00B40A77">
              <w:rPr>
                <w:color w:val="000000" w:themeColor="text1"/>
                <w:spacing w:val="-17"/>
                <w:w w:val="105"/>
              </w:rPr>
              <w:t xml:space="preserve"> </w:t>
            </w:r>
            <w:r w:rsidRPr="00B40A77">
              <w:rPr>
                <w:color w:val="000000" w:themeColor="text1"/>
                <w:w w:val="105"/>
              </w:rPr>
              <w:t>of</w:t>
            </w:r>
            <w:r w:rsidRPr="00B40A77">
              <w:rPr>
                <w:color w:val="000000" w:themeColor="text1"/>
                <w:spacing w:val="-16"/>
                <w:w w:val="105"/>
              </w:rPr>
              <w:t xml:space="preserve"> </w:t>
            </w:r>
            <w:r w:rsidRPr="00B40A77">
              <w:rPr>
                <w:color w:val="000000" w:themeColor="text1"/>
                <w:w w:val="105"/>
              </w:rPr>
              <w:t>both (a) and (b).</w:t>
            </w:r>
          </w:p>
        </w:tc>
      </w:tr>
      <w:tr w:rsidR="00B40A77" w:rsidRPr="00B40A77" w14:paraId="13CD0C03" w14:textId="77777777" w:rsidTr="00113A70">
        <w:trPr>
          <w:trHeight w:hRule="exact" w:val="2551"/>
        </w:trPr>
        <w:tc>
          <w:tcPr>
            <w:tcW w:w="850" w:type="dxa"/>
            <w:tcBorders>
              <w:top w:val="single" w:sz="4" w:space="0" w:color="000000"/>
              <w:left w:val="single" w:sz="4" w:space="0" w:color="000000"/>
              <w:bottom w:val="single" w:sz="4" w:space="0" w:color="000000"/>
              <w:right w:val="single" w:sz="4" w:space="0" w:color="000000"/>
            </w:tcBorders>
          </w:tcPr>
          <w:p w14:paraId="3A2E2B1A"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w w:val="105"/>
              </w:rPr>
            </w:pPr>
            <w:r w:rsidRPr="00B40A77">
              <w:rPr>
                <w:rFonts w:cs="Times New Roman"/>
                <w:color w:val="000000" w:themeColor="text1"/>
                <w:w w:val="105"/>
              </w:rPr>
              <w:t>5</w:t>
            </w:r>
          </w:p>
        </w:tc>
        <w:tc>
          <w:tcPr>
            <w:tcW w:w="3969" w:type="dxa"/>
            <w:tcBorders>
              <w:top w:val="single" w:sz="4" w:space="0" w:color="000000"/>
              <w:left w:val="single" w:sz="4" w:space="0" w:color="000000"/>
              <w:bottom w:val="single" w:sz="4" w:space="0" w:color="000000"/>
              <w:right w:val="single" w:sz="4" w:space="0" w:color="000000"/>
            </w:tcBorders>
            <w:hideMark/>
          </w:tcPr>
          <w:p w14:paraId="18384D94"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Accommodation</w:t>
            </w:r>
            <w:r w:rsidRPr="00B40A77">
              <w:rPr>
                <w:rFonts w:cs="Times New Roman"/>
                <w:color w:val="000000" w:themeColor="text1"/>
                <w:spacing w:val="-3"/>
                <w:w w:val="105"/>
              </w:rPr>
              <w:t xml:space="preserve"> </w:t>
            </w:r>
            <w:r w:rsidRPr="00B40A77">
              <w:rPr>
                <w:rFonts w:cs="Times New Roman"/>
                <w:color w:val="000000" w:themeColor="text1"/>
                <w:w w:val="105"/>
              </w:rPr>
              <w:t>expenses</w:t>
            </w:r>
          </w:p>
        </w:tc>
        <w:tc>
          <w:tcPr>
            <w:tcW w:w="4253" w:type="dxa"/>
            <w:tcBorders>
              <w:top w:val="single" w:sz="4" w:space="0" w:color="000000"/>
              <w:left w:val="single" w:sz="4" w:space="0" w:color="000000"/>
              <w:bottom w:val="single" w:sz="4" w:space="0" w:color="000000"/>
              <w:right w:val="single" w:sz="4" w:space="0" w:color="auto"/>
            </w:tcBorders>
            <w:hideMark/>
          </w:tcPr>
          <w:p w14:paraId="4304E508" w14:textId="77777777" w:rsidR="00BB7238" w:rsidRPr="00B40A77" w:rsidRDefault="00BB7238" w:rsidP="00B85DCA">
            <w:pPr>
              <w:kinsoku w:val="0"/>
              <w:overflowPunct w:val="0"/>
              <w:autoSpaceDE w:val="0"/>
              <w:autoSpaceDN w:val="0"/>
              <w:adjustRightInd w:val="0"/>
              <w:spacing w:before="118" w:line="244" w:lineRule="auto"/>
              <w:ind w:left="97" w:right="138" w:firstLine="20"/>
              <w:rPr>
                <w:rFonts w:cs="Times New Roman"/>
                <w:color w:val="000000" w:themeColor="text1"/>
                <w:w w:val="105"/>
              </w:rPr>
            </w:pPr>
            <w:r w:rsidRPr="00B40A77">
              <w:rPr>
                <w:rFonts w:cs="Times New Roman"/>
                <w:color w:val="000000" w:themeColor="text1"/>
                <w:w w:val="105"/>
              </w:rPr>
              <w:t>In the discretion of the</w:t>
            </w:r>
            <w:r w:rsidRPr="00B40A77">
              <w:rPr>
                <w:rFonts w:cs="Times New Roman"/>
                <w:color w:val="000000" w:themeColor="text1"/>
                <w:spacing w:val="-39"/>
                <w:w w:val="105"/>
              </w:rPr>
              <w:t xml:space="preserve"> </w:t>
            </w:r>
            <w:r w:rsidRPr="00B40A77">
              <w:rPr>
                <w:rFonts w:cs="Times New Roman"/>
                <w:color w:val="000000" w:themeColor="text1"/>
                <w:w w:val="105"/>
              </w:rPr>
              <w:t>taxing</w:t>
            </w:r>
            <w:r w:rsidRPr="00B40A77">
              <w:rPr>
                <w:rFonts w:cs="Times New Roman"/>
                <w:color w:val="000000" w:themeColor="text1"/>
                <w:spacing w:val="-1"/>
                <w:w w:val="102"/>
              </w:rPr>
              <w:t xml:space="preserve"> </w:t>
            </w:r>
            <w:r w:rsidRPr="00B40A77">
              <w:rPr>
                <w:rFonts w:cs="Times New Roman"/>
                <w:color w:val="000000" w:themeColor="text1"/>
                <w:w w:val="105"/>
              </w:rPr>
              <w:t>officer where the witness</w:t>
            </w:r>
            <w:r w:rsidRPr="00B40A77">
              <w:rPr>
                <w:rFonts w:cs="Times New Roman"/>
                <w:color w:val="000000" w:themeColor="text1"/>
                <w:spacing w:val="-27"/>
                <w:w w:val="105"/>
              </w:rPr>
              <w:t xml:space="preserve"> </w:t>
            </w:r>
            <w:r w:rsidRPr="00B40A77">
              <w:rPr>
                <w:rFonts w:cs="Times New Roman"/>
                <w:color w:val="000000" w:themeColor="text1"/>
                <w:w w:val="105"/>
              </w:rPr>
              <w:t>is</w:t>
            </w:r>
            <w:r w:rsidRPr="00B40A77">
              <w:rPr>
                <w:rFonts w:cs="Times New Roman"/>
                <w:color w:val="000000" w:themeColor="text1"/>
                <w:spacing w:val="-1"/>
                <w:w w:val="102"/>
              </w:rPr>
              <w:t xml:space="preserve"> </w:t>
            </w:r>
            <w:r w:rsidRPr="00B40A77">
              <w:rPr>
                <w:rFonts w:cs="Times New Roman"/>
                <w:color w:val="000000" w:themeColor="text1"/>
                <w:w w:val="105"/>
              </w:rPr>
              <w:t>required</w:t>
            </w:r>
            <w:r w:rsidRPr="00B40A77">
              <w:rPr>
                <w:rFonts w:cs="Times New Roman"/>
                <w:color w:val="000000" w:themeColor="text1"/>
                <w:spacing w:val="-10"/>
                <w:w w:val="105"/>
              </w:rPr>
              <w:t xml:space="preserve"> </w:t>
            </w:r>
            <w:r w:rsidRPr="00B40A77">
              <w:rPr>
                <w:rFonts w:cs="Times New Roman"/>
                <w:color w:val="000000" w:themeColor="text1"/>
                <w:w w:val="105"/>
              </w:rPr>
              <w:t>to</w:t>
            </w:r>
            <w:r w:rsidRPr="00B40A77">
              <w:rPr>
                <w:rFonts w:cs="Times New Roman"/>
                <w:color w:val="000000" w:themeColor="text1"/>
                <w:spacing w:val="-11"/>
                <w:w w:val="105"/>
              </w:rPr>
              <w:t xml:space="preserve"> </w:t>
            </w:r>
            <w:r w:rsidRPr="00B40A77">
              <w:rPr>
                <w:rFonts w:cs="Times New Roman"/>
                <w:color w:val="000000" w:themeColor="text1"/>
                <w:w w:val="105"/>
              </w:rPr>
              <w:t>be</w:t>
            </w:r>
            <w:r w:rsidRPr="00B40A77">
              <w:rPr>
                <w:rFonts w:cs="Times New Roman"/>
                <w:color w:val="000000" w:themeColor="text1"/>
                <w:spacing w:val="-10"/>
                <w:w w:val="105"/>
              </w:rPr>
              <w:t xml:space="preserve"> </w:t>
            </w:r>
            <w:r w:rsidRPr="00B40A77">
              <w:rPr>
                <w:rFonts w:cs="Times New Roman"/>
                <w:color w:val="000000" w:themeColor="text1"/>
                <w:w w:val="105"/>
              </w:rPr>
              <w:t>absent</w:t>
            </w:r>
            <w:r w:rsidRPr="00B40A77">
              <w:rPr>
                <w:rFonts w:cs="Times New Roman"/>
                <w:color w:val="000000" w:themeColor="text1"/>
                <w:spacing w:val="-12"/>
                <w:w w:val="105"/>
              </w:rPr>
              <w:t xml:space="preserve"> </w:t>
            </w:r>
            <w:r w:rsidRPr="00B40A77">
              <w:rPr>
                <w:rFonts w:cs="Times New Roman"/>
                <w:color w:val="000000" w:themeColor="text1"/>
                <w:w w:val="105"/>
              </w:rPr>
              <w:t>from</w:t>
            </w:r>
            <w:r w:rsidRPr="00B40A77">
              <w:rPr>
                <w:rFonts w:cs="Times New Roman"/>
                <w:color w:val="000000" w:themeColor="text1"/>
                <w:spacing w:val="-12"/>
                <w:w w:val="105"/>
              </w:rPr>
              <w:t xml:space="preserve"> </w:t>
            </w:r>
            <w:r w:rsidRPr="00B40A77">
              <w:rPr>
                <w:rFonts w:cs="Times New Roman"/>
                <w:color w:val="000000" w:themeColor="text1"/>
                <w:w w:val="105"/>
              </w:rPr>
              <w:t>the witness’s normal place of</w:t>
            </w:r>
            <w:r w:rsidRPr="00B40A77">
              <w:rPr>
                <w:rFonts w:cs="Times New Roman"/>
                <w:color w:val="000000" w:themeColor="text1"/>
                <w:spacing w:val="-35"/>
                <w:w w:val="105"/>
              </w:rPr>
              <w:t xml:space="preserve"> </w:t>
            </w:r>
            <w:r w:rsidRPr="00B40A77">
              <w:rPr>
                <w:rFonts w:cs="Times New Roman"/>
                <w:color w:val="000000" w:themeColor="text1"/>
                <w:w w:val="105"/>
              </w:rPr>
              <w:t>residence</w:t>
            </w:r>
            <w:r w:rsidRPr="00B40A77">
              <w:rPr>
                <w:rFonts w:cs="Times New Roman"/>
                <w:color w:val="000000" w:themeColor="text1"/>
                <w:spacing w:val="-1"/>
                <w:w w:val="102"/>
              </w:rPr>
              <w:t xml:space="preserve"> </w:t>
            </w:r>
            <w:r w:rsidRPr="00B40A77">
              <w:rPr>
                <w:rFonts w:cs="Times New Roman"/>
                <w:color w:val="000000" w:themeColor="text1"/>
                <w:w w:val="105"/>
              </w:rPr>
              <w:t>overnight</w:t>
            </w:r>
            <w:r w:rsidRPr="00B40A77">
              <w:rPr>
                <w:rFonts w:cs="Times New Roman"/>
                <w:color w:val="000000" w:themeColor="text1"/>
                <w:spacing w:val="-28"/>
                <w:w w:val="105"/>
              </w:rPr>
              <w:t xml:space="preserve"> </w:t>
            </w:r>
            <w:r w:rsidRPr="00B40A77">
              <w:rPr>
                <w:rFonts w:cs="Times New Roman"/>
                <w:color w:val="000000" w:themeColor="text1"/>
                <w:w w:val="105"/>
              </w:rPr>
              <w:t>for</w:t>
            </w:r>
            <w:r w:rsidRPr="00B40A77">
              <w:rPr>
                <w:rFonts w:cs="Times New Roman"/>
                <w:color w:val="000000" w:themeColor="text1"/>
                <w:spacing w:val="-27"/>
                <w:w w:val="105"/>
              </w:rPr>
              <w:t xml:space="preserve"> </w:t>
            </w:r>
            <w:r w:rsidRPr="00B40A77">
              <w:rPr>
                <w:rFonts w:cs="Times New Roman"/>
                <w:color w:val="000000" w:themeColor="text1"/>
                <w:w w:val="105"/>
              </w:rPr>
              <w:t>accommodation</w:t>
            </w:r>
            <w:r w:rsidRPr="00B40A77">
              <w:rPr>
                <w:rFonts w:cs="Times New Roman"/>
                <w:color w:val="000000" w:themeColor="text1"/>
                <w:spacing w:val="-26"/>
                <w:w w:val="105"/>
              </w:rPr>
              <w:t xml:space="preserve"> </w:t>
            </w:r>
            <w:r w:rsidRPr="00B40A77">
              <w:rPr>
                <w:rFonts w:cs="Times New Roman"/>
                <w:color w:val="000000" w:themeColor="text1"/>
                <w:w w:val="105"/>
              </w:rPr>
              <w:t>and:</w:t>
            </w:r>
          </w:p>
          <w:p w14:paraId="2DD33B93" w14:textId="77777777" w:rsidR="00BB7238" w:rsidRPr="00B40A77" w:rsidRDefault="00BB7238" w:rsidP="00BB7238">
            <w:pPr>
              <w:pStyle w:val="ListParagraph"/>
              <w:numPr>
                <w:ilvl w:val="0"/>
                <w:numId w:val="19"/>
              </w:numPr>
              <w:kinsoku w:val="0"/>
              <w:overflowPunct w:val="0"/>
              <w:autoSpaceDE w:val="0"/>
              <w:autoSpaceDN w:val="0"/>
              <w:adjustRightInd w:val="0"/>
              <w:spacing w:before="118" w:after="200" w:line="244" w:lineRule="auto"/>
              <w:ind w:right="138"/>
              <w:rPr>
                <w:color w:val="000000" w:themeColor="text1"/>
                <w:spacing w:val="-17"/>
                <w:w w:val="105"/>
              </w:rPr>
            </w:pPr>
            <w:r w:rsidRPr="00B40A77">
              <w:rPr>
                <w:color w:val="000000" w:themeColor="text1"/>
                <w:w w:val="105"/>
              </w:rPr>
              <w:t>sustenance</w:t>
            </w:r>
            <w:r w:rsidRPr="00B40A77">
              <w:rPr>
                <w:color w:val="000000" w:themeColor="text1"/>
                <w:spacing w:val="-17"/>
                <w:w w:val="105"/>
              </w:rPr>
              <w:t xml:space="preserve"> </w:t>
            </w:r>
            <w:r w:rsidRPr="00B40A77">
              <w:rPr>
                <w:color w:val="000000" w:themeColor="text1"/>
                <w:w w:val="105"/>
              </w:rPr>
              <w:t>per</w:t>
            </w:r>
            <w:r w:rsidRPr="00B40A77">
              <w:rPr>
                <w:color w:val="000000" w:themeColor="text1"/>
                <w:spacing w:val="-17"/>
                <w:w w:val="105"/>
              </w:rPr>
              <w:t xml:space="preserve"> </w:t>
            </w:r>
            <w:r w:rsidRPr="00B40A77">
              <w:rPr>
                <w:color w:val="000000" w:themeColor="text1"/>
                <w:w w:val="105"/>
              </w:rPr>
              <w:t>night</w:t>
            </w:r>
            <w:r w:rsidRPr="00B40A77">
              <w:rPr>
                <w:color w:val="000000" w:themeColor="text1"/>
                <w:spacing w:val="-17"/>
                <w:w w:val="105"/>
              </w:rPr>
              <w:t xml:space="preserve"> </w:t>
            </w:r>
            <w:r w:rsidRPr="00B40A77">
              <w:rPr>
                <w:color w:val="000000" w:themeColor="text1"/>
                <w:w w:val="105"/>
              </w:rPr>
              <w:t>$300;</w:t>
            </w:r>
            <w:r w:rsidRPr="00B40A77">
              <w:rPr>
                <w:color w:val="000000" w:themeColor="text1"/>
                <w:spacing w:val="-16"/>
                <w:w w:val="105"/>
              </w:rPr>
              <w:t xml:space="preserve"> </w:t>
            </w:r>
            <w:r w:rsidRPr="00B40A77">
              <w:rPr>
                <w:color w:val="000000" w:themeColor="text1"/>
                <w:w w:val="105"/>
              </w:rPr>
              <w:t>or</w:t>
            </w:r>
            <w:r w:rsidRPr="00B40A77">
              <w:rPr>
                <w:color w:val="000000" w:themeColor="text1"/>
                <w:spacing w:val="-17"/>
                <w:w w:val="105"/>
              </w:rPr>
              <w:t xml:space="preserve"> </w:t>
            </w:r>
          </w:p>
          <w:p w14:paraId="1BA13DD0" w14:textId="77777777" w:rsidR="00BB7238" w:rsidRPr="00B40A77" w:rsidRDefault="00BB7238" w:rsidP="00BB7238">
            <w:pPr>
              <w:pStyle w:val="ListParagraph"/>
              <w:numPr>
                <w:ilvl w:val="0"/>
                <w:numId w:val="19"/>
              </w:numPr>
              <w:kinsoku w:val="0"/>
              <w:overflowPunct w:val="0"/>
              <w:autoSpaceDE w:val="0"/>
              <w:autoSpaceDN w:val="0"/>
              <w:adjustRightInd w:val="0"/>
              <w:spacing w:before="118" w:after="200" w:line="244" w:lineRule="auto"/>
              <w:ind w:right="138"/>
              <w:rPr>
                <w:color w:val="000000" w:themeColor="text1"/>
              </w:rPr>
            </w:pPr>
            <w:r w:rsidRPr="00B40A77">
              <w:rPr>
                <w:color w:val="000000" w:themeColor="text1"/>
                <w:w w:val="105"/>
              </w:rPr>
              <w:t>such</w:t>
            </w:r>
            <w:r w:rsidRPr="00B40A77">
              <w:rPr>
                <w:color w:val="000000" w:themeColor="text1"/>
                <w:spacing w:val="-1"/>
                <w:w w:val="102"/>
              </w:rPr>
              <w:t xml:space="preserve"> </w:t>
            </w:r>
            <w:r w:rsidRPr="00B40A77">
              <w:rPr>
                <w:color w:val="000000" w:themeColor="text1"/>
                <w:w w:val="105"/>
              </w:rPr>
              <w:t>larger amounts allowed by</w:t>
            </w:r>
            <w:r w:rsidRPr="00B40A77">
              <w:rPr>
                <w:color w:val="000000" w:themeColor="text1"/>
                <w:spacing w:val="-33"/>
                <w:w w:val="105"/>
              </w:rPr>
              <w:t xml:space="preserve"> </w:t>
            </w:r>
            <w:r w:rsidRPr="00B40A77">
              <w:rPr>
                <w:color w:val="000000" w:themeColor="text1"/>
                <w:w w:val="105"/>
              </w:rPr>
              <w:t>the</w:t>
            </w:r>
            <w:r w:rsidRPr="00B40A77">
              <w:rPr>
                <w:color w:val="000000" w:themeColor="text1"/>
                <w:spacing w:val="-1"/>
                <w:w w:val="102"/>
              </w:rPr>
              <w:t xml:space="preserve"> </w:t>
            </w:r>
            <w:r w:rsidRPr="00B40A77">
              <w:rPr>
                <w:color w:val="000000" w:themeColor="text1"/>
                <w:w w:val="105"/>
              </w:rPr>
              <w:t>Court at the time of, or</w:t>
            </w:r>
            <w:r w:rsidRPr="00B40A77">
              <w:rPr>
                <w:color w:val="000000" w:themeColor="text1"/>
                <w:spacing w:val="-36"/>
                <w:w w:val="105"/>
              </w:rPr>
              <w:t xml:space="preserve"> </w:t>
            </w:r>
            <w:r w:rsidRPr="00B40A77">
              <w:rPr>
                <w:color w:val="000000" w:themeColor="text1"/>
                <w:w w:val="105"/>
              </w:rPr>
              <w:t>before,</w:t>
            </w:r>
            <w:r w:rsidRPr="00B40A77">
              <w:rPr>
                <w:color w:val="000000" w:themeColor="text1"/>
                <w:w w:val="102"/>
              </w:rPr>
              <w:t xml:space="preserve"> </w:t>
            </w:r>
            <w:r w:rsidRPr="00B40A77">
              <w:rPr>
                <w:color w:val="000000" w:themeColor="text1"/>
                <w:w w:val="105"/>
              </w:rPr>
              <w:t>judgment.</w:t>
            </w:r>
          </w:p>
        </w:tc>
      </w:tr>
      <w:tr w:rsidR="00B40A77" w:rsidRPr="00B40A77" w14:paraId="2E80CE8B" w14:textId="77777777" w:rsidTr="00113A70">
        <w:trPr>
          <w:trHeight w:hRule="exact" w:val="568"/>
        </w:trPr>
        <w:tc>
          <w:tcPr>
            <w:tcW w:w="850" w:type="dxa"/>
            <w:tcBorders>
              <w:top w:val="single" w:sz="4" w:space="0" w:color="000000"/>
              <w:left w:val="single" w:sz="4" w:space="0" w:color="000000"/>
              <w:bottom w:val="single" w:sz="4" w:space="0" w:color="000000"/>
              <w:right w:val="single" w:sz="4" w:space="0" w:color="auto"/>
            </w:tcBorders>
          </w:tcPr>
          <w:p w14:paraId="3C529273" w14:textId="77777777" w:rsidR="00BB7238" w:rsidRPr="00B40A77" w:rsidRDefault="00BB7238" w:rsidP="00B85DCA">
            <w:pPr>
              <w:kinsoku w:val="0"/>
              <w:overflowPunct w:val="0"/>
              <w:autoSpaceDE w:val="0"/>
              <w:autoSpaceDN w:val="0"/>
              <w:adjustRightInd w:val="0"/>
              <w:spacing w:before="118" w:line="244" w:lineRule="auto"/>
              <w:ind w:left="97" w:right="138" w:firstLine="20"/>
              <w:rPr>
                <w:rFonts w:cs="Times New Roman"/>
                <w:b/>
                <w:bCs/>
                <w:color w:val="000000" w:themeColor="text1"/>
                <w:w w:val="105"/>
              </w:rPr>
            </w:pPr>
          </w:p>
        </w:tc>
        <w:tc>
          <w:tcPr>
            <w:tcW w:w="8222" w:type="dxa"/>
            <w:gridSpan w:val="2"/>
            <w:tcBorders>
              <w:top w:val="single" w:sz="4" w:space="0" w:color="000000"/>
              <w:left w:val="single" w:sz="4" w:space="0" w:color="000000"/>
              <w:bottom w:val="single" w:sz="4" w:space="0" w:color="000000"/>
              <w:right w:val="single" w:sz="4" w:space="0" w:color="auto"/>
            </w:tcBorders>
          </w:tcPr>
          <w:p w14:paraId="46C92AEE" w14:textId="77777777" w:rsidR="00BB7238" w:rsidRPr="00B40A77" w:rsidRDefault="00BB7238" w:rsidP="00B85DCA">
            <w:pPr>
              <w:kinsoku w:val="0"/>
              <w:overflowPunct w:val="0"/>
              <w:autoSpaceDE w:val="0"/>
              <w:autoSpaceDN w:val="0"/>
              <w:adjustRightInd w:val="0"/>
              <w:spacing w:before="118" w:line="244" w:lineRule="auto"/>
              <w:ind w:left="97" w:right="138" w:firstLine="20"/>
              <w:rPr>
                <w:rFonts w:cs="Times New Roman"/>
                <w:color w:val="000000" w:themeColor="text1"/>
                <w:w w:val="105"/>
              </w:rPr>
            </w:pPr>
            <w:r w:rsidRPr="00B40A77">
              <w:rPr>
                <w:rFonts w:cs="Times New Roman"/>
                <w:b/>
                <w:bCs/>
                <w:color w:val="000000" w:themeColor="text1"/>
                <w:w w:val="105"/>
              </w:rPr>
              <w:t>Disbursements</w:t>
            </w:r>
          </w:p>
        </w:tc>
      </w:tr>
      <w:tr w:rsidR="00B40A77" w:rsidRPr="00B40A77" w14:paraId="687BB926" w14:textId="77777777" w:rsidTr="00113A70">
        <w:trPr>
          <w:trHeight w:hRule="exact" w:val="516"/>
        </w:trPr>
        <w:tc>
          <w:tcPr>
            <w:tcW w:w="850" w:type="dxa"/>
            <w:tcBorders>
              <w:top w:val="single" w:sz="4" w:space="0" w:color="000000"/>
              <w:left w:val="single" w:sz="4" w:space="0" w:color="000000"/>
              <w:bottom w:val="single" w:sz="4" w:space="0" w:color="000000"/>
              <w:right w:val="single" w:sz="4" w:space="0" w:color="000000"/>
            </w:tcBorders>
          </w:tcPr>
          <w:p w14:paraId="1E807B6C"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w w:val="105"/>
              </w:rPr>
            </w:pPr>
            <w:r w:rsidRPr="00B40A77">
              <w:rPr>
                <w:rFonts w:cs="Times New Roman"/>
                <w:color w:val="000000" w:themeColor="text1"/>
                <w:w w:val="105"/>
              </w:rPr>
              <w:t>6</w:t>
            </w:r>
          </w:p>
        </w:tc>
        <w:tc>
          <w:tcPr>
            <w:tcW w:w="3969" w:type="dxa"/>
            <w:tcBorders>
              <w:top w:val="single" w:sz="4" w:space="0" w:color="000000"/>
              <w:left w:val="single" w:sz="4" w:space="0" w:color="000000"/>
              <w:bottom w:val="single" w:sz="4" w:space="0" w:color="000000"/>
              <w:right w:val="single" w:sz="4" w:space="0" w:color="000000"/>
            </w:tcBorders>
            <w:hideMark/>
          </w:tcPr>
          <w:p w14:paraId="420B984E"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Photocopying</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51DEB968" w14:textId="77777777" w:rsidR="00BB7238" w:rsidRPr="00B40A77" w:rsidRDefault="00BB7238" w:rsidP="00B85DCA">
            <w:pPr>
              <w:kinsoku w:val="0"/>
              <w:overflowPunct w:val="0"/>
              <w:autoSpaceDE w:val="0"/>
              <w:autoSpaceDN w:val="0"/>
              <w:adjustRightInd w:val="0"/>
              <w:spacing w:before="118" w:line="256" w:lineRule="auto"/>
              <w:ind w:left="118"/>
              <w:rPr>
                <w:rFonts w:cs="Times New Roman"/>
                <w:color w:val="000000" w:themeColor="text1"/>
              </w:rPr>
            </w:pPr>
            <w:r w:rsidRPr="00B40A77">
              <w:rPr>
                <w:rFonts w:cs="Times New Roman"/>
                <w:color w:val="000000" w:themeColor="text1"/>
                <w:w w:val="105"/>
              </w:rPr>
              <w:t>68 cents per</w:t>
            </w:r>
            <w:r w:rsidRPr="00B40A77">
              <w:rPr>
                <w:rFonts w:cs="Times New Roman"/>
                <w:color w:val="000000" w:themeColor="text1"/>
                <w:spacing w:val="-7"/>
                <w:w w:val="105"/>
              </w:rPr>
              <w:t xml:space="preserve"> </w:t>
            </w:r>
            <w:r w:rsidRPr="00B40A77">
              <w:rPr>
                <w:rFonts w:cs="Times New Roman"/>
                <w:color w:val="000000" w:themeColor="text1"/>
                <w:w w:val="105"/>
              </w:rPr>
              <w:t>page</w:t>
            </w:r>
          </w:p>
        </w:tc>
      </w:tr>
      <w:tr w:rsidR="00B40A77" w:rsidRPr="00B40A77" w14:paraId="100B107C" w14:textId="77777777" w:rsidTr="00113A70">
        <w:trPr>
          <w:trHeight w:hRule="exact" w:val="518"/>
        </w:trPr>
        <w:tc>
          <w:tcPr>
            <w:tcW w:w="850" w:type="dxa"/>
            <w:tcBorders>
              <w:top w:val="single" w:sz="4" w:space="0" w:color="000000"/>
              <w:left w:val="single" w:sz="4" w:space="0" w:color="000000"/>
              <w:bottom w:val="single" w:sz="4" w:space="0" w:color="000000"/>
              <w:right w:val="single" w:sz="4" w:space="0" w:color="000000"/>
            </w:tcBorders>
          </w:tcPr>
          <w:p w14:paraId="6D7AD5FF" w14:textId="77777777" w:rsidR="00BB7238" w:rsidRPr="00B40A77" w:rsidRDefault="00BB7238" w:rsidP="00B85DCA">
            <w:pPr>
              <w:kinsoku w:val="0"/>
              <w:overflowPunct w:val="0"/>
              <w:autoSpaceDE w:val="0"/>
              <w:autoSpaceDN w:val="0"/>
              <w:adjustRightInd w:val="0"/>
              <w:spacing w:line="256" w:lineRule="auto"/>
              <w:ind w:left="117"/>
              <w:rPr>
                <w:rFonts w:cs="Times New Roman"/>
                <w:color w:val="000000" w:themeColor="text1"/>
                <w:w w:val="105"/>
              </w:rPr>
            </w:pPr>
            <w:r w:rsidRPr="00B40A77">
              <w:rPr>
                <w:rFonts w:cs="Times New Roman"/>
                <w:color w:val="000000" w:themeColor="text1"/>
                <w:w w:val="105"/>
              </w:rPr>
              <w:t>7</w:t>
            </w:r>
          </w:p>
        </w:tc>
        <w:tc>
          <w:tcPr>
            <w:tcW w:w="3969" w:type="dxa"/>
            <w:tcBorders>
              <w:top w:val="single" w:sz="4" w:space="0" w:color="000000"/>
              <w:left w:val="single" w:sz="4" w:space="0" w:color="000000"/>
              <w:bottom w:val="single" w:sz="4" w:space="0" w:color="000000"/>
              <w:right w:val="single" w:sz="4" w:space="0" w:color="000000"/>
            </w:tcBorders>
            <w:hideMark/>
          </w:tcPr>
          <w:p w14:paraId="1C7086C2" w14:textId="77777777" w:rsidR="00BB7238" w:rsidRPr="00B40A77" w:rsidRDefault="00BB7238" w:rsidP="00B85DCA">
            <w:pPr>
              <w:kinsoku w:val="0"/>
              <w:overflowPunct w:val="0"/>
              <w:autoSpaceDE w:val="0"/>
              <w:autoSpaceDN w:val="0"/>
              <w:adjustRightInd w:val="0"/>
              <w:spacing w:line="256" w:lineRule="auto"/>
              <w:ind w:left="117"/>
              <w:rPr>
                <w:rFonts w:cs="Times New Roman"/>
                <w:color w:val="000000" w:themeColor="text1"/>
              </w:rPr>
            </w:pPr>
            <w:r w:rsidRPr="00B40A77">
              <w:rPr>
                <w:rFonts w:cs="Times New Roman"/>
                <w:color w:val="000000" w:themeColor="text1"/>
                <w:w w:val="105"/>
              </w:rPr>
              <w:t>ISD</w:t>
            </w:r>
            <w:r w:rsidRPr="00B40A77">
              <w:rPr>
                <w:rFonts w:cs="Times New Roman"/>
                <w:color w:val="000000" w:themeColor="text1"/>
                <w:spacing w:val="-2"/>
                <w:w w:val="105"/>
              </w:rPr>
              <w:t xml:space="preserve"> </w:t>
            </w:r>
            <w:r w:rsidRPr="00B40A77">
              <w:rPr>
                <w:rFonts w:cs="Times New Roman"/>
                <w:color w:val="000000" w:themeColor="text1"/>
                <w:w w:val="105"/>
              </w:rPr>
              <w:t>calls</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3EE8257" w14:textId="77777777" w:rsidR="00BB7238" w:rsidRPr="00B40A77" w:rsidRDefault="00BB7238" w:rsidP="00B85DCA">
            <w:pPr>
              <w:kinsoku w:val="0"/>
              <w:overflowPunct w:val="0"/>
              <w:autoSpaceDE w:val="0"/>
              <w:autoSpaceDN w:val="0"/>
              <w:adjustRightInd w:val="0"/>
              <w:spacing w:line="256" w:lineRule="auto"/>
              <w:ind w:left="116"/>
              <w:rPr>
                <w:rFonts w:cs="Times New Roman"/>
                <w:color w:val="000000" w:themeColor="text1"/>
              </w:rPr>
            </w:pPr>
            <w:r w:rsidRPr="00B40A77">
              <w:rPr>
                <w:rFonts w:cs="Times New Roman"/>
                <w:color w:val="000000" w:themeColor="text1"/>
                <w:w w:val="105"/>
              </w:rPr>
              <w:t>The actual</w:t>
            </w:r>
            <w:r w:rsidRPr="00B40A77">
              <w:rPr>
                <w:rFonts w:cs="Times New Roman"/>
                <w:color w:val="000000" w:themeColor="text1"/>
                <w:spacing w:val="-6"/>
                <w:w w:val="105"/>
              </w:rPr>
              <w:t xml:space="preserve"> </w:t>
            </w:r>
            <w:r w:rsidRPr="00B40A77">
              <w:rPr>
                <w:rFonts w:cs="Times New Roman"/>
                <w:color w:val="000000" w:themeColor="text1"/>
                <w:w w:val="105"/>
              </w:rPr>
              <w:t>cost.</w:t>
            </w:r>
          </w:p>
        </w:tc>
      </w:tr>
      <w:tr w:rsidR="00B40A77" w:rsidRPr="00B40A77" w14:paraId="4ECEABEE" w14:textId="77777777" w:rsidTr="00113A70">
        <w:trPr>
          <w:trHeight w:hRule="exact" w:val="765"/>
        </w:trPr>
        <w:tc>
          <w:tcPr>
            <w:tcW w:w="850" w:type="dxa"/>
            <w:tcBorders>
              <w:top w:val="single" w:sz="4" w:space="0" w:color="000000"/>
              <w:left w:val="single" w:sz="4" w:space="0" w:color="000000"/>
              <w:bottom w:val="single" w:sz="4" w:space="0" w:color="000000"/>
              <w:right w:val="single" w:sz="4" w:space="0" w:color="000000"/>
            </w:tcBorders>
          </w:tcPr>
          <w:p w14:paraId="13842676"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w w:val="105"/>
              </w:rPr>
            </w:pPr>
            <w:r w:rsidRPr="00B40A77">
              <w:rPr>
                <w:rFonts w:cs="Times New Roman"/>
                <w:color w:val="000000" w:themeColor="text1"/>
                <w:w w:val="105"/>
              </w:rPr>
              <w:t>8</w:t>
            </w:r>
          </w:p>
        </w:tc>
        <w:tc>
          <w:tcPr>
            <w:tcW w:w="3969" w:type="dxa"/>
            <w:tcBorders>
              <w:top w:val="single" w:sz="4" w:space="0" w:color="000000"/>
              <w:left w:val="single" w:sz="4" w:space="0" w:color="000000"/>
              <w:bottom w:val="single" w:sz="4" w:space="0" w:color="000000"/>
              <w:right w:val="single" w:sz="4" w:space="0" w:color="000000"/>
            </w:tcBorders>
            <w:hideMark/>
          </w:tcPr>
          <w:p w14:paraId="4FC4464C"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Expert</w:t>
            </w:r>
            <w:r w:rsidRPr="00B40A77">
              <w:rPr>
                <w:rFonts w:cs="Times New Roman"/>
                <w:color w:val="000000" w:themeColor="text1"/>
                <w:spacing w:val="-3"/>
                <w:w w:val="105"/>
              </w:rPr>
              <w:t xml:space="preserve"> </w:t>
            </w:r>
            <w:r w:rsidRPr="00B40A77">
              <w:rPr>
                <w:rFonts w:cs="Times New Roman"/>
                <w:color w:val="000000" w:themeColor="text1"/>
                <w:w w:val="105"/>
              </w:rPr>
              <w:t>Reports</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7C9ABC0" w14:textId="77777777" w:rsidR="00BB7238" w:rsidRPr="00B40A77" w:rsidRDefault="00BB7238" w:rsidP="00B85DCA">
            <w:pPr>
              <w:kinsoku w:val="0"/>
              <w:overflowPunct w:val="0"/>
              <w:autoSpaceDE w:val="0"/>
              <w:autoSpaceDN w:val="0"/>
              <w:adjustRightInd w:val="0"/>
              <w:spacing w:before="118" w:line="244" w:lineRule="auto"/>
              <w:ind w:left="97" w:right="763" w:firstLine="21"/>
              <w:rPr>
                <w:rFonts w:cs="Times New Roman"/>
                <w:color w:val="000000" w:themeColor="text1"/>
              </w:rPr>
            </w:pPr>
            <w:r w:rsidRPr="00B40A77">
              <w:rPr>
                <w:rFonts w:cs="Times New Roman"/>
                <w:color w:val="000000" w:themeColor="text1"/>
                <w:w w:val="105"/>
              </w:rPr>
              <w:t>$1,050</w:t>
            </w:r>
            <w:r w:rsidRPr="00B40A77">
              <w:rPr>
                <w:rFonts w:cs="Times New Roman"/>
                <w:color w:val="000000" w:themeColor="text1"/>
                <w:spacing w:val="-17"/>
                <w:w w:val="105"/>
              </w:rPr>
              <w:t xml:space="preserve"> </w:t>
            </w:r>
            <w:r w:rsidRPr="00B40A77">
              <w:rPr>
                <w:rFonts w:cs="Times New Roman"/>
                <w:color w:val="000000" w:themeColor="text1"/>
                <w:w w:val="105"/>
              </w:rPr>
              <w:t>or</w:t>
            </w:r>
            <w:r w:rsidRPr="00B40A77">
              <w:rPr>
                <w:rFonts w:cs="Times New Roman"/>
                <w:color w:val="000000" w:themeColor="text1"/>
                <w:spacing w:val="-17"/>
                <w:w w:val="105"/>
              </w:rPr>
              <w:t xml:space="preserve"> </w:t>
            </w:r>
            <w:r w:rsidRPr="00B40A77">
              <w:rPr>
                <w:rFonts w:cs="Times New Roman"/>
                <w:color w:val="000000" w:themeColor="text1"/>
                <w:w w:val="105"/>
              </w:rPr>
              <w:t>such</w:t>
            </w:r>
            <w:r w:rsidRPr="00B40A77">
              <w:rPr>
                <w:rFonts w:cs="Times New Roman"/>
                <w:color w:val="000000" w:themeColor="text1"/>
                <w:spacing w:val="-17"/>
                <w:w w:val="105"/>
              </w:rPr>
              <w:t xml:space="preserve"> </w:t>
            </w:r>
            <w:r w:rsidRPr="00B40A77">
              <w:rPr>
                <w:rFonts w:cs="Times New Roman"/>
                <w:color w:val="000000" w:themeColor="text1"/>
                <w:w w:val="105"/>
              </w:rPr>
              <w:t>other</w:t>
            </w:r>
            <w:r w:rsidRPr="00B40A77">
              <w:rPr>
                <w:rFonts w:cs="Times New Roman"/>
                <w:color w:val="000000" w:themeColor="text1"/>
                <w:spacing w:val="-17"/>
                <w:w w:val="105"/>
              </w:rPr>
              <w:t xml:space="preserve"> </w:t>
            </w:r>
            <w:r w:rsidRPr="00B40A77">
              <w:rPr>
                <w:rFonts w:cs="Times New Roman"/>
                <w:color w:val="000000" w:themeColor="text1"/>
                <w:w w:val="105"/>
              </w:rPr>
              <w:t>amount</w:t>
            </w:r>
            <w:r w:rsidRPr="00B40A77">
              <w:rPr>
                <w:rFonts w:cs="Times New Roman"/>
                <w:color w:val="000000" w:themeColor="text1"/>
                <w:spacing w:val="-1"/>
                <w:w w:val="102"/>
              </w:rPr>
              <w:t xml:space="preserve"> </w:t>
            </w:r>
            <w:r w:rsidRPr="00B40A77">
              <w:rPr>
                <w:rFonts w:cs="Times New Roman"/>
                <w:color w:val="000000" w:themeColor="text1"/>
                <w:w w:val="105"/>
              </w:rPr>
              <w:t>ordered by the</w:t>
            </w:r>
            <w:r w:rsidRPr="00B40A77">
              <w:rPr>
                <w:rFonts w:cs="Times New Roman"/>
                <w:color w:val="000000" w:themeColor="text1"/>
                <w:spacing w:val="-18"/>
                <w:w w:val="105"/>
              </w:rPr>
              <w:t xml:space="preserve"> </w:t>
            </w:r>
            <w:r w:rsidRPr="00B40A77">
              <w:rPr>
                <w:rFonts w:cs="Times New Roman"/>
                <w:color w:val="000000" w:themeColor="text1"/>
                <w:w w:val="105"/>
              </w:rPr>
              <w:t>Court</w:t>
            </w:r>
          </w:p>
        </w:tc>
      </w:tr>
      <w:tr w:rsidR="00B40A77" w:rsidRPr="00B40A77" w14:paraId="79BB2E18" w14:textId="77777777" w:rsidTr="00113A70">
        <w:trPr>
          <w:trHeight w:hRule="exact" w:val="2538"/>
        </w:trPr>
        <w:tc>
          <w:tcPr>
            <w:tcW w:w="850" w:type="dxa"/>
            <w:tcBorders>
              <w:top w:val="single" w:sz="4" w:space="0" w:color="000000"/>
              <w:left w:val="single" w:sz="4" w:space="0" w:color="000000"/>
              <w:bottom w:val="single" w:sz="4" w:space="0" w:color="000000"/>
              <w:right w:val="single" w:sz="4" w:space="0" w:color="000000"/>
            </w:tcBorders>
          </w:tcPr>
          <w:p w14:paraId="69A6B8BA"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w w:val="105"/>
              </w:rPr>
            </w:pPr>
            <w:r w:rsidRPr="00B40A77">
              <w:rPr>
                <w:rFonts w:cs="Times New Roman"/>
                <w:color w:val="000000" w:themeColor="text1"/>
                <w:w w:val="105"/>
              </w:rPr>
              <w:t>9</w:t>
            </w:r>
          </w:p>
        </w:tc>
        <w:tc>
          <w:tcPr>
            <w:tcW w:w="3969" w:type="dxa"/>
            <w:tcBorders>
              <w:top w:val="single" w:sz="4" w:space="0" w:color="000000"/>
              <w:left w:val="single" w:sz="4" w:space="0" w:color="000000"/>
              <w:bottom w:val="single" w:sz="4" w:space="0" w:color="000000"/>
              <w:right w:val="single" w:sz="4" w:space="0" w:color="000000"/>
            </w:tcBorders>
            <w:hideMark/>
          </w:tcPr>
          <w:p w14:paraId="3C09ADA8" w14:textId="77777777" w:rsidR="00BB7238" w:rsidRPr="00B40A77" w:rsidRDefault="00BB7238" w:rsidP="00B85DCA">
            <w:pPr>
              <w:kinsoku w:val="0"/>
              <w:overflowPunct w:val="0"/>
              <w:autoSpaceDE w:val="0"/>
              <w:autoSpaceDN w:val="0"/>
              <w:adjustRightInd w:val="0"/>
              <w:spacing w:before="118" w:line="256" w:lineRule="auto"/>
              <w:ind w:left="117"/>
              <w:rPr>
                <w:rFonts w:cs="Times New Roman"/>
                <w:color w:val="000000" w:themeColor="text1"/>
              </w:rPr>
            </w:pPr>
            <w:r w:rsidRPr="00B40A77">
              <w:rPr>
                <w:rFonts w:cs="Times New Roman"/>
                <w:color w:val="000000" w:themeColor="text1"/>
                <w:w w:val="105"/>
              </w:rPr>
              <w:t>Other</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5A57EA0F" w14:textId="77777777" w:rsidR="00BB7238" w:rsidRPr="00B40A77" w:rsidRDefault="00BB7238" w:rsidP="00B85DCA">
            <w:pPr>
              <w:kinsoku w:val="0"/>
              <w:overflowPunct w:val="0"/>
              <w:autoSpaceDE w:val="0"/>
              <w:autoSpaceDN w:val="0"/>
              <w:adjustRightInd w:val="0"/>
              <w:spacing w:before="118" w:line="244" w:lineRule="auto"/>
              <w:ind w:left="97" w:right="168" w:firstLine="20"/>
              <w:rPr>
                <w:rFonts w:cs="Times New Roman"/>
                <w:color w:val="000000" w:themeColor="text1"/>
              </w:rPr>
            </w:pPr>
            <w:r w:rsidRPr="00B40A77">
              <w:rPr>
                <w:rFonts w:cs="Times New Roman"/>
                <w:color w:val="000000" w:themeColor="text1"/>
                <w:w w:val="105"/>
              </w:rPr>
              <w:t>All</w:t>
            </w:r>
            <w:r w:rsidRPr="00B40A77">
              <w:rPr>
                <w:rFonts w:cs="Times New Roman"/>
                <w:color w:val="000000" w:themeColor="text1"/>
                <w:spacing w:val="-11"/>
                <w:w w:val="105"/>
              </w:rPr>
              <w:t xml:space="preserve"> </w:t>
            </w:r>
            <w:r w:rsidRPr="00B40A77">
              <w:rPr>
                <w:rFonts w:cs="Times New Roman"/>
                <w:color w:val="000000" w:themeColor="text1"/>
                <w:w w:val="105"/>
              </w:rPr>
              <w:t>Court</w:t>
            </w:r>
            <w:r w:rsidRPr="00B40A77">
              <w:rPr>
                <w:rFonts w:cs="Times New Roman"/>
                <w:color w:val="000000" w:themeColor="text1"/>
                <w:spacing w:val="-11"/>
                <w:w w:val="105"/>
              </w:rPr>
              <w:t xml:space="preserve"> </w:t>
            </w:r>
            <w:r w:rsidRPr="00B40A77">
              <w:rPr>
                <w:rFonts w:cs="Times New Roman"/>
                <w:color w:val="000000" w:themeColor="text1"/>
                <w:w w:val="105"/>
              </w:rPr>
              <w:t>fees,</w:t>
            </w:r>
            <w:r w:rsidRPr="00B40A77">
              <w:rPr>
                <w:rFonts w:cs="Times New Roman"/>
                <w:color w:val="000000" w:themeColor="text1"/>
                <w:spacing w:val="-11"/>
                <w:w w:val="105"/>
              </w:rPr>
              <w:t xml:space="preserve"> </w:t>
            </w:r>
            <w:r w:rsidRPr="00B40A77">
              <w:rPr>
                <w:rFonts w:cs="Times New Roman"/>
                <w:color w:val="000000" w:themeColor="text1"/>
                <w:w w:val="105"/>
              </w:rPr>
              <w:t>search</w:t>
            </w:r>
            <w:r w:rsidRPr="00B40A77">
              <w:rPr>
                <w:rFonts w:cs="Times New Roman"/>
                <w:color w:val="000000" w:themeColor="text1"/>
                <w:spacing w:val="-11"/>
                <w:w w:val="105"/>
              </w:rPr>
              <w:t xml:space="preserve"> </w:t>
            </w:r>
            <w:r w:rsidRPr="00B40A77">
              <w:rPr>
                <w:rFonts w:cs="Times New Roman"/>
                <w:color w:val="000000" w:themeColor="text1"/>
                <w:w w:val="105"/>
              </w:rPr>
              <w:t>fees,</w:t>
            </w:r>
            <w:r w:rsidRPr="00B40A77">
              <w:rPr>
                <w:rFonts w:cs="Times New Roman"/>
                <w:color w:val="000000" w:themeColor="text1"/>
                <w:spacing w:val="-11"/>
                <w:w w:val="105"/>
              </w:rPr>
              <w:t xml:space="preserve"> </w:t>
            </w:r>
            <w:r w:rsidRPr="00B40A77">
              <w:rPr>
                <w:rFonts w:cs="Times New Roman"/>
                <w:color w:val="000000" w:themeColor="text1"/>
                <w:w w:val="105"/>
              </w:rPr>
              <w:t>and</w:t>
            </w:r>
            <w:r w:rsidRPr="00B40A77">
              <w:rPr>
                <w:rFonts w:cs="Times New Roman"/>
                <w:color w:val="000000" w:themeColor="text1"/>
                <w:spacing w:val="-1"/>
                <w:w w:val="102"/>
              </w:rPr>
              <w:t xml:space="preserve"> </w:t>
            </w:r>
            <w:r w:rsidRPr="00B40A77">
              <w:rPr>
                <w:rFonts w:cs="Times New Roman"/>
                <w:color w:val="000000" w:themeColor="text1"/>
                <w:w w:val="105"/>
              </w:rPr>
              <w:t>other fees and payments to</w:t>
            </w:r>
            <w:r w:rsidRPr="00B40A77">
              <w:rPr>
                <w:rFonts w:cs="Times New Roman"/>
                <w:color w:val="000000" w:themeColor="text1"/>
                <w:spacing w:val="-42"/>
                <w:w w:val="105"/>
              </w:rPr>
              <w:t xml:space="preserve"> </w:t>
            </w:r>
            <w:r w:rsidRPr="00B40A77">
              <w:rPr>
                <w:rFonts w:cs="Times New Roman"/>
                <w:color w:val="000000" w:themeColor="text1"/>
                <w:w w:val="105"/>
              </w:rPr>
              <w:t>the</w:t>
            </w:r>
            <w:r w:rsidRPr="00B40A77">
              <w:rPr>
                <w:rFonts w:cs="Times New Roman"/>
                <w:color w:val="000000" w:themeColor="text1"/>
                <w:spacing w:val="-1"/>
                <w:w w:val="102"/>
              </w:rPr>
              <w:t xml:space="preserve"> </w:t>
            </w:r>
            <w:r w:rsidRPr="00B40A77">
              <w:rPr>
                <w:rFonts w:cs="Times New Roman"/>
                <w:color w:val="000000" w:themeColor="text1"/>
                <w:w w:val="105"/>
              </w:rPr>
              <w:t>extent</w:t>
            </w:r>
            <w:r w:rsidRPr="00B40A77">
              <w:rPr>
                <w:rFonts w:cs="Times New Roman"/>
                <w:color w:val="000000" w:themeColor="text1"/>
                <w:spacing w:val="-11"/>
                <w:w w:val="105"/>
              </w:rPr>
              <w:t xml:space="preserve"> </w:t>
            </w:r>
            <w:r w:rsidRPr="00B40A77">
              <w:rPr>
                <w:rFonts w:cs="Times New Roman"/>
                <w:color w:val="000000" w:themeColor="text1"/>
                <w:w w:val="105"/>
              </w:rPr>
              <w:t>to</w:t>
            </w:r>
            <w:r w:rsidRPr="00B40A77">
              <w:rPr>
                <w:rFonts w:cs="Times New Roman"/>
                <w:color w:val="000000" w:themeColor="text1"/>
                <w:spacing w:val="-11"/>
                <w:w w:val="105"/>
              </w:rPr>
              <w:t xml:space="preserve"> </w:t>
            </w:r>
            <w:r w:rsidRPr="00B40A77">
              <w:rPr>
                <w:rFonts w:cs="Times New Roman"/>
                <w:color w:val="000000" w:themeColor="text1"/>
                <w:w w:val="105"/>
              </w:rPr>
              <w:t>which</w:t>
            </w:r>
            <w:r w:rsidRPr="00B40A77">
              <w:rPr>
                <w:rFonts w:cs="Times New Roman"/>
                <w:color w:val="000000" w:themeColor="text1"/>
                <w:spacing w:val="-9"/>
                <w:w w:val="105"/>
              </w:rPr>
              <w:t xml:space="preserve"> </w:t>
            </w:r>
            <w:r w:rsidRPr="00B40A77">
              <w:rPr>
                <w:rFonts w:cs="Times New Roman"/>
                <w:color w:val="000000" w:themeColor="text1"/>
                <w:w w:val="105"/>
              </w:rPr>
              <w:t>they</w:t>
            </w:r>
            <w:r w:rsidRPr="00B40A77">
              <w:rPr>
                <w:rFonts w:cs="Times New Roman"/>
                <w:color w:val="000000" w:themeColor="text1"/>
                <w:spacing w:val="-8"/>
                <w:w w:val="105"/>
              </w:rPr>
              <w:t xml:space="preserve"> </w:t>
            </w:r>
            <w:r w:rsidRPr="00B40A77">
              <w:rPr>
                <w:rFonts w:cs="Times New Roman"/>
                <w:color w:val="000000" w:themeColor="text1"/>
                <w:w w:val="105"/>
              </w:rPr>
              <w:t>have</w:t>
            </w:r>
            <w:r w:rsidRPr="00B40A77">
              <w:rPr>
                <w:rFonts w:cs="Times New Roman"/>
                <w:color w:val="000000" w:themeColor="text1"/>
                <w:spacing w:val="-11"/>
                <w:w w:val="105"/>
              </w:rPr>
              <w:t xml:space="preserve"> </w:t>
            </w:r>
            <w:r w:rsidRPr="00B40A77">
              <w:rPr>
                <w:rFonts w:cs="Times New Roman"/>
                <w:color w:val="000000" w:themeColor="text1"/>
                <w:w w:val="105"/>
              </w:rPr>
              <w:t>been</w:t>
            </w:r>
            <w:r w:rsidRPr="00B40A77">
              <w:rPr>
                <w:rFonts w:cs="Times New Roman"/>
                <w:color w:val="000000" w:themeColor="text1"/>
                <w:spacing w:val="-1"/>
                <w:w w:val="102"/>
              </w:rPr>
              <w:t xml:space="preserve"> </w:t>
            </w:r>
            <w:r w:rsidRPr="00B40A77">
              <w:rPr>
                <w:rFonts w:cs="Times New Roman"/>
                <w:color w:val="000000" w:themeColor="text1"/>
                <w:w w:val="105"/>
              </w:rPr>
              <w:t>properly</w:t>
            </w:r>
            <w:r w:rsidRPr="00B40A77">
              <w:rPr>
                <w:rFonts w:cs="Times New Roman"/>
                <w:color w:val="000000" w:themeColor="text1"/>
                <w:spacing w:val="-22"/>
                <w:w w:val="105"/>
              </w:rPr>
              <w:t xml:space="preserve"> </w:t>
            </w:r>
            <w:r w:rsidRPr="00B40A77">
              <w:rPr>
                <w:rFonts w:cs="Times New Roman"/>
                <w:color w:val="000000" w:themeColor="text1"/>
                <w:w w:val="105"/>
              </w:rPr>
              <w:t>and</w:t>
            </w:r>
            <w:r w:rsidRPr="00B40A77">
              <w:rPr>
                <w:rFonts w:cs="Times New Roman"/>
                <w:color w:val="000000" w:themeColor="text1"/>
                <w:spacing w:val="-23"/>
                <w:w w:val="105"/>
              </w:rPr>
              <w:t xml:space="preserve"> </w:t>
            </w:r>
            <w:r w:rsidRPr="00B40A77">
              <w:rPr>
                <w:rFonts w:cs="Times New Roman"/>
                <w:color w:val="000000" w:themeColor="text1"/>
                <w:w w:val="105"/>
              </w:rPr>
              <w:t>reasonably</w:t>
            </w:r>
            <w:r w:rsidRPr="00B40A77">
              <w:rPr>
                <w:rFonts w:cs="Times New Roman"/>
                <w:color w:val="000000" w:themeColor="text1"/>
                <w:spacing w:val="-22"/>
                <w:w w:val="105"/>
              </w:rPr>
              <w:t xml:space="preserve"> </w:t>
            </w:r>
            <w:r w:rsidRPr="00B40A77">
              <w:rPr>
                <w:rFonts w:cs="Times New Roman"/>
                <w:color w:val="000000" w:themeColor="text1"/>
                <w:w w:val="105"/>
              </w:rPr>
              <w:t>incurred</w:t>
            </w:r>
            <w:r w:rsidRPr="00B40A77">
              <w:rPr>
                <w:rFonts w:cs="Times New Roman"/>
                <w:color w:val="000000" w:themeColor="text1"/>
                <w:spacing w:val="-1"/>
                <w:w w:val="102"/>
              </w:rPr>
              <w:t xml:space="preserve"> </w:t>
            </w:r>
            <w:r w:rsidRPr="00B40A77">
              <w:rPr>
                <w:rFonts w:cs="Times New Roman"/>
                <w:color w:val="000000" w:themeColor="text1"/>
                <w:w w:val="105"/>
              </w:rPr>
              <w:t>and</w:t>
            </w:r>
            <w:r w:rsidRPr="00B40A77">
              <w:rPr>
                <w:rFonts w:cs="Times New Roman"/>
                <w:color w:val="000000" w:themeColor="text1"/>
                <w:spacing w:val="-15"/>
                <w:w w:val="105"/>
              </w:rPr>
              <w:t xml:space="preserve"> </w:t>
            </w:r>
            <w:r w:rsidRPr="00B40A77">
              <w:rPr>
                <w:rFonts w:cs="Times New Roman"/>
                <w:color w:val="000000" w:themeColor="text1"/>
                <w:w w:val="105"/>
              </w:rPr>
              <w:t>paid;</w:t>
            </w:r>
            <w:r w:rsidRPr="00B40A77">
              <w:rPr>
                <w:rFonts w:cs="Times New Roman"/>
                <w:color w:val="000000" w:themeColor="text1"/>
                <w:spacing w:val="-15"/>
                <w:w w:val="105"/>
              </w:rPr>
              <w:t xml:space="preserve"> </w:t>
            </w:r>
            <w:r w:rsidRPr="00B40A77">
              <w:rPr>
                <w:rFonts w:cs="Times New Roman"/>
                <w:color w:val="000000" w:themeColor="text1"/>
                <w:w w:val="105"/>
              </w:rPr>
              <w:t>but</w:t>
            </w:r>
            <w:r w:rsidRPr="00B40A77">
              <w:rPr>
                <w:rFonts w:cs="Times New Roman"/>
                <w:color w:val="000000" w:themeColor="text1"/>
                <w:spacing w:val="-15"/>
                <w:w w:val="105"/>
              </w:rPr>
              <w:t xml:space="preserve"> </w:t>
            </w:r>
            <w:r w:rsidRPr="00B40A77">
              <w:rPr>
                <w:rFonts w:cs="Times New Roman"/>
                <w:color w:val="000000" w:themeColor="text1"/>
                <w:w w:val="105"/>
              </w:rPr>
              <w:t>excluding</w:t>
            </w:r>
            <w:r w:rsidRPr="00B40A77">
              <w:rPr>
                <w:rFonts w:cs="Times New Roman"/>
                <w:color w:val="000000" w:themeColor="text1"/>
                <w:spacing w:val="-14"/>
                <w:w w:val="105"/>
              </w:rPr>
              <w:t xml:space="preserve"> </w:t>
            </w:r>
            <w:r w:rsidRPr="00B40A77">
              <w:rPr>
                <w:rFonts w:cs="Times New Roman"/>
                <w:color w:val="000000" w:themeColor="text1"/>
                <w:w w:val="105"/>
              </w:rPr>
              <w:t>the</w:t>
            </w:r>
            <w:r w:rsidRPr="00B40A77">
              <w:rPr>
                <w:rFonts w:cs="Times New Roman"/>
                <w:color w:val="000000" w:themeColor="text1"/>
                <w:spacing w:val="-15"/>
                <w:w w:val="105"/>
              </w:rPr>
              <w:t xml:space="preserve"> </w:t>
            </w:r>
            <w:r w:rsidRPr="00B40A77">
              <w:rPr>
                <w:rFonts w:cs="Times New Roman"/>
                <w:color w:val="000000" w:themeColor="text1"/>
                <w:w w:val="105"/>
              </w:rPr>
              <w:t>usual</w:t>
            </w:r>
            <w:r w:rsidRPr="00B40A77">
              <w:rPr>
                <w:rFonts w:cs="Times New Roman"/>
                <w:color w:val="000000" w:themeColor="text1"/>
                <w:w w:val="102"/>
              </w:rPr>
              <w:t xml:space="preserve"> </w:t>
            </w:r>
            <w:r w:rsidRPr="00B40A77">
              <w:rPr>
                <w:rFonts w:cs="Times New Roman"/>
                <w:color w:val="000000" w:themeColor="text1"/>
                <w:w w:val="105"/>
              </w:rPr>
              <w:t>and incidental expenses</w:t>
            </w:r>
            <w:r w:rsidRPr="00B40A77">
              <w:rPr>
                <w:rFonts w:cs="Times New Roman"/>
                <w:color w:val="000000" w:themeColor="text1"/>
                <w:spacing w:val="-21"/>
                <w:w w:val="105"/>
              </w:rPr>
              <w:t xml:space="preserve"> </w:t>
            </w:r>
            <w:r w:rsidRPr="00B40A77">
              <w:rPr>
                <w:rFonts w:cs="Times New Roman"/>
                <w:color w:val="000000" w:themeColor="text1"/>
                <w:w w:val="105"/>
              </w:rPr>
              <w:t>and</w:t>
            </w:r>
            <w:r w:rsidRPr="00B40A77">
              <w:rPr>
                <w:rFonts w:cs="Times New Roman"/>
                <w:color w:val="000000" w:themeColor="text1"/>
                <w:spacing w:val="-1"/>
                <w:w w:val="102"/>
              </w:rPr>
              <w:t xml:space="preserve"> </w:t>
            </w:r>
            <w:r w:rsidRPr="00B40A77">
              <w:rPr>
                <w:rFonts w:cs="Times New Roman"/>
                <w:color w:val="000000" w:themeColor="text1"/>
                <w:w w:val="105"/>
              </w:rPr>
              <w:t>overheads</w:t>
            </w:r>
            <w:r w:rsidRPr="00B40A77">
              <w:rPr>
                <w:rFonts w:cs="Times New Roman"/>
                <w:color w:val="000000" w:themeColor="text1"/>
                <w:spacing w:val="-15"/>
                <w:w w:val="105"/>
              </w:rPr>
              <w:t xml:space="preserve"> </w:t>
            </w:r>
            <w:r w:rsidRPr="00B40A77">
              <w:rPr>
                <w:rFonts w:cs="Times New Roman"/>
                <w:color w:val="000000" w:themeColor="text1"/>
                <w:w w:val="105"/>
              </w:rPr>
              <w:t>of</w:t>
            </w:r>
            <w:r w:rsidRPr="00B40A77">
              <w:rPr>
                <w:rFonts w:cs="Times New Roman"/>
                <w:color w:val="000000" w:themeColor="text1"/>
                <w:spacing w:val="-15"/>
                <w:w w:val="105"/>
              </w:rPr>
              <w:t xml:space="preserve"> </w:t>
            </w:r>
            <w:r w:rsidRPr="00B40A77">
              <w:rPr>
                <w:rFonts w:cs="Times New Roman"/>
                <w:color w:val="000000" w:themeColor="text1"/>
                <w:w w:val="105"/>
              </w:rPr>
              <w:t>a</w:t>
            </w:r>
            <w:r w:rsidRPr="00B40A77">
              <w:rPr>
                <w:rFonts w:cs="Times New Roman"/>
                <w:color w:val="000000" w:themeColor="text1"/>
                <w:spacing w:val="-15"/>
                <w:w w:val="105"/>
              </w:rPr>
              <w:t xml:space="preserve"> </w:t>
            </w:r>
            <w:r w:rsidRPr="00B40A77">
              <w:rPr>
                <w:rFonts w:cs="Times New Roman"/>
                <w:color w:val="000000" w:themeColor="text1"/>
                <w:w w:val="105"/>
              </w:rPr>
              <w:t>legal</w:t>
            </w:r>
            <w:r w:rsidRPr="00B40A77">
              <w:rPr>
                <w:rFonts w:cs="Times New Roman"/>
                <w:color w:val="000000" w:themeColor="text1"/>
                <w:spacing w:val="-15"/>
                <w:w w:val="105"/>
              </w:rPr>
              <w:t xml:space="preserve"> </w:t>
            </w:r>
            <w:r w:rsidRPr="00B40A77">
              <w:rPr>
                <w:rFonts w:cs="Times New Roman"/>
                <w:color w:val="000000" w:themeColor="text1"/>
                <w:w w:val="105"/>
              </w:rPr>
              <w:t>practice</w:t>
            </w:r>
            <w:r w:rsidRPr="00B40A77">
              <w:rPr>
                <w:rFonts w:cs="Times New Roman"/>
                <w:color w:val="000000" w:themeColor="text1"/>
                <w:spacing w:val="-15"/>
                <w:w w:val="105"/>
              </w:rPr>
              <w:t xml:space="preserve"> </w:t>
            </w:r>
            <w:r w:rsidRPr="00B40A77">
              <w:rPr>
                <w:rFonts w:cs="Times New Roman"/>
                <w:color w:val="000000" w:themeColor="text1"/>
                <w:w w:val="105"/>
              </w:rPr>
              <w:t>and</w:t>
            </w:r>
            <w:r w:rsidRPr="00B40A77">
              <w:rPr>
                <w:rFonts w:cs="Times New Roman"/>
                <w:color w:val="000000" w:themeColor="text1"/>
                <w:spacing w:val="-1"/>
                <w:w w:val="102"/>
              </w:rPr>
              <w:t xml:space="preserve"> </w:t>
            </w:r>
            <w:r w:rsidRPr="00B40A77">
              <w:rPr>
                <w:rFonts w:cs="Times New Roman"/>
                <w:color w:val="000000" w:themeColor="text1"/>
                <w:w w:val="105"/>
              </w:rPr>
              <w:t>in particular excluding</w:t>
            </w:r>
            <w:r w:rsidRPr="00B40A77">
              <w:rPr>
                <w:rFonts w:cs="Times New Roman"/>
                <w:color w:val="000000" w:themeColor="text1"/>
                <w:spacing w:val="-38"/>
                <w:w w:val="105"/>
              </w:rPr>
              <w:t xml:space="preserve"> </w:t>
            </w:r>
            <w:r w:rsidRPr="00B40A77">
              <w:rPr>
                <w:rFonts w:cs="Times New Roman"/>
                <w:color w:val="000000" w:themeColor="text1"/>
                <w:w w:val="105"/>
              </w:rPr>
              <w:t>postage,</w:t>
            </w:r>
            <w:r w:rsidRPr="00B40A77">
              <w:rPr>
                <w:rFonts w:cs="Times New Roman"/>
                <w:color w:val="000000" w:themeColor="text1"/>
                <w:spacing w:val="-1"/>
                <w:w w:val="102"/>
              </w:rPr>
              <w:t xml:space="preserve"> </w:t>
            </w:r>
            <w:r w:rsidRPr="00B40A77">
              <w:rPr>
                <w:rFonts w:cs="Times New Roman"/>
                <w:color w:val="000000" w:themeColor="text1"/>
                <w:w w:val="105"/>
              </w:rPr>
              <w:t>telephone</w:t>
            </w:r>
            <w:r w:rsidRPr="00B40A77">
              <w:rPr>
                <w:rFonts w:cs="Times New Roman"/>
                <w:color w:val="000000" w:themeColor="text1"/>
                <w:spacing w:val="-20"/>
                <w:w w:val="105"/>
              </w:rPr>
              <w:t xml:space="preserve"> </w:t>
            </w:r>
            <w:r w:rsidRPr="00B40A77">
              <w:rPr>
                <w:rFonts w:cs="Times New Roman"/>
                <w:color w:val="000000" w:themeColor="text1"/>
                <w:w w:val="105"/>
              </w:rPr>
              <w:t>charges</w:t>
            </w:r>
            <w:r w:rsidRPr="00B40A77">
              <w:rPr>
                <w:rFonts w:cs="Times New Roman"/>
                <w:color w:val="000000" w:themeColor="text1"/>
                <w:spacing w:val="-20"/>
                <w:w w:val="105"/>
              </w:rPr>
              <w:t xml:space="preserve"> </w:t>
            </w:r>
            <w:r w:rsidRPr="00B40A77">
              <w:rPr>
                <w:rFonts w:cs="Times New Roman"/>
                <w:color w:val="000000" w:themeColor="text1"/>
                <w:w w:val="105"/>
              </w:rPr>
              <w:t>(non</w:t>
            </w:r>
            <w:r w:rsidRPr="00B40A77">
              <w:rPr>
                <w:rFonts w:cs="Times New Roman"/>
                <w:color w:val="000000" w:themeColor="text1"/>
                <w:spacing w:val="-21"/>
                <w:w w:val="105"/>
              </w:rPr>
              <w:t xml:space="preserve"> </w:t>
            </w:r>
            <w:r w:rsidRPr="00B40A77">
              <w:rPr>
                <w:rFonts w:cs="Times New Roman"/>
                <w:color w:val="000000" w:themeColor="text1"/>
                <w:w w:val="105"/>
              </w:rPr>
              <w:t>STD)</w:t>
            </w:r>
            <w:r w:rsidRPr="00B40A77">
              <w:rPr>
                <w:rFonts w:cs="Times New Roman"/>
                <w:color w:val="000000" w:themeColor="text1"/>
                <w:spacing w:val="-21"/>
                <w:w w:val="105"/>
              </w:rPr>
              <w:t xml:space="preserve"> </w:t>
            </w:r>
            <w:r w:rsidRPr="00B40A77">
              <w:rPr>
                <w:rFonts w:cs="Times New Roman"/>
                <w:color w:val="000000" w:themeColor="text1"/>
                <w:w w:val="105"/>
              </w:rPr>
              <w:t>and</w:t>
            </w:r>
            <w:r w:rsidRPr="00B40A77">
              <w:rPr>
                <w:rFonts w:cs="Times New Roman"/>
                <w:color w:val="000000" w:themeColor="text1"/>
                <w:spacing w:val="-1"/>
                <w:w w:val="102"/>
              </w:rPr>
              <w:t xml:space="preserve"> </w:t>
            </w:r>
            <w:r w:rsidRPr="00B40A77">
              <w:rPr>
                <w:rFonts w:cs="Times New Roman"/>
                <w:color w:val="000000" w:themeColor="text1"/>
                <w:w w:val="105"/>
              </w:rPr>
              <w:t>courier</w:t>
            </w:r>
            <w:r w:rsidRPr="00B40A77">
              <w:rPr>
                <w:rFonts w:cs="Times New Roman"/>
                <w:color w:val="000000" w:themeColor="text1"/>
                <w:spacing w:val="-4"/>
                <w:w w:val="105"/>
              </w:rPr>
              <w:t xml:space="preserve"> </w:t>
            </w:r>
            <w:r w:rsidRPr="00B40A77">
              <w:rPr>
                <w:rFonts w:cs="Times New Roman"/>
                <w:color w:val="000000" w:themeColor="text1"/>
                <w:w w:val="105"/>
              </w:rPr>
              <w:t>expenses.</w:t>
            </w:r>
          </w:p>
        </w:tc>
      </w:tr>
      <w:bookmarkEnd w:id="1258"/>
    </w:tbl>
    <w:p w14:paraId="45D8C25F" w14:textId="27A57DEC" w:rsidR="0004508E" w:rsidRPr="00B40A77" w:rsidRDefault="0004508E" w:rsidP="00113A70">
      <w:pPr>
        <w:tabs>
          <w:tab w:val="left" w:pos="689"/>
        </w:tabs>
        <w:kinsoku w:val="0"/>
        <w:overflowPunct w:val="0"/>
        <w:autoSpaceDE w:val="0"/>
        <w:autoSpaceDN w:val="0"/>
        <w:adjustRightInd w:val="0"/>
        <w:spacing w:before="0" w:line="244" w:lineRule="auto"/>
        <w:ind w:right="152"/>
        <w:rPr>
          <w:color w:val="000000" w:themeColor="text1"/>
          <w:w w:val="105"/>
        </w:rPr>
      </w:pPr>
    </w:p>
    <w:p w14:paraId="45772156" w14:textId="40DCF169" w:rsidR="00113A70" w:rsidRPr="00B40A77" w:rsidRDefault="00113A70" w:rsidP="00113A70">
      <w:pPr>
        <w:kinsoku w:val="0"/>
        <w:overflowPunct w:val="0"/>
        <w:autoSpaceDE w:val="0"/>
        <w:autoSpaceDN w:val="0"/>
        <w:adjustRightInd w:val="0"/>
        <w:spacing w:before="69"/>
        <w:ind w:left="851"/>
        <w:rPr>
          <w:rFonts w:cs="Times New Roman"/>
          <w:color w:val="000000" w:themeColor="text1"/>
          <w:szCs w:val="23"/>
        </w:rPr>
      </w:pPr>
      <w:r w:rsidRPr="00B40A77">
        <w:rPr>
          <w:rFonts w:cs="Times New Roman"/>
          <w:color w:val="000000" w:themeColor="text1"/>
          <w:w w:val="105"/>
          <w:szCs w:val="23"/>
        </w:rPr>
        <w:lastRenderedPageBreak/>
        <w:t>Notes to Table 2:</w:t>
      </w:r>
    </w:p>
    <w:p w14:paraId="0646B298" w14:textId="77777777" w:rsidR="00113A70" w:rsidRPr="00B40A77" w:rsidRDefault="00113A70" w:rsidP="0064137F">
      <w:pPr>
        <w:numPr>
          <w:ilvl w:val="0"/>
          <w:numId w:val="22"/>
        </w:numPr>
        <w:tabs>
          <w:tab w:val="left" w:pos="689"/>
        </w:tabs>
        <w:kinsoku w:val="0"/>
        <w:overflowPunct w:val="0"/>
        <w:autoSpaceDE w:val="0"/>
        <w:autoSpaceDN w:val="0"/>
        <w:adjustRightInd w:val="0"/>
        <w:spacing w:before="0" w:after="160" w:line="244" w:lineRule="auto"/>
        <w:ind w:right="152"/>
        <w:rPr>
          <w:rFonts w:cs="Times New Roman"/>
          <w:color w:val="000000" w:themeColor="text1"/>
          <w:w w:val="105"/>
          <w:szCs w:val="23"/>
        </w:rPr>
      </w:pPr>
      <w:r w:rsidRPr="00B40A77">
        <w:rPr>
          <w:rFonts w:cs="Times New Roman"/>
          <w:color w:val="000000" w:themeColor="text1"/>
          <w:w w:val="105"/>
          <w:szCs w:val="23"/>
        </w:rPr>
        <w:t>If a witness is released before or is required to first attend after the luncheon break on any day, half a day will be allowed.</w:t>
      </w:r>
    </w:p>
    <w:p w14:paraId="613E163B" w14:textId="77777777" w:rsidR="00113A70" w:rsidRPr="00B40A77" w:rsidRDefault="00113A70" w:rsidP="0064137F">
      <w:pPr>
        <w:numPr>
          <w:ilvl w:val="0"/>
          <w:numId w:val="22"/>
        </w:numPr>
        <w:tabs>
          <w:tab w:val="left" w:pos="689"/>
        </w:tabs>
        <w:kinsoku w:val="0"/>
        <w:overflowPunct w:val="0"/>
        <w:autoSpaceDE w:val="0"/>
        <w:autoSpaceDN w:val="0"/>
        <w:adjustRightInd w:val="0"/>
        <w:spacing w:before="0" w:after="160" w:line="244" w:lineRule="auto"/>
        <w:ind w:right="152"/>
        <w:rPr>
          <w:rFonts w:cs="Times New Roman"/>
          <w:color w:val="000000" w:themeColor="text1"/>
          <w:w w:val="105"/>
          <w:szCs w:val="23"/>
        </w:rPr>
      </w:pPr>
      <w:r w:rsidRPr="00B40A77">
        <w:rPr>
          <w:rFonts w:cs="Times New Roman"/>
          <w:color w:val="000000" w:themeColor="text1"/>
          <w:w w:val="105"/>
          <w:szCs w:val="23"/>
        </w:rPr>
        <w:t>Fees for non-legally qualified people are for attendances only.</w:t>
      </w:r>
    </w:p>
    <w:p w14:paraId="25E7CB4C" w14:textId="77777777" w:rsidR="00113A70" w:rsidRPr="00B40A77" w:rsidRDefault="00113A70" w:rsidP="0064137F">
      <w:pPr>
        <w:numPr>
          <w:ilvl w:val="0"/>
          <w:numId w:val="22"/>
        </w:numPr>
        <w:tabs>
          <w:tab w:val="left" w:pos="689"/>
        </w:tabs>
        <w:kinsoku w:val="0"/>
        <w:overflowPunct w:val="0"/>
        <w:autoSpaceDE w:val="0"/>
        <w:autoSpaceDN w:val="0"/>
        <w:adjustRightInd w:val="0"/>
        <w:spacing w:before="0" w:after="160" w:line="244" w:lineRule="auto"/>
        <w:ind w:right="152"/>
        <w:rPr>
          <w:rFonts w:cs="Times New Roman"/>
          <w:color w:val="000000" w:themeColor="text1"/>
          <w:w w:val="105"/>
          <w:szCs w:val="23"/>
        </w:rPr>
      </w:pPr>
      <w:r w:rsidRPr="00B40A77">
        <w:rPr>
          <w:rFonts w:cs="Times New Roman"/>
          <w:color w:val="000000" w:themeColor="text1"/>
          <w:w w:val="105"/>
          <w:szCs w:val="23"/>
        </w:rPr>
        <w:t>This scale is for use in making orders about costs as between party and party.</w:t>
      </w:r>
    </w:p>
    <w:p w14:paraId="486EF1BC" w14:textId="77777777" w:rsidR="00113A70" w:rsidRPr="00B40A77" w:rsidRDefault="00113A70" w:rsidP="0064137F">
      <w:pPr>
        <w:numPr>
          <w:ilvl w:val="0"/>
          <w:numId w:val="22"/>
        </w:numPr>
        <w:tabs>
          <w:tab w:val="left" w:pos="689"/>
        </w:tabs>
        <w:kinsoku w:val="0"/>
        <w:overflowPunct w:val="0"/>
        <w:autoSpaceDE w:val="0"/>
        <w:autoSpaceDN w:val="0"/>
        <w:adjustRightInd w:val="0"/>
        <w:spacing w:before="0" w:after="160" w:line="244" w:lineRule="auto"/>
        <w:ind w:right="152"/>
        <w:rPr>
          <w:rFonts w:cs="Times New Roman"/>
          <w:color w:val="000000" w:themeColor="text1"/>
          <w:w w:val="105"/>
          <w:szCs w:val="23"/>
        </w:rPr>
      </w:pPr>
      <w:r w:rsidRPr="00B40A77">
        <w:rPr>
          <w:rFonts w:cs="Times New Roman"/>
          <w:color w:val="000000" w:themeColor="text1"/>
          <w:w w:val="105"/>
          <w:szCs w:val="23"/>
        </w:rPr>
        <w:t>The costs allowed in this scale do not include Goods and Services Tax (GST) which is to be added except in the following circumstances:</w:t>
      </w:r>
    </w:p>
    <w:p w14:paraId="633C8BF1" w14:textId="71C6F8E8" w:rsidR="00113A70" w:rsidRPr="00B40A77" w:rsidRDefault="00113A70" w:rsidP="0064137F">
      <w:pPr>
        <w:tabs>
          <w:tab w:val="left" w:pos="689"/>
        </w:tabs>
        <w:kinsoku w:val="0"/>
        <w:overflowPunct w:val="0"/>
        <w:autoSpaceDE w:val="0"/>
        <w:autoSpaceDN w:val="0"/>
        <w:adjustRightInd w:val="0"/>
        <w:spacing w:after="240" w:line="245" w:lineRule="auto"/>
        <w:ind w:left="1497" w:right="153"/>
        <w:rPr>
          <w:rFonts w:cs="Times New Roman"/>
          <w:color w:val="000000" w:themeColor="text1"/>
          <w:szCs w:val="23"/>
        </w:rPr>
      </w:pPr>
      <w:r w:rsidRPr="00B40A77">
        <w:rPr>
          <w:rFonts w:cs="Times New Roman"/>
          <w:color w:val="000000" w:themeColor="text1"/>
          <w:szCs w:val="23"/>
        </w:rPr>
        <w:t>The GST should not be included in a claim for costs in a party/party Bill of Costs if the receiving party is able to obtain an input tax credit. If the receiving party is able to obtain an input tax credit for a proportion of GST only, only the portion which is not eligible for credit should be claimed in the party/party bill.</w:t>
      </w:r>
    </w:p>
    <w:p w14:paraId="04504D97" w14:textId="159647A1" w:rsidR="00A1603F" w:rsidRPr="00B40A77" w:rsidRDefault="00A1603F" w:rsidP="00F55CEF">
      <w:pPr>
        <w:pStyle w:val="ListParagraph"/>
        <w:ind w:left="584" w:hanging="584"/>
        <w:contextualSpacing w:val="0"/>
        <w:jc w:val="both"/>
        <w:rPr>
          <w:color w:val="000000" w:themeColor="text1"/>
          <w:szCs w:val="23"/>
        </w:rPr>
      </w:pPr>
      <w:r w:rsidRPr="00B40A77">
        <w:rPr>
          <w:color w:val="000000" w:themeColor="text1"/>
          <w:szCs w:val="23"/>
        </w:rPr>
        <w:t>(2)</w:t>
      </w:r>
      <w:r w:rsidRPr="00B40A77">
        <w:rPr>
          <w:color w:val="000000" w:themeColor="text1"/>
          <w:szCs w:val="23"/>
        </w:rPr>
        <w:tab/>
        <w:t>The Lower Courts Criminal costs scale in respect of work done on or after 1 January 2023 is set out in the following tables.</w:t>
      </w:r>
    </w:p>
    <w:tbl>
      <w:tblPr>
        <w:tblW w:w="8396" w:type="dxa"/>
        <w:tblInd w:w="715" w:type="dxa"/>
        <w:tblLayout w:type="fixed"/>
        <w:tblCellMar>
          <w:left w:w="0" w:type="dxa"/>
          <w:right w:w="0" w:type="dxa"/>
        </w:tblCellMar>
        <w:tblLook w:val="04A0" w:firstRow="1" w:lastRow="0" w:firstColumn="1" w:lastColumn="0" w:noHBand="0" w:noVBand="1"/>
      </w:tblPr>
      <w:tblGrid>
        <w:gridCol w:w="567"/>
        <w:gridCol w:w="4427"/>
        <w:gridCol w:w="1701"/>
        <w:gridCol w:w="1701"/>
      </w:tblGrid>
      <w:tr w:rsidR="00B40A77" w:rsidRPr="00B40A77" w14:paraId="0A9E968F" w14:textId="77777777" w:rsidTr="001D1CDA">
        <w:trPr>
          <w:trHeight w:hRule="exact" w:val="449"/>
          <w:tblHeader/>
        </w:trPr>
        <w:tc>
          <w:tcPr>
            <w:tcW w:w="8396" w:type="dxa"/>
            <w:gridSpan w:val="4"/>
            <w:tcBorders>
              <w:top w:val="single" w:sz="4" w:space="0" w:color="000000"/>
              <w:left w:val="single" w:sz="4" w:space="0" w:color="000000"/>
              <w:bottom w:val="single" w:sz="4" w:space="0" w:color="000000"/>
              <w:right w:val="single" w:sz="4" w:space="0" w:color="000000"/>
            </w:tcBorders>
          </w:tcPr>
          <w:p w14:paraId="7D824BB0" w14:textId="77777777" w:rsidR="0064137F" w:rsidRPr="00B40A77" w:rsidRDefault="0064137F" w:rsidP="00B85DCA">
            <w:pPr>
              <w:kinsoku w:val="0"/>
              <w:overflowPunct w:val="0"/>
              <w:autoSpaceDE w:val="0"/>
              <w:autoSpaceDN w:val="0"/>
              <w:adjustRightInd w:val="0"/>
              <w:spacing w:before="5" w:after="240" w:line="242" w:lineRule="auto"/>
              <w:ind w:right="135"/>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 xml:space="preserve">Table 1 – Scale of Costs – General </w:t>
            </w:r>
          </w:p>
        </w:tc>
      </w:tr>
      <w:tr w:rsidR="00B40A77" w:rsidRPr="00B40A77" w14:paraId="2D02B015" w14:textId="77777777" w:rsidTr="0064137F">
        <w:trPr>
          <w:trHeight w:hRule="exact" w:val="1136"/>
        </w:trPr>
        <w:tc>
          <w:tcPr>
            <w:tcW w:w="567" w:type="dxa"/>
            <w:tcBorders>
              <w:top w:val="single" w:sz="4" w:space="0" w:color="000000"/>
              <w:left w:val="single" w:sz="4" w:space="0" w:color="000000"/>
              <w:bottom w:val="single" w:sz="4" w:space="0" w:color="000000"/>
              <w:right w:val="single" w:sz="4" w:space="0" w:color="000000"/>
            </w:tcBorders>
          </w:tcPr>
          <w:p w14:paraId="0102AAAB" w14:textId="77777777" w:rsidR="0064137F" w:rsidRPr="00B40A77" w:rsidRDefault="0064137F" w:rsidP="00B85DCA">
            <w:pPr>
              <w:kinsoku w:val="0"/>
              <w:overflowPunct w:val="0"/>
              <w:autoSpaceDE w:val="0"/>
              <w:autoSpaceDN w:val="0"/>
              <w:adjustRightInd w:val="0"/>
              <w:spacing w:before="240" w:after="240" w:line="254" w:lineRule="auto"/>
              <w:rPr>
                <w:rFonts w:eastAsia="Times New Roman" w:cs="Times New Roman"/>
                <w:color w:val="000000" w:themeColor="text1"/>
                <w:sz w:val="20"/>
                <w:szCs w:val="20"/>
              </w:rPr>
            </w:pPr>
          </w:p>
          <w:p w14:paraId="5E5A16DE" w14:textId="77777777" w:rsidR="0064137F" w:rsidRPr="00B40A77" w:rsidRDefault="0064137F" w:rsidP="00B85DCA">
            <w:pPr>
              <w:kinsoku w:val="0"/>
              <w:overflowPunct w:val="0"/>
              <w:autoSpaceDE w:val="0"/>
              <w:autoSpaceDN w:val="0"/>
              <w:adjustRightInd w:val="0"/>
              <w:spacing w:before="141" w:after="240" w:line="254" w:lineRule="auto"/>
              <w:ind w:left="97"/>
              <w:rPr>
                <w:rFonts w:eastAsia="Times New Roman" w:cs="Times New Roman"/>
                <w:color w:val="000000" w:themeColor="text1"/>
                <w:sz w:val="20"/>
                <w:szCs w:val="20"/>
              </w:rPr>
            </w:pPr>
            <w:r w:rsidRPr="00B40A77">
              <w:rPr>
                <w:rFonts w:eastAsia="Times New Roman" w:cs="Times New Roman"/>
                <w:b/>
                <w:bCs/>
                <w:color w:val="000000" w:themeColor="text1"/>
                <w:w w:val="105"/>
                <w:sz w:val="20"/>
                <w:szCs w:val="20"/>
              </w:rPr>
              <w:t>Item</w:t>
            </w:r>
          </w:p>
        </w:tc>
        <w:tc>
          <w:tcPr>
            <w:tcW w:w="4427" w:type="dxa"/>
            <w:tcBorders>
              <w:top w:val="single" w:sz="4" w:space="0" w:color="000000"/>
              <w:left w:val="single" w:sz="4" w:space="0" w:color="000000"/>
              <w:bottom w:val="single" w:sz="4" w:space="0" w:color="000000"/>
              <w:right w:val="single" w:sz="4" w:space="0" w:color="000000"/>
            </w:tcBorders>
          </w:tcPr>
          <w:p w14:paraId="412C3E0F" w14:textId="77777777" w:rsidR="0064137F" w:rsidRPr="00B40A77" w:rsidRDefault="0064137F" w:rsidP="00B85DCA">
            <w:pPr>
              <w:kinsoku w:val="0"/>
              <w:overflowPunct w:val="0"/>
              <w:autoSpaceDE w:val="0"/>
              <w:autoSpaceDN w:val="0"/>
              <w:adjustRightInd w:val="0"/>
              <w:spacing w:before="240" w:after="240" w:line="254" w:lineRule="auto"/>
              <w:rPr>
                <w:rFonts w:eastAsia="Times New Roman" w:cs="Times New Roman"/>
                <w:color w:val="000000" w:themeColor="text1"/>
                <w:sz w:val="20"/>
                <w:szCs w:val="20"/>
              </w:rPr>
            </w:pPr>
          </w:p>
          <w:p w14:paraId="59558A9B" w14:textId="77777777" w:rsidR="0064137F" w:rsidRPr="00B40A77" w:rsidRDefault="0064137F" w:rsidP="00B85DCA">
            <w:pPr>
              <w:kinsoku w:val="0"/>
              <w:overflowPunct w:val="0"/>
              <w:autoSpaceDE w:val="0"/>
              <w:autoSpaceDN w:val="0"/>
              <w:adjustRightInd w:val="0"/>
              <w:spacing w:before="141" w:after="240" w:line="254" w:lineRule="auto"/>
              <w:jc w:val="center"/>
              <w:rPr>
                <w:rFonts w:eastAsia="Times New Roman" w:cs="Times New Roman"/>
                <w:color w:val="000000" w:themeColor="text1"/>
                <w:sz w:val="20"/>
                <w:szCs w:val="20"/>
              </w:rPr>
            </w:pPr>
            <w:r w:rsidRPr="00B40A77">
              <w:rPr>
                <w:rFonts w:eastAsia="Times New Roman" w:cs="Times New Roman"/>
                <w:b/>
                <w:bCs/>
                <w:color w:val="000000" w:themeColor="text1"/>
                <w:w w:val="105"/>
                <w:sz w:val="20"/>
                <w:szCs w:val="20"/>
              </w:rPr>
              <w:t>Description</w:t>
            </w:r>
          </w:p>
        </w:tc>
        <w:tc>
          <w:tcPr>
            <w:tcW w:w="1701" w:type="dxa"/>
            <w:tcBorders>
              <w:top w:val="single" w:sz="4" w:space="0" w:color="000000"/>
              <w:left w:val="single" w:sz="4" w:space="0" w:color="000000"/>
              <w:bottom w:val="single" w:sz="4" w:space="0" w:color="000000"/>
              <w:right w:val="single" w:sz="4" w:space="0" w:color="000000"/>
            </w:tcBorders>
            <w:hideMark/>
          </w:tcPr>
          <w:p w14:paraId="41B34F40" w14:textId="77777777" w:rsidR="0064137F" w:rsidRPr="00B40A77" w:rsidRDefault="0064137F" w:rsidP="00B85DCA">
            <w:pPr>
              <w:kinsoku w:val="0"/>
              <w:overflowPunct w:val="0"/>
              <w:autoSpaceDE w:val="0"/>
              <w:autoSpaceDN w:val="0"/>
              <w:adjustRightInd w:val="0"/>
              <w:spacing w:before="240" w:after="240" w:line="242" w:lineRule="auto"/>
              <w:ind w:right="227"/>
              <w:jc w:val="center"/>
              <w:rPr>
                <w:rFonts w:eastAsia="Times New Roman" w:cs="Times New Roman"/>
                <w:color w:val="000000" w:themeColor="text1"/>
                <w:sz w:val="20"/>
                <w:szCs w:val="20"/>
              </w:rPr>
            </w:pPr>
            <w:r w:rsidRPr="00B40A77">
              <w:rPr>
                <w:rFonts w:eastAsia="Times New Roman" w:cs="Times New Roman"/>
                <w:b/>
                <w:bCs/>
                <w:color w:val="000000" w:themeColor="text1"/>
                <w:sz w:val="20"/>
                <w:szCs w:val="20"/>
              </w:rPr>
              <w:t>Amount if represented</w:t>
            </w:r>
            <w:r w:rsidRPr="00B40A77">
              <w:rPr>
                <w:rFonts w:eastAsia="Times New Roman" w:cs="Times New Roman"/>
                <w:b/>
                <w:bCs/>
                <w:color w:val="000000" w:themeColor="text1"/>
                <w:spacing w:val="-33"/>
                <w:sz w:val="20"/>
                <w:szCs w:val="20"/>
              </w:rPr>
              <w:t xml:space="preserve">        </w:t>
            </w:r>
            <w:r w:rsidRPr="00B40A77">
              <w:rPr>
                <w:rFonts w:eastAsia="Times New Roman" w:cs="Times New Roman"/>
                <w:b/>
                <w:bCs/>
                <w:color w:val="000000" w:themeColor="text1"/>
                <w:w w:val="105"/>
                <w:sz w:val="20"/>
                <w:szCs w:val="20"/>
              </w:rPr>
              <w:t>by</w:t>
            </w:r>
            <w:r w:rsidRPr="00B40A77">
              <w:rPr>
                <w:rFonts w:eastAsia="Times New Roman" w:cs="Times New Roman"/>
                <w:b/>
                <w:bCs/>
                <w:color w:val="000000" w:themeColor="text1"/>
                <w:spacing w:val="-14"/>
                <w:w w:val="105"/>
                <w:sz w:val="20"/>
                <w:szCs w:val="20"/>
              </w:rPr>
              <w:t xml:space="preserve"> </w:t>
            </w:r>
            <w:r w:rsidRPr="00B40A77">
              <w:rPr>
                <w:rFonts w:eastAsia="Times New Roman" w:cs="Times New Roman"/>
                <w:b/>
                <w:bCs/>
                <w:color w:val="000000" w:themeColor="text1"/>
                <w:w w:val="105"/>
                <w:sz w:val="20"/>
                <w:szCs w:val="20"/>
              </w:rPr>
              <w:t>solicitor</w:t>
            </w:r>
          </w:p>
        </w:tc>
        <w:tc>
          <w:tcPr>
            <w:tcW w:w="1701" w:type="dxa"/>
            <w:tcBorders>
              <w:top w:val="single" w:sz="4" w:space="0" w:color="000000"/>
              <w:left w:val="single" w:sz="4" w:space="0" w:color="000000"/>
              <w:bottom w:val="single" w:sz="4" w:space="0" w:color="000000"/>
              <w:right w:val="single" w:sz="4" w:space="0" w:color="000000"/>
            </w:tcBorders>
            <w:hideMark/>
          </w:tcPr>
          <w:p w14:paraId="16F41628" w14:textId="77777777" w:rsidR="0064137F" w:rsidRPr="00B40A77" w:rsidRDefault="0064137F" w:rsidP="00B85DCA">
            <w:pPr>
              <w:kinsoku w:val="0"/>
              <w:overflowPunct w:val="0"/>
              <w:autoSpaceDE w:val="0"/>
              <w:autoSpaceDN w:val="0"/>
              <w:adjustRightInd w:val="0"/>
              <w:spacing w:before="5" w:after="240" w:line="242" w:lineRule="auto"/>
              <w:ind w:right="135"/>
              <w:jc w:val="center"/>
              <w:rPr>
                <w:rFonts w:eastAsia="Times New Roman" w:cs="Times New Roman"/>
                <w:color w:val="000000" w:themeColor="text1"/>
                <w:sz w:val="20"/>
                <w:szCs w:val="20"/>
              </w:rPr>
            </w:pPr>
            <w:r w:rsidRPr="00B40A77">
              <w:rPr>
                <w:rFonts w:eastAsia="Times New Roman" w:cs="Times New Roman"/>
                <w:b/>
                <w:bCs/>
                <w:color w:val="000000" w:themeColor="text1"/>
                <w:w w:val="105"/>
                <w:sz w:val="20"/>
                <w:szCs w:val="20"/>
              </w:rPr>
              <w:t>Amount if represented</w:t>
            </w:r>
            <w:r w:rsidRPr="00B40A77">
              <w:rPr>
                <w:rFonts w:eastAsia="Times New Roman" w:cs="Times New Roman"/>
                <w:b/>
                <w:bCs/>
                <w:color w:val="000000" w:themeColor="text1"/>
                <w:w w:val="102"/>
                <w:sz w:val="20"/>
                <w:szCs w:val="20"/>
              </w:rPr>
              <w:t xml:space="preserve"> </w:t>
            </w:r>
            <w:r w:rsidRPr="00B40A77">
              <w:rPr>
                <w:rFonts w:eastAsia="Times New Roman" w:cs="Times New Roman"/>
                <w:b/>
                <w:bCs/>
                <w:color w:val="000000" w:themeColor="text1"/>
                <w:w w:val="105"/>
                <w:sz w:val="20"/>
                <w:szCs w:val="20"/>
              </w:rPr>
              <w:t>by</w:t>
            </w:r>
            <w:r w:rsidRPr="00B40A77">
              <w:rPr>
                <w:rFonts w:eastAsia="Times New Roman" w:cs="Times New Roman"/>
                <w:b/>
                <w:bCs/>
                <w:color w:val="000000" w:themeColor="text1"/>
                <w:spacing w:val="-35"/>
                <w:w w:val="105"/>
                <w:sz w:val="20"/>
                <w:szCs w:val="20"/>
              </w:rPr>
              <w:t xml:space="preserve"> </w:t>
            </w:r>
            <w:r w:rsidRPr="00B40A77">
              <w:rPr>
                <w:rFonts w:eastAsia="Times New Roman" w:cs="Times New Roman"/>
                <w:b/>
                <w:bCs/>
                <w:color w:val="000000" w:themeColor="text1"/>
                <w:w w:val="105"/>
                <w:sz w:val="20"/>
                <w:szCs w:val="20"/>
              </w:rPr>
              <w:t>non-legally</w:t>
            </w:r>
            <w:r w:rsidRPr="00B40A77">
              <w:rPr>
                <w:rFonts w:eastAsia="Times New Roman" w:cs="Times New Roman"/>
                <w:b/>
                <w:bCs/>
                <w:color w:val="000000" w:themeColor="text1"/>
                <w:spacing w:val="-1"/>
                <w:w w:val="102"/>
                <w:sz w:val="20"/>
                <w:szCs w:val="20"/>
              </w:rPr>
              <w:t xml:space="preserve"> </w:t>
            </w:r>
            <w:r w:rsidRPr="00B40A77">
              <w:rPr>
                <w:rFonts w:eastAsia="Times New Roman" w:cs="Times New Roman"/>
                <w:b/>
                <w:bCs/>
                <w:color w:val="000000" w:themeColor="text1"/>
                <w:w w:val="105"/>
                <w:sz w:val="20"/>
                <w:szCs w:val="20"/>
              </w:rPr>
              <w:t>qualified</w:t>
            </w:r>
            <w:r w:rsidRPr="00B40A77">
              <w:rPr>
                <w:rFonts w:eastAsia="Times New Roman" w:cs="Times New Roman"/>
                <w:b/>
                <w:bCs/>
                <w:color w:val="000000" w:themeColor="text1"/>
                <w:w w:val="102"/>
                <w:sz w:val="20"/>
                <w:szCs w:val="20"/>
              </w:rPr>
              <w:t xml:space="preserve"> </w:t>
            </w:r>
            <w:r w:rsidRPr="00B40A77">
              <w:rPr>
                <w:rFonts w:eastAsia="Times New Roman" w:cs="Times New Roman"/>
                <w:b/>
                <w:bCs/>
                <w:color w:val="000000" w:themeColor="text1"/>
                <w:w w:val="105"/>
                <w:sz w:val="20"/>
                <w:szCs w:val="20"/>
              </w:rPr>
              <w:t>person</w:t>
            </w:r>
          </w:p>
        </w:tc>
      </w:tr>
      <w:tr w:rsidR="00B40A77" w:rsidRPr="00B40A77" w14:paraId="6DDF81B5" w14:textId="77777777" w:rsidTr="0064137F">
        <w:trPr>
          <w:trHeight w:hRule="exact" w:val="840"/>
        </w:trPr>
        <w:tc>
          <w:tcPr>
            <w:tcW w:w="567" w:type="dxa"/>
            <w:tcBorders>
              <w:top w:val="single" w:sz="4" w:space="0" w:color="000000"/>
              <w:left w:val="single" w:sz="4" w:space="0" w:color="000000"/>
              <w:bottom w:val="single" w:sz="4" w:space="0" w:color="000000"/>
              <w:right w:val="single" w:sz="4" w:space="0" w:color="000000"/>
            </w:tcBorders>
            <w:hideMark/>
          </w:tcPr>
          <w:p w14:paraId="5B29EE45"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1</w:t>
            </w:r>
          </w:p>
        </w:tc>
        <w:tc>
          <w:tcPr>
            <w:tcW w:w="4427" w:type="dxa"/>
            <w:tcBorders>
              <w:top w:val="single" w:sz="4" w:space="0" w:color="000000"/>
              <w:left w:val="single" w:sz="4" w:space="0" w:color="000000"/>
              <w:bottom w:val="single" w:sz="4" w:space="0" w:color="000000"/>
              <w:right w:val="single" w:sz="4" w:space="0" w:color="000000"/>
            </w:tcBorders>
            <w:hideMark/>
          </w:tcPr>
          <w:p w14:paraId="72A6A255" w14:textId="77777777" w:rsidR="0064137F" w:rsidRPr="00B40A77" w:rsidRDefault="0064137F" w:rsidP="00B85DCA">
            <w:pPr>
              <w:kinsoku w:val="0"/>
              <w:overflowPunct w:val="0"/>
              <w:autoSpaceDE w:val="0"/>
              <w:autoSpaceDN w:val="0"/>
              <w:adjustRightInd w:val="0"/>
              <w:spacing w:before="6" w:after="240" w:line="242" w:lineRule="auto"/>
              <w:ind w:left="97" w:right="339"/>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Instructions,</w:t>
            </w:r>
            <w:r w:rsidRPr="00B40A77">
              <w:rPr>
                <w:rFonts w:eastAsia="Times New Roman" w:cs="Times New Roman"/>
                <w:color w:val="000000" w:themeColor="text1"/>
                <w:spacing w:val="-25"/>
                <w:w w:val="105"/>
                <w:sz w:val="20"/>
                <w:szCs w:val="20"/>
              </w:rPr>
              <w:t xml:space="preserve"> </w:t>
            </w:r>
            <w:r w:rsidRPr="00B40A77">
              <w:rPr>
                <w:rFonts w:eastAsia="Times New Roman" w:cs="Times New Roman"/>
                <w:color w:val="000000" w:themeColor="text1"/>
                <w:w w:val="105"/>
                <w:sz w:val="20"/>
                <w:szCs w:val="20"/>
              </w:rPr>
              <w:t>including</w:t>
            </w:r>
            <w:r w:rsidRPr="00B40A77">
              <w:rPr>
                <w:rFonts w:eastAsia="Times New Roman" w:cs="Times New Roman"/>
                <w:color w:val="000000" w:themeColor="text1"/>
                <w:spacing w:val="-25"/>
                <w:w w:val="105"/>
                <w:sz w:val="20"/>
                <w:szCs w:val="20"/>
              </w:rPr>
              <w:t xml:space="preserve"> </w:t>
            </w:r>
            <w:r w:rsidRPr="00B40A77">
              <w:rPr>
                <w:rFonts w:eastAsia="Times New Roman" w:cs="Times New Roman"/>
                <w:color w:val="000000" w:themeColor="text1"/>
                <w:w w:val="105"/>
                <w:sz w:val="20"/>
                <w:szCs w:val="20"/>
              </w:rPr>
              <w:t>all</w:t>
            </w:r>
            <w:r w:rsidRPr="00B40A77">
              <w:rPr>
                <w:rFonts w:eastAsia="Times New Roman" w:cs="Times New Roman"/>
                <w:color w:val="000000" w:themeColor="text1"/>
                <w:spacing w:val="-26"/>
                <w:w w:val="105"/>
                <w:sz w:val="20"/>
                <w:szCs w:val="20"/>
              </w:rPr>
              <w:t xml:space="preserve"> </w:t>
            </w:r>
            <w:r w:rsidRPr="00B40A77">
              <w:rPr>
                <w:rFonts w:eastAsia="Times New Roman" w:cs="Times New Roman"/>
                <w:color w:val="000000" w:themeColor="text1"/>
                <w:w w:val="105"/>
                <w:sz w:val="20"/>
                <w:szCs w:val="20"/>
              </w:rPr>
              <w:t>preparation</w:t>
            </w:r>
            <w:r w:rsidRPr="00B40A77">
              <w:rPr>
                <w:rFonts w:eastAsia="Times New Roman" w:cs="Times New Roman"/>
                <w:color w:val="000000" w:themeColor="text1"/>
                <w:spacing w:val="-25"/>
                <w:w w:val="105"/>
                <w:sz w:val="20"/>
                <w:szCs w:val="20"/>
              </w:rPr>
              <w:t xml:space="preserve"> </w:t>
            </w:r>
            <w:r w:rsidRPr="00B40A77">
              <w:rPr>
                <w:rFonts w:eastAsia="Times New Roman" w:cs="Times New Roman"/>
                <w:color w:val="000000" w:themeColor="text1"/>
                <w:w w:val="105"/>
                <w:sz w:val="20"/>
                <w:szCs w:val="20"/>
              </w:rPr>
              <w:t>for</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trial and attendances up to, but</w:t>
            </w:r>
            <w:r w:rsidRPr="00B40A77">
              <w:rPr>
                <w:rFonts w:eastAsia="Times New Roman" w:cs="Times New Roman"/>
                <w:color w:val="000000" w:themeColor="text1"/>
                <w:spacing w:val="-38"/>
                <w:w w:val="105"/>
                <w:sz w:val="20"/>
                <w:szCs w:val="20"/>
              </w:rPr>
              <w:t xml:space="preserve"> </w:t>
            </w:r>
            <w:r w:rsidRPr="00B40A77">
              <w:rPr>
                <w:rFonts w:eastAsia="Times New Roman" w:cs="Times New Roman"/>
                <w:color w:val="000000" w:themeColor="text1"/>
                <w:w w:val="105"/>
                <w:sz w:val="20"/>
                <w:szCs w:val="20"/>
              </w:rPr>
              <w:t>not</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including attendance at a Pre</w:t>
            </w:r>
            <w:r w:rsidRPr="00B40A77">
              <w:rPr>
                <w:rFonts w:eastAsia="Times New Roman" w:cs="Times New Roman"/>
                <w:color w:val="000000" w:themeColor="text1"/>
                <w:spacing w:val="-32"/>
                <w:w w:val="105"/>
                <w:sz w:val="20"/>
                <w:szCs w:val="20"/>
              </w:rPr>
              <w:t xml:space="preserve"> -</w:t>
            </w:r>
            <w:r w:rsidRPr="00B40A77">
              <w:rPr>
                <w:rFonts w:eastAsia="Times New Roman" w:cs="Times New Roman"/>
                <w:color w:val="000000" w:themeColor="text1"/>
                <w:w w:val="105"/>
                <w:sz w:val="20"/>
                <w:szCs w:val="20"/>
              </w:rPr>
              <w:t>Trial</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Conference</w:t>
            </w:r>
          </w:p>
        </w:tc>
        <w:tc>
          <w:tcPr>
            <w:tcW w:w="1701" w:type="dxa"/>
            <w:tcBorders>
              <w:top w:val="single" w:sz="4" w:space="0" w:color="000000"/>
              <w:left w:val="single" w:sz="4" w:space="0" w:color="000000"/>
              <w:bottom w:val="single" w:sz="4" w:space="0" w:color="000000"/>
              <w:right w:val="single" w:sz="4" w:space="0" w:color="000000"/>
            </w:tcBorders>
          </w:tcPr>
          <w:p w14:paraId="7DAE8BD7" w14:textId="77777777" w:rsidR="0064137F" w:rsidRPr="00B40A77" w:rsidRDefault="0064137F" w:rsidP="00B85DCA">
            <w:pPr>
              <w:kinsoku w:val="0"/>
              <w:overflowPunct w:val="0"/>
              <w:autoSpaceDE w:val="0"/>
              <w:autoSpaceDN w:val="0"/>
              <w:adjustRightInd w:val="0"/>
              <w:spacing w:before="141"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$1,210</w:t>
            </w:r>
          </w:p>
        </w:tc>
        <w:tc>
          <w:tcPr>
            <w:tcW w:w="1701" w:type="dxa"/>
            <w:tcBorders>
              <w:top w:val="single" w:sz="4" w:space="0" w:color="000000"/>
              <w:left w:val="single" w:sz="4" w:space="0" w:color="000000"/>
              <w:bottom w:val="single" w:sz="4" w:space="0" w:color="000000"/>
              <w:right w:val="single" w:sz="4" w:space="0" w:color="000000"/>
            </w:tcBorders>
          </w:tcPr>
          <w:p w14:paraId="2C37A5C7" w14:textId="77777777" w:rsidR="0064137F" w:rsidRPr="00B40A77" w:rsidRDefault="0064137F" w:rsidP="00B85DCA">
            <w:pPr>
              <w:kinsoku w:val="0"/>
              <w:overflowPunct w:val="0"/>
              <w:autoSpaceDE w:val="0"/>
              <w:autoSpaceDN w:val="0"/>
              <w:adjustRightInd w:val="0"/>
              <w:spacing w:before="141"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$310</w:t>
            </w:r>
          </w:p>
        </w:tc>
      </w:tr>
      <w:tr w:rsidR="00B40A77" w:rsidRPr="00B40A77" w14:paraId="17F4F5BF" w14:textId="77777777" w:rsidTr="0064137F">
        <w:trPr>
          <w:trHeight w:hRule="exact" w:val="1135"/>
        </w:trPr>
        <w:tc>
          <w:tcPr>
            <w:tcW w:w="567" w:type="dxa"/>
            <w:tcBorders>
              <w:top w:val="single" w:sz="4" w:space="0" w:color="000000"/>
              <w:left w:val="single" w:sz="4" w:space="0" w:color="000000"/>
              <w:bottom w:val="single" w:sz="4" w:space="0" w:color="000000"/>
              <w:right w:val="single" w:sz="4" w:space="0" w:color="000000"/>
            </w:tcBorders>
            <w:hideMark/>
          </w:tcPr>
          <w:p w14:paraId="327FE25C" w14:textId="77777777" w:rsidR="0064137F" w:rsidRPr="00B40A77" w:rsidRDefault="0064137F" w:rsidP="00B85DCA">
            <w:pPr>
              <w:kinsoku w:val="0"/>
              <w:overflowPunct w:val="0"/>
              <w:autoSpaceDE w:val="0"/>
              <w:autoSpaceDN w:val="0"/>
              <w:adjustRightInd w:val="0"/>
              <w:spacing w:before="7"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2</w:t>
            </w:r>
          </w:p>
        </w:tc>
        <w:tc>
          <w:tcPr>
            <w:tcW w:w="4427" w:type="dxa"/>
            <w:tcBorders>
              <w:top w:val="single" w:sz="4" w:space="0" w:color="000000"/>
              <w:left w:val="single" w:sz="4" w:space="0" w:color="000000"/>
              <w:bottom w:val="single" w:sz="4" w:space="0" w:color="000000"/>
              <w:right w:val="single" w:sz="4" w:space="0" w:color="000000"/>
            </w:tcBorders>
            <w:hideMark/>
          </w:tcPr>
          <w:p w14:paraId="6F1BA295" w14:textId="77777777" w:rsidR="0064137F" w:rsidRPr="00B40A77" w:rsidRDefault="0064137F" w:rsidP="00B85DCA">
            <w:pPr>
              <w:kinsoku w:val="0"/>
              <w:overflowPunct w:val="0"/>
              <w:autoSpaceDE w:val="0"/>
              <w:autoSpaceDN w:val="0"/>
              <w:adjustRightInd w:val="0"/>
              <w:spacing w:before="7" w:after="240" w:line="242" w:lineRule="auto"/>
              <w:ind w:left="97" w:right="175" w:hanging="1"/>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All</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aspects</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not</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otherwise</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specified</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from</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Pre-Trial</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Conference</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to</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Trial,</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including</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proofing</w:t>
            </w:r>
            <w:r w:rsidRPr="00B40A77">
              <w:rPr>
                <w:rFonts w:eastAsia="Times New Roman" w:cs="Times New Roman"/>
                <w:color w:val="000000" w:themeColor="text1"/>
                <w:spacing w:val="-22"/>
                <w:w w:val="105"/>
                <w:sz w:val="20"/>
                <w:szCs w:val="20"/>
              </w:rPr>
              <w:t xml:space="preserve"> </w:t>
            </w:r>
            <w:r w:rsidRPr="00B40A77">
              <w:rPr>
                <w:rFonts w:eastAsia="Times New Roman" w:cs="Times New Roman"/>
                <w:color w:val="000000" w:themeColor="text1"/>
                <w:w w:val="105"/>
                <w:sz w:val="20"/>
                <w:szCs w:val="20"/>
              </w:rPr>
              <w:t>witnesses,</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advice</w:t>
            </w:r>
            <w:r w:rsidRPr="00B40A77">
              <w:rPr>
                <w:rFonts w:eastAsia="Times New Roman" w:cs="Times New Roman"/>
                <w:color w:val="000000" w:themeColor="text1"/>
                <w:spacing w:val="-23"/>
                <w:w w:val="105"/>
                <w:sz w:val="20"/>
                <w:szCs w:val="20"/>
              </w:rPr>
              <w:t xml:space="preserve"> </w:t>
            </w:r>
            <w:r w:rsidRPr="00B40A77">
              <w:rPr>
                <w:rFonts w:eastAsia="Times New Roman" w:cs="Times New Roman"/>
                <w:color w:val="000000" w:themeColor="text1"/>
                <w:w w:val="105"/>
                <w:sz w:val="20"/>
                <w:szCs w:val="20"/>
              </w:rPr>
              <w:t>or</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evidence</w:t>
            </w:r>
            <w:r w:rsidRPr="00B40A77">
              <w:rPr>
                <w:rFonts w:eastAsia="Times New Roman" w:cs="Times New Roman"/>
                <w:color w:val="000000" w:themeColor="text1"/>
                <w:spacing w:val="-22"/>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law</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(solicitor</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counsel)</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3"/>
                <w:w w:val="105"/>
                <w:sz w:val="20"/>
                <w:szCs w:val="20"/>
              </w:rPr>
              <w:t xml:space="preserve"> </w:t>
            </w:r>
            <w:r w:rsidRPr="00B40A77">
              <w:rPr>
                <w:rFonts w:eastAsia="Times New Roman" w:cs="Times New Roman"/>
                <w:color w:val="000000" w:themeColor="text1"/>
                <w:w w:val="105"/>
                <w:sz w:val="20"/>
                <w:szCs w:val="20"/>
              </w:rPr>
              <w:t>delivering</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brief to</w:t>
            </w:r>
            <w:r w:rsidRPr="00B40A77">
              <w:rPr>
                <w:rFonts w:eastAsia="Times New Roman" w:cs="Times New Roman"/>
                <w:color w:val="000000" w:themeColor="text1"/>
                <w:spacing w:val="-5"/>
                <w:w w:val="105"/>
                <w:sz w:val="20"/>
                <w:szCs w:val="20"/>
              </w:rPr>
              <w:t xml:space="preserve"> </w:t>
            </w:r>
            <w:r w:rsidRPr="00B40A77">
              <w:rPr>
                <w:rFonts w:eastAsia="Times New Roman" w:cs="Times New Roman"/>
                <w:color w:val="000000" w:themeColor="text1"/>
                <w:w w:val="105"/>
                <w:sz w:val="20"/>
                <w:szCs w:val="20"/>
              </w:rPr>
              <w:t>counsel.</w:t>
            </w:r>
          </w:p>
        </w:tc>
        <w:tc>
          <w:tcPr>
            <w:tcW w:w="1701" w:type="dxa"/>
            <w:tcBorders>
              <w:top w:val="single" w:sz="4" w:space="0" w:color="000000"/>
              <w:left w:val="single" w:sz="4" w:space="0" w:color="000000"/>
              <w:bottom w:val="single" w:sz="4" w:space="0" w:color="000000"/>
              <w:right w:val="single" w:sz="4" w:space="0" w:color="000000"/>
            </w:tcBorders>
          </w:tcPr>
          <w:p w14:paraId="1239330E" w14:textId="77777777" w:rsidR="0064137F" w:rsidRPr="00B40A77" w:rsidRDefault="0064137F" w:rsidP="00B85DCA">
            <w:pPr>
              <w:kinsoku w:val="0"/>
              <w:overflowPunct w:val="0"/>
              <w:autoSpaceDE w:val="0"/>
              <w:autoSpaceDN w:val="0"/>
              <w:adjustRightInd w:val="0"/>
              <w:spacing w:before="240" w:after="240" w:line="254" w:lineRule="auto"/>
              <w:rPr>
                <w:rFonts w:eastAsia="Times New Roman" w:cs="Times New Roman"/>
                <w:color w:val="000000" w:themeColor="text1"/>
                <w:sz w:val="20"/>
                <w:szCs w:val="20"/>
              </w:rPr>
            </w:pPr>
          </w:p>
          <w:p w14:paraId="37685C8E" w14:textId="77777777" w:rsidR="0064137F" w:rsidRPr="00B40A77" w:rsidRDefault="0064137F" w:rsidP="00B85DCA">
            <w:pPr>
              <w:kinsoku w:val="0"/>
              <w:overflowPunct w:val="0"/>
              <w:autoSpaceDE w:val="0"/>
              <w:autoSpaceDN w:val="0"/>
              <w:adjustRightInd w:val="0"/>
              <w:spacing w:before="240"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$1,210</w:t>
            </w:r>
          </w:p>
        </w:tc>
        <w:tc>
          <w:tcPr>
            <w:tcW w:w="1701" w:type="dxa"/>
            <w:tcBorders>
              <w:top w:val="single" w:sz="4" w:space="0" w:color="000000"/>
              <w:left w:val="single" w:sz="4" w:space="0" w:color="000000"/>
              <w:bottom w:val="single" w:sz="4" w:space="0" w:color="000000"/>
              <w:right w:val="single" w:sz="4" w:space="0" w:color="000000"/>
            </w:tcBorders>
          </w:tcPr>
          <w:p w14:paraId="39B37D77" w14:textId="77777777" w:rsidR="0064137F" w:rsidRPr="00B40A77" w:rsidRDefault="0064137F" w:rsidP="00B85DCA">
            <w:pPr>
              <w:kinsoku w:val="0"/>
              <w:overflowPunct w:val="0"/>
              <w:autoSpaceDE w:val="0"/>
              <w:autoSpaceDN w:val="0"/>
              <w:adjustRightInd w:val="0"/>
              <w:spacing w:before="240" w:after="240" w:line="254" w:lineRule="auto"/>
              <w:rPr>
                <w:rFonts w:eastAsia="Times New Roman" w:cs="Times New Roman"/>
                <w:color w:val="000000" w:themeColor="text1"/>
                <w:sz w:val="20"/>
                <w:szCs w:val="20"/>
              </w:rPr>
            </w:pPr>
          </w:p>
          <w:p w14:paraId="35E11BD1" w14:textId="77777777" w:rsidR="0064137F" w:rsidRPr="00B40A77" w:rsidRDefault="0064137F" w:rsidP="00B85DCA">
            <w:pPr>
              <w:kinsoku w:val="0"/>
              <w:overflowPunct w:val="0"/>
              <w:autoSpaceDE w:val="0"/>
              <w:autoSpaceDN w:val="0"/>
              <w:adjustRightInd w:val="0"/>
              <w:spacing w:before="240"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$220</w:t>
            </w:r>
          </w:p>
        </w:tc>
      </w:tr>
      <w:tr w:rsidR="00B40A77" w:rsidRPr="00B40A77" w14:paraId="0B50F9A4" w14:textId="77777777" w:rsidTr="0064137F">
        <w:trPr>
          <w:trHeight w:hRule="exact" w:val="418"/>
        </w:trPr>
        <w:tc>
          <w:tcPr>
            <w:tcW w:w="567" w:type="dxa"/>
            <w:tcBorders>
              <w:top w:val="single" w:sz="4" w:space="0" w:color="000000"/>
              <w:left w:val="single" w:sz="4" w:space="0" w:color="000000"/>
              <w:bottom w:val="single" w:sz="4" w:space="0" w:color="000000"/>
              <w:right w:val="single" w:sz="4" w:space="0" w:color="000000"/>
            </w:tcBorders>
            <w:hideMark/>
          </w:tcPr>
          <w:p w14:paraId="2B846B8B" w14:textId="77777777" w:rsidR="0064137F" w:rsidRPr="00B40A77" w:rsidRDefault="0064137F" w:rsidP="00B85DCA">
            <w:pPr>
              <w:kinsoku w:val="0"/>
              <w:overflowPunct w:val="0"/>
              <w:autoSpaceDE w:val="0"/>
              <w:autoSpaceDN w:val="0"/>
              <w:adjustRightInd w:val="0"/>
              <w:spacing w:before="7"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3</w:t>
            </w:r>
          </w:p>
        </w:tc>
        <w:tc>
          <w:tcPr>
            <w:tcW w:w="4427" w:type="dxa"/>
            <w:tcBorders>
              <w:top w:val="single" w:sz="4" w:space="0" w:color="000000"/>
              <w:left w:val="single" w:sz="4" w:space="0" w:color="000000"/>
              <w:bottom w:val="single" w:sz="4" w:space="0" w:color="000000"/>
              <w:right w:val="single" w:sz="4" w:space="0" w:color="000000"/>
            </w:tcBorders>
          </w:tcPr>
          <w:p w14:paraId="121E6E18" w14:textId="77777777" w:rsidR="0064137F" w:rsidRPr="00B40A77" w:rsidRDefault="0064137F" w:rsidP="00B85DCA">
            <w:pPr>
              <w:kinsoku w:val="0"/>
              <w:overflowPunct w:val="0"/>
              <w:autoSpaceDE w:val="0"/>
              <w:autoSpaceDN w:val="0"/>
              <w:adjustRightInd w:val="0"/>
              <w:spacing w:before="7" w:after="240" w:line="254" w:lineRule="auto"/>
              <w:ind w:left="9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Attendance at pre-trial</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conference</w:t>
            </w:r>
          </w:p>
          <w:p w14:paraId="347243D8" w14:textId="77777777" w:rsidR="0064137F" w:rsidRPr="00B40A77" w:rsidRDefault="0064137F" w:rsidP="00B85DCA">
            <w:pPr>
              <w:kinsoku w:val="0"/>
              <w:overflowPunct w:val="0"/>
              <w:autoSpaceDE w:val="0"/>
              <w:autoSpaceDN w:val="0"/>
              <w:adjustRightInd w:val="0"/>
              <w:spacing w:before="7" w:after="240" w:line="254" w:lineRule="auto"/>
              <w:ind w:left="97"/>
              <w:rPr>
                <w:rFonts w:eastAsia="Times New Roman" w:cs="Times New Roman"/>
                <w:color w:val="000000" w:themeColor="text1"/>
                <w:w w:val="105"/>
                <w:sz w:val="20"/>
                <w:szCs w:val="20"/>
              </w:rPr>
            </w:pPr>
          </w:p>
          <w:p w14:paraId="1EA186FE" w14:textId="77777777" w:rsidR="0064137F" w:rsidRPr="00B40A77" w:rsidRDefault="0064137F" w:rsidP="00B85DCA">
            <w:pPr>
              <w:kinsoku w:val="0"/>
              <w:overflowPunct w:val="0"/>
              <w:autoSpaceDE w:val="0"/>
              <w:autoSpaceDN w:val="0"/>
              <w:adjustRightInd w:val="0"/>
              <w:spacing w:before="7" w:after="240" w:line="254" w:lineRule="auto"/>
              <w:ind w:left="97"/>
              <w:rPr>
                <w:rFonts w:eastAsia="Times New Roman" w:cs="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14:paraId="35C489BA" w14:textId="77777777" w:rsidR="0064137F" w:rsidRPr="00B40A77" w:rsidRDefault="0064137F" w:rsidP="00B85DCA">
            <w:pPr>
              <w:kinsoku w:val="0"/>
              <w:overflowPunct w:val="0"/>
              <w:autoSpaceDE w:val="0"/>
              <w:autoSpaceDN w:val="0"/>
              <w:adjustRightInd w:val="0"/>
              <w:spacing w:before="7"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$330</w:t>
            </w:r>
          </w:p>
        </w:tc>
        <w:tc>
          <w:tcPr>
            <w:tcW w:w="1701" w:type="dxa"/>
            <w:tcBorders>
              <w:top w:val="single" w:sz="4" w:space="0" w:color="000000"/>
              <w:left w:val="single" w:sz="4" w:space="0" w:color="000000"/>
              <w:bottom w:val="single" w:sz="4" w:space="0" w:color="000000"/>
              <w:right w:val="single" w:sz="4" w:space="0" w:color="000000"/>
            </w:tcBorders>
            <w:hideMark/>
          </w:tcPr>
          <w:p w14:paraId="4FE47B09" w14:textId="77777777" w:rsidR="0064137F" w:rsidRPr="00B40A77" w:rsidRDefault="0064137F" w:rsidP="00B85DCA">
            <w:pPr>
              <w:kinsoku w:val="0"/>
              <w:overflowPunct w:val="0"/>
              <w:autoSpaceDE w:val="0"/>
              <w:autoSpaceDN w:val="0"/>
              <w:adjustRightInd w:val="0"/>
              <w:spacing w:before="7"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$80</w:t>
            </w:r>
          </w:p>
        </w:tc>
      </w:tr>
      <w:tr w:rsidR="00B40A77" w:rsidRPr="00B40A77" w14:paraId="55C5A95D" w14:textId="77777777" w:rsidTr="0064137F">
        <w:trPr>
          <w:trHeight w:hRule="exact" w:val="427"/>
        </w:trPr>
        <w:tc>
          <w:tcPr>
            <w:tcW w:w="567" w:type="dxa"/>
            <w:tcBorders>
              <w:top w:val="single" w:sz="4" w:space="0" w:color="000000"/>
              <w:left w:val="single" w:sz="4" w:space="0" w:color="000000"/>
              <w:bottom w:val="single" w:sz="4" w:space="0" w:color="000000"/>
              <w:right w:val="single" w:sz="4" w:space="0" w:color="000000"/>
            </w:tcBorders>
            <w:hideMark/>
          </w:tcPr>
          <w:p w14:paraId="3C85B53C"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4</w:t>
            </w:r>
          </w:p>
        </w:tc>
        <w:tc>
          <w:tcPr>
            <w:tcW w:w="4427" w:type="dxa"/>
            <w:tcBorders>
              <w:top w:val="single" w:sz="4" w:space="0" w:color="000000"/>
              <w:left w:val="single" w:sz="4" w:space="0" w:color="000000"/>
              <w:bottom w:val="single" w:sz="4" w:space="0" w:color="000000"/>
              <w:right w:val="single" w:sz="4" w:space="0" w:color="000000"/>
            </w:tcBorders>
            <w:hideMark/>
          </w:tcPr>
          <w:p w14:paraId="7086A286" w14:textId="77777777" w:rsidR="0064137F" w:rsidRPr="00B40A77" w:rsidRDefault="0064137F" w:rsidP="00B85DCA">
            <w:pPr>
              <w:kinsoku w:val="0"/>
              <w:overflowPunct w:val="0"/>
              <w:autoSpaceDE w:val="0"/>
              <w:autoSpaceDN w:val="0"/>
              <w:adjustRightInd w:val="0"/>
              <w:spacing w:before="6" w:after="240" w:line="254" w:lineRule="auto"/>
              <w:ind w:left="9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Attendance</w:t>
            </w:r>
            <w:r w:rsidRPr="00B40A77">
              <w:rPr>
                <w:rFonts w:eastAsia="Times New Roman" w:cs="Times New Roman"/>
                <w:color w:val="000000" w:themeColor="text1"/>
                <w:spacing w:val="-10"/>
                <w:w w:val="105"/>
                <w:sz w:val="20"/>
                <w:szCs w:val="20"/>
              </w:rPr>
              <w:t xml:space="preserve"> </w:t>
            </w:r>
            <w:r w:rsidRPr="00B40A77">
              <w:rPr>
                <w:rFonts w:eastAsia="Times New Roman" w:cs="Times New Roman"/>
                <w:color w:val="000000" w:themeColor="text1"/>
                <w:w w:val="105"/>
                <w:sz w:val="20"/>
                <w:szCs w:val="20"/>
              </w:rPr>
              <w:t>at</w:t>
            </w:r>
            <w:r w:rsidRPr="00B40A77">
              <w:rPr>
                <w:rFonts w:eastAsia="Times New Roman" w:cs="Times New Roman"/>
                <w:color w:val="000000" w:themeColor="text1"/>
                <w:spacing w:val="-9"/>
                <w:w w:val="105"/>
                <w:sz w:val="20"/>
                <w:szCs w:val="20"/>
              </w:rPr>
              <w:t xml:space="preserve"> </w:t>
            </w:r>
            <w:r w:rsidRPr="00B40A77">
              <w:rPr>
                <w:rFonts w:eastAsia="Times New Roman" w:cs="Times New Roman"/>
                <w:color w:val="000000" w:themeColor="text1"/>
                <w:w w:val="105"/>
                <w:sz w:val="20"/>
                <w:szCs w:val="20"/>
              </w:rPr>
              <w:t>hearing</w:t>
            </w:r>
            <w:r w:rsidRPr="00B40A77">
              <w:rPr>
                <w:rFonts w:eastAsia="Times New Roman" w:cs="Times New Roman"/>
                <w:color w:val="000000" w:themeColor="text1"/>
                <w:spacing w:val="-9"/>
                <w:w w:val="105"/>
                <w:sz w:val="20"/>
                <w:szCs w:val="20"/>
              </w:rPr>
              <w:t xml:space="preserve"> </w:t>
            </w:r>
            <w:r w:rsidRPr="00B40A77">
              <w:rPr>
                <w:rFonts w:eastAsia="Times New Roman" w:cs="Times New Roman"/>
                <w:color w:val="000000" w:themeColor="text1"/>
                <w:w w:val="105"/>
                <w:sz w:val="20"/>
                <w:szCs w:val="20"/>
              </w:rPr>
              <w:t>(see</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note</w:t>
            </w:r>
            <w:r w:rsidRPr="00B40A77">
              <w:rPr>
                <w:rFonts w:eastAsia="Times New Roman" w:cs="Times New Roman"/>
                <w:color w:val="000000" w:themeColor="text1"/>
                <w:spacing w:val="-9"/>
                <w:w w:val="105"/>
                <w:sz w:val="20"/>
                <w:szCs w:val="20"/>
              </w:rPr>
              <w:t xml:space="preserve"> 2 </w:t>
            </w:r>
            <w:r w:rsidRPr="00B40A77">
              <w:rPr>
                <w:rFonts w:eastAsia="Times New Roman" w:cs="Times New Roman"/>
                <w:color w:val="000000" w:themeColor="text1"/>
                <w:w w:val="105"/>
                <w:sz w:val="20"/>
                <w:szCs w:val="20"/>
              </w:rPr>
              <w:t>below)</w:t>
            </w:r>
          </w:p>
        </w:tc>
        <w:tc>
          <w:tcPr>
            <w:tcW w:w="1701" w:type="dxa"/>
            <w:tcBorders>
              <w:top w:val="single" w:sz="4" w:space="0" w:color="000000"/>
              <w:left w:val="single" w:sz="4" w:space="0" w:color="000000"/>
              <w:bottom w:val="single" w:sz="4" w:space="0" w:color="000000"/>
              <w:right w:val="single" w:sz="4" w:space="0" w:color="000000"/>
            </w:tcBorders>
            <w:hideMark/>
          </w:tcPr>
          <w:p w14:paraId="7815E5D0"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$120</w:t>
            </w:r>
          </w:p>
        </w:tc>
        <w:tc>
          <w:tcPr>
            <w:tcW w:w="1701" w:type="dxa"/>
            <w:tcBorders>
              <w:top w:val="single" w:sz="4" w:space="0" w:color="000000"/>
              <w:left w:val="single" w:sz="4" w:space="0" w:color="000000"/>
              <w:bottom w:val="single" w:sz="4" w:space="0" w:color="000000"/>
              <w:right w:val="single" w:sz="4" w:space="0" w:color="000000"/>
            </w:tcBorders>
            <w:hideMark/>
          </w:tcPr>
          <w:p w14:paraId="7B1E5592" w14:textId="77777777" w:rsidR="0064137F" w:rsidRPr="00B40A77" w:rsidRDefault="0064137F" w:rsidP="00B85DCA">
            <w:pPr>
              <w:kinsoku w:val="0"/>
              <w:overflowPunct w:val="0"/>
              <w:autoSpaceDE w:val="0"/>
              <w:autoSpaceDN w:val="0"/>
              <w:adjustRightInd w:val="0"/>
              <w:spacing w:before="6" w:after="240" w:line="254" w:lineRule="auto"/>
              <w:ind w:lef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$40</w:t>
            </w:r>
          </w:p>
        </w:tc>
      </w:tr>
      <w:tr w:rsidR="00B40A77" w:rsidRPr="00B40A77" w14:paraId="663C62D5" w14:textId="77777777" w:rsidTr="0064137F">
        <w:trPr>
          <w:trHeight w:hRule="exact" w:val="571"/>
        </w:trPr>
        <w:tc>
          <w:tcPr>
            <w:tcW w:w="567" w:type="dxa"/>
            <w:tcBorders>
              <w:top w:val="single" w:sz="4" w:space="0" w:color="000000"/>
              <w:left w:val="single" w:sz="4" w:space="0" w:color="000000"/>
              <w:bottom w:val="single" w:sz="4" w:space="0" w:color="000000"/>
              <w:right w:val="single" w:sz="4" w:space="0" w:color="000000"/>
            </w:tcBorders>
            <w:hideMark/>
          </w:tcPr>
          <w:p w14:paraId="1AFF4135"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5</w:t>
            </w:r>
          </w:p>
        </w:tc>
        <w:tc>
          <w:tcPr>
            <w:tcW w:w="4427" w:type="dxa"/>
            <w:tcBorders>
              <w:top w:val="single" w:sz="4" w:space="0" w:color="000000"/>
              <w:left w:val="single" w:sz="4" w:space="0" w:color="000000"/>
              <w:bottom w:val="single" w:sz="4" w:space="0" w:color="000000"/>
              <w:right w:val="single" w:sz="4" w:space="0" w:color="000000"/>
            </w:tcBorders>
            <w:hideMark/>
          </w:tcPr>
          <w:p w14:paraId="4D7561B9" w14:textId="77777777" w:rsidR="0064137F" w:rsidRPr="00B40A77" w:rsidRDefault="0064137F" w:rsidP="00B85DCA">
            <w:pPr>
              <w:kinsoku w:val="0"/>
              <w:overflowPunct w:val="0"/>
              <w:autoSpaceDE w:val="0"/>
              <w:autoSpaceDN w:val="0"/>
              <w:adjustRightInd w:val="0"/>
              <w:spacing w:before="6" w:after="240" w:line="242" w:lineRule="auto"/>
              <w:ind w:left="97" w:right="535" w:hanging="1"/>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Attendance</w:t>
            </w:r>
            <w:r w:rsidRPr="00B40A77">
              <w:rPr>
                <w:rFonts w:eastAsia="Times New Roman" w:cs="Times New Roman"/>
                <w:color w:val="000000" w:themeColor="text1"/>
                <w:spacing w:val="-23"/>
                <w:w w:val="105"/>
                <w:sz w:val="20"/>
                <w:szCs w:val="20"/>
              </w:rPr>
              <w:t xml:space="preserve"> </w:t>
            </w:r>
            <w:r w:rsidRPr="00B40A77">
              <w:rPr>
                <w:rFonts w:eastAsia="Times New Roman" w:cs="Times New Roman"/>
                <w:color w:val="000000" w:themeColor="text1"/>
                <w:w w:val="105"/>
                <w:sz w:val="20"/>
                <w:szCs w:val="20"/>
              </w:rPr>
              <w:t>where</w:t>
            </w:r>
            <w:r w:rsidRPr="00B40A77">
              <w:rPr>
                <w:rFonts w:eastAsia="Times New Roman" w:cs="Times New Roman"/>
                <w:color w:val="000000" w:themeColor="text1"/>
                <w:spacing w:val="-24"/>
                <w:w w:val="105"/>
                <w:sz w:val="20"/>
                <w:szCs w:val="20"/>
              </w:rPr>
              <w:t xml:space="preserve"> </w:t>
            </w:r>
            <w:r w:rsidRPr="00B40A77">
              <w:rPr>
                <w:rFonts w:eastAsia="Times New Roman" w:cs="Times New Roman"/>
                <w:color w:val="000000" w:themeColor="text1"/>
                <w:w w:val="105"/>
                <w:sz w:val="20"/>
                <w:szCs w:val="20"/>
              </w:rPr>
              <w:t>detailed</w:t>
            </w:r>
            <w:r w:rsidRPr="00B40A77">
              <w:rPr>
                <w:rFonts w:eastAsia="Times New Roman" w:cs="Times New Roman"/>
                <w:color w:val="000000" w:themeColor="text1"/>
                <w:spacing w:val="-22"/>
                <w:w w:val="105"/>
                <w:sz w:val="20"/>
                <w:szCs w:val="20"/>
              </w:rPr>
              <w:t xml:space="preserve"> </w:t>
            </w:r>
            <w:r w:rsidRPr="00B40A77">
              <w:rPr>
                <w:rFonts w:eastAsia="Times New Roman" w:cs="Times New Roman"/>
                <w:color w:val="000000" w:themeColor="text1"/>
                <w:w w:val="105"/>
                <w:sz w:val="20"/>
                <w:szCs w:val="20"/>
              </w:rPr>
              <w:t>argument</w:t>
            </w:r>
            <w:r w:rsidRPr="00B40A77">
              <w:rPr>
                <w:rFonts w:eastAsia="Times New Roman" w:cs="Times New Roman"/>
                <w:color w:val="000000" w:themeColor="text1"/>
                <w:spacing w:val="-23"/>
                <w:w w:val="105"/>
                <w:sz w:val="20"/>
                <w:szCs w:val="20"/>
              </w:rPr>
              <w:t xml:space="preserve"> </w:t>
            </w:r>
            <w:r w:rsidRPr="00B40A77">
              <w:rPr>
                <w:rFonts w:eastAsia="Times New Roman" w:cs="Times New Roman"/>
                <w:color w:val="000000" w:themeColor="text1"/>
                <w:w w:val="105"/>
                <w:sz w:val="20"/>
                <w:szCs w:val="20"/>
              </w:rPr>
              <w:t>is</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 xml:space="preserve">necessary </w:t>
            </w:r>
          </w:p>
        </w:tc>
        <w:tc>
          <w:tcPr>
            <w:tcW w:w="1701" w:type="dxa"/>
            <w:tcBorders>
              <w:top w:val="single" w:sz="4" w:space="0" w:color="000000"/>
              <w:left w:val="single" w:sz="4" w:space="0" w:color="000000"/>
              <w:bottom w:val="single" w:sz="4" w:space="0" w:color="000000"/>
              <w:right w:val="single" w:sz="4" w:space="0" w:color="000000"/>
            </w:tcBorders>
            <w:hideMark/>
          </w:tcPr>
          <w:p w14:paraId="2B32DD63" w14:textId="77777777" w:rsidR="0064137F" w:rsidRPr="00B40A77" w:rsidRDefault="0064137F" w:rsidP="00B85DCA">
            <w:pPr>
              <w:kinsoku w:val="0"/>
              <w:overflowPunct w:val="0"/>
              <w:autoSpaceDE w:val="0"/>
              <w:autoSpaceDN w:val="0"/>
              <w:adjustRightInd w:val="0"/>
              <w:spacing w:before="135"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$220</w:t>
            </w:r>
          </w:p>
        </w:tc>
        <w:tc>
          <w:tcPr>
            <w:tcW w:w="1701" w:type="dxa"/>
            <w:tcBorders>
              <w:top w:val="single" w:sz="4" w:space="0" w:color="000000"/>
              <w:left w:val="single" w:sz="4" w:space="0" w:color="000000"/>
              <w:bottom w:val="single" w:sz="4" w:space="0" w:color="000000"/>
              <w:right w:val="single" w:sz="4" w:space="0" w:color="000000"/>
            </w:tcBorders>
            <w:hideMark/>
          </w:tcPr>
          <w:p w14:paraId="5963D703" w14:textId="77777777" w:rsidR="0064137F" w:rsidRPr="00B40A77" w:rsidRDefault="0064137F" w:rsidP="00B85DCA">
            <w:pPr>
              <w:kinsoku w:val="0"/>
              <w:overflowPunct w:val="0"/>
              <w:autoSpaceDE w:val="0"/>
              <w:autoSpaceDN w:val="0"/>
              <w:adjustRightInd w:val="0"/>
              <w:spacing w:before="135"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$50</w:t>
            </w:r>
          </w:p>
        </w:tc>
      </w:tr>
      <w:tr w:rsidR="00B40A77" w:rsidRPr="00B40A77" w14:paraId="36352EC7" w14:textId="77777777" w:rsidTr="0064137F">
        <w:trPr>
          <w:trHeight w:hRule="exact" w:val="993"/>
        </w:trPr>
        <w:tc>
          <w:tcPr>
            <w:tcW w:w="567" w:type="dxa"/>
            <w:tcBorders>
              <w:top w:val="single" w:sz="4" w:space="0" w:color="000000"/>
              <w:left w:val="single" w:sz="4" w:space="0" w:color="000000"/>
              <w:bottom w:val="single" w:sz="4" w:space="0" w:color="000000"/>
              <w:right w:val="single" w:sz="4" w:space="0" w:color="000000"/>
            </w:tcBorders>
            <w:hideMark/>
          </w:tcPr>
          <w:p w14:paraId="35A86FEE"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6</w:t>
            </w:r>
          </w:p>
        </w:tc>
        <w:tc>
          <w:tcPr>
            <w:tcW w:w="4427" w:type="dxa"/>
            <w:tcBorders>
              <w:top w:val="single" w:sz="4" w:space="0" w:color="000000"/>
              <w:left w:val="single" w:sz="4" w:space="0" w:color="000000"/>
              <w:bottom w:val="single" w:sz="4" w:space="0" w:color="000000"/>
              <w:right w:val="single" w:sz="4" w:space="0" w:color="000000"/>
            </w:tcBorders>
            <w:hideMark/>
          </w:tcPr>
          <w:p w14:paraId="19DABC2E" w14:textId="77777777" w:rsidR="0064137F" w:rsidRPr="00B40A77" w:rsidRDefault="0064137F" w:rsidP="00B85DCA">
            <w:pPr>
              <w:kinsoku w:val="0"/>
              <w:overflowPunct w:val="0"/>
              <w:autoSpaceDE w:val="0"/>
              <w:autoSpaceDN w:val="0"/>
              <w:adjustRightInd w:val="0"/>
              <w:spacing w:before="6" w:after="240" w:line="242" w:lineRule="auto"/>
              <w:ind w:left="97" w:right="182" w:hanging="1"/>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Arranging attendance of</w:t>
            </w:r>
            <w:r w:rsidRPr="00B40A77">
              <w:rPr>
                <w:rFonts w:eastAsia="Times New Roman" w:cs="Times New Roman"/>
                <w:color w:val="000000" w:themeColor="text1"/>
                <w:spacing w:val="-20"/>
                <w:w w:val="105"/>
                <w:sz w:val="20"/>
                <w:szCs w:val="20"/>
              </w:rPr>
              <w:t xml:space="preserve"> </w:t>
            </w:r>
            <w:r w:rsidRPr="00B40A77">
              <w:rPr>
                <w:rFonts w:eastAsia="Times New Roman" w:cs="Times New Roman"/>
                <w:color w:val="000000" w:themeColor="text1"/>
                <w:w w:val="105"/>
                <w:sz w:val="20"/>
                <w:szCs w:val="20"/>
              </w:rPr>
              <w:t>witnesses</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(including</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issue</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service</w:t>
            </w:r>
            <w:r w:rsidRPr="00B40A77">
              <w:rPr>
                <w:rFonts w:eastAsia="Times New Roman" w:cs="Times New Roman"/>
                <w:color w:val="000000" w:themeColor="text1"/>
                <w:spacing w:val="-19"/>
                <w:w w:val="105"/>
                <w:sz w:val="20"/>
                <w:szCs w:val="20"/>
              </w:rPr>
              <w:t xml:space="preserve"> </w:t>
            </w:r>
            <w:r w:rsidRPr="00B40A77">
              <w:rPr>
                <w:rFonts w:eastAsia="Times New Roman" w:cs="Times New Roman"/>
                <w:color w:val="000000" w:themeColor="text1"/>
                <w:w w:val="105"/>
                <w:sz w:val="20"/>
                <w:szCs w:val="20"/>
              </w:rPr>
              <w:t>of</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summons</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if</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necessary) - per</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witness</w:t>
            </w:r>
          </w:p>
        </w:tc>
        <w:tc>
          <w:tcPr>
            <w:tcW w:w="1701" w:type="dxa"/>
            <w:tcBorders>
              <w:top w:val="single" w:sz="4" w:space="0" w:color="000000"/>
              <w:left w:val="single" w:sz="4" w:space="0" w:color="000000"/>
              <w:bottom w:val="single" w:sz="4" w:space="0" w:color="000000"/>
              <w:right w:val="single" w:sz="4" w:space="0" w:color="000000"/>
            </w:tcBorders>
          </w:tcPr>
          <w:p w14:paraId="7771E575" w14:textId="77777777" w:rsidR="0064137F" w:rsidRPr="00B40A77" w:rsidRDefault="0064137F" w:rsidP="00B85DCA">
            <w:pPr>
              <w:kinsoku w:val="0"/>
              <w:overflowPunct w:val="0"/>
              <w:autoSpaceDE w:val="0"/>
              <w:autoSpaceDN w:val="0"/>
              <w:adjustRightInd w:val="0"/>
              <w:spacing w:before="240"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$110</w:t>
            </w:r>
          </w:p>
        </w:tc>
        <w:tc>
          <w:tcPr>
            <w:tcW w:w="1701" w:type="dxa"/>
            <w:tcBorders>
              <w:top w:val="single" w:sz="4" w:space="0" w:color="000000"/>
              <w:left w:val="single" w:sz="4" w:space="0" w:color="000000"/>
              <w:bottom w:val="single" w:sz="4" w:space="0" w:color="000000"/>
              <w:right w:val="single" w:sz="4" w:space="0" w:color="000000"/>
            </w:tcBorders>
          </w:tcPr>
          <w:p w14:paraId="677CB4E9" w14:textId="77777777" w:rsidR="0064137F" w:rsidRPr="00B40A77" w:rsidRDefault="0064137F" w:rsidP="00B85DCA">
            <w:pPr>
              <w:autoSpaceDE w:val="0"/>
              <w:autoSpaceDN w:val="0"/>
              <w:adjustRightInd w:val="0"/>
              <w:spacing w:before="240" w:after="240" w:line="254" w:lineRule="auto"/>
              <w:rPr>
                <w:rFonts w:eastAsia="Times New Roman" w:cs="Times New Roman"/>
                <w:color w:val="000000" w:themeColor="text1"/>
                <w:sz w:val="20"/>
                <w:szCs w:val="20"/>
              </w:rPr>
            </w:pPr>
          </w:p>
        </w:tc>
      </w:tr>
      <w:tr w:rsidR="00B40A77" w:rsidRPr="00B40A77" w14:paraId="3016370E" w14:textId="77777777" w:rsidTr="0064137F">
        <w:trPr>
          <w:trHeight w:hRule="exact" w:val="542"/>
        </w:trPr>
        <w:tc>
          <w:tcPr>
            <w:tcW w:w="567" w:type="dxa"/>
            <w:tcBorders>
              <w:top w:val="single" w:sz="4" w:space="0" w:color="000000"/>
              <w:left w:val="single" w:sz="4" w:space="0" w:color="000000"/>
              <w:bottom w:val="single" w:sz="4" w:space="0" w:color="000000"/>
              <w:right w:val="single" w:sz="4" w:space="0" w:color="000000"/>
            </w:tcBorders>
          </w:tcPr>
          <w:p w14:paraId="315063DB" w14:textId="77777777" w:rsidR="0064137F" w:rsidRPr="00B40A77" w:rsidRDefault="0064137F" w:rsidP="00B85DCA">
            <w:pPr>
              <w:autoSpaceDE w:val="0"/>
              <w:autoSpaceDN w:val="0"/>
              <w:adjustRightInd w:val="0"/>
              <w:spacing w:before="240" w:after="240" w:line="254" w:lineRule="auto"/>
              <w:rPr>
                <w:rFonts w:eastAsia="Times New Roman" w:cs="Times New Roman"/>
                <w:color w:val="000000" w:themeColor="text1"/>
                <w:sz w:val="20"/>
                <w:szCs w:val="20"/>
              </w:rPr>
            </w:pPr>
          </w:p>
        </w:tc>
        <w:tc>
          <w:tcPr>
            <w:tcW w:w="7829" w:type="dxa"/>
            <w:gridSpan w:val="3"/>
            <w:tcBorders>
              <w:top w:val="single" w:sz="4" w:space="0" w:color="000000"/>
              <w:left w:val="single" w:sz="4" w:space="0" w:color="000000"/>
              <w:bottom w:val="single" w:sz="4" w:space="0" w:color="000000"/>
              <w:right w:val="single" w:sz="4" w:space="0" w:color="000000"/>
            </w:tcBorders>
            <w:hideMark/>
          </w:tcPr>
          <w:p w14:paraId="7413A10C" w14:textId="77777777" w:rsidR="0064137F" w:rsidRPr="00B40A77" w:rsidRDefault="0064137F" w:rsidP="00B85DCA">
            <w:pPr>
              <w:kinsoku w:val="0"/>
              <w:overflowPunct w:val="0"/>
              <w:autoSpaceDE w:val="0"/>
              <w:autoSpaceDN w:val="0"/>
              <w:adjustRightInd w:val="0"/>
              <w:spacing w:before="142" w:after="240" w:line="254" w:lineRule="auto"/>
              <w:ind w:left="153"/>
              <w:rPr>
                <w:rFonts w:eastAsia="Times New Roman" w:cs="Times New Roman"/>
                <w:color w:val="000000" w:themeColor="text1"/>
                <w:sz w:val="20"/>
                <w:szCs w:val="20"/>
              </w:rPr>
            </w:pPr>
            <w:r w:rsidRPr="00B40A77">
              <w:rPr>
                <w:rFonts w:eastAsia="Times New Roman" w:cs="Times New Roman"/>
                <w:b/>
                <w:bCs/>
                <w:color w:val="000000" w:themeColor="text1"/>
                <w:w w:val="105"/>
                <w:sz w:val="20"/>
                <w:szCs w:val="20"/>
              </w:rPr>
              <w:t>Counsel</w:t>
            </w:r>
            <w:r w:rsidRPr="00B40A77">
              <w:rPr>
                <w:rFonts w:eastAsia="Times New Roman" w:cs="Times New Roman"/>
                <w:b/>
                <w:bCs/>
                <w:color w:val="000000" w:themeColor="text1"/>
                <w:spacing w:val="-4"/>
                <w:w w:val="105"/>
                <w:sz w:val="20"/>
                <w:szCs w:val="20"/>
              </w:rPr>
              <w:t xml:space="preserve"> </w:t>
            </w:r>
            <w:r w:rsidRPr="00B40A77">
              <w:rPr>
                <w:rFonts w:eastAsia="Times New Roman" w:cs="Times New Roman"/>
                <w:b/>
                <w:bCs/>
                <w:color w:val="000000" w:themeColor="text1"/>
                <w:w w:val="105"/>
                <w:sz w:val="20"/>
                <w:szCs w:val="20"/>
              </w:rPr>
              <w:t>fees</w:t>
            </w:r>
          </w:p>
        </w:tc>
      </w:tr>
      <w:tr w:rsidR="00B40A77" w:rsidRPr="00B40A77" w14:paraId="7539416C" w14:textId="77777777" w:rsidTr="0064137F">
        <w:trPr>
          <w:trHeight w:hRule="exact" w:val="741"/>
        </w:trPr>
        <w:tc>
          <w:tcPr>
            <w:tcW w:w="567" w:type="dxa"/>
            <w:tcBorders>
              <w:top w:val="single" w:sz="4" w:space="0" w:color="000000"/>
              <w:left w:val="single" w:sz="4" w:space="0" w:color="000000"/>
              <w:bottom w:val="single" w:sz="4" w:space="0" w:color="000000"/>
              <w:right w:val="single" w:sz="4" w:space="0" w:color="000000"/>
            </w:tcBorders>
            <w:hideMark/>
          </w:tcPr>
          <w:p w14:paraId="5F4AEAED" w14:textId="77777777" w:rsidR="0064137F" w:rsidRPr="00B40A77" w:rsidRDefault="0064137F" w:rsidP="00B85DCA">
            <w:pPr>
              <w:kinsoku w:val="0"/>
              <w:overflowPunct w:val="0"/>
              <w:autoSpaceDE w:val="0"/>
              <w:autoSpaceDN w:val="0"/>
              <w:adjustRightInd w:val="0"/>
              <w:spacing w:before="7"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7</w:t>
            </w:r>
          </w:p>
        </w:tc>
        <w:tc>
          <w:tcPr>
            <w:tcW w:w="4427" w:type="dxa"/>
            <w:tcBorders>
              <w:top w:val="single" w:sz="4" w:space="0" w:color="000000"/>
              <w:left w:val="single" w:sz="4" w:space="0" w:color="000000"/>
              <w:bottom w:val="single" w:sz="4" w:space="0" w:color="000000"/>
              <w:right w:val="single" w:sz="4" w:space="0" w:color="000000"/>
            </w:tcBorders>
            <w:hideMark/>
          </w:tcPr>
          <w:p w14:paraId="582373F1" w14:textId="77777777" w:rsidR="0064137F" w:rsidRPr="00B40A77" w:rsidRDefault="0064137F" w:rsidP="00B85DCA">
            <w:pPr>
              <w:kinsoku w:val="0"/>
              <w:overflowPunct w:val="0"/>
              <w:autoSpaceDE w:val="0"/>
              <w:autoSpaceDN w:val="0"/>
              <w:adjustRightInd w:val="0"/>
              <w:spacing w:before="7" w:after="240"/>
              <w:ind w:left="97" w:right="187" w:hanging="1"/>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Fee</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on</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brief,</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to</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include</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attendance</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for</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plea</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or</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withdrawal</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(if</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separate</w:t>
            </w:r>
            <w:r w:rsidRPr="00B40A77">
              <w:rPr>
                <w:rFonts w:eastAsia="Times New Roman" w:cs="Times New Roman"/>
                <w:color w:val="000000" w:themeColor="text1"/>
                <w:spacing w:val="-19"/>
                <w:w w:val="105"/>
                <w:sz w:val="20"/>
                <w:szCs w:val="20"/>
              </w:rPr>
              <w:t xml:space="preserve"> </w:t>
            </w:r>
            <w:r w:rsidRPr="00B40A77">
              <w:rPr>
                <w:rFonts w:eastAsia="Times New Roman" w:cs="Times New Roman"/>
                <w:color w:val="000000" w:themeColor="text1"/>
                <w:w w:val="105"/>
                <w:sz w:val="20"/>
                <w:szCs w:val="20"/>
              </w:rPr>
              <w:t>counsel</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briefed)</w:t>
            </w:r>
          </w:p>
        </w:tc>
        <w:tc>
          <w:tcPr>
            <w:tcW w:w="1701" w:type="dxa"/>
            <w:tcBorders>
              <w:top w:val="single" w:sz="4" w:space="0" w:color="000000"/>
              <w:left w:val="single" w:sz="4" w:space="0" w:color="000000"/>
              <w:bottom w:val="single" w:sz="4" w:space="0" w:color="000000"/>
              <w:right w:val="single" w:sz="4" w:space="0" w:color="000000"/>
            </w:tcBorders>
            <w:hideMark/>
          </w:tcPr>
          <w:p w14:paraId="6323C954" w14:textId="77777777" w:rsidR="0064137F" w:rsidRPr="00B40A77" w:rsidRDefault="0064137F" w:rsidP="00B85DCA">
            <w:pPr>
              <w:kinsoku w:val="0"/>
              <w:overflowPunct w:val="0"/>
              <w:autoSpaceDE w:val="0"/>
              <w:autoSpaceDN w:val="0"/>
              <w:adjustRightInd w:val="0"/>
              <w:spacing w:before="136"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$1,100</w:t>
            </w:r>
          </w:p>
        </w:tc>
        <w:tc>
          <w:tcPr>
            <w:tcW w:w="1701" w:type="dxa"/>
            <w:tcBorders>
              <w:top w:val="single" w:sz="4" w:space="0" w:color="000000"/>
              <w:left w:val="single" w:sz="4" w:space="0" w:color="000000"/>
              <w:bottom w:val="single" w:sz="4" w:space="0" w:color="000000"/>
              <w:right w:val="single" w:sz="4" w:space="0" w:color="000000"/>
            </w:tcBorders>
            <w:hideMark/>
          </w:tcPr>
          <w:p w14:paraId="6EEF811E" w14:textId="77777777" w:rsidR="0064137F" w:rsidRPr="00B40A77" w:rsidRDefault="0064137F" w:rsidP="00B85DCA">
            <w:pPr>
              <w:kinsoku w:val="0"/>
              <w:overflowPunct w:val="0"/>
              <w:autoSpaceDE w:val="0"/>
              <w:autoSpaceDN w:val="0"/>
              <w:adjustRightInd w:val="0"/>
              <w:spacing w:before="136"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$280</w:t>
            </w:r>
          </w:p>
        </w:tc>
      </w:tr>
      <w:tr w:rsidR="00B40A77" w:rsidRPr="00B40A77" w14:paraId="127D6DF5" w14:textId="77777777" w:rsidTr="0064137F">
        <w:trPr>
          <w:trHeight w:hRule="exact" w:val="432"/>
        </w:trPr>
        <w:tc>
          <w:tcPr>
            <w:tcW w:w="567" w:type="dxa"/>
            <w:tcBorders>
              <w:top w:val="single" w:sz="4" w:space="0" w:color="000000"/>
              <w:left w:val="single" w:sz="4" w:space="0" w:color="000000"/>
              <w:bottom w:val="single" w:sz="4" w:space="0" w:color="000000"/>
              <w:right w:val="single" w:sz="4" w:space="0" w:color="000000"/>
            </w:tcBorders>
            <w:hideMark/>
          </w:tcPr>
          <w:p w14:paraId="308FD13C" w14:textId="77777777" w:rsidR="0064137F" w:rsidRPr="00B40A77" w:rsidRDefault="0064137F" w:rsidP="00B85DCA">
            <w:pPr>
              <w:kinsoku w:val="0"/>
              <w:overflowPunct w:val="0"/>
              <w:autoSpaceDE w:val="0"/>
              <w:autoSpaceDN w:val="0"/>
              <w:adjustRightInd w:val="0"/>
              <w:spacing w:before="6" w:after="240" w:line="254" w:lineRule="auto"/>
              <w:jc w:val="center"/>
              <w:rPr>
                <w:rFonts w:eastAsia="Times New Roman" w:cs="Times New Roman"/>
                <w:color w:val="000000" w:themeColor="text1"/>
                <w:sz w:val="20"/>
                <w:szCs w:val="20"/>
              </w:rPr>
            </w:pPr>
            <w:r w:rsidRPr="00B40A77">
              <w:rPr>
                <w:rFonts w:eastAsia="Times New Roman" w:cs="Times New Roman"/>
                <w:color w:val="000000" w:themeColor="text1"/>
                <w:w w:val="102"/>
                <w:sz w:val="20"/>
                <w:szCs w:val="20"/>
              </w:rPr>
              <w:t>8</w:t>
            </w:r>
          </w:p>
        </w:tc>
        <w:tc>
          <w:tcPr>
            <w:tcW w:w="4427" w:type="dxa"/>
            <w:tcBorders>
              <w:top w:val="single" w:sz="4" w:space="0" w:color="000000"/>
              <w:left w:val="single" w:sz="4" w:space="0" w:color="000000"/>
              <w:bottom w:val="single" w:sz="4" w:space="0" w:color="000000"/>
              <w:right w:val="single" w:sz="4" w:space="0" w:color="000000"/>
            </w:tcBorders>
            <w:hideMark/>
          </w:tcPr>
          <w:p w14:paraId="185AAE29" w14:textId="77777777" w:rsidR="0064137F" w:rsidRPr="00B40A77" w:rsidRDefault="0064137F" w:rsidP="00B85DCA">
            <w:pPr>
              <w:kinsoku w:val="0"/>
              <w:overflowPunct w:val="0"/>
              <w:autoSpaceDE w:val="0"/>
              <w:autoSpaceDN w:val="0"/>
              <w:adjustRightInd w:val="0"/>
              <w:spacing w:before="6" w:after="240" w:line="254" w:lineRule="auto"/>
              <w:ind w:left="9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Each</w:t>
            </w:r>
            <w:r w:rsidRPr="00B40A77">
              <w:rPr>
                <w:rFonts w:eastAsia="Times New Roman" w:cs="Times New Roman"/>
                <w:color w:val="000000" w:themeColor="text1"/>
                <w:spacing w:val="-2"/>
                <w:w w:val="105"/>
                <w:sz w:val="20"/>
                <w:szCs w:val="20"/>
              </w:rPr>
              <w:t xml:space="preserve"> </w:t>
            </w:r>
            <w:r w:rsidRPr="00B40A77">
              <w:rPr>
                <w:rFonts w:eastAsia="Times New Roman" w:cs="Times New Roman"/>
                <w:color w:val="000000" w:themeColor="text1"/>
                <w:w w:val="105"/>
                <w:sz w:val="20"/>
                <w:szCs w:val="20"/>
              </w:rPr>
              <w:t>day</w:t>
            </w:r>
          </w:p>
        </w:tc>
        <w:tc>
          <w:tcPr>
            <w:tcW w:w="1701" w:type="dxa"/>
            <w:tcBorders>
              <w:top w:val="single" w:sz="4" w:space="0" w:color="000000"/>
              <w:left w:val="single" w:sz="4" w:space="0" w:color="000000"/>
              <w:bottom w:val="single" w:sz="4" w:space="0" w:color="000000"/>
              <w:right w:val="single" w:sz="4" w:space="0" w:color="000000"/>
            </w:tcBorders>
            <w:hideMark/>
          </w:tcPr>
          <w:p w14:paraId="69D819AF" w14:textId="77777777" w:rsidR="0064137F" w:rsidRPr="00B40A77" w:rsidRDefault="0064137F" w:rsidP="00B85DCA">
            <w:pPr>
              <w:kinsoku w:val="0"/>
              <w:overflowPunct w:val="0"/>
              <w:autoSpaceDE w:val="0"/>
              <w:autoSpaceDN w:val="0"/>
              <w:adjustRightInd w:val="0"/>
              <w:spacing w:before="6" w:after="240" w:line="254" w:lineRule="auto"/>
              <w:ind w:left="54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$1,650</w:t>
            </w:r>
          </w:p>
        </w:tc>
        <w:tc>
          <w:tcPr>
            <w:tcW w:w="1701" w:type="dxa"/>
            <w:tcBorders>
              <w:top w:val="single" w:sz="4" w:space="0" w:color="000000"/>
              <w:left w:val="single" w:sz="4" w:space="0" w:color="000000"/>
              <w:bottom w:val="single" w:sz="4" w:space="0" w:color="000000"/>
              <w:right w:val="single" w:sz="4" w:space="0" w:color="000000"/>
            </w:tcBorders>
            <w:hideMark/>
          </w:tcPr>
          <w:p w14:paraId="225E30A8" w14:textId="77777777" w:rsidR="0064137F" w:rsidRPr="00B40A77" w:rsidRDefault="0064137F" w:rsidP="00B85DCA">
            <w:pPr>
              <w:kinsoku w:val="0"/>
              <w:overflowPunct w:val="0"/>
              <w:autoSpaceDE w:val="0"/>
              <w:autoSpaceDN w:val="0"/>
              <w:adjustRightInd w:val="0"/>
              <w:spacing w:before="6" w:after="240" w:line="254" w:lineRule="auto"/>
              <w:ind w:right="1"/>
              <w:jc w:val="center"/>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$410</w:t>
            </w:r>
          </w:p>
        </w:tc>
      </w:tr>
    </w:tbl>
    <w:p w14:paraId="5B74E751" w14:textId="738FB33F" w:rsidR="001D1CDA" w:rsidRPr="00B40A77" w:rsidRDefault="001D1CDA" w:rsidP="001D1CDA">
      <w:pPr>
        <w:kinsoku w:val="0"/>
        <w:overflowPunct w:val="0"/>
        <w:autoSpaceDE w:val="0"/>
        <w:autoSpaceDN w:val="0"/>
        <w:adjustRightInd w:val="0"/>
        <w:spacing w:before="69"/>
        <w:ind w:left="851"/>
        <w:rPr>
          <w:rFonts w:cs="Times New Roman"/>
          <w:color w:val="000000" w:themeColor="text1"/>
          <w:w w:val="105"/>
          <w:szCs w:val="23"/>
        </w:rPr>
      </w:pPr>
      <w:r w:rsidRPr="00B40A77">
        <w:rPr>
          <w:rFonts w:cs="Times New Roman"/>
          <w:color w:val="000000" w:themeColor="text1"/>
          <w:w w:val="105"/>
          <w:szCs w:val="23"/>
        </w:rPr>
        <w:t>Notes to Table 1:</w:t>
      </w:r>
    </w:p>
    <w:p w14:paraId="2EDAF228" w14:textId="77777777" w:rsidR="001D1CDA" w:rsidRPr="00B40A77" w:rsidRDefault="001D1CDA" w:rsidP="001D1CDA">
      <w:pPr>
        <w:numPr>
          <w:ilvl w:val="0"/>
          <w:numId w:val="23"/>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The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fees</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set</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out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items</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1</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2</w:t>
      </w:r>
      <w:r w:rsidRPr="00B40A77">
        <w:rPr>
          <w:rFonts w:cs="Times New Roman"/>
          <w:color w:val="000000" w:themeColor="text1"/>
          <w:spacing w:val="-12"/>
          <w:w w:val="105"/>
          <w:szCs w:val="23"/>
        </w:rPr>
        <w:t xml:space="preserve"> of Table 1 </w:t>
      </w:r>
      <w:r w:rsidRPr="00B40A77">
        <w:rPr>
          <w:rFonts w:cs="Times New Roman"/>
          <w:color w:val="000000" w:themeColor="text1"/>
          <w:w w:val="105"/>
          <w:szCs w:val="23"/>
        </w:rPr>
        <w:t>cover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all</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necessary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attendances</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preparatory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work</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for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trial</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(other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than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attendance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at</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pre-trial</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conference).</w:t>
      </w:r>
      <w:r w:rsidRPr="00B40A77">
        <w:rPr>
          <w:rFonts w:cs="Times New Roman"/>
          <w:color w:val="000000" w:themeColor="text1"/>
          <w:spacing w:val="33"/>
          <w:w w:val="105"/>
          <w:szCs w:val="23"/>
        </w:rPr>
        <w:t xml:space="preserve"> </w:t>
      </w:r>
      <w:r w:rsidRPr="00B40A77">
        <w:rPr>
          <w:rFonts w:cs="Times New Roman"/>
          <w:color w:val="000000" w:themeColor="text1"/>
          <w:w w:val="105"/>
          <w:szCs w:val="23"/>
        </w:rPr>
        <w:lastRenderedPageBreak/>
        <w:t>Where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an</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attendance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is</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unnecessary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because of</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default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by</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one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other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party,</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order</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should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sought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and</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made</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at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that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hearing.</w:t>
      </w:r>
      <w:r w:rsidRPr="00B40A77">
        <w:rPr>
          <w:rFonts w:cs="Times New Roman"/>
          <w:color w:val="000000" w:themeColor="text1"/>
          <w:spacing w:val="33"/>
          <w:w w:val="105"/>
          <w:szCs w:val="23"/>
        </w:rPr>
        <w:t xml:space="preserve"> </w:t>
      </w:r>
    </w:p>
    <w:p w14:paraId="2088B94E" w14:textId="59F321AB" w:rsidR="001D1CDA" w:rsidRPr="00B40A77" w:rsidRDefault="001D1CDA" w:rsidP="001D1CDA">
      <w:pPr>
        <w:numPr>
          <w:ilvl w:val="0"/>
          <w:numId w:val="23"/>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The</w:t>
      </w:r>
      <w:r w:rsidRPr="00B40A77">
        <w:rPr>
          <w:rFonts w:cs="Times New Roman"/>
          <w:color w:val="000000" w:themeColor="text1"/>
          <w:spacing w:val="-14"/>
          <w:w w:val="105"/>
          <w:szCs w:val="23"/>
        </w:rPr>
        <w:t xml:space="preserve"> </w:t>
      </w:r>
      <w:r w:rsidRPr="00B40A77">
        <w:rPr>
          <w:rFonts w:cs="Times New Roman"/>
          <w:color w:val="000000" w:themeColor="text1"/>
          <w:w w:val="105"/>
          <w:szCs w:val="23"/>
        </w:rPr>
        <w:t>fee</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set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out</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item</w:t>
      </w:r>
      <w:r w:rsidRPr="00B40A77">
        <w:rPr>
          <w:rFonts w:cs="Times New Roman"/>
          <w:color w:val="000000" w:themeColor="text1"/>
          <w:spacing w:val="-15"/>
          <w:w w:val="105"/>
          <w:szCs w:val="23"/>
        </w:rPr>
        <w:t xml:space="preserve"> </w:t>
      </w:r>
      <w:r w:rsidRPr="00B40A77">
        <w:rPr>
          <w:rFonts w:cs="Times New Roman"/>
          <w:color w:val="000000" w:themeColor="text1"/>
          <w:w w:val="105"/>
          <w:szCs w:val="23"/>
        </w:rPr>
        <w:t>4</w:t>
      </w:r>
      <w:r w:rsidRPr="00B40A77">
        <w:rPr>
          <w:rFonts w:cs="Times New Roman"/>
          <w:color w:val="000000" w:themeColor="text1"/>
          <w:spacing w:val="-13"/>
          <w:w w:val="105"/>
          <w:szCs w:val="23"/>
        </w:rPr>
        <w:t xml:space="preserve"> of Table 1 </w:t>
      </w:r>
      <w:r w:rsidRPr="00B40A77">
        <w:rPr>
          <w:rFonts w:cs="Times New Roman"/>
          <w:color w:val="000000" w:themeColor="text1"/>
          <w:w w:val="105"/>
          <w:szCs w:val="23"/>
        </w:rPr>
        <w:t>should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be</w:t>
      </w:r>
      <w:r w:rsidRPr="00B40A77">
        <w:rPr>
          <w:rFonts w:cs="Times New Roman"/>
          <w:color w:val="000000" w:themeColor="text1"/>
          <w:spacing w:val="-12"/>
          <w:w w:val="105"/>
          <w:szCs w:val="23"/>
        </w:rPr>
        <w:t xml:space="preserve"> </w:t>
      </w:r>
      <w:r w:rsidRPr="00B40A77">
        <w:rPr>
          <w:rFonts w:cs="Times New Roman"/>
          <w:color w:val="000000" w:themeColor="text1"/>
          <w:w w:val="105"/>
          <w:szCs w:val="23"/>
        </w:rPr>
        <w:t>used</w:t>
      </w:r>
      <w:r w:rsidRPr="00B40A77">
        <w:rPr>
          <w:rFonts w:cs="Times New Roman"/>
          <w:color w:val="000000" w:themeColor="text1"/>
          <w:spacing w:val="-13"/>
          <w:w w:val="105"/>
          <w:szCs w:val="23"/>
        </w:rPr>
        <w:t xml:space="preserve"> </w:t>
      </w:r>
      <w:r w:rsidRPr="00B40A77">
        <w:rPr>
          <w:rFonts w:cs="Times New Roman"/>
          <w:color w:val="000000" w:themeColor="text1"/>
          <w:w w:val="105"/>
          <w:szCs w:val="23"/>
        </w:rPr>
        <w:t>in case of default by one or other party.</w:t>
      </w:r>
    </w:p>
    <w:tbl>
      <w:tblPr>
        <w:tblW w:w="8647" w:type="dxa"/>
        <w:tblInd w:w="704" w:type="dxa"/>
        <w:tblLayout w:type="fixed"/>
        <w:tblCellMar>
          <w:left w:w="0" w:type="dxa"/>
          <w:right w:w="0" w:type="dxa"/>
        </w:tblCellMar>
        <w:tblLook w:val="04A0" w:firstRow="1" w:lastRow="0" w:firstColumn="1" w:lastColumn="0" w:noHBand="0" w:noVBand="1"/>
      </w:tblPr>
      <w:tblGrid>
        <w:gridCol w:w="851"/>
        <w:gridCol w:w="3402"/>
        <w:gridCol w:w="4394"/>
      </w:tblGrid>
      <w:tr w:rsidR="00B40A77" w:rsidRPr="00B40A77" w14:paraId="78819910" w14:textId="77777777" w:rsidTr="00B85DCA">
        <w:trPr>
          <w:trHeight w:val="478"/>
        </w:trPr>
        <w:tc>
          <w:tcPr>
            <w:tcW w:w="8647" w:type="dxa"/>
            <w:gridSpan w:val="3"/>
            <w:tcBorders>
              <w:top w:val="single" w:sz="4" w:space="0" w:color="000000"/>
              <w:left w:val="single" w:sz="4" w:space="0" w:color="000000"/>
              <w:bottom w:val="single" w:sz="4" w:space="0" w:color="000000"/>
              <w:right w:val="single" w:sz="4" w:space="0" w:color="auto"/>
            </w:tcBorders>
          </w:tcPr>
          <w:p w14:paraId="37880702"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 xml:space="preserve">Table 2 – Witness Fees and disbursements </w:t>
            </w:r>
          </w:p>
        </w:tc>
      </w:tr>
      <w:tr w:rsidR="00B40A77" w:rsidRPr="00B40A77" w14:paraId="3A1AED4E" w14:textId="77777777" w:rsidTr="00B85DCA">
        <w:trPr>
          <w:trHeight w:val="564"/>
        </w:trPr>
        <w:tc>
          <w:tcPr>
            <w:tcW w:w="851" w:type="dxa"/>
            <w:tcBorders>
              <w:top w:val="single" w:sz="4" w:space="0" w:color="000000"/>
              <w:left w:val="single" w:sz="4" w:space="0" w:color="000000"/>
              <w:bottom w:val="single" w:sz="4" w:space="0" w:color="000000"/>
              <w:right w:val="single" w:sz="4" w:space="0" w:color="auto"/>
            </w:tcBorders>
          </w:tcPr>
          <w:p w14:paraId="1ED9E3A4"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Item</w:t>
            </w:r>
          </w:p>
        </w:tc>
        <w:tc>
          <w:tcPr>
            <w:tcW w:w="3402" w:type="dxa"/>
            <w:tcBorders>
              <w:top w:val="single" w:sz="4" w:space="0" w:color="000000"/>
              <w:left w:val="single" w:sz="4" w:space="0" w:color="000000"/>
              <w:bottom w:val="single" w:sz="4" w:space="0" w:color="000000"/>
              <w:right w:val="single" w:sz="4" w:space="0" w:color="auto"/>
            </w:tcBorders>
            <w:hideMark/>
          </w:tcPr>
          <w:p w14:paraId="27FEC28D"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color w:val="000000" w:themeColor="text1"/>
                <w:w w:val="105"/>
                <w:sz w:val="20"/>
                <w:szCs w:val="20"/>
              </w:rPr>
            </w:pPr>
            <w:r w:rsidRPr="00B40A77">
              <w:rPr>
                <w:rFonts w:eastAsia="Times New Roman" w:cs="Times New Roman"/>
                <w:b/>
                <w:bCs/>
                <w:color w:val="000000" w:themeColor="text1"/>
                <w:w w:val="105"/>
                <w:sz w:val="20"/>
                <w:szCs w:val="20"/>
              </w:rPr>
              <w:t xml:space="preserve">Description </w:t>
            </w:r>
          </w:p>
        </w:tc>
        <w:tc>
          <w:tcPr>
            <w:tcW w:w="4394" w:type="dxa"/>
            <w:tcBorders>
              <w:top w:val="single" w:sz="4" w:space="0" w:color="000000"/>
              <w:left w:val="single" w:sz="4" w:space="0" w:color="000000"/>
              <w:bottom w:val="single" w:sz="4" w:space="0" w:color="000000"/>
              <w:right w:val="single" w:sz="4" w:space="0" w:color="auto"/>
            </w:tcBorders>
          </w:tcPr>
          <w:p w14:paraId="737A68FF"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 xml:space="preserve">Amount </w:t>
            </w:r>
          </w:p>
        </w:tc>
      </w:tr>
      <w:tr w:rsidR="00B40A77" w:rsidRPr="00B40A77" w14:paraId="1986483F" w14:textId="77777777" w:rsidTr="00B85DCA">
        <w:trPr>
          <w:trHeight w:val="509"/>
        </w:trPr>
        <w:tc>
          <w:tcPr>
            <w:tcW w:w="851" w:type="dxa"/>
            <w:tcBorders>
              <w:top w:val="single" w:sz="4" w:space="0" w:color="000000"/>
              <w:left w:val="single" w:sz="4" w:space="0" w:color="000000"/>
              <w:bottom w:val="single" w:sz="4" w:space="0" w:color="000000"/>
              <w:right w:val="single" w:sz="4" w:space="0" w:color="auto"/>
            </w:tcBorders>
          </w:tcPr>
          <w:p w14:paraId="360EAE1E"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b/>
                <w:bCs/>
                <w:color w:val="000000" w:themeColor="text1"/>
                <w:w w:val="105"/>
                <w:sz w:val="20"/>
                <w:szCs w:val="20"/>
              </w:rPr>
            </w:pPr>
          </w:p>
        </w:tc>
        <w:tc>
          <w:tcPr>
            <w:tcW w:w="7796" w:type="dxa"/>
            <w:gridSpan w:val="2"/>
            <w:tcBorders>
              <w:top w:val="single" w:sz="4" w:space="0" w:color="000000"/>
              <w:left w:val="single" w:sz="4" w:space="0" w:color="000000"/>
              <w:bottom w:val="single" w:sz="4" w:space="0" w:color="000000"/>
              <w:right w:val="single" w:sz="4" w:space="0" w:color="auto"/>
            </w:tcBorders>
          </w:tcPr>
          <w:p w14:paraId="6C3A7423"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 xml:space="preserve">Witness Fees </w:t>
            </w:r>
          </w:p>
        </w:tc>
      </w:tr>
      <w:tr w:rsidR="00B40A77" w:rsidRPr="00B40A77" w14:paraId="2F586E65" w14:textId="77777777" w:rsidTr="00B85DCA">
        <w:trPr>
          <w:trHeight w:hRule="exact" w:val="828"/>
        </w:trPr>
        <w:tc>
          <w:tcPr>
            <w:tcW w:w="851" w:type="dxa"/>
            <w:tcBorders>
              <w:top w:val="single" w:sz="4" w:space="0" w:color="000000"/>
              <w:left w:val="single" w:sz="4" w:space="0" w:color="000000"/>
              <w:bottom w:val="single" w:sz="4" w:space="0" w:color="000000"/>
              <w:right w:val="single" w:sz="4" w:space="0" w:color="000000"/>
            </w:tcBorders>
          </w:tcPr>
          <w:p w14:paraId="4F8E5128" w14:textId="77777777" w:rsidR="001D1CDA" w:rsidRPr="00B40A77" w:rsidRDefault="001D1CDA" w:rsidP="00B85DCA">
            <w:pPr>
              <w:kinsoku w:val="0"/>
              <w:overflowPunct w:val="0"/>
              <w:autoSpaceDE w:val="0"/>
              <w:autoSpaceDN w:val="0"/>
              <w:adjustRightInd w:val="0"/>
              <w:spacing w:before="118" w:after="240" w:line="242" w:lineRule="auto"/>
              <w:ind w:left="137" w:right="650" w:hanging="20"/>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1</w:t>
            </w:r>
          </w:p>
        </w:tc>
        <w:tc>
          <w:tcPr>
            <w:tcW w:w="3402" w:type="dxa"/>
            <w:tcBorders>
              <w:top w:val="single" w:sz="4" w:space="0" w:color="000000"/>
              <w:left w:val="single" w:sz="4" w:space="0" w:color="000000"/>
              <w:bottom w:val="single" w:sz="4" w:space="0" w:color="000000"/>
              <w:right w:val="single" w:sz="4" w:space="0" w:color="000000"/>
            </w:tcBorders>
            <w:hideMark/>
          </w:tcPr>
          <w:p w14:paraId="21CC552F" w14:textId="77777777" w:rsidR="001D1CDA" w:rsidRPr="00B40A77" w:rsidRDefault="001D1CDA" w:rsidP="00B85DCA">
            <w:pPr>
              <w:kinsoku w:val="0"/>
              <w:overflowPunct w:val="0"/>
              <w:autoSpaceDE w:val="0"/>
              <w:autoSpaceDN w:val="0"/>
              <w:adjustRightInd w:val="0"/>
              <w:spacing w:before="118" w:after="240" w:line="242" w:lineRule="auto"/>
              <w:ind w:left="97" w:right="650" w:firstLine="20"/>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Professional</w:t>
            </w:r>
            <w:r w:rsidRPr="00B40A77">
              <w:rPr>
                <w:rFonts w:eastAsia="Times New Roman" w:cs="Times New Roman"/>
                <w:color w:val="000000" w:themeColor="text1"/>
                <w:spacing w:val="-20"/>
                <w:w w:val="105"/>
                <w:sz w:val="20"/>
                <w:szCs w:val="20"/>
              </w:rPr>
              <w:t xml:space="preserve"> </w:t>
            </w:r>
            <w:r w:rsidRPr="00B40A77">
              <w:rPr>
                <w:rFonts w:eastAsia="Times New Roman" w:cs="Times New Roman"/>
                <w:color w:val="000000" w:themeColor="text1"/>
                <w:w w:val="105"/>
                <w:sz w:val="20"/>
                <w:szCs w:val="20"/>
              </w:rPr>
              <w:t>scientific</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or</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other</w:t>
            </w:r>
            <w:r w:rsidRPr="00B40A77">
              <w:rPr>
                <w:rFonts w:eastAsia="Times New Roman" w:cs="Times New Roman"/>
                <w:color w:val="000000" w:themeColor="text1"/>
                <w:spacing w:val="-19"/>
                <w:w w:val="105"/>
                <w:sz w:val="20"/>
                <w:szCs w:val="20"/>
              </w:rPr>
              <w:t xml:space="preserve"> </w:t>
            </w:r>
            <w:r w:rsidRPr="00B40A77">
              <w:rPr>
                <w:rFonts w:eastAsia="Times New Roman" w:cs="Times New Roman"/>
                <w:color w:val="000000" w:themeColor="text1"/>
                <w:w w:val="105"/>
                <w:sz w:val="20"/>
                <w:szCs w:val="20"/>
              </w:rPr>
              <w:t>expert</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witnesses per</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day</w:t>
            </w:r>
          </w:p>
        </w:tc>
        <w:tc>
          <w:tcPr>
            <w:tcW w:w="4394" w:type="dxa"/>
            <w:tcBorders>
              <w:top w:val="single" w:sz="4" w:space="0" w:color="000000"/>
              <w:left w:val="single" w:sz="4" w:space="0" w:color="000000"/>
              <w:bottom w:val="single" w:sz="4" w:space="0" w:color="000000"/>
              <w:right w:val="single" w:sz="4" w:space="0" w:color="auto"/>
            </w:tcBorders>
            <w:hideMark/>
          </w:tcPr>
          <w:p w14:paraId="36ECA3E6" w14:textId="77777777" w:rsidR="001D1CDA" w:rsidRPr="00B40A77" w:rsidRDefault="001D1CDA" w:rsidP="00B85DCA">
            <w:pPr>
              <w:kinsoku w:val="0"/>
              <w:overflowPunct w:val="0"/>
              <w:autoSpaceDE w:val="0"/>
              <w:autoSpaceDN w:val="0"/>
              <w:adjustRightInd w:val="0"/>
              <w:spacing w:before="118" w:after="240" w:line="242" w:lineRule="auto"/>
              <w:ind w:left="97" w:right="257" w:firstLine="20"/>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$1,100</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or</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such</w:t>
            </w:r>
            <w:r w:rsidRPr="00B40A77">
              <w:rPr>
                <w:rFonts w:eastAsia="Times New Roman" w:cs="Times New Roman"/>
                <w:color w:val="000000" w:themeColor="text1"/>
                <w:spacing w:val="-14"/>
                <w:w w:val="105"/>
                <w:sz w:val="20"/>
                <w:szCs w:val="20"/>
              </w:rPr>
              <w:t xml:space="preserve"> </w:t>
            </w:r>
            <w:r w:rsidRPr="00B40A77">
              <w:rPr>
                <w:rFonts w:eastAsia="Times New Roman" w:cs="Times New Roman"/>
                <w:color w:val="000000" w:themeColor="text1"/>
                <w:w w:val="105"/>
                <w:sz w:val="20"/>
                <w:szCs w:val="20"/>
              </w:rPr>
              <w:t>amount</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ordered</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by</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the</w:t>
            </w:r>
            <w:r w:rsidRPr="00B40A77">
              <w:rPr>
                <w:rFonts w:eastAsia="Times New Roman" w:cs="Times New Roman"/>
                <w:color w:val="000000" w:themeColor="text1"/>
                <w:spacing w:val="-3"/>
                <w:w w:val="105"/>
                <w:sz w:val="20"/>
                <w:szCs w:val="20"/>
              </w:rPr>
              <w:t xml:space="preserve"> </w:t>
            </w:r>
            <w:r w:rsidRPr="00B40A77">
              <w:rPr>
                <w:rFonts w:eastAsia="Times New Roman" w:cs="Times New Roman"/>
                <w:color w:val="000000" w:themeColor="text1"/>
                <w:w w:val="105"/>
                <w:sz w:val="20"/>
                <w:szCs w:val="20"/>
              </w:rPr>
              <w:t>Court</w:t>
            </w:r>
          </w:p>
        </w:tc>
      </w:tr>
      <w:tr w:rsidR="00B40A77" w:rsidRPr="00B40A77" w14:paraId="219E1EDB" w14:textId="77777777" w:rsidTr="00B85DCA">
        <w:trPr>
          <w:trHeight w:hRule="exact" w:val="516"/>
        </w:trPr>
        <w:tc>
          <w:tcPr>
            <w:tcW w:w="851" w:type="dxa"/>
            <w:tcBorders>
              <w:top w:val="single" w:sz="4" w:space="0" w:color="000000"/>
              <w:left w:val="single" w:sz="4" w:space="0" w:color="000000"/>
              <w:bottom w:val="single" w:sz="4" w:space="0" w:color="000000"/>
              <w:right w:val="single" w:sz="4" w:space="0" w:color="000000"/>
            </w:tcBorders>
          </w:tcPr>
          <w:p w14:paraId="6E8FE93D"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2</w:t>
            </w:r>
          </w:p>
        </w:tc>
        <w:tc>
          <w:tcPr>
            <w:tcW w:w="3402" w:type="dxa"/>
            <w:tcBorders>
              <w:top w:val="single" w:sz="4" w:space="0" w:color="000000"/>
              <w:left w:val="single" w:sz="4" w:space="0" w:color="000000"/>
              <w:bottom w:val="single" w:sz="4" w:space="0" w:color="000000"/>
              <w:right w:val="single" w:sz="4" w:space="0" w:color="000000"/>
            </w:tcBorders>
            <w:hideMark/>
          </w:tcPr>
          <w:p w14:paraId="21F3AD1E"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Other adult person per</w:t>
            </w:r>
            <w:r w:rsidRPr="00B40A77">
              <w:rPr>
                <w:rFonts w:eastAsia="Times New Roman" w:cs="Times New Roman"/>
                <w:color w:val="000000" w:themeColor="text1"/>
                <w:spacing w:val="-14"/>
                <w:w w:val="105"/>
                <w:sz w:val="20"/>
                <w:szCs w:val="20"/>
              </w:rPr>
              <w:t xml:space="preserve"> </w:t>
            </w:r>
            <w:r w:rsidRPr="00B40A77">
              <w:rPr>
                <w:rFonts w:eastAsia="Times New Roman" w:cs="Times New Roman"/>
                <w:color w:val="000000" w:themeColor="text1"/>
                <w:w w:val="105"/>
                <w:sz w:val="20"/>
                <w:szCs w:val="20"/>
              </w:rPr>
              <w:t>day</w:t>
            </w:r>
          </w:p>
        </w:tc>
        <w:tc>
          <w:tcPr>
            <w:tcW w:w="4394" w:type="dxa"/>
            <w:tcBorders>
              <w:top w:val="single" w:sz="4" w:space="0" w:color="000000"/>
              <w:left w:val="single" w:sz="4" w:space="0" w:color="000000"/>
              <w:bottom w:val="single" w:sz="4" w:space="0" w:color="000000"/>
              <w:right w:val="single" w:sz="4" w:space="0" w:color="auto"/>
            </w:tcBorders>
            <w:hideMark/>
          </w:tcPr>
          <w:p w14:paraId="1C45175D" w14:textId="77777777" w:rsidR="001D1CDA" w:rsidRPr="00B40A77" w:rsidRDefault="001D1CDA" w:rsidP="00B85DCA">
            <w:pPr>
              <w:kinsoku w:val="0"/>
              <w:overflowPunct w:val="0"/>
              <w:autoSpaceDE w:val="0"/>
              <w:autoSpaceDN w:val="0"/>
              <w:adjustRightInd w:val="0"/>
              <w:spacing w:before="118" w:after="240" w:line="254" w:lineRule="auto"/>
              <w:ind w:left="118"/>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$400</w:t>
            </w:r>
          </w:p>
        </w:tc>
      </w:tr>
      <w:tr w:rsidR="00B40A77" w:rsidRPr="00B40A77" w14:paraId="18CBCDEA" w14:textId="77777777" w:rsidTr="00B85DCA">
        <w:trPr>
          <w:trHeight w:hRule="exact" w:val="518"/>
        </w:trPr>
        <w:tc>
          <w:tcPr>
            <w:tcW w:w="851" w:type="dxa"/>
            <w:tcBorders>
              <w:top w:val="single" w:sz="4" w:space="0" w:color="000000"/>
              <w:left w:val="single" w:sz="4" w:space="0" w:color="000000"/>
              <w:bottom w:val="single" w:sz="4" w:space="0" w:color="000000"/>
              <w:right w:val="single" w:sz="4" w:space="0" w:color="000000"/>
            </w:tcBorders>
          </w:tcPr>
          <w:p w14:paraId="4A1289C1" w14:textId="77777777" w:rsidR="001D1CDA" w:rsidRPr="00B40A77" w:rsidRDefault="001D1CDA" w:rsidP="00B85DCA">
            <w:pPr>
              <w:kinsoku w:val="0"/>
              <w:overflowPunct w:val="0"/>
              <w:autoSpaceDE w:val="0"/>
              <w:autoSpaceDN w:val="0"/>
              <w:adjustRightInd w:val="0"/>
              <w:spacing w:before="240"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3</w:t>
            </w:r>
          </w:p>
        </w:tc>
        <w:tc>
          <w:tcPr>
            <w:tcW w:w="3402" w:type="dxa"/>
            <w:tcBorders>
              <w:top w:val="single" w:sz="4" w:space="0" w:color="000000"/>
              <w:left w:val="single" w:sz="4" w:space="0" w:color="000000"/>
              <w:bottom w:val="single" w:sz="4" w:space="0" w:color="000000"/>
              <w:right w:val="single" w:sz="4" w:space="0" w:color="000000"/>
            </w:tcBorders>
            <w:hideMark/>
          </w:tcPr>
          <w:p w14:paraId="443B94EB" w14:textId="77777777" w:rsidR="001D1CDA" w:rsidRPr="00B40A77" w:rsidRDefault="001D1CDA" w:rsidP="00B85DCA">
            <w:pPr>
              <w:kinsoku w:val="0"/>
              <w:overflowPunct w:val="0"/>
              <w:autoSpaceDE w:val="0"/>
              <w:autoSpaceDN w:val="0"/>
              <w:adjustRightInd w:val="0"/>
              <w:spacing w:before="240"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Persons</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under</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18</w:t>
            </w:r>
            <w:r w:rsidRPr="00B40A77">
              <w:rPr>
                <w:rFonts w:eastAsia="Times New Roman" w:cs="Times New Roman"/>
                <w:color w:val="000000" w:themeColor="text1"/>
                <w:spacing w:val="-7"/>
                <w:w w:val="105"/>
                <w:sz w:val="20"/>
                <w:szCs w:val="20"/>
              </w:rPr>
              <w:t xml:space="preserve"> </w:t>
            </w:r>
            <w:r w:rsidRPr="00B40A77">
              <w:rPr>
                <w:rFonts w:eastAsia="Times New Roman" w:cs="Times New Roman"/>
                <w:color w:val="000000" w:themeColor="text1"/>
                <w:w w:val="105"/>
                <w:sz w:val="20"/>
                <w:szCs w:val="20"/>
              </w:rPr>
              <w:t>years</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of</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age</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per</w:t>
            </w:r>
            <w:r w:rsidRPr="00B40A77">
              <w:rPr>
                <w:rFonts w:eastAsia="Times New Roman" w:cs="Times New Roman"/>
                <w:color w:val="000000" w:themeColor="text1"/>
                <w:spacing w:val="-5"/>
                <w:w w:val="105"/>
                <w:sz w:val="20"/>
                <w:szCs w:val="20"/>
              </w:rPr>
              <w:t xml:space="preserve"> </w:t>
            </w:r>
            <w:r w:rsidRPr="00B40A77">
              <w:rPr>
                <w:rFonts w:eastAsia="Times New Roman" w:cs="Times New Roman"/>
                <w:color w:val="000000" w:themeColor="text1"/>
                <w:w w:val="105"/>
                <w:sz w:val="20"/>
                <w:szCs w:val="20"/>
              </w:rPr>
              <w:t>day</w:t>
            </w:r>
          </w:p>
        </w:tc>
        <w:tc>
          <w:tcPr>
            <w:tcW w:w="4394" w:type="dxa"/>
            <w:tcBorders>
              <w:top w:val="single" w:sz="4" w:space="0" w:color="000000"/>
              <w:left w:val="single" w:sz="4" w:space="0" w:color="000000"/>
              <w:bottom w:val="single" w:sz="4" w:space="0" w:color="000000"/>
              <w:right w:val="single" w:sz="4" w:space="0" w:color="auto"/>
            </w:tcBorders>
            <w:hideMark/>
          </w:tcPr>
          <w:p w14:paraId="3CCCD31D" w14:textId="77777777" w:rsidR="001D1CDA" w:rsidRPr="00B40A77" w:rsidRDefault="001D1CDA" w:rsidP="00B85DCA">
            <w:pPr>
              <w:kinsoku w:val="0"/>
              <w:overflowPunct w:val="0"/>
              <w:autoSpaceDE w:val="0"/>
              <w:autoSpaceDN w:val="0"/>
              <w:adjustRightInd w:val="0"/>
              <w:spacing w:before="240"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$170</w:t>
            </w:r>
          </w:p>
        </w:tc>
      </w:tr>
      <w:tr w:rsidR="00B40A77" w:rsidRPr="00B40A77" w14:paraId="01AB9941" w14:textId="77777777" w:rsidTr="00B85DCA">
        <w:trPr>
          <w:trHeight w:hRule="exact" w:val="1865"/>
        </w:trPr>
        <w:tc>
          <w:tcPr>
            <w:tcW w:w="851" w:type="dxa"/>
            <w:tcBorders>
              <w:top w:val="single" w:sz="4" w:space="0" w:color="000000"/>
              <w:left w:val="single" w:sz="4" w:space="0" w:color="000000"/>
              <w:bottom w:val="single" w:sz="4" w:space="0" w:color="000000"/>
              <w:right w:val="single" w:sz="4" w:space="0" w:color="000000"/>
            </w:tcBorders>
          </w:tcPr>
          <w:p w14:paraId="5DA73D55"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73E8CFF9"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Travel</w:t>
            </w:r>
            <w:r w:rsidRPr="00B40A77">
              <w:rPr>
                <w:rFonts w:eastAsia="Times New Roman" w:cs="Times New Roman"/>
                <w:color w:val="000000" w:themeColor="text1"/>
                <w:spacing w:val="-3"/>
                <w:w w:val="105"/>
                <w:sz w:val="20"/>
                <w:szCs w:val="20"/>
              </w:rPr>
              <w:t xml:space="preserve"> </w:t>
            </w:r>
            <w:r w:rsidRPr="00B40A77">
              <w:rPr>
                <w:rFonts w:eastAsia="Times New Roman" w:cs="Times New Roman"/>
                <w:color w:val="000000" w:themeColor="text1"/>
                <w:w w:val="105"/>
                <w:sz w:val="20"/>
                <w:szCs w:val="20"/>
              </w:rPr>
              <w:t>expenses</w:t>
            </w:r>
          </w:p>
        </w:tc>
        <w:tc>
          <w:tcPr>
            <w:tcW w:w="4394" w:type="dxa"/>
            <w:tcBorders>
              <w:top w:val="single" w:sz="4" w:space="0" w:color="000000"/>
              <w:left w:val="single" w:sz="4" w:space="0" w:color="000000"/>
              <w:bottom w:val="single" w:sz="4" w:space="0" w:color="000000"/>
              <w:right w:val="single" w:sz="4" w:space="0" w:color="auto"/>
            </w:tcBorders>
            <w:hideMark/>
          </w:tcPr>
          <w:p w14:paraId="457F8B74" w14:textId="77777777" w:rsidR="001D1CDA" w:rsidRPr="00B40A77" w:rsidRDefault="001D1CDA" w:rsidP="00B85DCA">
            <w:pPr>
              <w:kinsoku w:val="0"/>
              <w:overflowPunct w:val="0"/>
              <w:autoSpaceDE w:val="0"/>
              <w:autoSpaceDN w:val="0"/>
              <w:adjustRightInd w:val="0"/>
              <w:spacing w:before="118" w:after="240" w:line="242" w:lineRule="auto"/>
              <w:ind w:left="97" w:right="399" w:firstLine="19"/>
              <w:rPr>
                <w:rFonts w:eastAsia="Times New Roman" w:cs="Times New Roman"/>
                <w:color w:val="000000" w:themeColor="text1"/>
                <w:spacing w:val="-10"/>
                <w:w w:val="105"/>
                <w:sz w:val="20"/>
                <w:szCs w:val="20"/>
              </w:rPr>
            </w:pPr>
            <w:r w:rsidRPr="00B40A77">
              <w:rPr>
                <w:rFonts w:eastAsia="Times New Roman" w:cs="Times New Roman"/>
                <w:color w:val="000000" w:themeColor="text1"/>
                <w:w w:val="105"/>
                <w:sz w:val="20"/>
                <w:szCs w:val="20"/>
              </w:rPr>
              <w:t>Where</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the</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witness</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is</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normally</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resident</w:t>
            </w:r>
            <w:r w:rsidRPr="00B40A77">
              <w:rPr>
                <w:rFonts w:eastAsia="Times New Roman" w:cs="Times New Roman"/>
                <w:color w:val="000000" w:themeColor="text1"/>
                <w:spacing w:val="-14"/>
                <w:w w:val="105"/>
                <w:sz w:val="20"/>
                <w:szCs w:val="20"/>
              </w:rPr>
              <w:t xml:space="preserve"> </w:t>
            </w:r>
            <w:r w:rsidRPr="00B40A77">
              <w:rPr>
                <w:rFonts w:eastAsia="Times New Roman" w:cs="Times New Roman"/>
                <w:color w:val="000000" w:themeColor="text1"/>
                <w:w w:val="105"/>
                <w:sz w:val="20"/>
                <w:szCs w:val="20"/>
              </w:rPr>
              <w:t>more</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than</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50</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km</w:t>
            </w:r>
            <w:r w:rsidRPr="00B40A77">
              <w:rPr>
                <w:rFonts w:eastAsia="Times New Roman" w:cs="Times New Roman"/>
                <w:color w:val="000000" w:themeColor="text1"/>
                <w:spacing w:val="-16"/>
                <w:w w:val="105"/>
                <w:sz w:val="20"/>
                <w:szCs w:val="20"/>
              </w:rPr>
              <w:t xml:space="preserve"> </w:t>
            </w:r>
            <w:r w:rsidRPr="00B40A77">
              <w:rPr>
                <w:rFonts w:eastAsia="Times New Roman" w:cs="Times New Roman"/>
                <w:color w:val="000000" w:themeColor="text1"/>
                <w:w w:val="105"/>
                <w:sz w:val="20"/>
                <w:szCs w:val="20"/>
              </w:rPr>
              <w:t>from</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the</w:t>
            </w:r>
            <w:r w:rsidRPr="00B40A77">
              <w:rPr>
                <w:rFonts w:eastAsia="Times New Roman" w:cs="Times New Roman"/>
                <w:color w:val="000000" w:themeColor="text1"/>
                <w:spacing w:val="-10"/>
                <w:w w:val="105"/>
                <w:sz w:val="20"/>
                <w:szCs w:val="20"/>
              </w:rPr>
              <w:t xml:space="preserve"> </w:t>
            </w:r>
            <w:r w:rsidRPr="00B40A77">
              <w:rPr>
                <w:rFonts w:eastAsia="Times New Roman" w:cs="Times New Roman"/>
                <w:color w:val="000000" w:themeColor="text1"/>
                <w:w w:val="105"/>
                <w:sz w:val="20"/>
                <w:szCs w:val="20"/>
              </w:rPr>
              <w:t>trial</w:t>
            </w:r>
            <w:r w:rsidRPr="00B40A77">
              <w:rPr>
                <w:rFonts w:eastAsia="Times New Roman" w:cs="Times New Roman"/>
                <w:color w:val="000000" w:themeColor="text1"/>
                <w:spacing w:val="-9"/>
                <w:w w:val="105"/>
                <w:sz w:val="20"/>
                <w:szCs w:val="20"/>
              </w:rPr>
              <w:t xml:space="preserve"> </w:t>
            </w:r>
            <w:r w:rsidRPr="00B40A77">
              <w:rPr>
                <w:rFonts w:eastAsia="Times New Roman" w:cs="Times New Roman"/>
                <w:color w:val="000000" w:themeColor="text1"/>
                <w:w w:val="105"/>
                <w:sz w:val="20"/>
                <w:szCs w:val="20"/>
              </w:rPr>
              <w:t>Court:</w:t>
            </w:r>
            <w:r w:rsidRPr="00B40A77">
              <w:rPr>
                <w:rFonts w:eastAsia="Times New Roman" w:cs="Times New Roman"/>
                <w:color w:val="000000" w:themeColor="text1"/>
                <w:spacing w:val="-10"/>
                <w:w w:val="105"/>
                <w:sz w:val="20"/>
                <w:szCs w:val="20"/>
              </w:rPr>
              <w:t xml:space="preserve"> </w:t>
            </w:r>
          </w:p>
          <w:p w14:paraId="4915AEB1" w14:textId="77777777" w:rsidR="001D1CDA" w:rsidRPr="00B40A77" w:rsidRDefault="001D1CDA" w:rsidP="001D1CDA">
            <w:pPr>
              <w:pStyle w:val="ListParagraph"/>
              <w:numPr>
                <w:ilvl w:val="0"/>
                <w:numId w:val="24"/>
              </w:numPr>
              <w:kinsoku w:val="0"/>
              <w:overflowPunct w:val="0"/>
              <w:autoSpaceDE w:val="0"/>
              <w:autoSpaceDN w:val="0"/>
              <w:adjustRightInd w:val="0"/>
              <w:spacing w:before="118" w:after="240" w:line="242" w:lineRule="auto"/>
              <w:ind w:right="399"/>
              <w:rPr>
                <w:rFonts w:eastAsia="Times New Roman"/>
                <w:color w:val="000000" w:themeColor="text1"/>
                <w:sz w:val="20"/>
                <w:szCs w:val="20"/>
              </w:rPr>
            </w:pPr>
            <w:r w:rsidRPr="00B40A77">
              <w:rPr>
                <w:rFonts w:eastAsia="Times New Roman"/>
                <w:color w:val="000000" w:themeColor="text1"/>
                <w:w w:val="105"/>
                <w:sz w:val="20"/>
                <w:szCs w:val="20"/>
              </w:rPr>
              <w:t>at</w:t>
            </w:r>
            <w:r w:rsidRPr="00B40A77">
              <w:rPr>
                <w:rFonts w:eastAsia="Times New Roman"/>
                <w:color w:val="000000" w:themeColor="text1"/>
                <w:spacing w:val="-9"/>
                <w:w w:val="105"/>
                <w:sz w:val="20"/>
                <w:szCs w:val="20"/>
              </w:rPr>
              <w:t xml:space="preserve"> </w:t>
            </w:r>
            <w:r w:rsidRPr="00B40A77">
              <w:rPr>
                <w:rFonts w:eastAsia="Times New Roman"/>
                <w:color w:val="000000" w:themeColor="text1"/>
                <w:w w:val="105"/>
                <w:sz w:val="20"/>
                <w:szCs w:val="20"/>
              </w:rPr>
              <w:t>the</w:t>
            </w:r>
            <w:r w:rsidRPr="00B40A77">
              <w:rPr>
                <w:rFonts w:eastAsia="Times New Roman"/>
                <w:color w:val="000000" w:themeColor="text1"/>
                <w:spacing w:val="-10"/>
                <w:w w:val="105"/>
                <w:sz w:val="20"/>
                <w:szCs w:val="20"/>
              </w:rPr>
              <w:t xml:space="preserve"> </w:t>
            </w:r>
            <w:r w:rsidRPr="00B40A77">
              <w:rPr>
                <w:rFonts w:eastAsia="Times New Roman"/>
                <w:color w:val="000000" w:themeColor="text1"/>
                <w:w w:val="105"/>
                <w:sz w:val="20"/>
                <w:szCs w:val="20"/>
              </w:rPr>
              <w:t>rate</w:t>
            </w:r>
            <w:r w:rsidRPr="00B40A77">
              <w:rPr>
                <w:rFonts w:eastAsia="Times New Roman"/>
                <w:color w:val="000000" w:themeColor="text1"/>
                <w:spacing w:val="-9"/>
                <w:w w:val="105"/>
                <w:sz w:val="20"/>
                <w:szCs w:val="20"/>
              </w:rPr>
              <w:t xml:space="preserve"> </w:t>
            </w:r>
            <w:r w:rsidRPr="00B40A77">
              <w:rPr>
                <w:rFonts w:eastAsia="Times New Roman"/>
                <w:color w:val="000000" w:themeColor="text1"/>
                <w:w w:val="105"/>
                <w:sz w:val="20"/>
                <w:szCs w:val="20"/>
              </w:rPr>
              <w:t>of</w:t>
            </w:r>
            <w:r w:rsidRPr="00B40A77">
              <w:rPr>
                <w:rFonts w:eastAsia="Times New Roman"/>
                <w:color w:val="000000" w:themeColor="text1"/>
                <w:spacing w:val="-10"/>
                <w:w w:val="105"/>
                <w:sz w:val="20"/>
                <w:szCs w:val="20"/>
              </w:rPr>
              <w:t xml:space="preserve"> </w:t>
            </w:r>
            <w:r w:rsidRPr="00B40A77">
              <w:rPr>
                <w:rFonts w:eastAsia="Times New Roman"/>
                <w:color w:val="000000" w:themeColor="text1"/>
                <w:w w:val="105"/>
                <w:sz w:val="20"/>
                <w:szCs w:val="20"/>
              </w:rPr>
              <w:t>95</w:t>
            </w:r>
            <w:r w:rsidRPr="00B40A77">
              <w:rPr>
                <w:rFonts w:eastAsia="Times New Roman"/>
                <w:color w:val="000000" w:themeColor="text1"/>
                <w:spacing w:val="-1"/>
                <w:w w:val="102"/>
                <w:sz w:val="20"/>
                <w:szCs w:val="20"/>
              </w:rPr>
              <w:t xml:space="preserve"> </w:t>
            </w:r>
            <w:r w:rsidRPr="00B40A77">
              <w:rPr>
                <w:rFonts w:eastAsia="Times New Roman"/>
                <w:color w:val="000000" w:themeColor="text1"/>
                <w:w w:val="105"/>
                <w:sz w:val="20"/>
                <w:szCs w:val="20"/>
              </w:rPr>
              <w:t>cents per km; or</w:t>
            </w:r>
          </w:p>
          <w:p w14:paraId="5FDB9610" w14:textId="77777777" w:rsidR="001D1CDA" w:rsidRPr="00B40A77" w:rsidRDefault="001D1CDA" w:rsidP="001D1CDA">
            <w:pPr>
              <w:pStyle w:val="ListParagraph"/>
              <w:numPr>
                <w:ilvl w:val="0"/>
                <w:numId w:val="24"/>
              </w:numPr>
              <w:kinsoku w:val="0"/>
              <w:overflowPunct w:val="0"/>
              <w:autoSpaceDE w:val="0"/>
              <w:autoSpaceDN w:val="0"/>
              <w:adjustRightInd w:val="0"/>
              <w:spacing w:before="118" w:after="240" w:line="242" w:lineRule="auto"/>
              <w:ind w:right="399"/>
              <w:rPr>
                <w:rFonts w:eastAsia="Times New Roman"/>
                <w:color w:val="000000" w:themeColor="text1"/>
                <w:sz w:val="20"/>
                <w:szCs w:val="20"/>
              </w:rPr>
            </w:pPr>
            <w:r w:rsidRPr="00B40A77">
              <w:rPr>
                <w:rFonts w:eastAsia="Times New Roman"/>
                <w:color w:val="000000" w:themeColor="text1"/>
                <w:w w:val="105"/>
                <w:sz w:val="20"/>
                <w:szCs w:val="20"/>
              </w:rPr>
              <w:t>the</w:t>
            </w:r>
            <w:r w:rsidRPr="00B40A77">
              <w:rPr>
                <w:rFonts w:eastAsia="Times New Roman"/>
                <w:color w:val="000000" w:themeColor="text1"/>
                <w:spacing w:val="-24"/>
                <w:w w:val="105"/>
                <w:sz w:val="20"/>
                <w:szCs w:val="20"/>
              </w:rPr>
              <w:t xml:space="preserve"> </w:t>
            </w:r>
            <w:r w:rsidRPr="00B40A77">
              <w:rPr>
                <w:rFonts w:eastAsia="Times New Roman"/>
                <w:color w:val="000000" w:themeColor="text1"/>
                <w:w w:val="105"/>
                <w:sz w:val="20"/>
                <w:szCs w:val="20"/>
              </w:rPr>
              <w:t>least</w:t>
            </w:r>
            <w:r w:rsidRPr="00B40A77">
              <w:rPr>
                <w:rFonts w:eastAsia="Times New Roman"/>
                <w:color w:val="000000" w:themeColor="text1"/>
                <w:w w:val="102"/>
                <w:sz w:val="20"/>
                <w:szCs w:val="20"/>
              </w:rPr>
              <w:t xml:space="preserve"> </w:t>
            </w:r>
            <w:r w:rsidRPr="00B40A77">
              <w:rPr>
                <w:rFonts w:eastAsia="Times New Roman"/>
                <w:color w:val="000000" w:themeColor="text1"/>
                <w:w w:val="105"/>
                <w:sz w:val="20"/>
                <w:szCs w:val="20"/>
              </w:rPr>
              <w:t>expensive return air</w:t>
            </w:r>
            <w:r w:rsidRPr="00B40A77">
              <w:rPr>
                <w:rFonts w:eastAsia="Times New Roman"/>
                <w:color w:val="000000" w:themeColor="text1"/>
                <w:spacing w:val="-20"/>
                <w:w w:val="105"/>
                <w:sz w:val="20"/>
                <w:szCs w:val="20"/>
              </w:rPr>
              <w:t xml:space="preserve"> </w:t>
            </w:r>
            <w:r w:rsidRPr="00B40A77">
              <w:rPr>
                <w:rFonts w:eastAsia="Times New Roman"/>
                <w:color w:val="000000" w:themeColor="text1"/>
                <w:w w:val="105"/>
                <w:sz w:val="20"/>
                <w:szCs w:val="20"/>
              </w:rPr>
              <w:t>fare; or</w:t>
            </w:r>
          </w:p>
          <w:p w14:paraId="0618D4E2" w14:textId="77777777" w:rsidR="001D1CDA" w:rsidRPr="00B40A77" w:rsidRDefault="001D1CDA" w:rsidP="001D1CDA">
            <w:pPr>
              <w:pStyle w:val="ListParagraph"/>
              <w:numPr>
                <w:ilvl w:val="0"/>
                <w:numId w:val="24"/>
              </w:numPr>
              <w:kinsoku w:val="0"/>
              <w:overflowPunct w:val="0"/>
              <w:autoSpaceDE w:val="0"/>
              <w:autoSpaceDN w:val="0"/>
              <w:adjustRightInd w:val="0"/>
              <w:spacing w:before="118" w:after="240" w:line="242" w:lineRule="auto"/>
              <w:ind w:right="399"/>
              <w:rPr>
                <w:rFonts w:eastAsia="Times New Roman"/>
                <w:color w:val="000000" w:themeColor="text1"/>
                <w:sz w:val="20"/>
                <w:szCs w:val="20"/>
              </w:rPr>
            </w:pPr>
            <w:r w:rsidRPr="00B40A77">
              <w:rPr>
                <w:rFonts w:eastAsia="Times New Roman"/>
                <w:color w:val="000000" w:themeColor="text1"/>
                <w:w w:val="105"/>
                <w:sz w:val="20"/>
                <w:szCs w:val="20"/>
              </w:rPr>
              <w:t>whichever</w:t>
            </w:r>
            <w:r w:rsidRPr="00B40A77">
              <w:rPr>
                <w:rFonts w:eastAsia="Times New Roman"/>
                <w:color w:val="000000" w:themeColor="text1"/>
                <w:spacing w:val="-9"/>
                <w:w w:val="105"/>
                <w:sz w:val="20"/>
                <w:szCs w:val="20"/>
              </w:rPr>
              <w:t xml:space="preserve"> </w:t>
            </w:r>
            <w:r w:rsidRPr="00B40A77">
              <w:rPr>
                <w:rFonts w:eastAsia="Times New Roman"/>
                <w:color w:val="000000" w:themeColor="text1"/>
                <w:w w:val="105"/>
                <w:sz w:val="20"/>
                <w:szCs w:val="20"/>
              </w:rPr>
              <w:t>is</w:t>
            </w:r>
            <w:r w:rsidRPr="00B40A77">
              <w:rPr>
                <w:rFonts w:eastAsia="Times New Roman"/>
                <w:color w:val="000000" w:themeColor="text1"/>
                <w:spacing w:val="-8"/>
                <w:w w:val="105"/>
                <w:sz w:val="20"/>
                <w:szCs w:val="20"/>
              </w:rPr>
              <w:t xml:space="preserve"> </w:t>
            </w:r>
            <w:r w:rsidRPr="00B40A77">
              <w:rPr>
                <w:rFonts w:eastAsia="Times New Roman"/>
                <w:color w:val="000000" w:themeColor="text1"/>
                <w:w w:val="105"/>
                <w:sz w:val="20"/>
                <w:szCs w:val="20"/>
              </w:rPr>
              <w:t>the</w:t>
            </w:r>
            <w:r w:rsidRPr="00B40A77">
              <w:rPr>
                <w:rFonts w:eastAsia="Times New Roman"/>
                <w:color w:val="000000" w:themeColor="text1"/>
                <w:spacing w:val="-9"/>
                <w:w w:val="105"/>
                <w:sz w:val="20"/>
                <w:szCs w:val="20"/>
              </w:rPr>
              <w:t xml:space="preserve"> </w:t>
            </w:r>
            <w:r w:rsidRPr="00B40A77">
              <w:rPr>
                <w:rFonts w:eastAsia="Times New Roman"/>
                <w:color w:val="000000" w:themeColor="text1"/>
                <w:w w:val="105"/>
                <w:sz w:val="20"/>
                <w:szCs w:val="20"/>
              </w:rPr>
              <w:t>lesser,</w:t>
            </w:r>
            <w:r w:rsidRPr="00B40A77">
              <w:rPr>
                <w:rFonts w:eastAsia="Times New Roman"/>
                <w:color w:val="000000" w:themeColor="text1"/>
                <w:spacing w:val="-10"/>
                <w:w w:val="105"/>
                <w:sz w:val="20"/>
                <w:szCs w:val="20"/>
              </w:rPr>
              <w:t xml:space="preserve"> </w:t>
            </w:r>
            <w:r w:rsidRPr="00B40A77">
              <w:rPr>
                <w:rFonts w:eastAsia="Times New Roman"/>
                <w:color w:val="000000" w:themeColor="text1"/>
                <w:w w:val="105"/>
                <w:sz w:val="20"/>
                <w:szCs w:val="20"/>
              </w:rPr>
              <w:t>or</w:t>
            </w:r>
            <w:r w:rsidRPr="00B40A77">
              <w:rPr>
                <w:rFonts w:eastAsia="Times New Roman"/>
                <w:color w:val="000000" w:themeColor="text1"/>
                <w:spacing w:val="-9"/>
                <w:w w:val="105"/>
                <w:sz w:val="20"/>
                <w:szCs w:val="20"/>
              </w:rPr>
              <w:t xml:space="preserve"> </w:t>
            </w:r>
            <w:r w:rsidRPr="00B40A77">
              <w:rPr>
                <w:rFonts w:eastAsia="Times New Roman"/>
                <w:color w:val="000000" w:themeColor="text1"/>
                <w:w w:val="105"/>
                <w:sz w:val="20"/>
                <w:szCs w:val="20"/>
              </w:rPr>
              <w:t>the</w:t>
            </w:r>
            <w:r w:rsidRPr="00B40A77">
              <w:rPr>
                <w:rFonts w:eastAsia="Times New Roman"/>
                <w:color w:val="000000" w:themeColor="text1"/>
                <w:w w:val="102"/>
                <w:sz w:val="20"/>
                <w:szCs w:val="20"/>
              </w:rPr>
              <w:t xml:space="preserve"> </w:t>
            </w:r>
            <w:r w:rsidRPr="00B40A77">
              <w:rPr>
                <w:rFonts w:eastAsia="Times New Roman"/>
                <w:color w:val="000000" w:themeColor="text1"/>
                <w:w w:val="105"/>
                <w:sz w:val="20"/>
                <w:szCs w:val="20"/>
              </w:rPr>
              <w:t>cheapest,</w:t>
            </w:r>
            <w:r w:rsidRPr="00B40A77">
              <w:rPr>
                <w:rFonts w:eastAsia="Times New Roman"/>
                <w:color w:val="000000" w:themeColor="text1"/>
                <w:spacing w:val="-16"/>
                <w:w w:val="105"/>
                <w:sz w:val="20"/>
                <w:szCs w:val="20"/>
              </w:rPr>
              <w:t xml:space="preserve"> </w:t>
            </w:r>
            <w:r w:rsidRPr="00B40A77">
              <w:rPr>
                <w:rFonts w:eastAsia="Times New Roman"/>
                <w:color w:val="000000" w:themeColor="text1"/>
                <w:w w:val="105"/>
                <w:sz w:val="20"/>
                <w:szCs w:val="20"/>
              </w:rPr>
              <w:t>combination</w:t>
            </w:r>
            <w:r w:rsidRPr="00B40A77">
              <w:rPr>
                <w:rFonts w:eastAsia="Times New Roman"/>
                <w:color w:val="000000" w:themeColor="text1"/>
                <w:spacing w:val="-17"/>
                <w:w w:val="105"/>
                <w:sz w:val="20"/>
                <w:szCs w:val="20"/>
              </w:rPr>
              <w:t xml:space="preserve"> </w:t>
            </w:r>
            <w:r w:rsidRPr="00B40A77">
              <w:rPr>
                <w:rFonts w:eastAsia="Times New Roman"/>
                <w:color w:val="000000" w:themeColor="text1"/>
                <w:w w:val="105"/>
                <w:sz w:val="20"/>
                <w:szCs w:val="20"/>
              </w:rPr>
              <w:t>of</w:t>
            </w:r>
            <w:r w:rsidRPr="00B40A77">
              <w:rPr>
                <w:rFonts w:eastAsia="Times New Roman"/>
                <w:color w:val="000000" w:themeColor="text1"/>
                <w:spacing w:val="-16"/>
                <w:w w:val="105"/>
                <w:sz w:val="20"/>
                <w:szCs w:val="20"/>
              </w:rPr>
              <w:t xml:space="preserve"> </w:t>
            </w:r>
            <w:r w:rsidRPr="00B40A77">
              <w:rPr>
                <w:rFonts w:eastAsia="Times New Roman"/>
                <w:color w:val="000000" w:themeColor="text1"/>
                <w:w w:val="105"/>
                <w:sz w:val="20"/>
                <w:szCs w:val="20"/>
              </w:rPr>
              <w:t xml:space="preserve">both (a) and (b). </w:t>
            </w:r>
          </w:p>
        </w:tc>
      </w:tr>
      <w:tr w:rsidR="00B40A77" w:rsidRPr="00B40A77" w14:paraId="687DD984" w14:textId="77777777" w:rsidTr="00B85DCA">
        <w:trPr>
          <w:trHeight w:hRule="exact" w:val="2163"/>
        </w:trPr>
        <w:tc>
          <w:tcPr>
            <w:tcW w:w="851" w:type="dxa"/>
            <w:tcBorders>
              <w:top w:val="single" w:sz="4" w:space="0" w:color="000000"/>
              <w:left w:val="single" w:sz="4" w:space="0" w:color="000000"/>
              <w:bottom w:val="single" w:sz="4" w:space="0" w:color="000000"/>
              <w:right w:val="single" w:sz="4" w:space="0" w:color="000000"/>
            </w:tcBorders>
          </w:tcPr>
          <w:p w14:paraId="2F22FA1A"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5</w:t>
            </w:r>
          </w:p>
        </w:tc>
        <w:tc>
          <w:tcPr>
            <w:tcW w:w="3402" w:type="dxa"/>
            <w:tcBorders>
              <w:top w:val="single" w:sz="4" w:space="0" w:color="000000"/>
              <w:left w:val="single" w:sz="4" w:space="0" w:color="000000"/>
              <w:bottom w:val="single" w:sz="4" w:space="0" w:color="000000"/>
              <w:right w:val="single" w:sz="4" w:space="0" w:color="000000"/>
            </w:tcBorders>
            <w:hideMark/>
          </w:tcPr>
          <w:p w14:paraId="6BE186B8"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Accommodation</w:t>
            </w:r>
            <w:r w:rsidRPr="00B40A77">
              <w:rPr>
                <w:rFonts w:eastAsia="Times New Roman" w:cs="Times New Roman"/>
                <w:color w:val="000000" w:themeColor="text1"/>
                <w:spacing w:val="-3"/>
                <w:w w:val="105"/>
                <w:sz w:val="20"/>
                <w:szCs w:val="20"/>
              </w:rPr>
              <w:t xml:space="preserve"> </w:t>
            </w:r>
            <w:r w:rsidRPr="00B40A77">
              <w:rPr>
                <w:rFonts w:eastAsia="Times New Roman" w:cs="Times New Roman"/>
                <w:color w:val="000000" w:themeColor="text1"/>
                <w:w w:val="105"/>
                <w:sz w:val="20"/>
                <w:szCs w:val="20"/>
              </w:rPr>
              <w:t>expenses</w:t>
            </w:r>
          </w:p>
        </w:tc>
        <w:tc>
          <w:tcPr>
            <w:tcW w:w="4394" w:type="dxa"/>
            <w:tcBorders>
              <w:top w:val="single" w:sz="4" w:space="0" w:color="000000"/>
              <w:left w:val="single" w:sz="4" w:space="0" w:color="000000"/>
              <w:bottom w:val="single" w:sz="4" w:space="0" w:color="000000"/>
              <w:right w:val="single" w:sz="4" w:space="0" w:color="auto"/>
            </w:tcBorders>
            <w:hideMark/>
          </w:tcPr>
          <w:p w14:paraId="45FA386E" w14:textId="77777777" w:rsidR="001D1CDA" w:rsidRPr="00B40A77" w:rsidRDefault="001D1CDA" w:rsidP="00B85DCA">
            <w:pPr>
              <w:kinsoku w:val="0"/>
              <w:overflowPunct w:val="0"/>
              <w:autoSpaceDE w:val="0"/>
              <w:autoSpaceDN w:val="0"/>
              <w:adjustRightInd w:val="0"/>
              <w:spacing w:before="118" w:after="240" w:line="242" w:lineRule="auto"/>
              <w:ind w:left="97" w:right="138" w:firstLine="20"/>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In the discretion of the</w:t>
            </w:r>
            <w:r w:rsidRPr="00B40A77">
              <w:rPr>
                <w:rFonts w:eastAsia="Times New Roman" w:cs="Times New Roman"/>
                <w:color w:val="000000" w:themeColor="text1"/>
                <w:spacing w:val="-39"/>
                <w:w w:val="105"/>
                <w:sz w:val="20"/>
                <w:szCs w:val="20"/>
              </w:rPr>
              <w:t xml:space="preserve"> </w:t>
            </w:r>
            <w:r w:rsidRPr="00B40A77">
              <w:rPr>
                <w:rFonts w:eastAsia="Times New Roman" w:cs="Times New Roman"/>
                <w:color w:val="000000" w:themeColor="text1"/>
                <w:w w:val="105"/>
                <w:sz w:val="20"/>
                <w:szCs w:val="20"/>
              </w:rPr>
              <w:t>taxing</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officer where the witness</w:t>
            </w:r>
            <w:r w:rsidRPr="00B40A77">
              <w:rPr>
                <w:rFonts w:eastAsia="Times New Roman" w:cs="Times New Roman"/>
                <w:color w:val="000000" w:themeColor="text1"/>
                <w:spacing w:val="-27"/>
                <w:w w:val="105"/>
                <w:sz w:val="20"/>
                <w:szCs w:val="20"/>
              </w:rPr>
              <w:t xml:space="preserve"> </w:t>
            </w:r>
            <w:r w:rsidRPr="00B40A77">
              <w:rPr>
                <w:rFonts w:eastAsia="Times New Roman" w:cs="Times New Roman"/>
                <w:color w:val="000000" w:themeColor="text1"/>
                <w:w w:val="105"/>
                <w:sz w:val="20"/>
                <w:szCs w:val="20"/>
              </w:rPr>
              <w:t>is</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required</w:t>
            </w:r>
            <w:r w:rsidRPr="00B40A77">
              <w:rPr>
                <w:rFonts w:eastAsia="Times New Roman" w:cs="Times New Roman"/>
                <w:color w:val="000000" w:themeColor="text1"/>
                <w:spacing w:val="-10"/>
                <w:w w:val="105"/>
                <w:sz w:val="20"/>
                <w:szCs w:val="20"/>
              </w:rPr>
              <w:t xml:space="preserve"> </w:t>
            </w:r>
            <w:r w:rsidRPr="00B40A77">
              <w:rPr>
                <w:rFonts w:eastAsia="Times New Roman" w:cs="Times New Roman"/>
                <w:color w:val="000000" w:themeColor="text1"/>
                <w:w w:val="105"/>
                <w:sz w:val="20"/>
                <w:szCs w:val="20"/>
              </w:rPr>
              <w:t>to</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be</w:t>
            </w:r>
            <w:r w:rsidRPr="00B40A77">
              <w:rPr>
                <w:rFonts w:eastAsia="Times New Roman" w:cs="Times New Roman"/>
                <w:color w:val="000000" w:themeColor="text1"/>
                <w:spacing w:val="-10"/>
                <w:w w:val="105"/>
                <w:sz w:val="20"/>
                <w:szCs w:val="20"/>
              </w:rPr>
              <w:t xml:space="preserve"> </w:t>
            </w:r>
            <w:r w:rsidRPr="00B40A77">
              <w:rPr>
                <w:rFonts w:eastAsia="Times New Roman" w:cs="Times New Roman"/>
                <w:color w:val="000000" w:themeColor="text1"/>
                <w:w w:val="105"/>
                <w:sz w:val="20"/>
                <w:szCs w:val="20"/>
              </w:rPr>
              <w:t>absent</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from</w:t>
            </w:r>
            <w:r w:rsidRPr="00B40A77">
              <w:rPr>
                <w:rFonts w:eastAsia="Times New Roman" w:cs="Times New Roman"/>
                <w:color w:val="000000" w:themeColor="text1"/>
                <w:spacing w:val="-12"/>
                <w:w w:val="105"/>
                <w:sz w:val="20"/>
                <w:szCs w:val="20"/>
              </w:rPr>
              <w:t xml:space="preserve"> </w:t>
            </w:r>
            <w:r w:rsidRPr="00B40A77">
              <w:rPr>
                <w:rFonts w:eastAsia="Times New Roman" w:cs="Times New Roman"/>
                <w:color w:val="000000" w:themeColor="text1"/>
                <w:w w:val="105"/>
                <w:sz w:val="20"/>
                <w:szCs w:val="20"/>
              </w:rPr>
              <w:t>the witness’s normal place of</w:t>
            </w:r>
            <w:r w:rsidRPr="00B40A77">
              <w:rPr>
                <w:rFonts w:eastAsia="Times New Roman" w:cs="Times New Roman"/>
                <w:color w:val="000000" w:themeColor="text1"/>
                <w:spacing w:val="-35"/>
                <w:w w:val="105"/>
                <w:sz w:val="20"/>
                <w:szCs w:val="20"/>
              </w:rPr>
              <w:t xml:space="preserve"> </w:t>
            </w:r>
            <w:r w:rsidRPr="00B40A77">
              <w:rPr>
                <w:rFonts w:eastAsia="Times New Roman" w:cs="Times New Roman"/>
                <w:color w:val="000000" w:themeColor="text1"/>
                <w:w w:val="105"/>
                <w:sz w:val="20"/>
                <w:szCs w:val="20"/>
              </w:rPr>
              <w:t>residence</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overnight</w:t>
            </w:r>
            <w:r w:rsidRPr="00B40A77">
              <w:rPr>
                <w:rFonts w:eastAsia="Times New Roman" w:cs="Times New Roman"/>
                <w:color w:val="000000" w:themeColor="text1"/>
                <w:spacing w:val="-28"/>
                <w:w w:val="105"/>
                <w:sz w:val="20"/>
                <w:szCs w:val="20"/>
              </w:rPr>
              <w:t xml:space="preserve"> </w:t>
            </w:r>
            <w:r w:rsidRPr="00B40A77">
              <w:rPr>
                <w:rFonts w:eastAsia="Times New Roman" w:cs="Times New Roman"/>
                <w:color w:val="000000" w:themeColor="text1"/>
                <w:w w:val="105"/>
                <w:sz w:val="20"/>
                <w:szCs w:val="20"/>
              </w:rPr>
              <w:t>for</w:t>
            </w:r>
            <w:r w:rsidRPr="00B40A77">
              <w:rPr>
                <w:rFonts w:eastAsia="Times New Roman" w:cs="Times New Roman"/>
                <w:color w:val="000000" w:themeColor="text1"/>
                <w:spacing w:val="-27"/>
                <w:w w:val="105"/>
                <w:sz w:val="20"/>
                <w:szCs w:val="20"/>
              </w:rPr>
              <w:t xml:space="preserve"> </w:t>
            </w:r>
            <w:r w:rsidRPr="00B40A77">
              <w:rPr>
                <w:rFonts w:eastAsia="Times New Roman" w:cs="Times New Roman"/>
                <w:color w:val="000000" w:themeColor="text1"/>
                <w:w w:val="105"/>
                <w:sz w:val="20"/>
                <w:szCs w:val="20"/>
              </w:rPr>
              <w:t>accommodation</w:t>
            </w:r>
            <w:r w:rsidRPr="00B40A77">
              <w:rPr>
                <w:rFonts w:eastAsia="Times New Roman" w:cs="Times New Roman"/>
                <w:color w:val="000000" w:themeColor="text1"/>
                <w:spacing w:val="-26"/>
                <w:w w:val="105"/>
                <w:sz w:val="20"/>
                <w:szCs w:val="20"/>
              </w:rPr>
              <w:t xml:space="preserve"> </w:t>
            </w:r>
            <w:r w:rsidRPr="00B40A77">
              <w:rPr>
                <w:rFonts w:eastAsia="Times New Roman" w:cs="Times New Roman"/>
                <w:color w:val="000000" w:themeColor="text1"/>
                <w:w w:val="105"/>
                <w:sz w:val="20"/>
                <w:szCs w:val="20"/>
              </w:rPr>
              <w:t>and:</w:t>
            </w:r>
          </w:p>
          <w:p w14:paraId="2B53A9E8" w14:textId="77777777" w:rsidR="001D1CDA" w:rsidRPr="00B40A77" w:rsidRDefault="001D1CDA" w:rsidP="001D1CDA">
            <w:pPr>
              <w:pStyle w:val="ListParagraph"/>
              <w:numPr>
                <w:ilvl w:val="0"/>
                <w:numId w:val="25"/>
              </w:numPr>
              <w:kinsoku w:val="0"/>
              <w:overflowPunct w:val="0"/>
              <w:autoSpaceDE w:val="0"/>
              <w:autoSpaceDN w:val="0"/>
              <w:adjustRightInd w:val="0"/>
              <w:spacing w:before="118" w:after="240" w:line="242" w:lineRule="auto"/>
              <w:ind w:right="138"/>
              <w:rPr>
                <w:rFonts w:eastAsia="Times New Roman"/>
                <w:color w:val="000000" w:themeColor="text1"/>
                <w:sz w:val="20"/>
                <w:szCs w:val="20"/>
              </w:rPr>
            </w:pPr>
            <w:r w:rsidRPr="00B40A77">
              <w:rPr>
                <w:rFonts w:eastAsia="Times New Roman"/>
                <w:color w:val="000000" w:themeColor="text1"/>
                <w:spacing w:val="-1"/>
                <w:w w:val="102"/>
                <w:sz w:val="20"/>
                <w:szCs w:val="20"/>
              </w:rPr>
              <w:t xml:space="preserve"> </w:t>
            </w:r>
            <w:r w:rsidRPr="00B40A77">
              <w:rPr>
                <w:rFonts w:eastAsia="Times New Roman"/>
                <w:color w:val="000000" w:themeColor="text1"/>
                <w:w w:val="105"/>
                <w:sz w:val="20"/>
                <w:szCs w:val="20"/>
              </w:rPr>
              <w:t>sustenance</w:t>
            </w:r>
            <w:r w:rsidRPr="00B40A77">
              <w:rPr>
                <w:rFonts w:eastAsia="Times New Roman"/>
                <w:color w:val="000000" w:themeColor="text1"/>
                <w:spacing w:val="-17"/>
                <w:w w:val="105"/>
                <w:sz w:val="20"/>
                <w:szCs w:val="20"/>
              </w:rPr>
              <w:t xml:space="preserve"> </w:t>
            </w:r>
            <w:r w:rsidRPr="00B40A77">
              <w:rPr>
                <w:rFonts w:eastAsia="Times New Roman"/>
                <w:color w:val="000000" w:themeColor="text1"/>
                <w:w w:val="105"/>
                <w:sz w:val="20"/>
                <w:szCs w:val="20"/>
              </w:rPr>
              <w:t>per</w:t>
            </w:r>
            <w:r w:rsidRPr="00B40A77">
              <w:rPr>
                <w:rFonts w:eastAsia="Times New Roman"/>
                <w:color w:val="000000" w:themeColor="text1"/>
                <w:spacing w:val="-17"/>
                <w:w w:val="105"/>
                <w:sz w:val="20"/>
                <w:szCs w:val="20"/>
              </w:rPr>
              <w:t xml:space="preserve"> </w:t>
            </w:r>
            <w:r w:rsidRPr="00B40A77">
              <w:rPr>
                <w:rFonts w:eastAsia="Times New Roman"/>
                <w:color w:val="000000" w:themeColor="text1"/>
                <w:w w:val="105"/>
                <w:sz w:val="20"/>
                <w:szCs w:val="20"/>
              </w:rPr>
              <w:t>night</w:t>
            </w:r>
            <w:r w:rsidRPr="00B40A77">
              <w:rPr>
                <w:rFonts w:eastAsia="Times New Roman"/>
                <w:color w:val="000000" w:themeColor="text1"/>
                <w:spacing w:val="-17"/>
                <w:w w:val="105"/>
                <w:sz w:val="20"/>
                <w:szCs w:val="20"/>
              </w:rPr>
              <w:t xml:space="preserve"> </w:t>
            </w:r>
            <w:r w:rsidRPr="00B40A77">
              <w:rPr>
                <w:rFonts w:eastAsia="Times New Roman"/>
                <w:color w:val="000000" w:themeColor="text1"/>
                <w:w w:val="105"/>
                <w:sz w:val="20"/>
                <w:szCs w:val="20"/>
              </w:rPr>
              <w:t>$320;</w:t>
            </w:r>
            <w:r w:rsidRPr="00B40A77">
              <w:rPr>
                <w:rFonts w:eastAsia="Times New Roman"/>
                <w:color w:val="000000" w:themeColor="text1"/>
                <w:spacing w:val="-16"/>
                <w:w w:val="105"/>
                <w:sz w:val="20"/>
                <w:szCs w:val="20"/>
              </w:rPr>
              <w:t xml:space="preserve"> </w:t>
            </w:r>
            <w:r w:rsidRPr="00B40A77">
              <w:rPr>
                <w:rFonts w:eastAsia="Times New Roman"/>
                <w:color w:val="000000" w:themeColor="text1"/>
                <w:w w:val="105"/>
                <w:sz w:val="20"/>
                <w:szCs w:val="20"/>
              </w:rPr>
              <w:t>or</w:t>
            </w:r>
            <w:r w:rsidRPr="00B40A77">
              <w:rPr>
                <w:rFonts w:eastAsia="Times New Roman"/>
                <w:color w:val="000000" w:themeColor="text1"/>
                <w:spacing w:val="-17"/>
                <w:w w:val="105"/>
                <w:sz w:val="20"/>
                <w:szCs w:val="20"/>
              </w:rPr>
              <w:t xml:space="preserve"> </w:t>
            </w:r>
          </w:p>
          <w:p w14:paraId="43A9E9DF" w14:textId="77777777" w:rsidR="001D1CDA" w:rsidRPr="00B40A77" w:rsidRDefault="001D1CDA" w:rsidP="001D1CDA">
            <w:pPr>
              <w:pStyle w:val="ListParagraph"/>
              <w:numPr>
                <w:ilvl w:val="0"/>
                <w:numId w:val="25"/>
              </w:numPr>
              <w:kinsoku w:val="0"/>
              <w:overflowPunct w:val="0"/>
              <w:autoSpaceDE w:val="0"/>
              <w:autoSpaceDN w:val="0"/>
              <w:adjustRightInd w:val="0"/>
              <w:spacing w:before="118" w:after="240" w:line="242" w:lineRule="auto"/>
              <w:ind w:right="138"/>
              <w:rPr>
                <w:rFonts w:eastAsia="Times New Roman"/>
                <w:color w:val="000000" w:themeColor="text1"/>
                <w:sz w:val="20"/>
                <w:szCs w:val="20"/>
              </w:rPr>
            </w:pPr>
            <w:r w:rsidRPr="00B40A77">
              <w:rPr>
                <w:rFonts w:eastAsia="Times New Roman"/>
                <w:color w:val="000000" w:themeColor="text1"/>
                <w:w w:val="105"/>
                <w:sz w:val="20"/>
                <w:szCs w:val="20"/>
              </w:rPr>
              <w:t>such</w:t>
            </w:r>
            <w:r w:rsidRPr="00B40A77">
              <w:rPr>
                <w:rFonts w:eastAsia="Times New Roman"/>
                <w:color w:val="000000" w:themeColor="text1"/>
                <w:spacing w:val="-1"/>
                <w:w w:val="102"/>
                <w:sz w:val="20"/>
                <w:szCs w:val="20"/>
              </w:rPr>
              <w:t xml:space="preserve"> </w:t>
            </w:r>
            <w:r w:rsidRPr="00B40A77">
              <w:rPr>
                <w:rFonts w:eastAsia="Times New Roman"/>
                <w:color w:val="000000" w:themeColor="text1"/>
                <w:w w:val="105"/>
                <w:sz w:val="20"/>
                <w:szCs w:val="20"/>
              </w:rPr>
              <w:t>larger amounts allowed by</w:t>
            </w:r>
            <w:r w:rsidRPr="00B40A77">
              <w:rPr>
                <w:rFonts w:eastAsia="Times New Roman"/>
                <w:color w:val="000000" w:themeColor="text1"/>
                <w:spacing w:val="-33"/>
                <w:w w:val="105"/>
                <w:sz w:val="20"/>
                <w:szCs w:val="20"/>
              </w:rPr>
              <w:t xml:space="preserve"> </w:t>
            </w:r>
            <w:r w:rsidRPr="00B40A77">
              <w:rPr>
                <w:rFonts w:eastAsia="Times New Roman"/>
                <w:color w:val="000000" w:themeColor="text1"/>
                <w:w w:val="105"/>
                <w:sz w:val="20"/>
                <w:szCs w:val="20"/>
              </w:rPr>
              <w:t>the</w:t>
            </w:r>
            <w:r w:rsidRPr="00B40A77">
              <w:rPr>
                <w:rFonts w:eastAsia="Times New Roman"/>
                <w:color w:val="000000" w:themeColor="text1"/>
                <w:spacing w:val="-1"/>
                <w:w w:val="102"/>
                <w:sz w:val="20"/>
                <w:szCs w:val="20"/>
              </w:rPr>
              <w:t xml:space="preserve"> </w:t>
            </w:r>
            <w:r w:rsidRPr="00B40A77">
              <w:rPr>
                <w:rFonts w:eastAsia="Times New Roman"/>
                <w:color w:val="000000" w:themeColor="text1"/>
                <w:w w:val="105"/>
                <w:sz w:val="20"/>
                <w:szCs w:val="20"/>
              </w:rPr>
              <w:t>Court at the time of, or</w:t>
            </w:r>
            <w:r w:rsidRPr="00B40A77">
              <w:rPr>
                <w:rFonts w:eastAsia="Times New Roman"/>
                <w:color w:val="000000" w:themeColor="text1"/>
                <w:spacing w:val="-36"/>
                <w:w w:val="105"/>
                <w:sz w:val="20"/>
                <w:szCs w:val="20"/>
              </w:rPr>
              <w:t xml:space="preserve"> </w:t>
            </w:r>
            <w:r w:rsidRPr="00B40A77">
              <w:rPr>
                <w:rFonts w:eastAsia="Times New Roman"/>
                <w:color w:val="000000" w:themeColor="text1"/>
                <w:w w:val="105"/>
                <w:sz w:val="20"/>
                <w:szCs w:val="20"/>
              </w:rPr>
              <w:t>before,</w:t>
            </w:r>
            <w:r w:rsidRPr="00B40A77">
              <w:rPr>
                <w:rFonts w:eastAsia="Times New Roman"/>
                <w:color w:val="000000" w:themeColor="text1"/>
                <w:w w:val="102"/>
                <w:sz w:val="20"/>
                <w:szCs w:val="20"/>
              </w:rPr>
              <w:t xml:space="preserve"> </w:t>
            </w:r>
            <w:r w:rsidRPr="00B40A77">
              <w:rPr>
                <w:rFonts w:eastAsia="Times New Roman"/>
                <w:color w:val="000000" w:themeColor="text1"/>
                <w:w w:val="105"/>
                <w:sz w:val="20"/>
                <w:szCs w:val="20"/>
              </w:rPr>
              <w:t>judgment.</w:t>
            </w:r>
          </w:p>
        </w:tc>
      </w:tr>
      <w:tr w:rsidR="00B40A77" w:rsidRPr="00B40A77" w14:paraId="6706D0A7" w14:textId="77777777" w:rsidTr="00B85DCA">
        <w:trPr>
          <w:trHeight w:hRule="exact" w:val="516"/>
        </w:trPr>
        <w:tc>
          <w:tcPr>
            <w:tcW w:w="851" w:type="dxa"/>
            <w:tcBorders>
              <w:top w:val="single" w:sz="4" w:space="0" w:color="000000"/>
              <w:left w:val="single" w:sz="4" w:space="0" w:color="000000"/>
              <w:bottom w:val="single" w:sz="4" w:space="0" w:color="000000"/>
              <w:right w:val="single" w:sz="4" w:space="0" w:color="000000"/>
            </w:tcBorders>
          </w:tcPr>
          <w:p w14:paraId="3F0E7E10"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p>
        </w:tc>
        <w:tc>
          <w:tcPr>
            <w:tcW w:w="7796" w:type="dxa"/>
            <w:gridSpan w:val="2"/>
            <w:tcBorders>
              <w:top w:val="single" w:sz="4" w:space="0" w:color="000000"/>
              <w:left w:val="single" w:sz="4" w:space="0" w:color="000000"/>
              <w:bottom w:val="single" w:sz="4" w:space="0" w:color="000000"/>
              <w:right w:val="single" w:sz="4" w:space="0" w:color="auto"/>
            </w:tcBorders>
          </w:tcPr>
          <w:p w14:paraId="2A06EEE0" w14:textId="77777777" w:rsidR="001D1CDA" w:rsidRPr="00B40A77" w:rsidRDefault="001D1CDA" w:rsidP="00B85DCA">
            <w:pPr>
              <w:kinsoku w:val="0"/>
              <w:overflowPunct w:val="0"/>
              <w:autoSpaceDE w:val="0"/>
              <w:autoSpaceDN w:val="0"/>
              <w:adjustRightInd w:val="0"/>
              <w:spacing w:before="118" w:after="240" w:line="254" w:lineRule="auto"/>
              <w:ind w:left="118"/>
              <w:rPr>
                <w:rFonts w:eastAsia="Times New Roman" w:cs="Times New Roman"/>
                <w:b/>
                <w:bCs/>
                <w:color w:val="000000" w:themeColor="text1"/>
                <w:w w:val="105"/>
                <w:sz w:val="20"/>
                <w:szCs w:val="20"/>
              </w:rPr>
            </w:pPr>
            <w:r w:rsidRPr="00B40A77">
              <w:rPr>
                <w:rFonts w:eastAsia="Times New Roman" w:cs="Times New Roman"/>
                <w:b/>
                <w:bCs/>
                <w:color w:val="000000" w:themeColor="text1"/>
                <w:w w:val="105"/>
                <w:sz w:val="20"/>
                <w:szCs w:val="20"/>
              </w:rPr>
              <w:t xml:space="preserve">Disbursements </w:t>
            </w:r>
          </w:p>
        </w:tc>
      </w:tr>
      <w:tr w:rsidR="00B40A77" w:rsidRPr="00B40A77" w14:paraId="3315610E" w14:textId="77777777" w:rsidTr="00B85DCA">
        <w:trPr>
          <w:trHeight w:hRule="exact" w:val="516"/>
        </w:trPr>
        <w:tc>
          <w:tcPr>
            <w:tcW w:w="851" w:type="dxa"/>
            <w:tcBorders>
              <w:top w:val="single" w:sz="4" w:space="0" w:color="000000"/>
              <w:left w:val="single" w:sz="4" w:space="0" w:color="000000"/>
              <w:bottom w:val="single" w:sz="4" w:space="0" w:color="000000"/>
              <w:right w:val="single" w:sz="4" w:space="0" w:color="000000"/>
            </w:tcBorders>
          </w:tcPr>
          <w:p w14:paraId="0B7F893D"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6</w:t>
            </w:r>
          </w:p>
        </w:tc>
        <w:tc>
          <w:tcPr>
            <w:tcW w:w="3402" w:type="dxa"/>
            <w:tcBorders>
              <w:top w:val="single" w:sz="4" w:space="0" w:color="000000"/>
              <w:left w:val="single" w:sz="4" w:space="0" w:color="000000"/>
              <w:bottom w:val="single" w:sz="4" w:space="0" w:color="000000"/>
              <w:right w:val="single" w:sz="4" w:space="0" w:color="000000"/>
            </w:tcBorders>
            <w:hideMark/>
          </w:tcPr>
          <w:p w14:paraId="36C09239"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Photocopying</w:t>
            </w:r>
          </w:p>
        </w:tc>
        <w:tc>
          <w:tcPr>
            <w:tcW w:w="4394" w:type="dxa"/>
            <w:tcBorders>
              <w:top w:val="single" w:sz="4" w:space="0" w:color="000000"/>
              <w:left w:val="single" w:sz="4" w:space="0" w:color="000000"/>
              <w:bottom w:val="single" w:sz="4" w:space="0" w:color="000000"/>
              <w:right w:val="single" w:sz="4" w:space="0" w:color="auto"/>
            </w:tcBorders>
            <w:shd w:val="clear" w:color="auto" w:fill="FFFFFF"/>
            <w:hideMark/>
          </w:tcPr>
          <w:p w14:paraId="14B65CDE" w14:textId="77777777" w:rsidR="001D1CDA" w:rsidRPr="00B40A77" w:rsidRDefault="001D1CDA" w:rsidP="00B85DCA">
            <w:pPr>
              <w:kinsoku w:val="0"/>
              <w:overflowPunct w:val="0"/>
              <w:autoSpaceDE w:val="0"/>
              <w:autoSpaceDN w:val="0"/>
              <w:adjustRightInd w:val="0"/>
              <w:spacing w:before="118" w:after="240" w:line="254" w:lineRule="auto"/>
              <w:ind w:left="118"/>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72 cents per</w:t>
            </w:r>
            <w:r w:rsidRPr="00B40A77">
              <w:rPr>
                <w:rFonts w:eastAsia="Times New Roman" w:cs="Times New Roman"/>
                <w:color w:val="000000" w:themeColor="text1"/>
                <w:spacing w:val="-7"/>
                <w:w w:val="105"/>
                <w:sz w:val="20"/>
                <w:szCs w:val="20"/>
              </w:rPr>
              <w:t xml:space="preserve"> </w:t>
            </w:r>
            <w:r w:rsidRPr="00B40A77">
              <w:rPr>
                <w:rFonts w:eastAsia="Times New Roman" w:cs="Times New Roman"/>
                <w:color w:val="000000" w:themeColor="text1"/>
                <w:w w:val="105"/>
                <w:sz w:val="20"/>
                <w:szCs w:val="20"/>
              </w:rPr>
              <w:t>page</w:t>
            </w:r>
          </w:p>
        </w:tc>
      </w:tr>
      <w:tr w:rsidR="00B40A77" w:rsidRPr="00B40A77" w14:paraId="74516EB1" w14:textId="77777777" w:rsidTr="00B85DCA">
        <w:trPr>
          <w:trHeight w:hRule="exact" w:val="518"/>
        </w:trPr>
        <w:tc>
          <w:tcPr>
            <w:tcW w:w="851" w:type="dxa"/>
            <w:tcBorders>
              <w:top w:val="single" w:sz="4" w:space="0" w:color="000000"/>
              <w:left w:val="single" w:sz="4" w:space="0" w:color="000000"/>
              <w:bottom w:val="single" w:sz="4" w:space="0" w:color="000000"/>
              <w:right w:val="single" w:sz="4" w:space="0" w:color="000000"/>
            </w:tcBorders>
          </w:tcPr>
          <w:p w14:paraId="56391699" w14:textId="77777777" w:rsidR="001D1CDA" w:rsidRPr="00B40A77" w:rsidRDefault="001D1CDA" w:rsidP="00B85DCA">
            <w:pPr>
              <w:kinsoku w:val="0"/>
              <w:overflowPunct w:val="0"/>
              <w:autoSpaceDE w:val="0"/>
              <w:autoSpaceDN w:val="0"/>
              <w:adjustRightInd w:val="0"/>
              <w:spacing w:before="240"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7</w:t>
            </w:r>
          </w:p>
        </w:tc>
        <w:tc>
          <w:tcPr>
            <w:tcW w:w="3402" w:type="dxa"/>
            <w:tcBorders>
              <w:top w:val="single" w:sz="4" w:space="0" w:color="000000"/>
              <w:left w:val="single" w:sz="4" w:space="0" w:color="000000"/>
              <w:bottom w:val="single" w:sz="4" w:space="0" w:color="000000"/>
              <w:right w:val="single" w:sz="4" w:space="0" w:color="000000"/>
            </w:tcBorders>
            <w:hideMark/>
          </w:tcPr>
          <w:p w14:paraId="6724D47B" w14:textId="77777777" w:rsidR="001D1CDA" w:rsidRPr="00B40A77" w:rsidRDefault="001D1CDA" w:rsidP="00B85DCA">
            <w:pPr>
              <w:kinsoku w:val="0"/>
              <w:overflowPunct w:val="0"/>
              <w:autoSpaceDE w:val="0"/>
              <w:autoSpaceDN w:val="0"/>
              <w:adjustRightInd w:val="0"/>
              <w:spacing w:before="240" w:after="240" w:line="254" w:lineRule="auto"/>
              <w:ind w:left="117"/>
              <w:rPr>
                <w:rFonts w:eastAsia="Times New Roman" w:cs="Times New Roman"/>
                <w:color w:val="000000" w:themeColor="text1"/>
                <w:sz w:val="20"/>
                <w:szCs w:val="20"/>
                <w:highlight w:val="yellow"/>
              </w:rPr>
            </w:pPr>
            <w:r w:rsidRPr="00B40A77">
              <w:rPr>
                <w:rFonts w:eastAsia="Times New Roman" w:cs="Times New Roman"/>
                <w:color w:val="000000" w:themeColor="text1"/>
                <w:w w:val="105"/>
                <w:sz w:val="20"/>
                <w:szCs w:val="20"/>
              </w:rPr>
              <w:t>ISD</w:t>
            </w:r>
            <w:r w:rsidRPr="00B40A77">
              <w:rPr>
                <w:rFonts w:eastAsia="Times New Roman" w:cs="Times New Roman"/>
                <w:color w:val="000000" w:themeColor="text1"/>
                <w:spacing w:val="-2"/>
                <w:w w:val="105"/>
                <w:sz w:val="20"/>
                <w:szCs w:val="20"/>
              </w:rPr>
              <w:t xml:space="preserve"> </w:t>
            </w:r>
            <w:r w:rsidRPr="00B40A77">
              <w:rPr>
                <w:rFonts w:eastAsia="Times New Roman" w:cs="Times New Roman"/>
                <w:color w:val="000000" w:themeColor="text1"/>
                <w:w w:val="105"/>
                <w:sz w:val="20"/>
                <w:szCs w:val="20"/>
              </w:rPr>
              <w:t>calls</w:t>
            </w:r>
          </w:p>
        </w:tc>
        <w:tc>
          <w:tcPr>
            <w:tcW w:w="4394" w:type="dxa"/>
            <w:tcBorders>
              <w:top w:val="single" w:sz="4" w:space="0" w:color="000000"/>
              <w:left w:val="single" w:sz="4" w:space="0" w:color="000000"/>
              <w:bottom w:val="single" w:sz="4" w:space="0" w:color="000000"/>
              <w:right w:val="single" w:sz="4" w:space="0" w:color="auto"/>
            </w:tcBorders>
            <w:shd w:val="clear" w:color="auto" w:fill="FFFFFF"/>
            <w:hideMark/>
          </w:tcPr>
          <w:p w14:paraId="0AF857EA" w14:textId="77777777" w:rsidR="001D1CDA" w:rsidRPr="00B40A77" w:rsidRDefault="001D1CDA" w:rsidP="00B85DCA">
            <w:pPr>
              <w:kinsoku w:val="0"/>
              <w:overflowPunct w:val="0"/>
              <w:autoSpaceDE w:val="0"/>
              <w:autoSpaceDN w:val="0"/>
              <w:adjustRightInd w:val="0"/>
              <w:spacing w:before="240" w:after="240" w:line="254" w:lineRule="auto"/>
              <w:ind w:left="116"/>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The actual</w:t>
            </w:r>
            <w:r w:rsidRPr="00B40A77">
              <w:rPr>
                <w:rFonts w:eastAsia="Times New Roman" w:cs="Times New Roman"/>
                <w:color w:val="000000" w:themeColor="text1"/>
                <w:spacing w:val="-6"/>
                <w:w w:val="105"/>
                <w:sz w:val="20"/>
                <w:szCs w:val="20"/>
              </w:rPr>
              <w:t xml:space="preserve"> </w:t>
            </w:r>
            <w:r w:rsidRPr="00B40A77">
              <w:rPr>
                <w:rFonts w:eastAsia="Times New Roman" w:cs="Times New Roman"/>
                <w:color w:val="000000" w:themeColor="text1"/>
                <w:w w:val="105"/>
                <w:sz w:val="20"/>
                <w:szCs w:val="20"/>
              </w:rPr>
              <w:t>cost.</w:t>
            </w:r>
          </w:p>
        </w:tc>
      </w:tr>
      <w:tr w:rsidR="00B40A77" w:rsidRPr="00B40A77" w14:paraId="51823899" w14:textId="77777777" w:rsidTr="00B85DCA">
        <w:trPr>
          <w:trHeight w:hRule="exact" w:val="765"/>
        </w:trPr>
        <w:tc>
          <w:tcPr>
            <w:tcW w:w="851" w:type="dxa"/>
            <w:tcBorders>
              <w:top w:val="single" w:sz="4" w:space="0" w:color="000000"/>
              <w:left w:val="single" w:sz="4" w:space="0" w:color="000000"/>
              <w:bottom w:val="single" w:sz="4" w:space="0" w:color="000000"/>
              <w:right w:val="single" w:sz="4" w:space="0" w:color="000000"/>
            </w:tcBorders>
          </w:tcPr>
          <w:p w14:paraId="73106F76"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8</w:t>
            </w:r>
          </w:p>
        </w:tc>
        <w:tc>
          <w:tcPr>
            <w:tcW w:w="3402" w:type="dxa"/>
            <w:tcBorders>
              <w:top w:val="single" w:sz="4" w:space="0" w:color="000000"/>
              <w:left w:val="single" w:sz="4" w:space="0" w:color="000000"/>
              <w:bottom w:val="single" w:sz="4" w:space="0" w:color="000000"/>
              <w:right w:val="single" w:sz="4" w:space="0" w:color="000000"/>
            </w:tcBorders>
            <w:hideMark/>
          </w:tcPr>
          <w:p w14:paraId="5891091D"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Expert</w:t>
            </w:r>
            <w:r w:rsidRPr="00B40A77">
              <w:rPr>
                <w:rFonts w:eastAsia="Times New Roman" w:cs="Times New Roman"/>
                <w:color w:val="000000" w:themeColor="text1"/>
                <w:spacing w:val="-3"/>
                <w:w w:val="105"/>
                <w:sz w:val="20"/>
                <w:szCs w:val="20"/>
              </w:rPr>
              <w:t xml:space="preserve"> </w:t>
            </w:r>
            <w:r w:rsidRPr="00B40A77">
              <w:rPr>
                <w:rFonts w:eastAsia="Times New Roman" w:cs="Times New Roman"/>
                <w:color w:val="000000" w:themeColor="text1"/>
                <w:w w:val="105"/>
                <w:sz w:val="20"/>
                <w:szCs w:val="20"/>
              </w:rPr>
              <w:t>Reports</w:t>
            </w:r>
          </w:p>
        </w:tc>
        <w:tc>
          <w:tcPr>
            <w:tcW w:w="4394" w:type="dxa"/>
            <w:tcBorders>
              <w:top w:val="single" w:sz="4" w:space="0" w:color="000000"/>
              <w:left w:val="single" w:sz="4" w:space="0" w:color="000000"/>
              <w:bottom w:val="single" w:sz="4" w:space="0" w:color="000000"/>
              <w:right w:val="single" w:sz="4" w:space="0" w:color="auto"/>
            </w:tcBorders>
            <w:shd w:val="clear" w:color="auto" w:fill="FFFFFF"/>
            <w:hideMark/>
          </w:tcPr>
          <w:p w14:paraId="4F177221" w14:textId="77777777" w:rsidR="001D1CDA" w:rsidRPr="00B40A77" w:rsidRDefault="001D1CDA" w:rsidP="00B85DCA">
            <w:pPr>
              <w:kinsoku w:val="0"/>
              <w:overflowPunct w:val="0"/>
              <w:autoSpaceDE w:val="0"/>
              <w:autoSpaceDN w:val="0"/>
              <w:adjustRightInd w:val="0"/>
              <w:spacing w:before="118" w:after="240" w:line="242" w:lineRule="auto"/>
              <w:ind w:left="97" w:right="763" w:firstLine="21"/>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$1,100</w:t>
            </w:r>
            <w:r w:rsidRPr="00B40A77">
              <w:rPr>
                <w:rFonts w:eastAsia="Times New Roman" w:cs="Times New Roman"/>
                <w:color w:val="000000" w:themeColor="text1"/>
                <w:spacing w:val="-17"/>
                <w:w w:val="105"/>
                <w:sz w:val="20"/>
                <w:szCs w:val="20"/>
              </w:rPr>
              <w:t xml:space="preserve"> </w:t>
            </w:r>
            <w:r w:rsidRPr="00B40A77">
              <w:rPr>
                <w:rFonts w:eastAsia="Times New Roman" w:cs="Times New Roman"/>
                <w:color w:val="000000" w:themeColor="text1"/>
                <w:w w:val="105"/>
                <w:sz w:val="20"/>
                <w:szCs w:val="20"/>
              </w:rPr>
              <w:t>or</w:t>
            </w:r>
            <w:r w:rsidRPr="00B40A77">
              <w:rPr>
                <w:rFonts w:eastAsia="Times New Roman" w:cs="Times New Roman"/>
                <w:color w:val="000000" w:themeColor="text1"/>
                <w:spacing w:val="-17"/>
                <w:w w:val="105"/>
                <w:sz w:val="20"/>
                <w:szCs w:val="20"/>
              </w:rPr>
              <w:t xml:space="preserve"> </w:t>
            </w:r>
            <w:r w:rsidRPr="00B40A77">
              <w:rPr>
                <w:rFonts w:eastAsia="Times New Roman" w:cs="Times New Roman"/>
                <w:color w:val="000000" w:themeColor="text1"/>
                <w:w w:val="105"/>
                <w:sz w:val="20"/>
                <w:szCs w:val="20"/>
              </w:rPr>
              <w:t>such</w:t>
            </w:r>
            <w:r w:rsidRPr="00B40A77">
              <w:rPr>
                <w:rFonts w:eastAsia="Times New Roman" w:cs="Times New Roman"/>
                <w:color w:val="000000" w:themeColor="text1"/>
                <w:spacing w:val="-17"/>
                <w:w w:val="105"/>
                <w:sz w:val="20"/>
                <w:szCs w:val="20"/>
              </w:rPr>
              <w:t xml:space="preserve"> </w:t>
            </w:r>
            <w:r w:rsidRPr="00B40A77">
              <w:rPr>
                <w:rFonts w:eastAsia="Times New Roman" w:cs="Times New Roman"/>
                <w:color w:val="000000" w:themeColor="text1"/>
                <w:w w:val="105"/>
                <w:sz w:val="20"/>
                <w:szCs w:val="20"/>
              </w:rPr>
              <w:t>other</w:t>
            </w:r>
            <w:r w:rsidRPr="00B40A77">
              <w:rPr>
                <w:rFonts w:eastAsia="Times New Roman" w:cs="Times New Roman"/>
                <w:color w:val="000000" w:themeColor="text1"/>
                <w:spacing w:val="-17"/>
                <w:w w:val="105"/>
                <w:sz w:val="20"/>
                <w:szCs w:val="20"/>
              </w:rPr>
              <w:t xml:space="preserve"> </w:t>
            </w:r>
            <w:r w:rsidRPr="00B40A77">
              <w:rPr>
                <w:rFonts w:eastAsia="Times New Roman" w:cs="Times New Roman"/>
                <w:color w:val="000000" w:themeColor="text1"/>
                <w:w w:val="105"/>
                <w:sz w:val="20"/>
                <w:szCs w:val="20"/>
              </w:rPr>
              <w:t>amount</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ordered by the</w:t>
            </w:r>
            <w:r w:rsidRPr="00B40A77">
              <w:rPr>
                <w:rFonts w:eastAsia="Times New Roman" w:cs="Times New Roman"/>
                <w:color w:val="000000" w:themeColor="text1"/>
                <w:spacing w:val="-18"/>
                <w:w w:val="105"/>
                <w:sz w:val="20"/>
                <w:szCs w:val="20"/>
              </w:rPr>
              <w:t xml:space="preserve"> </w:t>
            </w:r>
            <w:r w:rsidRPr="00B40A77">
              <w:rPr>
                <w:rFonts w:eastAsia="Times New Roman" w:cs="Times New Roman"/>
                <w:color w:val="000000" w:themeColor="text1"/>
                <w:w w:val="105"/>
                <w:sz w:val="20"/>
                <w:szCs w:val="20"/>
              </w:rPr>
              <w:t>Court</w:t>
            </w:r>
          </w:p>
        </w:tc>
      </w:tr>
      <w:tr w:rsidR="00B40A77" w:rsidRPr="00B40A77" w14:paraId="0909AD6F" w14:textId="77777777" w:rsidTr="00B85DCA">
        <w:trPr>
          <w:trHeight w:hRule="exact" w:val="2008"/>
        </w:trPr>
        <w:tc>
          <w:tcPr>
            <w:tcW w:w="851" w:type="dxa"/>
            <w:tcBorders>
              <w:top w:val="single" w:sz="4" w:space="0" w:color="000000"/>
              <w:left w:val="single" w:sz="4" w:space="0" w:color="000000"/>
              <w:bottom w:val="single" w:sz="4" w:space="0" w:color="000000"/>
              <w:right w:val="single" w:sz="4" w:space="0" w:color="000000"/>
            </w:tcBorders>
          </w:tcPr>
          <w:p w14:paraId="0BC232E8"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w w:val="105"/>
                <w:sz w:val="20"/>
                <w:szCs w:val="20"/>
              </w:rPr>
            </w:pPr>
            <w:r w:rsidRPr="00B40A77">
              <w:rPr>
                <w:rFonts w:eastAsia="Times New Roman" w:cs="Times New Roman"/>
                <w:color w:val="000000" w:themeColor="text1"/>
                <w:w w:val="105"/>
                <w:sz w:val="20"/>
                <w:szCs w:val="20"/>
              </w:rPr>
              <w:t>9</w:t>
            </w:r>
          </w:p>
        </w:tc>
        <w:tc>
          <w:tcPr>
            <w:tcW w:w="3402" w:type="dxa"/>
            <w:tcBorders>
              <w:top w:val="single" w:sz="4" w:space="0" w:color="000000"/>
              <w:left w:val="single" w:sz="4" w:space="0" w:color="000000"/>
              <w:bottom w:val="single" w:sz="4" w:space="0" w:color="000000"/>
              <w:right w:val="single" w:sz="4" w:space="0" w:color="000000"/>
            </w:tcBorders>
            <w:hideMark/>
          </w:tcPr>
          <w:p w14:paraId="3427A248" w14:textId="77777777" w:rsidR="001D1CDA" w:rsidRPr="00B40A77" w:rsidRDefault="001D1CDA" w:rsidP="00B85DCA">
            <w:pPr>
              <w:kinsoku w:val="0"/>
              <w:overflowPunct w:val="0"/>
              <w:autoSpaceDE w:val="0"/>
              <w:autoSpaceDN w:val="0"/>
              <w:adjustRightInd w:val="0"/>
              <w:spacing w:before="118" w:after="240" w:line="254" w:lineRule="auto"/>
              <w:ind w:left="117"/>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Other</w:t>
            </w:r>
          </w:p>
        </w:tc>
        <w:tc>
          <w:tcPr>
            <w:tcW w:w="4394" w:type="dxa"/>
            <w:tcBorders>
              <w:top w:val="single" w:sz="4" w:space="0" w:color="000000"/>
              <w:left w:val="single" w:sz="4" w:space="0" w:color="000000"/>
              <w:bottom w:val="single" w:sz="4" w:space="0" w:color="000000"/>
              <w:right w:val="single" w:sz="4" w:space="0" w:color="auto"/>
            </w:tcBorders>
            <w:shd w:val="clear" w:color="auto" w:fill="FFFFFF"/>
            <w:hideMark/>
          </w:tcPr>
          <w:p w14:paraId="6F89803E" w14:textId="77777777" w:rsidR="001D1CDA" w:rsidRPr="00B40A77" w:rsidRDefault="001D1CDA" w:rsidP="00B85DCA">
            <w:pPr>
              <w:kinsoku w:val="0"/>
              <w:overflowPunct w:val="0"/>
              <w:autoSpaceDE w:val="0"/>
              <w:autoSpaceDN w:val="0"/>
              <w:adjustRightInd w:val="0"/>
              <w:spacing w:before="118" w:after="240" w:line="242" w:lineRule="auto"/>
              <w:ind w:left="97" w:right="168" w:firstLine="20"/>
              <w:rPr>
                <w:rFonts w:eastAsia="Times New Roman" w:cs="Times New Roman"/>
                <w:color w:val="000000" w:themeColor="text1"/>
                <w:sz w:val="20"/>
                <w:szCs w:val="20"/>
              </w:rPr>
            </w:pPr>
            <w:r w:rsidRPr="00B40A77">
              <w:rPr>
                <w:rFonts w:eastAsia="Times New Roman" w:cs="Times New Roman"/>
                <w:color w:val="000000" w:themeColor="text1"/>
                <w:w w:val="105"/>
                <w:sz w:val="20"/>
                <w:szCs w:val="20"/>
              </w:rPr>
              <w:t>All</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Court</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fees,</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search</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fees,</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other fees and payments to</w:t>
            </w:r>
            <w:r w:rsidRPr="00B40A77">
              <w:rPr>
                <w:rFonts w:eastAsia="Times New Roman" w:cs="Times New Roman"/>
                <w:color w:val="000000" w:themeColor="text1"/>
                <w:spacing w:val="-42"/>
                <w:w w:val="105"/>
                <w:sz w:val="20"/>
                <w:szCs w:val="20"/>
              </w:rPr>
              <w:t xml:space="preserve"> </w:t>
            </w:r>
            <w:r w:rsidRPr="00B40A77">
              <w:rPr>
                <w:rFonts w:eastAsia="Times New Roman" w:cs="Times New Roman"/>
                <w:color w:val="000000" w:themeColor="text1"/>
                <w:w w:val="105"/>
                <w:sz w:val="20"/>
                <w:szCs w:val="20"/>
              </w:rPr>
              <w:t>the</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extent</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to</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which</w:t>
            </w:r>
            <w:r w:rsidRPr="00B40A77">
              <w:rPr>
                <w:rFonts w:eastAsia="Times New Roman" w:cs="Times New Roman"/>
                <w:color w:val="000000" w:themeColor="text1"/>
                <w:spacing w:val="-9"/>
                <w:w w:val="105"/>
                <w:sz w:val="20"/>
                <w:szCs w:val="20"/>
              </w:rPr>
              <w:t xml:space="preserve"> </w:t>
            </w:r>
            <w:r w:rsidRPr="00B40A77">
              <w:rPr>
                <w:rFonts w:eastAsia="Times New Roman" w:cs="Times New Roman"/>
                <w:color w:val="000000" w:themeColor="text1"/>
                <w:w w:val="105"/>
                <w:sz w:val="20"/>
                <w:szCs w:val="20"/>
              </w:rPr>
              <w:t>they</w:t>
            </w:r>
            <w:r w:rsidRPr="00B40A77">
              <w:rPr>
                <w:rFonts w:eastAsia="Times New Roman" w:cs="Times New Roman"/>
                <w:color w:val="000000" w:themeColor="text1"/>
                <w:spacing w:val="-8"/>
                <w:w w:val="105"/>
                <w:sz w:val="20"/>
                <w:szCs w:val="20"/>
              </w:rPr>
              <w:t xml:space="preserve"> </w:t>
            </w:r>
            <w:r w:rsidRPr="00B40A77">
              <w:rPr>
                <w:rFonts w:eastAsia="Times New Roman" w:cs="Times New Roman"/>
                <w:color w:val="000000" w:themeColor="text1"/>
                <w:w w:val="105"/>
                <w:sz w:val="20"/>
                <w:szCs w:val="20"/>
              </w:rPr>
              <w:t>have</w:t>
            </w:r>
            <w:r w:rsidRPr="00B40A77">
              <w:rPr>
                <w:rFonts w:eastAsia="Times New Roman" w:cs="Times New Roman"/>
                <w:color w:val="000000" w:themeColor="text1"/>
                <w:spacing w:val="-11"/>
                <w:w w:val="105"/>
                <w:sz w:val="20"/>
                <w:szCs w:val="20"/>
              </w:rPr>
              <w:t xml:space="preserve"> </w:t>
            </w:r>
            <w:r w:rsidRPr="00B40A77">
              <w:rPr>
                <w:rFonts w:eastAsia="Times New Roman" w:cs="Times New Roman"/>
                <w:color w:val="000000" w:themeColor="text1"/>
                <w:w w:val="105"/>
                <w:sz w:val="20"/>
                <w:szCs w:val="20"/>
              </w:rPr>
              <w:t>been</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properly</w:t>
            </w:r>
            <w:r w:rsidRPr="00B40A77">
              <w:rPr>
                <w:rFonts w:eastAsia="Times New Roman" w:cs="Times New Roman"/>
                <w:color w:val="000000" w:themeColor="text1"/>
                <w:spacing w:val="-22"/>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23"/>
                <w:w w:val="105"/>
                <w:sz w:val="20"/>
                <w:szCs w:val="20"/>
              </w:rPr>
              <w:t xml:space="preserve"> </w:t>
            </w:r>
            <w:r w:rsidRPr="00B40A77">
              <w:rPr>
                <w:rFonts w:eastAsia="Times New Roman" w:cs="Times New Roman"/>
                <w:color w:val="000000" w:themeColor="text1"/>
                <w:w w:val="105"/>
                <w:sz w:val="20"/>
                <w:szCs w:val="20"/>
              </w:rPr>
              <w:t>reasonably</w:t>
            </w:r>
            <w:r w:rsidRPr="00B40A77">
              <w:rPr>
                <w:rFonts w:eastAsia="Times New Roman" w:cs="Times New Roman"/>
                <w:color w:val="000000" w:themeColor="text1"/>
                <w:spacing w:val="-22"/>
                <w:w w:val="105"/>
                <w:sz w:val="20"/>
                <w:szCs w:val="20"/>
              </w:rPr>
              <w:t xml:space="preserve"> </w:t>
            </w:r>
            <w:r w:rsidRPr="00B40A77">
              <w:rPr>
                <w:rFonts w:eastAsia="Times New Roman" w:cs="Times New Roman"/>
                <w:color w:val="000000" w:themeColor="text1"/>
                <w:w w:val="105"/>
                <w:sz w:val="20"/>
                <w:szCs w:val="20"/>
              </w:rPr>
              <w:t>incurred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paid;</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but</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excluding</w:t>
            </w:r>
            <w:r w:rsidRPr="00B40A77">
              <w:rPr>
                <w:rFonts w:eastAsia="Times New Roman" w:cs="Times New Roman"/>
                <w:color w:val="000000" w:themeColor="text1"/>
                <w:spacing w:val="-14"/>
                <w:w w:val="105"/>
                <w:sz w:val="20"/>
                <w:szCs w:val="20"/>
              </w:rPr>
              <w:t xml:space="preserve"> </w:t>
            </w:r>
            <w:r w:rsidRPr="00B40A77">
              <w:rPr>
                <w:rFonts w:eastAsia="Times New Roman" w:cs="Times New Roman"/>
                <w:color w:val="000000" w:themeColor="text1"/>
                <w:w w:val="105"/>
                <w:sz w:val="20"/>
                <w:szCs w:val="20"/>
              </w:rPr>
              <w:t>the</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usual</w:t>
            </w:r>
            <w:r w:rsidRPr="00B40A77">
              <w:rPr>
                <w:rFonts w:eastAsia="Times New Roman" w:cs="Times New Roman"/>
                <w:color w:val="000000" w:themeColor="text1"/>
                <w:w w:val="102"/>
                <w:sz w:val="20"/>
                <w:szCs w:val="20"/>
              </w:rPr>
              <w:t xml:space="preserve"> </w:t>
            </w:r>
            <w:r w:rsidRPr="00B40A77">
              <w:rPr>
                <w:rFonts w:eastAsia="Times New Roman" w:cs="Times New Roman"/>
                <w:color w:val="000000" w:themeColor="text1"/>
                <w:w w:val="105"/>
                <w:sz w:val="20"/>
                <w:szCs w:val="20"/>
              </w:rPr>
              <w:t>and incidental expenses</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overheads</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of</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a</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legal</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practice</w:t>
            </w:r>
            <w:r w:rsidRPr="00B40A77">
              <w:rPr>
                <w:rFonts w:eastAsia="Times New Roman" w:cs="Times New Roman"/>
                <w:color w:val="000000" w:themeColor="text1"/>
                <w:spacing w:val="-15"/>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in particular excluding</w:t>
            </w:r>
            <w:r w:rsidRPr="00B40A77">
              <w:rPr>
                <w:rFonts w:eastAsia="Times New Roman" w:cs="Times New Roman"/>
                <w:color w:val="000000" w:themeColor="text1"/>
                <w:spacing w:val="-38"/>
                <w:w w:val="105"/>
                <w:sz w:val="20"/>
                <w:szCs w:val="20"/>
              </w:rPr>
              <w:t xml:space="preserve"> </w:t>
            </w:r>
            <w:r w:rsidRPr="00B40A77">
              <w:rPr>
                <w:rFonts w:eastAsia="Times New Roman" w:cs="Times New Roman"/>
                <w:color w:val="000000" w:themeColor="text1"/>
                <w:w w:val="105"/>
                <w:sz w:val="20"/>
                <w:szCs w:val="20"/>
              </w:rPr>
              <w:t>postage,</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telephone</w:t>
            </w:r>
            <w:r w:rsidRPr="00B40A77">
              <w:rPr>
                <w:rFonts w:eastAsia="Times New Roman" w:cs="Times New Roman"/>
                <w:color w:val="000000" w:themeColor="text1"/>
                <w:spacing w:val="-20"/>
                <w:w w:val="105"/>
                <w:sz w:val="20"/>
                <w:szCs w:val="20"/>
              </w:rPr>
              <w:t xml:space="preserve"> </w:t>
            </w:r>
            <w:r w:rsidRPr="00B40A77">
              <w:rPr>
                <w:rFonts w:eastAsia="Times New Roman" w:cs="Times New Roman"/>
                <w:color w:val="000000" w:themeColor="text1"/>
                <w:w w:val="105"/>
                <w:sz w:val="20"/>
                <w:szCs w:val="20"/>
              </w:rPr>
              <w:t>charges</w:t>
            </w:r>
            <w:r w:rsidRPr="00B40A77">
              <w:rPr>
                <w:rFonts w:eastAsia="Times New Roman" w:cs="Times New Roman"/>
                <w:color w:val="000000" w:themeColor="text1"/>
                <w:spacing w:val="-20"/>
                <w:w w:val="105"/>
                <w:sz w:val="20"/>
                <w:szCs w:val="20"/>
              </w:rPr>
              <w:t xml:space="preserve"> </w:t>
            </w:r>
            <w:r w:rsidRPr="00B40A77">
              <w:rPr>
                <w:rFonts w:eastAsia="Times New Roman" w:cs="Times New Roman"/>
                <w:color w:val="000000" w:themeColor="text1"/>
                <w:w w:val="105"/>
                <w:sz w:val="20"/>
                <w:szCs w:val="20"/>
              </w:rPr>
              <w:t>(non</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STD)</w:t>
            </w:r>
            <w:r w:rsidRPr="00B40A77">
              <w:rPr>
                <w:rFonts w:eastAsia="Times New Roman" w:cs="Times New Roman"/>
                <w:color w:val="000000" w:themeColor="text1"/>
                <w:spacing w:val="-21"/>
                <w:w w:val="105"/>
                <w:sz w:val="20"/>
                <w:szCs w:val="20"/>
              </w:rPr>
              <w:t xml:space="preserve"> </w:t>
            </w:r>
            <w:r w:rsidRPr="00B40A77">
              <w:rPr>
                <w:rFonts w:eastAsia="Times New Roman" w:cs="Times New Roman"/>
                <w:color w:val="000000" w:themeColor="text1"/>
                <w:w w:val="105"/>
                <w:sz w:val="20"/>
                <w:szCs w:val="20"/>
              </w:rPr>
              <w:t>and</w:t>
            </w:r>
            <w:r w:rsidRPr="00B40A77">
              <w:rPr>
                <w:rFonts w:eastAsia="Times New Roman" w:cs="Times New Roman"/>
                <w:color w:val="000000" w:themeColor="text1"/>
                <w:spacing w:val="-1"/>
                <w:w w:val="102"/>
                <w:sz w:val="20"/>
                <w:szCs w:val="20"/>
              </w:rPr>
              <w:t xml:space="preserve"> </w:t>
            </w:r>
            <w:r w:rsidRPr="00B40A77">
              <w:rPr>
                <w:rFonts w:eastAsia="Times New Roman" w:cs="Times New Roman"/>
                <w:color w:val="000000" w:themeColor="text1"/>
                <w:w w:val="105"/>
                <w:sz w:val="20"/>
                <w:szCs w:val="20"/>
              </w:rPr>
              <w:t>courier</w:t>
            </w:r>
            <w:r w:rsidRPr="00B40A77">
              <w:rPr>
                <w:rFonts w:eastAsia="Times New Roman" w:cs="Times New Roman"/>
                <w:color w:val="000000" w:themeColor="text1"/>
                <w:spacing w:val="-4"/>
                <w:w w:val="105"/>
                <w:sz w:val="20"/>
                <w:szCs w:val="20"/>
              </w:rPr>
              <w:t xml:space="preserve"> </w:t>
            </w:r>
            <w:r w:rsidRPr="00B40A77">
              <w:rPr>
                <w:rFonts w:eastAsia="Times New Roman" w:cs="Times New Roman"/>
                <w:color w:val="000000" w:themeColor="text1"/>
                <w:w w:val="105"/>
                <w:sz w:val="20"/>
                <w:szCs w:val="20"/>
              </w:rPr>
              <w:t>expenses.</w:t>
            </w:r>
          </w:p>
        </w:tc>
      </w:tr>
    </w:tbl>
    <w:p w14:paraId="6AD477B4" w14:textId="77777777" w:rsidR="00F64B8E" w:rsidRPr="00B40A77" w:rsidRDefault="00F64B8E" w:rsidP="001D1CDA">
      <w:pPr>
        <w:kinsoku w:val="0"/>
        <w:overflowPunct w:val="0"/>
        <w:autoSpaceDE w:val="0"/>
        <w:autoSpaceDN w:val="0"/>
        <w:adjustRightInd w:val="0"/>
        <w:spacing w:before="69"/>
        <w:ind w:left="851"/>
        <w:rPr>
          <w:rFonts w:cs="Times New Roman"/>
          <w:color w:val="000000" w:themeColor="text1"/>
          <w:w w:val="105"/>
          <w:szCs w:val="23"/>
        </w:rPr>
      </w:pPr>
    </w:p>
    <w:p w14:paraId="2C9B4650" w14:textId="5C3B5263" w:rsidR="001D1CDA" w:rsidRPr="00B40A77" w:rsidRDefault="001D1CDA" w:rsidP="001D1CDA">
      <w:pPr>
        <w:kinsoku w:val="0"/>
        <w:overflowPunct w:val="0"/>
        <w:autoSpaceDE w:val="0"/>
        <w:autoSpaceDN w:val="0"/>
        <w:adjustRightInd w:val="0"/>
        <w:spacing w:before="69"/>
        <w:ind w:left="851"/>
        <w:rPr>
          <w:rFonts w:cs="Times New Roman"/>
          <w:color w:val="000000" w:themeColor="text1"/>
          <w:w w:val="105"/>
          <w:szCs w:val="23"/>
        </w:rPr>
      </w:pPr>
      <w:r w:rsidRPr="00B40A77">
        <w:rPr>
          <w:rFonts w:cs="Times New Roman"/>
          <w:color w:val="000000" w:themeColor="text1"/>
          <w:w w:val="105"/>
          <w:szCs w:val="23"/>
        </w:rPr>
        <w:lastRenderedPageBreak/>
        <w:t>Notes to Table 2:</w:t>
      </w:r>
    </w:p>
    <w:p w14:paraId="5BE53F81" w14:textId="77777777" w:rsidR="001D1CDA" w:rsidRPr="00B40A77" w:rsidRDefault="001D1CDA" w:rsidP="001D1CDA">
      <w:pPr>
        <w:numPr>
          <w:ilvl w:val="0"/>
          <w:numId w:val="26"/>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If a witness is released before or is required to first attend after the luncheon break on any day, half a day will be allowed.</w:t>
      </w:r>
    </w:p>
    <w:p w14:paraId="04C22CE8" w14:textId="77777777" w:rsidR="001D1CDA" w:rsidRPr="00B40A77" w:rsidRDefault="001D1CDA" w:rsidP="001D1CDA">
      <w:pPr>
        <w:numPr>
          <w:ilvl w:val="0"/>
          <w:numId w:val="26"/>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Fees for non-legally qualified people are for attendances only.</w:t>
      </w:r>
    </w:p>
    <w:p w14:paraId="2841691E" w14:textId="77777777" w:rsidR="001D1CDA" w:rsidRPr="00B40A77" w:rsidRDefault="001D1CDA" w:rsidP="001D1CDA">
      <w:pPr>
        <w:numPr>
          <w:ilvl w:val="0"/>
          <w:numId w:val="26"/>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This scale is for use in making orders about costs as between party and party.</w:t>
      </w:r>
    </w:p>
    <w:p w14:paraId="706A7D83" w14:textId="77777777" w:rsidR="001D1CDA" w:rsidRPr="00B40A77" w:rsidRDefault="001D1CDA" w:rsidP="001D1CDA">
      <w:pPr>
        <w:numPr>
          <w:ilvl w:val="0"/>
          <w:numId w:val="26"/>
        </w:numPr>
        <w:tabs>
          <w:tab w:val="left" w:pos="689"/>
        </w:tabs>
        <w:kinsoku w:val="0"/>
        <w:overflowPunct w:val="0"/>
        <w:autoSpaceDE w:val="0"/>
        <w:autoSpaceDN w:val="0"/>
        <w:adjustRightInd w:val="0"/>
        <w:spacing w:before="0" w:after="160" w:line="244" w:lineRule="auto"/>
        <w:ind w:right="152"/>
        <w:rPr>
          <w:rFonts w:cs="Times New Roman"/>
          <w:color w:val="000000" w:themeColor="text1"/>
          <w:szCs w:val="23"/>
        </w:rPr>
      </w:pPr>
      <w:r w:rsidRPr="00B40A77">
        <w:rPr>
          <w:rFonts w:cs="Times New Roman"/>
          <w:color w:val="000000" w:themeColor="text1"/>
          <w:w w:val="105"/>
          <w:szCs w:val="23"/>
        </w:rPr>
        <w:t>The costs allowed in this scale do not include Goods and Services Tax (GST) which is to be added except in the following circumstances:</w:t>
      </w:r>
    </w:p>
    <w:p w14:paraId="405DEDB8" w14:textId="74012920" w:rsidR="001D1CDA" w:rsidRPr="00B40A77" w:rsidRDefault="001D1CDA" w:rsidP="001D1CDA">
      <w:pPr>
        <w:tabs>
          <w:tab w:val="left" w:pos="689"/>
        </w:tabs>
        <w:kinsoku w:val="0"/>
        <w:overflowPunct w:val="0"/>
        <w:autoSpaceDE w:val="0"/>
        <w:autoSpaceDN w:val="0"/>
        <w:adjustRightInd w:val="0"/>
        <w:spacing w:line="244" w:lineRule="auto"/>
        <w:ind w:left="1385" w:right="152"/>
        <w:rPr>
          <w:rFonts w:cs="Times New Roman"/>
          <w:color w:val="000000" w:themeColor="text1"/>
          <w:szCs w:val="23"/>
        </w:rPr>
      </w:pPr>
      <w:r w:rsidRPr="00B40A77">
        <w:rPr>
          <w:rFonts w:cs="Times New Roman"/>
          <w:color w:val="000000" w:themeColor="text1"/>
          <w:szCs w:val="23"/>
        </w:rPr>
        <w:t>The GST should not be included in a claim for costs in a party/party Bill of Costs if the receiving party is able to obtain an input tax credit. If the receiving party is able to obtain an input tax credit for a proportion of GST only, only the portion which is not eligible for credit should be claimed in the party/party bill.</w:t>
      </w:r>
    </w:p>
    <w:p w14:paraId="0A0EB0FA" w14:textId="77777777" w:rsidR="0064137F" w:rsidRPr="00B40A77" w:rsidRDefault="0064137F" w:rsidP="0064137F">
      <w:pPr>
        <w:tabs>
          <w:tab w:val="left" w:pos="689"/>
        </w:tabs>
        <w:kinsoku w:val="0"/>
        <w:overflowPunct w:val="0"/>
        <w:autoSpaceDE w:val="0"/>
        <w:autoSpaceDN w:val="0"/>
        <w:adjustRightInd w:val="0"/>
        <w:spacing w:before="240" w:line="242" w:lineRule="auto"/>
        <w:ind w:right="152"/>
        <w:rPr>
          <w:rFonts w:eastAsia="Times New Roman" w:cs="Times New Roman"/>
          <w:color w:val="000000" w:themeColor="text1"/>
          <w:szCs w:val="23"/>
        </w:rPr>
      </w:pPr>
    </w:p>
    <w:p w14:paraId="498B2A67" w14:textId="77777777" w:rsidR="00EC12A0" w:rsidRPr="00B40A77" w:rsidRDefault="00EC12A0" w:rsidP="00EC12A0">
      <w:pPr>
        <w:spacing w:after="0" w:line="360" w:lineRule="auto"/>
        <w:jc w:val="both"/>
        <w:rPr>
          <w:color w:val="000000" w:themeColor="text1"/>
          <w:sz w:val="24"/>
          <w:szCs w:val="24"/>
        </w:rPr>
      </w:pPr>
    </w:p>
    <w:p w14:paraId="6F159417" w14:textId="3F569349" w:rsidR="00734CCD" w:rsidRPr="00B40A77" w:rsidRDefault="00734CCD" w:rsidP="00F94FD3">
      <w:pPr>
        <w:pStyle w:val="Doublehangindent"/>
        <w:ind w:left="0" w:firstLine="0"/>
        <w:rPr>
          <w:color w:val="000000" w:themeColor="text1"/>
          <w:lang w:val="en-US"/>
        </w:rPr>
      </w:pPr>
      <w:r w:rsidRPr="00B40A77">
        <w:rPr>
          <w:color w:val="000000" w:themeColor="text1"/>
          <w:lang w:val="en-US"/>
        </w:rPr>
        <w:br w:type="page"/>
      </w:r>
    </w:p>
    <w:p w14:paraId="7AFC2261" w14:textId="04F69122" w:rsidR="00673870" w:rsidRPr="00B40A77" w:rsidRDefault="00874B84" w:rsidP="00135DBD">
      <w:pPr>
        <w:pStyle w:val="Heading1"/>
        <w:rPr>
          <w:color w:val="000000" w:themeColor="text1"/>
        </w:rPr>
      </w:pPr>
      <w:bookmarkStart w:id="1259" w:name="_Schedule_2—Forms"/>
      <w:bookmarkStart w:id="1260" w:name="_Toc36627798"/>
      <w:bookmarkStart w:id="1261" w:name="_Toc37770019"/>
      <w:bookmarkStart w:id="1262" w:name="_Toc175239426"/>
      <w:bookmarkStart w:id="1263" w:name="_Hlk40947513"/>
      <w:bookmarkEnd w:id="1"/>
      <w:bookmarkEnd w:id="1259"/>
      <w:r w:rsidRPr="00B40A77">
        <w:rPr>
          <w:color w:val="000000" w:themeColor="text1"/>
        </w:rPr>
        <w:lastRenderedPageBreak/>
        <w:t>Schedule 2</w:t>
      </w:r>
      <w:r w:rsidR="00673870" w:rsidRPr="00B40A77">
        <w:rPr>
          <w:color w:val="000000" w:themeColor="text1"/>
        </w:rPr>
        <w:t>—Forms</w:t>
      </w:r>
      <w:bookmarkEnd w:id="1260"/>
      <w:bookmarkEnd w:id="1261"/>
      <w:bookmarkEnd w:id="1262"/>
    </w:p>
    <w:p w14:paraId="35BFE085" w14:textId="25FD727A" w:rsidR="0039695A" w:rsidRPr="00B40A77" w:rsidRDefault="0039695A" w:rsidP="009056BE">
      <w:pPr>
        <w:pStyle w:val="Heading4"/>
        <w:rPr>
          <w:color w:val="000000" w:themeColor="text1"/>
        </w:rPr>
      </w:pPr>
      <w:bookmarkStart w:id="1264" w:name="_Toc175239427"/>
      <w:r w:rsidRPr="00B40A77">
        <w:rPr>
          <w:color w:val="000000" w:themeColor="text1"/>
        </w:rPr>
        <w:t>Index</w:t>
      </w:r>
      <w:r w:rsidR="00874B84" w:rsidRPr="00B40A77">
        <w:rPr>
          <w:color w:val="000000" w:themeColor="text1"/>
        </w:rPr>
        <w:t xml:space="preserve"> to Schedule 2</w:t>
      </w:r>
      <w:r w:rsidR="009056BE" w:rsidRPr="00B40A77">
        <w:rPr>
          <w:color w:val="000000" w:themeColor="text1"/>
        </w:rPr>
        <w:t>—Forms</w:t>
      </w:r>
      <w:bookmarkEnd w:id="1264"/>
    </w:p>
    <w:p w14:paraId="1D151CC5" w14:textId="7288B0CB" w:rsidR="00673870" w:rsidRPr="00B40A77" w:rsidRDefault="00202DE3" w:rsidP="00673870">
      <w:pPr>
        <w:ind w:left="1134" w:hanging="567"/>
        <w:rPr>
          <w:b/>
          <w:color w:val="000000" w:themeColor="text1"/>
          <w:sz w:val="26"/>
          <w:lang w:eastAsia="en-AU"/>
        </w:rPr>
      </w:pPr>
      <w:bookmarkStart w:id="1265" w:name="_Hlk109812790"/>
      <w:r w:rsidRPr="00B40A77">
        <w:rPr>
          <w:b/>
          <w:color w:val="000000" w:themeColor="text1"/>
          <w:sz w:val="26"/>
          <w:lang w:eastAsia="en-AU"/>
        </w:rPr>
        <w:t>1—</w:t>
      </w:r>
      <w:r w:rsidR="00A34210" w:rsidRPr="00B40A77">
        <w:rPr>
          <w:b/>
          <w:color w:val="000000" w:themeColor="text1"/>
          <w:sz w:val="26"/>
          <w:lang w:eastAsia="en-AU"/>
        </w:rPr>
        <w:t>Origination</w:t>
      </w:r>
    </w:p>
    <w:p w14:paraId="131A4D8D" w14:textId="00F34819" w:rsidR="00641FDB" w:rsidRPr="00B40A77" w:rsidRDefault="00202DE3" w:rsidP="0040708E">
      <w:pPr>
        <w:ind w:left="1701" w:hanging="567"/>
        <w:rPr>
          <w:color w:val="000000" w:themeColor="text1"/>
          <w:lang w:eastAsia="en-AU"/>
        </w:rPr>
      </w:pPr>
      <w:r w:rsidRPr="00B40A77">
        <w:rPr>
          <w:color w:val="000000" w:themeColor="text1"/>
          <w:lang w:eastAsia="en-AU"/>
        </w:rPr>
        <w:t>Form 1—Information</w:t>
      </w:r>
      <w:r w:rsidR="00A34210" w:rsidRPr="00B40A77">
        <w:rPr>
          <w:color w:val="000000" w:themeColor="text1"/>
          <w:lang w:eastAsia="en-AU"/>
        </w:rPr>
        <w:t xml:space="preserve"> lower courts </w:t>
      </w:r>
      <w:bookmarkEnd w:id="1263"/>
    </w:p>
    <w:p w14:paraId="219C0FBD" w14:textId="5C45F4C6" w:rsidR="00A34210" w:rsidRPr="00B40A77" w:rsidRDefault="00A34210" w:rsidP="0040708E">
      <w:pPr>
        <w:ind w:left="1701" w:hanging="567"/>
        <w:rPr>
          <w:color w:val="000000" w:themeColor="text1"/>
        </w:rPr>
      </w:pPr>
      <w:r w:rsidRPr="00B40A77">
        <w:rPr>
          <w:color w:val="000000" w:themeColor="text1"/>
        </w:rPr>
        <w:t>Form 2</w:t>
      </w:r>
      <w:r w:rsidRPr="00B40A77">
        <w:rPr>
          <w:color w:val="000000" w:themeColor="text1"/>
          <w:lang w:eastAsia="en-AU"/>
        </w:rPr>
        <w:t>—</w:t>
      </w:r>
      <w:r w:rsidRPr="00B40A77">
        <w:rPr>
          <w:color w:val="000000" w:themeColor="text1"/>
        </w:rPr>
        <w:t>Information and Summons lower courts</w:t>
      </w:r>
    </w:p>
    <w:p w14:paraId="20F9C31D" w14:textId="721146B2" w:rsidR="00A34210" w:rsidRPr="00B40A77" w:rsidRDefault="00A34210" w:rsidP="00A34210">
      <w:pPr>
        <w:ind w:left="1701" w:hanging="567"/>
        <w:rPr>
          <w:color w:val="000000" w:themeColor="text1"/>
        </w:rPr>
      </w:pPr>
      <w:r w:rsidRPr="00B40A77">
        <w:rPr>
          <w:color w:val="000000" w:themeColor="text1"/>
        </w:rPr>
        <w:t>Form 3</w:t>
      </w:r>
      <w:r w:rsidRPr="00B40A77">
        <w:rPr>
          <w:color w:val="000000" w:themeColor="text1"/>
          <w:lang w:eastAsia="en-AU"/>
        </w:rPr>
        <w:t>—</w:t>
      </w:r>
      <w:r w:rsidRPr="00B40A77">
        <w:rPr>
          <w:color w:val="000000" w:themeColor="text1"/>
        </w:rPr>
        <w:t>Information and Summons Issued by Police</w:t>
      </w:r>
    </w:p>
    <w:p w14:paraId="28BEF153" w14:textId="6394BF65" w:rsidR="00A34210" w:rsidRPr="00B40A77" w:rsidRDefault="00A34210" w:rsidP="00A34210">
      <w:pPr>
        <w:ind w:left="1701" w:hanging="567"/>
        <w:rPr>
          <w:color w:val="000000" w:themeColor="text1"/>
        </w:rPr>
      </w:pPr>
      <w:r w:rsidRPr="00B40A77">
        <w:rPr>
          <w:color w:val="000000" w:themeColor="text1"/>
        </w:rPr>
        <w:t>Form 4</w:t>
      </w:r>
      <w:r w:rsidRPr="00B40A77">
        <w:rPr>
          <w:color w:val="000000" w:themeColor="text1"/>
          <w:lang w:eastAsia="en-AU"/>
        </w:rPr>
        <w:t>—</w:t>
      </w:r>
      <w:r w:rsidRPr="00B40A77">
        <w:rPr>
          <w:color w:val="000000" w:themeColor="text1"/>
        </w:rPr>
        <w:t>Draft Revised Information lower courts</w:t>
      </w:r>
    </w:p>
    <w:p w14:paraId="403CC310" w14:textId="1FC27C16" w:rsidR="00A34210" w:rsidRPr="00B40A77" w:rsidRDefault="00A34210" w:rsidP="00A34210">
      <w:pPr>
        <w:ind w:left="1701" w:hanging="567"/>
        <w:rPr>
          <w:color w:val="000000" w:themeColor="text1"/>
        </w:rPr>
      </w:pPr>
      <w:r w:rsidRPr="00B40A77">
        <w:rPr>
          <w:color w:val="000000" w:themeColor="text1"/>
        </w:rPr>
        <w:t>Form 5</w:t>
      </w:r>
      <w:r w:rsidRPr="00B40A77">
        <w:rPr>
          <w:color w:val="000000" w:themeColor="text1"/>
          <w:lang w:eastAsia="en-AU"/>
        </w:rPr>
        <w:t>—</w:t>
      </w:r>
      <w:r w:rsidRPr="00B40A77">
        <w:rPr>
          <w:color w:val="000000" w:themeColor="text1"/>
        </w:rPr>
        <w:t>Information higher courts</w:t>
      </w:r>
    </w:p>
    <w:p w14:paraId="76140258" w14:textId="5B4F5203" w:rsidR="00A34210" w:rsidRPr="00B40A77" w:rsidRDefault="00A34210" w:rsidP="00A34210">
      <w:pPr>
        <w:ind w:left="1701" w:hanging="567"/>
        <w:rPr>
          <w:color w:val="000000" w:themeColor="text1"/>
        </w:rPr>
      </w:pPr>
      <w:r w:rsidRPr="00B40A77">
        <w:rPr>
          <w:color w:val="000000" w:themeColor="text1"/>
        </w:rPr>
        <w:t>Form 6</w:t>
      </w:r>
      <w:r w:rsidRPr="00B40A77">
        <w:rPr>
          <w:color w:val="000000" w:themeColor="text1"/>
          <w:lang w:eastAsia="en-AU"/>
        </w:rPr>
        <w:t>—</w:t>
      </w:r>
      <w:r w:rsidRPr="00B40A77">
        <w:rPr>
          <w:color w:val="000000" w:themeColor="text1"/>
        </w:rPr>
        <w:t>Information higher courts ex officio</w:t>
      </w:r>
    </w:p>
    <w:p w14:paraId="78AAD962" w14:textId="5829E51B" w:rsidR="00A34210" w:rsidRPr="00B40A77" w:rsidRDefault="00A34210" w:rsidP="00A34210">
      <w:pPr>
        <w:ind w:left="1701" w:hanging="567"/>
        <w:rPr>
          <w:color w:val="000000" w:themeColor="text1"/>
        </w:rPr>
      </w:pPr>
      <w:r w:rsidRPr="00B40A77">
        <w:rPr>
          <w:color w:val="000000" w:themeColor="text1"/>
        </w:rPr>
        <w:t>Form 7</w:t>
      </w:r>
      <w:r w:rsidRPr="00B40A77">
        <w:rPr>
          <w:color w:val="000000" w:themeColor="text1"/>
          <w:lang w:eastAsia="en-AU"/>
        </w:rPr>
        <w:t>—</w:t>
      </w:r>
      <w:r w:rsidRPr="00B40A77">
        <w:rPr>
          <w:color w:val="000000" w:themeColor="text1"/>
        </w:rPr>
        <w:t>Draft Revised Information higher courts</w:t>
      </w:r>
    </w:p>
    <w:p w14:paraId="4D6288B3" w14:textId="2E1B7328" w:rsidR="00A34210" w:rsidRPr="00B40A77" w:rsidRDefault="00A34210" w:rsidP="00A34210">
      <w:pPr>
        <w:ind w:left="1701" w:hanging="567"/>
        <w:rPr>
          <w:color w:val="000000" w:themeColor="text1"/>
        </w:rPr>
      </w:pPr>
      <w:r w:rsidRPr="00B40A77">
        <w:rPr>
          <w:color w:val="000000" w:themeColor="text1"/>
        </w:rPr>
        <w:t>Form 8A</w:t>
      </w:r>
      <w:r w:rsidRPr="00B40A77">
        <w:rPr>
          <w:color w:val="000000" w:themeColor="text1"/>
          <w:lang w:eastAsia="en-AU"/>
        </w:rPr>
        <w:t>—</w:t>
      </w:r>
      <w:r w:rsidRPr="00B40A77">
        <w:rPr>
          <w:color w:val="000000" w:themeColor="text1"/>
        </w:rPr>
        <w:t xml:space="preserve">Notice to Defendant </w:t>
      </w:r>
      <w:r w:rsidR="002605B2" w:rsidRPr="00B40A77">
        <w:rPr>
          <w:color w:val="000000" w:themeColor="text1"/>
        </w:rPr>
        <w:t>–</w:t>
      </w:r>
      <w:r w:rsidRPr="00B40A77">
        <w:rPr>
          <w:color w:val="000000" w:themeColor="text1"/>
        </w:rPr>
        <w:t xml:space="preserve"> Major Indictable Offence</w:t>
      </w:r>
    </w:p>
    <w:p w14:paraId="58231DDB" w14:textId="718A19A2" w:rsidR="00A34210" w:rsidRPr="00B40A77" w:rsidRDefault="00A34210" w:rsidP="00A34210">
      <w:pPr>
        <w:ind w:left="1701" w:hanging="567"/>
        <w:rPr>
          <w:color w:val="000000" w:themeColor="text1"/>
        </w:rPr>
      </w:pPr>
      <w:r w:rsidRPr="00B40A77">
        <w:rPr>
          <w:color w:val="000000" w:themeColor="text1"/>
        </w:rPr>
        <w:t>Form 8B</w:t>
      </w:r>
      <w:r w:rsidRPr="00B40A77">
        <w:rPr>
          <w:color w:val="000000" w:themeColor="text1"/>
          <w:lang w:eastAsia="en-AU"/>
        </w:rPr>
        <w:t>—</w:t>
      </w:r>
      <w:r w:rsidRPr="00B40A77">
        <w:rPr>
          <w:color w:val="000000" w:themeColor="text1"/>
        </w:rPr>
        <w:t xml:space="preserve">Notice to Defendant </w:t>
      </w:r>
      <w:r w:rsidR="002605B2" w:rsidRPr="00B40A77">
        <w:rPr>
          <w:color w:val="000000" w:themeColor="text1"/>
        </w:rPr>
        <w:t xml:space="preserve">– </w:t>
      </w:r>
      <w:r w:rsidRPr="00B40A77">
        <w:rPr>
          <w:color w:val="000000" w:themeColor="text1"/>
        </w:rPr>
        <w:t>Commonwealth Indictable Offence</w:t>
      </w:r>
    </w:p>
    <w:p w14:paraId="563D4ACD" w14:textId="67B4ED4F" w:rsidR="00A34210" w:rsidRPr="00B40A77" w:rsidRDefault="00A34210" w:rsidP="00A34210">
      <w:pPr>
        <w:ind w:left="1701" w:hanging="567"/>
        <w:rPr>
          <w:color w:val="000000" w:themeColor="text1"/>
        </w:rPr>
      </w:pPr>
      <w:r w:rsidRPr="00B40A77">
        <w:rPr>
          <w:color w:val="000000" w:themeColor="text1"/>
        </w:rPr>
        <w:t>Form 8C</w:t>
      </w:r>
      <w:r w:rsidRPr="00B40A77">
        <w:rPr>
          <w:color w:val="000000" w:themeColor="text1"/>
          <w:lang w:eastAsia="en-AU"/>
        </w:rPr>
        <w:t>—</w:t>
      </w:r>
      <w:r w:rsidRPr="00B40A77">
        <w:rPr>
          <w:color w:val="000000" w:themeColor="text1"/>
        </w:rPr>
        <w:t xml:space="preserve">Notice to Defendant </w:t>
      </w:r>
      <w:r w:rsidR="002605B2" w:rsidRPr="00B40A77">
        <w:rPr>
          <w:color w:val="000000" w:themeColor="text1"/>
        </w:rPr>
        <w:t xml:space="preserve">– </w:t>
      </w:r>
      <w:r w:rsidRPr="00B40A77">
        <w:rPr>
          <w:color w:val="000000" w:themeColor="text1"/>
        </w:rPr>
        <w:t>Minor Indictable Offence</w:t>
      </w:r>
    </w:p>
    <w:p w14:paraId="086B7810" w14:textId="0ED88FC8" w:rsidR="00A34210" w:rsidRPr="00B40A77" w:rsidRDefault="00A34210" w:rsidP="00A34210">
      <w:pPr>
        <w:ind w:left="1701" w:hanging="567"/>
        <w:rPr>
          <w:color w:val="000000" w:themeColor="text1"/>
        </w:rPr>
      </w:pPr>
      <w:r w:rsidRPr="00B40A77">
        <w:rPr>
          <w:color w:val="000000" w:themeColor="text1"/>
        </w:rPr>
        <w:t>Form 8CY</w:t>
      </w:r>
      <w:r w:rsidRPr="00B40A77">
        <w:rPr>
          <w:color w:val="000000" w:themeColor="text1"/>
          <w:lang w:eastAsia="en-AU"/>
        </w:rPr>
        <w:t>—</w:t>
      </w:r>
      <w:r w:rsidRPr="00B40A77">
        <w:rPr>
          <w:color w:val="000000" w:themeColor="text1"/>
        </w:rPr>
        <w:t xml:space="preserve">Notice to Youth </w:t>
      </w:r>
      <w:r w:rsidR="002605B2" w:rsidRPr="00B40A77">
        <w:rPr>
          <w:color w:val="000000" w:themeColor="text1"/>
        </w:rPr>
        <w:t xml:space="preserve">– </w:t>
      </w:r>
      <w:r w:rsidRPr="00B40A77">
        <w:rPr>
          <w:color w:val="000000" w:themeColor="text1"/>
        </w:rPr>
        <w:t>Indictable Offence</w:t>
      </w:r>
    </w:p>
    <w:p w14:paraId="1DE9AC45" w14:textId="4EE8568B" w:rsidR="00A34210" w:rsidRPr="00B40A77" w:rsidRDefault="00A34210" w:rsidP="00A34210">
      <w:pPr>
        <w:ind w:left="1701" w:hanging="567"/>
        <w:rPr>
          <w:color w:val="000000" w:themeColor="text1"/>
        </w:rPr>
      </w:pPr>
      <w:r w:rsidRPr="00B40A77">
        <w:rPr>
          <w:color w:val="000000" w:themeColor="text1"/>
        </w:rPr>
        <w:t>Form 8D</w:t>
      </w:r>
      <w:r w:rsidRPr="00B40A77">
        <w:rPr>
          <w:color w:val="000000" w:themeColor="text1"/>
          <w:lang w:eastAsia="en-AU"/>
        </w:rPr>
        <w:t>—</w:t>
      </w:r>
      <w:r w:rsidRPr="00B40A77">
        <w:rPr>
          <w:color w:val="000000" w:themeColor="text1"/>
        </w:rPr>
        <w:t xml:space="preserve">Notice to Defendant </w:t>
      </w:r>
      <w:r w:rsidR="002605B2" w:rsidRPr="00B40A77">
        <w:rPr>
          <w:color w:val="000000" w:themeColor="text1"/>
        </w:rPr>
        <w:t xml:space="preserve">– </w:t>
      </w:r>
      <w:r w:rsidRPr="00B40A77">
        <w:rPr>
          <w:color w:val="000000" w:themeColor="text1"/>
        </w:rPr>
        <w:t>Summary Offence</w:t>
      </w:r>
    </w:p>
    <w:p w14:paraId="28829E39" w14:textId="70EFDFEE" w:rsidR="00A34210" w:rsidRPr="00B40A77" w:rsidRDefault="00A34210" w:rsidP="00A34210">
      <w:pPr>
        <w:ind w:left="1701" w:hanging="567"/>
        <w:rPr>
          <w:color w:val="000000" w:themeColor="text1"/>
        </w:rPr>
      </w:pPr>
      <w:r w:rsidRPr="00B40A77">
        <w:rPr>
          <w:color w:val="000000" w:themeColor="text1"/>
        </w:rPr>
        <w:t>Form 8DY</w:t>
      </w:r>
      <w:r w:rsidRPr="00B40A77">
        <w:rPr>
          <w:color w:val="000000" w:themeColor="text1"/>
          <w:lang w:eastAsia="en-AU"/>
        </w:rPr>
        <w:t>—</w:t>
      </w:r>
      <w:r w:rsidRPr="00B40A77">
        <w:rPr>
          <w:color w:val="000000" w:themeColor="text1"/>
        </w:rPr>
        <w:t xml:space="preserve">Notice to Youth </w:t>
      </w:r>
      <w:r w:rsidR="002605B2" w:rsidRPr="00B40A77">
        <w:rPr>
          <w:color w:val="000000" w:themeColor="text1"/>
        </w:rPr>
        <w:t xml:space="preserve">– </w:t>
      </w:r>
      <w:r w:rsidRPr="00B40A77">
        <w:rPr>
          <w:color w:val="000000" w:themeColor="text1"/>
        </w:rPr>
        <w:t>Summary Offence</w:t>
      </w:r>
    </w:p>
    <w:p w14:paraId="35FCAB4D" w14:textId="33169D8D" w:rsidR="00A34210" w:rsidRPr="00B40A77" w:rsidRDefault="00A34210" w:rsidP="00A34210">
      <w:pPr>
        <w:ind w:left="1701" w:hanging="567"/>
        <w:rPr>
          <w:color w:val="000000" w:themeColor="text1"/>
        </w:rPr>
      </w:pPr>
      <w:r w:rsidRPr="00B40A77">
        <w:rPr>
          <w:color w:val="000000" w:themeColor="text1"/>
        </w:rPr>
        <w:t>Form 8E</w:t>
      </w:r>
      <w:r w:rsidRPr="00B40A77">
        <w:rPr>
          <w:color w:val="000000" w:themeColor="text1"/>
          <w:lang w:eastAsia="en-AU"/>
        </w:rPr>
        <w:t>—</w:t>
      </w:r>
      <w:r w:rsidRPr="00B40A77">
        <w:rPr>
          <w:color w:val="000000" w:themeColor="text1"/>
        </w:rPr>
        <w:t xml:space="preserve">Notice to Defendant </w:t>
      </w:r>
      <w:r w:rsidR="002605B2" w:rsidRPr="00B40A77">
        <w:rPr>
          <w:color w:val="000000" w:themeColor="text1"/>
        </w:rPr>
        <w:t xml:space="preserve">– </w:t>
      </w:r>
      <w:r w:rsidRPr="00B40A77">
        <w:rPr>
          <w:color w:val="000000" w:themeColor="text1"/>
        </w:rPr>
        <w:t>Summary Offence not Punishable by Imprisonment</w:t>
      </w:r>
    </w:p>
    <w:p w14:paraId="39448476" w14:textId="229AFA17" w:rsidR="00A34210" w:rsidRPr="00B40A77" w:rsidRDefault="00A34210" w:rsidP="00A34210">
      <w:pPr>
        <w:ind w:left="1701" w:hanging="567"/>
        <w:rPr>
          <w:color w:val="000000" w:themeColor="text1"/>
        </w:rPr>
      </w:pPr>
      <w:r w:rsidRPr="00B40A77">
        <w:rPr>
          <w:color w:val="000000" w:themeColor="text1"/>
        </w:rPr>
        <w:t>Form 8EY</w:t>
      </w:r>
      <w:r w:rsidRPr="00B40A77">
        <w:rPr>
          <w:color w:val="000000" w:themeColor="text1"/>
          <w:lang w:eastAsia="en-AU"/>
        </w:rPr>
        <w:t>—</w:t>
      </w:r>
      <w:r w:rsidRPr="00B40A77">
        <w:rPr>
          <w:color w:val="000000" w:themeColor="text1"/>
        </w:rPr>
        <w:t xml:space="preserve">Notice to Youth </w:t>
      </w:r>
      <w:r w:rsidR="002605B2" w:rsidRPr="00B40A77">
        <w:rPr>
          <w:color w:val="000000" w:themeColor="text1"/>
        </w:rPr>
        <w:t xml:space="preserve">– </w:t>
      </w:r>
      <w:r w:rsidRPr="00B40A77">
        <w:rPr>
          <w:color w:val="000000" w:themeColor="text1"/>
        </w:rPr>
        <w:t>Summary Offence not Punishable by Detention</w:t>
      </w:r>
    </w:p>
    <w:p w14:paraId="149A7464" w14:textId="2A3C9472" w:rsidR="00A34210" w:rsidRPr="00B40A77" w:rsidRDefault="00A34210" w:rsidP="00A34210">
      <w:pPr>
        <w:ind w:left="1701" w:hanging="567"/>
        <w:rPr>
          <w:color w:val="000000" w:themeColor="text1"/>
        </w:rPr>
      </w:pPr>
      <w:r w:rsidRPr="00B40A77">
        <w:rPr>
          <w:color w:val="000000" w:themeColor="text1"/>
        </w:rPr>
        <w:t>Form 9A</w:t>
      </w:r>
      <w:r w:rsidRPr="00B40A77">
        <w:rPr>
          <w:color w:val="000000" w:themeColor="text1"/>
          <w:lang w:eastAsia="en-AU"/>
        </w:rPr>
        <w:t>—</w:t>
      </w:r>
      <w:r w:rsidRPr="00B40A77">
        <w:rPr>
          <w:color w:val="000000" w:themeColor="text1"/>
        </w:rPr>
        <w:t>Summary of Allegations</w:t>
      </w:r>
    </w:p>
    <w:p w14:paraId="046FEBC9" w14:textId="71179295" w:rsidR="00A34210" w:rsidRPr="00B40A77" w:rsidRDefault="00A34210" w:rsidP="00A34210">
      <w:pPr>
        <w:ind w:left="1701" w:hanging="567"/>
        <w:rPr>
          <w:color w:val="000000" w:themeColor="text1"/>
        </w:rPr>
      </w:pPr>
      <w:r w:rsidRPr="00B40A77">
        <w:rPr>
          <w:color w:val="000000" w:themeColor="text1"/>
        </w:rPr>
        <w:t>Form 9B</w:t>
      </w:r>
      <w:r w:rsidRPr="00B40A77">
        <w:rPr>
          <w:color w:val="000000" w:themeColor="text1"/>
          <w:lang w:eastAsia="en-AU"/>
        </w:rPr>
        <w:t>—</w:t>
      </w:r>
      <w:r w:rsidRPr="00B40A77">
        <w:rPr>
          <w:color w:val="000000" w:themeColor="text1"/>
        </w:rPr>
        <w:t>Antecedent Report</w:t>
      </w:r>
    </w:p>
    <w:p w14:paraId="54B52E1F" w14:textId="3C4EAB35" w:rsidR="00A34210" w:rsidRPr="00B40A77" w:rsidRDefault="00A34210" w:rsidP="00A34210">
      <w:pPr>
        <w:ind w:left="1701" w:hanging="567"/>
        <w:rPr>
          <w:color w:val="000000" w:themeColor="text1"/>
        </w:rPr>
      </w:pPr>
      <w:r w:rsidRPr="00B40A77">
        <w:rPr>
          <w:color w:val="000000" w:themeColor="text1"/>
        </w:rPr>
        <w:t>Form 9C</w:t>
      </w:r>
      <w:r w:rsidRPr="00B40A77">
        <w:rPr>
          <w:color w:val="000000" w:themeColor="text1"/>
          <w:lang w:eastAsia="en-AU"/>
        </w:rPr>
        <w:t>—</w:t>
      </w:r>
      <w:r w:rsidRPr="00B40A77">
        <w:rPr>
          <w:color w:val="000000" w:themeColor="text1"/>
        </w:rPr>
        <w:t>Combined Summary of Allegations and Antecedent Report</w:t>
      </w:r>
    </w:p>
    <w:p w14:paraId="3CE4D367" w14:textId="078D5162" w:rsidR="00A34210" w:rsidRPr="00B40A77" w:rsidRDefault="00A34210" w:rsidP="00A34210">
      <w:pPr>
        <w:ind w:left="1701" w:hanging="567"/>
        <w:rPr>
          <w:color w:val="000000" w:themeColor="text1"/>
        </w:rPr>
      </w:pPr>
      <w:r w:rsidRPr="00B40A77">
        <w:rPr>
          <w:color w:val="000000" w:themeColor="text1"/>
        </w:rPr>
        <w:t>Form 10</w:t>
      </w:r>
      <w:r w:rsidRPr="00B40A77">
        <w:rPr>
          <w:color w:val="000000" w:themeColor="text1"/>
          <w:lang w:eastAsia="en-AU"/>
        </w:rPr>
        <w:t>—</w:t>
      </w:r>
      <w:r w:rsidRPr="00B40A77">
        <w:rPr>
          <w:color w:val="000000" w:themeColor="text1"/>
        </w:rPr>
        <w:t>Certificate of Prosecution Declining to Prosecute (Higher Courts)</w:t>
      </w:r>
    </w:p>
    <w:p w14:paraId="35BC78C2" w14:textId="10BB8C11" w:rsidR="00A34210" w:rsidRPr="00B40A77" w:rsidRDefault="00A34210" w:rsidP="0007438D">
      <w:pPr>
        <w:ind w:left="1134" w:hanging="567"/>
        <w:rPr>
          <w:b/>
          <w:color w:val="000000" w:themeColor="text1"/>
          <w:sz w:val="26"/>
          <w:lang w:eastAsia="en-AU"/>
        </w:rPr>
      </w:pPr>
      <w:r w:rsidRPr="00B40A77">
        <w:rPr>
          <w:b/>
          <w:color w:val="000000" w:themeColor="text1"/>
          <w:sz w:val="26"/>
          <w:lang w:eastAsia="en-AU"/>
        </w:rPr>
        <w:t>2—Service, appearance and representation</w:t>
      </w:r>
    </w:p>
    <w:p w14:paraId="3F9D8241" w14:textId="3DE2F922" w:rsidR="00A34210" w:rsidRPr="00B40A77" w:rsidRDefault="00A34210" w:rsidP="00A34210">
      <w:pPr>
        <w:ind w:left="1701" w:hanging="567"/>
        <w:rPr>
          <w:color w:val="000000" w:themeColor="text1"/>
        </w:rPr>
      </w:pPr>
      <w:r w:rsidRPr="00B40A77">
        <w:rPr>
          <w:color w:val="000000" w:themeColor="text1"/>
        </w:rPr>
        <w:t>Form 11</w:t>
      </w:r>
      <w:r w:rsidR="002605B2" w:rsidRPr="00B40A77">
        <w:rPr>
          <w:color w:val="000000" w:themeColor="text1"/>
          <w:lang w:eastAsia="en-AU"/>
        </w:rPr>
        <w:t>—</w:t>
      </w:r>
      <w:r w:rsidRPr="00B40A77">
        <w:rPr>
          <w:color w:val="000000" w:themeColor="text1"/>
        </w:rPr>
        <w:t>Affidavit of Proof of Service</w:t>
      </w:r>
    </w:p>
    <w:p w14:paraId="05E0C6A3" w14:textId="08E9077D" w:rsidR="00A34210" w:rsidRPr="00B40A77" w:rsidRDefault="00A34210" w:rsidP="00A34210">
      <w:pPr>
        <w:ind w:left="1701" w:hanging="567"/>
        <w:rPr>
          <w:color w:val="000000" w:themeColor="text1"/>
        </w:rPr>
      </w:pPr>
      <w:r w:rsidRPr="00B40A77">
        <w:rPr>
          <w:color w:val="000000" w:themeColor="text1"/>
        </w:rPr>
        <w:t>Form 1</w:t>
      </w:r>
      <w:r w:rsidR="002605B2" w:rsidRPr="00B40A77">
        <w:rPr>
          <w:color w:val="000000" w:themeColor="text1"/>
        </w:rPr>
        <w:t>2</w:t>
      </w:r>
      <w:r w:rsidR="002605B2" w:rsidRPr="00B40A77">
        <w:rPr>
          <w:color w:val="000000" w:themeColor="text1"/>
          <w:lang w:eastAsia="en-AU"/>
        </w:rPr>
        <w:t>—</w:t>
      </w:r>
      <w:r w:rsidRPr="00B40A77">
        <w:rPr>
          <w:color w:val="000000" w:themeColor="text1"/>
        </w:rPr>
        <w:t>Certificate of Proof of Service</w:t>
      </w:r>
    </w:p>
    <w:p w14:paraId="4307D9BE" w14:textId="607636B1" w:rsidR="00A34210" w:rsidRPr="00B40A77" w:rsidRDefault="00A34210" w:rsidP="00A34210">
      <w:pPr>
        <w:ind w:left="1701" w:hanging="567"/>
        <w:rPr>
          <w:color w:val="000000" w:themeColor="text1"/>
        </w:rPr>
      </w:pPr>
      <w:r w:rsidRPr="00B40A77">
        <w:rPr>
          <w:color w:val="000000" w:themeColor="text1"/>
        </w:rPr>
        <w:t>Form 13</w:t>
      </w:r>
      <w:r w:rsidR="002605B2" w:rsidRPr="00B40A77">
        <w:rPr>
          <w:color w:val="000000" w:themeColor="text1"/>
          <w:lang w:eastAsia="en-AU"/>
        </w:rPr>
        <w:t>—</w:t>
      </w:r>
      <w:r w:rsidRPr="00B40A77">
        <w:rPr>
          <w:color w:val="000000" w:themeColor="text1"/>
        </w:rPr>
        <w:t>Attempted Service Report</w:t>
      </w:r>
    </w:p>
    <w:p w14:paraId="6D5F4A9A" w14:textId="7E7FD50A" w:rsidR="00A34210" w:rsidRPr="00B40A77" w:rsidRDefault="00A34210" w:rsidP="00A34210">
      <w:pPr>
        <w:ind w:left="1701" w:hanging="567"/>
        <w:rPr>
          <w:color w:val="000000" w:themeColor="text1"/>
        </w:rPr>
      </w:pPr>
      <w:r w:rsidRPr="00B40A77">
        <w:rPr>
          <w:color w:val="000000" w:themeColor="text1"/>
        </w:rPr>
        <w:t>Form 14</w:t>
      </w:r>
      <w:r w:rsidR="002605B2" w:rsidRPr="00B40A77">
        <w:rPr>
          <w:color w:val="000000" w:themeColor="text1"/>
          <w:lang w:eastAsia="en-AU"/>
        </w:rPr>
        <w:t>—</w:t>
      </w:r>
      <w:r w:rsidRPr="00B40A77">
        <w:rPr>
          <w:color w:val="000000" w:themeColor="text1"/>
        </w:rPr>
        <w:t>Notice of Acting</w:t>
      </w:r>
    </w:p>
    <w:p w14:paraId="4184C262" w14:textId="12F93C02" w:rsidR="00A34210" w:rsidRPr="00B40A77" w:rsidRDefault="00A34210" w:rsidP="00A34210">
      <w:pPr>
        <w:ind w:left="1701" w:hanging="567"/>
        <w:rPr>
          <w:color w:val="000000" w:themeColor="text1"/>
        </w:rPr>
      </w:pPr>
      <w:r w:rsidRPr="00B40A77">
        <w:rPr>
          <w:color w:val="000000" w:themeColor="text1"/>
        </w:rPr>
        <w:t>Form 15</w:t>
      </w:r>
      <w:r w:rsidR="002605B2" w:rsidRPr="00B40A77">
        <w:rPr>
          <w:color w:val="000000" w:themeColor="text1"/>
          <w:lang w:eastAsia="en-AU"/>
        </w:rPr>
        <w:t>—</w:t>
      </w:r>
      <w:r w:rsidRPr="00B40A77">
        <w:rPr>
          <w:color w:val="000000" w:themeColor="text1"/>
        </w:rPr>
        <w:t>Notice of Change of Address for Service</w:t>
      </w:r>
    </w:p>
    <w:p w14:paraId="3B6F68CB" w14:textId="04757D1A" w:rsidR="00A34210" w:rsidRPr="00B40A77" w:rsidRDefault="00A34210" w:rsidP="00A34210">
      <w:pPr>
        <w:ind w:left="1701" w:hanging="567"/>
        <w:rPr>
          <w:color w:val="000000" w:themeColor="text1"/>
        </w:rPr>
      </w:pPr>
      <w:r w:rsidRPr="00B40A77">
        <w:rPr>
          <w:color w:val="000000" w:themeColor="text1"/>
        </w:rPr>
        <w:t>Form 16</w:t>
      </w:r>
      <w:r w:rsidR="002605B2" w:rsidRPr="00B40A77">
        <w:rPr>
          <w:color w:val="000000" w:themeColor="text1"/>
          <w:lang w:eastAsia="en-AU"/>
        </w:rPr>
        <w:t>—</w:t>
      </w:r>
      <w:r w:rsidRPr="00B40A77">
        <w:rPr>
          <w:color w:val="000000" w:themeColor="text1"/>
        </w:rPr>
        <w:t>Certificate of Legal Representation</w:t>
      </w:r>
    </w:p>
    <w:p w14:paraId="3C141408" w14:textId="6ED0F16B" w:rsidR="00A34210" w:rsidRPr="00B40A77" w:rsidRDefault="00A34210" w:rsidP="00A34210">
      <w:pPr>
        <w:ind w:left="1701" w:hanging="567"/>
        <w:rPr>
          <w:color w:val="000000" w:themeColor="text1"/>
        </w:rPr>
      </w:pPr>
      <w:r w:rsidRPr="00B40A77">
        <w:rPr>
          <w:color w:val="000000" w:themeColor="text1"/>
        </w:rPr>
        <w:t>Form 17</w:t>
      </w:r>
      <w:r w:rsidR="002605B2" w:rsidRPr="00B40A77">
        <w:rPr>
          <w:color w:val="000000" w:themeColor="text1"/>
          <w:lang w:eastAsia="en-AU"/>
        </w:rPr>
        <w:t>—</w:t>
      </w:r>
      <w:r w:rsidRPr="00B40A77">
        <w:rPr>
          <w:color w:val="000000" w:themeColor="text1"/>
        </w:rPr>
        <w:t>Assurance that Defendant does not Want Legal Representation</w:t>
      </w:r>
    </w:p>
    <w:p w14:paraId="60CA79C0" w14:textId="1C398780" w:rsidR="002605B2" w:rsidRPr="00B40A77" w:rsidRDefault="002605B2" w:rsidP="0007438D">
      <w:pPr>
        <w:ind w:left="1134" w:hanging="567"/>
        <w:rPr>
          <w:b/>
          <w:color w:val="000000" w:themeColor="text1"/>
          <w:sz w:val="26"/>
          <w:lang w:eastAsia="en-AU"/>
        </w:rPr>
      </w:pPr>
      <w:r w:rsidRPr="00B40A77">
        <w:rPr>
          <w:b/>
          <w:color w:val="000000" w:themeColor="text1"/>
          <w:sz w:val="26"/>
          <w:lang w:eastAsia="en-AU"/>
        </w:rPr>
        <w:t xml:space="preserve">3—Remand and bail </w:t>
      </w:r>
    </w:p>
    <w:p w14:paraId="08FFDF52" w14:textId="48C0F71A" w:rsidR="002605B2" w:rsidRPr="00B40A77" w:rsidRDefault="002605B2" w:rsidP="002605B2">
      <w:pPr>
        <w:ind w:left="1701" w:hanging="567"/>
        <w:rPr>
          <w:color w:val="000000" w:themeColor="text1"/>
        </w:rPr>
      </w:pPr>
      <w:r w:rsidRPr="00B40A77">
        <w:rPr>
          <w:color w:val="000000" w:themeColor="text1"/>
        </w:rPr>
        <w:t>Form 21A</w:t>
      </w:r>
      <w:r w:rsidRPr="00B40A77">
        <w:rPr>
          <w:color w:val="000000" w:themeColor="text1"/>
          <w:lang w:eastAsia="en-AU"/>
        </w:rPr>
        <w:t>—</w:t>
      </w:r>
      <w:r w:rsidRPr="00B40A77">
        <w:rPr>
          <w:color w:val="000000" w:themeColor="text1"/>
        </w:rPr>
        <w:t>Interlocutory Application for Bail</w:t>
      </w:r>
    </w:p>
    <w:p w14:paraId="01AC891B" w14:textId="4FA6C6A8" w:rsidR="002605B2" w:rsidRPr="00B40A77" w:rsidRDefault="002605B2" w:rsidP="002605B2">
      <w:pPr>
        <w:ind w:left="1701" w:hanging="567"/>
        <w:rPr>
          <w:color w:val="000000" w:themeColor="text1"/>
        </w:rPr>
      </w:pPr>
      <w:r w:rsidRPr="00B40A77">
        <w:rPr>
          <w:color w:val="000000" w:themeColor="text1"/>
        </w:rPr>
        <w:t>Form 21B</w:t>
      </w:r>
      <w:r w:rsidRPr="00B40A77">
        <w:rPr>
          <w:color w:val="000000" w:themeColor="text1"/>
          <w:lang w:eastAsia="en-AU"/>
        </w:rPr>
        <w:t>—</w:t>
      </w:r>
      <w:r w:rsidRPr="00B40A77">
        <w:rPr>
          <w:color w:val="000000" w:themeColor="text1"/>
        </w:rPr>
        <w:t>Interlocutory Application for Review of Bail by Telephone</w:t>
      </w:r>
    </w:p>
    <w:p w14:paraId="52B11263" w14:textId="5783B543" w:rsidR="002605B2" w:rsidRPr="00B40A77" w:rsidRDefault="002605B2" w:rsidP="002605B2">
      <w:pPr>
        <w:ind w:left="1701" w:hanging="567"/>
        <w:rPr>
          <w:color w:val="000000" w:themeColor="text1"/>
        </w:rPr>
      </w:pPr>
      <w:r w:rsidRPr="00B40A77">
        <w:rPr>
          <w:color w:val="000000" w:themeColor="text1"/>
        </w:rPr>
        <w:t>Form 21C</w:t>
      </w:r>
      <w:r w:rsidRPr="00B40A77">
        <w:rPr>
          <w:color w:val="000000" w:themeColor="text1"/>
          <w:lang w:eastAsia="en-AU"/>
        </w:rPr>
        <w:t>—</w:t>
      </w:r>
      <w:r w:rsidRPr="00B40A77">
        <w:rPr>
          <w:color w:val="000000" w:themeColor="text1"/>
        </w:rPr>
        <w:t>Interlocutory Application to Vary or Revoke Bail Agreement</w:t>
      </w:r>
    </w:p>
    <w:p w14:paraId="258E051F" w14:textId="2387DAD1" w:rsidR="002605B2" w:rsidRPr="00B40A77" w:rsidRDefault="002605B2" w:rsidP="002605B2">
      <w:pPr>
        <w:ind w:left="1701" w:hanging="567"/>
        <w:rPr>
          <w:color w:val="000000" w:themeColor="text1"/>
        </w:rPr>
      </w:pPr>
      <w:r w:rsidRPr="00B40A77">
        <w:rPr>
          <w:color w:val="000000" w:themeColor="text1"/>
        </w:rPr>
        <w:t>Form 21D</w:t>
      </w:r>
      <w:r w:rsidRPr="00B40A77">
        <w:rPr>
          <w:color w:val="000000" w:themeColor="text1"/>
          <w:lang w:eastAsia="en-AU"/>
        </w:rPr>
        <w:t>—</w:t>
      </w:r>
      <w:r w:rsidRPr="00B40A77">
        <w:rPr>
          <w:color w:val="000000" w:themeColor="text1"/>
        </w:rPr>
        <w:t>Interlocutory Application to Vary or Revoke Guarantee of Bail</w:t>
      </w:r>
    </w:p>
    <w:p w14:paraId="18901D1B" w14:textId="0C498F87" w:rsidR="002605B2" w:rsidRPr="00B40A77" w:rsidRDefault="002605B2" w:rsidP="002605B2">
      <w:pPr>
        <w:ind w:left="1701" w:hanging="567"/>
        <w:rPr>
          <w:color w:val="000000" w:themeColor="text1"/>
        </w:rPr>
      </w:pPr>
      <w:r w:rsidRPr="00B40A77">
        <w:rPr>
          <w:color w:val="000000" w:themeColor="text1"/>
        </w:rPr>
        <w:lastRenderedPageBreak/>
        <w:t>Form 22</w:t>
      </w:r>
      <w:r w:rsidRPr="00B40A77">
        <w:rPr>
          <w:color w:val="000000" w:themeColor="text1"/>
          <w:lang w:eastAsia="en-AU"/>
        </w:rPr>
        <w:t>—</w:t>
      </w:r>
      <w:r w:rsidRPr="00B40A77">
        <w:rPr>
          <w:color w:val="000000" w:themeColor="text1"/>
        </w:rPr>
        <w:t>Prosecution Response to Bail Application</w:t>
      </w:r>
    </w:p>
    <w:p w14:paraId="3F86D9A3" w14:textId="7ED0A31A" w:rsidR="002605B2" w:rsidRPr="00B40A77" w:rsidRDefault="002605B2" w:rsidP="002605B2">
      <w:pPr>
        <w:ind w:left="1701" w:hanging="567"/>
        <w:rPr>
          <w:color w:val="000000" w:themeColor="text1"/>
        </w:rPr>
      </w:pPr>
      <w:r w:rsidRPr="00B40A77">
        <w:rPr>
          <w:color w:val="000000" w:themeColor="text1"/>
        </w:rPr>
        <w:t>Form 23</w:t>
      </w:r>
      <w:r w:rsidRPr="00B40A77">
        <w:rPr>
          <w:color w:val="000000" w:themeColor="text1"/>
          <w:lang w:eastAsia="en-AU"/>
        </w:rPr>
        <w:t>—</w:t>
      </w:r>
      <w:r w:rsidRPr="00B40A77">
        <w:rPr>
          <w:color w:val="000000" w:themeColor="text1"/>
        </w:rPr>
        <w:t xml:space="preserve">Report Request Form </w:t>
      </w:r>
      <w:r w:rsidR="00107ACD" w:rsidRPr="00B40A77">
        <w:rPr>
          <w:color w:val="000000" w:themeColor="text1"/>
        </w:rPr>
        <w:t xml:space="preserve">– </w:t>
      </w:r>
      <w:r w:rsidRPr="00B40A77">
        <w:rPr>
          <w:color w:val="000000" w:themeColor="text1"/>
        </w:rPr>
        <w:t>Generic Report</w:t>
      </w:r>
    </w:p>
    <w:p w14:paraId="33582559" w14:textId="4C56446C" w:rsidR="002605B2" w:rsidRPr="00B40A77" w:rsidRDefault="002605B2" w:rsidP="002605B2">
      <w:pPr>
        <w:ind w:left="1701" w:hanging="567"/>
        <w:rPr>
          <w:color w:val="000000" w:themeColor="text1"/>
        </w:rPr>
      </w:pPr>
      <w:r w:rsidRPr="00B40A77">
        <w:rPr>
          <w:color w:val="000000" w:themeColor="text1"/>
        </w:rPr>
        <w:t>Form 23A</w:t>
      </w:r>
      <w:r w:rsidRPr="00B40A77">
        <w:rPr>
          <w:color w:val="000000" w:themeColor="text1"/>
          <w:lang w:eastAsia="en-AU"/>
        </w:rPr>
        <w:t>—</w:t>
      </w:r>
      <w:r w:rsidRPr="00B40A77">
        <w:rPr>
          <w:color w:val="000000" w:themeColor="text1"/>
        </w:rPr>
        <w:t xml:space="preserve">Report Request Form </w:t>
      </w:r>
      <w:r w:rsidR="00107ACD" w:rsidRPr="00B40A77">
        <w:rPr>
          <w:color w:val="000000" w:themeColor="text1"/>
        </w:rPr>
        <w:t xml:space="preserve">– </w:t>
      </w:r>
      <w:r w:rsidRPr="00B40A77">
        <w:rPr>
          <w:color w:val="000000" w:themeColor="text1"/>
        </w:rPr>
        <w:t>Bail Enquiry Report</w:t>
      </w:r>
    </w:p>
    <w:p w14:paraId="579D86B8" w14:textId="3FEA0F1A" w:rsidR="002605B2" w:rsidRPr="00B40A77" w:rsidRDefault="002605B2" w:rsidP="002605B2">
      <w:pPr>
        <w:ind w:left="1701" w:hanging="567"/>
        <w:rPr>
          <w:color w:val="000000" w:themeColor="text1"/>
        </w:rPr>
      </w:pPr>
      <w:r w:rsidRPr="00B40A77">
        <w:rPr>
          <w:color w:val="000000" w:themeColor="text1"/>
        </w:rPr>
        <w:t>Form 23B</w:t>
      </w:r>
      <w:r w:rsidRPr="00B40A77">
        <w:rPr>
          <w:color w:val="000000" w:themeColor="text1"/>
          <w:lang w:eastAsia="en-AU"/>
        </w:rPr>
        <w:t>—</w:t>
      </w:r>
      <w:r w:rsidRPr="00B40A77">
        <w:rPr>
          <w:color w:val="000000" w:themeColor="text1"/>
        </w:rPr>
        <w:t xml:space="preserve">Report Request Form </w:t>
      </w:r>
      <w:r w:rsidR="00107ACD" w:rsidRPr="00B40A77">
        <w:rPr>
          <w:color w:val="000000" w:themeColor="text1"/>
        </w:rPr>
        <w:t xml:space="preserve">– </w:t>
      </w:r>
      <w:r w:rsidRPr="00B40A77">
        <w:rPr>
          <w:color w:val="000000" w:themeColor="text1"/>
        </w:rPr>
        <w:t>Bail Enquiry (Home Detention) Report</w:t>
      </w:r>
    </w:p>
    <w:p w14:paraId="5146344F" w14:textId="0EA9ECD8" w:rsidR="002605B2" w:rsidRPr="00B40A77" w:rsidRDefault="002605B2" w:rsidP="002605B2">
      <w:pPr>
        <w:ind w:left="1701" w:hanging="567"/>
        <w:rPr>
          <w:color w:val="000000" w:themeColor="text1"/>
        </w:rPr>
      </w:pPr>
      <w:r w:rsidRPr="00B40A77">
        <w:rPr>
          <w:color w:val="000000" w:themeColor="text1"/>
        </w:rPr>
        <w:t>Form 23C</w:t>
      </w:r>
      <w:r w:rsidRPr="00B40A77">
        <w:rPr>
          <w:color w:val="000000" w:themeColor="text1"/>
          <w:lang w:eastAsia="en-AU"/>
        </w:rPr>
        <w:t>—</w:t>
      </w:r>
      <w:r w:rsidRPr="00B40A77">
        <w:rPr>
          <w:color w:val="000000" w:themeColor="text1"/>
        </w:rPr>
        <w:t xml:space="preserve">Report Request Form </w:t>
      </w:r>
      <w:r w:rsidR="00107ACD" w:rsidRPr="00B40A77">
        <w:rPr>
          <w:color w:val="000000" w:themeColor="text1"/>
        </w:rPr>
        <w:t xml:space="preserve">– </w:t>
      </w:r>
      <w:r w:rsidRPr="00B40A77">
        <w:rPr>
          <w:color w:val="000000" w:themeColor="text1"/>
        </w:rPr>
        <w:t>Bail Remand Information Report (Youth)</w:t>
      </w:r>
    </w:p>
    <w:p w14:paraId="0D519105" w14:textId="3F97F8E1" w:rsidR="002605B2" w:rsidRPr="00B40A77" w:rsidRDefault="002605B2" w:rsidP="002605B2">
      <w:pPr>
        <w:ind w:left="1701" w:hanging="567"/>
        <w:rPr>
          <w:color w:val="000000" w:themeColor="text1"/>
        </w:rPr>
      </w:pPr>
      <w:r w:rsidRPr="00B40A77">
        <w:rPr>
          <w:color w:val="000000" w:themeColor="text1"/>
        </w:rPr>
        <w:t>Form 23D</w:t>
      </w:r>
      <w:r w:rsidRPr="00B40A77">
        <w:rPr>
          <w:color w:val="000000" w:themeColor="text1"/>
          <w:lang w:eastAsia="en-AU"/>
        </w:rPr>
        <w:t>—</w:t>
      </w:r>
      <w:r w:rsidRPr="00B40A77">
        <w:rPr>
          <w:color w:val="000000" w:themeColor="text1"/>
        </w:rPr>
        <w:t xml:space="preserve">Report Request Form </w:t>
      </w:r>
      <w:r w:rsidR="00107ACD" w:rsidRPr="00B40A77">
        <w:rPr>
          <w:color w:val="000000" w:themeColor="text1"/>
        </w:rPr>
        <w:t xml:space="preserve">– </w:t>
      </w:r>
      <w:r w:rsidRPr="00B40A77">
        <w:rPr>
          <w:color w:val="000000" w:themeColor="text1"/>
        </w:rPr>
        <w:t>Bail Enquiry (Home Detention Youth) Report (Youth)</w:t>
      </w:r>
    </w:p>
    <w:p w14:paraId="692ACAAD" w14:textId="7E773897" w:rsidR="00903252" w:rsidRDefault="00903252" w:rsidP="002605B2">
      <w:pPr>
        <w:ind w:left="1701" w:hanging="567"/>
        <w:rPr>
          <w:color w:val="000000" w:themeColor="text1"/>
        </w:rPr>
      </w:pPr>
      <w:r>
        <w:rPr>
          <w:color w:val="000000" w:themeColor="text1"/>
        </w:rPr>
        <w:t>Form 23E</w:t>
      </w:r>
      <w:r w:rsidRPr="00B40A77">
        <w:rPr>
          <w:color w:val="000000" w:themeColor="text1"/>
          <w:lang w:eastAsia="en-AU"/>
        </w:rPr>
        <w:t>—</w:t>
      </w:r>
      <w:r>
        <w:rPr>
          <w:color w:val="000000" w:themeColor="text1"/>
          <w:lang w:eastAsia="en-AU"/>
        </w:rPr>
        <w:t>Report Request Form</w:t>
      </w:r>
    </w:p>
    <w:p w14:paraId="0D3529E3" w14:textId="4F4019CE" w:rsidR="002605B2" w:rsidRPr="00B40A77" w:rsidRDefault="002605B2" w:rsidP="002605B2">
      <w:pPr>
        <w:ind w:left="1701" w:hanging="567"/>
        <w:rPr>
          <w:color w:val="000000" w:themeColor="text1"/>
        </w:rPr>
      </w:pPr>
      <w:r w:rsidRPr="00B40A77">
        <w:rPr>
          <w:color w:val="000000" w:themeColor="text1"/>
        </w:rPr>
        <w:t>Form 24</w:t>
      </w:r>
      <w:r w:rsidRPr="00B40A77">
        <w:rPr>
          <w:color w:val="000000" w:themeColor="text1"/>
          <w:lang w:eastAsia="en-AU"/>
        </w:rPr>
        <w:t>—</w:t>
      </w:r>
      <w:r w:rsidRPr="00B40A77">
        <w:rPr>
          <w:color w:val="000000" w:themeColor="text1"/>
        </w:rPr>
        <w:t>Record of Outcome</w:t>
      </w:r>
    </w:p>
    <w:p w14:paraId="4C5D6276" w14:textId="7C2D7702" w:rsidR="002605B2" w:rsidRPr="00B40A77" w:rsidRDefault="002605B2" w:rsidP="002605B2">
      <w:pPr>
        <w:ind w:left="1701" w:hanging="567"/>
        <w:rPr>
          <w:color w:val="000000" w:themeColor="text1"/>
        </w:rPr>
      </w:pPr>
      <w:r w:rsidRPr="00B40A77">
        <w:rPr>
          <w:color w:val="000000" w:themeColor="text1"/>
        </w:rPr>
        <w:t>Form 25</w:t>
      </w:r>
      <w:r w:rsidRPr="00B40A77">
        <w:rPr>
          <w:color w:val="000000" w:themeColor="text1"/>
          <w:lang w:eastAsia="en-AU"/>
        </w:rPr>
        <w:t>—</w:t>
      </w:r>
      <w:r w:rsidRPr="00B40A77">
        <w:rPr>
          <w:color w:val="000000" w:themeColor="text1"/>
        </w:rPr>
        <w:t>Bail Agreement</w:t>
      </w:r>
    </w:p>
    <w:p w14:paraId="35973357" w14:textId="773B9197" w:rsidR="002605B2" w:rsidRPr="00B40A77" w:rsidRDefault="002605B2" w:rsidP="002605B2">
      <w:pPr>
        <w:ind w:left="1701" w:hanging="567"/>
        <w:rPr>
          <w:color w:val="000000" w:themeColor="text1"/>
        </w:rPr>
      </w:pPr>
      <w:r w:rsidRPr="00B40A77">
        <w:rPr>
          <w:color w:val="000000" w:themeColor="text1"/>
        </w:rPr>
        <w:t>Form 25A</w:t>
      </w:r>
      <w:r w:rsidRPr="00B40A77">
        <w:rPr>
          <w:color w:val="000000" w:themeColor="text1"/>
          <w:lang w:eastAsia="en-AU"/>
        </w:rPr>
        <w:t>—</w:t>
      </w:r>
      <w:r w:rsidRPr="00B40A77">
        <w:rPr>
          <w:color w:val="000000" w:themeColor="text1"/>
        </w:rPr>
        <w:t>Bail Agreement Variation</w:t>
      </w:r>
    </w:p>
    <w:p w14:paraId="04996EB8" w14:textId="434D5673" w:rsidR="002605B2" w:rsidRPr="00B40A77" w:rsidRDefault="002605B2" w:rsidP="002605B2">
      <w:pPr>
        <w:ind w:left="1701" w:hanging="567"/>
        <w:rPr>
          <w:color w:val="000000" w:themeColor="text1"/>
        </w:rPr>
      </w:pPr>
      <w:r w:rsidRPr="00B40A77">
        <w:rPr>
          <w:color w:val="000000" w:themeColor="text1"/>
        </w:rPr>
        <w:t>Form 26</w:t>
      </w:r>
      <w:r w:rsidRPr="00B40A77">
        <w:rPr>
          <w:color w:val="000000" w:themeColor="text1"/>
          <w:lang w:eastAsia="en-AU"/>
        </w:rPr>
        <w:t>—</w:t>
      </w:r>
      <w:r w:rsidRPr="00B40A77">
        <w:rPr>
          <w:color w:val="000000" w:themeColor="text1"/>
        </w:rPr>
        <w:t>Guarantee of Bail</w:t>
      </w:r>
    </w:p>
    <w:p w14:paraId="0D3941B8" w14:textId="49E46A49" w:rsidR="002605B2" w:rsidRPr="00B40A77" w:rsidRDefault="002605B2" w:rsidP="002605B2">
      <w:pPr>
        <w:ind w:left="1701" w:hanging="567"/>
        <w:rPr>
          <w:color w:val="000000" w:themeColor="text1"/>
        </w:rPr>
      </w:pPr>
      <w:r w:rsidRPr="00B40A77">
        <w:rPr>
          <w:color w:val="000000" w:themeColor="text1"/>
        </w:rPr>
        <w:t>Form 27</w:t>
      </w:r>
      <w:r w:rsidRPr="00B40A77">
        <w:rPr>
          <w:color w:val="000000" w:themeColor="text1"/>
          <w:lang w:eastAsia="en-AU"/>
        </w:rPr>
        <w:t>—</w:t>
      </w:r>
      <w:r w:rsidRPr="00B40A77">
        <w:rPr>
          <w:color w:val="000000" w:themeColor="text1"/>
        </w:rPr>
        <w:t xml:space="preserve">Order </w:t>
      </w:r>
      <w:r w:rsidR="004570FA" w:rsidRPr="00B40A77">
        <w:rPr>
          <w:color w:val="000000" w:themeColor="text1"/>
        </w:rPr>
        <w:t xml:space="preserve">– </w:t>
      </w:r>
      <w:r w:rsidRPr="00B40A77">
        <w:rPr>
          <w:color w:val="000000" w:themeColor="text1"/>
        </w:rPr>
        <w:t>Interim Intervention Order</w:t>
      </w:r>
    </w:p>
    <w:p w14:paraId="689ADE26" w14:textId="072A1D48" w:rsidR="002605B2" w:rsidRPr="00B40A77" w:rsidRDefault="002605B2" w:rsidP="002605B2">
      <w:pPr>
        <w:ind w:left="1701" w:hanging="567"/>
        <w:rPr>
          <w:color w:val="000000" w:themeColor="text1"/>
        </w:rPr>
      </w:pPr>
      <w:r w:rsidRPr="00B40A77">
        <w:rPr>
          <w:color w:val="000000" w:themeColor="text1"/>
        </w:rPr>
        <w:t>Form 28</w:t>
      </w:r>
      <w:r w:rsidRPr="00B40A77">
        <w:rPr>
          <w:color w:val="000000" w:themeColor="text1"/>
          <w:lang w:eastAsia="en-AU"/>
        </w:rPr>
        <w:t>—</w:t>
      </w:r>
      <w:r w:rsidRPr="00B40A77">
        <w:rPr>
          <w:color w:val="000000" w:themeColor="text1"/>
        </w:rPr>
        <w:t>Direction to Surrender Firearms and Ammunition</w:t>
      </w:r>
    </w:p>
    <w:p w14:paraId="18493B63" w14:textId="75B1FA7E" w:rsidR="002605B2" w:rsidRPr="00B40A77" w:rsidRDefault="002605B2" w:rsidP="002605B2">
      <w:pPr>
        <w:ind w:left="1701" w:hanging="567"/>
        <w:rPr>
          <w:color w:val="000000" w:themeColor="text1"/>
        </w:rPr>
      </w:pPr>
      <w:r w:rsidRPr="00B40A77">
        <w:rPr>
          <w:color w:val="000000" w:themeColor="text1"/>
        </w:rPr>
        <w:t>Form 29</w:t>
      </w:r>
      <w:r w:rsidRPr="00B40A77">
        <w:rPr>
          <w:color w:val="000000" w:themeColor="text1"/>
          <w:lang w:eastAsia="en-AU"/>
        </w:rPr>
        <w:t>—</w:t>
      </w:r>
      <w:r w:rsidRPr="00B40A77">
        <w:rPr>
          <w:color w:val="000000" w:themeColor="text1"/>
        </w:rPr>
        <w:t>Request to Minister for Foreign Affairs to Refuse to Issue Australian Passport</w:t>
      </w:r>
    </w:p>
    <w:p w14:paraId="4C7807CD" w14:textId="6370D124" w:rsidR="002605B2" w:rsidRPr="00B40A77" w:rsidRDefault="002605B2" w:rsidP="002605B2">
      <w:pPr>
        <w:ind w:left="1701" w:hanging="567"/>
        <w:rPr>
          <w:color w:val="000000" w:themeColor="text1"/>
        </w:rPr>
      </w:pPr>
      <w:r w:rsidRPr="00B40A77">
        <w:rPr>
          <w:color w:val="000000" w:themeColor="text1"/>
        </w:rPr>
        <w:t>Form 30</w:t>
      </w:r>
      <w:r w:rsidRPr="00B40A77">
        <w:rPr>
          <w:color w:val="000000" w:themeColor="text1"/>
          <w:lang w:eastAsia="en-AU"/>
        </w:rPr>
        <w:t>—</w:t>
      </w:r>
      <w:r w:rsidRPr="00B40A77">
        <w:rPr>
          <w:color w:val="000000" w:themeColor="text1"/>
        </w:rPr>
        <w:t>Notice of Order for Stay of Release on Application for Review</w:t>
      </w:r>
    </w:p>
    <w:p w14:paraId="33D01E36" w14:textId="7A142D6A" w:rsidR="002605B2" w:rsidRPr="00B40A77" w:rsidRDefault="002605B2" w:rsidP="002605B2">
      <w:pPr>
        <w:ind w:left="1701" w:hanging="567"/>
        <w:rPr>
          <w:color w:val="000000" w:themeColor="text1"/>
        </w:rPr>
      </w:pPr>
      <w:r w:rsidRPr="00B40A77">
        <w:rPr>
          <w:color w:val="000000" w:themeColor="text1"/>
        </w:rPr>
        <w:t>Form 31</w:t>
      </w:r>
      <w:r w:rsidRPr="00B40A77">
        <w:rPr>
          <w:color w:val="000000" w:themeColor="text1"/>
          <w:lang w:eastAsia="en-AU"/>
        </w:rPr>
        <w:t>—</w:t>
      </w:r>
      <w:r w:rsidRPr="00B40A77">
        <w:rPr>
          <w:color w:val="000000" w:themeColor="text1"/>
        </w:rPr>
        <w:t>Warrant of Apprehension of Defendant</w:t>
      </w:r>
    </w:p>
    <w:p w14:paraId="5223D62F" w14:textId="731F2574" w:rsidR="002605B2" w:rsidRPr="00B40A77" w:rsidRDefault="002605B2" w:rsidP="002605B2">
      <w:pPr>
        <w:ind w:left="1701" w:hanging="567"/>
        <w:rPr>
          <w:color w:val="000000" w:themeColor="text1"/>
        </w:rPr>
      </w:pPr>
      <w:r w:rsidRPr="00B40A77">
        <w:rPr>
          <w:color w:val="000000" w:themeColor="text1"/>
        </w:rPr>
        <w:t>Form 32</w:t>
      </w:r>
      <w:r w:rsidRPr="00B40A77">
        <w:rPr>
          <w:color w:val="000000" w:themeColor="text1"/>
          <w:lang w:eastAsia="en-AU"/>
        </w:rPr>
        <w:t>—</w:t>
      </w:r>
      <w:r w:rsidRPr="00B40A77">
        <w:rPr>
          <w:color w:val="000000" w:themeColor="text1"/>
        </w:rPr>
        <w:t>Summons for Contempt or Breach of Condition</w:t>
      </w:r>
    </w:p>
    <w:p w14:paraId="43DC9760" w14:textId="1CEC7948" w:rsidR="002605B2" w:rsidRPr="00B40A77" w:rsidRDefault="002605B2" w:rsidP="002605B2">
      <w:pPr>
        <w:ind w:left="1701" w:hanging="567"/>
        <w:rPr>
          <w:color w:val="000000" w:themeColor="text1"/>
        </w:rPr>
      </w:pPr>
      <w:r w:rsidRPr="00B40A77">
        <w:rPr>
          <w:color w:val="000000" w:themeColor="text1"/>
        </w:rPr>
        <w:t>Form 33</w:t>
      </w:r>
      <w:r w:rsidRPr="00B40A77">
        <w:rPr>
          <w:color w:val="000000" w:themeColor="text1"/>
          <w:lang w:eastAsia="en-AU"/>
        </w:rPr>
        <w:t>—</w:t>
      </w:r>
      <w:r w:rsidRPr="00B40A77">
        <w:rPr>
          <w:color w:val="000000" w:themeColor="text1"/>
        </w:rPr>
        <w:t xml:space="preserve">Warrant of Apprehension </w:t>
      </w:r>
      <w:r w:rsidR="00107ACD" w:rsidRPr="00B40A77">
        <w:rPr>
          <w:color w:val="000000" w:themeColor="text1"/>
        </w:rPr>
        <w:t xml:space="preserve">– </w:t>
      </w:r>
      <w:r w:rsidRPr="00B40A77">
        <w:rPr>
          <w:color w:val="000000" w:themeColor="text1"/>
        </w:rPr>
        <w:t>Contempt or Breach of Condition</w:t>
      </w:r>
    </w:p>
    <w:p w14:paraId="00A8109A" w14:textId="738EB30F" w:rsidR="002605B2" w:rsidRPr="00B40A77" w:rsidRDefault="002605B2" w:rsidP="002605B2">
      <w:pPr>
        <w:ind w:left="1701" w:hanging="567"/>
        <w:rPr>
          <w:color w:val="000000" w:themeColor="text1"/>
        </w:rPr>
      </w:pPr>
      <w:r w:rsidRPr="00B40A77">
        <w:rPr>
          <w:color w:val="000000" w:themeColor="text1"/>
        </w:rPr>
        <w:t>Form 34A</w:t>
      </w:r>
      <w:r w:rsidRPr="00B40A77">
        <w:rPr>
          <w:color w:val="000000" w:themeColor="text1"/>
          <w:lang w:eastAsia="en-AU"/>
        </w:rPr>
        <w:t>—</w:t>
      </w:r>
      <w:r w:rsidRPr="00B40A77">
        <w:rPr>
          <w:color w:val="000000" w:themeColor="text1"/>
        </w:rPr>
        <w:t>Warrant of Remand or Mandate</w:t>
      </w:r>
    </w:p>
    <w:p w14:paraId="4A918570" w14:textId="44783D96" w:rsidR="002605B2" w:rsidRPr="00B40A77" w:rsidRDefault="002605B2" w:rsidP="002605B2">
      <w:pPr>
        <w:ind w:left="1701" w:hanging="567"/>
        <w:rPr>
          <w:color w:val="000000" w:themeColor="text1"/>
        </w:rPr>
      </w:pPr>
      <w:r w:rsidRPr="00B40A77">
        <w:rPr>
          <w:color w:val="000000" w:themeColor="text1"/>
        </w:rPr>
        <w:t>Form 34B</w:t>
      </w:r>
      <w:r w:rsidRPr="00B40A77">
        <w:rPr>
          <w:color w:val="000000" w:themeColor="text1"/>
          <w:lang w:eastAsia="en-AU"/>
        </w:rPr>
        <w:t>—</w:t>
      </w:r>
      <w:r w:rsidRPr="00B40A77">
        <w:rPr>
          <w:color w:val="000000" w:themeColor="text1"/>
        </w:rPr>
        <w:t>Order of Remand or Mandate</w:t>
      </w:r>
    </w:p>
    <w:p w14:paraId="4BB8FAF2" w14:textId="51ABB151" w:rsidR="002605B2" w:rsidRPr="00B40A77" w:rsidRDefault="002605B2" w:rsidP="002605B2">
      <w:pPr>
        <w:ind w:left="1701" w:hanging="567"/>
        <w:rPr>
          <w:color w:val="000000" w:themeColor="text1"/>
        </w:rPr>
      </w:pPr>
      <w:r w:rsidRPr="00B40A77">
        <w:rPr>
          <w:color w:val="000000" w:themeColor="text1"/>
        </w:rPr>
        <w:t>Form 34C</w:t>
      </w:r>
      <w:r w:rsidRPr="00B40A77">
        <w:rPr>
          <w:color w:val="000000" w:themeColor="text1"/>
          <w:lang w:eastAsia="en-AU"/>
        </w:rPr>
        <w:t>—</w:t>
      </w:r>
      <w:r w:rsidRPr="00B40A77">
        <w:rPr>
          <w:color w:val="000000" w:themeColor="text1"/>
        </w:rPr>
        <w:t xml:space="preserve">Warrant of Interim Detention </w:t>
      </w:r>
      <w:r w:rsidR="00107ACD" w:rsidRPr="00B40A77">
        <w:rPr>
          <w:color w:val="000000" w:themeColor="text1"/>
        </w:rPr>
        <w:t xml:space="preserve">– </w:t>
      </w:r>
      <w:r w:rsidRPr="00B40A77">
        <w:rPr>
          <w:color w:val="000000" w:themeColor="text1"/>
        </w:rPr>
        <w:t>Crimes Act section 20B</w:t>
      </w:r>
    </w:p>
    <w:p w14:paraId="127FF261" w14:textId="01B1AB52" w:rsidR="002605B2" w:rsidRPr="00B40A77" w:rsidRDefault="002605B2" w:rsidP="002605B2">
      <w:pPr>
        <w:ind w:left="1701" w:hanging="567"/>
        <w:rPr>
          <w:color w:val="000000" w:themeColor="text1"/>
        </w:rPr>
      </w:pPr>
      <w:r w:rsidRPr="00B40A77">
        <w:rPr>
          <w:color w:val="000000" w:themeColor="text1"/>
        </w:rPr>
        <w:t>Form 34D</w:t>
      </w:r>
      <w:r w:rsidRPr="00B40A77">
        <w:rPr>
          <w:color w:val="000000" w:themeColor="text1"/>
          <w:lang w:eastAsia="en-AU"/>
        </w:rPr>
        <w:t>—</w:t>
      </w:r>
      <w:r w:rsidRPr="00B40A77">
        <w:rPr>
          <w:color w:val="000000" w:themeColor="text1"/>
        </w:rPr>
        <w:t xml:space="preserve">Warrant of Interim Detention </w:t>
      </w:r>
      <w:r w:rsidR="00107ACD" w:rsidRPr="00B40A77">
        <w:rPr>
          <w:color w:val="000000" w:themeColor="text1"/>
        </w:rPr>
        <w:t xml:space="preserve">– </w:t>
      </w:r>
      <w:r w:rsidRPr="00B40A77">
        <w:rPr>
          <w:color w:val="000000" w:themeColor="text1"/>
        </w:rPr>
        <w:t>Crimes Act section 20BB</w:t>
      </w:r>
    </w:p>
    <w:p w14:paraId="4984DFBE" w14:textId="616CB583" w:rsidR="002605B2" w:rsidRPr="00B40A77" w:rsidRDefault="002605B2" w:rsidP="002605B2">
      <w:pPr>
        <w:ind w:left="1701" w:hanging="567"/>
        <w:rPr>
          <w:color w:val="000000" w:themeColor="text1"/>
        </w:rPr>
      </w:pPr>
      <w:r w:rsidRPr="00B40A77">
        <w:rPr>
          <w:color w:val="000000" w:themeColor="text1"/>
        </w:rPr>
        <w:t>Form 35</w:t>
      </w:r>
      <w:r w:rsidRPr="00B40A77">
        <w:rPr>
          <w:color w:val="000000" w:themeColor="text1"/>
          <w:lang w:eastAsia="en-AU"/>
        </w:rPr>
        <w:t>—</w:t>
      </w:r>
      <w:r w:rsidRPr="00B40A77">
        <w:rPr>
          <w:color w:val="000000" w:themeColor="text1"/>
        </w:rPr>
        <w:t>Application for Review of Bail by Magistrate</w:t>
      </w:r>
    </w:p>
    <w:p w14:paraId="227C4A84" w14:textId="7B2B1563" w:rsidR="00107ACD" w:rsidRPr="00B40A77" w:rsidRDefault="00107ACD" w:rsidP="0007438D">
      <w:pPr>
        <w:ind w:left="1134" w:hanging="567"/>
        <w:rPr>
          <w:b/>
          <w:color w:val="000000" w:themeColor="text1"/>
          <w:sz w:val="26"/>
          <w:lang w:eastAsia="en-AU"/>
        </w:rPr>
      </w:pPr>
      <w:r w:rsidRPr="00B40A77">
        <w:rPr>
          <w:b/>
          <w:color w:val="000000" w:themeColor="text1"/>
          <w:sz w:val="26"/>
          <w:lang w:eastAsia="en-AU"/>
        </w:rPr>
        <w:t xml:space="preserve">4—Guilty Pleas </w:t>
      </w:r>
    </w:p>
    <w:p w14:paraId="64AC90C9" w14:textId="38FA16FA" w:rsidR="00107ACD" w:rsidRPr="00B40A77" w:rsidRDefault="00107ACD" w:rsidP="00107ACD">
      <w:pPr>
        <w:ind w:left="1701" w:hanging="567"/>
        <w:rPr>
          <w:color w:val="000000" w:themeColor="text1"/>
        </w:rPr>
      </w:pPr>
      <w:r w:rsidRPr="00B40A77">
        <w:rPr>
          <w:color w:val="000000" w:themeColor="text1"/>
        </w:rPr>
        <w:t>Form 51</w:t>
      </w:r>
      <w:r w:rsidRPr="00B40A77">
        <w:rPr>
          <w:color w:val="000000" w:themeColor="text1"/>
          <w:lang w:eastAsia="en-AU"/>
        </w:rPr>
        <w:t>—</w:t>
      </w:r>
      <w:r w:rsidRPr="00B40A77">
        <w:rPr>
          <w:color w:val="000000" w:themeColor="text1"/>
        </w:rPr>
        <w:t>Written Guilty Plea</w:t>
      </w:r>
    </w:p>
    <w:p w14:paraId="3CFC6ADF" w14:textId="5F719BB6" w:rsidR="00107ACD" w:rsidRPr="00B40A77" w:rsidRDefault="00107ACD" w:rsidP="00107ACD">
      <w:pPr>
        <w:ind w:left="1701" w:hanging="567"/>
        <w:rPr>
          <w:color w:val="000000" w:themeColor="text1"/>
        </w:rPr>
      </w:pPr>
      <w:r w:rsidRPr="00B40A77">
        <w:rPr>
          <w:color w:val="000000" w:themeColor="text1"/>
        </w:rPr>
        <w:t>Form 52</w:t>
      </w:r>
      <w:r w:rsidRPr="00B40A77">
        <w:rPr>
          <w:color w:val="000000" w:themeColor="text1"/>
          <w:lang w:eastAsia="en-AU"/>
        </w:rPr>
        <w:t>—</w:t>
      </w:r>
      <w:r w:rsidRPr="00B40A77">
        <w:rPr>
          <w:color w:val="000000" w:themeColor="text1"/>
        </w:rPr>
        <w:t>Request to have Matter Called on for Guilty Plea</w:t>
      </w:r>
    </w:p>
    <w:p w14:paraId="2815D271" w14:textId="575EC9DB" w:rsidR="00107ACD" w:rsidRPr="00B40A77" w:rsidRDefault="00107ACD" w:rsidP="00107ACD">
      <w:pPr>
        <w:ind w:left="1701" w:hanging="567"/>
        <w:rPr>
          <w:color w:val="000000" w:themeColor="text1"/>
        </w:rPr>
      </w:pPr>
      <w:r w:rsidRPr="00B40A77">
        <w:rPr>
          <w:color w:val="000000" w:themeColor="text1"/>
        </w:rPr>
        <w:t>Form 53</w:t>
      </w:r>
      <w:r w:rsidRPr="00B40A77">
        <w:rPr>
          <w:color w:val="000000" w:themeColor="text1"/>
          <w:lang w:eastAsia="en-AU"/>
        </w:rPr>
        <w:t>—</w:t>
      </w:r>
      <w:r w:rsidRPr="00B40A77">
        <w:rPr>
          <w:color w:val="000000" w:themeColor="text1"/>
        </w:rPr>
        <w:t>Information for Arraignment on Committal for Sentence</w:t>
      </w:r>
    </w:p>
    <w:p w14:paraId="68370D7E" w14:textId="1E9BE1F6" w:rsidR="00107ACD" w:rsidRPr="00B40A77" w:rsidRDefault="00107ACD" w:rsidP="00107ACD">
      <w:pPr>
        <w:ind w:left="1701" w:hanging="567"/>
        <w:rPr>
          <w:color w:val="000000" w:themeColor="text1"/>
        </w:rPr>
      </w:pPr>
      <w:r w:rsidRPr="00B40A77">
        <w:rPr>
          <w:color w:val="000000" w:themeColor="text1"/>
        </w:rPr>
        <w:t>Form 54</w:t>
      </w:r>
      <w:r w:rsidRPr="00B40A77">
        <w:rPr>
          <w:color w:val="000000" w:themeColor="text1"/>
          <w:lang w:eastAsia="en-AU"/>
        </w:rPr>
        <w:t>—</w:t>
      </w:r>
      <w:r w:rsidRPr="00B40A77">
        <w:rPr>
          <w:color w:val="000000" w:themeColor="text1"/>
        </w:rPr>
        <w:t>Prosecution Summary of Proposed Factual Basis for Sentencing</w:t>
      </w:r>
    </w:p>
    <w:p w14:paraId="454A493D" w14:textId="3B3E5183" w:rsidR="00107ACD" w:rsidRPr="00B40A77" w:rsidRDefault="00107ACD" w:rsidP="00107ACD">
      <w:pPr>
        <w:ind w:left="1701" w:hanging="567"/>
        <w:rPr>
          <w:color w:val="000000" w:themeColor="text1"/>
        </w:rPr>
      </w:pPr>
      <w:r w:rsidRPr="00B40A77">
        <w:rPr>
          <w:color w:val="000000" w:themeColor="text1"/>
        </w:rPr>
        <w:t>Form 55</w:t>
      </w:r>
      <w:r w:rsidRPr="00B40A77">
        <w:rPr>
          <w:color w:val="000000" w:themeColor="text1"/>
          <w:lang w:eastAsia="en-AU"/>
        </w:rPr>
        <w:t>—</w:t>
      </w:r>
      <w:r w:rsidRPr="00B40A77">
        <w:rPr>
          <w:color w:val="000000" w:themeColor="text1"/>
        </w:rPr>
        <w:t>List of Additional Charges (Commonwealth)</w:t>
      </w:r>
    </w:p>
    <w:p w14:paraId="60C9E80D" w14:textId="496C5C93" w:rsidR="00107ACD" w:rsidRPr="00B40A77" w:rsidRDefault="00107ACD" w:rsidP="0007438D">
      <w:pPr>
        <w:ind w:left="1134" w:hanging="567"/>
        <w:rPr>
          <w:b/>
          <w:color w:val="000000" w:themeColor="text1"/>
          <w:sz w:val="26"/>
          <w:lang w:eastAsia="en-AU"/>
        </w:rPr>
      </w:pPr>
      <w:r w:rsidRPr="00B40A77">
        <w:rPr>
          <w:b/>
          <w:color w:val="000000" w:themeColor="text1"/>
          <w:sz w:val="26"/>
          <w:lang w:eastAsia="en-AU"/>
        </w:rPr>
        <w:t xml:space="preserve">5—Election or order about court or forum </w:t>
      </w:r>
    </w:p>
    <w:p w14:paraId="54018367" w14:textId="0A2EBCE9" w:rsidR="00107ACD" w:rsidRPr="00B40A77" w:rsidRDefault="00107ACD" w:rsidP="00107ACD">
      <w:pPr>
        <w:ind w:left="1701" w:hanging="567"/>
        <w:rPr>
          <w:color w:val="000000" w:themeColor="text1"/>
        </w:rPr>
      </w:pPr>
      <w:r w:rsidRPr="00B40A77">
        <w:rPr>
          <w:color w:val="000000" w:themeColor="text1"/>
        </w:rPr>
        <w:t>Form 61</w:t>
      </w:r>
      <w:r w:rsidR="0014148C" w:rsidRPr="00B40A77">
        <w:rPr>
          <w:color w:val="000000" w:themeColor="text1"/>
          <w:lang w:eastAsia="en-AU"/>
        </w:rPr>
        <w:t>—</w:t>
      </w:r>
      <w:r w:rsidRPr="00B40A77">
        <w:rPr>
          <w:color w:val="000000" w:themeColor="text1"/>
        </w:rPr>
        <w:t>Consent to Sentencing for Major Indictable Offence in Magistrates Court</w:t>
      </w:r>
    </w:p>
    <w:p w14:paraId="7875E5FF" w14:textId="3CE7FD85" w:rsidR="00107ACD" w:rsidRPr="00B40A77" w:rsidRDefault="00107ACD" w:rsidP="00107ACD">
      <w:pPr>
        <w:ind w:left="1701" w:hanging="567"/>
        <w:rPr>
          <w:color w:val="000000" w:themeColor="text1"/>
        </w:rPr>
      </w:pPr>
      <w:r w:rsidRPr="00B40A77">
        <w:rPr>
          <w:color w:val="000000" w:themeColor="text1"/>
        </w:rPr>
        <w:t>Form 62</w:t>
      </w:r>
      <w:r w:rsidR="0014148C" w:rsidRPr="00B40A77">
        <w:rPr>
          <w:color w:val="000000" w:themeColor="text1"/>
          <w:lang w:eastAsia="en-AU"/>
        </w:rPr>
        <w:t>—</w:t>
      </w:r>
      <w:r w:rsidRPr="00B40A77">
        <w:rPr>
          <w:color w:val="000000" w:themeColor="text1"/>
        </w:rPr>
        <w:t>Consent to Commonwealth Indictable Offence being Heard and Determined in Court of Summary Jurisdiction</w:t>
      </w:r>
    </w:p>
    <w:p w14:paraId="105F1594" w14:textId="584128B4" w:rsidR="00107ACD" w:rsidRPr="00B40A77" w:rsidRDefault="00107ACD" w:rsidP="00107ACD">
      <w:pPr>
        <w:ind w:left="1701" w:hanging="567"/>
        <w:rPr>
          <w:color w:val="000000" w:themeColor="text1"/>
        </w:rPr>
      </w:pPr>
      <w:r w:rsidRPr="00B40A77">
        <w:rPr>
          <w:color w:val="000000" w:themeColor="text1"/>
        </w:rPr>
        <w:t>Form 63</w:t>
      </w:r>
      <w:r w:rsidR="0014148C" w:rsidRPr="00B40A77">
        <w:rPr>
          <w:color w:val="000000" w:themeColor="text1"/>
          <w:lang w:eastAsia="en-AU"/>
        </w:rPr>
        <w:t>—</w:t>
      </w:r>
      <w:r w:rsidRPr="00B40A77">
        <w:rPr>
          <w:color w:val="000000" w:themeColor="text1"/>
        </w:rPr>
        <w:t>Prosecution Request for Commonwealth Indictable Offence to be Heard and Determined in Magistrates Court (Cth)</w:t>
      </w:r>
    </w:p>
    <w:p w14:paraId="2ACB7DF9" w14:textId="00ADA95A" w:rsidR="00107ACD" w:rsidRPr="00B40A77" w:rsidRDefault="00107ACD" w:rsidP="00107ACD">
      <w:pPr>
        <w:ind w:left="1701" w:hanging="567"/>
        <w:rPr>
          <w:color w:val="000000" w:themeColor="text1"/>
        </w:rPr>
      </w:pPr>
      <w:r w:rsidRPr="00B40A77">
        <w:rPr>
          <w:color w:val="000000" w:themeColor="text1"/>
        </w:rPr>
        <w:lastRenderedPageBreak/>
        <w:t>Form 64</w:t>
      </w:r>
      <w:r w:rsidR="0014148C" w:rsidRPr="00B40A77">
        <w:rPr>
          <w:color w:val="000000" w:themeColor="text1"/>
          <w:lang w:eastAsia="en-AU"/>
        </w:rPr>
        <w:t>—</w:t>
      </w:r>
      <w:r w:rsidRPr="00B40A77">
        <w:rPr>
          <w:color w:val="000000" w:themeColor="text1"/>
        </w:rPr>
        <w:t>Election for Trial by Judge Alone</w:t>
      </w:r>
    </w:p>
    <w:p w14:paraId="035A01CA" w14:textId="595E2396" w:rsidR="00107ACD" w:rsidRPr="00B40A77" w:rsidRDefault="00107ACD" w:rsidP="00107ACD">
      <w:pPr>
        <w:ind w:left="1701" w:hanging="567"/>
        <w:rPr>
          <w:color w:val="000000" w:themeColor="text1"/>
        </w:rPr>
      </w:pPr>
      <w:r w:rsidRPr="00B40A77">
        <w:rPr>
          <w:color w:val="000000" w:themeColor="text1"/>
        </w:rPr>
        <w:t>Form 65</w:t>
      </w:r>
      <w:r w:rsidR="0014148C" w:rsidRPr="00B40A77">
        <w:rPr>
          <w:color w:val="000000" w:themeColor="text1"/>
          <w:lang w:eastAsia="en-AU"/>
        </w:rPr>
        <w:t>—</w:t>
      </w:r>
      <w:r w:rsidRPr="00B40A77">
        <w:rPr>
          <w:color w:val="000000" w:themeColor="text1"/>
        </w:rPr>
        <w:t>Revocation of Election for Trial by Judge Alone</w:t>
      </w:r>
    </w:p>
    <w:p w14:paraId="2ED0A149" w14:textId="65B5A286" w:rsidR="00107ACD" w:rsidRPr="00B40A77" w:rsidRDefault="00107ACD" w:rsidP="00107ACD">
      <w:pPr>
        <w:ind w:left="1701" w:hanging="567"/>
        <w:rPr>
          <w:color w:val="000000" w:themeColor="text1"/>
        </w:rPr>
      </w:pPr>
      <w:r w:rsidRPr="00B40A77">
        <w:rPr>
          <w:color w:val="000000" w:themeColor="text1"/>
        </w:rPr>
        <w:t>Form 66</w:t>
      </w:r>
      <w:r w:rsidR="0014148C" w:rsidRPr="00B40A77">
        <w:rPr>
          <w:color w:val="000000" w:themeColor="text1"/>
          <w:lang w:eastAsia="en-AU"/>
        </w:rPr>
        <w:t>—</w:t>
      </w:r>
      <w:r w:rsidRPr="00B40A77">
        <w:rPr>
          <w:color w:val="000000" w:themeColor="text1"/>
        </w:rPr>
        <w:t>Election for Trial in District Court</w:t>
      </w:r>
    </w:p>
    <w:p w14:paraId="5E1C577F" w14:textId="04FDE169" w:rsidR="00107ACD" w:rsidRPr="00B40A77" w:rsidRDefault="00107ACD" w:rsidP="00107ACD">
      <w:pPr>
        <w:ind w:left="1701" w:hanging="567"/>
        <w:rPr>
          <w:color w:val="000000" w:themeColor="text1"/>
        </w:rPr>
      </w:pPr>
      <w:r w:rsidRPr="00B40A77">
        <w:rPr>
          <w:color w:val="000000" w:themeColor="text1"/>
        </w:rPr>
        <w:t>Form 67</w:t>
      </w:r>
      <w:r w:rsidR="0014148C" w:rsidRPr="00B40A77">
        <w:rPr>
          <w:color w:val="000000" w:themeColor="text1"/>
          <w:lang w:eastAsia="en-AU"/>
        </w:rPr>
        <w:t>—</w:t>
      </w:r>
      <w:r w:rsidRPr="00B40A77">
        <w:rPr>
          <w:color w:val="000000" w:themeColor="text1"/>
        </w:rPr>
        <w:t>Election to be Dealt with as an Adult (Youth Court)</w:t>
      </w:r>
    </w:p>
    <w:p w14:paraId="6ACAD2F0" w14:textId="68302984" w:rsidR="00107ACD" w:rsidRPr="00B40A77" w:rsidRDefault="00107ACD" w:rsidP="00107ACD">
      <w:pPr>
        <w:ind w:left="1701" w:hanging="567"/>
        <w:rPr>
          <w:color w:val="000000" w:themeColor="text1"/>
        </w:rPr>
      </w:pPr>
      <w:r w:rsidRPr="00B40A77">
        <w:rPr>
          <w:color w:val="000000" w:themeColor="text1"/>
        </w:rPr>
        <w:t>F</w:t>
      </w:r>
      <w:r w:rsidR="0014148C" w:rsidRPr="00B40A77">
        <w:rPr>
          <w:color w:val="000000" w:themeColor="text1"/>
        </w:rPr>
        <w:t>o</w:t>
      </w:r>
      <w:r w:rsidRPr="00B40A77">
        <w:rPr>
          <w:color w:val="000000" w:themeColor="text1"/>
        </w:rPr>
        <w:t>rm 68</w:t>
      </w:r>
      <w:r w:rsidR="0014148C" w:rsidRPr="00B40A77">
        <w:rPr>
          <w:color w:val="000000" w:themeColor="text1"/>
          <w:lang w:eastAsia="en-AU"/>
        </w:rPr>
        <w:t>—</w:t>
      </w:r>
      <w:r w:rsidRPr="00B40A77">
        <w:rPr>
          <w:color w:val="000000" w:themeColor="text1"/>
        </w:rPr>
        <w:t>Application for Youth to be Dealt with as an Adult</w:t>
      </w:r>
    </w:p>
    <w:p w14:paraId="0D135563" w14:textId="45CC5432" w:rsidR="0014148C" w:rsidRPr="00B40A77" w:rsidRDefault="0014148C" w:rsidP="0007438D">
      <w:pPr>
        <w:ind w:left="1134" w:hanging="567"/>
        <w:rPr>
          <w:b/>
          <w:color w:val="000000" w:themeColor="text1"/>
          <w:sz w:val="26"/>
          <w:lang w:eastAsia="en-AU"/>
        </w:rPr>
      </w:pPr>
      <w:r w:rsidRPr="00B40A77">
        <w:rPr>
          <w:b/>
          <w:color w:val="000000" w:themeColor="text1"/>
          <w:sz w:val="26"/>
          <w:lang w:eastAsia="en-AU"/>
        </w:rPr>
        <w:t xml:space="preserve">6—Disclosure, notices and objections </w:t>
      </w:r>
    </w:p>
    <w:p w14:paraId="3A37CEFE" w14:textId="62A39925" w:rsidR="0014148C" w:rsidRPr="00B40A77" w:rsidRDefault="0014148C" w:rsidP="0014148C">
      <w:pPr>
        <w:ind w:left="1701" w:hanging="567"/>
        <w:rPr>
          <w:color w:val="000000" w:themeColor="text1"/>
        </w:rPr>
      </w:pPr>
      <w:r w:rsidRPr="00B40A77">
        <w:rPr>
          <w:color w:val="000000" w:themeColor="text1"/>
        </w:rPr>
        <w:t>Form 71</w:t>
      </w:r>
      <w:r w:rsidRPr="00B40A77">
        <w:rPr>
          <w:color w:val="000000" w:themeColor="text1"/>
          <w:lang w:eastAsia="en-AU"/>
        </w:rPr>
        <w:t>—</w:t>
      </w:r>
      <w:r w:rsidRPr="00B40A77">
        <w:rPr>
          <w:color w:val="000000" w:themeColor="text1"/>
        </w:rPr>
        <w:t xml:space="preserve">Evidentiary Material Brief </w:t>
      </w:r>
    </w:p>
    <w:p w14:paraId="26020C68" w14:textId="278CF3E2" w:rsidR="0014148C" w:rsidRPr="00B40A77" w:rsidRDefault="0014148C" w:rsidP="0014148C">
      <w:pPr>
        <w:ind w:left="1701" w:hanging="567"/>
        <w:rPr>
          <w:color w:val="000000" w:themeColor="text1"/>
        </w:rPr>
      </w:pPr>
      <w:r w:rsidRPr="00B40A77">
        <w:rPr>
          <w:color w:val="000000" w:themeColor="text1"/>
        </w:rPr>
        <w:t>Form 72</w:t>
      </w:r>
      <w:r w:rsidRPr="00B40A77">
        <w:rPr>
          <w:color w:val="000000" w:themeColor="text1"/>
          <w:lang w:eastAsia="en-AU"/>
        </w:rPr>
        <w:t>—</w:t>
      </w:r>
      <w:r w:rsidRPr="00B40A77">
        <w:rPr>
          <w:color w:val="000000" w:themeColor="text1"/>
        </w:rPr>
        <w:t>Prosecution Case Statement</w:t>
      </w:r>
    </w:p>
    <w:p w14:paraId="37A2C481" w14:textId="42B7A660" w:rsidR="0014148C" w:rsidRPr="00B40A77" w:rsidRDefault="0014148C" w:rsidP="0014148C">
      <w:pPr>
        <w:ind w:left="1701" w:hanging="567"/>
        <w:rPr>
          <w:color w:val="000000" w:themeColor="text1"/>
        </w:rPr>
      </w:pPr>
      <w:r w:rsidRPr="00B40A77">
        <w:rPr>
          <w:color w:val="000000" w:themeColor="text1"/>
        </w:rPr>
        <w:t>Form 73</w:t>
      </w:r>
      <w:r w:rsidRPr="00B40A77">
        <w:rPr>
          <w:color w:val="000000" w:themeColor="text1"/>
          <w:lang w:eastAsia="en-AU"/>
        </w:rPr>
        <w:t>—</w:t>
      </w:r>
      <w:r w:rsidRPr="00B40A77">
        <w:rPr>
          <w:color w:val="000000" w:themeColor="text1"/>
        </w:rPr>
        <w:t>Defence Case Statement</w:t>
      </w:r>
    </w:p>
    <w:p w14:paraId="4F7A841A" w14:textId="0B5A6300" w:rsidR="0014148C" w:rsidRPr="00B40A77" w:rsidRDefault="0014148C" w:rsidP="0014148C">
      <w:pPr>
        <w:ind w:left="1701" w:hanging="567"/>
        <w:rPr>
          <w:color w:val="000000" w:themeColor="text1"/>
        </w:rPr>
      </w:pPr>
      <w:r w:rsidRPr="00B40A77">
        <w:rPr>
          <w:color w:val="000000" w:themeColor="text1"/>
        </w:rPr>
        <w:t>Form 74</w:t>
      </w:r>
      <w:r w:rsidRPr="00B40A77">
        <w:rPr>
          <w:color w:val="000000" w:themeColor="text1"/>
          <w:lang w:eastAsia="en-AU"/>
        </w:rPr>
        <w:t>—</w:t>
      </w:r>
      <w:r w:rsidRPr="00B40A77">
        <w:rPr>
          <w:color w:val="000000" w:themeColor="text1"/>
        </w:rPr>
        <w:t>Prosecution Response to Defence Case Statement</w:t>
      </w:r>
    </w:p>
    <w:p w14:paraId="2A2AAA98" w14:textId="225272D0" w:rsidR="0014148C" w:rsidRPr="00B40A77" w:rsidRDefault="0014148C" w:rsidP="0014148C">
      <w:pPr>
        <w:ind w:left="1701" w:hanging="567"/>
        <w:rPr>
          <w:color w:val="000000" w:themeColor="text1"/>
        </w:rPr>
      </w:pPr>
      <w:r w:rsidRPr="00B40A77">
        <w:rPr>
          <w:color w:val="000000" w:themeColor="text1"/>
        </w:rPr>
        <w:t>Form 75</w:t>
      </w:r>
      <w:r w:rsidRPr="00B40A77">
        <w:rPr>
          <w:color w:val="000000" w:themeColor="text1"/>
          <w:lang w:eastAsia="en-AU"/>
        </w:rPr>
        <w:t>—</w:t>
      </w:r>
      <w:r w:rsidRPr="00B40A77">
        <w:rPr>
          <w:color w:val="000000" w:themeColor="text1"/>
        </w:rPr>
        <w:t>Notice of Priority Proceeding</w:t>
      </w:r>
    </w:p>
    <w:p w14:paraId="41DF5832" w14:textId="30074563" w:rsidR="0014148C" w:rsidRPr="00B40A77" w:rsidRDefault="0014148C" w:rsidP="0014148C">
      <w:pPr>
        <w:ind w:left="1701" w:hanging="567"/>
        <w:rPr>
          <w:color w:val="000000" w:themeColor="text1"/>
        </w:rPr>
      </w:pPr>
      <w:r w:rsidRPr="00B40A77">
        <w:rPr>
          <w:color w:val="000000" w:themeColor="text1"/>
        </w:rPr>
        <w:t>Form 76</w:t>
      </w:r>
      <w:r w:rsidRPr="00B40A77">
        <w:rPr>
          <w:color w:val="000000" w:themeColor="text1"/>
          <w:lang w:eastAsia="en-AU"/>
        </w:rPr>
        <w:t>—</w:t>
      </w:r>
      <w:r w:rsidRPr="00B40A77">
        <w:rPr>
          <w:color w:val="000000" w:themeColor="text1"/>
        </w:rPr>
        <w:t>Notice of Notifiable Offence</w:t>
      </w:r>
    </w:p>
    <w:p w14:paraId="30473AE0" w14:textId="5DF82005" w:rsidR="0014148C" w:rsidRPr="00B40A77" w:rsidRDefault="0014148C" w:rsidP="0014148C">
      <w:pPr>
        <w:ind w:left="1701" w:hanging="567"/>
        <w:rPr>
          <w:color w:val="000000" w:themeColor="text1"/>
        </w:rPr>
      </w:pPr>
      <w:r w:rsidRPr="00B40A77">
        <w:rPr>
          <w:color w:val="000000" w:themeColor="text1"/>
        </w:rPr>
        <w:t>Form 77A</w:t>
      </w:r>
      <w:r w:rsidRPr="00B40A77">
        <w:rPr>
          <w:color w:val="000000" w:themeColor="text1"/>
          <w:lang w:eastAsia="en-AU"/>
        </w:rPr>
        <w:t>—</w:t>
      </w:r>
      <w:r w:rsidRPr="00B40A77">
        <w:rPr>
          <w:color w:val="000000" w:themeColor="text1"/>
        </w:rPr>
        <w:t>Notice of Intention to Adduce Expert Evidence (Higher Courts)</w:t>
      </w:r>
    </w:p>
    <w:p w14:paraId="2011757F" w14:textId="037D5E71" w:rsidR="0014148C" w:rsidRPr="00B40A77" w:rsidRDefault="0014148C" w:rsidP="0014148C">
      <w:pPr>
        <w:ind w:left="1701" w:hanging="567"/>
        <w:rPr>
          <w:color w:val="000000" w:themeColor="text1"/>
        </w:rPr>
      </w:pPr>
      <w:r w:rsidRPr="00B40A77">
        <w:rPr>
          <w:color w:val="000000" w:themeColor="text1"/>
        </w:rPr>
        <w:t>Form 77B</w:t>
      </w:r>
      <w:r w:rsidRPr="00B40A77">
        <w:rPr>
          <w:color w:val="000000" w:themeColor="text1"/>
          <w:lang w:eastAsia="en-AU"/>
        </w:rPr>
        <w:t>—</w:t>
      </w:r>
      <w:r w:rsidRPr="00B40A77">
        <w:rPr>
          <w:color w:val="000000" w:themeColor="text1"/>
        </w:rPr>
        <w:t>Notice of Intention to Adduce Expert Evidence (Lower Courts)</w:t>
      </w:r>
    </w:p>
    <w:p w14:paraId="072FC876" w14:textId="32D0242C" w:rsidR="0014148C" w:rsidRPr="00B40A77" w:rsidRDefault="0014148C" w:rsidP="0014148C">
      <w:pPr>
        <w:ind w:left="1701" w:hanging="567"/>
        <w:rPr>
          <w:color w:val="000000" w:themeColor="text1"/>
        </w:rPr>
      </w:pPr>
      <w:r w:rsidRPr="00B40A77">
        <w:rPr>
          <w:color w:val="000000" w:themeColor="text1"/>
        </w:rPr>
        <w:t>Form 78A</w:t>
      </w:r>
      <w:r w:rsidRPr="00B40A77">
        <w:rPr>
          <w:color w:val="000000" w:themeColor="text1"/>
          <w:lang w:eastAsia="en-AU"/>
        </w:rPr>
        <w:t>—</w:t>
      </w:r>
      <w:r w:rsidRPr="00B40A77">
        <w:rPr>
          <w:color w:val="000000" w:themeColor="text1"/>
        </w:rPr>
        <w:t>Notice of Intention to Adduce Alibi Evidence (Higher Courts)</w:t>
      </w:r>
    </w:p>
    <w:p w14:paraId="1B73FCCA" w14:textId="14F2D61C" w:rsidR="0014148C" w:rsidRPr="00B40A77" w:rsidRDefault="0014148C" w:rsidP="0014148C">
      <w:pPr>
        <w:ind w:left="1701" w:hanging="567"/>
        <w:rPr>
          <w:color w:val="000000" w:themeColor="text1"/>
        </w:rPr>
      </w:pPr>
      <w:r w:rsidRPr="00B40A77">
        <w:rPr>
          <w:color w:val="000000" w:themeColor="text1"/>
        </w:rPr>
        <w:t>Form 78B</w:t>
      </w:r>
      <w:r w:rsidRPr="00B40A77">
        <w:rPr>
          <w:color w:val="000000" w:themeColor="text1"/>
          <w:lang w:eastAsia="en-AU"/>
        </w:rPr>
        <w:t>—</w:t>
      </w:r>
      <w:r w:rsidRPr="00B40A77">
        <w:rPr>
          <w:color w:val="000000" w:themeColor="text1"/>
        </w:rPr>
        <w:t>Notice of Intention to Adduce Alibi Evidence (Lower Courts)</w:t>
      </w:r>
    </w:p>
    <w:p w14:paraId="0F68CA12" w14:textId="18DE218D" w:rsidR="0014148C" w:rsidRPr="00B40A77" w:rsidRDefault="0014148C" w:rsidP="0014148C">
      <w:pPr>
        <w:ind w:left="1701" w:hanging="567"/>
        <w:rPr>
          <w:color w:val="000000" w:themeColor="text1"/>
        </w:rPr>
      </w:pPr>
      <w:r w:rsidRPr="00B40A77">
        <w:rPr>
          <w:color w:val="000000" w:themeColor="text1"/>
        </w:rPr>
        <w:t>Form 78C</w:t>
      </w:r>
      <w:r w:rsidRPr="00B40A77">
        <w:rPr>
          <w:color w:val="000000" w:themeColor="text1"/>
          <w:lang w:eastAsia="en-AU"/>
        </w:rPr>
        <w:t>—</w:t>
      </w:r>
      <w:r w:rsidRPr="00B40A77">
        <w:rPr>
          <w:color w:val="000000" w:themeColor="text1"/>
        </w:rPr>
        <w:t>Notice of Intention to Adduce Evidence in Rebuttal of Alibi Defence (Lower Courts)</w:t>
      </w:r>
    </w:p>
    <w:p w14:paraId="421CBF19" w14:textId="18557B1A" w:rsidR="0014148C" w:rsidRPr="00B40A77" w:rsidRDefault="0014148C" w:rsidP="0014148C">
      <w:pPr>
        <w:ind w:left="1701" w:hanging="567"/>
        <w:rPr>
          <w:color w:val="000000" w:themeColor="text1"/>
        </w:rPr>
      </w:pPr>
      <w:r w:rsidRPr="00B40A77">
        <w:rPr>
          <w:color w:val="000000" w:themeColor="text1"/>
        </w:rPr>
        <w:t>Form 79</w:t>
      </w:r>
      <w:r w:rsidRPr="00B40A77">
        <w:rPr>
          <w:color w:val="000000" w:themeColor="text1"/>
          <w:lang w:eastAsia="en-AU"/>
        </w:rPr>
        <w:t>—</w:t>
      </w:r>
      <w:r w:rsidRPr="00B40A77">
        <w:rPr>
          <w:color w:val="000000" w:themeColor="text1"/>
        </w:rPr>
        <w:t>Notice of Intention to Adduce Discreditable Conduct Evidence</w:t>
      </w:r>
    </w:p>
    <w:p w14:paraId="0A595307" w14:textId="25823C7D" w:rsidR="0014148C" w:rsidRPr="00B40A77" w:rsidRDefault="0014148C" w:rsidP="0014148C">
      <w:pPr>
        <w:ind w:left="1701" w:hanging="567"/>
        <w:rPr>
          <w:color w:val="000000" w:themeColor="text1"/>
        </w:rPr>
      </w:pPr>
      <w:r w:rsidRPr="00B40A77">
        <w:rPr>
          <w:color w:val="000000" w:themeColor="text1"/>
        </w:rPr>
        <w:t>Form 80</w:t>
      </w:r>
      <w:r w:rsidRPr="00B40A77">
        <w:rPr>
          <w:color w:val="000000" w:themeColor="text1"/>
          <w:lang w:eastAsia="en-AU"/>
        </w:rPr>
        <w:t>—</w:t>
      </w:r>
      <w:r w:rsidRPr="00B40A77">
        <w:rPr>
          <w:color w:val="000000" w:themeColor="text1"/>
        </w:rPr>
        <w:t>Notice of Objection to Discreditable Conduct Evidence</w:t>
      </w:r>
    </w:p>
    <w:p w14:paraId="7C09190D" w14:textId="2C12DACD" w:rsidR="0014148C" w:rsidRPr="00B40A77" w:rsidRDefault="0014148C" w:rsidP="0014148C">
      <w:pPr>
        <w:ind w:left="1701" w:hanging="567"/>
        <w:rPr>
          <w:color w:val="000000" w:themeColor="text1"/>
        </w:rPr>
      </w:pPr>
      <w:r w:rsidRPr="00B40A77">
        <w:rPr>
          <w:color w:val="000000" w:themeColor="text1"/>
        </w:rPr>
        <w:t>Form 81A</w:t>
      </w:r>
      <w:r w:rsidRPr="00B40A77">
        <w:rPr>
          <w:color w:val="000000" w:themeColor="text1"/>
          <w:lang w:eastAsia="en-AU"/>
        </w:rPr>
        <w:t>—</w:t>
      </w:r>
      <w:r w:rsidRPr="00B40A77">
        <w:rPr>
          <w:color w:val="000000" w:themeColor="text1"/>
        </w:rPr>
        <w:t>Notice of Intention to Adduce Evidence pursuant to Order (Higher Courts)</w:t>
      </w:r>
    </w:p>
    <w:p w14:paraId="66947E54" w14:textId="6EBBCEE7" w:rsidR="0014148C" w:rsidRPr="00B40A77" w:rsidRDefault="0014148C" w:rsidP="0014148C">
      <w:pPr>
        <w:ind w:left="1701" w:hanging="567"/>
        <w:rPr>
          <w:color w:val="000000" w:themeColor="text1"/>
        </w:rPr>
      </w:pPr>
      <w:r w:rsidRPr="00B40A77">
        <w:rPr>
          <w:color w:val="000000" w:themeColor="text1"/>
        </w:rPr>
        <w:t>Form 81B</w:t>
      </w:r>
      <w:r w:rsidRPr="00B40A77">
        <w:rPr>
          <w:color w:val="000000" w:themeColor="text1"/>
          <w:lang w:eastAsia="en-AU"/>
        </w:rPr>
        <w:t>—</w:t>
      </w:r>
      <w:r w:rsidRPr="00B40A77">
        <w:rPr>
          <w:color w:val="000000" w:themeColor="text1"/>
        </w:rPr>
        <w:t>Notice of Intention to Adduce Evidence pursuant to Order (Lower Courts)</w:t>
      </w:r>
    </w:p>
    <w:p w14:paraId="6B6386E3" w14:textId="102C2854" w:rsidR="0014148C" w:rsidRPr="00B40A77" w:rsidRDefault="0014148C" w:rsidP="0014148C">
      <w:pPr>
        <w:ind w:left="1701" w:hanging="567"/>
        <w:rPr>
          <w:color w:val="000000" w:themeColor="text1"/>
        </w:rPr>
      </w:pPr>
      <w:r w:rsidRPr="00B40A77">
        <w:rPr>
          <w:color w:val="000000" w:themeColor="text1"/>
        </w:rPr>
        <w:t>Form 82</w:t>
      </w:r>
      <w:r w:rsidRPr="00B40A77">
        <w:rPr>
          <w:color w:val="000000" w:themeColor="text1"/>
          <w:lang w:eastAsia="en-AU"/>
        </w:rPr>
        <w:t>—</w:t>
      </w:r>
      <w:r w:rsidRPr="00B40A77">
        <w:rPr>
          <w:color w:val="000000" w:themeColor="text1"/>
        </w:rPr>
        <w:t>Notice whether Defendant Consents to Dispensing with Calling Prosecution Witnesses</w:t>
      </w:r>
    </w:p>
    <w:p w14:paraId="0913D36B" w14:textId="2C13B506" w:rsidR="0014148C" w:rsidRPr="00B40A77" w:rsidRDefault="0014148C" w:rsidP="0007438D">
      <w:pPr>
        <w:ind w:left="1134" w:hanging="567"/>
        <w:rPr>
          <w:b/>
          <w:color w:val="000000" w:themeColor="text1"/>
          <w:sz w:val="26"/>
          <w:lang w:eastAsia="en-AU"/>
        </w:rPr>
      </w:pPr>
      <w:r w:rsidRPr="00B40A77">
        <w:rPr>
          <w:b/>
          <w:color w:val="000000" w:themeColor="text1"/>
          <w:sz w:val="26"/>
          <w:lang w:eastAsia="en-AU"/>
        </w:rPr>
        <w:t xml:space="preserve">7—Pretrial applications, hearings &amp; orders </w:t>
      </w:r>
    </w:p>
    <w:p w14:paraId="42C832B4" w14:textId="092F23CE" w:rsidR="00ED0A73" w:rsidRPr="00B40A77" w:rsidRDefault="00ED0A73">
      <w:pPr>
        <w:ind w:left="1701" w:hanging="567"/>
        <w:rPr>
          <w:color w:val="000000" w:themeColor="text1"/>
        </w:rPr>
      </w:pPr>
      <w:r w:rsidRPr="00B40A77">
        <w:rPr>
          <w:color w:val="000000" w:themeColor="text1"/>
        </w:rPr>
        <w:t>Form 91</w:t>
      </w:r>
      <w:r w:rsidRPr="00B40A77">
        <w:rPr>
          <w:color w:val="000000" w:themeColor="text1"/>
          <w:lang w:eastAsia="en-AU"/>
        </w:rPr>
        <w:t>—</w:t>
      </w:r>
      <w:r w:rsidRPr="00B40A77">
        <w:rPr>
          <w:color w:val="000000" w:themeColor="text1"/>
        </w:rPr>
        <w:t>Application to Registrar</w:t>
      </w:r>
    </w:p>
    <w:p w14:paraId="7BFD0EA5" w14:textId="1C7800ED" w:rsidR="0014148C" w:rsidRPr="00B40A77" w:rsidRDefault="0014148C" w:rsidP="0014148C">
      <w:pPr>
        <w:ind w:left="1701" w:hanging="567"/>
        <w:rPr>
          <w:color w:val="000000" w:themeColor="text1"/>
        </w:rPr>
      </w:pPr>
      <w:r w:rsidRPr="00B40A77">
        <w:rPr>
          <w:color w:val="000000" w:themeColor="text1"/>
        </w:rPr>
        <w:t>Form 91A</w:t>
      </w:r>
      <w:r w:rsidRPr="00B40A77">
        <w:rPr>
          <w:color w:val="000000" w:themeColor="text1"/>
          <w:lang w:eastAsia="en-AU"/>
        </w:rPr>
        <w:t>—</w:t>
      </w:r>
      <w:r w:rsidRPr="00B40A77">
        <w:rPr>
          <w:color w:val="000000" w:themeColor="text1"/>
        </w:rPr>
        <w:t>Application to Registrar for Remission or Reduction of Court Fees</w:t>
      </w:r>
    </w:p>
    <w:p w14:paraId="2CF954C3" w14:textId="1C44D0DB" w:rsidR="0014148C" w:rsidRPr="00B40A77" w:rsidRDefault="0014148C" w:rsidP="0014148C">
      <w:pPr>
        <w:ind w:left="1701" w:hanging="567"/>
        <w:rPr>
          <w:color w:val="000000" w:themeColor="text1"/>
        </w:rPr>
      </w:pPr>
      <w:r w:rsidRPr="00B40A77">
        <w:rPr>
          <w:color w:val="000000" w:themeColor="text1"/>
        </w:rPr>
        <w:t>Form 91B</w:t>
      </w:r>
      <w:r w:rsidRPr="00B40A77">
        <w:rPr>
          <w:color w:val="000000" w:themeColor="text1"/>
          <w:lang w:eastAsia="en-AU"/>
        </w:rPr>
        <w:t>—</w:t>
      </w:r>
      <w:r w:rsidRPr="00B40A77">
        <w:rPr>
          <w:color w:val="000000" w:themeColor="text1"/>
        </w:rPr>
        <w:t xml:space="preserve">Application to Registrar </w:t>
      </w:r>
      <w:r w:rsidR="004570FA" w:rsidRPr="00B40A77">
        <w:rPr>
          <w:color w:val="000000" w:themeColor="text1"/>
        </w:rPr>
        <w:t xml:space="preserve">– </w:t>
      </w:r>
      <w:r w:rsidRPr="00B40A77">
        <w:rPr>
          <w:color w:val="000000" w:themeColor="text1"/>
        </w:rPr>
        <w:t>Request Hearing of Subpoena Set Aside Application</w:t>
      </w:r>
    </w:p>
    <w:p w14:paraId="471EC02B" w14:textId="0836C29D" w:rsidR="0014148C" w:rsidRPr="00B40A77" w:rsidRDefault="0014148C" w:rsidP="0014148C">
      <w:pPr>
        <w:ind w:left="1701" w:hanging="567"/>
        <w:rPr>
          <w:color w:val="000000" w:themeColor="text1"/>
        </w:rPr>
      </w:pPr>
      <w:r w:rsidRPr="00B40A77">
        <w:rPr>
          <w:color w:val="000000" w:themeColor="text1"/>
        </w:rPr>
        <w:t>Form 91C</w:t>
      </w:r>
      <w:r w:rsidRPr="00B40A77">
        <w:rPr>
          <w:color w:val="000000" w:themeColor="text1"/>
          <w:lang w:eastAsia="en-AU"/>
        </w:rPr>
        <w:t>—</w:t>
      </w:r>
      <w:r w:rsidRPr="00B40A77">
        <w:rPr>
          <w:color w:val="000000" w:themeColor="text1"/>
        </w:rPr>
        <w:t xml:space="preserve">Application to Registrar </w:t>
      </w:r>
      <w:r w:rsidR="004570FA" w:rsidRPr="00B40A77">
        <w:rPr>
          <w:color w:val="000000" w:themeColor="text1"/>
        </w:rPr>
        <w:t xml:space="preserve">– </w:t>
      </w:r>
      <w:r w:rsidRPr="00B40A77">
        <w:rPr>
          <w:color w:val="000000" w:themeColor="text1"/>
        </w:rPr>
        <w:t>Request for Remote Appearance</w:t>
      </w:r>
    </w:p>
    <w:p w14:paraId="37D4A933" w14:textId="7AA319AB" w:rsidR="00ED0A73" w:rsidRPr="00B40A77" w:rsidRDefault="00ED0A73">
      <w:pPr>
        <w:ind w:left="1701" w:hanging="567"/>
        <w:rPr>
          <w:color w:val="000000" w:themeColor="text1"/>
        </w:rPr>
      </w:pPr>
      <w:r w:rsidRPr="00B40A77">
        <w:rPr>
          <w:color w:val="000000" w:themeColor="text1"/>
        </w:rPr>
        <w:t>Form 92</w:t>
      </w:r>
      <w:r w:rsidRPr="00B40A77">
        <w:rPr>
          <w:color w:val="000000" w:themeColor="text1"/>
          <w:lang w:eastAsia="en-AU"/>
        </w:rPr>
        <w:t>—</w:t>
      </w:r>
      <w:r w:rsidRPr="00B40A77">
        <w:rPr>
          <w:color w:val="000000" w:themeColor="text1"/>
        </w:rPr>
        <w:t>Interlocutory Application</w:t>
      </w:r>
    </w:p>
    <w:p w14:paraId="59942055" w14:textId="6EDD92D5" w:rsidR="0014148C" w:rsidRPr="00B40A77" w:rsidRDefault="0014148C" w:rsidP="0014148C">
      <w:pPr>
        <w:ind w:left="1701" w:hanging="567"/>
        <w:rPr>
          <w:color w:val="000000" w:themeColor="text1"/>
        </w:rPr>
      </w:pPr>
      <w:r w:rsidRPr="00B40A77">
        <w:rPr>
          <w:color w:val="000000" w:themeColor="text1"/>
        </w:rPr>
        <w:t>Form 92A</w:t>
      </w:r>
      <w:r w:rsidRPr="00B40A77">
        <w:rPr>
          <w:color w:val="000000" w:themeColor="text1"/>
          <w:lang w:eastAsia="en-AU"/>
        </w:rPr>
        <w:t>—</w:t>
      </w:r>
      <w:r w:rsidRPr="00B40A77">
        <w:rPr>
          <w:color w:val="000000" w:themeColor="text1"/>
        </w:rPr>
        <w:t>Interlocutory Application for Admission of Audiovisual Record</w:t>
      </w:r>
    </w:p>
    <w:p w14:paraId="68463B92" w14:textId="38B43DC9" w:rsidR="00FF5C68" w:rsidRPr="00B40A77" w:rsidRDefault="0014148C" w:rsidP="00FF5C68">
      <w:pPr>
        <w:ind w:left="1701" w:hanging="567"/>
        <w:rPr>
          <w:color w:val="000000" w:themeColor="text1"/>
        </w:rPr>
      </w:pPr>
      <w:r w:rsidRPr="00B40A77">
        <w:rPr>
          <w:color w:val="000000" w:themeColor="text1"/>
        </w:rPr>
        <w:t>Form 92B</w:t>
      </w:r>
      <w:r w:rsidRPr="00B40A77">
        <w:rPr>
          <w:color w:val="000000" w:themeColor="text1"/>
          <w:lang w:eastAsia="en-AU"/>
        </w:rPr>
        <w:t>—</w:t>
      </w:r>
      <w:r w:rsidRPr="00B40A77">
        <w:rPr>
          <w:color w:val="000000" w:themeColor="text1"/>
        </w:rPr>
        <w:t>Interlocutory Application for Pre-trial Special Hearing</w:t>
      </w:r>
    </w:p>
    <w:p w14:paraId="1E972004" w14:textId="0000A16F" w:rsidR="0014148C" w:rsidRPr="00B40A77" w:rsidRDefault="0014148C" w:rsidP="0014148C">
      <w:pPr>
        <w:ind w:left="1701" w:hanging="567"/>
        <w:rPr>
          <w:color w:val="000000" w:themeColor="text1"/>
        </w:rPr>
      </w:pPr>
      <w:r w:rsidRPr="00B40A77">
        <w:rPr>
          <w:color w:val="000000" w:themeColor="text1"/>
        </w:rPr>
        <w:t>Form 92C</w:t>
      </w:r>
      <w:r w:rsidRPr="00B40A77">
        <w:rPr>
          <w:color w:val="000000" w:themeColor="text1"/>
          <w:lang w:eastAsia="en-AU"/>
        </w:rPr>
        <w:t>—</w:t>
      </w:r>
      <w:r w:rsidRPr="00B40A77">
        <w:rPr>
          <w:color w:val="000000" w:themeColor="text1"/>
        </w:rPr>
        <w:t>Interlocutory Application for Special Arrangements</w:t>
      </w:r>
    </w:p>
    <w:p w14:paraId="26B3F0D4" w14:textId="0C3C9BEC" w:rsidR="0014148C" w:rsidRPr="00B40A77" w:rsidRDefault="0014148C" w:rsidP="0014148C">
      <w:pPr>
        <w:ind w:left="1701" w:hanging="567"/>
        <w:rPr>
          <w:color w:val="000000" w:themeColor="text1"/>
        </w:rPr>
      </w:pPr>
      <w:r w:rsidRPr="00B40A77">
        <w:rPr>
          <w:color w:val="000000" w:themeColor="text1"/>
        </w:rPr>
        <w:t>Form 92D</w:t>
      </w:r>
      <w:r w:rsidRPr="00B40A77">
        <w:rPr>
          <w:color w:val="000000" w:themeColor="text1"/>
          <w:lang w:eastAsia="en-AU"/>
        </w:rPr>
        <w:t>—</w:t>
      </w:r>
      <w:r w:rsidRPr="00B40A77">
        <w:rPr>
          <w:color w:val="000000" w:themeColor="text1"/>
        </w:rPr>
        <w:t>Interlocutory Application for Hearing by Audio or Audiovisual Link</w:t>
      </w:r>
    </w:p>
    <w:p w14:paraId="60E4CC0E" w14:textId="1C88432D" w:rsidR="0014148C" w:rsidRPr="00B40A77" w:rsidRDefault="0014148C" w:rsidP="0014148C">
      <w:pPr>
        <w:ind w:left="1701" w:hanging="567"/>
        <w:rPr>
          <w:color w:val="000000" w:themeColor="text1"/>
        </w:rPr>
      </w:pPr>
      <w:r w:rsidRPr="00B40A77">
        <w:rPr>
          <w:color w:val="000000" w:themeColor="text1"/>
        </w:rPr>
        <w:lastRenderedPageBreak/>
        <w:t>Form 92E</w:t>
      </w:r>
      <w:r w:rsidRPr="00B40A77">
        <w:rPr>
          <w:color w:val="000000" w:themeColor="text1"/>
          <w:lang w:eastAsia="en-AU"/>
        </w:rPr>
        <w:t>—</w:t>
      </w:r>
      <w:r w:rsidRPr="00B40A77">
        <w:rPr>
          <w:color w:val="000000" w:themeColor="text1"/>
        </w:rPr>
        <w:t>Interlocutory Application for Disclosure of Operative's Identity</w:t>
      </w:r>
    </w:p>
    <w:p w14:paraId="0076AC7B" w14:textId="5C9D3EB6" w:rsidR="0014148C" w:rsidRPr="00B40A77" w:rsidRDefault="0014148C" w:rsidP="0014148C">
      <w:pPr>
        <w:ind w:left="1701" w:hanging="567"/>
        <w:rPr>
          <w:color w:val="000000" w:themeColor="text1"/>
        </w:rPr>
      </w:pPr>
      <w:r w:rsidRPr="00B40A77">
        <w:rPr>
          <w:color w:val="000000" w:themeColor="text1"/>
        </w:rPr>
        <w:t>Form 93</w:t>
      </w:r>
      <w:r w:rsidRPr="00B40A77">
        <w:rPr>
          <w:color w:val="000000" w:themeColor="text1"/>
          <w:lang w:eastAsia="en-AU"/>
        </w:rPr>
        <w:t>—</w:t>
      </w:r>
      <w:r w:rsidRPr="00B40A77">
        <w:rPr>
          <w:color w:val="000000" w:themeColor="text1"/>
        </w:rPr>
        <w:t>Affidavi</w:t>
      </w:r>
      <w:r w:rsidR="00372DC5" w:rsidRPr="00B40A77">
        <w:rPr>
          <w:color w:val="000000" w:themeColor="text1"/>
        </w:rPr>
        <w:t>t</w:t>
      </w:r>
    </w:p>
    <w:p w14:paraId="60FF2EEE" w14:textId="4C2E8382" w:rsidR="0014148C" w:rsidRPr="00B40A77" w:rsidRDefault="0014148C" w:rsidP="0014148C">
      <w:pPr>
        <w:ind w:left="1701" w:hanging="567"/>
        <w:rPr>
          <w:color w:val="000000" w:themeColor="text1"/>
        </w:rPr>
      </w:pPr>
      <w:r w:rsidRPr="00B40A77">
        <w:rPr>
          <w:color w:val="000000" w:themeColor="text1"/>
        </w:rPr>
        <w:t>Form 94</w:t>
      </w:r>
      <w:r w:rsidRPr="00B40A77">
        <w:rPr>
          <w:color w:val="000000" w:themeColor="text1"/>
          <w:lang w:eastAsia="en-AU"/>
        </w:rPr>
        <w:t>—</w:t>
      </w:r>
      <w:r w:rsidRPr="00B40A77">
        <w:rPr>
          <w:color w:val="000000" w:themeColor="text1"/>
        </w:rPr>
        <w:t>Exhibit Front Sheet</w:t>
      </w:r>
    </w:p>
    <w:p w14:paraId="38B84F0E" w14:textId="0859FA39" w:rsidR="0014148C" w:rsidRPr="00B40A77" w:rsidRDefault="0014148C" w:rsidP="0014148C">
      <w:pPr>
        <w:ind w:left="1701" w:hanging="567"/>
        <w:rPr>
          <w:color w:val="000000" w:themeColor="text1"/>
        </w:rPr>
      </w:pPr>
      <w:r w:rsidRPr="00B40A77">
        <w:rPr>
          <w:color w:val="000000" w:themeColor="text1"/>
        </w:rPr>
        <w:t>Form 95</w:t>
      </w:r>
      <w:r w:rsidRPr="00B40A77">
        <w:rPr>
          <w:color w:val="000000" w:themeColor="text1"/>
          <w:lang w:eastAsia="en-AU"/>
        </w:rPr>
        <w:t>—</w:t>
      </w:r>
      <w:r w:rsidRPr="00B40A77">
        <w:rPr>
          <w:color w:val="000000" w:themeColor="text1"/>
        </w:rPr>
        <w:t>Notice of Objection</w:t>
      </w:r>
    </w:p>
    <w:p w14:paraId="3428C00C" w14:textId="0BBB42CF" w:rsidR="0014148C" w:rsidRPr="00B40A77" w:rsidRDefault="0014148C" w:rsidP="0014148C">
      <w:pPr>
        <w:ind w:left="1701" w:hanging="567"/>
        <w:rPr>
          <w:color w:val="000000" w:themeColor="text1"/>
        </w:rPr>
      </w:pPr>
      <w:r w:rsidRPr="00B40A77">
        <w:rPr>
          <w:color w:val="000000" w:themeColor="text1"/>
        </w:rPr>
        <w:t>Form 96</w:t>
      </w:r>
      <w:r w:rsidRPr="00B40A77">
        <w:rPr>
          <w:color w:val="000000" w:themeColor="text1"/>
          <w:lang w:eastAsia="en-AU"/>
        </w:rPr>
        <w:t>—</w:t>
      </w:r>
      <w:r w:rsidRPr="00B40A77">
        <w:rPr>
          <w:color w:val="000000" w:themeColor="text1"/>
        </w:rPr>
        <w:t>Consent to Order</w:t>
      </w:r>
    </w:p>
    <w:p w14:paraId="6259EBC5" w14:textId="04A07043" w:rsidR="0014148C" w:rsidRPr="00B40A77" w:rsidRDefault="0014148C" w:rsidP="0014148C">
      <w:pPr>
        <w:ind w:left="1701" w:hanging="567"/>
        <w:rPr>
          <w:color w:val="000000" w:themeColor="text1"/>
        </w:rPr>
      </w:pPr>
      <w:r w:rsidRPr="00B40A77">
        <w:rPr>
          <w:color w:val="000000" w:themeColor="text1"/>
        </w:rPr>
        <w:t>Form 97</w:t>
      </w:r>
      <w:r w:rsidRPr="00B40A77">
        <w:rPr>
          <w:color w:val="000000" w:themeColor="text1"/>
          <w:lang w:eastAsia="en-AU"/>
        </w:rPr>
        <w:t>—</w:t>
      </w:r>
      <w:r w:rsidRPr="00B40A77">
        <w:rPr>
          <w:color w:val="000000" w:themeColor="text1"/>
        </w:rPr>
        <w:t>Notice from Court</w:t>
      </w:r>
    </w:p>
    <w:p w14:paraId="2EB6DF60" w14:textId="711690A8" w:rsidR="0014148C" w:rsidRPr="00B40A77" w:rsidRDefault="0014148C" w:rsidP="0014148C">
      <w:pPr>
        <w:ind w:left="1701" w:hanging="567"/>
        <w:rPr>
          <w:color w:val="000000" w:themeColor="text1"/>
        </w:rPr>
      </w:pPr>
      <w:r w:rsidRPr="00B40A77">
        <w:rPr>
          <w:color w:val="000000" w:themeColor="text1"/>
        </w:rPr>
        <w:t>Form 98</w:t>
      </w:r>
      <w:r w:rsidRPr="00B40A77">
        <w:rPr>
          <w:color w:val="000000" w:themeColor="text1"/>
          <w:lang w:eastAsia="en-AU"/>
        </w:rPr>
        <w:t>—</w:t>
      </w:r>
      <w:r w:rsidRPr="00B40A77">
        <w:rPr>
          <w:color w:val="000000" w:themeColor="text1"/>
        </w:rPr>
        <w:t>Notice of Hearing</w:t>
      </w:r>
    </w:p>
    <w:p w14:paraId="38A4348D" w14:textId="7F1E1D80" w:rsidR="0014148C" w:rsidRPr="00B40A77" w:rsidRDefault="0014148C" w:rsidP="0014148C">
      <w:pPr>
        <w:ind w:left="1701" w:hanging="567"/>
        <w:rPr>
          <w:color w:val="000000" w:themeColor="text1"/>
        </w:rPr>
      </w:pPr>
      <w:r w:rsidRPr="00B40A77">
        <w:rPr>
          <w:color w:val="000000" w:themeColor="text1"/>
        </w:rPr>
        <w:t>Form 99</w:t>
      </w:r>
      <w:r w:rsidRPr="00B40A77">
        <w:rPr>
          <w:color w:val="000000" w:themeColor="text1"/>
          <w:lang w:eastAsia="en-AU"/>
        </w:rPr>
        <w:t>—</w:t>
      </w:r>
      <w:r w:rsidRPr="00B40A77">
        <w:rPr>
          <w:color w:val="000000" w:themeColor="text1"/>
        </w:rPr>
        <w:t xml:space="preserve">Record of Outcome </w:t>
      </w:r>
      <w:r w:rsidR="004570FA" w:rsidRPr="00B40A77">
        <w:rPr>
          <w:color w:val="000000" w:themeColor="text1"/>
        </w:rPr>
        <w:t xml:space="preserve">– </w:t>
      </w:r>
      <w:r w:rsidRPr="00B40A77">
        <w:rPr>
          <w:color w:val="000000" w:themeColor="text1"/>
        </w:rPr>
        <w:t>Order</w:t>
      </w:r>
    </w:p>
    <w:p w14:paraId="1B05F4F9" w14:textId="7EFF9C40" w:rsidR="0014148C" w:rsidRPr="00B40A77" w:rsidRDefault="0014148C" w:rsidP="0014148C">
      <w:pPr>
        <w:ind w:left="1701" w:hanging="567"/>
        <w:rPr>
          <w:color w:val="000000" w:themeColor="text1"/>
        </w:rPr>
      </w:pPr>
      <w:r w:rsidRPr="00B40A77">
        <w:rPr>
          <w:color w:val="000000" w:themeColor="text1"/>
        </w:rPr>
        <w:t>Form 100</w:t>
      </w:r>
      <w:r w:rsidRPr="00B40A77">
        <w:rPr>
          <w:color w:val="000000" w:themeColor="text1"/>
          <w:lang w:eastAsia="en-AU"/>
        </w:rPr>
        <w:t>—</w:t>
      </w:r>
      <w:r w:rsidRPr="00B40A77">
        <w:rPr>
          <w:color w:val="000000" w:themeColor="text1"/>
        </w:rPr>
        <w:t>Order</w:t>
      </w:r>
    </w:p>
    <w:p w14:paraId="4E93A635" w14:textId="267EFC1C" w:rsidR="0014148C" w:rsidRPr="00B40A77" w:rsidRDefault="0014148C" w:rsidP="0014148C">
      <w:pPr>
        <w:ind w:left="1701" w:hanging="567"/>
        <w:rPr>
          <w:color w:val="000000" w:themeColor="text1"/>
        </w:rPr>
      </w:pPr>
      <w:r w:rsidRPr="00B40A77">
        <w:rPr>
          <w:color w:val="000000" w:themeColor="text1"/>
        </w:rPr>
        <w:t>Form 100A</w:t>
      </w:r>
      <w:r w:rsidRPr="00B40A77">
        <w:rPr>
          <w:color w:val="000000" w:themeColor="text1"/>
          <w:lang w:eastAsia="en-AU"/>
        </w:rPr>
        <w:t>—</w:t>
      </w:r>
      <w:r w:rsidRPr="00B40A77">
        <w:rPr>
          <w:color w:val="000000" w:themeColor="text1"/>
        </w:rPr>
        <w:t xml:space="preserve">Order </w:t>
      </w:r>
      <w:r w:rsidR="004570FA" w:rsidRPr="00B40A77">
        <w:rPr>
          <w:color w:val="000000" w:themeColor="text1"/>
        </w:rPr>
        <w:t xml:space="preserve">– </w:t>
      </w:r>
      <w:r w:rsidRPr="00B40A77">
        <w:rPr>
          <w:color w:val="000000" w:themeColor="text1"/>
        </w:rPr>
        <w:t>Firearms Order and Acknowledgement</w:t>
      </w:r>
    </w:p>
    <w:p w14:paraId="115C3079" w14:textId="39D6BDE6" w:rsidR="0014148C" w:rsidRPr="00B40A77" w:rsidRDefault="0014148C" w:rsidP="0014148C">
      <w:pPr>
        <w:ind w:left="1701" w:hanging="567"/>
        <w:rPr>
          <w:color w:val="000000" w:themeColor="text1"/>
        </w:rPr>
      </w:pPr>
      <w:r w:rsidRPr="00B40A77">
        <w:rPr>
          <w:color w:val="000000" w:themeColor="text1"/>
        </w:rPr>
        <w:t>Form 101</w:t>
      </w:r>
      <w:r w:rsidRPr="00B40A77">
        <w:rPr>
          <w:color w:val="000000" w:themeColor="text1"/>
          <w:lang w:eastAsia="en-AU"/>
        </w:rPr>
        <w:t>—</w:t>
      </w:r>
      <w:r w:rsidRPr="00B40A77">
        <w:rPr>
          <w:color w:val="000000" w:themeColor="text1"/>
        </w:rPr>
        <w:t>Summary of Argument</w:t>
      </w:r>
    </w:p>
    <w:p w14:paraId="18BC570B" w14:textId="55833741" w:rsidR="0014148C" w:rsidRPr="00B40A77" w:rsidRDefault="0014148C" w:rsidP="0014148C">
      <w:pPr>
        <w:ind w:left="1701" w:hanging="567"/>
        <w:rPr>
          <w:color w:val="000000" w:themeColor="text1"/>
        </w:rPr>
      </w:pPr>
      <w:r w:rsidRPr="00B40A77">
        <w:rPr>
          <w:color w:val="000000" w:themeColor="text1"/>
        </w:rPr>
        <w:t>Form 102</w:t>
      </w:r>
      <w:r w:rsidRPr="00B40A77">
        <w:rPr>
          <w:color w:val="000000" w:themeColor="text1"/>
          <w:lang w:eastAsia="en-AU"/>
        </w:rPr>
        <w:t>—</w:t>
      </w:r>
      <w:r w:rsidRPr="00B40A77">
        <w:rPr>
          <w:color w:val="000000" w:themeColor="text1"/>
        </w:rPr>
        <w:t>Written Submissions</w:t>
      </w:r>
    </w:p>
    <w:p w14:paraId="0C64069C" w14:textId="2A931B47" w:rsidR="0014148C" w:rsidRPr="00B40A77" w:rsidRDefault="0014148C" w:rsidP="0014148C">
      <w:pPr>
        <w:ind w:left="1701" w:hanging="567"/>
        <w:rPr>
          <w:color w:val="000000" w:themeColor="text1"/>
        </w:rPr>
      </w:pPr>
      <w:r w:rsidRPr="00B40A77">
        <w:rPr>
          <w:color w:val="000000" w:themeColor="text1"/>
        </w:rPr>
        <w:t>Form 103</w:t>
      </w:r>
      <w:r w:rsidRPr="00B40A77">
        <w:rPr>
          <w:color w:val="000000" w:themeColor="text1"/>
          <w:lang w:eastAsia="en-AU"/>
        </w:rPr>
        <w:t>—</w:t>
      </w:r>
      <w:r w:rsidRPr="00B40A77">
        <w:rPr>
          <w:color w:val="000000" w:themeColor="text1"/>
        </w:rPr>
        <w:t>List of Authorities</w:t>
      </w:r>
    </w:p>
    <w:p w14:paraId="745E3854" w14:textId="457C57CE" w:rsidR="0014148C" w:rsidRPr="00B40A77" w:rsidRDefault="0014148C" w:rsidP="0014148C">
      <w:pPr>
        <w:ind w:left="1701" w:hanging="567"/>
        <w:rPr>
          <w:color w:val="000000" w:themeColor="text1"/>
        </w:rPr>
      </w:pPr>
      <w:r w:rsidRPr="00B40A77">
        <w:rPr>
          <w:color w:val="000000" w:themeColor="text1"/>
        </w:rPr>
        <w:t>Form 104</w:t>
      </w:r>
      <w:r w:rsidRPr="00B40A77">
        <w:rPr>
          <w:color w:val="000000" w:themeColor="text1"/>
          <w:lang w:eastAsia="en-AU"/>
        </w:rPr>
        <w:t>—</w:t>
      </w:r>
      <w:r w:rsidRPr="00B40A77">
        <w:rPr>
          <w:color w:val="000000" w:themeColor="text1"/>
        </w:rPr>
        <w:t>Protected Person Details for Intervention Order</w:t>
      </w:r>
    </w:p>
    <w:p w14:paraId="4E4156AC" w14:textId="2D5CC9DA" w:rsidR="004570FA" w:rsidRPr="00B40A77" w:rsidRDefault="004570FA" w:rsidP="0007438D">
      <w:pPr>
        <w:ind w:left="1134" w:hanging="567"/>
        <w:rPr>
          <w:b/>
          <w:color w:val="000000" w:themeColor="text1"/>
          <w:sz w:val="26"/>
          <w:lang w:eastAsia="en-AU"/>
        </w:rPr>
      </w:pPr>
      <w:r w:rsidRPr="00B40A77">
        <w:rPr>
          <w:b/>
          <w:color w:val="000000" w:themeColor="text1"/>
          <w:sz w:val="26"/>
          <w:lang w:eastAsia="en-AU"/>
        </w:rPr>
        <w:t xml:space="preserve">8—Procuring evidence </w:t>
      </w:r>
    </w:p>
    <w:p w14:paraId="26DFD4AD" w14:textId="7BB97597" w:rsidR="004570FA" w:rsidRPr="00B40A77" w:rsidRDefault="004570FA" w:rsidP="004570FA">
      <w:pPr>
        <w:ind w:left="1701" w:hanging="567"/>
        <w:rPr>
          <w:color w:val="000000" w:themeColor="text1"/>
        </w:rPr>
      </w:pPr>
      <w:r w:rsidRPr="00B40A77">
        <w:rPr>
          <w:color w:val="000000" w:themeColor="text1"/>
        </w:rPr>
        <w:t>Form 111A</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Attend to Give Evidence (Supreme and District Courts)</w:t>
      </w:r>
    </w:p>
    <w:p w14:paraId="73EEBC86" w14:textId="14E11194" w:rsidR="004570FA" w:rsidRPr="00B40A77" w:rsidRDefault="004570FA" w:rsidP="004570FA">
      <w:pPr>
        <w:ind w:left="1701" w:hanging="567"/>
        <w:rPr>
          <w:color w:val="000000" w:themeColor="text1"/>
        </w:rPr>
      </w:pPr>
      <w:r w:rsidRPr="00B40A77">
        <w:rPr>
          <w:color w:val="000000" w:themeColor="text1"/>
        </w:rPr>
        <w:t>Form 111B</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Produce Documents (Supreme and District Courts)</w:t>
      </w:r>
    </w:p>
    <w:p w14:paraId="28C34C0E" w14:textId="196C07A6" w:rsidR="004570FA" w:rsidRPr="00B40A77" w:rsidRDefault="004570FA" w:rsidP="004570FA">
      <w:pPr>
        <w:ind w:left="1701" w:hanging="567"/>
        <w:rPr>
          <w:color w:val="000000" w:themeColor="text1"/>
        </w:rPr>
      </w:pPr>
      <w:r w:rsidRPr="00B40A77">
        <w:rPr>
          <w:color w:val="000000" w:themeColor="text1"/>
        </w:rPr>
        <w:t>Form 111C</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Attend and to Produce Documents (Supreme and District Courts)</w:t>
      </w:r>
    </w:p>
    <w:p w14:paraId="674973CD" w14:textId="606E3D93" w:rsidR="004570FA" w:rsidRPr="00B40A77" w:rsidRDefault="004570FA" w:rsidP="004570FA">
      <w:pPr>
        <w:ind w:left="1701" w:hanging="567"/>
        <w:rPr>
          <w:color w:val="000000" w:themeColor="text1"/>
        </w:rPr>
      </w:pPr>
      <w:r w:rsidRPr="00B40A77">
        <w:rPr>
          <w:color w:val="000000" w:themeColor="text1"/>
        </w:rPr>
        <w:t>Form 112A</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Attend to Give Evidence (Magistrates, Youth and ERD Courts)</w:t>
      </w:r>
    </w:p>
    <w:p w14:paraId="07EC5A97" w14:textId="25DF3224" w:rsidR="004570FA" w:rsidRPr="00B40A77" w:rsidRDefault="004570FA" w:rsidP="004570FA">
      <w:pPr>
        <w:ind w:left="1701" w:hanging="567"/>
        <w:rPr>
          <w:color w:val="000000" w:themeColor="text1"/>
        </w:rPr>
      </w:pPr>
      <w:r w:rsidRPr="00B40A77">
        <w:rPr>
          <w:color w:val="000000" w:themeColor="text1"/>
        </w:rPr>
        <w:t>Form 112B</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Produce Documents (Magistrates, Youth and ERD Courts)</w:t>
      </w:r>
    </w:p>
    <w:p w14:paraId="115C018A" w14:textId="7E9355F5" w:rsidR="004570FA" w:rsidRPr="00B40A77" w:rsidRDefault="004570FA" w:rsidP="004570FA">
      <w:pPr>
        <w:ind w:left="1701" w:hanging="567"/>
        <w:rPr>
          <w:color w:val="000000" w:themeColor="text1"/>
        </w:rPr>
      </w:pPr>
      <w:r w:rsidRPr="00B40A77">
        <w:rPr>
          <w:color w:val="000000" w:themeColor="text1"/>
        </w:rPr>
        <w:t>Form 112C</w:t>
      </w:r>
      <w:r w:rsidRPr="00B40A77">
        <w:rPr>
          <w:color w:val="000000" w:themeColor="text1"/>
          <w:lang w:eastAsia="en-AU"/>
        </w:rPr>
        <w:t>—</w:t>
      </w:r>
      <w:r w:rsidR="001D4A6C" w:rsidRPr="00B40A77">
        <w:rPr>
          <w:color w:val="000000" w:themeColor="text1"/>
        </w:rPr>
        <w:t>Subpoena</w:t>
      </w:r>
      <w:r w:rsidRPr="00B40A77">
        <w:rPr>
          <w:color w:val="000000" w:themeColor="text1"/>
        </w:rPr>
        <w:t xml:space="preserve"> to Attend and to Produce Documents (Magistrates, Youth and ERD Courts)</w:t>
      </w:r>
    </w:p>
    <w:p w14:paraId="11B3C4D5" w14:textId="755591C2" w:rsidR="004570FA" w:rsidRPr="00B40A77" w:rsidRDefault="004570FA" w:rsidP="004570FA">
      <w:pPr>
        <w:ind w:left="1701" w:hanging="567"/>
        <w:rPr>
          <w:color w:val="000000" w:themeColor="text1"/>
        </w:rPr>
      </w:pPr>
      <w:r w:rsidRPr="00B40A77">
        <w:rPr>
          <w:color w:val="000000" w:themeColor="text1"/>
        </w:rPr>
        <w:t>Form 113A</w:t>
      </w:r>
      <w:r w:rsidRPr="00B40A77">
        <w:rPr>
          <w:color w:val="000000" w:themeColor="text1"/>
          <w:lang w:eastAsia="en-AU"/>
        </w:rPr>
        <w:t>—</w:t>
      </w:r>
      <w:r w:rsidRPr="00B40A77">
        <w:rPr>
          <w:color w:val="000000" w:themeColor="text1"/>
        </w:rPr>
        <w:t xml:space="preserve">Notice to Accompany </w:t>
      </w:r>
      <w:r w:rsidR="001D4A6C" w:rsidRPr="00B40A77">
        <w:rPr>
          <w:color w:val="000000" w:themeColor="text1"/>
        </w:rPr>
        <w:t xml:space="preserve">Subpoena </w:t>
      </w:r>
      <w:r w:rsidRPr="00B40A77">
        <w:rPr>
          <w:color w:val="000000" w:themeColor="text1"/>
        </w:rPr>
        <w:t>Served Interstate</w:t>
      </w:r>
    </w:p>
    <w:p w14:paraId="3892CD9C" w14:textId="6EC5C61F" w:rsidR="004570FA" w:rsidRPr="00B40A77" w:rsidRDefault="004570FA" w:rsidP="004570FA">
      <w:pPr>
        <w:ind w:left="1701" w:hanging="567"/>
        <w:rPr>
          <w:color w:val="000000" w:themeColor="text1"/>
        </w:rPr>
      </w:pPr>
      <w:r w:rsidRPr="00B40A77">
        <w:rPr>
          <w:color w:val="000000" w:themeColor="text1"/>
        </w:rPr>
        <w:t>Form 113B</w:t>
      </w:r>
      <w:r w:rsidRPr="00B40A77">
        <w:rPr>
          <w:color w:val="000000" w:themeColor="text1"/>
          <w:lang w:eastAsia="en-AU"/>
        </w:rPr>
        <w:t>—</w:t>
      </w:r>
      <w:r w:rsidRPr="00B40A77">
        <w:rPr>
          <w:color w:val="000000" w:themeColor="text1"/>
        </w:rPr>
        <w:t xml:space="preserve">Notice to Accompany </w:t>
      </w:r>
      <w:r w:rsidR="001D4A6C" w:rsidRPr="00B40A77">
        <w:rPr>
          <w:color w:val="000000" w:themeColor="text1"/>
        </w:rPr>
        <w:t>Subpoena</w:t>
      </w:r>
      <w:r w:rsidRPr="00B40A77">
        <w:rPr>
          <w:color w:val="000000" w:themeColor="text1"/>
        </w:rPr>
        <w:t xml:space="preserve"> Served on Interstate Prisoner</w:t>
      </w:r>
    </w:p>
    <w:p w14:paraId="72E6B648" w14:textId="344E7CD6" w:rsidR="004570FA" w:rsidRPr="00B40A77" w:rsidRDefault="004570FA" w:rsidP="004570FA">
      <w:pPr>
        <w:ind w:left="1701" w:hanging="567"/>
        <w:rPr>
          <w:color w:val="000000" w:themeColor="text1"/>
        </w:rPr>
      </w:pPr>
      <w:r w:rsidRPr="00B40A77">
        <w:rPr>
          <w:color w:val="000000" w:themeColor="text1"/>
        </w:rPr>
        <w:t>Form 113C</w:t>
      </w:r>
      <w:r w:rsidRPr="00B40A77">
        <w:rPr>
          <w:color w:val="000000" w:themeColor="text1"/>
          <w:lang w:eastAsia="en-AU"/>
        </w:rPr>
        <w:t>—</w:t>
      </w:r>
      <w:r w:rsidRPr="00B40A77">
        <w:rPr>
          <w:color w:val="000000" w:themeColor="text1"/>
        </w:rPr>
        <w:t xml:space="preserve">Notice to Accompany </w:t>
      </w:r>
      <w:r w:rsidR="001D4A6C" w:rsidRPr="00B40A77">
        <w:rPr>
          <w:color w:val="000000" w:themeColor="text1"/>
        </w:rPr>
        <w:t>Subpoena</w:t>
      </w:r>
      <w:r w:rsidRPr="00B40A77">
        <w:rPr>
          <w:color w:val="000000" w:themeColor="text1"/>
        </w:rPr>
        <w:t xml:space="preserve"> Served in New Zealand</w:t>
      </w:r>
    </w:p>
    <w:p w14:paraId="17EBD57B" w14:textId="335B0A7E" w:rsidR="004570FA" w:rsidRPr="00B40A77" w:rsidRDefault="004570FA" w:rsidP="004570FA">
      <w:pPr>
        <w:ind w:left="1701" w:hanging="567"/>
        <w:rPr>
          <w:color w:val="000000" w:themeColor="text1"/>
        </w:rPr>
      </w:pPr>
      <w:r w:rsidRPr="00B40A77">
        <w:rPr>
          <w:color w:val="000000" w:themeColor="text1"/>
        </w:rPr>
        <w:t>Form 114</w:t>
      </w:r>
      <w:r w:rsidRPr="00B40A77">
        <w:rPr>
          <w:color w:val="000000" w:themeColor="text1"/>
          <w:lang w:eastAsia="en-AU"/>
        </w:rPr>
        <w:t>—</w:t>
      </w:r>
      <w:r w:rsidRPr="00B40A77">
        <w:rPr>
          <w:color w:val="000000" w:themeColor="text1"/>
        </w:rPr>
        <w:t>Letter of Request</w:t>
      </w:r>
    </w:p>
    <w:p w14:paraId="4D6983C2" w14:textId="46AE5C43" w:rsidR="004570FA" w:rsidRPr="00B40A77" w:rsidRDefault="004570FA" w:rsidP="004570FA">
      <w:pPr>
        <w:ind w:left="1701" w:hanging="567"/>
        <w:rPr>
          <w:color w:val="000000" w:themeColor="text1"/>
        </w:rPr>
      </w:pPr>
      <w:r w:rsidRPr="00B40A77">
        <w:rPr>
          <w:color w:val="000000" w:themeColor="text1"/>
        </w:rPr>
        <w:t>Form 115</w:t>
      </w:r>
      <w:r w:rsidRPr="00B40A77">
        <w:rPr>
          <w:color w:val="000000" w:themeColor="text1"/>
          <w:lang w:eastAsia="en-AU"/>
        </w:rPr>
        <w:t>—</w:t>
      </w:r>
      <w:r w:rsidRPr="00B40A77">
        <w:rPr>
          <w:color w:val="000000" w:themeColor="text1"/>
        </w:rPr>
        <w:t>Summons to Produce Person in Custody</w:t>
      </w:r>
    </w:p>
    <w:p w14:paraId="63F08C88" w14:textId="2A166409" w:rsidR="004570FA" w:rsidRPr="00B40A77" w:rsidRDefault="004570FA" w:rsidP="004570FA">
      <w:pPr>
        <w:ind w:left="1701" w:hanging="567"/>
        <w:rPr>
          <w:color w:val="000000" w:themeColor="text1"/>
        </w:rPr>
      </w:pPr>
      <w:r w:rsidRPr="00B40A77">
        <w:rPr>
          <w:color w:val="000000" w:themeColor="text1"/>
        </w:rPr>
        <w:t>Form 116</w:t>
      </w:r>
      <w:r w:rsidRPr="00B40A77">
        <w:rPr>
          <w:color w:val="000000" w:themeColor="text1"/>
          <w:lang w:eastAsia="en-AU"/>
        </w:rPr>
        <w:t>—</w:t>
      </w:r>
      <w:r w:rsidRPr="00B40A77">
        <w:rPr>
          <w:color w:val="000000" w:themeColor="text1"/>
        </w:rPr>
        <w:t>Warrant to Produce Person in Custody</w:t>
      </w:r>
    </w:p>
    <w:p w14:paraId="6E8FA31D" w14:textId="39C11404" w:rsidR="004570FA" w:rsidRPr="00B40A77" w:rsidRDefault="004570FA" w:rsidP="004570FA">
      <w:pPr>
        <w:ind w:left="1701" w:hanging="567"/>
        <w:rPr>
          <w:color w:val="000000" w:themeColor="text1"/>
        </w:rPr>
      </w:pPr>
      <w:r w:rsidRPr="00B40A77">
        <w:rPr>
          <w:color w:val="000000" w:themeColor="text1"/>
        </w:rPr>
        <w:t>Form 117</w:t>
      </w:r>
      <w:r w:rsidRPr="00B40A77">
        <w:rPr>
          <w:color w:val="000000" w:themeColor="text1"/>
          <w:lang w:eastAsia="en-AU"/>
        </w:rPr>
        <w:t>—</w:t>
      </w:r>
      <w:r w:rsidRPr="00B40A77">
        <w:rPr>
          <w:color w:val="000000" w:themeColor="text1"/>
        </w:rPr>
        <w:t>Warrant of Apprehension of Witness</w:t>
      </w:r>
    </w:p>
    <w:p w14:paraId="028B953F" w14:textId="77777777" w:rsidR="004570FA" w:rsidRPr="00B40A77" w:rsidRDefault="004570FA" w:rsidP="009456BD">
      <w:pPr>
        <w:ind w:left="1134" w:hanging="567"/>
        <w:rPr>
          <w:b/>
          <w:color w:val="000000" w:themeColor="text1"/>
          <w:sz w:val="26"/>
          <w:lang w:eastAsia="en-AU"/>
        </w:rPr>
      </w:pPr>
      <w:r w:rsidRPr="00B40A77">
        <w:rPr>
          <w:b/>
          <w:color w:val="000000" w:themeColor="text1"/>
          <w:sz w:val="26"/>
          <w:lang w:eastAsia="en-AU"/>
        </w:rPr>
        <w:t>9—Committal</w:t>
      </w:r>
    </w:p>
    <w:p w14:paraId="42A28654" w14:textId="6463ACAD" w:rsidR="004570FA" w:rsidRPr="00B40A77" w:rsidRDefault="004570FA" w:rsidP="004570FA">
      <w:pPr>
        <w:ind w:left="1701" w:hanging="567"/>
        <w:rPr>
          <w:color w:val="000000" w:themeColor="text1"/>
        </w:rPr>
      </w:pPr>
      <w:r w:rsidRPr="00B40A77">
        <w:rPr>
          <w:color w:val="000000" w:themeColor="text1"/>
        </w:rPr>
        <w:t>Form 121</w:t>
      </w:r>
      <w:r w:rsidRPr="00B40A77">
        <w:rPr>
          <w:color w:val="000000" w:themeColor="text1"/>
          <w:lang w:eastAsia="en-AU"/>
        </w:rPr>
        <w:t>—</w:t>
      </w:r>
      <w:r w:rsidRPr="00B40A77">
        <w:rPr>
          <w:color w:val="000000" w:themeColor="text1"/>
        </w:rPr>
        <w:t>Notice of Intention to Assert No Case to Answer</w:t>
      </w:r>
    </w:p>
    <w:p w14:paraId="0478641A" w14:textId="160EDD33" w:rsidR="004570FA" w:rsidRPr="00B40A77" w:rsidRDefault="004570FA" w:rsidP="004570FA">
      <w:pPr>
        <w:ind w:left="1701" w:hanging="567"/>
        <w:rPr>
          <w:color w:val="000000" w:themeColor="text1"/>
        </w:rPr>
      </w:pPr>
      <w:r w:rsidRPr="00B40A77">
        <w:rPr>
          <w:color w:val="000000" w:themeColor="text1"/>
        </w:rPr>
        <w:t>Form 122</w:t>
      </w:r>
      <w:r w:rsidRPr="00B40A77">
        <w:rPr>
          <w:color w:val="000000" w:themeColor="text1"/>
          <w:lang w:eastAsia="en-AU"/>
        </w:rPr>
        <w:t>—</w:t>
      </w:r>
      <w:r w:rsidRPr="00B40A77">
        <w:rPr>
          <w:color w:val="000000" w:themeColor="text1"/>
        </w:rPr>
        <w:t>Notice to Request Oral Examination of Witness in Committal Proceeding</w:t>
      </w:r>
    </w:p>
    <w:p w14:paraId="683B9EBB" w14:textId="45C17F8E" w:rsidR="004570FA" w:rsidRPr="00B40A77" w:rsidRDefault="004570FA" w:rsidP="004570FA">
      <w:pPr>
        <w:ind w:left="1701" w:hanging="567"/>
        <w:rPr>
          <w:color w:val="000000" w:themeColor="text1"/>
        </w:rPr>
      </w:pPr>
      <w:r w:rsidRPr="00B40A77">
        <w:rPr>
          <w:color w:val="000000" w:themeColor="text1"/>
        </w:rPr>
        <w:t>Form 123</w:t>
      </w:r>
      <w:r w:rsidRPr="00B40A77">
        <w:rPr>
          <w:color w:val="000000" w:themeColor="text1"/>
          <w:lang w:eastAsia="en-AU"/>
        </w:rPr>
        <w:t>—</w:t>
      </w:r>
      <w:r w:rsidRPr="00B40A77">
        <w:rPr>
          <w:color w:val="000000" w:themeColor="text1"/>
        </w:rPr>
        <w:t xml:space="preserve">Record of Outcome </w:t>
      </w:r>
    </w:p>
    <w:p w14:paraId="285F2188" w14:textId="53906EC0" w:rsidR="004570FA" w:rsidRPr="00B40A77" w:rsidRDefault="004570FA" w:rsidP="004570FA">
      <w:pPr>
        <w:ind w:left="1701" w:hanging="567"/>
        <w:rPr>
          <w:color w:val="000000" w:themeColor="text1"/>
        </w:rPr>
      </w:pPr>
      <w:r w:rsidRPr="00B40A77">
        <w:rPr>
          <w:color w:val="000000" w:themeColor="text1"/>
        </w:rPr>
        <w:lastRenderedPageBreak/>
        <w:t>Form 124</w:t>
      </w:r>
      <w:r w:rsidRPr="00B40A77">
        <w:rPr>
          <w:color w:val="000000" w:themeColor="text1"/>
          <w:lang w:eastAsia="en-AU"/>
        </w:rPr>
        <w:t>—</w:t>
      </w:r>
      <w:r w:rsidRPr="00B40A77">
        <w:rPr>
          <w:color w:val="000000" w:themeColor="text1"/>
        </w:rPr>
        <w:t xml:space="preserve">Notice to Defendant </w:t>
      </w:r>
      <w:r w:rsidR="00007FB5" w:rsidRPr="00B40A77">
        <w:rPr>
          <w:color w:val="000000" w:themeColor="text1"/>
        </w:rPr>
        <w:t xml:space="preserve">or Youth </w:t>
      </w:r>
      <w:r w:rsidRPr="00B40A77">
        <w:rPr>
          <w:color w:val="000000" w:themeColor="text1"/>
        </w:rPr>
        <w:t>Committed for Trial in Supreme Court or District Court</w:t>
      </w:r>
    </w:p>
    <w:p w14:paraId="3F29C23B" w14:textId="5F168669" w:rsidR="004570FA" w:rsidRPr="00B40A77" w:rsidRDefault="004570FA" w:rsidP="004570FA">
      <w:pPr>
        <w:ind w:left="1701" w:hanging="567"/>
        <w:rPr>
          <w:color w:val="000000" w:themeColor="text1"/>
        </w:rPr>
      </w:pPr>
      <w:r w:rsidRPr="00B40A77">
        <w:rPr>
          <w:color w:val="000000" w:themeColor="text1"/>
        </w:rPr>
        <w:t>Form 125</w:t>
      </w:r>
      <w:r w:rsidRPr="00B40A77">
        <w:rPr>
          <w:color w:val="000000" w:themeColor="text1"/>
          <w:lang w:eastAsia="en-AU"/>
        </w:rPr>
        <w:t>—</w:t>
      </w:r>
      <w:r w:rsidRPr="00B40A77">
        <w:rPr>
          <w:color w:val="000000" w:themeColor="text1"/>
        </w:rPr>
        <w:t>Notice to Defendant</w:t>
      </w:r>
      <w:r w:rsidR="00007FB5" w:rsidRPr="00B40A77">
        <w:rPr>
          <w:color w:val="000000" w:themeColor="text1"/>
        </w:rPr>
        <w:t xml:space="preserve"> or Youth</w:t>
      </w:r>
      <w:r w:rsidRPr="00B40A77">
        <w:rPr>
          <w:color w:val="000000" w:themeColor="text1"/>
        </w:rPr>
        <w:t xml:space="preserve"> Committed for Sentence in Supreme Court or District Court </w:t>
      </w:r>
    </w:p>
    <w:p w14:paraId="0FBA6AC5" w14:textId="1D80CC2D" w:rsidR="004570FA" w:rsidRPr="00B40A77" w:rsidRDefault="004570FA" w:rsidP="0007438D">
      <w:pPr>
        <w:ind w:left="1134" w:hanging="567"/>
        <w:rPr>
          <w:b/>
          <w:color w:val="000000" w:themeColor="text1"/>
          <w:sz w:val="26"/>
          <w:lang w:eastAsia="en-AU"/>
        </w:rPr>
      </w:pPr>
      <w:r w:rsidRPr="00B40A77">
        <w:rPr>
          <w:b/>
          <w:color w:val="000000" w:themeColor="text1"/>
          <w:sz w:val="26"/>
          <w:lang w:eastAsia="en-AU"/>
        </w:rPr>
        <w:t xml:space="preserve">10—Sentencing process </w:t>
      </w:r>
    </w:p>
    <w:p w14:paraId="0CEB7279" w14:textId="0B57BF2F" w:rsidR="004570FA" w:rsidRPr="00B40A77" w:rsidRDefault="004570FA" w:rsidP="004570FA">
      <w:pPr>
        <w:ind w:left="1701" w:hanging="567"/>
        <w:rPr>
          <w:color w:val="000000" w:themeColor="text1"/>
        </w:rPr>
      </w:pPr>
      <w:r w:rsidRPr="00B40A77">
        <w:rPr>
          <w:color w:val="000000" w:themeColor="text1"/>
        </w:rPr>
        <w:t>Form 131</w:t>
      </w:r>
      <w:r w:rsidRPr="00B40A77">
        <w:rPr>
          <w:b/>
          <w:color w:val="000000" w:themeColor="text1"/>
          <w:sz w:val="26"/>
          <w:lang w:eastAsia="en-AU"/>
        </w:rPr>
        <w:t>—</w:t>
      </w:r>
      <w:r w:rsidRPr="00B40A77">
        <w:rPr>
          <w:color w:val="000000" w:themeColor="text1"/>
        </w:rPr>
        <w:t>Notice to Defendant of Penalty Hearing</w:t>
      </w:r>
    </w:p>
    <w:p w14:paraId="3F933E3C" w14:textId="7B200FC6" w:rsidR="004570FA" w:rsidRPr="00B40A77" w:rsidRDefault="004570FA" w:rsidP="004570FA">
      <w:pPr>
        <w:ind w:left="1701" w:hanging="567"/>
        <w:rPr>
          <w:color w:val="000000" w:themeColor="text1"/>
        </w:rPr>
      </w:pPr>
      <w:r w:rsidRPr="00B40A77">
        <w:rPr>
          <w:color w:val="000000" w:themeColor="text1"/>
        </w:rPr>
        <w:t>Form 132</w:t>
      </w:r>
      <w:r w:rsidRPr="00B40A77">
        <w:rPr>
          <w:b/>
          <w:color w:val="000000" w:themeColor="text1"/>
          <w:sz w:val="26"/>
          <w:lang w:eastAsia="en-AU"/>
        </w:rPr>
        <w:t>—</w:t>
      </w:r>
      <w:r w:rsidRPr="00B40A77">
        <w:rPr>
          <w:color w:val="000000" w:themeColor="text1"/>
        </w:rPr>
        <w:t>Summons to Third Party to Attend Penalty Hearing</w:t>
      </w:r>
    </w:p>
    <w:p w14:paraId="0EC75912" w14:textId="180A1252" w:rsidR="004570FA" w:rsidRPr="00B40A77" w:rsidRDefault="004570FA" w:rsidP="004570FA">
      <w:pPr>
        <w:ind w:left="1701" w:hanging="567"/>
        <w:rPr>
          <w:color w:val="000000" w:themeColor="text1"/>
        </w:rPr>
      </w:pPr>
      <w:r w:rsidRPr="00B40A77">
        <w:rPr>
          <w:color w:val="000000" w:themeColor="text1"/>
        </w:rPr>
        <w:t>Form 133</w:t>
      </w:r>
      <w:r w:rsidRPr="00B40A77">
        <w:rPr>
          <w:b/>
          <w:color w:val="000000" w:themeColor="text1"/>
          <w:sz w:val="26"/>
          <w:lang w:eastAsia="en-AU"/>
        </w:rPr>
        <w:t>—</w:t>
      </w:r>
      <w:r w:rsidRPr="00B40A77">
        <w:rPr>
          <w:color w:val="000000" w:themeColor="text1"/>
        </w:rPr>
        <w:t>Notice of Intention to Allege Previous Convictions</w:t>
      </w:r>
    </w:p>
    <w:p w14:paraId="10B0AFC7" w14:textId="556DA323" w:rsidR="004570FA" w:rsidRPr="00B40A77" w:rsidRDefault="004570FA" w:rsidP="004570FA">
      <w:pPr>
        <w:ind w:left="1701" w:hanging="567"/>
        <w:rPr>
          <w:color w:val="000000" w:themeColor="text1"/>
        </w:rPr>
      </w:pPr>
      <w:r w:rsidRPr="00B40A77">
        <w:rPr>
          <w:color w:val="000000" w:themeColor="text1"/>
        </w:rPr>
        <w:t>Form 134</w:t>
      </w:r>
      <w:r w:rsidRPr="00B40A77">
        <w:rPr>
          <w:b/>
          <w:color w:val="000000" w:themeColor="text1"/>
          <w:sz w:val="26"/>
          <w:lang w:eastAsia="en-AU"/>
        </w:rPr>
        <w:t>—</w:t>
      </w:r>
      <w:r w:rsidRPr="00B40A77">
        <w:rPr>
          <w:color w:val="000000" w:themeColor="text1"/>
        </w:rPr>
        <w:t>Interlocutory Application for Vehicle Forfeiture or Impounding</w:t>
      </w:r>
    </w:p>
    <w:p w14:paraId="65542D86" w14:textId="491F7A96" w:rsidR="004570FA" w:rsidRPr="00B40A77" w:rsidRDefault="004570FA" w:rsidP="004570FA">
      <w:pPr>
        <w:ind w:left="1701" w:hanging="567"/>
        <w:rPr>
          <w:color w:val="000000" w:themeColor="text1"/>
        </w:rPr>
      </w:pPr>
      <w:r w:rsidRPr="00B40A77">
        <w:rPr>
          <w:color w:val="000000" w:themeColor="text1"/>
        </w:rPr>
        <w:t>Form 135</w:t>
      </w:r>
      <w:r w:rsidRPr="00B40A77">
        <w:rPr>
          <w:b/>
          <w:color w:val="000000" w:themeColor="text1"/>
          <w:sz w:val="26"/>
          <w:lang w:eastAsia="en-AU"/>
        </w:rPr>
        <w:t>—</w:t>
      </w:r>
      <w:r w:rsidRPr="00B40A77">
        <w:rPr>
          <w:color w:val="000000" w:themeColor="text1"/>
        </w:rPr>
        <w:t>Report Request Form – Generic Report</w:t>
      </w:r>
    </w:p>
    <w:p w14:paraId="69634B6A" w14:textId="20DE5B3A" w:rsidR="004570FA" w:rsidRPr="00B40A77" w:rsidRDefault="004570FA" w:rsidP="004570FA">
      <w:pPr>
        <w:ind w:left="1701" w:hanging="567"/>
        <w:rPr>
          <w:color w:val="000000" w:themeColor="text1"/>
        </w:rPr>
      </w:pPr>
      <w:r w:rsidRPr="00B40A77">
        <w:rPr>
          <w:color w:val="000000" w:themeColor="text1"/>
        </w:rPr>
        <w:t>Form 135A</w:t>
      </w:r>
      <w:r w:rsidRPr="00B40A77">
        <w:rPr>
          <w:b/>
          <w:color w:val="000000" w:themeColor="text1"/>
          <w:sz w:val="26"/>
          <w:lang w:eastAsia="en-AU"/>
        </w:rPr>
        <w:t>—</w:t>
      </w:r>
      <w:r w:rsidRPr="00B40A77">
        <w:rPr>
          <w:color w:val="000000" w:themeColor="text1"/>
        </w:rPr>
        <w:t>Report Request Form – Anthropologist Report (Youth)</w:t>
      </w:r>
    </w:p>
    <w:p w14:paraId="21510444" w14:textId="24FE7C3B" w:rsidR="004570FA" w:rsidRPr="00B40A77" w:rsidRDefault="004570FA" w:rsidP="004570FA">
      <w:pPr>
        <w:ind w:left="1701" w:hanging="567"/>
        <w:rPr>
          <w:color w:val="000000" w:themeColor="text1"/>
        </w:rPr>
      </w:pPr>
      <w:r w:rsidRPr="00B40A77">
        <w:rPr>
          <w:color w:val="000000" w:themeColor="text1"/>
        </w:rPr>
        <w:t>Form 135AA</w:t>
      </w:r>
      <w:r w:rsidRPr="00B40A77">
        <w:rPr>
          <w:b/>
          <w:color w:val="000000" w:themeColor="text1"/>
          <w:sz w:val="26"/>
          <w:lang w:eastAsia="en-AU"/>
        </w:rPr>
        <w:t>—</w:t>
      </w:r>
      <w:r w:rsidRPr="00B40A77">
        <w:rPr>
          <w:color w:val="000000" w:themeColor="text1"/>
        </w:rPr>
        <w:t>Report Request Form – Supervision Suitability Report (Youth)</w:t>
      </w:r>
    </w:p>
    <w:p w14:paraId="3C1D679D" w14:textId="6593AFC6" w:rsidR="004570FA" w:rsidRPr="00B40A77" w:rsidRDefault="004570FA" w:rsidP="004570FA">
      <w:pPr>
        <w:ind w:left="1701" w:hanging="567"/>
        <w:rPr>
          <w:color w:val="000000" w:themeColor="text1"/>
        </w:rPr>
      </w:pPr>
      <w:r w:rsidRPr="00B40A77">
        <w:rPr>
          <w:color w:val="000000" w:themeColor="text1"/>
        </w:rPr>
        <w:t>Form 135AB</w:t>
      </w:r>
      <w:r w:rsidRPr="00B40A77">
        <w:rPr>
          <w:b/>
          <w:color w:val="000000" w:themeColor="text1"/>
          <w:sz w:val="26"/>
          <w:lang w:eastAsia="en-AU"/>
        </w:rPr>
        <w:t>—</w:t>
      </w:r>
      <w:r w:rsidRPr="00B40A77">
        <w:rPr>
          <w:color w:val="000000" w:themeColor="text1"/>
        </w:rPr>
        <w:t>Report Request Form – Supervision Suitability Report (Adult Defendant)</w:t>
      </w:r>
    </w:p>
    <w:p w14:paraId="4F1CD3BE" w14:textId="2FCF0588" w:rsidR="004570FA" w:rsidRPr="00B40A77" w:rsidRDefault="004570FA" w:rsidP="004570FA">
      <w:pPr>
        <w:ind w:left="1701" w:hanging="567"/>
        <w:rPr>
          <w:color w:val="000000" w:themeColor="text1"/>
        </w:rPr>
      </w:pPr>
      <w:r w:rsidRPr="00B40A77">
        <w:rPr>
          <w:color w:val="000000" w:themeColor="text1"/>
        </w:rPr>
        <w:t>Form 135B</w:t>
      </w:r>
      <w:r w:rsidRPr="00B40A77">
        <w:rPr>
          <w:b/>
          <w:color w:val="000000" w:themeColor="text1"/>
          <w:sz w:val="26"/>
          <w:lang w:eastAsia="en-AU"/>
        </w:rPr>
        <w:t>—</w:t>
      </w:r>
      <w:r w:rsidRPr="00B40A77">
        <w:rPr>
          <w:color w:val="000000" w:themeColor="text1"/>
        </w:rPr>
        <w:t>Report Request Form – Adolescent Sexual Offender Report</w:t>
      </w:r>
    </w:p>
    <w:p w14:paraId="1FF3F478" w14:textId="43944456" w:rsidR="004570FA" w:rsidRPr="00B40A77" w:rsidRDefault="004570FA" w:rsidP="004570FA">
      <w:pPr>
        <w:ind w:left="1701" w:hanging="567"/>
        <w:rPr>
          <w:color w:val="000000" w:themeColor="text1"/>
        </w:rPr>
      </w:pPr>
      <w:r w:rsidRPr="00B40A77">
        <w:rPr>
          <w:color w:val="000000" w:themeColor="text1"/>
        </w:rPr>
        <w:t>Form 135C</w:t>
      </w:r>
      <w:r w:rsidRPr="00B40A77">
        <w:rPr>
          <w:b/>
          <w:color w:val="000000" w:themeColor="text1"/>
          <w:sz w:val="26"/>
          <w:lang w:eastAsia="en-AU"/>
        </w:rPr>
        <w:t>—</w:t>
      </w:r>
      <w:r w:rsidRPr="00B40A77">
        <w:rPr>
          <w:color w:val="000000" w:themeColor="text1"/>
        </w:rPr>
        <w:t>Report Request Form – Community Service Assessment Report (Youth)</w:t>
      </w:r>
    </w:p>
    <w:p w14:paraId="6CF66E44" w14:textId="5EB195B5" w:rsidR="004570FA" w:rsidRPr="00B40A77" w:rsidRDefault="004570FA" w:rsidP="004570FA">
      <w:pPr>
        <w:ind w:left="1701" w:hanging="567"/>
        <w:rPr>
          <w:color w:val="000000" w:themeColor="text1"/>
        </w:rPr>
      </w:pPr>
      <w:r w:rsidRPr="00B40A77">
        <w:rPr>
          <w:color w:val="000000" w:themeColor="text1"/>
        </w:rPr>
        <w:t>Form 135D</w:t>
      </w:r>
      <w:r w:rsidRPr="00B40A77">
        <w:rPr>
          <w:b/>
          <w:color w:val="000000" w:themeColor="text1"/>
          <w:sz w:val="26"/>
          <w:lang w:eastAsia="en-AU"/>
        </w:rPr>
        <w:t>—</w:t>
      </w:r>
      <w:r w:rsidRPr="00B40A77">
        <w:rPr>
          <w:color w:val="000000" w:themeColor="text1"/>
        </w:rPr>
        <w:t>Report Request Form – Community Service Assessment Report (Adult Defendant)</w:t>
      </w:r>
    </w:p>
    <w:p w14:paraId="44F11C44" w14:textId="7B070994" w:rsidR="004570FA" w:rsidRPr="00B40A77" w:rsidRDefault="004570FA" w:rsidP="004570FA">
      <w:pPr>
        <w:ind w:left="1701" w:hanging="567"/>
        <w:rPr>
          <w:color w:val="000000" w:themeColor="text1"/>
        </w:rPr>
      </w:pPr>
      <w:r w:rsidRPr="00B40A77">
        <w:rPr>
          <w:color w:val="000000" w:themeColor="text1"/>
        </w:rPr>
        <w:t>Form 135E</w:t>
      </w:r>
      <w:r w:rsidRPr="00B40A77">
        <w:rPr>
          <w:b/>
          <w:color w:val="000000" w:themeColor="text1"/>
          <w:sz w:val="26"/>
          <w:lang w:eastAsia="en-AU"/>
        </w:rPr>
        <w:t>—</w:t>
      </w:r>
      <w:r w:rsidRPr="00B40A77">
        <w:rPr>
          <w:color w:val="000000" w:themeColor="text1"/>
        </w:rPr>
        <w:t>Report Request Form – Drug and Alcohol Assessment Report (Youth)</w:t>
      </w:r>
    </w:p>
    <w:p w14:paraId="70D63664" w14:textId="5312A0E6" w:rsidR="004570FA" w:rsidRPr="00B40A77" w:rsidRDefault="004570FA" w:rsidP="004570FA">
      <w:pPr>
        <w:ind w:left="1701" w:hanging="567"/>
        <w:rPr>
          <w:color w:val="000000" w:themeColor="text1"/>
        </w:rPr>
      </w:pPr>
      <w:r w:rsidRPr="00B40A77">
        <w:rPr>
          <w:color w:val="000000" w:themeColor="text1"/>
        </w:rPr>
        <w:t>Form 135F</w:t>
      </w:r>
      <w:r w:rsidRPr="00B40A77">
        <w:rPr>
          <w:b/>
          <w:color w:val="000000" w:themeColor="text1"/>
          <w:sz w:val="26"/>
          <w:lang w:eastAsia="en-AU"/>
        </w:rPr>
        <w:t>—</w:t>
      </w:r>
      <w:r w:rsidRPr="00B40A77">
        <w:rPr>
          <w:color w:val="000000" w:themeColor="text1"/>
        </w:rPr>
        <w:t>Report Request Form – Drug and Alcohol Assessment Report (Adult Defendant)</w:t>
      </w:r>
    </w:p>
    <w:p w14:paraId="64F1846D" w14:textId="2CA925E9" w:rsidR="004570FA" w:rsidRPr="00B40A77" w:rsidRDefault="004570FA" w:rsidP="004570FA">
      <w:pPr>
        <w:ind w:left="1701" w:hanging="567"/>
        <w:rPr>
          <w:color w:val="000000" w:themeColor="text1"/>
        </w:rPr>
      </w:pPr>
      <w:r w:rsidRPr="00B40A77">
        <w:rPr>
          <w:color w:val="000000" w:themeColor="text1"/>
        </w:rPr>
        <w:t>Form 135G</w:t>
      </w:r>
      <w:r w:rsidRPr="00B40A77">
        <w:rPr>
          <w:b/>
          <w:color w:val="000000" w:themeColor="text1"/>
          <w:sz w:val="26"/>
          <w:lang w:eastAsia="en-AU"/>
        </w:rPr>
        <w:t>—</w:t>
      </w:r>
      <w:r w:rsidRPr="00B40A77">
        <w:rPr>
          <w:color w:val="000000" w:themeColor="text1"/>
        </w:rPr>
        <w:t>Report Request Form – Education Department Report</w:t>
      </w:r>
    </w:p>
    <w:p w14:paraId="20722B3B" w14:textId="690A6CA9" w:rsidR="004570FA" w:rsidRPr="00B40A77" w:rsidRDefault="004570FA" w:rsidP="004570FA">
      <w:pPr>
        <w:ind w:left="1701" w:hanging="567"/>
        <w:rPr>
          <w:color w:val="000000" w:themeColor="text1"/>
        </w:rPr>
      </w:pPr>
      <w:r w:rsidRPr="00B40A77">
        <w:rPr>
          <w:color w:val="000000" w:themeColor="text1"/>
        </w:rPr>
        <w:t>Form 135H</w:t>
      </w:r>
      <w:r w:rsidRPr="00B40A77">
        <w:rPr>
          <w:b/>
          <w:color w:val="000000" w:themeColor="text1"/>
          <w:sz w:val="26"/>
          <w:lang w:eastAsia="en-AU"/>
        </w:rPr>
        <w:t>—</w:t>
      </w:r>
      <w:r w:rsidRPr="00B40A77">
        <w:rPr>
          <w:color w:val="000000" w:themeColor="text1"/>
        </w:rPr>
        <w:t>Report Request Form – Home Detention Order Report (Youth)</w:t>
      </w:r>
    </w:p>
    <w:p w14:paraId="56F143E9" w14:textId="7FB8A4FA" w:rsidR="004570FA" w:rsidRPr="00B40A77" w:rsidRDefault="004570FA" w:rsidP="004570FA">
      <w:pPr>
        <w:ind w:left="1701" w:hanging="567"/>
        <w:rPr>
          <w:color w:val="000000" w:themeColor="text1"/>
        </w:rPr>
      </w:pPr>
      <w:r w:rsidRPr="00B40A77">
        <w:rPr>
          <w:color w:val="000000" w:themeColor="text1"/>
        </w:rPr>
        <w:t>Form 135I</w:t>
      </w:r>
      <w:r w:rsidRPr="00B40A77">
        <w:rPr>
          <w:b/>
          <w:color w:val="000000" w:themeColor="text1"/>
          <w:sz w:val="26"/>
          <w:lang w:eastAsia="en-AU"/>
        </w:rPr>
        <w:t>—</w:t>
      </w:r>
      <w:r w:rsidRPr="00B40A77">
        <w:rPr>
          <w:color w:val="000000" w:themeColor="text1"/>
        </w:rPr>
        <w:t xml:space="preserve"> Report Request Form – Home Detention Order Report (Adult Defendant)</w:t>
      </w:r>
    </w:p>
    <w:p w14:paraId="00C71472" w14:textId="08DCFAEB" w:rsidR="004570FA" w:rsidRPr="00B40A77" w:rsidRDefault="004570FA" w:rsidP="004570FA">
      <w:pPr>
        <w:ind w:left="1701" w:hanging="567"/>
        <w:rPr>
          <w:color w:val="000000" w:themeColor="text1"/>
        </w:rPr>
      </w:pPr>
      <w:r w:rsidRPr="00B40A77">
        <w:rPr>
          <w:color w:val="000000" w:themeColor="text1"/>
        </w:rPr>
        <w:t>Form 135J</w:t>
      </w:r>
      <w:r w:rsidRPr="00B40A77">
        <w:rPr>
          <w:b/>
          <w:color w:val="000000" w:themeColor="text1"/>
          <w:sz w:val="26"/>
          <w:lang w:eastAsia="en-AU"/>
        </w:rPr>
        <w:t>—</w:t>
      </w:r>
      <w:r w:rsidRPr="00B40A77">
        <w:rPr>
          <w:color w:val="000000" w:themeColor="text1"/>
        </w:rPr>
        <w:t>Report Request Form – Intensive Correction Order Report (Youth)</w:t>
      </w:r>
    </w:p>
    <w:p w14:paraId="706801DF" w14:textId="7D40EC8E" w:rsidR="004570FA" w:rsidRPr="00B40A77" w:rsidRDefault="004570FA" w:rsidP="004570FA">
      <w:pPr>
        <w:ind w:left="1701" w:hanging="567"/>
        <w:rPr>
          <w:color w:val="000000" w:themeColor="text1"/>
        </w:rPr>
      </w:pPr>
      <w:r w:rsidRPr="00B40A77">
        <w:rPr>
          <w:color w:val="000000" w:themeColor="text1"/>
        </w:rPr>
        <w:t>Form 135K</w:t>
      </w:r>
      <w:r w:rsidRPr="00B40A77">
        <w:rPr>
          <w:b/>
          <w:color w:val="000000" w:themeColor="text1"/>
          <w:sz w:val="26"/>
          <w:lang w:eastAsia="en-AU"/>
        </w:rPr>
        <w:t>—</w:t>
      </w:r>
      <w:r w:rsidRPr="00B40A77">
        <w:rPr>
          <w:color w:val="000000" w:themeColor="text1"/>
        </w:rPr>
        <w:t>Report Request Form – Intensive Correction Order Report (Adult Defendant)</w:t>
      </w:r>
    </w:p>
    <w:p w14:paraId="611CCB83" w14:textId="73EF81AE" w:rsidR="004570FA" w:rsidRPr="00B40A77" w:rsidRDefault="004570FA" w:rsidP="004570FA">
      <w:pPr>
        <w:ind w:left="1701" w:hanging="567"/>
        <w:rPr>
          <w:color w:val="000000" w:themeColor="text1"/>
        </w:rPr>
      </w:pPr>
      <w:r w:rsidRPr="00B40A77">
        <w:rPr>
          <w:color w:val="000000" w:themeColor="text1"/>
        </w:rPr>
        <w:t>Form 135L</w:t>
      </w:r>
      <w:r w:rsidRPr="00B40A77">
        <w:rPr>
          <w:b/>
          <w:color w:val="000000" w:themeColor="text1"/>
          <w:sz w:val="26"/>
          <w:lang w:eastAsia="en-AU"/>
        </w:rPr>
        <w:t>—</w:t>
      </w:r>
      <w:r w:rsidRPr="00B40A77">
        <w:rPr>
          <w:color w:val="000000" w:themeColor="text1"/>
        </w:rPr>
        <w:t>Report Request Form – Management Assessment Panel Report</w:t>
      </w:r>
    </w:p>
    <w:p w14:paraId="28B83D94" w14:textId="412992AA" w:rsidR="004570FA" w:rsidRPr="00B40A77" w:rsidRDefault="004570FA" w:rsidP="004570FA">
      <w:pPr>
        <w:ind w:left="1701" w:hanging="567"/>
        <w:rPr>
          <w:color w:val="000000" w:themeColor="text1"/>
        </w:rPr>
      </w:pPr>
      <w:r w:rsidRPr="00B40A77">
        <w:rPr>
          <w:color w:val="000000" w:themeColor="text1"/>
        </w:rPr>
        <w:t>Form 135M</w:t>
      </w:r>
      <w:r w:rsidRPr="00B40A77">
        <w:rPr>
          <w:b/>
          <w:color w:val="000000" w:themeColor="text1"/>
          <w:sz w:val="26"/>
          <w:lang w:eastAsia="en-AU"/>
        </w:rPr>
        <w:t>—</w:t>
      </w:r>
      <w:r w:rsidRPr="00B40A77">
        <w:rPr>
          <w:color w:val="000000" w:themeColor="text1"/>
        </w:rPr>
        <w:t>Report Request Form – Medical Report</w:t>
      </w:r>
    </w:p>
    <w:p w14:paraId="3F1F1A34" w14:textId="56CBEB6C" w:rsidR="004570FA" w:rsidRPr="00B40A77" w:rsidRDefault="004570FA" w:rsidP="004570FA">
      <w:pPr>
        <w:ind w:left="1701" w:hanging="567"/>
        <w:rPr>
          <w:color w:val="000000" w:themeColor="text1"/>
        </w:rPr>
      </w:pPr>
      <w:r w:rsidRPr="00B40A77">
        <w:rPr>
          <w:color w:val="000000" w:themeColor="text1"/>
        </w:rPr>
        <w:t>Form 135N</w:t>
      </w:r>
      <w:r w:rsidRPr="00B40A77">
        <w:rPr>
          <w:b/>
          <w:color w:val="000000" w:themeColor="text1"/>
          <w:sz w:val="26"/>
          <w:lang w:eastAsia="en-AU"/>
        </w:rPr>
        <w:t>—</w:t>
      </w:r>
      <w:r w:rsidRPr="00B40A77">
        <w:rPr>
          <w:color w:val="000000" w:themeColor="text1"/>
        </w:rPr>
        <w:t>Report Request Form – Parole Board Report</w:t>
      </w:r>
    </w:p>
    <w:p w14:paraId="273D02A7" w14:textId="3A93BB9F" w:rsidR="004570FA" w:rsidRPr="00B40A77" w:rsidRDefault="004570FA" w:rsidP="004570FA">
      <w:pPr>
        <w:ind w:left="1701" w:hanging="567"/>
        <w:rPr>
          <w:color w:val="000000" w:themeColor="text1"/>
        </w:rPr>
      </w:pPr>
      <w:r w:rsidRPr="00B40A77">
        <w:rPr>
          <w:color w:val="000000" w:themeColor="text1"/>
        </w:rPr>
        <w:t>Form 135O</w:t>
      </w:r>
      <w:r w:rsidRPr="00B40A77">
        <w:rPr>
          <w:b/>
          <w:color w:val="000000" w:themeColor="text1"/>
          <w:sz w:val="26"/>
          <w:lang w:eastAsia="en-AU"/>
        </w:rPr>
        <w:t>—</w:t>
      </w:r>
      <w:r w:rsidRPr="00B40A77">
        <w:rPr>
          <w:color w:val="000000" w:themeColor="text1"/>
        </w:rPr>
        <w:t>Report Request Form – Progress Report (Youth)</w:t>
      </w:r>
    </w:p>
    <w:p w14:paraId="6A9B7843" w14:textId="5C8950E4" w:rsidR="004570FA" w:rsidRPr="00B40A77" w:rsidRDefault="004570FA" w:rsidP="004570FA">
      <w:pPr>
        <w:ind w:left="1701" w:hanging="567"/>
        <w:rPr>
          <w:color w:val="000000" w:themeColor="text1"/>
        </w:rPr>
      </w:pPr>
      <w:r w:rsidRPr="00B40A77">
        <w:rPr>
          <w:color w:val="000000" w:themeColor="text1"/>
        </w:rPr>
        <w:t>Form 135P</w:t>
      </w:r>
      <w:r w:rsidRPr="00B40A77">
        <w:rPr>
          <w:b/>
          <w:color w:val="000000" w:themeColor="text1"/>
          <w:sz w:val="26"/>
          <w:lang w:eastAsia="en-AU"/>
        </w:rPr>
        <w:t>—</w:t>
      </w:r>
      <w:r w:rsidRPr="00B40A77">
        <w:rPr>
          <w:color w:val="000000" w:themeColor="text1"/>
        </w:rPr>
        <w:t>Report Request Form – Pre-Sentence Report (Youth)</w:t>
      </w:r>
    </w:p>
    <w:p w14:paraId="69619A00" w14:textId="731B7CA7" w:rsidR="004570FA" w:rsidRPr="00B40A77" w:rsidRDefault="004570FA" w:rsidP="004570FA">
      <w:pPr>
        <w:ind w:left="1701" w:hanging="567"/>
        <w:rPr>
          <w:color w:val="000000" w:themeColor="text1"/>
        </w:rPr>
      </w:pPr>
      <w:r w:rsidRPr="00B40A77">
        <w:rPr>
          <w:color w:val="000000" w:themeColor="text1"/>
        </w:rPr>
        <w:t>Form 135Q</w:t>
      </w:r>
      <w:r w:rsidRPr="00B40A77">
        <w:rPr>
          <w:b/>
          <w:color w:val="000000" w:themeColor="text1"/>
          <w:sz w:val="26"/>
          <w:lang w:eastAsia="en-AU"/>
        </w:rPr>
        <w:t>—</w:t>
      </w:r>
      <w:r w:rsidRPr="00B40A77">
        <w:rPr>
          <w:color w:val="000000" w:themeColor="text1"/>
        </w:rPr>
        <w:t>Report Request Form – Pre-Sentence Report (Adult Defendant)</w:t>
      </w:r>
    </w:p>
    <w:p w14:paraId="605DCEE9" w14:textId="33D1BBB1" w:rsidR="004570FA" w:rsidRPr="00B40A77" w:rsidRDefault="004570FA" w:rsidP="004570FA">
      <w:pPr>
        <w:ind w:left="1701" w:hanging="567"/>
        <w:rPr>
          <w:color w:val="000000" w:themeColor="text1"/>
        </w:rPr>
      </w:pPr>
      <w:r w:rsidRPr="00B40A77">
        <w:rPr>
          <w:color w:val="000000" w:themeColor="text1"/>
        </w:rPr>
        <w:t>Form 135R</w:t>
      </w:r>
      <w:r w:rsidRPr="00B40A77">
        <w:rPr>
          <w:b/>
          <w:color w:val="000000" w:themeColor="text1"/>
          <w:sz w:val="26"/>
          <w:lang w:eastAsia="en-AU"/>
        </w:rPr>
        <w:t>—</w:t>
      </w:r>
      <w:r w:rsidRPr="00B40A77">
        <w:rPr>
          <w:color w:val="000000" w:themeColor="text1"/>
        </w:rPr>
        <w:t>Report Request Form – Prison Health Report</w:t>
      </w:r>
    </w:p>
    <w:p w14:paraId="09D7A37B" w14:textId="5C256C18" w:rsidR="004570FA" w:rsidRPr="00B40A77" w:rsidRDefault="004570FA" w:rsidP="004570FA">
      <w:pPr>
        <w:ind w:left="1701" w:hanging="567"/>
        <w:rPr>
          <w:color w:val="000000" w:themeColor="text1"/>
        </w:rPr>
      </w:pPr>
      <w:r w:rsidRPr="00B40A77">
        <w:rPr>
          <w:color w:val="000000" w:themeColor="text1"/>
        </w:rPr>
        <w:lastRenderedPageBreak/>
        <w:t>Form 135S</w:t>
      </w:r>
      <w:r w:rsidRPr="00B40A77">
        <w:rPr>
          <w:b/>
          <w:color w:val="000000" w:themeColor="text1"/>
          <w:sz w:val="26"/>
          <w:lang w:eastAsia="en-AU"/>
        </w:rPr>
        <w:t>—</w:t>
      </w:r>
      <w:r w:rsidRPr="00B40A77">
        <w:rPr>
          <w:color w:val="000000" w:themeColor="text1"/>
        </w:rPr>
        <w:t>Report Request Form – Psychiatric Report (Youth)</w:t>
      </w:r>
    </w:p>
    <w:p w14:paraId="30A74933" w14:textId="02A389E4" w:rsidR="004570FA" w:rsidRPr="00B40A77" w:rsidRDefault="004570FA" w:rsidP="004570FA">
      <w:pPr>
        <w:ind w:left="1701" w:hanging="567"/>
        <w:rPr>
          <w:color w:val="000000" w:themeColor="text1"/>
        </w:rPr>
      </w:pPr>
      <w:r w:rsidRPr="00B40A77">
        <w:rPr>
          <w:color w:val="000000" w:themeColor="text1"/>
        </w:rPr>
        <w:t>Form 135T</w:t>
      </w:r>
      <w:r w:rsidRPr="00B40A77">
        <w:rPr>
          <w:b/>
          <w:color w:val="000000" w:themeColor="text1"/>
          <w:sz w:val="26"/>
          <w:lang w:eastAsia="en-AU"/>
        </w:rPr>
        <w:t>—</w:t>
      </w:r>
      <w:r w:rsidRPr="00B40A77">
        <w:rPr>
          <w:color w:val="000000" w:themeColor="text1"/>
        </w:rPr>
        <w:t>Report Request Form – Psychiatric Report (Adult Defendant)</w:t>
      </w:r>
    </w:p>
    <w:p w14:paraId="1CB0071E" w14:textId="1E973EA8" w:rsidR="004570FA" w:rsidRPr="00B40A77" w:rsidRDefault="004570FA" w:rsidP="004570FA">
      <w:pPr>
        <w:ind w:left="1701" w:hanging="567"/>
        <w:rPr>
          <w:color w:val="000000" w:themeColor="text1"/>
        </w:rPr>
      </w:pPr>
      <w:r w:rsidRPr="00B40A77">
        <w:rPr>
          <w:color w:val="000000" w:themeColor="text1"/>
        </w:rPr>
        <w:t>Form 135U</w:t>
      </w:r>
      <w:r w:rsidRPr="00B40A77">
        <w:rPr>
          <w:b/>
          <w:color w:val="000000" w:themeColor="text1"/>
          <w:sz w:val="26"/>
          <w:lang w:eastAsia="en-AU"/>
        </w:rPr>
        <w:t>—</w:t>
      </w:r>
      <w:r w:rsidRPr="00B40A77">
        <w:rPr>
          <w:color w:val="000000" w:themeColor="text1"/>
        </w:rPr>
        <w:t>Report Request Form – Psychological Report (Youth)</w:t>
      </w:r>
    </w:p>
    <w:p w14:paraId="280DB85B" w14:textId="25492BBC" w:rsidR="004570FA" w:rsidRPr="00B40A77" w:rsidRDefault="004570FA" w:rsidP="004570FA">
      <w:pPr>
        <w:ind w:left="1701" w:hanging="567"/>
        <w:rPr>
          <w:color w:val="000000" w:themeColor="text1"/>
        </w:rPr>
      </w:pPr>
      <w:r w:rsidRPr="00B40A77">
        <w:rPr>
          <w:color w:val="000000" w:themeColor="text1"/>
        </w:rPr>
        <w:t>Form 135V</w:t>
      </w:r>
      <w:r w:rsidRPr="00B40A77">
        <w:rPr>
          <w:b/>
          <w:color w:val="000000" w:themeColor="text1"/>
          <w:sz w:val="26"/>
          <w:lang w:eastAsia="en-AU"/>
        </w:rPr>
        <w:t>—</w:t>
      </w:r>
      <w:r w:rsidRPr="00B40A77">
        <w:rPr>
          <w:color w:val="000000" w:themeColor="text1"/>
        </w:rPr>
        <w:t>Report Request Form – Psychological Report (Adult Defendant)</w:t>
      </w:r>
    </w:p>
    <w:p w14:paraId="31664636" w14:textId="28A2713A" w:rsidR="004570FA" w:rsidRPr="00B40A77" w:rsidRDefault="004570FA" w:rsidP="004570FA">
      <w:pPr>
        <w:ind w:left="1701" w:hanging="567"/>
        <w:rPr>
          <w:color w:val="000000" w:themeColor="text1"/>
        </w:rPr>
      </w:pPr>
      <w:r w:rsidRPr="00B40A77">
        <w:rPr>
          <w:color w:val="000000" w:themeColor="text1"/>
        </w:rPr>
        <w:t>Form 135W</w:t>
      </w:r>
      <w:r w:rsidRPr="00B40A77">
        <w:rPr>
          <w:b/>
          <w:color w:val="000000" w:themeColor="text1"/>
          <w:sz w:val="26"/>
          <w:lang w:eastAsia="en-AU"/>
        </w:rPr>
        <w:t>—</w:t>
      </w:r>
      <w:r w:rsidRPr="00B40A77">
        <w:rPr>
          <w:color w:val="000000" w:themeColor="text1"/>
        </w:rPr>
        <w:t>Report Request Form – Review Board Report (Youth)</w:t>
      </w:r>
    </w:p>
    <w:p w14:paraId="3BA06693" w14:textId="6F222DA8" w:rsidR="004570FA" w:rsidRPr="00B40A77" w:rsidRDefault="004570FA" w:rsidP="004570FA">
      <w:pPr>
        <w:ind w:left="1701" w:hanging="567"/>
        <w:rPr>
          <w:color w:val="000000" w:themeColor="text1"/>
        </w:rPr>
      </w:pPr>
      <w:r w:rsidRPr="00B40A77">
        <w:rPr>
          <w:color w:val="000000" w:themeColor="text1"/>
        </w:rPr>
        <w:t>Form 135X</w:t>
      </w:r>
      <w:r w:rsidRPr="00B40A77">
        <w:rPr>
          <w:b/>
          <w:color w:val="000000" w:themeColor="text1"/>
          <w:sz w:val="26"/>
          <w:lang w:eastAsia="en-AU"/>
        </w:rPr>
        <w:t>—</w:t>
      </w:r>
      <w:r w:rsidRPr="00B40A77">
        <w:rPr>
          <w:color w:val="000000" w:themeColor="text1"/>
        </w:rPr>
        <w:t>Report Request Form – Section 32 (Young Offenders Act) Report (Youth)</w:t>
      </w:r>
    </w:p>
    <w:p w14:paraId="138BF0E5" w14:textId="6B0BFF50" w:rsidR="004570FA" w:rsidRPr="00B40A77" w:rsidRDefault="004570FA" w:rsidP="004570FA">
      <w:pPr>
        <w:ind w:left="1701" w:hanging="567"/>
        <w:rPr>
          <w:color w:val="000000" w:themeColor="text1"/>
        </w:rPr>
      </w:pPr>
      <w:r w:rsidRPr="00B40A77">
        <w:rPr>
          <w:color w:val="000000" w:themeColor="text1"/>
        </w:rPr>
        <w:t>Form 135Y</w:t>
      </w:r>
      <w:r w:rsidRPr="00B40A77">
        <w:rPr>
          <w:b/>
          <w:color w:val="000000" w:themeColor="text1"/>
          <w:sz w:val="26"/>
          <w:lang w:eastAsia="en-AU"/>
        </w:rPr>
        <w:t>—</w:t>
      </w:r>
      <w:r w:rsidRPr="00B40A77">
        <w:rPr>
          <w:color w:val="000000" w:themeColor="text1"/>
        </w:rPr>
        <w:t>Report Request Form – Report on Sexual Offenders</w:t>
      </w:r>
    </w:p>
    <w:p w14:paraId="7FC575BE" w14:textId="5F1F6115" w:rsidR="004570FA" w:rsidRDefault="004570FA" w:rsidP="004570FA">
      <w:pPr>
        <w:ind w:left="1701" w:hanging="567"/>
        <w:rPr>
          <w:color w:val="000000" w:themeColor="text1"/>
        </w:rPr>
      </w:pPr>
      <w:r w:rsidRPr="00B40A77">
        <w:rPr>
          <w:color w:val="000000" w:themeColor="text1"/>
        </w:rPr>
        <w:t>Form 135Z</w:t>
      </w:r>
      <w:bookmarkStart w:id="1266" w:name="_Hlk152921424"/>
      <w:r w:rsidRPr="00B40A77">
        <w:rPr>
          <w:b/>
          <w:color w:val="000000" w:themeColor="text1"/>
          <w:sz w:val="26"/>
          <w:lang w:eastAsia="en-AU"/>
        </w:rPr>
        <w:t>—</w:t>
      </w:r>
      <w:bookmarkEnd w:id="1266"/>
      <w:r w:rsidRPr="00B40A77">
        <w:rPr>
          <w:color w:val="000000" w:themeColor="text1"/>
        </w:rPr>
        <w:t>Report Request Form – Special Needs Report (Youth)</w:t>
      </w:r>
    </w:p>
    <w:p w14:paraId="51DC45C2" w14:textId="2A8F9EB0" w:rsidR="004A4822" w:rsidRPr="00B40A77" w:rsidRDefault="004A4822" w:rsidP="004570FA">
      <w:pPr>
        <w:ind w:left="1701" w:hanging="567"/>
        <w:rPr>
          <w:color w:val="000000" w:themeColor="text1"/>
        </w:rPr>
      </w:pPr>
      <w:r>
        <w:rPr>
          <w:color w:val="000000" w:themeColor="text1"/>
        </w:rPr>
        <w:t>Form 136</w:t>
      </w:r>
      <w:r w:rsidRPr="00B40A77">
        <w:rPr>
          <w:b/>
          <w:color w:val="000000" w:themeColor="text1"/>
          <w:sz w:val="26"/>
          <w:lang w:eastAsia="en-AU"/>
        </w:rPr>
        <w:t>—</w:t>
      </w:r>
      <w:r w:rsidRPr="004A4822">
        <w:rPr>
          <w:color w:val="000000" w:themeColor="text1"/>
        </w:rPr>
        <w:t>Sentencing Material</w:t>
      </w:r>
    </w:p>
    <w:p w14:paraId="3622EBB8" w14:textId="7BE17FA5" w:rsidR="004570FA" w:rsidRPr="00B40A77" w:rsidRDefault="004570FA" w:rsidP="0007438D">
      <w:pPr>
        <w:ind w:left="1134" w:hanging="567"/>
        <w:rPr>
          <w:b/>
          <w:color w:val="000000" w:themeColor="text1"/>
          <w:sz w:val="26"/>
          <w:lang w:eastAsia="en-AU"/>
        </w:rPr>
      </w:pPr>
      <w:r w:rsidRPr="00B40A77">
        <w:rPr>
          <w:b/>
          <w:color w:val="000000" w:themeColor="text1"/>
          <w:sz w:val="26"/>
          <w:lang w:eastAsia="en-AU"/>
        </w:rPr>
        <w:t xml:space="preserve">11—Conviction &amp; sentence </w:t>
      </w:r>
    </w:p>
    <w:p w14:paraId="1284E375" w14:textId="28CA1855" w:rsidR="004570FA" w:rsidRPr="00B40A77" w:rsidRDefault="004570FA" w:rsidP="004570FA">
      <w:pPr>
        <w:ind w:left="1701" w:hanging="567"/>
        <w:rPr>
          <w:color w:val="000000" w:themeColor="text1"/>
        </w:rPr>
      </w:pPr>
      <w:r w:rsidRPr="00B40A77">
        <w:rPr>
          <w:color w:val="000000" w:themeColor="text1"/>
        </w:rPr>
        <w:t>Form 141</w:t>
      </w:r>
      <w:r w:rsidRPr="00B40A77">
        <w:rPr>
          <w:b/>
          <w:color w:val="000000" w:themeColor="text1"/>
          <w:sz w:val="26"/>
          <w:lang w:eastAsia="en-AU"/>
        </w:rPr>
        <w:t>—</w:t>
      </w:r>
      <w:r w:rsidRPr="00B40A77">
        <w:rPr>
          <w:color w:val="000000" w:themeColor="text1"/>
        </w:rPr>
        <w:t>Record of Outcome</w:t>
      </w:r>
    </w:p>
    <w:p w14:paraId="699AAD1D" w14:textId="549B308D" w:rsidR="004570FA" w:rsidRPr="00B40A77" w:rsidRDefault="004570FA" w:rsidP="004570FA">
      <w:pPr>
        <w:ind w:left="1701" w:hanging="567"/>
        <w:rPr>
          <w:color w:val="000000" w:themeColor="text1"/>
        </w:rPr>
      </w:pPr>
      <w:r w:rsidRPr="00B40A77">
        <w:rPr>
          <w:color w:val="000000" w:themeColor="text1"/>
        </w:rPr>
        <w:t>Form 142</w:t>
      </w:r>
      <w:r w:rsidRPr="00B40A77">
        <w:rPr>
          <w:b/>
          <w:color w:val="000000" w:themeColor="text1"/>
          <w:sz w:val="26"/>
          <w:lang w:eastAsia="en-AU"/>
        </w:rPr>
        <w:t>—</w:t>
      </w:r>
      <w:r w:rsidRPr="00B40A77">
        <w:rPr>
          <w:color w:val="000000" w:themeColor="text1"/>
        </w:rPr>
        <w:t>Order</w:t>
      </w:r>
    </w:p>
    <w:p w14:paraId="6DF02AB1" w14:textId="60A27793" w:rsidR="004570FA" w:rsidRPr="00B40A77" w:rsidRDefault="004570FA" w:rsidP="004570FA">
      <w:pPr>
        <w:ind w:left="1701" w:hanging="567"/>
        <w:rPr>
          <w:color w:val="000000" w:themeColor="text1"/>
        </w:rPr>
      </w:pPr>
      <w:r w:rsidRPr="00B40A77">
        <w:rPr>
          <w:color w:val="000000" w:themeColor="text1"/>
        </w:rPr>
        <w:t>Form 142A</w:t>
      </w:r>
      <w:r w:rsidRPr="00B40A77">
        <w:rPr>
          <w:b/>
          <w:color w:val="000000" w:themeColor="text1"/>
          <w:sz w:val="26"/>
          <w:lang w:eastAsia="en-AU"/>
        </w:rPr>
        <w:t>—</w:t>
      </w:r>
      <w:r w:rsidRPr="00B40A77">
        <w:rPr>
          <w:color w:val="000000" w:themeColor="text1"/>
        </w:rPr>
        <w:t>Home Detention Order and Acknowledgement</w:t>
      </w:r>
    </w:p>
    <w:p w14:paraId="31A2BD7D" w14:textId="53D220E3" w:rsidR="004570FA" w:rsidRPr="00B40A77" w:rsidRDefault="004570FA" w:rsidP="004570FA">
      <w:pPr>
        <w:ind w:left="1701" w:hanging="567"/>
        <w:rPr>
          <w:color w:val="000000" w:themeColor="text1"/>
        </w:rPr>
      </w:pPr>
      <w:r w:rsidRPr="00B40A77">
        <w:rPr>
          <w:color w:val="000000" w:themeColor="text1"/>
        </w:rPr>
        <w:t>Form 142B</w:t>
      </w:r>
      <w:r w:rsidRPr="00B40A77">
        <w:rPr>
          <w:b/>
          <w:color w:val="000000" w:themeColor="text1"/>
          <w:sz w:val="26"/>
          <w:lang w:eastAsia="en-AU"/>
        </w:rPr>
        <w:t>—</w:t>
      </w:r>
      <w:r w:rsidRPr="00B40A77">
        <w:rPr>
          <w:color w:val="000000" w:themeColor="text1"/>
        </w:rPr>
        <w:t>Intensive Correction Order and Acknowledgement</w:t>
      </w:r>
    </w:p>
    <w:p w14:paraId="4B4C418C" w14:textId="3F44802D" w:rsidR="004570FA" w:rsidRPr="00B40A77" w:rsidRDefault="004570FA" w:rsidP="004570FA">
      <w:pPr>
        <w:ind w:left="1701" w:hanging="567"/>
        <w:rPr>
          <w:color w:val="000000" w:themeColor="text1"/>
        </w:rPr>
      </w:pPr>
      <w:r w:rsidRPr="00B40A77">
        <w:rPr>
          <w:color w:val="000000" w:themeColor="text1"/>
        </w:rPr>
        <w:t>Form 142C</w:t>
      </w:r>
      <w:r w:rsidRPr="00B40A77">
        <w:rPr>
          <w:b/>
          <w:color w:val="000000" w:themeColor="text1"/>
          <w:sz w:val="26"/>
          <w:lang w:eastAsia="en-AU"/>
        </w:rPr>
        <w:t>—</w:t>
      </w:r>
      <w:r w:rsidRPr="00B40A77">
        <w:rPr>
          <w:color w:val="000000" w:themeColor="text1"/>
        </w:rPr>
        <w:t>Suspended Sentence Obligation Order and Acknowledgement</w:t>
      </w:r>
    </w:p>
    <w:p w14:paraId="477B693B" w14:textId="41F624C6" w:rsidR="004570FA" w:rsidRPr="00B40A77" w:rsidRDefault="004570FA" w:rsidP="004570FA">
      <w:pPr>
        <w:ind w:left="1701" w:hanging="567"/>
        <w:rPr>
          <w:color w:val="000000" w:themeColor="text1"/>
        </w:rPr>
      </w:pPr>
      <w:r w:rsidRPr="00B40A77">
        <w:rPr>
          <w:color w:val="000000" w:themeColor="text1"/>
        </w:rPr>
        <w:t>Form 142D</w:t>
      </w:r>
      <w:r w:rsidRPr="00B40A77">
        <w:rPr>
          <w:b/>
          <w:color w:val="000000" w:themeColor="text1"/>
          <w:sz w:val="26"/>
          <w:lang w:eastAsia="en-AU"/>
        </w:rPr>
        <w:t>—</w:t>
      </w:r>
      <w:r w:rsidRPr="00B40A77">
        <w:rPr>
          <w:color w:val="000000" w:themeColor="text1"/>
        </w:rPr>
        <w:t>Obligation Order and Acknowledgement</w:t>
      </w:r>
    </w:p>
    <w:p w14:paraId="6480E050" w14:textId="1AEDA563" w:rsidR="004570FA" w:rsidRPr="00B40A77" w:rsidRDefault="004570FA" w:rsidP="004570FA">
      <w:pPr>
        <w:ind w:left="1701" w:hanging="567"/>
        <w:rPr>
          <w:color w:val="000000" w:themeColor="text1"/>
        </w:rPr>
      </w:pPr>
      <w:r w:rsidRPr="00B40A77">
        <w:rPr>
          <w:color w:val="000000" w:themeColor="text1"/>
        </w:rPr>
        <w:t>Form 142E</w:t>
      </w:r>
      <w:r w:rsidRPr="00B40A77">
        <w:rPr>
          <w:b/>
          <w:color w:val="000000" w:themeColor="text1"/>
          <w:sz w:val="26"/>
          <w:lang w:eastAsia="en-AU"/>
        </w:rPr>
        <w:t>—</w:t>
      </w:r>
      <w:r w:rsidRPr="00B40A77">
        <w:rPr>
          <w:color w:val="000000" w:themeColor="text1"/>
        </w:rPr>
        <w:t>Release Order and Recognizance</w:t>
      </w:r>
    </w:p>
    <w:p w14:paraId="3F2A3BC6" w14:textId="29EE7832" w:rsidR="004570FA" w:rsidRPr="00B40A77" w:rsidRDefault="004570FA" w:rsidP="004570FA">
      <w:pPr>
        <w:ind w:left="1701" w:hanging="567"/>
        <w:rPr>
          <w:color w:val="000000" w:themeColor="text1"/>
        </w:rPr>
      </w:pPr>
      <w:r w:rsidRPr="00B40A77">
        <w:rPr>
          <w:color w:val="000000" w:themeColor="text1"/>
        </w:rPr>
        <w:t>Form 142F</w:t>
      </w:r>
      <w:r w:rsidRPr="00B40A77">
        <w:rPr>
          <w:b/>
          <w:color w:val="000000" w:themeColor="text1"/>
          <w:sz w:val="26"/>
          <w:lang w:eastAsia="en-AU"/>
        </w:rPr>
        <w:t>—</w:t>
      </w:r>
      <w:r w:rsidRPr="00B40A77">
        <w:rPr>
          <w:color w:val="000000" w:themeColor="text1"/>
        </w:rPr>
        <w:t>Order and Recognizance</w:t>
      </w:r>
    </w:p>
    <w:p w14:paraId="5243E52F" w14:textId="3C85D69A" w:rsidR="004570FA" w:rsidRPr="00B40A77" w:rsidRDefault="004570FA" w:rsidP="004570FA">
      <w:pPr>
        <w:ind w:left="1701" w:hanging="567"/>
        <w:rPr>
          <w:color w:val="000000" w:themeColor="text1"/>
        </w:rPr>
      </w:pPr>
      <w:r w:rsidRPr="00B40A77">
        <w:rPr>
          <w:color w:val="000000" w:themeColor="text1"/>
        </w:rPr>
        <w:t>Form 142G</w:t>
      </w:r>
      <w:r w:rsidRPr="00B40A77">
        <w:rPr>
          <w:b/>
          <w:color w:val="000000" w:themeColor="text1"/>
          <w:sz w:val="26"/>
          <w:lang w:eastAsia="en-AU"/>
        </w:rPr>
        <w:t>—</w:t>
      </w:r>
      <w:r w:rsidRPr="00B40A77">
        <w:rPr>
          <w:color w:val="000000" w:themeColor="text1"/>
        </w:rPr>
        <w:t>Community Service Order and Acknowledgement</w:t>
      </w:r>
    </w:p>
    <w:p w14:paraId="11BC1624" w14:textId="27107F09" w:rsidR="004570FA" w:rsidRPr="00B40A77" w:rsidRDefault="004570FA" w:rsidP="004570FA">
      <w:pPr>
        <w:ind w:left="1701" w:hanging="567"/>
        <w:rPr>
          <w:color w:val="000000" w:themeColor="text1"/>
        </w:rPr>
      </w:pPr>
      <w:r w:rsidRPr="00B40A77">
        <w:rPr>
          <w:color w:val="000000" w:themeColor="text1"/>
        </w:rPr>
        <w:t>Form 142H</w:t>
      </w:r>
      <w:r w:rsidRPr="00B40A77">
        <w:rPr>
          <w:b/>
          <w:color w:val="000000" w:themeColor="text1"/>
          <w:sz w:val="26"/>
          <w:lang w:eastAsia="en-AU"/>
        </w:rPr>
        <w:t>—</w:t>
      </w:r>
      <w:r w:rsidRPr="00B40A77">
        <w:rPr>
          <w:color w:val="000000" w:themeColor="text1"/>
        </w:rPr>
        <w:t>Firearms Order and Acknowledgement</w:t>
      </w:r>
    </w:p>
    <w:p w14:paraId="77AA234A" w14:textId="3EE6342B" w:rsidR="004570FA" w:rsidRPr="00B40A77" w:rsidRDefault="004570FA" w:rsidP="004570FA">
      <w:pPr>
        <w:ind w:left="1701" w:hanging="567"/>
        <w:rPr>
          <w:color w:val="000000" w:themeColor="text1"/>
        </w:rPr>
      </w:pPr>
      <w:r w:rsidRPr="00B40A77">
        <w:rPr>
          <w:color w:val="000000" w:themeColor="text1"/>
        </w:rPr>
        <w:t>Form 142I</w:t>
      </w:r>
      <w:r w:rsidRPr="00B40A77">
        <w:rPr>
          <w:b/>
          <w:color w:val="000000" w:themeColor="text1"/>
          <w:sz w:val="26"/>
          <w:lang w:eastAsia="en-AU"/>
        </w:rPr>
        <w:t>—</w:t>
      </w:r>
      <w:r w:rsidRPr="00B40A77">
        <w:rPr>
          <w:color w:val="000000" w:themeColor="text1"/>
        </w:rPr>
        <w:t>Intervention Order</w:t>
      </w:r>
    </w:p>
    <w:p w14:paraId="5518C145" w14:textId="206C1C6E" w:rsidR="004570FA" w:rsidRPr="00B40A77" w:rsidRDefault="004570FA" w:rsidP="004570FA">
      <w:pPr>
        <w:ind w:left="1701" w:hanging="567"/>
        <w:rPr>
          <w:color w:val="000000" w:themeColor="text1"/>
        </w:rPr>
      </w:pPr>
      <w:r w:rsidRPr="00B40A77">
        <w:rPr>
          <w:color w:val="000000" w:themeColor="text1"/>
        </w:rPr>
        <w:t>Form 142J</w:t>
      </w:r>
      <w:r w:rsidRPr="00B40A77">
        <w:rPr>
          <w:b/>
          <w:color w:val="000000" w:themeColor="text1"/>
          <w:sz w:val="26"/>
          <w:lang w:eastAsia="en-AU"/>
        </w:rPr>
        <w:t>—</w:t>
      </w:r>
      <w:r w:rsidRPr="00B40A77">
        <w:rPr>
          <w:color w:val="000000" w:themeColor="text1"/>
        </w:rPr>
        <w:t>Child Protection Restraining Order and Acknowledgement</w:t>
      </w:r>
    </w:p>
    <w:p w14:paraId="31BB69C8" w14:textId="6E8B7463" w:rsidR="004570FA" w:rsidRPr="00B40A77" w:rsidRDefault="004570FA" w:rsidP="004570FA">
      <w:pPr>
        <w:ind w:left="1701" w:hanging="567"/>
        <w:rPr>
          <w:color w:val="000000" w:themeColor="text1"/>
        </w:rPr>
      </w:pPr>
      <w:r w:rsidRPr="00B40A77">
        <w:rPr>
          <w:color w:val="000000" w:themeColor="text1"/>
        </w:rPr>
        <w:t>Form 142K</w:t>
      </w:r>
      <w:r w:rsidRPr="00B40A77">
        <w:rPr>
          <w:b/>
          <w:color w:val="000000" w:themeColor="text1"/>
          <w:sz w:val="26"/>
          <w:lang w:eastAsia="en-AU"/>
        </w:rPr>
        <w:t>—</w:t>
      </w:r>
      <w:r w:rsidRPr="00B40A77">
        <w:rPr>
          <w:color w:val="000000" w:themeColor="text1"/>
        </w:rPr>
        <w:t>Paedophile Restraining Order and Acknowledgement</w:t>
      </w:r>
    </w:p>
    <w:p w14:paraId="7DD5DED7" w14:textId="694D7CEB" w:rsidR="004570FA" w:rsidRPr="00B40A77" w:rsidRDefault="004570FA" w:rsidP="004570FA">
      <w:pPr>
        <w:ind w:left="1701" w:hanging="567"/>
        <w:rPr>
          <w:color w:val="000000" w:themeColor="text1"/>
        </w:rPr>
      </w:pPr>
      <w:r w:rsidRPr="00B40A77">
        <w:rPr>
          <w:color w:val="000000" w:themeColor="text1"/>
        </w:rPr>
        <w:t>Form 142L</w:t>
      </w:r>
      <w:r w:rsidRPr="00B40A77">
        <w:rPr>
          <w:b/>
          <w:color w:val="000000" w:themeColor="text1"/>
          <w:sz w:val="26"/>
          <w:lang w:eastAsia="en-AU"/>
        </w:rPr>
        <w:t>—</w:t>
      </w:r>
      <w:r w:rsidRPr="00B40A77">
        <w:rPr>
          <w:color w:val="000000" w:themeColor="text1"/>
        </w:rPr>
        <w:t>Order – Place Restriction and or Non Association and Acknowledgement</w:t>
      </w:r>
    </w:p>
    <w:p w14:paraId="10D2DF5C" w14:textId="6B88C6A6" w:rsidR="004570FA" w:rsidRPr="00B40A77" w:rsidRDefault="004570FA" w:rsidP="004570FA">
      <w:pPr>
        <w:ind w:left="1701" w:hanging="567"/>
        <w:rPr>
          <w:color w:val="000000" w:themeColor="text1"/>
        </w:rPr>
      </w:pPr>
      <w:r w:rsidRPr="00B40A77">
        <w:rPr>
          <w:color w:val="000000" w:themeColor="text1"/>
        </w:rPr>
        <w:t>Form 142M</w:t>
      </w:r>
      <w:r w:rsidRPr="00B40A77">
        <w:rPr>
          <w:b/>
          <w:color w:val="000000" w:themeColor="text1"/>
          <w:sz w:val="26"/>
          <w:lang w:eastAsia="en-AU"/>
        </w:rPr>
        <w:t>—</w:t>
      </w:r>
      <w:r w:rsidRPr="00B40A77">
        <w:rPr>
          <w:color w:val="000000" w:themeColor="text1"/>
        </w:rPr>
        <w:t>Order – [Part 8A Criminal Law Consolidation Act]</w:t>
      </w:r>
    </w:p>
    <w:p w14:paraId="04CF8CA4" w14:textId="5DE0B2EA" w:rsidR="004570FA" w:rsidRPr="00B40A77" w:rsidRDefault="004570FA" w:rsidP="004570FA">
      <w:pPr>
        <w:ind w:left="1701" w:hanging="567"/>
        <w:rPr>
          <w:color w:val="000000" w:themeColor="text1"/>
        </w:rPr>
      </w:pPr>
      <w:r w:rsidRPr="00B40A77">
        <w:rPr>
          <w:color w:val="000000" w:themeColor="text1"/>
        </w:rPr>
        <w:t>Form 142N</w:t>
      </w:r>
      <w:r w:rsidRPr="00B40A77">
        <w:rPr>
          <w:b/>
          <w:color w:val="000000" w:themeColor="text1"/>
          <w:sz w:val="26"/>
          <w:lang w:eastAsia="en-AU"/>
        </w:rPr>
        <w:t>—</w:t>
      </w:r>
      <w:r w:rsidRPr="00B40A77">
        <w:rPr>
          <w:color w:val="000000" w:themeColor="text1"/>
        </w:rPr>
        <w:t>Order – [Part 1B Div 6 to 9 Crimes Act (Cth)]</w:t>
      </w:r>
    </w:p>
    <w:p w14:paraId="2953163E" w14:textId="6289E478" w:rsidR="004570FA" w:rsidRPr="00B40A77" w:rsidRDefault="004570FA" w:rsidP="004570FA">
      <w:pPr>
        <w:ind w:left="1701" w:hanging="567"/>
        <w:rPr>
          <w:color w:val="000000" w:themeColor="text1"/>
        </w:rPr>
      </w:pPr>
      <w:r w:rsidRPr="00B40A77">
        <w:rPr>
          <w:color w:val="000000" w:themeColor="text1"/>
        </w:rPr>
        <w:t>Form 142O</w:t>
      </w:r>
      <w:r w:rsidRPr="00B40A77">
        <w:rPr>
          <w:b/>
          <w:color w:val="000000" w:themeColor="text1"/>
          <w:sz w:val="26"/>
          <w:lang w:eastAsia="en-AU"/>
        </w:rPr>
        <w:t>—</w:t>
      </w:r>
      <w:r w:rsidRPr="00B40A77">
        <w:rPr>
          <w:color w:val="000000" w:themeColor="text1"/>
        </w:rPr>
        <w:t>Order –  Declaring a Youth to be a Recidivist Young Offender</w:t>
      </w:r>
    </w:p>
    <w:p w14:paraId="738917DF" w14:textId="403D9DA1" w:rsidR="004570FA" w:rsidRPr="00B40A77" w:rsidRDefault="004570FA" w:rsidP="004570FA">
      <w:pPr>
        <w:ind w:left="1701" w:hanging="567"/>
        <w:rPr>
          <w:color w:val="000000" w:themeColor="text1"/>
        </w:rPr>
      </w:pPr>
      <w:r w:rsidRPr="00B40A77">
        <w:rPr>
          <w:color w:val="000000" w:themeColor="text1"/>
        </w:rPr>
        <w:t>Form 142P</w:t>
      </w:r>
      <w:r w:rsidRPr="00B40A77">
        <w:rPr>
          <w:b/>
          <w:color w:val="000000" w:themeColor="text1"/>
          <w:sz w:val="26"/>
          <w:lang w:eastAsia="en-AU"/>
        </w:rPr>
        <w:t>—</w:t>
      </w:r>
      <w:r w:rsidRPr="00B40A77">
        <w:rPr>
          <w:color w:val="000000" w:themeColor="text1"/>
        </w:rPr>
        <w:t>Psychiatric Probation Order and Acknowledgement (Cth)</w:t>
      </w:r>
    </w:p>
    <w:p w14:paraId="6D65AD8F" w14:textId="07014744" w:rsidR="004570FA" w:rsidRPr="00B40A77" w:rsidRDefault="004570FA" w:rsidP="004570FA">
      <w:pPr>
        <w:ind w:left="1701" w:hanging="567"/>
        <w:rPr>
          <w:color w:val="000000" w:themeColor="text1"/>
        </w:rPr>
      </w:pPr>
      <w:r w:rsidRPr="00B40A77">
        <w:rPr>
          <w:color w:val="000000" w:themeColor="text1"/>
        </w:rPr>
        <w:t>Form 142Q</w:t>
      </w:r>
      <w:r w:rsidRPr="00B40A77">
        <w:rPr>
          <w:b/>
          <w:color w:val="000000" w:themeColor="text1"/>
          <w:sz w:val="26"/>
          <w:lang w:eastAsia="en-AU"/>
        </w:rPr>
        <w:t>—</w:t>
      </w:r>
      <w:r w:rsidRPr="00B40A77">
        <w:rPr>
          <w:color w:val="000000" w:themeColor="text1"/>
        </w:rPr>
        <w:t>Program Probation Order and Acknowledgement (Cth)</w:t>
      </w:r>
    </w:p>
    <w:p w14:paraId="70C04859" w14:textId="3EB731A4" w:rsidR="004570FA" w:rsidRPr="00B40A77" w:rsidRDefault="004570FA" w:rsidP="004570FA">
      <w:pPr>
        <w:ind w:left="1701" w:hanging="567"/>
        <w:rPr>
          <w:color w:val="000000" w:themeColor="text1"/>
        </w:rPr>
      </w:pPr>
      <w:r w:rsidRPr="00B40A77">
        <w:rPr>
          <w:color w:val="000000" w:themeColor="text1"/>
        </w:rPr>
        <w:t>Form 142R</w:t>
      </w:r>
      <w:r w:rsidRPr="00B40A77">
        <w:rPr>
          <w:b/>
          <w:color w:val="000000" w:themeColor="text1"/>
          <w:sz w:val="26"/>
          <w:lang w:eastAsia="en-AU"/>
        </w:rPr>
        <w:t>—</w:t>
      </w:r>
      <w:r w:rsidRPr="00B40A77">
        <w:rPr>
          <w:color w:val="000000" w:themeColor="text1"/>
        </w:rPr>
        <w:t>Order – Forfeiture or Impounding of Motor Vehicle</w:t>
      </w:r>
    </w:p>
    <w:p w14:paraId="1BA472D9" w14:textId="12A7C71B" w:rsidR="004570FA" w:rsidRPr="00B40A77" w:rsidRDefault="004570FA" w:rsidP="004570FA">
      <w:pPr>
        <w:ind w:left="1701" w:hanging="567"/>
        <w:rPr>
          <w:color w:val="000000" w:themeColor="text1"/>
        </w:rPr>
      </w:pPr>
      <w:r w:rsidRPr="00B40A77">
        <w:rPr>
          <w:color w:val="000000" w:themeColor="text1"/>
        </w:rPr>
        <w:t>Form 142S</w:t>
      </w:r>
      <w:r w:rsidRPr="00B40A77">
        <w:rPr>
          <w:b/>
          <w:color w:val="000000" w:themeColor="text1"/>
          <w:sz w:val="26"/>
          <w:lang w:eastAsia="en-AU"/>
        </w:rPr>
        <w:t>—</w:t>
      </w:r>
      <w:r w:rsidRPr="00B40A77">
        <w:rPr>
          <w:color w:val="000000" w:themeColor="text1"/>
        </w:rPr>
        <w:t>Order – Uncontrolled Sexual Instincts Detention Order</w:t>
      </w:r>
    </w:p>
    <w:p w14:paraId="0ED6B3B2" w14:textId="4351E1C1" w:rsidR="004570FA" w:rsidRPr="00B40A77" w:rsidRDefault="004570FA" w:rsidP="004570FA">
      <w:pPr>
        <w:ind w:left="1701" w:hanging="567"/>
        <w:rPr>
          <w:color w:val="000000" w:themeColor="text1"/>
        </w:rPr>
      </w:pPr>
      <w:r w:rsidRPr="00B40A77">
        <w:rPr>
          <w:color w:val="000000" w:themeColor="text1"/>
        </w:rPr>
        <w:lastRenderedPageBreak/>
        <w:t>Form 143A</w:t>
      </w:r>
      <w:r w:rsidRPr="00B40A77">
        <w:rPr>
          <w:b/>
          <w:color w:val="000000" w:themeColor="text1"/>
          <w:sz w:val="26"/>
          <w:lang w:eastAsia="en-AU"/>
        </w:rPr>
        <w:t>—</w:t>
      </w:r>
      <w:r w:rsidRPr="00B40A77">
        <w:rPr>
          <w:color w:val="000000" w:themeColor="text1"/>
        </w:rPr>
        <w:t>Suspended Sentence Bond</w:t>
      </w:r>
    </w:p>
    <w:p w14:paraId="5DB8645E" w14:textId="374E758A" w:rsidR="004570FA" w:rsidRPr="00B40A77" w:rsidRDefault="004570FA" w:rsidP="004570FA">
      <w:pPr>
        <w:ind w:left="1701" w:hanging="567"/>
        <w:rPr>
          <w:color w:val="000000" w:themeColor="text1"/>
        </w:rPr>
      </w:pPr>
      <w:r w:rsidRPr="00B40A77">
        <w:rPr>
          <w:color w:val="000000" w:themeColor="text1"/>
        </w:rPr>
        <w:t>Form 143B</w:t>
      </w:r>
      <w:r w:rsidRPr="00B40A77">
        <w:rPr>
          <w:b/>
          <w:color w:val="000000" w:themeColor="text1"/>
          <w:sz w:val="26"/>
          <w:lang w:eastAsia="en-AU"/>
        </w:rPr>
        <w:t>—</w:t>
      </w:r>
      <w:r w:rsidRPr="00B40A77">
        <w:rPr>
          <w:color w:val="000000" w:themeColor="text1"/>
        </w:rPr>
        <w:t>Good Behaviour Bond</w:t>
      </w:r>
    </w:p>
    <w:p w14:paraId="05EF468A" w14:textId="58001376" w:rsidR="004570FA" w:rsidRPr="00B40A77" w:rsidRDefault="004570FA" w:rsidP="004570FA">
      <w:pPr>
        <w:ind w:left="1701" w:hanging="567"/>
        <w:rPr>
          <w:color w:val="000000" w:themeColor="text1"/>
        </w:rPr>
      </w:pPr>
      <w:r w:rsidRPr="00B40A77">
        <w:rPr>
          <w:color w:val="000000" w:themeColor="text1"/>
        </w:rPr>
        <w:t>Form 143C</w:t>
      </w:r>
      <w:r w:rsidRPr="00B40A77">
        <w:rPr>
          <w:b/>
          <w:color w:val="000000" w:themeColor="text1"/>
          <w:sz w:val="26"/>
          <w:lang w:eastAsia="en-AU"/>
        </w:rPr>
        <w:t>—</w:t>
      </w:r>
      <w:r w:rsidRPr="00B40A77">
        <w:rPr>
          <w:color w:val="000000" w:themeColor="text1"/>
        </w:rPr>
        <w:t>Undertaking to Complete an Intervention Program</w:t>
      </w:r>
    </w:p>
    <w:p w14:paraId="4771CE2F" w14:textId="15F77807" w:rsidR="004570FA" w:rsidRPr="00B40A77" w:rsidRDefault="004570FA" w:rsidP="004570FA">
      <w:pPr>
        <w:ind w:left="1701" w:hanging="567"/>
        <w:rPr>
          <w:color w:val="000000" w:themeColor="text1"/>
        </w:rPr>
      </w:pPr>
      <w:r w:rsidRPr="00B40A77">
        <w:rPr>
          <w:color w:val="000000" w:themeColor="text1"/>
        </w:rPr>
        <w:t>Form 143D</w:t>
      </w:r>
      <w:r w:rsidRPr="00B40A77">
        <w:rPr>
          <w:b/>
          <w:color w:val="000000" w:themeColor="text1"/>
          <w:sz w:val="26"/>
          <w:lang w:eastAsia="en-AU"/>
        </w:rPr>
        <w:t>—</w:t>
      </w:r>
      <w:r w:rsidRPr="00B40A77">
        <w:rPr>
          <w:color w:val="000000" w:themeColor="text1"/>
        </w:rPr>
        <w:t>Undertakings by Youth and Guardian</w:t>
      </w:r>
    </w:p>
    <w:p w14:paraId="73FFC7CC" w14:textId="51C45612" w:rsidR="004570FA" w:rsidRPr="00B40A77" w:rsidRDefault="004570FA" w:rsidP="004570FA">
      <w:pPr>
        <w:ind w:left="1701" w:hanging="567"/>
        <w:rPr>
          <w:color w:val="000000" w:themeColor="text1"/>
        </w:rPr>
      </w:pPr>
      <w:r w:rsidRPr="00B40A77">
        <w:rPr>
          <w:color w:val="000000" w:themeColor="text1"/>
        </w:rPr>
        <w:t>Form 144</w:t>
      </w:r>
      <w:r w:rsidRPr="00B40A77">
        <w:rPr>
          <w:b/>
          <w:color w:val="000000" w:themeColor="text1"/>
          <w:sz w:val="26"/>
          <w:lang w:eastAsia="en-AU"/>
        </w:rPr>
        <w:t>—</w:t>
      </w:r>
      <w:r w:rsidRPr="00B40A77">
        <w:rPr>
          <w:color w:val="000000" w:themeColor="text1"/>
        </w:rPr>
        <w:t>Guarantee of Bond</w:t>
      </w:r>
    </w:p>
    <w:p w14:paraId="36A0DE70" w14:textId="7426CCD9" w:rsidR="004570FA" w:rsidRPr="00B40A77" w:rsidRDefault="004570FA" w:rsidP="004570FA">
      <w:pPr>
        <w:ind w:left="1701" w:hanging="567"/>
        <w:rPr>
          <w:color w:val="000000" w:themeColor="text1"/>
        </w:rPr>
      </w:pPr>
      <w:r w:rsidRPr="00B40A77">
        <w:rPr>
          <w:color w:val="000000" w:themeColor="text1"/>
        </w:rPr>
        <w:t>Form 145</w:t>
      </w:r>
      <w:r w:rsidRPr="00B40A77">
        <w:rPr>
          <w:b/>
          <w:color w:val="000000" w:themeColor="text1"/>
          <w:sz w:val="26"/>
          <w:lang w:eastAsia="en-AU"/>
        </w:rPr>
        <w:t>—</w:t>
      </w:r>
      <w:r w:rsidRPr="00B40A77">
        <w:rPr>
          <w:color w:val="000000" w:themeColor="text1"/>
        </w:rPr>
        <w:t>Warrant of Commitment or Mandate for Detention</w:t>
      </w:r>
    </w:p>
    <w:p w14:paraId="548235F2" w14:textId="0F8D98A5" w:rsidR="004570FA" w:rsidRPr="00B40A77" w:rsidRDefault="004570FA" w:rsidP="004570FA">
      <w:pPr>
        <w:ind w:left="1701" w:hanging="567"/>
        <w:rPr>
          <w:color w:val="000000" w:themeColor="text1"/>
        </w:rPr>
      </w:pPr>
      <w:r w:rsidRPr="00B40A77">
        <w:rPr>
          <w:color w:val="000000" w:themeColor="text1"/>
        </w:rPr>
        <w:t>Form 146</w:t>
      </w:r>
      <w:r w:rsidRPr="00B40A77">
        <w:rPr>
          <w:b/>
          <w:color w:val="000000" w:themeColor="text1"/>
          <w:sz w:val="26"/>
          <w:lang w:eastAsia="en-AU"/>
        </w:rPr>
        <w:t>—</w:t>
      </w:r>
      <w:r w:rsidRPr="00B40A77">
        <w:rPr>
          <w:color w:val="000000" w:themeColor="text1"/>
        </w:rPr>
        <w:t>Warrant of Detention</w:t>
      </w:r>
    </w:p>
    <w:p w14:paraId="225C54CA" w14:textId="7804DCCA" w:rsidR="004570FA" w:rsidRPr="00B40A77" w:rsidRDefault="004570FA" w:rsidP="004570FA">
      <w:pPr>
        <w:ind w:left="1701" w:hanging="567"/>
        <w:rPr>
          <w:color w:val="000000" w:themeColor="text1"/>
        </w:rPr>
      </w:pPr>
      <w:r w:rsidRPr="00B40A77">
        <w:rPr>
          <w:color w:val="000000" w:themeColor="text1"/>
        </w:rPr>
        <w:t>Form 146A</w:t>
      </w:r>
      <w:r w:rsidRPr="00B40A77">
        <w:rPr>
          <w:b/>
          <w:color w:val="000000" w:themeColor="text1"/>
          <w:sz w:val="26"/>
          <w:lang w:eastAsia="en-AU"/>
        </w:rPr>
        <w:t>—</w:t>
      </w:r>
      <w:r w:rsidRPr="00B40A77">
        <w:rPr>
          <w:color w:val="000000" w:themeColor="text1"/>
        </w:rPr>
        <w:t>Warrant of Detention (Cth – Mental Illness)</w:t>
      </w:r>
    </w:p>
    <w:p w14:paraId="4B2D94FC" w14:textId="6D971E67" w:rsidR="004570FA" w:rsidRPr="00B40A77" w:rsidRDefault="004570FA" w:rsidP="004570FA">
      <w:pPr>
        <w:ind w:left="1701" w:hanging="567"/>
        <w:rPr>
          <w:color w:val="000000" w:themeColor="text1"/>
        </w:rPr>
      </w:pPr>
      <w:r w:rsidRPr="00B40A77">
        <w:rPr>
          <w:color w:val="000000" w:themeColor="text1"/>
        </w:rPr>
        <w:t>Form 146B</w:t>
      </w:r>
      <w:r w:rsidRPr="00B40A77">
        <w:rPr>
          <w:b/>
          <w:color w:val="000000" w:themeColor="text1"/>
          <w:sz w:val="26"/>
          <w:lang w:eastAsia="en-AU"/>
        </w:rPr>
        <w:t>—</w:t>
      </w:r>
      <w:r w:rsidRPr="00B40A77">
        <w:rPr>
          <w:color w:val="000000" w:themeColor="text1"/>
        </w:rPr>
        <w:t>Warrant of Detention (Cth – Unfit to be Tried)</w:t>
      </w:r>
    </w:p>
    <w:p w14:paraId="2EB96BF4" w14:textId="59763A58" w:rsidR="004570FA" w:rsidRPr="00B40A77" w:rsidRDefault="004570FA" w:rsidP="004570FA">
      <w:pPr>
        <w:ind w:left="1701" w:hanging="567"/>
        <w:rPr>
          <w:color w:val="000000" w:themeColor="text1"/>
        </w:rPr>
      </w:pPr>
      <w:r w:rsidRPr="00B40A77">
        <w:rPr>
          <w:color w:val="000000" w:themeColor="text1"/>
        </w:rPr>
        <w:t>Form 146C</w:t>
      </w:r>
      <w:r w:rsidRPr="00B40A77">
        <w:rPr>
          <w:b/>
          <w:color w:val="000000" w:themeColor="text1"/>
          <w:sz w:val="26"/>
          <w:lang w:eastAsia="en-AU"/>
        </w:rPr>
        <w:t>—</w:t>
      </w:r>
      <w:r w:rsidRPr="00B40A77">
        <w:rPr>
          <w:color w:val="000000" w:themeColor="text1"/>
        </w:rPr>
        <w:t>Warrant of Detention (Cth – Hospital Order)</w:t>
      </w:r>
    </w:p>
    <w:p w14:paraId="1A6F3268" w14:textId="27A93596" w:rsidR="004570FA" w:rsidRPr="00B40A77" w:rsidRDefault="004570FA" w:rsidP="004570FA">
      <w:pPr>
        <w:ind w:left="1701" w:hanging="567"/>
        <w:rPr>
          <w:color w:val="000000" w:themeColor="text1"/>
        </w:rPr>
      </w:pPr>
      <w:r w:rsidRPr="00B40A77">
        <w:rPr>
          <w:color w:val="000000" w:themeColor="text1"/>
        </w:rPr>
        <w:t>Form 147</w:t>
      </w:r>
      <w:r w:rsidRPr="00B40A77">
        <w:rPr>
          <w:b/>
          <w:color w:val="000000" w:themeColor="text1"/>
          <w:sz w:val="26"/>
          <w:lang w:eastAsia="en-AU"/>
        </w:rPr>
        <w:t>—</w:t>
      </w:r>
      <w:r w:rsidRPr="00B40A77">
        <w:rPr>
          <w:color w:val="000000" w:themeColor="text1"/>
        </w:rPr>
        <w:t>Warrant of Discharge</w:t>
      </w:r>
    </w:p>
    <w:p w14:paraId="36ED6D30" w14:textId="21797963" w:rsidR="004570FA" w:rsidRPr="00B40A77" w:rsidRDefault="004570FA" w:rsidP="004570FA">
      <w:pPr>
        <w:ind w:left="1701" w:hanging="567"/>
        <w:rPr>
          <w:color w:val="000000" w:themeColor="text1"/>
        </w:rPr>
      </w:pPr>
      <w:r w:rsidRPr="00B40A77">
        <w:rPr>
          <w:color w:val="000000" w:themeColor="text1"/>
        </w:rPr>
        <w:t>Form 148</w:t>
      </w:r>
      <w:r w:rsidRPr="00B40A77">
        <w:rPr>
          <w:b/>
          <w:color w:val="000000" w:themeColor="text1"/>
          <w:sz w:val="26"/>
          <w:lang w:eastAsia="en-AU"/>
        </w:rPr>
        <w:t>—</w:t>
      </w:r>
      <w:r w:rsidRPr="00B40A77">
        <w:rPr>
          <w:color w:val="000000" w:themeColor="text1"/>
        </w:rPr>
        <w:t>Notice of Penalty Imposed</w:t>
      </w:r>
    </w:p>
    <w:p w14:paraId="4D82A720" w14:textId="4C327FCA" w:rsidR="004570FA" w:rsidRPr="00B40A77" w:rsidRDefault="004570FA" w:rsidP="004570FA">
      <w:pPr>
        <w:ind w:left="1701" w:hanging="567"/>
        <w:rPr>
          <w:color w:val="000000" w:themeColor="text1"/>
        </w:rPr>
      </w:pPr>
      <w:r w:rsidRPr="00B40A77">
        <w:rPr>
          <w:color w:val="000000" w:themeColor="text1"/>
        </w:rPr>
        <w:t>Form 149</w:t>
      </w:r>
      <w:r w:rsidRPr="00B40A77">
        <w:rPr>
          <w:b/>
          <w:color w:val="000000" w:themeColor="text1"/>
          <w:sz w:val="26"/>
          <w:lang w:eastAsia="en-AU"/>
        </w:rPr>
        <w:t>—</w:t>
      </w:r>
      <w:r w:rsidRPr="00B40A77">
        <w:rPr>
          <w:color w:val="000000" w:themeColor="text1"/>
        </w:rPr>
        <w:t>Notice for the Payment of Money (Youth Court)</w:t>
      </w:r>
    </w:p>
    <w:p w14:paraId="2852448D" w14:textId="485D4465" w:rsidR="004570FA" w:rsidRPr="00B40A77" w:rsidRDefault="004570FA" w:rsidP="004570FA">
      <w:pPr>
        <w:ind w:left="1701" w:hanging="567"/>
        <w:rPr>
          <w:color w:val="000000" w:themeColor="text1"/>
        </w:rPr>
      </w:pPr>
      <w:r w:rsidRPr="00B40A77">
        <w:rPr>
          <w:color w:val="000000" w:themeColor="text1"/>
        </w:rPr>
        <w:t>Form 150</w:t>
      </w:r>
      <w:r w:rsidRPr="00B40A77">
        <w:rPr>
          <w:b/>
          <w:color w:val="000000" w:themeColor="text1"/>
          <w:sz w:val="26"/>
          <w:lang w:eastAsia="en-AU"/>
        </w:rPr>
        <w:t>—</w:t>
      </w:r>
      <w:r w:rsidRPr="00B40A77">
        <w:rPr>
          <w:color w:val="000000" w:themeColor="text1"/>
        </w:rPr>
        <w:t>Certificate for Victim of Identity Theft</w:t>
      </w:r>
    </w:p>
    <w:p w14:paraId="771CAB76" w14:textId="3D15B2A1" w:rsidR="004570FA" w:rsidRPr="00B40A77" w:rsidRDefault="004570FA" w:rsidP="004570FA">
      <w:pPr>
        <w:ind w:left="1701" w:hanging="567"/>
        <w:rPr>
          <w:color w:val="000000" w:themeColor="text1"/>
        </w:rPr>
      </w:pPr>
      <w:r w:rsidRPr="00B40A77">
        <w:rPr>
          <w:color w:val="000000" w:themeColor="text1"/>
        </w:rPr>
        <w:t>Form 151</w:t>
      </w:r>
      <w:r w:rsidRPr="00B40A77">
        <w:rPr>
          <w:b/>
          <w:color w:val="000000" w:themeColor="text1"/>
          <w:sz w:val="26"/>
          <w:lang w:eastAsia="en-AU"/>
        </w:rPr>
        <w:t>—</w:t>
      </w:r>
      <w:r w:rsidRPr="00B40A77">
        <w:rPr>
          <w:color w:val="000000" w:themeColor="text1"/>
        </w:rPr>
        <w:t>Notice of Qualifying Offence</w:t>
      </w:r>
    </w:p>
    <w:p w14:paraId="21EAD0B2" w14:textId="04729F76" w:rsidR="004570FA" w:rsidRPr="00B40A77" w:rsidRDefault="004570FA" w:rsidP="004570FA">
      <w:pPr>
        <w:ind w:left="1701" w:hanging="567"/>
        <w:rPr>
          <w:color w:val="000000" w:themeColor="text1"/>
        </w:rPr>
      </w:pPr>
      <w:r w:rsidRPr="00B40A77">
        <w:rPr>
          <w:color w:val="000000" w:themeColor="text1"/>
        </w:rPr>
        <w:t>Form 152</w:t>
      </w:r>
      <w:r w:rsidRPr="00B40A77">
        <w:rPr>
          <w:b/>
          <w:color w:val="000000" w:themeColor="text1"/>
          <w:sz w:val="26"/>
          <w:lang w:eastAsia="en-AU"/>
        </w:rPr>
        <w:t>—</w:t>
      </w:r>
      <w:r w:rsidRPr="00B40A77">
        <w:rPr>
          <w:color w:val="000000" w:themeColor="text1"/>
        </w:rPr>
        <w:t>Notice of Prescribed, Disqualification and or Presumptive Disqualification Offence</w:t>
      </w:r>
    </w:p>
    <w:p w14:paraId="4854F5D6" w14:textId="3C5C2498" w:rsidR="004570FA" w:rsidRPr="00B40A77" w:rsidRDefault="004570FA" w:rsidP="004570FA">
      <w:pPr>
        <w:ind w:left="1701" w:hanging="567"/>
        <w:rPr>
          <w:color w:val="000000" w:themeColor="text1"/>
        </w:rPr>
      </w:pPr>
      <w:r w:rsidRPr="00B40A77">
        <w:rPr>
          <w:color w:val="000000" w:themeColor="text1"/>
        </w:rPr>
        <w:t>Form 153</w:t>
      </w:r>
      <w:r w:rsidRPr="00B40A77">
        <w:rPr>
          <w:b/>
          <w:color w:val="000000" w:themeColor="text1"/>
          <w:sz w:val="26"/>
          <w:lang w:eastAsia="en-AU"/>
        </w:rPr>
        <w:t>—</w:t>
      </w:r>
      <w:r w:rsidRPr="00B40A77">
        <w:rPr>
          <w:color w:val="000000" w:themeColor="text1"/>
        </w:rPr>
        <w:t>Notice of Intervention Order</w:t>
      </w:r>
    </w:p>
    <w:p w14:paraId="7E67DCEB" w14:textId="35F4B3EF" w:rsidR="004570FA" w:rsidRPr="00B40A77" w:rsidRDefault="004570FA" w:rsidP="004570FA">
      <w:pPr>
        <w:ind w:left="1701" w:hanging="567"/>
        <w:rPr>
          <w:color w:val="000000" w:themeColor="text1"/>
        </w:rPr>
      </w:pPr>
      <w:r w:rsidRPr="00B40A77">
        <w:rPr>
          <w:color w:val="000000" w:themeColor="text1"/>
        </w:rPr>
        <w:t>Form 154</w:t>
      </w:r>
      <w:r w:rsidRPr="00B40A77">
        <w:rPr>
          <w:b/>
          <w:color w:val="000000" w:themeColor="text1"/>
          <w:sz w:val="26"/>
          <w:lang w:eastAsia="en-AU"/>
        </w:rPr>
        <w:t>—</w:t>
      </w:r>
      <w:r w:rsidRPr="00B40A77">
        <w:rPr>
          <w:color w:val="000000" w:themeColor="text1"/>
        </w:rPr>
        <w:t>Notice that Defendant has been Declared Liable to Supervision</w:t>
      </w:r>
    </w:p>
    <w:p w14:paraId="71931CD4" w14:textId="1890A04B" w:rsidR="004570FA" w:rsidRPr="00B40A77" w:rsidRDefault="004570FA" w:rsidP="004570FA">
      <w:pPr>
        <w:ind w:left="1701" w:hanging="567"/>
        <w:rPr>
          <w:color w:val="000000" w:themeColor="text1"/>
        </w:rPr>
      </w:pPr>
      <w:r w:rsidRPr="00B40A77">
        <w:rPr>
          <w:color w:val="000000" w:themeColor="text1"/>
        </w:rPr>
        <w:t>Form 155</w:t>
      </w:r>
      <w:r w:rsidRPr="00B40A77">
        <w:rPr>
          <w:b/>
          <w:color w:val="000000" w:themeColor="text1"/>
          <w:sz w:val="26"/>
          <w:lang w:eastAsia="en-AU"/>
        </w:rPr>
        <w:t>—</w:t>
      </w:r>
      <w:r w:rsidRPr="00B40A77">
        <w:rPr>
          <w:color w:val="000000" w:themeColor="text1"/>
        </w:rPr>
        <w:t>Certificate of Trial Judge</w:t>
      </w:r>
    </w:p>
    <w:p w14:paraId="33C5DBCA" w14:textId="5E1CA330" w:rsidR="004570FA" w:rsidRPr="00B40A77" w:rsidRDefault="004570FA" w:rsidP="004570FA">
      <w:pPr>
        <w:ind w:left="1701" w:hanging="567"/>
        <w:rPr>
          <w:color w:val="000000" w:themeColor="text1"/>
        </w:rPr>
      </w:pPr>
      <w:r w:rsidRPr="00B40A77">
        <w:rPr>
          <w:color w:val="000000" w:themeColor="text1"/>
        </w:rPr>
        <w:t>Form 156</w:t>
      </w:r>
      <w:r w:rsidRPr="00B40A77">
        <w:rPr>
          <w:b/>
          <w:color w:val="000000" w:themeColor="text1"/>
          <w:sz w:val="26"/>
          <w:lang w:eastAsia="en-AU"/>
        </w:rPr>
        <w:t>—</w:t>
      </w:r>
      <w:r w:rsidRPr="00B40A77">
        <w:rPr>
          <w:color w:val="000000" w:themeColor="text1"/>
        </w:rPr>
        <w:t>Interlocutory Application for Stating a Case</w:t>
      </w:r>
    </w:p>
    <w:p w14:paraId="2DAB8198" w14:textId="7F622B18" w:rsidR="004570FA" w:rsidRPr="00B40A77" w:rsidRDefault="004570FA" w:rsidP="004570FA">
      <w:pPr>
        <w:ind w:left="1701" w:hanging="567"/>
        <w:rPr>
          <w:color w:val="000000" w:themeColor="text1"/>
        </w:rPr>
      </w:pPr>
      <w:r w:rsidRPr="00B40A77">
        <w:rPr>
          <w:color w:val="000000" w:themeColor="text1"/>
        </w:rPr>
        <w:t>Form 158</w:t>
      </w:r>
      <w:r w:rsidRPr="00B40A77">
        <w:rPr>
          <w:b/>
          <w:color w:val="000000" w:themeColor="text1"/>
          <w:sz w:val="26"/>
          <w:lang w:eastAsia="en-AU"/>
        </w:rPr>
        <w:t>—</w:t>
      </w:r>
      <w:r w:rsidRPr="00B40A77">
        <w:rPr>
          <w:color w:val="000000" w:themeColor="text1"/>
        </w:rPr>
        <w:t xml:space="preserve">Order </w:t>
      </w:r>
      <w:r w:rsidR="00C65095" w:rsidRPr="00B40A77">
        <w:rPr>
          <w:color w:val="000000" w:themeColor="text1"/>
        </w:rPr>
        <w:t xml:space="preserve">– </w:t>
      </w:r>
      <w:r w:rsidRPr="00B40A77">
        <w:rPr>
          <w:color w:val="000000" w:themeColor="text1"/>
        </w:rPr>
        <w:t>Stating a Case</w:t>
      </w:r>
    </w:p>
    <w:p w14:paraId="31BDE6FF" w14:textId="741C2D5A" w:rsidR="004570FA" w:rsidRPr="00B40A77" w:rsidRDefault="004570FA" w:rsidP="004570FA">
      <w:pPr>
        <w:ind w:left="1701" w:hanging="567"/>
        <w:rPr>
          <w:color w:val="000000" w:themeColor="text1"/>
        </w:rPr>
      </w:pPr>
      <w:r w:rsidRPr="00B40A77">
        <w:rPr>
          <w:color w:val="000000" w:themeColor="text1"/>
        </w:rPr>
        <w:t>Form 159</w:t>
      </w:r>
      <w:r w:rsidRPr="00B40A77">
        <w:rPr>
          <w:b/>
          <w:color w:val="000000" w:themeColor="text1"/>
          <w:sz w:val="26"/>
          <w:lang w:eastAsia="en-AU"/>
        </w:rPr>
        <w:t>—</w:t>
      </w:r>
      <w:r w:rsidRPr="00B40A77">
        <w:rPr>
          <w:color w:val="000000" w:themeColor="text1"/>
        </w:rPr>
        <w:t>Case Stated</w:t>
      </w:r>
    </w:p>
    <w:p w14:paraId="7B32AD3A" w14:textId="43E46B76" w:rsidR="00C65095" w:rsidRPr="00B40A77" w:rsidRDefault="00C65095" w:rsidP="0007438D">
      <w:pPr>
        <w:ind w:left="1134" w:hanging="567"/>
        <w:rPr>
          <w:b/>
          <w:color w:val="000000" w:themeColor="text1"/>
          <w:sz w:val="26"/>
          <w:lang w:eastAsia="en-AU"/>
        </w:rPr>
      </w:pPr>
      <w:r w:rsidRPr="00B40A77">
        <w:rPr>
          <w:b/>
          <w:color w:val="000000" w:themeColor="text1"/>
          <w:sz w:val="26"/>
          <w:lang w:eastAsia="en-AU"/>
        </w:rPr>
        <w:t xml:space="preserve">12—Variation </w:t>
      </w:r>
    </w:p>
    <w:p w14:paraId="138EF474" w14:textId="64F93860" w:rsidR="00C65095" w:rsidRPr="00B40A77" w:rsidRDefault="00C65095" w:rsidP="00C65095">
      <w:pPr>
        <w:ind w:left="1701" w:hanging="567"/>
        <w:rPr>
          <w:color w:val="000000" w:themeColor="text1"/>
        </w:rPr>
      </w:pPr>
      <w:r w:rsidRPr="00B40A77">
        <w:rPr>
          <w:color w:val="000000" w:themeColor="text1"/>
        </w:rPr>
        <w:t>Form 171A</w:t>
      </w:r>
      <w:r w:rsidRPr="00B40A77">
        <w:rPr>
          <w:b/>
          <w:color w:val="000000" w:themeColor="text1"/>
          <w:sz w:val="26"/>
          <w:lang w:eastAsia="en-AU"/>
        </w:rPr>
        <w:t>—</w:t>
      </w:r>
      <w:r w:rsidRPr="00B40A77">
        <w:rPr>
          <w:color w:val="000000" w:themeColor="text1"/>
        </w:rPr>
        <w:t>Originating Application to Vary or Revoke an Order</w:t>
      </w:r>
    </w:p>
    <w:p w14:paraId="5CEDDB71" w14:textId="71E01693" w:rsidR="00C65095" w:rsidRPr="00B40A77" w:rsidRDefault="00C65095" w:rsidP="00C65095">
      <w:pPr>
        <w:ind w:left="1701" w:hanging="567"/>
        <w:rPr>
          <w:color w:val="000000" w:themeColor="text1"/>
        </w:rPr>
      </w:pPr>
      <w:r w:rsidRPr="00B40A77">
        <w:rPr>
          <w:color w:val="000000" w:themeColor="text1"/>
        </w:rPr>
        <w:t>Form 171B</w:t>
      </w:r>
      <w:r w:rsidRPr="00B40A77">
        <w:rPr>
          <w:b/>
          <w:color w:val="000000" w:themeColor="text1"/>
          <w:sz w:val="26"/>
          <w:lang w:eastAsia="en-AU"/>
        </w:rPr>
        <w:t>—</w:t>
      </w:r>
      <w:r w:rsidRPr="00B40A77">
        <w:rPr>
          <w:color w:val="000000" w:themeColor="text1"/>
        </w:rPr>
        <w:t>Originating Application to Fix a Non-Parole Period</w:t>
      </w:r>
    </w:p>
    <w:p w14:paraId="57C74FFF" w14:textId="3B8F02F8" w:rsidR="00C65095" w:rsidRPr="00B40A77" w:rsidRDefault="00C65095" w:rsidP="00C65095">
      <w:pPr>
        <w:ind w:left="1701" w:hanging="567"/>
        <w:rPr>
          <w:color w:val="000000" w:themeColor="text1"/>
        </w:rPr>
      </w:pPr>
      <w:r w:rsidRPr="00B40A77">
        <w:rPr>
          <w:color w:val="000000" w:themeColor="text1"/>
        </w:rPr>
        <w:t>Form 171C</w:t>
      </w:r>
      <w:r w:rsidRPr="00B40A77">
        <w:rPr>
          <w:b/>
          <w:color w:val="000000" w:themeColor="text1"/>
          <w:sz w:val="26"/>
          <w:lang w:eastAsia="en-AU"/>
        </w:rPr>
        <w:t>—</w:t>
      </w:r>
      <w:r w:rsidRPr="00B40A77">
        <w:rPr>
          <w:color w:val="000000" w:themeColor="text1"/>
        </w:rPr>
        <w:t>Originating Application to Extend a Non-Parole Period</w:t>
      </w:r>
    </w:p>
    <w:p w14:paraId="7871C3A0" w14:textId="3F29F17A" w:rsidR="00F64B8E" w:rsidRPr="00B40A77" w:rsidRDefault="00F64B8E" w:rsidP="00C65095">
      <w:pPr>
        <w:ind w:left="1701" w:hanging="567"/>
        <w:rPr>
          <w:color w:val="000000" w:themeColor="text1"/>
        </w:rPr>
      </w:pPr>
      <w:r w:rsidRPr="00B40A77">
        <w:rPr>
          <w:color w:val="000000" w:themeColor="text1"/>
        </w:rPr>
        <w:t>Form 174D</w:t>
      </w:r>
      <w:r w:rsidRPr="00B40A77">
        <w:rPr>
          <w:b/>
          <w:color w:val="000000" w:themeColor="text1"/>
          <w:sz w:val="26"/>
          <w:lang w:eastAsia="en-AU"/>
        </w:rPr>
        <w:t>—</w:t>
      </w:r>
      <w:r w:rsidRPr="00B40A77">
        <w:rPr>
          <w:color w:val="000000" w:themeColor="text1"/>
        </w:rPr>
        <w:t>deleted</w:t>
      </w:r>
    </w:p>
    <w:p w14:paraId="1BF386C4" w14:textId="79FC4CE8" w:rsidR="00F64B8E" w:rsidRPr="00B40A77" w:rsidRDefault="00F64B8E" w:rsidP="00C65095">
      <w:pPr>
        <w:ind w:left="1701" w:hanging="567"/>
        <w:rPr>
          <w:color w:val="000000" w:themeColor="text1"/>
          <w:szCs w:val="23"/>
        </w:rPr>
      </w:pPr>
      <w:r w:rsidRPr="00B40A77">
        <w:rPr>
          <w:color w:val="000000" w:themeColor="text1"/>
          <w:szCs w:val="23"/>
        </w:rPr>
        <w:t>Form 174DA</w:t>
      </w:r>
      <w:r w:rsidRPr="00B40A77">
        <w:rPr>
          <w:b/>
          <w:color w:val="000000" w:themeColor="text1"/>
          <w:szCs w:val="23"/>
          <w:lang w:eastAsia="en-AU"/>
        </w:rPr>
        <w:t>—</w:t>
      </w:r>
      <w:r w:rsidRPr="00B40A77">
        <w:rPr>
          <w:color w:val="000000" w:themeColor="text1"/>
          <w:szCs w:val="23"/>
        </w:rPr>
        <w:t>Order – Confirmation, Variation</w:t>
      </w:r>
      <w:r w:rsidR="004A4822">
        <w:rPr>
          <w:color w:val="000000" w:themeColor="text1"/>
          <w:szCs w:val="23"/>
        </w:rPr>
        <w:t>,</w:t>
      </w:r>
      <w:r w:rsidRPr="00B40A77">
        <w:rPr>
          <w:color w:val="000000" w:themeColor="text1"/>
          <w:szCs w:val="23"/>
        </w:rPr>
        <w:t xml:space="preserve"> Revision </w:t>
      </w:r>
      <w:r w:rsidR="004A4822">
        <w:rPr>
          <w:color w:val="000000" w:themeColor="text1"/>
          <w:szCs w:val="23"/>
        </w:rPr>
        <w:t xml:space="preserve">or Revocation </w:t>
      </w:r>
      <w:r w:rsidRPr="00B40A77">
        <w:rPr>
          <w:color w:val="000000" w:themeColor="text1"/>
          <w:szCs w:val="23"/>
        </w:rPr>
        <w:t>of Part 8A Division 4 Criminal Law Consolidation Act Order</w:t>
      </w:r>
    </w:p>
    <w:p w14:paraId="26F41BE5" w14:textId="25E742F6" w:rsidR="00F64B8E" w:rsidRPr="00B40A77" w:rsidRDefault="00F64B8E" w:rsidP="00C65095">
      <w:pPr>
        <w:ind w:left="1701" w:hanging="567"/>
        <w:rPr>
          <w:color w:val="000000" w:themeColor="text1"/>
          <w:szCs w:val="23"/>
        </w:rPr>
      </w:pPr>
      <w:r w:rsidRPr="00B40A77">
        <w:rPr>
          <w:color w:val="000000" w:themeColor="text1"/>
          <w:szCs w:val="23"/>
        </w:rPr>
        <w:t>Form 174DB</w:t>
      </w:r>
      <w:r w:rsidRPr="00B40A77">
        <w:rPr>
          <w:b/>
          <w:color w:val="000000" w:themeColor="text1"/>
          <w:szCs w:val="23"/>
          <w:lang w:eastAsia="en-AU"/>
        </w:rPr>
        <w:t>—</w:t>
      </w:r>
      <w:r w:rsidRPr="00B40A77">
        <w:rPr>
          <w:color w:val="000000" w:themeColor="text1"/>
          <w:szCs w:val="23"/>
        </w:rPr>
        <w:t>Order – Confirmation, Variation or Revision of Part 8A Division 3A Criminal Law Consolidation Act Order</w:t>
      </w:r>
    </w:p>
    <w:p w14:paraId="49C3EBA8" w14:textId="1272E831" w:rsidR="00C65095" w:rsidRPr="00B40A77" w:rsidRDefault="00C65095" w:rsidP="00C65095">
      <w:pPr>
        <w:ind w:left="1701" w:hanging="567"/>
        <w:rPr>
          <w:color w:val="000000" w:themeColor="text1"/>
          <w:szCs w:val="23"/>
        </w:rPr>
      </w:pPr>
      <w:r w:rsidRPr="00B40A77">
        <w:rPr>
          <w:color w:val="000000" w:themeColor="text1"/>
          <w:szCs w:val="23"/>
        </w:rPr>
        <w:t>Form 171E</w:t>
      </w:r>
      <w:r w:rsidRPr="00B40A77">
        <w:rPr>
          <w:b/>
          <w:color w:val="000000" w:themeColor="text1"/>
          <w:szCs w:val="23"/>
          <w:lang w:eastAsia="en-AU"/>
        </w:rPr>
        <w:t>—</w:t>
      </w:r>
      <w:r w:rsidRPr="00B40A77">
        <w:rPr>
          <w:color w:val="000000" w:themeColor="text1"/>
          <w:szCs w:val="23"/>
        </w:rPr>
        <w:t>Originating Application to Vary or Revoke Condition of or Discharge Bond or Obligation</w:t>
      </w:r>
    </w:p>
    <w:p w14:paraId="014BECA7" w14:textId="0D050479" w:rsidR="00C65095" w:rsidRPr="00B40A77" w:rsidRDefault="00C65095" w:rsidP="00C65095">
      <w:pPr>
        <w:ind w:left="1701" w:hanging="567"/>
        <w:rPr>
          <w:color w:val="000000" w:themeColor="text1"/>
        </w:rPr>
      </w:pPr>
      <w:r w:rsidRPr="00B40A77">
        <w:rPr>
          <w:color w:val="000000" w:themeColor="text1"/>
        </w:rPr>
        <w:lastRenderedPageBreak/>
        <w:t>Form 171F</w:t>
      </w:r>
      <w:r w:rsidRPr="00B40A77">
        <w:rPr>
          <w:b/>
          <w:color w:val="000000" w:themeColor="text1"/>
          <w:sz w:val="26"/>
          <w:lang w:eastAsia="en-AU"/>
        </w:rPr>
        <w:t>—</w:t>
      </w:r>
      <w:r w:rsidRPr="00B40A77">
        <w:rPr>
          <w:color w:val="000000" w:themeColor="text1"/>
        </w:rPr>
        <w:t>Originating Application to Discharge or Vary Condition of Recognizance Order</w:t>
      </w:r>
    </w:p>
    <w:p w14:paraId="37FEB252" w14:textId="7C7C9433" w:rsidR="00C65095" w:rsidRPr="00B40A77" w:rsidRDefault="00C65095" w:rsidP="00C65095">
      <w:pPr>
        <w:ind w:left="1701" w:hanging="567"/>
        <w:rPr>
          <w:color w:val="000000" w:themeColor="text1"/>
        </w:rPr>
      </w:pPr>
      <w:r w:rsidRPr="00B40A77">
        <w:rPr>
          <w:color w:val="000000" w:themeColor="text1"/>
        </w:rPr>
        <w:t>Form 171G</w:t>
      </w:r>
      <w:r w:rsidRPr="00B40A77">
        <w:rPr>
          <w:b/>
          <w:color w:val="000000" w:themeColor="text1"/>
          <w:sz w:val="26"/>
          <w:lang w:eastAsia="en-AU"/>
        </w:rPr>
        <w:t>—</w:t>
      </w:r>
      <w:r w:rsidRPr="00B40A77">
        <w:rPr>
          <w:color w:val="000000" w:themeColor="text1"/>
        </w:rPr>
        <w:t>Originating Application for Review, Variation or Revocation of Part 8A Criminal Law Consolidation Act Order</w:t>
      </w:r>
    </w:p>
    <w:p w14:paraId="7CC28C52" w14:textId="479A2149" w:rsidR="00C65095" w:rsidRPr="00B40A77" w:rsidRDefault="00C65095" w:rsidP="00C65095">
      <w:pPr>
        <w:ind w:left="1701" w:hanging="567"/>
        <w:rPr>
          <w:color w:val="000000" w:themeColor="text1"/>
        </w:rPr>
      </w:pPr>
      <w:r w:rsidRPr="00B40A77">
        <w:rPr>
          <w:color w:val="000000" w:themeColor="text1"/>
        </w:rPr>
        <w:t>Form 171HOriginating Application for Variation, Cancellation or Review of Release on Licence pursuant to former section 293A Criminal Law Consolidation Act</w:t>
      </w:r>
    </w:p>
    <w:p w14:paraId="3E1235EC" w14:textId="63F3EE63" w:rsidR="00C65095" w:rsidRPr="00B40A77" w:rsidRDefault="00C65095" w:rsidP="00C65095">
      <w:pPr>
        <w:ind w:left="1701" w:hanging="567"/>
        <w:rPr>
          <w:color w:val="000000" w:themeColor="text1"/>
        </w:rPr>
      </w:pPr>
      <w:r w:rsidRPr="00B40A77">
        <w:rPr>
          <w:color w:val="000000" w:themeColor="text1"/>
        </w:rPr>
        <w:t>Form 171I</w:t>
      </w:r>
      <w:r w:rsidRPr="00B40A77">
        <w:rPr>
          <w:b/>
          <w:color w:val="000000" w:themeColor="text1"/>
          <w:sz w:val="26"/>
          <w:lang w:eastAsia="en-AU"/>
        </w:rPr>
        <w:t>—</w:t>
      </w:r>
      <w:r w:rsidRPr="00B40A77">
        <w:rPr>
          <w:color w:val="000000" w:themeColor="text1"/>
        </w:rPr>
        <w:t>Originating Application for Release on Licence pursuant to former section 293A Criminal Law Consolidation Act</w:t>
      </w:r>
    </w:p>
    <w:p w14:paraId="592134E5" w14:textId="30B5C3A6" w:rsidR="00C65095" w:rsidRPr="00B40A77" w:rsidRDefault="00C65095" w:rsidP="00C65095">
      <w:pPr>
        <w:ind w:left="1701" w:hanging="567"/>
        <w:rPr>
          <w:color w:val="000000" w:themeColor="text1"/>
        </w:rPr>
      </w:pPr>
      <w:r w:rsidRPr="00B40A77">
        <w:rPr>
          <w:color w:val="000000" w:themeColor="text1"/>
        </w:rPr>
        <w:t>Form 171J</w:t>
      </w:r>
      <w:r w:rsidRPr="00B40A77">
        <w:rPr>
          <w:b/>
          <w:color w:val="000000" w:themeColor="text1"/>
          <w:sz w:val="26"/>
          <w:lang w:eastAsia="en-AU"/>
        </w:rPr>
        <w:t>—</w:t>
      </w:r>
      <w:r w:rsidRPr="00B40A77">
        <w:rPr>
          <w:color w:val="000000" w:themeColor="text1"/>
        </w:rPr>
        <w:t>Originating Application for Variation or Discharge of Division 6, 7 or 9 Crimes Act (Cth) Order</w:t>
      </w:r>
    </w:p>
    <w:p w14:paraId="4A4FA64E" w14:textId="487FF108" w:rsidR="00C65095" w:rsidRPr="00B40A77" w:rsidRDefault="00C65095" w:rsidP="00C65095">
      <w:pPr>
        <w:ind w:left="1701" w:hanging="567"/>
        <w:rPr>
          <w:color w:val="000000" w:themeColor="text1"/>
        </w:rPr>
      </w:pPr>
      <w:r w:rsidRPr="00B40A77">
        <w:rPr>
          <w:color w:val="000000" w:themeColor="text1"/>
        </w:rPr>
        <w:t>Form 171K</w:t>
      </w:r>
      <w:r w:rsidRPr="00B40A77">
        <w:rPr>
          <w:b/>
          <w:color w:val="000000" w:themeColor="text1"/>
          <w:sz w:val="26"/>
          <w:lang w:eastAsia="en-AU"/>
        </w:rPr>
        <w:t>—</w:t>
      </w:r>
      <w:r w:rsidRPr="00B40A77">
        <w:rPr>
          <w:color w:val="000000" w:themeColor="text1"/>
        </w:rPr>
        <w:t>Originating Application to Vary or Revoke Licence Disqualification</w:t>
      </w:r>
    </w:p>
    <w:p w14:paraId="17EA2403" w14:textId="7B5B837D" w:rsidR="00C65095" w:rsidRPr="00B40A77" w:rsidRDefault="00C65095" w:rsidP="00C65095">
      <w:pPr>
        <w:ind w:left="1701" w:hanging="567"/>
        <w:rPr>
          <w:color w:val="000000" w:themeColor="text1"/>
        </w:rPr>
      </w:pPr>
      <w:r w:rsidRPr="00B40A77">
        <w:rPr>
          <w:color w:val="000000" w:themeColor="text1"/>
        </w:rPr>
        <w:t>Form 171L</w:t>
      </w:r>
      <w:r w:rsidRPr="00B40A77">
        <w:rPr>
          <w:b/>
          <w:color w:val="000000" w:themeColor="text1"/>
          <w:sz w:val="26"/>
          <w:lang w:eastAsia="en-AU"/>
        </w:rPr>
        <w:t>—</w:t>
      </w:r>
      <w:r w:rsidRPr="00B40A77">
        <w:rPr>
          <w:color w:val="000000" w:themeColor="text1"/>
        </w:rPr>
        <w:t>Originating Application for Youth to be Discharged Absolutely from a Detention Order</w:t>
      </w:r>
    </w:p>
    <w:p w14:paraId="65C332A2" w14:textId="34414BFC" w:rsidR="00C65095" w:rsidRPr="00B40A77" w:rsidRDefault="00C65095" w:rsidP="00C65095">
      <w:pPr>
        <w:ind w:left="1701" w:hanging="567"/>
        <w:rPr>
          <w:color w:val="000000" w:themeColor="text1"/>
        </w:rPr>
      </w:pPr>
      <w:r w:rsidRPr="00B40A77">
        <w:rPr>
          <w:color w:val="000000" w:themeColor="text1"/>
        </w:rPr>
        <w:t>Form 171M</w:t>
      </w:r>
      <w:r w:rsidRPr="00B40A77">
        <w:rPr>
          <w:b/>
          <w:color w:val="000000" w:themeColor="text1"/>
          <w:sz w:val="26"/>
          <w:lang w:eastAsia="en-AU"/>
        </w:rPr>
        <w:t>—</w:t>
      </w:r>
      <w:r w:rsidRPr="00B40A77">
        <w:rPr>
          <w:color w:val="000000" w:themeColor="text1"/>
        </w:rPr>
        <w:t>Originating Application for Person Held in Training Centre to be Transferred to a Prison</w:t>
      </w:r>
    </w:p>
    <w:p w14:paraId="4E788CF7" w14:textId="4BB6CF65" w:rsidR="00C65095" w:rsidRPr="00B40A77" w:rsidRDefault="00C65095" w:rsidP="00C65095">
      <w:pPr>
        <w:ind w:left="1701" w:hanging="567"/>
        <w:rPr>
          <w:color w:val="000000" w:themeColor="text1"/>
        </w:rPr>
      </w:pPr>
      <w:r w:rsidRPr="00B40A77">
        <w:rPr>
          <w:color w:val="000000" w:themeColor="text1"/>
        </w:rPr>
        <w:t>Form 171N</w:t>
      </w:r>
      <w:r w:rsidRPr="00B40A77">
        <w:rPr>
          <w:b/>
          <w:color w:val="000000" w:themeColor="text1"/>
          <w:sz w:val="26"/>
          <w:lang w:eastAsia="en-AU"/>
        </w:rPr>
        <w:t>—</w:t>
      </w:r>
      <w:r w:rsidRPr="00B40A77">
        <w:rPr>
          <w:color w:val="000000" w:themeColor="text1"/>
        </w:rPr>
        <w:t>Originating Application to Revoke Order that a Youth be Transferred to a Prison</w:t>
      </w:r>
    </w:p>
    <w:p w14:paraId="768AFF9E" w14:textId="41196297" w:rsidR="00C65095" w:rsidRPr="00B40A77" w:rsidRDefault="00C65095" w:rsidP="00C65095">
      <w:pPr>
        <w:ind w:left="1701" w:hanging="567"/>
        <w:rPr>
          <w:color w:val="000000" w:themeColor="text1"/>
        </w:rPr>
      </w:pPr>
      <w:r w:rsidRPr="00B40A77">
        <w:rPr>
          <w:color w:val="000000" w:themeColor="text1"/>
        </w:rPr>
        <w:t>Form 172A</w:t>
      </w:r>
      <w:r w:rsidRPr="00B40A77">
        <w:rPr>
          <w:b/>
          <w:color w:val="000000" w:themeColor="text1"/>
          <w:sz w:val="26"/>
          <w:lang w:eastAsia="en-AU"/>
        </w:rPr>
        <w:t>—</w:t>
      </w:r>
      <w:r w:rsidRPr="00B40A77">
        <w:rPr>
          <w:color w:val="000000" w:themeColor="text1"/>
        </w:rPr>
        <w:t>Interlocutory Application for Set Aside and Re-hearing</w:t>
      </w:r>
    </w:p>
    <w:p w14:paraId="59BE2150" w14:textId="6817D72B" w:rsidR="00C65095" w:rsidRPr="00B40A77" w:rsidRDefault="00C65095" w:rsidP="00C65095">
      <w:pPr>
        <w:ind w:left="1701" w:hanging="567"/>
        <w:rPr>
          <w:color w:val="000000" w:themeColor="text1"/>
        </w:rPr>
      </w:pPr>
      <w:r w:rsidRPr="00B40A77">
        <w:rPr>
          <w:color w:val="000000" w:themeColor="text1"/>
        </w:rPr>
        <w:t>Form 172B</w:t>
      </w:r>
      <w:r w:rsidRPr="00B40A77">
        <w:rPr>
          <w:b/>
          <w:color w:val="000000" w:themeColor="text1"/>
          <w:sz w:val="26"/>
          <w:lang w:eastAsia="en-AU"/>
        </w:rPr>
        <w:t>—</w:t>
      </w:r>
      <w:r w:rsidRPr="00B40A77">
        <w:rPr>
          <w:color w:val="000000" w:themeColor="text1"/>
        </w:rPr>
        <w:t>Interlocutory Application for Rescission or Reduction of Bail Forfeiture</w:t>
      </w:r>
    </w:p>
    <w:p w14:paraId="1644FA9A" w14:textId="411C544D" w:rsidR="00C65095" w:rsidRPr="00B40A77" w:rsidRDefault="00C65095" w:rsidP="00C65095">
      <w:pPr>
        <w:ind w:left="1701" w:hanging="567"/>
        <w:rPr>
          <w:color w:val="000000" w:themeColor="text1"/>
        </w:rPr>
      </w:pPr>
      <w:r w:rsidRPr="00B40A77">
        <w:rPr>
          <w:color w:val="000000" w:themeColor="text1"/>
        </w:rPr>
        <w:t>Form 172C</w:t>
      </w:r>
      <w:r w:rsidRPr="00B40A77">
        <w:rPr>
          <w:b/>
          <w:color w:val="000000" w:themeColor="text1"/>
          <w:sz w:val="26"/>
          <w:lang w:eastAsia="en-AU"/>
        </w:rPr>
        <w:t>—</w:t>
      </w:r>
      <w:r w:rsidRPr="00B40A77">
        <w:rPr>
          <w:color w:val="000000" w:themeColor="text1"/>
        </w:rPr>
        <w:t xml:space="preserve">Interlocutory Application to Vary or Revoke Order </w:t>
      </w:r>
      <w:r w:rsidR="00353867" w:rsidRPr="00B40A77">
        <w:rPr>
          <w:color w:val="000000" w:themeColor="text1"/>
        </w:rPr>
        <w:t>–</w:t>
      </w:r>
      <w:r w:rsidRPr="00B40A77">
        <w:rPr>
          <w:color w:val="000000" w:themeColor="text1"/>
        </w:rPr>
        <w:t xml:space="preserve"> Intervention Order</w:t>
      </w:r>
    </w:p>
    <w:p w14:paraId="373800B3" w14:textId="2A3C10AA" w:rsidR="00C65095" w:rsidRPr="00B40A77" w:rsidRDefault="00C65095" w:rsidP="00C65095">
      <w:pPr>
        <w:ind w:left="1701" w:hanging="567"/>
        <w:rPr>
          <w:color w:val="000000" w:themeColor="text1"/>
        </w:rPr>
      </w:pPr>
      <w:r w:rsidRPr="00B40A77">
        <w:rPr>
          <w:color w:val="000000" w:themeColor="text1"/>
        </w:rPr>
        <w:t>Form 173</w:t>
      </w:r>
      <w:r w:rsidRPr="00B40A77">
        <w:rPr>
          <w:b/>
          <w:color w:val="000000" w:themeColor="text1"/>
          <w:sz w:val="26"/>
          <w:lang w:eastAsia="en-AU"/>
        </w:rPr>
        <w:t>—</w:t>
      </w:r>
      <w:r w:rsidRPr="00B40A77">
        <w:rPr>
          <w:color w:val="000000" w:themeColor="text1"/>
        </w:rPr>
        <w:t>Record of Outcome</w:t>
      </w:r>
    </w:p>
    <w:p w14:paraId="00C9B8AF" w14:textId="60B25E18" w:rsidR="00C65095" w:rsidRPr="00B40A77" w:rsidRDefault="00C65095" w:rsidP="00C65095">
      <w:pPr>
        <w:ind w:left="1701" w:hanging="567"/>
        <w:rPr>
          <w:color w:val="000000" w:themeColor="text1"/>
        </w:rPr>
      </w:pPr>
      <w:r w:rsidRPr="00B40A77">
        <w:rPr>
          <w:color w:val="000000" w:themeColor="text1"/>
        </w:rPr>
        <w:t>Form 174A</w:t>
      </w:r>
      <w:r w:rsidRPr="00B40A77">
        <w:rPr>
          <w:b/>
          <w:color w:val="000000" w:themeColor="text1"/>
          <w:sz w:val="26"/>
          <w:lang w:eastAsia="en-AU"/>
        </w:rPr>
        <w:t>—</w:t>
      </w:r>
      <w:r w:rsidRPr="00B40A77">
        <w:rPr>
          <w:color w:val="000000" w:themeColor="text1"/>
        </w:rPr>
        <w:t>Order – Variation of Obligation and Acknowledgement</w:t>
      </w:r>
    </w:p>
    <w:p w14:paraId="55BEC5B9" w14:textId="35D0A48C" w:rsidR="00C65095" w:rsidRPr="00B40A77" w:rsidRDefault="00C65095" w:rsidP="00C65095">
      <w:pPr>
        <w:ind w:left="1701" w:hanging="567"/>
        <w:rPr>
          <w:color w:val="000000" w:themeColor="text1"/>
        </w:rPr>
      </w:pPr>
      <w:r w:rsidRPr="00B40A77">
        <w:rPr>
          <w:color w:val="000000" w:themeColor="text1"/>
        </w:rPr>
        <w:t>Form 174C</w:t>
      </w:r>
      <w:bookmarkStart w:id="1267" w:name="_Hlk136262027"/>
      <w:r w:rsidRPr="00B40A77">
        <w:rPr>
          <w:b/>
          <w:color w:val="000000" w:themeColor="text1"/>
          <w:sz w:val="26"/>
          <w:lang w:eastAsia="en-AU"/>
        </w:rPr>
        <w:t>—</w:t>
      </w:r>
      <w:bookmarkEnd w:id="1267"/>
      <w:r w:rsidRPr="00B40A77">
        <w:rPr>
          <w:color w:val="000000" w:themeColor="text1"/>
        </w:rPr>
        <w:t>Order – Confirmation, Variation or Cancellation of former section 293A Order</w:t>
      </w:r>
    </w:p>
    <w:p w14:paraId="12B4343C" w14:textId="2D279DCB" w:rsidR="00C65095" w:rsidRPr="00B40A77" w:rsidRDefault="00C65095" w:rsidP="00C65095">
      <w:pPr>
        <w:ind w:left="1701" w:hanging="567"/>
        <w:rPr>
          <w:color w:val="000000" w:themeColor="text1"/>
        </w:rPr>
      </w:pPr>
      <w:r w:rsidRPr="00B40A77">
        <w:rPr>
          <w:color w:val="000000" w:themeColor="text1"/>
        </w:rPr>
        <w:t>Form 174D</w:t>
      </w:r>
      <w:r w:rsidRPr="00B40A77">
        <w:rPr>
          <w:b/>
          <w:color w:val="000000" w:themeColor="text1"/>
          <w:sz w:val="26"/>
          <w:lang w:eastAsia="en-AU"/>
        </w:rPr>
        <w:t>—</w:t>
      </w:r>
      <w:r w:rsidR="00283F97" w:rsidRPr="00B40A77">
        <w:rPr>
          <w:color w:val="000000" w:themeColor="text1"/>
        </w:rPr>
        <w:t>deleted</w:t>
      </w:r>
    </w:p>
    <w:p w14:paraId="6F5B9479" w14:textId="77D0505A" w:rsidR="00283F97" w:rsidRPr="00B40A77" w:rsidRDefault="00283F97" w:rsidP="00C65095">
      <w:pPr>
        <w:ind w:left="1701" w:hanging="567"/>
        <w:rPr>
          <w:color w:val="000000" w:themeColor="text1"/>
          <w:szCs w:val="23"/>
        </w:rPr>
      </w:pPr>
      <w:bookmarkStart w:id="1268" w:name="_Hlk136261516"/>
      <w:r w:rsidRPr="00B40A77">
        <w:rPr>
          <w:color w:val="000000" w:themeColor="text1"/>
          <w:szCs w:val="23"/>
        </w:rPr>
        <w:t>Form 174DA</w:t>
      </w:r>
      <w:r w:rsidRPr="00B40A77">
        <w:rPr>
          <w:b/>
          <w:color w:val="000000" w:themeColor="text1"/>
          <w:szCs w:val="23"/>
          <w:lang w:eastAsia="en-AU"/>
        </w:rPr>
        <w:t>—</w:t>
      </w:r>
      <w:r w:rsidRPr="00B40A77">
        <w:rPr>
          <w:color w:val="000000" w:themeColor="text1"/>
          <w:szCs w:val="23"/>
        </w:rPr>
        <w:t>Order – Confirmation, Variation or Revision of Part 8A Division 4 Criminal Law Consolidation Act Order</w:t>
      </w:r>
      <w:bookmarkEnd w:id="1268"/>
    </w:p>
    <w:p w14:paraId="0DA78ACE" w14:textId="300153A4" w:rsidR="00283F97" w:rsidRPr="00B40A77" w:rsidRDefault="00283F97" w:rsidP="00C65095">
      <w:pPr>
        <w:ind w:left="1701" w:hanging="567"/>
        <w:rPr>
          <w:color w:val="000000" w:themeColor="text1"/>
          <w:szCs w:val="23"/>
        </w:rPr>
      </w:pPr>
      <w:bookmarkStart w:id="1269" w:name="_Hlk136261612"/>
      <w:r w:rsidRPr="00B40A77">
        <w:rPr>
          <w:color w:val="000000" w:themeColor="text1"/>
          <w:szCs w:val="23"/>
        </w:rPr>
        <w:t>Form 174DB</w:t>
      </w:r>
      <w:r w:rsidRPr="00B40A77">
        <w:rPr>
          <w:b/>
          <w:color w:val="000000" w:themeColor="text1"/>
          <w:szCs w:val="23"/>
          <w:lang w:eastAsia="en-AU"/>
        </w:rPr>
        <w:t>—</w:t>
      </w:r>
      <w:r w:rsidRPr="00B40A77">
        <w:rPr>
          <w:color w:val="000000" w:themeColor="text1"/>
          <w:szCs w:val="23"/>
        </w:rPr>
        <w:t>Order – Confirmation, Variation or Revision of Part 8A Division 3A Criminal Law Consolidation Act Order</w:t>
      </w:r>
      <w:bookmarkEnd w:id="1269"/>
    </w:p>
    <w:p w14:paraId="2644A190" w14:textId="0C6936ED" w:rsidR="00C65095" w:rsidRPr="00B40A77" w:rsidRDefault="00C65095" w:rsidP="00C65095">
      <w:pPr>
        <w:ind w:left="1701" w:hanging="567"/>
        <w:rPr>
          <w:color w:val="000000" w:themeColor="text1"/>
        </w:rPr>
      </w:pPr>
      <w:r w:rsidRPr="00B40A77">
        <w:rPr>
          <w:color w:val="000000" w:themeColor="text1"/>
        </w:rPr>
        <w:t>Form 174E</w:t>
      </w:r>
      <w:r w:rsidRPr="00B40A77">
        <w:rPr>
          <w:b/>
          <w:color w:val="000000" w:themeColor="text1"/>
          <w:sz w:val="26"/>
          <w:lang w:eastAsia="en-AU"/>
        </w:rPr>
        <w:t>—</w:t>
      </w:r>
      <w:r w:rsidRPr="00B40A77">
        <w:rPr>
          <w:color w:val="000000" w:themeColor="text1"/>
        </w:rPr>
        <w:t>Order – Variation of Division 6, 7 or 9 Crimes Act Order</w:t>
      </w:r>
    </w:p>
    <w:p w14:paraId="31F6DAE5" w14:textId="54F1351E" w:rsidR="00C65095" w:rsidRPr="00B40A77" w:rsidRDefault="00C65095" w:rsidP="00C65095">
      <w:pPr>
        <w:ind w:left="1701" w:hanging="567"/>
        <w:rPr>
          <w:color w:val="000000" w:themeColor="text1"/>
        </w:rPr>
      </w:pPr>
      <w:r w:rsidRPr="00B40A77">
        <w:rPr>
          <w:color w:val="000000" w:themeColor="text1"/>
        </w:rPr>
        <w:t>Form 174F</w:t>
      </w:r>
      <w:r w:rsidRPr="00B40A77">
        <w:rPr>
          <w:b/>
          <w:color w:val="000000" w:themeColor="text1"/>
          <w:sz w:val="26"/>
          <w:lang w:eastAsia="en-AU"/>
        </w:rPr>
        <w:t>—</w:t>
      </w:r>
      <w:r w:rsidRPr="00B40A77">
        <w:rPr>
          <w:color w:val="000000" w:themeColor="text1"/>
        </w:rPr>
        <w:t>Order – Bring Detainee or Licensee from an Institution</w:t>
      </w:r>
    </w:p>
    <w:p w14:paraId="663844E7" w14:textId="5BB9FE02" w:rsidR="00C65095" w:rsidRPr="00B40A77" w:rsidRDefault="00C65095" w:rsidP="00C65095">
      <w:pPr>
        <w:ind w:left="1701" w:hanging="567"/>
        <w:rPr>
          <w:color w:val="000000" w:themeColor="text1"/>
        </w:rPr>
      </w:pPr>
      <w:r w:rsidRPr="00B40A77">
        <w:rPr>
          <w:color w:val="000000" w:themeColor="text1"/>
        </w:rPr>
        <w:t>Form 174G</w:t>
      </w:r>
      <w:r w:rsidRPr="00B40A77">
        <w:rPr>
          <w:b/>
          <w:color w:val="000000" w:themeColor="text1"/>
          <w:sz w:val="26"/>
          <w:lang w:eastAsia="en-AU"/>
        </w:rPr>
        <w:t>—</w:t>
      </w:r>
      <w:r w:rsidRPr="00B40A77">
        <w:rPr>
          <w:color w:val="000000" w:themeColor="text1"/>
        </w:rPr>
        <w:t>Order – Variation or Extension of Community Service Order</w:t>
      </w:r>
    </w:p>
    <w:p w14:paraId="17B83739" w14:textId="17AAB625" w:rsidR="00C65095" w:rsidRPr="00B40A77" w:rsidRDefault="00C65095" w:rsidP="00C65095">
      <w:pPr>
        <w:ind w:left="1701" w:hanging="567"/>
        <w:rPr>
          <w:color w:val="000000" w:themeColor="text1"/>
        </w:rPr>
      </w:pPr>
      <w:r w:rsidRPr="00B40A77">
        <w:rPr>
          <w:color w:val="000000" w:themeColor="text1"/>
        </w:rPr>
        <w:t>Form 174H</w:t>
      </w:r>
      <w:r w:rsidRPr="00B40A77">
        <w:rPr>
          <w:b/>
          <w:color w:val="000000" w:themeColor="text1"/>
          <w:sz w:val="26"/>
          <w:lang w:eastAsia="en-AU"/>
        </w:rPr>
        <w:t>—</w:t>
      </w:r>
      <w:r w:rsidRPr="00B40A77">
        <w:rPr>
          <w:color w:val="000000" w:themeColor="text1"/>
        </w:rPr>
        <w:t xml:space="preserve"> Order for Interim Variation of Intervention Order</w:t>
      </w:r>
    </w:p>
    <w:p w14:paraId="112B4F5D" w14:textId="448FA3C7" w:rsidR="00C65095" w:rsidRPr="00B40A77" w:rsidRDefault="00C65095" w:rsidP="00C65095">
      <w:pPr>
        <w:ind w:left="1701" w:hanging="567"/>
        <w:rPr>
          <w:color w:val="000000" w:themeColor="text1"/>
        </w:rPr>
      </w:pPr>
      <w:r w:rsidRPr="00B40A77">
        <w:rPr>
          <w:color w:val="000000" w:themeColor="text1"/>
        </w:rPr>
        <w:t>Form 174I</w:t>
      </w:r>
      <w:r w:rsidRPr="00B40A77">
        <w:rPr>
          <w:b/>
          <w:color w:val="000000" w:themeColor="text1"/>
          <w:sz w:val="26"/>
          <w:lang w:eastAsia="en-AU"/>
        </w:rPr>
        <w:t>—</w:t>
      </w:r>
      <w:r w:rsidRPr="00B40A77">
        <w:rPr>
          <w:color w:val="000000" w:themeColor="text1"/>
        </w:rPr>
        <w:t>Order for Final Variation or Revocation of Intervention or Problem Gambling Order</w:t>
      </w:r>
    </w:p>
    <w:p w14:paraId="45906B77" w14:textId="558AE800" w:rsidR="00C65095" w:rsidRPr="00B40A77" w:rsidRDefault="00C65095" w:rsidP="00C65095">
      <w:pPr>
        <w:ind w:left="1701" w:hanging="567"/>
        <w:rPr>
          <w:color w:val="000000" w:themeColor="text1"/>
        </w:rPr>
      </w:pPr>
      <w:r w:rsidRPr="00B40A77">
        <w:rPr>
          <w:color w:val="000000" w:themeColor="text1"/>
        </w:rPr>
        <w:t>Form 175A</w:t>
      </w:r>
      <w:r w:rsidRPr="00B40A77">
        <w:rPr>
          <w:b/>
          <w:color w:val="000000" w:themeColor="text1"/>
          <w:sz w:val="26"/>
          <w:lang w:eastAsia="en-AU"/>
        </w:rPr>
        <w:t>—</w:t>
      </w:r>
      <w:r w:rsidRPr="00B40A77">
        <w:rPr>
          <w:color w:val="000000" w:themeColor="text1"/>
        </w:rPr>
        <w:t>Good Behaviour Bond varied</w:t>
      </w:r>
    </w:p>
    <w:p w14:paraId="50779569" w14:textId="4CF3389E" w:rsidR="00C65095" w:rsidRPr="00B40A77" w:rsidRDefault="00C65095" w:rsidP="00C65095">
      <w:pPr>
        <w:ind w:left="1701" w:hanging="567"/>
        <w:rPr>
          <w:color w:val="000000" w:themeColor="text1"/>
        </w:rPr>
      </w:pPr>
      <w:r w:rsidRPr="00B40A77">
        <w:rPr>
          <w:color w:val="000000" w:themeColor="text1"/>
        </w:rPr>
        <w:lastRenderedPageBreak/>
        <w:t>Form 175B</w:t>
      </w:r>
      <w:r w:rsidRPr="00B40A77">
        <w:rPr>
          <w:b/>
          <w:color w:val="000000" w:themeColor="text1"/>
          <w:sz w:val="26"/>
          <w:lang w:eastAsia="en-AU"/>
        </w:rPr>
        <w:t>—</w:t>
      </w:r>
      <w:r w:rsidRPr="00B40A77">
        <w:rPr>
          <w:color w:val="000000" w:themeColor="text1"/>
        </w:rPr>
        <w:t>Suspended Sentence Bond varied</w:t>
      </w:r>
    </w:p>
    <w:p w14:paraId="16ABCD8A" w14:textId="29CFDF77" w:rsidR="00C65095" w:rsidRPr="00B40A77" w:rsidRDefault="00C65095" w:rsidP="00C65095">
      <w:pPr>
        <w:ind w:left="1701" w:hanging="567"/>
        <w:rPr>
          <w:color w:val="000000" w:themeColor="text1"/>
        </w:rPr>
      </w:pPr>
      <w:r w:rsidRPr="00B40A77">
        <w:rPr>
          <w:color w:val="000000" w:themeColor="text1"/>
        </w:rPr>
        <w:t>Form 175C</w:t>
      </w:r>
      <w:r w:rsidRPr="00B40A77">
        <w:rPr>
          <w:b/>
          <w:color w:val="000000" w:themeColor="text1"/>
          <w:sz w:val="26"/>
          <w:lang w:eastAsia="en-AU"/>
        </w:rPr>
        <w:t>—</w:t>
      </w:r>
      <w:r w:rsidRPr="00B40A77">
        <w:rPr>
          <w:color w:val="000000" w:themeColor="text1"/>
        </w:rPr>
        <w:t>Suspended Sentence Obligation varied</w:t>
      </w:r>
    </w:p>
    <w:p w14:paraId="57F8EC4A" w14:textId="26BC9872" w:rsidR="00C65095" w:rsidRPr="00B40A77" w:rsidRDefault="00C65095" w:rsidP="00C65095">
      <w:pPr>
        <w:ind w:left="1701" w:hanging="567"/>
        <w:rPr>
          <w:color w:val="000000" w:themeColor="text1"/>
        </w:rPr>
      </w:pPr>
      <w:r w:rsidRPr="00B40A77">
        <w:rPr>
          <w:color w:val="000000" w:themeColor="text1"/>
        </w:rPr>
        <w:t>Form 175D</w:t>
      </w:r>
      <w:r w:rsidRPr="00B40A77">
        <w:rPr>
          <w:b/>
          <w:color w:val="000000" w:themeColor="text1"/>
          <w:sz w:val="26"/>
          <w:lang w:eastAsia="en-AU"/>
        </w:rPr>
        <w:t>—</w:t>
      </w:r>
      <w:r w:rsidRPr="00B40A77">
        <w:rPr>
          <w:color w:val="000000" w:themeColor="text1"/>
        </w:rPr>
        <w:t>Release Order and Recognizance varied</w:t>
      </w:r>
    </w:p>
    <w:p w14:paraId="038DC5D4" w14:textId="2C311A71" w:rsidR="00C65095" w:rsidRPr="00B40A77" w:rsidRDefault="00C65095" w:rsidP="00C65095">
      <w:pPr>
        <w:ind w:left="1701" w:hanging="567"/>
        <w:rPr>
          <w:color w:val="000000" w:themeColor="text1"/>
        </w:rPr>
      </w:pPr>
      <w:r w:rsidRPr="00B40A77">
        <w:rPr>
          <w:color w:val="000000" w:themeColor="text1"/>
        </w:rPr>
        <w:t>Form 175E</w:t>
      </w:r>
      <w:r w:rsidRPr="00B40A77">
        <w:rPr>
          <w:b/>
          <w:color w:val="000000" w:themeColor="text1"/>
          <w:sz w:val="26"/>
          <w:lang w:eastAsia="en-AU"/>
        </w:rPr>
        <w:t>—</w:t>
      </w:r>
      <w:r w:rsidRPr="00B40A77">
        <w:rPr>
          <w:color w:val="000000" w:themeColor="text1"/>
        </w:rPr>
        <w:t>Order and Recognizance varied</w:t>
      </w:r>
    </w:p>
    <w:p w14:paraId="70EAFB8D" w14:textId="72D03066" w:rsidR="00C65095" w:rsidRPr="00B40A77" w:rsidRDefault="00C65095" w:rsidP="00C65095">
      <w:pPr>
        <w:ind w:left="1701" w:hanging="567"/>
        <w:rPr>
          <w:color w:val="000000" w:themeColor="text1"/>
        </w:rPr>
      </w:pPr>
      <w:r w:rsidRPr="00B40A77">
        <w:rPr>
          <w:color w:val="000000" w:themeColor="text1"/>
        </w:rPr>
        <w:t>Form 176</w:t>
      </w:r>
      <w:r w:rsidRPr="00B40A77">
        <w:rPr>
          <w:b/>
          <w:color w:val="000000" w:themeColor="text1"/>
          <w:sz w:val="26"/>
          <w:lang w:eastAsia="en-AU"/>
        </w:rPr>
        <w:t>—</w:t>
      </w:r>
      <w:r w:rsidRPr="00B40A77">
        <w:rPr>
          <w:color w:val="000000" w:themeColor="text1"/>
        </w:rPr>
        <w:t>Notice of Order – Intervention Orders Act Order</w:t>
      </w:r>
    </w:p>
    <w:p w14:paraId="37A96916" w14:textId="37DDA09B" w:rsidR="004570FA" w:rsidRPr="00B40A77" w:rsidRDefault="00C65095" w:rsidP="00C65095">
      <w:pPr>
        <w:ind w:left="1701" w:hanging="567"/>
        <w:rPr>
          <w:color w:val="000000" w:themeColor="text1"/>
        </w:rPr>
      </w:pPr>
      <w:r w:rsidRPr="00B40A77">
        <w:rPr>
          <w:color w:val="000000" w:themeColor="text1"/>
        </w:rPr>
        <w:t>Form 177</w:t>
      </w:r>
      <w:r w:rsidRPr="00B40A77">
        <w:rPr>
          <w:b/>
          <w:color w:val="000000" w:themeColor="text1"/>
          <w:sz w:val="26"/>
          <w:lang w:eastAsia="en-AU"/>
        </w:rPr>
        <w:t>—</w:t>
      </w:r>
      <w:r w:rsidRPr="00B40A77">
        <w:rPr>
          <w:color w:val="000000" w:themeColor="text1"/>
        </w:rPr>
        <w:t>Notice to Relevant Public Sector Agencies about Intervention Order</w:t>
      </w:r>
    </w:p>
    <w:p w14:paraId="397E3164" w14:textId="16D97AF8" w:rsidR="00C65095" w:rsidRPr="00B40A77" w:rsidRDefault="00C65095" w:rsidP="0007438D">
      <w:pPr>
        <w:ind w:left="1134" w:hanging="567"/>
        <w:rPr>
          <w:b/>
          <w:color w:val="000000" w:themeColor="text1"/>
          <w:sz w:val="26"/>
          <w:lang w:eastAsia="en-AU"/>
        </w:rPr>
      </w:pPr>
      <w:r w:rsidRPr="00B40A77">
        <w:rPr>
          <w:b/>
          <w:color w:val="000000" w:themeColor="text1"/>
          <w:sz w:val="26"/>
          <w:lang w:eastAsia="en-AU"/>
        </w:rPr>
        <w:t>13—</w:t>
      </w:r>
      <w:r w:rsidRPr="00B40A77">
        <w:rPr>
          <w:color w:val="000000" w:themeColor="text1"/>
        </w:rPr>
        <w:t xml:space="preserve"> </w:t>
      </w:r>
      <w:r w:rsidRPr="00B40A77">
        <w:rPr>
          <w:b/>
          <w:color w:val="000000" w:themeColor="text1"/>
          <w:sz w:val="26"/>
          <w:lang w:eastAsia="en-AU"/>
        </w:rPr>
        <w:t xml:space="preserve">Appeal &amp; review </w:t>
      </w:r>
    </w:p>
    <w:p w14:paraId="16733373" w14:textId="5B26BA90" w:rsidR="00C65095" w:rsidRPr="00B40A77" w:rsidRDefault="00C65095" w:rsidP="00C65095">
      <w:pPr>
        <w:ind w:left="1701" w:hanging="567"/>
        <w:rPr>
          <w:color w:val="000000" w:themeColor="text1"/>
        </w:rPr>
      </w:pPr>
      <w:r w:rsidRPr="00B40A77">
        <w:rPr>
          <w:color w:val="000000" w:themeColor="text1"/>
        </w:rPr>
        <w:t>Form 181</w:t>
      </w:r>
      <w:r w:rsidRPr="00B40A77">
        <w:rPr>
          <w:b/>
          <w:color w:val="000000" w:themeColor="text1"/>
          <w:sz w:val="26"/>
          <w:lang w:eastAsia="en-AU"/>
        </w:rPr>
        <w:t>—</w:t>
      </w:r>
      <w:r w:rsidRPr="00B40A77">
        <w:rPr>
          <w:color w:val="000000" w:themeColor="text1"/>
        </w:rPr>
        <w:t xml:space="preserve">Notice of Review </w:t>
      </w:r>
      <w:r w:rsidR="00301F2C" w:rsidRPr="00B40A77">
        <w:rPr>
          <w:color w:val="000000" w:themeColor="text1"/>
        </w:rPr>
        <w:t xml:space="preserve">– </w:t>
      </w:r>
      <w:r w:rsidRPr="00B40A77">
        <w:rPr>
          <w:color w:val="000000" w:themeColor="text1"/>
        </w:rPr>
        <w:t>Bail Review</w:t>
      </w:r>
    </w:p>
    <w:p w14:paraId="23F1661A" w14:textId="1DD65728" w:rsidR="00C65095" w:rsidRDefault="00C65095" w:rsidP="00C65095">
      <w:pPr>
        <w:ind w:left="1701" w:hanging="567"/>
        <w:rPr>
          <w:color w:val="000000" w:themeColor="text1"/>
        </w:rPr>
      </w:pPr>
      <w:r w:rsidRPr="00B40A77">
        <w:rPr>
          <w:color w:val="000000" w:themeColor="text1"/>
        </w:rPr>
        <w:t>Form 182</w:t>
      </w:r>
      <w:r w:rsidRPr="00B40A77">
        <w:rPr>
          <w:b/>
          <w:color w:val="000000" w:themeColor="text1"/>
          <w:sz w:val="26"/>
          <w:lang w:eastAsia="en-AU"/>
        </w:rPr>
        <w:t>—</w:t>
      </w:r>
      <w:r w:rsidRPr="00B40A77">
        <w:rPr>
          <w:color w:val="000000" w:themeColor="text1"/>
        </w:rPr>
        <w:t xml:space="preserve">Notice of </w:t>
      </w:r>
      <w:r w:rsidR="003C17F1">
        <w:rPr>
          <w:color w:val="000000" w:themeColor="text1"/>
        </w:rPr>
        <w:t xml:space="preserve">Intention Not to Proceed with </w:t>
      </w:r>
      <w:r w:rsidRPr="00B40A77">
        <w:rPr>
          <w:color w:val="000000" w:themeColor="text1"/>
        </w:rPr>
        <w:t>Bail Review</w:t>
      </w:r>
    </w:p>
    <w:p w14:paraId="50B4AB30" w14:textId="2BBBEE1B" w:rsidR="004A4822" w:rsidRPr="00B40A77" w:rsidRDefault="004A4822" w:rsidP="00C65095">
      <w:pPr>
        <w:ind w:left="1701" w:hanging="567"/>
        <w:rPr>
          <w:color w:val="000000" w:themeColor="text1"/>
        </w:rPr>
      </w:pPr>
      <w:r>
        <w:rPr>
          <w:color w:val="000000" w:themeColor="text1"/>
        </w:rPr>
        <w:t>Form 182A</w:t>
      </w:r>
      <w:r w:rsidR="00190A28" w:rsidRPr="00B40A77">
        <w:rPr>
          <w:b/>
          <w:color w:val="000000" w:themeColor="text1"/>
          <w:sz w:val="26"/>
          <w:lang w:eastAsia="en-AU"/>
        </w:rPr>
        <w:t>—</w:t>
      </w:r>
      <w:r w:rsidR="00190A28" w:rsidRPr="00190A28">
        <w:rPr>
          <w:color w:val="000000" w:themeColor="text1"/>
        </w:rPr>
        <w:t>Information Sheet</w:t>
      </w:r>
    </w:p>
    <w:p w14:paraId="7425404E" w14:textId="58AD3DEF" w:rsidR="00C65095" w:rsidRPr="00B40A77" w:rsidRDefault="00C65095" w:rsidP="00C65095">
      <w:pPr>
        <w:ind w:left="1701" w:hanging="567"/>
        <w:rPr>
          <w:color w:val="000000" w:themeColor="text1"/>
        </w:rPr>
      </w:pPr>
      <w:r w:rsidRPr="00B40A77">
        <w:rPr>
          <w:color w:val="000000" w:themeColor="text1"/>
        </w:rPr>
        <w:t>Form 183A</w:t>
      </w:r>
      <w:r w:rsidRPr="00B40A77">
        <w:rPr>
          <w:b/>
          <w:color w:val="000000" w:themeColor="text1"/>
          <w:sz w:val="26"/>
          <w:lang w:eastAsia="en-AU"/>
        </w:rPr>
        <w:t>—</w:t>
      </w:r>
      <w:r w:rsidRPr="00B40A77">
        <w:rPr>
          <w:color w:val="000000" w:themeColor="text1"/>
        </w:rPr>
        <w:t>Notice of Appeal against Conviction, Acquittal, Antecedent Decision or Mental Impairment Judgment</w:t>
      </w:r>
    </w:p>
    <w:p w14:paraId="0DB03BC8" w14:textId="092DCECC" w:rsidR="00C65095" w:rsidRPr="00B40A77" w:rsidRDefault="00C65095" w:rsidP="00C65095">
      <w:pPr>
        <w:ind w:left="1701" w:hanging="567"/>
        <w:rPr>
          <w:color w:val="000000" w:themeColor="text1"/>
        </w:rPr>
      </w:pPr>
      <w:r w:rsidRPr="00B40A77">
        <w:rPr>
          <w:color w:val="000000" w:themeColor="text1"/>
        </w:rPr>
        <w:t>Form 183B</w:t>
      </w:r>
      <w:r w:rsidRPr="00B40A77">
        <w:rPr>
          <w:b/>
          <w:color w:val="000000" w:themeColor="text1"/>
          <w:sz w:val="26"/>
          <w:lang w:eastAsia="en-AU"/>
        </w:rPr>
        <w:t>—</w:t>
      </w:r>
      <w:r w:rsidRPr="00B40A77">
        <w:rPr>
          <w:color w:val="000000" w:themeColor="text1"/>
        </w:rPr>
        <w:t>Notice of Second or Subsequent Appeal against Conviction</w:t>
      </w:r>
    </w:p>
    <w:p w14:paraId="2F555588" w14:textId="3D631AD6" w:rsidR="00C65095" w:rsidRPr="00B40A77" w:rsidRDefault="00C65095" w:rsidP="00C65095">
      <w:pPr>
        <w:ind w:left="1701" w:hanging="567"/>
        <w:rPr>
          <w:color w:val="000000" w:themeColor="text1"/>
        </w:rPr>
      </w:pPr>
      <w:r w:rsidRPr="00B40A77">
        <w:rPr>
          <w:color w:val="000000" w:themeColor="text1"/>
        </w:rPr>
        <w:t>Form 183C</w:t>
      </w:r>
      <w:r w:rsidRPr="00B40A77">
        <w:rPr>
          <w:b/>
          <w:color w:val="000000" w:themeColor="text1"/>
          <w:sz w:val="26"/>
          <w:lang w:eastAsia="en-AU"/>
        </w:rPr>
        <w:t>—</w:t>
      </w:r>
      <w:r w:rsidRPr="00B40A77">
        <w:rPr>
          <w:color w:val="000000" w:themeColor="text1"/>
        </w:rPr>
        <w:t>Notice of Appeal against Sentence or Mental Impairment Disposition</w:t>
      </w:r>
    </w:p>
    <w:p w14:paraId="7A2CC8BC" w14:textId="1E095C76" w:rsidR="00C65095" w:rsidRPr="00B40A77" w:rsidRDefault="00C65095" w:rsidP="00C65095">
      <w:pPr>
        <w:ind w:left="1701" w:hanging="567"/>
        <w:rPr>
          <w:color w:val="000000" w:themeColor="text1"/>
        </w:rPr>
      </w:pPr>
      <w:r w:rsidRPr="00B40A77">
        <w:rPr>
          <w:color w:val="000000" w:themeColor="text1"/>
        </w:rPr>
        <w:t>Form 183D</w:t>
      </w:r>
      <w:r w:rsidRPr="00B40A77">
        <w:rPr>
          <w:b/>
          <w:color w:val="000000" w:themeColor="text1"/>
          <w:sz w:val="26"/>
          <w:lang w:eastAsia="en-AU"/>
        </w:rPr>
        <w:t>—</w:t>
      </w:r>
      <w:r w:rsidRPr="00B40A77">
        <w:rPr>
          <w:color w:val="000000" w:themeColor="text1"/>
        </w:rPr>
        <w:t>Notice of Appeal against Other Decision</w:t>
      </w:r>
    </w:p>
    <w:p w14:paraId="4B53F9E6" w14:textId="682CD0BD" w:rsidR="00C65095" w:rsidRPr="00B40A77" w:rsidRDefault="00C65095" w:rsidP="00C65095">
      <w:pPr>
        <w:ind w:left="1701" w:hanging="567"/>
        <w:rPr>
          <w:color w:val="000000" w:themeColor="text1"/>
        </w:rPr>
      </w:pPr>
      <w:r w:rsidRPr="00B40A77">
        <w:rPr>
          <w:color w:val="000000" w:themeColor="text1"/>
        </w:rPr>
        <w:t>Form 183S</w:t>
      </w:r>
      <w:r w:rsidRPr="00B40A77">
        <w:rPr>
          <w:b/>
          <w:color w:val="000000" w:themeColor="text1"/>
          <w:sz w:val="26"/>
          <w:lang w:eastAsia="en-AU"/>
        </w:rPr>
        <w:t>—</w:t>
      </w:r>
      <w:r w:rsidRPr="00B40A77">
        <w:rPr>
          <w:color w:val="000000" w:themeColor="text1"/>
        </w:rPr>
        <w:t>Appeal Grounds (part of Notice of Appeal)</w:t>
      </w:r>
    </w:p>
    <w:p w14:paraId="6F65DC36" w14:textId="1A50D381" w:rsidR="00C65095" w:rsidRPr="00B40A77" w:rsidRDefault="00C65095" w:rsidP="00C65095">
      <w:pPr>
        <w:ind w:left="1701" w:hanging="567"/>
        <w:rPr>
          <w:color w:val="000000" w:themeColor="text1"/>
        </w:rPr>
      </w:pPr>
      <w:r w:rsidRPr="00B40A77">
        <w:rPr>
          <w:color w:val="000000" w:themeColor="text1"/>
        </w:rPr>
        <w:t>Form 183Y</w:t>
      </w:r>
      <w:r w:rsidRPr="00B40A77">
        <w:rPr>
          <w:b/>
          <w:color w:val="000000" w:themeColor="text1"/>
          <w:sz w:val="26"/>
          <w:lang w:eastAsia="en-AU"/>
        </w:rPr>
        <w:t>—</w:t>
      </w:r>
      <w:r w:rsidRPr="00B40A77">
        <w:rPr>
          <w:color w:val="000000" w:themeColor="text1"/>
        </w:rPr>
        <w:t>Notice of Appeal from Interlocutory Judgment of Magistrate</w:t>
      </w:r>
    </w:p>
    <w:p w14:paraId="5DA04F55" w14:textId="29CEC478" w:rsidR="00C65095" w:rsidRPr="00B40A77" w:rsidRDefault="00C65095" w:rsidP="00C65095">
      <w:pPr>
        <w:ind w:left="1701" w:hanging="567"/>
        <w:rPr>
          <w:color w:val="000000" w:themeColor="text1"/>
        </w:rPr>
      </w:pPr>
      <w:r w:rsidRPr="00B40A77">
        <w:rPr>
          <w:color w:val="000000" w:themeColor="text1"/>
        </w:rPr>
        <w:t>Form 184A</w:t>
      </w:r>
      <w:r w:rsidRPr="00B40A77">
        <w:rPr>
          <w:b/>
          <w:color w:val="000000" w:themeColor="text1"/>
          <w:sz w:val="26"/>
          <w:lang w:eastAsia="en-AU"/>
        </w:rPr>
        <w:t>—</w:t>
      </w:r>
      <w:r w:rsidRPr="00B40A77">
        <w:rPr>
          <w:color w:val="000000" w:themeColor="text1"/>
        </w:rPr>
        <w:t>Notice of Cross Appeal against Conviction, Acquittal, Antecedent Decision or Mental Impairment Judgment</w:t>
      </w:r>
    </w:p>
    <w:p w14:paraId="1183A001" w14:textId="7C5409CE" w:rsidR="00C65095" w:rsidRPr="00B40A77" w:rsidRDefault="00C65095" w:rsidP="00C65095">
      <w:pPr>
        <w:ind w:left="1701" w:hanging="567"/>
        <w:rPr>
          <w:color w:val="000000" w:themeColor="text1"/>
        </w:rPr>
      </w:pPr>
      <w:r w:rsidRPr="00B40A77">
        <w:rPr>
          <w:color w:val="000000" w:themeColor="text1"/>
        </w:rPr>
        <w:t>Form 184B</w:t>
      </w:r>
      <w:r w:rsidRPr="00B40A77">
        <w:rPr>
          <w:b/>
          <w:color w:val="000000" w:themeColor="text1"/>
          <w:sz w:val="26"/>
          <w:lang w:eastAsia="en-AU"/>
        </w:rPr>
        <w:t>—</w:t>
      </w:r>
      <w:r w:rsidRPr="00B40A77">
        <w:rPr>
          <w:color w:val="000000" w:themeColor="text1"/>
        </w:rPr>
        <w:t>Notice of Cross Appeal against Sentence or Mental Impairment Disposition</w:t>
      </w:r>
    </w:p>
    <w:p w14:paraId="276EFD49" w14:textId="762D93A6" w:rsidR="00C65095" w:rsidRPr="00B40A77" w:rsidRDefault="00C65095" w:rsidP="00C65095">
      <w:pPr>
        <w:ind w:left="1701" w:hanging="567"/>
        <w:rPr>
          <w:color w:val="000000" w:themeColor="text1"/>
        </w:rPr>
      </w:pPr>
      <w:r w:rsidRPr="00B40A77">
        <w:rPr>
          <w:color w:val="000000" w:themeColor="text1"/>
        </w:rPr>
        <w:t>Form 184C</w:t>
      </w:r>
      <w:r w:rsidRPr="00B40A77">
        <w:rPr>
          <w:b/>
          <w:color w:val="000000" w:themeColor="text1"/>
          <w:sz w:val="26"/>
          <w:lang w:eastAsia="en-AU"/>
        </w:rPr>
        <w:t>—</w:t>
      </w:r>
      <w:r w:rsidR="00301F2C" w:rsidRPr="00B40A77">
        <w:rPr>
          <w:color w:val="000000" w:themeColor="text1"/>
        </w:rPr>
        <w:t>N</w:t>
      </w:r>
      <w:r w:rsidRPr="00B40A77">
        <w:rPr>
          <w:color w:val="000000" w:themeColor="text1"/>
        </w:rPr>
        <w:t>otice of Cross Appeal against Other Decision</w:t>
      </w:r>
    </w:p>
    <w:p w14:paraId="1FDD44D2" w14:textId="4D864A0E" w:rsidR="00C65095" w:rsidRPr="00B40A77" w:rsidRDefault="00C65095" w:rsidP="00C65095">
      <w:pPr>
        <w:ind w:left="1701" w:hanging="567"/>
        <w:rPr>
          <w:color w:val="000000" w:themeColor="text1"/>
        </w:rPr>
      </w:pPr>
      <w:r w:rsidRPr="00B40A77">
        <w:rPr>
          <w:color w:val="000000" w:themeColor="text1"/>
        </w:rPr>
        <w:t>Form 184S</w:t>
      </w:r>
      <w:r w:rsidRPr="00B40A77">
        <w:rPr>
          <w:b/>
          <w:color w:val="000000" w:themeColor="text1"/>
          <w:sz w:val="26"/>
          <w:lang w:eastAsia="en-AU"/>
        </w:rPr>
        <w:t>—</w:t>
      </w:r>
      <w:r w:rsidRPr="00B40A77">
        <w:rPr>
          <w:color w:val="000000" w:themeColor="text1"/>
        </w:rPr>
        <w:t>Cross Appeal Grounds (part of Notice of Cross Appeal)</w:t>
      </w:r>
    </w:p>
    <w:p w14:paraId="25E7C3F8" w14:textId="3D8142B4" w:rsidR="00C65095" w:rsidRPr="00B40A77" w:rsidRDefault="00C65095" w:rsidP="00C65095">
      <w:pPr>
        <w:ind w:left="1701" w:hanging="567"/>
        <w:rPr>
          <w:color w:val="000000" w:themeColor="text1"/>
        </w:rPr>
      </w:pPr>
      <w:r w:rsidRPr="00B40A77">
        <w:rPr>
          <w:color w:val="000000" w:themeColor="text1"/>
        </w:rPr>
        <w:t>Form 185</w:t>
      </w:r>
      <w:r w:rsidRPr="00B40A77">
        <w:rPr>
          <w:b/>
          <w:color w:val="000000" w:themeColor="text1"/>
          <w:sz w:val="26"/>
          <w:lang w:eastAsia="en-AU"/>
        </w:rPr>
        <w:t>—</w:t>
      </w:r>
      <w:r w:rsidRPr="00B40A77">
        <w:rPr>
          <w:color w:val="000000" w:themeColor="text1"/>
        </w:rPr>
        <w:t>Notice of Alternative Contention</w:t>
      </w:r>
    </w:p>
    <w:p w14:paraId="4272435E" w14:textId="7EDC490A" w:rsidR="00C65095" w:rsidRPr="00B40A77" w:rsidRDefault="00C65095" w:rsidP="00C65095">
      <w:pPr>
        <w:ind w:left="1701" w:hanging="567"/>
        <w:rPr>
          <w:color w:val="000000" w:themeColor="text1"/>
        </w:rPr>
      </w:pPr>
      <w:r w:rsidRPr="00B40A77">
        <w:rPr>
          <w:color w:val="000000" w:themeColor="text1"/>
        </w:rPr>
        <w:t>Form 186</w:t>
      </w:r>
      <w:r w:rsidR="00301F2C" w:rsidRPr="00B40A77">
        <w:rPr>
          <w:b/>
          <w:color w:val="000000" w:themeColor="text1"/>
          <w:sz w:val="26"/>
          <w:lang w:eastAsia="en-AU"/>
        </w:rPr>
        <w:t>—</w:t>
      </w:r>
      <w:r w:rsidRPr="00B40A77">
        <w:rPr>
          <w:color w:val="000000" w:themeColor="text1"/>
        </w:rPr>
        <w:t>Prosecution Response to Application for Leave to Appeal</w:t>
      </w:r>
    </w:p>
    <w:p w14:paraId="348F541A" w14:textId="5491F7CD" w:rsidR="00C65095" w:rsidRPr="00B40A77" w:rsidRDefault="00C65095" w:rsidP="00C65095">
      <w:pPr>
        <w:ind w:left="1701" w:hanging="567"/>
        <w:rPr>
          <w:color w:val="000000" w:themeColor="text1"/>
        </w:rPr>
      </w:pPr>
      <w:r w:rsidRPr="00B40A77">
        <w:rPr>
          <w:color w:val="000000" w:themeColor="text1"/>
        </w:rPr>
        <w:t>Form 187</w:t>
      </w:r>
      <w:r w:rsidR="00301F2C" w:rsidRPr="00B40A77">
        <w:rPr>
          <w:b/>
          <w:color w:val="000000" w:themeColor="text1"/>
          <w:sz w:val="26"/>
          <w:lang w:eastAsia="en-AU"/>
        </w:rPr>
        <w:t>—</w:t>
      </w:r>
      <w:r w:rsidRPr="00B40A77">
        <w:rPr>
          <w:color w:val="000000" w:themeColor="text1"/>
        </w:rPr>
        <w:t>Written Submissions</w:t>
      </w:r>
    </w:p>
    <w:p w14:paraId="799A32F2" w14:textId="33D3D394" w:rsidR="00C65095" w:rsidRPr="00B40A77" w:rsidRDefault="00C65095" w:rsidP="00C65095">
      <w:pPr>
        <w:ind w:left="1701" w:hanging="567"/>
        <w:rPr>
          <w:color w:val="000000" w:themeColor="text1"/>
        </w:rPr>
      </w:pPr>
      <w:r w:rsidRPr="00B40A77">
        <w:rPr>
          <w:color w:val="000000" w:themeColor="text1"/>
        </w:rPr>
        <w:t>Form 187A</w:t>
      </w:r>
      <w:r w:rsidR="00301F2C" w:rsidRPr="00B40A77">
        <w:rPr>
          <w:b/>
          <w:color w:val="000000" w:themeColor="text1"/>
          <w:sz w:val="26"/>
          <w:lang w:eastAsia="en-AU"/>
        </w:rPr>
        <w:t>—</w:t>
      </w:r>
      <w:r w:rsidRPr="00B40A77">
        <w:rPr>
          <w:color w:val="000000" w:themeColor="text1"/>
        </w:rPr>
        <w:t>Written Submissions of Appellant (sentence)</w:t>
      </w:r>
    </w:p>
    <w:p w14:paraId="2BA17563" w14:textId="60689C19" w:rsidR="00C65095" w:rsidRPr="00B40A77" w:rsidRDefault="00C65095" w:rsidP="00C65095">
      <w:pPr>
        <w:ind w:left="1701" w:hanging="567"/>
        <w:rPr>
          <w:color w:val="000000" w:themeColor="text1"/>
        </w:rPr>
      </w:pPr>
      <w:r w:rsidRPr="00B40A77">
        <w:rPr>
          <w:color w:val="000000" w:themeColor="text1"/>
        </w:rPr>
        <w:t>Form 187B</w:t>
      </w:r>
      <w:r w:rsidR="00301F2C" w:rsidRPr="00B40A77">
        <w:rPr>
          <w:b/>
          <w:color w:val="000000" w:themeColor="text1"/>
          <w:sz w:val="26"/>
          <w:lang w:eastAsia="en-AU"/>
        </w:rPr>
        <w:t>—</w:t>
      </w:r>
      <w:r w:rsidRPr="00B40A77">
        <w:rPr>
          <w:color w:val="000000" w:themeColor="text1"/>
        </w:rPr>
        <w:t>Written Submissions of Appellant DPP (sentence)</w:t>
      </w:r>
    </w:p>
    <w:p w14:paraId="6C211A06" w14:textId="283941ED" w:rsidR="00C65095" w:rsidRPr="00B40A77" w:rsidRDefault="00C65095" w:rsidP="00C65095">
      <w:pPr>
        <w:ind w:left="1701" w:hanging="567"/>
        <w:rPr>
          <w:color w:val="000000" w:themeColor="text1"/>
        </w:rPr>
      </w:pPr>
      <w:r w:rsidRPr="00B40A77">
        <w:rPr>
          <w:color w:val="000000" w:themeColor="text1"/>
        </w:rPr>
        <w:t>Form 187C</w:t>
      </w:r>
      <w:r w:rsidR="00301F2C" w:rsidRPr="00B40A77">
        <w:rPr>
          <w:b/>
          <w:color w:val="000000" w:themeColor="text1"/>
          <w:sz w:val="26"/>
          <w:lang w:eastAsia="en-AU"/>
        </w:rPr>
        <w:t>—</w:t>
      </w:r>
      <w:r w:rsidRPr="00B40A77">
        <w:rPr>
          <w:color w:val="000000" w:themeColor="text1"/>
        </w:rPr>
        <w:t>Written Submissions of Respondent (sentence)</w:t>
      </w:r>
    </w:p>
    <w:p w14:paraId="4CF047D3" w14:textId="37A2E895" w:rsidR="00C65095" w:rsidRPr="00B40A77" w:rsidRDefault="00C65095" w:rsidP="00C65095">
      <w:pPr>
        <w:ind w:left="1701" w:hanging="567"/>
        <w:rPr>
          <w:color w:val="000000" w:themeColor="text1"/>
        </w:rPr>
      </w:pPr>
      <w:r w:rsidRPr="00B40A77">
        <w:rPr>
          <w:color w:val="000000" w:themeColor="text1"/>
        </w:rPr>
        <w:t>Form 188</w:t>
      </w:r>
      <w:r w:rsidR="00301F2C" w:rsidRPr="00B40A77">
        <w:rPr>
          <w:b/>
          <w:color w:val="000000" w:themeColor="text1"/>
          <w:sz w:val="26"/>
          <w:lang w:eastAsia="en-AU"/>
        </w:rPr>
        <w:t>—</w:t>
      </w:r>
      <w:r w:rsidRPr="00B40A77">
        <w:rPr>
          <w:color w:val="000000" w:themeColor="text1"/>
        </w:rPr>
        <w:t>List of authorities</w:t>
      </w:r>
    </w:p>
    <w:p w14:paraId="39003601" w14:textId="7FC15A8A" w:rsidR="00C65095" w:rsidRPr="00B40A77" w:rsidRDefault="00C65095" w:rsidP="00C65095">
      <w:pPr>
        <w:ind w:left="1701" w:hanging="567"/>
        <w:rPr>
          <w:color w:val="000000" w:themeColor="text1"/>
        </w:rPr>
      </w:pPr>
      <w:r w:rsidRPr="00B40A77">
        <w:rPr>
          <w:color w:val="000000" w:themeColor="text1"/>
        </w:rPr>
        <w:t>Form 189</w:t>
      </w:r>
      <w:r w:rsidR="00301F2C" w:rsidRPr="00B40A77">
        <w:rPr>
          <w:b/>
          <w:color w:val="000000" w:themeColor="text1"/>
          <w:sz w:val="26"/>
          <w:lang w:eastAsia="en-AU"/>
        </w:rPr>
        <w:t>—</w:t>
      </w:r>
      <w:r w:rsidRPr="00B40A77">
        <w:rPr>
          <w:color w:val="000000" w:themeColor="text1"/>
        </w:rPr>
        <w:t>Notice of Judge's Decision to Refuse Application</w:t>
      </w:r>
    </w:p>
    <w:p w14:paraId="5824A1B9" w14:textId="6BCD28E4" w:rsidR="00C65095" w:rsidRPr="00B40A77" w:rsidRDefault="00C65095" w:rsidP="00C65095">
      <w:pPr>
        <w:ind w:left="1701" w:hanging="567"/>
        <w:rPr>
          <w:color w:val="000000" w:themeColor="text1"/>
        </w:rPr>
      </w:pPr>
      <w:r w:rsidRPr="00B40A77">
        <w:rPr>
          <w:color w:val="000000" w:themeColor="text1"/>
        </w:rPr>
        <w:t>Form 190</w:t>
      </w:r>
      <w:r w:rsidR="00301F2C" w:rsidRPr="00B40A77">
        <w:rPr>
          <w:b/>
          <w:color w:val="000000" w:themeColor="text1"/>
          <w:sz w:val="26"/>
          <w:lang w:eastAsia="en-AU"/>
        </w:rPr>
        <w:t>—</w:t>
      </w:r>
      <w:r w:rsidRPr="00B40A77">
        <w:rPr>
          <w:color w:val="000000" w:themeColor="text1"/>
        </w:rPr>
        <w:t>Application for Determination by Court of Appeal</w:t>
      </w:r>
    </w:p>
    <w:p w14:paraId="105D1C7D" w14:textId="73482D47" w:rsidR="00C65095" w:rsidRPr="00B40A77" w:rsidRDefault="00C65095" w:rsidP="00C65095">
      <w:pPr>
        <w:ind w:left="1701" w:hanging="567"/>
        <w:rPr>
          <w:color w:val="000000" w:themeColor="text1"/>
        </w:rPr>
      </w:pPr>
      <w:r w:rsidRPr="00B40A77">
        <w:rPr>
          <w:color w:val="000000" w:themeColor="text1"/>
        </w:rPr>
        <w:t>Form 190</w:t>
      </w:r>
      <w:r w:rsidR="00301F2C" w:rsidRPr="00B40A77">
        <w:rPr>
          <w:b/>
          <w:color w:val="000000" w:themeColor="text1"/>
          <w:sz w:val="26"/>
          <w:lang w:eastAsia="en-AU"/>
        </w:rPr>
        <w:t>—</w:t>
      </w:r>
      <w:r w:rsidRPr="00B40A77">
        <w:rPr>
          <w:color w:val="000000" w:themeColor="text1"/>
        </w:rPr>
        <w:t>Application for Determination by Court of Appeal</w:t>
      </w:r>
    </w:p>
    <w:p w14:paraId="5F1A9890" w14:textId="47BE54EF" w:rsidR="00C65095" w:rsidRPr="00B40A77" w:rsidRDefault="00C65095" w:rsidP="00C65095">
      <w:pPr>
        <w:ind w:left="1701" w:hanging="567"/>
        <w:rPr>
          <w:color w:val="000000" w:themeColor="text1"/>
        </w:rPr>
      </w:pPr>
      <w:r w:rsidRPr="00B40A77">
        <w:rPr>
          <w:color w:val="000000" w:themeColor="text1"/>
        </w:rPr>
        <w:t>Form 191</w:t>
      </w:r>
      <w:r w:rsidR="00301F2C" w:rsidRPr="00B40A77">
        <w:rPr>
          <w:b/>
          <w:color w:val="000000" w:themeColor="text1"/>
          <w:sz w:val="26"/>
          <w:lang w:eastAsia="en-AU"/>
        </w:rPr>
        <w:t>—</w:t>
      </w:r>
      <w:r w:rsidRPr="00B40A77">
        <w:rPr>
          <w:color w:val="000000" w:themeColor="text1"/>
        </w:rPr>
        <w:t>Notice of Discontinuance of Appeal</w:t>
      </w:r>
    </w:p>
    <w:p w14:paraId="49E7ED7E" w14:textId="32FDFAF9" w:rsidR="00C65095" w:rsidRPr="00B40A77" w:rsidRDefault="00C65095" w:rsidP="00C65095">
      <w:pPr>
        <w:ind w:left="1701" w:hanging="567"/>
        <w:rPr>
          <w:color w:val="000000" w:themeColor="text1"/>
        </w:rPr>
      </w:pPr>
      <w:r w:rsidRPr="00B40A77">
        <w:rPr>
          <w:color w:val="000000" w:themeColor="text1"/>
        </w:rPr>
        <w:lastRenderedPageBreak/>
        <w:t>Form 192</w:t>
      </w:r>
      <w:r w:rsidR="00301F2C" w:rsidRPr="00B40A77">
        <w:rPr>
          <w:b/>
          <w:color w:val="000000" w:themeColor="text1"/>
          <w:sz w:val="26"/>
          <w:lang w:eastAsia="en-AU"/>
        </w:rPr>
        <w:t>—</w:t>
      </w:r>
      <w:r w:rsidRPr="00B40A77">
        <w:rPr>
          <w:color w:val="000000" w:themeColor="text1"/>
        </w:rPr>
        <w:t>Notice of Case Stated</w:t>
      </w:r>
    </w:p>
    <w:p w14:paraId="618EE3BF" w14:textId="3AC36FF7" w:rsidR="00C65095" w:rsidRPr="00B40A77" w:rsidRDefault="00C65095" w:rsidP="00C65095">
      <w:pPr>
        <w:ind w:left="1701" w:hanging="567"/>
        <w:rPr>
          <w:color w:val="000000" w:themeColor="text1"/>
        </w:rPr>
      </w:pPr>
      <w:r w:rsidRPr="00B40A77">
        <w:rPr>
          <w:color w:val="000000" w:themeColor="text1"/>
        </w:rPr>
        <w:t>Form 193</w:t>
      </w:r>
      <w:r w:rsidR="00301F2C" w:rsidRPr="00B40A77">
        <w:rPr>
          <w:b/>
          <w:color w:val="000000" w:themeColor="text1"/>
          <w:sz w:val="26"/>
          <w:lang w:eastAsia="en-AU"/>
        </w:rPr>
        <w:t>—</w:t>
      </w:r>
      <w:r w:rsidRPr="00B40A77">
        <w:rPr>
          <w:color w:val="000000" w:themeColor="text1"/>
        </w:rPr>
        <w:t>Originating Application for Reservation of Question to Court of Appeal</w:t>
      </w:r>
    </w:p>
    <w:p w14:paraId="17A3F30F" w14:textId="4FB50EEE" w:rsidR="00C65095" w:rsidRPr="00B40A77" w:rsidRDefault="00C65095" w:rsidP="00C65095">
      <w:pPr>
        <w:ind w:left="1701" w:hanging="567"/>
        <w:rPr>
          <w:color w:val="000000" w:themeColor="text1"/>
        </w:rPr>
      </w:pPr>
      <w:r w:rsidRPr="00B40A77">
        <w:rPr>
          <w:color w:val="000000" w:themeColor="text1"/>
        </w:rPr>
        <w:t>Form 194</w:t>
      </w:r>
      <w:r w:rsidR="00301F2C" w:rsidRPr="00B40A77">
        <w:rPr>
          <w:b/>
          <w:color w:val="000000" w:themeColor="text1"/>
          <w:sz w:val="26"/>
          <w:lang w:eastAsia="en-AU"/>
        </w:rPr>
        <w:t>—</w:t>
      </w:r>
      <w:r w:rsidRPr="00B40A77">
        <w:rPr>
          <w:color w:val="000000" w:themeColor="text1"/>
        </w:rPr>
        <w:t>Notice of Reference on Petition of Mercy</w:t>
      </w:r>
    </w:p>
    <w:p w14:paraId="1284FE6A" w14:textId="700AA3E3" w:rsidR="00C65095" w:rsidRPr="00B40A77" w:rsidRDefault="00C65095" w:rsidP="00C65095">
      <w:pPr>
        <w:ind w:left="1701" w:hanging="567"/>
        <w:rPr>
          <w:color w:val="000000" w:themeColor="text1"/>
        </w:rPr>
      </w:pPr>
      <w:r w:rsidRPr="00B40A77">
        <w:rPr>
          <w:color w:val="000000" w:themeColor="text1"/>
        </w:rPr>
        <w:t>Form 195</w:t>
      </w:r>
      <w:r w:rsidR="00301F2C" w:rsidRPr="00B40A77">
        <w:rPr>
          <w:b/>
          <w:color w:val="000000" w:themeColor="text1"/>
          <w:sz w:val="26"/>
          <w:lang w:eastAsia="en-AU"/>
        </w:rPr>
        <w:t>—</w:t>
      </w:r>
      <w:r w:rsidRPr="00B40A77">
        <w:rPr>
          <w:color w:val="000000" w:themeColor="text1"/>
        </w:rPr>
        <w:t>Notice of Application for Retrial</w:t>
      </w:r>
    </w:p>
    <w:p w14:paraId="1320E175" w14:textId="633E3D17" w:rsidR="00C65095" w:rsidRPr="00B40A77" w:rsidRDefault="00C65095" w:rsidP="00C65095">
      <w:pPr>
        <w:ind w:left="1701" w:hanging="567"/>
        <w:rPr>
          <w:color w:val="000000" w:themeColor="text1"/>
        </w:rPr>
      </w:pPr>
      <w:r w:rsidRPr="00B40A77">
        <w:rPr>
          <w:color w:val="000000" w:themeColor="text1"/>
        </w:rPr>
        <w:t>Form 196</w:t>
      </w:r>
      <w:r w:rsidR="00301F2C" w:rsidRPr="00B40A77">
        <w:rPr>
          <w:b/>
          <w:color w:val="000000" w:themeColor="text1"/>
          <w:sz w:val="26"/>
          <w:lang w:eastAsia="en-AU"/>
        </w:rPr>
        <w:t>—</w:t>
      </w:r>
      <w:r w:rsidRPr="00B40A77">
        <w:rPr>
          <w:color w:val="000000" w:themeColor="text1"/>
        </w:rPr>
        <w:t>Notice of Appeal Hearing</w:t>
      </w:r>
    </w:p>
    <w:p w14:paraId="6F75FAC6" w14:textId="63EAEF1B" w:rsidR="00C65095" w:rsidRPr="00B40A77" w:rsidRDefault="00C65095" w:rsidP="00C65095">
      <w:pPr>
        <w:ind w:left="1701" w:hanging="567"/>
        <w:rPr>
          <w:color w:val="000000" w:themeColor="text1"/>
        </w:rPr>
      </w:pPr>
      <w:r w:rsidRPr="00B40A77">
        <w:rPr>
          <w:color w:val="000000" w:themeColor="text1"/>
        </w:rPr>
        <w:t>Form 196</w:t>
      </w:r>
      <w:r w:rsidR="00301F2C" w:rsidRPr="00B40A77">
        <w:rPr>
          <w:b/>
          <w:color w:val="000000" w:themeColor="text1"/>
          <w:sz w:val="26"/>
          <w:lang w:eastAsia="en-AU"/>
        </w:rPr>
        <w:t>—</w:t>
      </w:r>
      <w:r w:rsidRPr="00B40A77">
        <w:rPr>
          <w:color w:val="000000" w:themeColor="text1"/>
        </w:rPr>
        <w:t>Notice of Appeal Hearing (Youth Court)</w:t>
      </w:r>
    </w:p>
    <w:p w14:paraId="1C2283C1" w14:textId="3E9340CD" w:rsidR="00C65095" w:rsidRPr="00B40A77" w:rsidRDefault="00C65095" w:rsidP="00C65095">
      <w:pPr>
        <w:ind w:left="1701" w:hanging="567"/>
        <w:rPr>
          <w:color w:val="000000" w:themeColor="text1"/>
        </w:rPr>
      </w:pPr>
      <w:r w:rsidRPr="00B40A77">
        <w:rPr>
          <w:color w:val="000000" w:themeColor="text1"/>
        </w:rPr>
        <w:t>Form 197</w:t>
      </w:r>
      <w:r w:rsidR="00301F2C" w:rsidRPr="00B40A77">
        <w:rPr>
          <w:b/>
          <w:color w:val="000000" w:themeColor="text1"/>
          <w:sz w:val="26"/>
          <w:lang w:eastAsia="en-AU"/>
        </w:rPr>
        <w:t>—</w:t>
      </w:r>
      <w:r w:rsidRPr="00B40A77">
        <w:rPr>
          <w:color w:val="000000" w:themeColor="text1"/>
        </w:rPr>
        <w:t>Notice of Hearing of Application for Leave to Appeal</w:t>
      </w:r>
    </w:p>
    <w:p w14:paraId="73254679" w14:textId="3229C593" w:rsidR="00C65095" w:rsidRPr="00B40A77" w:rsidRDefault="00C65095" w:rsidP="00C65095">
      <w:pPr>
        <w:ind w:left="1701" w:hanging="567"/>
        <w:rPr>
          <w:color w:val="000000" w:themeColor="text1"/>
        </w:rPr>
      </w:pPr>
      <w:r w:rsidRPr="00B40A77">
        <w:rPr>
          <w:color w:val="000000" w:themeColor="text1"/>
        </w:rPr>
        <w:t>Form 198</w:t>
      </w:r>
      <w:r w:rsidR="00301F2C" w:rsidRPr="00B40A77">
        <w:rPr>
          <w:b/>
          <w:color w:val="000000" w:themeColor="text1"/>
          <w:sz w:val="26"/>
          <w:lang w:eastAsia="en-AU"/>
        </w:rPr>
        <w:t>—</w:t>
      </w:r>
      <w:r w:rsidRPr="00B40A77">
        <w:rPr>
          <w:color w:val="000000" w:themeColor="text1"/>
        </w:rPr>
        <w:t>Record of Outcome</w:t>
      </w:r>
    </w:p>
    <w:p w14:paraId="37529567" w14:textId="57DD6C46" w:rsidR="00C65095" w:rsidRPr="00B40A77" w:rsidRDefault="00C65095" w:rsidP="00C65095">
      <w:pPr>
        <w:ind w:left="1701" w:hanging="567"/>
        <w:rPr>
          <w:color w:val="000000" w:themeColor="text1"/>
        </w:rPr>
      </w:pPr>
      <w:r w:rsidRPr="00B40A77">
        <w:rPr>
          <w:color w:val="000000" w:themeColor="text1"/>
        </w:rPr>
        <w:t>Form 199</w:t>
      </w:r>
      <w:r w:rsidR="00301F2C" w:rsidRPr="00B40A77">
        <w:rPr>
          <w:b/>
          <w:color w:val="000000" w:themeColor="text1"/>
          <w:sz w:val="26"/>
          <w:lang w:eastAsia="en-AU"/>
        </w:rPr>
        <w:t>—</w:t>
      </w:r>
      <w:r w:rsidRPr="00B40A77">
        <w:rPr>
          <w:color w:val="000000" w:themeColor="text1"/>
        </w:rPr>
        <w:t>Order</w:t>
      </w:r>
    </w:p>
    <w:p w14:paraId="763A6F59" w14:textId="7B2D61BE" w:rsidR="00C65095" w:rsidRPr="00B40A77" w:rsidRDefault="00C65095" w:rsidP="00C65095">
      <w:pPr>
        <w:ind w:left="1701" w:hanging="567"/>
        <w:rPr>
          <w:color w:val="000000" w:themeColor="text1"/>
        </w:rPr>
      </w:pPr>
      <w:r w:rsidRPr="00B40A77">
        <w:rPr>
          <w:color w:val="000000" w:themeColor="text1"/>
        </w:rPr>
        <w:t>Form 199Y</w:t>
      </w:r>
      <w:r w:rsidR="00301F2C" w:rsidRPr="00B40A77">
        <w:rPr>
          <w:b/>
          <w:color w:val="000000" w:themeColor="text1"/>
          <w:sz w:val="26"/>
          <w:lang w:eastAsia="en-AU"/>
        </w:rPr>
        <w:t>—</w:t>
      </w:r>
      <w:r w:rsidRPr="00B40A77">
        <w:rPr>
          <w:color w:val="000000" w:themeColor="text1"/>
        </w:rPr>
        <w:t xml:space="preserve">Order </w:t>
      </w:r>
      <w:r w:rsidR="00301F2C" w:rsidRPr="00B40A77">
        <w:rPr>
          <w:color w:val="000000" w:themeColor="text1"/>
        </w:rPr>
        <w:t xml:space="preserve">– </w:t>
      </w:r>
      <w:r w:rsidRPr="00B40A77">
        <w:rPr>
          <w:color w:val="000000" w:themeColor="text1"/>
        </w:rPr>
        <w:t>Youth Court Interlocutory Appeal</w:t>
      </w:r>
    </w:p>
    <w:p w14:paraId="688B9059" w14:textId="015042B0" w:rsidR="00C65095" w:rsidRPr="00B40A77" w:rsidRDefault="00C65095" w:rsidP="00C65095">
      <w:pPr>
        <w:ind w:left="1701" w:hanging="567"/>
        <w:rPr>
          <w:color w:val="000000" w:themeColor="text1"/>
        </w:rPr>
      </w:pPr>
      <w:r w:rsidRPr="00B40A77">
        <w:rPr>
          <w:color w:val="000000" w:themeColor="text1"/>
        </w:rPr>
        <w:t>Form 200</w:t>
      </w:r>
      <w:r w:rsidR="00301F2C" w:rsidRPr="00B40A77">
        <w:rPr>
          <w:b/>
          <w:color w:val="000000" w:themeColor="text1"/>
          <w:sz w:val="26"/>
          <w:lang w:eastAsia="en-AU"/>
        </w:rPr>
        <w:t>—</w:t>
      </w:r>
      <w:r w:rsidRPr="00B40A77">
        <w:rPr>
          <w:color w:val="000000" w:themeColor="text1"/>
        </w:rPr>
        <w:t>Notice of Final Determination of Appellate Proceeding</w:t>
      </w:r>
    </w:p>
    <w:p w14:paraId="7F1AFCC7" w14:textId="67019254" w:rsidR="00301F2C" w:rsidRPr="00B40A77" w:rsidRDefault="00301F2C" w:rsidP="0007438D">
      <w:pPr>
        <w:ind w:left="1134" w:hanging="567"/>
        <w:rPr>
          <w:b/>
          <w:color w:val="000000" w:themeColor="text1"/>
          <w:sz w:val="26"/>
          <w:lang w:eastAsia="en-AU"/>
        </w:rPr>
      </w:pPr>
      <w:r w:rsidRPr="00B40A77">
        <w:rPr>
          <w:b/>
          <w:color w:val="000000" w:themeColor="text1"/>
          <w:sz w:val="26"/>
          <w:lang w:eastAsia="en-AU"/>
        </w:rPr>
        <w:t xml:space="preserve">14—Enforcement </w:t>
      </w:r>
    </w:p>
    <w:p w14:paraId="52F6C4FF" w14:textId="4B83B717" w:rsidR="00301F2C" w:rsidRPr="00B40A77" w:rsidRDefault="00301F2C" w:rsidP="00301F2C">
      <w:pPr>
        <w:ind w:left="1701" w:hanging="567"/>
        <w:rPr>
          <w:color w:val="000000" w:themeColor="text1"/>
        </w:rPr>
      </w:pPr>
      <w:r w:rsidRPr="00B40A77">
        <w:rPr>
          <w:color w:val="000000" w:themeColor="text1"/>
        </w:rPr>
        <w:t>Form 211</w:t>
      </w:r>
      <w:r w:rsidRPr="00B40A77">
        <w:rPr>
          <w:b/>
          <w:color w:val="000000" w:themeColor="text1"/>
          <w:sz w:val="26"/>
          <w:lang w:eastAsia="en-AU"/>
        </w:rPr>
        <w:t>—</w:t>
      </w:r>
      <w:r w:rsidRPr="00B40A77">
        <w:rPr>
          <w:color w:val="000000" w:themeColor="text1"/>
        </w:rPr>
        <w:t>Originating Application for Enforcement Order</w:t>
      </w:r>
    </w:p>
    <w:p w14:paraId="5FF042AD" w14:textId="1713C925" w:rsidR="00301F2C" w:rsidRPr="00B40A77" w:rsidRDefault="00301F2C" w:rsidP="00301F2C">
      <w:pPr>
        <w:ind w:left="1701" w:hanging="567"/>
        <w:rPr>
          <w:color w:val="000000" w:themeColor="text1"/>
        </w:rPr>
      </w:pPr>
      <w:r w:rsidRPr="00B40A77">
        <w:rPr>
          <w:color w:val="000000" w:themeColor="text1"/>
        </w:rPr>
        <w:t>Form 212</w:t>
      </w:r>
      <w:r w:rsidRPr="00B40A77">
        <w:rPr>
          <w:b/>
          <w:color w:val="000000" w:themeColor="text1"/>
          <w:sz w:val="26"/>
          <w:lang w:eastAsia="en-AU"/>
        </w:rPr>
        <w:t>—</w:t>
      </w:r>
      <w:r w:rsidRPr="00B40A77">
        <w:rPr>
          <w:color w:val="000000" w:themeColor="text1"/>
        </w:rPr>
        <w:t>Summons to Defendant</w:t>
      </w:r>
    </w:p>
    <w:p w14:paraId="1F3AD119" w14:textId="6D185779" w:rsidR="00301F2C" w:rsidRPr="00B40A77" w:rsidRDefault="00301F2C" w:rsidP="00301F2C">
      <w:pPr>
        <w:ind w:left="1701" w:hanging="567"/>
        <w:rPr>
          <w:color w:val="000000" w:themeColor="text1"/>
        </w:rPr>
      </w:pPr>
      <w:r w:rsidRPr="00B40A77">
        <w:rPr>
          <w:color w:val="000000" w:themeColor="text1"/>
        </w:rPr>
        <w:t>Form 213A</w:t>
      </w:r>
      <w:r w:rsidRPr="00B40A77">
        <w:rPr>
          <w:b/>
          <w:color w:val="000000" w:themeColor="text1"/>
          <w:sz w:val="26"/>
          <w:lang w:eastAsia="en-AU"/>
        </w:rPr>
        <w:t>—</w:t>
      </w:r>
      <w:r w:rsidRPr="00B40A77">
        <w:rPr>
          <w:color w:val="000000" w:themeColor="text1"/>
        </w:rPr>
        <w:t>Information to Enforce Order (Cth)</w:t>
      </w:r>
    </w:p>
    <w:p w14:paraId="2E74754A" w14:textId="59E09E4A" w:rsidR="00301F2C" w:rsidRPr="00B40A77" w:rsidRDefault="00301F2C" w:rsidP="00301F2C">
      <w:pPr>
        <w:ind w:left="1701" w:hanging="567"/>
        <w:rPr>
          <w:color w:val="000000" w:themeColor="text1"/>
        </w:rPr>
      </w:pPr>
      <w:r w:rsidRPr="00B40A77">
        <w:rPr>
          <w:color w:val="000000" w:themeColor="text1"/>
        </w:rPr>
        <w:t>Form 213B</w:t>
      </w:r>
      <w:r w:rsidRPr="00B40A77">
        <w:rPr>
          <w:b/>
          <w:color w:val="000000" w:themeColor="text1"/>
          <w:sz w:val="26"/>
          <w:lang w:eastAsia="en-AU"/>
        </w:rPr>
        <w:t>—</w:t>
      </w:r>
      <w:r w:rsidRPr="00B40A77">
        <w:rPr>
          <w:color w:val="000000" w:themeColor="text1"/>
        </w:rPr>
        <w:t>Information and Summons to Enforce Order (Cth)</w:t>
      </w:r>
    </w:p>
    <w:p w14:paraId="44C45D1E" w14:textId="192554ED" w:rsidR="00301F2C" w:rsidRPr="00B40A77" w:rsidRDefault="00301F2C" w:rsidP="00301F2C">
      <w:pPr>
        <w:ind w:left="1701" w:hanging="567"/>
        <w:rPr>
          <w:color w:val="000000" w:themeColor="text1"/>
        </w:rPr>
      </w:pPr>
      <w:r w:rsidRPr="00B40A77">
        <w:rPr>
          <w:color w:val="000000" w:themeColor="text1"/>
        </w:rPr>
        <w:t>Form 214</w:t>
      </w:r>
      <w:r w:rsidRPr="00B40A77">
        <w:rPr>
          <w:b/>
          <w:color w:val="000000" w:themeColor="text1"/>
          <w:sz w:val="26"/>
          <w:lang w:eastAsia="en-AU"/>
        </w:rPr>
        <w:t>—</w:t>
      </w:r>
      <w:r w:rsidRPr="00B40A77">
        <w:rPr>
          <w:color w:val="000000" w:themeColor="text1"/>
        </w:rPr>
        <w:t>Warrant of Apprehension</w:t>
      </w:r>
    </w:p>
    <w:p w14:paraId="3C351B72" w14:textId="4837CBFC" w:rsidR="00301F2C" w:rsidRPr="00B40A77" w:rsidRDefault="00301F2C" w:rsidP="00301F2C">
      <w:pPr>
        <w:ind w:left="1701" w:hanging="567"/>
        <w:rPr>
          <w:color w:val="000000" w:themeColor="text1"/>
        </w:rPr>
      </w:pPr>
      <w:r w:rsidRPr="00B40A77">
        <w:rPr>
          <w:color w:val="000000" w:themeColor="text1"/>
        </w:rPr>
        <w:t>Form 215</w:t>
      </w:r>
      <w:r w:rsidRPr="00B40A77">
        <w:rPr>
          <w:b/>
          <w:color w:val="000000" w:themeColor="text1"/>
          <w:sz w:val="26"/>
          <w:lang w:eastAsia="en-AU"/>
        </w:rPr>
        <w:t>—</w:t>
      </w:r>
      <w:r w:rsidRPr="00B40A77">
        <w:rPr>
          <w:color w:val="000000" w:themeColor="text1"/>
        </w:rPr>
        <w:t xml:space="preserve">Record of Outcome </w:t>
      </w:r>
    </w:p>
    <w:p w14:paraId="3210875F" w14:textId="39EF5999" w:rsidR="00301F2C" w:rsidRPr="00B40A77" w:rsidRDefault="00301F2C" w:rsidP="00301F2C">
      <w:pPr>
        <w:ind w:left="1701" w:hanging="567"/>
        <w:rPr>
          <w:color w:val="000000" w:themeColor="text1"/>
        </w:rPr>
      </w:pPr>
      <w:r w:rsidRPr="00B40A77">
        <w:rPr>
          <w:color w:val="000000" w:themeColor="text1"/>
        </w:rPr>
        <w:t>Form 216A</w:t>
      </w:r>
      <w:r w:rsidRPr="00B40A77">
        <w:rPr>
          <w:b/>
          <w:color w:val="000000" w:themeColor="text1"/>
          <w:sz w:val="26"/>
          <w:lang w:eastAsia="en-AU"/>
        </w:rPr>
        <w:t>—</w:t>
      </w:r>
      <w:r w:rsidRPr="00B40A77">
        <w:rPr>
          <w:color w:val="000000" w:themeColor="text1"/>
        </w:rPr>
        <w:t>Order Varying Home Detention Order and Acknowledgement</w:t>
      </w:r>
    </w:p>
    <w:p w14:paraId="3F260D45" w14:textId="2E4D1F92" w:rsidR="00301F2C" w:rsidRPr="00B40A77" w:rsidRDefault="00301F2C" w:rsidP="00301F2C">
      <w:pPr>
        <w:ind w:left="1701" w:hanging="567"/>
        <w:rPr>
          <w:color w:val="000000" w:themeColor="text1"/>
        </w:rPr>
      </w:pPr>
      <w:r w:rsidRPr="00B40A77">
        <w:rPr>
          <w:color w:val="000000" w:themeColor="text1"/>
        </w:rPr>
        <w:t>Form 216B</w:t>
      </w:r>
      <w:r w:rsidRPr="00B40A77">
        <w:rPr>
          <w:b/>
          <w:color w:val="000000" w:themeColor="text1"/>
          <w:sz w:val="26"/>
          <w:lang w:eastAsia="en-AU"/>
        </w:rPr>
        <w:t>—</w:t>
      </w:r>
      <w:r w:rsidRPr="00B40A77">
        <w:rPr>
          <w:color w:val="000000" w:themeColor="text1"/>
        </w:rPr>
        <w:t>Order Varying Intensive Correction Order and Acknowledgement</w:t>
      </w:r>
    </w:p>
    <w:p w14:paraId="31D7EE07" w14:textId="3714D209" w:rsidR="00301F2C" w:rsidRPr="00B40A77" w:rsidRDefault="00301F2C" w:rsidP="00301F2C">
      <w:pPr>
        <w:ind w:left="1701" w:hanging="567"/>
        <w:rPr>
          <w:color w:val="000000" w:themeColor="text1"/>
        </w:rPr>
      </w:pPr>
      <w:r w:rsidRPr="00B40A77">
        <w:rPr>
          <w:color w:val="000000" w:themeColor="text1"/>
        </w:rPr>
        <w:t>Form 217</w:t>
      </w:r>
      <w:r w:rsidRPr="00B40A77">
        <w:rPr>
          <w:b/>
          <w:color w:val="000000" w:themeColor="text1"/>
          <w:sz w:val="26"/>
          <w:lang w:eastAsia="en-AU"/>
        </w:rPr>
        <w:t>—</w:t>
      </w:r>
      <w:r w:rsidRPr="00B40A77">
        <w:rPr>
          <w:color w:val="000000" w:themeColor="text1"/>
        </w:rPr>
        <w:t>Warrant of Commitment or Mandate for Detention – Enforcement of Community Service Order or Non-Pecuniary Order</w:t>
      </w:r>
    </w:p>
    <w:p w14:paraId="43D353D7" w14:textId="38B0F8E4" w:rsidR="00301F2C" w:rsidRPr="00B40A77" w:rsidRDefault="00301F2C" w:rsidP="00301F2C">
      <w:pPr>
        <w:ind w:left="1701" w:hanging="567"/>
        <w:rPr>
          <w:color w:val="000000" w:themeColor="text1"/>
        </w:rPr>
      </w:pPr>
      <w:r w:rsidRPr="00B40A77">
        <w:rPr>
          <w:color w:val="000000" w:themeColor="text1"/>
        </w:rPr>
        <w:t>Form 218</w:t>
      </w:r>
      <w:r w:rsidRPr="00B40A77">
        <w:rPr>
          <w:b/>
          <w:color w:val="000000" w:themeColor="text1"/>
          <w:sz w:val="26"/>
          <w:lang w:eastAsia="en-AU"/>
        </w:rPr>
        <w:t>—</w:t>
      </w:r>
      <w:r w:rsidRPr="00B40A77">
        <w:rPr>
          <w:color w:val="000000" w:themeColor="text1"/>
        </w:rPr>
        <w:t>Warrant of Commitment – Contempt</w:t>
      </w:r>
    </w:p>
    <w:p w14:paraId="03EC2DC5" w14:textId="4C56A32B" w:rsidR="00301F2C" w:rsidRPr="00B40A77" w:rsidRDefault="00301F2C" w:rsidP="00301F2C">
      <w:pPr>
        <w:ind w:left="1701" w:hanging="567"/>
        <w:rPr>
          <w:color w:val="000000" w:themeColor="text1"/>
        </w:rPr>
      </w:pPr>
      <w:r w:rsidRPr="00B40A77">
        <w:rPr>
          <w:color w:val="000000" w:themeColor="text1"/>
        </w:rPr>
        <w:t>Form 219</w:t>
      </w:r>
      <w:r w:rsidRPr="00B40A77">
        <w:rPr>
          <w:b/>
          <w:color w:val="000000" w:themeColor="text1"/>
          <w:sz w:val="26"/>
          <w:lang w:eastAsia="en-AU"/>
        </w:rPr>
        <w:t>—</w:t>
      </w:r>
      <w:r w:rsidRPr="00B40A77">
        <w:rPr>
          <w:color w:val="000000" w:themeColor="text1"/>
        </w:rPr>
        <w:t>Undertaking – Contempt</w:t>
      </w:r>
    </w:p>
    <w:p w14:paraId="6850D220" w14:textId="77777777" w:rsidR="00301F2C" w:rsidRPr="00B40A77" w:rsidRDefault="00301F2C" w:rsidP="0007438D">
      <w:pPr>
        <w:ind w:left="1134" w:hanging="567"/>
        <w:rPr>
          <w:b/>
          <w:color w:val="000000" w:themeColor="text1"/>
          <w:sz w:val="26"/>
          <w:lang w:eastAsia="en-AU"/>
        </w:rPr>
      </w:pPr>
      <w:r w:rsidRPr="00B40A77">
        <w:rPr>
          <w:b/>
          <w:color w:val="000000" w:themeColor="text1"/>
          <w:sz w:val="26"/>
          <w:lang w:eastAsia="en-AU"/>
        </w:rPr>
        <w:t>15—Miscellaneous</w:t>
      </w:r>
    </w:p>
    <w:p w14:paraId="79CD8F0E" w14:textId="55010E49" w:rsidR="00301F2C" w:rsidRPr="00B40A77" w:rsidRDefault="00301F2C" w:rsidP="00301F2C">
      <w:pPr>
        <w:ind w:left="1701" w:hanging="567"/>
        <w:rPr>
          <w:color w:val="000000" w:themeColor="text1"/>
        </w:rPr>
      </w:pPr>
      <w:r w:rsidRPr="00B40A77">
        <w:rPr>
          <w:color w:val="000000" w:themeColor="text1"/>
        </w:rPr>
        <w:t>Form 221</w:t>
      </w:r>
      <w:r w:rsidRPr="00B40A77">
        <w:rPr>
          <w:b/>
          <w:color w:val="000000" w:themeColor="text1"/>
          <w:sz w:val="26"/>
          <w:lang w:eastAsia="en-AU"/>
        </w:rPr>
        <w:t>—</w:t>
      </w:r>
      <w:r w:rsidRPr="00B40A77">
        <w:rPr>
          <w:color w:val="000000" w:themeColor="text1"/>
        </w:rPr>
        <w:t xml:space="preserve">Miscellaneous </w:t>
      </w:r>
    </w:p>
    <w:bookmarkEnd w:id="1265"/>
    <w:p w14:paraId="763E0DEB" w14:textId="77777777" w:rsidR="0008097B" w:rsidRPr="00B40A77" w:rsidRDefault="0008097B" w:rsidP="004B02D8">
      <w:pPr>
        <w:rPr>
          <w:color w:val="000000" w:themeColor="text1"/>
          <w:lang w:eastAsia="en-AU"/>
        </w:rPr>
      </w:pPr>
    </w:p>
    <w:sectPr w:rsidR="0008097B" w:rsidRPr="00B40A77" w:rsidSect="00AD0D1B">
      <w:headerReference w:type="even" r:id="rId439"/>
      <w:headerReference w:type="default" r:id="rId440"/>
      <w:footerReference w:type="even" r:id="rId441"/>
      <w:footerReference w:type="default" r:id="rId442"/>
      <w:headerReference w:type="first" r:id="rId443"/>
      <w:footerReference w:type="first" r:id="rId4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687B" w14:textId="77777777" w:rsidR="00E42B0F" w:rsidRDefault="00E42B0F" w:rsidP="000E4DC7">
      <w:pPr>
        <w:spacing w:after="0"/>
      </w:pPr>
      <w:r>
        <w:separator/>
      </w:r>
    </w:p>
  </w:endnote>
  <w:endnote w:type="continuationSeparator" w:id="0">
    <w:p w14:paraId="70F05C3A" w14:textId="77777777" w:rsidR="00E42B0F" w:rsidRDefault="00E42B0F" w:rsidP="000E4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F1D8" w14:textId="2FF86EF3" w:rsidR="00F23957" w:rsidRDefault="00F23957">
    <w:pPr>
      <w:pStyle w:val="Footer"/>
    </w:pPr>
    <w:r>
      <w:rPr>
        <w:noProof/>
      </w:rPr>
      <mc:AlternateContent>
        <mc:Choice Requires="wps">
          <w:drawing>
            <wp:anchor distT="0" distB="0" distL="0" distR="0" simplePos="0" relativeHeight="251665408" behindDoc="0" locked="0" layoutInCell="1" allowOverlap="1" wp14:anchorId="68C538EA" wp14:editId="575CCEF8">
              <wp:simplePos x="635" y="635"/>
              <wp:positionH relativeFrom="page">
                <wp:align>center</wp:align>
              </wp:positionH>
              <wp:positionV relativeFrom="page">
                <wp:align>bottom</wp:align>
              </wp:positionV>
              <wp:extent cx="443865" cy="443865"/>
              <wp:effectExtent l="0" t="0" r="18415" b="0"/>
              <wp:wrapNone/>
              <wp:docPr id="242809014"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3CB05" w14:textId="3C703D28"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C538EA" id="_x0000_t202" coordsize="21600,21600" o:spt="202" path="m,l,21600r21600,l21600,xe">
              <v:stroke joinstyle="miter"/>
              <v:path gradientshapeok="t" o:connecttype="rect"/>
            </v:shapetype>
            <v:shape id="Text Box 8" o:spid="_x0000_s1027"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63CB05" w14:textId="3C703D28"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4D71" w14:textId="3F87961B" w:rsidR="00E42B0F" w:rsidRDefault="00E42B0F" w:rsidP="00CF4224">
    <w:pPr>
      <w:pStyle w:val="Footer"/>
      <w:pBdr>
        <w:bottom w:val="single" w:sz="12" w:space="1" w:color="auto"/>
      </w:pBdr>
    </w:pPr>
  </w:p>
  <w:p w14:paraId="439D93CF" w14:textId="6120E900" w:rsidR="00E42B0F" w:rsidRDefault="00E42B0F" w:rsidP="004F6A9A">
    <w:pPr>
      <w:pStyle w:val="Footer"/>
      <w:tabs>
        <w:tab w:val="clear" w:pos="4513"/>
        <w:tab w:val="clear" w:pos="9026"/>
        <w:tab w:val="left" w:pos="2739"/>
      </w:tabs>
      <w:spacing w:before="0"/>
      <w:rPr>
        <w:sz w:val="20"/>
        <w:szCs w:val="20"/>
      </w:rPr>
    </w:pPr>
    <w:r>
      <w:rPr>
        <w:sz w:val="20"/>
        <w:szCs w:val="20"/>
      </w:rPr>
      <w:t>Joint Criminal Rules 2022</w:t>
    </w:r>
  </w:p>
  <w:p w14:paraId="4697A281" w14:textId="2067A42A" w:rsidR="00E42B0F" w:rsidRDefault="00E42B0F" w:rsidP="00C272A8">
    <w:pPr>
      <w:pStyle w:val="Footer"/>
      <w:spacing w:before="0"/>
      <w:rPr>
        <w:sz w:val="20"/>
        <w:szCs w:val="20"/>
      </w:rPr>
    </w:pPr>
    <w:r>
      <w:rPr>
        <w:sz w:val="20"/>
        <w:szCs w:val="20"/>
      </w:rPr>
      <w:t xml:space="preserve">Current to </w:t>
    </w:r>
    <w:r w:rsidR="00F23957">
      <w:rPr>
        <w:sz w:val="20"/>
        <w:szCs w:val="20"/>
      </w:rPr>
      <w:t>1</w:t>
    </w:r>
    <w:r>
      <w:rPr>
        <w:sz w:val="20"/>
        <w:szCs w:val="20"/>
      </w:rPr>
      <w:t xml:space="preserve">6 </w:t>
    </w:r>
    <w:r w:rsidR="00F23957">
      <w:rPr>
        <w:sz w:val="20"/>
        <w:szCs w:val="20"/>
      </w:rPr>
      <w:t>December</w:t>
    </w:r>
    <w:r>
      <w:rPr>
        <w:sz w:val="20"/>
        <w:szCs w:val="20"/>
      </w:rPr>
      <w:t xml:space="preserve"> 2024 – Joint Criminal (No </w:t>
    </w:r>
    <w:r w:rsidR="00F23957">
      <w:rPr>
        <w:sz w:val="20"/>
        <w:szCs w:val="20"/>
      </w:rPr>
      <w:t>5</w:t>
    </w:r>
    <w:r>
      <w:rPr>
        <w:sz w:val="20"/>
        <w:szCs w:val="20"/>
      </w:rPr>
      <w:t>) Amending Rules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7859" w14:textId="2F4A08AA" w:rsidR="00E42B0F" w:rsidRDefault="00E42B0F">
    <w:pPr>
      <w:pStyle w:val="Footer"/>
      <w:pBdr>
        <w:bottom w:val="single" w:sz="12" w:space="1" w:color="auto"/>
      </w:pBdr>
    </w:pPr>
  </w:p>
  <w:p w14:paraId="6F3CF1E7" w14:textId="5E7E9A05" w:rsidR="00E42B0F" w:rsidRDefault="00E42B0F" w:rsidP="00CF4224">
    <w:pPr>
      <w:pStyle w:val="Footer"/>
      <w:spacing w:before="0"/>
      <w:rPr>
        <w:sz w:val="20"/>
        <w:szCs w:val="20"/>
      </w:rPr>
    </w:pPr>
    <w:r>
      <w:rPr>
        <w:sz w:val="20"/>
        <w:szCs w:val="20"/>
      </w:rPr>
      <w:t>Joint Criminal Rules 2022</w:t>
    </w:r>
    <w:bookmarkStart w:id="2" w:name="_Hlk41373479"/>
    <w:bookmarkStart w:id="3" w:name="_Hlk41373480"/>
    <w:bookmarkStart w:id="4" w:name="_Hlk41373481"/>
    <w:bookmarkEnd w:id="2"/>
    <w:bookmarkEnd w:id="3"/>
    <w:bookmarkEnd w:id="4"/>
  </w:p>
  <w:p w14:paraId="39E795C5" w14:textId="39892C28" w:rsidR="00E42B0F" w:rsidRPr="001B1BB7" w:rsidRDefault="00E42B0F" w:rsidP="00CF4224">
    <w:pPr>
      <w:pStyle w:val="Footer"/>
      <w:spacing w:before="0"/>
      <w:rPr>
        <w:sz w:val="20"/>
        <w:szCs w:val="20"/>
      </w:rPr>
    </w:pPr>
    <w:r>
      <w:rPr>
        <w:sz w:val="20"/>
        <w:szCs w:val="20"/>
      </w:rPr>
      <w:t xml:space="preserve">Current to </w:t>
    </w:r>
    <w:r w:rsidR="00F23957">
      <w:rPr>
        <w:sz w:val="20"/>
        <w:szCs w:val="20"/>
      </w:rPr>
      <w:t>16 December</w:t>
    </w:r>
    <w:r>
      <w:rPr>
        <w:sz w:val="20"/>
        <w:szCs w:val="20"/>
      </w:rPr>
      <w:t xml:space="preserve"> 2024 – Joint Criminal (No </w:t>
    </w:r>
    <w:r w:rsidR="00F23957">
      <w:rPr>
        <w:sz w:val="20"/>
        <w:szCs w:val="20"/>
      </w:rPr>
      <w:t>5</w:t>
    </w:r>
    <w:r>
      <w:rPr>
        <w:sz w:val="20"/>
        <w:szCs w:val="20"/>
      </w:rPr>
      <w:t>) Amending Rules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2511" w14:textId="461A6D2E" w:rsidR="00F23957" w:rsidRDefault="00F23957">
    <w:pPr>
      <w:pStyle w:val="Footer"/>
    </w:pPr>
    <w:r>
      <w:rPr>
        <w:noProof/>
      </w:rPr>
      <mc:AlternateContent>
        <mc:Choice Requires="wps">
          <w:drawing>
            <wp:anchor distT="0" distB="0" distL="0" distR="0" simplePos="0" relativeHeight="251668480" behindDoc="0" locked="0" layoutInCell="1" allowOverlap="1" wp14:anchorId="7EDB6808" wp14:editId="31DA0DB6">
              <wp:simplePos x="635" y="635"/>
              <wp:positionH relativeFrom="page">
                <wp:align>center</wp:align>
              </wp:positionH>
              <wp:positionV relativeFrom="page">
                <wp:align>bottom</wp:align>
              </wp:positionV>
              <wp:extent cx="443865" cy="443865"/>
              <wp:effectExtent l="0" t="0" r="18415" b="0"/>
              <wp:wrapNone/>
              <wp:docPr id="33394671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DC5B4" w14:textId="70866CC5"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B6808"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ADC5B4" w14:textId="70866CC5"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41D5" w14:textId="77777777" w:rsidR="00A61B39" w:rsidRDefault="00A61B39" w:rsidP="00A61B39">
    <w:pPr>
      <w:pStyle w:val="Footer"/>
      <w:pBdr>
        <w:bottom w:val="single" w:sz="12" w:space="1" w:color="auto"/>
      </w:pBdr>
    </w:pPr>
  </w:p>
  <w:p w14:paraId="2FD25688" w14:textId="77777777" w:rsidR="00A61B39" w:rsidRDefault="00A61B39" w:rsidP="00A61B39">
    <w:pPr>
      <w:pStyle w:val="Footer"/>
      <w:tabs>
        <w:tab w:val="clear" w:pos="4513"/>
        <w:tab w:val="clear" w:pos="9026"/>
        <w:tab w:val="left" w:pos="2739"/>
      </w:tabs>
      <w:spacing w:before="0"/>
      <w:rPr>
        <w:sz w:val="20"/>
        <w:szCs w:val="20"/>
      </w:rPr>
    </w:pPr>
    <w:r>
      <w:rPr>
        <w:sz w:val="20"/>
        <w:szCs w:val="20"/>
      </w:rPr>
      <w:t>Joint Criminal Rules 2022</w:t>
    </w:r>
  </w:p>
  <w:p w14:paraId="334E6431" w14:textId="762B4669" w:rsidR="00A61B39" w:rsidRDefault="00A61B39" w:rsidP="00A61B39">
    <w:pPr>
      <w:pStyle w:val="Footer"/>
      <w:spacing w:before="0"/>
      <w:rPr>
        <w:sz w:val="20"/>
        <w:szCs w:val="20"/>
      </w:rPr>
    </w:pPr>
    <w:r>
      <w:rPr>
        <w:sz w:val="20"/>
        <w:szCs w:val="20"/>
      </w:rPr>
      <w:t xml:space="preserve">Current to </w:t>
    </w:r>
    <w:r w:rsidR="004B0423">
      <w:rPr>
        <w:sz w:val="20"/>
        <w:szCs w:val="20"/>
      </w:rPr>
      <w:t xml:space="preserve">28 April 2025 </w:t>
    </w:r>
    <w:r>
      <w:rPr>
        <w:sz w:val="20"/>
        <w:szCs w:val="20"/>
      </w:rPr>
      <w:t xml:space="preserve">– Joint Criminal (No </w:t>
    </w:r>
    <w:r w:rsidR="004B0423">
      <w:rPr>
        <w:sz w:val="20"/>
        <w:szCs w:val="20"/>
      </w:rPr>
      <w:t>7</w:t>
    </w:r>
    <w:r>
      <w:rPr>
        <w:sz w:val="20"/>
        <w:szCs w:val="20"/>
      </w:rPr>
      <w:t>) Amending Rules 202</w:t>
    </w:r>
    <w:r w:rsidR="004B0423">
      <w:rPr>
        <w:sz w:val="20"/>
        <w:szCs w:val="20"/>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623F" w14:textId="1E7E8C8A" w:rsidR="00F23957" w:rsidRDefault="00F23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3926" w14:textId="77777777" w:rsidR="00E42B0F" w:rsidRDefault="00E42B0F" w:rsidP="000E4DC7">
      <w:pPr>
        <w:spacing w:after="0"/>
      </w:pPr>
      <w:r>
        <w:separator/>
      </w:r>
    </w:p>
  </w:footnote>
  <w:footnote w:type="continuationSeparator" w:id="0">
    <w:p w14:paraId="20E3F626" w14:textId="77777777" w:rsidR="00E42B0F" w:rsidRDefault="00E42B0F" w:rsidP="000E4D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D704" w14:textId="61E4AEA1" w:rsidR="00F23957" w:rsidRDefault="00F23957">
    <w:pPr>
      <w:pStyle w:val="Header"/>
    </w:pPr>
    <w:r>
      <w:rPr>
        <w:noProof/>
      </w:rPr>
      <mc:AlternateContent>
        <mc:Choice Requires="wps">
          <w:drawing>
            <wp:anchor distT="0" distB="0" distL="0" distR="0" simplePos="0" relativeHeight="251659264" behindDoc="0" locked="0" layoutInCell="1" allowOverlap="1" wp14:anchorId="1D0C4AB4" wp14:editId="4321A887">
              <wp:simplePos x="635" y="635"/>
              <wp:positionH relativeFrom="page">
                <wp:align>center</wp:align>
              </wp:positionH>
              <wp:positionV relativeFrom="page">
                <wp:align>top</wp:align>
              </wp:positionV>
              <wp:extent cx="443865" cy="443865"/>
              <wp:effectExtent l="0" t="0" r="18415" b="15240"/>
              <wp:wrapNone/>
              <wp:docPr id="12249267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614B1" w14:textId="7064911B"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C4AB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5614B1" w14:textId="7064911B"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0B8A" w14:textId="69532F49" w:rsidR="00E42B0F" w:rsidRDefault="00FD06AB" w:rsidP="0075426F">
    <w:pPr>
      <w:pStyle w:val="Header"/>
      <w:jc w:val="center"/>
      <w:rPr>
        <w:noProof/>
      </w:rPr>
    </w:pPr>
    <w:sdt>
      <w:sdtPr>
        <w:id w:val="1994992174"/>
        <w:docPartObj>
          <w:docPartGallery w:val="Page Numbers (Top of Page)"/>
          <w:docPartUnique/>
        </w:docPartObj>
      </w:sdtPr>
      <w:sdtEndPr>
        <w:rPr>
          <w:noProof/>
        </w:rPr>
      </w:sdtEndPr>
      <w:sdtContent>
        <w:r w:rsidR="00E42B0F">
          <w:fldChar w:fldCharType="begin"/>
        </w:r>
        <w:r w:rsidR="00E42B0F">
          <w:instrText xml:space="preserve"> PAGE   \* MERGEFORMAT </w:instrText>
        </w:r>
        <w:r w:rsidR="00E42B0F">
          <w:fldChar w:fldCharType="separate"/>
        </w:r>
        <w:r w:rsidR="00E42B0F">
          <w:rPr>
            <w:noProof/>
          </w:rPr>
          <w:t>xvii</w:t>
        </w:r>
        <w:r w:rsidR="00E42B0F">
          <w:rPr>
            <w:noProof/>
          </w:rPr>
          <w:fldChar w:fldCharType="end"/>
        </w:r>
      </w:sdtContent>
    </w:sdt>
  </w:p>
  <w:p w14:paraId="6FA74503" w14:textId="77777777" w:rsidR="00E42B0F" w:rsidRDefault="00E42B0F" w:rsidP="00A92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E546" w14:textId="0609C584" w:rsidR="00E42B0F" w:rsidRDefault="00F23957">
    <w:pPr>
      <w:pStyle w:val="Header"/>
    </w:pPr>
    <w:r>
      <w:rPr>
        <w:noProof/>
      </w:rPr>
      <mc:AlternateContent>
        <mc:Choice Requires="wps">
          <w:drawing>
            <wp:anchor distT="0" distB="0" distL="0" distR="0" simplePos="0" relativeHeight="251662336" behindDoc="0" locked="0" layoutInCell="1" allowOverlap="1" wp14:anchorId="3FEB139F" wp14:editId="74AADD47">
              <wp:simplePos x="635" y="635"/>
              <wp:positionH relativeFrom="page">
                <wp:align>center</wp:align>
              </wp:positionH>
              <wp:positionV relativeFrom="page">
                <wp:align>top</wp:align>
              </wp:positionV>
              <wp:extent cx="443865" cy="443865"/>
              <wp:effectExtent l="0" t="0" r="18415" b="15240"/>
              <wp:wrapNone/>
              <wp:docPr id="129823994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27D36" w14:textId="724A79EC"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B139F"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C27D36" w14:textId="724A79EC" w:rsidR="00F23957" w:rsidRPr="00F23957" w:rsidRDefault="00F23957" w:rsidP="00F23957">
                    <w:pPr>
                      <w:spacing w:after="0"/>
                      <w:rPr>
                        <w:rFonts w:ascii="Arial" w:eastAsia="Arial" w:hAnsi="Arial" w:cs="Arial"/>
                        <w:noProof/>
                        <w:color w:val="A80000"/>
                        <w:sz w:val="24"/>
                        <w:szCs w:val="24"/>
                      </w:rPr>
                    </w:pPr>
                    <w:r w:rsidRPr="00F23957">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78D4" w14:textId="2F2B37C3" w:rsidR="00E42B0F" w:rsidRPr="00150942" w:rsidRDefault="00FD06AB">
    <w:pPr>
      <w:pStyle w:val="Header"/>
      <w:jc w:val="center"/>
      <w:rPr>
        <w:rFonts w:cs="Times New Roman"/>
      </w:rPr>
    </w:pPr>
    <w:sdt>
      <w:sdtPr>
        <w:rPr>
          <w:rFonts w:cs="Times New Roman"/>
        </w:rPr>
        <w:id w:val="-1929654137"/>
        <w:docPartObj>
          <w:docPartGallery w:val="Page Numbers (Top of Page)"/>
          <w:docPartUnique/>
        </w:docPartObj>
      </w:sdtPr>
      <w:sdtEndPr>
        <w:rPr>
          <w:noProof/>
        </w:rPr>
      </w:sdtEndPr>
      <w:sdtContent>
        <w:r w:rsidR="00E42B0F" w:rsidRPr="00150942">
          <w:rPr>
            <w:rFonts w:cs="Times New Roman"/>
          </w:rPr>
          <w:fldChar w:fldCharType="begin"/>
        </w:r>
        <w:r w:rsidR="00E42B0F" w:rsidRPr="00150942">
          <w:rPr>
            <w:rFonts w:cs="Times New Roman"/>
          </w:rPr>
          <w:instrText xml:space="preserve"> PAGE   \* MERGEFORMAT </w:instrText>
        </w:r>
        <w:r w:rsidR="00E42B0F" w:rsidRPr="00150942">
          <w:rPr>
            <w:rFonts w:cs="Times New Roman"/>
          </w:rPr>
          <w:fldChar w:fldCharType="separate"/>
        </w:r>
        <w:r w:rsidR="00E42B0F">
          <w:rPr>
            <w:rFonts w:cs="Times New Roman"/>
            <w:noProof/>
          </w:rPr>
          <w:t>186</w:t>
        </w:r>
        <w:r w:rsidR="00E42B0F" w:rsidRPr="00150942">
          <w:rPr>
            <w:rFonts w:cs="Times New Roman"/>
            <w:noProof/>
          </w:rPr>
          <w:fldChar w:fldCharType="end"/>
        </w:r>
      </w:sdtContent>
    </w:sdt>
  </w:p>
  <w:p w14:paraId="4D0941F2" w14:textId="77777777" w:rsidR="00E42B0F" w:rsidRPr="00150942" w:rsidRDefault="00E42B0F">
    <w:pPr>
      <w:pStyle w:val="Header"/>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85A5" w14:textId="76866FDE" w:rsidR="00E42B0F" w:rsidRDefault="00E42B0F" w:rsidP="00C3729D">
    <w:pPr>
      <w:pStyle w:val="Header"/>
      <w:tabs>
        <w:tab w:val="left" w:pos="5651"/>
      </w:tabs>
    </w:pPr>
    <w:r>
      <w:tab/>
    </w:r>
  </w:p>
  <w:p w14:paraId="6CD5C3F6" w14:textId="77777777" w:rsidR="00E42B0F" w:rsidRDefault="00E4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8" w:hanging="534"/>
      </w:pPr>
      <w:rPr>
        <w:rFonts w:ascii="Times New Roman" w:hAnsi="Times New Roman" w:cs="Times New Roman"/>
        <w:b w:val="0"/>
        <w:bCs w:val="0"/>
        <w:w w:val="102"/>
        <w:sz w:val="22"/>
        <w:szCs w:val="22"/>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abstractNum w:abstractNumId="1" w15:restartNumberingAfterBreak="0">
    <w:nsid w:val="06337F86"/>
    <w:multiLevelType w:val="hybridMultilevel"/>
    <w:tmpl w:val="3E3ABFCE"/>
    <w:lvl w:ilvl="0" w:tplc="91701614">
      <w:start w:val="1"/>
      <w:numFmt w:val="upperLetter"/>
      <w:lvlText w:val="%1."/>
      <w:lvlJc w:val="left"/>
      <w:pPr>
        <w:ind w:left="474" w:hanging="357"/>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2" w15:restartNumberingAfterBreak="0">
    <w:nsid w:val="0DE77B57"/>
    <w:multiLevelType w:val="hybridMultilevel"/>
    <w:tmpl w:val="6630B96C"/>
    <w:lvl w:ilvl="0" w:tplc="B7C8023E">
      <w:start w:val="1"/>
      <w:numFmt w:val="lowerLetter"/>
      <w:lvlText w:val="(%1)"/>
      <w:lvlJc w:val="left"/>
      <w:pPr>
        <w:ind w:left="477" w:hanging="360"/>
      </w:pPr>
      <w:rPr>
        <w:rFonts w:hint="default"/>
      </w:rPr>
    </w:lvl>
    <w:lvl w:ilvl="1" w:tplc="0C090019" w:tentative="1">
      <w:start w:val="1"/>
      <w:numFmt w:val="lowerLetter"/>
      <w:lvlText w:val="%2."/>
      <w:lvlJc w:val="left"/>
      <w:pPr>
        <w:ind w:left="1197" w:hanging="360"/>
      </w:pPr>
    </w:lvl>
    <w:lvl w:ilvl="2" w:tplc="0C09001B" w:tentative="1">
      <w:start w:val="1"/>
      <w:numFmt w:val="lowerRoman"/>
      <w:lvlText w:val="%3."/>
      <w:lvlJc w:val="right"/>
      <w:pPr>
        <w:ind w:left="1917" w:hanging="180"/>
      </w:pPr>
    </w:lvl>
    <w:lvl w:ilvl="3" w:tplc="0C09000F" w:tentative="1">
      <w:start w:val="1"/>
      <w:numFmt w:val="decimal"/>
      <w:lvlText w:val="%4."/>
      <w:lvlJc w:val="left"/>
      <w:pPr>
        <w:ind w:left="2637" w:hanging="360"/>
      </w:pPr>
    </w:lvl>
    <w:lvl w:ilvl="4" w:tplc="0C090019" w:tentative="1">
      <w:start w:val="1"/>
      <w:numFmt w:val="lowerLetter"/>
      <w:lvlText w:val="%5."/>
      <w:lvlJc w:val="left"/>
      <w:pPr>
        <w:ind w:left="3357" w:hanging="360"/>
      </w:pPr>
    </w:lvl>
    <w:lvl w:ilvl="5" w:tplc="0C09001B" w:tentative="1">
      <w:start w:val="1"/>
      <w:numFmt w:val="lowerRoman"/>
      <w:lvlText w:val="%6."/>
      <w:lvlJc w:val="right"/>
      <w:pPr>
        <w:ind w:left="4077" w:hanging="180"/>
      </w:pPr>
    </w:lvl>
    <w:lvl w:ilvl="6" w:tplc="0C09000F" w:tentative="1">
      <w:start w:val="1"/>
      <w:numFmt w:val="decimal"/>
      <w:lvlText w:val="%7."/>
      <w:lvlJc w:val="left"/>
      <w:pPr>
        <w:ind w:left="4797" w:hanging="360"/>
      </w:pPr>
    </w:lvl>
    <w:lvl w:ilvl="7" w:tplc="0C090019" w:tentative="1">
      <w:start w:val="1"/>
      <w:numFmt w:val="lowerLetter"/>
      <w:lvlText w:val="%8."/>
      <w:lvlJc w:val="left"/>
      <w:pPr>
        <w:ind w:left="5517" w:hanging="360"/>
      </w:pPr>
    </w:lvl>
    <w:lvl w:ilvl="8" w:tplc="0C09001B" w:tentative="1">
      <w:start w:val="1"/>
      <w:numFmt w:val="lowerRoman"/>
      <w:lvlText w:val="%9."/>
      <w:lvlJc w:val="right"/>
      <w:pPr>
        <w:ind w:left="6237" w:hanging="180"/>
      </w:pPr>
    </w:lvl>
  </w:abstractNum>
  <w:abstractNum w:abstractNumId="3" w15:restartNumberingAfterBreak="0">
    <w:nsid w:val="1667216E"/>
    <w:multiLevelType w:val="hybridMultilevel"/>
    <w:tmpl w:val="F4D43324"/>
    <w:lvl w:ilvl="0" w:tplc="E5FEDC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745353"/>
    <w:multiLevelType w:val="hybridMultilevel"/>
    <w:tmpl w:val="7ED66E32"/>
    <w:lvl w:ilvl="0" w:tplc="AF221D68">
      <w:start w:val="1"/>
      <w:numFmt w:val="lowerLetter"/>
      <w:lvlText w:val="(%1)"/>
      <w:lvlJc w:val="left"/>
      <w:pPr>
        <w:ind w:left="476" w:hanging="360"/>
      </w:pPr>
      <w:rPr>
        <w:rFonts w:hint="default"/>
        <w:w w:val="105"/>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5" w15:restartNumberingAfterBreak="0">
    <w:nsid w:val="1A7A7C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15:restartNumberingAfterBreak="0">
    <w:nsid w:val="1DB025A4"/>
    <w:multiLevelType w:val="hybridMultilevel"/>
    <w:tmpl w:val="F98E4E40"/>
    <w:lvl w:ilvl="0" w:tplc="2144A4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3466AB"/>
    <w:multiLevelType w:val="hybridMultilevel"/>
    <w:tmpl w:val="8606338C"/>
    <w:lvl w:ilvl="0" w:tplc="99AE4186">
      <w:start w:val="1"/>
      <w:numFmt w:val="lowerLetter"/>
      <w:lvlText w:val="(%1)"/>
      <w:lvlJc w:val="left"/>
      <w:pPr>
        <w:ind w:left="1080" w:hanging="360"/>
      </w:pPr>
      <w:rPr>
        <w:rFont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6657B6"/>
    <w:multiLevelType w:val="multilevel"/>
    <w:tmpl w:val="00000885"/>
    <w:lvl w:ilvl="0">
      <w:start w:val="1"/>
      <w:numFmt w:val="decimal"/>
      <w:lvlText w:val="%1"/>
      <w:lvlJc w:val="left"/>
      <w:pPr>
        <w:ind w:left="1385" w:hanging="534"/>
      </w:pPr>
      <w:rPr>
        <w:rFonts w:ascii="Times New Roman" w:hAnsi="Times New Roman" w:cs="Times New Roman"/>
        <w:b w:val="0"/>
        <w:bCs w:val="0"/>
        <w:w w:val="102"/>
        <w:sz w:val="22"/>
        <w:szCs w:val="22"/>
      </w:rPr>
    </w:lvl>
    <w:lvl w:ilvl="1">
      <w:numFmt w:val="bullet"/>
      <w:lvlText w:val="•"/>
      <w:lvlJc w:val="left"/>
      <w:pPr>
        <w:ind w:left="2189" w:hanging="534"/>
      </w:pPr>
    </w:lvl>
    <w:lvl w:ilvl="2">
      <w:numFmt w:val="bullet"/>
      <w:lvlText w:val="•"/>
      <w:lvlJc w:val="left"/>
      <w:pPr>
        <w:ind w:left="3001" w:hanging="534"/>
      </w:pPr>
    </w:lvl>
    <w:lvl w:ilvl="3">
      <w:numFmt w:val="bullet"/>
      <w:lvlText w:val="•"/>
      <w:lvlJc w:val="left"/>
      <w:pPr>
        <w:ind w:left="3813" w:hanging="534"/>
      </w:pPr>
    </w:lvl>
    <w:lvl w:ilvl="4">
      <w:numFmt w:val="bullet"/>
      <w:lvlText w:val="•"/>
      <w:lvlJc w:val="left"/>
      <w:pPr>
        <w:ind w:left="4625" w:hanging="534"/>
      </w:pPr>
    </w:lvl>
    <w:lvl w:ilvl="5">
      <w:numFmt w:val="bullet"/>
      <w:lvlText w:val="•"/>
      <w:lvlJc w:val="left"/>
      <w:pPr>
        <w:ind w:left="5437" w:hanging="534"/>
      </w:pPr>
    </w:lvl>
    <w:lvl w:ilvl="6">
      <w:numFmt w:val="bullet"/>
      <w:lvlText w:val="•"/>
      <w:lvlJc w:val="left"/>
      <w:pPr>
        <w:ind w:left="6249" w:hanging="534"/>
      </w:pPr>
    </w:lvl>
    <w:lvl w:ilvl="7">
      <w:numFmt w:val="bullet"/>
      <w:lvlText w:val="•"/>
      <w:lvlJc w:val="left"/>
      <w:pPr>
        <w:ind w:left="7061" w:hanging="534"/>
      </w:pPr>
    </w:lvl>
    <w:lvl w:ilvl="8">
      <w:numFmt w:val="bullet"/>
      <w:lvlText w:val="•"/>
      <w:lvlJc w:val="left"/>
      <w:pPr>
        <w:ind w:left="7873" w:hanging="534"/>
      </w:pPr>
    </w:lvl>
  </w:abstractNum>
  <w:abstractNum w:abstractNumId="9" w15:restartNumberingAfterBreak="0">
    <w:nsid w:val="25D348DA"/>
    <w:multiLevelType w:val="hybridMultilevel"/>
    <w:tmpl w:val="7FFEC5D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27841AD3"/>
    <w:multiLevelType w:val="hybridMultilevel"/>
    <w:tmpl w:val="36E09578"/>
    <w:lvl w:ilvl="0" w:tplc="32483B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47FB9"/>
    <w:multiLevelType w:val="hybridMultilevel"/>
    <w:tmpl w:val="3AD6A93A"/>
    <w:lvl w:ilvl="0" w:tplc="FFFFFFFF">
      <w:start w:val="1"/>
      <w:numFmt w:val="lowerLetter"/>
      <w:lvlText w:val="(%1)"/>
      <w:lvlJc w:val="left"/>
      <w:pPr>
        <w:ind w:left="2010" w:hanging="57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4B0771C"/>
    <w:multiLevelType w:val="hybridMultilevel"/>
    <w:tmpl w:val="BE902738"/>
    <w:lvl w:ilvl="0" w:tplc="09124EC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4A5F7F"/>
    <w:multiLevelType w:val="hybridMultilevel"/>
    <w:tmpl w:val="9BD6C736"/>
    <w:lvl w:ilvl="0" w:tplc="9446DA5C">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4" w15:restartNumberingAfterBreak="0">
    <w:nsid w:val="3A9D4CA2"/>
    <w:multiLevelType w:val="hybridMultilevel"/>
    <w:tmpl w:val="6944E1DC"/>
    <w:lvl w:ilvl="0" w:tplc="FDD203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F26945"/>
    <w:multiLevelType w:val="hybridMultilevel"/>
    <w:tmpl w:val="3AD6A93A"/>
    <w:lvl w:ilvl="0" w:tplc="EE583290">
      <w:start w:val="1"/>
      <w:numFmt w:val="lowerLetter"/>
      <w:lvlText w:val="(%1)"/>
      <w:lvlJc w:val="left"/>
      <w:pPr>
        <w:ind w:left="2010" w:hanging="57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41FE703B"/>
    <w:multiLevelType w:val="multilevel"/>
    <w:tmpl w:val="00000885"/>
    <w:lvl w:ilvl="0">
      <w:start w:val="1"/>
      <w:numFmt w:val="decimal"/>
      <w:lvlText w:val="%1"/>
      <w:lvlJc w:val="left"/>
      <w:pPr>
        <w:ind w:left="688" w:hanging="534"/>
      </w:pPr>
      <w:rPr>
        <w:rFonts w:ascii="Times New Roman" w:hAnsi="Times New Roman" w:cs="Times New Roman"/>
        <w:b w:val="0"/>
        <w:bCs w:val="0"/>
        <w:w w:val="102"/>
        <w:sz w:val="22"/>
        <w:szCs w:val="22"/>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abstractNum w:abstractNumId="17" w15:restartNumberingAfterBreak="0">
    <w:nsid w:val="444B28C7"/>
    <w:multiLevelType w:val="hybridMultilevel"/>
    <w:tmpl w:val="B71E9878"/>
    <w:lvl w:ilvl="0" w:tplc="E4321332">
      <w:start w:val="1"/>
      <w:numFmt w:val="lowerLetter"/>
      <w:lvlText w:val="(%1)"/>
      <w:lvlJc w:val="left"/>
      <w:pPr>
        <w:ind w:left="720" w:hanging="360"/>
      </w:pPr>
      <w:rPr>
        <w:rFonts w:hint="default"/>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0F1920"/>
    <w:multiLevelType w:val="multilevel"/>
    <w:tmpl w:val="00000885"/>
    <w:lvl w:ilvl="0">
      <w:start w:val="1"/>
      <w:numFmt w:val="decimal"/>
      <w:lvlText w:val="%1"/>
      <w:lvlJc w:val="left"/>
      <w:pPr>
        <w:ind w:left="1385" w:hanging="534"/>
      </w:pPr>
      <w:rPr>
        <w:rFonts w:ascii="Times New Roman" w:hAnsi="Times New Roman" w:cs="Times New Roman"/>
        <w:b w:val="0"/>
        <w:bCs w:val="0"/>
        <w:w w:val="102"/>
        <w:sz w:val="22"/>
        <w:szCs w:val="22"/>
      </w:rPr>
    </w:lvl>
    <w:lvl w:ilvl="1">
      <w:numFmt w:val="bullet"/>
      <w:lvlText w:val="•"/>
      <w:lvlJc w:val="left"/>
      <w:pPr>
        <w:ind w:left="2189" w:hanging="534"/>
      </w:pPr>
    </w:lvl>
    <w:lvl w:ilvl="2">
      <w:numFmt w:val="bullet"/>
      <w:lvlText w:val="•"/>
      <w:lvlJc w:val="left"/>
      <w:pPr>
        <w:ind w:left="3001" w:hanging="534"/>
      </w:pPr>
    </w:lvl>
    <w:lvl w:ilvl="3">
      <w:numFmt w:val="bullet"/>
      <w:lvlText w:val="•"/>
      <w:lvlJc w:val="left"/>
      <w:pPr>
        <w:ind w:left="3813" w:hanging="534"/>
      </w:pPr>
    </w:lvl>
    <w:lvl w:ilvl="4">
      <w:numFmt w:val="bullet"/>
      <w:lvlText w:val="•"/>
      <w:lvlJc w:val="left"/>
      <w:pPr>
        <w:ind w:left="4625" w:hanging="534"/>
      </w:pPr>
    </w:lvl>
    <w:lvl w:ilvl="5">
      <w:numFmt w:val="bullet"/>
      <w:lvlText w:val="•"/>
      <w:lvlJc w:val="left"/>
      <w:pPr>
        <w:ind w:left="5437" w:hanging="534"/>
      </w:pPr>
    </w:lvl>
    <w:lvl w:ilvl="6">
      <w:numFmt w:val="bullet"/>
      <w:lvlText w:val="•"/>
      <w:lvlJc w:val="left"/>
      <w:pPr>
        <w:ind w:left="6249" w:hanging="534"/>
      </w:pPr>
    </w:lvl>
    <w:lvl w:ilvl="7">
      <w:numFmt w:val="bullet"/>
      <w:lvlText w:val="•"/>
      <w:lvlJc w:val="left"/>
      <w:pPr>
        <w:ind w:left="7061" w:hanging="534"/>
      </w:pPr>
    </w:lvl>
    <w:lvl w:ilvl="8">
      <w:numFmt w:val="bullet"/>
      <w:lvlText w:val="•"/>
      <w:lvlJc w:val="left"/>
      <w:pPr>
        <w:ind w:left="7873" w:hanging="534"/>
      </w:pPr>
    </w:lvl>
  </w:abstractNum>
  <w:abstractNum w:abstractNumId="19" w15:restartNumberingAfterBreak="0">
    <w:nsid w:val="4DE50291"/>
    <w:multiLevelType w:val="hybridMultilevel"/>
    <w:tmpl w:val="332800D6"/>
    <w:lvl w:ilvl="0" w:tplc="B2BA135C">
      <w:start w:val="1"/>
      <w:numFmt w:val="decimal"/>
      <w:lvlText w:val="(%1)"/>
      <w:lvlJc w:val="left"/>
      <w:pPr>
        <w:ind w:left="1350" w:hanging="36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0" w15:restartNumberingAfterBreak="0">
    <w:nsid w:val="54702631"/>
    <w:multiLevelType w:val="multilevel"/>
    <w:tmpl w:val="00000885"/>
    <w:lvl w:ilvl="0">
      <w:start w:val="1"/>
      <w:numFmt w:val="decimal"/>
      <w:lvlText w:val="%1"/>
      <w:lvlJc w:val="left"/>
      <w:pPr>
        <w:ind w:left="1499" w:hanging="534"/>
      </w:pPr>
      <w:rPr>
        <w:rFonts w:ascii="Times New Roman" w:hAnsi="Times New Roman" w:cs="Times New Roman"/>
        <w:b w:val="0"/>
        <w:bCs w:val="0"/>
        <w:w w:val="102"/>
        <w:sz w:val="22"/>
        <w:szCs w:val="22"/>
      </w:rPr>
    </w:lvl>
    <w:lvl w:ilvl="1">
      <w:numFmt w:val="bullet"/>
      <w:lvlText w:val="•"/>
      <w:lvlJc w:val="left"/>
      <w:pPr>
        <w:ind w:left="2303" w:hanging="534"/>
      </w:pPr>
    </w:lvl>
    <w:lvl w:ilvl="2">
      <w:numFmt w:val="bullet"/>
      <w:lvlText w:val="•"/>
      <w:lvlJc w:val="left"/>
      <w:pPr>
        <w:ind w:left="3115" w:hanging="534"/>
      </w:pPr>
    </w:lvl>
    <w:lvl w:ilvl="3">
      <w:numFmt w:val="bullet"/>
      <w:lvlText w:val="•"/>
      <w:lvlJc w:val="left"/>
      <w:pPr>
        <w:ind w:left="3927" w:hanging="534"/>
      </w:pPr>
    </w:lvl>
    <w:lvl w:ilvl="4">
      <w:numFmt w:val="bullet"/>
      <w:lvlText w:val="•"/>
      <w:lvlJc w:val="left"/>
      <w:pPr>
        <w:ind w:left="4739" w:hanging="534"/>
      </w:pPr>
    </w:lvl>
    <w:lvl w:ilvl="5">
      <w:numFmt w:val="bullet"/>
      <w:lvlText w:val="•"/>
      <w:lvlJc w:val="left"/>
      <w:pPr>
        <w:ind w:left="5551" w:hanging="534"/>
      </w:pPr>
    </w:lvl>
    <w:lvl w:ilvl="6">
      <w:numFmt w:val="bullet"/>
      <w:lvlText w:val="•"/>
      <w:lvlJc w:val="left"/>
      <w:pPr>
        <w:ind w:left="6363" w:hanging="534"/>
      </w:pPr>
    </w:lvl>
    <w:lvl w:ilvl="7">
      <w:numFmt w:val="bullet"/>
      <w:lvlText w:val="•"/>
      <w:lvlJc w:val="left"/>
      <w:pPr>
        <w:ind w:left="7175" w:hanging="534"/>
      </w:pPr>
    </w:lvl>
    <w:lvl w:ilvl="8">
      <w:numFmt w:val="bullet"/>
      <w:lvlText w:val="•"/>
      <w:lvlJc w:val="left"/>
      <w:pPr>
        <w:ind w:left="7987" w:hanging="534"/>
      </w:pPr>
    </w:lvl>
  </w:abstractNum>
  <w:abstractNum w:abstractNumId="21" w15:restartNumberingAfterBreak="0">
    <w:nsid w:val="608F2688"/>
    <w:multiLevelType w:val="hybridMultilevel"/>
    <w:tmpl w:val="C902C62C"/>
    <w:lvl w:ilvl="0" w:tplc="E11EF63A">
      <w:start w:val="2"/>
      <w:numFmt w:val="decimal"/>
      <w:lvlText w:val="(%1)"/>
      <w:lvlJc w:val="left"/>
      <w:pPr>
        <w:ind w:left="17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630168"/>
    <w:multiLevelType w:val="multilevel"/>
    <w:tmpl w:val="00000885"/>
    <w:lvl w:ilvl="0">
      <w:start w:val="1"/>
      <w:numFmt w:val="decimal"/>
      <w:lvlText w:val="%1"/>
      <w:lvlJc w:val="left"/>
      <w:pPr>
        <w:ind w:left="1385" w:hanging="534"/>
      </w:pPr>
      <w:rPr>
        <w:rFonts w:ascii="Times New Roman" w:hAnsi="Times New Roman" w:cs="Times New Roman"/>
        <w:b w:val="0"/>
        <w:bCs w:val="0"/>
        <w:w w:val="102"/>
        <w:sz w:val="22"/>
        <w:szCs w:val="22"/>
      </w:rPr>
    </w:lvl>
    <w:lvl w:ilvl="1">
      <w:numFmt w:val="bullet"/>
      <w:lvlText w:val="•"/>
      <w:lvlJc w:val="left"/>
      <w:pPr>
        <w:ind w:left="2189" w:hanging="534"/>
      </w:pPr>
    </w:lvl>
    <w:lvl w:ilvl="2">
      <w:numFmt w:val="bullet"/>
      <w:lvlText w:val="•"/>
      <w:lvlJc w:val="left"/>
      <w:pPr>
        <w:ind w:left="3001" w:hanging="534"/>
      </w:pPr>
    </w:lvl>
    <w:lvl w:ilvl="3">
      <w:numFmt w:val="bullet"/>
      <w:lvlText w:val="•"/>
      <w:lvlJc w:val="left"/>
      <w:pPr>
        <w:ind w:left="3813" w:hanging="534"/>
      </w:pPr>
    </w:lvl>
    <w:lvl w:ilvl="4">
      <w:numFmt w:val="bullet"/>
      <w:lvlText w:val="•"/>
      <w:lvlJc w:val="left"/>
      <w:pPr>
        <w:ind w:left="4625" w:hanging="534"/>
      </w:pPr>
    </w:lvl>
    <w:lvl w:ilvl="5">
      <w:numFmt w:val="bullet"/>
      <w:lvlText w:val="•"/>
      <w:lvlJc w:val="left"/>
      <w:pPr>
        <w:ind w:left="5437" w:hanging="534"/>
      </w:pPr>
    </w:lvl>
    <w:lvl w:ilvl="6">
      <w:numFmt w:val="bullet"/>
      <w:lvlText w:val="•"/>
      <w:lvlJc w:val="left"/>
      <w:pPr>
        <w:ind w:left="6249" w:hanging="534"/>
      </w:pPr>
    </w:lvl>
    <w:lvl w:ilvl="7">
      <w:numFmt w:val="bullet"/>
      <w:lvlText w:val="•"/>
      <w:lvlJc w:val="left"/>
      <w:pPr>
        <w:ind w:left="7061" w:hanging="534"/>
      </w:pPr>
    </w:lvl>
    <w:lvl w:ilvl="8">
      <w:numFmt w:val="bullet"/>
      <w:lvlText w:val="•"/>
      <w:lvlJc w:val="left"/>
      <w:pPr>
        <w:ind w:left="7873" w:hanging="534"/>
      </w:pPr>
    </w:lvl>
  </w:abstractNum>
  <w:abstractNum w:abstractNumId="23" w15:restartNumberingAfterBreak="0">
    <w:nsid w:val="70E30108"/>
    <w:multiLevelType w:val="hybridMultilevel"/>
    <w:tmpl w:val="A0DA47EA"/>
    <w:lvl w:ilvl="0" w:tplc="EEFA93A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066E9C"/>
    <w:multiLevelType w:val="multilevel"/>
    <w:tmpl w:val="8F8A1B1E"/>
    <w:lvl w:ilvl="0">
      <w:start w:val="1"/>
      <w:numFmt w:val="upperLetter"/>
      <w:lvlText w:val="%1."/>
      <w:lvlJc w:val="left"/>
      <w:pPr>
        <w:ind w:left="688" w:hanging="534"/>
      </w:pPr>
      <w:rPr>
        <w:b w:val="0"/>
        <w:bCs w:val="0"/>
        <w:w w:val="102"/>
        <w:sz w:val="22"/>
        <w:szCs w:val="22"/>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abstractNum w:abstractNumId="25" w15:restartNumberingAfterBreak="0">
    <w:nsid w:val="738E5116"/>
    <w:multiLevelType w:val="hybridMultilevel"/>
    <w:tmpl w:val="BEF8C128"/>
    <w:lvl w:ilvl="0" w:tplc="81868604">
      <w:start w:val="1"/>
      <w:numFmt w:val="lowerLetter"/>
      <w:lvlText w:val="(%1)"/>
      <w:lvlJc w:val="left"/>
      <w:pPr>
        <w:ind w:left="611" w:hanging="495"/>
      </w:pPr>
      <w:rPr>
        <w:rFonts w:hint="default"/>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num w:numId="1" w16cid:durableId="1648582200">
    <w:abstractNumId w:val="9"/>
  </w:num>
  <w:num w:numId="2" w16cid:durableId="1445075125">
    <w:abstractNumId w:val="0"/>
    <w:lvlOverride w:ilvl="0">
      <w:startOverride w:val="1"/>
    </w:lvlOverride>
    <w:lvlOverride w:ilvl="1"/>
    <w:lvlOverride w:ilvl="2"/>
    <w:lvlOverride w:ilvl="3"/>
    <w:lvlOverride w:ilvl="4"/>
    <w:lvlOverride w:ilvl="5"/>
    <w:lvlOverride w:ilvl="6"/>
    <w:lvlOverride w:ilvl="7"/>
    <w:lvlOverride w:ilvl="8"/>
  </w:num>
  <w:num w:numId="3" w16cid:durableId="651981902">
    <w:abstractNumId w:val="24"/>
    <w:lvlOverride w:ilvl="0">
      <w:startOverride w:val="1"/>
    </w:lvlOverride>
    <w:lvlOverride w:ilvl="1"/>
    <w:lvlOverride w:ilvl="2"/>
    <w:lvlOverride w:ilvl="3"/>
    <w:lvlOverride w:ilvl="4"/>
    <w:lvlOverride w:ilvl="5"/>
    <w:lvlOverride w:ilvl="6"/>
    <w:lvlOverride w:ilvl="7"/>
    <w:lvlOverride w:ilvl="8"/>
  </w:num>
  <w:num w:numId="4" w16cid:durableId="248774848">
    <w:abstractNumId w:val="7"/>
  </w:num>
  <w:num w:numId="5" w16cid:durableId="551960422">
    <w:abstractNumId w:val="3"/>
  </w:num>
  <w:num w:numId="6" w16cid:durableId="1106660764">
    <w:abstractNumId w:val="23"/>
  </w:num>
  <w:num w:numId="7" w16cid:durableId="1306206328">
    <w:abstractNumId w:val="6"/>
  </w:num>
  <w:num w:numId="8" w16cid:durableId="1999992086">
    <w:abstractNumId w:val="10"/>
  </w:num>
  <w:num w:numId="9" w16cid:durableId="868029281">
    <w:abstractNumId w:val="1"/>
  </w:num>
  <w:num w:numId="10" w16cid:durableId="1320186691">
    <w:abstractNumId w:val="14"/>
  </w:num>
  <w:num w:numId="11" w16cid:durableId="1521160790">
    <w:abstractNumId w:val="15"/>
  </w:num>
  <w:num w:numId="12" w16cid:durableId="463932240">
    <w:abstractNumId w:val="11"/>
  </w:num>
  <w:num w:numId="13" w16cid:durableId="761801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1488590">
    <w:abstractNumId w:val="16"/>
  </w:num>
  <w:num w:numId="15" w16cid:durableId="839583786">
    <w:abstractNumId w:val="19"/>
  </w:num>
  <w:num w:numId="16" w16cid:durableId="1164663244">
    <w:abstractNumId w:val="13"/>
  </w:num>
  <w:num w:numId="17" w16cid:durableId="1089623111">
    <w:abstractNumId w:val="21"/>
  </w:num>
  <w:num w:numId="18" w16cid:durableId="530608679">
    <w:abstractNumId w:val="25"/>
  </w:num>
  <w:num w:numId="19" w16cid:durableId="1677224754">
    <w:abstractNumId w:val="2"/>
  </w:num>
  <w:num w:numId="20" w16cid:durableId="1020396007">
    <w:abstractNumId w:val="12"/>
  </w:num>
  <w:num w:numId="21" w16cid:durableId="85422045">
    <w:abstractNumId w:val="22"/>
  </w:num>
  <w:num w:numId="22" w16cid:durableId="387269452">
    <w:abstractNumId w:val="20"/>
  </w:num>
  <w:num w:numId="23" w16cid:durableId="1874421370">
    <w:abstractNumId w:val="18"/>
  </w:num>
  <w:num w:numId="24" w16cid:durableId="663512416">
    <w:abstractNumId w:val="4"/>
  </w:num>
  <w:num w:numId="25" w16cid:durableId="1278175094">
    <w:abstractNumId w:val="17"/>
  </w:num>
  <w:num w:numId="26" w16cid:durableId="2136100667">
    <w:abstractNumId w:val="8"/>
  </w:num>
  <w:num w:numId="27" w16cid:durableId="178830486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7EDB000-8660-4429-9265-D32C46D598B0}"/>
    <w:docVar w:name="dgnword-eventsink" w:val="998723392"/>
  </w:docVars>
  <w:rsids>
    <w:rsidRoot w:val="00EF21F6"/>
    <w:rsid w:val="000007DA"/>
    <w:rsid w:val="0000086F"/>
    <w:rsid w:val="00000FF9"/>
    <w:rsid w:val="00001393"/>
    <w:rsid w:val="00001817"/>
    <w:rsid w:val="0000199C"/>
    <w:rsid w:val="00001DDF"/>
    <w:rsid w:val="00001E39"/>
    <w:rsid w:val="00002199"/>
    <w:rsid w:val="00002212"/>
    <w:rsid w:val="000022DD"/>
    <w:rsid w:val="000022E6"/>
    <w:rsid w:val="000024AC"/>
    <w:rsid w:val="000027DC"/>
    <w:rsid w:val="00002A2B"/>
    <w:rsid w:val="00002B4F"/>
    <w:rsid w:val="00002B6E"/>
    <w:rsid w:val="00002BBC"/>
    <w:rsid w:val="00002C15"/>
    <w:rsid w:val="00002EBA"/>
    <w:rsid w:val="00003273"/>
    <w:rsid w:val="00003826"/>
    <w:rsid w:val="000038B9"/>
    <w:rsid w:val="00003C75"/>
    <w:rsid w:val="00003D19"/>
    <w:rsid w:val="00003EB7"/>
    <w:rsid w:val="00003F54"/>
    <w:rsid w:val="00004068"/>
    <w:rsid w:val="0000406E"/>
    <w:rsid w:val="0000416D"/>
    <w:rsid w:val="000047F1"/>
    <w:rsid w:val="00004855"/>
    <w:rsid w:val="0000488A"/>
    <w:rsid w:val="00004A36"/>
    <w:rsid w:val="00004DF0"/>
    <w:rsid w:val="00004F20"/>
    <w:rsid w:val="00005042"/>
    <w:rsid w:val="0000525D"/>
    <w:rsid w:val="000056D2"/>
    <w:rsid w:val="00005779"/>
    <w:rsid w:val="00005AF1"/>
    <w:rsid w:val="00005C70"/>
    <w:rsid w:val="00005E7D"/>
    <w:rsid w:val="0000605D"/>
    <w:rsid w:val="0000668A"/>
    <w:rsid w:val="00006A84"/>
    <w:rsid w:val="00006BC2"/>
    <w:rsid w:val="00006C0A"/>
    <w:rsid w:val="00006C5F"/>
    <w:rsid w:val="00006D85"/>
    <w:rsid w:val="00006DF4"/>
    <w:rsid w:val="0000745E"/>
    <w:rsid w:val="00007462"/>
    <w:rsid w:val="00007DA4"/>
    <w:rsid w:val="00007F00"/>
    <w:rsid w:val="00007F02"/>
    <w:rsid w:val="00007FB5"/>
    <w:rsid w:val="0001004C"/>
    <w:rsid w:val="00010066"/>
    <w:rsid w:val="000101F3"/>
    <w:rsid w:val="00010BF3"/>
    <w:rsid w:val="00011013"/>
    <w:rsid w:val="000110D7"/>
    <w:rsid w:val="00011315"/>
    <w:rsid w:val="00011847"/>
    <w:rsid w:val="0001188E"/>
    <w:rsid w:val="000118DF"/>
    <w:rsid w:val="00011A53"/>
    <w:rsid w:val="00011AB7"/>
    <w:rsid w:val="00011AD9"/>
    <w:rsid w:val="00011CEC"/>
    <w:rsid w:val="00011DCD"/>
    <w:rsid w:val="00011F47"/>
    <w:rsid w:val="00011F5C"/>
    <w:rsid w:val="00011FCC"/>
    <w:rsid w:val="0001200E"/>
    <w:rsid w:val="00012013"/>
    <w:rsid w:val="000121E8"/>
    <w:rsid w:val="00012253"/>
    <w:rsid w:val="00012294"/>
    <w:rsid w:val="000122E3"/>
    <w:rsid w:val="00012313"/>
    <w:rsid w:val="0001239C"/>
    <w:rsid w:val="0001284A"/>
    <w:rsid w:val="000129E2"/>
    <w:rsid w:val="00012B38"/>
    <w:rsid w:val="00012C70"/>
    <w:rsid w:val="00012F21"/>
    <w:rsid w:val="000131F5"/>
    <w:rsid w:val="000131FF"/>
    <w:rsid w:val="00013454"/>
    <w:rsid w:val="0001378B"/>
    <w:rsid w:val="0001378E"/>
    <w:rsid w:val="00013C4E"/>
    <w:rsid w:val="000141BA"/>
    <w:rsid w:val="00014254"/>
    <w:rsid w:val="000144D8"/>
    <w:rsid w:val="000146D3"/>
    <w:rsid w:val="00014834"/>
    <w:rsid w:val="000149B2"/>
    <w:rsid w:val="00014FD3"/>
    <w:rsid w:val="0001571B"/>
    <w:rsid w:val="00015924"/>
    <w:rsid w:val="00015B2C"/>
    <w:rsid w:val="00015C1F"/>
    <w:rsid w:val="00015D83"/>
    <w:rsid w:val="00015E6F"/>
    <w:rsid w:val="00015FAF"/>
    <w:rsid w:val="000164BB"/>
    <w:rsid w:val="00016618"/>
    <w:rsid w:val="00016689"/>
    <w:rsid w:val="000168E3"/>
    <w:rsid w:val="000169FE"/>
    <w:rsid w:val="00016AC1"/>
    <w:rsid w:val="0001757E"/>
    <w:rsid w:val="000179B5"/>
    <w:rsid w:val="00017A13"/>
    <w:rsid w:val="000202A5"/>
    <w:rsid w:val="00020341"/>
    <w:rsid w:val="00020371"/>
    <w:rsid w:val="000206BA"/>
    <w:rsid w:val="000206DB"/>
    <w:rsid w:val="00020E32"/>
    <w:rsid w:val="00021169"/>
    <w:rsid w:val="000215D2"/>
    <w:rsid w:val="0002162A"/>
    <w:rsid w:val="00021637"/>
    <w:rsid w:val="000217C5"/>
    <w:rsid w:val="00021B4F"/>
    <w:rsid w:val="00021D64"/>
    <w:rsid w:val="00021D91"/>
    <w:rsid w:val="00021E10"/>
    <w:rsid w:val="00022096"/>
    <w:rsid w:val="000223E4"/>
    <w:rsid w:val="000226CA"/>
    <w:rsid w:val="00022730"/>
    <w:rsid w:val="00022740"/>
    <w:rsid w:val="000227E4"/>
    <w:rsid w:val="00022A5B"/>
    <w:rsid w:val="00023055"/>
    <w:rsid w:val="0002312F"/>
    <w:rsid w:val="00023352"/>
    <w:rsid w:val="00023790"/>
    <w:rsid w:val="00023867"/>
    <w:rsid w:val="000239D9"/>
    <w:rsid w:val="00023DA9"/>
    <w:rsid w:val="00023F12"/>
    <w:rsid w:val="00024466"/>
    <w:rsid w:val="0002469E"/>
    <w:rsid w:val="000247C0"/>
    <w:rsid w:val="00024FA6"/>
    <w:rsid w:val="0002500F"/>
    <w:rsid w:val="000252F9"/>
    <w:rsid w:val="000259A9"/>
    <w:rsid w:val="000262F8"/>
    <w:rsid w:val="000266D7"/>
    <w:rsid w:val="00026713"/>
    <w:rsid w:val="000267FB"/>
    <w:rsid w:val="00026A97"/>
    <w:rsid w:val="00026C4F"/>
    <w:rsid w:val="00026C87"/>
    <w:rsid w:val="00026C98"/>
    <w:rsid w:val="00026DD2"/>
    <w:rsid w:val="00027587"/>
    <w:rsid w:val="00027777"/>
    <w:rsid w:val="000278DD"/>
    <w:rsid w:val="00027BE4"/>
    <w:rsid w:val="00027F6D"/>
    <w:rsid w:val="000309D3"/>
    <w:rsid w:val="00030BC6"/>
    <w:rsid w:val="00030E69"/>
    <w:rsid w:val="00031010"/>
    <w:rsid w:val="0003111D"/>
    <w:rsid w:val="000312D5"/>
    <w:rsid w:val="00031387"/>
    <w:rsid w:val="00031483"/>
    <w:rsid w:val="000314DD"/>
    <w:rsid w:val="00031531"/>
    <w:rsid w:val="000318EB"/>
    <w:rsid w:val="00031A23"/>
    <w:rsid w:val="00031C0A"/>
    <w:rsid w:val="00031C93"/>
    <w:rsid w:val="00031DBD"/>
    <w:rsid w:val="00031ECA"/>
    <w:rsid w:val="0003223F"/>
    <w:rsid w:val="00032496"/>
    <w:rsid w:val="000324E0"/>
    <w:rsid w:val="000328BE"/>
    <w:rsid w:val="00032BDA"/>
    <w:rsid w:val="00032E76"/>
    <w:rsid w:val="00033065"/>
    <w:rsid w:val="000330A3"/>
    <w:rsid w:val="00033298"/>
    <w:rsid w:val="000336D8"/>
    <w:rsid w:val="00033B2B"/>
    <w:rsid w:val="00033B8E"/>
    <w:rsid w:val="00033BA6"/>
    <w:rsid w:val="00033FD8"/>
    <w:rsid w:val="000342C3"/>
    <w:rsid w:val="00034489"/>
    <w:rsid w:val="00034594"/>
    <w:rsid w:val="000345DF"/>
    <w:rsid w:val="00034810"/>
    <w:rsid w:val="00034CBD"/>
    <w:rsid w:val="00034CEA"/>
    <w:rsid w:val="00034D06"/>
    <w:rsid w:val="00034E79"/>
    <w:rsid w:val="0003504C"/>
    <w:rsid w:val="000355AB"/>
    <w:rsid w:val="000355CA"/>
    <w:rsid w:val="000356BC"/>
    <w:rsid w:val="000357DA"/>
    <w:rsid w:val="00035C6C"/>
    <w:rsid w:val="000361A8"/>
    <w:rsid w:val="000363C5"/>
    <w:rsid w:val="000363F7"/>
    <w:rsid w:val="00036633"/>
    <w:rsid w:val="00036763"/>
    <w:rsid w:val="00036944"/>
    <w:rsid w:val="000369C9"/>
    <w:rsid w:val="00036A2B"/>
    <w:rsid w:val="00036ADF"/>
    <w:rsid w:val="00036B64"/>
    <w:rsid w:val="00036B6A"/>
    <w:rsid w:val="00036E9F"/>
    <w:rsid w:val="00036FA5"/>
    <w:rsid w:val="00037369"/>
    <w:rsid w:val="00037437"/>
    <w:rsid w:val="000374EB"/>
    <w:rsid w:val="00037641"/>
    <w:rsid w:val="000378F9"/>
    <w:rsid w:val="00037A5B"/>
    <w:rsid w:val="00040169"/>
    <w:rsid w:val="00040468"/>
    <w:rsid w:val="00040547"/>
    <w:rsid w:val="00040B4C"/>
    <w:rsid w:val="00040D0A"/>
    <w:rsid w:val="00040E32"/>
    <w:rsid w:val="00040FF3"/>
    <w:rsid w:val="00041243"/>
    <w:rsid w:val="000413BC"/>
    <w:rsid w:val="00041537"/>
    <w:rsid w:val="000415B7"/>
    <w:rsid w:val="000415F5"/>
    <w:rsid w:val="000416E7"/>
    <w:rsid w:val="00041909"/>
    <w:rsid w:val="0004196D"/>
    <w:rsid w:val="000419AA"/>
    <w:rsid w:val="00041ABB"/>
    <w:rsid w:val="0004234A"/>
    <w:rsid w:val="000423EC"/>
    <w:rsid w:val="00042535"/>
    <w:rsid w:val="0004270F"/>
    <w:rsid w:val="00042752"/>
    <w:rsid w:val="00042772"/>
    <w:rsid w:val="00042AB1"/>
    <w:rsid w:val="00042B3A"/>
    <w:rsid w:val="00042D49"/>
    <w:rsid w:val="00042E05"/>
    <w:rsid w:val="0004343F"/>
    <w:rsid w:val="00043619"/>
    <w:rsid w:val="000437E5"/>
    <w:rsid w:val="00043A83"/>
    <w:rsid w:val="00043C9A"/>
    <w:rsid w:val="00043D9C"/>
    <w:rsid w:val="00044363"/>
    <w:rsid w:val="000444B7"/>
    <w:rsid w:val="0004450F"/>
    <w:rsid w:val="00044980"/>
    <w:rsid w:val="00044BDB"/>
    <w:rsid w:val="00044E81"/>
    <w:rsid w:val="00044F1C"/>
    <w:rsid w:val="00044FC6"/>
    <w:rsid w:val="0004508E"/>
    <w:rsid w:val="00045406"/>
    <w:rsid w:val="000456C2"/>
    <w:rsid w:val="000456ED"/>
    <w:rsid w:val="0004578D"/>
    <w:rsid w:val="0004585D"/>
    <w:rsid w:val="00045970"/>
    <w:rsid w:val="00045EAD"/>
    <w:rsid w:val="00046477"/>
    <w:rsid w:val="000466EC"/>
    <w:rsid w:val="00046820"/>
    <w:rsid w:val="00046CD8"/>
    <w:rsid w:val="00046F53"/>
    <w:rsid w:val="00047458"/>
    <w:rsid w:val="000475CD"/>
    <w:rsid w:val="00047A0D"/>
    <w:rsid w:val="00050134"/>
    <w:rsid w:val="000503D8"/>
    <w:rsid w:val="000510B6"/>
    <w:rsid w:val="0005143F"/>
    <w:rsid w:val="000516ED"/>
    <w:rsid w:val="0005176D"/>
    <w:rsid w:val="000517E6"/>
    <w:rsid w:val="000518D9"/>
    <w:rsid w:val="000519A7"/>
    <w:rsid w:val="000519F1"/>
    <w:rsid w:val="00051C65"/>
    <w:rsid w:val="00051F26"/>
    <w:rsid w:val="000522ED"/>
    <w:rsid w:val="00052405"/>
    <w:rsid w:val="00052DA9"/>
    <w:rsid w:val="00052EAE"/>
    <w:rsid w:val="00053227"/>
    <w:rsid w:val="0005336D"/>
    <w:rsid w:val="00053713"/>
    <w:rsid w:val="00053764"/>
    <w:rsid w:val="00053922"/>
    <w:rsid w:val="00053E01"/>
    <w:rsid w:val="000544D8"/>
    <w:rsid w:val="00054821"/>
    <w:rsid w:val="00054829"/>
    <w:rsid w:val="00054904"/>
    <w:rsid w:val="0005490B"/>
    <w:rsid w:val="000549F3"/>
    <w:rsid w:val="00054A16"/>
    <w:rsid w:val="00054B1A"/>
    <w:rsid w:val="00054D32"/>
    <w:rsid w:val="000559A6"/>
    <w:rsid w:val="00055C42"/>
    <w:rsid w:val="000565C3"/>
    <w:rsid w:val="0005696D"/>
    <w:rsid w:val="00057014"/>
    <w:rsid w:val="0005714D"/>
    <w:rsid w:val="0005737A"/>
    <w:rsid w:val="000577B6"/>
    <w:rsid w:val="00057ADF"/>
    <w:rsid w:val="00060296"/>
    <w:rsid w:val="00060697"/>
    <w:rsid w:val="000608A8"/>
    <w:rsid w:val="00060D5D"/>
    <w:rsid w:val="0006120F"/>
    <w:rsid w:val="00061348"/>
    <w:rsid w:val="0006141E"/>
    <w:rsid w:val="0006160C"/>
    <w:rsid w:val="00061625"/>
    <w:rsid w:val="00061CD0"/>
    <w:rsid w:val="00062226"/>
    <w:rsid w:val="000625AA"/>
    <w:rsid w:val="00062753"/>
    <w:rsid w:val="00062A52"/>
    <w:rsid w:val="00062F81"/>
    <w:rsid w:val="00063277"/>
    <w:rsid w:val="0006336E"/>
    <w:rsid w:val="00063496"/>
    <w:rsid w:val="000635DC"/>
    <w:rsid w:val="00063623"/>
    <w:rsid w:val="00063E7C"/>
    <w:rsid w:val="00063F24"/>
    <w:rsid w:val="00063F6D"/>
    <w:rsid w:val="0006489A"/>
    <w:rsid w:val="000648DA"/>
    <w:rsid w:val="00064BAC"/>
    <w:rsid w:val="00064EF3"/>
    <w:rsid w:val="00064F56"/>
    <w:rsid w:val="00065403"/>
    <w:rsid w:val="00065475"/>
    <w:rsid w:val="00065521"/>
    <w:rsid w:val="0006559A"/>
    <w:rsid w:val="00065A84"/>
    <w:rsid w:val="00065D52"/>
    <w:rsid w:val="00065E97"/>
    <w:rsid w:val="000661D9"/>
    <w:rsid w:val="000662E5"/>
    <w:rsid w:val="00066400"/>
    <w:rsid w:val="000666B7"/>
    <w:rsid w:val="00066ACD"/>
    <w:rsid w:val="00066B6E"/>
    <w:rsid w:val="00066D26"/>
    <w:rsid w:val="000675C6"/>
    <w:rsid w:val="00067D66"/>
    <w:rsid w:val="00067E0A"/>
    <w:rsid w:val="0007010D"/>
    <w:rsid w:val="0007021F"/>
    <w:rsid w:val="0007049E"/>
    <w:rsid w:val="00070604"/>
    <w:rsid w:val="00070C2A"/>
    <w:rsid w:val="00070D04"/>
    <w:rsid w:val="00071248"/>
    <w:rsid w:val="00071575"/>
    <w:rsid w:val="000716BF"/>
    <w:rsid w:val="000719B1"/>
    <w:rsid w:val="00071AD1"/>
    <w:rsid w:val="00071AEC"/>
    <w:rsid w:val="00071C2F"/>
    <w:rsid w:val="00071D03"/>
    <w:rsid w:val="0007224A"/>
    <w:rsid w:val="00072279"/>
    <w:rsid w:val="0007252C"/>
    <w:rsid w:val="000726A2"/>
    <w:rsid w:val="00072872"/>
    <w:rsid w:val="0007288B"/>
    <w:rsid w:val="00072AFA"/>
    <w:rsid w:val="00072F38"/>
    <w:rsid w:val="00072FDA"/>
    <w:rsid w:val="0007302D"/>
    <w:rsid w:val="000730C7"/>
    <w:rsid w:val="000735CD"/>
    <w:rsid w:val="000735DF"/>
    <w:rsid w:val="000738B3"/>
    <w:rsid w:val="00073962"/>
    <w:rsid w:val="00073D2E"/>
    <w:rsid w:val="00073EE1"/>
    <w:rsid w:val="00073F19"/>
    <w:rsid w:val="00073FC8"/>
    <w:rsid w:val="0007438D"/>
    <w:rsid w:val="000743CC"/>
    <w:rsid w:val="000743E1"/>
    <w:rsid w:val="00074A57"/>
    <w:rsid w:val="00074DAD"/>
    <w:rsid w:val="00074ED9"/>
    <w:rsid w:val="000753FE"/>
    <w:rsid w:val="00075817"/>
    <w:rsid w:val="00075870"/>
    <w:rsid w:val="00075A59"/>
    <w:rsid w:val="00075B23"/>
    <w:rsid w:val="00075B24"/>
    <w:rsid w:val="00075E85"/>
    <w:rsid w:val="00075E93"/>
    <w:rsid w:val="00075FEC"/>
    <w:rsid w:val="00076166"/>
    <w:rsid w:val="000761AB"/>
    <w:rsid w:val="00076236"/>
    <w:rsid w:val="00076786"/>
    <w:rsid w:val="0007695D"/>
    <w:rsid w:val="000769EC"/>
    <w:rsid w:val="00076C4E"/>
    <w:rsid w:val="00076F8A"/>
    <w:rsid w:val="000771B9"/>
    <w:rsid w:val="00077918"/>
    <w:rsid w:val="00077DEB"/>
    <w:rsid w:val="000802FD"/>
    <w:rsid w:val="000803AC"/>
    <w:rsid w:val="000803E7"/>
    <w:rsid w:val="0008072C"/>
    <w:rsid w:val="00080838"/>
    <w:rsid w:val="00080860"/>
    <w:rsid w:val="0008097B"/>
    <w:rsid w:val="000809A1"/>
    <w:rsid w:val="00080A5D"/>
    <w:rsid w:val="00080A7E"/>
    <w:rsid w:val="00080A9C"/>
    <w:rsid w:val="00080F6D"/>
    <w:rsid w:val="000813F2"/>
    <w:rsid w:val="0008145E"/>
    <w:rsid w:val="000814D5"/>
    <w:rsid w:val="000814E8"/>
    <w:rsid w:val="00081672"/>
    <w:rsid w:val="000816D0"/>
    <w:rsid w:val="000817C2"/>
    <w:rsid w:val="000819C1"/>
    <w:rsid w:val="00081A15"/>
    <w:rsid w:val="00082321"/>
    <w:rsid w:val="0008266B"/>
    <w:rsid w:val="0008275C"/>
    <w:rsid w:val="000827CA"/>
    <w:rsid w:val="000828C4"/>
    <w:rsid w:val="00082E5B"/>
    <w:rsid w:val="0008300C"/>
    <w:rsid w:val="00083085"/>
    <w:rsid w:val="0008316E"/>
    <w:rsid w:val="0008332E"/>
    <w:rsid w:val="000835D6"/>
    <w:rsid w:val="000837B0"/>
    <w:rsid w:val="00083AA0"/>
    <w:rsid w:val="00083ACA"/>
    <w:rsid w:val="00083B88"/>
    <w:rsid w:val="00083BE0"/>
    <w:rsid w:val="00083E27"/>
    <w:rsid w:val="00084179"/>
    <w:rsid w:val="000842FC"/>
    <w:rsid w:val="000844FD"/>
    <w:rsid w:val="00084565"/>
    <w:rsid w:val="0008458D"/>
    <w:rsid w:val="0008477B"/>
    <w:rsid w:val="00084828"/>
    <w:rsid w:val="00084C1D"/>
    <w:rsid w:val="00084DFA"/>
    <w:rsid w:val="00084E18"/>
    <w:rsid w:val="00084E37"/>
    <w:rsid w:val="00084F36"/>
    <w:rsid w:val="0008510B"/>
    <w:rsid w:val="0008514E"/>
    <w:rsid w:val="000853FE"/>
    <w:rsid w:val="00085845"/>
    <w:rsid w:val="00085928"/>
    <w:rsid w:val="00085A7C"/>
    <w:rsid w:val="00085DBC"/>
    <w:rsid w:val="000860FF"/>
    <w:rsid w:val="00086582"/>
    <w:rsid w:val="00086639"/>
    <w:rsid w:val="000869AF"/>
    <w:rsid w:val="00086AED"/>
    <w:rsid w:val="00086B2E"/>
    <w:rsid w:val="00086E23"/>
    <w:rsid w:val="0008717B"/>
    <w:rsid w:val="0008739B"/>
    <w:rsid w:val="00087989"/>
    <w:rsid w:val="00087BAF"/>
    <w:rsid w:val="00090524"/>
    <w:rsid w:val="0009062A"/>
    <w:rsid w:val="00090C70"/>
    <w:rsid w:val="00090CA5"/>
    <w:rsid w:val="00090CDC"/>
    <w:rsid w:val="000911D2"/>
    <w:rsid w:val="00091415"/>
    <w:rsid w:val="000914B9"/>
    <w:rsid w:val="00091713"/>
    <w:rsid w:val="000917CE"/>
    <w:rsid w:val="00091A7A"/>
    <w:rsid w:val="00091C86"/>
    <w:rsid w:val="000920C1"/>
    <w:rsid w:val="00092317"/>
    <w:rsid w:val="000923E1"/>
    <w:rsid w:val="0009240D"/>
    <w:rsid w:val="00092663"/>
    <w:rsid w:val="00092CDA"/>
    <w:rsid w:val="00092D40"/>
    <w:rsid w:val="00092FFA"/>
    <w:rsid w:val="0009334C"/>
    <w:rsid w:val="0009338A"/>
    <w:rsid w:val="000934E8"/>
    <w:rsid w:val="00093665"/>
    <w:rsid w:val="00093BE7"/>
    <w:rsid w:val="00093C91"/>
    <w:rsid w:val="00093DF0"/>
    <w:rsid w:val="00093EC1"/>
    <w:rsid w:val="00094280"/>
    <w:rsid w:val="000943AE"/>
    <w:rsid w:val="000945F7"/>
    <w:rsid w:val="000946EB"/>
    <w:rsid w:val="00094B9D"/>
    <w:rsid w:val="00094C80"/>
    <w:rsid w:val="00094CF8"/>
    <w:rsid w:val="00094EAD"/>
    <w:rsid w:val="0009556A"/>
    <w:rsid w:val="00095801"/>
    <w:rsid w:val="000958B5"/>
    <w:rsid w:val="00095A1F"/>
    <w:rsid w:val="00095C15"/>
    <w:rsid w:val="00095E4B"/>
    <w:rsid w:val="0009610D"/>
    <w:rsid w:val="0009650D"/>
    <w:rsid w:val="00096884"/>
    <w:rsid w:val="000969C3"/>
    <w:rsid w:val="00096B91"/>
    <w:rsid w:val="00096C94"/>
    <w:rsid w:val="00096D8E"/>
    <w:rsid w:val="00096FDE"/>
    <w:rsid w:val="00097056"/>
    <w:rsid w:val="0009714B"/>
    <w:rsid w:val="000972EA"/>
    <w:rsid w:val="00097345"/>
    <w:rsid w:val="00097689"/>
    <w:rsid w:val="000A01D1"/>
    <w:rsid w:val="000A0A91"/>
    <w:rsid w:val="000A0CFB"/>
    <w:rsid w:val="000A0D48"/>
    <w:rsid w:val="000A10AF"/>
    <w:rsid w:val="000A118A"/>
    <w:rsid w:val="000A13FA"/>
    <w:rsid w:val="000A1658"/>
    <w:rsid w:val="000A166A"/>
    <w:rsid w:val="000A1675"/>
    <w:rsid w:val="000A19CC"/>
    <w:rsid w:val="000A1DCB"/>
    <w:rsid w:val="000A20F8"/>
    <w:rsid w:val="000A221E"/>
    <w:rsid w:val="000A23AC"/>
    <w:rsid w:val="000A2468"/>
    <w:rsid w:val="000A28EE"/>
    <w:rsid w:val="000A2DF5"/>
    <w:rsid w:val="000A3159"/>
    <w:rsid w:val="000A336D"/>
    <w:rsid w:val="000A33AC"/>
    <w:rsid w:val="000A356B"/>
    <w:rsid w:val="000A36D2"/>
    <w:rsid w:val="000A36FD"/>
    <w:rsid w:val="000A39FB"/>
    <w:rsid w:val="000A3B03"/>
    <w:rsid w:val="000A3CF8"/>
    <w:rsid w:val="000A3D0B"/>
    <w:rsid w:val="000A41FB"/>
    <w:rsid w:val="000A43BF"/>
    <w:rsid w:val="000A497C"/>
    <w:rsid w:val="000A4B46"/>
    <w:rsid w:val="000A4CB3"/>
    <w:rsid w:val="000A5279"/>
    <w:rsid w:val="000A5456"/>
    <w:rsid w:val="000A5FB8"/>
    <w:rsid w:val="000A66B6"/>
    <w:rsid w:val="000A6910"/>
    <w:rsid w:val="000A692A"/>
    <w:rsid w:val="000A6CF3"/>
    <w:rsid w:val="000A6DC1"/>
    <w:rsid w:val="000A6EBB"/>
    <w:rsid w:val="000A6FBC"/>
    <w:rsid w:val="000A7476"/>
    <w:rsid w:val="000A74FB"/>
    <w:rsid w:val="000A76FE"/>
    <w:rsid w:val="000A7762"/>
    <w:rsid w:val="000A7833"/>
    <w:rsid w:val="000A79A4"/>
    <w:rsid w:val="000A7A9C"/>
    <w:rsid w:val="000A7E3A"/>
    <w:rsid w:val="000A7F89"/>
    <w:rsid w:val="000B03BB"/>
    <w:rsid w:val="000B0447"/>
    <w:rsid w:val="000B06A1"/>
    <w:rsid w:val="000B0BBF"/>
    <w:rsid w:val="000B0D6F"/>
    <w:rsid w:val="000B0DFC"/>
    <w:rsid w:val="000B1060"/>
    <w:rsid w:val="000B1285"/>
    <w:rsid w:val="000B1297"/>
    <w:rsid w:val="000B150D"/>
    <w:rsid w:val="000B16F5"/>
    <w:rsid w:val="000B1838"/>
    <w:rsid w:val="000B1986"/>
    <w:rsid w:val="000B19B4"/>
    <w:rsid w:val="000B1B56"/>
    <w:rsid w:val="000B1BBE"/>
    <w:rsid w:val="000B23A2"/>
    <w:rsid w:val="000B2531"/>
    <w:rsid w:val="000B25B3"/>
    <w:rsid w:val="000B2953"/>
    <w:rsid w:val="000B2978"/>
    <w:rsid w:val="000B29F4"/>
    <w:rsid w:val="000B2C4B"/>
    <w:rsid w:val="000B3112"/>
    <w:rsid w:val="000B3288"/>
    <w:rsid w:val="000B33E6"/>
    <w:rsid w:val="000B3666"/>
    <w:rsid w:val="000B38B1"/>
    <w:rsid w:val="000B3979"/>
    <w:rsid w:val="000B39E5"/>
    <w:rsid w:val="000B438A"/>
    <w:rsid w:val="000B445B"/>
    <w:rsid w:val="000B490B"/>
    <w:rsid w:val="000B5035"/>
    <w:rsid w:val="000B5102"/>
    <w:rsid w:val="000B525D"/>
    <w:rsid w:val="000B55E3"/>
    <w:rsid w:val="000B564E"/>
    <w:rsid w:val="000B5A61"/>
    <w:rsid w:val="000B5B3E"/>
    <w:rsid w:val="000B5D83"/>
    <w:rsid w:val="000B6264"/>
    <w:rsid w:val="000B6323"/>
    <w:rsid w:val="000B65D1"/>
    <w:rsid w:val="000B65F9"/>
    <w:rsid w:val="000B6AE4"/>
    <w:rsid w:val="000B6B6F"/>
    <w:rsid w:val="000B6BC0"/>
    <w:rsid w:val="000B6D49"/>
    <w:rsid w:val="000B6E79"/>
    <w:rsid w:val="000B7030"/>
    <w:rsid w:val="000B7971"/>
    <w:rsid w:val="000B79CF"/>
    <w:rsid w:val="000B7B8A"/>
    <w:rsid w:val="000B7CEE"/>
    <w:rsid w:val="000B7F20"/>
    <w:rsid w:val="000C0006"/>
    <w:rsid w:val="000C022E"/>
    <w:rsid w:val="000C0371"/>
    <w:rsid w:val="000C0903"/>
    <w:rsid w:val="000C095A"/>
    <w:rsid w:val="000C09EA"/>
    <w:rsid w:val="000C0CCD"/>
    <w:rsid w:val="000C0CFC"/>
    <w:rsid w:val="000C0DDE"/>
    <w:rsid w:val="000C0FD7"/>
    <w:rsid w:val="000C11AE"/>
    <w:rsid w:val="000C138D"/>
    <w:rsid w:val="000C17CE"/>
    <w:rsid w:val="000C17ED"/>
    <w:rsid w:val="000C1DEF"/>
    <w:rsid w:val="000C1F5A"/>
    <w:rsid w:val="000C1F9D"/>
    <w:rsid w:val="000C21FB"/>
    <w:rsid w:val="000C2362"/>
    <w:rsid w:val="000C2585"/>
    <w:rsid w:val="000C291D"/>
    <w:rsid w:val="000C2BB9"/>
    <w:rsid w:val="000C2D7C"/>
    <w:rsid w:val="000C2DA2"/>
    <w:rsid w:val="000C2ECC"/>
    <w:rsid w:val="000C2EDD"/>
    <w:rsid w:val="000C3160"/>
    <w:rsid w:val="000C317F"/>
    <w:rsid w:val="000C33D9"/>
    <w:rsid w:val="000C346B"/>
    <w:rsid w:val="000C35F4"/>
    <w:rsid w:val="000C39B2"/>
    <w:rsid w:val="000C39EF"/>
    <w:rsid w:val="000C445E"/>
    <w:rsid w:val="000C44BC"/>
    <w:rsid w:val="000C4723"/>
    <w:rsid w:val="000C4923"/>
    <w:rsid w:val="000C4988"/>
    <w:rsid w:val="000C4AC1"/>
    <w:rsid w:val="000C4AE4"/>
    <w:rsid w:val="000C4BB6"/>
    <w:rsid w:val="000C4E65"/>
    <w:rsid w:val="000C51B6"/>
    <w:rsid w:val="000C53A1"/>
    <w:rsid w:val="000C548B"/>
    <w:rsid w:val="000C574D"/>
    <w:rsid w:val="000C59DA"/>
    <w:rsid w:val="000C5D73"/>
    <w:rsid w:val="000C5E8F"/>
    <w:rsid w:val="000C5FC5"/>
    <w:rsid w:val="000C609F"/>
    <w:rsid w:val="000C6280"/>
    <w:rsid w:val="000C62CB"/>
    <w:rsid w:val="000C668C"/>
    <w:rsid w:val="000C79EB"/>
    <w:rsid w:val="000C7DB6"/>
    <w:rsid w:val="000C7DD9"/>
    <w:rsid w:val="000D027E"/>
    <w:rsid w:val="000D035A"/>
    <w:rsid w:val="000D05BC"/>
    <w:rsid w:val="000D05D0"/>
    <w:rsid w:val="000D0609"/>
    <w:rsid w:val="000D062F"/>
    <w:rsid w:val="000D0668"/>
    <w:rsid w:val="000D074E"/>
    <w:rsid w:val="000D0787"/>
    <w:rsid w:val="000D0919"/>
    <w:rsid w:val="000D0B1C"/>
    <w:rsid w:val="000D18E4"/>
    <w:rsid w:val="000D1A14"/>
    <w:rsid w:val="000D25A0"/>
    <w:rsid w:val="000D278D"/>
    <w:rsid w:val="000D2B20"/>
    <w:rsid w:val="000D2B6A"/>
    <w:rsid w:val="000D2BEB"/>
    <w:rsid w:val="000D350A"/>
    <w:rsid w:val="000D354C"/>
    <w:rsid w:val="000D3614"/>
    <w:rsid w:val="000D397C"/>
    <w:rsid w:val="000D3A0C"/>
    <w:rsid w:val="000D3C33"/>
    <w:rsid w:val="000D3E5B"/>
    <w:rsid w:val="000D404D"/>
    <w:rsid w:val="000D41FB"/>
    <w:rsid w:val="000D4309"/>
    <w:rsid w:val="000D454B"/>
    <w:rsid w:val="000D4678"/>
    <w:rsid w:val="000D4967"/>
    <w:rsid w:val="000D4996"/>
    <w:rsid w:val="000D4F7F"/>
    <w:rsid w:val="000D4FEF"/>
    <w:rsid w:val="000D544B"/>
    <w:rsid w:val="000D568A"/>
    <w:rsid w:val="000D5727"/>
    <w:rsid w:val="000D5E6C"/>
    <w:rsid w:val="000D602A"/>
    <w:rsid w:val="000D6051"/>
    <w:rsid w:val="000D614F"/>
    <w:rsid w:val="000D61FB"/>
    <w:rsid w:val="000D62B1"/>
    <w:rsid w:val="000D633B"/>
    <w:rsid w:val="000D6391"/>
    <w:rsid w:val="000D63D6"/>
    <w:rsid w:val="000D651E"/>
    <w:rsid w:val="000D683B"/>
    <w:rsid w:val="000D6A2C"/>
    <w:rsid w:val="000D6E6F"/>
    <w:rsid w:val="000D71C4"/>
    <w:rsid w:val="000D7216"/>
    <w:rsid w:val="000D732F"/>
    <w:rsid w:val="000D7380"/>
    <w:rsid w:val="000D77BF"/>
    <w:rsid w:val="000D7922"/>
    <w:rsid w:val="000D7E12"/>
    <w:rsid w:val="000D7E77"/>
    <w:rsid w:val="000D7EED"/>
    <w:rsid w:val="000E0316"/>
    <w:rsid w:val="000E0553"/>
    <w:rsid w:val="000E0801"/>
    <w:rsid w:val="000E08AE"/>
    <w:rsid w:val="000E09D6"/>
    <w:rsid w:val="000E0A42"/>
    <w:rsid w:val="000E0A70"/>
    <w:rsid w:val="000E0C6B"/>
    <w:rsid w:val="000E115B"/>
    <w:rsid w:val="000E13F9"/>
    <w:rsid w:val="000E1511"/>
    <w:rsid w:val="000E1729"/>
    <w:rsid w:val="000E1781"/>
    <w:rsid w:val="000E17B7"/>
    <w:rsid w:val="000E197B"/>
    <w:rsid w:val="000E1987"/>
    <w:rsid w:val="000E1A4B"/>
    <w:rsid w:val="000E1B92"/>
    <w:rsid w:val="000E1C54"/>
    <w:rsid w:val="000E1DCD"/>
    <w:rsid w:val="000E2185"/>
    <w:rsid w:val="000E21C5"/>
    <w:rsid w:val="000E2662"/>
    <w:rsid w:val="000E2727"/>
    <w:rsid w:val="000E27E1"/>
    <w:rsid w:val="000E2907"/>
    <w:rsid w:val="000E2E44"/>
    <w:rsid w:val="000E2ED3"/>
    <w:rsid w:val="000E3262"/>
    <w:rsid w:val="000E33A5"/>
    <w:rsid w:val="000E3425"/>
    <w:rsid w:val="000E3454"/>
    <w:rsid w:val="000E37E7"/>
    <w:rsid w:val="000E3A45"/>
    <w:rsid w:val="000E3AD3"/>
    <w:rsid w:val="000E3C43"/>
    <w:rsid w:val="000E3F42"/>
    <w:rsid w:val="000E40BD"/>
    <w:rsid w:val="000E4419"/>
    <w:rsid w:val="000E44CD"/>
    <w:rsid w:val="000E467A"/>
    <w:rsid w:val="000E4AAD"/>
    <w:rsid w:val="000E4DC7"/>
    <w:rsid w:val="000E4DF4"/>
    <w:rsid w:val="000E5C54"/>
    <w:rsid w:val="000E5C98"/>
    <w:rsid w:val="000E5DE4"/>
    <w:rsid w:val="000E5E03"/>
    <w:rsid w:val="000E6307"/>
    <w:rsid w:val="000E688E"/>
    <w:rsid w:val="000E6A53"/>
    <w:rsid w:val="000E6A7C"/>
    <w:rsid w:val="000E6EBD"/>
    <w:rsid w:val="000E7048"/>
    <w:rsid w:val="000E735C"/>
    <w:rsid w:val="000E7400"/>
    <w:rsid w:val="000E75C6"/>
    <w:rsid w:val="000E770E"/>
    <w:rsid w:val="000E779A"/>
    <w:rsid w:val="000E78E9"/>
    <w:rsid w:val="000E7DA2"/>
    <w:rsid w:val="000E7E18"/>
    <w:rsid w:val="000F0268"/>
    <w:rsid w:val="000F04EB"/>
    <w:rsid w:val="000F0860"/>
    <w:rsid w:val="000F0B03"/>
    <w:rsid w:val="000F0C91"/>
    <w:rsid w:val="000F0DA4"/>
    <w:rsid w:val="000F0F06"/>
    <w:rsid w:val="000F1145"/>
    <w:rsid w:val="000F11FD"/>
    <w:rsid w:val="000F1448"/>
    <w:rsid w:val="000F1615"/>
    <w:rsid w:val="000F176A"/>
    <w:rsid w:val="000F17E6"/>
    <w:rsid w:val="000F1835"/>
    <w:rsid w:val="000F1A3C"/>
    <w:rsid w:val="000F1ED2"/>
    <w:rsid w:val="000F1FAE"/>
    <w:rsid w:val="000F2234"/>
    <w:rsid w:val="000F2264"/>
    <w:rsid w:val="000F2312"/>
    <w:rsid w:val="000F25B9"/>
    <w:rsid w:val="000F2B0E"/>
    <w:rsid w:val="000F2D2B"/>
    <w:rsid w:val="000F2DBA"/>
    <w:rsid w:val="000F2DD2"/>
    <w:rsid w:val="000F2EA1"/>
    <w:rsid w:val="000F2EE3"/>
    <w:rsid w:val="000F2FD0"/>
    <w:rsid w:val="000F30AD"/>
    <w:rsid w:val="000F3302"/>
    <w:rsid w:val="000F3536"/>
    <w:rsid w:val="000F3695"/>
    <w:rsid w:val="000F3715"/>
    <w:rsid w:val="000F3DD8"/>
    <w:rsid w:val="000F3E10"/>
    <w:rsid w:val="000F40CC"/>
    <w:rsid w:val="000F4242"/>
    <w:rsid w:val="000F432F"/>
    <w:rsid w:val="000F4728"/>
    <w:rsid w:val="000F47F9"/>
    <w:rsid w:val="000F5628"/>
    <w:rsid w:val="000F5786"/>
    <w:rsid w:val="000F592A"/>
    <w:rsid w:val="000F596B"/>
    <w:rsid w:val="000F5A9D"/>
    <w:rsid w:val="000F5BC4"/>
    <w:rsid w:val="000F5C7E"/>
    <w:rsid w:val="000F5EB0"/>
    <w:rsid w:val="000F5ECB"/>
    <w:rsid w:val="000F5F65"/>
    <w:rsid w:val="000F60F8"/>
    <w:rsid w:val="000F6210"/>
    <w:rsid w:val="000F65FC"/>
    <w:rsid w:val="000F6C46"/>
    <w:rsid w:val="000F6CFC"/>
    <w:rsid w:val="000F6F2F"/>
    <w:rsid w:val="000F7034"/>
    <w:rsid w:val="000F7AEF"/>
    <w:rsid w:val="000F7B0F"/>
    <w:rsid w:val="000F7C5D"/>
    <w:rsid w:val="000F7ED6"/>
    <w:rsid w:val="00100168"/>
    <w:rsid w:val="0010018C"/>
    <w:rsid w:val="0010050F"/>
    <w:rsid w:val="00100622"/>
    <w:rsid w:val="00100830"/>
    <w:rsid w:val="00100E42"/>
    <w:rsid w:val="00100F63"/>
    <w:rsid w:val="00101037"/>
    <w:rsid w:val="001011FB"/>
    <w:rsid w:val="0010121C"/>
    <w:rsid w:val="00101424"/>
    <w:rsid w:val="00101485"/>
    <w:rsid w:val="00101703"/>
    <w:rsid w:val="001017C3"/>
    <w:rsid w:val="00101821"/>
    <w:rsid w:val="00101986"/>
    <w:rsid w:val="0010199F"/>
    <w:rsid w:val="00101B0A"/>
    <w:rsid w:val="00101C79"/>
    <w:rsid w:val="00101D29"/>
    <w:rsid w:val="0010218F"/>
    <w:rsid w:val="0010246A"/>
    <w:rsid w:val="00102581"/>
    <w:rsid w:val="001026A6"/>
    <w:rsid w:val="001027EB"/>
    <w:rsid w:val="00102B38"/>
    <w:rsid w:val="00103020"/>
    <w:rsid w:val="001030B7"/>
    <w:rsid w:val="00103702"/>
    <w:rsid w:val="00103ADB"/>
    <w:rsid w:val="00103BFE"/>
    <w:rsid w:val="0010407D"/>
    <w:rsid w:val="00104428"/>
    <w:rsid w:val="00104839"/>
    <w:rsid w:val="00104B0B"/>
    <w:rsid w:val="00104DC7"/>
    <w:rsid w:val="00104E70"/>
    <w:rsid w:val="00104E9A"/>
    <w:rsid w:val="00104F2C"/>
    <w:rsid w:val="001050AB"/>
    <w:rsid w:val="00105648"/>
    <w:rsid w:val="0010597B"/>
    <w:rsid w:val="00105A3E"/>
    <w:rsid w:val="00105CC7"/>
    <w:rsid w:val="00105F0B"/>
    <w:rsid w:val="0010608F"/>
    <w:rsid w:val="001061E4"/>
    <w:rsid w:val="00106232"/>
    <w:rsid w:val="00106379"/>
    <w:rsid w:val="0010687E"/>
    <w:rsid w:val="00106BBF"/>
    <w:rsid w:val="00106FE5"/>
    <w:rsid w:val="0010710A"/>
    <w:rsid w:val="00107119"/>
    <w:rsid w:val="001073A9"/>
    <w:rsid w:val="0010743C"/>
    <w:rsid w:val="00107502"/>
    <w:rsid w:val="001078A4"/>
    <w:rsid w:val="00107A10"/>
    <w:rsid w:val="00107ACD"/>
    <w:rsid w:val="00107B29"/>
    <w:rsid w:val="00107FC9"/>
    <w:rsid w:val="001103F0"/>
    <w:rsid w:val="00110491"/>
    <w:rsid w:val="001107D3"/>
    <w:rsid w:val="00110A71"/>
    <w:rsid w:val="00110AB9"/>
    <w:rsid w:val="00110D4C"/>
    <w:rsid w:val="00110E22"/>
    <w:rsid w:val="00110EA9"/>
    <w:rsid w:val="0011118D"/>
    <w:rsid w:val="001111F1"/>
    <w:rsid w:val="00111208"/>
    <w:rsid w:val="001114AE"/>
    <w:rsid w:val="001116B0"/>
    <w:rsid w:val="0011171C"/>
    <w:rsid w:val="00111A5D"/>
    <w:rsid w:val="00111D56"/>
    <w:rsid w:val="00111E05"/>
    <w:rsid w:val="00111F61"/>
    <w:rsid w:val="00111F85"/>
    <w:rsid w:val="00112562"/>
    <w:rsid w:val="00112743"/>
    <w:rsid w:val="00112AC6"/>
    <w:rsid w:val="00112BA6"/>
    <w:rsid w:val="00112C94"/>
    <w:rsid w:val="00112E63"/>
    <w:rsid w:val="00112FFC"/>
    <w:rsid w:val="0011302D"/>
    <w:rsid w:val="001130AE"/>
    <w:rsid w:val="001131B7"/>
    <w:rsid w:val="0011322F"/>
    <w:rsid w:val="001132FD"/>
    <w:rsid w:val="00113399"/>
    <w:rsid w:val="00113A70"/>
    <w:rsid w:val="00113C2F"/>
    <w:rsid w:val="001141F5"/>
    <w:rsid w:val="001148DA"/>
    <w:rsid w:val="00114939"/>
    <w:rsid w:val="00114EC2"/>
    <w:rsid w:val="0011511B"/>
    <w:rsid w:val="001151BD"/>
    <w:rsid w:val="001151F0"/>
    <w:rsid w:val="001156E9"/>
    <w:rsid w:val="00115722"/>
    <w:rsid w:val="00115860"/>
    <w:rsid w:val="00115A21"/>
    <w:rsid w:val="00115A3F"/>
    <w:rsid w:val="00115B94"/>
    <w:rsid w:val="001165FD"/>
    <w:rsid w:val="001166C0"/>
    <w:rsid w:val="001169AC"/>
    <w:rsid w:val="00116A89"/>
    <w:rsid w:val="00116A9A"/>
    <w:rsid w:val="00116B57"/>
    <w:rsid w:val="00116D1D"/>
    <w:rsid w:val="00116E8A"/>
    <w:rsid w:val="00117066"/>
    <w:rsid w:val="00117997"/>
    <w:rsid w:val="00117D7C"/>
    <w:rsid w:val="00117E6C"/>
    <w:rsid w:val="0012039E"/>
    <w:rsid w:val="001207AA"/>
    <w:rsid w:val="00120A30"/>
    <w:rsid w:val="00120B46"/>
    <w:rsid w:val="00120F38"/>
    <w:rsid w:val="00120FDA"/>
    <w:rsid w:val="0012101C"/>
    <w:rsid w:val="00121059"/>
    <w:rsid w:val="00121635"/>
    <w:rsid w:val="001216D1"/>
    <w:rsid w:val="00121700"/>
    <w:rsid w:val="00121A06"/>
    <w:rsid w:val="00121F5A"/>
    <w:rsid w:val="00122147"/>
    <w:rsid w:val="00122293"/>
    <w:rsid w:val="001223FB"/>
    <w:rsid w:val="001232AA"/>
    <w:rsid w:val="001232D3"/>
    <w:rsid w:val="0012337D"/>
    <w:rsid w:val="00123473"/>
    <w:rsid w:val="001238FC"/>
    <w:rsid w:val="00124045"/>
    <w:rsid w:val="001244F6"/>
    <w:rsid w:val="00124977"/>
    <w:rsid w:val="00124994"/>
    <w:rsid w:val="0012499A"/>
    <w:rsid w:val="00124A1D"/>
    <w:rsid w:val="00124D89"/>
    <w:rsid w:val="00124E3D"/>
    <w:rsid w:val="00124E63"/>
    <w:rsid w:val="00124ED6"/>
    <w:rsid w:val="0012564A"/>
    <w:rsid w:val="00125991"/>
    <w:rsid w:val="00125C38"/>
    <w:rsid w:val="0012626E"/>
    <w:rsid w:val="00126557"/>
    <w:rsid w:val="00126603"/>
    <w:rsid w:val="00126629"/>
    <w:rsid w:val="00126C75"/>
    <w:rsid w:val="00127095"/>
    <w:rsid w:val="0012749E"/>
    <w:rsid w:val="001275D0"/>
    <w:rsid w:val="001277E5"/>
    <w:rsid w:val="00127B19"/>
    <w:rsid w:val="00127FE1"/>
    <w:rsid w:val="0013038B"/>
    <w:rsid w:val="001303A8"/>
    <w:rsid w:val="0013052A"/>
    <w:rsid w:val="0013071C"/>
    <w:rsid w:val="00130976"/>
    <w:rsid w:val="001309DA"/>
    <w:rsid w:val="00130C35"/>
    <w:rsid w:val="00130D9E"/>
    <w:rsid w:val="00130DAB"/>
    <w:rsid w:val="00130F5D"/>
    <w:rsid w:val="00130FE0"/>
    <w:rsid w:val="0013179A"/>
    <w:rsid w:val="00131A80"/>
    <w:rsid w:val="00131BA2"/>
    <w:rsid w:val="00131FAB"/>
    <w:rsid w:val="00131FD2"/>
    <w:rsid w:val="00132009"/>
    <w:rsid w:val="0013239E"/>
    <w:rsid w:val="0013270B"/>
    <w:rsid w:val="001327AD"/>
    <w:rsid w:val="00132B61"/>
    <w:rsid w:val="00132CD9"/>
    <w:rsid w:val="00132D26"/>
    <w:rsid w:val="001332C3"/>
    <w:rsid w:val="0013339E"/>
    <w:rsid w:val="00133610"/>
    <w:rsid w:val="0013380A"/>
    <w:rsid w:val="001339AA"/>
    <w:rsid w:val="00133CF2"/>
    <w:rsid w:val="00133D16"/>
    <w:rsid w:val="00133FD9"/>
    <w:rsid w:val="00134252"/>
    <w:rsid w:val="001344F2"/>
    <w:rsid w:val="0013458B"/>
    <w:rsid w:val="001345DA"/>
    <w:rsid w:val="0013464E"/>
    <w:rsid w:val="001346A0"/>
    <w:rsid w:val="0013470C"/>
    <w:rsid w:val="00134B63"/>
    <w:rsid w:val="00134BB3"/>
    <w:rsid w:val="00134DA9"/>
    <w:rsid w:val="00134DE8"/>
    <w:rsid w:val="00134EDB"/>
    <w:rsid w:val="00135083"/>
    <w:rsid w:val="00135620"/>
    <w:rsid w:val="001356EB"/>
    <w:rsid w:val="001358C9"/>
    <w:rsid w:val="00135D19"/>
    <w:rsid w:val="00135DBD"/>
    <w:rsid w:val="00135E09"/>
    <w:rsid w:val="00135EC7"/>
    <w:rsid w:val="001361DE"/>
    <w:rsid w:val="001368E2"/>
    <w:rsid w:val="00136D9A"/>
    <w:rsid w:val="00136E45"/>
    <w:rsid w:val="0013720E"/>
    <w:rsid w:val="001377D3"/>
    <w:rsid w:val="001377E7"/>
    <w:rsid w:val="00137A9A"/>
    <w:rsid w:val="00137C29"/>
    <w:rsid w:val="00137E11"/>
    <w:rsid w:val="00140259"/>
    <w:rsid w:val="00140536"/>
    <w:rsid w:val="00140671"/>
    <w:rsid w:val="00140997"/>
    <w:rsid w:val="00140D29"/>
    <w:rsid w:val="00140E21"/>
    <w:rsid w:val="001410B6"/>
    <w:rsid w:val="0014133C"/>
    <w:rsid w:val="001413A6"/>
    <w:rsid w:val="0014148C"/>
    <w:rsid w:val="0014148D"/>
    <w:rsid w:val="00141BEF"/>
    <w:rsid w:val="00141E1B"/>
    <w:rsid w:val="00142116"/>
    <w:rsid w:val="001422F2"/>
    <w:rsid w:val="0014250B"/>
    <w:rsid w:val="0014264E"/>
    <w:rsid w:val="001428D4"/>
    <w:rsid w:val="001429C6"/>
    <w:rsid w:val="001429EE"/>
    <w:rsid w:val="00142ABA"/>
    <w:rsid w:val="00142EA2"/>
    <w:rsid w:val="001436F6"/>
    <w:rsid w:val="00143CD6"/>
    <w:rsid w:val="00144382"/>
    <w:rsid w:val="0014462F"/>
    <w:rsid w:val="00144633"/>
    <w:rsid w:val="00144936"/>
    <w:rsid w:val="00145074"/>
    <w:rsid w:val="00145772"/>
    <w:rsid w:val="00145A88"/>
    <w:rsid w:val="00145BB8"/>
    <w:rsid w:val="00145C83"/>
    <w:rsid w:val="00145DC4"/>
    <w:rsid w:val="001461FB"/>
    <w:rsid w:val="001462AC"/>
    <w:rsid w:val="00146461"/>
    <w:rsid w:val="0014668A"/>
    <w:rsid w:val="0014670C"/>
    <w:rsid w:val="001467CA"/>
    <w:rsid w:val="00146AD5"/>
    <w:rsid w:val="00146ADE"/>
    <w:rsid w:val="00146B0D"/>
    <w:rsid w:val="00146B47"/>
    <w:rsid w:val="00146FB6"/>
    <w:rsid w:val="001473FA"/>
    <w:rsid w:val="001474EA"/>
    <w:rsid w:val="001478BD"/>
    <w:rsid w:val="00147997"/>
    <w:rsid w:val="00147D03"/>
    <w:rsid w:val="00147E2F"/>
    <w:rsid w:val="00150719"/>
    <w:rsid w:val="00150887"/>
    <w:rsid w:val="00150942"/>
    <w:rsid w:val="0015099B"/>
    <w:rsid w:val="00150D2D"/>
    <w:rsid w:val="00150E6E"/>
    <w:rsid w:val="00150FB0"/>
    <w:rsid w:val="0015145A"/>
    <w:rsid w:val="001515E8"/>
    <w:rsid w:val="001516FE"/>
    <w:rsid w:val="00151851"/>
    <w:rsid w:val="00151B4B"/>
    <w:rsid w:val="00151D66"/>
    <w:rsid w:val="00151D77"/>
    <w:rsid w:val="00151ECF"/>
    <w:rsid w:val="00152618"/>
    <w:rsid w:val="00152FDC"/>
    <w:rsid w:val="0015310D"/>
    <w:rsid w:val="0015335C"/>
    <w:rsid w:val="0015379F"/>
    <w:rsid w:val="001538CA"/>
    <w:rsid w:val="0015395E"/>
    <w:rsid w:val="001539B3"/>
    <w:rsid w:val="001539EE"/>
    <w:rsid w:val="00153F19"/>
    <w:rsid w:val="00153FAB"/>
    <w:rsid w:val="00154161"/>
    <w:rsid w:val="0015435E"/>
    <w:rsid w:val="00154541"/>
    <w:rsid w:val="001546CD"/>
    <w:rsid w:val="001549B9"/>
    <w:rsid w:val="00154A13"/>
    <w:rsid w:val="00154E2F"/>
    <w:rsid w:val="00155577"/>
    <w:rsid w:val="00155895"/>
    <w:rsid w:val="00155F75"/>
    <w:rsid w:val="00156389"/>
    <w:rsid w:val="001565D0"/>
    <w:rsid w:val="0015684B"/>
    <w:rsid w:val="00156A2B"/>
    <w:rsid w:val="00156A35"/>
    <w:rsid w:val="00156A63"/>
    <w:rsid w:val="00156C61"/>
    <w:rsid w:val="00156E85"/>
    <w:rsid w:val="00157A32"/>
    <w:rsid w:val="00157A39"/>
    <w:rsid w:val="00160260"/>
    <w:rsid w:val="0016037B"/>
    <w:rsid w:val="001609CE"/>
    <w:rsid w:val="00160AD8"/>
    <w:rsid w:val="00160D92"/>
    <w:rsid w:val="0016101C"/>
    <w:rsid w:val="001611AC"/>
    <w:rsid w:val="0016165D"/>
    <w:rsid w:val="00161852"/>
    <w:rsid w:val="00161B2D"/>
    <w:rsid w:val="00161CD0"/>
    <w:rsid w:val="00161FE0"/>
    <w:rsid w:val="001621E6"/>
    <w:rsid w:val="001624D4"/>
    <w:rsid w:val="0016257F"/>
    <w:rsid w:val="001625FD"/>
    <w:rsid w:val="001626C3"/>
    <w:rsid w:val="00162959"/>
    <w:rsid w:val="001632A0"/>
    <w:rsid w:val="00163467"/>
    <w:rsid w:val="00163897"/>
    <w:rsid w:val="00163979"/>
    <w:rsid w:val="00163C91"/>
    <w:rsid w:val="00163D7F"/>
    <w:rsid w:val="0016439B"/>
    <w:rsid w:val="001649F5"/>
    <w:rsid w:val="00164F85"/>
    <w:rsid w:val="001650BF"/>
    <w:rsid w:val="001651C9"/>
    <w:rsid w:val="001655C9"/>
    <w:rsid w:val="00165884"/>
    <w:rsid w:val="0016589E"/>
    <w:rsid w:val="001658B0"/>
    <w:rsid w:val="0016599B"/>
    <w:rsid w:val="00165C52"/>
    <w:rsid w:val="00165F56"/>
    <w:rsid w:val="0016609C"/>
    <w:rsid w:val="001665EC"/>
    <w:rsid w:val="00166664"/>
    <w:rsid w:val="001667E3"/>
    <w:rsid w:val="00166C34"/>
    <w:rsid w:val="00166E56"/>
    <w:rsid w:val="00166F2E"/>
    <w:rsid w:val="001674BD"/>
    <w:rsid w:val="00167918"/>
    <w:rsid w:val="00167C3E"/>
    <w:rsid w:val="00167FB3"/>
    <w:rsid w:val="00170065"/>
    <w:rsid w:val="00170553"/>
    <w:rsid w:val="0017068C"/>
    <w:rsid w:val="00170732"/>
    <w:rsid w:val="00170773"/>
    <w:rsid w:val="00170950"/>
    <w:rsid w:val="00170A4E"/>
    <w:rsid w:val="00170CD4"/>
    <w:rsid w:val="00170DC0"/>
    <w:rsid w:val="00170E49"/>
    <w:rsid w:val="00170E4D"/>
    <w:rsid w:val="00170F29"/>
    <w:rsid w:val="00171343"/>
    <w:rsid w:val="001715F3"/>
    <w:rsid w:val="001716EA"/>
    <w:rsid w:val="001719A3"/>
    <w:rsid w:val="00171D47"/>
    <w:rsid w:val="001720FF"/>
    <w:rsid w:val="00172182"/>
    <w:rsid w:val="00172757"/>
    <w:rsid w:val="0017286B"/>
    <w:rsid w:val="00172892"/>
    <w:rsid w:val="001728C1"/>
    <w:rsid w:val="001728C3"/>
    <w:rsid w:val="00172906"/>
    <w:rsid w:val="00172BAA"/>
    <w:rsid w:val="00172E6A"/>
    <w:rsid w:val="00173536"/>
    <w:rsid w:val="00173AAB"/>
    <w:rsid w:val="00173C39"/>
    <w:rsid w:val="00173F63"/>
    <w:rsid w:val="00174181"/>
    <w:rsid w:val="001742C0"/>
    <w:rsid w:val="0017442F"/>
    <w:rsid w:val="00174664"/>
    <w:rsid w:val="0017490F"/>
    <w:rsid w:val="00174DE9"/>
    <w:rsid w:val="00174E59"/>
    <w:rsid w:val="00174EC3"/>
    <w:rsid w:val="0017513F"/>
    <w:rsid w:val="001751F5"/>
    <w:rsid w:val="001752DA"/>
    <w:rsid w:val="00175487"/>
    <w:rsid w:val="001756AA"/>
    <w:rsid w:val="001758FB"/>
    <w:rsid w:val="00175BDA"/>
    <w:rsid w:val="00175E67"/>
    <w:rsid w:val="001760E0"/>
    <w:rsid w:val="00176542"/>
    <w:rsid w:val="00176820"/>
    <w:rsid w:val="00176AEA"/>
    <w:rsid w:val="00176DEB"/>
    <w:rsid w:val="001770C2"/>
    <w:rsid w:val="0017733E"/>
    <w:rsid w:val="00177860"/>
    <w:rsid w:val="0017791C"/>
    <w:rsid w:val="00177DAA"/>
    <w:rsid w:val="001800E5"/>
    <w:rsid w:val="00180403"/>
    <w:rsid w:val="0018090F"/>
    <w:rsid w:val="0018095D"/>
    <w:rsid w:val="00180AFE"/>
    <w:rsid w:val="00180BAA"/>
    <w:rsid w:val="00180D9B"/>
    <w:rsid w:val="00180E7E"/>
    <w:rsid w:val="0018125F"/>
    <w:rsid w:val="001813B6"/>
    <w:rsid w:val="00181422"/>
    <w:rsid w:val="00181620"/>
    <w:rsid w:val="00181784"/>
    <w:rsid w:val="00181A24"/>
    <w:rsid w:val="00181C76"/>
    <w:rsid w:val="001822A3"/>
    <w:rsid w:val="0018266F"/>
    <w:rsid w:val="00182819"/>
    <w:rsid w:val="001828A5"/>
    <w:rsid w:val="00182C16"/>
    <w:rsid w:val="00182CA3"/>
    <w:rsid w:val="00183439"/>
    <w:rsid w:val="00183440"/>
    <w:rsid w:val="00183E3B"/>
    <w:rsid w:val="00183F1F"/>
    <w:rsid w:val="00184C71"/>
    <w:rsid w:val="00184FE7"/>
    <w:rsid w:val="0018500F"/>
    <w:rsid w:val="00185246"/>
    <w:rsid w:val="0018538D"/>
    <w:rsid w:val="001853A6"/>
    <w:rsid w:val="001854FB"/>
    <w:rsid w:val="00185571"/>
    <w:rsid w:val="0018596F"/>
    <w:rsid w:val="00185A12"/>
    <w:rsid w:val="00185BAC"/>
    <w:rsid w:val="00185D03"/>
    <w:rsid w:val="001865AF"/>
    <w:rsid w:val="00186638"/>
    <w:rsid w:val="00186691"/>
    <w:rsid w:val="00186780"/>
    <w:rsid w:val="00186928"/>
    <w:rsid w:val="00186AC8"/>
    <w:rsid w:val="00186B8B"/>
    <w:rsid w:val="00186EBE"/>
    <w:rsid w:val="00186FE5"/>
    <w:rsid w:val="001874CF"/>
    <w:rsid w:val="0018754B"/>
    <w:rsid w:val="001876DA"/>
    <w:rsid w:val="0018774A"/>
    <w:rsid w:val="00187C5D"/>
    <w:rsid w:val="00187E1D"/>
    <w:rsid w:val="00187EC1"/>
    <w:rsid w:val="001905AE"/>
    <w:rsid w:val="0019076D"/>
    <w:rsid w:val="00190A28"/>
    <w:rsid w:val="00191397"/>
    <w:rsid w:val="00191877"/>
    <w:rsid w:val="00191B92"/>
    <w:rsid w:val="0019245D"/>
    <w:rsid w:val="0019265F"/>
    <w:rsid w:val="00192844"/>
    <w:rsid w:val="001929E9"/>
    <w:rsid w:val="00193173"/>
    <w:rsid w:val="001931A3"/>
    <w:rsid w:val="00193424"/>
    <w:rsid w:val="00193483"/>
    <w:rsid w:val="001934B6"/>
    <w:rsid w:val="001937C5"/>
    <w:rsid w:val="001937CF"/>
    <w:rsid w:val="0019386B"/>
    <w:rsid w:val="00193D8B"/>
    <w:rsid w:val="00193EE8"/>
    <w:rsid w:val="00193F23"/>
    <w:rsid w:val="00194168"/>
    <w:rsid w:val="001942F3"/>
    <w:rsid w:val="00194786"/>
    <w:rsid w:val="001951C3"/>
    <w:rsid w:val="001952BE"/>
    <w:rsid w:val="0019531D"/>
    <w:rsid w:val="001953DB"/>
    <w:rsid w:val="001958FA"/>
    <w:rsid w:val="00195B4A"/>
    <w:rsid w:val="0019646D"/>
    <w:rsid w:val="00196507"/>
    <w:rsid w:val="00196A17"/>
    <w:rsid w:val="00196AA0"/>
    <w:rsid w:val="00196B66"/>
    <w:rsid w:val="0019740D"/>
    <w:rsid w:val="00197420"/>
    <w:rsid w:val="0019793B"/>
    <w:rsid w:val="00197961"/>
    <w:rsid w:val="001A020B"/>
    <w:rsid w:val="001A0661"/>
    <w:rsid w:val="001A0BEA"/>
    <w:rsid w:val="001A0C59"/>
    <w:rsid w:val="001A0D56"/>
    <w:rsid w:val="001A0D8B"/>
    <w:rsid w:val="001A0E05"/>
    <w:rsid w:val="001A0E42"/>
    <w:rsid w:val="001A0FD0"/>
    <w:rsid w:val="001A0FE2"/>
    <w:rsid w:val="001A106E"/>
    <w:rsid w:val="001A11F5"/>
    <w:rsid w:val="001A1386"/>
    <w:rsid w:val="001A154D"/>
    <w:rsid w:val="001A16A9"/>
    <w:rsid w:val="001A16B5"/>
    <w:rsid w:val="001A1726"/>
    <w:rsid w:val="001A1B27"/>
    <w:rsid w:val="001A1DE4"/>
    <w:rsid w:val="001A1DF5"/>
    <w:rsid w:val="001A1E84"/>
    <w:rsid w:val="001A2004"/>
    <w:rsid w:val="001A2035"/>
    <w:rsid w:val="001A2694"/>
    <w:rsid w:val="001A2701"/>
    <w:rsid w:val="001A283E"/>
    <w:rsid w:val="001A2A03"/>
    <w:rsid w:val="001A2A4D"/>
    <w:rsid w:val="001A2E9A"/>
    <w:rsid w:val="001A35DB"/>
    <w:rsid w:val="001A35F4"/>
    <w:rsid w:val="001A3666"/>
    <w:rsid w:val="001A3701"/>
    <w:rsid w:val="001A37A7"/>
    <w:rsid w:val="001A3E7C"/>
    <w:rsid w:val="001A4322"/>
    <w:rsid w:val="001A4393"/>
    <w:rsid w:val="001A4570"/>
    <w:rsid w:val="001A48C6"/>
    <w:rsid w:val="001A48E0"/>
    <w:rsid w:val="001A4B34"/>
    <w:rsid w:val="001A4B5F"/>
    <w:rsid w:val="001A4C28"/>
    <w:rsid w:val="001A4D10"/>
    <w:rsid w:val="001A4D19"/>
    <w:rsid w:val="001A4FF5"/>
    <w:rsid w:val="001A517E"/>
    <w:rsid w:val="001A5381"/>
    <w:rsid w:val="001A56B9"/>
    <w:rsid w:val="001A59CB"/>
    <w:rsid w:val="001A5AA3"/>
    <w:rsid w:val="001A5D41"/>
    <w:rsid w:val="001A5DC7"/>
    <w:rsid w:val="001A5E5E"/>
    <w:rsid w:val="001A6354"/>
    <w:rsid w:val="001A6696"/>
    <w:rsid w:val="001A69E6"/>
    <w:rsid w:val="001A6D67"/>
    <w:rsid w:val="001A6FD0"/>
    <w:rsid w:val="001A711E"/>
    <w:rsid w:val="001A717A"/>
    <w:rsid w:val="001A719D"/>
    <w:rsid w:val="001A7442"/>
    <w:rsid w:val="001A76CE"/>
    <w:rsid w:val="001A7852"/>
    <w:rsid w:val="001A7A5D"/>
    <w:rsid w:val="001A7AF9"/>
    <w:rsid w:val="001A7C56"/>
    <w:rsid w:val="001A7E02"/>
    <w:rsid w:val="001B012E"/>
    <w:rsid w:val="001B0205"/>
    <w:rsid w:val="001B028B"/>
    <w:rsid w:val="001B0321"/>
    <w:rsid w:val="001B0566"/>
    <w:rsid w:val="001B0644"/>
    <w:rsid w:val="001B192D"/>
    <w:rsid w:val="001B1AB1"/>
    <w:rsid w:val="001B1BB7"/>
    <w:rsid w:val="001B1D52"/>
    <w:rsid w:val="001B1E0B"/>
    <w:rsid w:val="001B1E56"/>
    <w:rsid w:val="001B1E8A"/>
    <w:rsid w:val="001B1FD7"/>
    <w:rsid w:val="001B21EA"/>
    <w:rsid w:val="001B2409"/>
    <w:rsid w:val="001B2423"/>
    <w:rsid w:val="001B25D8"/>
    <w:rsid w:val="001B2A01"/>
    <w:rsid w:val="001B2B13"/>
    <w:rsid w:val="001B2B2E"/>
    <w:rsid w:val="001B2C41"/>
    <w:rsid w:val="001B3022"/>
    <w:rsid w:val="001B30D9"/>
    <w:rsid w:val="001B314C"/>
    <w:rsid w:val="001B3359"/>
    <w:rsid w:val="001B3507"/>
    <w:rsid w:val="001B3630"/>
    <w:rsid w:val="001B386A"/>
    <w:rsid w:val="001B3A8F"/>
    <w:rsid w:val="001B3D54"/>
    <w:rsid w:val="001B3DBF"/>
    <w:rsid w:val="001B43F4"/>
    <w:rsid w:val="001B467E"/>
    <w:rsid w:val="001B48F1"/>
    <w:rsid w:val="001B4AB2"/>
    <w:rsid w:val="001B4AC8"/>
    <w:rsid w:val="001B4ACE"/>
    <w:rsid w:val="001B4EA2"/>
    <w:rsid w:val="001B5229"/>
    <w:rsid w:val="001B529B"/>
    <w:rsid w:val="001B541A"/>
    <w:rsid w:val="001B5872"/>
    <w:rsid w:val="001B5A7D"/>
    <w:rsid w:val="001B5BA7"/>
    <w:rsid w:val="001B5CD6"/>
    <w:rsid w:val="001B5EBC"/>
    <w:rsid w:val="001B5F17"/>
    <w:rsid w:val="001B62D0"/>
    <w:rsid w:val="001B62DC"/>
    <w:rsid w:val="001B631E"/>
    <w:rsid w:val="001B63F7"/>
    <w:rsid w:val="001B69A8"/>
    <w:rsid w:val="001B6A49"/>
    <w:rsid w:val="001B6AC5"/>
    <w:rsid w:val="001B6C0D"/>
    <w:rsid w:val="001B6E77"/>
    <w:rsid w:val="001B6FF0"/>
    <w:rsid w:val="001B7067"/>
    <w:rsid w:val="001B70C6"/>
    <w:rsid w:val="001B7997"/>
    <w:rsid w:val="001B7D0A"/>
    <w:rsid w:val="001B7D2E"/>
    <w:rsid w:val="001B7ED6"/>
    <w:rsid w:val="001B7F3D"/>
    <w:rsid w:val="001B7F87"/>
    <w:rsid w:val="001C0011"/>
    <w:rsid w:val="001C00E0"/>
    <w:rsid w:val="001C02C4"/>
    <w:rsid w:val="001C0423"/>
    <w:rsid w:val="001C0435"/>
    <w:rsid w:val="001C0A7A"/>
    <w:rsid w:val="001C0B55"/>
    <w:rsid w:val="001C0E2F"/>
    <w:rsid w:val="001C13F2"/>
    <w:rsid w:val="001C1B36"/>
    <w:rsid w:val="001C1CDD"/>
    <w:rsid w:val="001C1D82"/>
    <w:rsid w:val="001C2100"/>
    <w:rsid w:val="001C2161"/>
    <w:rsid w:val="001C21AF"/>
    <w:rsid w:val="001C224B"/>
    <w:rsid w:val="001C297E"/>
    <w:rsid w:val="001C3170"/>
    <w:rsid w:val="001C33E4"/>
    <w:rsid w:val="001C3445"/>
    <w:rsid w:val="001C34F1"/>
    <w:rsid w:val="001C38D4"/>
    <w:rsid w:val="001C3A47"/>
    <w:rsid w:val="001C3AA4"/>
    <w:rsid w:val="001C3D79"/>
    <w:rsid w:val="001C3EA1"/>
    <w:rsid w:val="001C3EE6"/>
    <w:rsid w:val="001C3F2D"/>
    <w:rsid w:val="001C422B"/>
    <w:rsid w:val="001C4512"/>
    <w:rsid w:val="001C45C1"/>
    <w:rsid w:val="001C4746"/>
    <w:rsid w:val="001C491E"/>
    <w:rsid w:val="001C4978"/>
    <w:rsid w:val="001C4C7B"/>
    <w:rsid w:val="001C4D66"/>
    <w:rsid w:val="001C4D6D"/>
    <w:rsid w:val="001C589C"/>
    <w:rsid w:val="001C59FA"/>
    <w:rsid w:val="001C60C7"/>
    <w:rsid w:val="001C624E"/>
    <w:rsid w:val="001C663C"/>
    <w:rsid w:val="001C6806"/>
    <w:rsid w:val="001C69EF"/>
    <w:rsid w:val="001C6A41"/>
    <w:rsid w:val="001C707F"/>
    <w:rsid w:val="001C7313"/>
    <w:rsid w:val="001C753C"/>
    <w:rsid w:val="001C75C8"/>
    <w:rsid w:val="001C78E3"/>
    <w:rsid w:val="001C7B71"/>
    <w:rsid w:val="001C7DC5"/>
    <w:rsid w:val="001C7E1D"/>
    <w:rsid w:val="001D0056"/>
    <w:rsid w:val="001D0106"/>
    <w:rsid w:val="001D01A9"/>
    <w:rsid w:val="001D0272"/>
    <w:rsid w:val="001D0A43"/>
    <w:rsid w:val="001D0ABC"/>
    <w:rsid w:val="001D0CF9"/>
    <w:rsid w:val="001D140D"/>
    <w:rsid w:val="001D1430"/>
    <w:rsid w:val="001D164F"/>
    <w:rsid w:val="001D16D8"/>
    <w:rsid w:val="001D1904"/>
    <w:rsid w:val="001D1C37"/>
    <w:rsid w:val="001D1CC0"/>
    <w:rsid w:val="001D1CDA"/>
    <w:rsid w:val="001D1D14"/>
    <w:rsid w:val="001D1DB6"/>
    <w:rsid w:val="001D1F36"/>
    <w:rsid w:val="001D1FC1"/>
    <w:rsid w:val="001D2173"/>
    <w:rsid w:val="001D22C5"/>
    <w:rsid w:val="001D2311"/>
    <w:rsid w:val="001D231F"/>
    <w:rsid w:val="001D2894"/>
    <w:rsid w:val="001D28F8"/>
    <w:rsid w:val="001D2AD5"/>
    <w:rsid w:val="001D2EF5"/>
    <w:rsid w:val="001D32B2"/>
    <w:rsid w:val="001D32F3"/>
    <w:rsid w:val="001D360B"/>
    <w:rsid w:val="001D3B3A"/>
    <w:rsid w:val="001D3EA7"/>
    <w:rsid w:val="001D3F9E"/>
    <w:rsid w:val="001D40E7"/>
    <w:rsid w:val="001D417D"/>
    <w:rsid w:val="001D432D"/>
    <w:rsid w:val="001D442B"/>
    <w:rsid w:val="001D446B"/>
    <w:rsid w:val="001D4737"/>
    <w:rsid w:val="001D4842"/>
    <w:rsid w:val="001D4875"/>
    <w:rsid w:val="001D4A6C"/>
    <w:rsid w:val="001D4AAA"/>
    <w:rsid w:val="001D4C23"/>
    <w:rsid w:val="001D50AA"/>
    <w:rsid w:val="001D5231"/>
    <w:rsid w:val="001D53FE"/>
    <w:rsid w:val="001D550E"/>
    <w:rsid w:val="001D5C30"/>
    <w:rsid w:val="001D5F35"/>
    <w:rsid w:val="001D636E"/>
    <w:rsid w:val="001D63F7"/>
    <w:rsid w:val="001D6539"/>
    <w:rsid w:val="001D6700"/>
    <w:rsid w:val="001D67A8"/>
    <w:rsid w:val="001D68ED"/>
    <w:rsid w:val="001D6AA4"/>
    <w:rsid w:val="001D6C16"/>
    <w:rsid w:val="001D70D0"/>
    <w:rsid w:val="001D720C"/>
    <w:rsid w:val="001D795E"/>
    <w:rsid w:val="001D7A3D"/>
    <w:rsid w:val="001D7A99"/>
    <w:rsid w:val="001D7BCE"/>
    <w:rsid w:val="001D7ED1"/>
    <w:rsid w:val="001E008D"/>
    <w:rsid w:val="001E06B7"/>
    <w:rsid w:val="001E0B7C"/>
    <w:rsid w:val="001E0C54"/>
    <w:rsid w:val="001E1386"/>
    <w:rsid w:val="001E13FD"/>
    <w:rsid w:val="001E140F"/>
    <w:rsid w:val="001E14AA"/>
    <w:rsid w:val="001E16BD"/>
    <w:rsid w:val="001E198E"/>
    <w:rsid w:val="001E1E45"/>
    <w:rsid w:val="001E1EFE"/>
    <w:rsid w:val="001E2199"/>
    <w:rsid w:val="001E264A"/>
    <w:rsid w:val="001E2E03"/>
    <w:rsid w:val="001E3073"/>
    <w:rsid w:val="001E307C"/>
    <w:rsid w:val="001E3194"/>
    <w:rsid w:val="001E329C"/>
    <w:rsid w:val="001E3461"/>
    <w:rsid w:val="001E3743"/>
    <w:rsid w:val="001E3A8D"/>
    <w:rsid w:val="001E3B1D"/>
    <w:rsid w:val="001E3DFA"/>
    <w:rsid w:val="001E3E22"/>
    <w:rsid w:val="001E4037"/>
    <w:rsid w:val="001E405A"/>
    <w:rsid w:val="001E4116"/>
    <w:rsid w:val="001E418C"/>
    <w:rsid w:val="001E42B1"/>
    <w:rsid w:val="001E49FA"/>
    <w:rsid w:val="001E4BCC"/>
    <w:rsid w:val="001E51F8"/>
    <w:rsid w:val="001E57B4"/>
    <w:rsid w:val="001E5E80"/>
    <w:rsid w:val="001E63A7"/>
    <w:rsid w:val="001E683E"/>
    <w:rsid w:val="001E6B29"/>
    <w:rsid w:val="001E6DAA"/>
    <w:rsid w:val="001E6F8C"/>
    <w:rsid w:val="001E71A5"/>
    <w:rsid w:val="001E7599"/>
    <w:rsid w:val="001E7664"/>
    <w:rsid w:val="001E777A"/>
    <w:rsid w:val="001E79C4"/>
    <w:rsid w:val="001F02C3"/>
    <w:rsid w:val="001F06A9"/>
    <w:rsid w:val="001F076C"/>
    <w:rsid w:val="001F08F0"/>
    <w:rsid w:val="001F0AB4"/>
    <w:rsid w:val="001F0D58"/>
    <w:rsid w:val="001F0DF3"/>
    <w:rsid w:val="001F1075"/>
    <w:rsid w:val="001F11EF"/>
    <w:rsid w:val="001F1498"/>
    <w:rsid w:val="001F1618"/>
    <w:rsid w:val="001F19A2"/>
    <w:rsid w:val="001F1FC7"/>
    <w:rsid w:val="001F202C"/>
    <w:rsid w:val="001F2171"/>
    <w:rsid w:val="001F27E8"/>
    <w:rsid w:val="001F2916"/>
    <w:rsid w:val="001F2D5A"/>
    <w:rsid w:val="001F31B0"/>
    <w:rsid w:val="001F3228"/>
    <w:rsid w:val="001F32A1"/>
    <w:rsid w:val="001F3939"/>
    <w:rsid w:val="001F3C0F"/>
    <w:rsid w:val="001F3EDC"/>
    <w:rsid w:val="001F44B8"/>
    <w:rsid w:val="001F502D"/>
    <w:rsid w:val="001F562C"/>
    <w:rsid w:val="001F582C"/>
    <w:rsid w:val="001F59C4"/>
    <w:rsid w:val="001F59E2"/>
    <w:rsid w:val="001F5B0E"/>
    <w:rsid w:val="001F5CCB"/>
    <w:rsid w:val="001F5EFE"/>
    <w:rsid w:val="001F5FE0"/>
    <w:rsid w:val="001F622B"/>
    <w:rsid w:val="001F6339"/>
    <w:rsid w:val="001F64DB"/>
    <w:rsid w:val="001F6521"/>
    <w:rsid w:val="001F660A"/>
    <w:rsid w:val="001F678B"/>
    <w:rsid w:val="001F6A2A"/>
    <w:rsid w:val="001F6EF2"/>
    <w:rsid w:val="001F7363"/>
    <w:rsid w:val="001F76D7"/>
    <w:rsid w:val="001F7815"/>
    <w:rsid w:val="00200438"/>
    <w:rsid w:val="00200597"/>
    <w:rsid w:val="0020068E"/>
    <w:rsid w:val="00200789"/>
    <w:rsid w:val="00200AEC"/>
    <w:rsid w:val="00200B9B"/>
    <w:rsid w:val="00200BEC"/>
    <w:rsid w:val="00200DB9"/>
    <w:rsid w:val="00200F69"/>
    <w:rsid w:val="002011C9"/>
    <w:rsid w:val="00201550"/>
    <w:rsid w:val="002015C0"/>
    <w:rsid w:val="00201763"/>
    <w:rsid w:val="00201AA3"/>
    <w:rsid w:val="00201B5C"/>
    <w:rsid w:val="00201F96"/>
    <w:rsid w:val="0020243F"/>
    <w:rsid w:val="0020247C"/>
    <w:rsid w:val="00202913"/>
    <w:rsid w:val="00202953"/>
    <w:rsid w:val="00202DE3"/>
    <w:rsid w:val="00202EC3"/>
    <w:rsid w:val="00203143"/>
    <w:rsid w:val="00203145"/>
    <w:rsid w:val="002031C0"/>
    <w:rsid w:val="00203724"/>
    <w:rsid w:val="00203B0E"/>
    <w:rsid w:val="00203D65"/>
    <w:rsid w:val="00203DE4"/>
    <w:rsid w:val="00203DF3"/>
    <w:rsid w:val="00204438"/>
    <w:rsid w:val="00204794"/>
    <w:rsid w:val="002048DB"/>
    <w:rsid w:val="002049A4"/>
    <w:rsid w:val="00204B0C"/>
    <w:rsid w:val="00204CAD"/>
    <w:rsid w:val="00204D74"/>
    <w:rsid w:val="00204EDA"/>
    <w:rsid w:val="0020546E"/>
    <w:rsid w:val="0020564B"/>
    <w:rsid w:val="00205F33"/>
    <w:rsid w:val="00205F94"/>
    <w:rsid w:val="00206079"/>
    <w:rsid w:val="0020613B"/>
    <w:rsid w:val="00206146"/>
    <w:rsid w:val="002061F9"/>
    <w:rsid w:val="002063A5"/>
    <w:rsid w:val="002063F0"/>
    <w:rsid w:val="0020645C"/>
    <w:rsid w:val="002064B6"/>
    <w:rsid w:val="002064F3"/>
    <w:rsid w:val="00206862"/>
    <w:rsid w:val="00206D0E"/>
    <w:rsid w:val="00206D3A"/>
    <w:rsid w:val="00207463"/>
    <w:rsid w:val="00207893"/>
    <w:rsid w:val="00207915"/>
    <w:rsid w:val="00207F09"/>
    <w:rsid w:val="00210397"/>
    <w:rsid w:val="00210DE0"/>
    <w:rsid w:val="00210EA5"/>
    <w:rsid w:val="0021192F"/>
    <w:rsid w:val="0021197D"/>
    <w:rsid w:val="00211BB9"/>
    <w:rsid w:val="00211E87"/>
    <w:rsid w:val="00211EE4"/>
    <w:rsid w:val="00211FA6"/>
    <w:rsid w:val="0021203F"/>
    <w:rsid w:val="002120FB"/>
    <w:rsid w:val="002121B2"/>
    <w:rsid w:val="00212792"/>
    <w:rsid w:val="002128BA"/>
    <w:rsid w:val="002129E6"/>
    <w:rsid w:val="00212F0E"/>
    <w:rsid w:val="00213025"/>
    <w:rsid w:val="00213095"/>
    <w:rsid w:val="0021325F"/>
    <w:rsid w:val="00213488"/>
    <w:rsid w:val="002134BE"/>
    <w:rsid w:val="002136D2"/>
    <w:rsid w:val="00213A71"/>
    <w:rsid w:val="00213CB7"/>
    <w:rsid w:val="00213D5D"/>
    <w:rsid w:val="00213F0B"/>
    <w:rsid w:val="00213FEA"/>
    <w:rsid w:val="00214307"/>
    <w:rsid w:val="0021433A"/>
    <w:rsid w:val="00214393"/>
    <w:rsid w:val="002145D0"/>
    <w:rsid w:val="0021486E"/>
    <w:rsid w:val="002148E0"/>
    <w:rsid w:val="002148F5"/>
    <w:rsid w:val="00214A5A"/>
    <w:rsid w:val="00214B48"/>
    <w:rsid w:val="00214D52"/>
    <w:rsid w:val="002151C9"/>
    <w:rsid w:val="002158D4"/>
    <w:rsid w:val="0021593C"/>
    <w:rsid w:val="00215BC5"/>
    <w:rsid w:val="00215D1F"/>
    <w:rsid w:val="00215E6D"/>
    <w:rsid w:val="00215F93"/>
    <w:rsid w:val="00216039"/>
    <w:rsid w:val="0021623D"/>
    <w:rsid w:val="00216434"/>
    <w:rsid w:val="0021660D"/>
    <w:rsid w:val="00216793"/>
    <w:rsid w:val="00216B23"/>
    <w:rsid w:val="00216EE6"/>
    <w:rsid w:val="00216F94"/>
    <w:rsid w:val="00216FA7"/>
    <w:rsid w:val="00216FB0"/>
    <w:rsid w:val="00217261"/>
    <w:rsid w:val="0021731F"/>
    <w:rsid w:val="00217518"/>
    <w:rsid w:val="0021758F"/>
    <w:rsid w:val="00217FD6"/>
    <w:rsid w:val="002200BB"/>
    <w:rsid w:val="0022090C"/>
    <w:rsid w:val="00220986"/>
    <w:rsid w:val="00220BAD"/>
    <w:rsid w:val="00220DD2"/>
    <w:rsid w:val="00220E2C"/>
    <w:rsid w:val="002211E3"/>
    <w:rsid w:val="002217AE"/>
    <w:rsid w:val="00221A08"/>
    <w:rsid w:val="00221B38"/>
    <w:rsid w:val="00222008"/>
    <w:rsid w:val="0022204B"/>
    <w:rsid w:val="0022226A"/>
    <w:rsid w:val="0022229E"/>
    <w:rsid w:val="0022249C"/>
    <w:rsid w:val="00222897"/>
    <w:rsid w:val="002229E0"/>
    <w:rsid w:val="00222DD4"/>
    <w:rsid w:val="0022300C"/>
    <w:rsid w:val="00223514"/>
    <w:rsid w:val="002235D1"/>
    <w:rsid w:val="00223697"/>
    <w:rsid w:val="002236E9"/>
    <w:rsid w:val="00223B30"/>
    <w:rsid w:val="00223BEE"/>
    <w:rsid w:val="00223C71"/>
    <w:rsid w:val="002240A7"/>
    <w:rsid w:val="002243DD"/>
    <w:rsid w:val="00224A2A"/>
    <w:rsid w:val="00224BE9"/>
    <w:rsid w:val="00224D61"/>
    <w:rsid w:val="0022536F"/>
    <w:rsid w:val="0022561A"/>
    <w:rsid w:val="00225A60"/>
    <w:rsid w:val="00225A81"/>
    <w:rsid w:val="00225AB5"/>
    <w:rsid w:val="00225AF2"/>
    <w:rsid w:val="00225B7F"/>
    <w:rsid w:val="00225FD8"/>
    <w:rsid w:val="00226259"/>
    <w:rsid w:val="00226265"/>
    <w:rsid w:val="00226291"/>
    <w:rsid w:val="002262BB"/>
    <w:rsid w:val="002267F3"/>
    <w:rsid w:val="00226989"/>
    <w:rsid w:val="00226AEC"/>
    <w:rsid w:val="00227217"/>
    <w:rsid w:val="0022727C"/>
    <w:rsid w:val="00227397"/>
    <w:rsid w:val="0022775D"/>
    <w:rsid w:val="00227CBC"/>
    <w:rsid w:val="002300A7"/>
    <w:rsid w:val="0023010C"/>
    <w:rsid w:val="00230305"/>
    <w:rsid w:val="00230B64"/>
    <w:rsid w:val="00230C5A"/>
    <w:rsid w:val="00230F03"/>
    <w:rsid w:val="00230F25"/>
    <w:rsid w:val="00231280"/>
    <w:rsid w:val="002312A0"/>
    <w:rsid w:val="00231997"/>
    <w:rsid w:val="00231D6A"/>
    <w:rsid w:val="0023204D"/>
    <w:rsid w:val="0023229D"/>
    <w:rsid w:val="002324A9"/>
    <w:rsid w:val="002326E7"/>
    <w:rsid w:val="0023278C"/>
    <w:rsid w:val="00232830"/>
    <w:rsid w:val="0023284F"/>
    <w:rsid w:val="002328A3"/>
    <w:rsid w:val="00232AED"/>
    <w:rsid w:val="00232B35"/>
    <w:rsid w:val="00232B4A"/>
    <w:rsid w:val="00232CFC"/>
    <w:rsid w:val="00233415"/>
    <w:rsid w:val="002335D1"/>
    <w:rsid w:val="002335DD"/>
    <w:rsid w:val="0023389C"/>
    <w:rsid w:val="002338A6"/>
    <w:rsid w:val="002338D6"/>
    <w:rsid w:val="0023399D"/>
    <w:rsid w:val="00233A7F"/>
    <w:rsid w:val="00233BB0"/>
    <w:rsid w:val="0023419C"/>
    <w:rsid w:val="00234615"/>
    <w:rsid w:val="00234624"/>
    <w:rsid w:val="00234648"/>
    <w:rsid w:val="0023487C"/>
    <w:rsid w:val="00234C6C"/>
    <w:rsid w:val="00234D85"/>
    <w:rsid w:val="00234D99"/>
    <w:rsid w:val="00234E91"/>
    <w:rsid w:val="002351E9"/>
    <w:rsid w:val="0023526E"/>
    <w:rsid w:val="0023574F"/>
    <w:rsid w:val="00235777"/>
    <w:rsid w:val="002357AC"/>
    <w:rsid w:val="00235846"/>
    <w:rsid w:val="002358E4"/>
    <w:rsid w:val="00235E33"/>
    <w:rsid w:val="00235E3E"/>
    <w:rsid w:val="00235F24"/>
    <w:rsid w:val="00235FB8"/>
    <w:rsid w:val="0023600B"/>
    <w:rsid w:val="00236114"/>
    <w:rsid w:val="0023625D"/>
    <w:rsid w:val="002362B8"/>
    <w:rsid w:val="0023654B"/>
    <w:rsid w:val="00236669"/>
    <w:rsid w:val="00236887"/>
    <w:rsid w:val="002368B9"/>
    <w:rsid w:val="00236DF8"/>
    <w:rsid w:val="00236EB1"/>
    <w:rsid w:val="00237314"/>
    <w:rsid w:val="00237384"/>
    <w:rsid w:val="002375AE"/>
    <w:rsid w:val="00237873"/>
    <w:rsid w:val="0023787F"/>
    <w:rsid w:val="00237A5E"/>
    <w:rsid w:val="002400E4"/>
    <w:rsid w:val="00240219"/>
    <w:rsid w:val="0024034D"/>
    <w:rsid w:val="002407EF"/>
    <w:rsid w:val="002408F1"/>
    <w:rsid w:val="00240A6D"/>
    <w:rsid w:val="00240AD6"/>
    <w:rsid w:val="00240B65"/>
    <w:rsid w:val="00240C3A"/>
    <w:rsid w:val="00240D56"/>
    <w:rsid w:val="00240D5F"/>
    <w:rsid w:val="00241045"/>
    <w:rsid w:val="00241186"/>
    <w:rsid w:val="002413A7"/>
    <w:rsid w:val="00241641"/>
    <w:rsid w:val="00241841"/>
    <w:rsid w:val="002419B3"/>
    <w:rsid w:val="00241B28"/>
    <w:rsid w:val="00241C46"/>
    <w:rsid w:val="00241DE7"/>
    <w:rsid w:val="00241E5A"/>
    <w:rsid w:val="00242708"/>
    <w:rsid w:val="00242A48"/>
    <w:rsid w:val="0024305B"/>
    <w:rsid w:val="0024347D"/>
    <w:rsid w:val="002437CD"/>
    <w:rsid w:val="0024384B"/>
    <w:rsid w:val="00243889"/>
    <w:rsid w:val="00243AD5"/>
    <w:rsid w:val="00243E6F"/>
    <w:rsid w:val="0024433B"/>
    <w:rsid w:val="00244AAD"/>
    <w:rsid w:val="00244BBD"/>
    <w:rsid w:val="00244C4C"/>
    <w:rsid w:val="00244FFB"/>
    <w:rsid w:val="0024508A"/>
    <w:rsid w:val="00245272"/>
    <w:rsid w:val="00245457"/>
    <w:rsid w:val="00245488"/>
    <w:rsid w:val="0024548D"/>
    <w:rsid w:val="00245586"/>
    <w:rsid w:val="00245AB7"/>
    <w:rsid w:val="00245E1B"/>
    <w:rsid w:val="00245EC1"/>
    <w:rsid w:val="00245EE6"/>
    <w:rsid w:val="00245F9B"/>
    <w:rsid w:val="002463ED"/>
    <w:rsid w:val="0024657C"/>
    <w:rsid w:val="002465A6"/>
    <w:rsid w:val="00246A33"/>
    <w:rsid w:val="00246E01"/>
    <w:rsid w:val="0024702F"/>
    <w:rsid w:val="0024704F"/>
    <w:rsid w:val="00247262"/>
    <w:rsid w:val="0024727D"/>
    <w:rsid w:val="002475CA"/>
    <w:rsid w:val="002478B2"/>
    <w:rsid w:val="00247A21"/>
    <w:rsid w:val="00247A23"/>
    <w:rsid w:val="00247AEA"/>
    <w:rsid w:val="00247B23"/>
    <w:rsid w:val="00247B9E"/>
    <w:rsid w:val="00247C40"/>
    <w:rsid w:val="00247C49"/>
    <w:rsid w:val="00247D6C"/>
    <w:rsid w:val="00247E61"/>
    <w:rsid w:val="002506CD"/>
    <w:rsid w:val="00250904"/>
    <w:rsid w:val="00250A71"/>
    <w:rsid w:val="00250B58"/>
    <w:rsid w:val="00250BCC"/>
    <w:rsid w:val="00250CDB"/>
    <w:rsid w:val="00250CE2"/>
    <w:rsid w:val="00250D8A"/>
    <w:rsid w:val="0025112B"/>
    <w:rsid w:val="002511EC"/>
    <w:rsid w:val="002515D5"/>
    <w:rsid w:val="00251909"/>
    <w:rsid w:val="002519F8"/>
    <w:rsid w:val="00251A12"/>
    <w:rsid w:val="002521BE"/>
    <w:rsid w:val="002521D4"/>
    <w:rsid w:val="0025220E"/>
    <w:rsid w:val="00252407"/>
    <w:rsid w:val="002524DF"/>
    <w:rsid w:val="00252820"/>
    <w:rsid w:val="00252A50"/>
    <w:rsid w:val="00252ABE"/>
    <w:rsid w:val="00252ED9"/>
    <w:rsid w:val="00253286"/>
    <w:rsid w:val="002532C7"/>
    <w:rsid w:val="00253350"/>
    <w:rsid w:val="002533ED"/>
    <w:rsid w:val="0025385B"/>
    <w:rsid w:val="002538D5"/>
    <w:rsid w:val="00254040"/>
    <w:rsid w:val="002542DD"/>
    <w:rsid w:val="00254455"/>
    <w:rsid w:val="00254481"/>
    <w:rsid w:val="0025450A"/>
    <w:rsid w:val="00254686"/>
    <w:rsid w:val="00254B25"/>
    <w:rsid w:val="00254D21"/>
    <w:rsid w:val="00254D98"/>
    <w:rsid w:val="0025536E"/>
    <w:rsid w:val="00255412"/>
    <w:rsid w:val="00255500"/>
    <w:rsid w:val="00255543"/>
    <w:rsid w:val="002555E9"/>
    <w:rsid w:val="0025561B"/>
    <w:rsid w:val="00255AD3"/>
    <w:rsid w:val="00255E40"/>
    <w:rsid w:val="00255EB2"/>
    <w:rsid w:val="00255FF6"/>
    <w:rsid w:val="002561B4"/>
    <w:rsid w:val="002562ED"/>
    <w:rsid w:val="002571DD"/>
    <w:rsid w:val="00257276"/>
    <w:rsid w:val="00257279"/>
    <w:rsid w:val="002573FB"/>
    <w:rsid w:val="00257443"/>
    <w:rsid w:val="002575F2"/>
    <w:rsid w:val="0025768F"/>
    <w:rsid w:val="00257822"/>
    <w:rsid w:val="00257ACB"/>
    <w:rsid w:val="002604FF"/>
    <w:rsid w:val="002605AE"/>
    <w:rsid w:val="002605B2"/>
    <w:rsid w:val="00260FD7"/>
    <w:rsid w:val="00261249"/>
    <w:rsid w:val="0026143C"/>
    <w:rsid w:val="00261648"/>
    <w:rsid w:val="0026199E"/>
    <w:rsid w:val="00262070"/>
    <w:rsid w:val="00262519"/>
    <w:rsid w:val="00262574"/>
    <w:rsid w:val="0026263B"/>
    <w:rsid w:val="0026288A"/>
    <w:rsid w:val="0026299C"/>
    <w:rsid w:val="002629EF"/>
    <w:rsid w:val="002631F6"/>
    <w:rsid w:val="002632FF"/>
    <w:rsid w:val="00263A2E"/>
    <w:rsid w:val="00263DDD"/>
    <w:rsid w:val="00263EFD"/>
    <w:rsid w:val="00264231"/>
    <w:rsid w:val="002645D2"/>
    <w:rsid w:val="00264706"/>
    <w:rsid w:val="00264A05"/>
    <w:rsid w:val="00264AA1"/>
    <w:rsid w:val="00264B48"/>
    <w:rsid w:val="00264EA2"/>
    <w:rsid w:val="00264F48"/>
    <w:rsid w:val="00264FF7"/>
    <w:rsid w:val="00265049"/>
    <w:rsid w:val="002650C8"/>
    <w:rsid w:val="002652F2"/>
    <w:rsid w:val="00265A82"/>
    <w:rsid w:val="00265D5D"/>
    <w:rsid w:val="00265F25"/>
    <w:rsid w:val="00265FDF"/>
    <w:rsid w:val="0026617E"/>
    <w:rsid w:val="002662CB"/>
    <w:rsid w:val="0026638A"/>
    <w:rsid w:val="002666D0"/>
    <w:rsid w:val="00266721"/>
    <w:rsid w:val="00266B5F"/>
    <w:rsid w:val="00266CFB"/>
    <w:rsid w:val="00266E33"/>
    <w:rsid w:val="00266ED6"/>
    <w:rsid w:val="00266F82"/>
    <w:rsid w:val="002675D3"/>
    <w:rsid w:val="002675E5"/>
    <w:rsid w:val="00267601"/>
    <w:rsid w:val="002677CA"/>
    <w:rsid w:val="00267F2E"/>
    <w:rsid w:val="0027004B"/>
    <w:rsid w:val="002700E9"/>
    <w:rsid w:val="00270285"/>
    <w:rsid w:val="00270453"/>
    <w:rsid w:val="00270516"/>
    <w:rsid w:val="00270544"/>
    <w:rsid w:val="00270645"/>
    <w:rsid w:val="00270F59"/>
    <w:rsid w:val="00270FF3"/>
    <w:rsid w:val="0027113E"/>
    <w:rsid w:val="00271229"/>
    <w:rsid w:val="0027156C"/>
    <w:rsid w:val="00271781"/>
    <w:rsid w:val="00271790"/>
    <w:rsid w:val="002717E4"/>
    <w:rsid w:val="00271AEA"/>
    <w:rsid w:val="002721CD"/>
    <w:rsid w:val="0027258B"/>
    <w:rsid w:val="002725BF"/>
    <w:rsid w:val="002726DA"/>
    <w:rsid w:val="002726F2"/>
    <w:rsid w:val="002727B3"/>
    <w:rsid w:val="0027292B"/>
    <w:rsid w:val="00272A87"/>
    <w:rsid w:val="00272B01"/>
    <w:rsid w:val="00272B67"/>
    <w:rsid w:val="00272BF7"/>
    <w:rsid w:val="00272E71"/>
    <w:rsid w:val="00273076"/>
    <w:rsid w:val="0027323B"/>
    <w:rsid w:val="002734F3"/>
    <w:rsid w:val="0027394F"/>
    <w:rsid w:val="00273C4E"/>
    <w:rsid w:val="00274141"/>
    <w:rsid w:val="00274659"/>
    <w:rsid w:val="002746BE"/>
    <w:rsid w:val="00274744"/>
    <w:rsid w:val="00274B6B"/>
    <w:rsid w:val="00274D73"/>
    <w:rsid w:val="00274DB3"/>
    <w:rsid w:val="0027512B"/>
    <w:rsid w:val="002751EF"/>
    <w:rsid w:val="002754D4"/>
    <w:rsid w:val="002756A9"/>
    <w:rsid w:val="0027592E"/>
    <w:rsid w:val="00275B73"/>
    <w:rsid w:val="00275C7B"/>
    <w:rsid w:val="00275CAA"/>
    <w:rsid w:val="00275F16"/>
    <w:rsid w:val="002761D2"/>
    <w:rsid w:val="00276662"/>
    <w:rsid w:val="0027676C"/>
    <w:rsid w:val="002767CA"/>
    <w:rsid w:val="00276A05"/>
    <w:rsid w:val="00276C3B"/>
    <w:rsid w:val="00276D8A"/>
    <w:rsid w:val="0027721E"/>
    <w:rsid w:val="00277381"/>
    <w:rsid w:val="00277634"/>
    <w:rsid w:val="002777D0"/>
    <w:rsid w:val="00277A1E"/>
    <w:rsid w:val="00277AA0"/>
    <w:rsid w:val="00277B0B"/>
    <w:rsid w:val="00277B28"/>
    <w:rsid w:val="002809F4"/>
    <w:rsid w:val="00280B25"/>
    <w:rsid w:val="00280CA1"/>
    <w:rsid w:val="00280DCA"/>
    <w:rsid w:val="00280F50"/>
    <w:rsid w:val="0028100A"/>
    <w:rsid w:val="0028103B"/>
    <w:rsid w:val="002813A9"/>
    <w:rsid w:val="0028146D"/>
    <w:rsid w:val="0028159A"/>
    <w:rsid w:val="002817BD"/>
    <w:rsid w:val="00281AD0"/>
    <w:rsid w:val="00281D16"/>
    <w:rsid w:val="00281D35"/>
    <w:rsid w:val="00282034"/>
    <w:rsid w:val="0028224B"/>
    <w:rsid w:val="002822A7"/>
    <w:rsid w:val="0028251D"/>
    <w:rsid w:val="002831A2"/>
    <w:rsid w:val="002831B9"/>
    <w:rsid w:val="002832E4"/>
    <w:rsid w:val="002834F7"/>
    <w:rsid w:val="00283659"/>
    <w:rsid w:val="0028365D"/>
    <w:rsid w:val="002838EB"/>
    <w:rsid w:val="002839C2"/>
    <w:rsid w:val="002839F9"/>
    <w:rsid w:val="00283A1C"/>
    <w:rsid w:val="00283C2A"/>
    <w:rsid w:val="00283F67"/>
    <w:rsid w:val="00283F97"/>
    <w:rsid w:val="00284085"/>
    <w:rsid w:val="002842E0"/>
    <w:rsid w:val="002845C6"/>
    <w:rsid w:val="00284884"/>
    <w:rsid w:val="00284A4B"/>
    <w:rsid w:val="00284A81"/>
    <w:rsid w:val="00284BA7"/>
    <w:rsid w:val="00284CE2"/>
    <w:rsid w:val="00284D00"/>
    <w:rsid w:val="00285031"/>
    <w:rsid w:val="002854FD"/>
    <w:rsid w:val="00285640"/>
    <w:rsid w:val="00285900"/>
    <w:rsid w:val="00285A21"/>
    <w:rsid w:val="00285C73"/>
    <w:rsid w:val="00285CBE"/>
    <w:rsid w:val="00285F59"/>
    <w:rsid w:val="00286216"/>
    <w:rsid w:val="002864F8"/>
    <w:rsid w:val="002865A6"/>
    <w:rsid w:val="002866DD"/>
    <w:rsid w:val="00286898"/>
    <w:rsid w:val="00286A80"/>
    <w:rsid w:val="00286ADF"/>
    <w:rsid w:val="00286D02"/>
    <w:rsid w:val="002870EA"/>
    <w:rsid w:val="00287185"/>
    <w:rsid w:val="00287293"/>
    <w:rsid w:val="002872DE"/>
    <w:rsid w:val="00287639"/>
    <w:rsid w:val="0028770A"/>
    <w:rsid w:val="00287893"/>
    <w:rsid w:val="00287B09"/>
    <w:rsid w:val="00287BA1"/>
    <w:rsid w:val="00287BAF"/>
    <w:rsid w:val="00287C56"/>
    <w:rsid w:val="00287FB6"/>
    <w:rsid w:val="00287FDE"/>
    <w:rsid w:val="00290124"/>
    <w:rsid w:val="00290359"/>
    <w:rsid w:val="00290582"/>
    <w:rsid w:val="00290669"/>
    <w:rsid w:val="00290714"/>
    <w:rsid w:val="002907C3"/>
    <w:rsid w:val="00290833"/>
    <w:rsid w:val="00290897"/>
    <w:rsid w:val="002908C1"/>
    <w:rsid w:val="0029097C"/>
    <w:rsid w:val="00290A05"/>
    <w:rsid w:val="00290CF7"/>
    <w:rsid w:val="00290F60"/>
    <w:rsid w:val="002912C2"/>
    <w:rsid w:val="002912E6"/>
    <w:rsid w:val="0029133B"/>
    <w:rsid w:val="0029159D"/>
    <w:rsid w:val="00291777"/>
    <w:rsid w:val="00291942"/>
    <w:rsid w:val="00291FCB"/>
    <w:rsid w:val="00292331"/>
    <w:rsid w:val="00292486"/>
    <w:rsid w:val="002925B8"/>
    <w:rsid w:val="002928BA"/>
    <w:rsid w:val="00292CE9"/>
    <w:rsid w:val="002930A6"/>
    <w:rsid w:val="002933B0"/>
    <w:rsid w:val="002934AE"/>
    <w:rsid w:val="002936A8"/>
    <w:rsid w:val="002936AD"/>
    <w:rsid w:val="0029375B"/>
    <w:rsid w:val="002937D2"/>
    <w:rsid w:val="0029386C"/>
    <w:rsid w:val="00293ACB"/>
    <w:rsid w:val="00293B8F"/>
    <w:rsid w:val="00293C22"/>
    <w:rsid w:val="00293FF5"/>
    <w:rsid w:val="0029409E"/>
    <w:rsid w:val="002941F0"/>
    <w:rsid w:val="002944EA"/>
    <w:rsid w:val="002946D9"/>
    <w:rsid w:val="002947A5"/>
    <w:rsid w:val="002947E2"/>
    <w:rsid w:val="00294924"/>
    <w:rsid w:val="00294AFD"/>
    <w:rsid w:val="00294E88"/>
    <w:rsid w:val="00295291"/>
    <w:rsid w:val="002955D5"/>
    <w:rsid w:val="0029584A"/>
    <w:rsid w:val="00295883"/>
    <w:rsid w:val="00295BA9"/>
    <w:rsid w:val="00295E2E"/>
    <w:rsid w:val="00295E91"/>
    <w:rsid w:val="00295F90"/>
    <w:rsid w:val="002968FA"/>
    <w:rsid w:val="00296FCA"/>
    <w:rsid w:val="00297168"/>
    <w:rsid w:val="0029754D"/>
    <w:rsid w:val="00297CB8"/>
    <w:rsid w:val="002A00AD"/>
    <w:rsid w:val="002A02E1"/>
    <w:rsid w:val="002A03B9"/>
    <w:rsid w:val="002A046E"/>
    <w:rsid w:val="002A0530"/>
    <w:rsid w:val="002A06BE"/>
    <w:rsid w:val="002A0A12"/>
    <w:rsid w:val="002A0B33"/>
    <w:rsid w:val="002A0B8E"/>
    <w:rsid w:val="002A0BA7"/>
    <w:rsid w:val="002A0BF9"/>
    <w:rsid w:val="002A0F25"/>
    <w:rsid w:val="002A138E"/>
    <w:rsid w:val="002A17AC"/>
    <w:rsid w:val="002A1981"/>
    <w:rsid w:val="002A1D54"/>
    <w:rsid w:val="002A1DC0"/>
    <w:rsid w:val="002A1EA8"/>
    <w:rsid w:val="002A1FDB"/>
    <w:rsid w:val="002A24DA"/>
    <w:rsid w:val="002A26BD"/>
    <w:rsid w:val="002A293D"/>
    <w:rsid w:val="002A2D8E"/>
    <w:rsid w:val="002A2EA2"/>
    <w:rsid w:val="002A2F0E"/>
    <w:rsid w:val="002A2F98"/>
    <w:rsid w:val="002A3112"/>
    <w:rsid w:val="002A32A3"/>
    <w:rsid w:val="002A359B"/>
    <w:rsid w:val="002A3AF2"/>
    <w:rsid w:val="002A3E8F"/>
    <w:rsid w:val="002A43C7"/>
    <w:rsid w:val="002A4794"/>
    <w:rsid w:val="002A4893"/>
    <w:rsid w:val="002A49EB"/>
    <w:rsid w:val="002A4E22"/>
    <w:rsid w:val="002A503B"/>
    <w:rsid w:val="002A554F"/>
    <w:rsid w:val="002A5772"/>
    <w:rsid w:val="002A5945"/>
    <w:rsid w:val="002A5B3A"/>
    <w:rsid w:val="002A5C32"/>
    <w:rsid w:val="002A5CCF"/>
    <w:rsid w:val="002A5D10"/>
    <w:rsid w:val="002A60C5"/>
    <w:rsid w:val="002A6172"/>
    <w:rsid w:val="002A620A"/>
    <w:rsid w:val="002A63A1"/>
    <w:rsid w:val="002A65C7"/>
    <w:rsid w:val="002A66AE"/>
    <w:rsid w:val="002A66D3"/>
    <w:rsid w:val="002A68D0"/>
    <w:rsid w:val="002A698E"/>
    <w:rsid w:val="002A6D18"/>
    <w:rsid w:val="002A6D29"/>
    <w:rsid w:val="002A6D33"/>
    <w:rsid w:val="002A71BA"/>
    <w:rsid w:val="002A791B"/>
    <w:rsid w:val="002A7A49"/>
    <w:rsid w:val="002A7D69"/>
    <w:rsid w:val="002B0112"/>
    <w:rsid w:val="002B0443"/>
    <w:rsid w:val="002B0663"/>
    <w:rsid w:val="002B083E"/>
    <w:rsid w:val="002B08AE"/>
    <w:rsid w:val="002B0B1E"/>
    <w:rsid w:val="002B0F5D"/>
    <w:rsid w:val="002B102B"/>
    <w:rsid w:val="002B1419"/>
    <w:rsid w:val="002B14B2"/>
    <w:rsid w:val="002B19A8"/>
    <w:rsid w:val="002B19E1"/>
    <w:rsid w:val="002B1AF6"/>
    <w:rsid w:val="002B2073"/>
    <w:rsid w:val="002B20DD"/>
    <w:rsid w:val="002B2106"/>
    <w:rsid w:val="002B215B"/>
    <w:rsid w:val="002B21CB"/>
    <w:rsid w:val="002B2268"/>
    <w:rsid w:val="002B2301"/>
    <w:rsid w:val="002B2525"/>
    <w:rsid w:val="002B25B8"/>
    <w:rsid w:val="002B2797"/>
    <w:rsid w:val="002B27DA"/>
    <w:rsid w:val="002B28A9"/>
    <w:rsid w:val="002B28AE"/>
    <w:rsid w:val="002B28D0"/>
    <w:rsid w:val="002B2BA0"/>
    <w:rsid w:val="002B2C51"/>
    <w:rsid w:val="002B2CDB"/>
    <w:rsid w:val="002B2D07"/>
    <w:rsid w:val="002B311F"/>
    <w:rsid w:val="002B313F"/>
    <w:rsid w:val="002B31DF"/>
    <w:rsid w:val="002B379C"/>
    <w:rsid w:val="002B38F7"/>
    <w:rsid w:val="002B3AE1"/>
    <w:rsid w:val="002B3B8F"/>
    <w:rsid w:val="002B3C97"/>
    <w:rsid w:val="002B3F27"/>
    <w:rsid w:val="002B473E"/>
    <w:rsid w:val="002B4859"/>
    <w:rsid w:val="002B49CB"/>
    <w:rsid w:val="002B4AC4"/>
    <w:rsid w:val="002B4AFF"/>
    <w:rsid w:val="002B4E0D"/>
    <w:rsid w:val="002B4EE0"/>
    <w:rsid w:val="002B5103"/>
    <w:rsid w:val="002B5175"/>
    <w:rsid w:val="002B51C3"/>
    <w:rsid w:val="002B52A1"/>
    <w:rsid w:val="002B5526"/>
    <w:rsid w:val="002B57E8"/>
    <w:rsid w:val="002B5BF2"/>
    <w:rsid w:val="002B5D02"/>
    <w:rsid w:val="002B5DEE"/>
    <w:rsid w:val="002B5E09"/>
    <w:rsid w:val="002B6281"/>
    <w:rsid w:val="002B6729"/>
    <w:rsid w:val="002B6790"/>
    <w:rsid w:val="002B6D22"/>
    <w:rsid w:val="002B6D3B"/>
    <w:rsid w:val="002B703D"/>
    <w:rsid w:val="002B7732"/>
    <w:rsid w:val="002B7822"/>
    <w:rsid w:val="002C02BB"/>
    <w:rsid w:val="002C0325"/>
    <w:rsid w:val="002C04C0"/>
    <w:rsid w:val="002C0500"/>
    <w:rsid w:val="002C0CB0"/>
    <w:rsid w:val="002C0DA2"/>
    <w:rsid w:val="002C1164"/>
    <w:rsid w:val="002C1272"/>
    <w:rsid w:val="002C14D3"/>
    <w:rsid w:val="002C152B"/>
    <w:rsid w:val="002C1B29"/>
    <w:rsid w:val="002C1EDA"/>
    <w:rsid w:val="002C1FB5"/>
    <w:rsid w:val="002C2085"/>
    <w:rsid w:val="002C2271"/>
    <w:rsid w:val="002C25D6"/>
    <w:rsid w:val="002C277D"/>
    <w:rsid w:val="002C3214"/>
    <w:rsid w:val="002C32DF"/>
    <w:rsid w:val="002C382C"/>
    <w:rsid w:val="002C391F"/>
    <w:rsid w:val="002C3A40"/>
    <w:rsid w:val="002C4172"/>
    <w:rsid w:val="002C446B"/>
    <w:rsid w:val="002C4851"/>
    <w:rsid w:val="002C4AC3"/>
    <w:rsid w:val="002C4B3E"/>
    <w:rsid w:val="002C4F34"/>
    <w:rsid w:val="002C50F1"/>
    <w:rsid w:val="002C511D"/>
    <w:rsid w:val="002C51C0"/>
    <w:rsid w:val="002C55A3"/>
    <w:rsid w:val="002C58F0"/>
    <w:rsid w:val="002C59AD"/>
    <w:rsid w:val="002C5F02"/>
    <w:rsid w:val="002C5F55"/>
    <w:rsid w:val="002C63B7"/>
    <w:rsid w:val="002C65D7"/>
    <w:rsid w:val="002C6794"/>
    <w:rsid w:val="002C6833"/>
    <w:rsid w:val="002C687C"/>
    <w:rsid w:val="002C6AA8"/>
    <w:rsid w:val="002C6E66"/>
    <w:rsid w:val="002C71DC"/>
    <w:rsid w:val="002C731E"/>
    <w:rsid w:val="002C7A09"/>
    <w:rsid w:val="002C7C33"/>
    <w:rsid w:val="002C7CF9"/>
    <w:rsid w:val="002C7E85"/>
    <w:rsid w:val="002C7EBE"/>
    <w:rsid w:val="002C7F53"/>
    <w:rsid w:val="002C7FD1"/>
    <w:rsid w:val="002D007A"/>
    <w:rsid w:val="002D01AD"/>
    <w:rsid w:val="002D01E8"/>
    <w:rsid w:val="002D058E"/>
    <w:rsid w:val="002D0675"/>
    <w:rsid w:val="002D0755"/>
    <w:rsid w:val="002D0911"/>
    <w:rsid w:val="002D0BA8"/>
    <w:rsid w:val="002D0BE5"/>
    <w:rsid w:val="002D0C2E"/>
    <w:rsid w:val="002D0CEB"/>
    <w:rsid w:val="002D11F8"/>
    <w:rsid w:val="002D1842"/>
    <w:rsid w:val="002D18E5"/>
    <w:rsid w:val="002D198D"/>
    <w:rsid w:val="002D1A84"/>
    <w:rsid w:val="002D1C0B"/>
    <w:rsid w:val="002D1D11"/>
    <w:rsid w:val="002D232A"/>
    <w:rsid w:val="002D24C6"/>
    <w:rsid w:val="002D2511"/>
    <w:rsid w:val="002D271A"/>
    <w:rsid w:val="002D28EB"/>
    <w:rsid w:val="002D2AAE"/>
    <w:rsid w:val="002D2B1F"/>
    <w:rsid w:val="002D33DD"/>
    <w:rsid w:val="002D34F4"/>
    <w:rsid w:val="002D3567"/>
    <w:rsid w:val="002D36E6"/>
    <w:rsid w:val="002D38B1"/>
    <w:rsid w:val="002D3910"/>
    <w:rsid w:val="002D3985"/>
    <w:rsid w:val="002D3C9D"/>
    <w:rsid w:val="002D3F95"/>
    <w:rsid w:val="002D3FBE"/>
    <w:rsid w:val="002D3FEF"/>
    <w:rsid w:val="002D40DC"/>
    <w:rsid w:val="002D4452"/>
    <w:rsid w:val="002D4534"/>
    <w:rsid w:val="002D45FC"/>
    <w:rsid w:val="002D4799"/>
    <w:rsid w:val="002D47BD"/>
    <w:rsid w:val="002D4809"/>
    <w:rsid w:val="002D493D"/>
    <w:rsid w:val="002D4A20"/>
    <w:rsid w:val="002D4B09"/>
    <w:rsid w:val="002D50ED"/>
    <w:rsid w:val="002D52C5"/>
    <w:rsid w:val="002D5534"/>
    <w:rsid w:val="002D5FBF"/>
    <w:rsid w:val="002D6141"/>
    <w:rsid w:val="002D6317"/>
    <w:rsid w:val="002D648D"/>
    <w:rsid w:val="002D69DD"/>
    <w:rsid w:val="002D6DD5"/>
    <w:rsid w:val="002D6E82"/>
    <w:rsid w:val="002D6EA5"/>
    <w:rsid w:val="002D70F5"/>
    <w:rsid w:val="002D7150"/>
    <w:rsid w:val="002D7729"/>
    <w:rsid w:val="002D797F"/>
    <w:rsid w:val="002D79B3"/>
    <w:rsid w:val="002E018B"/>
    <w:rsid w:val="002E0264"/>
    <w:rsid w:val="002E028F"/>
    <w:rsid w:val="002E0354"/>
    <w:rsid w:val="002E03EA"/>
    <w:rsid w:val="002E0625"/>
    <w:rsid w:val="002E096E"/>
    <w:rsid w:val="002E09A9"/>
    <w:rsid w:val="002E0B8E"/>
    <w:rsid w:val="002E0D10"/>
    <w:rsid w:val="002E10B6"/>
    <w:rsid w:val="002E12BE"/>
    <w:rsid w:val="002E12F7"/>
    <w:rsid w:val="002E1545"/>
    <w:rsid w:val="002E1578"/>
    <w:rsid w:val="002E18E1"/>
    <w:rsid w:val="002E1A93"/>
    <w:rsid w:val="002E1CB3"/>
    <w:rsid w:val="002E1CEA"/>
    <w:rsid w:val="002E1D51"/>
    <w:rsid w:val="002E1F61"/>
    <w:rsid w:val="002E2453"/>
    <w:rsid w:val="002E2543"/>
    <w:rsid w:val="002E254E"/>
    <w:rsid w:val="002E2639"/>
    <w:rsid w:val="002E2797"/>
    <w:rsid w:val="002E2934"/>
    <w:rsid w:val="002E29D8"/>
    <w:rsid w:val="002E2F62"/>
    <w:rsid w:val="002E3019"/>
    <w:rsid w:val="002E30B1"/>
    <w:rsid w:val="002E36FE"/>
    <w:rsid w:val="002E3744"/>
    <w:rsid w:val="002E3D21"/>
    <w:rsid w:val="002E3DBC"/>
    <w:rsid w:val="002E4120"/>
    <w:rsid w:val="002E41A4"/>
    <w:rsid w:val="002E43BB"/>
    <w:rsid w:val="002E46FB"/>
    <w:rsid w:val="002E4A34"/>
    <w:rsid w:val="002E4A7D"/>
    <w:rsid w:val="002E4AB3"/>
    <w:rsid w:val="002E4BB1"/>
    <w:rsid w:val="002E4CE7"/>
    <w:rsid w:val="002E4DDD"/>
    <w:rsid w:val="002E4F84"/>
    <w:rsid w:val="002E5174"/>
    <w:rsid w:val="002E5969"/>
    <w:rsid w:val="002E63B7"/>
    <w:rsid w:val="002E667B"/>
    <w:rsid w:val="002E6BDB"/>
    <w:rsid w:val="002E7220"/>
    <w:rsid w:val="002E7637"/>
    <w:rsid w:val="002E77CC"/>
    <w:rsid w:val="002E7B24"/>
    <w:rsid w:val="002F03E2"/>
    <w:rsid w:val="002F0563"/>
    <w:rsid w:val="002F07D2"/>
    <w:rsid w:val="002F0DD6"/>
    <w:rsid w:val="002F0F88"/>
    <w:rsid w:val="002F1255"/>
    <w:rsid w:val="002F14CA"/>
    <w:rsid w:val="002F158D"/>
    <w:rsid w:val="002F1A64"/>
    <w:rsid w:val="002F1F93"/>
    <w:rsid w:val="002F2066"/>
    <w:rsid w:val="002F2261"/>
    <w:rsid w:val="002F25CA"/>
    <w:rsid w:val="002F2A0D"/>
    <w:rsid w:val="002F2F54"/>
    <w:rsid w:val="002F2FEC"/>
    <w:rsid w:val="002F300C"/>
    <w:rsid w:val="002F3023"/>
    <w:rsid w:val="002F307A"/>
    <w:rsid w:val="002F352B"/>
    <w:rsid w:val="002F3602"/>
    <w:rsid w:val="002F3623"/>
    <w:rsid w:val="002F3901"/>
    <w:rsid w:val="002F3A43"/>
    <w:rsid w:val="002F3A50"/>
    <w:rsid w:val="002F3DCF"/>
    <w:rsid w:val="002F4127"/>
    <w:rsid w:val="002F4339"/>
    <w:rsid w:val="002F443F"/>
    <w:rsid w:val="002F4635"/>
    <w:rsid w:val="002F46BE"/>
    <w:rsid w:val="002F470D"/>
    <w:rsid w:val="002F4A0D"/>
    <w:rsid w:val="002F5117"/>
    <w:rsid w:val="002F5817"/>
    <w:rsid w:val="002F597C"/>
    <w:rsid w:val="002F5BBB"/>
    <w:rsid w:val="002F5BCE"/>
    <w:rsid w:val="002F5C21"/>
    <w:rsid w:val="002F6067"/>
    <w:rsid w:val="002F63AC"/>
    <w:rsid w:val="002F66EE"/>
    <w:rsid w:val="002F66F2"/>
    <w:rsid w:val="002F672E"/>
    <w:rsid w:val="002F677D"/>
    <w:rsid w:val="002F6B3D"/>
    <w:rsid w:val="002F6FDA"/>
    <w:rsid w:val="002F6FE1"/>
    <w:rsid w:val="002F70D3"/>
    <w:rsid w:val="002F7541"/>
    <w:rsid w:val="002F7684"/>
    <w:rsid w:val="002F7AFA"/>
    <w:rsid w:val="002F7B21"/>
    <w:rsid w:val="002F7FE6"/>
    <w:rsid w:val="003001E4"/>
    <w:rsid w:val="003003DF"/>
    <w:rsid w:val="0030049F"/>
    <w:rsid w:val="003006EE"/>
    <w:rsid w:val="00300AA3"/>
    <w:rsid w:val="00300C38"/>
    <w:rsid w:val="00300F7E"/>
    <w:rsid w:val="00300FC2"/>
    <w:rsid w:val="00301668"/>
    <w:rsid w:val="00301787"/>
    <w:rsid w:val="003017AD"/>
    <w:rsid w:val="003019CA"/>
    <w:rsid w:val="00301D71"/>
    <w:rsid w:val="00301F2C"/>
    <w:rsid w:val="0030238B"/>
    <w:rsid w:val="003025EC"/>
    <w:rsid w:val="00302AB9"/>
    <w:rsid w:val="00302CE2"/>
    <w:rsid w:val="00302E49"/>
    <w:rsid w:val="00303898"/>
    <w:rsid w:val="00303E94"/>
    <w:rsid w:val="0030415A"/>
    <w:rsid w:val="00304393"/>
    <w:rsid w:val="003044DF"/>
    <w:rsid w:val="0030457E"/>
    <w:rsid w:val="003046B1"/>
    <w:rsid w:val="003046D6"/>
    <w:rsid w:val="0030479A"/>
    <w:rsid w:val="003047B4"/>
    <w:rsid w:val="003047F3"/>
    <w:rsid w:val="00304B95"/>
    <w:rsid w:val="00304C98"/>
    <w:rsid w:val="00304D07"/>
    <w:rsid w:val="00304F5A"/>
    <w:rsid w:val="00305064"/>
    <w:rsid w:val="00305561"/>
    <w:rsid w:val="00305650"/>
    <w:rsid w:val="003059EF"/>
    <w:rsid w:val="00305B3F"/>
    <w:rsid w:val="00305C0A"/>
    <w:rsid w:val="00306028"/>
    <w:rsid w:val="003061B8"/>
    <w:rsid w:val="003061FF"/>
    <w:rsid w:val="003064F4"/>
    <w:rsid w:val="00306586"/>
    <w:rsid w:val="00306C41"/>
    <w:rsid w:val="00306D9B"/>
    <w:rsid w:val="00306FB4"/>
    <w:rsid w:val="00307014"/>
    <w:rsid w:val="00307233"/>
    <w:rsid w:val="003074A6"/>
    <w:rsid w:val="0030786A"/>
    <w:rsid w:val="00307C95"/>
    <w:rsid w:val="00307F2B"/>
    <w:rsid w:val="00307F74"/>
    <w:rsid w:val="003104A6"/>
    <w:rsid w:val="00310AC1"/>
    <w:rsid w:val="00310FBB"/>
    <w:rsid w:val="00311100"/>
    <w:rsid w:val="00311487"/>
    <w:rsid w:val="003115A6"/>
    <w:rsid w:val="003116FC"/>
    <w:rsid w:val="003117A3"/>
    <w:rsid w:val="003118DC"/>
    <w:rsid w:val="00311BF5"/>
    <w:rsid w:val="00311E66"/>
    <w:rsid w:val="00312296"/>
    <w:rsid w:val="003123F9"/>
    <w:rsid w:val="003125B1"/>
    <w:rsid w:val="003126EE"/>
    <w:rsid w:val="003127D1"/>
    <w:rsid w:val="0031289F"/>
    <w:rsid w:val="00312BC8"/>
    <w:rsid w:val="00312C5D"/>
    <w:rsid w:val="00312CD0"/>
    <w:rsid w:val="00312D86"/>
    <w:rsid w:val="00312DB8"/>
    <w:rsid w:val="00312E3B"/>
    <w:rsid w:val="00312EEA"/>
    <w:rsid w:val="00313114"/>
    <w:rsid w:val="00313315"/>
    <w:rsid w:val="003138BE"/>
    <w:rsid w:val="00313A06"/>
    <w:rsid w:val="00313AF1"/>
    <w:rsid w:val="00313E76"/>
    <w:rsid w:val="00314108"/>
    <w:rsid w:val="00314285"/>
    <w:rsid w:val="003145B6"/>
    <w:rsid w:val="00314638"/>
    <w:rsid w:val="00314A2E"/>
    <w:rsid w:val="00314B90"/>
    <w:rsid w:val="00314B97"/>
    <w:rsid w:val="00314BEA"/>
    <w:rsid w:val="00314F09"/>
    <w:rsid w:val="00314F83"/>
    <w:rsid w:val="00315319"/>
    <w:rsid w:val="00315596"/>
    <w:rsid w:val="00315D8F"/>
    <w:rsid w:val="00315EEF"/>
    <w:rsid w:val="003160EE"/>
    <w:rsid w:val="00316221"/>
    <w:rsid w:val="00316333"/>
    <w:rsid w:val="00316B94"/>
    <w:rsid w:val="00316F8C"/>
    <w:rsid w:val="0031743A"/>
    <w:rsid w:val="003174BF"/>
    <w:rsid w:val="0031766C"/>
    <w:rsid w:val="00317EB0"/>
    <w:rsid w:val="003200E7"/>
    <w:rsid w:val="003201E3"/>
    <w:rsid w:val="0032040E"/>
    <w:rsid w:val="00320486"/>
    <w:rsid w:val="0032050C"/>
    <w:rsid w:val="003206AD"/>
    <w:rsid w:val="0032085F"/>
    <w:rsid w:val="00320BE8"/>
    <w:rsid w:val="00320C48"/>
    <w:rsid w:val="00320C91"/>
    <w:rsid w:val="00320D48"/>
    <w:rsid w:val="00320F67"/>
    <w:rsid w:val="00320FEE"/>
    <w:rsid w:val="0032105E"/>
    <w:rsid w:val="003217B7"/>
    <w:rsid w:val="003217BA"/>
    <w:rsid w:val="00321A1F"/>
    <w:rsid w:val="00321EB5"/>
    <w:rsid w:val="003222DB"/>
    <w:rsid w:val="00322427"/>
    <w:rsid w:val="00322912"/>
    <w:rsid w:val="00322C67"/>
    <w:rsid w:val="00322E7A"/>
    <w:rsid w:val="0032328D"/>
    <w:rsid w:val="00323541"/>
    <w:rsid w:val="00323567"/>
    <w:rsid w:val="00323921"/>
    <w:rsid w:val="00323950"/>
    <w:rsid w:val="0032397C"/>
    <w:rsid w:val="003239AA"/>
    <w:rsid w:val="00323B3B"/>
    <w:rsid w:val="00324213"/>
    <w:rsid w:val="00324251"/>
    <w:rsid w:val="0032439D"/>
    <w:rsid w:val="00324589"/>
    <w:rsid w:val="00324915"/>
    <w:rsid w:val="0032524F"/>
    <w:rsid w:val="003252E0"/>
    <w:rsid w:val="003252FF"/>
    <w:rsid w:val="003253D3"/>
    <w:rsid w:val="0032559C"/>
    <w:rsid w:val="00325759"/>
    <w:rsid w:val="00325A23"/>
    <w:rsid w:val="00325D07"/>
    <w:rsid w:val="00325E54"/>
    <w:rsid w:val="00325EAE"/>
    <w:rsid w:val="003260E7"/>
    <w:rsid w:val="00326244"/>
    <w:rsid w:val="0032634A"/>
    <w:rsid w:val="0032639A"/>
    <w:rsid w:val="0032647B"/>
    <w:rsid w:val="003264DF"/>
    <w:rsid w:val="003264ED"/>
    <w:rsid w:val="003266F4"/>
    <w:rsid w:val="00326A2E"/>
    <w:rsid w:val="00326D38"/>
    <w:rsid w:val="00326E1D"/>
    <w:rsid w:val="00326E4C"/>
    <w:rsid w:val="00326FAD"/>
    <w:rsid w:val="00327159"/>
    <w:rsid w:val="00327527"/>
    <w:rsid w:val="00327596"/>
    <w:rsid w:val="0032773C"/>
    <w:rsid w:val="003278D9"/>
    <w:rsid w:val="00327AB2"/>
    <w:rsid w:val="003302B6"/>
    <w:rsid w:val="00330309"/>
    <w:rsid w:val="003308A1"/>
    <w:rsid w:val="003308A2"/>
    <w:rsid w:val="00330A46"/>
    <w:rsid w:val="00330A7E"/>
    <w:rsid w:val="00330AC8"/>
    <w:rsid w:val="00330C68"/>
    <w:rsid w:val="00330EF4"/>
    <w:rsid w:val="00330F6F"/>
    <w:rsid w:val="0033128B"/>
    <w:rsid w:val="00331472"/>
    <w:rsid w:val="00331615"/>
    <w:rsid w:val="00331C18"/>
    <w:rsid w:val="00331C2A"/>
    <w:rsid w:val="00331F2B"/>
    <w:rsid w:val="00331F68"/>
    <w:rsid w:val="003321C5"/>
    <w:rsid w:val="0033297E"/>
    <w:rsid w:val="00333153"/>
    <w:rsid w:val="00333721"/>
    <w:rsid w:val="00333AC4"/>
    <w:rsid w:val="00333B1C"/>
    <w:rsid w:val="00333B5A"/>
    <w:rsid w:val="0033427E"/>
    <w:rsid w:val="003345E4"/>
    <w:rsid w:val="0033465D"/>
    <w:rsid w:val="00334B8C"/>
    <w:rsid w:val="003351F0"/>
    <w:rsid w:val="00335259"/>
    <w:rsid w:val="00335285"/>
    <w:rsid w:val="003352B9"/>
    <w:rsid w:val="003359AC"/>
    <w:rsid w:val="003359EF"/>
    <w:rsid w:val="00335AF6"/>
    <w:rsid w:val="00335AFA"/>
    <w:rsid w:val="00335FAA"/>
    <w:rsid w:val="003362C6"/>
    <w:rsid w:val="003368DC"/>
    <w:rsid w:val="00336F80"/>
    <w:rsid w:val="00336FCD"/>
    <w:rsid w:val="00336FD0"/>
    <w:rsid w:val="0033721E"/>
    <w:rsid w:val="0033746D"/>
    <w:rsid w:val="003375BB"/>
    <w:rsid w:val="0033795E"/>
    <w:rsid w:val="00337D2E"/>
    <w:rsid w:val="00337D39"/>
    <w:rsid w:val="0034008E"/>
    <w:rsid w:val="00340620"/>
    <w:rsid w:val="0034063A"/>
    <w:rsid w:val="00340684"/>
    <w:rsid w:val="0034068E"/>
    <w:rsid w:val="003406B8"/>
    <w:rsid w:val="00340810"/>
    <w:rsid w:val="00340A5C"/>
    <w:rsid w:val="00340B25"/>
    <w:rsid w:val="00340B49"/>
    <w:rsid w:val="00340D49"/>
    <w:rsid w:val="00340D98"/>
    <w:rsid w:val="00340DA9"/>
    <w:rsid w:val="00340EAB"/>
    <w:rsid w:val="00340FA4"/>
    <w:rsid w:val="00340FF7"/>
    <w:rsid w:val="003411E1"/>
    <w:rsid w:val="0034121F"/>
    <w:rsid w:val="003412A9"/>
    <w:rsid w:val="0034135A"/>
    <w:rsid w:val="00341981"/>
    <w:rsid w:val="00341D90"/>
    <w:rsid w:val="00341EFA"/>
    <w:rsid w:val="003420C0"/>
    <w:rsid w:val="00342112"/>
    <w:rsid w:val="0034223F"/>
    <w:rsid w:val="0034228A"/>
    <w:rsid w:val="00342354"/>
    <w:rsid w:val="00342595"/>
    <w:rsid w:val="003425AF"/>
    <w:rsid w:val="003425DC"/>
    <w:rsid w:val="0034264F"/>
    <w:rsid w:val="00343135"/>
    <w:rsid w:val="00343418"/>
    <w:rsid w:val="00343754"/>
    <w:rsid w:val="00343872"/>
    <w:rsid w:val="003439EB"/>
    <w:rsid w:val="00343A4D"/>
    <w:rsid w:val="00343DC6"/>
    <w:rsid w:val="00343DFA"/>
    <w:rsid w:val="0034422A"/>
    <w:rsid w:val="0034446A"/>
    <w:rsid w:val="00344475"/>
    <w:rsid w:val="00344502"/>
    <w:rsid w:val="00344645"/>
    <w:rsid w:val="00344667"/>
    <w:rsid w:val="003449E5"/>
    <w:rsid w:val="003449F9"/>
    <w:rsid w:val="00344D19"/>
    <w:rsid w:val="003453EF"/>
    <w:rsid w:val="0034581D"/>
    <w:rsid w:val="003458FD"/>
    <w:rsid w:val="00345BC3"/>
    <w:rsid w:val="00345D4A"/>
    <w:rsid w:val="00345D6C"/>
    <w:rsid w:val="00346B41"/>
    <w:rsid w:val="00346D0A"/>
    <w:rsid w:val="00346D84"/>
    <w:rsid w:val="00347362"/>
    <w:rsid w:val="003473EA"/>
    <w:rsid w:val="00347447"/>
    <w:rsid w:val="0034765C"/>
    <w:rsid w:val="003476BA"/>
    <w:rsid w:val="003476CD"/>
    <w:rsid w:val="0034785B"/>
    <w:rsid w:val="00347CFB"/>
    <w:rsid w:val="00347D4C"/>
    <w:rsid w:val="00350246"/>
    <w:rsid w:val="00350614"/>
    <w:rsid w:val="003506C0"/>
    <w:rsid w:val="00350883"/>
    <w:rsid w:val="003508A6"/>
    <w:rsid w:val="00350AFC"/>
    <w:rsid w:val="00350BCC"/>
    <w:rsid w:val="00350C21"/>
    <w:rsid w:val="00350CBB"/>
    <w:rsid w:val="00350F0C"/>
    <w:rsid w:val="00351046"/>
    <w:rsid w:val="00351090"/>
    <w:rsid w:val="00351180"/>
    <w:rsid w:val="003512C2"/>
    <w:rsid w:val="003516DA"/>
    <w:rsid w:val="00351783"/>
    <w:rsid w:val="00351791"/>
    <w:rsid w:val="003519E8"/>
    <w:rsid w:val="00351E10"/>
    <w:rsid w:val="00351EC1"/>
    <w:rsid w:val="00351F1C"/>
    <w:rsid w:val="0035254A"/>
    <w:rsid w:val="00352720"/>
    <w:rsid w:val="0035288E"/>
    <w:rsid w:val="00352AF7"/>
    <w:rsid w:val="00352E1E"/>
    <w:rsid w:val="003530A3"/>
    <w:rsid w:val="003534BE"/>
    <w:rsid w:val="00353748"/>
    <w:rsid w:val="00353867"/>
    <w:rsid w:val="00353B89"/>
    <w:rsid w:val="003540F4"/>
    <w:rsid w:val="00354196"/>
    <w:rsid w:val="00354779"/>
    <w:rsid w:val="00354BEF"/>
    <w:rsid w:val="00354C97"/>
    <w:rsid w:val="00354FCD"/>
    <w:rsid w:val="003550C7"/>
    <w:rsid w:val="0035514D"/>
    <w:rsid w:val="00355316"/>
    <w:rsid w:val="003553E4"/>
    <w:rsid w:val="00355ACC"/>
    <w:rsid w:val="00355ADB"/>
    <w:rsid w:val="00355CC9"/>
    <w:rsid w:val="00355D76"/>
    <w:rsid w:val="00355FAB"/>
    <w:rsid w:val="0035686A"/>
    <w:rsid w:val="00356A00"/>
    <w:rsid w:val="00356B7C"/>
    <w:rsid w:val="00356D4B"/>
    <w:rsid w:val="00356D8C"/>
    <w:rsid w:val="00356E72"/>
    <w:rsid w:val="0035735E"/>
    <w:rsid w:val="003577A7"/>
    <w:rsid w:val="0035789F"/>
    <w:rsid w:val="0035796C"/>
    <w:rsid w:val="00357BA0"/>
    <w:rsid w:val="00357CE5"/>
    <w:rsid w:val="00357FFD"/>
    <w:rsid w:val="00360126"/>
    <w:rsid w:val="003603BB"/>
    <w:rsid w:val="0036048F"/>
    <w:rsid w:val="00360534"/>
    <w:rsid w:val="00360990"/>
    <w:rsid w:val="0036102F"/>
    <w:rsid w:val="003610F6"/>
    <w:rsid w:val="003612A7"/>
    <w:rsid w:val="00361BCB"/>
    <w:rsid w:val="00361C4A"/>
    <w:rsid w:val="0036202E"/>
    <w:rsid w:val="003620B9"/>
    <w:rsid w:val="003620D5"/>
    <w:rsid w:val="00362147"/>
    <w:rsid w:val="003622AA"/>
    <w:rsid w:val="003622EA"/>
    <w:rsid w:val="003624EA"/>
    <w:rsid w:val="003626B4"/>
    <w:rsid w:val="00362A5C"/>
    <w:rsid w:val="00362DF2"/>
    <w:rsid w:val="00362F1D"/>
    <w:rsid w:val="003631DA"/>
    <w:rsid w:val="00363405"/>
    <w:rsid w:val="003635B4"/>
    <w:rsid w:val="00363796"/>
    <w:rsid w:val="0036396D"/>
    <w:rsid w:val="00363976"/>
    <w:rsid w:val="00363AB9"/>
    <w:rsid w:val="00363C89"/>
    <w:rsid w:val="00363D1E"/>
    <w:rsid w:val="00363F07"/>
    <w:rsid w:val="003640CF"/>
    <w:rsid w:val="003644A9"/>
    <w:rsid w:val="00364686"/>
    <w:rsid w:val="003646C5"/>
    <w:rsid w:val="00364764"/>
    <w:rsid w:val="00364786"/>
    <w:rsid w:val="00364BD3"/>
    <w:rsid w:val="00364CF6"/>
    <w:rsid w:val="00364D76"/>
    <w:rsid w:val="003652A2"/>
    <w:rsid w:val="003652C7"/>
    <w:rsid w:val="00365505"/>
    <w:rsid w:val="00365570"/>
    <w:rsid w:val="00365577"/>
    <w:rsid w:val="003656D8"/>
    <w:rsid w:val="003657BB"/>
    <w:rsid w:val="0036593C"/>
    <w:rsid w:val="00365E81"/>
    <w:rsid w:val="00366276"/>
    <w:rsid w:val="003662DC"/>
    <w:rsid w:val="00366DB9"/>
    <w:rsid w:val="00366F90"/>
    <w:rsid w:val="003674D6"/>
    <w:rsid w:val="0036753B"/>
    <w:rsid w:val="00367683"/>
    <w:rsid w:val="003677E8"/>
    <w:rsid w:val="003678B5"/>
    <w:rsid w:val="003702F5"/>
    <w:rsid w:val="0037044C"/>
    <w:rsid w:val="003709F1"/>
    <w:rsid w:val="003709F4"/>
    <w:rsid w:val="00370C47"/>
    <w:rsid w:val="00370CBE"/>
    <w:rsid w:val="00370DD8"/>
    <w:rsid w:val="00370DFC"/>
    <w:rsid w:val="00370F2E"/>
    <w:rsid w:val="00370FE4"/>
    <w:rsid w:val="0037107C"/>
    <w:rsid w:val="003713CB"/>
    <w:rsid w:val="003714D5"/>
    <w:rsid w:val="0037176C"/>
    <w:rsid w:val="003721DB"/>
    <w:rsid w:val="003722D6"/>
    <w:rsid w:val="00372745"/>
    <w:rsid w:val="00372C09"/>
    <w:rsid w:val="00372C62"/>
    <w:rsid w:val="00372CA3"/>
    <w:rsid w:val="00372D1C"/>
    <w:rsid w:val="00372D3A"/>
    <w:rsid w:val="00372DC5"/>
    <w:rsid w:val="003733C2"/>
    <w:rsid w:val="003737DD"/>
    <w:rsid w:val="00373A02"/>
    <w:rsid w:val="00373ABD"/>
    <w:rsid w:val="00373BB7"/>
    <w:rsid w:val="00373FF9"/>
    <w:rsid w:val="003742A9"/>
    <w:rsid w:val="00374CD5"/>
    <w:rsid w:val="00375011"/>
    <w:rsid w:val="003756AC"/>
    <w:rsid w:val="003756F8"/>
    <w:rsid w:val="003758F7"/>
    <w:rsid w:val="0037597C"/>
    <w:rsid w:val="00375B0D"/>
    <w:rsid w:val="00375DF9"/>
    <w:rsid w:val="00375FBB"/>
    <w:rsid w:val="0037607A"/>
    <w:rsid w:val="003764D6"/>
    <w:rsid w:val="0037679C"/>
    <w:rsid w:val="00376A45"/>
    <w:rsid w:val="00376B76"/>
    <w:rsid w:val="00376D44"/>
    <w:rsid w:val="00376FC8"/>
    <w:rsid w:val="003776D7"/>
    <w:rsid w:val="0037780F"/>
    <w:rsid w:val="003779C1"/>
    <w:rsid w:val="00377FE8"/>
    <w:rsid w:val="00380083"/>
    <w:rsid w:val="00380109"/>
    <w:rsid w:val="00380139"/>
    <w:rsid w:val="00380146"/>
    <w:rsid w:val="003801D1"/>
    <w:rsid w:val="0038038D"/>
    <w:rsid w:val="00380807"/>
    <w:rsid w:val="003808EF"/>
    <w:rsid w:val="00380A06"/>
    <w:rsid w:val="00380BE6"/>
    <w:rsid w:val="00380C78"/>
    <w:rsid w:val="00380CAB"/>
    <w:rsid w:val="00380CCC"/>
    <w:rsid w:val="0038131A"/>
    <w:rsid w:val="0038161B"/>
    <w:rsid w:val="00381ABA"/>
    <w:rsid w:val="00381AEB"/>
    <w:rsid w:val="00381D77"/>
    <w:rsid w:val="00382018"/>
    <w:rsid w:val="003825CF"/>
    <w:rsid w:val="00382921"/>
    <w:rsid w:val="00382A24"/>
    <w:rsid w:val="00382A4E"/>
    <w:rsid w:val="00382B01"/>
    <w:rsid w:val="00382B6C"/>
    <w:rsid w:val="00382E1C"/>
    <w:rsid w:val="00382E26"/>
    <w:rsid w:val="00383414"/>
    <w:rsid w:val="00383ACA"/>
    <w:rsid w:val="00383EF8"/>
    <w:rsid w:val="00383F14"/>
    <w:rsid w:val="0038448D"/>
    <w:rsid w:val="00384677"/>
    <w:rsid w:val="00384C6B"/>
    <w:rsid w:val="00384E4B"/>
    <w:rsid w:val="00384EC9"/>
    <w:rsid w:val="003850E0"/>
    <w:rsid w:val="00385503"/>
    <w:rsid w:val="00385A4F"/>
    <w:rsid w:val="00386757"/>
    <w:rsid w:val="003868A5"/>
    <w:rsid w:val="003868DC"/>
    <w:rsid w:val="003869E5"/>
    <w:rsid w:val="00386A24"/>
    <w:rsid w:val="00386DCC"/>
    <w:rsid w:val="00386E24"/>
    <w:rsid w:val="00386E72"/>
    <w:rsid w:val="003872E7"/>
    <w:rsid w:val="00387531"/>
    <w:rsid w:val="003876CE"/>
    <w:rsid w:val="003876D0"/>
    <w:rsid w:val="00387937"/>
    <w:rsid w:val="00387974"/>
    <w:rsid w:val="00387B6B"/>
    <w:rsid w:val="00387C60"/>
    <w:rsid w:val="00387D72"/>
    <w:rsid w:val="00387E21"/>
    <w:rsid w:val="00387EB1"/>
    <w:rsid w:val="00390221"/>
    <w:rsid w:val="00390656"/>
    <w:rsid w:val="003907AE"/>
    <w:rsid w:val="00390A7B"/>
    <w:rsid w:val="00390CB0"/>
    <w:rsid w:val="00390DCA"/>
    <w:rsid w:val="00390E6D"/>
    <w:rsid w:val="00391053"/>
    <w:rsid w:val="0039118A"/>
    <w:rsid w:val="003914AA"/>
    <w:rsid w:val="0039171F"/>
    <w:rsid w:val="003918FE"/>
    <w:rsid w:val="0039194E"/>
    <w:rsid w:val="00391BAE"/>
    <w:rsid w:val="00391F58"/>
    <w:rsid w:val="003920ED"/>
    <w:rsid w:val="0039252A"/>
    <w:rsid w:val="00392C64"/>
    <w:rsid w:val="003931F1"/>
    <w:rsid w:val="003937B5"/>
    <w:rsid w:val="00393D53"/>
    <w:rsid w:val="00393EB4"/>
    <w:rsid w:val="003943A1"/>
    <w:rsid w:val="00394432"/>
    <w:rsid w:val="00394511"/>
    <w:rsid w:val="00394908"/>
    <w:rsid w:val="00394A9B"/>
    <w:rsid w:val="00394B72"/>
    <w:rsid w:val="00394D7B"/>
    <w:rsid w:val="00394F3F"/>
    <w:rsid w:val="00395389"/>
    <w:rsid w:val="00395644"/>
    <w:rsid w:val="0039589A"/>
    <w:rsid w:val="0039589C"/>
    <w:rsid w:val="00395A6A"/>
    <w:rsid w:val="00395C22"/>
    <w:rsid w:val="00396047"/>
    <w:rsid w:val="0039620C"/>
    <w:rsid w:val="0039621D"/>
    <w:rsid w:val="0039622E"/>
    <w:rsid w:val="00396341"/>
    <w:rsid w:val="003963D3"/>
    <w:rsid w:val="00396488"/>
    <w:rsid w:val="00396506"/>
    <w:rsid w:val="0039652E"/>
    <w:rsid w:val="0039691F"/>
    <w:rsid w:val="0039695A"/>
    <w:rsid w:val="003971DF"/>
    <w:rsid w:val="00397267"/>
    <w:rsid w:val="003976A0"/>
    <w:rsid w:val="003976F3"/>
    <w:rsid w:val="0039773C"/>
    <w:rsid w:val="00397744"/>
    <w:rsid w:val="00397EE5"/>
    <w:rsid w:val="00397F17"/>
    <w:rsid w:val="003A022E"/>
    <w:rsid w:val="003A0288"/>
    <w:rsid w:val="003A0360"/>
    <w:rsid w:val="003A051E"/>
    <w:rsid w:val="003A06BF"/>
    <w:rsid w:val="003A09E0"/>
    <w:rsid w:val="003A0C37"/>
    <w:rsid w:val="003A0CE3"/>
    <w:rsid w:val="003A0F1C"/>
    <w:rsid w:val="003A1196"/>
    <w:rsid w:val="003A1737"/>
    <w:rsid w:val="003A1982"/>
    <w:rsid w:val="003A1B5E"/>
    <w:rsid w:val="003A1C88"/>
    <w:rsid w:val="003A1DA4"/>
    <w:rsid w:val="003A1DCF"/>
    <w:rsid w:val="003A200A"/>
    <w:rsid w:val="003A2139"/>
    <w:rsid w:val="003A276C"/>
    <w:rsid w:val="003A27CC"/>
    <w:rsid w:val="003A287A"/>
    <w:rsid w:val="003A2AAD"/>
    <w:rsid w:val="003A2ABA"/>
    <w:rsid w:val="003A2B3F"/>
    <w:rsid w:val="003A2D7E"/>
    <w:rsid w:val="003A2DAA"/>
    <w:rsid w:val="003A2EE4"/>
    <w:rsid w:val="003A2F8B"/>
    <w:rsid w:val="003A2F97"/>
    <w:rsid w:val="003A3237"/>
    <w:rsid w:val="003A35AE"/>
    <w:rsid w:val="003A3693"/>
    <w:rsid w:val="003A385B"/>
    <w:rsid w:val="003A3945"/>
    <w:rsid w:val="003A3958"/>
    <w:rsid w:val="003A3AD6"/>
    <w:rsid w:val="003A3B4F"/>
    <w:rsid w:val="003A3D76"/>
    <w:rsid w:val="003A3F32"/>
    <w:rsid w:val="003A41B0"/>
    <w:rsid w:val="003A42A2"/>
    <w:rsid w:val="003A43D2"/>
    <w:rsid w:val="003A469B"/>
    <w:rsid w:val="003A4B0F"/>
    <w:rsid w:val="003A4C4E"/>
    <w:rsid w:val="003A51DF"/>
    <w:rsid w:val="003A5483"/>
    <w:rsid w:val="003A56E0"/>
    <w:rsid w:val="003A56F4"/>
    <w:rsid w:val="003A5836"/>
    <w:rsid w:val="003A597F"/>
    <w:rsid w:val="003A6247"/>
    <w:rsid w:val="003A6512"/>
    <w:rsid w:val="003A667E"/>
    <w:rsid w:val="003A6D22"/>
    <w:rsid w:val="003A6E69"/>
    <w:rsid w:val="003A719C"/>
    <w:rsid w:val="003A74EC"/>
    <w:rsid w:val="003A7557"/>
    <w:rsid w:val="003A7792"/>
    <w:rsid w:val="003A7B25"/>
    <w:rsid w:val="003A7E47"/>
    <w:rsid w:val="003B004D"/>
    <w:rsid w:val="003B0204"/>
    <w:rsid w:val="003B0421"/>
    <w:rsid w:val="003B042F"/>
    <w:rsid w:val="003B043B"/>
    <w:rsid w:val="003B0612"/>
    <w:rsid w:val="003B07AE"/>
    <w:rsid w:val="003B123C"/>
    <w:rsid w:val="003B1291"/>
    <w:rsid w:val="003B130A"/>
    <w:rsid w:val="003B14A6"/>
    <w:rsid w:val="003B169F"/>
    <w:rsid w:val="003B16AA"/>
    <w:rsid w:val="003B17FC"/>
    <w:rsid w:val="003B18BA"/>
    <w:rsid w:val="003B19A7"/>
    <w:rsid w:val="003B1DB0"/>
    <w:rsid w:val="003B249D"/>
    <w:rsid w:val="003B280B"/>
    <w:rsid w:val="003B2975"/>
    <w:rsid w:val="003B2A25"/>
    <w:rsid w:val="003B2F11"/>
    <w:rsid w:val="003B31C2"/>
    <w:rsid w:val="003B33BD"/>
    <w:rsid w:val="003B33EE"/>
    <w:rsid w:val="003B3473"/>
    <w:rsid w:val="003B3525"/>
    <w:rsid w:val="003B37C6"/>
    <w:rsid w:val="003B3A00"/>
    <w:rsid w:val="003B3F59"/>
    <w:rsid w:val="003B4121"/>
    <w:rsid w:val="003B4873"/>
    <w:rsid w:val="003B487B"/>
    <w:rsid w:val="003B4A9B"/>
    <w:rsid w:val="003B5023"/>
    <w:rsid w:val="003B50CA"/>
    <w:rsid w:val="003B53A8"/>
    <w:rsid w:val="003B542C"/>
    <w:rsid w:val="003B543D"/>
    <w:rsid w:val="003B55AB"/>
    <w:rsid w:val="003B55C3"/>
    <w:rsid w:val="003B575B"/>
    <w:rsid w:val="003B585E"/>
    <w:rsid w:val="003B59E8"/>
    <w:rsid w:val="003B5A1C"/>
    <w:rsid w:val="003B5A38"/>
    <w:rsid w:val="003B5D10"/>
    <w:rsid w:val="003B5EA7"/>
    <w:rsid w:val="003B6008"/>
    <w:rsid w:val="003B605A"/>
    <w:rsid w:val="003B6063"/>
    <w:rsid w:val="003B61EC"/>
    <w:rsid w:val="003B6388"/>
    <w:rsid w:val="003B648A"/>
    <w:rsid w:val="003B64B9"/>
    <w:rsid w:val="003B64D7"/>
    <w:rsid w:val="003B670A"/>
    <w:rsid w:val="003B67CF"/>
    <w:rsid w:val="003B688E"/>
    <w:rsid w:val="003B6C90"/>
    <w:rsid w:val="003B6F9D"/>
    <w:rsid w:val="003B7268"/>
    <w:rsid w:val="003B72FD"/>
    <w:rsid w:val="003B761F"/>
    <w:rsid w:val="003B78CD"/>
    <w:rsid w:val="003B796C"/>
    <w:rsid w:val="003C00BB"/>
    <w:rsid w:val="003C03E9"/>
    <w:rsid w:val="003C04AF"/>
    <w:rsid w:val="003C0527"/>
    <w:rsid w:val="003C05B7"/>
    <w:rsid w:val="003C0880"/>
    <w:rsid w:val="003C0ADD"/>
    <w:rsid w:val="003C0B65"/>
    <w:rsid w:val="003C0DA9"/>
    <w:rsid w:val="003C0F0D"/>
    <w:rsid w:val="003C0F45"/>
    <w:rsid w:val="003C11BD"/>
    <w:rsid w:val="003C14BA"/>
    <w:rsid w:val="003C17F1"/>
    <w:rsid w:val="003C1889"/>
    <w:rsid w:val="003C1946"/>
    <w:rsid w:val="003C1B4F"/>
    <w:rsid w:val="003C1E71"/>
    <w:rsid w:val="003C1F50"/>
    <w:rsid w:val="003C21B3"/>
    <w:rsid w:val="003C2279"/>
    <w:rsid w:val="003C2437"/>
    <w:rsid w:val="003C2AE6"/>
    <w:rsid w:val="003C2B13"/>
    <w:rsid w:val="003C2B35"/>
    <w:rsid w:val="003C2D1C"/>
    <w:rsid w:val="003C346E"/>
    <w:rsid w:val="003C3487"/>
    <w:rsid w:val="003C367E"/>
    <w:rsid w:val="003C380E"/>
    <w:rsid w:val="003C38E4"/>
    <w:rsid w:val="003C3934"/>
    <w:rsid w:val="003C3B52"/>
    <w:rsid w:val="003C4076"/>
    <w:rsid w:val="003C45AD"/>
    <w:rsid w:val="003C469C"/>
    <w:rsid w:val="003C4745"/>
    <w:rsid w:val="003C492B"/>
    <w:rsid w:val="003C52B9"/>
    <w:rsid w:val="003C5399"/>
    <w:rsid w:val="003C57AF"/>
    <w:rsid w:val="003C5921"/>
    <w:rsid w:val="003C59E3"/>
    <w:rsid w:val="003C5CD7"/>
    <w:rsid w:val="003C5DDD"/>
    <w:rsid w:val="003C613D"/>
    <w:rsid w:val="003C6509"/>
    <w:rsid w:val="003C674E"/>
    <w:rsid w:val="003C6A88"/>
    <w:rsid w:val="003C6CF4"/>
    <w:rsid w:val="003C6D63"/>
    <w:rsid w:val="003C6E87"/>
    <w:rsid w:val="003C70AC"/>
    <w:rsid w:val="003C75BE"/>
    <w:rsid w:val="003C7ED7"/>
    <w:rsid w:val="003D027B"/>
    <w:rsid w:val="003D0A55"/>
    <w:rsid w:val="003D0C39"/>
    <w:rsid w:val="003D0D70"/>
    <w:rsid w:val="003D0E27"/>
    <w:rsid w:val="003D0E81"/>
    <w:rsid w:val="003D10C9"/>
    <w:rsid w:val="003D1372"/>
    <w:rsid w:val="003D14B3"/>
    <w:rsid w:val="003D150E"/>
    <w:rsid w:val="003D1615"/>
    <w:rsid w:val="003D16F5"/>
    <w:rsid w:val="003D197E"/>
    <w:rsid w:val="003D1D7D"/>
    <w:rsid w:val="003D1DD9"/>
    <w:rsid w:val="003D1E22"/>
    <w:rsid w:val="003D203D"/>
    <w:rsid w:val="003D20D4"/>
    <w:rsid w:val="003D215C"/>
    <w:rsid w:val="003D23A1"/>
    <w:rsid w:val="003D23A6"/>
    <w:rsid w:val="003D2585"/>
    <w:rsid w:val="003D2A1A"/>
    <w:rsid w:val="003D2DD3"/>
    <w:rsid w:val="003D2E2B"/>
    <w:rsid w:val="003D2EFF"/>
    <w:rsid w:val="003D2F83"/>
    <w:rsid w:val="003D32B4"/>
    <w:rsid w:val="003D3396"/>
    <w:rsid w:val="003D36C6"/>
    <w:rsid w:val="003D3898"/>
    <w:rsid w:val="003D38B1"/>
    <w:rsid w:val="003D3B2C"/>
    <w:rsid w:val="003D3FDC"/>
    <w:rsid w:val="003D4025"/>
    <w:rsid w:val="003D453F"/>
    <w:rsid w:val="003D46C6"/>
    <w:rsid w:val="003D4737"/>
    <w:rsid w:val="003D4776"/>
    <w:rsid w:val="003D499D"/>
    <w:rsid w:val="003D4C4D"/>
    <w:rsid w:val="003D5421"/>
    <w:rsid w:val="003D5678"/>
    <w:rsid w:val="003D5976"/>
    <w:rsid w:val="003D5AA9"/>
    <w:rsid w:val="003D5DB1"/>
    <w:rsid w:val="003D60BA"/>
    <w:rsid w:val="003D645A"/>
    <w:rsid w:val="003D650C"/>
    <w:rsid w:val="003D6518"/>
    <w:rsid w:val="003D667C"/>
    <w:rsid w:val="003D67BE"/>
    <w:rsid w:val="003D6944"/>
    <w:rsid w:val="003D6EF3"/>
    <w:rsid w:val="003D7151"/>
    <w:rsid w:val="003D7273"/>
    <w:rsid w:val="003D7B88"/>
    <w:rsid w:val="003D7B91"/>
    <w:rsid w:val="003D7CF7"/>
    <w:rsid w:val="003D7DAD"/>
    <w:rsid w:val="003D7E17"/>
    <w:rsid w:val="003D7F4B"/>
    <w:rsid w:val="003E023C"/>
    <w:rsid w:val="003E0335"/>
    <w:rsid w:val="003E065B"/>
    <w:rsid w:val="003E0887"/>
    <w:rsid w:val="003E09EA"/>
    <w:rsid w:val="003E112E"/>
    <w:rsid w:val="003E1401"/>
    <w:rsid w:val="003E1577"/>
    <w:rsid w:val="003E1776"/>
    <w:rsid w:val="003E1798"/>
    <w:rsid w:val="003E1E98"/>
    <w:rsid w:val="003E1F7F"/>
    <w:rsid w:val="003E2148"/>
    <w:rsid w:val="003E2504"/>
    <w:rsid w:val="003E29D7"/>
    <w:rsid w:val="003E2AEB"/>
    <w:rsid w:val="003E3016"/>
    <w:rsid w:val="003E3284"/>
    <w:rsid w:val="003E3568"/>
    <w:rsid w:val="003E35A7"/>
    <w:rsid w:val="003E39BC"/>
    <w:rsid w:val="003E3A0C"/>
    <w:rsid w:val="003E3BB3"/>
    <w:rsid w:val="003E3E7C"/>
    <w:rsid w:val="003E432B"/>
    <w:rsid w:val="003E4529"/>
    <w:rsid w:val="003E462F"/>
    <w:rsid w:val="003E48F0"/>
    <w:rsid w:val="003E4933"/>
    <w:rsid w:val="003E4A1C"/>
    <w:rsid w:val="003E4B5E"/>
    <w:rsid w:val="003E4BD6"/>
    <w:rsid w:val="003E4E49"/>
    <w:rsid w:val="003E52A4"/>
    <w:rsid w:val="003E530A"/>
    <w:rsid w:val="003E5497"/>
    <w:rsid w:val="003E54B6"/>
    <w:rsid w:val="003E595C"/>
    <w:rsid w:val="003E5BBB"/>
    <w:rsid w:val="003E5DA5"/>
    <w:rsid w:val="003E6442"/>
    <w:rsid w:val="003E6630"/>
    <w:rsid w:val="003E69AD"/>
    <w:rsid w:val="003E7032"/>
    <w:rsid w:val="003E72EC"/>
    <w:rsid w:val="003E73E1"/>
    <w:rsid w:val="003E7425"/>
    <w:rsid w:val="003E756C"/>
    <w:rsid w:val="003E76DB"/>
    <w:rsid w:val="003E797F"/>
    <w:rsid w:val="003E7988"/>
    <w:rsid w:val="003E7B54"/>
    <w:rsid w:val="003E7CD3"/>
    <w:rsid w:val="003F001C"/>
    <w:rsid w:val="003F0310"/>
    <w:rsid w:val="003F0586"/>
    <w:rsid w:val="003F05F6"/>
    <w:rsid w:val="003F0704"/>
    <w:rsid w:val="003F09E1"/>
    <w:rsid w:val="003F0C02"/>
    <w:rsid w:val="003F0C60"/>
    <w:rsid w:val="003F0C90"/>
    <w:rsid w:val="003F0D6D"/>
    <w:rsid w:val="003F0DCC"/>
    <w:rsid w:val="003F0F82"/>
    <w:rsid w:val="003F1102"/>
    <w:rsid w:val="003F12A1"/>
    <w:rsid w:val="003F158B"/>
    <w:rsid w:val="003F1ACC"/>
    <w:rsid w:val="003F20E2"/>
    <w:rsid w:val="003F21CF"/>
    <w:rsid w:val="003F29A4"/>
    <w:rsid w:val="003F2B66"/>
    <w:rsid w:val="003F2C45"/>
    <w:rsid w:val="003F2E99"/>
    <w:rsid w:val="003F2EFF"/>
    <w:rsid w:val="003F3106"/>
    <w:rsid w:val="003F313A"/>
    <w:rsid w:val="003F32D1"/>
    <w:rsid w:val="003F3439"/>
    <w:rsid w:val="003F3619"/>
    <w:rsid w:val="003F3FC9"/>
    <w:rsid w:val="003F3FDA"/>
    <w:rsid w:val="003F419D"/>
    <w:rsid w:val="003F5505"/>
    <w:rsid w:val="003F5761"/>
    <w:rsid w:val="003F59A7"/>
    <w:rsid w:val="003F5CD8"/>
    <w:rsid w:val="003F5E29"/>
    <w:rsid w:val="003F5F2E"/>
    <w:rsid w:val="003F60AF"/>
    <w:rsid w:val="003F6224"/>
    <w:rsid w:val="003F622E"/>
    <w:rsid w:val="003F62B1"/>
    <w:rsid w:val="003F6A76"/>
    <w:rsid w:val="003F6A87"/>
    <w:rsid w:val="003F6EB5"/>
    <w:rsid w:val="003F75AA"/>
    <w:rsid w:val="003F7718"/>
    <w:rsid w:val="003F7824"/>
    <w:rsid w:val="003F7879"/>
    <w:rsid w:val="003F7F3D"/>
    <w:rsid w:val="003F7FFE"/>
    <w:rsid w:val="0040001D"/>
    <w:rsid w:val="00400197"/>
    <w:rsid w:val="004001FA"/>
    <w:rsid w:val="00400AB2"/>
    <w:rsid w:val="00400C5B"/>
    <w:rsid w:val="00400FEA"/>
    <w:rsid w:val="00401105"/>
    <w:rsid w:val="00401409"/>
    <w:rsid w:val="0040167D"/>
    <w:rsid w:val="0040187B"/>
    <w:rsid w:val="0040197C"/>
    <w:rsid w:val="004019B6"/>
    <w:rsid w:val="00401C83"/>
    <w:rsid w:val="00401DE8"/>
    <w:rsid w:val="00401EEB"/>
    <w:rsid w:val="004021D9"/>
    <w:rsid w:val="0040269C"/>
    <w:rsid w:val="00402F40"/>
    <w:rsid w:val="00403079"/>
    <w:rsid w:val="004030F5"/>
    <w:rsid w:val="0040335E"/>
    <w:rsid w:val="004037E4"/>
    <w:rsid w:val="00403838"/>
    <w:rsid w:val="004038A8"/>
    <w:rsid w:val="00403978"/>
    <w:rsid w:val="00403B4C"/>
    <w:rsid w:val="00403E6E"/>
    <w:rsid w:val="00403FBD"/>
    <w:rsid w:val="004042F8"/>
    <w:rsid w:val="00404554"/>
    <w:rsid w:val="00404C56"/>
    <w:rsid w:val="00405296"/>
    <w:rsid w:val="0040531F"/>
    <w:rsid w:val="004057D2"/>
    <w:rsid w:val="00405968"/>
    <w:rsid w:val="00405AD9"/>
    <w:rsid w:val="00406170"/>
    <w:rsid w:val="0040641C"/>
    <w:rsid w:val="004064AC"/>
    <w:rsid w:val="00406678"/>
    <w:rsid w:val="00406F19"/>
    <w:rsid w:val="0040708E"/>
    <w:rsid w:val="004072CC"/>
    <w:rsid w:val="00407428"/>
    <w:rsid w:val="004075AD"/>
    <w:rsid w:val="00407679"/>
    <w:rsid w:val="0040779F"/>
    <w:rsid w:val="00407861"/>
    <w:rsid w:val="0040795B"/>
    <w:rsid w:val="00407E64"/>
    <w:rsid w:val="00407E7E"/>
    <w:rsid w:val="004103EA"/>
    <w:rsid w:val="0041069C"/>
    <w:rsid w:val="00410783"/>
    <w:rsid w:val="004107A3"/>
    <w:rsid w:val="004107FC"/>
    <w:rsid w:val="0041097B"/>
    <w:rsid w:val="00410D6C"/>
    <w:rsid w:val="00410D6E"/>
    <w:rsid w:val="00410DFC"/>
    <w:rsid w:val="00411369"/>
    <w:rsid w:val="0041138E"/>
    <w:rsid w:val="004114F8"/>
    <w:rsid w:val="004115FF"/>
    <w:rsid w:val="00411B61"/>
    <w:rsid w:val="00411E80"/>
    <w:rsid w:val="004123D7"/>
    <w:rsid w:val="004123E9"/>
    <w:rsid w:val="00412680"/>
    <w:rsid w:val="00412757"/>
    <w:rsid w:val="00412AC9"/>
    <w:rsid w:val="00412C0D"/>
    <w:rsid w:val="00412DE1"/>
    <w:rsid w:val="00412EE0"/>
    <w:rsid w:val="004131EA"/>
    <w:rsid w:val="004137B9"/>
    <w:rsid w:val="004139AA"/>
    <w:rsid w:val="00413AA1"/>
    <w:rsid w:val="0041400C"/>
    <w:rsid w:val="0041414F"/>
    <w:rsid w:val="00414667"/>
    <w:rsid w:val="00414F52"/>
    <w:rsid w:val="00414FB6"/>
    <w:rsid w:val="00415101"/>
    <w:rsid w:val="00415268"/>
    <w:rsid w:val="00415402"/>
    <w:rsid w:val="004161DB"/>
    <w:rsid w:val="0041630B"/>
    <w:rsid w:val="00416604"/>
    <w:rsid w:val="004167C9"/>
    <w:rsid w:val="00416C6A"/>
    <w:rsid w:val="00416D35"/>
    <w:rsid w:val="00416DE7"/>
    <w:rsid w:val="00416F3F"/>
    <w:rsid w:val="004170CD"/>
    <w:rsid w:val="004171BA"/>
    <w:rsid w:val="0041755D"/>
    <w:rsid w:val="00417598"/>
    <w:rsid w:val="0041761B"/>
    <w:rsid w:val="004177C5"/>
    <w:rsid w:val="00420183"/>
    <w:rsid w:val="00420402"/>
    <w:rsid w:val="00420800"/>
    <w:rsid w:val="00420802"/>
    <w:rsid w:val="0042083D"/>
    <w:rsid w:val="0042090A"/>
    <w:rsid w:val="004209E2"/>
    <w:rsid w:val="00420E2A"/>
    <w:rsid w:val="00420F51"/>
    <w:rsid w:val="004213D6"/>
    <w:rsid w:val="00421503"/>
    <w:rsid w:val="004215CE"/>
    <w:rsid w:val="00421753"/>
    <w:rsid w:val="0042191B"/>
    <w:rsid w:val="00421955"/>
    <w:rsid w:val="00421A8F"/>
    <w:rsid w:val="00421C38"/>
    <w:rsid w:val="00421F20"/>
    <w:rsid w:val="00422334"/>
    <w:rsid w:val="00422799"/>
    <w:rsid w:val="00422949"/>
    <w:rsid w:val="00422EEF"/>
    <w:rsid w:val="00423023"/>
    <w:rsid w:val="004232B7"/>
    <w:rsid w:val="0042331F"/>
    <w:rsid w:val="00423769"/>
    <w:rsid w:val="00423A9E"/>
    <w:rsid w:val="00423B1B"/>
    <w:rsid w:val="00423EB1"/>
    <w:rsid w:val="00423F33"/>
    <w:rsid w:val="00423F5F"/>
    <w:rsid w:val="004242EA"/>
    <w:rsid w:val="00424577"/>
    <w:rsid w:val="004246E9"/>
    <w:rsid w:val="0042494D"/>
    <w:rsid w:val="00424C92"/>
    <w:rsid w:val="00424E14"/>
    <w:rsid w:val="00425229"/>
    <w:rsid w:val="00425275"/>
    <w:rsid w:val="00425577"/>
    <w:rsid w:val="004255BC"/>
    <w:rsid w:val="0042560E"/>
    <w:rsid w:val="00425755"/>
    <w:rsid w:val="00425A0B"/>
    <w:rsid w:val="00425B54"/>
    <w:rsid w:val="00425D16"/>
    <w:rsid w:val="00425E26"/>
    <w:rsid w:val="00425F2C"/>
    <w:rsid w:val="00426161"/>
    <w:rsid w:val="004263A8"/>
    <w:rsid w:val="00426560"/>
    <w:rsid w:val="004266E5"/>
    <w:rsid w:val="004267AE"/>
    <w:rsid w:val="00426885"/>
    <w:rsid w:val="0042693D"/>
    <w:rsid w:val="00427276"/>
    <w:rsid w:val="004277EC"/>
    <w:rsid w:val="004279D6"/>
    <w:rsid w:val="00427EB7"/>
    <w:rsid w:val="00430208"/>
    <w:rsid w:val="004306AF"/>
    <w:rsid w:val="00430734"/>
    <w:rsid w:val="004307E7"/>
    <w:rsid w:val="0043085B"/>
    <w:rsid w:val="004308A4"/>
    <w:rsid w:val="00430A21"/>
    <w:rsid w:val="00430BC8"/>
    <w:rsid w:val="00430C4E"/>
    <w:rsid w:val="00430D9F"/>
    <w:rsid w:val="00430EDB"/>
    <w:rsid w:val="00430F28"/>
    <w:rsid w:val="004314FD"/>
    <w:rsid w:val="00431615"/>
    <w:rsid w:val="00431A60"/>
    <w:rsid w:val="00431BB1"/>
    <w:rsid w:val="00431C07"/>
    <w:rsid w:val="00431CC9"/>
    <w:rsid w:val="00431D96"/>
    <w:rsid w:val="00431EC7"/>
    <w:rsid w:val="0043201D"/>
    <w:rsid w:val="0043214A"/>
    <w:rsid w:val="00432595"/>
    <w:rsid w:val="00432672"/>
    <w:rsid w:val="00432AB0"/>
    <w:rsid w:val="00432AC4"/>
    <w:rsid w:val="00432C47"/>
    <w:rsid w:val="00433310"/>
    <w:rsid w:val="00433392"/>
    <w:rsid w:val="00433398"/>
    <w:rsid w:val="0043369A"/>
    <w:rsid w:val="004339B8"/>
    <w:rsid w:val="00433C3D"/>
    <w:rsid w:val="00433D61"/>
    <w:rsid w:val="00433FA9"/>
    <w:rsid w:val="004342DF"/>
    <w:rsid w:val="00434931"/>
    <w:rsid w:val="00434BDF"/>
    <w:rsid w:val="00434EEB"/>
    <w:rsid w:val="00435002"/>
    <w:rsid w:val="00435065"/>
    <w:rsid w:val="004350E8"/>
    <w:rsid w:val="00435235"/>
    <w:rsid w:val="004354B5"/>
    <w:rsid w:val="00435662"/>
    <w:rsid w:val="00435844"/>
    <w:rsid w:val="004359DE"/>
    <w:rsid w:val="00435BFB"/>
    <w:rsid w:val="00435C0E"/>
    <w:rsid w:val="00435D34"/>
    <w:rsid w:val="00435E1A"/>
    <w:rsid w:val="00436093"/>
    <w:rsid w:val="0043645E"/>
    <w:rsid w:val="00436471"/>
    <w:rsid w:val="00436813"/>
    <w:rsid w:val="00436A69"/>
    <w:rsid w:val="00436B6C"/>
    <w:rsid w:val="00436BB6"/>
    <w:rsid w:val="00436F1F"/>
    <w:rsid w:val="00436F79"/>
    <w:rsid w:val="00436FC2"/>
    <w:rsid w:val="00436FC6"/>
    <w:rsid w:val="00436FC9"/>
    <w:rsid w:val="0043701F"/>
    <w:rsid w:val="004371E4"/>
    <w:rsid w:val="00437302"/>
    <w:rsid w:val="004374F3"/>
    <w:rsid w:val="004376F1"/>
    <w:rsid w:val="0043781F"/>
    <w:rsid w:val="00437EC5"/>
    <w:rsid w:val="004400AF"/>
    <w:rsid w:val="00440211"/>
    <w:rsid w:val="004402DD"/>
    <w:rsid w:val="0044040A"/>
    <w:rsid w:val="004408A3"/>
    <w:rsid w:val="00440C62"/>
    <w:rsid w:val="00440E6B"/>
    <w:rsid w:val="00440E72"/>
    <w:rsid w:val="00440FBA"/>
    <w:rsid w:val="00441397"/>
    <w:rsid w:val="00441D96"/>
    <w:rsid w:val="00441FEF"/>
    <w:rsid w:val="004424F4"/>
    <w:rsid w:val="004428F5"/>
    <w:rsid w:val="00442B05"/>
    <w:rsid w:val="00442C12"/>
    <w:rsid w:val="004430ED"/>
    <w:rsid w:val="004443B8"/>
    <w:rsid w:val="0044481A"/>
    <w:rsid w:val="00444A38"/>
    <w:rsid w:val="00444B85"/>
    <w:rsid w:val="00444CD2"/>
    <w:rsid w:val="00444EC1"/>
    <w:rsid w:val="00444F01"/>
    <w:rsid w:val="004450F7"/>
    <w:rsid w:val="00445504"/>
    <w:rsid w:val="004457C7"/>
    <w:rsid w:val="004458A3"/>
    <w:rsid w:val="00445B5B"/>
    <w:rsid w:val="0044608A"/>
    <w:rsid w:val="0044626F"/>
    <w:rsid w:val="00446272"/>
    <w:rsid w:val="0044642B"/>
    <w:rsid w:val="00446532"/>
    <w:rsid w:val="0044667A"/>
    <w:rsid w:val="004466D1"/>
    <w:rsid w:val="0044677E"/>
    <w:rsid w:val="004468FD"/>
    <w:rsid w:val="00446B49"/>
    <w:rsid w:val="00446D6E"/>
    <w:rsid w:val="00446E12"/>
    <w:rsid w:val="00446E16"/>
    <w:rsid w:val="00446F67"/>
    <w:rsid w:val="00447032"/>
    <w:rsid w:val="00447272"/>
    <w:rsid w:val="004475AC"/>
    <w:rsid w:val="00447CC2"/>
    <w:rsid w:val="00447FA0"/>
    <w:rsid w:val="004501F8"/>
    <w:rsid w:val="00450251"/>
    <w:rsid w:val="004506CF"/>
    <w:rsid w:val="004507EE"/>
    <w:rsid w:val="0045080A"/>
    <w:rsid w:val="00450B4D"/>
    <w:rsid w:val="00450B7E"/>
    <w:rsid w:val="00450BCD"/>
    <w:rsid w:val="00450C52"/>
    <w:rsid w:val="00450DBC"/>
    <w:rsid w:val="00450E5C"/>
    <w:rsid w:val="004510C4"/>
    <w:rsid w:val="0045119C"/>
    <w:rsid w:val="00451358"/>
    <w:rsid w:val="0045177D"/>
    <w:rsid w:val="00451FCD"/>
    <w:rsid w:val="004521DA"/>
    <w:rsid w:val="0045220D"/>
    <w:rsid w:val="00452324"/>
    <w:rsid w:val="00452733"/>
    <w:rsid w:val="004529CE"/>
    <w:rsid w:val="004529D3"/>
    <w:rsid w:val="00452C15"/>
    <w:rsid w:val="0045310E"/>
    <w:rsid w:val="004534B0"/>
    <w:rsid w:val="004534CB"/>
    <w:rsid w:val="0045367D"/>
    <w:rsid w:val="0045367E"/>
    <w:rsid w:val="00453A8A"/>
    <w:rsid w:val="00453FD8"/>
    <w:rsid w:val="00454228"/>
    <w:rsid w:val="00454694"/>
    <w:rsid w:val="004546C9"/>
    <w:rsid w:val="0045475A"/>
    <w:rsid w:val="004547E3"/>
    <w:rsid w:val="004549C9"/>
    <w:rsid w:val="00454ABE"/>
    <w:rsid w:val="00454B32"/>
    <w:rsid w:val="00454D00"/>
    <w:rsid w:val="00454D03"/>
    <w:rsid w:val="00454D57"/>
    <w:rsid w:val="0045510A"/>
    <w:rsid w:val="0045556D"/>
    <w:rsid w:val="0045575C"/>
    <w:rsid w:val="00455A17"/>
    <w:rsid w:val="0045607A"/>
    <w:rsid w:val="004562AD"/>
    <w:rsid w:val="004564DC"/>
    <w:rsid w:val="00456891"/>
    <w:rsid w:val="00456CC7"/>
    <w:rsid w:val="00456D56"/>
    <w:rsid w:val="004570FA"/>
    <w:rsid w:val="00457322"/>
    <w:rsid w:val="0045746A"/>
    <w:rsid w:val="00457980"/>
    <w:rsid w:val="00457C61"/>
    <w:rsid w:val="00457CF8"/>
    <w:rsid w:val="00457E2E"/>
    <w:rsid w:val="00457E74"/>
    <w:rsid w:val="00457FE3"/>
    <w:rsid w:val="00460084"/>
    <w:rsid w:val="00460138"/>
    <w:rsid w:val="004603F0"/>
    <w:rsid w:val="0046110A"/>
    <w:rsid w:val="004612B9"/>
    <w:rsid w:val="00461703"/>
    <w:rsid w:val="00461AB2"/>
    <w:rsid w:val="00461EA0"/>
    <w:rsid w:val="0046206E"/>
    <w:rsid w:val="004621F4"/>
    <w:rsid w:val="00462238"/>
    <w:rsid w:val="004623FE"/>
    <w:rsid w:val="004624B0"/>
    <w:rsid w:val="004624B8"/>
    <w:rsid w:val="004625A1"/>
    <w:rsid w:val="004625BC"/>
    <w:rsid w:val="004626FA"/>
    <w:rsid w:val="00462815"/>
    <w:rsid w:val="00462C6E"/>
    <w:rsid w:val="00462D42"/>
    <w:rsid w:val="00462D7D"/>
    <w:rsid w:val="00462DFF"/>
    <w:rsid w:val="00462F25"/>
    <w:rsid w:val="00463105"/>
    <w:rsid w:val="00463269"/>
    <w:rsid w:val="00463331"/>
    <w:rsid w:val="0046359C"/>
    <w:rsid w:val="004637BE"/>
    <w:rsid w:val="00463B99"/>
    <w:rsid w:val="00463CD5"/>
    <w:rsid w:val="00463DFE"/>
    <w:rsid w:val="00463E6B"/>
    <w:rsid w:val="00463E8B"/>
    <w:rsid w:val="00463EFE"/>
    <w:rsid w:val="00463FD8"/>
    <w:rsid w:val="00464142"/>
    <w:rsid w:val="004649E0"/>
    <w:rsid w:val="00465036"/>
    <w:rsid w:val="00465149"/>
    <w:rsid w:val="00465658"/>
    <w:rsid w:val="0046572F"/>
    <w:rsid w:val="00465A15"/>
    <w:rsid w:val="00465ADA"/>
    <w:rsid w:val="00465AF0"/>
    <w:rsid w:val="00465D53"/>
    <w:rsid w:val="00465F10"/>
    <w:rsid w:val="004663C6"/>
    <w:rsid w:val="00466679"/>
    <w:rsid w:val="00466F7E"/>
    <w:rsid w:val="00467048"/>
    <w:rsid w:val="00467398"/>
    <w:rsid w:val="00467606"/>
    <w:rsid w:val="004676FF"/>
    <w:rsid w:val="004679D8"/>
    <w:rsid w:val="00467B32"/>
    <w:rsid w:val="00467E2E"/>
    <w:rsid w:val="0047014C"/>
    <w:rsid w:val="00470293"/>
    <w:rsid w:val="0047036B"/>
    <w:rsid w:val="0047064F"/>
    <w:rsid w:val="00470ACC"/>
    <w:rsid w:val="00470D07"/>
    <w:rsid w:val="00470D26"/>
    <w:rsid w:val="00470DEC"/>
    <w:rsid w:val="00470E98"/>
    <w:rsid w:val="00470EC1"/>
    <w:rsid w:val="00470F11"/>
    <w:rsid w:val="00470FBE"/>
    <w:rsid w:val="004711B2"/>
    <w:rsid w:val="00471205"/>
    <w:rsid w:val="0047136B"/>
    <w:rsid w:val="00471814"/>
    <w:rsid w:val="00471EB8"/>
    <w:rsid w:val="00472810"/>
    <w:rsid w:val="004730F0"/>
    <w:rsid w:val="004732FC"/>
    <w:rsid w:val="00473318"/>
    <w:rsid w:val="00473591"/>
    <w:rsid w:val="004736FB"/>
    <w:rsid w:val="0047377D"/>
    <w:rsid w:val="004737DD"/>
    <w:rsid w:val="0047381B"/>
    <w:rsid w:val="00473822"/>
    <w:rsid w:val="0047384D"/>
    <w:rsid w:val="004739BB"/>
    <w:rsid w:val="00473A41"/>
    <w:rsid w:val="00473ACC"/>
    <w:rsid w:val="00473B13"/>
    <w:rsid w:val="004740A2"/>
    <w:rsid w:val="0047415C"/>
    <w:rsid w:val="004742FD"/>
    <w:rsid w:val="00474302"/>
    <w:rsid w:val="004743C2"/>
    <w:rsid w:val="0047443F"/>
    <w:rsid w:val="0047450F"/>
    <w:rsid w:val="004747DB"/>
    <w:rsid w:val="00474F94"/>
    <w:rsid w:val="004753B5"/>
    <w:rsid w:val="00475DB6"/>
    <w:rsid w:val="0047609C"/>
    <w:rsid w:val="00476296"/>
    <w:rsid w:val="004762AD"/>
    <w:rsid w:val="0047634F"/>
    <w:rsid w:val="00476C43"/>
    <w:rsid w:val="00476C53"/>
    <w:rsid w:val="00476F99"/>
    <w:rsid w:val="00476FEF"/>
    <w:rsid w:val="004779F9"/>
    <w:rsid w:val="004802A6"/>
    <w:rsid w:val="00480390"/>
    <w:rsid w:val="00480B77"/>
    <w:rsid w:val="00480D68"/>
    <w:rsid w:val="00480F22"/>
    <w:rsid w:val="004810B4"/>
    <w:rsid w:val="00481105"/>
    <w:rsid w:val="0048120A"/>
    <w:rsid w:val="00481457"/>
    <w:rsid w:val="0048160B"/>
    <w:rsid w:val="00481624"/>
    <w:rsid w:val="004816E1"/>
    <w:rsid w:val="004817CC"/>
    <w:rsid w:val="00481DBB"/>
    <w:rsid w:val="00481F43"/>
    <w:rsid w:val="004825E9"/>
    <w:rsid w:val="0048260D"/>
    <w:rsid w:val="00482CEE"/>
    <w:rsid w:val="00482D52"/>
    <w:rsid w:val="00482D77"/>
    <w:rsid w:val="00482DC6"/>
    <w:rsid w:val="00482EAA"/>
    <w:rsid w:val="00482FDC"/>
    <w:rsid w:val="00483014"/>
    <w:rsid w:val="00483380"/>
    <w:rsid w:val="00483D31"/>
    <w:rsid w:val="00483D95"/>
    <w:rsid w:val="00483DD0"/>
    <w:rsid w:val="00483F08"/>
    <w:rsid w:val="00483F83"/>
    <w:rsid w:val="00484185"/>
    <w:rsid w:val="00484785"/>
    <w:rsid w:val="004848ED"/>
    <w:rsid w:val="00484935"/>
    <w:rsid w:val="00485445"/>
    <w:rsid w:val="00485466"/>
    <w:rsid w:val="00485603"/>
    <w:rsid w:val="004857EF"/>
    <w:rsid w:val="004858FA"/>
    <w:rsid w:val="00485970"/>
    <w:rsid w:val="00485A21"/>
    <w:rsid w:val="00485B94"/>
    <w:rsid w:val="0048602E"/>
    <w:rsid w:val="00486352"/>
    <w:rsid w:val="00486821"/>
    <w:rsid w:val="00486930"/>
    <w:rsid w:val="00486DC8"/>
    <w:rsid w:val="00487326"/>
    <w:rsid w:val="00487577"/>
    <w:rsid w:val="004875F4"/>
    <w:rsid w:val="00487686"/>
    <w:rsid w:val="004878C4"/>
    <w:rsid w:val="00487B0A"/>
    <w:rsid w:val="00487D9E"/>
    <w:rsid w:val="00487F6B"/>
    <w:rsid w:val="00490027"/>
    <w:rsid w:val="004901F9"/>
    <w:rsid w:val="0049039E"/>
    <w:rsid w:val="004905A0"/>
    <w:rsid w:val="00490699"/>
    <w:rsid w:val="004906C6"/>
    <w:rsid w:val="00490866"/>
    <w:rsid w:val="00490A43"/>
    <w:rsid w:val="00490B4D"/>
    <w:rsid w:val="00490FB1"/>
    <w:rsid w:val="00491035"/>
    <w:rsid w:val="004910C7"/>
    <w:rsid w:val="00491160"/>
    <w:rsid w:val="0049122E"/>
    <w:rsid w:val="004913B9"/>
    <w:rsid w:val="004916E0"/>
    <w:rsid w:val="00491840"/>
    <w:rsid w:val="00491B53"/>
    <w:rsid w:val="004921D8"/>
    <w:rsid w:val="00492435"/>
    <w:rsid w:val="00492EAF"/>
    <w:rsid w:val="00492F04"/>
    <w:rsid w:val="00493044"/>
    <w:rsid w:val="00493244"/>
    <w:rsid w:val="004933B0"/>
    <w:rsid w:val="004933CD"/>
    <w:rsid w:val="0049368F"/>
    <w:rsid w:val="00493699"/>
    <w:rsid w:val="004938B4"/>
    <w:rsid w:val="00493E2D"/>
    <w:rsid w:val="00494136"/>
    <w:rsid w:val="0049423D"/>
    <w:rsid w:val="004942BE"/>
    <w:rsid w:val="004946A1"/>
    <w:rsid w:val="0049494F"/>
    <w:rsid w:val="00494967"/>
    <w:rsid w:val="00494EC7"/>
    <w:rsid w:val="00495012"/>
    <w:rsid w:val="004956EA"/>
    <w:rsid w:val="00495D8F"/>
    <w:rsid w:val="00495DAA"/>
    <w:rsid w:val="00495E4D"/>
    <w:rsid w:val="00495FB8"/>
    <w:rsid w:val="0049603E"/>
    <w:rsid w:val="00496168"/>
    <w:rsid w:val="0049641F"/>
    <w:rsid w:val="004967EF"/>
    <w:rsid w:val="004969F8"/>
    <w:rsid w:val="00496A9D"/>
    <w:rsid w:val="00496AE7"/>
    <w:rsid w:val="00496CED"/>
    <w:rsid w:val="00496D02"/>
    <w:rsid w:val="00496E84"/>
    <w:rsid w:val="00496EA6"/>
    <w:rsid w:val="0049763B"/>
    <w:rsid w:val="0049775A"/>
    <w:rsid w:val="0049775D"/>
    <w:rsid w:val="004977F2"/>
    <w:rsid w:val="00497927"/>
    <w:rsid w:val="00497E3E"/>
    <w:rsid w:val="00497E9E"/>
    <w:rsid w:val="004A0360"/>
    <w:rsid w:val="004A043F"/>
    <w:rsid w:val="004A0458"/>
    <w:rsid w:val="004A052B"/>
    <w:rsid w:val="004A0C8D"/>
    <w:rsid w:val="004A0CC9"/>
    <w:rsid w:val="004A0CF5"/>
    <w:rsid w:val="004A0D1A"/>
    <w:rsid w:val="004A0F53"/>
    <w:rsid w:val="004A1003"/>
    <w:rsid w:val="004A1081"/>
    <w:rsid w:val="004A1352"/>
    <w:rsid w:val="004A153C"/>
    <w:rsid w:val="004A173A"/>
    <w:rsid w:val="004A1851"/>
    <w:rsid w:val="004A1EA7"/>
    <w:rsid w:val="004A1F2F"/>
    <w:rsid w:val="004A21A8"/>
    <w:rsid w:val="004A21F7"/>
    <w:rsid w:val="004A2B2C"/>
    <w:rsid w:val="004A2D59"/>
    <w:rsid w:val="004A3779"/>
    <w:rsid w:val="004A4149"/>
    <w:rsid w:val="004A43B0"/>
    <w:rsid w:val="004A4565"/>
    <w:rsid w:val="004A4690"/>
    <w:rsid w:val="004A4822"/>
    <w:rsid w:val="004A4B5A"/>
    <w:rsid w:val="004A4C1E"/>
    <w:rsid w:val="004A4CA7"/>
    <w:rsid w:val="004A5473"/>
    <w:rsid w:val="004A597B"/>
    <w:rsid w:val="004A5A08"/>
    <w:rsid w:val="004A5F61"/>
    <w:rsid w:val="004A60F7"/>
    <w:rsid w:val="004A612F"/>
    <w:rsid w:val="004A6186"/>
    <w:rsid w:val="004A64A2"/>
    <w:rsid w:val="004A6974"/>
    <w:rsid w:val="004A6D98"/>
    <w:rsid w:val="004A6D9A"/>
    <w:rsid w:val="004A71CD"/>
    <w:rsid w:val="004A73A0"/>
    <w:rsid w:val="004A749B"/>
    <w:rsid w:val="004A7512"/>
    <w:rsid w:val="004A7600"/>
    <w:rsid w:val="004A7705"/>
    <w:rsid w:val="004A7A1B"/>
    <w:rsid w:val="004A7A43"/>
    <w:rsid w:val="004A7CD9"/>
    <w:rsid w:val="004A7D9F"/>
    <w:rsid w:val="004A7E9A"/>
    <w:rsid w:val="004B00F3"/>
    <w:rsid w:val="004B011F"/>
    <w:rsid w:val="004B029F"/>
    <w:rsid w:val="004B02D8"/>
    <w:rsid w:val="004B0423"/>
    <w:rsid w:val="004B0499"/>
    <w:rsid w:val="004B057B"/>
    <w:rsid w:val="004B0753"/>
    <w:rsid w:val="004B07F9"/>
    <w:rsid w:val="004B0B1A"/>
    <w:rsid w:val="004B0D82"/>
    <w:rsid w:val="004B141C"/>
    <w:rsid w:val="004B15C7"/>
    <w:rsid w:val="004B1798"/>
    <w:rsid w:val="004B1D45"/>
    <w:rsid w:val="004B1F11"/>
    <w:rsid w:val="004B2339"/>
    <w:rsid w:val="004B2534"/>
    <w:rsid w:val="004B25F5"/>
    <w:rsid w:val="004B276A"/>
    <w:rsid w:val="004B2858"/>
    <w:rsid w:val="004B29EA"/>
    <w:rsid w:val="004B2D57"/>
    <w:rsid w:val="004B2E32"/>
    <w:rsid w:val="004B35C3"/>
    <w:rsid w:val="004B37A6"/>
    <w:rsid w:val="004B3A90"/>
    <w:rsid w:val="004B3E8F"/>
    <w:rsid w:val="004B44C5"/>
    <w:rsid w:val="004B44D9"/>
    <w:rsid w:val="004B4500"/>
    <w:rsid w:val="004B4757"/>
    <w:rsid w:val="004B4CDB"/>
    <w:rsid w:val="004B537E"/>
    <w:rsid w:val="004B550A"/>
    <w:rsid w:val="004B5685"/>
    <w:rsid w:val="004B5B31"/>
    <w:rsid w:val="004B5C96"/>
    <w:rsid w:val="004B5D39"/>
    <w:rsid w:val="004B5DFE"/>
    <w:rsid w:val="004B5F32"/>
    <w:rsid w:val="004B6698"/>
    <w:rsid w:val="004B6C0F"/>
    <w:rsid w:val="004B6CF6"/>
    <w:rsid w:val="004B6DD0"/>
    <w:rsid w:val="004B7B4C"/>
    <w:rsid w:val="004B7CFE"/>
    <w:rsid w:val="004C0256"/>
    <w:rsid w:val="004C0380"/>
    <w:rsid w:val="004C0928"/>
    <w:rsid w:val="004C0D99"/>
    <w:rsid w:val="004C139D"/>
    <w:rsid w:val="004C140E"/>
    <w:rsid w:val="004C146F"/>
    <w:rsid w:val="004C1778"/>
    <w:rsid w:val="004C1A87"/>
    <w:rsid w:val="004C1B91"/>
    <w:rsid w:val="004C219F"/>
    <w:rsid w:val="004C23FE"/>
    <w:rsid w:val="004C2422"/>
    <w:rsid w:val="004C2446"/>
    <w:rsid w:val="004C2589"/>
    <w:rsid w:val="004C286D"/>
    <w:rsid w:val="004C2A24"/>
    <w:rsid w:val="004C2D3F"/>
    <w:rsid w:val="004C3061"/>
    <w:rsid w:val="004C3256"/>
    <w:rsid w:val="004C3456"/>
    <w:rsid w:val="004C3ADD"/>
    <w:rsid w:val="004C3E36"/>
    <w:rsid w:val="004C3E8A"/>
    <w:rsid w:val="004C3F50"/>
    <w:rsid w:val="004C3F5A"/>
    <w:rsid w:val="004C4053"/>
    <w:rsid w:val="004C4480"/>
    <w:rsid w:val="004C47B2"/>
    <w:rsid w:val="004C48E1"/>
    <w:rsid w:val="004C4AF7"/>
    <w:rsid w:val="004C4F6E"/>
    <w:rsid w:val="004C4F71"/>
    <w:rsid w:val="004C509B"/>
    <w:rsid w:val="004C50ED"/>
    <w:rsid w:val="004C543D"/>
    <w:rsid w:val="004C5593"/>
    <w:rsid w:val="004C599C"/>
    <w:rsid w:val="004C5B33"/>
    <w:rsid w:val="004C5CD7"/>
    <w:rsid w:val="004C5E4D"/>
    <w:rsid w:val="004C6399"/>
    <w:rsid w:val="004C673E"/>
    <w:rsid w:val="004C6908"/>
    <w:rsid w:val="004C6CE2"/>
    <w:rsid w:val="004C702A"/>
    <w:rsid w:val="004C7108"/>
    <w:rsid w:val="004C7435"/>
    <w:rsid w:val="004C75BE"/>
    <w:rsid w:val="004C75DB"/>
    <w:rsid w:val="004C76F0"/>
    <w:rsid w:val="004D0216"/>
    <w:rsid w:val="004D0696"/>
    <w:rsid w:val="004D071D"/>
    <w:rsid w:val="004D0B15"/>
    <w:rsid w:val="004D0B79"/>
    <w:rsid w:val="004D0D31"/>
    <w:rsid w:val="004D0F5E"/>
    <w:rsid w:val="004D1043"/>
    <w:rsid w:val="004D116F"/>
    <w:rsid w:val="004D1437"/>
    <w:rsid w:val="004D1598"/>
    <w:rsid w:val="004D1770"/>
    <w:rsid w:val="004D19EC"/>
    <w:rsid w:val="004D1A47"/>
    <w:rsid w:val="004D1D71"/>
    <w:rsid w:val="004D1F05"/>
    <w:rsid w:val="004D229A"/>
    <w:rsid w:val="004D2A3D"/>
    <w:rsid w:val="004D2B46"/>
    <w:rsid w:val="004D2CB2"/>
    <w:rsid w:val="004D30C3"/>
    <w:rsid w:val="004D30F6"/>
    <w:rsid w:val="004D3328"/>
    <w:rsid w:val="004D352D"/>
    <w:rsid w:val="004D37FD"/>
    <w:rsid w:val="004D3EAA"/>
    <w:rsid w:val="004D3ED3"/>
    <w:rsid w:val="004D3FA5"/>
    <w:rsid w:val="004D3FE2"/>
    <w:rsid w:val="004D3FE6"/>
    <w:rsid w:val="004D4089"/>
    <w:rsid w:val="004D44D3"/>
    <w:rsid w:val="004D451C"/>
    <w:rsid w:val="004D45EF"/>
    <w:rsid w:val="004D47AA"/>
    <w:rsid w:val="004D4890"/>
    <w:rsid w:val="004D48C4"/>
    <w:rsid w:val="004D4A0F"/>
    <w:rsid w:val="004D4A7A"/>
    <w:rsid w:val="004D4D48"/>
    <w:rsid w:val="004D4DED"/>
    <w:rsid w:val="004D4E73"/>
    <w:rsid w:val="004D53E9"/>
    <w:rsid w:val="004D55E1"/>
    <w:rsid w:val="004D5708"/>
    <w:rsid w:val="004D5AA2"/>
    <w:rsid w:val="004D5D0B"/>
    <w:rsid w:val="004D5D75"/>
    <w:rsid w:val="004D6168"/>
    <w:rsid w:val="004D674A"/>
    <w:rsid w:val="004D6806"/>
    <w:rsid w:val="004D6884"/>
    <w:rsid w:val="004D6A5B"/>
    <w:rsid w:val="004D70F5"/>
    <w:rsid w:val="004D713A"/>
    <w:rsid w:val="004D7ACF"/>
    <w:rsid w:val="004D7B6A"/>
    <w:rsid w:val="004D7FE5"/>
    <w:rsid w:val="004E078C"/>
    <w:rsid w:val="004E093E"/>
    <w:rsid w:val="004E095A"/>
    <w:rsid w:val="004E0EB4"/>
    <w:rsid w:val="004E1232"/>
    <w:rsid w:val="004E127E"/>
    <w:rsid w:val="004E139C"/>
    <w:rsid w:val="004E14B2"/>
    <w:rsid w:val="004E1676"/>
    <w:rsid w:val="004E17EC"/>
    <w:rsid w:val="004E1CFE"/>
    <w:rsid w:val="004E1D08"/>
    <w:rsid w:val="004E1D3D"/>
    <w:rsid w:val="004E1E73"/>
    <w:rsid w:val="004E1F69"/>
    <w:rsid w:val="004E2169"/>
    <w:rsid w:val="004E21E6"/>
    <w:rsid w:val="004E238E"/>
    <w:rsid w:val="004E26FA"/>
    <w:rsid w:val="004E27D5"/>
    <w:rsid w:val="004E27D6"/>
    <w:rsid w:val="004E2A98"/>
    <w:rsid w:val="004E3282"/>
    <w:rsid w:val="004E33D4"/>
    <w:rsid w:val="004E37CF"/>
    <w:rsid w:val="004E3A99"/>
    <w:rsid w:val="004E3AFE"/>
    <w:rsid w:val="004E3D0F"/>
    <w:rsid w:val="004E3F4D"/>
    <w:rsid w:val="004E4013"/>
    <w:rsid w:val="004E467F"/>
    <w:rsid w:val="004E4AD5"/>
    <w:rsid w:val="004E4C00"/>
    <w:rsid w:val="004E4C67"/>
    <w:rsid w:val="004E50B0"/>
    <w:rsid w:val="004E5B52"/>
    <w:rsid w:val="004E5BC1"/>
    <w:rsid w:val="004E5D82"/>
    <w:rsid w:val="004E5ED2"/>
    <w:rsid w:val="004E619E"/>
    <w:rsid w:val="004E62C3"/>
    <w:rsid w:val="004E63FE"/>
    <w:rsid w:val="004E6606"/>
    <w:rsid w:val="004E6785"/>
    <w:rsid w:val="004E6A27"/>
    <w:rsid w:val="004E6EF3"/>
    <w:rsid w:val="004E6F4A"/>
    <w:rsid w:val="004E70A4"/>
    <w:rsid w:val="004E72DC"/>
    <w:rsid w:val="004E777B"/>
    <w:rsid w:val="004E7892"/>
    <w:rsid w:val="004E7B00"/>
    <w:rsid w:val="004E7B32"/>
    <w:rsid w:val="004E7DE0"/>
    <w:rsid w:val="004E7E12"/>
    <w:rsid w:val="004E7F01"/>
    <w:rsid w:val="004F002A"/>
    <w:rsid w:val="004F0178"/>
    <w:rsid w:val="004F0195"/>
    <w:rsid w:val="004F0A2A"/>
    <w:rsid w:val="004F0A6D"/>
    <w:rsid w:val="004F0DF7"/>
    <w:rsid w:val="004F1005"/>
    <w:rsid w:val="004F1078"/>
    <w:rsid w:val="004F119C"/>
    <w:rsid w:val="004F12DF"/>
    <w:rsid w:val="004F156B"/>
    <w:rsid w:val="004F1599"/>
    <w:rsid w:val="004F16CA"/>
    <w:rsid w:val="004F17A4"/>
    <w:rsid w:val="004F1B06"/>
    <w:rsid w:val="004F1EAA"/>
    <w:rsid w:val="004F1F73"/>
    <w:rsid w:val="004F2087"/>
    <w:rsid w:val="004F2284"/>
    <w:rsid w:val="004F233C"/>
    <w:rsid w:val="004F28DF"/>
    <w:rsid w:val="004F296A"/>
    <w:rsid w:val="004F2D6B"/>
    <w:rsid w:val="004F2E65"/>
    <w:rsid w:val="004F3227"/>
    <w:rsid w:val="004F324F"/>
    <w:rsid w:val="004F32E8"/>
    <w:rsid w:val="004F34AE"/>
    <w:rsid w:val="004F3542"/>
    <w:rsid w:val="004F36AD"/>
    <w:rsid w:val="004F3B03"/>
    <w:rsid w:val="004F3CAF"/>
    <w:rsid w:val="004F3F92"/>
    <w:rsid w:val="004F4160"/>
    <w:rsid w:val="004F433E"/>
    <w:rsid w:val="004F456C"/>
    <w:rsid w:val="004F46DA"/>
    <w:rsid w:val="004F478A"/>
    <w:rsid w:val="004F47B4"/>
    <w:rsid w:val="004F493D"/>
    <w:rsid w:val="004F49E2"/>
    <w:rsid w:val="004F4BD1"/>
    <w:rsid w:val="004F4E8E"/>
    <w:rsid w:val="004F4FEE"/>
    <w:rsid w:val="004F5070"/>
    <w:rsid w:val="004F5199"/>
    <w:rsid w:val="004F525D"/>
    <w:rsid w:val="004F5334"/>
    <w:rsid w:val="004F53C6"/>
    <w:rsid w:val="004F5811"/>
    <w:rsid w:val="004F5AD4"/>
    <w:rsid w:val="004F62EF"/>
    <w:rsid w:val="004F69CB"/>
    <w:rsid w:val="004F6A9A"/>
    <w:rsid w:val="004F6B85"/>
    <w:rsid w:val="004F7532"/>
    <w:rsid w:val="004F7B29"/>
    <w:rsid w:val="004F7BA9"/>
    <w:rsid w:val="004F7E8D"/>
    <w:rsid w:val="00500003"/>
    <w:rsid w:val="005001CF"/>
    <w:rsid w:val="00500309"/>
    <w:rsid w:val="005003D2"/>
    <w:rsid w:val="005006AC"/>
    <w:rsid w:val="00500C63"/>
    <w:rsid w:val="00500D4F"/>
    <w:rsid w:val="00501656"/>
    <w:rsid w:val="00501821"/>
    <w:rsid w:val="005019F9"/>
    <w:rsid w:val="005019FA"/>
    <w:rsid w:val="00501BA7"/>
    <w:rsid w:val="00501EEE"/>
    <w:rsid w:val="00501F4D"/>
    <w:rsid w:val="00502165"/>
    <w:rsid w:val="005028C7"/>
    <w:rsid w:val="005029CC"/>
    <w:rsid w:val="00502A09"/>
    <w:rsid w:val="00502F54"/>
    <w:rsid w:val="00502F6A"/>
    <w:rsid w:val="0050300D"/>
    <w:rsid w:val="00503248"/>
    <w:rsid w:val="005032E5"/>
    <w:rsid w:val="00503480"/>
    <w:rsid w:val="00503582"/>
    <w:rsid w:val="005036DD"/>
    <w:rsid w:val="005038CC"/>
    <w:rsid w:val="00503904"/>
    <w:rsid w:val="00503B57"/>
    <w:rsid w:val="00503C3D"/>
    <w:rsid w:val="00503D10"/>
    <w:rsid w:val="00503F29"/>
    <w:rsid w:val="0050411F"/>
    <w:rsid w:val="0050414F"/>
    <w:rsid w:val="005041FB"/>
    <w:rsid w:val="005042B4"/>
    <w:rsid w:val="0050441E"/>
    <w:rsid w:val="00504B86"/>
    <w:rsid w:val="00504C39"/>
    <w:rsid w:val="00504F0B"/>
    <w:rsid w:val="00504FAF"/>
    <w:rsid w:val="0050503F"/>
    <w:rsid w:val="00505080"/>
    <w:rsid w:val="005058BE"/>
    <w:rsid w:val="00505A4A"/>
    <w:rsid w:val="00505E73"/>
    <w:rsid w:val="0050602A"/>
    <w:rsid w:val="00506058"/>
    <w:rsid w:val="005060C0"/>
    <w:rsid w:val="005063BF"/>
    <w:rsid w:val="005065C0"/>
    <w:rsid w:val="0050666F"/>
    <w:rsid w:val="00506962"/>
    <w:rsid w:val="00506BD4"/>
    <w:rsid w:val="00506C44"/>
    <w:rsid w:val="00506CBB"/>
    <w:rsid w:val="005071B2"/>
    <w:rsid w:val="0050749B"/>
    <w:rsid w:val="0050751A"/>
    <w:rsid w:val="00507A76"/>
    <w:rsid w:val="005103E4"/>
    <w:rsid w:val="005105AD"/>
    <w:rsid w:val="00510995"/>
    <w:rsid w:val="00510A0D"/>
    <w:rsid w:val="00510A6C"/>
    <w:rsid w:val="00510EF8"/>
    <w:rsid w:val="00510F78"/>
    <w:rsid w:val="00511367"/>
    <w:rsid w:val="005114D8"/>
    <w:rsid w:val="00511565"/>
    <w:rsid w:val="005117FA"/>
    <w:rsid w:val="00511A48"/>
    <w:rsid w:val="00511A8F"/>
    <w:rsid w:val="00511C2B"/>
    <w:rsid w:val="00511D01"/>
    <w:rsid w:val="00511D17"/>
    <w:rsid w:val="00511DA6"/>
    <w:rsid w:val="00511E0D"/>
    <w:rsid w:val="00511E2C"/>
    <w:rsid w:val="00511F01"/>
    <w:rsid w:val="00512025"/>
    <w:rsid w:val="005121F7"/>
    <w:rsid w:val="0051288B"/>
    <w:rsid w:val="00512CA9"/>
    <w:rsid w:val="00512D5E"/>
    <w:rsid w:val="00512DDF"/>
    <w:rsid w:val="00513149"/>
    <w:rsid w:val="005131E7"/>
    <w:rsid w:val="0051337C"/>
    <w:rsid w:val="005134C4"/>
    <w:rsid w:val="0051374C"/>
    <w:rsid w:val="005138E0"/>
    <w:rsid w:val="00513C49"/>
    <w:rsid w:val="00513D63"/>
    <w:rsid w:val="00514137"/>
    <w:rsid w:val="00514285"/>
    <w:rsid w:val="005145FE"/>
    <w:rsid w:val="00514865"/>
    <w:rsid w:val="00514AEB"/>
    <w:rsid w:val="00514D0A"/>
    <w:rsid w:val="00514EBB"/>
    <w:rsid w:val="00514F93"/>
    <w:rsid w:val="00515091"/>
    <w:rsid w:val="00515260"/>
    <w:rsid w:val="00515B46"/>
    <w:rsid w:val="005163A4"/>
    <w:rsid w:val="005163F2"/>
    <w:rsid w:val="00516420"/>
    <w:rsid w:val="005166CA"/>
    <w:rsid w:val="0051679F"/>
    <w:rsid w:val="005168E3"/>
    <w:rsid w:val="005169A2"/>
    <w:rsid w:val="00516CA8"/>
    <w:rsid w:val="00516D9C"/>
    <w:rsid w:val="00516E37"/>
    <w:rsid w:val="005175B7"/>
    <w:rsid w:val="00517670"/>
    <w:rsid w:val="0051788C"/>
    <w:rsid w:val="00517B4C"/>
    <w:rsid w:val="00517C05"/>
    <w:rsid w:val="00517F04"/>
    <w:rsid w:val="005205AF"/>
    <w:rsid w:val="005208FD"/>
    <w:rsid w:val="00520AA2"/>
    <w:rsid w:val="00520C70"/>
    <w:rsid w:val="00520C8C"/>
    <w:rsid w:val="00520E2F"/>
    <w:rsid w:val="00520FBC"/>
    <w:rsid w:val="0052114C"/>
    <w:rsid w:val="0052134D"/>
    <w:rsid w:val="0052147B"/>
    <w:rsid w:val="0052153A"/>
    <w:rsid w:val="00521830"/>
    <w:rsid w:val="005218FC"/>
    <w:rsid w:val="00521A98"/>
    <w:rsid w:val="00521BEE"/>
    <w:rsid w:val="00522157"/>
    <w:rsid w:val="00522471"/>
    <w:rsid w:val="0052256F"/>
    <w:rsid w:val="005226AD"/>
    <w:rsid w:val="00522F25"/>
    <w:rsid w:val="00523532"/>
    <w:rsid w:val="00523997"/>
    <w:rsid w:val="00523AC3"/>
    <w:rsid w:val="00523D4D"/>
    <w:rsid w:val="00523DD9"/>
    <w:rsid w:val="00523E46"/>
    <w:rsid w:val="00523F6F"/>
    <w:rsid w:val="00524117"/>
    <w:rsid w:val="00524190"/>
    <w:rsid w:val="00524282"/>
    <w:rsid w:val="00524419"/>
    <w:rsid w:val="00524695"/>
    <w:rsid w:val="00524AEB"/>
    <w:rsid w:val="00524C88"/>
    <w:rsid w:val="00524D88"/>
    <w:rsid w:val="005254F9"/>
    <w:rsid w:val="00525531"/>
    <w:rsid w:val="005257B7"/>
    <w:rsid w:val="00525A79"/>
    <w:rsid w:val="00525DF5"/>
    <w:rsid w:val="005267DD"/>
    <w:rsid w:val="00526C84"/>
    <w:rsid w:val="00526D5D"/>
    <w:rsid w:val="00526FE2"/>
    <w:rsid w:val="00527072"/>
    <w:rsid w:val="005270A4"/>
    <w:rsid w:val="0052719F"/>
    <w:rsid w:val="0052738B"/>
    <w:rsid w:val="005273C4"/>
    <w:rsid w:val="005276B3"/>
    <w:rsid w:val="005276C5"/>
    <w:rsid w:val="005279B4"/>
    <w:rsid w:val="00527C40"/>
    <w:rsid w:val="00527C6A"/>
    <w:rsid w:val="00527D2B"/>
    <w:rsid w:val="00527E82"/>
    <w:rsid w:val="0053010E"/>
    <w:rsid w:val="0053056C"/>
    <w:rsid w:val="005306B8"/>
    <w:rsid w:val="0053074A"/>
    <w:rsid w:val="00530D36"/>
    <w:rsid w:val="00530E69"/>
    <w:rsid w:val="00530FB8"/>
    <w:rsid w:val="005312BB"/>
    <w:rsid w:val="00531305"/>
    <w:rsid w:val="00531585"/>
    <w:rsid w:val="00531775"/>
    <w:rsid w:val="00531F32"/>
    <w:rsid w:val="005321BC"/>
    <w:rsid w:val="005322DF"/>
    <w:rsid w:val="0053237C"/>
    <w:rsid w:val="00532698"/>
    <w:rsid w:val="0053274C"/>
    <w:rsid w:val="00532863"/>
    <w:rsid w:val="00532AD4"/>
    <w:rsid w:val="00532AD5"/>
    <w:rsid w:val="00532B7C"/>
    <w:rsid w:val="00532C14"/>
    <w:rsid w:val="00532C3A"/>
    <w:rsid w:val="00533478"/>
    <w:rsid w:val="005335F9"/>
    <w:rsid w:val="00533765"/>
    <w:rsid w:val="005338AB"/>
    <w:rsid w:val="005338E8"/>
    <w:rsid w:val="005338F2"/>
    <w:rsid w:val="005338FD"/>
    <w:rsid w:val="00533DF8"/>
    <w:rsid w:val="005345CF"/>
    <w:rsid w:val="00534D59"/>
    <w:rsid w:val="00535253"/>
    <w:rsid w:val="0053538C"/>
    <w:rsid w:val="005353FD"/>
    <w:rsid w:val="0053544D"/>
    <w:rsid w:val="0053605E"/>
    <w:rsid w:val="0053620E"/>
    <w:rsid w:val="00536366"/>
    <w:rsid w:val="005363FB"/>
    <w:rsid w:val="0053677E"/>
    <w:rsid w:val="00536835"/>
    <w:rsid w:val="00536AC7"/>
    <w:rsid w:val="00536DA6"/>
    <w:rsid w:val="00536E16"/>
    <w:rsid w:val="00536E18"/>
    <w:rsid w:val="00537563"/>
    <w:rsid w:val="005376B8"/>
    <w:rsid w:val="00537804"/>
    <w:rsid w:val="00537859"/>
    <w:rsid w:val="0054033F"/>
    <w:rsid w:val="005404E1"/>
    <w:rsid w:val="00540A34"/>
    <w:rsid w:val="00540A76"/>
    <w:rsid w:val="00540C38"/>
    <w:rsid w:val="00540E18"/>
    <w:rsid w:val="00540FB1"/>
    <w:rsid w:val="00540FCC"/>
    <w:rsid w:val="0054101A"/>
    <w:rsid w:val="00541097"/>
    <w:rsid w:val="00541151"/>
    <w:rsid w:val="00541296"/>
    <w:rsid w:val="00541709"/>
    <w:rsid w:val="00541974"/>
    <w:rsid w:val="00541F29"/>
    <w:rsid w:val="005423C6"/>
    <w:rsid w:val="005426EF"/>
    <w:rsid w:val="00542836"/>
    <w:rsid w:val="00543172"/>
    <w:rsid w:val="00543679"/>
    <w:rsid w:val="0054387E"/>
    <w:rsid w:val="00543912"/>
    <w:rsid w:val="0054394A"/>
    <w:rsid w:val="00543AC4"/>
    <w:rsid w:val="00543B04"/>
    <w:rsid w:val="00543C47"/>
    <w:rsid w:val="005440A9"/>
    <w:rsid w:val="005443A8"/>
    <w:rsid w:val="005443F1"/>
    <w:rsid w:val="00544466"/>
    <w:rsid w:val="005447EA"/>
    <w:rsid w:val="00544853"/>
    <w:rsid w:val="00544A44"/>
    <w:rsid w:val="00544E9E"/>
    <w:rsid w:val="00545119"/>
    <w:rsid w:val="00545133"/>
    <w:rsid w:val="0054513D"/>
    <w:rsid w:val="005451D2"/>
    <w:rsid w:val="0054558F"/>
    <w:rsid w:val="0054567C"/>
    <w:rsid w:val="00545874"/>
    <w:rsid w:val="005458D4"/>
    <w:rsid w:val="00545993"/>
    <w:rsid w:val="005459F3"/>
    <w:rsid w:val="00545BED"/>
    <w:rsid w:val="00545E35"/>
    <w:rsid w:val="0054606D"/>
    <w:rsid w:val="0054626E"/>
    <w:rsid w:val="005466D4"/>
    <w:rsid w:val="005467A1"/>
    <w:rsid w:val="00546844"/>
    <w:rsid w:val="0054689B"/>
    <w:rsid w:val="00546E5F"/>
    <w:rsid w:val="00546F99"/>
    <w:rsid w:val="0054745B"/>
    <w:rsid w:val="00547460"/>
    <w:rsid w:val="0054752A"/>
    <w:rsid w:val="00547D39"/>
    <w:rsid w:val="005501A0"/>
    <w:rsid w:val="0055022D"/>
    <w:rsid w:val="00550307"/>
    <w:rsid w:val="00550321"/>
    <w:rsid w:val="005509C4"/>
    <w:rsid w:val="00550C76"/>
    <w:rsid w:val="00550D7A"/>
    <w:rsid w:val="00550ED9"/>
    <w:rsid w:val="0055102E"/>
    <w:rsid w:val="005510D4"/>
    <w:rsid w:val="005514FB"/>
    <w:rsid w:val="005521BC"/>
    <w:rsid w:val="0055229C"/>
    <w:rsid w:val="0055268C"/>
    <w:rsid w:val="00552834"/>
    <w:rsid w:val="005528A9"/>
    <w:rsid w:val="005528B9"/>
    <w:rsid w:val="00552AEC"/>
    <w:rsid w:val="00552B7C"/>
    <w:rsid w:val="00552FEB"/>
    <w:rsid w:val="00553129"/>
    <w:rsid w:val="0055323C"/>
    <w:rsid w:val="005533A2"/>
    <w:rsid w:val="0055349C"/>
    <w:rsid w:val="0055382E"/>
    <w:rsid w:val="005538E0"/>
    <w:rsid w:val="00553E7F"/>
    <w:rsid w:val="00553F0F"/>
    <w:rsid w:val="0055407A"/>
    <w:rsid w:val="00554550"/>
    <w:rsid w:val="005546B9"/>
    <w:rsid w:val="00554A35"/>
    <w:rsid w:val="00554BF7"/>
    <w:rsid w:val="00554D98"/>
    <w:rsid w:val="00554F09"/>
    <w:rsid w:val="005556A7"/>
    <w:rsid w:val="00555A1C"/>
    <w:rsid w:val="00555A3B"/>
    <w:rsid w:val="00555CB2"/>
    <w:rsid w:val="00555DCD"/>
    <w:rsid w:val="00555DF9"/>
    <w:rsid w:val="00555EB6"/>
    <w:rsid w:val="00556168"/>
    <w:rsid w:val="005562EA"/>
    <w:rsid w:val="00556536"/>
    <w:rsid w:val="00556999"/>
    <w:rsid w:val="00556B4B"/>
    <w:rsid w:val="00556DF5"/>
    <w:rsid w:val="00556ECC"/>
    <w:rsid w:val="00556F89"/>
    <w:rsid w:val="00557699"/>
    <w:rsid w:val="00557738"/>
    <w:rsid w:val="0055774D"/>
    <w:rsid w:val="0055782D"/>
    <w:rsid w:val="00557C6C"/>
    <w:rsid w:val="00557CCB"/>
    <w:rsid w:val="00557D51"/>
    <w:rsid w:val="00557D9F"/>
    <w:rsid w:val="005606CA"/>
    <w:rsid w:val="00560CAE"/>
    <w:rsid w:val="00560E02"/>
    <w:rsid w:val="00560F5A"/>
    <w:rsid w:val="00560F69"/>
    <w:rsid w:val="0056102B"/>
    <w:rsid w:val="005617B0"/>
    <w:rsid w:val="005617CC"/>
    <w:rsid w:val="005618BA"/>
    <w:rsid w:val="00561B01"/>
    <w:rsid w:val="00561E64"/>
    <w:rsid w:val="00562012"/>
    <w:rsid w:val="00562224"/>
    <w:rsid w:val="00562297"/>
    <w:rsid w:val="00562431"/>
    <w:rsid w:val="00562593"/>
    <w:rsid w:val="00562E5D"/>
    <w:rsid w:val="00563102"/>
    <w:rsid w:val="00563540"/>
    <w:rsid w:val="0056369F"/>
    <w:rsid w:val="00563D8E"/>
    <w:rsid w:val="00563DDB"/>
    <w:rsid w:val="00563FAD"/>
    <w:rsid w:val="00563FEF"/>
    <w:rsid w:val="00564083"/>
    <w:rsid w:val="00564327"/>
    <w:rsid w:val="00564536"/>
    <w:rsid w:val="00564655"/>
    <w:rsid w:val="00564952"/>
    <w:rsid w:val="00564A17"/>
    <w:rsid w:val="0056565B"/>
    <w:rsid w:val="00565773"/>
    <w:rsid w:val="005657F4"/>
    <w:rsid w:val="00565A85"/>
    <w:rsid w:val="00565B69"/>
    <w:rsid w:val="00565D00"/>
    <w:rsid w:val="00565D16"/>
    <w:rsid w:val="00566151"/>
    <w:rsid w:val="005664BA"/>
    <w:rsid w:val="00566C1B"/>
    <w:rsid w:val="00566C92"/>
    <w:rsid w:val="00566E4E"/>
    <w:rsid w:val="0056725C"/>
    <w:rsid w:val="005673B7"/>
    <w:rsid w:val="00567775"/>
    <w:rsid w:val="00567EE9"/>
    <w:rsid w:val="0057011B"/>
    <w:rsid w:val="005707E3"/>
    <w:rsid w:val="00570BEA"/>
    <w:rsid w:val="00570C56"/>
    <w:rsid w:val="00570CCD"/>
    <w:rsid w:val="00570F46"/>
    <w:rsid w:val="00571053"/>
    <w:rsid w:val="0057126E"/>
    <w:rsid w:val="00571795"/>
    <w:rsid w:val="00571908"/>
    <w:rsid w:val="005719D6"/>
    <w:rsid w:val="00571A62"/>
    <w:rsid w:val="00571A7D"/>
    <w:rsid w:val="00571E92"/>
    <w:rsid w:val="00572074"/>
    <w:rsid w:val="005720DA"/>
    <w:rsid w:val="0057234E"/>
    <w:rsid w:val="00572636"/>
    <w:rsid w:val="00572B1D"/>
    <w:rsid w:val="00572B41"/>
    <w:rsid w:val="00572B5C"/>
    <w:rsid w:val="00572C92"/>
    <w:rsid w:val="00572D2B"/>
    <w:rsid w:val="00572EC2"/>
    <w:rsid w:val="00572F75"/>
    <w:rsid w:val="00573238"/>
    <w:rsid w:val="0057372D"/>
    <w:rsid w:val="0057390E"/>
    <w:rsid w:val="0057392A"/>
    <w:rsid w:val="00573B7B"/>
    <w:rsid w:val="00573DBE"/>
    <w:rsid w:val="00573F4C"/>
    <w:rsid w:val="0057541E"/>
    <w:rsid w:val="00575890"/>
    <w:rsid w:val="00575A87"/>
    <w:rsid w:val="00575AD1"/>
    <w:rsid w:val="00575AF8"/>
    <w:rsid w:val="00575C8A"/>
    <w:rsid w:val="0057619D"/>
    <w:rsid w:val="0057676F"/>
    <w:rsid w:val="00576800"/>
    <w:rsid w:val="005768E0"/>
    <w:rsid w:val="00576974"/>
    <w:rsid w:val="00576AC3"/>
    <w:rsid w:val="00576B39"/>
    <w:rsid w:val="00576D1E"/>
    <w:rsid w:val="00576D34"/>
    <w:rsid w:val="0057714A"/>
    <w:rsid w:val="005774EF"/>
    <w:rsid w:val="00577654"/>
    <w:rsid w:val="00577779"/>
    <w:rsid w:val="00577855"/>
    <w:rsid w:val="00577DB7"/>
    <w:rsid w:val="00577F11"/>
    <w:rsid w:val="0058027D"/>
    <w:rsid w:val="005802A5"/>
    <w:rsid w:val="0058050B"/>
    <w:rsid w:val="0058058B"/>
    <w:rsid w:val="005805A3"/>
    <w:rsid w:val="005808DE"/>
    <w:rsid w:val="00580D6F"/>
    <w:rsid w:val="00580D91"/>
    <w:rsid w:val="00580D9D"/>
    <w:rsid w:val="00580E28"/>
    <w:rsid w:val="00580E9F"/>
    <w:rsid w:val="00580EB6"/>
    <w:rsid w:val="00580EDE"/>
    <w:rsid w:val="0058119B"/>
    <w:rsid w:val="005815C8"/>
    <w:rsid w:val="00581CD4"/>
    <w:rsid w:val="00581D99"/>
    <w:rsid w:val="00582109"/>
    <w:rsid w:val="005821D2"/>
    <w:rsid w:val="005823BA"/>
    <w:rsid w:val="00582465"/>
    <w:rsid w:val="00582652"/>
    <w:rsid w:val="00582929"/>
    <w:rsid w:val="00582AF0"/>
    <w:rsid w:val="00582B40"/>
    <w:rsid w:val="00582FA1"/>
    <w:rsid w:val="00582FEB"/>
    <w:rsid w:val="00582FF2"/>
    <w:rsid w:val="0058342D"/>
    <w:rsid w:val="00583700"/>
    <w:rsid w:val="00583729"/>
    <w:rsid w:val="00583BF0"/>
    <w:rsid w:val="00583C35"/>
    <w:rsid w:val="00584613"/>
    <w:rsid w:val="0058466D"/>
    <w:rsid w:val="00584B15"/>
    <w:rsid w:val="00584D98"/>
    <w:rsid w:val="00584DDE"/>
    <w:rsid w:val="00584E76"/>
    <w:rsid w:val="0058571A"/>
    <w:rsid w:val="00585A52"/>
    <w:rsid w:val="00585AFC"/>
    <w:rsid w:val="00585C02"/>
    <w:rsid w:val="00585CFC"/>
    <w:rsid w:val="00585FFD"/>
    <w:rsid w:val="0058610A"/>
    <w:rsid w:val="005865F0"/>
    <w:rsid w:val="0058661C"/>
    <w:rsid w:val="0058693B"/>
    <w:rsid w:val="00586B4E"/>
    <w:rsid w:val="00586B95"/>
    <w:rsid w:val="00586D83"/>
    <w:rsid w:val="0058741A"/>
    <w:rsid w:val="0058749D"/>
    <w:rsid w:val="005874AE"/>
    <w:rsid w:val="00587501"/>
    <w:rsid w:val="00587566"/>
    <w:rsid w:val="00587D7D"/>
    <w:rsid w:val="0059063A"/>
    <w:rsid w:val="005906AF"/>
    <w:rsid w:val="00590C4A"/>
    <w:rsid w:val="00591137"/>
    <w:rsid w:val="00591320"/>
    <w:rsid w:val="0059161E"/>
    <w:rsid w:val="005916E6"/>
    <w:rsid w:val="0059170C"/>
    <w:rsid w:val="00591C33"/>
    <w:rsid w:val="0059250B"/>
    <w:rsid w:val="00592813"/>
    <w:rsid w:val="00592B2B"/>
    <w:rsid w:val="00592C28"/>
    <w:rsid w:val="0059351F"/>
    <w:rsid w:val="0059365A"/>
    <w:rsid w:val="0059378D"/>
    <w:rsid w:val="005938C9"/>
    <w:rsid w:val="00593E37"/>
    <w:rsid w:val="005940F2"/>
    <w:rsid w:val="00594140"/>
    <w:rsid w:val="005943F8"/>
    <w:rsid w:val="00594409"/>
    <w:rsid w:val="00594436"/>
    <w:rsid w:val="00594504"/>
    <w:rsid w:val="00594609"/>
    <w:rsid w:val="005947D2"/>
    <w:rsid w:val="0059480A"/>
    <w:rsid w:val="0059493B"/>
    <w:rsid w:val="00594AA9"/>
    <w:rsid w:val="00594B69"/>
    <w:rsid w:val="005950AE"/>
    <w:rsid w:val="00595206"/>
    <w:rsid w:val="00595864"/>
    <w:rsid w:val="00595BC4"/>
    <w:rsid w:val="00595C04"/>
    <w:rsid w:val="00595C27"/>
    <w:rsid w:val="005960A2"/>
    <w:rsid w:val="0059634E"/>
    <w:rsid w:val="005963BE"/>
    <w:rsid w:val="0059652E"/>
    <w:rsid w:val="00596546"/>
    <w:rsid w:val="005968B9"/>
    <w:rsid w:val="00596ADA"/>
    <w:rsid w:val="00596CB2"/>
    <w:rsid w:val="00597135"/>
    <w:rsid w:val="00597223"/>
    <w:rsid w:val="00597272"/>
    <w:rsid w:val="0059772F"/>
    <w:rsid w:val="00597787"/>
    <w:rsid w:val="0059795E"/>
    <w:rsid w:val="00597A2F"/>
    <w:rsid w:val="00597AD8"/>
    <w:rsid w:val="005A0258"/>
    <w:rsid w:val="005A02A6"/>
    <w:rsid w:val="005A0650"/>
    <w:rsid w:val="005A065C"/>
    <w:rsid w:val="005A0986"/>
    <w:rsid w:val="005A0C6D"/>
    <w:rsid w:val="005A0EFF"/>
    <w:rsid w:val="005A0F41"/>
    <w:rsid w:val="005A11BD"/>
    <w:rsid w:val="005A1213"/>
    <w:rsid w:val="005A1252"/>
    <w:rsid w:val="005A12BF"/>
    <w:rsid w:val="005A153E"/>
    <w:rsid w:val="005A16F5"/>
    <w:rsid w:val="005A1A23"/>
    <w:rsid w:val="005A1B66"/>
    <w:rsid w:val="005A1BBE"/>
    <w:rsid w:val="005A1CCF"/>
    <w:rsid w:val="005A1EC3"/>
    <w:rsid w:val="005A21D5"/>
    <w:rsid w:val="005A260F"/>
    <w:rsid w:val="005A2A0F"/>
    <w:rsid w:val="005A2FBC"/>
    <w:rsid w:val="005A3230"/>
    <w:rsid w:val="005A3738"/>
    <w:rsid w:val="005A3B57"/>
    <w:rsid w:val="005A3B61"/>
    <w:rsid w:val="005A423A"/>
    <w:rsid w:val="005A441F"/>
    <w:rsid w:val="005A4999"/>
    <w:rsid w:val="005A4A60"/>
    <w:rsid w:val="005A4ABA"/>
    <w:rsid w:val="005A4B67"/>
    <w:rsid w:val="005A4BDF"/>
    <w:rsid w:val="005A4FC0"/>
    <w:rsid w:val="005A50EB"/>
    <w:rsid w:val="005A5122"/>
    <w:rsid w:val="005A578E"/>
    <w:rsid w:val="005A5793"/>
    <w:rsid w:val="005A5A8E"/>
    <w:rsid w:val="005A5B6F"/>
    <w:rsid w:val="005A5FEC"/>
    <w:rsid w:val="005A609A"/>
    <w:rsid w:val="005A6141"/>
    <w:rsid w:val="005A61F5"/>
    <w:rsid w:val="005A636A"/>
    <w:rsid w:val="005A6381"/>
    <w:rsid w:val="005A680E"/>
    <w:rsid w:val="005A6A28"/>
    <w:rsid w:val="005A6D10"/>
    <w:rsid w:val="005A6E1A"/>
    <w:rsid w:val="005A7377"/>
    <w:rsid w:val="005A769D"/>
    <w:rsid w:val="005A790F"/>
    <w:rsid w:val="005A79E0"/>
    <w:rsid w:val="005A7BBD"/>
    <w:rsid w:val="005A7C9F"/>
    <w:rsid w:val="005A7D03"/>
    <w:rsid w:val="005A7E1E"/>
    <w:rsid w:val="005B00CE"/>
    <w:rsid w:val="005B0316"/>
    <w:rsid w:val="005B03FA"/>
    <w:rsid w:val="005B044B"/>
    <w:rsid w:val="005B0547"/>
    <w:rsid w:val="005B078C"/>
    <w:rsid w:val="005B0C2B"/>
    <w:rsid w:val="005B1163"/>
    <w:rsid w:val="005B11CB"/>
    <w:rsid w:val="005B13F6"/>
    <w:rsid w:val="005B17C2"/>
    <w:rsid w:val="005B18A9"/>
    <w:rsid w:val="005B1B02"/>
    <w:rsid w:val="005B1CB6"/>
    <w:rsid w:val="005B1E08"/>
    <w:rsid w:val="005B1F24"/>
    <w:rsid w:val="005B1F55"/>
    <w:rsid w:val="005B2378"/>
    <w:rsid w:val="005B237D"/>
    <w:rsid w:val="005B2490"/>
    <w:rsid w:val="005B2D27"/>
    <w:rsid w:val="005B2D9C"/>
    <w:rsid w:val="005B2E10"/>
    <w:rsid w:val="005B3634"/>
    <w:rsid w:val="005B3A1B"/>
    <w:rsid w:val="005B3DB8"/>
    <w:rsid w:val="005B4277"/>
    <w:rsid w:val="005B45B4"/>
    <w:rsid w:val="005B495F"/>
    <w:rsid w:val="005B4986"/>
    <w:rsid w:val="005B4B4D"/>
    <w:rsid w:val="005B56D9"/>
    <w:rsid w:val="005B5735"/>
    <w:rsid w:val="005B5843"/>
    <w:rsid w:val="005B5848"/>
    <w:rsid w:val="005B5CFC"/>
    <w:rsid w:val="005B5E92"/>
    <w:rsid w:val="005B634B"/>
    <w:rsid w:val="005B6495"/>
    <w:rsid w:val="005B6509"/>
    <w:rsid w:val="005B6822"/>
    <w:rsid w:val="005B68B5"/>
    <w:rsid w:val="005B6E2B"/>
    <w:rsid w:val="005B6EC6"/>
    <w:rsid w:val="005B7343"/>
    <w:rsid w:val="005B745A"/>
    <w:rsid w:val="005B755A"/>
    <w:rsid w:val="005B75C1"/>
    <w:rsid w:val="005B7603"/>
    <w:rsid w:val="005B7793"/>
    <w:rsid w:val="005B78F3"/>
    <w:rsid w:val="005B79C0"/>
    <w:rsid w:val="005B7D0C"/>
    <w:rsid w:val="005B7F80"/>
    <w:rsid w:val="005B7FC1"/>
    <w:rsid w:val="005C00EE"/>
    <w:rsid w:val="005C0451"/>
    <w:rsid w:val="005C0469"/>
    <w:rsid w:val="005C04AF"/>
    <w:rsid w:val="005C05C1"/>
    <w:rsid w:val="005C05E1"/>
    <w:rsid w:val="005C061E"/>
    <w:rsid w:val="005C0666"/>
    <w:rsid w:val="005C06C9"/>
    <w:rsid w:val="005C0717"/>
    <w:rsid w:val="005C0F23"/>
    <w:rsid w:val="005C111F"/>
    <w:rsid w:val="005C112B"/>
    <w:rsid w:val="005C1194"/>
    <w:rsid w:val="005C12A0"/>
    <w:rsid w:val="005C145C"/>
    <w:rsid w:val="005C1C75"/>
    <w:rsid w:val="005C1FD1"/>
    <w:rsid w:val="005C2057"/>
    <w:rsid w:val="005C2186"/>
    <w:rsid w:val="005C23D2"/>
    <w:rsid w:val="005C2642"/>
    <w:rsid w:val="005C27F6"/>
    <w:rsid w:val="005C286E"/>
    <w:rsid w:val="005C2B6D"/>
    <w:rsid w:val="005C2FED"/>
    <w:rsid w:val="005C332C"/>
    <w:rsid w:val="005C336A"/>
    <w:rsid w:val="005C36EE"/>
    <w:rsid w:val="005C3783"/>
    <w:rsid w:val="005C3852"/>
    <w:rsid w:val="005C3A16"/>
    <w:rsid w:val="005C4051"/>
    <w:rsid w:val="005C4124"/>
    <w:rsid w:val="005C48FA"/>
    <w:rsid w:val="005C4E3A"/>
    <w:rsid w:val="005C4E7D"/>
    <w:rsid w:val="005C5042"/>
    <w:rsid w:val="005C56E1"/>
    <w:rsid w:val="005C57F3"/>
    <w:rsid w:val="005C5857"/>
    <w:rsid w:val="005C5915"/>
    <w:rsid w:val="005C5C7E"/>
    <w:rsid w:val="005C5E7A"/>
    <w:rsid w:val="005C605F"/>
    <w:rsid w:val="005C665A"/>
    <w:rsid w:val="005C6775"/>
    <w:rsid w:val="005C68D8"/>
    <w:rsid w:val="005C6AD5"/>
    <w:rsid w:val="005C6C68"/>
    <w:rsid w:val="005C6F34"/>
    <w:rsid w:val="005C71E9"/>
    <w:rsid w:val="005C7512"/>
    <w:rsid w:val="005C7566"/>
    <w:rsid w:val="005C77F6"/>
    <w:rsid w:val="005C7AAD"/>
    <w:rsid w:val="005C7E12"/>
    <w:rsid w:val="005C7FCB"/>
    <w:rsid w:val="005D0042"/>
    <w:rsid w:val="005D0462"/>
    <w:rsid w:val="005D04E7"/>
    <w:rsid w:val="005D08C1"/>
    <w:rsid w:val="005D0949"/>
    <w:rsid w:val="005D0AB2"/>
    <w:rsid w:val="005D0AFD"/>
    <w:rsid w:val="005D0C17"/>
    <w:rsid w:val="005D0C22"/>
    <w:rsid w:val="005D0D70"/>
    <w:rsid w:val="005D0E59"/>
    <w:rsid w:val="005D103D"/>
    <w:rsid w:val="005D1041"/>
    <w:rsid w:val="005D12AD"/>
    <w:rsid w:val="005D150F"/>
    <w:rsid w:val="005D1623"/>
    <w:rsid w:val="005D1CD6"/>
    <w:rsid w:val="005D1F1B"/>
    <w:rsid w:val="005D20AE"/>
    <w:rsid w:val="005D2257"/>
    <w:rsid w:val="005D2317"/>
    <w:rsid w:val="005D24A2"/>
    <w:rsid w:val="005D2784"/>
    <w:rsid w:val="005D29D4"/>
    <w:rsid w:val="005D2A09"/>
    <w:rsid w:val="005D2B5C"/>
    <w:rsid w:val="005D2B71"/>
    <w:rsid w:val="005D2EE6"/>
    <w:rsid w:val="005D3222"/>
    <w:rsid w:val="005D3554"/>
    <w:rsid w:val="005D35DB"/>
    <w:rsid w:val="005D3888"/>
    <w:rsid w:val="005D3A2A"/>
    <w:rsid w:val="005D3BA9"/>
    <w:rsid w:val="005D3BFF"/>
    <w:rsid w:val="005D4199"/>
    <w:rsid w:val="005D41CA"/>
    <w:rsid w:val="005D4214"/>
    <w:rsid w:val="005D431A"/>
    <w:rsid w:val="005D43D3"/>
    <w:rsid w:val="005D4453"/>
    <w:rsid w:val="005D454C"/>
    <w:rsid w:val="005D4890"/>
    <w:rsid w:val="005D4AAE"/>
    <w:rsid w:val="005D4EB4"/>
    <w:rsid w:val="005D4F4B"/>
    <w:rsid w:val="005D56D1"/>
    <w:rsid w:val="005D57F5"/>
    <w:rsid w:val="005D5AAE"/>
    <w:rsid w:val="005D5FD8"/>
    <w:rsid w:val="005D6126"/>
    <w:rsid w:val="005D65BB"/>
    <w:rsid w:val="005D65CD"/>
    <w:rsid w:val="005D678E"/>
    <w:rsid w:val="005D698D"/>
    <w:rsid w:val="005D6A95"/>
    <w:rsid w:val="005D6C47"/>
    <w:rsid w:val="005D6C8E"/>
    <w:rsid w:val="005D6CA0"/>
    <w:rsid w:val="005D6E07"/>
    <w:rsid w:val="005D6EDF"/>
    <w:rsid w:val="005D7822"/>
    <w:rsid w:val="005D7844"/>
    <w:rsid w:val="005D79D1"/>
    <w:rsid w:val="005D7A2C"/>
    <w:rsid w:val="005D7A74"/>
    <w:rsid w:val="005D7B7C"/>
    <w:rsid w:val="005D7F14"/>
    <w:rsid w:val="005D7F67"/>
    <w:rsid w:val="005D7FAE"/>
    <w:rsid w:val="005E0723"/>
    <w:rsid w:val="005E090D"/>
    <w:rsid w:val="005E0F34"/>
    <w:rsid w:val="005E1054"/>
    <w:rsid w:val="005E1531"/>
    <w:rsid w:val="005E19EF"/>
    <w:rsid w:val="005E1AAF"/>
    <w:rsid w:val="005E1E0D"/>
    <w:rsid w:val="005E1EEA"/>
    <w:rsid w:val="005E2003"/>
    <w:rsid w:val="005E229E"/>
    <w:rsid w:val="005E2471"/>
    <w:rsid w:val="005E278A"/>
    <w:rsid w:val="005E2BF4"/>
    <w:rsid w:val="005E2F43"/>
    <w:rsid w:val="005E30B5"/>
    <w:rsid w:val="005E3251"/>
    <w:rsid w:val="005E357A"/>
    <w:rsid w:val="005E3720"/>
    <w:rsid w:val="005E38E2"/>
    <w:rsid w:val="005E3944"/>
    <w:rsid w:val="005E3BCA"/>
    <w:rsid w:val="005E3D01"/>
    <w:rsid w:val="005E3DFB"/>
    <w:rsid w:val="005E417C"/>
    <w:rsid w:val="005E4527"/>
    <w:rsid w:val="005E45ED"/>
    <w:rsid w:val="005E4623"/>
    <w:rsid w:val="005E4684"/>
    <w:rsid w:val="005E480B"/>
    <w:rsid w:val="005E49B4"/>
    <w:rsid w:val="005E4A44"/>
    <w:rsid w:val="005E4ADF"/>
    <w:rsid w:val="005E4B5D"/>
    <w:rsid w:val="005E4CC7"/>
    <w:rsid w:val="005E506B"/>
    <w:rsid w:val="005E53E0"/>
    <w:rsid w:val="005E57B2"/>
    <w:rsid w:val="005E5C68"/>
    <w:rsid w:val="005E5DDF"/>
    <w:rsid w:val="005E5EC6"/>
    <w:rsid w:val="005E6440"/>
    <w:rsid w:val="005E64F1"/>
    <w:rsid w:val="005E6573"/>
    <w:rsid w:val="005E65A4"/>
    <w:rsid w:val="005E66BB"/>
    <w:rsid w:val="005E6775"/>
    <w:rsid w:val="005E678C"/>
    <w:rsid w:val="005E679A"/>
    <w:rsid w:val="005E6A5F"/>
    <w:rsid w:val="005E6D89"/>
    <w:rsid w:val="005E72E2"/>
    <w:rsid w:val="005E74C8"/>
    <w:rsid w:val="005E763F"/>
    <w:rsid w:val="005E7691"/>
    <w:rsid w:val="005E76A7"/>
    <w:rsid w:val="005E78FE"/>
    <w:rsid w:val="005E7A38"/>
    <w:rsid w:val="005E7FC5"/>
    <w:rsid w:val="005F017D"/>
    <w:rsid w:val="005F0298"/>
    <w:rsid w:val="005F074A"/>
    <w:rsid w:val="005F0A48"/>
    <w:rsid w:val="005F0B73"/>
    <w:rsid w:val="005F0BE0"/>
    <w:rsid w:val="005F0E51"/>
    <w:rsid w:val="005F0FB1"/>
    <w:rsid w:val="005F14AD"/>
    <w:rsid w:val="005F1584"/>
    <w:rsid w:val="005F17DF"/>
    <w:rsid w:val="005F1A22"/>
    <w:rsid w:val="005F1B67"/>
    <w:rsid w:val="005F1B99"/>
    <w:rsid w:val="005F1D09"/>
    <w:rsid w:val="005F1EFB"/>
    <w:rsid w:val="005F2291"/>
    <w:rsid w:val="005F2672"/>
    <w:rsid w:val="005F2961"/>
    <w:rsid w:val="005F29E7"/>
    <w:rsid w:val="005F2AE3"/>
    <w:rsid w:val="005F2B77"/>
    <w:rsid w:val="005F31E1"/>
    <w:rsid w:val="005F34A1"/>
    <w:rsid w:val="005F3639"/>
    <w:rsid w:val="005F36DE"/>
    <w:rsid w:val="005F372A"/>
    <w:rsid w:val="005F37B1"/>
    <w:rsid w:val="005F390C"/>
    <w:rsid w:val="005F397D"/>
    <w:rsid w:val="005F3DDC"/>
    <w:rsid w:val="005F3EE4"/>
    <w:rsid w:val="005F4065"/>
    <w:rsid w:val="005F40E2"/>
    <w:rsid w:val="005F4279"/>
    <w:rsid w:val="005F45FB"/>
    <w:rsid w:val="005F4622"/>
    <w:rsid w:val="005F46FD"/>
    <w:rsid w:val="005F48E6"/>
    <w:rsid w:val="005F4F59"/>
    <w:rsid w:val="005F4F6D"/>
    <w:rsid w:val="005F5055"/>
    <w:rsid w:val="005F6236"/>
    <w:rsid w:val="005F62DB"/>
    <w:rsid w:val="005F6468"/>
    <w:rsid w:val="005F68B7"/>
    <w:rsid w:val="005F69A2"/>
    <w:rsid w:val="005F6C64"/>
    <w:rsid w:val="005F6F00"/>
    <w:rsid w:val="005F6F14"/>
    <w:rsid w:val="005F7414"/>
    <w:rsid w:val="005F7572"/>
    <w:rsid w:val="005F75A0"/>
    <w:rsid w:val="005F7721"/>
    <w:rsid w:val="005F79D6"/>
    <w:rsid w:val="005F7A01"/>
    <w:rsid w:val="00600147"/>
    <w:rsid w:val="00600347"/>
    <w:rsid w:val="006003BA"/>
    <w:rsid w:val="00600838"/>
    <w:rsid w:val="00600B9B"/>
    <w:rsid w:val="00600CA2"/>
    <w:rsid w:val="00601180"/>
    <w:rsid w:val="0060152B"/>
    <w:rsid w:val="00601601"/>
    <w:rsid w:val="006017D6"/>
    <w:rsid w:val="0060182D"/>
    <w:rsid w:val="00601A06"/>
    <w:rsid w:val="00601CF4"/>
    <w:rsid w:val="00601EFE"/>
    <w:rsid w:val="006021E1"/>
    <w:rsid w:val="006022E3"/>
    <w:rsid w:val="0060304D"/>
    <w:rsid w:val="00603090"/>
    <w:rsid w:val="0060320F"/>
    <w:rsid w:val="0060322A"/>
    <w:rsid w:val="0060337D"/>
    <w:rsid w:val="006033C1"/>
    <w:rsid w:val="00603406"/>
    <w:rsid w:val="006035A5"/>
    <w:rsid w:val="006038F7"/>
    <w:rsid w:val="00603D15"/>
    <w:rsid w:val="00603E73"/>
    <w:rsid w:val="00603E94"/>
    <w:rsid w:val="00603F18"/>
    <w:rsid w:val="00604247"/>
    <w:rsid w:val="006042BE"/>
    <w:rsid w:val="00604772"/>
    <w:rsid w:val="00604909"/>
    <w:rsid w:val="0060495C"/>
    <w:rsid w:val="00604B90"/>
    <w:rsid w:val="00604C6D"/>
    <w:rsid w:val="006050D2"/>
    <w:rsid w:val="006050E9"/>
    <w:rsid w:val="00605A02"/>
    <w:rsid w:val="00605CE2"/>
    <w:rsid w:val="00605DD5"/>
    <w:rsid w:val="00605E3C"/>
    <w:rsid w:val="00605FC9"/>
    <w:rsid w:val="00606155"/>
    <w:rsid w:val="0060656E"/>
    <w:rsid w:val="00606701"/>
    <w:rsid w:val="00606AFE"/>
    <w:rsid w:val="00606C55"/>
    <w:rsid w:val="00606CF8"/>
    <w:rsid w:val="00606D05"/>
    <w:rsid w:val="00606D52"/>
    <w:rsid w:val="00606D5E"/>
    <w:rsid w:val="00607026"/>
    <w:rsid w:val="0060745E"/>
    <w:rsid w:val="006075C9"/>
    <w:rsid w:val="00607600"/>
    <w:rsid w:val="0060762D"/>
    <w:rsid w:val="00607A01"/>
    <w:rsid w:val="00607AE8"/>
    <w:rsid w:val="00607C68"/>
    <w:rsid w:val="00607CE0"/>
    <w:rsid w:val="006103F3"/>
    <w:rsid w:val="0061042B"/>
    <w:rsid w:val="006106B4"/>
    <w:rsid w:val="00610818"/>
    <w:rsid w:val="006108DA"/>
    <w:rsid w:val="00610A4B"/>
    <w:rsid w:val="00610C56"/>
    <w:rsid w:val="00610E95"/>
    <w:rsid w:val="00610F4A"/>
    <w:rsid w:val="006112D0"/>
    <w:rsid w:val="00611303"/>
    <w:rsid w:val="00611465"/>
    <w:rsid w:val="00611711"/>
    <w:rsid w:val="00611767"/>
    <w:rsid w:val="00611AD4"/>
    <w:rsid w:val="00611C0F"/>
    <w:rsid w:val="00611D81"/>
    <w:rsid w:val="00612294"/>
    <w:rsid w:val="00612645"/>
    <w:rsid w:val="006127F7"/>
    <w:rsid w:val="00612935"/>
    <w:rsid w:val="00612E05"/>
    <w:rsid w:val="00612F84"/>
    <w:rsid w:val="0061372B"/>
    <w:rsid w:val="006140AA"/>
    <w:rsid w:val="0061421E"/>
    <w:rsid w:val="006145C9"/>
    <w:rsid w:val="00614666"/>
    <w:rsid w:val="006147D9"/>
    <w:rsid w:val="0061497A"/>
    <w:rsid w:val="00614E25"/>
    <w:rsid w:val="006154BF"/>
    <w:rsid w:val="006154D1"/>
    <w:rsid w:val="0061588B"/>
    <w:rsid w:val="006159DE"/>
    <w:rsid w:val="00615A57"/>
    <w:rsid w:val="00615B93"/>
    <w:rsid w:val="00615D7F"/>
    <w:rsid w:val="00616275"/>
    <w:rsid w:val="006164F3"/>
    <w:rsid w:val="006166DE"/>
    <w:rsid w:val="00616713"/>
    <w:rsid w:val="00616C17"/>
    <w:rsid w:val="00616E28"/>
    <w:rsid w:val="006172A0"/>
    <w:rsid w:val="006176DC"/>
    <w:rsid w:val="00617815"/>
    <w:rsid w:val="0061787C"/>
    <w:rsid w:val="00617894"/>
    <w:rsid w:val="006179BC"/>
    <w:rsid w:val="00617A56"/>
    <w:rsid w:val="00617D27"/>
    <w:rsid w:val="00620256"/>
    <w:rsid w:val="006208E6"/>
    <w:rsid w:val="00620BD0"/>
    <w:rsid w:val="00620C44"/>
    <w:rsid w:val="00620CE6"/>
    <w:rsid w:val="00620ED0"/>
    <w:rsid w:val="00620EEA"/>
    <w:rsid w:val="006210E8"/>
    <w:rsid w:val="00621145"/>
    <w:rsid w:val="0062119E"/>
    <w:rsid w:val="00621989"/>
    <w:rsid w:val="00621EB1"/>
    <w:rsid w:val="00622021"/>
    <w:rsid w:val="0062222D"/>
    <w:rsid w:val="006222CC"/>
    <w:rsid w:val="0062237F"/>
    <w:rsid w:val="0062245A"/>
    <w:rsid w:val="00622556"/>
    <w:rsid w:val="006229E2"/>
    <w:rsid w:val="00622C23"/>
    <w:rsid w:val="00623191"/>
    <w:rsid w:val="006236AC"/>
    <w:rsid w:val="00623AE8"/>
    <w:rsid w:val="00623E16"/>
    <w:rsid w:val="00623EA8"/>
    <w:rsid w:val="006245B7"/>
    <w:rsid w:val="00624678"/>
    <w:rsid w:val="006246DE"/>
    <w:rsid w:val="00624729"/>
    <w:rsid w:val="006248C6"/>
    <w:rsid w:val="00624A25"/>
    <w:rsid w:val="00624A30"/>
    <w:rsid w:val="00624E74"/>
    <w:rsid w:val="00625790"/>
    <w:rsid w:val="00625CC4"/>
    <w:rsid w:val="00626633"/>
    <w:rsid w:val="0062682B"/>
    <w:rsid w:val="00626DA3"/>
    <w:rsid w:val="00626E10"/>
    <w:rsid w:val="00627232"/>
    <w:rsid w:val="00627775"/>
    <w:rsid w:val="006277AE"/>
    <w:rsid w:val="006277F1"/>
    <w:rsid w:val="00627969"/>
    <w:rsid w:val="00627A0B"/>
    <w:rsid w:val="00627DE4"/>
    <w:rsid w:val="00627E56"/>
    <w:rsid w:val="00627F33"/>
    <w:rsid w:val="0063014A"/>
    <w:rsid w:val="006301CA"/>
    <w:rsid w:val="006302F3"/>
    <w:rsid w:val="00630577"/>
    <w:rsid w:val="006308CF"/>
    <w:rsid w:val="0063121A"/>
    <w:rsid w:val="0063146C"/>
    <w:rsid w:val="006319F3"/>
    <w:rsid w:val="00631A4E"/>
    <w:rsid w:val="00631EBA"/>
    <w:rsid w:val="00631F5D"/>
    <w:rsid w:val="00631F76"/>
    <w:rsid w:val="006322E2"/>
    <w:rsid w:val="00632490"/>
    <w:rsid w:val="00632622"/>
    <w:rsid w:val="0063269D"/>
    <w:rsid w:val="006329B9"/>
    <w:rsid w:val="00632AA4"/>
    <w:rsid w:val="00632AA9"/>
    <w:rsid w:val="00632C84"/>
    <w:rsid w:val="0063303B"/>
    <w:rsid w:val="00633096"/>
    <w:rsid w:val="006330F7"/>
    <w:rsid w:val="0063321F"/>
    <w:rsid w:val="00633273"/>
    <w:rsid w:val="00633339"/>
    <w:rsid w:val="00633420"/>
    <w:rsid w:val="0063349D"/>
    <w:rsid w:val="006335B9"/>
    <w:rsid w:val="00633733"/>
    <w:rsid w:val="006338D2"/>
    <w:rsid w:val="006338F6"/>
    <w:rsid w:val="00633C74"/>
    <w:rsid w:val="00633F6C"/>
    <w:rsid w:val="00634243"/>
    <w:rsid w:val="006345AB"/>
    <w:rsid w:val="00634689"/>
    <w:rsid w:val="006346A0"/>
    <w:rsid w:val="006347C5"/>
    <w:rsid w:val="00634988"/>
    <w:rsid w:val="00634D71"/>
    <w:rsid w:val="00634FE9"/>
    <w:rsid w:val="006350F0"/>
    <w:rsid w:val="006350FA"/>
    <w:rsid w:val="00635184"/>
    <w:rsid w:val="0063538F"/>
    <w:rsid w:val="006355F5"/>
    <w:rsid w:val="006356E9"/>
    <w:rsid w:val="00635A3B"/>
    <w:rsid w:val="00635C15"/>
    <w:rsid w:val="0063635B"/>
    <w:rsid w:val="0063648B"/>
    <w:rsid w:val="00636C14"/>
    <w:rsid w:val="0063704A"/>
    <w:rsid w:val="0063728B"/>
    <w:rsid w:val="0063756F"/>
    <w:rsid w:val="00637823"/>
    <w:rsid w:val="0063786D"/>
    <w:rsid w:val="006379C2"/>
    <w:rsid w:val="00637C04"/>
    <w:rsid w:val="00640315"/>
    <w:rsid w:val="0064040A"/>
    <w:rsid w:val="0064074C"/>
    <w:rsid w:val="006407FE"/>
    <w:rsid w:val="00640834"/>
    <w:rsid w:val="0064083E"/>
    <w:rsid w:val="0064118E"/>
    <w:rsid w:val="00641191"/>
    <w:rsid w:val="0064137F"/>
    <w:rsid w:val="006414C6"/>
    <w:rsid w:val="006414D4"/>
    <w:rsid w:val="00641585"/>
    <w:rsid w:val="0064165A"/>
    <w:rsid w:val="006416EA"/>
    <w:rsid w:val="00641849"/>
    <w:rsid w:val="00641A71"/>
    <w:rsid w:val="00641FDB"/>
    <w:rsid w:val="00642508"/>
    <w:rsid w:val="0064273E"/>
    <w:rsid w:val="006427FA"/>
    <w:rsid w:val="00643044"/>
    <w:rsid w:val="00643060"/>
    <w:rsid w:val="006430CF"/>
    <w:rsid w:val="00643162"/>
    <w:rsid w:val="006432FE"/>
    <w:rsid w:val="00643311"/>
    <w:rsid w:val="0064383D"/>
    <w:rsid w:val="0064389F"/>
    <w:rsid w:val="00643C86"/>
    <w:rsid w:val="00643EC0"/>
    <w:rsid w:val="00643F14"/>
    <w:rsid w:val="00644C16"/>
    <w:rsid w:val="00644D07"/>
    <w:rsid w:val="00644D57"/>
    <w:rsid w:val="006450FA"/>
    <w:rsid w:val="006451EF"/>
    <w:rsid w:val="006452F9"/>
    <w:rsid w:val="0064564B"/>
    <w:rsid w:val="00645915"/>
    <w:rsid w:val="00645AEB"/>
    <w:rsid w:val="00645B74"/>
    <w:rsid w:val="00645EB5"/>
    <w:rsid w:val="0064607B"/>
    <w:rsid w:val="00646088"/>
    <w:rsid w:val="00646297"/>
    <w:rsid w:val="00646664"/>
    <w:rsid w:val="006467A8"/>
    <w:rsid w:val="0064680F"/>
    <w:rsid w:val="00646983"/>
    <w:rsid w:val="00646CB2"/>
    <w:rsid w:val="00646CD0"/>
    <w:rsid w:val="00646D36"/>
    <w:rsid w:val="00646D63"/>
    <w:rsid w:val="0064719D"/>
    <w:rsid w:val="006477AA"/>
    <w:rsid w:val="00647818"/>
    <w:rsid w:val="00647CCA"/>
    <w:rsid w:val="00647E1F"/>
    <w:rsid w:val="00650143"/>
    <w:rsid w:val="00650783"/>
    <w:rsid w:val="00650894"/>
    <w:rsid w:val="00650896"/>
    <w:rsid w:val="00650B10"/>
    <w:rsid w:val="00650B65"/>
    <w:rsid w:val="00650D28"/>
    <w:rsid w:val="00650FC5"/>
    <w:rsid w:val="0065103B"/>
    <w:rsid w:val="006511CB"/>
    <w:rsid w:val="006513E8"/>
    <w:rsid w:val="006514AE"/>
    <w:rsid w:val="00651582"/>
    <w:rsid w:val="00651B7F"/>
    <w:rsid w:val="00651C9B"/>
    <w:rsid w:val="00651CAB"/>
    <w:rsid w:val="00652257"/>
    <w:rsid w:val="0065241F"/>
    <w:rsid w:val="0065265E"/>
    <w:rsid w:val="006527F0"/>
    <w:rsid w:val="0065291F"/>
    <w:rsid w:val="00652AC7"/>
    <w:rsid w:val="00652AEA"/>
    <w:rsid w:val="00652B6C"/>
    <w:rsid w:val="00652E18"/>
    <w:rsid w:val="00652ED2"/>
    <w:rsid w:val="00653041"/>
    <w:rsid w:val="0065306D"/>
    <w:rsid w:val="0065356B"/>
    <w:rsid w:val="00653583"/>
    <w:rsid w:val="006535E8"/>
    <w:rsid w:val="006537DD"/>
    <w:rsid w:val="00653855"/>
    <w:rsid w:val="00653D1D"/>
    <w:rsid w:val="00653E5A"/>
    <w:rsid w:val="00653F9D"/>
    <w:rsid w:val="00654075"/>
    <w:rsid w:val="006542D4"/>
    <w:rsid w:val="00654393"/>
    <w:rsid w:val="006543BC"/>
    <w:rsid w:val="00654408"/>
    <w:rsid w:val="0065469B"/>
    <w:rsid w:val="0065475C"/>
    <w:rsid w:val="00654882"/>
    <w:rsid w:val="0065489E"/>
    <w:rsid w:val="006548E9"/>
    <w:rsid w:val="00654B27"/>
    <w:rsid w:val="00654DED"/>
    <w:rsid w:val="00654E6E"/>
    <w:rsid w:val="0065503B"/>
    <w:rsid w:val="006550EE"/>
    <w:rsid w:val="00655137"/>
    <w:rsid w:val="006551F5"/>
    <w:rsid w:val="006558C7"/>
    <w:rsid w:val="00655957"/>
    <w:rsid w:val="00655AB7"/>
    <w:rsid w:val="00655D29"/>
    <w:rsid w:val="006560DC"/>
    <w:rsid w:val="006562A5"/>
    <w:rsid w:val="006562F0"/>
    <w:rsid w:val="006562F5"/>
    <w:rsid w:val="00656411"/>
    <w:rsid w:val="00656729"/>
    <w:rsid w:val="0065696B"/>
    <w:rsid w:val="00656C5E"/>
    <w:rsid w:val="00656DE1"/>
    <w:rsid w:val="00656E1C"/>
    <w:rsid w:val="00656E2D"/>
    <w:rsid w:val="00656F9E"/>
    <w:rsid w:val="00657067"/>
    <w:rsid w:val="00657273"/>
    <w:rsid w:val="00657505"/>
    <w:rsid w:val="0065771D"/>
    <w:rsid w:val="00657849"/>
    <w:rsid w:val="006579B8"/>
    <w:rsid w:val="00657AF2"/>
    <w:rsid w:val="00657C2C"/>
    <w:rsid w:val="00657F88"/>
    <w:rsid w:val="0066012B"/>
    <w:rsid w:val="006603D1"/>
    <w:rsid w:val="00660432"/>
    <w:rsid w:val="006606F7"/>
    <w:rsid w:val="00660AD4"/>
    <w:rsid w:val="00660C13"/>
    <w:rsid w:val="006611E4"/>
    <w:rsid w:val="0066163F"/>
    <w:rsid w:val="0066175A"/>
    <w:rsid w:val="0066190F"/>
    <w:rsid w:val="00661B2D"/>
    <w:rsid w:val="00661C1C"/>
    <w:rsid w:val="00662253"/>
    <w:rsid w:val="00662772"/>
    <w:rsid w:val="00662EBA"/>
    <w:rsid w:val="00663804"/>
    <w:rsid w:val="006638A9"/>
    <w:rsid w:val="00663D14"/>
    <w:rsid w:val="006641BC"/>
    <w:rsid w:val="0066422E"/>
    <w:rsid w:val="0066429C"/>
    <w:rsid w:val="0066436F"/>
    <w:rsid w:val="0066469B"/>
    <w:rsid w:val="00664A3F"/>
    <w:rsid w:val="00664B6F"/>
    <w:rsid w:val="00664B73"/>
    <w:rsid w:val="00664F2B"/>
    <w:rsid w:val="006653F2"/>
    <w:rsid w:val="0066545D"/>
    <w:rsid w:val="00665B58"/>
    <w:rsid w:val="00666122"/>
    <w:rsid w:val="006662BD"/>
    <w:rsid w:val="006664DE"/>
    <w:rsid w:val="006666A6"/>
    <w:rsid w:val="006667B1"/>
    <w:rsid w:val="00666A26"/>
    <w:rsid w:val="00666A63"/>
    <w:rsid w:val="00666FBA"/>
    <w:rsid w:val="006671BC"/>
    <w:rsid w:val="0066796B"/>
    <w:rsid w:val="006679FD"/>
    <w:rsid w:val="00667A26"/>
    <w:rsid w:val="00667CFA"/>
    <w:rsid w:val="00667D39"/>
    <w:rsid w:val="00667DAC"/>
    <w:rsid w:val="006701C6"/>
    <w:rsid w:val="0067043B"/>
    <w:rsid w:val="006707F5"/>
    <w:rsid w:val="0067104F"/>
    <w:rsid w:val="00671331"/>
    <w:rsid w:val="00671C09"/>
    <w:rsid w:val="006723FB"/>
    <w:rsid w:val="006725EB"/>
    <w:rsid w:val="0067264F"/>
    <w:rsid w:val="0067265B"/>
    <w:rsid w:val="00672ABB"/>
    <w:rsid w:val="00672C1D"/>
    <w:rsid w:val="00672D02"/>
    <w:rsid w:val="00672D6C"/>
    <w:rsid w:val="00672DBC"/>
    <w:rsid w:val="00672E23"/>
    <w:rsid w:val="0067358B"/>
    <w:rsid w:val="00673870"/>
    <w:rsid w:val="006739DA"/>
    <w:rsid w:val="00673B17"/>
    <w:rsid w:val="00673C00"/>
    <w:rsid w:val="00673C5F"/>
    <w:rsid w:val="00673C7F"/>
    <w:rsid w:val="00673FAA"/>
    <w:rsid w:val="006742C4"/>
    <w:rsid w:val="0067434C"/>
    <w:rsid w:val="00674478"/>
    <w:rsid w:val="00674682"/>
    <w:rsid w:val="00674AB7"/>
    <w:rsid w:val="00674E0D"/>
    <w:rsid w:val="00675049"/>
    <w:rsid w:val="00675169"/>
    <w:rsid w:val="00675678"/>
    <w:rsid w:val="006756C9"/>
    <w:rsid w:val="00675C75"/>
    <w:rsid w:val="0067601A"/>
    <w:rsid w:val="00676339"/>
    <w:rsid w:val="00676900"/>
    <w:rsid w:val="00676960"/>
    <w:rsid w:val="0067698A"/>
    <w:rsid w:val="00676B31"/>
    <w:rsid w:val="00676BAA"/>
    <w:rsid w:val="00676BE3"/>
    <w:rsid w:val="00676D06"/>
    <w:rsid w:val="00676D74"/>
    <w:rsid w:val="00676FEC"/>
    <w:rsid w:val="00677140"/>
    <w:rsid w:val="006773E5"/>
    <w:rsid w:val="00677BA6"/>
    <w:rsid w:val="00677BB6"/>
    <w:rsid w:val="00677DEB"/>
    <w:rsid w:val="00677DFA"/>
    <w:rsid w:val="0068028C"/>
    <w:rsid w:val="006802C0"/>
    <w:rsid w:val="00680681"/>
    <w:rsid w:val="00680A1F"/>
    <w:rsid w:val="00680D36"/>
    <w:rsid w:val="00681026"/>
    <w:rsid w:val="00681063"/>
    <w:rsid w:val="00681384"/>
    <w:rsid w:val="00681544"/>
    <w:rsid w:val="0068154C"/>
    <w:rsid w:val="0068161E"/>
    <w:rsid w:val="00681ECC"/>
    <w:rsid w:val="00681FF6"/>
    <w:rsid w:val="00682252"/>
    <w:rsid w:val="00682534"/>
    <w:rsid w:val="006828E1"/>
    <w:rsid w:val="00682B3C"/>
    <w:rsid w:val="00682C73"/>
    <w:rsid w:val="00682E6D"/>
    <w:rsid w:val="006831EC"/>
    <w:rsid w:val="0068362E"/>
    <w:rsid w:val="00683670"/>
    <w:rsid w:val="006837BE"/>
    <w:rsid w:val="00684621"/>
    <w:rsid w:val="006847F5"/>
    <w:rsid w:val="00684957"/>
    <w:rsid w:val="00684B6D"/>
    <w:rsid w:val="00684D32"/>
    <w:rsid w:val="00684E4B"/>
    <w:rsid w:val="00684E8D"/>
    <w:rsid w:val="006852A6"/>
    <w:rsid w:val="006852E7"/>
    <w:rsid w:val="0068574B"/>
    <w:rsid w:val="00685946"/>
    <w:rsid w:val="00685AC8"/>
    <w:rsid w:val="006861C2"/>
    <w:rsid w:val="0068622B"/>
    <w:rsid w:val="00686262"/>
    <w:rsid w:val="0068670F"/>
    <w:rsid w:val="00686725"/>
    <w:rsid w:val="006867F7"/>
    <w:rsid w:val="00686993"/>
    <w:rsid w:val="00686D03"/>
    <w:rsid w:val="00686D5B"/>
    <w:rsid w:val="00686D71"/>
    <w:rsid w:val="00686E00"/>
    <w:rsid w:val="00686E14"/>
    <w:rsid w:val="00686EF4"/>
    <w:rsid w:val="00686FED"/>
    <w:rsid w:val="0068709F"/>
    <w:rsid w:val="0068722C"/>
    <w:rsid w:val="006872E2"/>
    <w:rsid w:val="006873FA"/>
    <w:rsid w:val="006874CC"/>
    <w:rsid w:val="006876A6"/>
    <w:rsid w:val="00687915"/>
    <w:rsid w:val="00687A3A"/>
    <w:rsid w:val="00687AFB"/>
    <w:rsid w:val="00687C5A"/>
    <w:rsid w:val="00687DA5"/>
    <w:rsid w:val="00687E0F"/>
    <w:rsid w:val="00690402"/>
    <w:rsid w:val="00690654"/>
    <w:rsid w:val="00690788"/>
    <w:rsid w:val="006908B3"/>
    <w:rsid w:val="00690E3D"/>
    <w:rsid w:val="00690EBC"/>
    <w:rsid w:val="00691021"/>
    <w:rsid w:val="0069107C"/>
    <w:rsid w:val="00691176"/>
    <w:rsid w:val="006912E6"/>
    <w:rsid w:val="006914BE"/>
    <w:rsid w:val="006915F0"/>
    <w:rsid w:val="006916CE"/>
    <w:rsid w:val="0069171B"/>
    <w:rsid w:val="00691772"/>
    <w:rsid w:val="006918DE"/>
    <w:rsid w:val="006920AC"/>
    <w:rsid w:val="0069270A"/>
    <w:rsid w:val="006929AA"/>
    <w:rsid w:val="00692BF2"/>
    <w:rsid w:val="00692C8A"/>
    <w:rsid w:val="00692D3F"/>
    <w:rsid w:val="00692FF0"/>
    <w:rsid w:val="00693098"/>
    <w:rsid w:val="006931BB"/>
    <w:rsid w:val="0069351A"/>
    <w:rsid w:val="006939FD"/>
    <w:rsid w:val="00693DDB"/>
    <w:rsid w:val="00693EDA"/>
    <w:rsid w:val="0069412E"/>
    <w:rsid w:val="00694319"/>
    <w:rsid w:val="0069432D"/>
    <w:rsid w:val="006943FC"/>
    <w:rsid w:val="00694A71"/>
    <w:rsid w:val="00694ABB"/>
    <w:rsid w:val="00695379"/>
    <w:rsid w:val="006959A1"/>
    <w:rsid w:val="006962D7"/>
    <w:rsid w:val="006962DC"/>
    <w:rsid w:val="0069633F"/>
    <w:rsid w:val="00696C1C"/>
    <w:rsid w:val="00696DD9"/>
    <w:rsid w:val="00696FA8"/>
    <w:rsid w:val="00697229"/>
    <w:rsid w:val="00697429"/>
    <w:rsid w:val="00697458"/>
    <w:rsid w:val="00697673"/>
    <w:rsid w:val="00697744"/>
    <w:rsid w:val="006978ED"/>
    <w:rsid w:val="00697A9D"/>
    <w:rsid w:val="006A0069"/>
    <w:rsid w:val="006A00E3"/>
    <w:rsid w:val="006A01D7"/>
    <w:rsid w:val="006A0277"/>
    <w:rsid w:val="006A0696"/>
    <w:rsid w:val="006A088E"/>
    <w:rsid w:val="006A0C71"/>
    <w:rsid w:val="006A0EAA"/>
    <w:rsid w:val="006A0EDB"/>
    <w:rsid w:val="006A0F02"/>
    <w:rsid w:val="006A0F6A"/>
    <w:rsid w:val="006A11F6"/>
    <w:rsid w:val="006A162F"/>
    <w:rsid w:val="006A17BB"/>
    <w:rsid w:val="006A1ED0"/>
    <w:rsid w:val="006A236A"/>
    <w:rsid w:val="006A2954"/>
    <w:rsid w:val="006A2E12"/>
    <w:rsid w:val="006A2FF9"/>
    <w:rsid w:val="006A31E3"/>
    <w:rsid w:val="006A3559"/>
    <w:rsid w:val="006A35FF"/>
    <w:rsid w:val="006A37E2"/>
    <w:rsid w:val="006A3873"/>
    <w:rsid w:val="006A3A36"/>
    <w:rsid w:val="006A3BB8"/>
    <w:rsid w:val="006A3D16"/>
    <w:rsid w:val="006A4033"/>
    <w:rsid w:val="006A45F7"/>
    <w:rsid w:val="006A4EB5"/>
    <w:rsid w:val="006A4F88"/>
    <w:rsid w:val="006A5045"/>
    <w:rsid w:val="006A5423"/>
    <w:rsid w:val="006A550C"/>
    <w:rsid w:val="006A5750"/>
    <w:rsid w:val="006A577D"/>
    <w:rsid w:val="006A5984"/>
    <w:rsid w:val="006A5A94"/>
    <w:rsid w:val="006A5B00"/>
    <w:rsid w:val="006A5C69"/>
    <w:rsid w:val="006A5DD8"/>
    <w:rsid w:val="006A5FB7"/>
    <w:rsid w:val="006A6062"/>
    <w:rsid w:val="006A6085"/>
    <w:rsid w:val="006A6104"/>
    <w:rsid w:val="006A6235"/>
    <w:rsid w:val="006A6323"/>
    <w:rsid w:val="006A6669"/>
    <w:rsid w:val="006A6710"/>
    <w:rsid w:val="006A6711"/>
    <w:rsid w:val="006A68EA"/>
    <w:rsid w:val="006A6A09"/>
    <w:rsid w:val="006A6B98"/>
    <w:rsid w:val="006A6E92"/>
    <w:rsid w:val="006A6F0C"/>
    <w:rsid w:val="006A6FFD"/>
    <w:rsid w:val="006A70EB"/>
    <w:rsid w:val="006A792F"/>
    <w:rsid w:val="006A7962"/>
    <w:rsid w:val="006B0055"/>
    <w:rsid w:val="006B0205"/>
    <w:rsid w:val="006B09B6"/>
    <w:rsid w:val="006B0B60"/>
    <w:rsid w:val="006B0C32"/>
    <w:rsid w:val="006B0CAB"/>
    <w:rsid w:val="006B0FC5"/>
    <w:rsid w:val="006B101D"/>
    <w:rsid w:val="006B1093"/>
    <w:rsid w:val="006B119B"/>
    <w:rsid w:val="006B13FF"/>
    <w:rsid w:val="006B222C"/>
    <w:rsid w:val="006B292E"/>
    <w:rsid w:val="006B2F91"/>
    <w:rsid w:val="006B352B"/>
    <w:rsid w:val="006B35CF"/>
    <w:rsid w:val="006B380C"/>
    <w:rsid w:val="006B39D0"/>
    <w:rsid w:val="006B3ED4"/>
    <w:rsid w:val="006B4059"/>
    <w:rsid w:val="006B4443"/>
    <w:rsid w:val="006B466B"/>
    <w:rsid w:val="006B4E51"/>
    <w:rsid w:val="006B4EAE"/>
    <w:rsid w:val="006B5079"/>
    <w:rsid w:val="006B50D9"/>
    <w:rsid w:val="006B522A"/>
    <w:rsid w:val="006B54A4"/>
    <w:rsid w:val="006B5516"/>
    <w:rsid w:val="006B5676"/>
    <w:rsid w:val="006B5A00"/>
    <w:rsid w:val="006B5B99"/>
    <w:rsid w:val="006B5E9D"/>
    <w:rsid w:val="006B5F5C"/>
    <w:rsid w:val="006B651C"/>
    <w:rsid w:val="006B65F0"/>
    <w:rsid w:val="006B663B"/>
    <w:rsid w:val="006B6ADA"/>
    <w:rsid w:val="006B6B27"/>
    <w:rsid w:val="006B6C0F"/>
    <w:rsid w:val="006B6C39"/>
    <w:rsid w:val="006B6CDE"/>
    <w:rsid w:val="006B7197"/>
    <w:rsid w:val="006B72F9"/>
    <w:rsid w:val="006B790C"/>
    <w:rsid w:val="006B79AA"/>
    <w:rsid w:val="006B7CD0"/>
    <w:rsid w:val="006B7D0A"/>
    <w:rsid w:val="006B7FFA"/>
    <w:rsid w:val="006C0399"/>
    <w:rsid w:val="006C04BE"/>
    <w:rsid w:val="006C04DD"/>
    <w:rsid w:val="006C0698"/>
    <w:rsid w:val="006C09C5"/>
    <w:rsid w:val="006C0EA1"/>
    <w:rsid w:val="006C0EBF"/>
    <w:rsid w:val="006C1078"/>
    <w:rsid w:val="006C1200"/>
    <w:rsid w:val="006C125A"/>
    <w:rsid w:val="006C143E"/>
    <w:rsid w:val="006C15AC"/>
    <w:rsid w:val="006C165A"/>
    <w:rsid w:val="006C16C8"/>
    <w:rsid w:val="006C17F8"/>
    <w:rsid w:val="006C1947"/>
    <w:rsid w:val="006C219C"/>
    <w:rsid w:val="006C2286"/>
    <w:rsid w:val="006C22F4"/>
    <w:rsid w:val="006C2A7F"/>
    <w:rsid w:val="006C2FDB"/>
    <w:rsid w:val="006C301C"/>
    <w:rsid w:val="006C31D8"/>
    <w:rsid w:val="006C32AE"/>
    <w:rsid w:val="006C32D3"/>
    <w:rsid w:val="006C33BF"/>
    <w:rsid w:val="006C33D7"/>
    <w:rsid w:val="006C341D"/>
    <w:rsid w:val="006C3482"/>
    <w:rsid w:val="006C34CA"/>
    <w:rsid w:val="006C35BB"/>
    <w:rsid w:val="006C39BE"/>
    <w:rsid w:val="006C3D4A"/>
    <w:rsid w:val="006C41B3"/>
    <w:rsid w:val="006C4239"/>
    <w:rsid w:val="006C4268"/>
    <w:rsid w:val="006C4DBA"/>
    <w:rsid w:val="006C5595"/>
    <w:rsid w:val="006C55C5"/>
    <w:rsid w:val="006C5617"/>
    <w:rsid w:val="006C56AB"/>
    <w:rsid w:val="006C59CE"/>
    <w:rsid w:val="006C5C84"/>
    <w:rsid w:val="006C5EC5"/>
    <w:rsid w:val="006C64BA"/>
    <w:rsid w:val="006C6716"/>
    <w:rsid w:val="006C6747"/>
    <w:rsid w:val="006C690B"/>
    <w:rsid w:val="006C6C1D"/>
    <w:rsid w:val="006C707C"/>
    <w:rsid w:val="006C717C"/>
    <w:rsid w:val="006C7682"/>
    <w:rsid w:val="006C7B37"/>
    <w:rsid w:val="006C7D89"/>
    <w:rsid w:val="006C7EE9"/>
    <w:rsid w:val="006D020C"/>
    <w:rsid w:val="006D029D"/>
    <w:rsid w:val="006D0528"/>
    <w:rsid w:val="006D06D6"/>
    <w:rsid w:val="006D06E2"/>
    <w:rsid w:val="006D0E5C"/>
    <w:rsid w:val="006D103B"/>
    <w:rsid w:val="006D115D"/>
    <w:rsid w:val="006D126E"/>
    <w:rsid w:val="006D12B2"/>
    <w:rsid w:val="006D150F"/>
    <w:rsid w:val="006D1684"/>
    <w:rsid w:val="006D179D"/>
    <w:rsid w:val="006D17D6"/>
    <w:rsid w:val="006D192D"/>
    <w:rsid w:val="006D1AFF"/>
    <w:rsid w:val="006D1DE4"/>
    <w:rsid w:val="006D22A9"/>
    <w:rsid w:val="006D25C3"/>
    <w:rsid w:val="006D26B9"/>
    <w:rsid w:val="006D2840"/>
    <w:rsid w:val="006D287B"/>
    <w:rsid w:val="006D29DC"/>
    <w:rsid w:val="006D2E3C"/>
    <w:rsid w:val="006D3391"/>
    <w:rsid w:val="006D35DE"/>
    <w:rsid w:val="006D3658"/>
    <w:rsid w:val="006D3710"/>
    <w:rsid w:val="006D3733"/>
    <w:rsid w:val="006D3A59"/>
    <w:rsid w:val="006D3C04"/>
    <w:rsid w:val="006D3C31"/>
    <w:rsid w:val="006D3CED"/>
    <w:rsid w:val="006D3F46"/>
    <w:rsid w:val="006D439C"/>
    <w:rsid w:val="006D44BC"/>
    <w:rsid w:val="006D4628"/>
    <w:rsid w:val="006D4A5A"/>
    <w:rsid w:val="006D4D7F"/>
    <w:rsid w:val="006D4F8B"/>
    <w:rsid w:val="006D524F"/>
    <w:rsid w:val="006D52A7"/>
    <w:rsid w:val="006D583A"/>
    <w:rsid w:val="006D5E90"/>
    <w:rsid w:val="006D6016"/>
    <w:rsid w:val="006D6355"/>
    <w:rsid w:val="006D63EC"/>
    <w:rsid w:val="006D6692"/>
    <w:rsid w:val="006D6736"/>
    <w:rsid w:val="006D6740"/>
    <w:rsid w:val="006D690F"/>
    <w:rsid w:val="006D6937"/>
    <w:rsid w:val="006D69F8"/>
    <w:rsid w:val="006D6B29"/>
    <w:rsid w:val="006D6BC8"/>
    <w:rsid w:val="006D6EB8"/>
    <w:rsid w:val="006D72D1"/>
    <w:rsid w:val="006D76CC"/>
    <w:rsid w:val="006D7879"/>
    <w:rsid w:val="006D7BD6"/>
    <w:rsid w:val="006D7D15"/>
    <w:rsid w:val="006D7E27"/>
    <w:rsid w:val="006D7EC2"/>
    <w:rsid w:val="006E00BA"/>
    <w:rsid w:val="006E012F"/>
    <w:rsid w:val="006E0242"/>
    <w:rsid w:val="006E041F"/>
    <w:rsid w:val="006E0687"/>
    <w:rsid w:val="006E17D7"/>
    <w:rsid w:val="006E186A"/>
    <w:rsid w:val="006E1B24"/>
    <w:rsid w:val="006E1D2C"/>
    <w:rsid w:val="006E1EF2"/>
    <w:rsid w:val="006E1FB8"/>
    <w:rsid w:val="006E276A"/>
    <w:rsid w:val="006E27E5"/>
    <w:rsid w:val="006E2878"/>
    <w:rsid w:val="006E2CBF"/>
    <w:rsid w:val="006E2CFE"/>
    <w:rsid w:val="006E2DBC"/>
    <w:rsid w:val="006E2F03"/>
    <w:rsid w:val="006E3203"/>
    <w:rsid w:val="006E3907"/>
    <w:rsid w:val="006E3996"/>
    <w:rsid w:val="006E3A06"/>
    <w:rsid w:val="006E3CFD"/>
    <w:rsid w:val="006E3D33"/>
    <w:rsid w:val="006E3E7A"/>
    <w:rsid w:val="006E3FA0"/>
    <w:rsid w:val="006E4109"/>
    <w:rsid w:val="006E415F"/>
    <w:rsid w:val="006E41B7"/>
    <w:rsid w:val="006E4777"/>
    <w:rsid w:val="006E48D5"/>
    <w:rsid w:val="006E4F46"/>
    <w:rsid w:val="006E4F9A"/>
    <w:rsid w:val="006E5DBA"/>
    <w:rsid w:val="006E6106"/>
    <w:rsid w:val="006E612E"/>
    <w:rsid w:val="006E6256"/>
    <w:rsid w:val="006E678F"/>
    <w:rsid w:val="006E6B69"/>
    <w:rsid w:val="006E6C3E"/>
    <w:rsid w:val="006E7195"/>
    <w:rsid w:val="006E73A3"/>
    <w:rsid w:val="006E74FC"/>
    <w:rsid w:val="006E7A88"/>
    <w:rsid w:val="006F018B"/>
    <w:rsid w:val="006F02BF"/>
    <w:rsid w:val="006F041D"/>
    <w:rsid w:val="006F04F6"/>
    <w:rsid w:val="006F07E0"/>
    <w:rsid w:val="006F0851"/>
    <w:rsid w:val="006F0A78"/>
    <w:rsid w:val="006F0A87"/>
    <w:rsid w:val="006F0AD4"/>
    <w:rsid w:val="006F0C64"/>
    <w:rsid w:val="006F12A9"/>
    <w:rsid w:val="006F163C"/>
    <w:rsid w:val="006F1960"/>
    <w:rsid w:val="006F203A"/>
    <w:rsid w:val="006F230F"/>
    <w:rsid w:val="006F2340"/>
    <w:rsid w:val="006F2620"/>
    <w:rsid w:val="006F2624"/>
    <w:rsid w:val="006F2C6A"/>
    <w:rsid w:val="006F304B"/>
    <w:rsid w:val="006F38BF"/>
    <w:rsid w:val="006F3A0A"/>
    <w:rsid w:val="006F3A1D"/>
    <w:rsid w:val="006F3CB4"/>
    <w:rsid w:val="006F3E8C"/>
    <w:rsid w:val="006F4037"/>
    <w:rsid w:val="006F4193"/>
    <w:rsid w:val="006F4200"/>
    <w:rsid w:val="006F493E"/>
    <w:rsid w:val="006F4A56"/>
    <w:rsid w:val="006F4B1E"/>
    <w:rsid w:val="006F4E64"/>
    <w:rsid w:val="006F4EF2"/>
    <w:rsid w:val="006F4FD9"/>
    <w:rsid w:val="006F56C3"/>
    <w:rsid w:val="006F5716"/>
    <w:rsid w:val="006F5722"/>
    <w:rsid w:val="006F57D2"/>
    <w:rsid w:val="006F5D9B"/>
    <w:rsid w:val="006F6133"/>
    <w:rsid w:val="006F6565"/>
    <w:rsid w:val="006F66CD"/>
    <w:rsid w:val="006F66EA"/>
    <w:rsid w:val="006F6862"/>
    <w:rsid w:val="006F6B16"/>
    <w:rsid w:val="006F6EA8"/>
    <w:rsid w:val="006F7442"/>
    <w:rsid w:val="006F7685"/>
    <w:rsid w:val="006F79D8"/>
    <w:rsid w:val="006F7B3F"/>
    <w:rsid w:val="006F7D5E"/>
    <w:rsid w:val="006F7E2D"/>
    <w:rsid w:val="006F7F99"/>
    <w:rsid w:val="007000B6"/>
    <w:rsid w:val="00700111"/>
    <w:rsid w:val="0070054B"/>
    <w:rsid w:val="007005A4"/>
    <w:rsid w:val="00700FCC"/>
    <w:rsid w:val="007011F0"/>
    <w:rsid w:val="00701C9E"/>
    <w:rsid w:val="00701CF5"/>
    <w:rsid w:val="00701F6D"/>
    <w:rsid w:val="0070206E"/>
    <w:rsid w:val="007020A5"/>
    <w:rsid w:val="007024C0"/>
    <w:rsid w:val="00702942"/>
    <w:rsid w:val="00702C19"/>
    <w:rsid w:val="00702C6E"/>
    <w:rsid w:val="00702D41"/>
    <w:rsid w:val="0070326A"/>
    <w:rsid w:val="007032F1"/>
    <w:rsid w:val="0070380C"/>
    <w:rsid w:val="007039CD"/>
    <w:rsid w:val="00703DF9"/>
    <w:rsid w:val="00703EFD"/>
    <w:rsid w:val="00704145"/>
    <w:rsid w:val="00704792"/>
    <w:rsid w:val="0070483E"/>
    <w:rsid w:val="007048D5"/>
    <w:rsid w:val="00704C9B"/>
    <w:rsid w:val="00704E01"/>
    <w:rsid w:val="00705092"/>
    <w:rsid w:val="00705793"/>
    <w:rsid w:val="007057E9"/>
    <w:rsid w:val="0070580C"/>
    <w:rsid w:val="00705C48"/>
    <w:rsid w:val="00706162"/>
    <w:rsid w:val="0070617C"/>
    <w:rsid w:val="0070621A"/>
    <w:rsid w:val="00706283"/>
    <w:rsid w:val="007066AD"/>
    <w:rsid w:val="00706A35"/>
    <w:rsid w:val="00706D7B"/>
    <w:rsid w:val="00706F23"/>
    <w:rsid w:val="0070715F"/>
    <w:rsid w:val="007071A9"/>
    <w:rsid w:val="00707224"/>
    <w:rsid w:val="00707267"/>
    <w:rsid w:val="0070730B"/>
    <w:rsid w:val="0070732E"/>
    <w:rsid w:val="007074E5"/>
    <w:rsid w:val="00707B59"/>
    <w:rsid w:val="00707B99"/>
    <w:rsid w:val="00707CAA"/>
    <w:rsid w:val="00707E06"/>
    <w:rsid w:val="007100DA"/>
    <w:rsid w:val="00710481"/>
    <w:rsid w:val="007106F3"/>
    <w:rsid w:val="00710792"/>
    <w:rsid w:val="00710868"/>
    <w:rsid w:val="0071094C"/>
    <w:rsid w:val="00710B5D"/>
    <w:rsid w:val="00710BE6"/>
    <w:rsid w:val="00710C38"/>
    <w:rsid w:val="00710F72"/>
    <w:rsid w:val="007110FC"/>
    <w:rsid w:val="007114FA"/>
    <w:rsid w:val="007115EC"/>
    <w:rsid w:val="00711A2F"/>
    <w:rsid w:val="00711A34"/>
    <w:rsid w:val="00711B1C"/>
    <w:rsid w:val="00711C2E"/>
    <w:rsid w:val="00711E3D"/>
    <w:rsid w:val="00711F17"/>
    <w:rsid w:val="00712433"/>
    <w:rsid w:val="007125B7"/>
    <w:rsid w:val="007126A4"/>
    <w:rsid w:val="007126D6"/>
    <w:rsid w:val="007128F2"/>
    <w:rsid w:val="00712C6A"/>
    <w:rsid w:val="00713054"/>
    <w:rsid w:val="00713167"/>
    <w:rsid w:val="007131B2"/>
    <w:rsid w:val="00713C2E"/>
    <w:rsid w:val="00713C6A"/>
    <w:rsid w:val="00713F20"/>
    <w:rsid w:val="00714137"/>
    <w:rsid w:val="0071425A"/>
    <w:rsid w:val="007143D4"/>
    <w:rsid w:val="00714648"/>
    <w:rsid w:val="007147AB"/>
    <w:rsid w:val="00714895"/>
    <w:rsid w:val="007148B4"/>
    <w:rsid w:val="00714BA9"/>
    <w:rsid w:val="00714F39"/>
    <w:rsid w:val="00715104"/>
    <w:rsid w:val="00715116"/>
    <w:rsid w:val="0071512B"/>
    <w:rsid w:val="00715386"/>
    <w:rsid w:val="007156D0"/>
    <w:rsid w:val="007157FD"/>
    <w:rsid w:val="007158A1"/>
    <w:rsid w:val="00715BA3"/>
    <w:rsid w:val="00715CC9"/>
    <w:rsid w:val="00716019"/>
    <w:rsid w:val="0071651E"/>
    <w:rsid w:val="007166AA"/>
    <w:rsid w:val="0071683F"/>
    <w:rsid w:val="00716A03"/>
    <w:rsid w:val="00716A3A"/>
    <w:rsid w:val="00716D5C"/>
    <w:rsid w:val="00717029"/>
    <w:rsid w:val="00717065"/>
    <w:rsid w:val="007172CB"/>
    <w:rsid w:val="00717469"/>
    <w:rsid w:val="007174ED"/>
    <w:rsid w:val="00717769"/>
    <w:rsid w:val="0071777A"/>
    <w:rsid w:val="00717B13"/>
    <w:rsid w:val="00717BAF"/>
    <w:rsid w:val="00717F2F"/>
    <w:rsid w:val="00720594"/>
    <w:rsid w:val="007206BB"/>
    <w:rsid w:val="00720A85"/>
    <w:rsid w:val="00720BD6"/>
    <w:rsid w:val="00720BDD"/>
    <w:rsid w:val="00720DC0"/>
    <w:rsid w:val="007210F1"/>
    <w:rsid w:val="00721168"/>
    <w:rsid w:val="0072126F"/>
    <w:rsid w:val="0072128D"/>
    <w:rsid w:val="00721476"/>
    <w:rsid w:val="007214DB"/>
    <w:rsid w:val="007217BA"/>
    <w:rsid w:val="0072208F"/>
    <w:rsid w:val="0072269B"/>
    <w:rsid w:val="007226A5"/>
    <w:rsid w:val="0072286A"/>
    <w:rsid w:val="00722921"/>
    <w:rsid w:val="00722BAD"/>
    <w:rsid w:val="00722D91"/>
    <w:rsid w:val="00723239"/>
    <w:rsid w:val="00723258"/>
    <w:rsid w:val="0072394C"/>
    <w:rsid w:val="00723D06"/>
    <w:rsid w:val="007240A3"/>
    <w:rsid w:val="007241E4"/>
    <w:rsid w:val="00724619"/>
    <w:rsid w:val="00724759"/>
    <w:rsid w:val="00724873"/>
    <w:rsid w:val="007249DB"/>
    <w:rsid w:val="00724E4B"/>
    <w:rsid w:val="00724FBB"/>
    <w:rsid w:val="00725442"/>
    <w:rsid w:val="00725758"/>
    <w:rsid w:val="00725779"/>
    <w:rsid w:val="00725B15"/>
    <w:rsid w:val="00725B5C"/>
    <w:rsid w:val="00726296"/>
    <w:rsid w:val="007266BB"/>
    <w:rsid w:val="00726701"/>
    <w:rsid w:val="0072685B"/>
    <w:rsid w:val="00726901"/>
    <w:rsid w:val="0072693D"/>
    <w:rsid w:val="00726B06"/>
    <w:rsid w:val="00726BFD"/>
    <w:rsid w:val="00726E1A"/>
    <w:rsid w:val="0072716F"/>
    <w:rsid w:val="00727445"/>
    <w:rsid w:val="00727D26"/>
    <w:rsid w:val="007303A8"/>
    <w:rsid w:val="007309DD"/>
    <w:rsid w:val="00730C7C"/>
    <w:rsid w:val="00730D43"/>
    <w:rsid w:val="00730E88"/>
    <w:rsid w:val="00730EE5"/>
    <w:rsid w:val="0073138C"/>
    <w:rsid w:val="00731764"/>
    <w:rsid w:val="00731C37"/>
    <w:rsid w:val="00731E7E"/>
    <w:rsid w:val="00731E83"/>
    <w:rsid w:val="00731EC5"/>
    <w:rsid w:val="007320B0"/>
    <w:rsid w:val="007322A7"/>
    <w:rsid w:val="00732318"/>
    <w:rsid w:val="007323A2"/>
    <w:rsid w:val="007323FD"/>
    <w:rsid w:val="00732429"/>
    <w:rsid w:val="00732582"/>
    <w:rsid w:val="00732658"/>
    <w:rsid w:val="007326F3"/>
    <w:rsid w:val="00732751"/>
    <w:rsid w:val="0073290B"/>
    <w:rsid w:val="00732D46"/>
    <w:rsid w:val="00732D4D"/>
    <w:rsid w:val="00732F6B"/>
    <w:rsid w:val="0073329B"/>
    <w:rsid w:val="00733428"/>
    <w:rsid w:val="00733561"/>
    <w:rsid w:val="00733697"/>
    <w:rsid w:val="00733957"/>
    <w:rsid w:val="00733BFF"/>
    <w:rsid w:val="007340B4"/>
    <w:rsid w:val="007344D9"/>
    <w:rsid w:val="00734CCD"/>
    <w:rsid w:val="00734D4A"/>
    <w:rsid w:val="00734DE7"/>
    <w:rsid w:val="00734E1B"/>
    <w:rsid w:val="00734F18"/>
    <w:rsid w:val="00735304"/>
    <w:rsid w:val="0073585B"/>
    <w:rsid w:val="007358B1"/>
    <w:rsid w:val="00735CAF"/>
    <w:rsid w:val="0073603E"/>
    <w:rsid w:val="007361C5"/>
    <w:rsid w:val="00736ACA"/>
    <w:rsid w:val="00736C6A"/>
    <w:rsid w:val="00736D02"/>
    <w:rsid w:val="00736ED1"/>
    <w:rsid w:val="00736F7B"/>
    <w:rsid w:val="00737382"/>
    <w:rsid w:val="0073748D"/>
    <w:rsid w:val="007376A9"/>
    <w:rsid w:val="007376DC"/>
    <w:rsid w:val="00737C80"/>
    <w:rsid w:val="00737D1D"/>
    <w:rsid w:val="00737FC7"/>
    <w:rsid w:val="00737FFD"/>
    <w:rsid w:val="00740600"/>
    <w:rsid w:val="007408ED"/>
    <w:rsid w:val="0074090D"/>
    <w:rsid w:val="00740982"/>
    <w:rsid w:val="00740A6C"/>
    <w:rsid w:val="00740B6C"/>
    <w:rsid w:val="00740E04"/>
    <w:rsid w:val="007411DC"/>
    <w:rsid w:val="00741658"/>
    <w:rsid w:val="00741798"/>
    <w:rsid w:val="007417F9"/>
    <w:rsid w:val="0074199A"/>
    <w:rsid w:val="00741E17"/>
    <w:rsid w:val="007426F9"/>
    <w:rsid w:val="00742B10"/>
    <w:rsid w:val="00742BE7"/>
    <w:rsid w:val="00742F27"/>
    <w:rsid w:val="007433AD"/>
    <w:rsid w:val="00743578"/>
    <w:rsid w:val="007436A3"/>
    <w:rsid w:val="00743849"/>
    <w:rsid w:val="00743854"/>
    <w:rsid w:val="00743990"/>
    <w:rsid w:val="00743A27"/>
    <w:rsid w:val="00743BA9"/>
    <w:rsid w:val="00743C42"/>
    <w:rsid w:val="00743EA4"/>
    <w:rsid w:val="0074476A"/>
    <w:rsid w:val="007447B2"/>
    <w:rsid w:val="00744888"/>
    <w:rsid w:val="00744A0D"/>
    <w:rsid w:val="00744A82"/>
    <w:rsid w:val="00744B13"/>
    <w:rsid w:val="00744C4A"/>
    <w:rsid w:val="00744D6C"/>
    <w:rsid w:val="00744E24"/>
    <w:rsid w:val="00745666"/>
    <w:rsid w:val="0074594E"/>
    <w:rsid w:val="00745AEF"/>
    <w:rsid w:val="00745BC3"/>
    <w:rsid w:val="00745D09"/>
    <w:rsid w:val="007461D1"/>
    <w:rsid w:val="007473D2"/>
    <w:rsid w:val="007476C2"/>
    <w:rsid w:val="007476C5"/>
    <w:rsid w:val="007477EE"/>
    <w:rsid w:val="0074789A"/>
    <w:rsid w:val="00747935"/>
    <w:rsid w:val="007479CC"/>
    <w:rsid w:val="00747D69"/>
    <w:rsid w:val="007502FD"/>
    <w:rsid w:val="00750363"/>
    <w:rsid w:val="00750366"/>
    <w:rsid w:val="007503A3"/>
    <w:rsid w:val="00750645"/>
    <w:rsid w:val="00750B7E"/>
    <w:rsid w:val="00750F59"/>
    <w:rsid w:val="0075154E"/>
    <w:rsid w:val="00751621"/>
    <w:rsid w:val="007516E0"/>
    <w:rsid w:val="00751A95"/>
    <w:rsid w:val="00751AE3"/>
    <w:rsid w:val="00751BC5"/>
    <w:rsid w:val="00751FB1"/>
    <w:rsid w:val="00752609"/>
    <w:rsid w:val="00752F2D"/>
    <w:rsid w:val="00753239"/>
    <w:rsid w:val="0075343D"/>
    <w:rsid w:val="0075388D"/>
    <w:rsid w:val="00753A10"/>
    <w:rsid w:val="00753A9D"/>
    <w:rsid w:val="00753CB1"/>
    <w:rsid w:val="00753EDC"/>
    <w:rsid w:val="00754135"/>
    <w:rsid w:val="0075426F"/>
    <w:rsid w:val="00754287"/>
    <w:rsid w:val="00754317"/>
    <w:rsid w:val="00754461"/>
    <w:rsid w:val="007544F5"/>
    <w:rsid w:val="00754725"/>
    <w:rsid w:val="0075496A"/>
    <w:rsid w:val="00754F42"/>
    <w:rsid w:val="0075507F"/>
    <w:rsid w:val="007550AC"/>
    <w:rsid w:val="00755A23"/>
    <w:rsid w:val="00755CB6"/>
    <w:rsid w:val="00755FA4"/>
    <w:rsid w:val="00756397"/>
    <w:rsid w:val="0075646B"/>
    <w:rsid w:val="007567EB"/>
    <w:rsid w:val="00756BB3"/>
    <w:rsid w:val="00756E22"/>
    <w:rsid w:val="007570F0"/>
    <w:rsid w:val="0075730B"/>
    <w:rsid w:val="00757329"/>
    <w:rsid w:val="00757456"/>
    <w:rsid w:val="0075745D"/>
    <w:rsid w:val="007574A2"/>
    <w:rsid w:val="007576D5"/>
    <w:rsid w:val="0075793E"/>
    <w:rsid w:val="007579F5"/>
    <w:rsid w:val="00757D2C"/>
    <w:rsid w:val="00757D65"/>
    <w:rsid w:val="00757E7C"/>
    <w:rsid w:val="00757FD0"/>
    <w:rsid w:val="00757FEB"/>
    <w:rsid w:val="00760241"/>
    <w:rsid w:val="00760302"/>
    <w:rsid w:val="0076097E"/>
    <w:rsid w:val="00760C61"/>
    <w:rsid w:val="00761305"/>
    <w:rsid w:val="0076137C"/>
    <w:rsid w:val="0076155B"/>
    <w:rsid w:val="00761631"/>
    <w:rsid w:val="00761638"/>
    <w:rsid w:val="00761662"/>
    <w:rsid w:val="00761841"/>
    <w:rsid w:val="00761C9A"/>
    <w:rsid w:val="00761D43"/>
    <w:rsid w:val="00762061"/>
    <w:rsid w:val="0076209F"/>
    <w:rsid w:val="007621C5"/>
    <w:rsid w:val="0076238B"/>
    <w:rsid w:val="0076240B"/>
    <w:rsid w:val="0076245B"/>
    <w:rsid w:val="00762624"/>
    <w:rsid w:val="007627A3"/>
    <w:rsid w:val="007627EE"/>
    <w:rsid w:val="007630DB"/>
    <w:rsid w:val="00763381"/>
    <w:rsid w:val="00763755"/>
    <w:rsid w:val="007637EF"/>
    <w:rsid w:val="00763BB3"/>
    <w:rsid w:val="00763DD0"/>
    <w:rsid w:val="00764123"/>
    <w:rsid w:val="00764AA0"/>
    <w:rsid w:val="00764DCB"/>
    <w:rsid w:val="00764E97"/>
    <w:rsid w:val="00764EEC"/>
    <w:rsid w:val="00764FA4"/>
    <w:rsid w:val="0076523B"/>
    <w:rsid w:val="00765302"/>
    <w:rsid w:val="007654F3"/>
    <w:rsid w:val="007655A6"/>
    <w:rsid w:val="0076562A"/>
    <w:rsid w:val="00765928"/>
    <w:rsid w:val="00765D44"/>
    <w:rsid w:val="00765D8F"/>
    <w:rsid w:val="007661EA"/>
    <w:rsid w:val="0076622E"/>
    <w:rsid w:val="00766A5D"/>
    <w:rsid w:val="00766A7E"/>
    <w:rsid w:val="00766BD0"/>
    <w:rsid w:val="00766CF8"/>
    <w:rsid w:val="00766E5A"/>
    <w:rsid w:val="00767012"/>
    <w:rsid w:val="0076725E"/>
    <w:rsid w:val="007674CA"/>
    <w:rsid w:val="007675D0"/>
    <w:rsid w:val="0076774B"/>
    <w:rsid w:val="00767B3D"/>
    <w:rsid w:val="00767CAF"/>
    <w:rsid w:val="00767F8C"/>
    <w:rsid w:val="0077018D"/>
    <w:rsid w:val="0077040E"/>
    <w:rsid w:val="00770611"/>
    <w:rsid w:val="007708FB"/>
    <w:rsid w:val="00770BCD"/>
    <w:rsid w:val="00770BD8"/>
    <w:rsid w:val="00770CF6"/>
    <w:rsid w:val="00770E08"/>
    <w:rsid w:val="00770F6F"/>
    <w:rsid w:val="0077159E"/>
    <w:rsid w:val="00771939"/>
    <w:rsid w:val="00771A8A"/>
    <w:rsid w:val="00771CC4"/>
    <w:rsid w:val="00771DC9"/>
    <w:rsid w:val="00772760"/>
    <w:rsid w:val="007727BA"/>
    <w:rsid w:val="007729A0"/>
    <w:rsid w:val="00772D6E"/>
    <w:rsid w:val="00772FBC"/>
    <w:rsid w:val="00773541"/>
    <w:rsid w:val="007736DE"/>
    <w:rsid w:val="00773D81"/>
    <w:rsid w:val="00773E33"/>
    <w:rsid w:val="00773EE8"/>
    <w:rsid w:val="00774007"/>
    <w:rsid w:val="007743C2"/>
    <w:rsid w:val="007747A2"/>
    <w:rsid w:val="007747C9"/>
    <w:rsid w:val="00774CCA"/>
    <w:rsid w:val="00774DEE"/>
    <w:rsid w:val="00774E58"/>
    <w:rsid w:val="00774E74"/>
    <w:rsid w:val="00774EC4"/>
    <w:rsid w:val="00775358"/>
    <w:rsid w:val="0077542C"/>
    <w:rsid w:val="007754CF"/>
    <w:rsid w:val="00775722"/>
    <w:rsid w:val="0077578F"/>
    <w:rsid w:val="0077579F"/>
    <w:rsid w:val="007757D4"/>
    <w:rsid w:val="00775895"/>
    <w:rsid w:val="00775C7D"/>
    <w:rsid w:val="00775CE2"/>
    <w:rsid w:val="0077610B"/>
    <w:rsid w:val="00776265"/>
    <w:rsid w:val="00776439"/>
    <w:rsid w:val="007764D9"/>
    <w:rsid w:val="007764DD"/>
    <w:rsid w:val="00776737"/>
    <w:rsid w:val="00776800"/>
    <w:rsid w:val="00776C59"/>
    <w:rsid w:val="00776D9E"/>
    <w:rsid w:val="007770E6"/>
    <w:rsid w:val="0077725F"/>
    <w:rsid w:val="007772C1"/>
    <w:rsid w:val="0077749D"/>
    <w:rsid w:val="0077751A"/>
    <w:rsid w:val="007775CB"/>
    <w:rsid w:val="00777D8F"/>
    <w:rsid w:val="007803EA"/>
    <w:rsid w:val="007804E2"/>
    <w:rsid w:val="00780688"/>
    <w:rsid w:val="0078069A"/>
    <w:rsid w:val="00780735"/>
    <w:rsid w:val="00780750"/>
    <w:rsid w:val="00780866"/>
    <w:rsid w:val="00780A9D"/>
    <w:rsid w:val="00780DC8"/>
    <w:rsid w:val="0078122E"/>
    <w:rsid w:val="0078159D"/>
    <w:rsid w:val="00781E82"/>
    <w:rsid w:val="00781F6F"/>
    <w:rsid w:val="0078209A"/>
    <w:rsid w:val="00782153"/>
    <w:rsid w:val="00782635"/>
    <w:rsid w:val="007827FF"/>
    <w:rsid w:val="00782CFF"/>
    <w:rsid w:val="00782E78"/>
    <w:rsid w:val="007830F7"/>
    <w:rsid w:val="0078327D"/>
    <w:rsid w:val="007833EA"/>
    <w:rsid w:val="00783926"/>
    <w:rsid w:val="00784403"/>
    <w:rsid w:val="007846D5"/>
    <w:rsid w:val="007846EC"/>
    <w:rsid w:val="007848C3"/>
    <w:rsid w:val="007848E4"/>
    <w:rsid w:val="00784C64"/>
    <w:rsid w:val="00784E9D"/>
    <w:rsid w:val="00784ED9"/>
    <w:rsid w:val="0078547E"/>
    <w:rsid w:val="00785551"/>
    <w:rsid w:val="00785735"/>
    <w:rsid w:val="00785794"/>
    <w:rsid w:val="00785C39"/>
    <w:rsid w:val="00785D03"/>
    <w:rsid w:val="00786278"/>
    <w:rsid w:val="0078653A"/>
    <w:rsid w:val="007865FB"/>
    <w:rsid w:val="00786691"/>
    <w:rsid w:val="00786B3E"/>
    <w:rsid w:val="00786DCD"/>
    <w:rsid w:val="00786F29"/>
    <w:rsid w:val="0078736B"/>
    <w:rsid w:val="007876D5"/>
    <w:rsid w:val="0078790D"/>
    <w:rsid w:val="007879A6"/>
    <w:rsid w:val="00787DD0"/>
    <w:rsid w:val="00787DE7"/>
    <w:rsid w:val="00787E65"/>
    <w:rsid w:val="00790265"/>
    <w:rsid w:val="00790794"/>
    <w:rsid w:val="00790806"/>
    <w:rsid w:val="00790CF3"/>
    <w:rsid w:val="0079113A"/>
    <w:rsid w:val="0079117C"/>
    <w:rsid w:val="00791472"/>
    <w:rsid w:val="007915A0"/>
    <w:rsid w:val="007918A0"/>
    <w:rsid w:val="007918D6"/>
    <w:rsid w:val="00791A46"/>
    <w:rsid w:val="00791AC0"/>
    <w:rsid w:val="00791ED0"/>
    <w:rsid w:val="00791F8A"/>
    <w:rsid w:val="00792052"/>
    <w:rsid w:val="007920AD"/>
    <w:rsid w:val="00792561"/>
    <w:rsid w:val="0079266F"/>
    <w:rsid w:val="007928BF"/>
    <w:rsid w:val="00792976"/>
    <w:rsid w:val="00792984"/>
    <w:rsid w:val="00792A73"/>
    <w:rsid w:val="00793928"/>
    <w:rsid w:val="007939E7"/>
    <w:rsid w:val="00793A41"/>
    <w:rsid w:val="00793D29"/>
    <w:rsid w:val="00793D66"/>
    <w:rsid w:val="00793D82"/>
    <w:rsid w:val="00793D97"/>
    <w:rsid w:val="00793F7A"/>
    <w:rsid w:val="00794630"/>
    <w:rsid w:val="0079546D"/>
    <w:rsid w:val="00795511"/>
    <w:rsid w:val="00795543"/>
    <w:rsid w:val="0079569A"/>
    <w:rsid w:val="00795846"/>
    <w:rsid w:val="00795933"/>
    <w:rsid w:val="00795D14"/>
    <w:rsid w:val="00795DD0"/>
    <w:rsid w:val="0079600B"/>
    <w:rsid w:val="00796375"/>
    <w:rsid w:val="007964C3"/>
    <w:rsid w:val="00796C9A"/>
    <w:rsid w:val="00796D85"/>
    <w:rsid w:val="00796DD2"/>
    <w:rsid w:val="00796EC1"/>
    <w:rsid w:val="00796F05"/>
    <w:rsid w:val="00796F32"/>
    <w:rsid w:val="0079725D"/>
    <w:rsid w:val="007973BA"/>
    <w:rsid w:val="007976BE"/>
    <w:rsid w:val="0079779F"/>
    <w:rsid w:val="007977DD"/>
    <w:rsid w:val="00797BCA"/>
    <w:rsid w:val="00797C3C"/>
    <w:rsid w:val="007A0015"/>
    <w:rsid w:val="007A00AE"/>
    <w:rsid w:val="007A07EB"/>
    <w:rsid w:val="007A09CD"/>
    <w:rsid w:val="007A0DA4"/>
    <w:rsid w:val="007A0E13"/>
    <w:rsid w:val="007A0EE9"/>
    <w:rsid w:val="007A14B2"/>
    <w:rsid w:val="007A14C3"/>
    <w:rsid w:val="007A1513"/>
    <w:rsid w:val="007A19DE"/>
    <w:rsid w:val="007A1BD6"/>
    <w:rsid w:val="007A1C9C"/>
    <w:rsid w:val="007A1E61"/>
    <w:rsid w:val="007A27BD"/>
    <w:rsid w:val="007A27FC"/>
    <w:rsid w:val="007A2C13"/>
    <w:rsid w:val="007A2FEF"/>
    <w:rsid w:val="007A3024"/>
    <w:rsid w:val="007A308A"/>
    <w:rsid w:val="007A324A"/>
    <w:rsid w:val="007A3250"/>
    <w:rsid w:val="007A325D"/>
    <w:rsid w:val="007A3343"/>
    <w:rsid w:val="007A3407"/>
    <w:rsid w:val="007A34BC"/>
    <w:rsid w:val="007A3929"/>
    <w:rsid w:val="007A3A22"/>
    <w:rsid w:val="007A3C6C"/>
    <w:rsid w:val="007A3CFD"/>
    <w:rsid w:val="007A3F0B"/>
    <w:rsid w:val="007A405C"/>
    <w:rsid w:val="007A427A"/>
    <w:rsid w:val="007A4369"/>
    <w:rsid w:val="007A4410"/>
    <w:rsid w:val="007A464F"/>
    <w:rsid w:val="007A49CE"/>
    <w:rsid w:val="007A4E80"/>
    <w:rsid w:val="007A4ED6"/>
    <w:rsid w:val="007A505B"/>
    <w:rsid w:val="007A5065"/>
    <w:rsid w:val="007A506B"/>
    <w:rsid w:val="007A508C"/>
    <w:rsid w:val="007A5241"/>
    <w:rsid w:val="007A5250"/>
    <w:rsid w:val="007A531F"/>
    <w:rsid w:val="007A555C"/>
    <w:rsid w:val="007A5595"/>
    <w:rsid w:val="007A55B3"/>
    <w:rsid w:val="007A5984"/>
    <w:rsid w:val="007A5B7B"/>
    <w:rsid w:val="007A62D7"/>
    <w:rsid w:val="007A6325"/>
    <w:rsid w:val="007A6998"/>
    <w:rsid w:val="007A6E1B"/>
    <w:rsid w:val="007A6F45"/>
    <w:rsid w:val="007A7409"/>
    <w:rsid w:val="007A769B"/>
    <w:rsid w:val="007A78E9"/>
    <w:rsid w:val="007A792D"/>
    <w:rsid w:val="007A7D88"/>
    <w:rsid w:val="007A7DE5"/>
    <w:rsid w:val="007A7F70"/>
    <w:rsid w:val="007A7F75"/>
    <w:rsid w:val="007A7FE9"/>
    <w:rsid w:val="007B060B"/>
    <w:rsid w:val="007B079A"/>
    <w:rsid w:val="007B0A01"/>
    <w:rsid w:val="007B0D43"/>
    <w:rsid w:val="007B0E09"/>
    <w:rsid w:val="007B1004"/>
    <w:rsid w:val="007B121E"/>
    <w:rsid w:val="007B149B"/>
    <w:rsid w:val="007B20B6"/>
    <w:rsid w:val="007B20ED"/>
    <w:rsid w:val="007B26F9"/>
    <w:rsid w:val="007B2814"/>
    <w:rsid w:val="007B2B03"/>
    <w:rsid w:val="007B2CFB"/>
    <w:rsid w:val="007B2F50"/>
    <w:rsid w:val="007B312C"/>
    <w:rsid w:val="007B39C1"/>
    <w:rsid w:val="007B39E0"/>
    <w:rsid w:val="007B3F5F"/>
    <w:rsid w:val="007B3F99"/>
    <w:rsid w:val="007B3FA2"/>
    <w:rsid w:val="007B4167"/>
    <w:rsid w:val="007B4182"/>
    <w:rsid w:val="007B4220"/>
    <w:rsid w:val="007B44B3"/>
    <w:rsid w:val="007B46DB"/>
    <w:rsid w:val="007B48BF"/>
    <w:rsid w:val="007B492F"/>
    <w:rsid w:val="007B4E52"/>
    <w:rsid w:val="007B5021"/>
    <w:rsid w:val="007B5055"/>
    <w:rsid w:val="007B5277"/>
    <w:rsid w:val="007B5430"/>
    <w:rsid w:val="007B5452"/>
    <w:rsid w:val="007B5989"/>
    <w:rsid w:val="007B5A6D"/>
    <w:rsid w:val="007B5C71"/>
    <w:rsid w:val="007B6081"/>
    <w:rsid w:val="007B64C7"/>
    <w:rsid w:val="007B65A9"/>
    <w:rsid w:val="007B6C0F"/>
    <w:rsid w:val="007B7573"/>
    <w:rsid w:val="007B7650"/>
    <w:rsid w:val="007B7926"/>
    <w:rsid w:val="007B7F35"/>
    <w:rsid w:val="007C0194"/>
    <w:rsid w:val="007C090D"/>
    <w:rsid w:val="007C0ABE"/>
    <w:rsid w:val="007C0E0F"/>
    <w:rsid w:val="007C10C3"/>
    <w:rsid w:val="007C12D2"/>
    <w:rsid w:val="007C12EA"/>
    <w:rsid w:val="007C18C7"/>
    <w:rsid w:val="007C1C12"/>
    <w:rsid w:val="007C1D52"/>
    <w:rsid w:val="007C1DD5"/>
    <w:rsid w:val="007C1F07"/>
    <w:rsid w:val="007C220F"/>
    <w:rsid w:val="007C28F2"/>
    <w:rsid w:val="007C2986"/>
    <w:rsid w:val="007C2D30"/>
    <w:rsid w:val="007C3026"/>
    <w:rsid w:val="007C31D5"/>
    <w:rsid w:val="007C3315"/>
    <w:rsid w:val="007C3866"/>
    <w:rsid w:val="007C3D1D"/>
    <w:rsid w:val="007C4038"/>
    <w:rsid w:val="007C4058"/>
    <w:rsid w:val="007C40FD"/>
    <w:rsid w:val="007C44EB"/>
    <w:rsid w:val="007C4598"/>
    <w:rsid w:val="007C4D56"/>
    <w:rsid w:val="007C4DA9"/>
    <w:rsid w:val="007C4E34"/>
    <w:rsid w:val="007C4FA0"/>
    <w:rsid w:val="007C5279"/>
    <w:rsid w:val="007C579B"/>
    <w:rsid w:val="007C5EB6"/>
    <w:rsid w:val="007C60F5"/>
    <w:rsid w:val="007C65EF"/>
    <w:rsid w:val="007C6BBA"/>
    <w:rsid w:val="007C6FD4"/>
    <w:rsid w:val="007C7164"/>
    <w:rsid w:val="007C73DB"/>
    <w:rsid w:val="007C743F"/>
    <w:rsid w:val="007C79B8"/>
    <w:rsid w:val="007C7C93"/>
    <w:rsid w:val="007D036C"/>
    <w:rsid w:val="007D0769"/>
    <w:rsid w:val="007D0DD0"/>
    <w:rsid w:val="007D10B2"/>
    <w:rsid w:val="007D10D8"/>
    <w:rsid w:val="007D1249"/>
    <w:rsid w:val="007D1389"/>
    <w:rsid w:val="007D1602"/>
    <w:rsid w:val="007D1630"/>
    <w:rsid w:val="007D17D2"/>
    <w:rsid w:val="007D1D12"/>
    <w:rsid w:val="007D1E5C"/>
    <w:rsid w:val="007D1FE3"/>
    <w:rsid w:val="007D2102"/>
    <w:rsid w:val="007D2388"/>
    <w:rsid w:val="007D2526"/>
    <w:rsid w:val="007D2614"/>
    <w:rsid w:val="007D2857"/>
    <w:rsid w:val="007D2A0D"/>
    <w:rsid w:val="007D2B48"/>
    <w:rsid w:val="007D2C32"/>
    <w:rsid w:val="007D2FC6"/>
    <w:rsid w:val="007D308A"/>
    <w:rsid w:val="007D3407"/>
    <w:rsid w:val="007D35C2"/>
    <w:rsid w:val="007D374A"/>
    <w:rsid w:val="007D375C"/>
    <w:rsid w:val="007D3B59"/>
    <w:rsid w:val="007D3CD6"/>
    <w:rsid w:val="007D3E89"/>
    <w:rsid w:val="007D4092"/>
    <w:rsid w:val="007D48C6"/>
    <w:rsid w:val="007D4A3F"/>
    <w:rsid w:val="007D4E55"/>
    <w:rsid w:val="007D4FD4"/>
    <w:rsid w:val="007D5008"/>
    <w:rsid w:val="007D5065"/>
    <w:rsid w:val="007D53E3"/>
    <w:rsid w:val="007D54AD"/>
    <w:rsid w:val="007D57D7"/>
    <w:rsid w:val="007D5AD0"/>
    <w:rsid w:val="007D6CF7"/>
    <w:rsid w:val="007D6E57"/>
    <w:rsid w:val="007D70F7"/>
    <w:rsid w:val="007D715E"/>
    <w:rsid w:val="007D71EE"/>
    <w:rsid w:val="007D7246"/>
    <w:rsid w:val="007D739F"/>
    <w:rsid w:val="007D77B8"/>
    <w:rsid w:val="007D793B"/>
    <w:rsid w:val="007D7B74"/>
    <w:rsid w:val="007E01BF"/>
    <w:rsid w:val="007E02FC"/>
    <w:rsid w:val="007E042B"/>
    <w:rsid w:val="007E0435"/>
    <w:rsid w:val="007E048F"/>
    <w:rsid w:val="007E08E9"/>
    <w:rsid w:val="007E09B8"/>
    <w:rsid w:val="007E09E2"/>
    <w:rsid w:val="007E0C0A"/>
    <w:rsid w:val="007E0C2D"/>
    <w:rsid w:val="007E0E1B"/>
    <w:rsid w:val="007E0E7F"/>
    <w:rsid w:val="007E0FBB"/>
    <w:rsid w:val="007E0FF1"/>
    <w:rsid w:val="007E14CD"/>
    <w:rsid w:val="007E172E"/>
    <w:rsid w:val="007E1B2A"/>
    <w:rsid w:val="007E1BA1"/>
    <w:rsid w:val="007E1F8E"/>
    <w:rsid w:val="007E1F9A"/>
    <w:rsid w:val="007E2050"/>
    <w:rsid w:val="007E20D6"/>
    <w:rsid w:val="007E222E"/>
    <w:rsid w:val="007E25DC"/>
    <w:rsid w:val="007E264D"/>
    <w:rsid w:val="007E2793"/>
    <w:rsid w:val="007E2D9F"/>
    <w:rsid w:val="007E3170"/>
    <w:rsid w:val="007E31A7"/>
    <w:rsid w:val="007E3212"/>
    <w:rsid w:val="007E3260"/>
    <w:rsid w:val="007E3379"/>
    <w:rsid w:val="007E34DB"/>
    <w:rsid w:val="007E36AC"/>
    <w:rsid w:val="007E3A05"/>
    <w:rsid w:val="007E3C10"/>
    <w:rsid w:val="007E3C11"/>
    <w:rsid w:val="007E3C28"/>
    <w:rsid w:val="007E3E94"/>
    <w:rsid w:val="007E4049"/>
    <w:rsid w:val="007E40D0"/>
    <w:rsid w:val="007E40EA"/>
    <w:rsid w:val="007E4173"/>
    <w:rsid w:val="007E45F2"/>
    <w:rsid w:val="007E4892"/>
    <w:rsid w:val="007E4DD3"/>
    <w:rsid w:val="007E523F"/>
    <w:rsid w:val="007E540E"/>
    <w:rsid w:val="007E5891"/>
    <w:rsid w:val="007E59D5"/>
    <w:rsid w:val="007E60F8"/>
    <w:rsid w:val="007E6A5A"/>
    <w:rsid w:val="007E7075"/>
    <w:rsid w:val="007E72C3"/>
    <w:rsid w:val="007E76F2"/>
    <w:rsid w:val="007E7813"/>
    <w:rsid w:val="007E799E"/>
    <w:rsid w:val="007E7D0F"/>
    <w:rsid w:val="007E7F3D"/>
    <w:rsid w:val="007F01B9"/>
    <w:rsid w:val="007F03B2"/>
    <w:rsid w:val="007F0406"/>
    <w:rsid w:val="007F04DB"/>
    <w:rsid w:val="007F0A38"/>
    <w:rsid w:val="007F0A87"/>
    <w:rsid w:val="007F0A8D"/>
    <w:rsid w:val="007F0B54"/>
    <w:rsid w:val="007F1191"/>
    <w:rsid w:val="007F139A"/>
    <w:rsid w:val="007F16CB"/>
    <w:rsid w:val="007F171B"/>
    <w:rsid w:val="007F1B7F"/>
    <w:rsid w:val="007F1BEC"/>
    <w:rsid w:val="007F1C2C"/>
    <w:rsid w:val="007F1E7E"/>
    <w:rsid w:val="007F20B4"/>
    <w:rsid w:val="007F210E"/>
    <w:rsid w:val="007F2180"/>
    <w:rsid w:val="007F24A4"/>
    <w:rsid w:val="007F24FC"/>
    <w:rsid w:val="007F2957"/>
    <w:rsid w:val="007F29EF"/>
    <w:rsid w:val="007F2AE5"/>
    <w:rsid w:val="007F2CE0"/>
    <w:rsid w:val="007F31EA"/>
    <w:rsid w:val="007F35BE"/>
    <w:rsid w:val="007F3924"/>
    <w:rsid w:val="007F3A09"/>
    <w:rsid w:val="007F3A65"/>
    <w:rsid w:val="007F3B0B"/>
    <w:rsid w:val="007F3C08"/>
    <w:rsid w:val="007F3CA2"/>
    <w:rsid w:val="007F3FAC"/>
    <w:rsid w:val="007F4295"/>
    <w:rsid w:val="007F4411"/>
    <w:rsid w:val="007F44C6"/>
    <w:rsid w:val="007F4714"/>
    <w:rsid w:val="007F4909"/>
    <w:rsid w:val="007F499A"/>
    <w:rsid w:val="007F4B12"/>
    <w:rsid w:val="007F4BB2"/>
    <w:rsid w:val="007F4E47"/>
    <w:rsid w:val="007F5033"/>
    <w:rsid w:val="007F546C"/>
    <w:rsid w:val="007F5492"/>
    <w:rsid w:val="007F5566"/>
    <w:rsid w:val="007F57E9"/>
    <w:rsid w:val="007F57EE"/>
    <w:rsid w:val="007F5AB2"/>
    <w:rsid w:val="007F5BC9"/>
    <w:rsid w:val="007F5E73"/>
    <w:rsid w:val="007F5EBC"/>
    <w:rsid w:val="007F5F73"/>
    <w:rsid w:val="007F62E8"/>
    <w:rsid w:val="007F6982"/>
    <w:rsid w:val="007F6E3C"/>
    <w:rsid w:val="007F6F8A"/>
    <w:rsid w:val="007F72AD"/>
    <w:rsid w:val="007F734B"/>
    <w:rsid w:val="007F737A"/>
    <w:rsid w:val="007F73D0"/>
    <w:rsid w:val="007F75DA"/>
    <w:rsid w:val="007F7717"/>
    <w:rsid w:val="007F7969"/>
    <w:rsid w:val="007F7AA9"/>
    <w:rsid w:val="007F7DD7"/>
    <w:rsid w:val="007F7DE7"/>
    <w:rsid w:val="00800396"/>
    <w:rsid w:val="008005FB"/>
    <w:rsid w:val="00800907"/>
    <w:rsid w:val="00800AA5"/>
    <w:rsid w:val="00800C9A"/>
    <w:rsid w:val="00800F17"/>
    <w:rsid w:val="00801614"/>
    <w:rsid w:val="0080163B"/>
    <w:rsid w:val="00801733"/>
    <w:rsid w:val="00801AE3"/>
    <w:rsid w:val="00801B5E"/>
    <w:rsid w:val="00801B98"/>
    <w:rsid w:val="00802A83"/>
    <w:rsid w:val="0080302D"/>
    <w:rsid w:val="008036D1"/>
    <w:rsid w:val="00803937"/>
    <w:rsid w:val="00803D80"/>
    <w:rsid w:val="00803EFF"/>
    <w:rsid w:val="00803FF2"/>
    <w:rsid w:val="00804259"/>
    <w:rsid w:val="00804442"/>
    <w:rsid w:val="00804491"/>
    <w:rsid w:val="008048E4"/>
    <w:rsid w:val="0080496A"/>
    <w:rsid w:val="00804ACB"/>
    <w:rsid w:val="00804DD7"/>
    <w:rsid w:val="00804F3F"/>
    <w:rsid w:val="0080551B"/>
    <w:rsid w:val="0080556C"/>
    <w:rsid w:val="0080567E"/>
    <w:rsid w:val="00805A65"/>
    <w:rsid w:val="0080606F"/>
    <w:rsid w:val="008061A5"/>
    <w:rsid w:val="0080667B"/>
    <w:rsid w:val="00806956"/>
    <w:rsid w:val="00806BAB"/>
    <w:rsid w:val="00806CBC"/>
    <w:rsid w:val="00806DB7"/>
    <w:rsid w:val="00806F63"/>
    <w:rsid w:val="008072D9"/>
    <w:rsid w:val="008072FE"/>
    <w:rsid w:val="008074FE"/>
    <w:rsid w:val="0080758D"/>
    <w:rsid w:val="00807B56"/>
    <w:rsid w:val="00807CDA"/>
    <w:rsid w:val="00807F1E"/>
    <w:rsid w:val="00807F66"/>
    <w:rsid w:val="008103DA"/>
    <w:rsid w:val="008104A4"/>
    <w:rsid w:val="00810703"/>
    <w:rsid w:val="0081079B"/>
    <w:rsid w:val="00810839"/>
    <w:rsid w:val="00810971"/>
    <w:rsid w:val="00810CD7"/>
    <w:rsid w:val="008110BD"/>
    <w:rsid w:val="0081129B"/>
    <w:rsid w:val="00811390"/>
    <w:rsid w:val="0081165A"/>
    <w:rsid w:val="00811995"/>
    <w:rsid w:val="008119BC"/>
    <w:rsid w:val="00811A99"/>
    <w:rsid w:val="00811D97"/>
    <w:rsid w:val="00811DD2"/>
    <w:rsid w:val="0081201D"/>
    <w:rsid w:val="008123C5"/>
    <w:rsid w:val="008124CF"/>
    <w:rsid w:val="0081297A"/>
    <w:rsid w:val="00812A46"/>
    <w:rsid w:val="00812CED"/>
    <w:rsid w:val="0081340F"/>
    <w:rsid w:val="00813574"/>
    <w:rsid w:val="00813906"/>
    <w:rsid w:val="00813983"/>
    <w:rsid w:val="008139D6"/>
    <w:rsid w:val="00813B36"/>
    <w:rsid w:val="00813DE5"/>
    <w:rsid w:val="00813E89"/>
    <w:rsid w:val="008146C3"/>
    <w:rsid w:val="00814862"/>
    <w:rsid w:val="00814952"/>
    <w:rsid w:val="00814EAB"/>
    <w:rsid w:val="008153E8"/>
    <w:rsid w:val="0081567C"/>
    <w:rsid w:val="00815D57"/>
    <w:rsid w:val="00815E51"/>
    <w:rsid w:val="00815F07"/>
    <w:rsid w:val="0081607F"/>
    <w:rsid w:val="0081679B"/>
    <w:rsid w:val="00816C81"/>
    <w:rsid w:val="00816E5D"/>
    <w:rsid w:val="00816FEF"/>
    <w:rsid w:val="008171B1"/>
    <w:rsid w:val="008175DA"/>
    <w:rsid w:val="00817BE6"/>
    <w:rsid w:val="00817DA8"/>
    <w:rsid w:val="0082012C"/>
    <w:rsid w:val="0082022F"/>
    <w:rsid w:val="008204D0"/>
    <w:rsid w:val="0082081E"/>
    <w:rsid w:val="00820A9A"/>
    <w:rsid w:val="00821153"/>
    <w:rsid w:val="0082160A"/>
    <w:rsid w:val="0082192E"/>
    <w:rsid w:val="00821B38"/>
    <w:rsid w:val="00821B51"/>
    <w:rsid w:val="00821B81"/>
    <w:rsid w:val="00821DBF"/>
    <w:rsid w:val="00822165"/>
    <w:rsid w:val="00822173"/>
    <w:rsid w:val="00822239"/>
    <w:rsid w:val="00822247"/>
    <w:rsid w:val="00822352"/>
    <w:rsid w:val="008224FD"/>
    <w:rsid w:val="00822675"/>
    <w:rsid w:val="0082271A"/>
    <w:rsid w:val="00822814"/>
    <w:rsid w:val="0082286E"/>
    <w:rsid w:val="008229C0"/>
    <w:rsid w:val="008229EF"/>
    <w:rsid w:val="00822F7F"/>
    <w:rsid w:val="0082307E"/>
    <w:rsid w:val="008231AC"/>
    <w:rsid w:val="00823204"/>
    <w:rsid w:val="0082329E"/>
    <w:rsid w:val="00823316"/>
    <w:rsid w:val="008236D3"/>
    <w:rsid w:val="008237CA"/>
    <w:rsid w:val="00823857"/>
    <w:rsid w:val="008238CA"/>
    <w:rsid w:val="008238EB"/>
    <w:rsid w:val="00823993"/>
    <w:rsid w:val="008239CB"/>
    <w:rsid w:val="008239E9"/>
    <w:rsid w:val="00823ACD"/>
    <w:rsid w:val="00823CF2"/>
    <w:rsid w:val="00823D54"/>
    <w:rsid w:val="00823E17"/>
    <w:rsid w:val="008240B8"/>
    <w:rsid w:val="00824659"/>
    <w:rsid w:val="008246BE"/>
    <w:rsid w:val="008246D5"/>
    <w:rsid w:val="008247DC"/>
    <w:rsid w:val="00824B57"/>
    <w:rsid w:val="00824D77"/>
    <w:rsid w:val="00824FFC"/>
    <w:rsid w:val="008253BC"/>
    <w:rsid w:val="00825463"/>
    <w:rsid w:val="00825596"/>
    <w:rsid w:val="00825731"/>
    <w:rsid w:val="00825987"/>
    <w:rsid w:val="008259CF"/>
    <w:rsid w:val="00825A0D"/>
    <w:rsid w:val="00825A8B"/>
    <w:rsid w:val="00825F58"/>
    <w:rsid w:val="00826630"/>
    <w:rsid w:val="008267F6"/>
    <w:rsid w:val="00826EE1"/>
    <w:rsid w:val="0082724F"/>
    <w:rsid w:val="00827349"/>
    <w:rsid w:val="00827561"/>
    <w:rsid w:val="008277D3"/>
    <w:rsid w:val="0082781F"/>
    <w:rsid w:val="00827925"/>
    <w:rsid w:val="00827EA6"/>
    <w:rsid w:val="008300CC"/>
    <w:rsid w:val="00830650"/>
    <w:rsid w:val="00830714"/>
    <w:rsid w:val="00830A39"/>
    <w:rsid w:val="00830CA9"/>
    <w:rsid w:val="00830D4D"/>
    <w:rsid w:val="00830FD4"/>
    <w:rsid w:val="008312A3"/>
    <w:rsid w:val="0083179C"/>
    <w:rsid w:val="00831C3E"/>
    <w:rsid w:val="00831CCE"/>
    <w:rsid w:val="00831D4B"/>
    <w:rsid w:val="00831FB0"/>
    <w:rsid w:val="008320DA"/>
    <w:rsid w:val="0083222C"/>
    <w:rsid w:val="00832319"/>
    <w:rsid w:val="008323AF"/>
    <w:rsid w:val="00832442"/>
    <w:rsid w:val="00832A98"/>
    <w:rsid w:val="00832F03"/>
    <w:rsid w:val="00833018"/>
    <w:rsid w:val="0083306F"/>
    <w:rsid w:val="008333A2"/>
    <w:rsid w:val="00833592"/>
    <w:rsid w:val="00833922"/>
    <w:rsid w:val="008340BB"/>
    <w:rsid w:val="0083410B"/>
    <w:rsid w:val="00834203"/>
    <w:rsid w:val="00834222"/>
    <w:rsid w:val="00834275"/>
    <w:rsid w:val="008342F4"/>
    <w:rsid w:val="008344CC"/>
    <w:rsid w:val="008344F9"/>
    <w:rsid w:val="00834762"/>
    <w:rsid w:val="00834778"/>
    <w:rsid w:val="00834E09"/>
    <w:rsid w:val="00834F02"/>
    <w:rsid w:val="008350E0"/>
    <w:rsid w:val="00836054"/>
    <w:rsid w:val="00836097"/>
    <w:rsid w:val="008361A7"/>
    <w:rsid w:val="00836298"/>
    <w:rsid w:val="008370AA"/>
    <w:rsid w:val="0083767F"/>
    <w:rsid w:val="00837776"/>
    <w:rsid w:val="0083791C"/>
    <w:rsid w:val="00837C2B"/>
    <w:rsid w:val="0084043E"/>
    <w:rsid w:val="008404FA"/>
    <w:rsid w:val="0084067F"/>
    <w:rsid w:val="00840765"/>
    <w:rsid w:val="00840D78"/>
    <w:rsid w:val="00840DF0"/>
    <w:rsid w:val="0084134B"/>
    <w:rsid w:val="008416D8"/>
    <w:rsid w:val="00841AD9"/>
    <w:rsid w:val="00841B41"/>
    <w:rsid w:val="00841DFF"/>
    <w:rsid w:val="00841E79"/>
    <w:rsid w:val="00841EA2"/>
    <w:rsid w:val="00841F89"/>
    <w:rsid w:val="008420BC"/>
    <w:rsid w:val="00842152"/>
    <w:rsid w:val="00842235"/>
    <w:rsid w:val="00842361"/>
    <w:rsid w:val="008424F2"/>
    <w:rsid w:val="008424F6"/>
    <w:rsid w:val="0084292E"/>
    <w:rsid w:val="00842978"/>
    <w:rsid w:val="00842C65"/>
    <w:rsid w:val="0084318B"/>
    <w:rsid w:val="00843981"/>
    <w:rsid w:val="00844139"/>
    <w:rsid w:val="008443C5"/>
    <w:rsid w:val="00844678"/>
    <w:rsid w:val="0084485A"/>
    <w:rsid w:val="00844B32"/>
    <w:rsid w:val="00845273"/>
    <w:rsid w:val="008453C9"/>
    <w:rsid w:val="00845426"/>
    <w:rsid w:val="00845657"/>
    <w:rsid w:val="0084579E"/>
    <w:rsid w:val="00845B67"/>
    <w:rsid w:val="00845EB1"/>
    <w:rsid w:val="008462F8"/>
    <w:rsid w:val="00846460"/>
    <w:rsid w:val="00846954"/>
    <w:rsid w:val="00846B7D"/>
    <w:rsid w:val="0084710B"/>
    <w:rsid w:val="008473A6"/>
    <w:rsid w:val="008473C1"/>
    <w:rsid w:val="00847749"/>
    <w:rsid w:val="008479BF"/>
    <w:rsid w:val="008479F1"/>
    <w:rsid w:val="00847A62"/>
    <w:rsid w:val="00847ED2"/>
    <w:rsid w:val="00847EEF"/>
    <w:rsid w:val="008502D3"/>
    <w:rsid w:val="00850435"/>
    <w:rsid w:val="00850A55"/>
    <w:rsid w:val="00851190"/>
    <w:rsid w:val="008512A4"/>
    <w:rsid w:val="00851534"/>
    <w:rsid w:val="008517C6"/>
    <w:rsid w:val="0085183D"/>
    <w:rsid w:val="00851926"/>
    <w:rsid w:val="00851D78"/>
    <w:rsid w:val="00851DEC"/>
    <w:rsid w:val="00851E9F"/>
    <w:rsid w:val="0085202F"/>
    <w:rsid w:val="008520FC"/>
    <w:rsid w:val="0085224F"/>
    <w:rsid w:val="00852256"/>
    <w:rsid w:val="008524D2"/>
    <w:rsid w:val="0085260D"/>
    <w:rsid w:val="00853B87"/>
    <w:rsid w:val="00853B97"/>
    <w:rsid w:val="00853C48"/>
    <w:rsid w:val="00853E43"/>
    <w:rsid w:val="00853FCF"/>
    <w:rsid w:val="00854149"/>
    <w:rsid w:val="00854678"/>
    <w:rsid w:val="00854740"/>
    <w:rsid w:val="008547DB"/>
    <w:rsid w:val="008548CA"/>
    <w:rsid w:val="00854C0B"/>
    <w:rsid w:val="00854DF3"/>
    <w:rsid w:val="0085544D"/>
    <w:rsid w:val="00855880"/>
    <w:rsid w:val="00855AC6"/>
    <w:rsid w:val="008562D9"/>
    <w:rsid w:val="0085673F"/>
    <w:rsid w:val="008567DB"/>
    <w:rsid w:val="00856BE0"/>
    <w:rsid w:val="00856ED2"/>
    <w:rsid w:val="00856FE8"/>
    <w:rsid w:val="00857151"/>
    <w:rsid w:val="008577CC"/>
    <w:rsid w:val="008578BE"/>
    <w:rsid w:val="00857ADD"/>
    <w:rsid w:val="00857B34"/>
    <w:rsid w:val="00857D38"/>
    <w:rsid w:val="00857EDA"/>
    <w:rsid w:val="00857FE7"/>
    <w:rsid w:val="008601C5"/>
    <w:rsid w:val="008605E5"/>
    <w:rsid w:val="00860DBC"/>
    <w:rsid w:val="00860FB3"/>
    <w:rsid w:val="00860FF1"/>
    <w:rsid w:val="008610A0"/>
    <w:rsid w:val="0086189F"/>
    <w:rsid w:val="00861A4E"/>
    <w:rsid w:val="00861F2E"/>
    <w:rsid w:val="00862262"/>
    <w:rsid w:val="0086239B"/>
    <w:rsid w:val="008627C6"/>
    <w:rsid w:val="00862897"/>
    <w:rsid w:val="00862C31"/>
    <w:rsid w:val="00862CF7"/>
    <w:rsid w:val="00862F1E"/>
    <w:rsid w:val="00862F30"/>
    <w:rsid w:val="00863286"/>
    <w:rsid w:val="008634B3"/>
    <w:rsid w:val="0086379E"/>
    <w:rsid w:val="008637CF"/>
    <w:rsid w:val="008638CA"/>
    <w:rsid w:val="00863B2E"/>
    <w:rsid w:val="00863B2F"/>
    <w:rsid w:val="00863B6A"/>
    <w:rsid w:val="00863C8B"/>
    <w:rsid w:val="00864311"/>
    <w:rsid w:val="00864553"/>
    <w:rsid w:val="008645D0"/>
    <w:rsid w:val="0086475D"/>
    <w:rsid w:val="00864AAF"/>
    <w:rsid w:val="00864D02"/>
    <w:rsid w:val="00865481"/>
    <w:rsid w:val="008659DF"/>
    <w:rsid w:val="00865C59"/>
    <w:rsid w:val="00866883"/>
    <w:rsid w:val="0086693A"/>
    <w:rsid w:val="00866CB7"/>
    <w:rsid w:val="00866E49"/>
    <w:rsid w:val="00866E68"/>
    <w:rsid w:val="00866FA7"/>
    <w:rsid w:val="00867065"/>
    <w:rsid w:val="00867554"/>
    <w:rsid w:val="00867A67"/>
    <w:rsid w:val="00867B19"/>
    <w:rsid w:val="00870261"/>
    <w:rsid w:val="00870364"/>
    <w:rsid w:val="00870626"/>
    <w:rsid w:val="0087091E"/>
    <w:rsid w:val="008709E1"/>
    <w:rsid w:val="00870A20"/>
    <w:rsid w:val="00870F9B"/>
    <w:rsid w:val="00871036"/>
    <w:rsid w:val="00871110"/>
    <w:rsid w:val="0087162A"/>
    <w:rsid w:val="00871BF2"/>
    <w:rsid w:val="00871DFC"/>
    <w:rsid w:val="00871E98"/>
    <w:rsid w:val="00871FD6"/>
    <w:rsid w:val="00872090"/>
    <w:rsid w:val="00872549"/>
    <w:rsid w:val="008725A5"/>
    <w:rsid w:val="00872654"/>
    <w:rsid w:val="00872952"/>
    <w:rsid w:val="00872A4E"/>
    <w:rsid w:val="00872C58"/>
    <w:rsid w:val="00872CCA"/>
    <w:rsid w:val="00872D66"/>
    <w:rsid w:val="00872E8E"/>
    <w:rsid w:val="00872EB2"/>
    <w:rsid w:val="00872EE9"/>
    <w:rsid w:val="00873093"/>
    <w:rsid w:val="008730A4"/>
    <w:rsid w:val="008733C1"/>
    <w:rsid w:val="008733DE"/>
    <w:rsid w:val="008735F7"/>
    <w:rsid w:val="008736E8"/>
    <w:rsid w:val="0087371B"/>
    <w:rsid w:val="00873E6B"/>
    <w:rsid w:val="00873EDE"/>
    <w:rsid w:val="00873FDE"/>
    <w:rsid w:val="00874118"/>
    <w:rsid w:val="008741A3"/>
    <w:rsid w:val="008742FE"/>
    <w:rsid w:val="0087443F"/>
    <w:rsid w:val="008746E6"/>
    <w:rsid w:val="00874871"/>
    <w:rsid w:val="00874893"/>
    <w:rsid w:val="00874952"/>
    <w:rsid w:val="00874B84"/>
    <w:rsid w:val="00874D91"/>
    <w:rsid w:val="00874FFE"/>
    <w:rsid w:val="008757F2"/>
    <w:rsid w:val="0087584C"/>
    <w:rsid w:val="0087591B"/>
    <w:rsid w:val="00875928"/>
    <w:rsid w:val="00875D66"/>
    <w:rsid w:val="00875DF7"/>
    <w:rsid w:val="00876147"/>
    <w:rsid w:val="00876512"/>
    <w:rsid w:val="00876610"/>
    <w:rsid w:val="0087670B"/>
    <w:rsid w:val="00876887"/>
    <w:rsid w:val="00876A0A"/>
    <w:rsid w:val="00876AD4"/>
    <w:rsid w:val="00876AFE"/>
    <w:rsid w:val="00876C1D"/>
    <w:rsid w:val="00876D3B"/>
    <w:rsid w:val="00876DD4"/>
    <w:rsid w:val="00876E54"/>
    <w:rsid w:val="008775A8"/>
    <w:rsid w:val="0087770D"/>
    <w:rsid w:val="0087795A"/>
    <w:rsid w:val="0087799B"/>
    <w:rsid w:val="00877C29"/>
    <w:rsid w:val="00877DE7"/>
    <w:rsid w:val="00877FDE"/>
    <w:rsid w:val="0088002B"/>
    <w:rsid w:val="00880138"/>
    <w:rsid w:val="0088089E"/>
    <w:rsid w:val="00880DDC"/>
    <w:rsid w:val="00880E0A"/>
    <w:rsid w:val="00880EAF"/>
    <w:rsid w:val="008810F8"/>
    <w:rsid w:val="00881530"/>
    <w:rsid w:val="00881553"/>
    <w:rsid w:val="008816B5"/>
    <w:rsid w:val="00881717"/>
    <w:rsid w:val="008817FA"/>
    <w:rsid w:val="00881D1F"/>
    <w:rsid w:val="00882172"/>
    <w:rsid w:val="008825B1"/>
    <w:rsid w:val="00882C3D"/>
    <w:rsid w:val="00882D6C"/>
    <w:rsid w:val="00882F32"/>
    <w:rsid w:val="00882FCF"/>
    <w:rsid w:val="0088320A"/>
    <w:rsid w:val="00883257"/>
    <w:rsid w:val="0088341A"/>
    <w:rsid w:val="00883C46"/>
    <w:rsid w:val="00883CCE"/>
    <w:rsid w:val="00883F20"/>
    <w:rsid w:val="00884637"/>
    <w:rsid w:val="00884CAE"/>
    <w:rsid w:val="008855F9"/>
    <w:rsid w:val="0088573B"/>
    <w:rsid w:val="0088587C"/>
    <w:rsid w:val="008859C0"/>
    <w:rsid w:val="0088682E"/>
    <w:rsid w:val="00886D6B"/>
    <w:rsid w:val="00886D8B"/>
    <w:rsid w:val="00886D92"/>
    <w:rsid w:val="00887269"/>
    <w:rsid w:val="008877BD"/>
    <w:rsid w:val="008879A3"/>
    <w:rsid w:val="00887E53"/>
    <w:rsid w:val="00890320"/>
    <w:rsid w:val="00890501"/>
    <w:rsid w:val="00890594"/>
    <w:rsid w:val="008905B8"/>
    <w:rsid w:val="008906D0"/>
    <w:rsid w:val="008908FE"/>
    <w:rsid w:val="00890D2A"/>
    <w:rsid w:val="00890FF7"/>
    <w:rsid w:val="0089162C"/>
    <w:rsid w:val="008919EF"/>
    <w:rsid w:val="00891D61"/>
    <w:rsid w:val="00891E73"/>
    <w:rsid w:val="00891FA0"/>
    <w:rsid w:val="00892060"/>
    <w:rsid w:val="00892618"/>
    <w:rsid w:val="008926E4"/>
    <w:rsid w:val="0089284D"/>
    <w:rsid w:val="00892F6B"/>
    <w:rsid w:val="00892FA4"/>
    <w:rsid w:val="008932FF"/>
    <w:rsid w:val="00893472"/>
    <w:rsid w:val="008936C9"/>
    <w:rsid w:val="0089371E"/>
    <w:rsid w:val="008937AA"/>
    <w:rsid w:val="00893EA8"/>
    <w:rsid w:val="00893F25"/>
    <w:rsid w:val="008941AD"/>
    <w:rsid w:val="00894748"/>
    <w:rsid w:val="00894996"/>
    <w:rsid w:val="00894D1C"/>
    <w:rsid w:val="0089539B"/>
    <w:rsid w:val="0089544A"/>
    <w:rsid w:val="008954F7"/>
    <w:rsid w:val="00895752"/>
    <w:rsid w:val="00896161"/>
    <w:rsid w:val="0089620A"/>
    <w:rsid w:val="0089642D"/>
    <w:rsid w:val="0089681C"/>
    <w:rsid w:val="008968EA"/>
    <w:rsid w:val="0089690E"/>
    <w:rsid w:val="00896BD9"/>
    <w:rsid w:val="00896E64"/>
    <w:rsid w:val="00897198"/>
    <w:rsid w:val="0089728D"/>
    <w:rsid w:val="0089733D"/>
    <w:rsid w:val="00897541"/>
    <w:rsid w:val="008975D5"/>
    <w:rsid w:val="00897679"/>
    <w:rsid w:val="00897721"/>
    <w:rsid w:val="00897898"/>
    <w:rsid w:val="008978C7"/>
    <w:rsid w:val="0089790C"/>
    <w:rsid w:val="00897A7E"/>
    <w:rsid w:val="00897B42"/>
    <w:rsid w:val="00897CB2"/>
    <w:rsid w:val="00897CEF"/>
    <w:rsid w:val="00897E1A"/>
    <w:rsid w:val="008A01A2"/>
    <w:rsid w:val="008A02CE"/>
    <w:rsid w:val="008A032E"/>
    <w:rsid w:val="008A039C"/>
    <w:rsid w:val="008A0621"/>
    <w:rsid w:val="008A0A2E"/>
    <w:rsid w:val="008A0B0B"/>
    <w:rsid w:val="008A0B9E"/>
    <w:rsid w:val="008A0D99"/>
    <w:rsid w:val="008A1087"/>
    <w:rsid w:val="008A13E7"/>
    <w:rsid w:val="008A18E3"/>
    <w:rsid w:val="008A1AE9"/>
    <w:rsid w:val="008A225C"/>
    <w:rsid w:val="008A27A5"/>
    <w:rsid w:val="008A281A"/>
    <w:rsid w:val="008A2979"/>
    <w:rsid w:val="008A2F42"/>
    <w:rsid w:val="008A31AA"/>
    <w:rsid w:val="008A36E2"/>
    <w:rsid w:val="008A38C5"/>
    <w:rsid w:val="008A3B05"/>
    <w:rsid w:val="008A3B2B"/>
    <w:rsid w:val="008A3DE7"/>
    <w:rsid w:val="008A3E65"/>
    <w:rsid w:val="008A43E6"/>
    <w:rsid w:val="008A465A"/>
    <w:rsid w:val="008A48B8"/>
    <w:rsid w:val="008A4998"/>
    <w:rsid w:val="008A4B6B"/>
    <w:rsid w:val="008A4B8B"/>
    <w:rsid w:val="008A4DEF"/>
    <w:rsid w:val="008A514C"/>
    <w:rsid w:val="008A531F"/>
    <w:rsid w:val="008A59C0"/>
    <w:rsid w:val="008A59C4"/>
    <w:rsid w:val="008A5AB1"/>
    <w:rsid w:val="008A5C3E"/>
    <w:rsid w:val="008A5F89"/>
    <w:rsid w:val="008A6161"/>
    <w:rsid w:val="008A6328"/>
    <w:rsid w:val="008A6601"/>
    <w:rsid w:val="008A68D2"/>
    <w:rsid w:val="008A6C7B"/>
    <w:rsid w:val="008A6E50"/>
    <w:rsid w:val="008A7250"/>
    <w:rsid w:val="008A7530"/>
    <w:rsid w:val="008A7753"/>
    <w:rsid w:val="008A78D4"/>
    <w:rsid w:val="008A792E"/>
    <w:rsid w:val="008B017A"/>
    <w:rsid w:val="008B0462"/>
    <w:rsid w:val="008B04C2"/>
    <w:rsid w:val="008B04C8"/>
    <w:rsid w:val="008B095B"/>
    <w:rsid w:val="008B0FD9"/>
    <w:rsid w:val="008B1380"/>
    <w:rsid w:val="008B1490"/>
    <w:rsid w:val="008B1542"/>
    <w:rsid w:val="008B1668"/>
    <w:rsid w:val="008B1822"/>
    <w:rsid w:val="008B1925"/>
    <w:rsid w:val="008B1E6E"/>
    <w:rsid w:val="008B256B"/>
    <w:rsid w:val="008B2670"/>
    <w:rsid w:val="008B28B7"/>
    <w:rsid w:val="008B2903"/>
    <w:rsid w:val="008B2AF4"/>
    <w:rsid w:val="008B2C7E"/>
    <w:rsid w:val="008B2DC6"/>
    <w:rsid w:val="008B303E"/>
    <w:rsid w:val="008B30D0"/>
    <w:rsid w:val="008B31E2"/>
    <w:rsid w:val="008B32D3"/>
    <w:rsid w:val="008B33D6"/>
    <w:rsid w:val="008B35C6"/>
    <w:rsid w:val="008B369C"/>
    <w:rsid w:val="008B37F0"/>
    <w:rsid w:val="008B3917"/>
    <w:rsid w:val="008B3994"/>
    <w:rsid w:val="008B3C4E"/>
    <w:rsid w:val="008B3E79"/>
    <w:rsid w:val="008B3F35"/>
    <w:rsid w:val="008B416C"/>
    <w:rsid w:val="008B4B98"/>
    <w:rsid w:val="008B4E96"/>
    <w:rsid w:val="008B4F92"/>
    <w:rsid w:val="008B5152"/>
    <w:rsid w:val="008B5395"/>
    <w:rsid w:val="008B5555"/>
    <w:rsid w:val="008B5DFB"/>
    <w:rsid w:val="008B5E49"/>
    <w:rsid w:val="008B5F90"/>
    <w:rsid w:val="008B6932"/>
    <w:rsid w:val="008B6A1B"/>
    <w:rsid w:val="008B6A54"/>
    <w:rsid w:val="008B6C02"/>
    <w:rsid w:val="008B6C8E"/>
    <w:rsid w:val="008B6D97"/>
    <w:rsid w:val="008B6F9E"/>
    <w:rsid w:val="008B7133"/>
    <w:rsid w:val="008B72F1"/>
    <w:rsid w:val="008B75BF"/>
    <w:rsid w:val="008B76A1"/>
    <w:rsid w:val="008B7A9D"/>
    <w:rsid w:val="008B7AAA"/>
    <w:rsid w:val="008B7C56"/>
    <w:rsid w:val="008B7F82"/>
    <w:rsid w:val="008B7F86"/>
    <w:rsid w:val="008B7FC2"/>
    <w:rsid w:val="008C03CB"/>
    <w:rsid w:val="008C05F5"/>
    <w:rsid w:val="008C0908"/>
    <w:rsid w:val="008C0A90"/>
    <w:rsid w:val="008C0BC8"/>
    <w:rsid w:val="008C0CC7"/>
    <w:rsid w:val="008C0E58"/>
    <w:rsid w:val="008C115A"/>
    <w:rsid w:val="008C13BA"/>
    <w:rsid w:val="008C184F"/>
    <w:rsid w:val="008C185C"/>
    <w:rsid w:val="008C1862"/>
    <w:rsid w:val="008C1947"/>
    <w:rsid w:val="008C1F0D"/>
    <w:rsid w:val="008C20AE"/>
    <w:rsid w:val="008C231F"/>
    <w:rsid w:val="008C2764"/>
    <w:rsid w:val="008C2851"/>
    <w:rsid w:val="008C2C27"/>
    <w:rsid w:val="008C2FC5"/>
    <w:rsid w:val="008C320C"/>
    <w:rsid w:val="008C3311"/>
    <w:rsid w:val="008C3436"/>
    <w:rsid w:val="008C34D7"/>
    <w:rsid w:val="008C3904"/>
    <w:rsid w:val="008C396F"/>
    <w:rsid w:val="008C39FF"/>
    <w:rsid w:val="008C3D14"/>
    <w:rsid w:val="008C429C"/>
    <w:rsid w:val="008C43B7"/>
    <w:rsid w:val="008C469B"/>
    <w:rsid w:val="008C4839"/>
    <w:rsid w:val="008C4A0E"/>
    <w:rsid w:val="008C4D12"/>
    <w:rsid w:val="008C4D3B"/>
    <w:rsid w:val="008C4E10"/>
    <w:rsid w:val="008C4F09"/>
    <w:rsid w:val="008C4FBA"/>
    <w:rsid w:val="008C5301"/>
    <w:rsid w:val="008C5CE9"/>
    <w:rsid w:val="008C5D4D"/>
    <w:rsid w:val="008C5D92"/>
    <w:rsid w:val="008C5F06"/>
    <w:rsid w:val="008C6077"/>
    <w:rsid w:val="008C611C"/>
    <w:rsid w:val="008C66F1"/>
    <w:rsid w:val="008C67F9"/>
    <w:rsid w:val="008C6853"/>
    <w:rsid w:val="008C6950"/>
    <w:rsid w:val="008C6A44"/>
    <w:rsid w:val="008C6A58"/>
    <w:rsid w:val="008C6B45"/>
    <w:rsid w:val="008C6F4B"/>
    <w:rsid w:val="008C77D5"/>
    <w:rsid w:val="008C790C"/>
    <w:rsid w:val="008C7A00"/>
    <w:rsid w:val="008C7EA2"/>
    <w:rsid w:val="008C7FA6"/>
    <w:rsid w:val="008D02E2"/>
    <w:rsid w:val="008D07C9"/>
    <w:rsid w:val="008D0984"/>
    <w:rsid w:val="008D0DDD"/>
    <w:rsid w:val="008D1098"/>
    <w:rsid w:val="008D1158"/>
    <w:rsid w:val="008D1479"/>
    <w:rsid w:val="008D14D5"/>
    <w:rsid w:val="008D1664"/>
    <w:rsid w:val="008D17A1"/>
    <w:rsid w:val="008D1857"/>
    <w:rsid w:val="008D1978"/>
    <w:rsid w:val="008D1A7B"/>
    <w:rsid w:val="008D1B07"/>
    <w:rsid w:val="008D2046"/>
    <w:rsid w:val="008D206D"/>
    <w:rsid w:val="008D2401"/>
    <w:rsid w:val="008D2BBB"/>
    <w:rsid w:val="008D2E16"/>
    <w:rsid w:val="008D3030"/>
    <w:rsid w:val="008D3081"/>
    <w:rsid w:val="008D3149"/>
    <w:rsid w:val="008D32E2"/>
    <w:rsid w:val="008D34E4"/>
    <w:rsid w:val="008D37A3"/>
    <w:rsid w:val="008D38D7"/>
    <w:rsid w:val="008D3BCB"/>
    <w:rsid w:val="008D3D6A"/>
    <w:rsid w:val="008D3E22"/>
    <w:rsid w:val="008D3E46"/>
    <w:rsid w:val="008D44B7"/>
    <w:rsid w:val="008D49D5"/>
    <w:rsid w:val="008D4A63"/>
    <w:rsid w:val="008D4B20"/>
    <w:rsid w:val="008D4C1E"/>
    <w:rsid w:val="008D4C92"/>
    <w:rsid w:val="008D5394"/>
    <w:rsid w:val="008D55E2"/>
    <w:rsid w:val="008D5C5D"/>
    <w:rsid w:val="008D5CB5"/>
    <w:rsid w:val="008D61AE"/>
    <w:rsid w:val="008D626A"/>
    <w:rsid w:val="008D6642"/>
    <w:rsid w:val="008D6B9D"/>
    <w:rsid w:val="008D6D64"/>
    <w:rsid w:val="008D6E85"/>
    <w:rsid w:val="008D6E9E"/>
    <w:rsid w:val="008D6EE4"/>
    <w:rsid w:val="008D70A3"/>
    <w:rsid w:val="008D7134"/>
    <w:rsid w:val="008D71E5"/>
    <w:rsid w:val="008D725A"/>
    <w:rsid w:val="008D796A"/>
    <w:rsid w:val="008D7A7E"/>
    <w:rsid w:val="008D7AA4"/>
    <w:rsid w:val="008D7EF0"/>
    <w:rsid w:val="008E0088"/>
    <w:rsid w:val="008E0193"/>
    <w:rsid w:val="008E0689"/>
    <w:rsid w:val="008E0C0C"/>
    <w:rsid w:val="008E0C9F"/>
    <w:rsid w:val="008E0CCD"/>
    <w:rsid w:val="008E0CCF"/>
    <w:rsid w:val="008E1145"/>
    <w:rsid w:val="008E1352"/>
    <w:rsid w:val="008E1660"/>
    <w:rsid w:val="008E19E2"/>
    <w:rsid w:val="008E1C99"/>
    <w:rsid w:val="008E2087"/>
    <w:rsid w:val="008E2255"/>
    <w:rsid w:val="008E225E"/>
    <w:rsid w:val="008E2273"/>
    <w:rsid w:val="008E22FE"/>
    <w:rsid w:val="008E248F"/>
    <w:rsid w:val="008E273D"/>
    <w:rsid w:val="008E2980"/>
    <w:rsid w:val="008E2A5C"/>
    <w:rsid w:val="008E2E76"/>
    <w:rsid w:val="008E2EAD"/>
    <w:rsid w:val="008E2EB4"/>
    <w:rsid w:val="008E2FDA"/>
    <w:rsid w:val="008E308F"/>
    <w:rsid w:val="008E31D7"/>
    <w:rsid w:val="008E3217"/>
    <w:rsid w:val="008E326F"/>
    <w:rsid w:val="008E34FA"/>
    <w:rsid w:val="008E3AEE"/>
    <w:rsid w:val="008E3EA2"/>
    <w:rsid w:val="008E3FFA"/>
    <w:rsid w:val="008E405E"/>
    <w:rsid w:val="008E42BC"/>
    <w:rsid w:val="008E4AC3"/>
    <w:rsid w:val="008E4C6D"/>
    <w:rsid w:val="008E4C76"/>
    <w:rsid w:val="008E4CA6"/>
    <w:rsid w:val="008E5410"/>
    <w:rsid w:val="008E548F"/>
    <w:rsid w:val="008E554C"/>
    <w:rsid w:val="008E5929"/>
    <w:rsid w:val="008E597D"/>
    <w:rsid w:val="008E5AB8"/>
    <w:rsid w:val="008E5CE8"/>
    <w:rsid w:val="008E6297"/>
    <w:rsid w:val="008E636D"/>
    <w:rsid w:val="008E663E"/>
    <w:rsid w:val="008E66B8"/>
    <w:rsid w:val="008E6CB7"/>
    <w:rsid w:val="008E6D86"/>
    <w:rsid w:val="008E6E61"/>
    <w:rsid w:val="008E708A"/>
    <w:rsid w:val="008E716F"/>
    <w:rsid w:val="008E72F7"/>
    <w:rsid w:val="008E74D2"/>
    <w:rsid w:val="008E772E"/>
    <w:rsid w:val="008E77F7"/>
    <w:rsid w:val="008E7830"/>
    <w:rsid w:val="008E7848"/>
    <w:rsid w:val="008E7C9A"/>
    <w:rsid w:val="008E7CEC"/>
    <w:rsid w:val="008E7E79"/>
    <w:rsid w:val="008F0191"/>
    <w:rsid w:val="008F02E9"/>
    <w:rsid w:val="008F0312"/>
    <w:rsid w:val="008F0577"/>
    <w:rsid w:val="008F076D"/>
    <w:rsid w:val="008F0A36"/>
    <w:rsid w:val="008F0B48"/>
    <w:rsid w:val="008F0EBF"/>
    <w:rsid w:val="008F11E6"/>
    <w:rsid w:val="008F1244"/>
    <w:rsid w:val="008F126C"/>
    <w:rsid w:val="008F1278"/>
    <w:rsid w:val="008F15BA"/>
    <w:rsid w:val="008F1782"/>
    <w:rsid w:val="008F1973"/>
    <w:rsid w:val="008F1C18"/>
    <w:rsid w:val="008F1D17"/>
    <w:rsid w:val="008F1F1D"/>
    <w:rsid w:val="008F20D0"/>
    <w:rsid w:val="008F2770"/>
    <w:rsid w:val="008F2C69"/>
    <w:rsid w:val="008F34D9"/>
    <w:rsid w:val="008F35E3"/>
    <w:rsid w:val="008F376D"/>
    <w:rsid w:val="008F382C"/>
    <w:rsid w:val="008F3931"/>
    <w:rsid w:val="008F3986"/>
    <w:rsid w:val="008F3E7A"/>
    <w:rsid w:val="008F43CC"/>
    <w:rsid w:val="008F457B"/>
    <w:rsid w:val="008F459D"/>
    <w:rsid w:val="008F4633"/>
    <w:rsid w:val="008F480D"/>
    <w:rsid w:val="008F48CD"/>
    <w:rsid w:val="008F4951"/>
    <w:rsid w:val="008F4AE2"/>
    <w:rsid w:val="008F4DA0"/>
    <w:rsid w:val="008F4F30"/>
    <w:rsid w:val="008F4FAB"/>
    <w:rsid w:val="008F5569"/>
    <w:rsid w:val="008F5635"/>
    <w:rsid w:val="008F5768"/>
    <w:rsid w:val="008F5862"/>
    <w:rsid w:val="008F590A"/>
    <w:rsid w:val="008F5988"/>
    <w:rsid w:val="008F5AE5"/>
    <w:rsid w:val="008F5D6C"/>
    <w:rsid w:val="008F5DDF"/>
    <w:rsid w:val="008F6109"/>
    <w:rsid w:val="008F6576"/>
    <w:rsid w:val="008F68DB"/>
    <w:rsid w:val="008F6AC3"/>
    <w:rsid w:val="008F6B2A"/>
    <w:rsid w:val="008F6B4D"/>
    <w:rsid w:val="008F6B90"/>
    <w:rsid w:val="008F6C69"/>
    <w:rsid w:val="008F6CE3"/>
    <w:rsid w:val="008F6E90"/>
    <w:rsid w:val="008F6E96"/>
    <w:rsid w:val="008F7047"/>
    <w:rsid w:val="008F7170"/>
    <w:rsid w:val="008F737A"/>
    <w:rsid w:val="008F7581"/>
    <w:rsid w:val="008F7728"/>
    <w:rsid w:val="008F7D53"/>
    <w:rsid w:val="008F7F39"/>
    <w:rsid w:val="009000B8"/>
    <w:rsid w:val="009000F8"/>
    <w:rsid w:val="009002B4"/>
    <w:rsid w:val="009002BB"/>
    <w:rsid w:val="00900469"/>
    <w:rsid w:val="0090057C"/>
    <w:rsid w:val="0090073B"/>
    <w:rsid w:val="009008AE"/>
    <w:rsid w:val="00900B3E"/>
    <w:rsid w:val="00900CCD"/>
    <w:rsid w:val="00900D48"/>
    <w:rsid w:val="00900E90"/>
    <w:rsid w:val="00901007"/>
    <w:rsid w:val="00901099"/>
    <w:rsid w:val="009014B8"/>
    <w:rsid w:val="009015EA"/>
    <w:rsid w:val="00901B19"/>
    <w:rsid w:val="00901B1E"/>
    <w:rsid w:val="00901B3F"/>
    <w:rsid w:val="00901C8C"/>
    <w:rsid w:val="00901D56"/>
    <w:rsid w:val="00901EA3"/>
    <w:rsid w:val="00901FEE"/>
    <w:rsid w:val="00902093"/>
    <w:rsid w:val="00902281"/>
    <w:rsid w:val="009024A8"/>
    <w:rsid w:val="00902542"/>
    <w:rsid w:val="009026C2"/>
    <w:rsid w:val="0090275A"/>
    <w:rsid w:val="0090275F"/>
    <w:rsid w:val="00902A29"/>
    <w:rsid w:val="00902C6C"/>
    <w:rsid w:val="00902E47"/>
    <w:rsid w:val="00903211"/>
    <w:rsid w:val="00903252"/>
    <w:rsid w:val="009032F5"/>
    <w:rsid w:val="00903322"/>
    <w:rsid w:val="00903462"/>
    <w:rsid w:val="00903B92"/>
    <w:rsid w:val="00903EEB"/>
    <w:rsid w:val="00904551"/>
    <w:rsid w:val="00904646"/>
    <w:rsid w:val="00904D69"/>
    <w:rsid w:val="00904EFD"/>
    <w:rsid w:val="0090546A"/>
    <w:rsid w:val="009056BE"/>
    <w:rsid w:val="00905807"/>
    <w:rsid w:val="009059C5"/>
    <w:rsid w:val="00905A2D"/>
    <w:rsid w:val="00906D88"/>
    <w:rsid w:val="0090777C"/>
    <w:rsid w:val="009077BE"/>
    <w:rsid w:val="0090783D"/>
    <w:rsid w:val="00907979"/>
    <w:rsid w:val="009079DE"/>
    <w:rsid w:val="00907BD7"/>
    <w:rsid w:val="00907C21"/>
    <w:rsid w:val="00907F92"/>
    <w:rsid w:val="00907FFD"/>
    <w:rsid w:val="009108C8"/>
    <w:rsid w:val="00910EB0"/>
    <w:rsid w:val="00910F2A"/>
    <w:rsid w:val="00911138"/>
    <w:rsid w:val="00911824"/>
    <w:rsid w:val="009118D8"/>
    <w:rsid w:val="00911C83"/>
    <w:rsid w:val="009123A7"/>
    <w:rsid w:val="0091243C"/>
    <w:rsid w:val="00912827"/>
    <w:rsid w:val="00912B25"/>
    <w:rsid w:val="00912D6C"/>
    <w:rsid w:val="00913153"/>
    <w:rsid w:val="009133C7"/>
    <w:rsid w:val="00913989"/>
    <w:rsid w:val="00913F21"/>
    <w:rsid w:val="00914024"/>
    <w:rsid w:val="00914661"/>
    <w:rsid w:val="009146B7"/>
    <w:rsid w:val="00914D4B"/>
    <w:rsid w:val="009154CE"/>
    <w:rsid w:val="00915737"/>
    <w:rsid w:val="0091573D"/>
    <w:rsid w:val="009157B2"/>
    <w:rsid w:val="00915BCF"/>
    <w:rsid w:val="00915E8A"/>
    <w:rsid w:val="00916094"/>
    <w:rsid w:val="009167FE"/>
    <w:rsid w:val="0091692B"/>
    <w:rsid w:val="00916C7C"/>
    <w:rsid w:val="00916DB4"/>
    <w:rsid w:val="00916E50"/>
    <w:rsid w:val="00916E64"/>
    <w:rsid w:val="00916F18"/>
    <w:rsid w:val="0091716B"/>
    <w:rsid w:val="009174B7"/>
    <w:rsid w:val="009175A4"/>
    <w:rsid w:val="009175B5"/>
    <w:rsid w:val="009176FC"/>
    <w:rsid w:val="00917C25"/>
    <w:rsid w:val="00917C9D"/>
    <w:rsid w:val="00917E56"/>
    <w:rsid w:val="0092012F"/>
    <w:rsid w:val="009201C0"/>
    <w:rsid w:val="00920646"/>
    <w:rsid w:val="009206A9"/>
    <w:rsid w:val="00920ABA"/>
    <w:rsid w:val="00920CA7"/>
    <w:rsid w:val="00921006"/>
    <w:rsid w:val="009210FB"/>
    <w:rsid w:val="009214D5"/>
    <w:rsid w:val="0092166E"/>
    <w:rsid w:val="00921B94"/>
    <w:rsid w:val="00921C55"/>
    <w:rsid w:val="00922004"/>
    <w:rsid w:val="00922131"/>
    <w:rsid w:val="0092277E"/>
    <w:rsid w:val="009229FB"/>
    <w:rsid w:val="00922A9C"/>
    <w:rsid w:val="00922BF8"/>
    <w:rsid w:val="00922FEA"/>
    <w:rsid w:val="00923400"/>
    <w:rsid w:val="00923773"/>
    <w:rsid w:val="009237FD"/>
    <w:rsid w:val="00923803"/>
    <w:rsid w:val="00923966"/>
    <w:rsid w:val="00923987"/>
    <w:rsid w:val="009239B8"/>
    <w:rsid w:val="00923B2C"/>
    <w:rsid w:val="00923B60"/>
    <w:rsid w:val="00923BDA"/>
    <w:rsid w:val="009241C4"/>
    <w:rsid w:val="0092454F"/>
    <w:rsid w:val="00924850"/>
    <w:rsid w:val="00924B70"/>
    <w:rsid w:val="00924F05"/>
    <w:rsid w:val="0092519C"/>
    <w:rsid w:val="009254C0"/>
    <w:rsid w:val="0092569C"/>
    <w:rsid w:val="00925847"/>
    <w:rsid w:val="00925C13"/>
    <w:rsid w:val="00925D7F"/>
    <w:rsid w:val="009262E0"/>
    <w:rsid w:val="009266D4"/>
    <w:rsid w:val="00926A8C"/>
    <w:rsid w:val="00926BF1"/>
    <w:rsid w:val="00926D7F"/>
    <w:rsid w:val="00926E96"/>
    <w:rsid w:val="009270B1"/>
    <w:rsid w:val="009271F6"/>
    <w:rsid w:val="00927222"/>
    <w:rsid w:val="0092738F"/>
    <w:rsid w:val="009274D1"/>
    <w:rsid w:val="009274FA"/>
    <w:rsid w:val="00927AA6"/>
    <w:rsid w:val="00927F09"/>
    <w:rsid w:val="00930152"/>
    <w:rsid w:val="00930208"/>
    <w:rsid w:val="00930359"/>
    <w:rsid w:val="00930564"/>
    <w:rsid w:val="0093068E"/>
    <w:rsid w:val="0093081B"/>
    <w:rsid w:val="009308FE"/>
    <w:rsid w:val="00930983"/>
    <w:rsid w:val="00930A54"/>
    <w:rsid w:val="00931145"/>
    <w:rsid w:val="009313F7"/>
    <w:rsid w:val="00931400"/>
    <w:rsid w:val="00931454"/>
    <w:rsid w:val="0093176F"/>
    <w:rsid w:val="00931AFD"/>
    <w:rsid w:val="00931DEA"/>
    <w:rsid w:val="009320B8"/>
    <w:rsid w:val="009320E6"/>
    <w:rsid w:val="00932BB9"/>
    <w:rsid w:val="00932CB6"/>
    <w:rsid w:val="009332FC"/>
    <w:rsid w:val="009339DA"/>
    <w:rsid w:val="00933E23"/>
    <w:rsid w:val="0093403E"/>
    <w:rsid w:val="0093409D"/>
    <w:rsid w:val="00934156"/>
    <w:rsid w:val="009342C6"/>
    <w:rsid w:val="0093437B"/>
    <w:rsid w:val="00934563"/>
    <w:rsid w:val="00934806"/>
    <w:rsid w:val="009348CF"/>
    <w:rsid w:val="00934A65"/>
    <w:rsid w:val="00934D00"/>
    <w:rsid w:val="00934D8C"/>
    <w:rsid w:val="00935128"/>
    <w:rsid w:val="00935168"/>
    <w:rsid w:val="0093540C"/>
    <w:rsid w:val="009354AF"/>
    <w:rsid w:val="00935581"/>
    <w:rsid w:val="00935692"/>
    <w:rsid w:val="00935754"/>
    <w:rsid w:val="00935C81"/>
    <w:rsid w:val="00935E0E"/>
    <w:rsid w:val="0093623D"/>
    <w:rsid w:val="0093651F"/>
    <w:rsid w:val="00936653"/>
    <w:rsid w:val="009366E6"/>
    <w:rsid w:val="00936727"/>
    <w:rsid w:val="00936775"/>
    <w:rsid w:val="00936969"/>
    <w:rsid w:val="00936B78"/>
    <w:rsid w:val="00936BDE"/>
    <w:rsid w:val="00936F9B"/>
    <w:rsid w:val="00937063"/>
    <w:rsid w:val="00937157"/>
    <w:rsid w:val="0093722C"/>
    <w:rsid w:val="0093727B"/>
    <w:rsid w:val="00937B98"/>
    <w:rsid w:val="00937D63"/>
    <w:rsid w:val="009402CC"/>
    <w:rsid w:val="009406DF"/>
    <w:rsid w:val="00940BDB"/>
    <w:rsid w:val="00940C55"/>
    <w:rsid w:val="00941146"/>
    <w:rsid w:val="009414B2"/>
    <w:rsid w:val="00941732"/>
    <w:rsid w:val="00941892"/>
    <w:rsid w:val="00941AC7"/>
    <w:rsid w:val="00941C03"/>
    <w:rsid w:val="00941F54"/>
    <w:rsid w:val="00942038"/>
    <w:rsid w:val="00942075"/>
    <w:rsid w:val="009423D7"/>
    <w:rsid w:val="00942592"/>
    <w:rsid w:val="00942C26"/>
    <w:rsid w:val="00942EAD"/>
    <w:rsid w:val="009430DC"/>
    <w:rsid w:val="00943129"/>
    <w:rsid w:val="0094314B"/>
    <w:rsid w:val="00943E01"/>
    <w:rsid w:val="0094435C"/>
    <w:rsid w:val="0094451F"/>
    <w:rsid w:val="009448B4"/>
    <w:rsid w:val="00944F51"/>
    <w:rsid w:val="00944FF6"/>
    <w:rsid w:val="00945030"/>
    <w:rsid w:val="0094519F"/>
    <w:rsid w:val="009451C0"/>
    <w:rsid w:val="009452CE"/>
    <w:rsid w:val="009454DB"/>
    <w:rsid w:val="009456BD"/>
    <w:rsid w:val="0094591D"/>
    <w:rsid w:val="00945B91"/>
    <w:rsid w:val="00946163"/>
    <w:rsid w:val="0094658F"/>
    <w:rsid w:val="00946752"/>
    <w:rsid w:val="009468BF"/>
    <w:rsid w:val="00946968"/>
    <w:rsid w:val="00946A51"/>
    <w:rsid w:val="00946A8E"/>
    <w:rsid w:val="00946C80"/>
    <w:rsid w:val="00946D2B"/>
    <w:rsid w:val="00946F33"/>
    <w:rsid w:val="00947019"/>
    <w:rsid w:val="00947229"/>
    <w:rsid w:val="009473F3"/>
    <w:rsid w:val="009473FB"/>
    <w:rsid w:val="0094766D"/>
    <w:rsid w:val="009477F3"/>
    <w:rsid w:val="00947ABC"/>
    <w:rsid w:val="00947B6A"/>
    <w:rsid w:val="00947CF0"/>
    <w:rsid w:val="00947DEA"/>
    <w:rsid w:val="00947E17"/>
    <w:rsid w:val="00947F06"/>
    <w:rsid w:val="009505BB"/>
    <w:rsid w:val="009505F9"/>
    <w:rsid w:val="00950724"/>
    <w:rsid w:val="00950B4E"/>
    <w:rsid w:val="00950E69"/>
    <w:rsid w:val="009511AB"/>
    <w:rsid w:val="00951315"/>
    <w:rsid w:val="00951A71"/>
    <w:rsid w:val="00951AED"/>
    <w:rsid w:val="009520FA"/>
    <w:rsid w:val="009522DD"/>
    <w:rsid w:val="009525D9"/>
    <w:rsid w:val="0095262A"/>
    <w:rsid w:val="00952A2D"/>
    <w:rsid w:val="00952C72"/>
    <w:rsid w:val="00952C86"/>
    <w:rsid w:val="00952EEF"/>
    <w:rsid w:val="0095300E"/>
    <w:rsid w:val="009531A9"/>
    <w:rsid w:val="00953322"/>
    <w:rsid w:val="009533E7"/>
    <w:rsid w:val="0095346E"/>
    <w:rsid w:val="009534EF"/>
    <w:rsid w:val="00953638"/>
    <w:rsid w:val="0095383B"/>
    <w:rsid w:val="00953848"/>
    <w:rsid w:val="00953A10"/>
    <w:rsid w:val="00953C51"/>
    <w:rsid w:val="009541B4"/>
    <w:rsid w:val="009544F9"/>
    <w:rsid w:val="0095462A"/>
    <w:rsid w:val="009549A2"/>
    <w:rsid w:val="009549B2"/>
    <w:rsid w:val="00954B79"/>
    <w:rsid w:val="00954EF0"/>
    <w:rsid w:val="00954F03"/>
    <w:rsid w:val="00955068"/>
    <w:rsid w:val="009554DF"/>
    <w:rsid w:val="0095558A"/>
    <w:rsid w:val="009555A4"/>
    <w:rsid w:val="009556A6"/>
    <w:rsid w:val="009556B4"/>
    <w:rsid w:val="00955711"/>
    <w:rsid w:val="00955797"/>
    <w:rsid w:val="0095579C"/>
    <w:rsid w:val="009558B7"/>
    <w:rsid w:val="009558DE"/>
    <w:rsid w:val="00955C1E"/>
    <w:rsid w:val="00955F8B"/>
    <w:rsid w:val="0095609C"/>
    <w:rsid w:val="00956288"/>
    <w:rsid w:val="0095637C"/>
    <w:rsid w:val="0095673B"/>
    <w:rsid w:val="0095675B"/>
    <w:rsid w:val="009570B1"/>
    <w:rsid w:val="009571D8"/>
    <w:rsid w:val="009571F6"/>
    <w:rsid w:val="009573CE"/>
    <w:rsid w:val="00957401"/>
    <w:rsid w:val="00957452"/>
    <w:rsid w:val="00957499"/>
    <w:rsid w:val="00957647"/>
    <w:rsid w:val="0095774A"/>
    <w:rsid w:val="00957B0D"/>
    <w:rsid w:val="00957F6C"/>
    <w:rsid w:val="00957FF6"/>
    <w:rsid w:val="009601B5"/>
    <w:rsid w:val="009603D1"/>
    <w:rsid w:val="009603E3"/>
    <w:rsid w:val="00960509"/>
    <w:rsid w:val="0096097A"/>
    <w:rsid w:val="00960AE6"/>
    <w:rsid w:val="00960AED"/>
    <w:rsid w:val="00960BF0"/>
    <w:rsid w:val="00960FE3"/>
    <w:rsid w:val="009614B1"/>
    <w:rsid w:val="00961572"/>
    <w:rsid w:val="009618A7"/>
    <w:rsid w:val="00961C0B"/>
    <w:rsid w:val="00961D89"/>
    <w:rsid w:val="00961E57"/>
    <w:rsid w:val="0096245F"/>
    <w:rsid w:val="00962464"/>
    <w:rsid w:val="0096259A"/>
    <w:rsid w:val="00962CD8"/>
    <w:rsid w:val="00962D4F"/>
    <w:rsid w:val="00962E7D"/>
    <w:rsid w:val="009630EC"/>
    <w:rsid w:val="00963215"/>
    <w:rsid w:val="00963485"/>
    <w:rsid w:val="009637E2"/>
    <w:rsid w:val="00963A1E"/>
    <w:rsid w:val="00963A47"/>
    <w:rsid w:val="00963BAB"/>
    <w:rsid w:val="00963CCA"/>
    <w:rsid w:val="00963D14"/>
    <w:rsid w:val="00963DBA"/>
    <w:rsid w:val="00963DDB"/>
    <w:rsid w:val="0096420E"/>
    <w:rsid w:val="00964582"/>
    <w:rsid w:val="00964625"/>
    <w:rsid w:val="00964735"/>
    <w:rsid w:val="00964767"/>
    <w:rsid w:val="00964894"/>
    <w:rsid w:val="009649DB"/>
    <w:rsid w:val="00964B52"/>
    <w:rsid w:val="00964BE9"/>
    <w:rsid w:val="00964E26"/>
    <w:rsid w:val="00964EAF"/>
    <w:rsid w:val="009655C6"/>
    <w:rsid w:val="009655F4"/>
    <w:rsid w:val="00965904"/>
    <w:rsid w:val="00965B8D"/>
    <w:rsid w:val="00965EF6"/>
    <w:rsid w:val="00966030"/>
    <w:rsid w:val="009662FC"/>
    <w:rsid w:val="00966671"/>
    <w:rsid w:val="00966C9D"/>
    <w:rsid w:val="00966E39"/>
    <w:rsid w:val="00966EF0"/>
    <w:rsid w:val="009670B4"/>
    <w:rsid w:val="009671EB"/>
    <w:rsid w:val="009674E7"/>
    <w:rsid w:val="00967502"/>
    <w:rsid w:val="00967962"/>
    <w:rsid w:val="00967BDD"/>
    <w:rsid w:val="00967CF6"/>
    <w:rsid w:val="00967F48"/>
    <w:rsid w:val="00967FF6"/>
    <w:rsid w:val="009704EC"/>
    <w:rsid w:val="00970B78"/>
    <w:rsid w:val="00970CE0"/>
    <w:rsid w:val="00970F55"/>
    <w:rsid w:val="0097105F"/>
    <w:rsid w:val="00971249"/>
    <w:rsid w:val="00971B9A"/>
    <w:rsid w:val="00971BE0"/>
    <w:rsid w:val="00971CF5"/>
    <w:rsid w:val="009721D8"/>
    <w:rsid w:val="00972269"/>
    <w:rsid w:val="009723D3"/>
    <w:rsid w:val="009725C9"/>
    <w:rsid w:val="00972748"/>
    <w:rsid w:val="0097282C"/>
    <w:rsid w:val="009729D7"/>
    <w:rsid w:val="00972A03"/>
    <w:rsid w:val="00972B7A"/>
    <w:rsid w:val="00972BD7"/>
    <w:rsid w:val="00972D6B"/>
    <w:rsid w:val="00972E26"/>
    <w:rsid w:val="00972EC6"/>
    <w:rsid w:val="00973690"/>
    <w:rsid w:val="009737A4"/>
    <w:rsid w:val="00973848"/>
    <w:rsid w:val="00973944"/>
    <w:rsid w:val="00973988"/>
    <w:rsid w:val="00973B51"/>
    <w:rsid w:val="00973BEF"/>
    <w:rsid w:val="00973C22"/>
    <w:rsid w:val="00973CBE"/>
    <w:rsid w:val="00973DF3"/>
    <w:rsid w:val="00974522"/>
    <w:rsid w:val="0097471D"/>
    <w:rsid w:val="009748E1"/>
    <w:rsid w:val="0097490F"/>
    <w:rsid w:val="00974B46"/>
    <w:rsid w:val="00974D8B"/>
    <w:rsid w:val="0097510F"/>
    <w:rsid w:val="0097533C"/>
    <w:rsid w:val="0097543F"/>
    <w:rsid w:val="00975DE4"/>
    <w:rsid w:val="00975E93"/>
    <w:rsid w:val="00976167"/>
    <w:rsid w:val="009761FB"/>
    <w:rsid w:val="00976AEE"/>
    <w:rsid w:val="00976F03"/>
    <w:rsid w:val="0097703C"/>
    <w:rsid w:val="009779EA"/>
    <w:rsid w:val="00977EB2"/>
    <w:rsid w:val="0098005D"/>
    <w:rsid w:val="009802FD"/>
    <w:rsid w:val="00980AE1"/>
    <w:rsid w:val="00980C78"/>
    <w:rsid w:val="00981175"/>
    <w:rsid w:val="009814FB"/>
    <w:rsid w:val="009816A4"/>
    <w:rsid w:val="009816CC"/>
    <w:rsid w:val="00981911"/>
    <w:rsid w:val="00981A54"/>
    <w:rsid w:val="00981C27"/>
    <w:rsid w:val="009824B3"/>
    <w:rsid w:val="009829D2"/>
    <w:rsid w:val="00982DE5"/>
    <w:rsid w:val="0098305F"/>
    <w:rsid w:val="00983077"/>
    <w:rsid w:val="009831EC"/>
    <w:rsid w:val="0098327F"/>
    <w:rsid w:val="0098333B"/>
    <w:rsid w:val="0098348B"/>
    <w:rsid w:val="00983756"/>
    <w:rsid w:val="009837BF"/>
    <w:rsid w:val="00983BD0"/>
    <w:rsid w:val="0098412F"/>
    <w:rsid w:val="00984439"/>
    <w:rsid w:val="00984505"/>
    <w:rsid w:val="00984706"/>
    <w:rsid w:val="00984A23"/>
    <w:rsid w:val="00984D8C"/>
    <w:rsid w:val="00984EC9"/>
    <w:rsid w:val="00984F18"/>
    <w:rsid w:val="00985001"/>
    <w:rsid w:val="0098515B"/>
    <w:rsid w:val="00985207"/>
    <w:rsid w:val="00985653"/>
    <w:rsid w:val="00985BD0"/>
    <w:rsid w:val="00985D30"/>
    <w:rsid w:val="00985D8F"/>
    <w:rsid w:val="00985EF6"/>
    <w:rsid w:val="00986128"/>
    <w:rsid w:val="0098661A"/>
    <w:rsid w:val="009867B9"/>
    <w:rsid w:val="0098683E"/>
    <w:rsid w:val="00986CB6"/>
    <w:rsid w:val="00986F4D"/>
    <w:rsid w:val="00986F7E"/>
    <w:rsid w:val="009874AC"/>
    <w:rsid w:val="009874C9"/>
    <w:rsid w:val="00987819"/>
    <w:rsid w:val="00987AF7"/>
    <w:rsid w:val="00987C3C"/>
    <w:rsid w:val="00987D95"/>
    <w:rsid w:val="00987DDB"/>
    <w:rsid w:val="00987E45"/>
    <w:rsid w:val="00987FD0"/>
    <w:rsid w:val="0099014D"/>
    <w:rsid w:val="00990277"/>
    <w:rsid w:val="00990626"/>
    <w:rsid w:val="0099069A"/>
    <w:rsid w:val="0099076C"/>
    <w:rsid w:val="00990770"/>
    <w:rsid w:val="00990810"/>
    <w:rsid w:val="009908AF"/>
    <w:rsid w:val="009908CB"/>
    <w:rsid w:val="00990C1C"/>
    <w:rsid w:val="00990FD4"/>
    <w:rsid w:val="009916CA"/>
    <w:rsid w:val="00991ADD"/>
    <w:rsid w:val="009920C1"/>
    <w:rsid w:val="0099235C"/>
    <w:rsid w:val="00992394"/>
    <w:rsid w:val="009924A8"/>
    <w:rsid w:val="009924DC"/>
    <w:rsid w:val="009925D4"/>
    <w:rsid w:val="0099288F"/>
    <w:rsid w:val="00992B9C"/>
    <w:rsid w:val="00992CA9"/>
    <w:rsid w:val="00992E40"/>
    <w:rsid w:val="00992EE4"/>
    <w:rsid w:val="00992F61"/>
    <w:rsid w:val="00993020"/>
    <w:rsid w:val="009932C8"/>
    <w:rsid w:val="00993351"/>
    <w:rsid w:val="00993521"/>
    <w:rsid w:val="009938E8"/>
    <w:rsid w:val="009939E1"/>
    <w:rsid w:val="00993A12"/>
    <w:rsid w:val="00993E94"/>
    <w:rsid w:val="00994129"/>
    <w:rsid w:val="00994141"/>
    <w:rsid w:val="009942F1"/>
    <w:rsid w:val="00994359"/>
    <w:rsid w:val="009943E3"/>
    <w:rsid w:val="00994899"/>
    <w:rsid w:val="00994A2C"/>
    <w:rsid w:val="00994ADA"/>
    <w:rsid w:val="00994B3C"/>
    <w:rsid w:val="00994BAD"/>
    <w:rsid w:val="00994BBB"/>
    <w:rsid w:val="0099514C"/>
    <w:rsid w:val="009954CF"/>
    <w:rsid w:val="009957CE"/>
    <w:rsid w:val="00995E48"/>
    <w:rsid w:val="00995E4F"/>
    <w:rsid w:val="009961A4"/>
    <w:rsid w:val="0099623D"/>
    <w:rsid w:val="009965C4"/>
    <w:rsid w:val="00996720"/>
    <w:rsid w:val="00996DF0"/>
    <w:rsid w:val="009979BE"/>
    <w:rsid w:val="00997AE4"/>
    <w:rsid w:val="00997CB3"/>
    <w:rsid w:val="00997D82"/>
    <w:rsid w:val="009A00E6"/>
    <w:rsid w:val="009A017F"/>
    <w:rsid w:val="009A0304"/>
    <w:rsid w:val="009A060F"/>
    <w:rsid w:val="009A06A0"/>
    <w:rsid w:val="009A06C6"/>
    <w:rsid w:val="009A06E0"/>
    <w:rsid w:val="009A07FF"/>
    <w:rsid w:val="009A08E1"/>
    <w:rsid w:val="009A0ADD"/>
    <w:rsid w:val="009A0C02"/>
    <w:rsid w:val="009A0FD8"/>
    <w:rsid w:val="009A1096"/>
    <w:rsid w:val="009A127A"/>
    <w:rsid w:val="009A12C6"/>
    <w:rsid w:val="009A1A72"/>
    <w:rsid w:val="009A1BE4"/>
    <w:rsid w:val="009A1CC4"/>
    <w:rsid w:val="009A229B"/>
    <w:rsid w:val="009A22ED"/>
    <w:rsid w:val="009A240E"/>
    <w:rsid w:val="009A2A47"/>
    <w:rsid w:val="009A2F58"/>
    <w:rsid w:val="009A2FA1"/>
    <w:rsid w:val="009A3089"/>
    <w:rsid w:val="009A3443"/>
    <w:rsid w:val="009A34E7"/>
    <w:rsid w:val="009A3747"/>
    <w:rsid w:val="009A38AB"/>
    <w:rsid w:val="009A3A7D"/>
    <w:rsid w:val="009A3BD8"/>
    <w:rsid w:val="009A4085"/>
    <w:rsid w:val="009A40F2"/>
    <w:rsid w:val="009A4201"/>
    <w:rsid w:val="009A4636"/>
    <w:rsid w:val="009A4755"/>
    <w:rsid w:val="009A4B5E"/>
    <w:rsid w:val="009A4D0F"/>
    <w:rsid w:val="009A4D6E"/>
    <w:rsid w:val="009A4DBD"/>
    <w:rsid w:val="009A4E42"/>
    <w:rsid w:val="009A4E5F"/>
    <w:rsid w:val="009A51DE"/>
    <w:rsid w:val="009A5255"/>
    <w:rsid w:val="009A547D"/>
    <w:rsid w:val="009A56C7"/>
    <w:rsid w:val="009A5AEE"/>
    <w:rsid w:val="009A5D7F"/>
    <w:rsid w:val="009A5E37"/>
    <w:rsid w:val="009A5EC6"/>
    <w:rsid w:val="009A625A"/>
    <w:rsid w:val="009A6536"/>
    <w:rsid w:val="009A6578"/>
    <w:rsid w:val="009A65D4"/>
    <w:rsid w:val="009A663C"/>
    <w:rsid w:val="009A66E5"/>
    <w:rsid w:val="009A6A52"/>
    <w:rsid w:val="009A6F6E"/>
    <w:rsid w:val="009A7125"/>
    <w:rsid w:val="009A739D"/>
    <w:rsid w:val="009A740F"/>
    <w:rsid w:val="009A7582"/>
    <w:rsid w:val="009A78BD"/>
    <w:rsid w:val="009A7C4E"/>
    <w:rsid w:val="009A7CC1"/>
    <w:rsid w:val="009A7D8E"/>
    <w:rsid w:val="009A7D96"/>
    <w:rsid w:val="009A7D9E"/>
    <w:rsid w:val="009A7DBA"/>
    <w:rsid w:val="009A7E8E"/>
    <w:rsid w:val="009A7EDD"/>
    <w:rsid w:val="009A7FFE"/>
    <w:rsid w:val="009B0445"/>
    <w:rsid w:val="009B051A"/>
    <w:rsid w:val="009B071B"/>
    <w:rsid w:val="009B077A"/>
    <w:rsid w:val="009B0792"/>
    <w:rsid w:val="009B082F"/>
    <w:rsid w:val="009B084F"/>
    <w:rsid w:val="009B09C0"/>
    <w:rsid w:val="009B09D9"/>
    <w:rsid w:val="009B0B33"/>
    <w:rsid w:val="009B0D3A"/>
    <w:rsid w:val="009B0DB6"/>
    <w:rsid w:val="009B0F5F"/>
    <w:rsid w:val="009B11CE"/>
    <w:rsid w:val="009B1322"/>
    <w:rsid w:val="009B13BE"/>
    <w:rsid w:val="009B14E1"/>
    <w:rsid w:val="009B1591"/>
    <w:rsid w:val="009B15C0"/>
    <w:rsid w:val="009B15CF"/>
    <w:rsid w:val="009B180E"/>
    <w:rsid w:val="009B195B"/>
    <w:rsid w:val="009B1AC1"/>
    <w:rsid w:val="009B1AE9"/>
    <w:rsid w:val="009B1B8A"/>
    <w:rsid w:val="009B1BD4"/>
    <w:rsid w:val="009B1E46"/>
    <w:rsid w:val="009B1F15"/>
    <w:rsid w:val="009B218B"/>
    <w:rsid w:val="009B25F9"/>
    <w:rsid w:val="009B270E"/>
    <w:rsid w:val="009B2746"/>
    <w:rsid w:val="009B27FB"/>
    <w:rsid w:val="009B2917"/>
    <w:rsid w:val="009B2D88"/>
    <w:rsid w:val="009B340C"/>
    <w:rsid w:val="009B34B3"/>
    <w:rsid w:val="009B35B5"/>
    <w:rsid w:val="009B37D5"/>
    <w:rsid w:val="009B3904"/>
    <w:rsid w:val="009B3AAB"/>
    <w:rsid w:val="009B3B52"/>
    <w:rsid w:val="009B3BC9"/>
    <w:rsid w:val="009B3EDB"/>
    <w:rsid w:val="009B45EF"/>
    <w:rsid w:val="009B475D"/>
    <w:rsid w:val="009B47EF"/>
    <w:rsid w:val="009B48D2"/>
    <w:rsid w:val="009B4B27"/>
    <w:rsid w:val="009B4BA2"/>
    <w:rsid w:val="009B503D"/>
    <w:rsid w:val="009B549A"/>
    <w:rsid w:val="009B54BF"/>
    <w:rsid w:val="009B558F"/>
    <w:rsid w:val="009B55F0"/>
    <w:rsid w:val="009B5730"/>
    <w:rsid w:val="009B5892"/>
    <w:rsid w:val="009B5944"/>
    <w:rsid w:val="009B59C3"/>
    <w:rsid w:val="009B5D0E"/>
    <w:rsid w:val="009B5EB7"/>
    <w:rsid w:val="009B5EE8"/>
    <w:rsid w:val="009B62BA"/>
    <w:rsid w:val="009B62CB"/>
    <w:rsid w:val="009B6336"/>
    <w:rsid w:val="009B63AB"/>
    <w:rsid w:val="009B647D"/>
    <w:rsid w:val="009B666D"/>
    <w:rsid w:val="009B69BA"/>
    <w:rsid w:val="009B6B21"/>
    <w:rsid w:val="009B6C20"/>
    <w:rsid w:val="009B6E3A"/>
    <w:rsid w:val="009B7110"/>
    <w:rsid w:val="009B7285"/>
    <w:rsid w:val="009B72B9"/>
    <w:rsid w:val="009B751F"/>
    <w:rsid w:val="009B75EF"/>
    <w:rsid w:val="009B790B"/>
    <w:rsid w:val="009B790F"/>
    <w:rsid w:val="009B7AC1"/>
    <w:rsid w:val="009B7DD6"/>
    <w:rsid w:val="009C0068"/>
    <w:rsid w:val="009C02E8"/>
    <w:rsid w:val="009C0389"/>
    <w:rsid w:val="009C048A"/>
    <w:rsid w:val="009C072C"/>
    <w:rsid w:val="009C073E"/>
    <w:rsid w:val="009C08CF"/>
    <w:rsid w:val="009C0945"/>
    <w:rsid w:val="009C0CBF"/>
    <w:rsid w:val="009C1032"/>
    <w:rsid w:val="009C11E0"/>
    <w:rsid w:val="009C13B9"/>
    <w:rsid w:val="009C17D8"/>
    <w:rsid w:val="009C193C"/>
    <w:rsid w:val="009C1A29"/>
    <w:rsid w:val="009C1E40"/>
    <w:rsid w:val="009C20D0"/>
    <w:rsid w:val="009C21A6"/>
    <w:rsid w:val="009C253D"/>
    <w:rsid w:val="009C279E"/>
    <w:rsid w:val="009C280F"/>
    <w:rsid w:val="009C2E23"/>
    <w:rsid w:val="009C2ECA"/>
    <w:rsid w:val="009C39D0"/>
    <w:rsid w:val="009C3C0C"/>
    <w:rsid w:val="009C3C5C"/>
    <w:rsid w:val="009C3C63"/>
    <w:rsid w:val="009C3CE4"/>
    <w:rsid w:val="009C3F25"/>
    <w:rsid w:val="009C40AA"/>
    <w:rsid w:val="009C41B7"/>
    <w:rsid w:val="009C422C"/>
    <w:rsid w:val="009C483D"/>
    <w:rsid w:val="009C4976"/>
    <w:rsid w:val="009C4BEF"/>
    <w:rsid w:val="009C4C16"/>
    <w:rsid w:val="009C4E6A"/>
    <w:rsid w:val="009C5051"/>
    <w:rsid w:val="009C54D2"/>
    <w:rsid w:val="009C551E"/>
    <w:rsid w:val="009C553A"/>
    <w:rsid w:val="009C567C"/>
    <w:rsid w:val="009C592D"/>
    <w:rsid w:val="009C5ACA"/>
    <w:rsid w:val="009C5AE4"/>
    <w:rsid w:val="009C5D9C"/>
    <w:rsid w:val="009C6334"/>
    <w:rsid w:val="009C6722"/>
    <w:rsid w:val="009C6A77"/>
    <w:rsid w:val="009C6AA2"/>
    <w:rsid w:val="009C6BAC"/>
    <w:rsid w:val="009C6BD5"/>
    <w:rsid w:val="009C6BDA"/>
    <w:rsid w:val="009C6C79"/>
    <w:rsid w:val="009C727F"/>
    <w:rsid w:val="009C76FF"/>
    <w:rsid w:val="009C7A19"/>
    <w:rsid w:val="009C7A95"/>
    <w:rsid w:val="009C7BFE"/>
    <w:rsid w:val="009D0610"/>
    <w:rsid w:val="009D0759"/>
    <w:rsid w:val="009D0E97"/>
    <w:rsid w:val="009D125F"/>
    <w:rsid w:val="009D132D"/>
    <w:rsid w:val="009D15AC"/>
    <w:rsid w:val="009D1C1F"/>
    <w:rsid w:val="009D1C2F"/>
    <w:rsid w:val="009D1D11"/>
    <w:rsid w:val="009D1FBB"/>
    <w:rsid w:val="009D201B"/>
    <w:rsid w:val="009D218D"/>
    <w:rsid w:val="009D276E"/>
    <w:rsid w:val="009D2E58"/>
    <w:rsid w:val="009D2EF7"/>
    <w:rsid w:val="009D2F7E"/>
    <w:rsid w:val="009D3163"/>
    <w:rsid w:val="009D328C"/>
    <w:rsid w:val="009D3293"/>
    <w:rsid w:val="009D3C46"/>
    <w:rsid w:val="009D3EDE"/>
    <w:rsid w:val="009D40DB"/>
    <w:rsid w:val="009D452D"/>
    <w:rsid w:val="009D4583"/>
    <w:rsid w:val="009D4F55"/>
    <w:rsid w:val="009D5825"/>
    <w:rsid w:val="009D5861"/>
    <w:rsid w:val="009D58BE"/>
    <w:rsid w:val="009D58F5"/>
    <w:rsid w:val="009D5D64"/>
    <w:rsid w:val="009D5E7C"/>
    <w:rsid w:val="009D63C0"/>
    <w:rsid w:val="009D67EB"/>
    <w:rsid w:val="009D68F9"/>
    <w:rsid w:val="009D6D81"/>
    <w:rsid w:val="009D6EF9"/>
    <w:rsid w:val="009D71F1"/>
    <w:rsid w:val="009D7579"/>
    <w:rsid w:val="009D75BF"/>
    <w:rsid w:val="009D768A"/>
    <w:rsid w:val="009D7943"/>
    <w:rsid w:val="009D7953"/>
    <w:rsid w:val="009D7E76"/>
    <w:rsid w:val="009E0097"/>
    <w:rsid w:val="009E0528"/>
    <w:rsid w:val="009E0741"/>
    <w:rsid w:val="009E0914"/>
    <w:rsid w:val="009E0AA7"/>
    <w:rsid w:val="009E0D78"/>
    <w:rsid w:val="009E11B5"/>
    <w:rsid w:val="009E137E"/>
    <w:rsid w:val="009E19DF"/>
    <w:rsid w:val="009E1C60"/>
    <w:rsid w:val="009E25A6"/>
    <w:rsid w:val="009E2D08"/>
    <w:rsid w:val="009E2EA4"/>
    <w:rsid w:val="009E2F60"/>
    <w:rsid w:val="009E30FD"/>
    <w:rsid w:val="009E3135"/>
    <w:rsid w:val="009E3601"/>
    <w:rsid w:val="009E3677"/>
    <w:rsid w:val="009E3769"/>
    <w:rsid w:val="009E3953"/>
    <w:rsid w:val="009E395A"/>
    <w:rsid w:val="009E3AB2"/>
    <w:rsid w:val="009E3B94"/>
    <w:rsid w:val="009E3D58"/>
    <w:rsid w:val="009E42B2"/>
    <w:rsid w:val="009E43E5"/>
    <w:rsid w:val="009E4436"/>
    <w:rsid w:val="009E45B1"/>
    <w:rsid w:val="009E4937"/>
    <w:rsid w:val="009E494F"/>
    <w:rsid w:val="009E4A4B"/>
    <w:rsid w:val="009E513E"/>
    <w:rsid w:val="009E526B"/>
    <w:rsid w:val="009E55D0"/>
    <w:rsid w:val="009E5688"/>
    <w:rsid w:val="009E577F"/>
    <w:rsid w:val="009E6321"/>
    <w:rsid w:val="009E6842"/>
    <w:rsid w:val="009E69FE"/>
    <w:rsid w:val="009E6B4E"/>
    <w:rsid w:val="009E6FAD"/>
    <w:rsid w:val="009E710E"/>
    <w:rsid w:val="009E7197"/>
    <w:rsid w:val="009E752D"/>
    <w:rsid w:val="009E7F52"/>
    <w:rsid w:val="009F0070"/>
    <w:rsid w:val="009F089F"/>
    <w:rsid w:val="009F0A00"/>
    <w:rsid w:val="009F0B30"/>
    <w:rsid w:val="009F17E4"/>
    <w:rsid w:val="009F1E3C"/>
    <w:rsid w:val="009F1F4E"/>
    <w:rsid w:val="009F2004"/>
    <w:rsid w:val="009F21AC"/>
    <w:rsid w:val="009F244F"/>
    <w:rsid w:val="009F2502"/>
    <w:rsid w:val="009F25B0"/>
    <w:rsid w:val="009F25E7"/>
    <w:rsid w:val="009F27C6"/>
    <w:rsid w:val="009F2BC3"/>
    <w:rsid w:val="009F347A"/>
    <w:rsid w:val="009F3ADE"/>
    <w:rsid w:val="009F4525"/>
    <w:rsid w:val="009F47DE"/>
    <w:rsid w:val="009F4813"/>
    <w:rsid w:val="009F4EFD"/>
    <w:rsid w:val="009F4F82"/>
    <w:rsid w:val="009F509C"/>
    <w:rsid w:val="009F53C7"/>
    <w:rsid w:val="009F55C6"/>
    <w:rsid w:val="009F5997"/>
    <w:rsid w:val="009F621B"/>
    <w:rsid w:val="009F62B0"/>
    <w:rsid w:val="009F64AE"/>
    <w:rsid w:val="009F6565"/>
    <w:rsid w:val="009F6592"/>
    <w:rsid w:val="009F66E3"/>
    <w:rsid w:val="009F699B"/>
    <w:rsid w:val="009F7530"/>
    <w:rsid w:val="009F773A"/>
    <w:rsid w:val="009F7918"/>
    <w:rsid w:val="009F7B34"/>
    <w:rsid w:val="009F7C8E"/>
    <w:rsid w:val="009F7D86"/>
    <w:rsid w:val="009F7FBF"/>
    <w:rsid w:val="00A00186"/>
    <w:rsid w:val="00A0018F"/>
    <w:rsid w:val="00A00224"/>
    <w:rsid w:val="00A00524"/>
    <w:rsid w:val="00A00BC1"/>
    <w:rsid w:val="00A00E96"/>
    <w:rsid w:val="00A00EF5"/>
    <w:rsid w:val="00A0155E"/>
    <w:rsid w:val="00A015FA"/>
    <w:rsid w:val="00A01720"/>
    <w:rsid w:val="00A020AC"/>
    <w:rsid w:val="00A021EF"/>
    <w:rsid w:val="00A02412"/>
    <w:rsid w:val="00A0266A"/>
    <w:rsid w:val="00A026C0"/>
    <w:rsid w:val="00A02B22"/>
    <w:rsid w:val="00A02DBB"/>
    <w:rsid w:val="00A02DFC"/>
    <w:rsid w:val="00A02F07"/>
    <w:rsid w:val="00A034C5"/>
    <w:rsid w:val="00A0377D"/>
    <w:rsid w:val="00A03C02"/>
    <w:rsid w:val="00A03D6B"/>
    <w:rsid w:val="00A040B1"/>
    <w:rsid w:val="00A0432E"/>
    <w:rsid w:val="00A04874"/>
    <w:rsid w:val="00A04883"/>
    <w:rsid w:val="00A04925"/>
    <w:rsid w:val="00A04A8A"/>
    <w:rsid w:val="00A04BE4"/>
    <w:rsid w:val="00A050BD"/>
    <w:rsid w:val="00A0516E"/>
    <w:rsid w:val="00A051F3"/>
    <w:rsid w:val="00A0529C"/>
    <w:rsid w:val="00A053C6"/>
    <w:rsid w:val="00A05A94"/>
    <w:rsid w:val="00A05A9A"/>
    <w:rsid w:val="00A05BA6"/>
    <w:rsid w:val="00A05CC9"/>
    <w:rsid w:val="00A05E19"/>
    <w:rsid w:val="00A05EE7"/>
    <w:rsid w:val="00A0658F"/>
    <w:rsid w:val="00A06AE0"/>
    <w:rsid w:val="00A06B56"/>
    <w:rsid w:val="00A06C06"/>
    <w:rsid w:val="00A06E82"/>
    <w:rsid w:val="00A0708F"/>
    <w:rsid w:val="00A0717F"/>
    <w:rsid w:val="00A07413"/>
    <w:rsid w:val="00A074E4"/>
    <w:rsid w:val="00A07783"/>
    <w:rsid w:val="00A079A9"/>
    <w:rsid w:val="00A07BAB"/>
    <w:rsid w:val="00A07DCF"/>
    <w:rsid w:val="00A10246"/>
    <w:rsid w:val="00A102B4"/>
    <w:rsid w:val="00A106C2"/>
    <w:rsid w:val="00A1075A"/>
    <w:rsid w:val="00A10A5F"/>
    <w:rsid w:val="00A10BDB"/>
    <w:rsid w:val="00A10BF0"/>
    <w:rsid w:val="00A10C38"/>
    <w:rsid w:val="00A10CFF"/>
    <w:rsid w:val="00A10D01"/>
    <w:rsid w:val="00A111A6"/>
    <w:rsid w:val="00A11660"/>
    <w:rsid w:val="00A1191F"/>
    <w:rsid w:val="00A11E02"/>
    <w:rsid w:val="00A126A6"/>
    <w:rsid w:val="00A12B37"/>
    <w:rsid w:val="00A12B9D"/>
    <w:rsid w:val="00A12C0E"/>
    <w:rsid w:val="00A12E24"/>
    <w:rsid w:val="00A12F71"/>
    <w:rsid w:val="00A12FC0"/>
    <w:rsid w:val="00A130E2"/>
    <w:rsid w:val="00A131C1"/>
    <w:rsid w:val="00A13276"/>
    <w:rsid w:val="00A13378"/>
    <w:rsid w:val="00A1343B"/>
    <w:rsid w:val="00A13545"/>
    <w:rsid w:val="00A137DA"/>
    <w:rsid w:val="00A13C97"/>
    <w:rsid w:val="00A141E0"/>
    <w:rsid w:val="00A14290"/>
    <w:rsid w:val="00A142B9"/>
    <w:rsid w:val="00A148EF"/>
    <w:rsid w:val="00A149C0"/>
    <w:rsid w:val="00A14BB3"/>
    <w:rsid w:val="00A14E5A"/>
    <w:rsid w:val="00A14FB0"/>
    <w:rsid w:val="00A15175"/>
    <w:rsid w:val="00A1534A"/>
    <w:rsid w:val="00A1558C"/>
    <w:rsid w:val="00A156F1"/>
    <w:rsid w:val="00A157AD"/>
    <w:rsid w:val="00A15AAB"/>
    <w:rsid w:val="00A15B8B"/>
    <w:rsid w:val="00A15C1A"/>
    <w:rsid w:val="00A15D86"/>
    <w:rsid w:val="00A15EE3"/>
    <w:rsid w:val="00A15FBC"/>
    <w:rsid w:val="00A1603F"/>
    <w:rsid w:val="00A16340"/>
    <w:rsid w:val="00A163BC"/>
    <w:rsid w:val="00A1658B"/>
    <w:rsid w:val="00A16766"/>
    <w:rsid w:val="00A168F7"/>
    <w:rsid w:val="00A16A30"/>
    <w:rsid w:val="00A16C30"/>
    <w:rsid w:val="00A16C3A"/>
    <w:rsid w:val="00A16E0F"/>
    <w:rsid w:val="00A17201"/>
    <w:rsid w:val="00A1725D"/>
    <w:rsid w:val="00A177AB"/>
    <w:rsid w:val="00A17E78"/>
    <w:rsid w:val="00A201E8"/>
    <w:rsid w:val="00A20428"/>
    <w:rsid w:val="00A20A53"/>
    <w:rsid w:val="00A20C9F"/>
    <w:rsid w:val="00A20DF1"/>
    <w:rsid w:val="00A2115A"/>
    <w:rsid w:val="00A211DF"/>
    <w:rsid w:val="00A214C2"/>
    <w:rsid w:val="00A21641"/>
    <w:rsid w:val="00A2176E"/>
    <w:rsid w:val="00A21A95"/>
    <w:rsid w:val="00A21B36"/>
    <w:rsid w:val="00A22603"/>
    <w:rsid w:val="00A226D1"/>
    <w:rsid w:val="00A22A65"/>
    <w:rsid w:val="00A22AF1"/>
    <w:rsid w:val="00A22B87"/>
    <w:rsid w:val="00A231D4"/>
    <w:rsid w:val="00A237CA"/>
    <w:rsid w:val="00A23879"/>
    <w:rsid w:val="00A23A59"/>
    <w:rsid w:val="00A23B27"/>
    <w:rsid w:val="00A2416E"/>
    <w:rsid w:val="00A242E6"/>
    <w:rsid w:val="00A24E10"/>
    <w:rsid w:val="00A24E7C"/>
    <w:rsid w:val="00A252BF"/>
    <w:rsid w:val="00A253EA"/>
    <w:rsid w:val="00A25659"/>
    <w:rsid w:val="00A2595B"/>
    <w:rsid w:val="00A25984"/>
    <w:rsid w:val="00A25C0D"/>
    <w:rsid w:val="00A25EEF"/>
    <w:rsid w:val="00A25FD0"/>
    <w:rsid w:val="00A2611A"/>
    <w:rsid w:val="00A264DC"/>
    <w:rsid w:val="00A265C1"/>
    <w:rsid w:val="00A26856"/>
    <w:rsid w:val="00A26A40"/>
    <w:rsid w:val="00A26CAB"/>
    <w:rsid w:val="00A273E1"/>
    <w:rsid w:val="00A2756D"/>
    <w:rsid w:val="00A275EF"/>
    <w:rsid w:val="00A275F0"/>
    <w:rsid w:val="00A27C1F"/>
    <w:rsid w:val="00A27C2B"/>
    <w:rsid w:val="00A27EAD"/>
    <w:rsid w:val="00A27FE0"/>
    <w:rsid w:val="00A27FF5"/>
    <w:rsid w:val="00A301A6"/>
    <w:rsid w:val="00A30672"/>
    <w:rsid w:val="00A30963"/>
    <w:rsid w:val="00A3096E"/>
    <w:rsid w:val="00A3100E"/>
    <w:rsid w:val="00A313A0"/>
    <w:rsid w:val="00A313E1"/>
    <w:rsid w:val="00A31C3F"/>
    <w:rsid w:val="00A31C6A"/>
    <w:rsid w:val="00A31E58"/>
    <w:rsid w:val="00A32223"/>
    <w:rsid w:val="00A32333"/>
    <w:rsid w:val="00A327CE"/>
    <w:rsid w:val="00A32833"/>
    <w:rsid w:val="00A328EF"/>
    <w:rsid w:val="00A3291E"/>
    <w:rsid w:val="00A32CB2"/>
    <w:rsid w:val="00A32DD9"/>
    <w:rsid w:val="00A32FA1"/>
    <w:rsid w:val="00A32FB1"/>
    <w:rsid w:val="00A3329B"/>
    <w:rsid w:val="00A33554"/>
    <w:rsid w:val="00A33ABB"/>
    <w:rsid w:val="00A33AC3"/>
    <w:rsid w:val="00A33DE6"/>
    <w:rsid w:val="00A3414B"/>
    <w:rsid w:val="00A34170"/>
    <w:rsid w:val="00A341EE"/>
    <w:rsid w:val="00A34210"/>
    <w:rsid w:val="00A3442A"/>
    <w:rsid w:val="00A34A81"/>
    <w:rsid w:val="00A35073"/>
    <w:rsid w:val="00A350ED"/>
    <w:rsid w:val="00A35172"/>
    <w:rsid w:val="00A351F3"/>
    <w:rsid w:val="00A352C7"/>
    <w:rsid w:val="00A352F4"/>
    <w:rsid w:val="00A3553B"/>
    <w:rsid w:val="00A35591"/>
    <w:rsid w:val="00A35618"/>
    <w:rsid w:val="00A357E3"/>
    <w:rsid w:val="00A35CE7"/>
    <w:rsid w:val="00A35EB9"/>
    <w:rsid w:val="00A36189"/>
    <w:rsid w:val="00A3619E"/>
    <w:rsid w:val="00A362D2"/>
    <w:rsid w:val="00A3666D"/>
    <w:rsid w:val="00A36711"/>
    <w:rsid w:val="00A368E0"/>
    <w:rsid w:val="00A36A86"/>
    <w:rsid w:val="00A3741F"/>
    <w:rsid w:val="00A375BC"/>
    <w:rsid w:val="00A376F9"/>
    <w:rsid w:val="00A3778E"/>
    <w:rsid w:val="00A3786A"/>
    <w:rsid w:val="00A37AFB"/>
    <w:rsid w:val="00A37C11"/>
    <w:rsid w:val="00A37C2E"/>
    <w:rsid w:val="00A37D35"/>
    <w:rsid w:val="00A37E9E"/>
    <w:rsid w:val="00A37FE1"/>
    <w:rsid w:val="00A40034"/>
    <w:rsid w:val="00A405A2"/>
    <w:rsid w:val="00A409F5"/>
    <w:rsid w:val="00A40B19"/>
    <w:rsid w:val="00A40CDB"/>
    <w:rsid w:val="00A40EF4"/>
    <w:rsid w:val="00A41192"/>
    <w:rsid w:val="00A412AF"/>
    <w:rsid w:val="00A417A5"/>
    <w:rsid w:val="00A417B8"/>
    <w:rsid w:val="00A419ED"/>
    <w:rsid w:val="00A41ADD"/>
    <w:rsid w:val="00A41B28"/>
    <w:rsid w:val="00A41BD6"/>
    <w:rsid w:val="00A41C00"/>
    <w:rsid w:val="00A41CD9"/>
    <w:rsid w:val="00A41D25"/>
    <w:rsid w:val="00A41FCC"/>
    <w:rsid w:val="00A42550"/>
    <w:rsid w:val="00A42935"/>
    <w:rsid w:val="00A429E1"/>
    <w:rsid w:val="00A42A87"/>
    <w:rsid w:val="00A42BDB"/>
    <w:rsid w:val="00A42C21"/>
    <w:rsid w:val="00A42C66"/>
    <w:rsid w:val="00A42EDC"/>
    <w:rsid w:val="00A43097"/>
    <w:rsid w:val="00A430B3"/>
    <w:rsid w:val="00A43530"/>
    <w:rsid w:val="00A437D3"/>
    <w:rsid w:val="00A4384B"/>
    <w:rsid w:val="00A43DA7"/>
    <w:rsid w:val="00A443B9"/>
    <w:rsid w:val="00A4454B"/>
    <w:rsid w:val="00A44F71"/>
    <w:rsid w:val="00A4547F"/>
    <w:rsid w:val="00A45566"/>
    <w:rsid w:val="00A455A9"/>
    <w:rsid w:val="00A45602"/>
    <w:rsid w:val="00A4586F"/>
    <w:rsid w:val="00A45E1B"/>
    <w:rsid w:val="00A4604D"/>
    <w:rsid w:val="00A46147"/>
    <w:rsid w:val="00A462F7"/>
    <w:rsid w:val="00A46679"/>
    <w:rsid w:val="00A46D4A"/>
    <w:rsid w:val="00A46FEF"/>
    <w:rsid w:val="00A47344"/>
    <w:rsid w:val="00A47381"/>
    <w:rsid w:val="00A478D9"/>
    <w:rsid w:val="00A479C8"/>
    <w:rsid w:val="00A50625"/>
    <w:rsid w:val="00A506A3"/>
    <w:rsid w:val="00A50F38"/>
    <w:rsid w:val="00A510C1"/>
    <w:rsid w:val="00A510DF"/>
    <w:rsid w:val="00A5164E"/>
    <w:rsid w:val="00A52035"/>
    <w:rsid w:val="00A52555"/>
    <w:rsid w:val="00A525B7"/>
    <w:rsid w:val="00A528C9"/>
    <w:rsid w:val="00A52B3B"/>
    <w:rsid w:val="00A52B7E"/>
    <w:rsid w:val="00A52F5F"/>
    <w:rsid w:val="00A532D3"/>
    <w:rsid w:val="00A532DA"/>
    <w:rsid w:val="00A535D5"/>
    <w:rsid w:val="00A538D2"/>
    <w:rsid w:val="00A53956"/>
    <w:rsid w:val="00A53D09"/>
    <w:rsid w:val="00A53E13"/>
    <w:rsid w:val="00A53E19"/>
    <w:rsid w:val="00A53E80"/>
    <w:rsid w:val="00A5437C"/>
    <w:rsid w:val="00A546E1"/>
    <w:rsid w:val="00A54A8B"/>
    <w:rsid w:val="00A54DCC"/>
    <w:rsid w:val="00A54F05"/>
    <w:rsid w:val="00A54F96"/>
    <w:rsid w:val="00A552B4"/>
    <w:rsid w:val="00A5533A"/>
    <w:rsid w:val="00A5560E"/>
    <w:rsid w:val="00A55A99"/>
    <w:rsid w:val="00A55B2F"/>
    <w:rsid w:val="00A56070"/>
    <w:rsid w:val="00A560DA"/>
    <w:rsid w:val="00A56115"/>
    <w:rsid w:val="00A56169"/>
    <w:rsid w:val="00A565C3"/>
    <w:rsid w:val="00A56811"/>
    <w:rsid w:val="00A568A9"/>
    <w:rsid w:val="00A56C7E"/>
    <w:rsid w:val="00A570C3"/>
    <w:rsid w:val="00A57484"/>
    <w:rsid w:val="00A574C3"/>
    <w:rsid w:val="00A57672"/>
    <w:rsid w:val="00A57755"/>
    <w:rsid w:val="00A577CC"/>
    <w:rsid w:val="00A57AAE"/>
    <w:rsid w:val="00A57D5D"/>
    <w:rsid w:val="00A57ECA"/>
    <w:rsid w:val="00A600F9"/>
    <w:rsid w:val="00A6031B"/>
    <w:rsid w:val="00A60865"/>
    <w:rsid w:val="00A60987"/>
    <w:rsid w:val="00A60E62"/>
    <w:rsid w:val="00A6191C"/>
    <w:rsid w:val="00A61B39"/>
    <w:rsid w:val="00A61F3B"/>
    <w:rsid w:val="00A62C07"/>
    <w:rsid w:val="00A62C53"/>
    <w:rsid w:val="00A62F99"/>
    <w:rsid w:val="00A63121"/>
    <w:rsid w:val="00A636E8"/>
    <w:rsid w:val="00A63979"/>
    <w:rsid w:val="00A63AD5"/>
    <w:rsid w:val="00A63D7C"/>
    <w:rsid w:val="00A63E11"/>
    <w:rsid w:val="00A6421F"/>
    <w:rsid w:val="00A64284"/>
    <w:rsid w:val="00A6447C"/>
    <w:rsid w:val="00A646C4"/>
    <w:rsid w:val="00A64782"/>
    <w:rsid w:val="00A647D1"/>
    <w:rsid w:val="00A648F9"/>
    <w:rsid w:val="00A64928"/>
    <w:rsid w:val="00A64BB7"/>
    <w:rsid w:val="00A64D66"/>
    <w:rsid w:val="00A64DA5"/>
    <w:rsid w:val="00A64E9E"/>
    <w:rsid w:val="00A6533C"/>
    <w:rsid w:val="00A6536B"/>
    <w:rsid w:val="00A6548A"/>
    <w:rsid w:val="00A65589"/>
    <w:rsid w:val="00A656BE"/>
    <w:rsid w:val="00A6594D"/>
    <w:rsid w:val="00A65D37"/>
    <w:rsid w:val="00A660BD"/>
    <w:rsid w:val="00A664A0"/>
    <w:rsid w:val="00A664A6"/>
    <w:rsid w:val="00A66742"/>
    <w:rsid w:val="00A66C31"/>
    <w:rsid w:val="00A66D81"/>
    <w:rsid w:val="00A66E30"/>
    <w:rsid w:val="00A67040"/>
    <w:rsid w:val="00A6706A"/>
    <w:rsid w:val="00A67196"/>
    <w:rsid w:val="00A67622"/>
    <w:rsid w:val="00A676CA"/>
    <w:rsid w:val="00A6786C"/>
    <w:rsid w:val="00A67C0F"/>
    <w:rsid w:val="00A67D4A"/>
    <w:rsid w:val="00A67F29"/>
    <w:rsid w:val="00A67F2B"/>
    <w:rsid w:val="00A70095"/>
    <w:rsid w:val="00A7015C"/>
    <w:rsid w:val="00A701E0"/>
    <w:rsid w:val="00A701E4"/>
    <w:rsid w:val="00A7039D"/>
    <w:rsid w:val="00A7046A"/>
    <w:rsid w:val="00A7053E"/>
    <w:rsid w:val="00A7057E"/>
    <w:rsid w:val="00A70705"/>
    <w:rsid w:val="00A708C1"/>
    <w:rsid w:val="00A70CC1"/>
    <w:rsid w:val="00A70D11"/>
    <w:rsid w:val="00A70D18"/>
    <w:rsid w:val="00A70D23"/>
    <w:rsid w:val="00A70ECD"/>
    <w:rsid w:val="00A70F75"/>
    <w:rsid w:val="00A70FC0"/>
    <w:rsid w:val="00A71113"/>
    <w:rsid w:val="00A71686"/>
    <w:rsid w:val="00A71ED2"/>
    <w:rsid w:val="00A72886"/>
    <w:rsid w:val="00A728A5"/>
    <w:rsid w:val="00A728E7"/>
    <w:rsid w:val="00A72CF9"/>
    <w:rsid w:val="00A72E75"/>
    <w:rsid w:val="00A73051"/>
    <w:rsid w:val="00A73163"/>
    <w:rsid w:val="00A73465"/>
    <w:rsid w:val="00A738FB"/>
    <w:rsid w:val="00A738FC"/>
    <w:rsid w:val="00A73A6D"/>
    <w:rsid w:val="00A73BD9"/>
    <w:rsid w:val="00A73CB8"/>
    <w:rsid w:val="00A73CE7"/>
    <w:rsid w:val="00A73E27"/>
    <w:rsid w:val="00A73ED4"/>
    <w:rsid w:val="00A74083"/>
    <w:rsid w:val="00A74411"/>
    <w:rsid w:val="00A744C3"/>
    <w:rsid w:val="00A7475A"/>
    <w:rsid w:val="00A747FB"/>
    <w:rsid w:val="00A7482C"/>
    <w:rsid w:val="00A74AD3"/>
    <w:rsid w:val="00A75219"/>
    <w:rsid w:val="00A75228"/>
    <w:rsid w:val="00A755B0"/>
    <w:rsid w:val="00A757F3"/>
    <w:rsid w:val="00A7581F"/>
    <w:rsid w:val="00A7587B"/>
    <w:rsid w:val="00A75CA8"/>
    <w:rsid w:val="00A75E5F"/>
    <w:rsid w:val="00A763D8"/>
    <w:rsid w:val="00A7643F"/>
    <w:rsid w:val="00A766AC"/>
    <w:rsid w:val="00A766C1"/>
    <w:rsid w:val="00A767A7"/>
    <w:rsid w:val="00A76C4F"/>
    <w:rsid w:val="00A76C52"/>
    <w:rsid w:val="00A76FED"/>
    <w:rsid w:val="00A7709A"/>
    <w:rsid w:val="00A773F8"/>
    <w:rsid w:val="00A77401"/>
    <w:rsid w:val="00A77794"/>
    <w:rsid w:val="00A777E7"/>
    <w:rsid w:val="00A77836"/>
    <w:rsid w:val="00A778B9"/>
    <w:rsid w:val="00A779ED"/>
    <w:rsid w:val="00A77AF5"/>
    <w:rsid w:val="00A77DF2"/>
    <w:rsid w:val="00A77E38"/>
    <w:rsid w:val="00A80188"/>
    <w:rsid w:val="00A803D1"/>
    <w:rsid w:val="00A803F7"/>
    <w:rsid w:val="00A80618"/>
    <w:rsid w:val="00A80CBA"/>
    <w:rsid w:val="00A816EC"/>
    <w:rsid w:val="00A81D27"/>
    <w:rsid w:val="00A824F5"/>
    <w:rsid w:val="00A825F7"/>
    <w:rsid w:val="00A8275A"/>
    <w:rsid w:val="00A82777"/>
    <w:rsid w:val="00A82E28"/>
    <w:rsid w:val="00A82EEF"/>
    <w:rsid w:val="00A82FC3"/>
    <w:rsid w:val="00A83909"/>
    <w:rsid w:val="00A83A71"/>
    <w:rsid w:val="00A840B8"/>
    <w:rsid w:val="00A8433D"/>
    <w:rsid w:val="00A843A6"/>
    <w:rsid w:val="00A84458"/>
    <w:rsid w:val="00A84621"/>
    <w:rsid w:val="00A84910"/>
    <w:rsid w:val="00A849FF"/>
    <w:rsid w:val="00A84AB5"/>
    <w:rsid w:val="00A84E9B"/>
    <w:rsid w:val="00A84F22"/>
    <w:rsid w:val="00A850AE"/>
    <w:rsid w:val="00A8583C"/>
    <w:rsid w:val="00A85860"/>
    <w:rsid w:val="00A85A64"/>
    <w:rsid w:val="00A85BAE"/>
    <w:rsid w:val="00A85D66"/>
    <w:rsid w:val="00A86190"/>
    <w:rsid w:val="00A8652E"/>
    <w:rsid w:val="00A8674E"/>
    <w:rsid w:val="00A867D6"/>
    <w:rsid w:val="00A86A18"/>
    <w:rsid w:val="00A86A6C"/>
    <w:rsid w:val="00A86AEF"/>
    <w:rsid w:val="00A86B8B"/>
    <w:rsid w:val="00A86C7C"/>
    <w:rsid w:val="00A86CB2"/>
    <w:rsid w:val="00A86DC1"/>
    <w:rsid w:val="00A8719C"/>
    <w:rsid w:val="00A8758E"/>
    <w:rsid w:val="00A87804"/>
    <w:rsid w:val="00A8790C"/>
    <w:rsid w:val="00A8793B"/>
    <w:rsid w:val="00A87A65"/>
    <w:rsid w:val="00A87D1F"/>
    <w:rsid w:val="00A90342"/>
    <w:rsid w:val="00A9038F"/>
    <w:rsid w:val="00A90650"/>
    <w:rsid w:val="00A906FE"/>
    <w:rsid w:val="00A90BFA"/>
    <w:rsid w:val="00A90CCF"/>
    <w:rsid w:val="00A90D76"/>
    <w:rsid w:val="00A9195B"/>
    <w:rsid w:val="00A91D4D"/>
    <w:rsid w:val="00A91DD6"/>
    <w:rsid w:val="00A91F50"/>
    <w:rsid w:val="00A91FE3"/>
    <w:rsid w:val="00A923CC"/>
    <w:rsid w:val="00A9248E"/>
    <w:rsid w:val="00A927E7"/>
    <w:rsid w:val="00A92998"/>
    <w:rsid w:val="00A92C5F"/>
    <w:rsid w:val="00A92EE7"/>
    <w:rsid w:val="00A92F14"/>
    <w:rsid w:val="00A93041"/>
    <w:rsid w:val="00A93294"/>
    <w:rsid w:val="00A93417"/>
    <w:rsid w:val="00A93E7C"/>
    <w:rsid w:val="00A94022"/>
    <w:rsid w:val="00A940C0"/>
    <w:rsid w:val="00A94132"/>
    <w:rsid w:val="00A94492"/>
    <w:rsid w:val="00A947B8"/>
    <w:rsid w:val="00A94ACD"/>
    <w:rsid w:val="00A94CA2"/>
    <w:rsid w:val="00A950CA"/>
    <w:rsid w:val="00A9516D"/>
    <w:rsid w:val="00A95345"/>
    <w:rsid w:val="00A954EE"/>
    <w:rsid w:val="00A959F6"/>
    <w:rsid w:val="00A95DA0"/>
    <w:rsid w:val="00A96554"/>
    <w:rsid w:val="00A967E7"/>
    <w:rsid w:val="00A9688B"/>
    <w:rsid w:val="00A9698C"/>
    <w:rsid w:val="00A96B6D"/>
    <w:rsid w:val="00A97883"/>
    <w:rsid w:val="00A97946"/>
    <w:rsid w:val="00A97964"/>
    <w:rsid w:val="00A97967"/>
    <w:rsid w:val="00A97B1D"/>
    <w:rsid w:val="00A97CC8"/>
    <w:rsid w:val="00A97F67"/>
    <w:rsid w:val="00AA03D5"/>
    <w:rsid w:val="00AA05F5"/>
    <w:rsid w:val="00AA0A2C"/>
    <w:rsid w:val="00AA0AD0"/>
    <w:rsid w:val="00AA0C7E"/>
    <w:rsid w:val="00AA0F83"/>
    <w:rsid w:val="00AA14CD"/>
    <w:rsid w:val="00AA175B"/>
    <w:rsid w:val="00AA17E5"/>
    <w:rsid w:val="00AA18F3"/>
    <w:rsid w:val="00AA192C"/>
    <w:rsid w:val="00AA19BE"/>
    <w:rsid w:val="00AA1CE2"/>
    <w:rsid w:val="00AA1E28"/>
    <w:rsid w:val="00AA2194"/>
    <w:rsid w:val="00AA237E"/>
    <w:rsid w:val="00AA256E"/>
    <w:rsid w:val="00AA2730"/>
    <w:rsid w:val="00AA27F9"/>
    <w:rsid w:val="00AA2950"/>
    <w:rsid w:val="00AA2BE6"/>
    <w:rsid w:val="00AA301B"/>
    <w:rsid w:val="00AA3216"/>
    <w:rsid w:val="00AA3617"/>
    <w:rsid w:val="00AA36AB"/>
    <w:rsid w:val="00AA36BC"/>
    <w:rsid w:val="00AA3859"/>
    <w:rsid w:val="00AA39D7"/>
    <w:rsid w:val="00AA39DA"/>
    <w:rsid w:val="00AA3AB7"/>
    <w:rsid w:val="00AA3DAA"/>
    <w:rsid w:val="00AA3DCA"/>
    <w:rsid w:val="00AA3FD0"/>
    <w:rsid w:val="00AA4007"/>
    <w:rsid w:val="00AA400C"/>
    <w:rsid w:val="00AA43AA"/>
    <w:rsid w:val="00AA47B0"/>
    <w:rsid w:val="00AA485C"/>
    <w:rsid w:val="00AA4EF7"/>
    <w:rsid w:val="00AA4FA9"/>
    <w:rsid w:val="00AA5529"/>
    <w:rsid w:val="00AA56FF"/>
    <w:rsid w:val="00AA63E7"/>
    <w:rsid w:val="00AA68B0"/>
    <w:rsid w:val="00AA6CA6"/>
    <w:rsid w:val="00AA6E2B"/>
    <w:rsid w:val="00AA6F0D"/>
    <w:rsid w:val="00AA6FCA"/>
    <w:rsid w:val="00AA6FD0"/>
    <w:rsid w:val="00AA7151"/>
    <w:rsid w:val="00AA72AE"/>
    <w:rsid w:val="00AA77CF"/>
    <w:rsid w:val="00AA7866"/>
    <w:rsid w:val="00AA7BC3"/>
    <w:rsid w:val="00AA7FCB"/>
    <w:rsid w:val="00AB00ED"/>
    <w:rsid w:val="00AB0539"/>
    <w:rsid w:val="00AB057D"/>
    <w:rsid w:val="00AB0AA8"/>
    <w:rsid w:val="00AB0C00"/>
    <w:rsid w:val="00AB0DF2"/>
    <w:rsid w:val="00AB0F63"/>
    <w:rsid w:val="00AB101D"/>
    <w:rsid w:val="00AB127B"/>
    <w:rsid w:val="00AB141F"/>
    <w:rsid w:val="00AB1652"/>
    <w:rsid w:val="00AB16FC"/>
    <w:rsid w:val="00AB20C3"/>
    <w:rsid w:val="00AB236A"/>
    <w:rsid w:val="00AB23B6"/>
    <w:rsid w:val="00AB2652"/>
    <w:rsid w:val="00AB26A6"/>
    <w:rsid w:val="00AB26AE"/>
    <w:rsid w:val="00AB28CD"/>
    <w:rsid w:val="00AB2951"/>
    <w:rsid w:val="00AB2A6A"/>
    <w:rsid w:val="00AB2B20"/>
    <w:rsid w:val="00AB2DEC"/>
    <w:rsid w:val="00AB2F2C"/>
    <w:rsid w:val="00AB2F6E"/>
    <w:rsid w:val="00AB2F83"/>
    <w:rsid w:val="00AB3223"/>
    <w:rsid w:val="00AB33A8"/>
    <w:rsid w:val="00AB3630"/>
    <w:rsid w:val="00AB3702"/>
    <w:rsid w:val="00AB3A8B"/>
    <w:rsid w:val="00AB3B41"/>
    <w:rsid w:val="00AB40C2"/>
    <w:rsid w:val="00AB4578"/>
    <w:rsid w:val="00AB45D0"/>
    <w:rsid w:val="00AB46F9"/>
    <w:rsid w:val="00AB4965"/>
    <w:rsid w:val="00AB4D1A"/>
    <w:rsid w:val="00AB4F30"/>
    <w:rsid w:val="00AB535F"/>
    <w:rsid w:val="00AB58EE"/>
    <w:rsid w:val="00AB58F1"/>
    <w:rsid w:val="00AB5AB0"/>
    <w:rsid w:val="00AB5C0C"/>
    <w:rsid w:val="00AB5E6B"/>
    <w:rsid w:val="00AB5E7E"/>
    <w:rsid w:val="00AB61AA"/>
    <w:rsid w:val="00AB6229"/>
    <w:rsid w:val="00AB6299"/>
    <w:rsid w:val="00AB6309"/>
    <w:rsid w:val="00AB64DA"/>
    <w:rsid w:val="00AB651A"/>
    <w:rsid w:val="00AB6541"/>
    <w:rsid w:val="00AB65A2"/>
    <w:rsid w:val="00AB672B"/>
    <w:rsid w:val="00AB673E"/>
    <w:rsid w:val="00AB6E67"/>
    <w:rsid w:val="00AB6FBF"/>
    <w:rsid w:val="00AB6FDC"/>
    <w:rsid w:val="00AB72F5"/>
    <w:rsid w:val="00AB7380"/>
    <w:rsid w:val="00AB7632"/>
    <w:rsid w:val="00AB7AB9"/>
    <w:rsid w:val="00AC0074"/>
    <w:rsid w:val="00AC00FB"/>
    <w:rsid w:val="00AC02E8"/>
    <w:rsid w:val="00AC0383"/>
    <w:rsid w:val="00AC03AD"/>
    <w:rsid w:val="00AC0600"/>
    <w:rsid w:val="00AC06B9"/>
    <w:rsid w:val="00AC0A37"/>
    <w:rsid w:val="00AC0CB7"/>
    <w:rsid w:val="00AC0F08"/>
    <w:rsid w:val="00AC1094"/>
    <w:rsid w:val="00AC11D6"/>
    <w:rsid w:val="00AC11D7"/>
    <w:rsid w:val="00AC1293"/>
    <w:rsid w:val="00AC1640"/>
    <w:rsid w:val="00AC1691"/>
    <w:rsid w:val="00AC259F"/>
    <w:rsid w:val="00AC28B4"/>
    <w:rsid w:val="00AC2AB4"/>
    <w:rsid w:val="00AC2C4D"/>
    <w:rsid w:val="00AC2D25"/>
    <w:rsid w:val="00AC3168"/>
    <w:rsid w:val="00AC3213"/>
    <w:rsid w:val="00AC3430"/>
    <w:rsid w:val="00AC3AE6"/>
    <w:rsid w:val="00AC3D2E"/>
    <w:rsid w:val="00AC3FA4"/>
    <w:rsid w:val="00AC45ED"/>
    <w:rsid w:val="00AC4602"/>
    <w:rsid w:val="00AC485A"/>
    <w:rsid w:val="00AC4898"/>
    <w:rsid w:val="00AC4948"/>
    <w:rsid w:val="00AC4959"/>
    <w:rsid w:val="00AC4C50"/>
    <w:rsid w:val="00AC4C69"/>
    <w:rsid w:val="00AC4D72"/>
    <w:rsid w:val="00AC5291"/>
    <w:rsid w:val="00AC53B7"/>
    <w:rsid w:val="00AC5578"/>
    <w:rsid w:val="00AC58B7"/>
    <w:rsid w:val="00AC5B92"/>
    <w:rsid w:val="00AC5C89"/>
    <w:rsid w:val="00AC5E48"/>
    <w:rsid w:val="00AC5E8B"/>
    <w:rsid w:val="00AC5F10"/>
    <w:rsid w:val="00AC5F8E"/>
    <w:rsid w:val="00AC5F9C"/>
    <w:rsid w:val="00AC603D"/>
    <w:rsid w:val="00AC6556"/>
    <w:rsid w:val="00AC6C7B"/>
    <w:rsid w:val="00AC6DC4"/>
    <w:rsid w:val="00AC6E26"/>
    <w:rsid w:val="00AC6FE9"/>
    <w:rsid w:val="00AC7A81"/>
    <w:rsid w:val="00AC7BBD"/>
    <w:rsid w:val="00AC7CAE"/>
    <w:rsid w:val="00AD00F5"/>
    <w:rsid w:val="00AD014D"/>
    <w:rsid w:val="00AD01ED"/>
    <w:rsid w:val="00AD03D2"/>
    <w:rsid w:val="00AD061D"/>
    <w:rsid w:val="00AD08F1"/>
    <w:rsid w:val="00AD094B"/>
    <w:rsid w:val="00AD0A59"/>
    <w:rsid w:val="00AD0CCC"/>
    <w:rsid w:val="00AD0D1B"/>
    <w:rsid w:val="00AD0E3E"/>
    <w:rsid w:val="00AD1113"/>
    <w:rsid w:val="00AD169D"/>
    <w:rsid w:val="00AD1819"/>
    <w:rsid w:val="00AD1980"/>
    <w:rsid w:val="00AD1A4E"/>
    <w:rsid w:val="00AD1AED"/>
    <w:rsid w:val="00AD1CAA"/>
    <w:rsid w:val="00AD1D32"/>
    <w:rsid w:val="00AD1DAB"/>
    <w:rsid w:val="00AD1EA5"/>
    <w:rsid w:val="00AD1FFC"/>
    <w:rsid w:val="00AD2350"/>
    <w:rsid w:val="00AD23A7"/>
    <w:rsid w:val="00AD26EA"/>
    <w:rsid w:val="00AD2B2D"/>
    <w:rsid w:val="00AD2B49"/>
    <w:rsid w:val="00AD3332"/>
    <w:rsid w:val="00AD3D1B"/>
    <w:rsid w:val="00AD3DC7"/>
    <w:rsid w:val="00AD3EF6"/>
    <w:rsid w:val="00AD3F71"/>
    <w:rsid w:val="00AD3F9F"/>
    <w:rsid w:val="00AD400F"/>
    <w:rsid w:val="00AD4016"/>
    <w:rsid w:val="00AD4187"/>
    <w:rsid w:val="00AD41B6"/>
    <w:rsid w:val="00AD42E5"/>
    <w:rsid w:val="00AD489C"/>
    <w:rsid w:val="00AD48CF"/>
    <w:rsid w:val="00AD4B5A"/>
    <w:rsid w:val="00AD4D7A"/>
    <w:rsid w:val="00AD4DDD"/>
    <w:rsid w:val="00AD50C4"/>
    <w:rsid w:val="00AD51C2"/>
    <w:rsid w:val="00AD5226"/>
    <w:rsid w:val="00AD537F"/>
    <w:rsid w:val="00AD55C9"/>
    <w:rsid w:val="00AD59EF"/>
    <w:rsid w:val="00AD5D04"/>
    <w:rsid w:val="00AD6118"/>
    <w:rsid w:val="00AD637F"/>
    <w:rsid w:val="00AD63E7"/>
    <w:rsid w:val="00AD6563"/>
    <w:rsid w:val="00AD6BDE"/>
    <w:rsid w:val="00AD6F6B"/>
    <w:rsid w:val="00AD7289"/>
    <w:rsid w:val="00AD7878"/>
    <w:rsid w:val="00AD7918"/>
    <w:rsid w:val="00AD799B"/>
    <w:rsid w:val="00AE01CF"/>
    <w:rsid w:val="00AE02CD"/>
    <w:rsid w:val="00AE046D"/>
    <w:rsid w:val="00AE0623"/>
    <w:rsid w:val="00AE0676"/>
    <w:rsid w:val="00AE06B9"/>
    <w:rsid w:val="00AE0C9A"/>
    <w:rsid w:val="00AE0D04"/>
    <w:rsid w:val="00AE0F70"/>
    <w:rsid w:val="00AE104A"/>
    <w:rsid w:val="00AE1245"/>
    <w:rsid w:val="00AE16F3"/>
    <w:rsid w:val="00AE170F"/>
    <w:rsid w:val="00AE1840"/>
    <w:rsid w:val="00AE1A9E"/>
    <w:rsid w:val="00AE1D77"/>
    <w:rsid w:val="00AE2630"/>
    <w:rsid w:val="00AE2BB8"/>
    <w:rsid w:val="00AE2E56"/>
    <w:rsid w:val="00AE328E"/>
    <w:rsid w:val="00AE333C"/>
    <w:rsid w:val="00AE3390"/>
    <w:rsid w:val="00AE39F4"/>
    <w:rsid w:val="00AE3C3A"/>
    <w:rsid w:val="00AE4221"/>
    <w:rsid w:val="00AE4535"/>
    <w:rsid w:val="00AE4624"/>
    <w:rsid w:val="00AE478A"/>
    <w:rsid w:val="00AE47F8"/>
    <w:rsid w:val="00AE4A4D"/>
    <w:rsid w:val="00AE4B2C"/>
    <w:rsid w:val="00AE4D26"/>
    <w:rsid w:val="00AE50DF"/>
    <w:rsid w:val="00AE51BE"/>
    <w:rsid w:val="00AE51F4"/>
    <w:rsid w:val="00AE557F"/>
    <w:rsid w:val="00AE589F"/>
    <w:rsid w:val="00AE58AE"/>
    <w:rsid w:val="00AE5902"/>
    <w:rsid w:val="00AE5967"/>
    <w:rsid w:val="00AE5A77"/>
    <w:rsid w:val="00AE5E4F"/>
    <w:rsid w:val="00AE6724"/>
    <w:rsid w:val="00AE67E7"/>
    <w:rsid w:val="00AE6909"/>
    <w:rsid w:val="00AE6EB9"/>
    <w:rsid w:val="00AE728B"/>
    <w:rsid w:val="00AE741D"/>
    <w:rsid w:val="00AE7465"/>
    <w:rsid w:val="00AE74A7"/>
    <w:rsid w:val="00AE75C4"/>
    <w:rsid w:val="00AE7761"/>
    <w:rsid w:val="00AE778A"/>
    <w:rsid w:val="00AE7CB0"/>
    <w:rsid w:val="00AE7D5B"/>
    <w:rsid w:val="00AE7D8F"/>
    <w:rsid w:val="00AF00A5"/>
    <w:rsid w:val="00AF01B5"/>
    <w:rsid w:val="00AF0230"/>
    <w:rsid w:val="00AF03F8"/>
    <w:rsid w:val="00AF0907"/>
    <w:rsid w:val="00AF0A76"/>
    <w:rsid w:val="00AF0AD3"/>
    <w:rsid w:val="00AF0B3F"/>
    <w:rsid w:val="00AF0C67"/>
    <w:rsid w:val="00AF0CF9"/>
    <w:rsid w:val="00AF0D76"/>
    <w:rsid w:val="00AF122D"/>
    <w:rsid w:val="00AF129E"/>
    <w:rsid w:val="00AF166B"/>
    <w:rsid w:val="00AF1789"/>
    <w:rsid w:val="00AF1835"/>
    <w:rsid w:val="00AF1E1F"/>
    <w:rsid w:val="00AF1E90"/>
    <w:rsid w:val="00AF20CA"/>
    <w:rsid w:val="00AF23A6"/>
    <w:rsid w:val="00AF240C"/>
    <w:rsid w:val="00AF263E"/>
    <w:rsid w:val="00AF276D"/>
    <w:rsid w:val="00AF297B"/>
    <w:rsid w:val="00AF2C2C"/>
    <w:rsid w:val="00AF2C61"/>
    <w:rsid w:val="00AF2DCC"/>
    <w:rsid w:val="00AF2DDB"/>
    <w:rsid w:val="00AF313A"/>
    <w:rsid w:val="00AF3306"/>
    <w:rsid w:val="00AF3444"/>
    <w:rsid w:val="00AF38A8"/>
    <w:rsid w:val="00AF3989"/>
    <w:rsid w:val="00AF3A3F"/>
    <w:rsid w:val="00AF3BB2"/>
    <w:rsid w:val="00AF3F43"/>
    <w:rsid w:val="00AF3F64"/>
    <w:rsid w:val="00AF432C"/>
    <w:rsid w:val="00AF494D"/>
    <w:rsid w:val="00AF496A"/>
    <w:rsid w:val="00AF4D98"/>
    <w:rsid w:val="00AF5056"/>
    <w:rsid w:val="00AF50B4"/>
    <w:rsid w:val="00AF52B6"/>
    <w:rsid w:val="00AF5315"/>
    <w:rsid w:val="00AF53BE"/>
    <w:rsid w:val="00AF56BF"/>
    <w:rsid w:val="00AF5A4F"/>
    <w:rsid w:val="00AF5E31"/>
    <w:rsid w:val="00AF5E36"/>
    <w:rsid w:val="00AF648A"/>
    <w:rsid w:val="00AF65CE"/>
    <w:rsid w:val="00AF671C"/>
    <w:rsid w:val="00AF6779"/>
    <w:rsid w:val="00AF687A"/>
    <w:rsid w:val="00AF6950"/>
    <w:rsid w:val="00AF698F"/>
    <w:rsid w:val="00AF7A7E"/>
    <w:rsid w:val="00AF7BFC"/>
    <w:rsid w:val="00AF7F60"/>
    <w:rsid w:val="00B00176"/>
    <w:rsid w:val="00B00353"/>
    <w:rsid w:val="00B006C3"/>
    <w:rsid w:val="00B00A51"/>
    <w:rsid w:val="00B00CB8"/>
    <w:rsid w:val="00B0136A"/>
    <w:rsid w:val="00B013E9"/>
    <w:rsid w:val="00B016FF"/>
    <w:rsid w:val="00B01A67"/>
    <w:rsid w:val="00B01B77"/>
    <w:rsid w:val="00B01BFC"/>
    <w:rsid w:val="00B01CFA"/>
    <w:rsid w:val="00B01E63"/>
    <w:rsid w:val="00B01F24"/>
    <w:rsid w:val="00B01FEA"/>
    <w:rsid w:val="00B02003"/>
    <w:rsid w:val="00B023B2"/>
    <w:rsid w:val="00B02A29"/>
    <w:rsid w:val="00B02E1C"/>
    <w:rsid w:val="00B02E49"/>
    <w:rsid w:val="00B02E55"/>
    <w:rsid w:val="00B02FAB"/>
    <w:rsid w:val="00B0314D"/>
    <w:rsid w:val="00B033D5"/>
    <w:rsid w:val="00B035FC"/>
    <w:rsid w:val="00B037E8"/>
    <w:rsid w:val="00B037FB"/>
    <w:rsid w:val="00B0396D"/>
    <w:rsid w:val="00B03EB8"/>
    <w:rsid w:val="00B04512"/>
    <w:rsid w:val="00B04638"/>
    <w:rsid w:val="00B04647"/>
    <w:rsid w:val="00B04E36"/>
    <w:rsid w:val="00B04EEA"/>
    <w:rsid w:val="00B052B5"/>
    <w:rsid w:val="00B055B4"/>
    <w:rsid w:val="00B056B8"/>
    <w:rsid w:val="00B05758"/>
    <w:rsid w:val="00B05962"/>
    <w:rsid w:val="00B05C3A"/>
    <w:rsid w:val="00B064B3"/>
    <w:rsid w:val="00B06757"/>
    <w:rsid w:val="00B0687A"/>
    <w:rsid w:val="00B069D2"/>
    <w:rsid w:val="00B06BAC"/>
    <w:rsid w:val="00B06CA5"/>
    <w:rsid w:val="00B06EB7"/>
    <w:rsid w:val="00B06FAB"/>
    <w:rsid w:val="00B07094"/>
    <w:rsid w:val="00B07236"/>
    <w:rsid w:val="00B0756A"/>
    <w:rsid w:val="00B075A4"/>
    <w:rsid w:val="00B07622"/>
    <w:rsid w:val="00B07E39"/>
    <w:rsid w:val="00B100D0"/>
    <w:rsid w:val="00B1017B"/>
    <w:rsid w:val="00B101C1"/>
    <w:rsid w:val="00B10235"/>
    <w:rsid w:val="00B1074E"/>
    <w:rsid w:val="00B107B7"/>
    <w:rsid w:val="00B107C3"/>
    <w:rsid w:val="00B10A1A"/>
    <w:rsid w:val="00B10E55"/>
    <w:rsid w:val="00B10E99"/>
    <w:rsid w:val="00B11681"/>
    <w:rsid w:val="00B1180E"/>
    <w:rsid w:val="00B11846"/>
    <w:rsid w:val="00B1198D"/>
    <w:rsid w:val="00B11DBF"/>
    <w:rsid w:val="00B11DDD"/>
    <w:rsid w:val="00B11E11"/>
    <w:rsid w:val="00B11ED7"/>
    <w:rsid w:val="00B12090"/>
    <w:rsid w:val="00B120BF"/>
    <w:rsid w:val="00B1228E"/>
    <w:rsid w:val="00B122CC"/>
    <w:rsid w:val="00B1255D"/>
    <w:rsid w:val="00B127DC"/>
    <w:rsid w:val="00B12B19"/>
    <w:rsid w:val="00B12BDA"/>
    <w:rsid w:val="00B13044"/>
    <w:rsid w:val="00B1323E"/>
    <w:rsid w:val="00B1378F"/>
    <w:rsid w:val="00B13900"/>
    <w:rsid w:val="00B13B88"/>
    <w:rsid w:val="00B13CB7"/>
    <w:rsid w:val="00B13E37"/>
    <w:rsid w:val="00B1401B"/>
    <w:rsid w:val="00B140E1"/>
    <w:rsid w:val="00B14488"/>
    <w:rsid w:val="00B1475C"/>
    <w:rsid w:val="00B148D1"/>
    <w:rsid w:val="00B14969"/>
    <w:rsid w:val="00B14A2D"/>
    <w:rsid w:val="00B14AF1"/>
    <w:rsid w:val="00B14B36"/>
    <w:rsid w:val="00B15348"/>
    <w:rsid w:val="00B153BB"/>
    <w:rsid w:val="00B1545A"/>
    <w:rsid w:val="00B15460"/>
    <w:rsid w:val="00B15481"/>
    <w:rsid w:val="00B156F4"/>
    <w:rsid w:val="00B15885"/>
    <w:rsid w:val="00B15B83"/>
    <w:rsid w:val="00B15DE8"/>
    <w:rsid w:val="00B16051"/>
    <w:rsid w:val="00B16199"/>
    <w:rsid w:val="00B16645"/>
    <w:rsid w:val="00B16806"/>
    <w:rsid w:val="00B1704F"/>
    <w:rsid w:val="00B17150"/>
    <w:rsid w:val="00B171AA"/>
    <w:rsid w:val="00B1744E"/>
    <w:rsid w:val="00B174E9"/>
    <w:rsid w:val="00B174EE"/>
    <w:rsid w:val="00B17560"/>
    <w:rsid w:val="00B17692"/>
    <w:rsid w:val="00B176B9"/>
    <w:rsid w:val="00B17AE1"/>
    <w:rsid w:val="00B17B06"/>
    <w:rsid w:val="00B17BAB"/>
    <w:rsid w:val="00B17CC4"/>
    <w:rsid w:val="00B20062"/>
    <w:rsid w:val="00B2007D"/>
    <w:rsid w:val="00B202F3"/>
    <w:rsid w:val="00B214E6"/>
    <w:rsid w:val="00B2171E"/>
    <w:rsid w:val="00B21904"/>
    <w:rsid w:val="00B219A9"/>
    <w:rsid w:val="00B219CD"/>
    <w:rsid w:val="00B21B9A"/>
    <w:rsid w:val="00B21E78"/>
    <w:rsid w:val="00B221FE"/>
    <w:rsid w:val="00B2284E"/>
    <w:rsid w:val="00B228DD"/>
    <w:rsid w:val="00B230B9"/>
    <w:rsid w:val="00B236EC"/>
    <w:rsid w:val="00B23774"/>
    <w:rsid w:val="00B23B5A"/>
    <w:rsid w:val="00B23F50"/>
    <w:rsid w:val="00B23FE7"/>
    <w:rsid w:val="00B24161"/>
    <w:rsid w:val="00B245DE"/>
    <w:rsid w:val="00B24C2B"/>
    <w:rsid w:val="00B25539"/>
    <w:rsid w:val="00B258BA"/>
    <w:rsid w:val="00B259E2"/>
    <w:rsid w:val="00B25B14"/>
    <w:rsid w:val="00B25C91"/>
    <w:rsid w:val="00B25FCD"/>
    <w:rsid w:val="00B261CD"/>
    <w:rsid w:val="00B264F9"/>
    <w:rsid w:val="00B26963"/>
    <w:rsid w:val="00B26B6E"/>
    <w:rsid w:val="00B26D6D"/>
    <w:rsid w:val="00B27231"/>
    <w:rsid w:val="00B2738D"/>
    <w:rsid w:val="00B2753E"/>
    <w:rsid w:val="00B277AC"/>
    <w:rsid w:val="00B27853"/>
    <w:rsid w:val="00B27893"/>
    <w:rsid w:val="00B27F7F"/>
    <w:rsid w:val="00B30110"/>
    <w:rsid w:val="00B304E2"/>
    <w:rsid w:val="00B309D9"/>
    <w:rsid w:val="00B30C2A"/>
    <w:rsid w:val="00B30CAA"/>
    <w:rsid w:val="00B30ECF"/>
    <w:rsid w:val="00B319F1"/>
    <w:rsid w:val="00B31D83"/>
    <w:rsid w:val="00B31E5D"/>
    <w:rsid w:val="00B320E5"/>
    <w:rsid w:val="00B32206"/>
    <w:rsid w:val="00B3241F"/>
    <w:rsid w:val="00B3244F"/>
    <w:rsid w:val="00B32933"/>
    <w:rsid w:val="00B32AEA"/>
    <w:rsid w:val="00B32CE2"/>
    <w:rsid w:val="00B32E7E"/>
    <w:rsid w:val="00B32F5C"/>
    <w:rsid w:val="00B33083"/>
    <w:rsid w:val="00B3322C"/>
    <w:rsid w:val="00B333AF"/>
    <w:rsid w:val="00B3348B"/>
    <w:rsid w:val="00B33BF1"/>
    <w:rsid w:val="00B33D98"/>
    <w:rsid w:val="00B33E61"/>
    <w:rsid w:val="00B340CD"/>
    <w:rsid w:val="00B341E4"/>
    <w:rsid w:val="00B34298"/>
    <w:rsid w:val="00B34388"/>
    <w:rsid w:val="00B344BB"/>
    <w:rsid w:val="00B34549"/>
    <w:rsid w:val="00B346B2"/>
    <w:rsid w:val="00B3473B"/>
    <w:rsid w:val="00B34AB0"/>
    <w:rsid w:val="00B34EEB"/>
    <w:rsid w:val="00B35224"/>
    <w:rsid w:val="00B35348"/>
    <w:rsid w:val="00B35408"/>
    <w:rsid w:val="00B3555E"/>
    <w:rsid w:val="00B35581"/>
    <w:rsid w:val="00B356A6"/>
    <w:rsid w:val="00B35788"/>
    <w:rsid w:val="00B359C2"/>
    <w:rsid w:val="00B35BA0"/>
    <w:rsid w:val="00B35EE5"/>
    <w:rsid w:val="00B35EFC"/>
    <w:rsid w:val="00B363C7"/>
    <w:rsid w:val="00B36A5F"/>
    <w:rsid w:val="00B36BAA"/>
    <w:rsid w:val="00B36D96"/>
    <w:rsid w:val="00B3707C"/>
    <w:rsid w:val="00B3716C"/>
    <w:rsid w:val="00B378D7"/>
    <w:rsid w:val="00B37DC0"/>
    <w:rsid w:val="00B37F30"/>
    <w:rsid w:val="00B40029"/>
    <w:rsid w:val="00B4033A"/>
    <w:rsid w:val="00B407A5"/>
    <w:rsid w:val="00B40A22"/>
    <w:rsid w:val="00B40A77"/>
    <w:rsid w:val="00B40AA5"/>
    <w:rsid w:val="00B40D53"/>
    <w:rsid w:val="00B412C6"/>
    <w:rsid w:val="00B415C7"/>
    <w:rsid w:val="00B41A3B"/>
    <w:rsid w:val="00B41DD7"/>
    <w:rsid w:val="00B42118"/>
    <w:rsid w:val="00B421A8"/>
    <w:rsid w:val="00B423FE"/>
    <w:rsid w:val="00B42A15"/>
    <w:rsid w:val="00B42CC7"/>
    <w:rsid w:val="00B42EDC"/>
    <w:rsid w:val="00B43080"/>
    <w:rsid w:val="00B4345A"/>
    <w:rsid w:val="00B43764"/>
    <w:rsid w:val="00B437FD"/>
    <w:rsid w:val="00B43C0F"/>
    <w:rsid w:val="00B43D0C"/>
    <w:rsid w:val="00B444AE"/>
    <w:rsid w:val="00B44545"/>
    <w:rsid w:val="00B446E2"/>
    <w:rsid w:val="00B449BD"/>
    <w:rsid w:val="00B44B6E"/>
    <w:rsid w:val="00B44F23"/>
    <w:rsid w:val="00B450D4"/>
    <w:rsid w:val="00B452B5"/>
    <w:rsid w:val="00B452BC"/>
    <w:rsid w:val="00B455BB"/>
    <w:rsid w:val="00B45E08"/>
    <w:rsid w:val="00B460A2"/>
    <w:rsid w:val="00B4640C"/>
    <w:rsid w:val="00B46B5F"/>
    <w:rsid w:val="00B46DF0"/>
    <w:rsid w:val="00B471D9"/>
    <w:rsid w:val="00B4761C"/>
    <w:rsid w:val="00B47CB4"/>
    <w:rsid w:val="00B501A2"/>
    <w:rsid w:val="00B50510"/>
    <w:rsid w:val="00B50625"/>
    <w:rsid w:val="00B5064E"/>
    <w:rsid w:val="00B508E8"/>
    <w:rsid w:val="00B508FE"/>
    <w:rsid w:val="00B50B2C"/>
    <w:rsid w:val="00B50D4F"/>
    <w:rsid w:val="00B50F20"/>
    <w:rsid w:val="00B51084"/>
    <w:rsid w:val="00B51417"/>
    <w:rsid w:val="00B51746"/>
    <w:rsid w:val="00B51B77"/>
    <w:rsid w:val="00B51CA8"/>
    <w:rsid w:val="00B5202A"/>
    <w:rsid w:val="00B52321"/>
    <w:rsid w:val="00B5295F"/>
    <w:rsid w:val="00B529A2"/>
    <w:rsid w:val="00B52A6F"/>
    <w:rsid w:val="00B52A76"/>
    <w:rsid w:val="00B52DE1"/>
    <w:rsid w:val="00B52EFB"/>
    <w:rsid w:val="00B533C5"/>
    <w:rsid w:val="00B5363F"/>
    <w:rsid w:val="00B53A0C"/>
    <w:rsid w:val="00B53F3F"/>
    <w:rsid w:val="00B53FFA"/>
    <w:rsid w:val="00B545CC"/>
    <w:rsid w:val="00B54EF6"/>
    <w:rsid w:val="00B5540E"/>
    <w:rsid w:val="00B5580D"/>
    <w:rsid w:val="00B55ACB"/>
    <w:rsid w:val="00B55C2D"/>
    <w:rsid w:val="00B55D4E"/>
    <w:rsid w:val="00B55FB7"/>
    <w:rsid w:val="00B55FB8"/>
    <w:rsid w:val="00B56841"/>
    <w:rsid w:val="00B56917"/>
    <w:rsid w:val="00B56B5C"/>
    <w:rsid w:val="00B56BB6"/>
    <w:rsid w:val="00B56E0B"/>
    <w:rsid w:val="00B56E5A"/>
    <w:rsid w:val="00B574DD"/>
    <w:rsid w:val="00B57868"/>
    <w:rsid w:val="00B578DB"/>
    <w:rsid w:val="00B57B34"/>
    <w:rsid w:val="00B57D83"/>
    <w:rsid w:val="00B60002"/>
    <w:rsid w:val="00B60238"/>
    <w:rsid w:val="00B60289"/>
    <w:rsid w:val="00B607CE"/>
    <w:rsid w:val="00B60A44"/>
    <w:rsid w:val="00B60C70"/>
    <w:rsid w:val="00B611A5"/>
    <w:rsid w:val="00B617C6"/>
    <w:rsid w:val="00B61858"/>
    <w:rsid w:val="00B61BE5"/>
    <w:rsid w:val="00B61C52"/>
    <w:rsid w:val="00B621FB"/>
    <w:rsid w:val="00B62433"/>
    <w:rsid w:val="00B6268C"/>
    <w:rsid w:val="00B626CA"/>
    <w:rsid w:val="00B62782"/>
    <w:rsid w:val="00B62A29"/>
    <w:rsid w:val="00B62C78"/>
    <w:rsid w:val="00B62E8B"/>
    <w:rsid w:val="00B63276"/>
    <w:rsid w:val="00B632E0"/>
    <w:rsid w:val="00B63413"/>
    <w:rsid w:val="00B63BAC"/>
    <w:rsid w:val="00B64D25"/>
    <w:rsid w:val="00B65113"/>
    <w:rsid w:val="00B652D7"/>
    <w:rsid w:val="00B652E5"/>
    <w:rsid w:val="00B65854"/>
    <w:rsid w:val="00B65869"/>
    <w:rsid w:val="00B658EB"/>
    <w:rsid w:val="00B659FF"/>
    <w:rsid w:val="00B65FED"/>
    <w:rsid w:val="00B6622D"/>
    <w:rsid w:val="00B66499"/>
    <w:rsid w:val="00B665C5"/>
    <w:rsid w:val="00B66885"/>
    <w:rsid w:val="00B668D6"/>
    <w:rsid w:val="00B66A06"/>
    <w:rsid w:val="00B66A30"/>
    <w:rsid w:val="00B66FEB"/>
    <w:rsid w:val="00B67F35"/>
    <w:rsid w:val="00B703A5"/>
    <w:rsid w:val="00B709B5"/>
    <w:rsid w:val="00B70B2A"/>
    <w:rsid w:val="00B7102C"/>
    <w:rsid w:val="00B712C3"/>
    <w:rsid w:val="00B71428"/>
    <w:rsid w:val="00B714A8"/>
    <w:rsid w:val="00B719BE"/>
    <w:rsid w:val="00B71E5B"/>
    <w:rsid w:val="00B72146"/>
    <w:rsid w:val="00B721B5"/>
    <w:rsid w:val="00B72420"/>
    <w:rsid w:val="00B725D4"/>
    <w:rsid w:val="00B729A5"/>
    <w:rsid w:val="00B729DE"/>
    <w:rsid w:val="00B72D5F"/>
    <w:rsid w:val="00B72DAB"/>
    <w:rsid w:val="00B7364E"/>
    <w:rsid w:val="00B73D10"/>
    <w:rsid w:val="00B73D96"/>
    <w:rsid w:val="00B73E91"/>
    <w:rsid w:val="00B73EA2"/>
    <w:rsid w:val="00B742E9"/>
    <w:rsid w:val="00B743AE"/>
    <w:rsid w:val="00B7446F"/>
    <w:rsid w:val="00B74655"/>
    <w:rsid w:val="00B74797"/>
    <w:rsid w:val="00B74C0B"/>
    <w:rsid w:val="00B74C34"/>
    <w:rsid w:val="00B74CDF"/>
    <w:rsid w:val="00B74D8C"/>
    <w:rsid w:val="00B74EB7"/>
    <w:rsid w:val="00B74EC9"/>
    <w:rsid w:val="00B7503A"/>
    <w:rsid w:val="00B7526F"/>
    <w:rsid w:val="00B75331"/>
    <w:rsid w:val="00B7541C"/>
    <w:rsid w:val="00B75710"/>
    <w:rsid w:val="00B75793"/>
    <w:rsid w:val="00B75B08"/>
    <w:rsid w:val="00B75C04"/>
    <w:rsid w:val="00B75CD9"/>
    <w:rsid w:val="00B75E93"/>
    <w:rsid w:val="00B76044"/>
    <w:rsid w:val="00B76096"/>
    <w:rsid w:val="00B763EC"/>
    <w:rsid w:val="00B76701"/>
    <w:rsid w:val="00B76A7D"/>
    <w:rsid w:val="00B772AD"/>
    <w:rsid w:val="00B77417"/>
    <w:rsid w:val="00B779D2"/>
    <w:rsid w:val="00B77AC0"/>
    <w:rsid w:val="00B77BA4"/>
    <w:rsid w:val="00B77F1A"/>
    <w:rsid w:val="00B77F46"/>
    <w:rsid w:val="00B80307"/>
    <w:rsid w:val="00B8034A"/>
    <w:rsid w:val="00B80811"/>
    <w:rsid w:val="00B80BE6"/>
    <w:rsid w:val="00B80D91"/>
    <w:rsid w:val="00B80E4A"/>
    <w:rsid w:val="00B8117E"/>
    <w:rsid w:val="00B81B2E"/>
    <w:rsid w:val="00B81C81"/>
    <w:rsid w:val="00B81E37"/>
    <w:rsid w:val="00B820BF"/>
    <w:rsid w:val="00B824C3"/>
    <w:rsid w:val="00B82580"/>
    <w:rsid w:val="00B827BD"/>
    <w:rsid w:val="00B82A00"/>
    <w:rsid w:val="00B82C47"/>
    <w:rsid w:val="00B82D38"/>
    <w:rsid w:val="00B82DFB"/>
    <w:rsid w:val="00B833FA"/>
    <w:rsid w:val="00B83748"/>
    <w:rsid w:val="00B839FA"/>
    <w:rsid w:val="00B83C65"/>
    <w:rsid w:val="00B83CE9"/>
    <w:rsid w:val="00B83E14"/>
    <w:rsid w:val="00B8406B"/>
    <w:rsid w:val="00B841B2"/>
    <w:rsid w:val="00B845C7"/>
    <w:rsid w:val="00B846AA"/>
    <w:rsid w:val="00B846C8"/>
    <w:rsid w:val="00B8489F"/>
    <w:rsid w:val="00B849A9"/>
    <w:rsid w:val="00B849F9"/>
    <w:rsid w:val="00B84AEC"/>
    <w:rsid w:val="00B84C55"/>
    <w:rsid w:val="00B84DDB"/>
    <w:rsid w:val="00B84DFF"/>
    <w:rsid w:val="00B85046"/>
    <w:rsid w:val="00B850A9"/>
    <w:rsid w:val="00B850C6"/>
    <w:rsid w:val="00B8510F"/>
    <w:rsid w:val="00B854E0"/>
    <w:rsid w:val="00B8552D"/>
    <w:rsid w:val="00B859A0"/>
    <w:rsid w:val="00B859D0"/>
    <w:rsid w:val="00B85A0F"/>
    <w:rsid w:val="00B85AF7"/>
    <w:rsid w:val="00B85D51"/>
    <w:rsid w:val="00B85DCA"/>
    <w:rsid w:val="00B85E37"/>
    <w:rsid w:val="00B864C4"/>
    <w:rsid w:val="00B86642"/>
    <w:rsid w:val="00B8680A"/>
    <w:rsid w:val="00B86822"/>
    <w:rsid w:val="00B868CD"/>
    <w:rsid w:val="00B86991"/>
    <w:rsid w:val="00B86A49"/>
    <w:rsid w:val="00B86B2B"/>
    <w:rsid w:val="00B86CA2"/>
    <w:rsid w:val="00B8701B"/>
    <w:rsid w:val="00B87028"/>
    <w:rsid w:val="00B870F1"/>
    <w:rsid w:val="00B8730A"/>
    <w:rsid w:val="00B873D5"/>
    <w:rsid w:val="00B875B4"/>
    <w:rsid w:val="00B879BC"/>
    <w:rsid w:val="00B879C6"/>
    <w:rsid w:val="00B87A65"/>
    <w:rsid w:val="00B87CBA"/>
    <w:rsid w:val="00B87E16"/>
    <w:rsid w:val="00B900F4"/>
    <w:rsid w:val="00B906E7"/>
    <w:rsid w:val="00B90773"/>
    <w:rsid w:val="00B90C72"/>
    <w:rsid w:val="00B90C7E"/>
    <w:rsid w:val="00B9146C"/>
    <w:rsid w:val="00B9157B"/>
    <w:rsid w:val="00B919F6"/>
    <w:rsid w:val="00B91B5C"/>
    <w:rsid w:val="00B9204D"/>
    <w:rsid w:val="00B922AF"/>
    <w:rsid w:val="00B92429"/>
    <w:rsid w:val="00B924BD"/>
    <w:rsid w:val="00B92699"/>
    <w:rsid w:val="00B92B22"/>
    <w:rsid w:val="00B92D45"/>
    <w:rsid w:val="00B92D84"/>
    <w:rsid w:val="00B9368A"/>
    <w:rsid w:val="00B93775"/>
    <w:rsid w:val="00B93852"/>
    <w:rsid w:val="00B93953"/>
    <w:rsid w:val="00B93F2A"/>
    <w:rsid w:val="00B93F32"/>
    <w:rsid w:val="00B93F5F"/>
    <w:rsid w:val="00B93FDD"/>
    <w:rsid w:val="00B9437F"/>
    <w:rsid w:val="00B94535"/>
    <w:rsid w:val="00B9486F"/>
    <w:rsid w:val="00B95090"/>
    <w:rsid w:val="00B95261"/>
    <w:rsid w:val="00B952E3"/>
    <w:rsid w:val="00B9569F"/>
    <w:rsid w:val="00B95952"/>
    <w:rsid w:val="00B959AC"/>
    <w:rsid w:val="00B95D19"/>
    <w:rsid w:val="00B95DC7"/>
    <w:rsid w:val="00B95FFC"/>
    <w:rsid w:val="00B961ED"/>
    <w:rsid w:val="00B96227"/>
    <w:rsid w:val="00B962CD"/>
    <w:rsid w:val="00B9639B"/>
    <w:rsid w:val="00B965FF"/>
    <w:rsid w:val="00B96855"/>
    <w:rsid w:val="00B96922"/>
    <w:rsid w:val="00B96BF4"/>
    <w:rsid w:val="00B96CCA"/>
    <w:rsid w:val="00B96CEF"/>
    <w:rsid w:val="00B96D63"/>
    <w:rsid w:val="00B96E53"/>
    <w:rsid w:val="00B9708D"/>
    <w:rsid w:val="00B972C5"/>
    <w:rsid w:val="00B973B7"/>
    <w:rsid w:val="00B9768A"/>
    <w:rsid w:val="00B9768C"/>
    <w:rsid w:val="00B97808"/>
    <w:rsid w:val="00B97C07"/>
    <w:rsid w:val="00B97F10"/>
    <w:rsid w:val="00BA0112"/>
    <w:rsid w:val="00BA02F5"/>
    <w:rsid w:val="00BA0716"/>
    <w:rsid w:val="00BA0963"/>
    <w:rsid w:val="00BA0AB2"/>
    <w:rsid w:val="00BA0C58"/>
    <w:rsid w:val="00BA0D9F"/>
    <w:rsid w:val="00BA143A"/>
    <w:rsid w:val="00BA14D5"/>
    <w:rsid w:val="00BA1741"/>
    <w:rsid w:val="00BA1A9C"/>
    <w:rsid w:val="00BA1B21"/>
    <w:rsid w:val="00BA1E71"/>
    <w:rsid w:val="00BA20B2"/>
    <w:rsid w:val="00BA22DC"/>
    <w:rsid w:val="00BA252F"/>
    <w:rsid w:val="00BA2711"/>
    <w:rsid w:val="00BA2879"/>
    <w:rsid w:val="00BA2B3B"/>
    <w:rsid w:val="00BA2D1F"/>
    <w:rsid w:val="00BA2DE7"/>
    <w:rsid w:val="00BA2FB7"/>
    <w:rsid w:val="00BA3255"/>
    <w:rsid w:val="00BA32DC"/>
    <w:rsid w:val="00BA374C"/>
    <w:rsid w:val="00BA3884"/>
    <w:rsid w:val="00BA3B0B"/>
    <w:rsid w:val="00BA3C49"/>
    <w:rsid w:val="00BA3CD1"/>
    <w:rsid w:val="00BA3D1E"/>
    <w:rsid w:val="00BA3F8F"/>
    <w:rsid w:val="00BA4029"/>
    <w:rsid w:val="00BA42AC"/>
    <w:rsid w:val="00BA4320"/>
    <w:rsid w:val="00BA44E6"/>
    <w:rsid w:val="00BA46BA"/>
    <w:rsid w:val="00BA498E"/>
    <w:rsid w:val="00BA4A14"/>
    <w:rsid w:val="00BA4B20"/>
    <w:rsid w:val="00BA5008"/>
    <w:rsid w:val="00BA506A"/>
    <w:rsid w:val="00BA51B1"/>
    <w:rsid w:val="00BA52D4"/>
    <w:rsid w:val="00BA5353"/>
    <w:rsid w:val="00BA5613"/>
    <w:rsid w:val="00BA5896"/>
    <w:rsid w:val="00BA5997"/>
    <w:rsid w:val="00BA5C48"/>
    <w:rsid w:val="00BA5EC2"/>
    <w:rsid w:val="00BA6559"/>
    <w:rsid w:val="00BA68A8"/>
    <w:rsid w:val="00BA6B8E"/>
    <w:rsid w:val="00BA6BB2"/>
    <w:rsid w:val="00BA6C8A"/>
    <w:rsid w:val="00BA6CB7"/>
    <w:rsid w:val="00BA6E4B"/>
    <w:rsid w:val="00BA72E7"/>
    <w:rsid w:val="00BA74FB"/>
    <w:rsid w:val="00BA769A"/>
    <w:rsid w:val="00BA776D"/>
    <w:rsid w:val="00BA792C"/>
    <w:rsid w:val="00BA7A73"/>
    <w:rsid w:val="00BA7D8C"/>
    <w:rsid w:val="00BA7D96"/>
    <w:rsid w:val="00BA7DB3"/>
    <w:rsid w:val="00BA7EB1"/>
    <w:rsid w:val="00BA7F0A"/>
    <w:rsid w:val="00BB014B"/>
    <w:rsid w:val="00BB0162"/>
    <w:rsid w:val="00BB0184"/>
    <w:rsid w:val="00BB045C"/>
    <w:rsid w:val="00BB0635"/>
    <w:rsid w:val="00BB0659"/>
    <w:rsid w:val="00BB092B"/>
    <w:rsid w:val="00BB0C85"/>
    <w:rsid w:val="00BB0DCF"/>
    <w:rsid w:val="00BB10A5"/>
    <w:rsid w:val="00BB121E"/>
    <w:rsid w:val="00BB135D"/>
    <w:rsid w:val="00BB1656"/>
    <w:rsid w:val="00BB1770"/>
    <w:rsid w:val="00BB1EDA"/>
    <w:rsid w:val="00BB1FA7"/>
    <w:rsid w:val="00BB1FEA"/>
    <w:rsid w:val="00BB2565"/>
    <w:rsid w:val="00BB2BA5"/>
    <w:rsid w:val="00BB2E5D"/>
    <w:rsid w:val="00BB3063"/>
    <w:rsid w:val="00BB325A"/>
    <w:rsid w:val="00BB3268"/>
    <w:rsid w:val="00BB34BC"/>
    <w:rsid w:val="00BB34EA"/>
    <w:rsid w:val="00BB359E"/>
    <w:rsid w:val="00BB3663"/>
    <w:rsid w:val="00BB37AF"/>
    <w:rsid w:val="00BB3957"/>
    <w:rsid w:val="00BB3DEE"/>
    <w:rsid w:val="00BB410D"/>
    <w:rsid w:val="00BB41AA"/>
    <w:rsid w:val="00BB4B5E"/>
    <w:rsid w:val="00BB50C9"/>
    <w:rsid w:val="00BB50E1"/>
    <w:rsid w:val="00BB5242"/>
    <w:rsid w:val="00BB52CD"/>
    <w:rsid w:val="00BB5630"/>
    <w:rsid w:val="00BB5976"/>
    <w:rsid w:val="00BB5AC2"/>
    <w:rsid w:val="00BB5C3D"/>
    <w:rsid w:val="00BB5CF3"/>
    <w:rsid w:val="00BB6110"/>
    <w:rsid w:val="00BB661D"/>
    <w:rsid w:val="00BB6815"/>
    <w:rsid w:val="00BB6A74"/>
    <w:rsid w:val="00BB6B2E"/>
    <w:rsid w:val="00BB6CBE"/>
    <w:rsid w:val="00BB6D31"/>
    <w:rsid w:val="00BB6D69"/>
    <w:rsid w:val="00BB6D6E"/>
    <w:rsid w:val="00BB6EE0"/>
    <w:rsid w:val="00BB7238"/>
    <w:rsid w:val="00BB7B6E"/>
    <w:rsid w:val="00BC0067"/>
    <w:rsid w:val="00BC0872"/>
    <w:rsid w:val="00BC08DB"/>
    <w:rsid w:val="00BC0C7B"/>
    <w:rsid w:val="00BC104C"/>
    <w:rsid w:val="00BC12C0"/>
    <w:rsid w:val="00BC14E6"/>
    <w:rsid w:val="00BC1666"/>
    <w:rsid w:val="00BC17F6"/>
    <w:rsid w:val="00BC199F"/>
    <w:rsid w:val="00BC1C51"/>
    <w:rsid w:val="00BC1D87"/>
    <w:rsid w:val="00BC21FB"/>
    <w:rsid w:val="00BC23E5"/>
    <w:rsid w:val="00BC2552"/>
    <w:rsid w:val="00BC25D2"/>
    <w:rsid w:val="00BC266E"/>
    <w:rsid w:val="00BC27A0"/>
    <w:rsid w:val="00BC27A3"/>
    <w:rsid w:val="00BC2A9A"/>
    <w:rsid w:val="00BC2E61"/>
    <w:rsid w:val="00BC38BB"/>
    <w:rsid w:val="00BC41FC"/>
    <w:rsid w:val="00BC43F0"/>
    <w:rsid w:val="00BC4492"/>
    <w:rsid w:val="00BC4BB4"/>
    <w:rsid w:val="00BC4C9E"/>
    <w:rsid w:val="00BC5906"/>
    <w:rsid w:val="00BC599F"/>
    <w:rsid w:val="00BC5A48"/>
    <w:rsid w:val="00BC5DE3"/>
    <w:rsid w:val="00BC6098"/>
    <w:rsid w:val="00BC61BE"/>
    <w:rsid w:val="00BC6494"/>
    <w:rsid w:val="00BC65C8"/>
    <w:rsid w:val="00BC6675"/>
    <w:rsid w:val="00BC679D"/>
    <w:rsid w:val="00BC6823"/>
    <w:rsid w:val="00BC6877"/>
    <w:rsid w:val="00BC6CFA"/>
    <w:rsid w:val="00BC6E0A"/>
    <w:rsid w:val="00BC71F2"/>
    <w:rsid w:val="00BC7200"/>
    <w:rsid w:val="00BC7463"/>
    <w:rsid w:val="00BC77CA"/>
    <w:rsid w:val="00BC7AAA"/>
    <w:rsid w:val="00BC7B77"/>
    <w:rsid w:val="00BC7E4C"/>
    <w:rsid w:val="00BD0379"/>
    <w:rsid w:val="00BD08AA"/>
    <w:rsid w:val="00BD0AEA"/>
    <w:rsid w:val="00BD0B06"/>
    <w:rsid w:val="00BD0C92"/>
    <w:rsid w:val="00BD0CF6"/>
    <w:rsid w:val="00BD0D1B"/>
    <w:rsid w:val="00BD1364"/>
    <w:rsid w:val="00BD13BE"/>
    <w:rsid w:val="00BD13C6"/>
    <w:rsid w:val="00BD13DC"/>
    <w:rsid w:val="00BD1645"/>
    <w:rsid w:val="00BD17C7"/>
    <w:rsid w:val="00BD18D2"/>
    <w:rsid w:val="00BD1948"/>
    <w:rsid w:val="00BD1970"/>
    <w:rsid w:val="00BD1E02"/>
    <w:rsid w:val="00BD1E74"/>
    <w:rsid w:val="00BD1EBF"/>
    <w:rsid w:val="00BD20D5"/>
    <w:rsid w:val="00BD283A"/>
    <w:rsid w:val="00BD2BE5"/>
    <w:rsid w:val="00BD2D80"/>
    <w:rsid w:val="00BD2E35"/>
    <w:rsid w:val="00BD3052"/>
    <w:rsid w:val="00BD325F"/>
    <w:rsid w:val="00BD34E6"/>
    <w:rsid w:val="00BD3B4B"/>
    <w:rsid w:val="00BD3B62"/>
    <w:rsid w:val="00BD3E12"/>
    <w:rsid w:val="00BD3EEA"/>
    <w:rsid w:val="00BD3F65"/>
    <w:rsid w:val="00BD42DA"/>
    <w:rsid w:val="00BD4338"/>
    <w:rsid w:val="00BD470F"/>
    <w:rsid w:val="00BD4949"/>
    <w:rsid w:val="00BD4C91"/>
    <w:rsid w:val="00BD4EE5"/>
    <w:rsid w:val="00BD51DA"/>
    <w:rsid w:val="00BD52F4"/>
    <w:rsid w:val="00BD5AA4"/>
    <w:rsid w:val="00BD5D1A"/>
    <w:rsid w:val="00BD6009"/>
    <w:rsid w:val="00BD683B"/>
    <w:rsid w:val="00BD6A12"/>
    <w:rsid w:val="00BD6B73"/>
    <w:rsid w:val="00BD6C75"/>
    <w:rsid w:val="00BD71AC"/>
    <w:rsid w:val="00BD7277"/>
    <w:rsid w:val="00BD7410"/>
    <w:rsid w:val="00BD7702"/>
    <w:rsid w:val="00BD77F3"/>
    <w:rsid w:val="00BD7A74"/>
    <w:rsid w:val="00BE02D2"/>
    <w:rsid w:val="00BE05A3"/>
    <w:rsid w:val="00BE0671"/>
    <w:rsid w:val="00BE0844"/>
    <w:rsid w:val="00BE0A01"/>
    <w:rsid w:val="00BE0CCC"/>
    <w:rsid w:val="00BE0E40"/>
    <w:rsid w:val="00BE0F12"/>
    <w:rsid w:val="00BE1317"/>
    <w:rsid w:val="00BE13C6"/>
    <w:rsid w:val="00BE1673"/>
    <w:rsid w:val="00BE1949"/>
    <w:rsid w:val="00BE1A72"/>
    <w:rsid w:val="00BE1A96"/>
    <w:rsid w:val="00BE208B"/>
    <w:rsid w:val="00BE221E"/>
    <w:rsid w:val="00BE23A0"/>
    <w:rsid w:val="00BE2511"/>
    <w:rsid w:val="00BE259D"/>
    <w:rsid w:val="00BE2715"/>
    <w:rsid w:val="00BE2830"/>
    <w:rsid w:val="00BE28A2"/>
    <w:rsid w:val="00BE2B8E"/>
    <w:rsid w:val="00BE2CF7"/>
    <w:rsid w:val="00BE2D68"/>
    <w:rsid w:val="00BE2DB9"/>
    <w:rsid w:val="00BE2DC6"/>
    <w:rsid w:val="00BE3419"/>
    <w:rsid w:val="00BE344D"/>
    <w:rsid w:val="00BE3493"/>
    <w:rsid w:val="00BE3584"/>
    <w:rsid w:val="00BE3976"/>
    <w:rsid w:val="00BE3EF8"/>
    <w:rsid w:val="00BE3F90"/>
    <w:rsid w:val="00BE40E1"/>
    <w:rsid w:val="00BE4276"/>
    <w:rsid w:val="00BE453C"/>
    <w:rsid w:val="00BE47C9"/>
    <w:rsid w:val="00BE4AE7"/>
    <w:rsid w:val="00BE50B6"/>
    <w:rsid w:val="00BE5395"/>
    <w:rsid w:val="00BE5B6F"/>
    <w:rsid w:val="00BE5D5B"/>
    <w:rsid w:val="00BE63B7"/>
    <w:rsid w:val="00BE68B7"/>
    <w:rsid w:val="00BE68BA"/>
    <w:rsid w:val="00BE6B7A"/>
    <w:rsid w:val="00BE6D25"/>
    <w:rsid w:val="00BE6EA8"/>
    <w:rsid w:val="00BE72E0"/>
    <w:rsid w:val="00BE74EB"/>
    <w:rsid w:val="00BE76E0"/>
    <w:rsid w:val="00BE78A4"/>
    <w:rsid w:val="00BF0040"/>
    <w:rsid w:val="00BF00E7"/>
    <w:rsid w:val="00BF02D2"/>
    <w:rsid w:val="00BF060D"/>
    <w:rsid w:val="00BF0880"/>
    <w:rsid w:val="00BF0895"/>
    <w:rsid w:val="00BF09F5"/>
    <w:rsid w:val="00BF0A92"/>
    <w:rsid w:val="00BF0BE6"/>
    <w:rsid w:val="00BF0DBB"/>
    <w:rsid w:val="00BF115A"/>
    <w:rsid w:val="00BF126C"/>
    <w:rsid w:val="00BF12D8"/>
    <w:rsid w:val="00BF1370"/>
    <w:rsid w:val="00BF144E"/>
    <w:rsid w:val="00BF1E4F"/>
    <w:rsid w:val="00BF2476"/>
    <w:rsid w:val="00BF2508"/>
    <w:rsid w:val="00BF2649"/>
    <w:rsid w:val="00BF2658"/>
    <w:rsid w:val="00BF267D"/>
    <w:rsid w:val="00BF276E"/>
    <w:rsid w:val="00BF2BAD"/>
    <w:rsid w:val="00BF2C61"/>
    <w:rsid w:val="00BF2D2E"/>
    <w:rsid w:val="00BF2DE5"/>
    <w:rsid w:val="00BF2DEE"/>
    <w:rsid w:val="00BF31B5"/>
    <w:rsid w:val="00BF34C6"/>
    <w:rsid w:val="00BF35AE"/>
    <w:rsid w:val="00BF3909"/>
    <w:rsid w:val="00BF39C5"/>
    <w:rsid w:val="00BF3BFD"/>
    <w:rsid w:val="00BF3CF2"/>
    <w:rsid w:val="00BF3DF8"/>
    <w:rsid w:val="00BF3E00"/>
    <w:rsid w:val="00BF3E9C"/>
    <w:rsid w:val="00BF4986"/>
    <w:rsid w:val="00BF49F7"/>
    <w:rsid w:val="00BF5076"/>
    <w:rsid w:val="00BF54B0"/>
    <w:rsid w:val="00BF55A3"/>
    <w:rsid w:val="00BF56DC"/>
    <w:rsid w:val="00BF5815"/>
    <w:rsid w:val="00BF5938"/>
    <w:rsid w:val="00BF5A82"/>
    <w:rsid w:val="00BF5F24"/>
    <w:rsid w:val="00BF5F3D"/>
    <w:rsid w:val="00BF5F5D"/>
    <w:rsid w:val="00BF6141"/>
    <w:rsid w:val="00BF6472"/>
    <w:rsid w:val="00BF667C"/>
    <w:rsid w:val="00BF6BFC"/>
    <w:rsid w:val="00BF6CEE"/>
    <w:rsid w:val="00BF6F93"/>
    <w:rsid w:val="00BF70DF"/>
    <w:rsid w:val="00BF71E1"/>
    <w:rsid w:val="00BF7273"/>
    <w:rsid w:val="00BF7644"/>
    <w:rsid w:val="00BF7802"/>
    <w:rsid w:val="00BF787F"/>
    <w:rsid w:val="00BF7B87"/>
    <w:rsid w:val="00BF7EFD"/>
    <w:rsid w:val="00C000BA"/>
    <w:rsid w:val="00C00152"/>
    <w:rsid w:val="00C0036F"/>
    <w:rsid w:val="00C00B5E"/>
    <w:rsid w:val="00C00BC1"/>
    <w:rsid w:val="00C00F74"/>
    <w:rsid w:val="00C00F9D"/>
    <w:rsid w:val="00C01040"/>
    <w:rsid w:val="00C010D8"/>
    <w:rsid w:val="00C011EE"/>
    <w:rsid w:val="00C01227"/>
    <w:rsid w:val="00C015CF"/>
    <w:rsid w:val="00C0163C"/>
    <w:rsid w:val="00C0177C"/>
    <w:rsid w:val="00C01892"/>
    <w:rsid w:val="00C01A17"/>
    <w:rsid w:val="00C02062"/>
    <w:rsid w:val="00C02205"/>
    <w:rsid w:val="00C0220F"/>
    <w:rsid w:val="00C02327"/>
    <w:rsid w:val="00C02DFB"/>
    <w:rsid w:val="00C02EB4"/>
    <w:rsid w:val="00C02EF6"/>
    <w:rsid w:val="00C031E2"/>
    <w:rsid w:val="00C033A9"/>
    <w:rsid w:val="00C034C8"/>
    <w:rsid w:val="00C03587"/>
    <w:rsid w:val="00C0375F"/>
    <w:rsid w:val="00C03792"/>
    <w:rsid w:val="00C0383D"/>
    <w:rsid w:val="00C040B7"/>
    <w:rsid w:val="00C041A3"/>
    <w:rsid w:val="00C043D5"/>
    <w:rsid w:val="00C04604"/>
    <w:rsid w:val="00C04D86"/>
    <w:rsid w:val="00C04DAF"/>
    <w:rsid w:val="00C04DB2"/>
    <w:rsid w:val="00C04FAC"/>
    <w:rsid w:val="00C05272"/>
    <w:rsid w:val="00C0563F"/>
    <w:rsid w:val="00C05923"/>
    <w:rsid w:val="00C05D8F"/>
    <w:rsid w:val="00C0658D"/>
    <w:rsid w:val="00C06721"/>
    <w:rsid w:val="00C069D8"/>
    <w:rsid w:val="00C069DC"/>
    <w:rsid w:val="00C06A38"/>
    <w:rsid w:val="00C06ED8"/>
    <w:rsid w:val="00C06FB0"/>
    <w:rsid w:val="00C06FC8"/>
    <w:rsid w:val="00C0726F"/>
    <w:rsid w:val="00C07738"/>
    <w:rsid w:val="00C07853"/>
    <w:rsid w:val="00C0792D"/>
    <w:rsid w:val="00C07936"/>
    <w:rsid w:val="00C07C0B"/>
    <w:rsid w:val="00C07D19"/>
    <w:rsid w:val="00C10052"/>
    <w:rsid w:val="00C10056"/>
    <w:rsid w:val="00C1012F"/>
    <w:rsid w:val="00C10436"/>
    <w:rsid w:val="00C105AA"/>
    <w:rsid w:val="00C1071E"/>
    <w:rsid w:val="00C10A30"/>
    <w:rsid w:val="00C10D4F"/>
    <w:rsid w:val="00C10F2C"/>
    <w:rsid w:val="00C111E7"/>
    <w:rsid w:val="00C113FE"/>
    <w:rsid w:val="00C11427"/>
    <w:rsid w:val="00C11480"/>
    <w:rsid w:val="00C1166C"/>
    <w:rsid w:val="00C119F8"/>
    <w:rsid w:val="00C11D76"/>
    <w:rsid w:val="00C12081"/>
    <w:rsid w:val="00C1210B"/>
    <w:rsid w:val="00C12166"/>
    <w:rsid w:val="00C1243D"/>
    <w:rsid w:val="00C12900"/>
    <w:rsid w:val="00C12BDF"/>
    <w:rsid w:val="00C12D77"/>
    <w:rsid w:val="00C12DFE"/>
    <w:rsid w:val="00C134D8"/>
    <w:rsid w:val="00C13A13"/>
    <w:rsid w:val="00C13AB8"/>
    <w:rsid w:val="00C13CDC"/>
    <w:rsid w:val="00C141DC"/>
    <w:rsid w:val="00C148AD"/>
    <w:rsid w:val="00C14C6B"/>
    <w:rsid w:val="00C14CBD"/>
    <w:rsid w:val="00C151AE"/>
    <w:rsid w:val="00C1565F"/>
    <w:rsid w:val="00C156FF"/>
    <w:rsid w:val="00C15A90"/>
    <w:rsid w:val="00C15ABD"/>
    <w:rsid w:val="00C15AD5"/>
    <w:rsid w:val="00C15F4F"/>
    <w:rsid w:val="00C15F9C"/>
    <w:rsid w:val="00C16096"/>
    <w:rsid w:val="00C1625C"/>
    <w:rsid w:val="00C16733"/>
    <w:rsid w:val="00C168AF"/>
    <w:rsid w:val="00C16D9D"/>
    <w:rsid w:val="00C171B2"/>
    <w:rsid w:val="00C1755F"/>
    <w:rsid w:val="00C17AB2"/>
    <w:rsid w:val="00C17D73"/>
    <w:rsid w:val="00C17DAA"/>
    <w:rsid w:val="00C2026F"/>
    <w:rsid w:val="00C202AA"/>
    <w:rsid w:val="00C20BF2"/>
    <w:rsid w:val="00C20C16"/>
    <w:rsid w:val="00C20C9C"/>
    <w:rsid w:val="00C20D92"/>
    <w:rsid w:val="00C20E00"/>
    <w:rsid w:val="00C20EDE"/>
    <w:rsid w:val="00C213B7"/>
    <w:rsid w:val="00C215FB"/>
    <w:rsid w:val="00C21AA1"/>
    <w:rsid w:val="00C21C9E"/>
    <w:rsid w:val="00C21E1F"/>
    <w:rsid w:val="00C2279A"/>
    <w:rsid w:val="00C2292D"/>
    <w:rsid w:val="00C22BCF"/>
    <w:rsid w:val="00C22CA2"/>
    <w:rsid w:val="00C22FB0"/>
    <w:rsid w:val="00C2332F"/>
    <w:rsid w:val="00C238A5"/>
    <w:rsid w:val="00C239BC"/>
    <w:rsid w:val="00C23D62"/>
    <w:rsid w:val="00C23F14"/>
    <w:rsid w:val="00C2405E"/>
    <w:rsid w:val="00C2414C"/>
    <w:rsid w:val="00C24612"/>
    <w:rsid w:val="00C247EB"/>
    <w:rsid w:val="00C24A2F"/>
    <w:rsid w:val="00C24C71"/>
    <w:rsid w:val="00C24CB8"/>
    <w:rsid w:val="00C24D60"/>
    <w:rsid w:val="00C24E02"/>
    <w:rsid w:val="00C24F77"/>
    <w:rsid w:val="00C255D4"/>
    <w:rsid w:val="00C25602"/>
    <w:rsid w:val="00C2585C"/>
    <w:rsid w:val="00C25A5D"/>
    <w:rsid w:val="00C25A64"/>
    <w:rsid w:val="00C25AB8"/>
    <w:rsid w:val="00C25D8B"/>
    <w:rsid w:val="00C25F0A"/>
    <w:rsid w:val="00C25F97"/>
    <w:rsid w:val="00C25F9D"/>
    <w:rsid w:val="00C26369"/>
    <w:rsid w:val="00C266A1"/>
    <w:rsid w:val="00C26B87"/>
    <w:rsid w:val="00C26F05"/>
    <w:rsid w:val="00C2707F"/>
    <w:rsid w:val="00C271F1"/>
    <w:rsid w:val="00C27238"/>
    <w:rsid w:val="00C272A8"/>
    <w:rsid w:val="00C272D3"/>
    <w:rsid w:val="00C27377"/>
    <w:rsid w:val="00C27487"/>
    <w:rsid w:val="00C2750A"/>
    <w:rsid w:val="00C275E5"/>
    <w:rsid w:val="00C2760C"/>
    <w:rsid w:val="00C27625"/>
    <w:rsid w:val="00C27684"/>
    <w:rsid w:val="00C276D9"/>
    <w:rsid w:val="00C2787A"/>
    <w:rsid w:val="00C27AB7"/>
    <w:rsid w:val="00C27AE2"/>
    <w:rsid w:val="00C302C9"/>
    <w:rsid w:val="00C30506"/>
    <w:rsid w:val="00C309A7"/>
    <w:rsid w:val="00C30B98"/>
    <w:rsid w:val="00C30CA3"/>
    <w:rsid w:val="00C31216"/>
    <w:rsid w:val="00C3133C"/>
    <w:rsid w:val="00C3135D"/>
    <w:rsid w:val="00C313A8"/>
    <w:rsid w:val="00C314F1"/>
    <w:rsid w:val="00C31536"/>
    <w:rsid w:val="00C31552"/>
    <w:rsid w:val="00C318DD"/>
    <w:rsid w:val="00C318FA"/>
    <w:rsid w:val="00C3192D"/>
    <w:rsid w:val="00C31AF8"/>
    <w:rsid w:val="00C31B53"/>
    <w:rsid w:val="00C31CEA"/>
    <w:rsid w:val="00C31DEF"/>
    <w:rsid w:val="00C31E15"/>
    <w:rsid w:val="00C31E26"/>
    <w:rsid w:val="00C321F7"/>
    <w:rsid w:val="00C3269B"/>
    <w:rsid w:val="00C326A7"/>
    <w:rsid w:val="00C329A8"/>
    <w:rsid w:val="00C32A48"/>
    <w:rsid w:val="00C32D7E"/>
    <w:rsid w:val="00C32E27"/>
    <w:rsid w:val="00C32F4F"/>
    <w:rsid w:val="00C3323E"/>
    <w:rsid w:val="00C33243"/>
    <w:rsid w:val="00C3379E"/>
    <w:rsid w:val="00C33B92"/>
    <w:rsid w:val="00C33C05"/>
    <w:rsid w:val="00C341B8"/>
    <w:rsid w:val="00C3434D"/>
    <w:rsid w:val="00C34422"/>
    <w:rsid w:val="00C345C7"/>
    <w:rsid w:val="00C347E2"/>
    <w:rsid w:val="00C34919"/>
    <w:rsid w:val="00C34ABE"/>
    <w:rsid w:val="00C34B00"/>
    <w:rsid w:val="00C34B73"/>
    <w:rsid w:val="00C34C59"/>
    <w:rsid w:val="00C34EC3"/>
    <w:rsid w:val="00C352AB"/>
    <w:rsid w:val="00C35999"/>
    <w:rsid w:val="00C359EE"/>
    <w:rsid w:val="00C35B51"/>
    <w:rsid w:val="00C35C39"/>
    <w:rsid w:val="00C35D23"/>
    <w:rsid w:val="00C35E09"/>
    <w:rsid w:val="00C35E15"/>
    <w:rsid w:val="00C35FD1"/>
    <w:rsid w:val="00C363D7"/>
    <w:rsid w:val="00C365BE"/>
    <w:rsid w:val="00C369A6"/>
    <w:rsid w:val="00C36BFF"/>
    <w:rsid w:val="00C36C3E"/>
    <w:rsid w:val="00C36C6B"/>
    <w:rsid w:val="00C36CB0"/>
    <w:rsid w:val="00C36FCF"/>
    <w:rsid w:val="00C37051"/>
    <w:rsid w:val="00C3729D"/>
    <w:rsid w:val="00C37552"/>
    <w:rsid w:val="00C37557"/>
    <w:rsid w:val="00C37AB9"/>
    <w:rsid w:val="00C4022C"/>
    <w:rsid w:val="00C4034C"/>
    <w:rsid w:val="00C40634"/>
    <w:rsid w:val="00C40847"/>
    <w:rsid w:val="00C40922"/>
    <w:rsid w:val="00C40927"/>
    <w:rsid w:val="00C40B0E"/>
    <w:rsid w:val="00C40CCD"/>
    <w:rsid w:val="00C40D5E"/>
    <w:rsid w:val="00C41169"/>
    <w:rsid w:val="00C4123B"/>
    <w:rsid w:val="00C41374"/>
    <w:rsid w:val="00C4140B"/>
    <w:rsid w:val="00C414F7"/>
    <w:rsid w:val="00C41629"/>
    <w:rsid w:val="00C41FA6"/>
    <w:rsid w:val="00C41FB8"/>
    <w:rsid w:val="00C4214D"/>
    <w:rsid w:val="00C421DB"/>
    <w:rsid w:val="00C42321"/>
    <w:rsid w:val="00C425DD"/>
    <w:rsid w:val="00C426F3"/>
    <w:rsid w:val="00C42A0C"/>
    <w:rsid w:val="00C42DAE"/>
    <w:rsid w:val="00C42FB8"/>
    <w:rsid w:val="00C43463"/>
    <w:rsid w:val="00C441D9"/>
    <w:rsid w:val="00C44299"/>
    <w:rsid w:val="00C44472"/>
    <w:rsid w:val="00C444E3"/>
    <w:rsid w:val="00C447E1"/>
    <w:rsid w:val="00C44A49"/>
    <w:rsid w:val="00C44B09"/>
    <w:rsid w:val="00C44C40"/>
    <w:rsid w:val="00C44C95"/>
    <w:rsid w:val="00C44EB6"/>
    <w:rsid w:val="00C4513F"/>
    <w:rsid w:val="00C45203"/>
    <w:rsid w:val="00C45EFF"/>
    <w:rsid w:val="00C46088"/>
    <w:rsid w:val="00C46197"/>
    <w:rsid w:val="00C464B9"/>
    <w:rsid w:val="00C46553"/>
    <w:rsid w:val="00C4655A"/>
    <w:rsid w:val="00C467CE"/>
    <w:rsid w:val="00C47427"/>
    <w:rsid w:val="00C47731"/>
    <w:rsid w:val="00C47734"/>
    <w:rsid w:val="00C47928"/>
    <w:rsid w:val="00C47B69"/>
    <w:rsid w:val="00C47C37"/>
    <w:rsid w:val="00C47DA9"/>
    <w:rsid w:val="00C50028"/>
    <w:rsid w:val="00C502E1"/>
    <w:rsid w:val="00C50654"/>
    <w:rsid w:val="00C50D1B"/>
    <w:rsid w:val="00C51315"/>
    <w:rsid w:val="00C514C6"/>
    <w:rsid w:val="00C51E74"/>
    <w:rsid w:val="00C5220B"/>
    <w:rsid w:val="00C52368"/>
    <w:rsid w:val="00C523CC"/>
    <w:rsid w:val="00C525DE"/>
    <w:rsid w:val="00C52723"/>
    <w:rsid w:val="00C5277C"/>
    <w:rsid w:val="00C5284E"/>
    <w:rsid w:val="00C528DB"/>
    <w:rsid w:val="00C52B4A"/>
    <w:rsid w:val="00C52C82"/>
    <w:rsid w:val="00C52F81"/>
    <w:rsid w:val="00C53698"/>
    <w:rsid w:val="00C5388A"/>
    <w:rsid w:val="00C5388F"/>
    <w:rsid w:val="00C53980"/>
    <w:rsid w:val="00C53CFC"/>
    <w:rsid w:val="00C542A8"/>
    <w:rsid w:val="00C5431C"/>
    <w:rsid w:val="00C5452A"/>
    <w:rsid w:val="00C54595"/>
    <w:rsid w:val="00C5488E"/>
    <w:rsid w:val="00C548F9"/>
    <w:rsid w:val="00C54B1B"/>
    <w:rsid w:val="00C551A8"/>
    <w:rsid w:val="00C55342"/>
    <w:rsid w:val="00C554CE"/>
    <w:rsid w:val="00C55501"/>
    <w:rsid w:val="00C5552B"/>
    <w:rsid w:val="00C5571D"/>
    <w:rsid w:val="00C5588A"/>
    <w:rsid w:val="00C5599C"/>
    <w:rsid w:val="00C55B19"/>
    <w:rsid w:val="00C55B9F"/>
    <w:rsid w:val="00C55D3F"/>
    <w:rsid w:val="00C55D89"/>
    <w:rsid w:val="00C55F50"/>
    <w:rsid w:val="00C5639A"/>
    <w:rsid w:val="00C56BAD"/>
    <w:rsid w:val="00C56D51"/>
    <w:rsid w:val="00C56E5A"/>
    <w:rsid w:val="00C573B7"/>
    <w:rsid w:val="00C573E3"/>
    <w:rsid w:val="00C57615"/>
    <w:rsid w:val="00C57644"/>
    <w:rsid w:val="00C5770A"/>
    <w:rsid w:val="00C577AB"/>
    <w:rsid w:val="00C577D0"/>
    <w:rsid w:val="00C57B45"/>
    <w:rsid w:val="00C57C2F"/>
    <w:rsid w:val="00C57CB8"/>
    <w:rsid w:val="00C57E04"/>
    <w:rsid w:val="00C57FEF"/>
    <w:rsid w:val="00C602B6"/>
    <w:rsid w:val="00C60646"/>
    <w:rsid w:val="00C607CB"/>
    <w:rsid w:val="00C60B04"/>
    <w:rsid w:val="00C60B51"/>
    <w:rsid w:val="00C60D3E"/>
    <w:rsid w:val="00C60E66"/>
    <w:rsid w:val="00C60F77"/>
    <w:rsid w:val="00C60FD4"/>
    <w:rsid w:val="00C6125C"/>
    <w:rsid w:val="00C6131A"/>
    <w:rsid w:val="00C61447"/>
    <w:rsid w:val="00C619FE"/>
    <w:rsid w:val="00C61A6B"/>
    <w:rsid w:val="00C61BAB"/>
    <w:rsid w:val="00C61C5E"/>
    <w:rsid w:val="00C622EB"/>
    <w:rsid w:val="00C62349"/>
    <w:rsid w:val="00C62717"/>
    <w:rsid w:val="00C6277F"/>
    <w:rsid w:val="00C627EC"/>
    <w:rsid w:val="00C628C1"/>
    <w:rsid w:val="00C6299E"/>
    <w:rsid w:val="00C62C71"/>
    <w:rsid w:val="00C62CC4"/>
    <w:rsid w:val="00C62E34"/>
    <w:rsid w:val="00C62E77"/>
    <w:rsid w:val="00C631EC"/>
    <w:rsid w:val="00C6325B"/>
    <w:rsid w:val="00C63333"/>
    <w:rsid w:val="00C63399"/>
    <w:rsid w:val="00C63CEA"/>
    <w:rsid w:val="00C63DFF"/>
    <w:rsid w:val="00C63E2C"/>
    <w:rsid w:val="00C640FB"/>
    <w:rsid w:val="00C643A5"/>
    <w:rsid w:val="00C643AA"/>
    <w:rsid w:val="00C644C3"/>
    <w:rsid w:val="00C6460C"/>
    <w:rsid w:val="00C648AE"/>
    <w:rsid w:val="00C64D80"/>
    <w:rsid w:val="00C64F6C"/>
    <w:rsid w:val="00C64FC3"/>
    <w:rsid w:val="00C65095"/>
    <w:rsid w:val="00C6535E"/>
    <w:rsid w:val="00C654EC"/>
    <w:rsid w:val="00C65C46"/>
    <w:rsid w:val="00C65F0D"/>
    <w:rsid w:val="00C66012"/>
    <w:rsid w:val="00C66505"/>
    <w:rsid w:val="00C6667D"/>
    <w:rsid w:val="00C669FD"/>
    <w:rsid w:val="00C66A2D"/>
    <w:rsid w:val="00C66A56"/>
    <w:rsid w:val="00C66DB7"/>
    <w:rsid w:val="00C6713E"/>
    <w:rsid w:val="00C67365"/>
    <w:rsid w:val="00C675D6"/>
    <w:rsid w:val="00C676D2"/>
    <w:rsid w:val="00C676E2"/>
    <w:rsid w:val="00C67914"/>
    <w:rsid w:val="00C67B7D"/>
    <w:rsid w:val="00C67CFD"/>
    <w:rsid w:val="00C67F4C"/>
    <w:rsid w:val="00C70002"/>
    <w:rsid w:val="00C70180"/>
    <w:rsid w:val="00C7043B"/>
    <w:rsid w:val="00C705C8"/>
    <w:rsid w:val="00C705E1"/>
    <w:rsid w:val="00C70726"/>
    <w:rsid w:val="00C7099C"/>
    <w:rsid w:val="00C70A5F"/>
    <w:rsid w:val="00C7103F"/>
    <w:rsid w:val="00C712D5"/>
    <w:rsid w:val="00C7165A"/>
    <w:rsid w:val="00C7181D"/>
    <w:rsid w:val="00C71C6A"/>
    <w:rsid w:val="00C720A2"/>
    <w:rsid w:val="00C72321"/>
    <w:rsid w:val="00C726A3"/>
    <w:rsid w:val="00C72798"/>
    <w:rsid w:val="00C73103"/>
    <w:rsid w:val="00C7311A"/>
    <w:rsid w:val="00C73497"/>
    <w:rsid w:val="00C737E1"/>
    <w:rsid w:val="00C73D64"/>
    <w:rsid w:val="00C73E16"/>
    <w:rsid w:val="00C73F35"/>
    <w:rsid w:val="00C73F5E"/>
    <w:rsid w:val="00C74364"/>
    <w:rsid w:val="00C74561"/>
    <w:rsid w:val="00C745DD"/>
    <w:rsid w:val="00C7475C"/>
    <w:rsid w:val="00C748EA"/>
    <w:rsid w:val="00C749D4"/>
    <w:rsid w:val="00C74A40"/>
    <w:rsid w:val="00C74EB4"/>
    <w:rsid w:val="00C750BE"/>
    <w:rsid w:val="00C75222"/>
    <w:rsid w:val="00C75527"/>
    <w:rsid w:val="00C758CF"/>
    <w:rsid w:val="00C75A23"/>
    <w:rsid w:val="00C75C27"/>
    <w:rsid w:val="00C761B0"/>
    <w:rsid w:val="00C7665E"/>
    <w:rsid w:val="00C76A31"/>
    <w:rsid w:val="00C76A9B"/>
    <w:rsid w:val="00C76F4F"/>
    <w:rsid w:val="00C7750F"/>
    <w:rsid w:val="00C77B49"/>
    <w:rsid w:val="00C77C9D"/>
    <w:rsid w:val="00C77DDC"/>
    <w:rsid w:val="00C8001A"/>
    <w:rsid w:val="00C806B6"/>
    <w:rsid w:val="00C809B0"/>
    <w:rsid w:val="00C80B19"/>
    <w:rsid w:val="00C80C26"/>
    <w:rsid w:val="00C80FB0"/>
    <w:rsid w:val="00C8116A"/>
    <w:rsid w:val="00C8141F"/>
    <w:rsid w:val="00C81526"/>
    <w:rsid w:val="00C8188F"/>
    <w:rsid w:val="00C81944"/>
    <w:rsid w:val="00C82171"/>
    <w:rsid w:val="00C82212"/>
    <w:rsid w:val="00C822BC"/>
    <w:rsid w:val="00C8262D"/>
    <w:rsid w:val="00C826A9"/>
    <w:rsid w:val="00C82788"/>
    <w:rsid w:val="00C82E25"/>
    <w:rsid w:val="00C82EA3"/>
    <w:rsid w:val="00C831FB"/>
    <w:rsid w:val="00C83220"/>
    <w:rsid w:val="00C83239"/>
    <w:rsid w:val="00C834DC"/>
    <w:rsid w:val="00C83514"/>
    <w:rsid w:val="00C8354B"/>
    <w:rsid w:val="00C835A0"/>
    <w:rsid w:val="00C83613"/>
    <w:rsid w:val="00C83ED4"/>
    <w:rsid w:val="00C840DE"/>
    <w:rsid w:val="00C8425C"/>
    <w:rsid w:val="00C84407"/>
    <w:rsid w:val="00C845CB"/>
    <w:rsid w:val="00C847B0"/>
    <w:rsid w:val="00C84920"/>
    <w:rsid w:val="00C849DE"/>
    <w:rsid w:val="00C84B0D"/>
    <w:rsid w:val="00C84B25"/>
    <w:rsid w:val="00C84FE5"/>
    <w:rsid w:val="00C853D9"/>
    <w:rsid w:val="00C856C4"/>
    <w:rsid w:val="00C85966"/>
    <w:rsid w:val="00C85B5E"/>
    <w:rsid w:val="00C8601B"/>
    <w:rsid w:val="00C86225"/>
    <w:rsid w:val="00C866BF"/>
    <w:rsid w:val="00C86AF4"/>
    <w:rsid w:val="00C86C56"/>
    <w:rsid w:val="00C86C5F"/>
    <w:rsid w:val="00C86C65"/>
    <w:rsid w:val="00C86D21"/>
    <w:rsid w:val="00C86D2B"/>
    <w:rsid w:val="00C86D7B"/>
    <w:rsid w:val="00C86FA8"/>
    <w:rsid w:val="00C8716A"/>
    <w:rsid w:val="00C872CE"/>
    <w:rsid w:val="00C8734B"/>
    <w:rsid w:val="00C8743F"/>
    <w:rsid w:val="00C8746F"/>
    <w:rsid w:val="00C87490"/>
    <w:rsid w:val="00C87587"/>
    <w:rsid w:val="00C877D1"/>
    <w:rsid w:val="00C87B97"/>
    <w:rsid w:val="00C87D47"/>
    <w:rsid w:val="00C87D66"/>
    <w:rsid w:val="00C87E41"/>
    <w:rsid w:val="00C9004B"/>
    <w:rsid w:val="00C906F1"/>
    <w:rsid w:val="00C90B7D"/>
    <w:rsid w:val="00C90BD3"/>
    <w:rsid w:val="00C90F54"/>
    <w:rsid w:val="00C91166"/>
    <w:rsid w:val="00C91447"/>
    <w:rsid w:val="00C916F8"/>
    <w:rsid w:val="00C917DA"/>
    <w:rsid w:val="00C91997"/>
    <w:rsid w:val="00C919D9"/>
    <w:rsid w:val="00C919E5"/>
    <w:rsid w:val="00C91A4E"/>
    <w:rsid w:val="00C91C60"/>
    <w:rsid w:val="00C920E3"/>
    <w:rsid w:val="00C92109"/>
    <w:rsid w:val="00C9230D"/>
    <w:rsid w:val="00C92496"/>
    <w:rsid w:val="00C92759"/>
    <w:rsid w:val="00C92B2E"/>
    <w:rsid w:val="00C92B3E"/>
    <w:rsid w:val="00C92D44"/>
    <w:rsid w:val="00C930CC"/>
    <w:rsid w:val="00C93280"/>
    <w:rsid w:val="00C934B8"/>
    <w:rsid w:val="00C93900"/>
    <w:rsid w:val="00C93973"/>
    <w:rsid w:val="00C93A55"/>
    <w:rsid w:val="00C93D4A"/>
    <w:rsid w:val="00C9406A"/>
    <w:rsid w:val="00C948FC"/>
    <w:rsid w:val="00C94B6B"/>
    <w:rsid w:val="00C95342"/>
    <w:rsid w:val="00C953BE"/>
    <w:rsid w:val="00C95449"/>
    <w:rsid w:val="00C95687"/>
    <w:rsid w:val="00C9577F"/>
    <w:rsid w:val="00C95801"/>
    <w:rsid w:val="00C958B8"/>
    <w:rsid w:val="00C95912"/>
    <w:rsid w:val="00C95D55"/>
    <w:rsid w:val="00C96188"/>
    <w:rsid w:val="00C96398"/>
    <w:rsid w:val="00C9672C"/>
    <w:rsid w:val="00C96969"/>
    <w:rsid w:val="00C97377"/>
    <w:rsid w:val="00C97792"/>
    <w:rsid w:val="00C977E8"/>
    <w:rsid w:val="00C97A15"/>
    <w:rsid w:val="00C97C56"/>
    <w:rsid w:val="00C97D77"/>
    <w:rsid w:val="00CA01C4"/>
    <w:rsid w:val="00CA0667"/>
    <w:rsid w:val="00CA06FD"/>
    <w:rsid w:val="00CA09EF"/>
    <w:rsid w:val="00CA09F9"/>
    <w:rsid w:val="00CA0A47"/>
    <w:rsid w:val="00CA0B10"/>
    <w:rsid w:val="00CA0D5A"/>
    <w:rsid w:val="00CA0E60"/>
    <w:rsid w:val="00CA0F2A"/>
    <w:rsid w:val="00CA1024"/>
    <w:rsid w:val="00CA12C5"/>
    <w:rsid w:val="00CA1423"/>
    <w:rsid w:val="00CA146A"/>
    <w:rsid w:val="00CA1511"/>
    <w:rsid w:val="00CA168B"/>
    <w:rsid w:val="00CA1706"/>
    <w:rsid w:val="00CA1777"/>
    <w:rsid w:val="00CA1F22"/>
    <w:rsid w:val="00CA1FF8"/>
    <w:rsid w:val="00CA23CD"/>
    <w:rsid w:val="00CA25C4"/>
    <w:rsid w:val="00CA2689"/>
    <w:rsid w:val="00CA299B"/>
    <w:rsid w:val="00CA2AB7"/>
    <w:rsid w:val="00CA2D20"/>
    <w:rsid w:val="00CA2D93"/>
    <w:rsid w:val="00CA2F2B"/>
    <w:rsid w:val="00CA3018"/>
    <w:rsid w:val="00CA3186"/>
    <w:rsid w:val="00CA3303"/>
    <w:rsid w:val="00CA3386"/>
    <w:rsid w:val="00CA33A5"/>
    <w:rsid w:val="00CA356D"/>
    <w:rsid w:val="00CA37FA"/>
    <w:rsid w:val="00CA3855"/>
    <w:rsid w:val="00CA3A1C"/>
    <w:rsid w:val="00CA3CD0"/>
    <w:rsid w:val="00CA3F87"/>
    <w:rsid w:val="00CA3FFF"/>
    <w:rsid w:val="00CA430D"/>
    <w:rsid w:val="00CA47B8"/>
    <w:rsid w:val="00CA4BE7"/>
    <w:rsid w:val="00CA5363"/>
    <w:rsid w:val="00CA5831"/>
    <w:rsid w:val="00CA5FC2"/>
    <w:rsid w:val="00CA614F"/>
    <w:rsid w:val="00CA62C1"/>
    <w:rsid w:val="00CA654E"/>
    <w:rsid w:val="00CA6576"/>
    <w:rsid w:val="00CA65A2"/>
    <w:rsid w:val="00CA6A7D"/>
    <w:rsid w:val="00CA6B8F"/>
    <w:rsid w:val="00CA6DB6"/>
    <w:rsid w:val="00CA6ECD"/>
    <w:rsid w:val="00CA70CF"/>
    <w:rsid w:val="00CA7269"/>
    <w:rsid w:val="00CA7413"/>
    <w:rsid w:val="00CA7435"/>
    <w:rsid w:val="00CA74C4"/>
    <w:rsid w:val="00CA75BC"/>
    <w:rsid w:val="00CA77E0"/>
    <w:rsid w:val="00CA792D"/>
    <w:rsid w:val="00CA7D70"/>
    <w:rsid w:val="00CA7E9F"/>
    <w:rsid w:val="00CA7FB1"/>
    <w:rsid w:val="00CB0FC9"/>
    <w:rsid w:val="00CB1379"/>
    <w:rsid w:val="00CB14E1"/>
    <w:rsid w:val="00CB1536"/>
    <w:rsid w:val="00CB1C8E"/>
    <w:rsid w:val="00CB1D31"/>
    <w:rsid w:val="00CB1FA9"/>
    <w:rsid w:val="00CB215B"/>
    <w:rsid w:val="00CB27C2"/>
    <w:rsid w:val="00CB2970"/>
    <w:rsid w:val="00CB2B23"/>
    <w:rsid w:val="00CB2CEE"/>
    <w:rsid w:val="00CB2DE3"/>
    <w:rsid w:val="00CB3459"/>
    <w:rsid w:val="00CB39C4"/>
    <w:rsid w:val="00CB3A32"/>
    <w:rsid w:val="00CB3A51"/>
    <w:rsid w:val="00CB3CF9"/>
    <w:rsid w:val="00CB406A"/>
    <w:rsid w:val="00CB4122"/>
    <w:rsid w:val="00CB426F"/>
    <w:rsid w:val="00CB42C1"/>
    <w:rsid w:val="00CB439A"/>
    <w:rsid w:val="00CB4906"/>
    <w:rsid w:val="00CB50AB"/>
    <w:rsid w:val="00CB5129"/>
    <w:rsid w:val="00CB5503"/>
    <w:rsid w:val="00CB5556"/>
    <w:rsid w:val="00CB56F0"/>
    <w:rsid w:val="00CB5A7D"/>
    <w:rsid w:val="00CB5BAC"/>
    <w:rsid w:val="00CB5C67"/>
    <w:rsid w:val="00CB5CD0"/>
    <w:rsid w:val="00CB5F18"/>
    <w:rsid w:val="00CB5FB7"/>
    <w:rsid w:val="00CB666F"/>
    <w:rsid w:val="00CB679A"/>
    <w:rsid w:val="00CB6891"/>
    <w:rsid w:val="00CB68F8"/>
    <w:rsid w:val="00CB6929"/>
    <w:rsid w:val="00CB6BFD"/>
    <w:rsid w:val="00CB6C32"/>
    <w:rsid w:val="00CB6C7B"/>
    <w:rsid w:val="00CB712C"/>
    <w:rsid w:val="00CB7179"/>
    <w:rsid w:val="00CB7200"/>
    <w:rsid w:val="00CB7632"/>
    <w:rsid w:val="00CB7AB3"/>
    <w:rsid w:val="00CB7ABC"/>
    <w:rsid w:val="00CB7EFE"/>
    <w:rsid w:val="00CB7F4A"/>
    <w:rsid w:val="00CC037B"/>
    <w:rsid w:val="00CC03F2"/>
    <w:rsid w:val="00CC0598"/>
    <w:rsid w:val="00CC0693"/>
    <w:rsid w:val="00CC099B"/>
    <w:rsid w:val="00CC0BDB"/>
    <w:rsid w:val="00CC0F36"/>
    <w:rsid w:val="00CC121C"/>
    <w:rsid w:val="00CC123F"/>
    <w:rsid w:val="00CC1549"/>
    <w:rsid w:val="00CC1792"/>
    <w:rsid w:val="00CC1836"/>
    <w:rsid w:val="00CC1A60"/>
    <w:rsid w:val="00CC1B82"/>
    <w:rsid w:val="00CC24C0"/>
    <w:rsid w:val="00CC263D"/>
    <w:rsid w:val="00CC2A07"/>
    <w:rsid w:val="00CC2C96"/>
    <w:rsid w:val="00CC2F6B"/>
    <w:rsid w:val="00CC33C3"/>
    <w:rsid w:val="00CC353D"/>
    <w:rsid w:val="00CC3641"/>
    <w:rsid w:val="00CC367A"/>
    <w:rsid w:val="00CC3724"/>
    <w:rsid w:val="00CC372F"/>
    <w:rsid w:val="00CC3B9A"/>
    <w:rsid w:val="00CC3C88"/>
    <w:rsid w:val="00CC44A1"/>
    <w:rsid w:val="00CC4A2F"/>
    <w:rsid w:val="00CC4BF6"/>
    <w:rsid w:val="00CC4F57"/>
    <w:rsid w:val="00CC5423"/>
    <w:rsid w:val="00CC5754"/>
    <w:rsid w:val="00CC5983"/>
    <w:rsid w:val="00CC5B8B"/>
    <w:rsid w:val="00CC5FE4"/>
    <w:rsid w:val="00CC60E4"/>
    <w:rsid w:val="00CC6894"/>
    <w:rsid w:val="00CC72C2"/>
    <w:rsid w:val="00CC7976"/>
    <w:rsid w:val="00CC7C23"/>
    <w:rsid w:val="00CC7C4C"/>
    <w:rsid w:val="00CC7DC0"/>
    <w:rsid w:val="00CD0197"/>
    <w:rsid w:val="00CD01A9"/>
    <w:rsid w:val="00CD0391"/>
    <w:rsid w:val="00CD03F6"/>
    <w:rsid w:val="00CD050B"/>
    <w:rsid w:val="00CD053C"/>
    <w:rsid w:val="00CD065B"/>
    <w:rsid w:val="00CD099D"/>
    <w:rsid w:val="00CD0B78"/>
    <w:rsid w:val="00CD0F79"/>
    <w:rsid w:val="00CD1245"/>
    <w:rsid w:val="00CD13F3"/>
    <w:rsid w:val="00CD1A83"/>
    <w:rsid w:val="00CD1A98"/>
    <w:rsid w:val="00CD1B1D"/>
    <w:rsid w:val="00CD2677"/>
    <w:rsid w:val="00CD2720"/>
    <w:rsid w:val="00CD2A25"/>
    <w:rsid w:val="00CD30AF"/>
    <w:rsid w:val="00CD30E6"/>
    <w:rsid w:val="00CD3213"/>
    <w:rsid w:val="00CD33C3"/>
    <w:rsid w:val="00CD350C"/>
    <w:rsid w:val="00CD35B1"/>
    <w:rsid w:val="00CD36D6"/>
    <w:rsid w:val="00CD3896"/>
    <w:rsid w:val="00CD3B48"/>
    <w:rsid w:val="00CD3BFE"/>
    <w:rsid w:val="00CD3C27"/>
    <w:rsid w:val="00CD3E8D"/>
    <w:rsid w:val="00CD3EE2"/>
    <w:rsid w:val="00CD4000"/>
    <w:rsid w:val="00CD4085"/>
    <w:rsid w:val="00CD4746"/>
    <w:rsid w:val="00CD48EC"/>
    <w:rsid w:val="00CD4AB0"/>
    <w:rsid w:val="00CD4CF9"/>
    <w:rsid w:val="00CD4F3D"/>
    <w:rsid w:val="00CD564D"/>
    <w:rsid w:val="00CD581F"/>
    <w:rsid w:val="00CD582F"/>
    <w:rsid w:val="00CD5901"/>
    <w:rsid w:val="00CD5C25"/>
    <w:rsid w:val="00CD5F23"/>
    <w:rsid w:val="00CD63EA"/>
    <w:rsid w:val="00CD6A5E"/>
    <w:rsid w:val="00CD7014"/>
    <w:rsid w:val="00CD7041"/>
    <w:rsid w:val="00CD77A5"/>
    <w:rsid w:val="00CD77C6"/>
    <w:rsid w:val="00CD78A8"/>
    <w:rsid w:val="00CD79C9"/>
    <w:rsid w:val="00CD7BB3"/>
    <w:rsid w:val="00CD7D82"/>
    <w:rsid w:val="00CE0009"/>
    <w:rsid w:val="00CE0031"/>
    <w:rsid w:val="00CE0334"/>
    <w:rsid w:val="00CE037B"/>
    <w:rsid w:val="00CE04F6"/>
    <w:rsid w:val="00CE06C1"/>
    <w:rsid w:val="00CE0932"/>
    <w:rsid w:val="00CE0A52"/>
    <w:rsid w:val="00CE0AFE"/>
    <w:rsid w:val="00CE0E3A"/>
    <w:rsid w:val="00CE0F36"/>
    <w:rsid w:val="00CE0FC3"/>
    <w:rsid w:val="00CE11A1"/>
    <w:rsid w:val="00CE14A9"/>
    <w:rsid w:val="00CE1DD2"/>
    <w:rsid w:val="00CE22A2"/>
    <w:rsid w:val="00CE22D6"/>
    <w:rsid w:val="00CE2383"/>
    <w:rsid w:val="00CE24CE"/>
    <w:rsid w:val="00CE3926"/>
    <w:rsid w:val="00CE3A4A"/>
    <w:rsid w:val="00CE3B25"/>
    <w:rsid w:val="00CE3BC8"/>
    <w:rsid w:val="00CE40F0"/>
    <w:rsid w:val="00CE417E"/>
    <w:rsid w:val="00CE453A"/>
    <w:rsid w:val="00CE4688"/>
    <w:rsid w:val="00CE496A"/>
    <w:rsid w:val="00CE4999"/>
    <w:rsid w:val="00CE49BF"/>
    <w:rsid w:val="00CE4E81"/>
    <w:rsid w:val="00CE4F25"/>
    <w:rsid w:val="00CE51F7"/>
    <w:rsid w:val="00CE539E"/>
    <w:rsid w:val="00CE5486"/>
    <w:rsid w:val="00CE5A03"/>
    <w:rsid w:val="00CE5AC4"/>
    <w:rsid w:val="00CE5EC2"/>
    <w:rsid w:val="00CE5F51"/>
    <w:rsid w:val="00CE6641"/>
    <w:rsid w:val="00CE6824"/>
    <w:rsid w:val="00CE68D3"/>
    <w:rsid w:val="00CE6B46"/>
    <w:rsid w:val="00CE6C89"/>
    <w:rsid w:val="00CE7020"/>
    <w:rsid w:val="00CE72A9"/>
    <w:rsid w:val="00CE72C0"/>
    <w:rsid w:val="00CE73C1"/>
    <w:rsid w:val="00CE793C"/>
    <w:rsid w:val="00CE7A79"/>
    <w:rsid w:val="00CE7BBA"/>
    <w:rsid w:val="00CE7FBF"/>
    <w:rsid w:val="00CF014E"/>
    <w:rsid w:val="00CF03CD"/>
    <w:rsid w:val="00CF0532"/>
    <w:rsid w:val="00CF0678"/>
    <w:rsid w:val="00CF0B32"/>
    <w:rsid w:val="00CF0C7B"/>
    <w:rsid w:val="00CF0D2C"/>
    <w:rsid w:val="00CF0D48"/>
    <w:rsid w:val="00CF14A0"/>
    <w:rsid w:val="00CF1574"/>
    <w:rsid w:val="00CF1689"/>
    <w:rsid w:val="00CF1F0F"/>
    <w:rsid w:val="00CF24C4"/>
    <w:rsid w:val="00CF2607"/>
    <w:rsid w:val="00CF2848"/>
    <w:rsid w:val="00CF28AA"/>
    <w:rsid w:val="00CF2ADC"/>
    <w:rsid w:val="00CF341B"/>
    <w:rsid w:val="00CF35E0"/>
    <w:rsid w:val="00CF3689"/>
    <w:rsid w:val="00CF3CC3"/>
    <w:rsid w:val="00CF3CF6"/>
    <w:rsid w:val="00CF4056"/>
    <w:rsid w:val="00CF4224"/>
    <w:rsid w:val="00CF4502"/>
    <w:rsid w:val="00CF4AC5"/>
    <w:rsid w:val="00CF4FDC"/>
    <w:rsid w:val="00CF5081"/>
    <w:rsid w:val="00CF51CC"/>
    <w:rsid w:val="00CF5314"/>
    <w:rsid w:val="00CF5357"/>
    <w:rsid w:val="00CF552B"/>
    <w:rsid w:val="00CF55A6"/>
    <w:rsid w:val="00CF5642"/>
    <w:rsid w:val="00CF583B"/>
    <w:rsid w:val="00CF62C3"/>
    <w:rsid w:val="00CF62FA"/>
    <w:rsid w:val="00CF659D"/>
    <w:rsid w:val="00CF6839"/>
    <w:rsid w:val="00CF6956"/>
    <w:rsid w:val="00CF6D35"/>
    <w:rsid w:val="00CF6E09"/>
    <w:rsid w:val="00CF6F29"/>
    <w:rsid w:val="00CF7027"/>
    <w:rsid w:val="00CF7151"/>
    <w:rsid w:val="00CF73AD"/>
    <w:rsid w:val="00CF7752"/>
    <w:rsid w:val="00CF78ED"/>
    <w:rsid w:val="00CF7A39"/>
    <w:rsid w:val="00CF7B59"/>
    <w:rsid w:val="00CF7C2B"/>
    <w:rsid w:val="00CF7DAC"/>
    <w:rsid w:val="00CF7F59"/>
    <w:rsid w:val="00D0006E"/>
    <w:rsid w:val="00D000B8"/>
    <w:rsid w:val="00D0023A"/>
    <w:rsid w:val="00D0025C"/>
    <w:rsid w:val="00D0079F"/>
    <w:rsid w:val="00D00865"/>
    <w:rsid w:val="00D00AFF"/>
    <w:rsid w:val="00D00C31"/>
    <w:rsid w:val="00D00CBB"/>
    <w:rsid w:val="00D00CC8"/>
    <w:rsid w:val="00D00CF1"/>
    <w:rsid w:val="00D01052"/>
    <w:rsid w:val="00D011C6"/>
    <w:rsid w:val="00D012F0"/>
    <w:rsid w:val="00D01604"/>
    <w:rsid w:val="00D01629"/>
    <w:rsid w:val="00D01AAA"/>
    <w:rsid w:val="00D01C9D"/>
    <w:rsid w:val="00D01DD7"/>
    <w:rsid w:val="00D02129"/>
    <w:rsid w:val="00D02588"/>
    <w:rsid w:val="00D0263C"/>
    <w:rsid w:val="00D0268D"/>
    <w:rsid w:val="00D028DB"/>
    <w:rsid w:val="00D029C9"/>
    <w:rsid w:val="00D02AAB"/>
    <w:rsid w:val="00D02C08"/>
    <w:rsid w:val="00D02C46"/>
    <w:rsid w:val="00D0307C"/>
    <w:rsid w:val="00D03105"/>
    <w:rsid w:val="00D0324C"/>
    <w:rsid w:val="00D03370"/>
    <w:rsid w:val="00D0346A"/>
    <w:rsid w:val="00D03513"/>
    <w:rsid w:val="00D03514"/>
    <w:rsid w:val="00D038DC"/>
    <w:rsid w:val="00D03C05"/>
    <w:rsid w:val="00D03DA1"/>
    <w:rsid w:val="00D0408A"/>
    <w:rsid w:val="00D041BC"/>
    <w:rsid w:val="00D0441B"/>
    <w:rsid w:val="00D04425"/>
    <w:rsid w:val="00D045AA"/>
    <w:rsid w:val="00D04B5A"/>
    <w:rsid w:val="00D04DA6"/>
    <w:rsid w:val="00D04FC0"/>
    <w:rsid w:val="00D050EF"/>
    <w:rsid w:val="00D05186"/>
    <w:rsid w:val="00D05369"/>
    <w:rsid w:val="00D053C5"/>
    <w:rsid w:val="00D055C6"/>
    <w:rsid w:val="00D055E6"/>
    <w:rsid w:val="00D057C8"/>
    <w:rsid w:val="00D058F5"/>
    <w:rsid w:val="00D05A41"/>
    <w:rsid w:val="00D065EB"/>
    <w:rsid w:val="00D06A20"/>
    <w:rsid w:val="00D070C0"/>
    <w:rsid w:val="00D07142"/>
    <w:rsid w:val="00D07244"/>
    <w:rsid w:val="00D07391"/>
    <w:rsid w:val="00D073F7"/>
    <w:rsid w:val="00D07A52"/>
    <w:rsid w:val="00D07B66"/>
    <w:rsid w:val="00D07EA9"/>
    <w:rsid w:val="00D10342"/>
    <w:rsid w:val="00D106B0"/>
    <w:rsid w:val="00D1079F"/>
    <w:rsid w:val="00D10A8F"/>
    <w:rsid w:val="00D10AD9"/>
    <w:rsid w:val="00D10EDF"/>
    <w:rsid w:val="00D11137"/>
    <w:rsid w:val="00D11C57"/>
    <w:rsid w:val="00D11EAA"/>
    <w:rsid w:val="00D12014"/>
    <w:rsid w:val="00D120C0"/>
    <w:rsid w:val="00D1217E"/>
    <w:rsid w:val="00D12426"/>
    <w:rsid w:val="00D1247A"/>
    <w:rsid w:val="00D124D6"/>
    <w:rsid w:val="00D127F4"/>
    <w:rsid w:val="00D12A51"/>
    <w:rsid w:val="00D12B48"/>
    <w:rsid w:val="00D12B75"/>
    <w:rsid w:val="00D12C1D"/>
    <w:rsid w:val="00D12E6A"/>
    <w:rsid w:val="00D13672"/>
    <w:rsid w:val="00D13F04"/>
    <w:rsid w:val="00D13F74"/>
    <w:rsid w:val="00D1421E"/>
    <w:rsid w:val="00D14262"/>
    <w:rsid w:val="00D14485"/>
    <w:rsid w:val="00D144AF"/>
    <w:rsid w:val="00D144CA"/>
    <w:rsid w:val="00D14AC6"/>
    <w:rsid w:val="00D14CD8"/>
    <w:rsid w:val="00D14E7D"/>
    <w:rsid w:val="00D14EAE"/>
    <w:rsid w:val="00D1555D"/>
    <w:rsid w:val="00D15649"/>
    <w:rsid w:val="00D1574C"/>
    <w:rsid w:val="00D157CC"/>
    <w:rsid w:val="00D1587D"/>
    <w:rsid w:val="00D1596F"/>
    <w:rsid w:val="00D15A09"/>
    <w:rsid w:val="00D15D3C"/>
    <w:rsid w:val="00D15FF1"/>
    <w:rsid w:val="00D16087"/>
    <w:rsid w:val="00D163E6"/>
    <w:rsid w:val="00D1689B"/>
    <w:rsid w:val="00D174FB"/>
    <w:rsid w:val="00D1776B"/>
    <w:rsid w:val="00D17BFE"/>
    <w:rsid w:val="00D17DCD"/>
    <w:rsid w:val="00D17F92"/>
    <w:rsid w:val="00D201BC"/>
    <w:rsid w:val="00D2023B"/>
    <w:rsid w:val="00D20413"/>
    <w:rsid w:val="00D206AE"/>
    <w:rsid w:val="00D20F13"/>
    <w:rsid w:val="00D213C0"/>
    <w:rsid w:val="00D21888"/>
    <w:rsid w:val="00D21A63"/>
    <w:rsid w:val="00D21B55"/>
    <w:rsid w:val="00D21F1C"/>
    <w:rsid w:val="00D21FA2"/>
    <w:rsid w:val="00D21FBE"/>
    <w:rsid w:val="00D22292"/>
    <w:rsid w:val="00D224B3"/>
    <w:rsid w:val="00D228E1"/>
    <w:rsid w:val="00D22E38"/>
    <w:rsid w:val="00D2312C"/>
    <w:rsid w:val="00D2319D"/>
    <w:rsid w:val="00D233BC"/>
    <w:rsid w:val="00D238E7"/>
    <w:rsid w:val="00D239B5"/>
    <w:rsid w:val="00D24750"/>
    <w:rsid w:val="00D24D10"/>
    <w:rsid w:val="00D24EE8"/>
    <w:rsid w:val="00D24F4E"/>
    <w:rsid w:val="00D25254"/>
    <w:rsid w:val="00D254FE"/>
    <w:rsid w:val="00D25D2B"/>
    <w:rsid w:val="00D25D39"/>
    <w:rsid w:val="00D261F1"/>
    <w:rsid w:val="00D26495"/>
    <w:rsid w:val="00D26575"/>
    <w:rsid w:val="00D26BE5"/>
    <w:rsid w:val="00D26D8A"/>
    <w:rsid w:val="00D26F4E"/>
    <w:rsid w:val="00D273AC"/>
    <w:rsid w:val="00D274DE"/>
    <w:rsid w:val="00D27520"/>
    <w:rsid w:val="00D2773B"/>
    <w:rsid w:val="00D278DD"/>
    <w:rsid w:val="00D27D24"/>
    <w:rsid w:val="00D27F38"/>
    <w:rsid w:val="00D304AD"/>
    <w:rsid w:val="00D30638"/>
    <w:rsid w:val="00D306E0"/>
    <w:rsid w:val="00D3081F"/>
    <w:rsid w:val="00D309A3"/>
    <w:rsid w:val="00D30A6F"/>
    <w:rsid w:val="00D30D71"/>
    <w:rsid w:val="00D30F8A"/>
    <w:rsid w:val="00D30FD1"/>
    <w:rsid w:val="00D3108F"/>
    <w:rsid w:val="00D31208"/>
    <w:rsid w:val="00D31287"/>
    <w:rsid w:val="00D31430"/>
    <w:rsid w:val="00D314F8"/>
    <w:rsid w:val="00D315E2"/>
    <w:rsid w:val="00D318A3"/>
    <w:rsid w:val="00D31BA3"/>
    <w:rsid w:val="00D31C03"/>
    <w:rsid w:val="00D3212E"/>
    <w:rsid w:val="00D3258A"/>
    <w:rsid w:val="00D32B4A"/>
    <w:rsid w:val="00D32CF5"/>
    <w:rsid w:val="00D33090"/>
    <w:rsid w:val="00D330B1"/>
    <w:rsid w:val="00D331F0"/>
    <w:rsid w:val="00D337AA"/>
    <w:rsid w:val="00D33800"/>
    <w:rsid w:val="00D3383E"/>
    <w:rsid w:val="00D339ED"/>
    <w:rsid w:val="00D33A02"/>
    <w:rsid w:val="00D33AAF"/>
    <w:rsid w:val="00D33EE5"/>
    <w:rsid w:val="00D3418A"/>
    <w:rsid w:val="00D341C7"/>
    <w:rsid w:val="00D341E8"/>
    <w:rsid w:val="00D3429F"/>
    <w:rsid w:val="00D3434B"/>
    <w:rsid w:val="00D34528"/>
    <w:rsid w:val="00D34715"/>
    <w:rsid w:val="00D34A76"/>
    <w:rsid w:val="00D34E5E"/>
    <w:rsid w:val="00D35634"/>
    <w:rsid w:val="00D35C5D"/>
    <w:rsid w:val="00D35FE7"/>
    <w:rsid w:val="00D360D8"/>
    <w:rsid w:val="00D365EC"/>
    <w:rsid w:val="00D36654"/>
    <w:rsid w:val="00D37234"/>
    <w:rsid w:val="00D372C1"/>
    <w:rsid w:val="00D37314"/>
    <w:rsid w:val="00D3779C"/>
    <w:rsid w:val="00D378E7"/>
    <w:rsid w:val="00D37A17"/>
    <w:rsid w:val="00D37A69"/>
    <w:rsid w:val="00D37B85"/>
    <w:rsid w:val="00D37ED1"/>
    <w:rsid w:val="00D400C5"/>
    <w:rsid w:val="00D40250"/>
    <w:rsid w:val="00D407E1"/>
    <w:rsid w:val="00D40C1C"/>
    <w:rsid w:val="00D40F1D"/>
    <w:rsid w:val="00D410F3"/>
    <w:rsid w:val="00D41463"/>
    <w:rsid w:val="00D41B59"/>
    <w:rsid w:val="00D41E15"/>
    <w:rsid w:val="00D41F13"/>
    <w:rsid w:val="00D4216F"/>
    <w:rsid w:val="00D426F4"/>
    <w:rsid w:val="00D428FE"/>
    <w:rsid w:val="00D4294C"/>
    <w:rsid w:val="00D42974"/>
    <w:rsid w:val="00D42AB0"/>
    <w:rsid w:val="00D42B72"/>
    <w:rsid w:val="00D42CF3"/>
    <w:rsid w:val="00D4308B"/>
    <w:rsid w:val="00D4365A"/>
    <w:rsid w:val="00D43A2E"/>
    <w:rsid w:val="00D43A3E"/>
    <w:rsid w:val="00D43FFE"/>
    <w:rsid w:val="00D441A0"/>
    <w:rsid w:val="00D44370"/>
    <w:rsid w:val="00D443E8"/>
    <w:rsid w:val="00D445AE"/>
    <w:rsid w:val="00D4498D"/>
    <w:rsid w:val="00D44CDD"/>
    <w:rsid w:val="00D44D25"/>
    <w:rsid w:val="00D44FE0"/>
    <w:rsid w:val="00D4529E"/>
    <w:rsid w:val="00D45B50"/>
    <w:rsid w:val="00D45D85"/>
    <w:rsid w:val="00D45E76"/>
    <w:rsid w:val="00D45F6B"/>
    <w:rsid w:val="00D46390"/>
    <w:rsid w:val="00D4652C"/>
    <w:rsid w:val="00D46A5F"/>
    <w:rsid w:val="00D46BB3"/>
    <w:rsid w:val="00D46CCD"/>
    <w:rsid w:val="00D46D66"/>
    <w:rsid w:val="00D470E5"/>
    <w:rsid w:val="00D471D8"/>
    <w:rsid w:val="00D4763B"/>
    <w:rsid w:val="00D47C74"/>
    <w:rsid w:val="00D50079"/>
    <w:rsid w:val="00D5026A"/>
    <w:rsid w:val="00D503BF"/>
    <w:rsid w:val="00D5055D"/>
    <w:rsid w:val="00D505FD"/>
    <w:rsid w:val="00D506A2"/>
    <w:rsid w:val="00D50DB4"/>
    <w:rsid w:val="00D51009"/>
    <w:rsid w:val="00D51158"/>
    <w:rsid w:val="00D513E9"/>
    <w:rsid w:val="00D51655"/>
    <w:rsid w:val="00D518E8"/>
    <w:rsid w:val="00D519FA"/>
    <w:rsid w:val="00D51AC8"/>
    <w:rsid w:val="00D51BD1"/>
    <w:rsid w:val="00D51C1F"/>
    <w:rsid w:val="00D51D20"/>
    <w:rsid w:val="00D51F95"/>
    <w:rsid w:val="00D52019"/>
    <w:rsid w:val="00D5201F"/>
    <w:rsid w:val="00D522E2"/>
    <w:rsid w:val="00D523E8"/>
    <w:rsid w:val="00D52484"/>
    <w:rsid w:val="00D525E0"/>
    <w:rsid w:val="00D52737"/>
    <w:rsid w:val="00D5275B"/>
    <w:rsid w:val="00D52A59"/>
    <w:rsid w:val="00D52F3B"/>
    <w:rsid w:val="00D53074"/>
    <w:rsid w:val="00D530C0"/>
    <w:rsid w:val="00D532A3"/>
    <w:rsid w:val="00D534EE"/>
    <w:rsid w:val="00D539F2"/>
    <w:rsid w:val="00D53E56"/>
    <w:rsid w:val="00D54560"/>
    <w:rsid w:val="00D54793"/>
    <w:rsid w:val="00D54AD6"/>
    <w:rsid w:val="00D54B10"/>
    <w:rsid w:val="00D54BC0"/>
    <w:rsid w:val="00D54BC8"/>
    <w:rsid w:val="00D54E09"/>
    <w:rsid w:val="00D54EDE"/>
    <w:rsid w:val="00D54F1B"/>
    <w:rsid w:val="00D5513A"/>
    <w:rsid w:val="00D55313"/>
    <w:rsid w:val="00D554B8"/>
    <w:rsid w:val="00D5560D"/>
    <w:rsid w:val="00D55A2C"/>
    <w:rsid w:val="00D55BF3"/>
    <w:rsid w:val="00D55E0A"/>
    <w:rsid w:val="00D5601E"/>
    <w:rsid w:val="00D56181"/>
    <w:rsid w:val="00D561BA"/>
    <w:rsid w:val="00D56789"/>
    <w:rsid w:val="00D56793"/>
    <w:rsid w:val="00D56815"/>
    <w:rsid w:val="00D568EE"/>
    <w:rsid w:val="00D56B72"/>
    <w:rsid w:val="00D56BB4"/>
    <w:rsid w:val="00D56C22"/>
    <w:rsid w:val="00D56DDC"/>
    <w:rsid w:val="00D56F4B"/>
    <w:rsid w:val="00D572A9"/>
    <w:rsid w:val="00D57312"/>
    <w:rsid w:val="00D5739B"/>
    <w:rsid w:val="00D575BB"/>
    <w:rsid w:val="00D57840"/>
    <w:rsid w:val="00D57B2F"/>
    <w:rsid w:val="00D57C17"/>
    <w:rsid w:val="00D57C79"/>
    <w:rsid w:val="00D60339"/>
    <w:rsid w:val="00D60A9C"/>
    <w:rsid w:val="00D60B5F"/>
    <w:rsid w:val="00D60C2C"/>
    <w:rsid w:val="00D60D5D"/>
    <w:rsid w:val="00D61599"/>
    <w:rsid w:val="00D61637"/>
    <w:rsid w:val="00D61876"/>
    <w:rsid w:val="00D61917"/>
    <w:rsid w:val="00D6198D"/>
    <w:rsid w:val="00D61AFC"/>
    <w:rsid w:val="00D61BB0"/>
    <w:rsid w:val="00D61CEA"/>
    <w:rsid w:val="00D61E59"/>
    <w:rsid w:val="00D6221A"/>
    <w:rsid w:val="00D622EC"/>
    <w:rsid w:val="00D6232A"/>
    <w:rsid w:val="00D62524"/>
    <w:rsid w:val="00D62728"/>
    <w:rsid w:val="00D62774"/>
    <w:rsid w:val="00D62779"/>
    <w:rsid w:val="00D629C8"/>
    <w:rsid w:val="00D62E17"/>
    <w:rsid w:val="00D62E87"/>
    <w:rsid w:val="00D62FFE"/>
    <w:rsid w:val="00D63019"/>
    <w:rsid w:val="00D63441"/>
    <w:rsid w:val="00D635CE"/>
    <w:rsid w:val="00D638F3"/>
    <w:rsid w:val="00D63A98"/>
    <w:rsid w:val="00D63E53"/>
    <w:rsid w:val="00D63E84"/>
    <w:rsid w:val="00D640C5"/>
    <w:rsid w:val="00D64848"/>
    <w:rsid w:val="00D64E77"/>
    <w:rsid w:val="00D6546D"/>
    <w:rsid w:val="00D65577"/>
    <w:rsid w:val="00D655B2"/>
    <w:rsid w:val="00D6564F"/>
    <w:rsid w:val="00D65664"/>
    <w:rsid w:val="00D65AD9"/>
    <w:rsid w:val="00D65BB9"/>
    <w:rsid w:val="00D65C4B"/>
    <w:rsid w:val="00D65D5C"/>
    <w:rsid w:val="00D65DD3"/>
    <w:rsid w:val="00D65FC0"/>
    <w:rsid w:val="00D66123"/>
    <w:rsid w:val="00D6649D"/>
    <w:rsid w:val="00D66506"/>
    <w:rsid w:val="00D6695F"/>
    <w:rsid w:val="00D66AF7"/>
    <w:rsid w:val="00D66B5F"/>
    <w:rsid w:val="00D66D4C"/>
    <w:rsid w:val="00D670E6"/>
    <w:rsid w:val="00D67199"/>
    <w:rsid w:val="00D675A5"/>
    <w:rsid w:val="00D67651"/>
    <w:rsid w:val="00D67774"/>
    <w:rsid w:val="00D67C76"/>
    <w:rsid w:val="00D7037A"/>
    <w:rsid w:val="00D7043C"/>
    <w:rsid w:val="00D70484"/>
    <w:rsid w:val="00D70570"/>
    <w:rsid w:val="00D70835"/>
    <w:rsid w:val="00D70A89"/>
    <w:rsid w:val="00D70C8B"/>
    <w:rsid w:val="00D70D2E"/>
    <w:rsid w:val="00D70FE3"/>
    <w:rsid w:val="00D710D3"/>
    <w:rsid w:val="00D711AD"/>
    <w:rsid w:val="00D71339"/>
    <w:rsid w:val="00D7133D"/>
    <w:rsid w:val="00D713F7"/>
    <w:rsid w:val="00D7157B"/>
    <w:rsid w:val="00D7171B"/>
    <w:rsid w:val="00D719DB"/>
    <w:rsid w:val="00D71AB8"/>
    <w:rsid w:val="00D71C23"/>
    <w:rsid w:val="00D71C9F"/>
    <w:rsid w:val="00D71F9B"/>
    <w:rsid w:val="00D72220"/>
    <w:rsid w:val="00D722D4"/>
    <w:rsid w:val="00D725F9"/>
    <w:rsid w:val="00D72608"/>
    <w:rsid w:val="00D72911"/>
    <w:rsid w:val="00D732AA"/>
    <w:rsid w:val="00D7356D"/>
    <w:rsid w:val="00D737C2"/>
    <w:rsid w:val="00D738EC"/>
    <w:rsid w:val="00D73963"/>
    <w:rsid w:val="00D73C98"/>
    <w:rsid w:val="00D73D56"/>
    <w:rsid w:val="00D73F54"/>
    <w:rsid w:val="00D73F9F"/>
    <w:rsid w:val="00D73FF7"/>
    <w:rsid w:val="00D742B2"/>
    <w:rsid w:val="00D74520"/>
    <w:rsid w:val="00D749FA"/>
    <w:rsid w:val="00D74B9F"/>
    <w:rsid w:val="00D74E2D"/>
    <w:rsid w:val="00D74E76"/>
    <w:rsid w:val="00D750B7"/>
    <w:rsid w:val="00D7561E"/>
    <w:rsid w:val="00D75892"/>
    <w:rsid w:val="00D75934"/>
    <w:rsid w:val="00D75B54"/>
    <w:rsid w:val="00D75DB2"/>
    <w:rsid w:val="00D76031"/>
    <w:rsid w:val="00D76FAA"/>
    <w:rsid w:val="00D7714B"/>
    <w:rsid w:val="00D77159"/>
    <w:rsid w:val="00D777D6"/>
    <w:rsid w:val="00D777E5"/>
    <w:rsid w:val="00D77C2B"/>
    <w:rsid w:val="00D77C9F"/>
    <w:rsid w:val="00D77CC7"/>
    <w:rsid w:val="00D800AA"/>
    <w:rsid w:val="00D80C5F"/>
    <w:rsid w:val="00D80EC0"/>
    <w:rsid w:val="00D80EEA"/>
    <w:rsid w:val="00D81006"/>
    <w:rsid w:val="00D81711"/>
    <w:rsid w:val="00D81720"/>
    <w:rsid w:val="00D817D0"/>
    <w:rsid w:val="00D81DA2"/>
    <w:rsid w:val="00D822E5"/>
    <w:rsid w:val="00D823FB"/>
    <w:rsid w:val="00D826B9"/>
    <w:rsid w:val="00D8283B"/>
    <w:rsid w:val="00D828C3"/>
    <w:rsid w:val="00D82917"/>
    <w:rsid w:val="00D82985"/>
    <w:rsid w:val="00D829D3"/>
    <w:rsid w:val="00D829F5"/>
    <w:rsid w:val="00D82C47"/>
    <w:rsid w:val="00D82DE8"/>
    <w:rsid w:val="00D82ED7"/>
    <w:rsid w:val="00D83007"/>
    <w:rsid w:val="00D83446"/>
    <w:rsid w:val="00D836B7"/>
    <w:rsid w:val="00D83BA1"/>
    <w:rsid w:val="00D83D4F"/>
    <w:rsid w:val="00D83D81"/>
    <w:rsid w:val="00D8404A"/>
    <w:rsid w:val="00D8407E"/>
    <w:rsid w:val="00D841A8"/>
    <w:rsid w:val="00D84324"/>
    <w:rsid w:val="00D84506"/>
    <w:rsid w:val="00D8468D"/>
    <w:rsid w:val="00D847BC"/>
    <w:rsid w:val="00D84A7D"/>
    <w:rsid w:val="00D84C2A"/>
    <w:rsid w:val="00D84CE6"/>
    <w:rsid w:val="00D85748"/>
    <w:rsid w:val="00D85768"/>
    <w:rsid w:val="00D85B1B"/>
    <w:rsid w:val="00D85DCE"/>
    <w:rsid w:val="00D86320"/>
    <w:rsid w:val="00D8692E"/>
    <w:rsid w:val="00D86EB4"/>
    <w:rsid w:val="00D87077"/>
    <w:rsid w:val="00D870C2"/>
    <w:rsid w:val="00D870D6"/>
    <w:rsid w:val="00D871E3"/>
    <w:rsid w:val="00D8729A"/>
    <w:rsid w:val="00D872F4"/>
    <w:rsid w:val="00D8777A"/>
    <w:rsid w:val="00D87C1A"/>
    <w:rsid w:val="00D90071"/>
    <w:rsid w:val="00D9026C"/>
    <w:rsid w:val="00D903D9"/>
    <w:rsid w:val="00D9058B"/>
    <w:rsid w:val="00D90720"/>
    <w:rsid w:val="00D9073E"/>
    <w:rsid w:val="00D90A72"/>
    <w:rsid w:val="00D90DDB"/>
    <w:rsid w:val="00D90DE7"/>
    <w:rsid w:val="00D910E0"/>
    <w:rsid w:val="00D91422"/>
    <w:rsid w:val="00D9143D"/>
    <w:rsid w:val="00D919BA"/>
    <w:rsid w:val="00D91A1D"/>
    <w:rsid w:val="00D91E9F"/>
    <w:rsid w:val="00D91F65"/>
    <w:rsid w:val="00D923CE"/>
    <w:rsid w:val="00D92ADD"/>
    <w:rsid w:val="00D92B6B"/>
    <w:rsid w:val="00D92BDE"/>
    <w:rsid w:val="00D92C6B"/>
    <w:rsid w:val="00D92C73"/>
    <w:rsid w:val="00D92CAE"/>
    <w:rsid w:val="00D92EE1"/>
    <w:rsid w:val="00D92F2E"/>
    <w:rsid w:val="00D9347C"/>
    <w:rsid w:val="00D935E9"/>
    <w:rsid w:val="00D93982"/>
    <w:rsid w:val="00D93D1C"/>
    <w:rsid w:val="00D9422E"/>
    <w:rsid w:val="00D94297"/>
    <w:rsid w:val="00D943EF"/>
    <w:rsid w:val="00D945CA"/>
    <w:rsid w:val="00D94B27"/>
    <w:rsid w:val="00D94DAF"/>
    <w:rsid w:val="00D94DD7"/>
    <w:rsid w:val="00D94F74"/>
    <w:rsid w:val="00D951A6"/>
    <w:rsid w:val="00D956AD"/>
    <w:rsid w:val="00D95BEB"/>
    <w:rsid w:val="00D95E1A"/>
    <w:rsid w:val="00D95E51"/>
    <w:rsid w:val="00D960E0"/>
    <w:rsid w:val="00D96112"/>
    <w:rsid w:val="00D9623F"/>
    <w:rsid w:val="00D963EF"/>
    <w:rsid w:val="00D964EA"/>
    <w:rsid w:val="00D96508"/>
    <w:rsid w:val="00D9679F"/>
    <w:rsid w:val="00D96FE6"/>
    <w:rsid w:val="00D973B7"/>
    <w:rsid w:val="00D97C7B"/>
    <w:rsid w:val="00D97E8E"/>
    <w:rsid w:val="00DA0708"/>
    <w:rsid w:val="00DA070C"/>
    <w:rsid w:val="00DA0882"/>
    <w:rsid w:val="00DA09F2"/>
    <w:rsid w:val="00DA0E91"/>
    <w:rsid w:val="00DA1220"/>
    <w:rsid w:val="00DA1242"/>
    <w:rsid w:val="00DA124A"/>
    <w:rsid w:val="00DA152E"/>
    <w:rsid w:val="00DA1711"/>
    <w:rsid w:val="00DA1925"/>
    <w:rsid w:val="00DA19FF"/>
    <w:rsid w:val="00DA1B02"/>
    <w:rsid w:val="00DA1D78"/>
    <w:rsid w:val="00DA1FD4"/>
    <w:rsid w:val="00DA2532"/>
    <w:rsid w:val="00DA26C8"/>
    <w:rsid w:val="00DA2E2F"/>
    <w:rsid w:val="00DA2EEA"/>
    <w:rsid w:val="00DA3203"/>
    <w:rsid w:val="00DA357B"/>
    <w:rsid w:val="00DA35A6"/>
    <w:rsid w:val="00DA35A9"/>
    <w:rsid w:val="00DA364A"/>
    <w:rsid w:val="00DA39E2"/>
    <w:rsid w:val="00DA4399"/>
    <w:rsid w:val="00DA4638"/>
    <w:rsid w:val="00DA46F1"/>
    <w:rsid w:val="00DA4A30"/>
    <w:rsid w:val="00DA4DB5"/>
    <w:rsid w:val="00DA4F90"/>
    <w:rsid w:val="00DA5844"/>
    <w:rsid w:val="00DA59FF"/>
    <w:rsid w:val="00DA5A5E"/>
    <w:rsid w:val="00DA5EA1"/>
    <w:rsid w:val="00DA5EE7"/>
    <w:rsid w:val="00DA5F0C"/>
    <w:rsid w:val="00DA648F"/>
    <w:rsid w:val="00DA6C82"/>
    <w:rsid w:val="00DA6D7A"/>
    <w:rsid w:val="00DA6F19"/>
    <w:rsid w:val="00DA7330"/>
    <w:rsid w:val="00DA7401"/>
    <w:rsid w:val="00DA75E8"/>
    <w:rsid w:val="00DA7649"/>
    <w:rsid w:val="00DA768D"/>
    <w:rsid w:val="00DA786C"/>
    <w:rsid w:val="00DA7C95"/>
    <w:rsid w:val="00DB03D2"/>
    <w:rsid w:val="00DB0757"/>
    <w:rsid w:val="00DB0922"/>
    <w:rsid w:val="00DB0955"/>
    <w:rsid w:val="00DB0A56"/>
    <w:rsid w:val="00DB0BA0"/>
    <w:rsid w:val="00DB0E85"/>
    <w:rsid w:val="00DB0EEF"/>
    <w:rsid w:val="00DB10C9"/>
    <w:rsid w:val="00DB1244"/>
    <w:rsid w:val="00DB12CB"/>
    <w:rsid w:val="00DB15F2"/>
    <w:rsid w:val="00DB15FA"/>
    <w:rsid w:val="00DB177E"/>
    <w:rsid w:val="00DB188E"/>
    <w:rsid w:val="00DB1A91"/>
    <w:rsid w:val="00DB1B16"/>
    <w:rsid w:val="00DB1E33"/>
    <w:rsid w:val="00DB250B"/>
    <w:rsid w:val="00DB266F"/>
    <w:rsid w:val="00DB2842"/>
    <w:rsid w:val="00DB2C06"/>
    <w:rsid w:val="00DB2F76"/>
    <w:rsid w:val="00DB32FE"/>
    <w:rsid w:val="00DB330C"/>
    <w:rsid w:val="00DB361E"/>
    <w:rsid w:val="00DB381D"/>
    <w:rsid w:val="00DB38B0"/>
    <w:rsid w:val="00DB39EE"/>
    <w:rsid w:val="00DB3C72"/>
    <w:rsid w:val="00DB3D77"/>
    <w:rsid w:val="00DB3DE9"/>
    <w:rsid w:val="00DB415D"/>
    <w:rsid w:val="00DB41D1"/>
    <w:rsid w:val="00DB46EA"/>
    <w:rsid w:val="00DB47E1"/>
    <w:rsid w:val="00DB487B"/>
    <w:rsid w:val="00DB4981"/>
    <w:rsid w:val="00DB4A5A"/>
    <w:rsid w:val="00DB4D76"/>
    <w:rsid w:val="00DB50B0"/>
    <w:rsid w:val="00DB534C"/>
    <w:rsid w:val="00DB5560"/>
    <w:rsid w:val="00DB55B9"/>
    <w:rsid w:val="00DB5645"/>
    <w:rsid w:val="00DB58D2"/>
    <w:rsid w:val="00DB599F"/>
    <w:rsid w:val="00DB6275"/>
    <w:rsid w:val="00DB638D"/>
    <w:rsid w:val="00DB6541"/>
    <w:rsid w:val="00DB6710"/>
    <w:rsid w:val="00DB6929"/>
    <w:rsid w:val="00DB6A69"/>
    <w:rsid w:val="00DB6F54"/>
    <w:rsid w:val="00DB6FB6"/>
    <w:rsid w:val="00DB7744"/>
    <w:rsid w:val="00DB7B87"/>
    <w:rsid w:val="00DC0034"/>
    <w:rsid w:val="00DC0037"/>
    <w:rsid w:val="00DC07AD"/>
    <w:rsid w:val="00DC07E6"/>
    <w:rsid w:val="00DC0B31"/>
    <w:rsid w:val="00DC0ECE"/>
    <w:rsid w:val="00DC0F7D"/>
    <w:rsid w:val="00DC1235"/>
    <w:rsid w:val="00DC1465"/>
    <w:rsid w:val="00DC1747"/>
    <w:rsid w:val="00DC17EC"/>
    <w:rsid w:val="00DC1A6D"/>
    <w:rsid w:val="00DC1B6F"/>
    <w:rsid w:val="00DC1CCC"/>
    <w:rsid w:val="00DC223F"/>
    <w:rsid w:val="00DC22A0"/>
    <w:rsid w:val="00DC26BC"/>
    <w:rsid w:val="00DC2DEC"/>
    <w:rsid w:val="00DC3776"/>
    <w:rsid w:val="00DC37DD"/>
    <w:rsid w:val="00DC3868"/>
    <w:rsid w:val="00DC3A1E"/>
    <w:rsid w:val="00DC3C37"/>
    <w:rsid w:val="00DC407D"/>
    <w:rsid w:val="00DC4124"/>
    <w:rsid w:val="00DC4246"/>
    <w:rsid w:val="00DC4447"/>
    <w:rsid w:val="00DC46E1"/>
    <w:rsid w:val="00DC493C"/>
    <w:rsid w:val="00DC49BB"/>
    <w:rsid w:val="00DC4BB1"/>
    <w:rsid w:val="00DC4E08"/>
    <w:rsid w:val="00DC4F35"/>
    <w:rsid w:val="00DC5096"/>
    <w:rsid w:val="00DC5482"/>
    <w:rsid w:val="00DC562C"/>
    <w:rsid w:val="00DC5B11"/>
    <w:rsid w:val="00DC5C75"/>
    <w:rsid w:val="00DC5CF2"/>
    <w:rsid w:val="00DC6245"/>
    <w:rsid w:val="00DC63E7"/>
    <w:rsid w:val="00DC669D"/>
    <w:rsid w:val="00DC6776"/>
    <w:rsid w:val="00DC67AA"/>
    <w:rsid w:val="00DC6D67"/>
    <w:rsid w:val="00DC6FE9"/>
    <w:rsid w:val="00DC7063"/>
    <w:rsid w:val="00DC706C"/>
    <w:rsid w:val="00DC7217"/>
    <w:rsid w:val="00DC7407"/>
    <w:rsid w:val="00DC7645"/>
    <w:rsid w:val="00DC7828"/>
    <w:rsid w:val="00DC7964"/>
    <w:rsid w:val="00DC7C23"/>
    <w:rsid w:val="00DD002C"/>
    <w:rsid w:val="00DD0313"/>
    <w:rsid w:val="00DD04B7"/>
    <w:rsid w:val="00DD075C"/>
    <w:rsid w:val="00DD0A54"/>
    <w:rsid w:val="00DD0DE0"/>
    <w:rsid w:val="00DD109A"/>
    <w:rsid w:val="00DD10CE"/>
    <w:rsid w:val="00DD119A"/>
    <w:rsid w:val="00DD1389"/>
    <w:rsid w:val="00DD1514"/>
    <w:rsid w:val="00DD170B"/>
    <w:rsid w:val="00DD1759"/>
    <w:rsid w:val="00DD1954"/>
    <w:rsid w:val="00DD1CC9"/>
    <w:rsid w:val="00DD1D24"/>
    <w:rsid w:val="00DD1F07"/>
    <w:rsid w:val="00DD2319"/>
    <w:rsid w:val="00DD28A2"/>
    <w:rsid w:val="00DD2CF1"/>
    <w:rsid w:val="00DD2DAF"/>
    <w:rsid w:val="00DD2F2A"/>
    <w:rsid w:val="00DD2FAC"/>
    <w:rsid w:val="00DD30F0"/>
    <w:rsid w:val="00DD30FC"/>
    <w:rsid w:val="00DD3169"/>
    <w:rsid w:val="00DD3297"/>
    <w:rsid w:val="00DD32F2"/>
    <w:rsid w:val="00DD330E"/>
    <w:rsid w:val="00DD3396"/>
    <w:rsid w:val="00DD3985"/>
    <w:rsid w:val="00DD3A45"/>
    <w:rsid w:val="00DD3CDE"/>
    <w:rsid w:val="00DD3F7C"/>
    <w:rsid w:val="00DD4046"/>
    <w:rsid w:val="00DD45B3"/>
    <w:rsid w:val="00DD472C"/>
    <w:rsid w:val="00DD48F0"/>
    <w:rsid w:val="00DD49BC"/>
    <w:rsid w:val="00DD4C23"/>
    <w:rsid w:val="00DD4F2D"/>
    <w:rsid w:val="00DD50E8"/>
    <w:rsid w:val="00DD522E"/>
    <w:rsid w:val="00DD5793"/>
    <w:rsid w:val="00DD5ABA"/>
    <w:rsid w:val="00DD5BE6"/>
    <w:rsid w:val="00DD5EC7"/>
    <w:rsid w:val="00DD654D"/>
    <w:rsid w:val="00DD656B"/>
    <w:rsid w:val="00DD662D"/>
    <w:rsid w:val="00DD70D0"/>
    <w:rsid w:val="00DD7116"/>
    <w:rsid w:val="00DD7157"/>
    <w:rsid w:val="00DD7262"/>
    <w:rsid w:val="00DD777C"/>
    <w:rsid w:val="00DD791A"/>
    <w:rsid w:val="00DD7CE9"/>
    <w:rsid w:val="00DD7DC1"/>
    <w:rsid w:val="00DD7E2E"/>
    <w:rsid w:val="00DD7F08"/>
    <w:rsid w:val="00DE011A"/>
    <w:rsid w:val="00DE05D0"/>
    <w:rsid w:val="00DE0666"/>
    <w:rsid w:val="00DE08B0"/>
    <w:rsid w:val="00DE0A16"/>
    <w:rsid w:val="00DE0CEA"/>
    <w:rsid w:val="00DE0D98"/>
    <w:rsid w:val="00DE0E77"/>
    <w:rsid w:val="00DE0EEE"/>
    <w:rsid w:val="00DE0F11"/>
    <w:rsid w:val="00DE0F21"/>
    <w:rsid w:val="00DE0FC4"/>
    <w:rsid w:val="00DE1266"/>
    <w:rsid w:val="00DE16D2"/>
    <w:rsid w:val="00DE18EA"/>
    <w:rsid w:val="00DE1B23"/>
    <w:rsid w:val="00DE1C5D"/>
    <w:rsid w:val="00DE1DB1"/>
    <w:rsid w:val="00DE2318"/>
    <w:rsid w:val="00DE270E"/>
    <w:rsid w:val="00DE2711"/>
    <w:rsid w:val="00DE2750"/>
    <w:rsid w:val="00DE28EA"/>
    <w:rsid w:val="00DE2EE5"/>
    <w:rsid w:val="00DE3055"/>
    <w:rsid w:val="00DE31CE"/>
    <w:rsid w:val="00DE3272"/>
    <w:rsid w:val="00DE3565"/>
    <w:rsid w:val="00DE36DA"/>
    <w:rsid w:val="00DE3747"/>
    <w:rsid w:val="00DE3FD1"/>
    <w:rsid w:val="00DE4007"/>
    <w:rsid w:val="00DE4C62"/>
    <w:rsid w:val="00DE4D23"/>
    <w:rsid w:val="00DE5815"/>
    <w:rsid w:val="00DE5886"/>
    <w:rsid w:val="00DE5AF6"/>
    <w:rsid w:val="00DE5E20"/>
    <w:rsid w:val="00DE5F3D"/>
    <w:rsid w:val="00DE60B5"/>
    <w:rsid w:val="00DE6735"/>
    <w:rsid w:val="00DE6BC3"/>
    <w:rsid w:val="00DE6FD6"/>
    <w:rsid w:val="00DE704E"/>
    <w:rsid w:val="00DE7422"/>
    <w:rsid w:val="00DE7887"/>
    <w:rsid w:val="00DE7A92"/>
    <w:rsid w:val="00DE7AC0"/>
    <w:rsid w:val="00DE7B31"/>
    <w:rsid w:val="00DE7DE4"/>
    <w:rsid w:val="00DF0080"/>
    <w:rsid w:val="00DF01BA"/>
    <w:rsid w:val="00DF0298"/>
    <w:rsid w:val="00DF052D"/>
    <w:rsid w:val="00DF0874"/>
    <w:rsid w:val="00DF1278"/>
    <w:rsid w:val="00DF1324"/>
    <w:rsid w:val="00DF188B"/>
    <w:rsid w:val="00DF1A38"/>
    <w:rsid w:val="00DF1CAD"/>
    <w:rsid w:val="00DF1FDE"/>
    <w:rsid w:val="00DF1FDF"/>
    <w:rsid w:val="00DF2053"/>
    <w:rsid w:val="00DF215E"/>
    <w:rsid w:val="00DF21E3"/>
    <w:rsid w:val="00DF259E"/>
    <w:rsid w:val="00DF273D"/>
    <w:rsid w:val="00DF27FD"/>
    <w:rsid w:val="00DF28F6"/>
    <w:rsid w:val="00DF29DE"/>
    <w:rsid w:val="00DF29E5"/>
    <w:rsid w:val="00DF2B3E"/>
    <w:rsid w:val="00DF2BC3"/>
    <w:rsid w:val="00DF2DA7"/>
    <w:rsid w:val="00DF30AF"/>
    <w:rsid w:val="00DF333E"/>
    <w:rsid w:val="00DF3400"/>
    <w:rsid w:val="00DF3922"/>
    <w:rsid w:val="00DF3C1A"/>
    <w:rsid w:val="00DF3FB0"/>
    <w:rsid w:val="00DF4178"/>
    <w:rsid w:val="00DF431A"/>
    <w:rsid w:val="00DF43F4"/>
    <w:rsid w:val="00DF44B9"/>
    <w:rsid w:val="00DF4ECF"/>
    <w:rsid w:val="00DF5197"/>
    <w:rsid w:val="00DF5309"/>
    <w:rsid w:val="00DF5977"/>
    <w:rsid w:val="00DF5C1A"/>
    <w:rsid w:val="00DF5D80"/>
    <w:rsid w:val="00DF618F"/>
    <w:rsid w:val="00DF684B"/>
    <w:rsid w:val="00DF68A6"/>
    <w:rsid w:val="00DF705A"/>
    <w:rsid w:val="00DF715C"/>
    <w:rsid w:val="00DF717F"/>
    <w:rsid w:val="00DF7190"/>
    <w:rsid w:val="00DF7225"/>
    <w:rsid w:val="00DF755F"/>
    <w:rsid w:val="00DF782D"/>
    <w:rsid w:val="00DF7875"/>
    <w:rsid w:val="00DF795F"/>
    <w:rsid w:val="00DF7D25"/>
    <w:rsid w:val="00DF7D72"/>
    <w:rsid w:val="00E00742"/>
    <w:rsid w:val="00E0075B"/>
    <w:rsid w:val="00E00875"/>
    <w:rsid w:val="00E00D0F"/>
    <w:rsid w:val="00E00D14"/>
    <w:rsid w:val="00E00EE7"/>
    <w:rsid w:val="00E00FC6"/>
    <w:rsid w:val="00E012DB"/>
    <w:rsid w:val="00E012F2"/>
    <w:rsid w:val="00E013E6"/>
    <w:rsid w:val="00E013F2"/>
    <w:rsid w:val="00E01570"/>
    <w:rsid w:val="00E01A90"/>
    <w:rsid w:val="00E01BA4"/>
    <w:rsid w:val="00E01C8F"/>
    <w:rsid w:val="00E01D42"/>
    <w:rsid w:val="00E020D7"/>
    <w:rsid w:val="00E020E0"/>
    <w:rsid w:val="00E0219F"/>
    <w:rsid w:val="00E02A51"/>
    <w:rsid w:val="00E02D70"/>
    <w:rsid w:val="00E02F2B"/>
    <w:rsid w:val="00E0324D"/>
    <w:rsid w:val="00E036D6"/>
    <w:rsid w:val="00E039FE"/>
    <w:rsid w:val="00E03BC2"/>
    <w:rsid w:val="00E03C38"/>
    <w:rsid w:val="00E03CF1"/>
    <w:rsid w:val="00E03D25"/>
    <w:rsid w:val="00E03FE2"/>
    <w:rsid w:val="00E040A6"/>
    <w:rsid w:val="00E0410A"/>
    <w:rsid w:val="00E041FA"/>
    <w:rsid w:val="00E045B0"/>
    <w:rsid w:val="00E04656"/>
    <w:rsid w:val="00E04D54"/>
    <w:rsid w:val="00E04D91"/>
    <w:rsid w:val="00E0535A"/>
    <w:rsid w:val="00E053D9"/>
    <w:rsid w:val="00E056FC"/>
    <w:rsid w:val="00E05716"/>
    <w:rsid w:val="00E058BC"/>
    <w:rsid w:val="00E058DE"/>
    <w:rsid w:val="00E06024"/>
    <w:rsid w:val="00E0621B"/>
    <w:rsid w:val="00E0646C"/>
    <w:rsid w:val="00E065B6"/>
    <w:rsid w:val="00E06A24"/>
    <w:rsid w:val="00E06B3C"/>
    <w:rsid w:val="00E06D92"/>
    <w:rsid w:val="00E0710B"/>
    <w:rsid w:val="00E072E8"/>
    <w:rsid w:val="00E073DE"/>
    <w:rsid w:val="00E07A39"/>
    <w:rsid w:val="00E07B56"/>
    <w:rsid w:val="00E07C9D"/>
    <w:rsid w:val="00E07D03"/>
    <w:rsid w:val="00E07D22"/>
    <w:rsid w:val="00E07D35"/>
    <w:rsid w:val="00E07F14"/>
    <w:rsid w:val="00E1037C"/>
    <w:rsid w:val="00E10395"/>
    <w:rsid w:val="00E104F4"/>
    <w:rsid w:val="00E107B8"/>
    <w:rsid w:val="00E1095E"/>
    <w:rsid w:val="00E10C7D"/>
    <w:rsid w:val="00E10E15"/>
    <w:rsid w:val="00E10F27"/>
    <w:rsid w:val="00E11011"/>
    <w:rsid w:val="00E1108B"/>
    <w:rsid w:val="00E1119E"/>
    <w:rsid w:val="00E11280"/>
    <w:rsid w:val="00E11486"/>
    <w:rsid w:val="00E116E0"/>
    <w:rsid w:val="00E11742"/>
    <w:rsid w:val="00E119FD"/>
    <w:rsid w:val="00E11C25"/>
    <w:rsid w:val="00E11D70"/>
    <w:rsid w:val="00E11E32"/>
    <w:rsid w:val="00E11EEF"/>
    <w:rsid w:val="00E11F15"/>
    <w:rsid w:val="00E11F86"/>
    <w:rsid w:val="00E121A4"/>
    <w:rsid w:val="00E121BF"/>
    <w:rsid w:val="00E12458"/>
    <w:rsid w:val="00E12483"/>
    <w:rsid w:val="00E127B2"/>
    <w:rsid w:val="00E127E2"/>
    <w:rsid w:val="00E129D4"/>
    <w:rsid w:val="00E12F78"/>
    <w:rsid w:val="00E13043"/>
    <w:rsid w:val="00E135AF"/>
    <w:rsid w:val="00E13710"/>
    <w:rsid w:val="00E13A93"/>
    <w:rsid w:val="00E13B81"/>
    <w:rsid w:val="00E13F59"/>
    <w:rsid w:val="00E14233"/>
    <w:rsid w:val="00E1469B"/>
    <w:rsid w:val="00E14748"/>
    <w:rsid w:val="00E14A4B"/>
    <w:rsid w:val="00E14DFB"/>
    <w:rsid w:val="00E14E26"/>
    <w:rsid w:val="00E14E35"/>
    <w:rsid w:val="00E1504D"/>
    <w:rsid w:val="00E1518C"/>
    <w:rsid w:val="00E15193"/>
    <w:rsid w:val="00E1551D"/>
    <w:rsid w:val="00E1596D"/>
    <w:rsid w:val="00E16800"/>
    <w:rsid w:val="00E168E0"/>
    <w:rsid w:val="00E169B6"/>
    <w:rsid w:val="00E16ABC"/>
    <w:rsid w:val="00E16D75"/>
    <w:rsid w:val="00E16EF6"/>
    <w:rsid w:val="00E17401"/>
    <w:rsid w:val="00E175BE"/>
    <w:rsid w:val="00E17A21"/>
    <w:rsid w:val="00E17F79"/>
    <w:rsid w:val="00E17FC7"/>
    <w:rsid w:val="00E200BE"/>
    <w:rsid w:val="00E2011F"/>
    <w:rsid w:val="00E2015B"/>
    <w:rsid w:val="00E20235"/>
    <w:rsid w:val="00E20AE4"/>
    <w:rsid w:val="00E20BCE"/>
    <w:rsid w:val="00E20C1D"/>
    <w:rsid w:val="00E20E6A"/>
    <w:rsid w:val="00E20F18"/>
    <w:rsid w:val="00E2123D"/>
    <w:rsid w:val="00E21661"/>
    <w:rsid w:val="00E217EB"/>
    <w:rsid w:val="00E2186F"/>
    <w:rsid w:val="00E21A38"/>
    <w:rsid w:val="00E21BB4"/>
    <w:rsid w:val="00E21D3B"/>
    <w:rsid w:val="00E22247"/>
    <w:rsid w:val="00E2226F"/>
    <w:rsid w:val="00E2227D"/>
    <w:rsid w:val="00E223E8"/>
    <w:rsid w:val="00E22673"/>
    <w:rsid w:val="00E229D6"/>
    <w:rsid w:val="00E22E65"/>
    <w:rsid w:val="00E22EB8"/>
    <w:rsid w:val="00E22F1D"/>
    <w:rsid w:val="00E23195"/>
    <w:rsid w:val="00E23240"/>
    <w:rsid w:val="00E235CB"/>
    <w:rsid w:val="00E23609"/>
    <w:rsid w:val="00E23C03"/>
    <w:rsid w:val="00E2408F"/>
    <w:rsid w:val="00E240D2"/>
    <w:rsid w:val="00E243B7"/>
    <w:rsid w:val="00E24567"/>
    <w:rsid w:val="00E246AC"/>
    <w:rsid w:val="00E248FE"/>
    <w:rsid w:val="00E24D02"/>
    <w:rsid w:val="00E25376"/>
    <w:rsid w:val="00E253A5"/>
    <w:rsid w:val="00E25CA8"/>
    <w:rsid w:val="00E25E77"/>
    <w:rsid w:val="00E25F49"/>
    <w:rsid w:val="00E25FBC"/>
    <w:rsid w:val="00E266D0"/>
    <w:rsid w:val="00E26983"/>
    <w:rsid w:val="00E26A4B"/>
    <w:rsid w:val="00E26C19"/>
    <w:rsid w:val="00E26C95"/>
    <w:rsid w:val="00E26F32"/>
    <w:rsid w:val="00E271CA"/>
    <w:rsid w:val="00E271F4"/>
    <w:rsid w:val="00E273A3"/>
    <w:rsid w:val="00E2759E"/>
    <w:rsid w:val="00E27957"/>
    <w:rsid w:val="00E279ED"/>
    <w:rsid w:val="00E27B39"/>
    <w:rsid w:val="00E3033C"/>
    <w:rsid w:val="00E3036A"/>
    <w:rsid w:val="00E3080E"/>
    <w:rsid w:val="00E30AC4"/>
    <w:rsid w:val="00E30BE3"/>
    <w:rsid w:val="00E30CED"/>
    <w:rsid w:val="00E30D52"/>
    <w:rsid w:val="00E30E6B"/>
    <w:rsid w:val="00E31175"/>
    <w:rsid w:val="00E3125E"/>
    <w:rsid w:val="00E3129A"/>
    <w:rsid w:val="00E313D4"/>
    <w:rsid w:val="00E314EC"/>
    <w:rsid w:val="00E315E9"/>
    <w:rsid w:val="00E3171E"/>
    <w:rsid w:val="00E319DD"/>
    <w:rsid w:val="00E31B72"/>
    <w:rsid w:val="00E31F19"/>
    <w:rsid w:val="00E32025"/>
    <w:rsid w:val="00E3274D"/>
    <w:rsid w:val="00E327E4"/>
    <w:rsid w:val="00E32943"/>
    <w:rsid w:val="00E3326E"/>
    <w:rsid w:val="00E33718"/>
    <w:rsid w:val="00E33833"/>
    <w:rsid w:val="00E339D3"/>
    <w:rsid w:val="00E33D95"/>
    <w:rsid w:val="00E341C5"/>
    <w:rsid w:val="00E3469A"/>
    <w:rsid w:val="00E346AE"/>
    <w:rsid w:val="00E34750"/>
    <w:rsid w:val="00E34814"/>
    <w:rsid w:val="00E34B07"/>
    <w:rsid w:val="00E34D66"/>
    <w:rsid w:val="00E352B7"/>
    <w:rsid w:val="00E35B4B"/>
    <w:rsid w:val="00E36188"/>
    <w:rsid w:val="00E3629B"/>
    <w:rsid w:val="00E36776"/>
    <w:rsid w:val="00E3690C"/>
    <w:rsid w:val="00E36994"/>
    <w:rsid w:val="00E36CCC"/>
    <w:rsid w:val="00E375E2"/>
    <w:rsid w:val="00E377F4"/>
    <w:rsid w:val="00E37DAC"/>
    <w:rsid w:val="00E400D5"/>
    <w:rsid w:val="00E400EB"/>
    <w:rsid w:val="00E40184"/>
    <w:rsid w:val="00E40290"/>
    <w:rsid w:val="00E403D7"/>
    <w:rsid w:val="00E404F6"/>
    <w:rsid w:val="00E40BAD"/>
    <w:rsid w:val="00E40CC3"/>
    <w:rsid w:val="00E40E66"/>
    <w:rsid w:val="00E414B8"/>
    <w:rsid w:val="00E41811"/>
    <w:rsid w:val="00E41D2E"/>
    <w:rsid w:val="00E422C8"/>
    <w:rsid w:val="00E427AA"/>
    <w:rsid w:val="00E429BB"/>
    <w:rsid w:val="00E42B0F"/>
    <w:rsid w:val="00E42EE5"/>
    <w:rsid w:val="00E42F18"/>
    <w:rsid w:val="00E4326B"/>
    <w:rsid w:val="00E43348"/>
    <w:rsid w:val="00E43789"/>
    <w:rsid w:val="00E438FC"/>
    <w:rsid w:val="00E43A2C"/>
    <w:rsid w:val="00E43DF5"/>
    <w:rsid w:val="00E44539"/>
    <w:rsid w:val="00E44541"/>
    <w:rsid w:val="00E447C4"/>
    <w:rsid w:val="00E448FD"/>
    <w:rsid w:val="00E44A0C"/>
    <w:rsid w:val="00E44BF0"/>
    <w:rsid w:val="00E44F76"/>
    <w:rsid w:val="00E4508F"/>
    <w:rsid w:val="00E450F8"/>
    <w:rsid w:val="00E45412"/>
    <w:rsid w:val="00E455EA"/>
    <w:rsid w:val="00E45962"/>
    <w:rsid w:val="00E45AB3"/>
    <w:rsid w:val="00E45B99"/>
    <w:rsid w:val="00E45E4F"/>
    <w:rsid w:val="00E45FFD"/>
    <w:rsid w:val="00E46166"/>
    <w:rsid w:val="00E461B9"/>
    <w:rsid w:val="00E4621A"/>
    <w:rsid w:val="00E46B25"/>
    <w:rsid w:val="00E46B3A"/>
    <w:rsid w:val="00E46B51"/>
    <w:rsid w:val="00E46D8C"/>
    <w:rsid w:val="00E46DA5"/>
    <w:rsid w:val="00E47018"/>
    <w:rsid w:val="00E471D1"/>
    <w:rsid w:val="00E47253"/>
    <w:rsid w:val="00E475DB"/>
    <w:rsid w:val="00E47659"/>
    <w:rsid w:val="00E47688"/>
    <w:rsid w:val="00E4796F"/>
    <w:rsid w:val="00E47AF8"/>
    <w:rsid w:val="00E47D86"/>
    <w:rsid w:val="00E47EDC"/>
    <w:rsid w:val="00E507AC"/>
    <w:rsid w:val="00E5095C"/>
    <w:rsid w:val="00E50BEA"/>
    <w:rsid w:val="00E50DBC"/>
    <w:rsid w:val="00E50EB2"/>
    <w:rsid w:val="00E51222"/>
    <w:rsid w:val="00E5141C"/>
    <w:rsid w:val="00E5152C"/>
    <w:rsid w:val="00E51740"/>
    <w:rsid w:val="00E51A62"/>
    <w:rsid w:val="00E51AE6"/>
    <w:rsid w:val="00E51DAB"/>
    <w:rsid w:val="00E51DF8"/>
    <w:rsid w:val="00E5224E"/>
    <w:rsid w:val="00E523E4"/>
    <w:rsid w:val="00E52884"/>
    <w:rsid w:val="00E528DA"/>
    <w:rsid w:val="00E52956"/>
    <w:rsid w:val="00E52D9D"/>
    <w:rsid w:val="00E52DBA"/>
    <w:rsid w:val="00E52E2A"/>
    <w:rsid w:val="00E530B3"/>
    <w:rsid w:val="00E533DD"/>
    <w:rsid w:val="00E534B7"/>
    <w:rsid w:val="00E5369A"/>
    <w:rsid w:val="00E536AD"/>
    <w:rsid w:val="00E54163"/>
    <w:rsid w:val="00E549BA"/>
    <w:rsid w:val="00E54AA4"/>
    <w:rsid w:val="00E54AE5"/>
    <w:rsid w:val="00E54C14"/>
    <w:rsid w:val="00E54E03"/>
    <w:rsid w:val="00E54F6D"/>
    <w:rsid w:val="00E54F86"/>
    <w:rsid w:val="00E5532B"/>
    <w:rsid w:val="00E55410"/>
    <w:rsid w:val="00E558DA"/>
    <w:rsid w:val="00E558E0"/>
    <w:rsid w:val="00E55974"/>
    <w:rsid w:val="00E55F52"/>
    <w:rsid w:val="00E560D8"/>
    <w:rsid w:val="00E56253"/>
    <w:rsid w:val="00E56714"/>
    <w:rsid w:val="00E56A85"/>
    <w:rsid w:val="00E5707F"/>
    <w:rsid w:val="00E5708F"/>
    <w:rsid w:val="00E570AE"/>
    <w:rsid w:val="00E571DE"/>
    <w:rsid w:val="00E5741A"/>
    <w:rsid w:val="00E577E8"/>
    <w:rsid w:val="00E578A1"/>
    <w:rsid w:val="00E57EFE"/>
    <w:rsid w:val="00E57FC5"/>
    <w:rsid w:val="00E60106"/>
    <w:rsid w:val="00E6019C"/>
    <w:rsid w:val="00E6045F"/>
    <w:rsid w:val="00E6075A"/>
    <w:rsid w:val="00E617D9"/>
    <w:rsid w:val="00E617E3"/>
    <w:rsid w:val="00E6180A"/>
    <w:rsid w:val="00E61AD3"/>
    <w:rsid w:val="00E61D01"/>
    <w:rsid w:val="00E620EB"/>
    <w:rsid w:val="00E62414"/>
    <w:rsid w:val="00E62525"/>
    <w:rsid w:val="00E62A73"/>
    <w:rsid w:val="00E62CCF"/>
    <w:rsid w:val="00E62E55"/>
    <w:rsid w:val="00E630D0"/>
    <w:rsid w:val="00E638FF"/>
    <w:rsid w:val="00E6394D"/>
    <w:rsid w:val="00E63C98"/>
    <w:rsid w:val="00E63CCB"/>
    <w:rsid w:val="00E63DF0"/>
    <w:rsid w:val="00E63E98"/>
    <w:rsid w:val="00E63FC6"/>
    <w:rsid w:val="00E64085"/>
    <w:rsid w:val="00E641BE"/>
    <w:rsid w:val="00E643A5"/>
    <w:rsid w:val="00E643D5"/>
    <w:rsid w:val="00E64FF8"/>
    <w:rsid w:val="00E65533"/>
    <w:rsid w:val="00E6593E"/>
    <w:rsid w:val="00E659CE"/>
    <w:rsid w:val="00E659EC"/>
    <w:rsid w:val="00E65CEA"/>
    <w:rsid w:val="00E65E34"/>
    <w:rsid w:val="00E65F51"/>
    <w:rsid w:val="00E660B7"/>
    <w:rsid w:val="00E660F6"/>
    <w:rsid w:val="00E663FB"/>
    <w:rsid w:val="00E66400"/>
    <w:rsid w:val="00E667CE"/>
    <w:rsid w:val="00E66930"/>
    <w:rsid w:val="00E66E4C"/>
    <w:rsid w:val="00E672A6"/>
    <w:rsid w:val="00E675F2"/>
    <w:rsid w:val="00E679FD"/>
    <w:rsid w:val="00E67B44"/>
    <w:rsid w:val="00E67C83"/>
    <w:rsid w:val="00E67DBB"/>
    <w:rsid w:val="00E7021C"/>
    <w:rsid w:val="00E7028E"/>
    <w:rsid w:val="00E706AF"/>
    <w:rsid w:val="00E706FF"/>
    <w:rsid w:val="00E70717"/>
    <w:rsid w:val="00E708EE"/>
    <w:rsid w:val="00E70A07"/>
    <w:rsid w:val="00E70AF6"/>
    <w:rsid w:val="00E70D9B"/>
    <w:rsid w:val="00E710F8"/>
    <w:rsid w:val="00E7110A"/>
    <w:rsid w:val="00E711D3"/>
    <w:rsid w:val="00E712D2"/>
    <w:rsid w:val="00E716F6"/>
    <w:rsid w:val="00E717A5"/>
    <w:rsid w:val="00E71A05"/>
    <w:rsid w:val="00E71BB2"/>
    <w:rsid w:val="00E71E3F"/>
    <w:rsid w:val="00E71FFA"/>
    <w:rsid w:val="00E72021"/>
    <w:rsid w:val="00E7205C"/>
    <w:rsid w:val="00E7218F"/>
    <w:rsid w:val="00E7229E"/>
    <w:rsid w:val="00E723E5"/>
    <w:rsid w:val="00E72464"/>
    <w:rsid w:val="00E726C4"/>
    <w:rsid w:val="00E72DAB"/>
    <w:rsid w:val="00E731C0"/>
    <w:rsid w:val="00E734FF"/>
    <w:rsid w:val="00E73508"/>
    <w:rsid w:val="00E735AA"/>
    <w:rsid w:val="00E73802"/>
    <w:rsid w:val="00E739C5"/>
    <w:rsid w:val="00E73B8A"/>
    <w:rsid w:val="00E73C64"/>
    <w:rsid w:val="00E73E2D"/>
    <w:rsid w:val="00E74034"/>
    <w:rsid w:val="00E7428F"/>
    <w:rsid w:val="00E7446F"/>
    <w:rsid w:val="00E7452F"/>
    <w:rsid w:val="00E74731"/>
    <w:rsid w:val="00E75113"/>
    <w:rsid w:val="00E7559E"/>
    <w:rsid w:val="00E759CC"/>
    <w:rsid w:val="00E75A4B"/>
    <w:rsid w:val="00E7627C"/>
    <w:rsid w:val="00E762C2"/>
    <w:rsid w:val="00E762E2"/>
    <w:rsid w:val="00E763FB"/>
    <w:rsid w:val="00E76A55"/>
    <w:rsid w:val="00E77630"/>
    <w:rsid w:val="00E776A2"/>
    <w:rsid w:val="00E77B14"/>
    <w:rsid w:val="00E77B73"/>
    <w:rsid w:val="00E8015A"/>
    <w:rsid w:val="00E8034B"/>
    <w:rsid w:val="00E80526"/>
    <w:rsid w:val="00E80AC3"/>
    <w:rsid w:val="00E80BD2"/>
    <w:rsid w:val="00E80D71"/>
    <w:rsid w:val="00E81209"/>
    <w:rsid w:val="00E81397"/>
    <w:rsid w:val="00E815C1"/>
    <w:rsid w:val="00E81687"/>
    <w:rsid w:val="00E816DF"/>
    <w:rsid w:val="00E81BC7"/>
    <w:rsid w:val="00E81C0F"/>
    <w:rsid w:val="00E81F20"/>
    <w:rsid w:val="00E822D3"/>
    <w:rsid w:val="00E8249C"/>
    <w:rsid w:val="00E825E5"/>
    <w:rsid w:val="00E826A3"/>
    <w:rsid w:val="00E82746"/>
    <w:rsid w:val="00E82A59"/>
    <w:rsid w:val="00E82A85"/>
    <w:rsid w:val="00E82AC2"/>
    <w:rsid w:val="00E82C0C"/>
    <w:rsid w:val="00E82D03"/>
    <w:rsid w:val="00E82DF5"/>
    <w:rsid w:val="00E82E7D"/>
    <w:rsid w:val="00E83080"/>
    <w:rsid w:val="00E83325"/>
    <w:rsid w:val="00E83772"/>
    <w:rsid w:val="00E83D85"/>
    <w:rsid w:val="00E84BCB"/>
    <w:rsid w:val="00E84CAD"/>
    <w:rsid w:val="00E84D19"/>
    <w:rsid w:val="00E84DF7"/>
    <w:rsid w:val="00E84E49"/>
    <w:rsid w:val="00E85555"/>
    <w:rsid w:val="00E85957"/>
    <w:rsid w:val="00E85AC9"/>
    <w:rsid w:val="00E85B6D"/>
    <w:rsid w:val="00E85E32"/>
    <w:rsid w:val="00E85EB3"/>
    <w:rsid w:val="00E863A1"/>
    <w:rsid w:val="00E8658E"/>
    <w:rsid w:val="00E8662D"/>
    <w:rsid w:val="00E86862"/>
    <w:rsid w:val="00E86C36"/>
    <w:rsid w:val="00E870AA"/>
    <w:rsid w:val="00E8731E"/>
    <w:rsid w:val="00E874CC"/>
    <w:rsid w:val="00E876C5"/>
    <w:rsid w:val="00E87727"/>
    <w:rsid w:val="00E87A23"/>
    <w:rsid w:val="00E87A77"/>
    <w:rsid w:val="00E87F02"/>
    <w:rsid w:val="00E87FEC"/>
    <w:rsid w:val="00E902A0"/>
    <w:rsid w:val="00E9030B"/>
    <w:rsid w:val="00E90752"/>
    <w:rsid w:val="00E90A89"/>
    <w:rsid w:val="00E90C2C"/>
    <w:rsid w:val="00E90C41"/>
    <w:rsid w:val="00E90CCF"/>
    <w:rsid w:val="00E90E1B"/>
    <w:rsid w:val="00E90E48"/>
    <w:rsid w:val="00E90EFF"/>
    <w:rsid w:val="00E910A8"/>
    <w:rsid w:val="00E91102"/>
    <w:rsid w:val="00E9115C"/>
    <w:rsid w:val="00E91334"/>
    <w:rsid w:val="00E916FD"/>
    <w:rsid w:val="00E9229B"/>
    <w:rsid w:val="00E922F1"/>
    <w:rsid w:val="00E9233A"/>
    <w:rsid w:val="00E925B8"/>
    <w:rsid w:val="00E92734"/>
    <w:rsid w:val="00E92D8B"/>
    <w:rsid w:val="00E92F1A"/>
    <w:rsid w:val="00E92F83"/>
    <w:rsid w:val="00E9307D"/>
    <w:rsid w:val="00E931C6"/>
    <w:rsid w:val="00E932A5"/>
    <w:rsid w:val="00E9332A"/>
    <w:rsid w:val="00E934C1"/>
    <w:rsid w:val="00E937AC"/>
    <w:rsid w:val="00E93ECC"/>
    <w:rsid w:val="00E93FCD"/>
    <w:rsid w:val="00E94284"/>
    <w:rsid w:val="00E943DA"/>
    <w:rsid w:val="00E9465F"/>
    <w:rsid w:val="00E94693"/>
    <w:rsid w:val="00E94950"/>
    <w:rsid w:val="00E94BFE"/>
    <w:rsid w:val="00E94CC2"/>
    <w:rsid w:val="00E94D1A"/>
    <w:rsid w:val="00E94F58"/>
    <w:rsid w:val="00E9509F"/>
    <w:rsid w:val="00E95206"/>
    <w:rsid w:val="00E95229"/>
    <w:rsid w:val="00E9557B"/>
    <w:rsid w:val="00E957C4"/>
    <w:rsid w:val="00E95A1C"/>
    <w:rsid w:val="00E95AD5"/>
    <w:rsid w:val="00E95FDD"/>
    <w:rsid w:val="00E96037"/>
    <w:rsid w:val="00E960DF"/>
    <w:rsid w:val="00E9635D"/>
    <w:rsid w:val="00E96449"/>
    <w:rsid w:val="00E964D2"/>
    <w:rsid w:val="00E96630"/>
    <w:rsid w:val="00E96744"/>
    <w:rsid w:val="00E9688D"/>
    <w:rsid w:val="00E969B6"/>
    <w:rsid w:val="00E96B6D"/>
    <w:rsid w:val="00E96D5A"/>
    <w:rsid w:val="00E96E1C"/>
    <w:rsid w:val="00E96F0E"/>
    <w:rsid w:val="00E96FF9"/>
    <w:rsid w:val="00E97036"/>
    <w:rsid w:val="00E9771E"/>
    <w:rsid w:val="00E9777F"/>
    <w:rsid w:val="00E978AF"/>
    <w:rsid w:val="00E97B95"/>
    <w:rsid w:val="00E97CE8"/>
    <w:rsid w:val="00E97EEA"/>
    <w:rsid w:val="00E97F39"/>
    <w:rsid w:val="00E97F96"/>
    <w:rsid w:val="00EA01F6"/>
    <w:rsid w:val="00EA0232"/>
    <w:rsid w:val="00EA039F"/>
    <w:rsid w:val="00EA03D1"/>
    <w:rsid w:val="00EA06D7"/>
    <w:rsid w:val="00EA0C90"/>
    <w:rsid w:val="00EA0D16"/>
    <w:rsid w:val="00EA0D58"/>
    <w:rsid w:val="00EA0F27"/>
    <w:rsid w:val="00EA1903"/>
    <w:rsid w:val="00EA1989"/>
    <w:rsid w:val="00EA1C07"/>
    <w:rsid w:val="00EA1CE5"/>
    <w:rsid w:val="00EA1F4E"/>
    <w:rsid w:val="00EA2054"/>
    <w:rsid w:val="00EA2666"/>
    <w:rsid w:val="00EA29AA"/>
    <w:rsid w:val="00EA29D1"/>
    <w:rsid w:val="00EA2A62"/>
    <w:rsid w:val="00EA2CF1"/>
    <w:rsid w:val="00EA2D1D"/>
    <w:rsid w:val="00EA2D59"/>
    <w:rsid w:val="00EA2E78"/>
    <w:rsid w:val="00EA361B"/>
    <w:rsid w:val="00EA374B"/>
    <w:rsid w:val="00EA3EBA"/>
    <w:rsid w:val="00EA4959"/>
    <w:rsid w:val="00EA4B67"/>
    <w:rsid w:val="00EA4BBC"/>
    <w:rsid w:val="00EA4CCB"/>
    <w:rsid w:val="00EA5051"/>
    <w:rsid w:val="00EA52A2"/>
    <w:rsid w:val="00EA53BA"/>
    <w:rsid w:val="00EA5637"/>
    <w:rsid w:val="00EA58CC"/>
    <w:rsid w:val="00EA58F5"/>
    <w:rsid w:val="00EA5989"/>
    <w:rsid w:val="00EA5A12"/>
    <w:rsid w:val="00EA5B13"/>
    <w:rsid w:val="00EA5D2F"/>
    <w:rsid w:val="00EA5E92"/>
    <w:rsid w:val="00EA63BA"/>
    <w:rsid w:val="00EA6557"/>
    <w:rsid w:val="00EA66F3"/>
    <w:rsid w:val="00EA69B3"/>
    <w:rsid w:val="00EA69FB"/>
    <w:rsid w:val="00EA6BFD"/>
    <w:rsid w:val="00EA6CE3"/>
    <w:rsid w:val="00EA6E75"/>
    <w:rsid w:val="00EA712A"/>
    <w:rsid w:val="00EA7298"/>
    <w:rsid w:val="00EA7333"/>
    <w:rsid w:val="00EA7356"/>
    <w:rsid w:val="00EA74EC"/>
    <w:rsid w:val="00EA7613"/>
    <w:rsid w:val="00EA7791"/>
    <w:rsid w:val="00EA7D75"/>
    <w:rsid w:val="00EA7EA3"/>
    <w:rsid w:val="00EA7F25"/>
    <w:rsid w:val="00EB01AF"/>
    <w:rsid w:val="00EB0323"/>
    <w:rsid w:val="00EB04EB"/>
    <w:rsid w:val="00EB0555"/>
    <w:rsid w:val="00EB06AB"/>
    <w:rsid w:val="00EB07B4"/>
    <w:rsid w:val="00EB083D"/>
    <w:rsid w:val="00EB087C"/>
    <w:rsid w:val="00EB0CEA"/>
    <w:rsid w:val="00EB0DC1"/>
    <w:rsid w:val="00EB0E43"/>
    <w:rsid w:val="00EB1116"/>
    <w:rsid w:val="00EB12C3"/>
    <w:rsid w:val="00EB13BD"/>
    <w:rsid w:val="00EB14B2"/>
    <w:rsid w:val="00EB1970"/>
    <w:rsid w:val="00EB1C2B"/>
    <w:rsid w:val="00EB1C9B"/>
    <w:rsid w:val="00EB1DF7"/>
    <w:rsid w:val="00EB2B56"/>
    <w:rsid w:val="00EB305D"/>
    <w:rsid w:val="00EB3105"/>
    <w:rsid w:val="00EB37D9"/>
    <w:rsid w:val="00EB3848"/>
    <w:rsid w:val="00EB3F7B"/>
    <w:rsid w:val="00EB4471"/>
    <w:rsid w:val="00EB45AF"/>
    <w:rsid w:val="00EB475E"/>
    <w:rsid w:val="00EB4A5D"/>
    <w:rsid w:val="00EB4DD2"/>
    <w:rsid w:val="00EB4E6E"/>
    <w:rsid w:val="00EB500E"/>
    <w:rsid w:val="00EB508C"/>
    <w:rsid w:val="00EB519E"/>
    <w:rsid w:val="00EB51E9"/>
    <w:rsid w:val="00EB546A"/>
    <w:rsid w:val="00EB5802"/>
    <w:rsid w:val="00EB583C"/>
    <w:rsid w:val="00EB5AB0"/>
    <w:rsid w:val="00EB5CF9"/>
    <w:rsid w:val="00EB5FBE"/>
    <w:rsid w:val="00EB616F"/>
    <w:rsid w:val="00EB619F"/>
    <w:rsid w:val="00EB62BC"/>
    <w:rsid w:val="00EB6394"/>
    <w:rsid w:val="00EB63B0"/>
    <w:rsid w:val="00EB658D"/>
    <w:rsid w:val="00EB659D"/>
    <w:rsid w:val="00EB69C7"/>
    <w:rsid w:val="00EB6BCA"/>
    <w:rsid w:val="00EB6C36"/>
    <w:rsid w:val="00EB6CDA"/>
    <w:rsid w:val="00EB6E86"/>
    <w:rsid w:val="00EB6F62"/>
    <w:rsid w:val="00EB6FF6"/>
    <w:rsid w:val="00EB71A0"/>
    <w:rsid w:val="00EB7222"/>
    <w:rsid w:val="00EB7224"/>
    <w:rsid w:val="00EB72E7"/>
    <w:rsid w:val="00EB799E"/>
    <w:rsid w:val="00EB7B65"/>
    <w:rsid w:val="00EB7C6C"/>
    <w:rsid w:val="00EC004E"/>
    <w:rsid w:val="00EC00F2"/>
    <w:rsid w:val="00EC0286"/>
    <w:rsid w:val="00EC02BE"/>
    <w:rsid w:val="00EC0381"/>
    <w:rsid w:val="00EC0716"/>
    <w:rsid w:val="00EC08AA"/>
    <w:rsid w:val="00EC0CDA"/>
    <w:rsid w:val="00EC0DE3"/>
    <w:rsid w:val="00EC0E74"/>
    <w:rsid w:val="00EC129C"/>
    <w:rsid w:val="00EC12A0"/>
    <w:rsid w:val="00EC12EA"/>
    <w:rsid w:val="00EC14A8"/>
    <w:rsid w:val="00EC155A"/>
    <w:rsid w:val="00EC188C"/>
    <w:rsid w:val="00EC18D6"/>
    <w:rsid w:val="00EC1CED"/>
    <w:rsid w:val="00EC1D5E"/>
    <w:rsid w:val="00EC1E8F"/>
    <w:rsid w:val="00EC1F11"/>
    <w:rsid w:val="00EC2299"/>
    <w:rsid w:val="00EC2351"/>
    <w:rsid w:val="00EC2430"/>
    <w:rsid w:val="00EC2567"/>
    <w:rsid w:val="00EC266E"/>
    <w:rsid w:val="00EC2EE5"/>
    <w:rsid w:val="00EC30B5"/>
    <w:rsid w:val="00EC34E6"/>
    <w:rsid w:val="00EC354C"/>
    <w:rsid w:val="00EC357A"/>
    <w:rsid w:val="00EC3BAE"/>
    <w:rsid w:val="00EC3D30"/>
    <w:rsid w:val="00EC435E"/>
    <w:rsid w:val="00EC438B"/>
    <w:rsid w:val="00EC4481"/>
    <w:rsid w:val="00EC47C0"/>
    <w:rsid w:val="00EC4896"/>
    <w:rsid w:val="00EC4A9F"/>
    <w:rsid w:val="00EC4CB6"/>
    <w:rsid w:val="00EC4F05"/>
    <w:rsid w:val="00EC5114"/>
    <w:rsid w:val="00EC57E6"/>
    <w:rsid w:val="00EC580E"/>
    <w:rsid w:val="00EC5D44"/>
    <w:rsid w:val="00EC6699"/>
    <w:rsid w:val="00EC6DCD"/>
    <w:rsid w:val="00EC704A"/>
    <w:rsid w:val="00EC71A0"/>
    <w:rsid w:val="00EC71C5"/>
    <w:rsid w:val="00EC7E4D"/>
    <w:rsid w:val="00ED010A"/>
    <w:rsid w:val="00ED0156"/>
    <w:rsid w:val="00ED0175"/>
    <w:rsid w:val="00ED029D"/>
    <w:rsid w:val="00ED02E6"/>
    <w:rsid w:val="00ED039B"/>
    <w:rsid w:val="00ED042E"/>
    <w:rsid w:val="00ED04B8"/>
    <w:rsid w:val="00ED0A73"/>
    <w:rsid w:val="00ED0AD6"/>
    <w:rsid w:val="00ED1169"/>
    <w:rsid w:val="00ED1193"/>
    <w:rsid w:val="00ED134F"/>
    <w:rsid w:val="00ED148D"/>
    <w:rsid w:val="00ED14D7"/>
    <w:rsid w:val="00ED1626"/>
    <w:rsid w:val="00ED16AF"/>
    <w:rsid w:val="00ED184E"/>
    <w:rsid w:val="00ED1B38"/>
    <w:rsid w:val="00ED1C97"/>
    <w:rsid w:val="00ED2005"/>
    <w:rsid w:val="00ED208D"/>
    <w:rsid w:val="00ED2385"/>
    <w:rsid w:val="00ED28B4"/>
    <w:rsid w:val="00ED29E4"/>
    <w:rsid w:val="00ED2A03"/>
    <w:rsid w:val="00ED2C21"/>
    <w:rsid w:val="00ED2C4D"/>
    <w:rsid w:val="00ED2E14"/>
    <w:rsid w:val="00ED350D"/>
    <w:rsid w:val="00ED35E5"/>
    <w:rsid w:val="00ED3A22"/>
    <w:rsid w:val="00ED3BA3"/>
    <w:rsid w:val="00ED3E4E"/>
    <w:rsid w:val="00ED400C"/>
    <w:rsid w:val="00ED411C"/>
    <w:rsid w:val="00ED449A"/>
    <w:rsid w:val="00ED469B"/>
    <w:rsid w:val="00ED484E"/>
    <w:rsid w:val="00ED49D0"/>
    <w:rsid w:val="00ED4ACD"/>
    <w:rsid w:val="00ED4D30"/>
    <w:rsid w:val="00ED4D72"/>
    <w:rsid w:val="00ED4DCF"/>
    <w:rsid w:val="00ED4E7E"/>
    <w:rsid w:val="00ED4E9F"/>
    <w:rsid w:val="00ED4EB2"/>
    <w:rsid w:val="00ED4F34"/>
    <w:rsid w:val="00ED4FFF"/>
    <w:rsid w:val="00ED512E"/>
    <w:rsid w:val="00ED53BD"/>
    <w:rsid w:val="00ED580B"/>
    <w:rsid w:val="00ED5881"/>
    <w:rsid w:val="00ED5E64"/>
    <w:rsid w:val="00ED61B0"/>
    <w:rsid w:val="00ED62CE"/>
    <w:rsid w:val="00ED63F9"/>
    <w:rsid w:val="00ED653D"/>
    <w:rsid w:val="00ED6678"/>
    <w:rsid w:val="00ED68CD"/>
    <w:rsid w:val="00ED68E7"/>
    <w:rsid w:val="00ED694F"/>
    <w:rsid w:val="00ED6A3F"/>
    <w:rsid w:val="00ED6D8F"/>
    <w:rsid w:val="00ED6F2B"/>
    <w:rsid w:val="00ED6F8A"/>
    <w:rsid w:val="00ED73B9"/>
    <w:rsid w:val="00ED740E"/>
    <w:rsid w:val="00ED77A9"/>
    <w:rsid w:val="00ED7BC4"/>
    <w:rsid w:val="00ED7CB8"/>
    <w:rsid w:val="00EE0013"/>
    <w:rsid w:val="00EE0068"/>
    <w:rsid w:val="00EE01E8"/>
    <w:rsid w:val="00EE0383"/>
    <w:rsid w:val="00EE0449"/>
    <w:rsid w:val="00EE074C"/>
    <w:rsid w:val="00EE09F7"/>
    <w:rsid w:val="00EE0AB2"/>
    <w:rsid w:val="00EE0C29"/>
    <w:rsid w:val="00EE1085"/>
    <w:rsid w:val="00EE1425"/>
    <w:rsid w:val="00EE14BE"/>
    <w:rsid w:val="00EE14FA"/>
    <w:rsid w:val="00EE15E8"/>
    <w:rsid w:val="00EE1AA8"/>
    <w:rsid w:val="00EE1AEC"/>
    <w:rsid w:val="00EE1BCE"/>
    <w:rsid w:val="00EE2426"/>
    <w:rsid w:val="00EE250D"/>
    <w:rsid w:val="00EE2620"/>
    <w:rsid w:val="00EE2774"/>
    <w:rsid w:val="00EE27A2"/>
    <w:rsid w:val="00EE2A53"/>
    <w:rsid w:val="00EE2A5B"/>
    <w:rsid w:val="00EE2CF2"/>
    <w:rsid w:val="00EE2EFC"/>
    <w:rsid w:val="00EE2F24"/>
    <w:rsid w:val="00EE30AB"/>
    <w:rsid w:val="00EE3C6C"/>
    <w:rsid w:val="00EE4150"/>
    <w:rsid w:val="00EE45A4"/>
    <w:rsid w:val="00EE4600"/>
    <w:rsid w:val="00EE4609"/>
    <w:rsid w:val="00EE48C8"/>
    <w:rsid w:val="00EE49F6"/>
    <w:rsid w:val="00EE4A16"/>
    <w:rsid w:val="00EE4B07"/>
    <w:rsid w:val="00EE4BDB"/>
    <w:rsid w:val="00EE4E63"/>
    <w:rsid w:val="00EE4FEC"/>
    <w:rsid w:val="00EE522C"/>
    <w:rsid w:val="00EE525A"/>
    <w:rsid w:val="00EE5447"/>
    <w:rsid w:val="00EE546D"/>
    <w:rsid w:val="00EE55FD"/>
    <w:rsid w:val="00EE5609"/>
    <w:rsid w:val="00EE5DC1"/>
    <w:rsid w:val="00EE609A"/>
    <w:rsid w:val="00EE6101"/>
    <w:rsid w:val="00EE6217"/>
    <w:rsid w:val="00EE6488"/>
    <w:rsid w:val="00EE6574"/>
    <w:rsid w:val="00EE65F6"/>
    <w:rsid w:val="00EE6783"/>
    <w:rsid w:val="00EE6785"/>
    <w:rsid w:val="00EE6BFA"/>
    <w:rsid w:val="00EE6FEC"/>
    <w:rsid w:val="00EE73F9"/>
    <w:rsid w:val="00EE767C"/>
    <w:rsid w:val="00EE799E"/>
    <w:rsid w:val="00EE7D27"/>
    <w:rsid w:val="00EE7E07"/>
    <w:rsid w:val="00EF01C1"/>
    <w:rsid w:val="00EF04EE"/>
    <w:rsid w:val="00EF0502"/>
    <w:rsid w:val="00EF0604"/>
    <w:rsid w:val="00EF07A1"/>
    <w:rsid w:val="00EF08CD"/>
    <w:rsid w:val="00EF11D9"/>
    <w:rsid w:val="00EF11FD"/>
    <w:rsid w:val="00EF135A"/>
    <w:rsid w:val="00EF1A4A"/>
    <w:rsid w:val="00EF1ABB"/>
    <w:rsid w:val="00EF1F93"/>
    <w:rsid w:val="00EF1FED"/>
    <w:rsid w:val="00EF21F6"/>
    <w:rsid w:val="00EF26F3"/>
    <w:rsid w:val="00EF2B06"/>
    <w:rsid w:val="00EF2CE9"/>
    <w:rsid w:val="00EF2FAD"/>
    <w:rsid w:val="00EF32AF"/>
    <w:rsid w:val="00EF37AB"/>
    <w:rsid w:val="00EF3A52"/>
    <w:rsid w:val="00EF3C57"/>
    <w:rsid w:val="00EF3F1F"/>
    <w:rsid w:val="00EF42C0"/>
    <w:rsid w:val="00EF43CC"/>
    <w:rsid w:val="00EF4432"/>
    <w:rsid w:val="00EF44CA"/>
    <w:rsid w:val="00EF465B"/>
    <w:rsid w:val="00EF46F1"/>
    <w:rsid w:val="00EF49A0"/>
    <w:rsid w:val="00EF49A4"/>
    <w:rsid w:val="00EF4D21"/>
    <w:rsid w:val="00EF4E24"/>
    <w:rsid w:val="00EF4F0E"/>
    <w:rsid w:val="00EF536F"/>
    <w:rsid w:val="00EF5D31"/>
    <w:rsid w:val="00EF6045"/>
    <w:rsid w:val="00EF6AEE"/>
    <w:rsid w:val="00EF6D6D"/>
    <w:rsid w:val="00EF6DEA"/>
    <w:rsid w:val="00EF6FB6"/>
    <w:rsid w:val="00EF74D3"/>
    <w:rsid w:val="00EF7603"/>
    <w:rsid w:val="00F0063E"/>
    <w:rsid w:val="00F0071A"/>
    <w:rsid w:val="00F008EB"/>
    <w:rsid w:val="00F00DE3"/>
    <w:rsid w:val="00F00DF1"/>
    <w:rsid w:val="00F00E58"/>
    <w:rsid w:val="00F00F1F"/>
    <w:rsid w:val="00F01031"/>
    <w:rsid w:val="00F013DB"/>
    <w:rsid w:val="00F014A4"/>
    <w:rsid w:val="00F01533"/>
    <w:rsid w:val="00F01537"/>
    <w:rsid w:val="00F01A29"/>
    <w:rsid w:val="00F01B22"/>
    <w:rsid w:val="00F01CEF"/>
    <w:rsid w:val="00F01F0C"/>
    <w:rsid w:val="00F02006"/>
    <w:rsid w:val="00F02A2E"/>
    <w:rsid w:val="00F02C67"/>
    <w:rsid w:val="00F039F1"/>
    <w:rsid w:val="00F03B46"/>
    <w:rsid w:val="00F040B2"/>
    <w:rsid w:val="00F0431E"/>
    <w:rsid w:val="00F049C2"/>
    <w:rsid w:val="00F04C46"/>
    <w:rsid w:val="00F04C91"/>
    <w:rsid w:val="00F04F92"/>
    <w:rsid w:val="00F05115"/>
    <w:rsid w:val="00F05139"/>
    <w:rsid w:val="00F0544B"/>
    <w:rsid w:val="00F054ED"/>
    <w:rsid w:val="00F0585D"/>
    <w:rsid w:val="00F05B39"/>
    <w:rsid w:val="00F05CBC"/>
    <w:rsid w:val="00F05CC0"/>
    <w:rsid w:val="00F05D91"/>
    <w:rsid w:val="00F05DD8"/>
    <w:rsid w:val="00F06183"/>
    <w:rsid w:val="00F063E9"/>
    <w:rsid w:val="00F064FB"/>
    <w:rsid w:val="00F06556"/>
    <w:rsid w:val="00F065CA"/>
    <w:rsid w:val="00F069B7"/>
    <w:rsid w:val="00F06A60"/>
    <w:rsid w:val="00F06D64"/>
    <w:rsid w:val="00F06FDE"/>
    <w:rsid w:val="00F070DC"/>
    <w:rsid w:val="00F07384"/>
    <w:rsid w:val="00F07487"/>
    <w:rsid w:val="00F075CA"/>
    <w:rsid w:val="00F0764E"/>
    <w:rsid w:val="00F0768E"/>
    <w:rsid w:val="00F07965"/>
    <w:rsid w:val="00F07C16"/>
    <w:rsid w:val="00F105B5"/>
    <w:rsid w:val="00F10666"/>
    <w:rsid w:val="00F10822"/>
    <w:rsid w:val="00F10AB3"/>
    <w:rsid w:val="00F10DA5"/>
    <w:rsid w:val="00F10EC8"/>
    <w:rsid w:val="00F116F8"/>
    <w:rsid w:val="00F1179D"/>
    <w:rsid w:val="00F11A1C"/>
    <w:rsid w:val="00F11B90"/>
    <w:rsid w:val="00F11CDB"/>
    <w:rsid w:val="00F11D90"/>
    <w:rsid w:val="00F120E4"/>
    <w:rsid w:val="00F12365"/>
    <w:rsid w:val="00F125F6"/>
    <w:rsid w:val="00F12729"/>
    <w:rsid w:val="00F12C16"/>
    <w:rsid w:val="00F13135"/>
    <w:rsid w:val="00F132FD"/>
    <w:rsid w:val="00F13471"/>
    <w:rsid w:val="00F135FA"/>
    <w:rsid w:val="00F136C5"/>
    <w:rsid w:val="00F13753"/>
    <w:rsid w:val="00F13EE1"/>
    <w:rsid w:val="00F143AC"/>
    <w:rsid w:val="00F14451"/>
    <w:rsid w:val="00F145D8"/>
    <w:rsid w:val="00F14755"/>
    <w:rsid w:val="00F1495D"/>
    <w:rsid w:val="00F14A85"/>
    <w:rsid w:val="00F14F1B"/>
    <w:rsid w:val="00F15063"/>
    <w:rsid w:val="00F1508A"/>
    <w:rsid w:val="00F15092"/>
    <w:rsid w:val="00F1526C"/>
    <w:rsid w:val="00F15345"/>
    <w:rsid w:val="00F15396"/>
    <w:rsid w:val="00F1558E"/>
    <w:rsid w:val="00F157E6"/>
    <w:rsid w:val="00F15BD6"/>
    <w:rsid w:val="00F16063"/>
    <w:rsid w:val="00F1611A"/>
    <w:rsid w:val="00F16123"/>
    <w:rsid w:val="00F161AA"/>
    <w:rsid w:val="00F1620F"/>
    <w:rsid w:val="00F16245"/>
    <w:rsid w:val="00F1626E"/>
    <w:rsid w:val="00F1649E"/>
    <w:rsid w:val="00F164D3"/>
    <w:rsid w:val="00F16563"/>
    <w:rsid w:val="00F16570"/>
    <w:rsid w:val="00F16592"/>
    <w:rsid w:val="00F1669A"/>
    <w:rsid w:val="00F16794"/>
    <w:rsid w:val="00F16AAA"/>
    <w:rsid w:val="00F16AB8"/>
    <w:rsid w:val="00F16CAC"/>
    <w:rsid w:val="00F17037"/>
    <w:rsid w:val="00F172E0"/>
    <w:rsid w:val="00F1755E"/>
    <w:rsid w:val="00F1771E"/>
    <w:rsid w:val="00F1774F"/>
    <w:rsid w:val="00F177D0"/>
    <w:rsid w:val="00F17803"/>
    <w:rsid w:val="00F17D08"/>
    <w:rsid w:val="00F20080"/>
    <w:rsid w:val="00F201CB"/>
    <w:rsid w:val="00F20624"/>
    <w:rsid w:val="00F208A0"/>
    <w:rsid w:val="00F20AB3"/>
    <w:rsid w:val="00F20F06"/>
    <w:rsid w:val="00F20F0A"/>
    <w:rsid w:val="00F20F84"/>
    <w:rsid w:val="00F2116D"/>
    <w:rsid w:val="00F211D1"/>
    <w:rsid w:val="00F211FF"/>
    <w:rsid w:val="00F21308"/>
    <w:rsid w:val="00F2138D"/>
    <w:rsid w:val="00F22079"/>
    <w:rsid w:val="00F22133"/>
    <w:rsid w:val="00F22CDC"/>
    <w:rsid w:val="00F230CD"/>
    <w:rsid w:val="00F231CA"/>
    <w:rsid w:val="00F231DC"/>
    <w:rsid w:val="00F23435"/>
    <w:rsid w:val="00F23957"/>
    <w:rsid w:val="00F23DC2"/>
    <w:rsid w:val="00F24012"/>
    <w:rsid w:val="00F24056"/>
    <w:rsid w:val="00F24348"/>
    <w:rsid w:val="00F243E8"/>
    <w:rsid w:val="00F24ADD"/>
    <w:rsid w:val="00F24CFB"/>
    <w:rsid w:val="00F2534D"/>
    <w:rsid w:val="00F2537D"/>
    <w:rsid w:val="00F25DD9"/>
    <w:rsid w:val="00F25E9A"/>
    <w:rsid w:val="00F25F45"/>
    <w:rsid w:val="00F260B9"/>
    <w:rsid w:val="00F263F2"/>
    <w:rsid w:val="00F265A6"/>
    <w:rsid w:val="00F26894"/>
    <w:rsid w:val="00F26C1D"/>
    <w:rsid w:val="00F26DBD"/>
    <w:rsid w:val="00F26E93"/>
    <w:rsid w:val="00F272ED"/>
    <w:rsid w:val="00F27503"/>
    <w:rsid w:val="00F275F2"/>
    <w:rsid w:val="00F27ED9"/>
    <w:rsid w:val="00F30553"/>
    <w:rsid w:val="00F30792"/>
    <w:rsid w:val="00F30830"/>
    <w:rsid w:val="00F30B07"/>
    <w:rsid w:val="00F30ECC"/>
    <w:rsid w:val="00F30F30"/>
    <w:rsid w:val="00F30FF9"/>
    <w:rsid w:val="00F3101E"/>
    <w:rsid w:val="00F3141B"/>
    <w:rsid w:val="00F31683"/>
    <w:rsid w:val="00F31C27"/>
    <w:rsid w:val="00F32069"/>
    <w:rsid w:val="00F32138"/>
    <w:rsid w:val="00F32244"/>
    <w:rsid w:val="00F32389"/>
    <w:rsid w:val="00F3257B"/>
    <w:rsid w:val="00F326CF"/>
    <w:rsid w:val="00F32C87"/>
    <w:rsid w:val="00F33020"/>
    <w:rsid w:val="00F330BA"/>
    <w:rsid w:val="00F330C4"/>
    <w:rsid w:val="00F3316B"/>
    <w:rsid w:val="00F331A9"/>
    <w:rsid w:val="00F3321E"/>
    <w:rsid w:val="00F333E4"/>
    <w:rsid w:val="00F339C0"/>
    <w:rsid w:val="00F33B54"/>
    <w:rsid w:val="00F33BCB"/>
    <w:rsid w:val="00F33D17"/>
    <w:rsid w:val="00F33E15"/>
    <w:rsid w:val="00F33F82"/>
    <w:rsid w:val="00F340BA"/>
    <w:rsid w:val="00F34886"/>
    <w:rsid w:val="00F34A4E"/>
    <w:rsid w:val="00F34AE8"/>
    <w:rsid w:val="00F34C21"/>
    <w:rsid w:val="00F34E9F"/>
    <w:rsid w:val="00F35001"/>
    <w:rsid w:val="00F35ACC"/>
    <w:rsid w:val="00F35BB3"/>
    <w:rsid w:val="00F3603F"/>
    <w:rsid w:val="00F36445"/>
    <w:rsid w:val="00F36536"/>
    <w:rsid w:val="00F369E2"/>
    <w:rsid w:val="00F36C09"/>
    <w:rsid w:val="00F36C60"/>
    <w:rsid w:val="00F36E78"/>
    <w:rsid w:val="00F36F54"/>
    <w:rsid w:val="00F371C0"/>
    <w:rsid w:val="00F37260"/>
    <w:rsid w:val="00F372DA"/>
    <w:rsid w:val="00F375AE"/>
    <w:rsid w:val="00F37818"/>
    <w:rsid w:val="00F37A80"/>
    <w:rsid w:val="00F37AD7"/>
    <w:rsid w:val="00F37B26"/>
    <w:rsid w:val="00F37C15"/>
    <w:rsid w:val="00F37C9E"/>
    <w:rsid w:val="00F40197"/>
    <w:rsid w:val="00F40361"/>
    <w:rsid w:val="00F40C31"/>
    <w:rsid w:val="00F40C9C"/>
    <w:rsid w:val="00F40D00"/>
    <w:rsid w:val="00F418D7"/>
    <w:rsid w:val="00F41A29"/>
    <w:rsid w:val="00F41CD3"/>
    <w:rsid w:val="00F42141"/>
    <w:rsid w:val="00F422A3"/>
    <w:rsid w:val="00F42A01"/>
    <w:rsid w:val="00F433A2"/>
    <w:rsid w:val="00F43505"/>
    <w:rsid w:val="00F435E3"/>
    <w:rsid w:val="00F437F5"/>
    <w:rsid w:val="00F43AFA"/>
    <w:rsid w:val="00F43B01"/>
    <w:rsid w:val="00F43E7C"/>
    <w:rsid w:val="00F43FD6"/>
    <w:rsid w:val="00F44A04"/>
    <w:rsid w:val="00F44B9C"/>
    <w:rsid w:val="00F44C9E"/>
    <w:rsid w:val="00F44CAD"/>
    <w:rsid w:val="00F45192"/>
    <w:rsid w:val="00F454F2"/>
    <w:rsid w:val="00F45516"/>
    <w:rsid w:val="00F45C57"/>
    <w:rsid w:val="00F45F5A"/>
    <w:rsid w:val="00F45FD5"/>
    <w:rsid w:val="00F46829"/>
    <w:rsid w:val="00F46A10"/>
    <w:rsid w:val="00F46C78"/>
    <w:rsid w:val="00F46E08"/>
    <w:rsid w:val="00F471BA"/>
    <w:rsid w:val="00F472BC"/>
    <w:rsid w:val="00F4736A"/>
    <w:rsid w:val="00F47491"/>
    <w:rsid w:val="00F474D2"/>
    <w:rsid w:val="00F47A7A"/>
    <w:rsid w:val="00F47C4A"/>
    <w:rsid w:val="00F47C94"/>
    <w:rsid w:val="00F47CCD"/>
    <w:rsid w:val="00F5016E"/>
    <w:rsid w:val="00F50554"/>
    <w:rsid w:val="00F5057D"/>
    <w:rsid w:val="00F506F9"/>
    <w:rsid w:val="00F50870"/>
    <w:rsid w:val="00F50A01"/>
    <w:rsid w:val="00F50A32"/>
    <w:rsid w:val="00F50B8E"/>
    <w:rsid w:val="00F50FFE"/>
    <w:rsid w:val="00F5137B"/>
    <w:rsid w:val="00F51532"/>
    <w:rsid w:val="00F51664"/>
    <w:rsid w:val="00F5177F"/>
    <w:rsid w:val="00F51FCF"/>
    <w:rsid w:val="00F5292A"/>
    <w:rsid w:val="00F52A22"/>
    <w:rsid w:val="00F52A8D"/>
    <w:rsid w:val="00F53050"/>
    <w:rsid w:val="00F530BD"/>
    <w:rsid w:val="00F53227"/>
    <w:rsid w:val="00F53660"/>
    <w:rsid w:val="00F53B75"/>
    <w:rsid w:val="00F53F81"/>
    <w:rsid w:val="00F54044"/>
    <w:rsid w:val="00F54267"/>
    <w:rsid w:val="00F54283"/>
    <w:rsid w:val="00F54301"/>
    <w:rsid w:val="00F54FDF"/>
    <w:rsid w:val="00F550DB"/>
    <w:rsid w:val="00F553C3"/>
    <w:rsid w:val="00F55552"/>
    <w:rsid w:val="00F5589A"/>
    <w:rsid w:val="00F5592F"/>
    <w:rsid w:val="00F55BF9"/>
    <w:rsid w:val="00F55CEF"/>
    <w:rsid w:val="00F55F65"/>
    <w:rsid w:val="00F562E1"/>
    <w:rsid w:val="00F562ED"/>
    <w:rsid w:val="00F5651C"/>
    <w:rsid w:val="00F56A72"/>
    <w:rsid w:val="00F56A96"/>
    <w:rsid w:val="00F56B45"/>
    <w:rsid w:val="00F56BAF"/>
    <w:rsid w:val="00F56E23"/>
    <w:rsid w:val="00F56EC1"/>
    <w:rsid w:val="00F5771A"/>
    <w:rsid w:val="00F577F8"/>
    <w:rsid w:val="00F5786E"/>
    <w:rsid w:val="00F5792E"/>
    <w:rsid w:val="00F57A83"/>
    <w:rsid w:val="00F57AAF"/>
    <w:rsid w:val="00F57AFC"/>
    <w:rsid w:val="00F57B85"/>
    <w:rsid w:val="00F57C28"/>
    <w:rsid w:val="00F60046"/>
    <w:rsid w:val="00F6005C"/>
    <w:rsid w:val="00F6027A"/>
    <w:rsid w:val="00F60481"/>
    <w:rsid w:val="00F6048F"/>
    <w:rsid w:val="00F604F6"/>
    <w:rsid w:val="00F606B5"/>
    <w:rsid w:val="00F606D3"/>
    <w:rsid w:val="00F607BE"/>
    <w:rsid w:val="00F60B43"/>
    <w:rsid w:val="00F60D44"/>
    <w:rsid w:val="00F60E28"/>
    <w:rsid w:val="00F60FF4"/>
    <w:rsid w:val="00F610C5"/>
    <w:rsid w:val="00F6123C"/>
    <w:rsid w:val="00F6143D"/>
    <w:rsid w:val="00F614E8"/>
    <w:rsid w:val="00F61AE2"/>
    <w:rsid w:val="00F61B8A"/>
    <w:rsid w:val="00F61F4E"/>
    <w:rsid w:val="00F6209F"/>
    <w:rsid w:val="00F621AA"/>
    <w:rsid w:val="00F62814"/>
    <w:rsid w:val="00F62889"/>
    <w:rsid w:val="00F62EBE"/>
    <w:rsid w:val="00F62EFA"/>
    <w:rsid w:val="00F631FF"/>
    <w:rsid w:val="00F63632"/>
    <w:rsid w:val="00F63692"/>
    <w:rsid w:val="00F638E0"/>
    <w:rsid w:val="00F63A68"/>
    <w:rsid w:val="00F63AEB"/>
    <w:rsid w:val="00F63EAC"/>
    <w:rsid w:val="00F6466E"/>
    <w:rsid w:val="00F6477A"/>
    <w:rsid w:val="00F64887"/>
    <w:rsid w:val="00F64A32"/>
    <w:rsid w:val="00F64B8E"/>
    <w:rsid w:val="00F64BC5"/>
    <w:rsid w:val="00F65158"/>
    <w:rsid w:val="00F65650"/>
    <w:rsid w:val="00F656E0"/>
    <w:rsid w:val="00F65811"/>
    <w:rsid w:val="00F65BB0"/>
    <w:rsid w:val="00F6614F"/>
    <w:rsid w:val="00F6628B"/>
    <w:rsid w:val="00F663FC"/>
    <w:rsid w:val="00F667DA"/>
    <w:rsid w:val="00F667F5"/>
    <w:rsid w:val="00F66A85"/>
    <w:rsid w:val="00F67035"/>
    <w:rsid w:val="00F67072"/>
    <w:rsid w:val="00F670DD"/>
    <w:rsid w:val="00F6772E"/>
    <w:rsid w:val="00F678F9"/>
    <w:rsid w:val="00F67956"/>
    <w:rsid w:val="00F679B3"/>
    <w:rsid w:val="00F67DE5"/>
    <w:rsid w:val="00F7008F"/>
    <w:rsid w:val="00F701FC"/>
    <w:rsid w:val="00F70237"/>
    <w:rsid w:val="00F7048F"/>
    <w:rsid w:val="00F70555"/>
    <w:rsid w:val="00F705A1"/>
    <w:rsid w:val="00F706B8"/>
    <w:rsid w:val="00F70858"/>
    <w:rsid w:val="00F70C73"/>
    <w:rsid w:val="00F70D29"/>
    <w:rsid w:val="00F70D97"/>
    <w:rsid w:val="00F71048"/>
    <w:rsid w:val="00F711A4"/>
    <w:rsid w:val="00F71707"/>
    <w:rsid w:val="00F717AD"/>
    <w:rsid w:val="00F71A87"/>
    <w:rsid w:val="00F71C9F"/>
    <w:rsid w:val="00F71FEE"/>
    <w:rsid w:val="00F72159"/>
    <w:rsid w:val="00F72497"/>
    <w:rsid w:val="00F7253D"/>
    <w:rsid w:val="00F7267D"/>
    <w:rsid w:val="00F727CC"/>
    <w:rsid w:val="00F727F9"/>
    <w:rsid w:val="00F72B59"/>
    <w:rsid w:val="00F72C35"/>
    <w:rsid w:val="00F72CAA"/>
    <w:rsid w:val="00F732DB"/>
    <w:rsid w:val="00F73304"/>
    <w:rsid w:val="00F73320"/>
    <w:rsid w:val="00F73383"/>
    <w:rsid w:val="00F73666"/>
    <w:rsid w:val="00F736CE"/>
    <w:rsid w:val="00F736EC"/>
    <w:rsid w:val="00F73B3F"/>
    <w:rsid w:val="00F73CAB"/>
    <w:rsid w:val="00F73DFD"/>
    <w:rsid w:val="00F7400D"/>
    <w:rsid w:val="00F742AE"/>
    <w:rsid w:val="00F74398"/>
    <w:rsid w:val="00F7451A"/>
    <w:rsid w:val="00F747B5"/>
    <w:rsid w:val="00F74AEB"/>
    <w:rsid w:val="00F74C4C"/>
    <w:rsid w:val="00F74D1C"/>
    <w:rsid w:val="00F74EAE"/>
    <w:rsid w:val="00F75038"/>
    <w:rsid w:val="00F754A2"/>
    <w:rsid w:val="00F758C3"/>
    <w:rsid w:val="00F75DB0"/>
    <w:rsid w:val="00F76523"/>
    <w:rsid w:val="00F76693"/>
    <w:rsid w:val="00F76788"/>
    <w:rsid w:val="00F76852"/>
    <w:rsid w:val="00F768F5"/>
    <w:rsid w:val="00F7724B"/>
    <w:rsid w:val="00F7743F"/>
    <w:rsid w:val="00F77461"/>
    <w:rsid w:val="00F774AE"/>
    <w:rsid w:val="00F7752C"/>
    <w:rsid w:val="00F77599"/>
    <w:rsid w:val="00F777FB"/>
    <w:rsid w:val="00F77C64"/>
    <w:rsid w:val="00F8003C"/>
    <w:rsid w:val="00F80202"/>
    <w:rsid w:val="00F802D9"/>
    <w:rsid w:val="00F809B2"/>
    <w:rsid w:val="00F80B3C"/>
    <w:rsid w:val="00F80C6E"/>
    <w:rsid w:val="00F80D18"/>
    <w:rsid w:val="00F80EC3"/>
    <w:rsid w:val="00F80FCB"/>
    <w:rsid w:val="00F81016"/>
    <w:rsid w:val="00F81092"/>
    <w:rsid w:val="00F81131"/>
    <w:rsid w:val="00F815AA"/>
    <w:rsid w:val="00F8186A"/>
    <w:rsid w:val="00F81A12"/>
    <w:rsid w:val="00F81B96"/>
    <w:rsid w:val="00F8208C"/>
    <w:rsid w:val="00F821A4"/>
    <w:rsid w:val="00F8226F"/>
    <w:rsid w:val="00F8232B"/>
    <w:rsid w:val="00F826AD"/>
    <w:rsid w:val="00F8273B"/>
    <w:rsid w:val="00F82801"/>
    <w:rsid w:val="00F82CBA"/>
    <w:rsid w:val="00F833D0"/>
    <w:rsid w:val="00F834D5"/>
    <w:rsid w:val="00F8374D"/>
    <w:rsid w:val="00F83774"/>
    <w:rsid w:val="00F839B2"/>
    <w:rsid w:val="00F83EE3"/>
    <w:rsid w:val="00F83F1F"/>
    <w:rsid w:val="00F843BB"/>
    <w:rsid w:val="00F84576"/>
    <w:rsid w:val="00F845FF"/>
    <w:rsid w:val="00F84E67"/>
    <w:rsid w:val="00F84EA7"/>
    <w:rsid w:val="00F852E1"/>
    <w:rsid w:val="00F85310"/>
    <w:rsid w:val="00F8577A"/>
    <w:rsid w:val="00F857D1"/>
    <w:rsid w:val="00F85880"/>
    <w:rsid w:val="00F85EEB"/>
    <w:rsid w:val="00F85FC9"/>
    <w:rsid w:val="00F8612C"/>
    <w:rsid w:val="00F86170"/>
    <w:rsid w:val="00F86225"/>
    <w:rsid w:val="00F86984"/>
    <w:rsid w:val="00F86AC0"/>
    <w:rsid w:val="00F86D46"/>
    <w:rsid w:val="00F86D4D"/>
    <w:rsid w:val="00F86D89"/>
    <w:rsid w:val="00F8724D"/>
    <w:rsid w:val="00F8735D"/>
    <w:rsid w:val="00F87B57"/>
    <w:rsid w:val="00F87CA4"/>
    <w:rsid w:val="00F87E34"/>
    <w:rsid w:val="00F87EA2"/>
    <w:rsid w:val="00F9011C"/>
    <w:rsid w:val="00F9028B"/>
    <w:rsid w:val="00F902BF"/>
    <w:rsid w:val="00F90405"/>
    <w:rsid w:val="00F907E9"/>
    <w:rsid w:val="00F90B5A"/>
    <w:rsid w:val="00F90BA1"/>
    <w:rsid w:val="00F90BA6"/>
    <w:rsid w:val="00F91543"/>
    <w:rsid w:val="00F91D34"/>
    <w:rsid w:val="00F91EF3"/>
    <w:rsid w:val="00F91F83"/>
    <w:rsid w:val="00F92054"/>
    <w:rsid w:val="00F921D5"/>
    <w:rsid w:val="00F92382"/>
    <w:rsid w:val="00F925AF"/>
    <w:rsid w:val="00F92AD2"/>
    <w:rsid w:val="00F92CFE"/>
    <w:rsid w:val="00F930FB"/>
    <w:rsid w:val="00F935C6"/>
    <w:rsid w:val="00F9376B"/>
    <w:rsid w:val="00F939F7"/>
    <w:rsid w:val="00F93A0D"/>
    <w:rsid w:val="00F93FC5"/>
    <w:rsid w:val="00F93FDB"/>
    <w:rsid w:val="00F9430A"/>
    <w:rsid w:val="00F94825"/>
    <w:rsid w:val="00F94A20"/>
    <w:rsid w:val="00F94B82"/>
    <w:rsid w:val="00F94FD3"/>
    <w:rsid w:val="00F9501A"/>
    <w:rsid w:val="00F954F3"/>
    <w:rsid w:val="00F95559"/>
    <w:rsid w:val="00F9570C"/>
    <w:rsid w:val="00F95AC6"/>
    <w:rsid w:val="00F95E56"/>
    <w:rsid w:val="00F95F2D"/>
    <w:rsid w:val="00F9645F"/>
    <w:rsid w:val="00F9686C"/>
    <w:rsid w:val="00F96BE0"/>
    <w:rsid w:val="00F96D4F"/>
    <w:rsid w:val="00F970B9"/>
    <w:rsid w:val="00F97157"/>
    <w:rsid w:val="00F97542"/>
    <w:rsid w:val="00F97B1B"/>
    <w:rsid w:val="00F97B9E"/>
    <w:rsid w:val="00F97BE0"/>
    <w:rsid w:val="00F97E42"/>
    <w:rsid w:val="00FA064C"/>
    <w:rsid w:val="00FA0982"/>
    <w:rsid w:val="00FA09F3"/>
    <w:rsid w:val="00FA0C44"/>
    <w:rsid w:val="00FA0CE3"/>
    <w:rsid w:val="00FA0F68"/>
    <w:rsid w:val="00FA1491"/>
    <w:rsid w:val="00FA17AB"/>
    <w:rsid w:val="00FA1B2C"/>
    <w:rsid w:val="00FA1C4C"/>
    <w:rsid w:val="00FA1F79"/>
    <w:rsid w:val="00FA1F7C"/>
    <w:rsid w:val="00FA249D"/>
    <w:rsid w:val="00FA25A2"/>
    <w:rsid w:val="00FA26CC"/>
    <w:rsid w:val="00FA28D4"/>
    <w:rsid w:val="00FA2911"/>
    <w:rsid w:val="00FA2950"/>
    <w:rsid w:val="00FA29EA"/>
    <w:rsid w:val="00FA2D94"/>
    <w:rsid w:val="00FA3797"/>
    <w:rsid w:val="00FA3880"/>
    <w:rsid w:val="00FA38E1"/>
    <w:rsid w:val="00FA3B76"/>
    <w:rsid w:val="00FA3E7E"/>
    <w:rsid w:val="00FA3F87"/>
    <w:rsid w:val="00FA4048"/>
    <w:rsid w:val="00FA4118"/>
    <w:rsid w:val="00FA456C"/>
    <w:rsid w:val="00FA463C"/>
    <w:rsid w:val="00FA47DF"/>
    <w:rsid w:val="00FA4894"/>
    <w:rsid w:val="00FA4C73"/>
    <w:rsid w:val="00FA50E5"/>
    <w:rsid w:val="00FA50E7"/>
    <w:rsid w:val="00FA555B"/>
    <w:rsid w:val="00FA565F"/>
    <w:rsid w:val="00FA56D0"/>
    <w:rsid w:val="00FA5A72"/>
    <w:rsid w:val="00FA5C53"/>
    <w:rsid w:val="00FA5CA3"/>
    <w:rsid w:val="00FA5DA3"/>
    <w:rsid w:val="00FA5DC3"/>
    <w:rsid w:val="00FA674E"/>
    <w:rsid w:val="00FA6DDD"/>
    <w:rsid w:val="00FA6E66"/>
    <w:rsid w:val="00FA6FB3"/>
    <w:rsid w:val="00FA7528"/>
    <w:rsid w:val="00FA780B"/>
    <w:rsid w:val="00FA79A0"/>
    <w:rsid w:val="00FA7A39"/>
    <w:rsid w:val="00FA7A6B"/>
    <w:rsid w:val="00FA7DCB"/>
    <w:rsid w:val="00FA7EC3"/>
    <w:rsid w:val="00FA7FD2"/>
    <w:rsid w:val="00FA7FDB"/>
    <w:rsid w:val="00FB0161"/>
    <w:rsid w:val="00FB0574"/>
    <w:rsid w:val="00FB0953"/>
    <w:rsid w:val="00FB0A83"/>
    <w:rsid w:val="00FB0B87"/>
    <w:rsid w:val="00FB106B"/>
    <w:rsid w:val="00FB1075"/>
    <w:rsid w:val="00FB1137"/>
    <w:rsid w:val="00FB153E"/>
    <w:rsid w:val="00FB182A"/>
    <w:rsid w:val="00FB1A25"/>
    <w:rsid w:val="00FB1AEF"/>
    <w:rsid w:val="00FB1C7D"/>
    <w:rsid w:val="00FB1D18"/>
    <w:rsid w:val="00FB1D74"/>
    <w:rsid w:val="00FB1DF9"/>
    <w:rsid w:val="00FB1E9E"/>
    <w:rsid w:val="00FB1F85"/>
    <w:rsid w:val="00FB2375"/>
    <w:rsid w:val="00FB28F9"/>
    <w:rsid w:val="00FB2ACD"/>
    <w:rsid w:val="00FB2D7B"/>
    <w:rsid w:val="00FB2EDB"/>
    <w:rsid w:val="00FB2F15"/>
    <w:rsid w:val="00FB3017"/>
    <w:rsid w:val="00FB379A"/>
    <w:rsid w:val="00FB3853"/>
    <w:rsid w:val="00FB3C6A"/>
    <w:rsid w:val="00FB3CAB"/>
    <w:rsid w:val="00FB4769"/>
    <w:rsid w:val="00FB4867"/>
    <w:rsid w:val="00FB54F5"/>
    <w:rsid w:val="00FB557D"/>
    <w:rsid w:val="00FB59C3"/>
    <w:rsid w:val="00FB5B21"/>
    <w:rsid w:val="00FB5DDF"/>
    <w:rsid w:val="00FB629A"/>
    <w:rsid w:val="00FB62A7"/>
    <w:rsid w:val="00FB62EF"/>
    <w:rsid w:val="00FB652F"/>
    <w:rsid w:val="00FB6571"/>
    <w:rsid w:val="00FB6B8E"/>
    <w:rsid w:val="00FB7495"/>
    <w:rsid w:val="00FB7759"/>
    <w:rsid w:val="00FB78AB"/>
    <w:rsid w:val="00FB7D64"/>
    <w:rsid w:val="00FC028A"/>
    <w:rsid w:val="00FC02E1"/>
    <w:rsid w:val="00FC048B"/>
    <w:rsid w:val="00FC07B1"/>
    <w:rsid w:val="00FC088A"/>
    <w:rsid w:val="00FC0A57"/>
    <w:rsid w:val="00FC0A93"/>
    <w:rsid w:val="00FC0B89"/>
    <w:rsid w:val="00FC0B98"/>
    <w:rsid w:val="00FC0F2C"/>
    <w:rsid w:val="00FC184B"/>
    <w:rsid w:val="00FC1C50"/>
    <w:rsid w:val="00FC1FD3"/>
    <w:rsid w:val="00FC2444"/>
    <w:rsid w:val="00FC26D0"/>
    <w:rsid w:val="00FC2D91"/>
    <w:rsid w:val="00FC2DD7"/>
    <w:rsid w:val="00FC3760"/>
    <w:rsid w:val="00FC3800"/>
    <w:rsid w:val="00FC399D"/>
    <w:rsid w:val="00FC4063"/>
    <w:rsid w:val="00FC4159"/>
    <w:rsid w:val="00FC4320"/>
    <w:rsid w:val="00FC4786"/>
    <w:rsid w:val="00FC4906"/>
    <w:rsid w:val="00FC4C61"/>
    <w:rsid w:val="00FC5127"/>
    <w:rsid w:val="00FC5359"/>
    <w:rsid w:val="00FC5441"/>
    <w:rsid w:val="00FC5B49"/>
    <w:rsid w:val="00FC5CE5"/>
    <w:rsid w:val="00FC5F9D"/>
    <w:rsid w:val="00FC6208"/>
    <w:rsid w:val="00FC6725"/>
    <w:rsid w:val="00FC6744"/>
    <w:rsid w:val="00FC678E"/>
    <w:rsid w:val="00FC679B"/>
    <w:rsid w:val="00FC6EDA"/>
    <w:rsid w:val="00FC7061"/>
    <w:rsid w:val="00FC72F0"/>
    <w:rsid w:val="00FC7344"/>
    <w:rsid w:val="00FC74B5"/>
    <w:rsid w:val="00FC7793"/>
    <w:rsid w:val="00FC77FA"/>
    <w:rsid w:val="00FC7C75"/>
    <w:rsid w:val="00FC7ED7"/>
    <w:rsid w:val="00FC7ED9"/>
    <w:rsid w:val="00FD021F"/>
    <w:rsid w:val="00FD06AB"/>
    <w:rsid w:val="00FD079A"/>
    <w:rsid w:val="00FD08A8"/>
    <w:rsid w:val="00FD09C5"/>
    <w:rsid w:val="00FD0D14"/>
    <w:rsid w:val="00FD109B"/>
    <w:rsid w:val="00FD1569"/>
    <w:rsid w:val="00FD1746"/>
    <w:rsid w:val="00FD19F7"/>
    <w:rsid w:val="00FD1B35"/>
    <w:rsid w:val="00FD1CEA"/>
    <w:rsid w:val="00FD1D2B"/>
    <w:rsid w:val="00FD1F6A"/>
    <w:rsid w:val="00FD206B"/>
    <w:rsid w:val="00FD238F"/>
    <w:rsid w:val="00FD25CB"/>
    <w:rsid w:val="00FD26AC"/>
    <w:rsid w:val="00FD26FD"/>
    <w:rsid w:val="00FD2712"/>
    <w:rsid w:val="00FD27DA"/>
    <w:rsid w:val="00FD2CDC"/>
    <w:rsid w:val="00FD2D8C"/>
    <w:rsid w:val="00FD3022"/>
    <w:rsid w:val="00FD3218"/>
    <w:rsid w:val="00FD32FD"/>
    <w:rsid w:val="00FD33A8"/>
    <w:rsid w:val="00FD37BD"/>
    <w:rsid w:val="00FD3A0E"/>
    <w:rsid w:val="00FD3AB3"/>
    <w:rsid w:val="00FD3B9B"/>
    <w:rsid w:val="00FD3C66"/>
    <w:rsid w:val="00FD3F78"/>
    <w:rsid w:val="00FD4629"/>
    <w:rsid w:val="00FD4767"/>
    <w:rsid w:val="00FD4B04"/>
    <w:rsid w:val="00FD4D20"/>
    <w:rsid w:val="00FD4E37"/>
    <w:rsid w:val="00FD4E3B"/>
    <w:rsid w:val="00FD54FA"/>
    <w:rsid w:val="00FD55F0"/>
    <w:rsid w:val="00FD5B44"/>
    <w:rsid w:val="00FD5BC8"/>
    <w:rsid w:val="00FD5BF2"/>
    <w:rsid w:val="00FD5C17"/>
    <w:rsid w:val="00FD5E9E"/>
    <w:rsid w:val="00FD67BD"/>
    <w:rsid w:val="00FD681A"/>
    <w:rsid w:val="00FD68CF"/>
    <w:rsid w:val="00FD6D9F"/>
    <w:rsid w:val="00FD6E30"/>
    <w:rsid w:val="00FD6F21"/>
    <w:rsid w:val="00FD6F24"/>
    <w:rsid w:val="00FD7079"/>
    <w:rsid w:val="00FD70A3"/>
    <w:rsid w:val="00FD73BE"/>
    <w:rsid w:val="00FD7430"/>
    <w:rsid w:val="00FD74DA"/>
    <w:rsid w:val="00FD75E3"/>
    <w:rsid w:val="00FD76A2"/>
    <w:rsid w:val="00FD7713"/>
    <w:rsid w:val="00FD79C3"/>
    <w:rsid w:val="00FD7AE2"/>
    <w:rsid w:val="00FD7BC7"/>
    <w:rsid w:val="00FD7CA7"/>
    <w:rsid w:val="00FE000F"/>
    <w:rsid w:val="00FE00D4"/>
    <w:rsid w:val="00FE0585"/>
    <w:rsid w:val="00FE0A94"/>
    <w:rsid w:val="00FE0B66"/>
    <w:rsid w:val="00FE0B93"/>
    <w:rsid w:val="00FE0C1E"/>
    <w:rsid w:val="00FE10F7"/>
    <w:rsid w:val="00FE12B4"/>
    <w:rsid w:val="00FE1564"/>
    <w:rsid w:val="00FE16FC"/>
    <w:rsid w:val="00FE195E"/>
    <w:rsid w:val="00FE1AAA"/>
    <w:rsid w:val="00FE2248"/>
    <w:rsid w:val="00FE2274"/>
    <w:rsid w:val="00FE26C9"/>
    <w:rsid w:val="00FE29B6"/>
    <w:rsid w:val="00FE29D9"/>
    <w:rsid w:val="00FE2B8D"/>
    <w:rsid w:val="00FE2D95"/>
    <w:rsid w:val="00FE2EF2"/>
    <w:rsid w:val="00FE2F0B"/>
    <w:rsid w:val="00FE2F50"/>
    <w:rsid w:val="00FE366C"/>
    <w:rsid w:val="00FE389B"/>
    <w:rsid w:val="00FE3C46"/>
    <w:rsid w:val="00FE3E21"/>
    <w:rsid w:val="00FE40D6"/>
    <w:rsid w:val="00FE42F4"/>
    <w:rsid w:val="00FE45A8"/>
    <w:rsid w:val="00FE45BF"/>
    <w:rsid w:val="00FE4608"/>
    <w:rsid w:val="00FE4999"/>
    <w:rsid w:val="00FE4C4A"/>
    <w:rsid w:val="00FE4D7D"/>
    <w:rsid w:val="00FE4D88"/>
    <w:rsid w:val="00FE5423"/>
    <w:rsid w:val="00FE55B4"/>
    <w:rsid w:val="00FE55D7"/>
    <w:rsid w:val="00FE5600"/>
    <w:rsid w:val="00FE5AC7"/>
    <w:rsid w:val="00FE5FB1"/>
    <w:rsid w:val="00FE60B3"/>
    <w:rsid w:val="00FE612D"/>
    <w:rsid w:val="00FE6366"/>
    <w:rsid w:val="00FE6388"/>
    <w:rsid w:val="00FE645E"/>
    <w:rsid w:val="00FE65E6"/>
    <w:rsid w:val="00FE6815"/>
    <w:rsid w:val="00FE68E0"/>
    <w:rsid w:val="00FE68F2"/>
    <w:rsid w:val="00FE690D"/>
    <w:rsid w:val="00FE6B9F"/>
    <w:rsid w:val="00FE6D69"/>
    <w:rsid w:val="00FE6EBD"/>
    <w:rsid w:val="00FE718C"/>
    <w:rsid w:val="00FE727D"/>
    <w:rsid w:val="00FE734A"/>
    <w:rsid w:val="00FE7354"/>
    <w:rsid w:val="00FE75D4"/>
    <w:rsid w:val="00FE77E0"/>
    <w:rsid w:val="00FE7A27"/>
    <w:rsid w:val="00FF0061"/>
    <w:rsid w:val="00FF00F1"/>
    <w:rsid w:val="00FF05D5"/>
    <w:rsid w:val="00FF0770"/>
    <w:rsid w:val="00FF079D"/>
    <w:rsid w:val="00FF0ECA"/>
    <w:rsid w:val="00FF1132"/>
    <w:rsid w:val="00FF122D"/>
    <w:rsid w:val="00FF16D0"/>
    <w:rsid w:val="00FF1E89"/>
    <w:rsid w:val="00FF1FB0"/>
    <w:rsid w:val="00FF2877"/>
    <w:rsid w:val="00FF2A97"/>
    <w:rsid w:val="00FF2A9E"/>
    <w:rsid w:val="00FF2B1C"/>
    <w:rsid w:val="00FF2B20"/>
    <w:rsid w:val="00FF2F1E"/>
    <w:rsid w:val="00FF2F21"/>
    <w:rsid w:val="00FF301F"/>
    <w:rsid w:val="00FF32DE"/>
    <w:rsid w:val="00FF3355"/>
    <w:rsid w:val="00FF3553"/>
    <w:rsid w:val="00FF37AC"/>
    <w:rsid w:val="00FF384D"/>
    <w:rsid w:val="00FF3DB2"/>
    <w:rsid w:val="00FF3FC7"/>
    <w:rsid w:val="00FF4091"/>
    <w:rsid w:val="00FF46DA"/>
    <w:rsid w:val="00FF4C8B"/>
    <w:rsid w:val="00FF4DA9"/>
    <w:rsid w:val="00FF500B"/>
    <w:rsid w:val="00FF525F"/>
    <w:rsid w:val="00FF5281"/>
    <w:rsid w:val="00FF5634"/>
    <w:rsid w:val="00FF56BA"/>
    <w:rsid w:val="00FF5892"/>
    <w:rsid w:val="00FF59D1"/>
    <w:rsid w:val="00FF5A03"/>
    <w:rsid w:val="00FF5B29"/>
    <w:rsid w:val="00FF5C68"/>
    <w:rsid w:val="00FF6243"/>
    <w:rsid w:val="00FF628F"/>
    <w:rsid w:val="00FF63C0"/>
    <w:rsid w:val="00FF63D9"/>
    <w:rsid w:val="00FF6484"/>
    <w:rsid w:val="00FF6496"/>
    <w:rsid w:val="00FF660E"/>
    <w:rsid w:val="00FF6785"/>
    <w:rsid w:val="00FF695D"/>
    <w:rsid w:val="00FF69F6"/>
    <w:rsid w:val="00FF6CFB"/>
    <w:rsid w:val="00FF6E80"/>
    <w:rsid w:val="00FF6F5B"/>
    <w:rsid w:val="00FF717D"/>
    <w:rsid w:val="00FF71A2"/>
    <w:rsid w:val="00FF7C9F"/>
    <w:rsid w:val="00FF7CD3"/>
    <w:rsid w:val="00FF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125B"/>
  <w15:chartTrackingRefBased/>
  <w15:docId w15:val="{AF34FDDB-9406-4BB6-BDCD-1CC3CA99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D2"/>
    <w:pPr>
      <w:spacing w:before="120" w:after="120" w:line="240" w:lineRule="auto"/>
    </w:pPr>
    <w:rPr>
      <w:rFonts w:ascii="Times New Roman" w:hAnsi="Times New Roman"/>
      <w:sz w:val="23"/>
    </w:rPr>
  </w:style>
  <w:style w:type="paragraph" w:styleId="Heading1">
    <w:name w:val="heading 1"/>
    <w:basedOn w:val="Normal"/>
    <w:next w:val="Normal"/>
    <w:link w:val="Heading1Char"/>
    <w:uiPriority w:val="99"/>
    <w:qFormat/>
    <w:rsid w:val="00390A7B"/>
    <w:pPr>
      <w:keepNext/>
      <w:keepLines/>
      <w:autoSpaceDE w:val="0"/>
      <w:autoSpaceDN w:val="0"/>
      <w:adjustRightInd w:val="0"/>
      <w:spacing w:before="240"/>
      <w:ind w:left="567" w:hanging="567"/>
      <w:contextualSpacing/>
      <w:outlineLvl w:val="0"/>
    </w:pPr>
    <w:rPr>
      <w:rFonts w:eastAsiaTheme="majorEastAsia" w:cs="Times New Roman"/>
      <w:b/>
      <w:color w:val="000000"/>
      <w:sz w:val="34"/>
      <w:szCs w:val="32"/>
    </w:rPr>
  </w:style>
  <w:style w:type="paragraph" w:styleId="Heading2">
    <w:name w:val="heading 2"/>
    <w:basedOn w:val="Normal"/>
    <w:next w:val="Heading3"/>
    <w:link w:val="Heading2Char"/>
    <w:uiPriority w:val="99"/>
    <w:unhideWhenUsed/>
    <w:qFormat/>
    <w:rsid w:val="00EB0DC1"/>
    <w:pPr>
      <w:keepLines/>
      <w:autoSpaceDE w:val="0"/>
      <w:autoSpaceDN w:val="0"/>
      <w:adjustRightInd w:val="0"/>
      <w:spacing w:before="240"/>
      <w:ind w:left="567" w:hanging="567"/>
      <w:contextualSpacing/>
      <w:outlineLvl w:val="1"/>
    </w:pPr>
    <w:rPr>
      <w:rFonts w:eastAsiaTheme="majorEastAsia" w:cstheme="majorBidi"/>
      <w:b/>
      <w:bCs/>
      <w:sz w:val="32"/>
      <w:szCs w:val="26"/>
    </w:rPr>
  </w:style>
  <w:style w:type="paragraph" w:styleId="Heading3">
    <w:name w:val="heading 3"/>
    <w:basedOn w:val="Normal"/>
    <w:next w:val="IndentedPara"/>
    <w:link w:val="Heading3Char"/>
    <w:uiPriority w:val="99"/>
    <w:unhideWhenUsed/>
    <w:qFormat/>
    <w:rsid w:val="003B37C6"/>
    <w:pPr>
      <w:keepNext/>
      <w:keepLines/>
      <w:ind w:left="567" w:hanging="567"/>
      <w:contextualSpacing/>
      <w:outlineLvl w:val="2"/>
    </w:pPr>
    <w:rPr>
      <w:rFonts w:eastAsiaTheme="majorEastAsia" w:cstheme="majorBidi"/>
      <w:b/>
      <w:sz w:val="28"/>
      <w:szCs w:val="24"/>
    </w:rPr>
  </w:style>
  <w:style w:type="paragraph" w:styleId="Heading4">
    <w:name w:val="heading 4"/>
    <w:basedOn w:val="Normal"/>
    <w:next w:val="IndentedPara"/>
    <w:link w:val="Heading4Char"/>
    <w:uiPriority w:val="99"/>
    <w:unhideWhenUsed/>
    <w:qFormat/>
    <w:rsid w:val="004057D2"/>
    <w:pPr>
      <w:keepNext/>
      <w:keepLines/>
      <w:ind w:left="567" w:hanging="567"/>
      <w:outlineLvl w:val="3"/>
    </w:pPr>
    <w:rPr>
      <w:rFonts w:eastAsiaTheme="majorEastAsia" w:cstheme="majorBidi"/>
      <w:b/>
      <w:iCs/>
      <w:sz w:val="26"/>
      <w:szCs w:val="28"/>
    </w:rPr>
  </w:style>
  <w:style w:type="paragraph" w:styleId="Heading5">
    <w:name w:val="heading 5"/>
    <w:basedOn w:val="Normal"/>
    <w:next w:val="Normal"/>
    <w:link w:val="Heading5Char"/>
    <w:uiPriority w:val="99"/>
    <w:unhideWhenUsed/>
    <w:qFormat/>
    <w:rsid w:val="00036B64"/>
    <w:pPr>
      <w:overflowPunct w:val="0"/>
      <w:autoSpaceDE w:val="0"/>
      <w:autoSpaceDN w:val="0"/>
      <w:adjustRightInd w:val="0"/>
      <w:spacing w:before="240" w:after="60"/>
      <w:jc w:val="both"/>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unhideWhenUsed/>
    <w:qFormat/>
    <w:rsid w:val="00036B64"/>
    <w:pPr>
      <w:overflowPunct w:val="0"/>
      <w:autoSpaceDE w:val="0"/>
      <w:autoSpaceDN w:val="0"/>
      <w:adjustRightInd w:val="0"/>
      <w:spacing w:before="240" w:after="60"/>
      <w:jc w:val="both"/>
      <w:textAlignment w:val="baseline"/>
      <w:outlineLvl w:val="5"/>
    </w:pPr>
    <w:rPr>
      <w:rFonts w:ascii="Arial" w:eastAsia="Times New Roman" w:hAnsi="Arial" w:cs="Times New Roman"/>
      <w:b/>
      <w:bCs/>
      <w:sz w:val="22"/>
    </w:rPr>
  </w:style>
  <w:style w:type="paragraph" w:styleId="Heading7">
    <w:name w:val="heading 7"/>
    <w:basedOn w:val="Normal"/>
    <w:next w:val="Normal"/>
    <w:link w:val="Heading7Char"/>
    <w:uiPriority w:val="99"/>
    <w:unhideWhenUsed/>
    <w:qFormat/>
    <w:rsid w:val="00036B64"/>
    <w:pPr>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uiPriority w:val="9"/>
    <w:semiHidden/>
    <w:unhideWhenUsed/>
    <w:qFormat/>
    <w:rsid w:val="00346D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6B64"/>
    <w:pPr>
      <w:keepNext/>
      <w:keepLines/>
      <w:spacing w:before="40" w:after="0"/>
      <w:outlineLvl w:val="8"/>
    </w:pPr>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750"/>
    <w:rPr>
      <w:rFonts w:ascii="Times New Roman" w:eastAsiaTheme="majorEastAsia" w:hAnsi="Times New Roman" w:cs="Times New Roman"/>
      <w:b/>
      <w:color w:val="000000"/>
      <w:sz w:val="34"/>
      <w:szCs w:val="32"/>
    </w:rPr>
  </w:style>
  <w:style w:type="character" w:customStyle="1" w:styleId="Heading2Char">
    <w:name w:val="Heading 2 Char"/>
    <w:basedOn w:val="DefaultParagraphFont"/>
    <w:link w:val="Heading2"/>
    <w:uiPriority w:val="99"/>
    <w:rsid w:val="00EB0DC1"/>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9"/>
    <w:rsid w:val="00390A7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9"/>
    <w:rsid w:val="00137E11"/>
    <w:rPr>
      <w:rFonts w:ascii="Times New Roman" w:eastAsiaTheme="majorEastAsia" w:hAnsi="Times New Roman" w:cstheme="majorBidi"/>
      <w:b/>
      <w:iCs/>
      <w:sz w:val="26"/>
      <w:szCs w:val="28"/>
    </w:rPr>
  </w:style>
  <w:style w:type="character" w:customStyle="1" w:styleId="Heading8Char">
    <w:name w:val="Heading 8 Char"/>
    <w:basedOn w:val="DefaultParagraphFont"/>
    <w:link w:val="Heading8"/>
    <w:uiPriority w:val="9"/>
    <w:semiHidden/>
    <w:rsid w:val="00346D84"/>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1A37A7"/>
    <w:pPr>
      <w:ind w:left="720"/>
      <w:contextualSpacing/>
    </w:pPr>
  </w:style>
  <w:style w:type="paragraph" w:styleId="Header">
    <w:name w:val="header"/>
    <w:basedOn w:val="Normal"/>
    <w:link w:val="HeaderChar"/>
    <w:uiPriority w:val="99"/>
    <w:unhideWhenUsed/>
    <w:rsid w:val="000E4DC7"/>
    <w:pPr>
      <w:tabs>
        <w:tab w:val="center" w:pos="4513"/>
        <w:tab w:val="right" w:pos="9026"/>
      </w:tabs>
      <w:spacing w:after="0"/>
    </w:pPr>
  </w:style>
  <w:style w:type="character" w:customStyle="1" w:styleId="HeaderChar">
    <w:name w:val="Header Char"/>
    <w:basedOn w:val="DefaultParagraphFont"/>
    <w:link w:val="Header"/>
    <w:uiPriority w:val="99"/>
    <w:rsid w:val="000E4DC7"/>
  </w:style>
  <w:style w:type="paragraph" w:styleId="Footer">
    <w:name w:val="footer"/>
    <w:basedOn w:val="Normal"/>
    <w:link w:val="FooterChar"/>
    <w:uiPriority w:val="99"/>
    <w:unhideWhenUsed/>
    <w:rsid w:val="000E4DC7"/>
    <w:pPr>
      <w:tabs>
        <w:tab w:val="center" w:pos="4513"/>
        <w:tab w:val="right" w:pos="9026"/>
      </w:tabs>
      <w:spacing w:after="0"/>
    </w:pPr>
  </w:style>
  <w:style w:type="character" w:customStyle="1" w:styleId="FooterChar">
    <w:name w:val="Footer Char"/>
    <w:basedOn w:val="DefaultParagraphFont"/>
    <w:link w:val="Footer"/>
    <w:uiPriority w:val="99"/>
    <w:rsid w:val="000E4DC7"/>
  </w:style>
  <w:style w:type="character" w:styleId="Hyperlink">
    <w:name w:val="Hyperlink"/>
    <w:basedOn w:val="DefaultParagraphFont"/>
    <w:uiPriority w:val="99"/>
    <w:unhideWhenUsed/>
    <w:rsid w:val="00B52DE1"/>
    <w:rPr>
      <w:color w:val="0000FF"/>
      <w:u w:val="single"/>
    </w:rPr>
  </w:style>
  <w:style w:type="table" w:styleId="TableGrid">
    <w:name w:val="Table Grid"/>
    <w:basedOn w:val="TableNormal"/>
    <w:uiPriority w:val="59"/>
    <w:rsid w:val="0022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dent">
    <w:name w:val="Hang indent"/>
    <w:basedOn w:val="Normal"/>
    <w:qFormat/>
    <w:rsid w:val="00134BB3"/>
    <w:pPr>
      <w:ind w:left="1134" w:hanging="567"/>
      <w:jc w:val="both"/>
    </w:pPr>
    <w:rPr>
      <w:szCs w:val="23"/>
    </w:rPr>
  </w:style>
  <w:style w:type="paragraph" w:customStyle="1" w:styleId="Doublehangindent">
    <w:name w:val="Double hang indent"/>
    <w:basedOn w:val="Hangindent"/>
    <w:qFormat/>
    <w:rsid w:val="00134BB3"/>
    <w:pPr>
      <w:ind w:left="1701"/>
    </w:pPr>
  </w:style>
  <w:style w:type="character" w:styleId="CommentReference">
    <w:name w:val="annotation reference"/>
    <w:basedOn w:val="DefaultParagraphFont"/>
    <w:uiPriority w:val="99"/>
    <w:unhideWhenUsed/>
    <w:rsid w:val="00A417B8"/>
    <w:rPr>
      <w:sz w:val="16"/>
      <w:szCs w:val="16"/>
    </w:rPr>
  </w:style>
  <w:style w:type="paragraph" w:styleId="CommentText">
    <w:name w:val="annotation text"/>
    <w:basedOn w:val="Normal"/>
    <w:link w:val="CommentTextChar"/>
    <w:uiPriority w:val="99"/>
    <w:unhideWhenUsed/>
    <w:rsid w:val="00A417B8"/>
    <w:pPr>
      <w:spacing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A417B8"/>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A417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417B8"/>
    <w:rPr>
      <w:rFonts w:ascii="Segoe UI" w:hAnsi="Segoe UI" w:cs="Segoe UI"/>
      <w:sz w:val="18"/>
      <w:szCs w:val="18"/>
    </w:rPr>
  </w:style>
  <w:style w:type="paragraph" w:styleId="NormalWeb">
    <w:name w:val="Normal (Web)"/>
    <w:basedOn w:val="Normal"/>
    <w:uiPriority w:val="99"/>
    <w:unhideWhenUsed/>
    <w:rsid w:val="006874CC"/>
    <w:pPr>
      <w:spacing w:before="100" w:beforeAutospacing="1" w:after="100" w:afterAutospacing="1"/>
    </w:pPr>
    <w:rPr>
      <w:rFonts w:eastAsia="Times New Roman" w:cs="Times New Roman"/>
      <w:sz w:val="24"/>
      <w:szCs w:val="24"/>
      <w:lang w:eastAsia="en-AU"/>
    </w:rPr>
  </w:style>
  <w:style w:type="paragraph" w:customStyle="1" w:styleId="IndentedPara">
    <w:name w:val="IndentedPara"/>
    <w:basedOn w:val="Normal"/>
    <w:next w:val="Hangindent"/>
    <w:qFormat/>
    <w:rsid w:val="00134BB3"/>
    <w:pPr>
      <w:tabs>
        <w:tab w:val="left" w:pos="851"/>
      </w:tabs>
      <w:autoSpaceDE w:val="0"/>
      <w:autoSpaceDN w:val="0"/>
      <w:adjustRightInd w:val="0"/>
      <w:ind w:left="567"/>
      <w:jc w:val="both"/>
    </w:pPr>
    <w:rPr>
      <w:rFonts w:eastAsia="Times New Roman" w:cs="Times New Roman"/>
      <w:color w:val="000000"/>
      <w:szCs w:val="23"/>
      <w:lang w:val="en-US"/>
    </w:rPr>
  </w:style>
  <w:style w:type="paragraph" w:styleId="TOC1">
    <w:name w:val="toc 1"/>
    <w:basedOn w:val="Normal"/>
    <w:next w:val="Normal"/>
    <w:link w:val="TOC1Char"/>
    <w:autoRedefine/>
    <w:uiPriority w:val="39"/>
    <w:unhideWhenUsed/>
    <w:rsid w:val="00BE3EF8"/>
    <w:pPr>
      <w:keepNext/>
      <w:keepLines/>
      <w:tabs>
        <w:tab w:val="right" w:leader="dot" w:pos="9016"/>
      </w:tabs>
      <w:autoSpaceDE w:val="0"/>
      <w:autoSpaceDN w:val="0"/>
      <w:adjustRightInd w:val="0"/>
      <w:spacing w:before="240" w:after="100"/>
      <w:ind w:left="567" w:hanging="567"/>
      <w:jc w:val="both"/>
      <w:outlineLvl w:val="0"/>
    </w:pPr>
    <w:rPr>
      <w:rFonts w:eastAsia="Times New Roman" w:cs="Times New Roman"/>
      <w:b/>
      <w:bCs/>
      <w:color w:val="000000"/>
      <w:sz w:val="24"/>
      <w:szCs w:val="34"/>
      <w:lang w:val="en-US"/>
    </w:rPr>
  </w:style>
  <w:style w:type="paragraph" w:customStyle="1" w:styleId="NoteHeader">
    <w:name w:val="NoteHeader"/>
    <w:basedOn w:val="Normal"/>
    <w:qFormat/>
    <w:rsid w:val="00741798"/>
    <w:pPr>
      <w:autoSpaceDE w:val="0"/>
      <w:autoSpaceDN w:val="0"/>
      <w:adjustRightInd w:val="0"/>
      <w:spacing w:after="0"/>
      <w:ind w:left="1134"/>
    </w:pPr>
    <w:rPr>
      <w:rFonts w:cs="Times New Roman"/>
      <w:b/>
      <w:bCs/>
      <w:sz w:val="20"/>
      <w:szCs w:val="20"/>
    </w:rPr>
  </w:style>
  <w:style w:type="paragraph" w:customStyle="1" w:styleId="NoteText">
    <w:name w:val="NoteText"/>
    <w:basedOn w:val="Normal"/>
    <w:qFormat/>
    <w:rsid w:val="00741798"/>
    <w:pPr>
      <w:autoSpaceDE w:val="0"/>
      <w:autoSpaceDN w:val="0"/>
      <w:adjustRightInd w:val="0"/>
      <w:spacing w:after="0"/>
      <w:ind w:left="1418"/>
      <w:jc w:val="both"/>
    </w:pPr>
    <w:rPr>
      <w:rFonts w:cs="Times New Roman"/>
      <w:sz w:val="20"/>
      <w:szCs w:val="20"/>
    </w:rPr>
  </w:style>
  <w:style w:type="paragraph" w:customStyle="1" w:styleId="Triplehangindent">
    <w:name w:val="Triple hang indent"/>
    <w:basedOn w:val="Normal"/>
    <w:qFormat/>
    <w:rsid w:val="006F38BF"/>
    <w:pPr>
      <w:autoSpaceDE w:val="0"/>
      <w:autoSpaceDN w:val="0"/>
      <w:adjustRightInd w:val="0"/>
      <w:ind w:left="2268" w:hanging="567"/>
      <w:jc w:val="both"/>
    </w:pPr>
    <w:rPr>
      <w:rFonts w:cs="Times New Roman"/>
      <w:color w:val="000000"/>
      <w:szCs w:val="23"/>
      <w:lang w:val="en-US"/>
    </w:rPr>
  </w:style>
  <w:style w:type="paragraph" w:customStyle="1" w:styleId="Doubleindentedpara">
    <w:name w:val="Double indented para"/>
    <w:basedOn w:val="IndentedPara"/>
    <w:qFormat/>
    <w:rsid w:val="00F05D91"/>
    <w:pPr>
      <w:ind w:left="1134"/>
    </w:pPr>
  </w:style>
  <w:style w:type="paragraph" w:styleId="TOC2">
    <w:name w:val="toc 2"/>
    <w:basedOn w:val="Normal"/>
    <w:next w:val="Normal"/>
    <w:autoRedefine/>
    <w:uiPriority w:val="39"/>
    <w:unhideWhenUsed/>
    <w:rsid w:val="00174664"/>
    <w:pPr>
      <w:keepNext/>
      <w:tabs>
        <w:tab w:val="right" w:leader="dot" w:pos="9016"/>
      </w:tabs>
      <w:autoSpaceDE w:val="0"/>
      <w:autoSpaceDN w:val="0"/>
      <w:adjustRightInd w:val="0"/>
      <w:ind w:left="851" w:hanging="567"/>
      <w:jc w:val="both"/>
      <w:outlineLvl w:val="1"/>
    </w:pPr>
    <w:rPr>
      <w:rFonts w:eastAsia="Times New Roman" w:cs="Times New Roman"/>
      <w:b/>
      <w:bCs/>
      <w:color w:val="000000"/>
      <w:sz w:val="22"/>
      <w:szCs w:val="32"/>
      <w:lang w:val="en-US"/>
    </w:rPr>
  </w:style>
  <w:style w:type="paragraph" w:styleId="TOC3">
    <w:name w:val="toc 3"/>
    <w:basedOn w:val="Normal"/>
    <w:next w:val="Normal"/>
    <w:autoRedefine/>
    <w:uiPriority w:val="39"/>
    <w:unhideWhenUsed/>
    <w:rsid w:val="00D95E1A"/>
    <w:pPr>
      <w:tabs>
        <w:tab w:val="right" w:leader="dot" w:pos="9016"/>
      </w:tabs>
      <w:ind w:left="567"/>
      <w:jc w:val="both"/>
    </w:pPr>
    <w:rPr>
      <w:b/>
      <w:sz w:val="21"/>
    </w:rPr>
  </w:style>
  <w:style w:type="paragraph" w:styleId="TOC4">
    <w:name w:val="toc 4"/>
    <w:basedOn w:val="Normal"/>
    <w:next w:val="Normal"/>
    <w:autoRedefine/>
    <w:uiPriority w:val="39"/>
    <w:unhideWhenUsed/>
    <w:rsid w:val="007447B2"/>
    <w:pPr>
      <w:tabs>
        <w:tab w:val="right" w:leader="dot" w:pos="9016"/>
      </w:tabs>
      <w:ind w:left="851"/>
      <w:contextualSpacing/>
      <w:jc w:val="both"/>
    </w:pPr>
    <w:rPr>
      <w:sz w:val="20"/>
    </w:rPr>
  </w:style>
  <w:style w:type="paragraph" w:styleId="TOC5">
    <w:name w:val="toc 5"/>
    <w:basedOn w:val="Normal"/>
    <w:next w:val="Normal"/>
    <w:autoRedefine/>
    <w:uiPriority w:val="39"/>
    <w:unhideWhenUsed/>
    <w:rsid w:val="00F474D2"/>
    <w:pPr>
      <w:spacing w:before="0"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474D2"/>
    <w:pPr>
      <w:spacing w:before="0"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474D2"/>
    <w:pPr>
      <w:spacing w:before="0"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474D2"/>
    <w:pPr>
      <w:spacing w:before="0"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474D2"/>
    <w:pPr>
      <w:spacing w:before="0" w:after="100" w:line="259" w:lineRule="auto"/>
      <w:ind w:left="1760"/>
    </w:pPr>
    <w:rPr>
      <w:rFonts w:asciiTheme="minorHAnsi" w:eastAsiaTheme="minorEastAsia" w:hAnsiTheme="minorHAnsi"/>
      <w:sz w:val="22"/>
      <w:lang w:eastAsia="en-AU"/>
    </w:rPr>
  </w:style>
  <w:style w:type="paragraph" w:customStyle="1" w:styleId="Doublehangingindent">
    <w:name w:val="Double hanging indent"/>
    <w:basedOn w:val="Hangindent"/>
    <w:qFormat/>
    <w:rsid w:val="00DC1465"/>
    <w:pPr>
      <w:spacing w:before="0" w:line="259" w:lineRule="auto"/>
      <w:ind w:left="1985"/>
      <w:jc w:val="left"/>
    </w:pPr>
    <w:rPr>
      <w:rFonts w:asciiTheme="minorHAnsi" w:hAnsiTheme="minorHAnsi"/>
      <w:sz w:val="22"/>
    </w:rPr>
  </w:style>
  <w:style w:type="character" w:customStyle="1" w:styleId="UnresolvedMention1">
    <w:name w:val="Unresolved Mention1"/>
    <w:basedOn w:val="DefaultParagraphFont"/>
    <w:uiPriority w:val="99"/>
    <w:semiHidden/>
    <w:unhideWhenUsed/>
    <w:rsid w:val="00116B57"/>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86993"/>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68699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26C98"/>
    <w:rPr>
      <w:color w:val="808080"/>
      <w:shd w:val="clear" w:color="auto" w:fill="E6E6E6"/>
    </w:rPr>
  </w:style>
  <w:style w:type="character" w:customStyle="1" w:styleId="UnresolvedMention3">
    <w:name w:val="Unresolved Mention3"/>
    <w:basedOn w:val="DefaultParagraphFont"/>
    <w:uiPriority w:val="99"/>
    <w:semiHidden/>
    <w:unhideWhenUsed/>
    <w:rsid w:val="000F4242"/>
    <w:rPr>
      <w:color w:val="808080"/>
      <w:shd w:val="clear" w:color="auto" w:fill="E6E6E6"/>
    </w:rPr>
  </w:style>
  <w:style w:type="paragraph" w:customStyle="1" w:styleId="preamblehead">
    <w:name w:val="preamblehead"/>
    <w:uiPriority w:val="99"/>
    <w:rsid w:val="002C277D"/>
    <w:pPr>
      <w:keepNext/>
      <w:keepLines/>
      <w:autoSpaceDE w:val="0"/>
      <w:autoSpaceDN w:val="0"/>
      <w:adjustRightInd w:val="0"/>
      <w:spacing w:before="120" w:after="0" w:line="240" w:lineRule="auto"/>
    </w:pPr>
    <w:rPr>
      <w:rFonts w:ascii="Times New Roman" w:eastAsia="Times New Roman" w:hAnsi="Times New Roman" w:cs="Times New Roman"/>
      <w:b/>
      <w:bCs/>
      <w:color w:val="000000"/>
      <w:sz w:val="32"/>
      <w:szCs w:val="32"/>
      <w:lang w:val="en-US"/>
    </w:rPr>
  </w:style>
  <w:style w:type="character" w:customStyle="1" w:styleId="UnresolvedMention4">
    <w:name w:val="Unresolved Mention4"/>
    <w:basedOn w:val="DefaultParagraphFont"/>
    <w:uiPriority w:val="99"/>
    <w:semiHidden/>
    <w:unhideWhenUsed/>
    <w:rsid w:val="00754135"/>
    <w:rPr>
      <w:color w:val="808080"/>
      <w:shd w:val="clear" w:color="auto" w:fill="E6E6E6"/>
    </w:rPr>
  </w:style>
  <w:style w:type="character" w:styleId="Emphasis">
    <w:name w:val="Emphasis"/>
    <w:basedOn w:val="DefaultParagraphFont"/>
    <w:uiPriority w:val="20"/>
    <w:qFormat/>
    <w:rsid w:val="00B63BAC"/>
    <w:rPr>
      <w:rFonts w:asciiTheme="minorHAnsi" w:hAnsiTheme="minorHAnsi"/>
      <w:b/>
      <w:i/>
      <w:iCs/>
    </w:rPr>
  </w:style>
  <w:style w:type="character" w:customStyle="1" w:styleId="UnresolvedMention5">
    <w:name w:val="Unresolved Mention5"/>
    <w:basedOn w:val="DefaultParagraphFont"/>
    <w:uiPriority w:val="99"/>
    <w:semiHidden/>
    <w:unhideWhenUsed/>
    <w:rsid w:val="00646088"/>
    <w:rPr>
      <w:color w:val="808080"/>
      <w:shd w:val="clear" w:color="auto" w:fill="E6E6E6"/>
    </w:rPr>
  </w:style>
  <w:style w:type="character" w:customStyle="1" w:styleId="UnresolvedMention6">
    <w:name w:val="Unresolved Mention6"/>
    <w:basedOn w:val="DefaultParagraphFont"/>
    <w:uiPriority w:val="99"/>
    <w:semiHidden/>
    <w:unhideWhenUsed/>
    <w:rsid w:val="00B51417"/>
    <w:rPr>
      <w:color w:val="808080"/>
      <w:shd w:val="clear" w:color="auto" w:fill="E6E6E6"/>
    </w:rPr>
  </w:style>
  <w:style w:type="paragraph" w:customStyle="1" w:styleId="Default">
    <w:name w:val="Default"/>
    <w:uiPriority w:val="99"/>
    <w:rsid w:val="00B94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ara">
    <w:name w:val="Normal Para"/>
    <w:basedOn w:val="Normal"/>
    <w:uiPriority w:val="99"/>
    <w:rsid w:val="00F5786E"/>
    <w:pPr>
      <w:overflowPunct w:val="0"/>
      <w:autoSpaceDE w:val="0"/>
      <w:autoSpaceDN w:val="0"/>
      <w:adjustRightInd w:val="0"/>
      <w:spacing w:before="0" w:after="240" w:line="480" w:lineRule="auto"/>
      <w:jc w:val="both"/>
      <w:textAlignment w:val="baseline"/>
    </w:pPr>
    <w:rPr>
      <w:rFonts w:eastAsia="Times New Roman" w:cs="Times New Roman"/>
      <w:sz w:val="26"/>
      <w:szCs w:val="20"/>
    </w:rPr>
  </w:style>
  <w:style w:type="paragraph" w:customStyle="1" w:styleId="chapterhead">
    <w:name w:val="chapterhead"/>
    <w:uiPriority w:val="99"/>
    <w:rsid w:val="008C6A44"/>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sz w:val="34"/>
      <w:szCs w:val="34"/>
      <w:lang w:val="en-US"/>
    </w:rPr>
  </w:style>
  <w:style w:type="character" w:styleId="PageNumber">
    <w:name w:val="page number"/>
    <w:basedOn w:val="DefaultParagraphFont"/>
    <w:rsid w:val="00AF496A"/>
  </w:style>
  <w:style w:type="character" w:styleId="Strong">
    <w:name w:val="Strong"/>
    <w:basedOn w:val="DefaultParagraphFont"/>
    <w:uiPriority w:val="22"/>
    <w:qFormat/>
    <w:rsid w:val="001E6F8C"/>
    <w:rPr>
      <w:b/>
      <w:bCs/>
    </w:rPr>
  </w:style>
  <w:style w:type="paragraph" w:styleId="FootnoteText">
    <w:name w:val="footnote text"/>
    <w:basedOn w:val="Normal"/>
    <w:link w:val="FootnoteTextChar"/>
    <w:uiPriority w:val="99"/>
    <w:semiHidden/>
    <w:unhideWhenUsed/>
    <w:rsid w:val="00075B23"/>
    <w:pPr>
      <w:spacing w:before="0" w:after="0"/>
    </w:pPr>
    <w:rPr>
      <w:sz w:val="20"/>
      <w:szCs w:val="20"/>
    </w:rPr>
  </w:style>
  <w:style w:type="character" w:customStyle="1" w:styleId="FootnoteTextChar">
    <w:name w:val="Footnote Text Char"/>
    <w:basedOn w:val="DefaultParagraphFont"/>
    <w:link w:val="FootnoteText"/>
    <w:uiPriority w:val="99"/>
    <w:semiHidden/>
    <w:rsid w:val="00075B23"/>
    <w:rPr>
      <w:rFonts w:ascii="Times New Roman" w:hAnsi="Times New Roman"/>
      <w:sz w:val="20"/>
      <w:szCs w:val="20"/>
    </w:rPr>
  </w:style>
  <w:style w:type="character" w:styleId="FootnoteReference">
    <w:name w:val="footnote reference"/>
    <w:basedOn w:val="DefaultParagraphFont"/>
    <w:uiPriority w:val="99"/>
    <w:semiHidden/>
    <w:unhideWhenUsed/>
    <w:rsid w:val="00075B23"/>
    <w:rPr>
      <w:vertAlign w:val="superscript"/>
    </w:rPr>
  </w:style>
  <w:style w:type="paragraph" w:styleId="Revision">
    <w:name w:val="Revision"/>
    <w:hidden/>
    <w:uiPriority w:val="99"/>
    <w:semiHidden/>
    <w:rsid w:val="00075B23"/>
    <w:pPr>
      <w:spacing w:after="0" w:line="240" w:lineRule="auto"/>
    </w:pPr>
    <w:rPr>
      <w:rFonts w:ascii="Times New Roman" w:hAnsi="Times New Roman"/>
      <w:sz w:val="23"/>
    </w:rPr>
  </w:style>
  <w:style w:type="character" w:customStyle="1" w:styleId="UnresolvedMention7">
    <w:name w:val="Unresolved Mention7"/>
    <w:basedOn w:val="DefaultParagraphFont"/>
    <w:uiPriority w:val="99"/>
    <w:semiHidden/>
    <w:unhideWhenUsed/>
    <w:rsid w:val="00083AA0"/>
    <w:rPr>
      <w:color w:val="808080"/>
      <w:shd w:val="clear" w:color="auto" w:fill="E6E6E6"/>
    </w:rPr>
  </w:style>
  <w:style w:type="character" w:customStyle="1" w:styleId="UnresolvedMention8">
    <w:name w:val="Unresolved Mention8"/>
    <w:basedOn w:val="DefaultParagraphFont"/>
    <w:uiPriority w:val="99"/>
    <w:semiHidden/>
    <w:unhideWhenUsed/>
    <w:rsid w:val="00E80D71"/>
    <w:rPr>
      <w:color w:val="808080"/>
      <w:shd w:val="clear" w:color="auto" w:fill="E6E6E6"/>
    </w:rPr>
  </w:style>
  <w:style w:type="paragraph" w:customStyle="1" w:styleId="hangindent0">
    <w:name w:val="hangindent"/>
    <w:basedOn w:val="Normal"/>
    <w:rsid w:val="00EF3A52"/>
    <w:pPr>
      <w:spacing w:before="100" w:beforeAutospacing="1" w:after="100" w:afterAutospacing="1"/>
    </w:pPr>
    <w:rPr>
      <w:rFonts w:ascii="Calibri" w:hAnsi="Calibri" w:cs="Calibri"/>
      <w:sz w:val="22"/>
      <w:lang w:eastAsia="en-AU"/>
    </w:rPr>
  </w:style>
  <w:style w:type="paragraph" w:customStyle="1" w:styleId="indentedpara0">
    <w:name w:val="indentedpara"/>
    <w:basedOn w:val="Normal"/>
    <w:rsid w:val="00D800AA"/>
    <w:pPr>
      <w:spacing w:before="100" w:beforeAutospacing="1" w:after="100" w:afterAutospacing="1"/>
    </w:pPr>
    <w:rPr>
      <w:rFonts w:ascii="Calibri" w:hAnsi="Calibri" w:cs="Calibri"/>
      <w:sz w:val="22"/>
      <w:lang w:eastAsia="en-AU"/>
    </w:rPr>
  </w:style>
  <w:style w:type="character" w:styleId="FollowedHyperlink">
    <w:name w:val="FollowedHyperlink"/>
    <w:basedOn w:val="DefaultParagraphFont"/>
    <w:uiPriority w:val="99"/>
    <w:unhideWhenUsed/>
    <w:rsid w:val="00B60289"/>
    <w:rPr>
      <w:color w:val="954F72" w:themeColor="followedHyperlink"/>
      <w:u w:val="single"/>
    </w:rPr>
  </w:style>
  <w:style w:type="character" w:customStyle="1" w:styleId="UnresolvedMention9">
    <w:name w:val="Unresolved Mention9"/>
    <w:basedOn w:val="DefaultParagraphFont"/>
    <w:uiPriority w:val="99"/>
    <w:semiHidden/>
    <w:unhideWhenUsed/>
    <w:rsid w:val="009D3163"/>
    <w:rPr>
      <w:color w:val="808080"/>
      <w:shd w:val="clear" w:color="auto" w:fill="E6E6E6"/>
    </w:rPr>
  </w:style>
  <w:style w:type="character" w:customStyle="1" w:styleId="UnresolvedMention10">
    <w:name w:val="Unresolved Mention10"/>
    <w:basedOn w:val="DefaultParagraphFont"/>
    <w:uiPriority w:val="99"/>
    <w:semiHidden/>
    <w:unhideWhenUsed/>
    <w:rsid w:val="00976167"/>
    <w:rPr>
      <w:color w:val="808080"/>
      <w:shd w:val="clear" w:color="auto" w:fill="E6E6E6"/>
    </w:rPr>
  </w:style>
  <w:style w:type="paragraph" w:customStyle="1" w:styleId="subsection">
    <w:name w:val="subsection"/>
    <w:basedOn w:val="Normal"/>
    <w:rsid w:val="00054D32"/>
    <w:pPr>
      <w:spacing w:before="100" w:beforeAutospacing="1" w:after="100" w:afterAutospacing="1"/>
    </w:pPr>
    <w:rPr>
      <w:rFonts w:eastAsia="Times New Roman" w:cs="Times New Roman"/>
      <w:sz w:val="24"/>
      <w:szCs w:val="24"/>
      <w:lang w:eastAsia="en-AU"/>
    </w:rPr>
  </w:style>
  <w:style w:type="paragraph" w:customStyle="1" w:styleId="paragraph">
    <w:name w:val="paragraph"/>
    <w:basedOn w:val="Normal"/>
    <w:rsid w:val="00054D32"/>
    <w:pPr>
      <w:spacing w:before="100" w:beforeAutospacing="1" w:after="100" w:afterAutospacing="1"/>
    </w:pPr>
    <w:rPr>
      <w:rFonts w:eastAsia="Times New Roman" w:cs="Times New Roman"/>
      <w:sz w:val="24"/>
      <w:szCs w:val="24"/>
      <w:lang w:eastAsia="en-AU"/>
    </w:rPr>
  </w:style>
  <w:style w:type="paragraph" w:customStyle="1" w:styleId="paragraphsub">
    <w:name w:val="paragraphsub"/>
    <w:basedOn w:val="Normal"/>
    <w:rsid w:val="004371E4"/>
    <w:pPr>
      <w:spacing w:before="100" w:beforeAutospacing="1" w:after="100" w:afterAutospacing="1"/>
    </w:pPr>
    <w:rPr>
      <w:rFonts w:eastAsia="Times New Roman" w:cs="Times New Roman"/>
      <w:sz w:val="24"/>
      <w:szCs w:val="24"/>
      <w:lang w:eastAsia="en-AU"/>
    </w:rPr>
  </w:style>
  <w:style w:type="character" w:customStyle="1" w:styleId="Heading5Char">
    <w:name w:val="Heading 5 Char"/>
    <w:basedOn w:val="DefaultParagraphFont"/>
    <w:link w:val="Heading5"/>
    <w:uiPriority w:val="99"/>
    <w:semiHidden/>
    <w:rsid w:val="00036B64"/>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036B64"/>
    <w:rPr>
      <w:rFonts w:ascii="Arial" w:eastAsia="Times New Roman" w:hAnsi="Arial" w:cs="Times New Roman"/>
      <w:b/>
      <w:bCs/>
    </w:rPr>
  </w:style>
  <w:style w:type="character" w:customStyle="1" w:styleId="Heading7Char">
    <w:name w:val="Heading 7 Char"/>
    <w:basedOn w:val="DefaultParagraphFont"/>
    <w:link w:val="Heading7"/>
    <w:uiPriority w:val="99"/>
    <w:semiHidden/>
    <w:rsid w:val="00036B64"/>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036B64"/>
    <w:rPr>
      <w:rFonts w:ascii="Arial" w:eastAsia="Times New Roman" w:hAnsi="Arial" w:cs="Times New Roman"/>
    </w:rPr>
  </w:style>
  <w:style w:type="paragraph" w:styleId="TOCHeading">
    <w:name w:val="TOC Heading"/>
    <w:basedOn w:val="Heading1"/>
    <w:next w:val="Normal"/>
    <w:uiPriority w:val="39"/>
    <w:unhideWhenUsed/>
    <w:qFormat/>
    <w:rsid w:val="00036B64"/>
    <w:pPr>
      <w:autoSpaceDE/>
      <w:autoSpaceDN/>
      <w:adjustRightInd/>
      <w:spacing w:after="0" w:line="259" w:lineRule="auto"/>
      <w:ind w:left="0" w:firstLine="0"/>
      <w:outlineLvl w:val="9"/>
    </w:pPr>
    <w:rPr>
      <w:rFonts w:asciiTheme="majorHAnsi" w:hAnsiTheme="majorHAnsi" w:cstheme="majorBidi"/>
      <w:b w:val="0"/>
      <w:color w:val="2E74B5" w:themeColor="accent1" w:themeShade="BF"/>
      <w:sz w:val="32"/>
    </w:rPr>
  </w:style>
  <w:style w:type="character" w:customStyle="1" w:styleId="TOC1Char">
    <w:name w:val="TOC 1 Char"/>
    <w:basedOn w:val="DefaultParagraphFont"/>
    <w:link w:val="TOC1"/>
    <w:uiPriority w:val="39"/>
    <w:rsid w:val="00BE3EF8"/>
    <w:rPr>
      <w:rFonts w:ascii="Times New Roman" w:eastAsia="Times New Roman" w:hAnsi="Times New Roman" w:cs="Times New Roman"/>
      <w:b/>
      <w:bCs/>
      <w:color w:val="000000"/>
      <w:sz w:val="24"/>
      <w:szCs w:val="34"/>
      <w:lang w:val="en-US"/>
    </w:rPr>
  </w:style>
  <w:style w:type="character" w:customStyle="1" w:styleId="CharSectno">
    <w:name w:val="CharSectno"/>
    <w:basedOn w:val="DefaultParagraphFont"/>
    <w:uiPriority w:val="99"/>
    <w:rsid w:val="00036B64"/>
  </w:style>
  <w:style w:type="paragraph" w:customStyle="1" w:styleId="definition">
    <w:name w:val="definition"/>
    <w:basedOn w:val="Normal"/>
    <w:uiPriority w:val="99"/>
    <w:rsid w:val="00036B64"/>
    <w:pPr>
      <w:spacing w:before="80" w:after="0" w:line="260" w:lineRule="exact"/>
      <w:ind w:left="964"/>
      <w:jc w:val="both"/>
    </w:pPr>
    <w:rPr>
      <w:rFonts w:eastAsiaTheme="minorEastAsia" w:cs="Times New Roman"/>
      <w:sz w:val="24"/>
      <w:szCs w:val="24"/>
    </w:rPr>
  </w:style>
  <w:style w:type="paragraph" w:customStyle="1" w:styleId="HR">
    <w:name w:val="HR"/>
    <w:aliases w:val="Regulation Heading"/>
    <w:basedOn w:val="Normal"/>
    <w:next w:val="R1"/>
    <w:uiPriority w:val="99"/>
    <w:rsid w:val="00036B64"/>
    <w:pPr>
      <w:keepNext/>
      <w:keepLines/>
      <w:spacing w:before="360" w:after="0"/>
      <w:ind w:left="964" w:hanging="964"/>
    </w:pPr>
    <w:rPr>
      <w:rFonts w:ascii="Arial" w:eastAsiaTheme="minorEastAsia" w:hAnsi="Arial" w:cs="Arial"/>
      <w:b/>
      <w:bCs/>
      <w:sz w:val="24"/>
      <w:szCs w:val="24"/>
    </w:rPr>
  </w:style>
  <w:style w:type="paragraph" w:customStyle="1" w:styleId="R1">
    <w:name w:val="R1"/>
    <w:aliases w:val="1. or 1.(1)"/>
    <w:basedOn w:val="Normal"/>
    <w:next w:val="R2"/>
    <w:uiPriority w:val="99"/>
    <w:rsid w:val="00036B64"/>
    <w:pPr>
      <w:keepLines/>
      <w:tabs>
        <w:tab w:val="right" w:pos="794"/>
      </w:tabs>
      <w:spacing w:after="0" w:line="260" w:lineRule="exact"/>
      <w:ind w:left="964" w:hanging="964"/>
      <w:jc w:val="both"/>
    </w:pPr>
    <w:rPr>
      <w:rFonts w:eastAsiaTheme="minorEastAsia" w:cs="Times New Roman"/>
      <w:sz w:val="24"/>
      <w:szCs w:val="24"/>
    </w:rPr>
  </w:style>
  <w:style w:type="paragraph" w:customStyle="1" w:styleId="R2">
    <w:name w:val="R2"/>
    <w:aliases w:val="(2)"/>
    <w:basedOn w:val="Normal"/>
    <w:uiPriority w:val="99"/>
    <w:rsid w:val="00036B64"/>
    <w:pPr>
      <w:keepLines/>
      <w:tabs>
        <w:tab w:val="right" w:pos="794"/>
      </w:tabs>
      <w:spacing w:before="180" w:after="0" w:line="260" w:lineRule="exact"/>
      <w:ind w:left="964" w:hanging="964"/>
      <w:jc w:val="both"/>
    </w:pPr>
    <w:rPr>
      <w:rFonts w:eastAsiaTheme="minorEastAsia" w:cs="Times New Roman"/>
      <w:sz w:val="24"/>
      <w:szCs w:val="24"/>
    </w:rPr>
  </w:style>
  <w:style w:type="paragraph" w:customStyle="1" w:styleId="Note">
    <w:name w:val="Note"/>
    <w:basedOn w:val="Normal"/>
    <w:uiPriority w:val="99"/>
    <w:rsid w:val="00036B64"/>
    <w:pPr>
      <w:keepLines/>
      <w:spacing w:after="0" w:line="221" w:lineRule="auto"/>
      <w:ind w:left="964" w:right="-1"/>
      <w:jc w:val="both"/>
    </w:pPr>
    <w:rPr>
      <w:rFonts w:eastAsiaTheme="minorEastAsia" w:cs="Times New Roman"/>
      <w:sz w:val="20"/>
      <w:szCs w:val="20"/>
      <w:lang w:eastAsia="en-AU"/>
    </w:rPr>
  </w:style>
  <w:style w:type="paragraph" w:customStyle="1" w:styleId="P1">
    <w:name w:val="P1"/>
    <w:aliases w:val="(a)"/>
    <w:basedOn w:val="Normal"/>
    <w:uiPriority w:val="99"/>
    <w:rsid w:val="00036B64"/>
    <w:pPr>
      <w:keepLines/>
      <w:tabs>
        <w:tab w:val="right" w:pos="1191"/>
      </w:tabs>
      <w:spacing w:before="60" w:after="0" w:line="260" w:lineRule="exact"/>
      <w:ind w:left="1418" w:hanging="1418"/>
      <w:jc w:val="both"/>
    </w:pPr>
    <w:rPr>
      <w:rFonts w:eastAsiaTheme="minorEastAsia" w:cs="Times New Roman"/>
      <w:sz w:val="24"/>
      <w:szCs w:val="24"/>
    </w:rPr>
  </w:style>
  <w:style w:type="paragraph" w:customStyle="1" w:styleId="P2">
    <w:name w:val="P2"/>
    <w:aliases w:val="(i)"/>
    <w:basedOn w:val="Normal"/>
    <w:uiPriority w:val="99"/>
    <w:rsid w:val="00036B64"/>
    <w:pPr>
      <w:keepLines/>
      <w:tabs>
        <w:tab w:val="right" w:pos="1758"/>
        <w:tab w:val="left" w:pos="2155"/>
      </w:tabs>
      <w:spacing w:before="60" w:after="0" w:line="260" w:lineRule="exact"/>
      <w:ind w:left="1985" w:hanging="1985"/>
      <w:jc w:val="both"/>
    </w:pPr>
    <w:rPr>
      <w:rFonts w:eastAsiaTheme="minorEastAsia" w:cs="Times New Roman"/>
      <w:sz w:val="24"/>
      <w:szCs w:val="24"/>
    </w:rPr>
  </w:style>
  <w:style w:type="paragraph" w:customStyle="1" w:styleId="ZP1">
    <w:name w:val="ZP1"/>
    <w:basedOn w:val="P1"/>
    <w:uiPriority w:val="99"/>
    <w:rsid w:val="00036B64"/>
    <w:pPr>
      <w:keepNext/>
    </w:pPr>
  </w:style>
  <w:style w:type="paragraph" w:customStyle="1" w:styleId="ZR1">
    <w:name w:val="ZR1"/>
    <w:basedOn w:val="R1"/>
    <w:uiPriority w:val="99"/>
    <w:rsid w:val="00036B64"/>
    <w:pPr>
      <w:keepNext/>
    </w:pPr>
  </w:style>
  <w:style w:type="paragraph" w:customStyle="1" w:styleId="ZR2">
    <w:name w:val="ZR2"/>
    <w:basedOn w:val="R2"/>
    <w:uiPriority w:val="99"/>
    <w:rsid w:val="00036B64"/>
    <w:pPr>
      <w:keepNext/>
    </w:pPr>
  </w:style>
  <w:style w:type="paragraph" w:customStyle="1" w:styleId="subdivisionhead">
    <w:name w:val="subdivisionhead"/>
    <w:uiPriority w:val="99"/>
    <w:rsid w:val="00036B64"/>
    <w:pPr>
      <w:keepNext/>
      <w:keepLines/>
      <w:autoSpaceDE w:val="0"/>
      <w:autoSpaceDN w:val="0"/>
      <w:adjustRightInd w:val="0"/>
      <w:spacing w:before="280" w:after="0" w:line="240" w:lineRule="auto"/>
      <w:ind w:left="567" w:hanging="567"/>
    </w:pPr>
    <w:rPr>
      <w:rFonts w:ascii="Times New Roman" w:eastAsia="Times New Roman" w:hAnsi="Times New Roman" w:cs="Times New Roman"/>
      <w:b/>
      <w:bCs/>
      <w:color w:val="000000"/>
      <w:sz w:val="26"/>
      <w:szCs w:val="26"/>
      <w:lang w:val="en-US"/>
    </w:rPr>
  </w:style>
  <w:style w:type="table" w:customStyle="1" w:styleId="TableGrid1">
    <w:name w:val="Table Grid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36B64"/>
    <w:pPr>
      <w:spacing w:after="0" w:line="240" w:lineRule="auto"/>
    </w:pPr>
    <w:rPr>
      <w:rFonts w:eastAsia="Times New Roman" w:cs="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36B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36B64"/>
  </w:style>
  <w:style w:type="table" w:customStyle="1" w:styleId="TableGrid79">
    <w:name w:val="Table Grid79"/>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036B64"/>
    <w:pPr>
      <w:overflowPunct w:val="0"/>
      <w:autoSpaceDE w:val="0"/>
      <w:autoSpaceDN w:val="0"/>
      <w:adjustRightInd w:val="0"/>
      <w:spacing w:before="240" w:after="60"/>
      <w:jc w:val="both"/>
      <w:textAlignment w:val="baseline"/>
      <w:outlineLvl w:val="8"/>
    </w:pPr>
    <w:rPr>
      <w:rFonts w:ascii="Arial" w:eastAsia="Times New Roman" w:hAnsi="Arial" w:cs="Times New Roman"/>
      <w:sz w:val="22"/>
    </w:rPr>
  </w:style>
  <w:style w:type="numbering" w:customStyle="1" w:styleId="NoList2">
    <w:name w:val="No List2"/>
    <w:next w:val="NoList"/>
    <w:uiPriority w:val="99"/>
    <w:semiHidden/>
    <w:unhideWhenUsed/>
    <w:rsid w:val="00036B64"/>
  </w:style>
  <w:style w:type="paragraph" w:customStyle="1" w:styleId="Title1">
    <w:name w:val="Title1"/>
    <w:basedOn w:val="Normal"/>
    <w:next w:val="Normal"/>
    <w:uiPriority w:val="10"/>
    <w:qFormat/>
    <w:rsid w:val="00036B64"/>
    <w:pPr>
      <w:overflowPunct w:val="0"/>
      <w:autoSpaceDE w:val="0"/>
      <w:autoSpaceDN w:val="0"/>
      <w:adjustRightInd w:val="0"/>
      <w:spacing w:before="240" w:after="60"/>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99"/>
    <w:rsid w:val="00036B64"/>
    <w:rPr>
      <w:rFonts w:ascii="Arial" w:eastAsia="Times New Roman" w:hAnsi="Arial" w:cs="Times New Roman"/>
      <w:b/>
      <w:bCs/>
      <w:kern w:val="28"/>
      <w:sz w:val="32"/>
      <w:szCs w:val="32"/>
    </w:rPr>
  </w:style>
  <w:style w:type="paragraph" w:customStyle="1" w:styleId="Subtitle1">
    <w:name w:val="Subtitle1"/>
    <w:basedOn w:val="Normal"/>
    <w:next w:val="Normal"/>
    <w:uiPriority w:val="11"/>
    <w:qFormat/>
    <w:rsid w:val="00036B64"/>
    <w:pPr>
      <w:overflowPunct w:val="0"/>
      <w:autoSpaceDE w:val="0"/>
      <w:autoSpaceDN w:val="0"/>
      <w:adjustRightInd w:val="0"/>
      <w:spacing w:before="0" w:after="60"/>
      <w:jc w:val="center"/>
      <w:textAlignment w:val="baseline"/>
      <w:outlineLvl w:val="1"/>
    </w:pPr>
    <w:rPr>
      <w:rFonts w:ascii="Arial" w:eastAsia="Times New Roman" w:hAnsi="Arial" w:cs="Times New Roman"/>
      <w:sz w:val="20"/>
      <w:szCs w:val="20"/>
    </w:rPr>
  </w:style>
  <w:style w:type="character" w:customStyle="1" w:styleId="SubtitleChar">
    <w:name w:val="Subtitle Char"/>
    <w:basedOn w:val="DefaultParagraphFont"/>
    <w:link w:val="Subtitle"/>
    <w:uiPriority w:val="11"/>
    <w:rsid w:val="00036B64"/>
    <w:rPr>
      <w:rFonts w:ascii="Arial" w:eastAsia="Times New Roman" w:hAnsi="Arial" w:cs="Times New Roman"/>
      <w:sz w:val="20"/>
      <w:szCs w:val="20"/>
    </w:rPr>
  </w:style>
  <w:style w:type="character" w:customStyle="1" w:styleId="Emphasis1">
    <w:name w:val="Emphasis1"/>
    <w:basedOn w:val="DefaultParagraphFont"/>
    <w:uiPriority w:val="20"/>
    <w:qFormat/>
    <w:rsid w:val="00036B64"/>
    <w:rPr>
      <w:rFonts w:ascii="Arial" w:hAnsi="Arial" w:cs="Times New Roman"/>
      <w:b/>
      <w:i/>
      <w:iCs/>
    </w:rPr>
  </w:style>
  <w:style w:type="paragraph" w:styleId="NoSpacing">
    <w:name w:val="No Spacing"/>
    <w:basedOn w:val="Normal"/>
    <w:uiPriority w:val="1"/>
    <w:qFormat/>
    <w:rsid w:val="00036B64"/>
    <w:pPr>
      <w:overflowPunct w:val="0"/>
      <w:autoSpaceDE w:val="0"/>
      <w:autoSpaceDN w:val="0"/>
      <w:adjustRightInd w:val="0"/>
      <w:spacing w:before="0" w:after="0"/>
      <w:jc w:val="both"/>
      <w:textAlignment w:val="baseline"/>
    </w:pPr>
    <w:rPr>
      <w:rFonts w:ascii="Arial" w:eastAsia="Times New Roman" w:hAnsi="Arial" w:cs="Times New Roman"/>
      <w:sz w:val="20"/>
      <w:szCs w:val="32"/>
    </w:rPr>
  </w:style>
  <w:style w:type="paragraph" w:styleId="Quote">
    <w:name w:val="Quote"/>
    <w:basedOn w:val="Normal"/>
    <w:next w:val="Normal"/>
    <w:link w:val="QuoteChar"/>
    <w:uiPriority w:val="29"/>
    <w:qFormat/>
    <w:rsid w:val="00036B64"/>
    <w:pPr>
      <w:overflowPunct w:val="0"/>
      <w:autoSpaceDE w:val="0"/>
      <w:autoSpaceDN w:val="0"/>
      <w:adjustRightInd w:val="0"/>
      <w:spacing w:before="0" w:after="0"/>
      <w:jc w:val="both"/>
      <w:textAlignment w:val="baseline"/>
    </w:pPr>
    <w:rPr>
      <w:rFonts w:ascii="Arial" w:eastAsia="Times New Roman" w:hAnsi="Arial" w:cs="Times New Roman"/>
      <w:i/>
      <w:sz w:val="20"/>
      <w:szCs w:val="20"/>
    </w:rPr>
  </w:style>
  <w:style w:type="character" w:customStyle="1" w:styleId="QuoteChar">
    <w:name w:val="Quote Char"/>
    <w:basedOn w:val="DefaultParagraphFont"/>
    <w:link w:val="Quote"/>
    <w:uiPriority w:val="29"/>
    <w:rsid w:val="00036B64"/>
    <w:rPr>
      <w:rFonts w:ascii="Arial" w:eastAsia="Times New Roman" w:hAnsi="Arial" w:cs="Times New Roman"/>
      <w:i/>
      <w:sz w:val="20"/>
      <w:szCs w:val="20"/>
    </w:rPr>
  </w:style>
  <w:style w:type="paragraph" w:styleId="IntenseQuote">
    <w:name w:val="Intense Quote"/>
    <w:basedOn w:val="Normal"/>
    <w:next w:val="Normal"/>
    <w:link w:val="IntenseQuoteChar"/>
    <w:uiPriority w:val="30"/>
    <w:qFormat/>
    <w:rsid w:val="00036B64"/>
    <w:pPr>
      <w:overflowPunct w:val="0"/>
      <w:autoSpaceDE w:val="0"/>
      <w:autoSpaceDN w:val="0"/>
      <w:adjustRightInd w:val="0"/>
      <w:spacing w:before="0" w:after="0"/>
      <w:ind w:left="720" w:right="720"/>
      <w:jc w:val="both"/>
      <w:textAlignment w:val="baseline"/>
    </w:pPr>
    <w:rPr>
      <w:rFonts w:ascii="Arial" w:eastAsia="Times New Roman" w:hAnsi="Arial" w:cs="Times New Roman"/>
      <w:b/>
      <w:i/>
      <w:sz w:val="20"/>
    </w:rPr>
  </w:style>
  <w:style w:type="character" w:customStyle="1" w:styleId="IntenseQuoteChar">
    <w:name w:val="Intense Quote Char"/>
    <w:basedOn w:val="DefaultParagraphFont"/>
    <w:link w:val="IntenseQuote"/>
    <w:uiPriority w:val="30"/>
    <w:rsid w:val="00036B64"/>
    <w:rPr>
      <w:rFonts w:ascii="Arial" w:eastAsia="Times New Roman" w:hAnsi="Arial" w:cs="Times New Roman"/>
      <w:b/>
      <w:i/>
      <w:sz w:val="20"/>
    </w:rPr>
  </w:style>
  <w:style w:type="character" w:customStyle="1" w:styleId="SubtleEmphasis1">
    <w:name w:val="Subtle Emphasis1"/>
    <w:basedOn w:val="DefaultParagraphFont"/>
    <w:uiPriority w:val="19"/>
    <w:qFormat/>
    <w:rsid w:val="00036B64"/>
    <w:rPr>
      <w:rFonts w:cs="Times New Roman"/>
      <w:i/>
      <w:color w:val="5A5A5A"/>
    </w:rPr>
  </w:style>
  <w:style w:type="character" w:styleId="IntenseEmphasis">
    <w:name w:val="Intense Emphasis"/>
    <w:basedOn w:val="DefaultParagraphFont"/>
    <w:uiPriority w:val="21"/>
    <w:qFormat/>
    <w:rsid w:val="00036B64"/>
    <w:rPr>
      <w:rFonts w:cs="Times New Roman"/>
      <w:b/>
      <w:i/>
      <w:sz w:val="24"/>
      <w:szCs w:val="24"/>
      <w:u w:val="single"/>
    </w:rPr>
  </w:style>
  <w:style w:type="character" w:styleId="SubtleReference">
    <w:name w:val="Subtle Reference"/>
    <w:basedOn w:val="DefaultParagraphFont"/>
    <w:uiPriority w:val="31"/>
    <w:qFormat/>
    <w:rsid w:val="00036B64"/>
    <w:rPr>
      <w:rFonts w:cs="Times New Roman"/>
      <w:sz w:val="24"/>
      <w:szCs w:val="24"/>
      <w:u w:val="single"/>
    </w:rPr>
  </w:style>
  <w:style w:type="character" w:styleId="IntenseReference">
    <w:name w:val="Intense Reference"/>
    <w:basedOn w:val="DefaultParagraphFont"/>
    <w:uiPriority w:val="32"/>
    <w:qFormat/>
    <w:rsid w:val="00036B64"/>
    <w:rPr>
      <w:rFonts w:cs="Times New Roman"/>
      <w:b/>
      <w:sz w:val="24"/>
      <w:u w:val="single"/>
    </w:rPr>
  </w:style>
  <w:style w:type="character" w:customStyle="1" w:styleId="BookTitle1">
    <w:name w:val="Book Title1"/>
    <w:basedOn w:val="DefaultParagraphFont"/>
    <w:uiPriority w:val="33"/>
    <w:qFormat/>
    <w:rsid w:val="00036B64"/>
    <w:rPr>
      <w:rFonts w:ascii="Arial" w:eastAsia="Times New Roman" w:hAnsi="Arial" w:cs="Times New Roman"/>
      <w:b/>
      <w:i/>
      <w:sz w:val="24"/>
      <w:szCs w:val="24"/>
    </w:rPr>
  </w:style>
  <w:style w:type="paragraph" w:styleId="ListBullet">
    <w:name w:val="List Bullet"/>
    <w:basedOn w:val="Normal"/>
    <w:uiPriority w:val="99"/>
    <w:rsid w:val="00036B64"/>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styleId="ListNumber">
    <w:name w:val="List Number"/>
    <w:basedOn w:val="Normal"/>
    <w:rsid w:val="00036B64"/>
    <w:pPr>
      <w:overflowPunct w:val="0"/>
      <w:autoSpaceDE w:val="0"/>
      <w:autoSpaceDN w:val="0"/>
      <w:adjustRightInd w:val="0"/>
      <w:spacing w:before="0"/>
      <w:ind w:left="567" w:hanging="567"/>
      <w:jc w:val="both"/>
      <w:textAlignment w:val="baseline"/>
    </w:pPr>
    <w:rPr>
      <w:rFonts w:ascii="Arial" w:eastAsia="Times New Roman" w:hAnsi="Arial" w:cs="Times New Roman"/>
      <w:sz w:val="20"/>
      <w:szCs w:val="20"/>
    </w:rPr>
  </w:style>
  <w:style w:type="paragraph" w:customStyle="1" w:styleId="2UnevenColumns">
    <w:name w:val="2 Uneven Columns"/>
    <w:basedOn w:val="Normal"/>
    <w:rsid w:val="00036B64"/>
    <w:pPr>
      <w:overflowPunct w:val="0"/>
      <w:autoSpaceDE w:val="0"/>
      <w:autoSpaceDN w:val="0"/>
      <w:adjustRightInd w:val="0"/>
      <w:spacing w:before="0"/>
      <w:ind w:left="1701" w:hanging="1134"/>
      <w:jc w:val="both"/>
      <w:textAlignment w:val="baseline"/>
    </w:pPr>
    <w:rPr>
      <w:rFonts w:ascii="Arial" w:eastAsia="Times New Roman" w:hAnsi="Arial" w:cs="Times New Roman"/>
      <w:b/>
      <w:sz w:val="20"/>
      <w:szCs w:val="20"/>
    </w:rPr>
  </w:style>
  <w:style w:type="table" w:customStyle="1" w:styleId="TableGrid107">
    <w:name w:val="Table Grid10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36B64"/>
  </w:style>
  <w:style w:type="character" w:customStyle="1" w:styleId="ListParagraphChar">
    <w:name w:val="List Paragraph Char"/>
    <w:basedOn w:val="DefaultParagraphFont"/>
    <w:link w:val="ListParagraph"/>
    <w:uiPriority w:val="34"/>
    <w:rsid w:val="00036B64"/>
    <w:rPr>
      <w:rFonts w:ascii="Times New Roman" w:hAnsi="Times New Roman"/>
      <w:sz w:val="23"/>
    </w:rPr>
  </w:style>
  <w:style w:type="character" w:customStyle="1" w:styleId="Heading9Char1">
    <w:name w:val="Heading 9 Char1"/>
    <w:basedOn w:val="DefaultParagraphFont"/>
    <w:uiPriority w:val="9"/>
    <w:semiHidden/>
    <w:rsid w:val="00036B6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9"/>
    <w:qFormat/>
    <w:rsid w:val="00036B64"/>
    <w:pPr>
      <w:spacing w:before="0" w:after="0"/>
      <w:contextualSpacing/>
    </w:pPr>
    <w:rPr>
      <w:rFonts w:ascii="Arial" w:eastAsia="Times New Roman" w:hAnsi="Arial" w:cs="Times New Roman"/>
      <w:b/>
      <w:bCs/>
      <w:kern w:val="28"/>
      <w:sz w:val="32"/>
      <w:szCs w:val="32"/>
    </w:rPr>
  </w:style>
  <w:style w:type="character" w:customStyle="1" w:styleId="TitleChar1">
    <w:name w:val="Title Char1"/>
    <w:basedOn w:val="DefaultParagraphFont"/>
    <w:uiPriority w:val="10"/>
    <w:rsid w:val="00036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B64"/>
    <w:pPr>
      <w:numPr>
        <w:ilvl w:val="1"/>
      </w:numPr>
      <w:spacing w:before="0" w:after="160"/>
    </w:pPr>
    <w:rPr>
      <w:rFonts w:ascii="Arial" w:eastAsia="Times New Roman" w:hAnsi="Arial" w:cs="Times New Roman"/>
      <w:sz w:val="20"/>
      <w:szCs w:val="20"/>
    </w:rPr>
  </w:style>
  <w:style w:type="character" w:customStyle="1" w:styleId="SubtitleChar1">
    <w:name w:val="Subtitle Char1"/>
    <w:basedOn w:val="DefaultParagraphFont"/>
    <w:uiPriority w:val="11"/>
    <w:rsid w:val="00036B64"/>
    <w:rPr>
      <w:rFonts w:eastAsiaTheme="minorEastAsia"/>
      <w:color w:val="5A5A5A" w:themeColor="text1" w:themeTint="A5"/>
      <w:spacing w:val="15"/>
    </w:rPr>
  </w:style>
  <w:style w:type="character" w:styleId="SubtleEmphasis">
    <w:name w:val="Subtle Emphasis"/>
    <w:basedOn w:val="DefaultParagraphFont"/>
    <w:uiPriority w:val="19"/>
    <w:qFormat/>
    <w:rsid w:val="00036B64"/>
    <w:rPr>
      <w:i/>
      <w:iCs/>
      <w:color w:val="404040" w:themeColor="text1" w:themeTint="BF"/>
    </w:rPr>
  </w:style>
  <w:style w:type="character" w:styleId="BookTitle">
    <w:name w:val="Book Title"/>
    <w:basedOn w:val="DefaultParagraphFont"/>
    <w:uiPriority w:val="33"/>
    <w:qFormat/>
    <w:rsid w:val="00036B64"/>
    <w:rPr>
      <w:b/>
      <w:bCs/>
      <w:i/>
      <w:iCs/>
      <w:spacing w:val="5"/>
    </w:rPr>
  </w:style>
  <w:style w:type="table" w:customStyle="1" w:styleId="TableGrid108">
    <w:name w:val="Table Grid10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036B64"/>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59"/>
    <w:rsid w:val="00036B64"/>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36B64"/>
    <w:pPr>
      <w:spacing w:after="0" w:line="240" w:lineRule="auto"/>
    </w:pPr>
    <w:rPr>
      <w:rFonts w:ascii="Arial" w:eastAsia="Times New Roman"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59"/>
    <w:rsid w:val="00036B64"/>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36B64"/>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t">
    <w:name w:val="FormPart"/>
    <w:basedOn w:val="Normal"/>
    <w:qFormat/>
    <w:rsid w:val="00390A7B"/>
    <w:pPr>
      <w:keepNext/>
      <w:autoSpaceDE w:val="0"/>
      <w:autoSpaceDN w:val="0"/>
      <w:adjustRightInd w:val="0"/>
      <w:spacing w:before="240"/>
      <w:ind w:left="567" w:hanging="567"/>
      <w:outlineLvl w:val="5"/>
    </w:pPr>
    <w:rPr>
      <w:rFonts w:ascii="Arial" w:eastAsia="Times New Roman" w:hAnsi="Arial" w:cs="Times New Roman"/>
      <w:b/>
      <w:bCs/>
      <w:color w:val="000000"/>
      <w:sz w:val="32"/>
      <w:szCs w:val="32"/>
      <w:lang w:val="en-US"/>
    </w:rPr>
  </w:style>
  <w:style w:type="paragraph" w:customStyle="1" w:styleId="FormName">
    <w:name w:val="FormName"/>
    <w:basedOn w:val="Normal"/>
    <w:next w:val="FormHeader"/>
    <w:qFormat/>
    <w:rsid w:val="004057D2"/>
    <w:pPr>
      <w:keepNext/>
      <w:spacing w:after="240"/>
      <w:ind w:left="567" w:hanging="567"/>
      <w:outlineLvl w:val="6"/>
    </w:pPr>
    <w:rPr>
      <w:rFonts w:ascii="Arial" w:hAnsi="Arial" w:cs="Times New Roman"/>
      <w:b/>
      <w:sz w:val="26"/>
      <w:szCs w:val="28"/>
      <w:lang w:val="en-US"/>
    </w:rPr>
  </w:style>
  <w:style w:type="table" w:customStyle="1" w:styleId="TableGrid218">
    <w:name w:val="Table Grid218"/>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036B6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qFormat/>
    <w:rsid w:val="00036B64"/>
    <w:pPr>
      <w:spacing w:before="0"/>
    </w:pPr>
    <w:rPr>
      <w:rFonts w:ascii="Arial" w:hAnsi="Arial"/>
      <w:sz w:val="20"/>
    </w:rPr>
  </w:style>
  <w:style w:type="paragraph" w:styleId="BlockText">
    <w:name w:val="Block Text"/>
    <w:basedOn w:val="Normal"/>
    <w:rsid w:val="00036B64"/>
    <w:pPr>
      <w:tabs>
        <w:tab w:val="left" w:pos="1134"/>
        <w:tab w:val="left" w:pos="2342"/>
        <w:tab w:val="left" w:pos="4536"/>
      </w:tabs>
      <w:overflowPunct w:val="0"/>
      <w:autoSpaceDE w:val="0"/>
      <w:autoSpaceDN w:val="0"/>
      <w:adjustRightInd w:val="0"/>
      <w:spacing w:before="0" w:after="0" w:line="360" w:lineRule="auto"/>
      <w:ind w:left="709" w:right="1076"/>
      <w:jc w:val="center"/>
      <w:textAlignment w:val="baseline"/>
    </w:pPr>
    <w:rPr>
      <w:rFonts w:ascii="Arial" w:eastAsia="Arial" w:hAnsi="Arial" w:cs="Arial"/>
      <w:b/>
      <w:bCs/>
      <w:sz w:val="24"/>
      <w:szCs w:val="24"/>
    </w:rPr>
  </w:style>
  <w:style w:type="character" w:styleId="UnresolvedMention">
    <w:name w:val="Unresolved Mention"/>
    <w:basedOn w:val="DefaultParagraphFont"/>
    <w:uiPriority w:val="99"/>
    <w:semiHidden/>
    <w:unhideWhenUsed/>
    <w:rsid w:val="00124D89"/>
    <w:rPr>
      <w:color w:val="808080"/>
      <w:shd w:val="clear" w:color="auto" w:fill="E6E6E6"/>
    </w:rPr>
  </w:style>
  <w:style w:type="paragraph" w:customStyle="1" w:styleId="Chapter">
    <w:name w:val="Chapter"/>
    <w:basedOn w:val="Normal"/>
    <w:next w:val="Normal"/>
    <w:qFormat/>
    <w:rsid w:val="00673870"/>
    <w:pPr>
      <w:keepNext/>
      <w:keepLines/>
      <w:autoSpaceDE w:val="0"/>
      <w:autoSpaceDN w:val="0"/>
      <w:adjustRightInd w:val="0"/>
      <w:spacing w:before="240"/>
      <w:ind w:left="567" w:hanging="567"/>
      <w:outlineLvl w:val="0"/>
    </w:pPr>
    <w:rPr>
      <w:rFonts w:eastAsia="Times New Roman" w:cs="Times New Roman"/>
      <w:b/>
      <w:bCs/>
      <w:color w:val="000000"/>
      <w:sz w:val="34"/>
      <w:szCs w:val="34"/>
      <w:lang w:val="en-US"/>
    </w:rPr>
  </w:style>
  <w:style w:type="paragraph" w:customStyle="1" w:styleId="formatchapter155boldchapterhead">
    <w:name w:val="format.chapter.15.5.bold.chapterhead"/>
    <w:uiPriority w:val="99"/>
    <w:rsid w:val="00556B4B"/>
    <w:pPr>
      <w:keepNext/>
      <w:keepLines/>
      <w:autoSpaceDE w:val="0"/>
      <w:autoSpaceDN w:val="0"/>
      <w:adjustRightInd w:val="0"/>
      <w:spacing w:before="280" w:after="0" w:line="240" w:lineRule="auto"/>
      <w:ind w:left="2155" w:hanging="567"/>
    </w:pPr>
    <w:rPr>
      <w:rFonts w:ascii="Times New Roman" w:eastAsiaTheme="minorEastAsia" w:hAnsi="Times New Roman" w:cs="Times New Roman"/>
      <w:color w:val="000000"/>
      <w:sz w:val="31"/>
      <w:szCs w:val="31"/>
      <w:lang w:eastAsia="en-AU"/>
    </w:rPr>
  </w:style>
  <w:style w:type="paragraph" w:customStyle="1" w:styleId="clausehead">
    <w:name w:val="clausehead"/>
    <w:next w:val="Hangindent"/>
    <w:qFormat/>
    <w:rsid w:val="00686D71"/>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Part">
    <w:name w:val="Part"/>
    <w:basedOn w:val="Normal"/>
    <w:next w:val="Normal"/>
    <w:qFormat/>
    <w:rsid w:val="00D55A2C"/>
    <w:pPr>
      <w:keepNext/>
      <w:widowControl w:val="0"/>
      <w:overflowPunct w:val="0"/>
      <w:autoSpaceDE w:val="0"/>
      <w:autoSpaceDN w:val="0"/>
      <w:adjustRightInd w:val="0"/>
      <w:spacing w:before="280" w:after="0"/>
      <w:ind w:left="567" w:hanging="567"/>
      <w:textAlignment w:val="baseline"/>
    </w:pPr>
    <w:rPr>
      <w:rFonts w:eastAsia="Times New Roman" w:cs="Times New Roman"/>
      <w:b/>
      <w:bCs/>
      <w:color w:val="000000"/>
      <w:sz w:val="32"/>
      <w:szCs w:val="32"/>
      <w:lang w:val="en-US"/>
    </w:rPr>
  </w:style>
  <w:style w:type="paragraph" w:customStyle="1" w:styleId="SubPart">
    <w:name w:val="SubPart"/>
    <w:basedOn w:val="clausehead"/>
    <w:next w:val="IndentedPara"/>
    <w:qFormat/>
    <w:rsid w:val="00EB5FBE"/>
    <w:pPr>
      <w:keepLines w:val="0"/>
    </w:pPr>
    <w:rPr>
      <w:sz w:val="23"/>
    </w:rPr>
  </w:style>
  <w:style w:type="character" w:customStyle="1" w:styleId="EndnoteTextChar">
    <w:name w:val="Endnote Text Char"/>
    <w:link w:val="EndnoteText"/>
    <w:uiPriority w:val="99"/>
    <w:semiHidden/>
    <w:rsid w:val="00EB5FBE"/>
    <w:rPr>
      <w:rFonts w:ascii="Times New Roman" w:eastAsia="Times New Roman" w:hAnsi="Times New Roman"/>
      <w:sz w:val="24"/>
    </w:rPr>
  </w:style>
  <w:style w:type="paragraph" w:styleId="EndnoteText">
    <w:name w:val="endnote text"/>
    <w:basedOn w:val="Normal"/>
    <w:link w:val="EndnoteTextChar"/>
    <w:uiPriority w:val="99"/>
    <w:semiHidden/>
    <w:rsid w:val="00EB5FBE"/>
    <w:pPr>
      <w:widowControl w:val="0"/>
      <w:overflowPunct w:val="0"/>
      <w:autoSpaceDE w:val="0"/>
      <w:autoSpaceDN w:val="0"/>
      <w:adjustRightInd w:val="0"/>
      <w:spacing w:before="0" w:after="0"/>
      <w:textAlignment w:val="baseline"/>
    </w:pPr>
    <w:rPr>
      <w:rFonts w:eastAsia="Times New Roman"/>
      <w:sz w:val="24"/>
    </w:rPr>
  </w:style>
  <w:style w:type="character" w:customStyle="1" w:styleId="EndnoteTextChar1">
    <w:name w:val="Endnote Text Char1"/>
    <w:basedOn w:val="DefaultParagraphFont"/>
    <w:uiPriority w:val="99"/>
    <w:semiHidden/>
    <w:rsid w:val="00EB5FBE"/>
    <w:rPr>
      <w:rFonts w:ascii="Times New Roman" w:hAnsi="Times New Roman"/>
      <w:sz w:val="20"/>
      <w:szCs w:val="20"/>
    </w:rPr>
  </w:style>
  <w:style w:type="paragraph" w:customStyle="1" w:styleId="para">
    <w:name w:val="para"/>
    <w:uiPriority w:val="99"/>
    <w:rsid w:val="00EB5FBE"/>
    <w:pPr>
      <w:widowControl w:val="0"/>
      <w:suppressAutoHyphens/>
      <w:overflowPunct w:val="0"/>
      <w:autoSpaceDE w:val="0"/>
      <w:autoSpaceDN w:val="0"/>
      <w:adjustRightInd w:val="0"/>
      <w:spacing w:after="0" w:line="240" w:lineRule="auto"/>
      <w:textAlignment w:val="baseline"/>
    </w:pPr>
    <w:rPr>
      <w:rFonts w:ascii="Footlight MT Light" w:eastAsia="Times New Roman" w:hAnsi="Footlight MT Light" w:cs="Times New Roman"/>
      <w:sz w:val="24"/>
      <w:szCs w:val="20"/>
      <w:lang w:val="en-US"/>
    </w:rPr>
  </w:style>
  <w:style w:type="paragraph" w:styleId="Index1">
    <w:name w:val="index 1"/>
    <w:basedOn w:val="Normal"/>
    <w:next w:val="Normal"/>
    <w:uiPriority w:val="99"/>
    <w:semiHidden/>
    <w:rsid w:val="00EB5FBE"/>
    <w:pPr>
      <w:widowControl w:val="0"/>
      <w:tabs>
        <w:tab w:val="right" w:leader="dot" w:pos="9360"/>
      </w:tabs>
      <w:suppressAutoHyphens/>
      <w:overflowPunct w:val="0"/>
      <w:autoSpaceDE w:val="0"/>
      <w:autoSpaceDN w:val="0"/>
      <w:adjustRightInd w:val="0"/>
      <w:spacing w:before="0" w:after="0"/>
      <w:ind w:left="1440" w:right="720" w:hanging="1440"/>
      <w:textAlignment w:val="baseline"/>
    </w:pPr>
    <w:rPr>
      <w:rFonts w:eastAsia="Times New Roman" w:cs="Times New Roman"/>
      <w:sz w:val="24"/>
      <w:szCs w:val="20"/>
      <w:lang w:val="en-US"/>
    </w:rPr>
  </w:style>
  <w:style w:type="paragraph" w:styleId="Caption">
    <w:name w:val="caption"/>
    <w:basedOn w:val="Normal"/>
    <w:next w:val="Normal"/>
    <w:uiPriority w:val="99"/>
    <w:qFormat/>
    <w:rsid w:val="00EB5FBE"/>
    <w:pPr>
      <w:widowControl w:val="0"/>
      <w:overflowPunct w:val="0"/>
      <w:autoSpaceDE w:val="0"/>
      <w:autoSpaceDN w:val="0"/>
      <w:adjustRightInd w:val="0"/>
      <w:spacing w:before="0" w:after="0"/>
      <w:textAlignment w:val="baseline"/>
    </w:pPr>
    <w:rPr>
      <w:rFonts w:eastAsia="Times New Roman" w:cs="Times New Roman"/>
      <w:sz w:val="24"/>
      <w:szCs w:val="20"/>
    </w:rPr>
  </w:style>
  <w:style w:type="character" w:customStyle="1" w:styleId="EquationCaption">
    <w:name w:val="_Equation Caption"/>
    <w:uiPriority w:val="99"/>
    <w:rsid w:val="00EB5FBE"/>
  </w:style>
  <w:style w:type="paragraph" w:styleId="BodyTextIndent">
    <w:name w:val="Body Text Indent"/>
    <w:basedOn w:val="Normal"/>
    <w:link w:val="BodyTextIndentChar"/>
    <w:uiPriority w:val="99"/>
    <w:rsid w:val="00EB5FBE"/>
    <w:pPr>
      <w:widowControl w:val="0"/>
      <w:tabs>
        <w:tab w:val="left" w:pos="-720"/>
        <w:tab w:val="left" w:pos="0"/>
        <w:tab w:val="left" w:pos="1584"/>
        <w:tab w:val="left" w:pos="2127"/>
        <w:tab w:val="left" w:pos="2592"/>
        <w:tab w:val="left" w:pos="3024"/>
        <w:tab w:val="left" w:pos="3600"/>
      </w:tabs>
      <w:suppressAutoHyphens/>
      <w:overflowPunct w:val="0"/>
      <w:autoSpaceDE w:val="0"/>
      <w:autoSpaceDN w:val="0"/>
      <w:adjustRightInd w:val="0"/>
      <w:spacing w:before="0" w:after="0"/>
      <w:ind w:left="2127" w:hanging="2127"/>
      <w:jc w:val="both"/>
      <w:textAlignment w:val="baseline"/>
    </w:pPr>
    <w:rPr>
      <w:rFonts w:ascii="CG Times" w:eastAsia="Times New Roman" w:hAnsi="CG Times" w:cs="Times New Roman"/>
      <w:spacing w:val="-3"/>
      <w:sz w:val="22"/>
      <w:szCs w:val="20"/>
    </w:rPr>
  </w:style>
  <w:style w:type="character" w:customStyle="1" w:styleId="BodyTextIndentChar">
    <w:name w:val="Body Text Indent Char"/>
    <w:basedOn w:val="DefaultParagraphFont"/>
    <w:link w:val="BodyTextIndent"/>
    <w:uiPriority w:val="99"/>
    <w:rsid w:val="00EB5FBE"/>
    <w:rPr>
      <w:rFonts w:ascii="CG Times" w:eastAsia="Times New Roman" w:hAnsi="CG Times" w:cs="Times New Roman"/>
      <w:spacing w:val="-3"/>
      <w:szCs w:val="20"/>
    </w:rPr>
  </w:style>
  <w:style w:type="paragraph" w:styleId="BodyTextIndent2">
    <w:name w:val="Body Text Indent 2"/>
    <w:basedOn w:val="Normal"/>
    <w:link w:val="BodyTextIndent2Char"/>
    <w:uiPriority w:val="99"/>
    <w:rsid w:val="00EB5FBE"/>
    <w:pPr>
      <w:widowControl w:val="0"/>
      <w:overflowPunct w:val="0"/>
      <w:autoSpaceDE w:val="0"/>
      <w:autoSpaceDN w:val="0"/>
      <w:adjustRightInd w:val="0"/>
      <w:spacing w:before="0" w:after="0"/>
      <w:ind w:left="142" w:hanging="142"/>
      <w:jc w:val="both"/>
      <w:textAlignment w:val="baseline"/>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EB5FBE"/>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EB5FBE"/>
    <w:pPr>
      <w:widowControl w:val="0"/>
      <w:tabs>
        <w:tab w:val="left" w:pos="567"/>
      </w:tabs>
      <w:overflowPunct w:val="0"/>
      <w:autoSpaceDE w:val="0"/>
      <w:autoSpaceDN w:val="0"/>
      <w:adjustRightInd w:val="0"/>
      <w:spacing w:before="0" w:after="0" w:line="360" w:lineRule="auto"/>
      <w:ind w:left="567" w:hanging="567"/>
      <w:jc w:val="both"/>
      <w:textAlignment w:val="baseline"/>
    </w:pPr>
    <w:rPr>
      <w:rFonts w:eastAsia="Times New Roman" w:cs="Times New Roman"/>
      <w:sz w:val="24"/>
      <w:szCs w:val="20"/>
    </w:rPr>
  </w:style>
  <w:style w:type="character" w:customStyle="1" w:styleId="BodyTextIndent3Char">
    <w:name w:val="Body Text Indent 3 Char"/>
    <w:basedOn w:val="DefaultParagraphFont"/>
    <w:link w:val="BodyTextIndent3"/>
    <w:uiPriority w:val="99"/>
    <w:rsid w:val="00EB5FBE"/>
    <w:rPr>
      <w:rFonts w:ascii="Times New Roman" w:eastAsia="Times New Roman" w:hAnsi="Times New Roman" w:cs="Times New Roman"/>
      <w:sz w:val="24"/>
      <w:szCs w:val="20"/>
    </w:rPr>
  </w:style>
  <w:style w:type="paragraph" w:styleId="BodyText">
    <w:name w:val="Body Text"/>
    <w:basedOn w:val="Normal"/>
    <w:link w:val="BodyTextChar"/>
    <w:uiPriority w:val="99"/>
    <w:rsid w:val="00EB5FBE"/>
    <w:pPr>
      <w:widowControl w:val="0"/>
      <w:overflowPunct w:val="0"/>
      <w:autoSpaceDE w:val="0"/>
      <w:autoSpaceDN w:val="0"/>
      <w:adjustRightInd w:val="0"/>
      <w:spacing w:before="0" w:after="0" w:line="360" w:lineRule="auto"/>
      <w:jc w:val="both"/>
      <w:textAlignment w:val="baseline"/>
    </w:pPr>
    <w:rPr>
      <w:rFonts w:eastAsia="Times New Roman" w:cs="Times New Roman"/>
      <w:bCs/>
      <w:sz w:val="26"/>
      <w:szCs w:val="20"/>
    </w:rPr>
  </w:style>
  <w:style w:type="character" w:customStyle="1" w:styleId="BodyTextChar">
    <w:name w:val="Body Text Char"/>
    <w:basedOn w:val="DefaultParagraphFont"/>
    <w:link w:val="BodyText"/>
    <w:uiPriority w:val="99"/>
    <w:rsid w:val="00EB5FBE"/>
    <w:rPr>
      <w:rFonts w:ascii="Times New Roman" w:eastAsia="Times New Roman" w:hAnsi="Times New Roman" w:cs="Times New Roman"/>
      <w:bCs/>
      <w:sz w:val="26"/>
      <w:szCs w:val="20"/>
    </w:rPr>
  </w:style>
  <w:style w:type="paragraph" w:styleId="BodyText2">
    <w:name w:val="Body Text 2"/>
    <w:basedOn w:val="Normal"/>
    <w:link w:val="BodyText2Char"/>
    <w:uiPriority w:val="99"/>
    <w:rsid w:val="00EB5FBE"/>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center"/>
      <w:textAlignment w:val="baseline"/>
    </w:pPr>
    <w:rPr>
      <w:rFonts w:eastAsia="Times New Roman" w:cs="Times New Roman"/>
      <w:b/>
      <w:bCs/>
      <w:spacing w:val="-3"/>
      <w:sz w:val="48"/>
      <w:szCs w:val="20"/>
    </w:rPr>
  </w:style>
  <w:style w:type="character" w:customStyle="1" w:styleId="BodyText2Char">
    <w:name w:val="Body Text 2 Char"/>
    <w:basedOn w:val="DefaultParagraphFont"/>
    <w:link w:val="BodyText2"/>
    <w:uiPriority w:val="99"/>
    <w:rsid w:val="00EB5FBE"/>
    <w:rPr>
      <w:rFonts w:ascii="Times New Roman" w:eastAsia="Times New Roman" w:hAnsi="Times New Roman" w:cs="Times New Roman"/>
      <w:b/>
      <w:bCs/>
      <w:spacing w:val="-3"/>
      <w:sz w:val="48"/>
      <w:szCs w:val="20"/>
    </w:rPr>
  </w:style>
  <w:style w:type="paragraph" w:styleId="BodyText3">
    <w:name w:val="Body Text 3"/>
    <w:basedOn w:val="Normal"/>
    <w:link w:val="BodyText3Char"/>
    <w:uiPriority w:val="99"/>
    <w:rsid w:val="00EB5FBE"/>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before="0" w:after="0"/>
      <w:jc w:val="both"/>
      <w:textAlignment w:val="baseline"/>
    </w:pPr>
    <w:rPr>
      <w:rFonts w:eastAsia="Times New Roman" w:cs="Times New Roman"/>
      <w:spacing w:val="-3"/>
      <w:sz w:val="24"/>
      <w:szCs w:val="20"/>
    </w:rPr>
  </w:style>
  <w:style w:type="character" w:customStyle="1" w:styleId="BodyText3Char">
    <w:name w:val="Body Text 3 Char"/>
    <w:basedOn w:val="DefaultParagraphFont"/>
    <w:link w:val="BodyText3"/>
    <w:uiPriority w:val="99"/>
    <w:rsid w:val="00EB5FBE"/>
    <w:rPr>
      <w:rFonts w:ascii="Times New Roman" w:eastAsia="Times New Roman" w:hAnsi="Times New Roman" w:cs="Times New Roman"/>
      <w:spacing w:val="-3"/>
      <w:sz w:val="24"/>
      <w:szCs w:val="20"/>
    </w:rPr>
  </w:style>
  <w:style w:type="paragraph" w:customStyle="1" w:styleId="Rules1">
    <w:name w:val="Rules 1"/>
    <w:basedOn w:val="Heading1"/>
    <w:next w:val="Normal"/>
    <w:uiPriority w:val="99"/>
    <w:rsid w:val="00EB5FBE"/>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contextualSpacing w:val="0"/>
      <w:jc w:val="center"/>
      <w:textAlignment w:val="baseline"/>
    </w:pPr>
    <w:rPr>
      <w:rFonts w:eastAsia="Times New Roman"/>
      <w:bCs/>
      <w:color w:val="auto"/>
      <w:spacing w:val="-3"/>
      <w:sz w:val="24"/>
      <w:szCs w:val="20"/>
      <w:lang w:val="en-US"/>
    </w:rPr>
  </w:style>
  <w:style w:type="paragraph" w:customStyle="1" w:styleId="JudgmentTab">
    <w:name w:val="Judgment Tab"/>
    <w:basedOn w:val="Normal"/>
    <w:uiPriority w:val="99"/>
    <w:rsid w:val="00EB5FBE"/>
    <w:pPr>
      <w:tabs>
        <w:tab w:val="left" w:pos="1134"/>
        <w:tab w:val="left" w:pos="2342"/>
        <w:tab w:val="left" w:pos="4536"/>
      </w:tabs>
      <w:overflowPunct w:val="0"/>
      <w:autoSpaceDE w:val="0"/>
      <w:autoSpaceDN w:val="0"/>
      <w:adjustRightInd w:val="0"/>
      <w:spacing w:before="0" w:after="240" w:line="480" w:lineRule="auto"/>
      <w:ind w:firstLine="567"/>
      <w:jc w:val="both"/>
      <w:textAlignment w:val="baseline"/>
    </w:pPr>
    <w:rPr>
      <w:rFonts w:ascii="Arial" w:eastAsia="Times New Roman" w:hAnsi="Arial" w:cs="Times New Roman"/>
      <w:sz w:val="24"/>
      <w:szCs w:val="20"/>
    </w:rPr>
  </w:style>
  <w:style w:type="paragraph" w:customStyle="1" w:styleId="Galley">
    <w:name w:val="Galley"/>
    <w:uiPriority w:val="99"/>
    <w:rsid w:val="00EB5F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rPr>
  </w:style>
  <w:style w:type="paragraph" w:styleId="PlainText">
    <w:name w:val="Plain Text"/>
    <w:basedOn w:val="Normal"/>
    <w:link w:val="PlainTextChar"/>
    <w:uiPriority w:val="99"/>
    <w:rsid w:val="00EB5FBE"/>
    <w:pPr>
      <w:tabs>
        <w:tab w:val="left" w:pos="1134"/>
        <w:tab w:val="left" w:pos="2342"/>
        <w:tab w:val="left" w:pos="4536"/>
      </w:tabs>
      <w:overflowPunct w:val="0"/>
      <w:autoSpaceDE w:val="0"/>
      <w:autoSpaceDN w:val="0"/>
      <w:adjustRightInd w:val="0"/>
      <w:spacing w:before="0" w:after="0"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5FBE"/>
    <w:rPr>
      <w:rFonts w:ascii="Courier New" w:eastAsia="Times New Roman" w:hAnsi="Courier New" w:cs="Courier New"/>
      <w:sz w:val="20"/>
      <w:szCs w:val="20"/>
    </w:rPr>
  </w:style>
  <w:style w:type="paragraph" w:customStyle="1" w:styleId="Division">
    <w:name w:val="Division"/>
    <w:basedOn w:val="Normal"/>
    <w:next w:val="IndentedPara"/>
    <w:qFormat/>
    <w:rsid w:val="00EB5FBE"/>
    <w:pPr>
      <w:keepNext/>
      <w:ind w:left="567" w:hanging="567"/>
      <w:outlineLvl w:val="2"/>
    </w:pPr>
    <w:rPr>
      <w:rFonts w:cs="Times New Roman"/>
      <w:b/>
      <w:sz w:val="28"/>
      <w:szCs w:val="28"/>
    </w:rPr>
  </w:style>
  <w:style w:type="paragraph" w:customStyle="1" w:styleId="ClauseheadTOC">
    <w:name w:val="ClauseheadTOC"/>
    <w:basedOn w:val="Division"/>
    <w:next w:val="Hangindent"/>
    <w:qFormat/>
    <w:rsid w:val="00EB5FBE"/>
    <w:pPr>
      <w:outlineLvl w:val="3"/>
    </w:pPr>
    <w:rPr>
      <w:sz w:val="26"/>
    </w:rPr>
  </w:style>
  <w:style w:type="paragraph" w:customStyle="1" w:styleId="clauseheadlevel2">
    <w:name w:val="clauseheadlevel2"/>
    <w:uiPriority w:val="99"/>
    <w:rsid w:val="001377D3"/>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sz w:val="26"/>
      <w:szCs w:val="26"/>
      <w:lang w:eastAsia="en-AU"/>
    </w:rPr>
  </w:style>
  <w:style w:type="paragraph" w:customStyle="1" w:styleId="clauseheadlevel3">
    <w:name w:val="clauseheadlevel3"/>
    <w:uiPriority w:val="99"/>
    <w:rsid w:val="005768E0"/>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641">
      <w:bodyDiv w:val="1"/>
      <w:marLeft w:val="0"/>
      <w:marRight w:val="0"/>
      <w:marTop w:val="0"/>
      <w:marBottom w:val="0"/>
      <w:divBdr>
        <w:top w:val="none" w:sz="0" w:space="0" w:color="auto"/>
        <w:left w:val="none" w:sz="0" w:space="0" w:color="auto"/>
        <w:bottom w:val="none" w:sz="0" w:space="0" w:color="auto"/>
        <w:right w:val="none" w:sz="0" w:space="0" w:color="auto"/>
      </w:divBdr>
    </w:div>
    <w:div w:id="28989687">
      <w:bodyDiv w:val="1"/>
      <w:marLeft w:val="0"/>
      <w:marRight w:val="0"/>
      <w:marTop w:val="0"/>
      <w:marBottom w:val="0"/>
      <w:divBdr>
        <w:top w:val="none" w:sz="0" w:space="0" w:color="auto"/>
        <w:left w:val="none" w:sz="0" w:space="0" w:color="auto"/>
        <w:bottom w:val="none" w:sz="0" w:space="0" w:color="auto"/>
        <w:right w:val="none" w:sz="0" w:space="0" w:color="auto"/>
      </w:divBdr>
    </w:div>
    <w:div w:id="32580884">
      <w:bodyDiv w:val="1"/>
      <w:marLeft w:val="0"/>
      <w:marRight w:val="0"/>
      <w:marTop w:val="0"/>
      <w:marBottom w:val="0"/>
      <w:divBdr>
        <w:top w:val="none" w:sz="0" w:space="0" w:color="auto"/>
        <w:left w:val="none" w:sz="0" w:space="0" w:color="auto"/>
        <w:bottom w:val="none" w:sz="0" w:space="0" w:color="auto"/>
        <w:right w:val="none" w:sz="0" w:space="0" w:color="auto"/>
      </w:divBdr>
    </w:div>
    <w:div w:id="32770798">
      <w:bodyDiv w:val="1"/>
      <w:marLeft w:val="0"/>
      <w:marRight w:val="0"/>
      <w:marTop w:val="0"/>
      <w:marBottom w:val="0"/>
      <w:divBdr>
        <w:top w:val="none" w:sz="0" w:space="0" w:color="auto"/>
        <w:left w:val="none" w:sz="0" w:space="0" w:color="auto"/>
        <w:bottom w:val="none" w:sz="0" w:space="0" w:color="auto"/>
        <w:right w:val="none" w:sz="0" w:space="0" w:color="auto"/>
      </w:divBdr>
    </w:div>
    <w:div w:id="66733754">
      <w:bodyDiv w:val="1"/>
      <w:marLeft w:val="0"/>
      <w:marRight w:val="0"/>
      <w:marTop w:val="0"/>
      <w:marBottom w:val="0"/>
      <w:divBdr>
        <w:top w:val="none" w:sz="0" w:space="0" w:color="auto"/>
        <w:left w:val="none" w:sz="0" w:space="0" w:color="auto"/>
        <w:bottom w:val="none" w:sz="0" w:space="0" w:color="auto"/>
        <w:right w:val="none" w:sz="0" w:space="0" w:color="auto"/>
      </w:divBdr>
    </w:div>
    <w:div w:id="67074887">
      <w:bodyDiv w:val="1"/>
      <w:marLeft w:val="0"/>
      <w:marRight w:val="0"/>
      <w:marTop w:val="0"/>
      <w:marBottom w:val="0"/>
      <w:divBdr>
        <w:top w:val="none" w:sz="0" w:space="0" w:color="auto"/>
        <w:left w:val="none" w:sz="0" w:space="0" w:color="auto"/>
        <w:bottom w:val="none" w:sz="0" w:space="0" w:color="auto"/>
        <w:right w:val="none" w:sz="0" w:space="0" w:color="auto"/>
      </w:divBdr>
    </w:div>
    <w:div w:id="68506482">
      <w:bodyDiv w:val="1"/>
      <w:marLeft w:val="0"/>
      <w:marRight w:val="0"/>
      <w:marTop w:val="0"/>
      <w:marBottom w:val="0"/>
      <w:divBdr>
        <w:top w:val="none" w:sz="0" w:space="0" w:color="auto"/>
        <w:left w:val="none" w:sz="0" w:space="0" w:color="auto"/>
        <w:bottom w:val="none" w:sz="0" w:space="0" w:color="auto"/>
        <w:right w:val="none" w:sz="0" w:space="0" w:color="auto"/>
      </w:divBdr>
    </w:div>
    <w:div w:id="106507363">
      <w:bodyDiv w:val="1"/>
      <w:marLeft w:val="0"/>
      <w:marRight w:val="0"/>
      <w:marTop w:val="0"/>
      <w:marBottom w:val="0"/>
      <w:divBdr>
        <w:top w:val="none" w:sz="0" w:space="0" w:color="auto"/>
        <w:left w:val="none" w:sz="0" w:space="0" w:color="auto"/>
        <w:bottom w:val="none" w:sz="0" w:space="0" w:color="auto"/>
        <w:right w:val="none" w:sz="0" w:space="0" w:color="auto"/>
      </w:divBdr>
    </w:div>
    <w:div w:id="108664407">
      <w:bodyDiv w:val="1"/>
      <w:marLeft w:val="0"/>
      <w:marRight w:val="0"/>
      <w:marTop w:val="0"/>
      <w:marBottom w:val="0"/>
      <w:divBdr>
        <w:top w:val="none" w:sz="0" w:space="0" w:color="auto"/>
        <w:left w:val="none" w:sz="0" w:space="0" w:color="auto"/>
        <w:bottom w:val="none" w:sz="0" w:space="0" w:color="auto"/>
        <w:right w:val="none" w:sz="0" w:space="0" w:color="auto"/>
      </w:divBdr>
    </w:div>
    <w:div w:id="176700484">
      <w:bodyDiv w:val="1"/>
      <w:marLeft w:val="0"/>
      <w:marRight w:val="0"/>
      <w:marTop w:val="0"/>
      <w:marBottom w:val="0"/>
      <w:divBdr>
        <w:top w:val="none" w:sz="0" w:space="0" w:color="auto"/>
        <w:left w:val="none" w:sz="0" w:space="0" w:color="auto"/>
        <w:bottom w:val="none" w:sz="0" w:space="0" w:color="auto"/>
        <w:right w:val="none" w:sz="0" w:space="0" w:color="auto"/>
      </w:divBdr>
    </w:div>
    <w:div w:id="180511525">
      <w:bodyDiv w:val="1"/>
      <w:marLeft w:val="0"/>
      <w:marRight w:val="0"/>
      <w:marTop w:val="0"/>
      <w:marBottom w:val="0"/>
      <w:divBdr>
        <w:top w:val="none" w:sz="0" w:space="0" w:color="auto"/>
        <w:left w:val="none" w:sz="0" w:space="0" w:color="auto"/>
        <w:bottom w:val="none" w:sz="0" w:space="0" w:color="auto"/>
        <w:right w:val="none" w:sz="0" w:space="0" w:color="auto"/>
      </w:divBdr>
    </w:div>
    <w:div w:id="202326654">
      <w:bodyDiv w:val="1"/>
      <w:marLeft w:val="0"/>
      <w:marRight w:val="0"/>
      <w:marTop w:val="0"/>
      <w:marBottom w:val="0"/>
      <w:divBdr>
        <w:top w:val="none" w:sz="0" w:space="0" w:color="auto"/>
        <w:left w:val="none" w:sz="0" w:space="0" w:color="auto"/>
        <w:bottom w:val="none" w:sz="0" w:space="0" w:color="auto"/>
        <w:right w:val="none" w:sz="0" w:space="0" w:color="auto"/>
      </w:divBdr>
    </w:div>
    <w:div w:id="240531589">
      <w:bodyDiv w:val="1"/>
      <w:marLeft w:val="0"/>
      <w:marRight w:val="0"/>
      <w:marTop w:val="0"/>
      <w:marBottom w:val="0"/>
      <w:divBdr>
        <w:top w:val="none" w:sz="0" w:space="0" w:color="auto"/>
        <w:left w:val="none" w:sz="0" w:space="0" w:color="auto"/>
        <w:bottom w:val="none" w:sz="0" w:space="0" w:color="auto"/>
        <w:right w:val="none" w:sz="0" w:space="0" w:color="auto"/>
      </w:divBdr>
    </w:div>
    <w:div w:id="246306146">
      <w:bodyDiv w:val="1"/>
      <w:marLeft w:val="0"/>
      <w:marRight w:val="0"/>
      <w:marTop w:val="0"/>
      <w:marBottom w:val="0"/>
      <w:divBdr>
        <w:top w:val="none" w:sz="0" w:space="0" w:color="auto"/>
        <w:left w:val="none" w:sz="0" w:space="0" w:color="auto"/>
        <w:bottom w:val="none" w:sz="0" w:space="0" w:color="auto"/>
        <w:right w:val="none" w:sz="0" w:space="0" w:color="auto"/>
      </w:divBdr>
    </w:div>
    <w:div w:id="256208501">
      <w:bodyDiv w:val="1"/>
      <w:marLeft w:val="0"/>
      <w:marRight w:val="0"/>
      <w:marTop w:val="0"/>
      <w:marBottom w:val="0"/>
      <w:divBdr>
        <w:top w:val="none" w:sz="0" w:space="0" w:color="auto"/>
        <w:left w:val="none" w:sz="0" w:space="0" w:color="auto"/>
        <w:bottom w:val="none" w:sz="0" w:space="0" w:color="auto"/>
        <w:right w:val="none" w:sz="0" w:space="0" w:color="auto"/>
      </w:divBdr>
    </w:div>
    <w:div w:id="308444475">
      <w:bodyDiv w:val="1"/>
      <w:marLeft w:val="0"/>
      <w:marRight w:val="0"/>
      <w:marTop w:val="0"/>
      <w:marBottom w:val="0"/>
      <w:divBdr>
        <w:top w:val="none" w:sz="0" w:space="0" w:color="auto"/>
        <w:left w:val="none" w:sz="0" w:space="0" w:color="auto"/>
        <w:bottom w:val="none" w:sz="0" w:space="0" w:color="auto"/>
        <w:right w:val="none" w:sz="0" w:space="0" w:color="auto"/>
      </w:divBdr>
    </w:div>
    <w:div w:id="322901110">
      <w:bodyDiv w:val="1"/>
      <w:marLeft w:val="0"/>
      <w:marRight w:val="0"/>
      <w:marTop w:val="0"/>
      <w:marBottom w:val="0"/>
      <w:divBdr>
        <w:top w:val="none" w:sz="0" w:space="0" w:color="auto"/>
        <w:left w:val="none" w:sz="0" w:space="0" w:color="auto"/>
        <w:bottom w:val="none" w:sz="0" w:space="0" w:color="auto"/>
        <w:right w:val="none" w:sz="0" w:space="0" w:color="auto"/>
      </w:divBdr>
    </w:div>
    <w:div w:id="324479906">
      <w:bodyDiv w:val="1"/>
      <w:marLeft w:val="0"/>
      <w:marRight w:val="0"/>
      <w:marTop w:val="0"/>
      <w:marBottom w:val="0"/>
      <w:divBdr>
        <w:top w:val="none" w:sz="0" w:space="0" w:color="auto"/>
        <w:left w:val="none" w:sz="0" w:space="0" w:color="auto"/>
        <w:bottom w:val="none" w:sz="0" w:space="0" w:color="auto"/>
        <w:right w:val="none" w:sz="0" w:space="0" w:color="auto"/>
      </w:divBdr>
    </w:div>
    <w:div w:id="346762102">
      <w:bodyDiv w:val="1"/>
      <w:marLeft w:val="0"/>
      <w:marRight w:val="0"/>
      <w:marTop w:val="0"/>
      <w:marBottom w:val="0"/>
      <w:divBdr>
        <w:top w:val="none" w:sz="0" w:space="0" w:color="auto"/>
        <w:left w:val="none" w:sz="0" w:space="0" w:color="auto"/>
        <w:bottom w:val="none" w:sz="0" w:space="0" w:color="auto"/>
        <w:right w:val="none" w:sz="0" w:space="0" w:color="auto"/>
      </w:divBdr>
    </w:div>
    <w:div w:id="361250209">
      <w:bodyDiv w:val="1"/>
      <w:marLeft w:val="0"/>
      <w:marRight w:val="0"/>
      <w:marTop w:val="0"/>
      <w:marBottom w:val="0"/>
      <w:divBdr>
        <w:top w:val="none" w:sz="0" w:space="0" w:color="auto"/>
        <w:left w:val="none" w:sz="0" w:space="0" w:color="auto"/>
        <w:bottom w:val="none" w:sz="0" w:space="0" w:color="auto"/>
        <w:right w:val="none" w:sz="0" w:space="0" w:color="auto"/>
      </w:divBdr>
      <w:divsChild>
        <w:div w:id="1869757858">
          <w:marLeft w:val="0"/>
          <w:marRight w:val="0"/>
          <w:marTop w:val="0"/>
          <w:marBottom w:val="0"/>
          <w:divBdr>
            <w:top w:val="none" w:sz="0" w:space="0" w:color="auto"/>
            <w:left w:val="none" w:sz="0" w:space="0" w:color="auto"/>
            <w:bottom w:val="none" w:sz="0" w:space="0" w:color="auto"/>
            <w:right w:val="none" w:sz="0" w:space="0" w:color="auto"/>
          </w:divBdr>
          <w:divsChild>
            <w:div w:id="15751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2211">
      <w:bodyDiv w:val="1"/>
      <w:marLeft w:val="0"/>
      <w:marRight w:val="0"/>
      <w:marTop w:val="0"/>
      <w:marBottom w:val="0"/>
      <w:divBdr>
        <w:top w:val="none" w:sz="0" w:space="0" w:color="auto"/>
        <w:left w:val="none" w:sz="0" w:space="0" w:color="auto"/>
        <w:bottom w:val="none" w:sz="0" w:space="0" w:color="auto"/>
        <w:right w:val="none" w:sz="0" w:space="0" w:color="auto"/>
      </w:divBdr>
    </w:div>
    <w:div w:id="414282446">
      <w:bodyDiv w:val="1"/>
      <w:marLeft w:val="0"/>
      <w:marRight w:val="0"/>
      <w:marTop w:val="0"/>
      <w:marBottom w:val="0"/>
      <w:divBdr>
        <w:top w:val="none" w:sz="0" w:space="0" w:color="auto"/>
        <w:left w:val="none" w:sz="0" w:space="0" w:color="auto"/>
        <w:bottom w:val="none" w:sz="0" w:space="0" w:color="auto"/>
        <w:right w:val="none" w:sz="0" w:space="0" w:color="auto"/>
      </w:divBdr>
    </w:div>
    <w:div w:id="432213605">
      <w:bodyDiv w:val="1"/>
      <w:marLeft w:val="0"/>
      <w:marRight w:val="0"/>
      <w:marTop w:val="0"/>
      <w:marBottom w:val="0"/>
      <w:divBdr>
        <w:top w:val="none" w:sz="0" w:space="0" w:color="auto"/>
        <w:left w:val="none" w:sz="0" w:space="0" w:color="auto"/>
        <w:bottom w:val="none" w:sz="0" w:space="0" w:color="auto"/>
        <w:right w:val="none" w:sz="0" w:space="0" w:color="auto"/>
      </w:divBdr>
    </w:div>
    <w:div w:id="441535921">
      <w:bodyDiv w:val="1"/>
      <w:marLeft w:val="0"/>
      <w:marRight w:val="0"/>
      <w:marTop w:val="0"/>
      <w:marBottom w:val="0"/>
      <w:divBdr>
        <w:top w:val="none" w:sz="0" w:space="0" w:color="auto"/>
        <w:left w:val="none" w:sz="0" w:space="0" w:color="auto"/>
        <w:bottom w:val="none" w:sz="0" w:space="0" w:color="auto"/>
        <w:right w:val="none" w:sz="0" w:space="0" w:color="auto"/>
      </w:divBdr>
    </w:div>
    <w:div w:id="484056184">
      <w:bodyDiv w:val="1"/>
      <w:marLeft w:val="0"/>
      <w:marRight w:val="0"/>
      <w:marTop w:val="0"/>
      <w:marBottom w:val="0"/>
      <w:divBdr>
        <w:top w:val="none" w:sz="0" w:space="0" w:color="auto"/>
        <w:left w:val="none" w:sz="0" w:space="0" w:color="auto"/>
        <w:bottom w:val="none" w:sz="0" w:space="0" w:color="auto"/>
        <w:right w:val="none" w:sz="0" w:space="0" w:color="auto"/>
      </w:divBdr>
    </w:div>
    <w:div w:id="500899770">
      <w:bodyDiv w:val="1"/>
      <w:marLeft w:val="0"/>
      <w:marRight w:val="0"/>
      <w:marTop w:val="0"/>
      <w:marBottom w:val="0"/>
      <w:divBdr>
        <w:top w:val="none" w:sz="0" w:space="0" w:color="auto"/>
        <w:left w:val="none" w:sz="0" w:space="0" w:color="auto"/>
        <w:bottom w:val="none" w:sz="0" w:space="0" w:color="auto"/>
        <w:right w:val="none" w:sz="0" w:space="0" w:color="auto"/>
      </w:divBdr>
    </w:div>
    <w:div w:id="529336889">
      <w:bodyDiv w:val="1"/>
      <w:marLeft w:val="0"/>
      <w:marRight w:val="0"/>
      <w:marTop w:val="0"/>
      <w:marBottom w:val="0"/>
      <w:divBdr>
        <w:top w:val="none" w:sz="0" w:space="0" w:color="auto"/>
        <w:left w:val="none" w:sz="0" w:space="0" w:color="auto"/>
        <w:bottom w:val="none" w:sz="0" w:space="0" w:color="auto"/>
        <w:right w:val="none" w:sz="0" w:space="0" w:color="auto"/>
      </w:divBdr>
    </w:div>
    <w:div w:id="532962453">
      <w:bodyDiv w:val="1"/>
      <w:marLeft w:val="0"/>
      <w:marRight w:val="0"/>
      <w:marTop w:val="0"/>
      <w:marBottom w:val="0"/>
      <w:divBdr>
        <w:top w:val="none" w:sz="0" w:space="0" w:color="auto"/>
        <w:left w:val="none" w:sz="0" w:space="0" w:color="auto"/>
        <w:bottom w:val="none" w:sz="0" w:space="0" w:color="auto"/>
        <w:right w:val="none" w:sz="0" w:space="0" w:color="auto"/>
      </w:divBdr>
    </w:div>
    <w:div w:id="585041567">
      <w:bodyDiv w:val="1"/>
      <w:marLeft w:val="0"/>
      <w:marRight w:val="0"/>
      <w:marTop w:val="0"/>
      <w:marBottom w:val="0"/>
      <w:divBdr>
        <w:top w:val="none" w:sz="0" w:space="0" w:color="auto"/>
        <w:left w:val="none" w:sz="0" w:space="0" w:color="auto"/>
        <w:bottom w:val="none" w:sz="0" w:space="0" w:color="auto"/>
        <w:right w:val="none" w:sz="0" w:space="0" w:color="auto"/>
      </w:divBdr>
    </w:div>
    <w:div w:id="589435981">
      <w:bodyDiv w:val="1"/>
      <w:marLeft w:val="0"/>
      <w:marRight w:val="0"/>
      <w:marTop w:val="0"/>
      <w:marBottom w:val="0"/>
      <w:divBdr>
        <w:top w:val="none" w:sz="0" w:space="0" w:color="auto"/>
        <w:left w:val="none" w:sz="0" w:space="0" w:color="auto"/>
        <w:bottom w:val="none" w:sz="0" w:space="0" w:color="auto"/>
        <w:right w:val="none" w:sz="0" w:space="0" w:color="auto"/>
      </w:divBdr>
    </w:div>
    <w:div w:id="612251147">
      <w:bodyDiv w:val="1"/>
      <w:marLeft w:val="0"/>
      <w:marRight w:val="0"/>
      <w:marTop w:val="0"/>
      <w:marBottom w:val="0"/>
      <w:divBdr>
        <w:top w:val="none" w:sz="0" w:space="0" w:color="auto"/>
        <w:left w:val="none" w:sz="0" w:space="0" w:color="auto"/>
        <w:bottom w:val="none" w:sz="0" w:space="0" w:color="auto"/>
        <w:right w:val="none" w:sz="0" w:space="0" w:color="auto"/>
      </w:divBdr>
    </w:div>
    <w:div w:id="621807564">
      <w:bodyDiv w:val="1"/>
      <w:marLeft w:val="0"/>
      <w:marRight w:val="0"/>
      <w:marTop w:val="0"/>
      <w:marBottom w:val="0"/>
      <w:divBdr>
        <w:top w:val="none" w:sz="0" w:space="0" w:color="auto"/>
        <w:left w:val="none" w:sz="0" w:space="0" w:color="auto"/>
        <w:bottom w:val="none" w:sz="0" w:space="0" w:color="auto"/>
        <w:right w:val="none" w:sz="0" w:space="0" w:color="auto"/>
      </w:divBdr>
    </w:div>
    <w:div w:id="622033207">
      <w:bodyDiv w:val="1"/>
      <w:marLeft w:val="0"/>
      <w:marRight w:val="0"/>
      <w:marTop w:val="0"/>
      <w:marBottom w:val="0"/>
      <w:divBdr>
        <w:top w:val="none" w:sz="0" w:space="0" w:color="auto"/>
        <w:left w:val="none" w:sz="0" w:space="0" w:color="auto"/>
        <w:bottom w:val="none" w:sz="0" w:space="0" w:color="auto"/>
        <w:right w:val="none" w:sz="0" w:space="0" w:color="auto"/>
      </w:divBdr>
    </w:div>
    <w:div w:id="631441797">
      <w:bodyDiv w:val="1"/>
      <w:marLeft w:val="0"/>
      <w:marRight w:val="0"/>
      <w:marTop w:val="0"/>
      <w:marBottom w:val="0"/>
      <w:divBdr>
        <w:top w:val="none" w:sz="0" w:space="0" w:color="auto"/>
        <w:left w:val="none" w:sz="0" w:space="0" w:color="auto"/>
        <w:bottom w:val="none" w:sz="0" w:space="0" w:color="auto"/>
        <w:right w:val="none" w:sz="0" w:space="0" w:color="auto"/>
      </w:divBdr>
    </w:div>
    <w:div w:id="660039994">
      <w:bodyDiv w:val="1"/>
      <w:marLeft w:val="0"/>
      <w:marRight w:val="0"/>
      <w:marTop w:val="0"/>
      <w:marBottom w:val="0"/>
      <w:divBdr>
        <w:top w:val="none" w:sz="0" w:space="0" w:color="auto"/>
        <w:left w:val="none" w:sz="0" w:space="0" w:color="auto"/>
        <w:bottom w:val="none" w:sz="0" w:space="0" w:color="auto"/>
        <w:right w:val="none" w:sz="0" w:space="0" w:color="auto"/>
      </w:divBdr>
    </w:div>
    <w:div w:id="661659267">
      <w:bodyDiv w:val="1"/>
      <w:marLeft w:val="0"/>
      <w:marRight w:val="0"/>
      <w:marTop w:val="0"/>
      <w:marBottom w:val="0"/>
      <w:divBdr>
        <w:top w:val="none" w:sz="0" w:space="0" w:color="auto"/>
        <w:left w:val="none" w:sz="0" w:space="0" w:color="auto"/>
        <w:bottom w:val="none" w:sz="0" w:space="0" w:color="auto"/>
        <w:right w:val="none" w:sz="0" w:space="0" w:color="auto"/>
      </w:divBdr>
    </w:div>
    <w:div w:id="685257193">
      <w:bodyDiv w:val="1"/>
      <w:marLeft w:val="0"/>
      <w:marRight w:val="0"/>
      <w:marTop w:val="0"/>
      <w:marBottom w:val="0"/>
      <w:divBdr>
        <w:top w:val="none" w:sz="0" w:space="0" w:color="auto"/>
        <w:left w:val="none" w:sz="0" w:space="0" w:color="auto"/>
        <w:bottom w:val="none" w:sz="0" w:space="0" w:color="auto"/>
        <w:right w:val="none" w:sz="0" w:space="0" w:color="auto"/>
      </w:divBdr>
    </w:div>
    <w:div w:id="703336011">
      <w:bodyDiv w:val="1"/>
      <w:marLeft w:val="0"/>
      <w:marRight w:val="0"/>
      <w:marTop w:val="0"/>
      <w:marBottom w:val="0"/>
      <w:divBdr>
        <w:top w:val="none" w:sz="0" w:space="0" w:color="auto"/>
        <w:left w:val="none" w:sz="0" w:space="0" w:color="auto"/>
        <w:bottom w:val="none" w:sz="0" w:space="0" w:color="auto"/>
        <w:right w:val="none" w:sz="0" w:space="0" w:color="auto"/>
      </w:divBdr>
    </w:div>
    <w:div w:id="770466794">
      <w:bodyDiv w:val="1"/>
      <w:marLeft w:val="0"/>
      <w:marRight w:val="0"/>
      <w:marTop w:val="0"/>
      <w:marBottom w:val="0"/>
      <w:divBdr>
        <w:top w:val="none" w:sz="0" w:space="0" w:color="auto"/>
        <w:left w:val="none" w:sz="0" w:space="0" w:color="auto"/>
        <w:bottom w:val="none" w:sz="0" w:space="0" w:color="auto"/>
        <w:right w:val="none" w:sz="0" w:space="0" w:color="auto"/>
      </w:divBdr>
    </w:div>
    <w:div w:id="789325001">
      <w:bodyDiv w:val="1"/>
      <w:marLeft w:val="0"/>
      <w:marRight w:val="0"/>
      <w:marTop w:val="0"/>
      <w:marBottom w:val="0"/>
      <w:divBdr>
        <w:top w:val="none" w:sz="0" w:space="0" w:color="auto"/>
        <w:left w:val="none" w:sz="0" w:space="0" w:color="auto"/>
        <w:bottom w:val="none" w:sz="0" w:space="0" w:color="auto"/>
        <w:right w:val="none" w:sz="0" w:space="0" w:color="auto"/>
      </w:divBdr>
      <w:divsChild>
        <w:div w:id="1075126846">
          <w:marLeft w:val="0"/>
          <w:marRight w:val="0"/>
          <w:marTop w:val="0"/>
          <w:marBottom w:val="0"/>
          <w:divBdr>
            <w:top w:val="none" w:sz="0" w:space="0" w:color="auto"/>
            <w:left w:val="none" w:sz="0" w:space="0" w:color="auto"/>
            <w:bottom w:val="none" w:sz="0" w:space="0" w:color="auto"/>
            <w:right w:val="none" w:sz="0" w:space="0" w:color="auto"/>
          </w:divBdr>
          <w:divsChild>
            <w:div w:id="13083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353">
      <w:bodyDiv w:val="1"/>
      <w:marLeft w:val="0"/>
      <w:marRight w:val="0"/>
      <w:marTop w:val="0"/>
      <w:marBottom w:val="0"/>
      <w:divBdr>
        <w:top w:val="none" w:sz="0" w:space="0" w:color="auto"/>
        <w:left w:val="none" w:sz="0" w:space="0" w:color="auto"/>
        <w:bottom w:val="none" w:sz="0" w:space="0" w:color="auto"/>
        <w:right w:val="none" w:sz="0" w:space="0" w:color="auto"/>
      </w:divBdr>
    </w:div>
    <w:div w:id="801195615">
      <w:bodyDiv w:val="1"/>
      <w:marLeft w:val="0"/>
      <w:marRight w:val="0"/>
      <w:marTop w:val="0"/>
      <w:marBottom w:val="0"/>
      <w:divBdr>
        <w:top w:val="none" w:sz="0" w:space="0" w:color="auto"/>
        <w:left w:val="none" w:sz="0" w:space="0" w:color="auto"/>
        <w:bottom w:val="none" w:sz="0" w:space="0" w:color="auto"/>
        <w:right w:val="none" w:sz="0" w:space="0" w:color="auto"/>
      </w:divBdr>
    </w:div>
    <w:div w:id="804856459">
      <w:bodyDiv w:val="1"/>
      <w:marLeft w:val="0"/>
      <w:marRight w:val="0"/>
      <w:marTop w:val="0"/>
      <w:marBottom w:val="0"/>
      <w:divBdr>
        <w:top w:val="none" w:sz="0" w:space="0" w:color="auto"/>
        <w:left w:val="none" w:sz="0" w:space="0" w:color="auto"/>
        <w:bottom w:val="none" w:sz="0" w:space="0" w:color="auto"/>
        <w:right w:val="none" w:sz="0" w:space="0" w:color="auto"/>
      </w:divBdr>
    </w:div>
    <w:div w:id="827138536">
      <w:bodyDiv w:val="1"/>
      <w:marLeft w:val="0"/>
      <w:marRight w:val="0"/>
      <w:marTop w:val="0"/>
      <w:marBottom w:val="0"/>
      <w:divBdr>
        <w:top w:val="none" w:sz="0" w:space="0" w:color="auto"/>
        <w:left w:val="none" w:sz="0" w:space="0" w:color="auto"/>
        <w:bottom w:val="none" w:sz="0" w:space="0" w:color="auto"/>
        <w:right w:val="none" w:sz="0" w:space="0" w:color="auto"/>
      </w:divBdr>
    </w:div>
    <w:div w:id="866259275">
      <w:bodyDiv w:val="1"/>
      <w:marLeft w:val="0"/>
      <w:marRight w:val="0"/>
      <w:marTop w:val="0"/>
      <w:marBottom w:val="0"/>
      <w:divBdr>
        <w:top w:val="none" w:sz="0" w:space="0" w:color="auto"/>
        <w:left w:val="none" w:sz="0" w:space="0" w:color="auto"/>
        <w:bottom w:val="none" w:sz="0" w:space="0" w:color="auto"/>
        <w:right w:val="none" w:sz="0" w:space="0" w:color="auto"/>
      </w:divBdr>
    </w:div>
    <w:div w:id="878979014">
      <w:bodyDiv w:val="1"/>
      <w:marLeft w:val="0"/>
      <w:marRight w:val="0"/>
      <w:marTop w:val="0"/>
      <w:marBottom w:val="0"/>
      <w:divBdr>
        <w:top w:val="none" w:sz="0" w:space="0" w:color="auto"/>
        <w:left w:val="none" w:sz="0" w:space="0" w:color="auto"/>
        <w:bottom w:val="none" w:sz="0" w:space="0" w:color="auto"/>
        <w:right w:val="none" w:sz="0" w:space="0" w:color="auto"/>
      </w:divBdr>
    </w:div>
    <w:div w:id="883372729">
      <w:bodyDiv w:val="1"/>
      <w:marLeft w:val="0"/>
      <w:marRight w:val="0"/>
      <w:marTop w:val="0"/>
      <w:marBottom w:val="0"/>
      <w:divBdr>
        <w:top w:val="none" w:sz="0" w:space="0" w:color="auto"/>
        <w:left w:val="none" w:sz="0" w:space="0" w:color="auto"/>
        <w:bottom w:val="none" w:sz="0" w:space="0" w:color="auto"/>
        <w:right w:val="none" w:sz="0" w:space="0" w:color="auto"/>
      </w:divBdr>
    </w:div>
    <w:div w:id="929267028">
      <w:bodyDiv w:val="1"/>
      <w:marLeft w:val="0"/>
      <w:marRight w:val="0"/>
      <w:marTop w:val="0"/>
      <w:marBottom w:val="0"/>
      <w:divBdr>
        <w:top w:val="none" w:sz="0" w:space="0" w:color="auto"/>
        <w:left w:val="none" w:sz="0" w:space="0" w:color="auto"/>
        <w:bottom w:val="none" w:sz="0" w:space="0" w:color="auto"/>
        <w:right w:val="none" w:sz="0" w:space="0" w:color="auto"/>
      </w:divBdr>
    </w:div>
    <w:div w:id="975448083">
      <w:bodyDiv w:val="1"/>
      <w:marLeft w:val="0"/>
      <w:marRight w:val="0"/>
      <w:marTop w:val="0"/>
      <w:marBottom w:val="0"/>
      <w:divBdr>
        <w:top w:val="none" w:sz="0" w:space="0" w:color="auto"/>
        <w:left w:val="none" w:sz="0" w:space="0" w:color="auto"/>
        <w:bottom w:val="none" w:sz="0" w:space="0" w:color="auto"/>
        <w:right w:val="none" w:sz="0" w:space="0" w:color="auto"/>
      </w:divBdr>
    </w:div>
    <w:div w:id="1018317047">
      <w:bodyDiv w:val="1"/>
      <w:marLeft w:val="0"/>
      <w:marRight w:val="0"/>
      <w:marTop w:val="0"/>
      <w:marBottom w:val="0"/>
      <w:divBdr>
        <w:top w:val="none" w:sz="0" w:space="0" w:color="auto"/>
        <w:left w:val="none" w:sz="0" w:space="0" w:color="auto"/>
        <w:bottom w:val="none" w:sz="0" w:space="0" w:color="auto"/>
        <w:right w:val="none" w:sz="0" w:space="0" w:color="auto"/>
      </w:divBdr>
    </w:div>
    <w:div w:id="1030761541">
      <w:bodyDiv w:val="1"/>
      <w:marLeft w:val="0"/>
      <w:marRight w:val="0"/>
      <w:marTop w:val="0"/>
      <w:marBottom w:val="0"/>
      <w:divBdr>
        <w:top w:val="none" w:sz="0" w:space="0" w:color="auto"/>
        <w:left w:val="none" w:sz="0" w:space="0" w:color="auto"/>
        <w:bottom w:val="none" w:sz="0" w:space="0" w:color="auto"/>
        <w:right w:val="none" w:sz="0" w:space="0" w:color="auto"/>
      </w:divBdr>
    </w:div>
    <w:div w:id="1060135939">
      <w:bodyDiv w:val="1"/>
      <w:marLeft w:val="0"/>
      <w:marRight w:val="0"/>
      <w:marTop w:val="0"/>
      <w:marBottom w:val="0"/>
      <w:divBdr>
        <w:top w:val="none" w:sz="0" w:space="0" w:color="auto"/>
        <w:left w:val="none" w:sz="0" w:space="0" w:color="auto"/>
        <w:bottom w:val="none" w:sz="0" w:space="0" w:color="auto"/>
        <w:right w:val="none" w:sz="0" w:space="0" w:color="auto"/>
      </w:divBdr>
    </w:div>
    <w:div w:id="1062291917">
      <w:bodyDiv w:val="1"/>
      <w:marLeft w:val="0"/>
      <w:marRight w:val="0"/>
      <w:marTop w:val="0"/>
      <w:marBottom w:val="0"/>
      <w:divBdr>
        <w:top w:val="none" w:sz="0" w:space="0" w:color="auto"/>
        <w:left w:val="none" w:sz="0" w:space="0" w:color="auto"/>
        <w:bottom w:val="none" w:sz="0" w:space="0" w:color="auto"/>
        <w:right w:val="none" w:sz="0" w:space="0" w:color="auto"/>
      </w:divBdr>
    </w:div>
    <w:div w:id="1067070123">
      <w:bodyDiv w:val="1"/>
      <w:marLeft w:val="0"/>
      <w:marRight w:val="0"/>
      <w:marTop w:val="0"/>
      <w:marBottom w:val="0"/>
      <w:divBdr>
        <w:top w:val="none" w:sz="0" w:space="0" w:color="auto"/>
        <w:left w:val="none" w:sz="0" w:space="0" w:color="auto"/>
        <w:bottom w:val="none" w:sz="0" w:space="0" w:color="auto"/>
        <w:right w:val="none" w:sz="0" w:space="0" w:color="auto"/>
      </w:divBdr>
    </w:div>
    <w:div w:id="1104374764">
      <w:bodyDiv w:val="1"/>
      <w:marLeft w:val="0"/>
      <w:marRight w:val="0"/>
      <w:marTop w:val="0"/>
      <w:marBottom w:val="0"/>
      <w:divBdr>
        <w:top w:val="none" w:sz="0" w:space="0" w:color="auto"/>
        <w:left w:val="none" w:sz="0" w:space="0" w:color="auto"/>
        <w:bottom w:val="none" w:sz="0" w:space="0" w:color="auto"/>
        <w:right w:val="none" w:sz="0" w:space="0" w:color="auto"/>
      </w:divBdr>
    </w:div>
    <w:div w:id="1114708439">
      <w:bodyDiv w:val="1"/>
      <w:marLeft w:val="0"/>
      <w:marRight w:val="0"/>
      <w:marTop w:val="0"/>
      <w:marBottom w:val="0"/>
      <w:divBdr>
        <w:top w:val="none" w:sz="0" w:space="0" w:color="auto"/>
        <w:left w:val="none" w:sz="0" w:space="0" w:color="auto"/>
        <w:bottom w:val="none" w:sz="0" w:space="0" w:color="auto"/>
        <w:right w:val="none" w:sz="0" w:space="0" w:color="auto"/>
      </w:divBdr>
    </w:div>
    <w:div w:id="1125586450">
      <w:bodyDiv w:val="1"/>
      <w:marLeft w:val="0"/>
      <w:marRight w:val="0"/>
      <w:marTop w:val="0"/>
      <w:marBottom w:val="0"/>
      <w:divBdr>
        <w:top w:val="none" w:sz="0" w:space="0" w:color="auto"/>
        <w:left w:val="none" w:sz="0" w:space="0" w:color="auto"/>
        <w:bottom w:val="none" w:sz="0" w:space="0" w:color="auto"/>
        <w:right w:val="none" w:sz="0" w:space="0" w:color="auto"/>
      </w:divBdr>
    </w:div>
    <w:div w:id="1137724518">
      <w:bodyDiv w:val="1"/>
      <w:marLeft w:val="0"/>
      <w:marRight w:val="0"/>
      <w:marTop w:val="0"/>
      <w:marBottom w:val="0"/>
      <w:divBdr>
        <w:top w:val="none" w:sz="0" w:space="0" w:color="auto"/>
        <w:left w:val="none" w:sz="0" w:space="0" w:color="auto"/>
        <w:bottom w:val="none" w:sz="0" w:space="0" w:color="auto"/>
        <w:right w:val="none" w:sz="0" w:space="0" w:color="auto"/>
      </w:divBdr>
    </w:div>
    <w:div w:id="1138379079">
      <w:bodyDiv w:val="1"/>
      <w:marLeft w:val="0"/>
      <w:marRight w:val="0"/>
      <w:marTop w:val="0"/>
      <w:marBottom w:val="0"/>
      <w:divBdr>
        <w:top w:val="none" w:sz="0" w:space="0" w:color="auto"/>
        <w:left w:val="none" w:sz="0" w:space="0" w:color="auto"/>
        <w:bottom w:val="none" w:sz="0" w:space="0" w:color="auto"/>
        <w:right w:val="none" w:sz="0" w:space="0" w:color="auto"/>
      </w:divBdr>
    </w:div>
    <w:div w:id="1162042869">
      <w:bodyDiv w:val="1"/>
      <w:marLeft w:val="0"/>
      <w:marRight w:val="0"/>
      <w:marTop w:val="0"/>
      <w:marBottom w:val="0"/>
      <w:divBdr>
        <w:top w:val="none" w:sz="0" w:space="0" w:color="auto"/>
        <w:left w:val="none" w:sz="0" w:space="0" w:color="auto"/>
        <w:bottom w:val="none" w:sz="0" w:space="0" w:color="auto"/>
        <w:right w:val="none" w:sz="0" w:space="0" w:color="auto"/>
      </w:divBdr>
    </w:div>
    <w:div w:id="1200817594">
      <w:bodyDiv w:val="1"/>
      <w:marLeft w:val="0"/>
      <w:marRight w:val="0"/>
      <w:marTop w:val="0"/>
      <w:marBottom w:val="0"/>
      <w:divBdr>
        <w:top w:val="none" w:sz="0" w:space="0" w:color="auto"/>
        <w:left w:val="none" w:sz="0" w:space="0" w:color="auto"/>
        <w:bottom w:val="none" w:sz="0" w:space="0" w:color="auto"/>
        <w:right w:val="none" w:sz="0" w:space="0" w:color="auto"/>
      </w:divBdr>
    </w:div>
    <w:div w:id="1205481894">
      <w:bodyDiv w:val="1"/>
      <w:marLeft w:val="0"/>
      <w:marRight w:val="0"/>
      <w:marTop w:val="0"/>
      <w:marBottom w:val="0"/>
      <w:divBdr>
        <w:top w:val="none" w:sz="0" w:space="0" w:color="auto"/>
        <w:left w:val="none" w:sz="0" w:space="0" w:color="auto"/>
        <w:bottom w:val="none" w:sz="0" w:space="0" w:color="auto"/>
        <w:right w:val="none" w:sz="0" w:space="0" w:color="auto"/>
      </w:divBdr>
    </w:div>
    <w:div w:id="1225482745">
      <w:bodyDiv w:val="1"/>
      <w:marLeft w:val="0"/>
      <w:marRight w:val="0"/>
      <w:marTop w:val="0"/>
      <w:marBottom w:val="0"/>
      <w:divBdr>
        <w:top w:val="none" w:sz="0" w:space="0" w:color="auto"/>
        <w:left w:val="none" w:sz="0" w:space="0" w:color="auto"/>
        <w:bottom w:val="none" w:sz="0" w:space="0" w:color="auto"/>
        <w:right w:val="none" w:sz="0" w:space="0" w:color="auto"/>
      </w:divBdr>
    </w:div>
    <w:div w:id="1294141398">
      <w:bodyDiv w:val="1"/>
      <w:marLeft w:val="0"/>
      <w:marRight w:val="0"/>
      <w:marTop w:val="0"/>
      <w:marBottom w:val="0"/>
      <w:divBdr>
        <w:top w:val="none" w:sz="0" w:space="0" w:color="auto"/>
        <w:left w:val="none" w:sz="0" w:space="0" w:color="auto"/>
        <w:bottom w:val="none" w:sz="0" w:space="0" w:color="auto"/>
        <w:right w:val="none" w:sz="0" w:space="0" w:color="auto"/>
      </w:divBdr>
      <w:divsChild>
        <w:div w:id="1680280165">
          <w:marLeft w:val="0"/>
          <w:marRight w:val="0"/>
          <w:marTop w:val="0"/>
          <w:marBottom w:val="0"/>
          <w:divBdr>
            <w:top w:val="none" w:sz="0" w:space="0" w:color="auto"/>
            <w:left w:val="none" w:sz="0" w:space="0" w:color="auto"/>
            <w:bottom w:val="none" w:sz="0" w:space="0" w:color="auto"/>
            <w:right w:val="none" w:sz="0" w:space="0" w:color="auto"/>
          </w:divBdr>
          <w:divsChild>
            <w:div w:id="11893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924">
      <w:bodyDiv w:val="1"/>
      <w:marLeft w:val="0"/>
      <w:marRight w:val="0"/>
      <w:marTop w:val="0"/>
      <w:marBottom w:val="0"/>
      <w:divBdr>
        <w:top w:val="none" w:sz="0" w:space="0" w:color="auto"/>
        <w:left w:val="none" w:sz="0" w:space="0" w:color="auto"/>
        <w:bottom w:val="none" w:sz="0" w:space="0" w:color="auto"/>
        <w:right w:val="none" w:sz="0" w:space="0" w:color="auto"/>
      </w:divBdr>
    </w:div>
    <w:div w:id="1344281064">
      <w:bodyDiv w:val="1"/>
      <w:marLeft w:val="0"/>
      <w:marRight w:val="0"/>
      <w:marTop w:val="0"/>
      <w:marBottom w:val="0"/>
      <w:divBdr>
        <w:top w:val="none" w:sz="0" w:space="0" w:color="auto"/>
        <w:left w:val="none" w:sz="0" w:space="0" w:color="auto"/>
        <w:bottom w:val="none" w:sz="0" w:space="0" w:color="auto"/>
        <w:right w:val="none" w:sz="0" w:space="0" w:color="auto"/>
      </w:divBdr>
    </w:div>
    <w:div w:id="1363896359">
      <w:bodyDiv w:val="1"/>
      <w:marLeft w:val="0"/>
      <w:marRight w:val="0"/>
      <w:marTop w:val="0"/>
      <w:marBottom w:val="0"/>
      <w:divBdr>
        <w:top w:val="none" w:sz="0" w:space="0" w:color="auto"/>
        <w:left w:val="none" w:sz="0" w:space="0" w:color="auto"/>
        <w:bottom w:val="none" w:sz="0" w:space="0" w:color="auto"/>
        <w:right w:val="none" w:sz="0" w:space="0" w:color="auto"/>
      </w:divBdr>
    </w:div>
    <w:div w:id="1404140180">
      <w:bodyDiv w:val="1"/>
      <w:marLeft w:val="0"/>
      <w:marRight w:val="0"/>
      <w:marTop w:val="0"/>
      <w:marBottom w:val="0"/>
      <w:divBdr>
        <w:top w:val="none" w:sz="0" w:space="0" w:color="auto"/>
        <w:left w:val="none" w:sz="0" w:space="0" w:color="auto"/>
        <w:bottom w:val="none" w:sz="0" w:space="0" w:color="auto"/>
        <w:right w:val="none" w:sz="0" w:space="0" w:color="auto"/>
      </w:divBdr>
      <w:divsChild>
        <w:div w:id="988485909">
          <w:marLeft w:val="0"/>
          <w:marRight w:val="0"/>
          <w:marTop w:val="0"/>
          <w:marBottom w:val="0"/>
          <w:divBdr>
            <w:top w:val="none" w:sz="0" w:space="0" w:color="auto"/>
            <w:left w:val="none" w:sz="0" w:space="0" w:color="auto"/>
            <w:bottom w:val="none" w:sz="0" w:space="0" w:color="auto"/>
            <w:right w:val="none" w:sz="0" w:space="0" w:color="auto"/>
          </w:divBdr>
          <w:divsChild>
            <w:div w:id="886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975">
      <w:bodyDiv w:val="1"/>
      <w:marLeft w:val="0"/>
      <w:marRight w:val="0"/>
      <w:marTop w:val="0"/>
      <w:marBottom w:val="0"/>
      <w:divBdr>
        <w:top w:val="none" w:sz="0" w:space="0" w:color="auto"/>
        <w:left w:val="none" w:sz="0" w:space="0" w:color="auto"/>
        <w:bottom w:val="none" w:sz="0" w:space="0" w:color="auto"/>
        <w:right w:val="none" w:sz="0" w:space="0" w:color="auto"/>
      </w:divBdr>
    </w:div>
    <w:div w:id="1422288606">
      <w:bodyDiv w:val="1"/>
      <w:marLeft w:val="0"/>
      <w:marRight w:val="0"/>
      <w:marTop w:val="0"/>
      <w:marBottom w:val="0"/>
      <w:divBdr>
        <w:top w:val="none" w:sz="0" w:space="0" w:color="auto"/>
        <w:left w:val="none" w:sz="0" w:space="0" w:color="auto"/>
        <w:bottom w:val="none" w:sz="0" w:space="0" w:color="auto"/>
        <w:right w:val="none" w:sz="0" w:space="0" w:color="auto"/>
      </w:divBdr>
    </w:div>
    <w:div w:id="1428235288">
      <w:bodyDiv w:val="1"/>
      <w:marLeft w:val="0"/>
      <w:marRight w:val="0"/>
      <w:marTop w:val="0"/>
      <w:marBottom w:val="0"/>
      <w:divBdr>
        <w:top w:val="none" w:sz="0" w:space="0" w:color="auto"/>
        <w:left w:val="none" w:sz="0" w:space="0" w:color="auto"/>
        <w:bottom w:val="none" w:sz="0" w:space="0" w:color="auto"/>
        <w:right w:val="none" w:sz="0" w:space="0" w:color="auto"/>
      </w:divBdr>
    </w:div>
    <w:div w:id="1441758109">
      <w:bodyDiv w:val="1"/>
      <w:marLeft w:val="0"/>
      <w:marRight w:val="0"/>
      <w:marTop w:val="0"/>
      <w:marBottom w:val="0"/>
      <w:divBdr>
        <w:top w:val="none" w:sz="0" w:space="0" w:color="auto"/>
        <w:left w:val="none" w:sz="0" w:space="0" w:color="auto"/>
        <w:bottom w:val="none" w:sz="0" w:space="0" w:color="auto"/>
        <w:right w:val="none" w:sz="0" w:space="0" w:color="auto"/>
      </w:divBdr>
    </w:div>
    <w:div w:id="1444763944">
      <w:bodyDiv w:val="1"/>
      <w:marLeft w:val="0"/>
      <w:marRight w:val="0"/>
      <w:marTop w:val="0"/>
      <w:marBottom w:val="0"/>
      <w:divBdr>
        <w:top w:val="none" w:sz="0" w:space="0" w:color="auto"/>
        <w:left w:val="none" w:sz="0" w:space="0" w:color="auto"/>
        <w:bottom w:val="none" w:sz="0" w:space="0" w:color="auto"/>
        <w:right w:val="none" w:sz="0" w:space="0" w:color="auto"/>
      </w:divBdr>
    </w:div>
    <w:div w:id="1455636008">
      <w:bodyDiv w:val="1"/>
      <w:marLeft w:val="0"/>
      <w:marRight w:val="0"/>
      <w:marTop w:val="0"/>
      <w:marBottom w:val="0"/>
      <w:divBdr>
        <w:top w:val="none" w:sz="0" w:space="0" w:color="auto"/>
        <w:left w:val="none" w:sz="0" w:space="0" w:color="auto"/>
        <w:bottom w:val="none" w:sz="0" w:space="0" w:color="auto"/>
        <w:right w:val="none" w:sz="0" w:space="0" w:color="auto"/>
      </w:divBdr>
    </w:div>
    <w:div w:id="1497962106">
      <w:bodyDiv w:val="1"/>
      <w:marLeft w:val="0"/>
      <w:marRight w:val="0"/>
      <w:marTop w:val="0"/>
      <w:marBottom w:val="0"/>
      <w:divBdr>
        <w:top w:val="none" w:sz="0" w:space="0" w:color="auto"/>
        <w:left w:val="none" w:sz="0" w:space="0" w:color="auto"/>
        <w:bottom w:val="none" w:sz="0" w:space="0" w:color="auto"/>
        <w:right w:val="none" w:sz="0" w:space="0" w:color="auto"/>
      </w:divBdr>
    </w:div>
    <w:div w:id="1502504891">
      <w:bodyDiv w:val="1"/>
      <w:marLeft w:val="0"/>
      <w:marRight w:val="0"/>
      <w:marTop w:val="0"/>
      <w:marBottom w:val="0"/>
      <w:divBdr>
        <w:top w:val="none" w:sz="0" w:space="0" w:color="auto"/>
        <w:left w:val="none" w:sz="0" w:space="0" w:color="auto"/>
        <w:bottom w:val="none" w:sz="0" w:space="0" w:color="auto"/>
        <w:right w:val="none" w:sz="0" w:space="0" w:color="auto"/>
      </w:divBdr>
    </w:div>
    <w:div w:id="1513911344">
      <w:bodyDiv w:val="1"/>
      <w:marLeft w:val="0"/>
      <w:marRight w:val="0"/>
      <w:marTop w:val="0"/>
      <w:marBottom w:val="0"/>
      <w:divBdr>
        <w:top w:val="none" w:sz="0" w:space="0" w:color="auto"/>
        <w:left w:val="none" w:sz="0" w:space="0" w:color="auto"/>
        <w:bottom w:val="none" w:sz="0" w:space="0" w:color="auto"/>
        <w:right w:val="none" w:sz="0" w:space="0" w:color="auto"/>
      </w:divBdr>
    </w:div>
    <w:div w:id="1557162107">
      <w:bodyDiv w:val="1"/>
      <w:marLeft w:val="0"/>
      <w:marRight w:val="0"/>
      <w:marTop w:val="0"/>
      <w:marBottom w:val="0"/>
      <w:divBdr>
        <w:top w:val="none" w:sz="0" w:space="0" w:color="auto"/>
        <w:left w:val="none" w:sz="0" w:space="0" w:color="auto"/>
        <w:bottom w:val="none" w:sz="0" w:space="0" w:color="auto"/>
        <w:right w:val="none" w:sz="0" w:space="0" w:color="auto"/>
      </w:divBdr>
    </w:div>
    <w:div w:id="1559825614">
      <w:bodyDiv w:val="1"/>
      <w:marLeft w:val="0"/>
      <w:marRight w:val="0"/>
      <w:marTop w:val="0"/>
      <w:marBottom w:val="0"/>
      <w:divBdr>
        <w:top w:val="none" w:sz="0" w:space="0" w:color="auto"/>
        <w:left w:val="none" w:sz="0" w:space="0" w:color="auto"/>
        <w:bottom w:val="none" w:sz="0" w:space="0" w:color="auto"/>
        <w:right w:val="none" w:sz="0" w:space="0" w:color="auto"/>
      </w:divBdr>
    </w:div>
    <w:div w:id="1560704461">
      <w:bodyDiv w:val="1"/>
      <w:marLeft w:val="0"/>
      <w:marRight w:val="0"/>
      <w:marTop w:val="0"/>
      <w:marBottom w:val="0"/>
      <w:divBdr>
        <w:top w:val="none" w:sz="0" w:space="0" w:color="auto"/>
        <w:left w:val="none" w:sz="0" w:space="0" w:color="auto"/>
        <w:bottom w:val="none" w:sz="0" w:space="0" w:color="auto"/>
        <w:right w:val="none" w:sz="0" w:space="0" w:color="auto"/>
      </w:divBdr>
    </w:div>
    <w:div w:id="1569653612">
      <w:bodyDiv w:val="1"/>
      <w:marLeft w:val="0"/>
      <w:marRight w:val="0"/>
      <w:marTop w:val="0"/>
      <w:marBottom w:val="0"/>
      <w:divBdr>
        <w:top w:val="none" w:sz="0" w:space="0" w:color="auto"/>
        <w:left w:val="none" w:sz="0" w:space="0" w:color="auto"/>
        <w:bottom w:val="none" w:sz="0" w:space="0" w:color="auto"/>
        <w:right w:val="none" w:sz="0" w:space="0" w:color="auto"/>
      </w:divBdr>
    </w:div>
    <w:div w:id="1605192089">
      <w:bodyDiv w:val="1"/>
      <w:marLeft w:val="0"/>
      <w:marRight w:val="0"/>
      <w:marTop w:val="0"/>
      <w:marBottom w:val="0"/>
      <w:divBdr>
        <w:top w:val="none" w:sz="0" w:space="0" w:color="auto"/>
        <w:left w:val="none" w:sz="0" w:space="0" w:color="auto"/>
        <w:bottom w:val="none" w:sz="0" w:space="0" w:color="auto"/>
        <w:right w:val="none" w:sz="0" w:space="0" w:color="auto"/>
      </w:divBdr>
    </w:div>
    <w:div w:id="1611354467">
      <w:bodyDiv w:val="1"/>
      <w:marLeft w:val="0"/>
      <w:marRight w:val="0"/>
      <w:marTop w:val="0"/>
      <w:marBottom w:val="0"/>
      <w:divBdr>
        <w:top w:val="none" w:sz="0" w:space="0" w:color="auto"/>
        <w:left w:val="none" w:sz="0" w:space="0" w:color="auto"/>
        <w:bottom w:val="none" w:sz="0" w:space="0" w:color="auto"/>
        <w:right w:val="none" w:sz="0" w:space="0" w:color="auto"/>
      </w:divBdr>
    </w:div>
    <w:div w:id="1612082384">
      <w:bodyDiv w:val="1"/>
      <w:marLeft w:val="0"/>
      <w:marRight w:val="0"/>
      <w:marTop w:val="0"/>
      <w:marBottom w:val="0"/>
      <w:divBdr>
        <w:top w:val="none" w:sz="0" w:space="0" w:color="auto"/>
        <w:left w:val="none" w:sz="0" w:space="0" w:color="auto"/>
        <w:bottom w:val="none" w:sz="0" w:space="0" w:color="auto"/>
        <w:right w:val="none" w:sz="0" w:space="0" w:color="auto"/>
      </w:divBdr>
    </w:div>
    <w:div w:id="1714961255">
      <w:bodyDiv w:val="1"/>
      <w:marLeft w:val="0"/>
      <w:marRight w:val="0"/>
      <w:marTop w:val="0"/>
      <w:marBottom w:val="0"/>
      <w:divBdr>
        <w:top w:val="none" w:sz="0" w:space="0" w:color="auto"/>
        <w:left w:val="none" w:sz="0" w:space="0" w:color="auto"/>
        <w:bottom w:val="none" w:sz="0" w:space="0" w:color="auto"/>
        <w:right w:val="none" w:sz="0" w:space="0" w:color="auto"/>
      </w:divBdr>
    </w:div>
    <w:div w:id="1723750542">
      <w:bodyDiv w:val="1"/>
      <w:marLeft w:val="0"/>
      <w:marRight w:val="0"/>
      <w:marTop w:val="0"/>
      <w:marBottom w:val="0"/>
      <w:divBdr>
        <w:top w:val="none" w:sz="0" w:space="0" w:color="auto"/>
        <w:left w:val="none" w:sz="0" w:space="0" w:color="auto"/>
        <w:bottom w:val="none" w:sz="0" w:space="0" w:color="auto"/>
        <w:right w:val="none" w:sz="0" w:space="0" w:color="auto"/>
      </w:divBdr>
    </w:div>
    <w:div w:id="1728453531">
      <w:bodyDiv w:val="1"/>
      <w:marLeft w:val="0"/>
      <w:marRight w:val="0"/>
      <w:marTop w:val="0"/>
      <w:marBottom w:val="0"/>
      <w:divBdr>
        <w:top w:val="none" w:sz="0" w:space="0" w:color="auto"/>
        <w:left w:val="none" w:sz="0" w:space="0" w:color="auto"/>
        <w:bottom w:val="none" w:sz="0" w:space="0" w:color="auto"/>
        <w:right w:val="none" w:sz="0" w:space="0" w:color="auto"/>
      </w:divBdr>
    </w:div>
    <w:div w:id="1742677659">
      <w:bodyDiv w:val="1"/>
      <w:marLeft w:val="0"/>
      <w:marRight w:val="0"/>
      <w:marTop w:val="0"/>
      <w:marBottom w:val="0"/>
      <w:divBdr>
        <w:top w:val="none" w:sz="0" w:space="0" w:color="auto"/>
        <w:left w:val="none" w:sz="0" w:space="0" w:color="auto"/>
        <w:bottom w:val="none" w:sz="0" w:space="0" w:color="auto"/>
        <w:right w:val="none" w:sz="0" w:space="0" w:color="auto"/>
      </w:divBdr>
    </w:div>
    <w:div w:id="1748919156">
      <w:bodyDiv w:val="1"/>
      <w:marLeft w:val="0"/>
      <w:marRight w:val="0"/>
      <w:marTop w:val="0"/>
      <w:marBottom w:val="0"/>
      <w:divBdr>
        <w:top w:val="none" w:sz="0" w:space="0" w:color="auto"/>
        <w:left w:val="none" w:sz="0" w:space="0" w:color="auto"/>
        <w:bottom w:val="none" w:sz="0" w:space="0" w:color="auto"/>
        <w:right w:val="none" w:sz="0" w:space="0" w:color="auto"/>
      </w:divBdr>
    </w:div>
    <w:div w:id="1771899766">
      <w:bodyDiv w:val="1"/>
      <w:marLeft w:val="0"/>
      <w:marRight w:val="0"/>
      <w:marTop w:val="0"/>
      <w:marBottom w:val="0"/>
      <w:divBdr>
        <w:top w:val="none" w:sz="0" w:space="0" w:color="auto"/>
        <w:left w:val="none" w:sz="0" w:space="0" w:color="auto"/>
        <w:bottom w:val="none" w:sz="0" w:space="0" w:color="auto"/>
        <w:right w:val="none" w:sz="0" w:space="0" w:color="auto"/>
      </w:divBdr>
    </w:div>
    <w:div w:id="1781096989">
      <w:bodyDiv w:val="1"/>
      <w:marLeft w:val="0"/>
      <w:marRight w:val="0"/>
      <w:marTop w:val="0"/>
      <w:marBottom w:val="0"/>
      <w:divBdr>
        <w:top w:val="none" w:sz="0" w:space="0" w:color="auto"/>
        <w:left w:val="none" w:sz="0" w:space="0" w:color="auto"/>
        <w:bottom w:val="none" w:sz="0" w:space="0" w:color="auto"/>
        <w:right w:val="none" w:sz="0" w:space="0" w:color="auto"/>
      </w:divBdr>
    </w:div>
    <w:div w:id="1783112554">
      <w:bodyDiv w:val="1"/>
      <w:marLeft w:val="0"/>
      <w:marRight w:val="0"/>
      <w:marTop w:val="0"/>
      <w:marBottom w:val="0"/>
      <w:divBdr>
        <w:top w:val="none" w:sz="0" w:space="0" w:color="auto"/>
        <w:left w:val="none" w:sz="0" w:space="0" w:color="auto"/>
        <w:bottom w:val="none" w:sz="0" w:space="0" w:color="auto"/>
        <w:right w:val="none" w:sz="0" w:space="0" w:color="auto"/>
      </w:divBdr>
    </w:div>
    <w:div w:id="1806846612">
      <w:bodyDiv w:val="1"/>
      <w:marLeft w:val="0"/>
      <w:marRight w:val="0"/>
      <w:marTop w:val="0"/>
      <w:marBottom w:val="0"/>
      <w:divBdr>
        <w:top w:val="none" w:sz="0" w:space="0" w:color="auto"/>
        <w:left w:val="none" w:sz="0" w:space="0" w:color="auto"/>
        <w:bottom w:val="none" w:sz="0" w:space="0" w:color="auto"/>
        <w:right w:val="none" w:sz="0" w:space="0" w:color="auto"/>
      </w:divBdr>
    </w:div>
    <w:div w:id="1823083818">
      <w:bodyDiv w:val="1"/>
      <w:marLeft w:val="0"/>
      <w:marRight w:val="0"/>
      <w:marTop w:val="0"/>
      <w:marBottom w:val="0"/>
      <w:divBdr>
        <w:top w:val="none" w:sz="0" w:space="0" w:color="auto"/>
        <w:left w:val="none" w:sz="0" w:space="0" w:color="auto"/>
        <w:bottom w:val="none" w:sz="0" w:space="0" w:color="auto"/>
        <w:right w:val="none" w:sz="0" w:space="0" w:color="auto"/>
      </w:divBdr>
    </w:div>
    <w:div w:id="1866211353">
      <w:bodyDiv w:val="1"/>
      <w:marLeft w:val="0"/>
      <w:marRight w:val="0"/>
      <w:marTop w:val="0"/>
      <w:marBottom w:val="0"/>
      <w:divBdr>
        <w:top w:val="none" w:sz="0" w:space="0" w:color="auto"/>
        <w:left w:val="none" w:sz="0" w:space="0" w:color="auto"/>
        <w:bottom w:val="none" w:sz="0" w:space="0" w:color="auto"/>
        <w:right w:val="none" w:sz="0" w:space="0" w:color="auto"/>
      </w:divBdr>
    </w:div>
    <w:div w:id="1871917867">
      <w:bodyDiv w:val="1"/>
      <w:marLeft w:val="0"/>
      <w:marRight w:val="0"/>
      <w:marTop w:val="0"/>
      <w:marBottom w:val="0"/>
      <w:divBdr>
        <w:top w:val="none" w:sz="0" w:space="0" w:color="auto"/>
        <w:left w:val="none" w:sz="0" w:space="0" w:color="auto"/>
        <w:bottom w:val="none" w:sz="0" w:space="0" w:color="auto"/>
        <w:right w:val="none" w:sz="0" w:space="0" w:color="auto"/>
      </w:divBdr>
    </w:div>
    <w:div w:id="1897007757">
      <w:bodyDiv w:val="1"/>
      <w:marLeft w:val="0"/>
      <w:marRight w:val="0"/>
      <w:marTop w:val="0"/>
      <w:marBottom w:val="0"/>
      <w:divBdr>
        <w:top w:val="none" w:sz="0" w:space="0" w:color="auto"/>
        <w:left w:val="none" w:sz="0" w:space="0" w:color="auto"/>
        <w:bottom w:val="none" w:sz="0" w:space="0" w:color="auto"/>
        <w:right w:val="none" w:sz="0" w:space="0" w:color="auto"/>
      </w:divBdr>
    </w:div>
    <w:div w:id="1899390200">
      <w:bodyDiv w:val="1"/>
      <w:marLeft w:val="0"/>
      <w:marRight w:val="0"/>
      <w:marTop w:val="0"/>
      <w:marBottom w:val="0"/>
      <w:divBdr>
        <w:top w:val="none" w:sz="0" w:space="0" w:color="auto"/>
        <w:left w:val="none" w:sz="0" w:space="0" w:color="auto"/>
        <w:bottom w:val="none" w:sz="0" w:space="0" w:color="auto"/>
        <w:right w:val="none" w:sz="0" w:space="0" w:color="auto"/>
      </w:divBdr>
    </w:div>
    <w:div w:id="1905330688">
      <w:bodyDiv w:val="1"/>
      <w:marLeft w:val="0"/>
      <w:marRight w:val="0"/>
      <w:marTop w:val="0"/>
      <w:marBottom w:val="0"/>
      <w:divBdr>
        <w:top w:val="none" w:sz="0" w:space="0" w:color="auto"/>
        <w:left w:val="none" w:sz="0" w:space="0" w:color="auto"/>
        <w:bottom w:val="none" w:sz="0" w:space="0" w:color="auto"/>
        <w:right w:val="none" w:sz="0" w:space="0" w:color="auto"/>
      </w:divBdr>
    </w:div>
    <w:div w:id="1917082738">
      <w:bodyDiv w:val="1"/>
      <w:marLeft w:val="0"/>
      <w:marRight w:val="0"/>
      <w:marTop w:val="0"/>
      <w:marBottom w:val="0"/>
      <w:divBdr>
        <w:top w:val="none" w:sz="0" w:space="0" w:color="auto"/>
        <w:left w:val="none" w:sz="0" w:space="0" w:color="auto"/>
        <w:bottom w:val="none" w:sz="0" w:space="0" w:color="auto"/>
        <w:right w:val="none" w:sz="0" w:space="0" w:color="auto"/>
      </w:divBdr>
    </w:div>
    <w:div w:id="1936208819">
      <w:bodyDiv w:val="1"/>
      <w:marLeft w:val="0"/>
      <w:marRight w:val="0"/>
      <w:marTop w:val="0"/>
      <w:marBottom w:val="0"/>
      <w:divBdr>
        <w:top w:val="none" w:sz="0" w:space="0" w:color="auto"/>
        <w:left w:val="none" w:sz="0" w:space="0" w:color="auto"/>
        <w:bottom w:val="none" w:sz="0" w:space="0" w:color="auto"/>
        <w:right w:val="none" w:sz="0" w:space="0" w:color="auto"/>
      </w:divBdr>
    </w:div>
    <w:div w:id="1978488162">
      <w:bodyDiv w:val="1"/>
      <w:marLeft w:val="0"/>
      <w:marRight w:val="0"/>
      <w:marTop w:val="0"/>
      <w:marBottom w:val="0"/>
      <w:divBdr>
        <w:top w:val="none" w:sz="0" w:space="0" w:color="auto"/>
        <w:left w:val="none" w:sz="0" w:space="0" w:color="auto"/>
        <w:bottom w:val="none" w:sz="0" w:space="0" w:color="auto"/>
        <w:right w:val="none" w:sz="0" w:space="0" w:color="auto"/>
      </w:divBdr>
    </w:div>
    <w:div w:id="2002537969">
      <w:bodyDiv w:val="1"/>
      <w:marLeft w:val="0"/>
      <w:marRight w:val="0"/>
      <w:marTop w:val="0"/>
      <w:marBottom w:val="0"/>
      <w:divBdr>
        <w:top w:val="none" w:sz="0" w:space="0" w:color="auto"/>
        <w:left w:val="none" w:sz="0" w:space="0" w:color="auto"/>
        <w:bottom w:val="none" w:sz="0" w:space="0" w:color="auto"/>
        <w:right w:val="none" w:sz="0" w:space="0" w:color="auto"/>
      </w:divBdr>
    </w:div>
    <w:div w:id="2016031877">
      <w:bodyDiv w:val="1"/>
      <w:marLeft w:val="0"/>
      <w:marRight w:val="0"/>
      <w:marTop w:val="0"/>
      <w:marBottom w:val="0"/>
      <w:divBdr>
        <w:top w:val="none" w:sz="0" w:space="0" w:color="auto"/>
        <w:left w:val="none" w:sz="0" w:space="0" w:color="auto"/>
        <w:bottom w:val="none" w:sz="0" w:space="0" w:color="auto"/>
        <w:right w:val="none" w:sz="0" w:space="0" w:color="auto"/>
      </w:divBdr>
    </w:div>
    <w:div w:id="2042321197">
      <w:bodyDiv w:val="1"/>
      <w:marLeft w:val="0"/>
      <w:marRight w:val="0"/>
      <w:marTop w:val="0"/>
      <w:marBottom w:val="0"/>
      <w:divBdr>
        <w:top w:val="none" w:sz="0" w:space="0" w:color="auto"/>
        <w:left w:val="none" w:sz="0" w:space="0" w:color="auto"/>
        <w:bottom w:val="none" w:sz="0" w:space="0" w:color="auto"/>
        <w:right w:val="none" w:sz="0" w:space="0" w:color="auto"/>
      </w:divBdr>
    </w:div>
    <w:div w:id="2056736222">
      <w:bodyDiv w:val="1"/>
      <w:marLeft w:val="0"/>
      <w:marRight w:val="0"/>
      <w:marTop w:val="0"/>
      <w:marBottom w:val="0"/>
      <w:divBdr>
        <w:top w:val="none" w:sz="0" w:space="0" w:color="auto"/>
        <w:left w:val="none" w:sz="0" w:space="0" w:color="auto"/>
        <w:bottom w:val="none" w:sz="0" w:space="0" w:color="auto"/>
        <w:right w:val="none" w:sz="0" w:space="0" w:color="auto"/>
      </w:divBdr>
    </w:div>
    <w:div w:id="2067996171">
      <w:bodyDiv w:val="1"/>
      <w:marLeft w:val="0"/>
      <w:marRight w:val="0"/>
      <w:marTop w:val="0"/>
      <w:marBottom w:val="0"/>
      <w:divBdr>
        <w:top w:val="none" w:sz="0" w:space="0" w:color="auto"/>
        <w:left w:val="none" w:sz="0" w:space="0" w:color="auto"/>
        <w:bottom w:val="none" w:sz="0" w:space="0" w:color="auto"/>
        <w:right w:val="none" w:sz="0" w:space="0" w:color="auto"/>
      </w:divBdr>
    </w:div>
    <w:div w:id="2069645184">
      <w:bodyDiv w:val="1"/>
      <w:marLeft w:val="0"/>
      <w:marRight w:val="0"/>
      <w:marTop w:val="0"/>
      <w:marBottom w:val="0"/>
      <w:divBdr>
        <w:top w:val="none" w:sz="0" w:space="0" w:color="auto"/>
        <w:left w:val="none" w:sz="0" w:space="0" w:color="auto"/>
        <w:bottom w:val="none" w:sz="0" w:space="0" w:color="auto"/>
        <w:right w:val="none" w:sz="0" w:space="0" w:color="auto"/>
      </w:divBdr>
    </w:div>
    <w:div w:id="2088457652">
      <w:bodyDiv w:val="1"/>
      <w:marLeft w:val="0"/>
      <w:marRight w:val="0"/>
      <w:marTop w:val="0"/>
      <w:marBottom w:val="0"/>
      <w:divBdr>
        <w:top w:val="none" w:sz="0" w:space="0" w:color="auto"/>
        <w:left w:val="none" w:sz="0" w:space="0" w:color="auto"/>
        <w:bottom w:val="none" w:sz="0" w:space="0" w:color="auto"/>
        <w:right w:val="none" w:sz="0" w:space="0" w:color="auto"/>
      </w:divBdr>
    </w:div>
    <w:div w:id="2125078717">
      <w:bodyDiv w:val="1"/>
      <w:marLeft w:val="0"/>
      <w:marRight w:val="0"/>
      <w:marTop w:val="0"/>
      <w:marBottom w:val="0"/>
      <w:divBdr>
        <w:top w:val="none" w:sz="0" w:space="0" w:color="auto"/>
        <w:left w:val="none" w:sz="0" w:space="0" w:color="auto"/>
        <w:bottom w:val="none" w:sz="0" w:space="0" w:color="auto"/>
        <w:right w:val="none" w:sz="0" w:space="0" w:color="auto"/>
      </w:divBdr>
    </w:div>
    <w:div w:id="2139182602">
      <w:bodyDiv w:val="1"/>
      <w:marLeft w:val="0"/>
      <w:marRight w:val="0"/>
      <w:marTop w:val="0"/>
      <w:marBottom w:val="0"/>
      <w:divBdr>
        <w:top w:val="none" w:sz="0" w:space="0" w:color="auto"/>
        <w:left w:val="none" w:sz="0" w:space="0" w:color="auto"/>
        <w:bottom w:val="none" w:sz="0" w:space="0" w:color="auto"/>
        <w:right w:val="none" w:sz="0" w:space="0" w:color="auto"/>
      </w:divBdr>
    </w:div>
    <w:div w:id="21460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urts.sa.gov.au/rules-forms-fees/jcr2022/" TargetMode="External"/><Relationship Id="rId299" Type="http://schemas.openxmlformats.org/officeDocument/2006/relationships/hyperlink" Target="https://www.courts.sa.gov.au/rules-forms-fees/jcr2022/" TargetMode="External"/><Relationship Id="rId21" Type="http://schemas.openxmlformats.org/officeDocument/2006/relationships/hyperlink" Target="https://www.courts.sa.gov.au/rules-forms-fees/jcr2022/" TargetMode="External"/><Relationship Id="rId63" Type="http://schemas.openxmlformats.org/officeDocument/2006/relationships/hyperlink" Target="https://www.courts.sa.gov.au/rules-forms-fees/jcr2022/" TargetMode="External"/><Relationship Id="rId159" Type="http://schemas.openxmlformats.org/officeDocument/2006/relationships/hyperlink" Target="https://www.courts.sa.gov.au/rules-forms-fees/jcr2022/" TargetMode="External"/><Relationship Id="rId324" Type="http://schemas.openxmlformats.org/officeDocument/2006/relationships/hyperlink" Target="https://www.courts.sa.gov.au/rules-forms-fees/jcr2022/" TargetMode="External"/><Relationship Id="rId366" Type="http://schemas.openxmlformats.org/officeDocument/2006/relationships/hyperlink" Target="https://www.courts.sa.gov.au/rules-forms-fees/jcr2022/" TargetMode="External"/><Relationship Id="rId170" Type="http://schemas.openxmlformats.org/officeDocument/2006/relationships/hyperlink" Target="https://www.courts.sa.gov.au/rules-forms-fees/jcr2022/" TargetMode="External"/><Relationship Id="rId226" Type="http://schemas.openxmlformats.org/officeDocument/2006/relationships/hyperlink" Target="https://www.courts.sa.gov.au/rules-forms-fees/jcr2022/" TargetMode="External"/><Relationship Id="rId433" Type="http://schemas.openxmlformats.org/officeDocument/2006/relationships/hyperlink" Target="https://www.courts.sa.gov.au/rules-forms-fees/jcr2022/" TargetMode="External"/><Relationship Id="rId268" Type="http://schemas.openxmlformats.org/officeDocument/2006/relationships/hyperlink" Target="https://www.courts.sa.gov.au/rules-forms-fees/jcr2022/" TargetMode="External"/><Relationship Id="rId32" Type="http://schemas.openxmlformats.org/officeDocument/2006/relationships/hyperlink" Target="https://www.courts.sa.gov.au/rules-forms-fees/jcr2022/" TargetMode="External"/><Relationship Id="rId74" Type="http://schemas.openxmlformats.org/officeDocument/2006/relationships/hyperlink" Target="https://www.courts.sa.gov.au/rules-forms-fees/jcr2022/" TargetMode="External"/><Relationship Id="rId128" Type="http://schemas.openxmlformats.org/officeDocument/2006/relationships/hyperlink" Target="https://www.courts.sa.gov.au/rules-forms-fees/jcr2022/" TargetMode="External"/><Relationship Id="rId335" Type="http://schemas.openxmlformats.org/officeDocument/2006/relationships/hyperlink" Target="https://www.courts.sa.gov.au/rules-forms-fees/jcr2022/" TargetMode="External"/><Relationship Id="rId377" Type="http://schemas.openxmlformats.org/officeDocument/2006/relationships/hyperlink" Target="https://www.courts.sa.gov.au/rules-forms-fees/jcr2022/" TargetMode="External"/><Relationship Id="rId5" Type="http://schemas.openxmlformats.org/officeDocument/2006/relationships/numbering" Target="numbering.xml"/><Relationship Id="rId181" Type="http://schemas.openxmlformats.org/officeDocument/2006/relationships/hyperlink" Target="https://www.courts.sa.gov.au/rules-forms-fees/jcr2022/" TargetMode="External"/><Relationship Id="rId237" Type="http://schemas.openxmlformats.org/officeDocument/2006/relationships/hyperlink" Target="https://www.courts.sa.gov.au/rules-forms-fees/jcr2022/" TargetMode="External"/><Relationship Id="rId402" Type="http://schemas.openxmlformats.org/officeDocument/2006/relationships/hyperlink" Target="https://www.courts.sa.gov.au/rules-forms-fees/jcr2022/" TargetMode="External"/><Relationship Id="rId279" Type="http://schemas.openxmlformats.org/officeDocument/2006/relationships/hyperlink" Target="https://www.courts.sa.gov.au/rules-forms-fees/jcr2022/" TargetMode="External"/><Relationship Id="rId444" Type="http://schemas.openxmlformats.org/officeDocument/2006/relationships/footer" Target="footer6.xml"/><Relationship Id="rId43" Type="http://schemas.openxmlformats.org/officeDocument/2006/relationships/hyperlink" Target="https://www.courts.sa.gov.au/rules-forms-fees/jcr2022/" TargetMode="External"/><Relationship Id="rId139" Type="http://schemas.openxmlformats.org/officeDocument/2006/relationships/hyperlink" Target="https://www.courts.sa.gov.au/rules-forms-fees/jcr2022/" TargetMode="External"/><Relationship Id="rId290" Type="http://schemas.openxmlformats.org/officeDocument/2006/relationships/hyperlink" Target="https://www.courts.sa.gov.au/rules-forms-fees/jcr2022/" TargetMode="External"/><Relationship Id="rId304" Type="http://schemas.openxmlformats.org/officeDocument/2006/relationships/hyperlink" Target="https://www.courts.sa.gov.au/rules-forms-fees/jcr2022/" TargetMode="External"/><Relationship Id="rId346" Type="http://schemas.openxmlformats.org/officeDocument/2006/relationships/hyperlink" Target="https://www.courts.sa.gov.au/rules-forms-fees/jcr2022/" TargetMode="External"/><Relationship Id="rId388" Type="http://schemas.openxmlformats.org/officeDocument/2006/relationships/hyperlink" Target="https://www.courts.sa.gov.au/rules-forms-fees/jcr2022/" TargetMode="External"/><Relationship Id="rId85" Type="http://schemas.openxmlformats.org/officeDocument/2006/relationships/hyperlink" Target="https://www.courts.sa.gov.au/rules-forms-fees/jcr2022/" TargetMode="External"/><Relationship Id="rId150" Type="http://schemas.openxmlformats.org/officeDocument/2006/relationships/hyperlink" Target="https://www.courts.sa.gov.au/rules-forms-fees/jcr2022/" TargetMode="External"/><Relationship Id="rId192" Type="http://schemas.openxmlformats.org/officeDocument/2006/relationships/hyperlink" Target="https://www.courts.sa.gov.au/rules-forms-fees/jcr2022/" TargetMode="External"/><Relationship Id="rId206" Type="http://schemas.openxmlformats.org/officeDocument/2006/relationships/hyperlink" Target="https://www.courts.sa.gov.au/rules-forms-fees/jcr2022/" TargetMode="External"/><Relationship Id="rId413" Type="http://schemas.openxmlformats.org/officeDocument/2006/relationships/hyperlink" Target="https://www.courts.sa.gov.au/rules-forms-fees/jcr2022/" TargetMode="External"/><Relationship Id="rId248" Type="http://schemas.openxmlformats.org/officeDocument/2006/relationships/hyperlink" Target="https://www.courts.sa.gov.au/rules-forms-fees/jcr2022/" TargetMode="External"/><Relationship Id="rId12" Type="http://schemas.openxmlformats.org/officeDocument/2006/relationships/header" Target="header2.xml"/><Relationship Id="rId108" Type="http://schemas.openxmlformats.org/officeDocument/2006/relationships/hyperlink" Target="https://www.courts.sa.gov.au/rules-forms-fees/jcr2022/" TargetMode="External"/><Relationship Id="rId315" Type="http://schemas.openxmlformats.org/officeDocument/2006/relationships/hyperlink" Target="https://www.courts.sa.gov.au/rules-forms-fees/jcr2022/" TargetMode="External"/><Relationship Id="rId357" Type="http://schemas.openxmlformats.org/officeDocument/2006/relationships/hyperlink" Target="https://www.courts.sa.gov.au/rules-forms-fees/jcr2022/" TargetMode="External"/><Relationship Id="rId54" Type="http://schemas.openxmlformats.org/officeDocument/2006/relationships/hyperlink" Target="https://www.courts.sa.gov.au/rules-forms-fees/jcr2022/" TargetMode="External"/><Relationship Id="rId75" Type="http://schemas.openxmlformats.org/officeDocument/2006/relationships/hyperlink" Target="https://www.courts.sa.gov.au/rules-forms-fees/jcr2022/" TargetMode="External"/><Relationship Id="rId96" Type="http://schemas.openxmlformats.org/officeDocument/2006/relationships/hyperlink" Target="https://www.courts.sa.gov.au/rules-forms-fees/jcr2022/" TargetMode="External"/><Relationship Id="rId140" Type="http://schemas.openxmlformats.org/officeDocument/2006/relationships/hyperlink" Target="https://www.courts.sa.gov.au/rules-forms-fees/jcr2022/" TargetMode="External"/><Relationship Id="rId161" Type="http://schemas.openxmlformats.org/officeDocument/2006/relationships/hyperlink" Target="https://www.courts.sa.gov.au/rules-forms-fees/jcr2022/" TargetMode="External"/><Relationship Id="rId182" Type="http://schemas.openxmlformats.org/officeDocument/2006/relationships/hyperlink" Target="https://www.courts.sa.gov.au/rules-forms-fees/jcr2022/" TargetMode="External"/><Relationship Id="rId217" Type="http://schemas.openxmlformats.org/officeDocument/2006/relationships/hyperlink" Target="https://www.courts.sa.gov.au/rules-forms-fees/jcr2022/" TargetMode="External"/><Relationship Id="rId378" Type="http://schemas.openxmlformats.org/officeDocument/2006/relationships/hyperlink" Target="https://www.courts.sa.gov.au/rules-forms-fees/jcr2022/" TargetMode="External"/><Relationship Id="rId399" Type="http://schemas.openxmlformats.org/officeDocument/2006/relationships/hyperlink" Target="https://www.courts.sa.gov.au/rules-forms-fees/jcr2022/" TargetMode="External"/><Relationship Id="rId403" Type="http://schemas.openxmlformats.org/officeDocument/2006/relationships/hyperlink" Target="https://www.courts.sa.gov.au/rules-forms-fees/jcr2022/" TargetMode="External"/><Relationship Id="rId6" Type="http://schemas.openxmlformats.org/officeDocument/2006/relationships/styles" Target="styles.xml"/><Relationship Id="rId238" Type="http://schemas.openxmlformats.org/officeDocument/2006/relationships/hyperlink" Target="https://www.courts.sa.gov.au/rules-forms-fees/jcr2022/" TargetMode="External"/><Relationship Id="rId259" Type="http://schemas.openxmlformats.org/officeDocument/2006/relationships/hyperlink" Target="https://www.courts.sa.gov.au/rules-forms-fees/jcr2022/" TargetMode="External"/><Relationship Id="rId424" Type="http://schemas.openxmlformats.org/officeDocument/2006/relationships/hyperlink" Target="https://www.courts.sa.gov.au/rules-forms-fees/jcr2022/" TargetMode="External"/><Relationship Id="rId445" Type="http://schemas.openxmlformats.org/officeDocument/2006/relationships/fontTable" Target="fontTable.xml"/><Relationship Id="rId23" Type="http://schemas.openxmlformats.org/officeDocument/2006/relationships/hyperlink" Target="https://www.courts.sa.gov.au/rules-forms-fees/jcr2022/" TargetMode="External"/><Relationship Id="rId119" Type="http://schemas.openxmlformats.org/officeDocument/2006/relationships/hyperlink" Target="https://www.courts.sa.gov.au/rules-forms-fees/jcr2022/" TargetMode="External"/><Relationship Id="rId270" Type="http://schemas.openxmlformats.org/officeDocument/2006/relationships/hyperlink" Target="https://www.courts.sa.gov.au/rules-forms-fees/jcr2022/" TargetMode="External"/><Relationship Id="rId291" Type="http://schemas.openxmlformats.org/officeDocument/2006/relationships/hyperlink" Target="https://www.courts.sa.gov.au/rules-forms-fees/jcr2022/" TargetMode="External"/><Relationship Id="rId305" Type="http://schemas.openxmlformats.org/officeDocument/2006/relationships/hyperlink" Target="https://www.courts.sa.gov.au/rules-forms-fees/jcr2022/" TargetMode="External"/><Relationship Id="rId326" Type="http://schemas.openxmlformats.org/officeDocument/2006/relationships/hyperlink" Target="https://www.courts.sa.gov.au/rules-forms-fees/jcr2022/" TargetMode="External"/><Relationship Id="rId347" Type="http://schemas.openxmlformats.org/officeDocument/2006/relationships/hyperlink" Target="https://www.courts.sa.gov.au/rules-forms-fees/jcr2022/" TargetMode="External"/><Relationship Id="rId44" Type="http://schemas.openxmlformats.org/officeDocument/2006/relationships/hyperlink" Target="https://www.courts.sa.gov.au/rules-forms-fees/jcr2022/" TargetMode="External"/><Relationship Id="rId65" Type="http://schemas.openxmlformats.org/officeDocument/2006/relationships/hyperlink" Target="https://www.courts.sa.gov.au/rules-forms-fees/jcr2022/" TargetMode="External"/><Relationship Id="rId86" Type="http://schemas.openxmlformats.org/officeDocument/2006/relationships/hyperlink" Target="https://www.courts.sa.gov.au/rules-forms-fees/jcr2022/" TargetMode="External"/><Relationship Id="rId130" Type="http://schemas.openxmlformats.org/officeDocument/2006/relationships/hyperlink" Target="https://www.courts.sa.gov.au/rules-forms-fees/jcr2022/" TargetMode="External"/><Relationship Id="rId151" Type="http://schemas.openxmlformats.org/officeDocument/2006/relationships/hyperlink" Target="https://www.courts.sa.gov.au/rules-forms-fees/jcr2022/" TargetMode="External"/><Relationship Id="rId368" Type="http://schemas.openxmlformats.org/officeDocument/2006/relationships/hyperlink" Target="https://www.courts.sa.gov.au/rules-forms-fees/jcr2022/" TargetMode="External"/><Relationship Id="rId389" Type="http://schemas.openxmlformats.org/officeDocument/2006/relationships/hyperlink" Target="https://www.courts.sa.gov.au/rules-forms-fees/jcr2022/" TargetMode="External"/><Relationship Id="rId172" Type="http://schemas.openxmlformats.org/officeDocument/2006/relationships/hyperlink" Target="https://www.courts.sa.gov.au/rules-forms-fees/jcr2022/" TargetMode="External"/><Relationship Id="rId193" Type="http://schemas.openxmlformats.org/officeDocument/2006/relationships/hyperlink" Target="https://www.courts.sa.gov.au/rules-forms-fees/jcr2022/" TargetMode="External"/><Relationship Id="rId207" Type="http://schemas.openxmlformats.org/officeDocument/2006/relationships/hyperlink" Target="https://www.courts.sa.gov.au/rules-forms-fees/jcr2022/" TargetMode="External"/><Relationship Id="rId228" Type="http://schemas.openxmlformats.org/officeDocument/2006/relationships/hyperlink" Target="https://www.courts.sa.gov.au/rules-forms-fees/jcr2022/" TargetMode="External"/><Relationship Id="rId249" Type="http://schemas.openxmlformats.org/officeDocument/2006/relationships/hyperlink" Target="https://www.courts.sa.gov.au/rules-forms-fees/jcr2022/" TargetMode="External"/><Relationship Id="rId414" Type="http://schemas.openxmlformats.org/officeDocument/2006/relationships/hyperlink" Target="https://www.courts.sa.gov.au/rules-forms-fees/jcr2022/" TargetMode="External"/><Relationship Id="rId435" Type="http://schemas.openxmlformats.org/officeDocument/2006/relationships/hyperlink" Target="https://www.courts.sa.gov.au/rules-forms-fees/jcr2022/" TargetMode="External"/><Relationship Id="rId13" Type="http://schemas.openxmlformats.org/officeDocument/2006/relationships/footer" Target="footer1.xml"/><Relationship Id="rId109" Type="http://schemas.openxmlformats.org/officeDocument/2006/relationships/hyperlink" Target="https://www.courts.sa.gov.au/rules-forms-fees/jcr2022/" TargetMode="External"/><Relationship Id="rId260" Type="http://schemas.openxmlformats.org/officeDocument/2006/relationships/hyperlink" Target="https://www.courts.sa.gov.au/rules-forms-fees/jcr2022/" TargetMode="External"/><Relationship Id="rId281" Type="http://schemas.openxmlformats.org/officeDocument/2006/relationships/hyperlink" Target="https://www.courts.sa.gov.au/rules-forms-fees/jcr2022/" TargetMode="External"/><Relationship Id="rId316" Type="http://schemas.openxmlformats.org/officeDocument/2006/relationships/hyperlink" Target="https://www.courts.sa.gov.au/rules-forms-fees/jcr2022/" TargetMode="External"/><Relationship Id="rId337" Type="http://schemas.openxmlformats.org/officeDocument/2006/relationships/hyperlink" Target="https://www.courts.sa.gov.au/rules-forms-fees/jcr2022/" TargetMode="External"/><Relationship Id="rId34" Type="http://schemas.openxmlformats.org/officeDocument/2006/relationships/hyperlink" Target="https://www.courts.sa.gov.au/rules-forms-fees/jcr2022/" TargetMode="External"/><Relationship Id="rId55" Type="http://schemas.openxmlformats.org/officeDocument/2006/relationships/hyperlink" Target="https://www.courts.sa.gov.au/rules-forms-fees/jcr2022/" TargetMode="External"/><Relationship Id="rId76" Type="http://schemas.openxmlformats.org/officeDocument/2006/relationships/hyperlink" Target="https://www.courts.sa.gov.au/rules-forms-fees/jcr2022/" TargetMode="External"/><Relationship Id="rId97" Type="http://schemas.openxmlformats.org/officeDocument/2006/relationships/hyperlink" Target="https://www.courts.sa.gov.au/rules-forms-fees/jcr2022/" TargetMode="External"/><Relationship Id="rId120" Type="http://schemas.openxmlformats.org/officeDocument/2006/relationships/hyperlink" Target="https://www.courts.sa.gov.au/rules-forms-fees/jcr2022/" TargetMode="External"/><Relationship Id="rId141" Type="http://schemas.openxmlformats.org/officeDocument/2006/relationships/hyperlink" Target="https://www.courts.sa.gov.au/rules-forms-fees/jcr2022/" TargetMode="External"/><Relationship Id="rId358" Type="http://schemas.openxmlformats.org/officeDocument/2006/relationships/hyperlink" Target="https://www.courts.sa.gov.au/rules-forms-fees/jcr2022/" TargetMode="External"/><Relationship Id="rId379" Type="http://schemas.openxmlformats.org/officeDocument/2006/relationships/hyperlink" Target="https://www.courts.sa.gov.au/rules-forms-fees/jcr2022/" TargetMode="External"/><Relationship Id="rId7" Type="http://schemas.openxmlformats.org/officeDocument/2006/relationships/settings" Target="settings.xml"/><Relationship Id="rId162" Type="http://schemas.openxmlformats.org/officeDocument/2006/relationships/hyperlink" Target="https://www.courts.sa.gov.au/rules-forms-fees/jcr2022/" TargetMode="External"/><Relationship Id="rId183" Type="http://schemas.openxmlformats.org/officeDocument/2006/relationships/hyperlink" Target="https://www.courts.sa.gov.au/rules-forms-fees/jcr2022/" TargetMode="External"/><Relationship Id="rId218" Type="http://schemas.openxmlformats.org/officeDocument/2006/relationships/hyperlink" Target="https://www.courts.sa.gov.au/rules-forms-fees/jcr2022/" TargetMode="External"/><Relationship Id="rId239" Type="http://schemas.openxmlformats.org/officeDocument/2006/relationships/hyperlink" Target="https://www.courts.sa.gov.au/rules-forms-fees/jcr2022/" TargetMode="External"/><Relationship Id="rId390" Type="http://schemas.openxmlformats.org/officeDocument/2006/relationships/hyperlink" Target="https://www.courts.sa.gov.au/rules-forms-fees/jcr2022/" TargetMode="External"/><Relationship Id="rId404" Type="http://schemas.openxmlformats.org/officeDocument/2006/relationships/hyperlink" Target="https://www.courts.sa.gov.au/rules-forms-fees/jcr2022/" TargetMode="External"/><Relationship Id="rId425" Type="http://schemas.openxmlformats.org/officeDocument/2006/relationships/hyperlink" Target="https://www.courts.sa.gov.au/rules-forms-fees/jcr2022/" TargetMode="External"/><Relationship Id="rId446" Type="http://schemas.openxmlformats.org/officeDocument/2006/relationships/theme" Target="theme/theme1.xml"/><Relationship Id="rId250" Type="http://schemas.openxmlformats.org/officeDocument/2006/relationships/hyperlink" Target="https://www.courts.sa.gov.au/rules-forms-fees/jcr2022/" TargetMode="External"/><Relationship Id="rId271" Type="http://schemas.openxmlformats.org/officeDocument/2006/relationships/hyperlink" Target="https://www.courts.sa.gov.au/rules-forms-fees/jcr2022/" TargetMode="External"/><Relationship Id="rId292" Type="http://schemas.openxmlformats.org/officeDocument/2006/relationships/hyperlink" Target="https://www.courts.sa.gov.au/rules-forms-fees/jcr2022/" TargetMode="External"/><Relationship Id="rId306" Type="http://schemas.openxmlformats.org/officeDocument/2006/relationships/hyperlink" Target="https://www.courts.sa.gov.au/rules-forms-fees/jcr2022/" TargetMode="External"/><Relationship Id="rId24" Type="http://schemas.openxmlformats.org/officeDocument/2006/relationships/hyperlink" Target="https://www.courts.sa.gov.au/rules-forms-fees/jcr2022/" TargetMode="External"/><Relationship Id="rId45" Type="http://schemas.openxmlformats.org/officeDocument/2006/relationships/hyperlink" Target="https://www.courts.sa.gov.au/rules-forms-fees/jcr2022/" TargetMode="External"/><Relationship Id="rId66" Type="http://schemas.openxmlformats.org/officeDocument/2006/relationships/hyperlink" Target="https://www.courts.sa.gov.au/rules-forms-fees/jcr2022/" TargetMode="External"/><Relationship Id="rId87" Type="http://schemas.openxmlformats.org/officeDocument/2006/relationships/hyperlink" Target="https://www.courts.sa.gov.au/rules-forms-fees/jcr2022/" TargetMode="External"/><Relationship Id="rId110" Type="http://schemas.openxmlformats.org/officeDocument/2006/relationships/hyperlink" Target="https://www.courts.sa.gov.au/rules-forms-fees/jcr2022/" TargetMode="External"/><Relationship Id="rId131" Type="http://schemas.openxmlformats.org/officeDocument/2006/relationships/hyperlink" Target="https://www.courts.sa.gov.au/rules-forms-fees/jcr2022/" TargetMode="External"/><Relationship Id="rId327" Type="http://schemas.openxmlformats.org/officeDocument/2006/relationships/hyperlink" Target="https://www.courts.sa.gov.au/rules-forms-fees/jcr2022/" TargetMode="External"/><Relationship Id="rId348" Type="http://schemas.openxmlformats.org/officeDocument/2006/relationships/hyperlink" Target="https://www.courts.sa.gov.au/rules-forms-fees/jcr2022/" TargetMode="External"/><Relationship Id="rId369" Type="http://schemas.openxmlformats.org/officeDocument/2006/relationships/hyperlink" Target="https://www.courts.sa.gov.au/rules-forms-fees/jcr2022/" TargetMode="External"/><Relationship Id="rId152" Type="http://schemas.openxmlformats.org/officeDocument/2006/relationships/hyperlink" Target="https://www.courts.sa.gov.au/rules-forms-fees/jcr2022/" TargetMode="External"/><Relationship Id="rId173" Type="http://schemas.openxmlformats.org/officeDocument/2006/relationships/hyperlink" Target="https://www.courts.sa.gov.au/rules-forms-fees/jcr2022/" TargetMode="External"/><Relationship Id="rId194" Type="http://schemas.openxmlformats.org/officeDocument/2006/relationships/hyperlink" Target="https://www.courts.sa.gov.au/rules-forms-fees/jcr2022/" TargetMode="External"/><Relationship Id="rId208" Type="http://schemas.openxmlformats.org/officeDocument/2006/relationships/hyperlink" Target="https://www.courts.sa.gov.au/rules-forms-fees/jcr2022/" TargetMode="External"/><Relationship Id="rId229" Type="http://schemas.openxmlformats.org/officeDocument/2006/relationships/hyperlink" Target="https://www.courts.sa.gov.au/rules-forms-fees/jcr2022/" TargetMode="External"/><Relationship Id="rId380" Type="http://schemas.openxmlformats.org/officeDocument/2006/relationships/hyperlink" Target="https://www.courts.sa.gov.au/rules-forms-fees/jcr2022/" TargetMode="External"/><Relationship Id="rId415" Type="http://schemas.openxmlformats.org/officeDocument/2006/relationships/hyperlink" Target="https://www.courts.sa.gov.au/rules-forms-fees/jcr2022/" TargetMode="External"/><Relationship Id="rId436" Type="http://schemas.openxmlformats.org/officeDocument/2006/relationships/hyperlink" Target="https://www.courts.sa.gov.au/rules-forms-fees/jcr2022/" TargetMode="External"/><Relationship Id="rId240" Type="http://schemas.openxmlformats.org/officeDocument/2006/relationships/hyperlink" Target="https://www.courts.sa.gov.au/rules-forms-fees/jcr2022/" TargetMode="External"/><Relationship Id="rId261" Type="http://schemas.openxmlformats.org/officeDocument/2006/relationships/hyperlink" Target="https://www.courts.sa.gov.au/rules-forms-fees/jcr2022/" TargetMode="External"/><Relationship Id="rId14" Type="http://schemas.openxmlformats.org/officeDocument/2006/relationships/footer" Target="footer2.xml"/><Relationship Id="rId35" Type="http://schemas.openxmlformats.org/officeDocument/2006/relationships/hyperlink" Target="https://www.courts.sa.gov.au/rules-forms-fees/jcr2022/" TargetMode="External"/><Relationship Id="rId56" Type="http://schemas.openxmlformats.org/officeDocument/2006/relationships/hyperlink" Target="https://www.courts.sa.gov.au/rules-forms-fees/jcr2022/" TargetMode="External"/><Relationship Id="rId77" Type="http://schemas.openxmlformats.org/officeDocument/2006/relationships/hyperlink" Target="https://www.courts.sa.gov.au/rules-forms-fees/jcr2022/" TargetMode="External"/><Relationship Id="rId100" Type="http://schemas.openxmlformats.org/officeDocument/2006/relationships/hyperlink" Target="https://www.courts.sa.gov.au/rules-forms-fees/jcr2022/" TargetMode="External"/><Relationship Id="rId282" Type="http://schemas.openxmlformats.org/officeDocument/2006/relationships/hyperlink" Target="https://www.courts.sa.gov.au/rules-forms-fees/jcr2022/" TargetMode="External"/><Relationship Id="rId317" Type="http://schemas.openxmlformats.org/officeDocument/2006/relationships/hyperlink" Target="https://www.courts.sa.gov.au/rules-forms-fees/jcr2022/" TargetMode="External"/><Relationship Id="rId338" Type="http://schemas.openxmlformats.org/officeDocument/2006/relationships/hyperlink" Target="https://www.courts.sa.gov.au/rules-forms-fees/jcr2022/" TargetMode="External"/><Relationship Id="rId359" Type="http://schemas.openxmlformats.org/officeDocument/2006/relationships/hyperlink" Target="https://www.courts.sa.gov.au/rules-forms-fees/jcr2022/" TargetMode="External"/><Relationship Id="rId8" Type="http://schemas.openxmlformats.org/officeDocument/2006/relationships/webSettings" Target="webSettings.xml"/><Relationship Id="rId98" Type="http://schemas.openxmlformats.org/officeDocument/2006/relationships/hyperlink" Target="https://www.courts.sa.gov.au/rules-forms-fees/jcr2022/" TargetMode="External"/><Relationship Id="rId121" Type="http://schemas.openxmlformats.org/officeDocument/2006/relationships/hyperlink" Target="https://www.courts.sa.gov.au/rules-forms-fees/jcr2022/" TargetMode="External"/><Relationship Id="rId142" Type="http://schemas.openxmlformats.org/officeDocument/2006/relationships/hyperlink" Target="https://www.courts.sa.gov.au/rules-forms-fees/jcr2022/" TargetMode="External"/><Relationship Id="rId163" Type="http://schemas.openxmlformats.org/officeDocument/2006/relationships/hyperlink" Target="https://www.courts.sa.gov.au/rules-forms-fees/jcr2022/" TargetMode="External"/><Relationship Id="rId184" Type="http://schemas.openxmlformats.org/officeDocument/2006/relationships/hyperlink" Target="https://www.courts.sa.gov.au/rules-forms-fees/jcr2022/" TargetMode="External"/><Relationship Id="rId219" Type="http://schemas.openxmlformats.org/officeDocument/2006/relationships/hyperlink" Target="https://www.courts.sa.gov.au/rules-forms-fees/jcr2022/" TargetMode="External"/><Relationship Id="rId370" Type="http://schemas.openxmlformats.org/officeDocument/2006/relationships/hyperlink" Target="https://www.courts.sa.gov.au/rules-forms-fees/jcr2022/" TargetMode="External"/><Relationship Id="rId391" Type="http://schemas.openxmlformats.org/officeDocument/2006/relationships/hyperlink" Target="https://www.courts.sa.gov.au/rules-forms-fees/jcr2022/" TargetMode="External"/><Relationship Id="rId405" Type="http://schemas.openxmlformats.org/officeDocument/2006/relationships/hyperlink" Target="https://www.courts.sa.gov.au/rules-forms-fees/jcr2022/" TargetMode="External"/><Relationship Id="rId426" Type="http://schemas.openxmlformats.org/officeDocument/2006/relationships/hyperlink" Target="https://www.courts.sa.gov.au/rules-forms-fees/jcr2022/" TargetMode="External"/><Relationship Id="rId230" Type="http://schemas.openxmlformats.org/officeDocument/2006/relationships/hyperlink" Target="https://www.courts.sa.gov.au/rules-forms-fees/jcr2022/" TargetMode="External"/><Relationship Id="rId251" Type="http://schemas.openxmlformats.org/officeDocument/2006/relationships/hyperlink" Target="https://www.courts.sa.gov.au/rules-forms-fees/jcr2022/" TargetMode="External"/><Relationship Id="rId25" Type="http://schemas.openxmlformats.org/officeDocument/2006/relationships/hyperlink" Target="https://www.courts.sa.gov.au/rules-forms-fees/jcr2022/" TargetMode="External"/><Relationship Id="rId46" Type="http://schemas.openxmlformats.org/officeDocument/2006/relationships/hyperlink" Target="https://www.courts.sa.gov.au/rules-forms-fees/jcr2022/" TargetMode="External"/><Relationship Id="rId67" Type="http://schemas.openxmlformats.org/officeDocument/2006/relationships/hyperlink" Target="https://www.courts.sa.gov.au/rules-forms-fees/jcr2022/" TargetMode="External"/><Relationship Id="rId272" Type="http://schemas.openxmlformats.org/officeDocument/2006/relationships/hyperlink" Target="https://www.courts.sa.gov.au/rules-forms-fees/jcr2022/" TargetMode="External"/><Relationship Id="rId293" Type="http://schemas.openxmlformats.org/officeDocument/2006/relationships/hyperlink" Target="https://www.courts.sa.gov.au/rules-forms-fees/jcr2022/" TargetMode="External"/><Relationship Id="rId307" Type="http://schemas.openxmlformats.org/officeDocument/2006/relationships/hyperlink" Target="https://www.courts.sa.gov.au/rules-forms-fees/jcr2022/" TargetMode="External"/><Relationship Id="rId328" Type="http://schemas.openxmlformats.org/officeDocument/2006/relationships/hyperlink" Target="https://www.courts.sa.gov.au/rules-forms-fees/jcr2022/" TargetMode="External"/><Relationship Id="rId349" Type="http://schemas.openxmlformats.org/officeDocument/2006/relationships/hyperlink" Target="https://www.courts.sa.gov.au/rules-forms-fees/jcr2022/" TargetMode="External"/><Relationship Id="rId88" Type="http://schemas.openxmlformats.org/officeDocument/2006/relationships/hyperlink" Target="https://www.courts.sa.gov.au/rules-forms-fees/jcr2022/" TargetMode="External"/><Relationship Id="rId111" Type="http://schemas.openxmlformats.org/officeDocument/2006/relationships/hyperlink" Target="https://www.courts.sa.gov.au/rules-forms-fees/jcr2022/" TargetMode="External"/><Relationship Id="rId132" Type="http://schemas.openxmlformats.org/officeDocument/2006/relationships/hyperlink" Target="https://www.courts.sa.gov.au/rules-forms-fees/jcr2022/" TargetMode="External"/><Relationship Id="rId153" Type="http://schemas.openxmlformats.org/officeDocument/2006/relationships/hyperlink" Target="https://www.courts.sa.gov.au/rules-forms-fees/jcr2022/" TargetMode="External"/><Relationship Id="rId174" Type="http://schemas.openxmlformats.org/officeDocument/2006/relationships/hyperlink" Target="https://www.courts.sa.gov.au/rules-forms-fees/jcr2022/" TargetMode="External"/><Relationship Id="rId195" Type="http://schemas.openxmlformats.org/officeDocument/2006/relationships/hyperlink" Target="https://www.courts.sa.gov.au/rules-forms-fees/jcr2022/" TargetMode="External"/><Relationship Id="rId209" Type="http://schemas.openxmlformats.org/officeDocument/2006/relationships/hyperlink" Target="https://www.courts.sa.gov.au/rules-forms-fees/jcr2022/" TargetMode="External"/><Relationship Id="rId360" Type="http://schemas.openxmlformats.org/officeDocument/2006/relationships/hyperlink" Target="https://www.courts.sa.gov.au/rules-forms-fees/jcr2022/" TargetMode="External"/><Relationship Id="rId381" Type="http://schemas.openxmlformats.org/officeDocument/2006/relationships/hyperlink" Target="https://www.courts.sa.gov.au/rules-forms-fees/jcr2022/" TargetMode="External"/><Relationship Id="rId416" Type="http://schemas.openxmlformats.org/officeDocument/2006/relationships/hyperlink" Target="https://www.courts.sa.gov.au/rules-forms-fees/jcr2022/" TargetMode="External"/><Relationship Id="rId220" Type="http://schemas.openxmlformats.org/officeDocument/2006/relationships/hyperlink" Target="https://www.courts.sa.gov.au/rules-forms-fees/jcr2022/" TargetMode="External"/><Relationship Id="rId241" Type="http://schemas.openxmlformats.org/officeDocument/2006/relationships/hyperlink" Target="https://www.courts.sa.gov.au/rules-forms-fees/jcr2022/" TargetMode="External"/><Relationship Id="rId437" Type="http://schemas.openxmlformats.org/officeDocument/2006/relationships/hyperlink" Target="https://www.courts.sa.gov.au/rules-forms-fees/jcr2022/" TargetMode="External"/><Relationship Id="rId15" Type="http://schemas.openxmlformats.org/officeDocument/2006/relationships/footer" Target="footer3.xml"/><Relationship Id="rId36" Type="http://schemas.openxmlformats.org/officeDocument/2006/relationships/hyperlink" Target="https://www.courts.sa.gov.au/rules-forms-fees/jcr2022/" TargetMode="External"/><Relationship Id="rId57" Type="http://schemas.openxmlformats.org/officeDocument/2006/relationships/hyperlink" Target="https://www.courts.sa.gov.au/rules-forms-fees/jcr2022/" TargetMode="External"/><Relationship Id="rId262" Type="http://schemas.openxmlformats.org/officeDocument/2006/relationships/hyperlink" Target="https://www.courts.sa.gov.au/rules-forms-fees/jcr2022/" TargetMode="External"/><Relationship Id="rId283" Type="http://schemas.openxmlformats.org/officeDocument/2006/relationships/hyperlink" Target="https://www.courts.sa.gov.au/rules-forms-fees/jcr2022/" TargetMode="External"/><Relationship Id="rId318" Type="http://schemas.openxmlformats.org/officeDocument/2006/relationships/hyperlink" Target="https://www.courts.sa.gov.au/rules-forms-fees/jcr2022/" TargetMode="External"/><Relationship Id="rId339" Type="http://schemas.openxmlformats.org/officeDocument/2006/relationships/hyperlink" Target="https://www.courts.sa.gov.au/rules-forms-fees/jcr2022/" TargetMode="External"/><Relationship Id="rId78" Type="http://schemas.openxmlformats.org/officeDocument/2006/relationships/hyperlink" Target="https://www.courts.sa.gov.au/rules-forms-fees/jcr2022/" TargetMode="External"/><Relationship Id="rId99" Type="http://schemas.openxmlformats.org/officeDocument/2006/relationships/hyperlink" Target="https://www.courts.sa.gov.au/rules-forms-fees/jcr2022/" TargetMode="External"/><Relationship Id="rId101" Type="http://schemas.openxmlformats.org/officeDocument/2006/relationships/hyperlink" Target="https://www.courts.sa.gov.au/rules-forms-fees/jcr2022/" TargetMode="External"/><Relationship Id="rId122" Type="http://schemas.openxmlformats.org/officeDocument/2006/relationships/hyperlink" Target="https://www.courts.sa.gov.au/rules-forms-fees/jcr2022/" TargetMode="External"/><Relationship Id="rId143" Type="http://schemas.openxmlformats.org/officeDocument/2006/relationships/hyperlink" Target="https://www.courts.sa.gov.au/rules-forms-fees/jcr2022/" TargetMode="External"/><Relationship Id="rId164" Type="http://schemas.openxmlformats.org/officeDocument/2006/relationships/hyperlink" Target="https://www.courts.sa.gov.au/rules-forms-fees/jcr2022/" TargetMode="External"/><Relationship Id="rId185" Type="http://schemas.openxmlformats.org/officeDocument/2006/relationships/hyperlink" Target="https://www.courts.sa.gov.au/rules-forms-fees/jcr2022/" TargetMode="External"/><Relationship Id="rId350" Type="http://schemas.openxmlformats.org/officeDocument/2006/relationships/hyperlink" Target="https://www.courts.sa.gov.au/rules-forms-fees/jcr2022/" TargetMode="External"/><Relationship Id="rId371" Type="http://schemas.openxmlformats.org/officeDocument/2006/relationships/hyperlink" Target="https://www.courts.sa.gov.au/rules-forms-fees/jcr2022/" TargetMode="External"/><Relationship Id="rId406" Type="http://schemas.openxmlformats.org/officeDocument/2006/relationships/hyperlink" Target="https://www.courts.sa.gov.au/rules-forms-fees/jcr2022/" TargetMode="External"/><Relationship Id="rId9" Type="http://schemas.openxmlformats.org/officeDocument/2006/relationships/footnotes" Target="footnotes.xml"/><Relationship Id="rId210" Type="http://schemas.openxmlformats.org/officeDocument/2006/relationships/hyperlink" Target="https://www.courts.sa.gov.au/rules-forms-fees/jcr2022/" TargetMode="External"/><Relationship Id="rId392" Type="http://schemas.openxmlformats.org/officeDocument/2006/relationships/hyperlink" Target="https://www.courts.sa.gov.au/rules-forms-fees/jcr2022/" TargetMode="External"/><Relationship Id="rId427" Type="http://schemas.openxmlformats.org/officeDocument/2006/relationships/hyperlink" Target="https://www.courts.sa.gov.au/rules-forms-fees/jcr2022/" TargetMode="External"/><Relationship Id="rId26" Type="http://schemas.openxmlformats.org/officeDocument/2006/relationships/hyperlink" Target="https://www.courts.sa.gov.au/rules-forms-fees/jcr2022/" TargetMode="External"/><Relationship Id="rId231" Type="http://schemas.openxmlformats.org/officeDocument/2006/relationships/hyperlink" Target="https://www.courts.sa.gov.au/rules-forms-fees/jcr2022/" TargetMode="External"/><Relationship Id="rId252" Type="http://schemas.openxmlformats.org/officeDocument/2006/relationships/hyperlink" Target="https://www.courts.sa.gov.au/rules-forms-fees/jcr2022/" TargetMode="External"/><Relationship Id="rId273" Type="http://schemas.openxmlformats.org/officeDocument/2006/relationships/hyperlink" Target="https://www.courts.sa.gov.au/rules-forms-fees/jcr2022/" TargetMode="External"/><Relationship Id="rId294" Type="http://schemas.openxmlformats.org/officeDocument/2006/relationships/hyperlink" Target="https://www.courts.sa.gov.au/rules-forms-fees/jcr2022/" TargetMode="External"/><Relationship Id="rId308" Type="http://schemas.openxmlformats.org/officeDocument/2006/relationships/hyperlink" Target="https://www.courts.sa.gov.au/rules-forms-fees/jcr2022/" TargetMode="External"/><Relationship Id="rId329" Type="http://schemas.openxmlformats.org/officeDocument/2006/relationships/hyperlink" Target="https://www.courts.sa.gov.au/rules-forms-fees/jcr2022/" TargetMode="External"/><Relationship Id="rId47" Type="http://schemas.openxmlformats.org/officeDocument/2006/relationships/hyperlink" Target="https://www.courts.sa.gov.au/rules-forms-fees/jcr2022/" TargetMode="External"/><Relationship Id="rId68" Type="http://schemas.openxmlformats.org/officeDocument/2006/relationships/hyperlink" Target="https://www.courts.sa.gov.au/rules-forms-fees/jcr2022/" TargetMode="External"/><Relationship Id="rId89" Type="http://schemas.openxmlformats.org/officeDocument/2006/relationships/hyperlink" Target="https://www.courts.sa.gov.au/rules-forms-fees/jcr2022/" TargetMode="External"/><Relationship Id="rId112" Type="http://schemas.openxmlformats.org/officeDocument/2006/relationships/hyperlink" Target="https://www.courts.sa.gov.au/rules-forms-fees/jcr2022/" TargetMode="External"/><Relationship Id="rId133" Type="http://schemas.openxmlformats.org/officeDocument/2006/relationships/hyperlink" Target="https://www.courts.sa.gov.au/rules-forms-fees/jcr2022/" TargetMode="External"/><Relationship Id="rId154" Type="http://schemas.openxmlformats.org/officeDocument/2006/relationships/hyperlink" Target="https://www.courts.sa.gov.au/rules-forms-fees/jcr2022/" TargetMode="External"/><Relationship Id="rId175" Type="http://schemas.openxmlformats.org/officeDocument/2006/relationships/hyperlink" Target="https://www.courts.sa.gov.au/rules-forms-fees/jcr2022/" TargetMode="External"/><Relationship Id="rId340" Type="http://schemas.openxmlformats.org/officeDocument/2006/relationships/hyperlink" Target="https://www.courts.sa.gov.au/rules-forms-fees/jcr2022/" TargetMode="External"/><Relationship Id="rId361" Type="http://schemas.openxmlformats.org/officeDocument/2006/relationships/hyperlink" Target="https://www.courts.sa.gov.au/rules-forms-fees/jcr2022/" TargetMode="External"/><Relationship Id="rId196" Type="http://schemas.openxmlformats.org/officeDocument/2006/relationships/hyperlink" Target="https://www.courts.sa.gov.au/rules-forms-fees/jcr2022/" TargetMode="External"/><Relationship Id="rId200" Type="http://schemas.openxmlformats.org/officeDocument/2006/relationships/hyperlink" Target="https://www.courts.sa.gov.au/rules-forms-fees/jcr2022/" TargetMode="External"/><Relationship Id="rId382" Type="http://schemas.openxmlformats.org/officeDocument/2006/relationships/hyperlink" Target="https://www.courts.sa.gov.au/rules-forms-fees/jcr2022/" TargetMode="External"/><Relationship Id="rId417" Type="http://schemas.openxmlformats.org/officeDocument/2006/relationships/hyperlink" Target="https://www.courts.sa.gov.au/rules-forms-fees/jcr2022/" TargetMode="External"/><Relationship Id="rId438" Type="http://schemas.openxmlformats.org/officeDocument/2006/relationships/hyperlink" Target="https://www.courts.sa.gov.au/rules-forms-fees/jcr2022/" TargetMode="External"/><Relationship Id="rId16" Type="http://schemas.openxmlformats.org/officeDocument/2006/relationships/hyperlink" Target="https://www.courts.sa.gov.au/rules-forms-fees/jcr2022/" TargetMode="External"/><Relationship Id="rId221" Type="http://schemas.openxmlformats.org/officeDocument/2006/relationships/hyperlink" Target="https://www.courts.sa.gov.au/rules-forms-fees/jcr2022/" TargetMode="External"/><Relationship Id="rId242" Type="http://schemas.openxmlformats.org/officeDocument/2006/relationships/hyperlink" Target="https://www.courts.sa.gov.au/rules-forms-fees/jcr2022/" TargetMode="External"/><Relationship Id="rId263" Type="http://schemas.openxmlformats.org/officeDocument/2006/relationships/hyperlink" Target="https://www.courts.sa.gov.au/rules-forms-fees/jcr2022/" TargetMode="External"/><Relationship Id="rId284" Type="http://schemas.openxmlformats.org/officeDocument/2006/relationships/hyperlink" Target="https://www.courts.sa.gov.au/rules-forms-fees/jcr2022/" TargetMode="External"/><Relationship Id="rId319" Type="http://schemas.openxmlformats.org/officeDocument/2006/relationships/hyperlink" Target="https://www.courts.sa.gov.au/rules-forms-fees/jcr2022/" TargetMode="External"/><Relationship Id="rId37" Type="http://schemas.openxmlformats.org/officeDocument/2006/relationships/hyperlink" Target="https://www.courts.sa.gov.au/rules-forms-fees/jcr2022/" TargetMode="External"/><Relationship Id="rId58" Type="http://schemas.openxmlformats.org/officeDocument/2006/relationships/hyperlink" Target="https://www.courts.sa.gov.au/rules-forms-fees/jcr2022/" TargetMode="External"/><Relationship Id="rId79" Type="http://schemas.openxmlformats.org/officeDocument/2006/relationships/hyperlink" Target="https://www.courts.sa.gov.au/rules-forms-fees/jcr2022/" TargetMode="External"/><Relationship Id="rId102" Type="http://schemas.openxmlformats.org/officeDocument/2006/relationships/hyperlink" Target="https://www.courts.sa.gov.au/rules-forms-fees/jcr2022/" TargetMode="External"/><Relationship Id="rId123" Type="http://schemas.openxmlformats.org/officeDocument/2006/relationships/hyperlink" Target="https://www.courts.sa.gov.au/rules-forms-fees/jcr2022/" TargetMode="External"/><Relationship Id="rId144" Type="http://schemas.openxmlformats.org/officeDocument/2006/relationships/hyperlink" Target="https://www.courts.sa.gov.au/rules-forms-fees/jcr2022/" TargetMode="External"/><Relationship Id="rId330" Type="http://schemas.openxmlformats.org/officeDocument/2006/relationships/hyperlink" Target="https://www.courts.sa.gov.au/rules-forms-fees/jcr2022/" TargetMode="External"/><Relationship Id="rId90" Type="http://schemas.openxmlformats.org/officeDocument/2006/relationships/hyperlink" Target="https://www.courts.sa.gov.au/rules-forms-fees/jcr2022/" TargetMode="External"/><Relationship Id="rId165" Type="http://schemas.openxmlformats.org/officeDocument/2006/relationships/hyperlink" Target="https://www.courts.sa.gov.au/rules-forms-fees/jcr2022/" TargetMode="External"/><Relationship Id="rId186" Type="http://schemas.openxmlformats.org/officeDocument/2006/relationships/hyperlink" Target="https://www.courts.sa.gov.au/rules-forms-fees/jcr2022/" TargetMode="External"/><Relationship Id="rId351" Type="http://schemas.openxmlformats.org/officeDocument/2006/relationships/hyperlink" Target="https://www.courts.sa.gov.au/rules-forms-fees/jcr2022/" TargetMode="External"/><Relationship Id="rId372" Type="http://schemas.openxmlformats.org/officeDocument/2006/relationships/hyperlink" Target="https://www.courts.sa.gov.au/rules-forms-fees/jcr2022/" TargetMode="External"/><Relationship Id="rId393" Type="http://schemas.openxmlformats.org/officeDocument/2006/relationships/hyperlink" Target="https://www.courts.sa.gov.au/rules-forms-fees/jcr2022/" TargetMode="External"/><Relationship Id="rId407" Type="http://schemas.openxmlformats.org/officeDocument/2006/relationships/hyperlink" Target="https://www.courts.sa.gov.au/rules-forms-fees/jcr2022/" TargetMode="External"/><Relationship Id="rId428" Type="http://schemas.openxmlformats.org/officeDocument/2006/relationships/hyperlink" Target="https://www.courts.sa.gov.au/rules-forms-fees/jcr2022/" TargetMode="External"/><Relationship Id="rId211" Type="http://schemas.openxmlformats.org/officeDocument/2006/relationships/hyperlink" Target="https://www.courts.sa.gov.au/rules-forms-fees/jcr2022/" TargetMode="External"/><Relationship Id="rId232" Type="http://schemas.openxmlformats.org/officeDocument/2006/relationships/hyperlink" Target="https://www.courts.sa.gov.au/rules-forms-fees/jcr2022/" TargetMode="External"/><Relationship Id="rId253" Type="http://schemas.openxmlformats.org/officeDocument/2006/relationships/hyperlink" Target="https://www.courts.sa.gov.au/rules-forms-fees/jcr2022/" TargetMode="External"/><Relationship Id="rId274" Type="http://schemas.openxmlformats.org/officeDocument/2006/relationships/hyperlink" Target="https://www.courts.sa.gov.au/rules-forms-fees/jcr2022/" TargetMode="External"/><Relationship Id="rId295" Type="http://schemas.openxmlformats.org/officeDocument/2006/relationships/hyperlink" Target="https://www.courts.sa.gov.au/rules-forms-fees/jcr2022/" TargetMode="External"/><Relationship Id="rId309" Type="http://schemas.openxmlformats.org/officeDocument/2006/relationships/hyperlink" Target="https://www.courts.sa.gov.au/rules-forms-fees/jcr2022/" TargetMode="External"/><Relationship Id="rId27" Type="http://schemas.openxmlformats.org/officeDocument/2006/relationships/hyperlink" Target="https://www.courts.sa.gov.au/rules-forms-fees/jcr2022/" TargetMode="External"/><Relationship Id="rId48" Type="http://schemas.openxmlformats.org/officeDocument/2006/relationships/hyperlink" Target="https://www.courts.sa.gov.au/rules-forms-fees/jcr2022/" TargetMode="External"/><Relationship Id="rId69" Type="http://schemas.openxmlformats.org/officeDocument/2006/relationships/hyperlink" Target="https://www.courts.sa.gov.au/rules-forms-fees/jcr2022/" TargetMode="External"/><Relationship Id="rId113" Type="http://schemas.openxmlformats.org/officeDocument/2006/relationships/hyperlink" Target="https://www.courts.sa.gov.au/rules-forms-fees/jcr2022/" TargetMode="External"/><Relationship Id="rId134" Type="http://schemas.openxmlformats.org/officeDocument/2006/relationships/hyperlink" Target="https://www.courts.sa.gov.au/rules-forms-fees/jcr2022/" TargetMode="External"/><Relationship Id="rId320" Type="http://schemas.openxmlformats.org/officeDocument/2006/relationships/hyperlink" Target="https://www.courts.sa.gov.au/rules-forms-fees/jcr2022/" TargetMode="External"/><Relationship Id="rId80" Type="http://schemas.openxmlformats.org/officeDocument/2006/relationships/hyperlink" Target="https://www.courts.sa.gov.au/rules-forms-fees/jcr2022/" TargetMode="External"/><Relationship Id="rId155" Type="http://schemas.openxmlformats.org/officeDocument/2006/relationships/hyperlink" Target="https://www.courts.sa.gov.au/rules-forms-fees/jcr2022/" TargetMode="External"/><Relationship Id="rId176" Type="http://schemas.openxmlformats.org/officeDocument/2006/relationships/hyperlink" Target="https://www.courts.sa.gov.au/rules-forms-fees/jcr2022/" TargetMode="External"/><Relationship Id="rId197" Type="http://schemas.openxmlformats.org/officeDocument/2006/relationships/hyperlink" Target="https://www.courts.sa.gov.au/rules-forms-fees/jcr2022/" TargetMode="External"/><Relationship Id="rId341" Type="http://schemas.openxmlformats.org/officeDocument/2006/relationships/hyperlink" Target="https://www.courts.sa.gov.au/rules-forms-fees/jcr2022/" TargetMode="External"/><Relationship Id="rId362" Type="http://schemas.openxmlformats.org/officeDocument/2006/relationships/hyperlink" Target="https://www.courts.sa.gov.au/rules-forms-fees/jcr2022/" TargetMode="External"/><Relationship Id="rId383" Type="http://schemas.openxmlformats.org/officeDocument/2006/relationships/hyperlink" Target="https://www.courts.sa.gov.au/rules-forms-fees/jcr2022/" TargetMode="External"/><Relationship Id="rId418" Type="http://schemas.openxmlformats.org/officeDocument/2006/relationships/hyperlink" Target="https://www.courts.sa.gov.au/rules-forms-fees/jcr2022/" TargetMode="External"/><Relationship Id="rId439" Type="http://schemas.openxmlformats.org/officeDocument/2006/relationships/header" Target="header3.xml"/><Relationship Id="rId201" Type="http://schemas.openxmlformats.org/officeDocument/2006/relationships/hyperlink" Target="https://www.courts.sa.gov.au/rules-forms-fees/jcr2022/" TargetMode="External"/><Relationship Id="rId222" Type="http://schemas.openxmlformats.org/officeDocument/2006/relationships/hyperlink" Target="https://www.courts.sa.gov.au/rules-forms-fees/jcr2022/" TargetMode="External"/><Relationship Id="rId243" Type="http://schemas.openxmlformats.org/officeDocument/2006/relationships/hyperlink" Target="https://www.courts.sa.gov.au/rules-forms-fees/jcr2022/" TargetMode="External"/><Relationship Id="rId264" Type="http://schemas.openxmlformats.org/officeDocument/2006/relationships/hyperlink" Target="https://www.courts.sa.gov.au/rules-forms-fees/jcr2022/" TargetMode="External"/><Relationship Id="rId285" Type="http://schemas.openxmlformats.org/officeDocument/2006/relationships/hyperlink" Target="https://www.courts.sa.gov.au/rules-forms-fees/jcr2022/" TargetMode="External"/><Relationship Id="rId17" Type="http://schemas.openxmlformats.org/officeDocument/2006/relationships/hyperlink" Target="https://www.courts.sa.gov.au/rules-forms-fees/jcr2022/" TargetMode="External"/><Relationship Id="rId38" Type="http://schemas.openxmlformats.org/officeDocument/2006/relationships/hyperlink" Target="https://www.courts.sa.gov.au/rules-forms-fees/jcr2022/" TargetMode="External"/><Relationship Id="rId59" Type="http://schemas.openxmlformats.org/officeDocument/2006/relationships/hyperlink" Target="https://www.courts.sa.gov.au/rules-forms-fees/jcr2022/" TargetMode="External"/><Relationship Id="rId103" Type="http://schemas.openxmlformats.org/officeDocument/2006/relationships/hyperlink" Target="https://www.courts.sa.gov.au/rules-forms-fees/jcr2022/" TargetMode="External"/><Relationship Id="rId124" Type="http://schemas.openxmlformats.org/officeDocument/2006/relationships/hyperlink" Target="https://www.courts.sa.gov.au/rules-forms-fees/jcr2022/" TargetMode="External"/><Relationship Id="rId310" Type="http://schemas.openxmlformats.org/officeDocument/2006/relationships/hyperlink" Target="https://www.courts.sa.gov.au/rules-forms-fees/jcr2022/" TargetMode="External"/><Relationship Id="rId70" Type="http://schemas.openxmlformats.org/officeDocument/2006/relationships/hyperlink" Target="https://www.courts.sa.gov.au/rules-forms-fees/jcr2022/" TargetMode="External"/><Relationship Id="rId91" Type="http://schemas.openxmlformats.org/officeDocument/2006/relationships/hyperlink" Target="https://www.courts.sa.gov.au/rules-forms-fees/jcr2022/" TargetMode="External"/><Relationship Id="rId145" Type="http://schemas.openxmlformats.org/officeDocument/2006/relationships/hyperlink" Target="https://www.courts.sa.gov.au/rules-forms-fees/jcr2022/" TargetMode="External"/><Relationship Id="rId166" Type="http://schemas.openxmlformats.org/officeDocument/2006/relationships/hyperlink" Target="https://www.courts.sa.gov.au/rules-forms-fees/jcr2022/" TargetMode="External"/><Relationship Id="rId187" Type="http://schemas.openxmlformats.org/officeDocument/2006/relationships/hyperlink" Target="https://www.courts.sa.gov.au/rules-forms-fees/jcr2022/" TargetMode="External"/><Relationship Id="rId331" Type="http://schemas.openxmlformats.org/officeDocument/2006/relationships/hyperlink" Target="https://www.courts.sa.gov.au/rules-forms-fees/jcr2022/" TargetMode="External"/><Relationship Id="rId352" Type="http://schemas.openxmlformats.org/officeDocument/2006/relationships/hyperlink" Target="https://www.courts.sa.gov.au/rules-forms-fees/jcr2022/" TargetMode="External"/><Relationship Id="rId373" Type="http://schemas.openxmlformats.org/officeDocument/2006/relationships/hyperlink" Target="https://www.courts.sa.gov.au/rules-forms-fees/jcr2022/" TargetMode="External"/><Relationship Id="rId394" Type="http://schemas.openxmlformats.org/officeDocument/2006/relationships/hyperlink" Target="https://www.courts.sa.gov.au/rules-forms-fees/jcr2022/" TargetMode="External"/><Relationship Id="rId408" Type="http://schemas.openxmlformats.org/officeDocument/2006/relationships/hyperlink" Target="https://www.courts.sa.gov.au/rules-forms-fees/jcr2022/" TargetMode="External"/><Relationship Id="rId429" Type="http://schemas.openxmlformats.org/officeDocument/2006/relationships/hyperlink" Target="https://www.courts.sa.gov.au/rules-forms-fees/jcr2022/" TargetMode="External"/><Relationship Id="rId1" Type="http://schemas.openxmlformats.org/officeDocument/2006/relationships/customXml" Target="../customXml/item1.xml"/><Relationship Id="rId212" Type="http://schemas.openxmlformats.org/officeDocument/2006/relationships/hyperlink" Target="https://www.courts.sa.gov.au/rules-forms-fees/jcr2022/" TargetMode="External"/><Relationship Id="rId233" Type="http://schemas.openxmlformats.org/officeDocument/2006/relationships/hyperlink" Target="https://www.courts.sa.gov.au/rules-forms-fees/jcr2022/" TargetMode="External"/><Relationship Id="rId254" Type="http://schemas.openxmlformats.org/officeDocument/2006/relationships/hyperlink" Target="https://www.courts.sa.gov.au/rules-forms-fees/jcr2022/" TargetMode="External"/><Relationship Id="rId440" Type="http://schemas.openxmlformats.org/officeDocument/2006/relationships/header" Target="header4.xml"/><Relationship Id="rId28" Type="http://schemas.openxmlformats.org/officeDocument/2006/relationships/hyperlink" Target="https://www.courts.sa.gov.au/rules-forms-fees/jcr2022/" TargetMode="External"/><Relationship Id="rId49" Type="http://schemas.openxmlformats.org/officeDocument/2006/relationships/hyperlink" Target="https://www.courts.sa.gov.au/rules-forms-fees/jcr2022/" TargetMode="External"/><Relationship Id="rId114" Type="http://schemas.openxmlformats.org/officeDocument/2006/relationships/hyperlink" Target="https://www.courts.sa.gov.au/rules-forms-fees/jcr2022/" TargetMode="External"/><Relationship Id="rId275" Type="http://schemas.openxmlformats.org/officeDocument/2006/relationships/hyperlink" Target="https://www.courts.sa.gov.au/rules-forms-fees/jcr2022/" TargetMode="External"/><Relationship Id="rId296" Type="http://schemas.openxmlformats.org/officeDocument/2006/relationships/hyperlink" Target="https://www.courts.sa.gov.au/rules-forms-fees/jcr2022/" TargetMode="External"/><Relationship Id="rId300" Type="http://schemas.openxmlformats.org/officeDocument/2006/relationships/hyperlink" Target="https://www.courts.sa.gov.au/rules-forms-fees/jcr2022/" TargetMode="External"/><Relationship Id="rId60" Type="http://schemas.openxmlformats.org/officeDocument/2006/relationships/hyperlink" Target="https://www.courts.sa.gov.au/rules-forms-fees/jcr2022/" TargetMode="External"/><Relationship Id="rId81" Type="http://schemas.openxmlformats.org/officeDocument/2006/relationships/hyperlink" Target="https://www.courts.sa.gov.au/rules-forms-fees/jcr2022/" TargetMode="External"/><Relationship Id="rId135" Type="http://schemas.openxmlformats.org/officeDocument/2006/relationships/hyperlink" Target="https://www.courts.sa.gov.au/rules-forms-fees/jcr2022/" TargetMode="External"/><Relationship Id="rId156" Type="http://schemas.openxmlformats.org/officeDocument/2006/relationships/hyperlink" Target="https://www.courts.sa.gov.au/rules-forms-fees/jcr2022/" TargetMode="External"/><Relationship Id="rId177" Type="http://schemas.openxmlformats.org/officeDocument/2006/relationships/hyperlink" Target="https://www.courts.sa.gov.au/rules-forms-fees/jcr2022/" TargetMode="External"/><Relationship Id="rId198" Type="http://schemas.openxmlformats.org/officeDocument/2006/relationships/hyperlink" Target="https://www.courts.sa.gov.au/rules-forms-fees/jcr2022/" TargetMode="External"/><Relationship Id="rId321" Type="http://schemas.openxmlformats.org/officeDocument/2006/relationships/hyperlink" Target="https://www.courts.sa.gov.au/rules-forms-fees/jcr2022/" TargetMode="External"/><Relationship Id="rId342" Type="http://schemas.openxmlformats.org/officeDocument/2006/relationships/hyperlink" Target="https://www.courts.sa.gov.au/rules-forms-fees/jcr2022/" TargetMode="External"/><Relationship Id="rId363" Type="http://schemas.openxmlformats.org/officeDocument/2006/relationships/hyperlink" Target="https://www.courts.sa.gov.au/rules-forms-fees/jcr2022/" TargetMode="External"/><Relationship Id="rId384" Type="http://schemas.openxmlformats.org/officeDocument/2006/relationships/hyperlink" Target="https://www.courts.sa.gov.au/rules-forms-fees/jcr2022/" TargetMode="External"/><Relationship Id="rId419" Type="http://schemas.openxmlformats.org/officeDocument/2006/relationships/hyperlink" Target="https://www.courts.sa.gov.au/rules-forms-fees/jcr2022/" TargetMode="External"/><Relationship Id="rId202" Type="http://schemas.openxmlformats.org/officeDocument/2006/relationships/hyperlink" Target="https://www.courts.sa.gov.au/rules-forms-fees/jcr2022/" TargetMode="External"/><Relationship Id="rId223" Type="http://schemas.openxmlformats.org/officeDocument/2006/relationships/hyperlink" Target="https://www.courts.sa.gov.au/rules-forms-fees/jcr2022/" TargetMode="External"/><Relationship Id="rId244" Type="http://schemas.openxmlformats.org/officeDocument/2006/relationships/hyperlink" Target="https://www.courts.sa.gov.au/rules-forms-fees/jcr2022/" TargetMode="External"/><Relationship Id="rId430" Type="http://schemas.openxmlformats.org/officeDocument/2006/relationships/hyperlink" Target="https://www.courts.sa.gov.au/rules-forms-fees/jcr2022/" TargetMode="External"/><Relationship Id="rId18" Type="http://schemas.openxmlformats.org/officeDocument/2006/relationships/hyperlink" Target="https://www.courts.sa.gov.au/rules-forms-fees/jcr2022/" TargetMode="External"/><Relationship Id="rId39" Type="http://schemas.openxmlformats.org/officeDocument/2006/relationships/hyperlink" Target="https://www.courts.sa.gov.au/rules-forms-fees/jcr2022/" TargetMode="External"/><Relationship Id="rId265" Type="http://schemas.openxmlformats.org/officeDocument/2006/relationships/hyperlink" Target="https://www.courts.sa.gov.au/rules-forms-fees/jcr2022/" TargetMode="External"/><Relationship Id="rId286" Type="http://schemas.openxmlformats.org/officeDocument/2006/relationships/hyperlink" Target="https://www.courts.sa.gov.au/rules-forms-fees/jcr2022/" TargetMode="External"/><Relationship Id="rId50" Type="http://schemas.openxmlformats.org/officeDocument/2006/relationships/hyperlink" Target="https://www.courts.sa.gov.au/rules-forms-fees/jcr2022/" TargetMode="External"/><Relationship Id="rId104" Type="http://schemas.openxmlformats.org/officeDocument/2006/relationships/hyperlink" Target="https://www.courts.sa.gov.au/rules-forms-fees/jcr2022/" TargetMode="External"/><Relationship Id="rId125" Type="http://schemas.openxmlformats.org/officeDocument/2006/relationships/hyperlink" Target="https://www.courts.sa.gov.au/rules-forms-fees/jcr2022/" TargetMode="External"/><Relationship Id="rId146" Type="http://schemas.openxmlformats.org/officeDocument/2006/relationships/hyperlink" Target="https://www.courts.sa.gov.au/rules-forms-fees/jcr2022/" TargetMode="External"/><Relationship Id="rId167" Type="http://schemas.openxmlformats.org/officeDocument/2006/relationships/hyperlink" Target="https://www.courts.sa.gov.au/rules-forms-fees/jcr2022/" TargetMode="External"/><Relationship Id="rId188" Type="http://schemas.openxmlformats.org/officeDocument/2006/relationships/hyperlink" Target="https://www.courts.sa.gov.au/rules-forms-fees/jcr2022/" TargetMode="External"/><Relationship Id="rId311" Type="http://schemas.openxmlformats.org/officeDocument/2006/relationships/hyperlink" Target="https://www.courts.sa.gov.au/rules-forms-fees/jcr2022/" TargetMode="External"/><Relationship Id="rId332" Type="http://schemas.openxmlformats.org/officeDocument/2006/relationships/hyperlink" Target="https://www.courts.sa.gov.au/rules-forms-fees/jcr2022/" TargetMode="External"/><Relationship Id="rId353" Type="http://schemas.openxmlformats.org/officeDocument/2006/relationships/hyperlink" Target="https://www.courts.sa.gov.au/rules-forms-fees/jcr2022/" TargetMode="External"/><Relationship Id="rId374" Type="http://schemas.openxmlformats.org/officeDocument/2006/relationships/hyperlink" Target="https://www.courts.sa.gov.au/rules-forms-fees/jcr2022/" TargetMode="External"/><Relationship Id="rId395" Type="http://schemas.openxmlformats.org/officeDocument/2006/relationships/hyperlink" Target="https://www.courts.sa.gov.au/rules-forms-fees/jcr2022/" TargetMode="External"/><Relationship Id="rId409" Type="http://schemas.openxmlformats.org/officeDocument/2006/relationships/hyperlink" Target="https://www.courts.sa.gov.au/rules-forms-fees/jcr2022/" TargetMode="External"/><Relationship Id="rId71" Type="http://schemas.openxmlformats.org/officeDocument/2006/relationships/hyperlink" Target="https://www.courts.sa.gov.au/rules-forms-fees/jcr2022/" TargetMode="External"/><Relationship Id="rId92" Type="http://schemas.openxmlformats.org/officeDocument/2006/relationships/hyperlink" Target="https://www.courts.sa.gov.au/rules-forms-fees/jcr2022/" TargetMode="External"/><Relationship Id="rId213" Type="http://schemas.openxmlformats.org/officeDocument/2006/relationships/hyperlink" Target="https://www.courts.sa.gov.au/rules-forms-fees/jcr2022/" TargetMode="External"/><Relationship Id="rId234" Type="http://schemas.openxmlformats.org/officeDocument/2006/relationships/hyperlink" Target="https://www.courts.sa.gov.au/rules-forms-fees/jcr2022/" TargetMode="External"/><Relationship Id="rId420" Type="http://schemas.openxmlformats.org/officeDocument/2006/relationships/hyperlink" Target="https://www.courts.sa.gov.au/rules-forms-fees/jcr2022/" TargetMode="External"/><Relationship Id="rId2" Type="http://schemas.openxmlformats.org/officeDocument/2006/relationships/customXml" Target="../customXml/item2.xml"/><Relationship Id="rId29" Type="http://schemas.openxmlformats.org/officeDocument/2006/relationships/hyperlink" Target="https://www.courts.sa.gov.au/rules-forms-fees/jcr2022/" TargetMode="External"/><Relationship Id="rId255" Type="http://schemas.openxmlformats.org/officeDocument/2006/relationships/hyperlink" Target="https://www.courts.sa.gov.au/rules-forms-fees/jcr2022/" TargetMode="External"/><Relationship Id="rId276" Type="http://schemas.openxmlformats.org/officeDocument/2006/relationships/hyperlink" Target="https://www.courts.sa.gov.au/rules-forms-fees/jcr2022/" TargetMode="External"/><Relationship Id="rId297" Type="http://schemas.openxmlformats.org/officeDocument/2006/relationships/hyperlink" Target="https://www.courts.sa.gov.au/rules-forms-fees/jcr2022/" TargetMode="External"/><Relationship Id="rId441" Type="http://schemas.openxmlformats.org/officeDocument/2006/relationships/footer" Target="footer4.xml"/><Relationship Id="rId40" Type="http://schemas.openxmlformats.org/officeDocument/2006/relationships/hyperlink" Target="https://www.courts.sa.gov.au/rules-forms-fees/jcr2022/" TargetMode="External"/><Relationship Id="rId115" Type="http://schemas.openxmlformats.org/officeDocument/2006/relationships/hyperlink" Target="https://www.courts.sa.gov.au/rules-forms-fees/jcr2022/" TargetMode="External"/><Relationship Id="rId136" Type="http://schemas.openxmlformats.org/officeDocument/2006/relationships/hyperlink" Target="https://www.courts.sa.gov.au/rules-forms-fees/jcr2022/" TargetMode="External"/><Relationship Id="rId157" Type="http://schemas.openxmlformats.org/officeDocument/2006/relationships/hyperlink" Target="https://www.courts.sa.gov.au/rules-forms-fees/jcr2022/" TargetMode="External"/><Relationship Id="rId178" Type="http://schemas.openxmlformats.org/officeDocument/2006/relationships/hyperlink" Target="https://www.courts.sa.gov.au/rules-forms-fees/jcr2022/" TargetMode="External"/><Relationship Id="rId301" Type="http://schemas.openxmlformats.org/officeDocument/2006/relationships/hyperlink" Target="https://www.courts.sa.gov.au/rules-forms-fees/jcr2022/" TargetMode="External"/><Relationship Id="rId322" Type="http://schemas.openxmlformats.org/officeDocument/2006/relationships/hyperlink" Target="https://www.courts.sa.gov.au/rules-forms-fees/jcr2022/" TargetMode="External"/><Relationship Id="rId343" Type="http://schemas.openxmlformats.org/officeDocument/2006/relationships/hyperlink" Target="https://www.courts.sa.gov.au/rules-forms-fees/jcr2022/" TargetMode="External"/><Relationship Id="rId364" Type="http://schemas.openxmlformats.org/officeDocument/2006/relationships/hyperlink" Target="https://www.courts.sa.gov.au/rules-forms-fees/jcr2022/" TargetMode="External"/><Relationship Id="rId61" Type="http://schemas.openxmlformats.org/officeDocument/2006/relationships/hyperlink" Target="https://www.courts.sa.gov.au/rules-forms-fees/jcr2022/" TargetMode="External"/><Relationship Id="rId82" Type="http://schemas.openxmlformats.org/officeDocument/2006/relationships/hyperlink" Target="https://www.courts.sa.gov.au/rules-forms-fees/jcr2022/" TargetMode="External"/><Relationship Id="rId199" Type="http://schemas.openxmlformats.org/officeDocument/2006/relationships/hyperlink" Target="https://www.courts.sa.gov.au/rules-forms-fees/jcr2022/" TargetMode="External"/><Relationship Id="rId203" Type="http://schemas.openxmlformats.org/officeDocument/2006/relationships/hyperlink" Target="https://www.courts.sa.gov.au/rules-forms-fees/jcr2022/" TargetMode="External"/><Relationship Id="rId385" Type="http://schemas.openxmlformats.org/officeDocument/2006/relationships/hyperlink" Target="https://www.courts.sa.gov.au/rules-forms-fees/jcr2022/" TargetMode="External"/><Relationship Id="rId19" Type="http://schemas.openxmlformats.org/officeDocument/2006/relationships/hyperlink" Target="https://www.courts.sa.gov.au/rules-forms-fees/jcr2022/" TargetMode="External"/><Relationship Id="rId224" Type="http://schemas.openxmlformats.org/officeDocument/2006/relationships/hyperlink" Target="https://www.courts.sa.gov.au/rules-forms-fees/jcr2022/" TargetMode="External"/><Relationship Id="rId245" Type="http://schemas.openxmlformats.org/officeDocument/2006/relationships/hyperlink" Target="https://www.courts.sa.gov.au/rules-forms-fees/jcr2022/" TargetMode="External"/><Relationship Id="rId266" Type="http://schemas.openxmlformats.org/officeDocument/2006/relationships/hyperlink" Target="https://www.courts.sa.gov.au/rules-forms-fees/jcr2022/" TargetMode="External"/><Relationship Id="rId287" Type="http://schemas.openxmlformats.org/officeDocument/2006/relationships/hyperlink" Target="https://www.courts.sa.gov.au/rules-forms-fees/jcr2022/" TargetMode="External"/><Relationship Id="rId410" Type="http://schemas.openxmlformats.org/officeDocument/2006/relationships/hyperlink" Target="https://www.courts.sa.gov.au/rules-forms-fees/jcr2022/" TargetMode="External"/><Relationship Id="rId431" Type="http://schemas.openxmlformats.org/officeDocument/2006/relationships/hyperlink" Target="https://www.courts.sa.gov.au/rules-forms-fees/jcr2022/" TargetMode="External"/><Relationship Id="rId30" Type="http://schemas.openxmlformats.org/officeDocument/2006/relationships/hyperlink" Target="https://www.courts.sa.gov.au/rules-forms-fees/jcr2022/" TargetMode="External"/><Relationship Id="rId105" Type="http://schemas.openxmlformats.org/officeDocument/2006/relationships/hyperlink" Target="https://www.courts.sa.gov.au/rules-forms-fees/jcr2022/" TargetMode="External"/><Relationship Id="rId126" Type="http://schemas.openxmlformats.org/officeDocument/2006/relationships/hyperlink" Target="https://www.courts.sa.gov.au/rules-forms-fees/jcr2022/" TargetMode="External"/><Relationship Id="rId147" Type="http://schemas.openxmlformats.org/officeDocument/2006/relationships/hyperlink" Target="https://www.courts.sa.gov.au/rules-forms-fees/jcr2022/" TargetMode="External"/><Relationship Id="rId168" Type="http://schemas.openxmlformats.org/officeDocument/2006/relationships/hyperlink" Target="https://www.courts.sa.gov.au/rules-forms-fees/jcr2022/" TargetMode="External"/><Relationship Id="rId312" Type="http://schemas.openxmlformats.org/officeDocument/2006/relationships/hyperlink" Target="https://www.courts.sa.gov.au/rules-forms-fees/jcr2022/" TargetMode="External"/><Relationship Id="rId333" Type="http://schemas.openxmlformats.org/officeDocument/2006/relationships/hyperlink" Target="https://www.courts.sa.gov.au/rules-forms-fees/jcr2022/" TargetMode="External"/><Relationship Id="rId354" Type="http://schemas.openxmlformats.org/officeDocument/2006/relationships/hyperlink" Target="https://www.courts.sa.gov.au/rules-forms-fees/jcr2022/" TargetMode="External"/><Relationship Id="rId51" Type="http://schemas.openxmlformats.org/officeDocument/2006/relationships/hyperlink" Target="https://www.courts.sa.gov.au/rules-forms-fees/jcr2022/" TargetMode="External"/><Relationship Id="rId72" Type="http://schemas.openxmlformats.org/officeDocument/2006/relationships/hyperlink" Target="https://www.courts.sa.gov.au/rules-forms-fees/jcr2022/" TargetMode="External"/><Relationship Id="rId93" Type="http://schemas.openxmlformats.org/officeDocument/2006/relationships/hyperlink" Target="https://www.courts.sa.gov.au/rules-forms-fees/jcr2022/" TargetMode="External"/><Relationship Id="rId189" Type="http://schemas.openxmlformats.org/officeDocument/2006/relationships/hyperlink" Target="https://www.courts.sa.gov.au/rules-forms-fees/jcr2022/" TargetMode="External"/><Relationship Id="rId375" Type="http://schemas.openxmlformats.org/officeDocument/2006/relationships/hyperlink" Target="https://www.courts.sa.gov.au/rules-forms-fees/jcr2022/" TargetMode="External"/><Relationship Id="rId396" Type="http://schemas.openxmlformats.org/officeDocument/2006/relationships/hyperlink" Target="https://www.courts.sa.gov.au/rules-forms-fees/jcr2022/" TargetMode="External"/><Relationship Id="rId3" Type="http://schemas.openxmlformats.org/officeDocument/2006/relationships/customXml" Target="../customXml/item3.xml"/><Relationship Id="rId214" Type="http://schemas.openxmlformats.org/officeDocument/2006/relationships/hyperlink" Target="https://www.courts.sa.gov.au/rules-forms-fees/jcr2022/" TargetMode="External"/><Relationship Id="rId235" Type="http://schemas.openxmlformats.org/officeDocument/2006/relationships/hyperlink" Target="https://www.courts.sa.gov.au/rules-forms-fees/jcr2022/" TargetMode="External"/><Relationship Id="rId256" Type="http://schemas.openxmlformats.org/officeDocument/2006/relationships/hyperlink" Target="https://www.courts.sa.gov.au/rules-forms-fees/jcr2022/" TargetMode="External"/><Relationship Id="rId277" Type="http://schemas.openxmlformats.org/officeDocument/2006/relationships/hyperlink" Target="https://www.courts.sa.gov.au/rules-forms-fees/jcr2022/" TargetMode="External"/><Relationship Id="rId298" Type="http://schemas.openxmlformats.org/officeDocument/2006/relationships/hyperlink" Target="https://www.courts.sa.gov.au/rules-forms-fees/jcr2022/" TargetMode="External"/><Relationship Id="rId400" Type="http://schemas.openxmlformats.org/officeDocument/2006/relationships/hyperlink" Target="https://www.courts.sa.gov.au/rules-forms-fees/jcr2022/" TargetMode="External"/><Relationship Id="rId421" Type="http://schemas.openxmlformats.org/officeDocument/2006/relationships/hyperlink" Target="https://www.courts.sa.gov.au/rules-forms-fees/jcr2022/" TargetMode="External"/><Relationship Id="rId442" Type="http://schemas.openxmlformats.org/officeDocument/2006/relationships/footer" Target="footer5.xml"/><Relationship Id="rId116" Type="http://schemas.openxmlformats.org/officeDocument/2006/relationships/hyperlink" Target="https://www.courts.sa.gov.au/rules-forms-fees/jcr2022/" TargetMode="External"/><Relationship Id="rId137" Type="http://schemas.openxmlformats.org/officeDocument/2006/relationships/hyperlink" Target="https://www.courts.sa.gov.au/rules-forms-fees/jcr2022/" TargetMode="External"/><Relationship Id="rId158" Type="http://schemas.openxmlformats.org/officeDocument/2006/relationships/hyperlink" Target="https://www.courts.sa.gov.au/rules-forms-fees/jcr2022/" TargetMode="External"/><Relationship Id="rId302" Type="http://schemas.openxmlformats.org/officeDocument/2006/relationships/hyperlink" Target="https://www.courts.sa.gov.au/rules-forms-fees/jcr2022/" TargetMode="External"/><Relationship Id="rId323" Type="http://schemas.openxmlformats.org/officeDocument/2006/relationships/hyperlink" Target="https://www.courts.sa.gov.au/rules-forms-fees/jcr2022/" TargetMode="External"/><Relationship Id="rId344" Type="http://schemas.openxmlformats.org/officeDocument/2006/relationships/hyperlink" Target="https://www.courts.sa.gov.au/rules-forms-fees/jcr2022/" TargetMode="External"/><Relationship Id="rId20" Type="http://schemas.openxmlformats.org/officeDocument/2006/relationships/hyperlink" Target="https://www.courts.sa.gov.au/rules-forms-fees/jcr2022/" TargetMode="External"/><Relationship Id="rId41" Type="http://schemas.openxmlformats.org/officeDocument/2006/relationships/hyperlink" Target="https://www.courts.sa.gov.au/rules-forms-fees/jcr2022/" TargetMode="External"/><Relationship Id="rId62" Type="http://schemas.openxmlformats.org/officeDocument/2006/relationships/hyperlink" Target="https://www.courts.sa.gov.au/rules-forms-fees/jcr2022/" TargetMode="External"/><Relationship Id="rId83" Type="http://schemas.openxmlformats.org/officeDocument/2006/relationships/hyperlink" Target="https://www.courts.sa.gov.au/rules-forms-fees/jcr2022/" TargetMode="External"/><Relationship Id="rId179" Type="http://schemas.openxmlformats.org/officeDocument/2006/relationships/hyperlink" Target="https://www.courts.sa.gov.au/rules-forms-fees/jcr2022/" TargetMode="External"/><Relationship Id="rId365" Type="http://schemas.openxmlformats.org/officeDocument/2006/relationships/hyperlink" Target="https://www.courts.sa.gov.au/rules-forms-fees/jcr2022/" TargetMode="External"/><Relationship Id="rId386" Type="http://schemas.openxmlformats.org/officeDocument/2006/relationships/hyperlink" Target="https://www.courts.sa.gov.au/rules-forms-fees/jcr2022/" TargetMode="External"/><Relationship Id="rId190" Type="http://schemas.openxmlformats.org/officeDocument/2006/relationships/hyperlink" Target="https://www.courts.sa.gov.au/rules-forms-fees/jcr2022/" TargetMode="External"/><Relationship Id="rId204" Type="http://schemas.openxmlformats.org/officeDocument/2006/relationships/hyperlink" Target="https://www.courts.sa.gov.au/rules-forms-fees/jcr2022/" TargetMode="External"/><Relationship Id="rId225" Type="http://schemas.openxmlformats.org/officeDocument/2006/relationships/hyperlink" Target="https://www.courts.sa.gov.au/rules-forms-fees/jcr2022/" TargetMode="External"/><Relationship Id="rId246" Type="http://schemas.openxmlformats.org/officeDocument/2006/relationships/hyperlink" Target="https://www.courts.sa.gov.au/rules-forms-fees/jcr2022/" TargetMode="External"/><Relationship Id="rId267" Type="http://schemas.openxmlformats.org/officeDocument/2006/relationships/hyperlink" Target="https://www.courts.sa.gov.au/rules-forms-fees/jcr2022/" TargetMode="External"/><Relationship Id="rId288" Type="http://schemas.openxmlformats.org/officeDocument/2006/relationships/hyperlink" Target="https://www.courts.sa.gov.au/rules-forms-fees/jcr2022/" TargetMode="External"/><Relationship Id="rId411" Type="http://schemas.openxmlformats.org/officeDocument/2006/relationships/hyperlink" Target="https://www.courts.sa.gov.au/rules-forms-fees/jcr2022/" TargetMode="External"/><Relationship Id="rId432" Type="http://schemas.openxmlformats.org/officeDocument/2006/relationships/hyperlink" Target="https://www.courts.sa.gov.au/rules-forms-fees/jcr2022/" TargetMode="External"/><Relationship Id="rId106" Type="http://schemas.openxmlformats.org/officeDocument/2006/relationships/hyperlink" Target="https://www.courts.sa.gov.au/rules-forms-fees/jcr2022/" TargetMode="External"/><Relationship Id="rId127" Type="http://schemas.openxmlformats.org/officeDocument/2006/relationships/hyperlink" Target="https://www.courts.sa.gov.au/rules-forms-fees/jcr2022/" TargetMode="External"/><Relationship Id="rId313" Type="http://schemas.openxmlformats.org/officeDocument/2006/relationships/hyperlink" Target="https://www.courts.sa.gov.au/rules-forms-fees/jcr2022/" TargetMode="External"/><Relationship Id="rId10" Type="http://schemas.openxmlformats.org/officeDocument/2006/relationships/endnotes" Target="endnotes.xml"/><Relationship Id="rId31" Type="http://schemas.openxmlformats.org/officeDocument/2006/relationships/hyperlink" Target="https://www.courts.sa.gov.au/rules-forms-fees/jcr2022/" TargetMode="External"/><Relationship Id="rId52" Type="http://schemas.openxmlformats.org/officeDocument/2006/relationships/hyperlink" Target="https://www.courts.sa.gov.au/rules-forms-fees/jcr2022/" TargetMode="External"/><Relationship Id="rId73" Type="http://schemas.openxmlformats.org/officeDocument/2006/relationships/hyperlink" Target="https://www.courts.sa.gov.au/rules-forms-fees/jcr2022/" TargetMode="External"/><Relationship Id="rId94" Type="http://schemas.openxmlformats.org/officeDocument/2006/relationships/hyperlink" Target="https://www.courts.sa.gov.au/rules-forms-fees/jcr2022/" TargetMode="External"/><Relationship Id="rId148" Type="http://schemas.openxmlformats.org/officeDocument/2006/relationships/hyperlink" Target="https://www.courts.sa.gov.au/rules-forms-fees/jcr2022/" TargetMode="External"/><Relationship Id="rId169" Type="http://schemas.openxmlformats.org/officeDocument/2006/relationships/hyperlink" Target="https://www.courts.sa.gov.au/rules-forms-fees/jcr2022/" TargetMode="External"/><Relationship Id="rId334" Type="http://schemas.openxmlformats.org/officeDocument/2006/relationships/hyperlink" Target="https://www.courts.sa.gov.au/rules-forms-fees/jcr2022/" TargetMode="External"/><Relationship Id="rId355" Type="http://schemas.openxmlformats.org/officeDocument/2006/relationships/hyperlink" Target="https://www.courts.sa.gov.au/rules-forms-fees/jcr2022/" TargetMode="External"/><Relationship Id="rId376" Type="http://schemas.openxmlformats.org/officeDocument/2006/relationships/hyperlink" Target="https://www.courts.sa.gov.au/rules-forms-fees/jcr2022/" TargetMode="External"/><Relationship Id="rId397" Type="http://schemas.openxmlformats.org/officeDocument/2006/relationships/hyperlink" Target="https://www.courts.sa.gov.au/rules-forms-fees/jcr2022/" TargetMode="External"/><Relationship Id="rId4" Type="http://schemas.openxmlformats.org/officeDocument/2006/relationships/customXml" Target="../customXml/item4.xml"/><Relationship Id="rId180" Type="http://schemas.openxmlformats.org/officeDocument/2006/relationships/hyperlink" Target="https://www.courts.sa.gov.au/rules-forms-fees/jcr2022/" TargetMode="External"/><Relationship Id="rId215" Type="http://schemas.openxmlformats.org/officeDocument/2006/relationships/hyperlink" Target="https://www.courts.sa.gov.au/rules-forms-fees/jcr2022/" TargetMode="External"/><Relationship Id="rId236" Type="http://schemas.openxmlformats.org/officeDocument/2006/relationships/hyperlink" Target="https://www.courts.sa.gov.au/rules-forms-fees/jcr2022/" TargetMode="External"/><Relationship Id="rId257" Type="http://schemas.openxmlformats.org/officeDocument/2006/relationships/hyperlink" Target="https://www.courts.sa.gov.au/rules-forms-fees/jcr2022/" TargetMode="External"/><Relationship Id="rId278" Type="http://schemas.openxmlformats.org/officeDocument/2006/relationships/hyperlink" Target="https://www.courts.sa.gov.au/rules-forms-fees/jcr2022/" TargetMode="External"/><Relationship Id="rId401" Type="http://schemas.openxmlformats.org/officeDocument/2006/relationships/hyperlink" Target="https://www.courts.sa.gov.au/rules-forms-fees/jcr2022/" TargetMode="External"/><Relationship Id="rId422" Type="http://schemas.openxmlformats.org/officeDocument/2006/relationships/hyperlink" Target="https://www.courts.sa.gov.au/rules-forms-fees/jcr2022/" TargetMode="External"/><Relationship Id="rId443" Type="http://schemas.openxmlformats.org/officeDocument/2006/relationships/header" Target="header5.xml"/><Relationship Id="rId303" Type="http://schemas.openxmlformats.org/officeDocument/2006/relationships/hyperlink" Target="https://www.courts.sa.gov.au/rules-forms-fees/jcr2022/" TargetMode="External"/><Relationship Id="rId42" Type="http://schemas.openxmlformats.org/officeDocument/2006/relationships/hyperlink" Target="https://www.courts.sa.gov.au/rules-forms-fees/jcr2022/" TargetMode="External"/><Relationship Id="rId84" Type="http://schemas.openxmlformats.org/officeDocument/2006/relationships/hyperlink" Target="https://www.courts.sa.gov.au/rules-forms-fees/jcr2022/" TargetMode="External"/><Relationship Id="rId138" Type="http://schemas.openxmlformats.org/officeDocument/2006/relationships/hyperlink" Target="https://www.courts.sa.gov.au/rules-forms-fees/jcr2022/" TargetMode="External"/><Relationship Id="rId345" Type="http://schemas.openxmlformats.org/officeDocument/2006/relationships/hyperlink" Target="https://www.courts.sa.gov.au/rules-forms-fees/jcr2022/" TargetMode="External"/><Relationship Id="rId387" Type="http://schemas.openxmlformats.org/officeDocument/2006/relationships/hyperlink" Target="https://www.courts.sa.gov.au/rules-forms-fees/jcr2022/" TargetMode="External"/><Relationship Id="rId191" Type="http://schemas.openxmlformats.org/officeDocument/2006/relationships/hyperlink" Target="https://www.courts.sa.gov.au/rules-forms-fees/jcr2022/" TargetMode="External"/><Relationship Id="rId205" Type="http://schemas.openxmlformats.org/officeDocument/2006/relationships/hyperlink" Target="https://www.courts.sa.gov.au/rules-forms-fees/jcr2022/" TargetMode="External"/><Relationship Id="rId247" Type="http://schemas.openxmlformats.org/officeDocument/2006/relationships/hyperlink" Target="https://www.courts.sa.gov.au/rules-forms-fees/jcr2022/" TargetMode="External"/><Relationship Id="rId412" Type="http://schemas.openxmlformats.org/officeDocument/2006/relationships/hyperlink" Target="https://www.courts.sa.gov.au/rules-forms-fees/jcr2022/" TargetMode="External"/><Relationship Id="rId107" Type="http://schemas.openxmlformats.org/officeDocument/2006/relationships/hyperlink" Target="https://www.courts.sa.gov.au/rules-forms-fees/jcr2022/" TargetMode="External"/><Relationship Id="rId289" Type="http://schemas.openxmlformats.org/officeDocument/2006/relationships/hyperlink" Target="https://www.courts.sa.gov.au/rules-forms-fees/jcr2022/" TargetMode="External"/><Relationship Id="rId11" Type="http://schemas.openxmlformats.org/officeDocument/2006/relationships/header" Target="header1.xml"/><Relationship Id="rId53" Type="http://schemas.openxmlformats.org/officeDocument/2006/relationships/hyperlink" Target="https://www.courts.sa.gov.au/rules-forms-fees/jcr2022/" TargetMode="External"/><Relationship Id="rId149" Type="http://schemas.openxmlformats.org/officeDocument/2006/relationships/hyperlink" Target="https://www.courts.sa.gov.au/rules-forms-fees/jcr2022/" TargetMode="External"/><Relationship Id="rId314" Type="http://schemas.openxmlformats.org/officeDocument/2006/relationships/hyperlink" Target="https://www.courts.sa.gov.au/rules-forms-fees/jcr2022/" TargetMode="External"/><Relationship Id="rId356" Type="http://schemas.openxmlformats.org/officeDocument/2006/relationships/hyperlink" Target="https://www.courts.sa.gov.au/rules-forms-fees/jcr2022/" TargetMode="External"/><Relationship Id="rId398" Type="http://schemas.openxmlformats.org/officeDocument/2006/relationships/hyperlink" Target="https://www.courts.sa.gov.au/rules-forms-fees/jcr2022/" TargetMode="External"/><Relationship Id="rId95" Type="http://schemas.openxmlformats.org/officeDocument/2006/relationships/hyperlink" Target="https://www.courts.sa.gov.au/rules-forms-fees/jcr2022/" TargetMode="External"/><Relationship Id="rId160" Type="http://schemas.openxmlformats.org/officeDocument/2006/relationships/hyperlink" Target="https://www.courts.sa.gov.au/rules-forms-fees/jcr2022/" TargetMode="External"/><Relationship Id="rId216" Type="http://schemas.openxmlformats.org/officeDocument/2006/relationships/hyperlink" Target="https://www.courts.sa.gov.au/rules-forms-fees/jcr2022/" TargetMode="External"/><Relationship Id="rId423" Type="http://schemas.openxmlformats.org/officeDocument/2006/relationships/hyperlink" Target="https://www.courts.sa.gov.au/rules-forms-fees/jcr2022/" TargetMode="External"/><Relationship Id="rId258" Type="http://schemas.openxmlformats.org/officeDocument/2006/relationships/hyperlink" Target="https://www.courts.sa.gov.au/rules-forms-fees/jcr2022/" TargetMode="External"/><Relationship Id="rId22" Type="http://schemas.openxmlformats.org/officeDocument/2006/relationships/hyperlink" Target="https://www.courts.sa.gov.au/rules-forms-fees/jcr2022/" TargetMode="External"/><Relationship Id="rId64" Type="http://schemas.openxmlformats.org/officeDocument/2006/relationships/hyperlink" Target="https://www.courts.sa.gov.au/rules-forms-fees/jcr2022/" TargetMode="External"/><Relationship Id="rId118" Type="http://schemas.openxmlformats.org/officeDocument/2006/relationships/hyperlink" Target="https://www.courts.sa.gov.au/rules-forms-fees/jcr2022/" TargetMode="External"/><Relationship Id="rId325" Type="http://schemas.openxmlformats.org/officeDocument/2006/relationships/hyperlink" Target="https://www.courts.sa.gov.au/rules-forms-fees/jcr2022/" TargetMode="External"/><Relationship Id="rId367" Type="http://schemas.openxmlformats.org/officeDocument/2006/relationships/hyperlink" Target="https://www.courts.sa.gov.au/rules-forms-fees/jcr2022/" TargetMode="External"/><Relationship Id="rId171" Type="http://schemas.openxmlformats.org/officeDocument/2006/relationships/hyperlink" Target="https://www.courts.sa.gov.au/rules-forms-fees/jcr2022/" TargetMode="External"/><Relationship Id="rId227" Type="http://schemas.openxmlformats.org/officeDocument/2006/relationships/hyperlink" Target="https://www.courts.sa.gov.au/rules-forms-fees/jcr2022/" TargetMode="External"/><Relationship Id="rId269" Type="http://schemas.openxmlformats.org/officeDocument/2006/relationships/hyperlink" Target="https://www.courts.sa.gov.au/rules-forms-fees/jcr2022/" TargetMode="External"/><Relationship Id="rId434" Type="http://schemas.openxmlformats.org/officeDocument/2006/relationships/hyperlink" Target="https://www.courts.sa.gov.au/rules-forms-fees/jcr2022/" TargetMode="External"/><Relationship Id="rId33" Type="http://schemas.openxmlformats.org/officeDocument/2006/relationships/hyperlink" Target="https://www.courts.sa.gov.au/rules-forms-fees/jcr2022/" TargetMode="External"/><Relationship Id="rId129" Type="http://schemas.openxmlformats.org/officeDocument/2006/relationships/hyperlink" Target="https://www.courts.sa.gov.au/rules-forms-fees/jcr2022/" TargetMode="External"/><Relationship Id="rId280" Type="http://schemas.openxmlformats.org/officeDocument/2006/relationships/hyperlink" Target="https://www.courts.sa.gov.au/rules-forms-fees/jcr2022/" TargetMode="External"/><Relationship Id="rId336" Type="http://schemas.openxmlformats.org/officeDocument/2006/relationships/hyperlink" Target="https://www.courts.sa.gov.au/rules-forms-fees/jc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AADE-A8B5-49BC-B8E2-D17BC480C79F}">
  <ds:schemaRefs>
    <ds:schemaRef ds:uri="http://schemas.microsoft.com/sharepoint/v3/contenttype/forms"/>
  </ds:schemaRefs>
</ds:datastoreItem>
</file>

<file path=customXml/itemProps2.xml><?xml version="1.0" encoding="utf-8"?>
<ds:datastoreItem xmlns:ds="http://schemas.openxmlformats.org/officeDocument/2006/customXml" ds:itemID="{8AAAC723-DAEF-40F5-9B52-963A447363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53C997-1439-49AF-9F21-79AD5BF2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0AB39D-E81E-46C1-A48E-7542E5F56B9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101</TotalTime>
  <Pages>243</Pages>
  <Words>105049</Words>
  <Characters>598781</Characters>
  <Application>Microsoft Office Word</Application>
  <DocSecurity>0</DocSecurity>
  <Lines>4989</Lines>
  <Paragraphs>1404</Paragraphs>
  <ScaleCrop>false</ScaleCrop>
  <HeadingPairs>
    <vt:vector size="2" baseType="variant">
      <vt:variant>
        <vt:lpstr>Title</vt:lpstr>
      </vt:variant>
      <vt:variant>
        <vt:i4>1</vt:i4>
      </vt:variant>
    </vt:vector>
  </HeadingPairs>
  <TitlesOfParts>
    <vt:vector size="1" baseType="lpstr">
      <vt:lpstr>Joint Criminal Rules 2022</vt:lpstr>
    </vt:vector>
  </TitlesOfParts>
  <Company/>
  <LinksUpToDate>false</LinksUpToDate>
  <CharactersWithSpaces>702426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Criminal Rules 2022</dc:title>
  <dc:creator/>
  <cp:keywords/>
  <dc:description>Current to Amending Rule No 7 effective 28 April 2025</dc:description>
  <cp:lastModifiedBy>Baker, Rebecca (CAA)</cp:lastModifiedBy>
  <cp:revision>12</cp:revision>
  <cp:lastPrinted>2025-04-26T06:18:00Z</cp:lastPrinted>
  <dcterms:created xsi:type="dcterms:W3CDTF">2024-12-02T07:14:00Z</dcterms:created>
  <dcterms:modified xsi:type="dcterms:W3CDTF">2025-04-26T06:19:00Z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22cf4a2c,4902e649,2874802b,ee7629a,4d6191cb,35c5a8b5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3ac8b791,e78f8b6,7077fc0f,6cf939d5,13e79f5c,2a8a7fc3</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